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Pr="009E0B85" w:rsidR="00452CEA" w:rsidP="00452CEA">
      <w:pPr>
        <w:jc w:val="center"/>
        <w:rPr>
          <w:b/>
          <w:snapToGrid w:val="0"/>
          <w:szCs w:val="24"/>
        </w:rPr>
      </w:pPr>
      <w:bookmarkStart w:name="_GoBack" w:id="0"/>
      <w:bookmarkEnd w:id="0"/>
    </w:p>
    <w:p w:rsidRPr="009E0B85" w:rsidR="00452CEA" w:rsidP="00452CEA">
      <w:pPr>
        <w:jc w:val="center"/>
        <w:rPr>
          <w:b/>
          <w:snapToGrid w:val="0"/>
          <w:szCs w:val="24"/>
        </w:rPr>
      </w:pPr>
    </w:p>
    <w:p w:rsidRPr="009E0B85" w:rsidR="00452CEA" w:rsidP="00452CEA">
      <w:pPr>
        <w:jc w:val="center"/>
      </w:pPr>
    </w:p>
    <w:p w:rsidRPr="009E0B85" w:rsidR="00452CEA" w:rsidP="00452CEA">
      <w:pPr>
        <w:tabs>
          <w:tab w:val="left" w:pos="5670"/>
        </w:tabs>
        <w:jc w:val="center"/>
        <w:rPr>
          <w:b/>
        </w:rPr>
      </w:pPr>
    </w:p>
    <w:p w:rsidRPr="009E0B85" w:rsidR="00452CEA" w:rsidP="00452CEA">
      <w:pPr>
        <w:jc w:val="center"/>
      </w:pPr>
    </w:p>
    <w:p w:rsidRPr="00781D24" w:rsidR="00432F37" w:rsidP="00432F37">
      <w:pPr>
        <w:jc w:val="center"/>
        <w:rPr>
          <w:rFonts w:eastAsia="Times New Roman"/>
          <w:szCs w:val="24"/>
          <w:lang w:val="sv-SE"/>
        </w:rPr>
      </w:pPr>
      <w:r w:rsidRPr="009E0B85">
        <w:rPr>
          <w:rFonts w:eastAsia="Times New Roman"/>
          <w:szCs w:val="24"/>
          <w:lang w:val="sv-SE"/>
        </w:rPr>
        <w:t>GRAND CHAMBER</w:t>
      </w:r>
    </w:p>
    <w:p w:rsidRPr="00781D24" w:rsidR="00452CEA" w:rsidP="00452CEA">
      <w:pPr>
        <w:tabs>
          <w:tab w:val="left" w:pos="4536"/>
        </w:tabs>
        <w:jc w:val="center"/>
        <w:rPr>
          <w:lang w:val="sv-SE"/>
        </w:rPr>
      </w:pPr>
    </w:p>
    <w:p w:rsidRPr="00781D24" w:rsidR="00452CEA" w:rsidP="00452CEA">
      <w:pPr>
        <w:jc w:val="center"/>
        <w:rPr>
          <w:lang w:val="sv-SE"/>
        </w:rPr>
      </w:pPr>
    </w:p>
    <w:p w:rsidRPr="00781D24" w:rsidR="00452CEA" w:rsidP="00452CEA">
      <w:pPr>
        <w:jc w:val="center"/>
        <w:rPr>
          <w:lang w:val="sv-SE"/>
        </w:rPr>
      </w:pPr>
    </w:p>
    <w:p w:rsidRPr="00781D24" w:rsidR="00452CEA" w:rsidP="00452CEA">
      <w:pPr>
        <w:jc w:val="center"/>
        <w:rPr>
          <w:lang w:val="sv-SE"/>
        </w:rPr>
      </w:pPr>
    </w:p>
    <w:p w:rsidRPr="00781D24" w:rsidR="00452CEA" w:rsidP="00452CEA">
      <w:pPr>
        <w:jc w:val="center"/>
        <w:rPr>
          <w:lang w:val="sv-SE"/>
        </w:rPr>
      </w:pPr>
    </w:p>
    <w:p w:rsidRPr="00781D24" w:rsidR="00432F37" w:rsidP="00432F37">
      <w:pPr>
        <w:jc w:val="center"/>
        <w:rPr>
          <w:rFonts w:eastAsia="Times New Roman"/>
          <w:b/>
          <w:szCs w:val="24"/>
          <w:lang w:val="sv-SE"/>
        </w:rPr>
      </w:pPr>
      <w:bookmarkStart w:name="To" w:id="1"/>
      <w:r w:rsidRPr="009E0B85">
        <w:rPr>
          <w:rFonts w:eastAsia="Times New Roman"/>
          <w:b/>
          <w:szCs w:val="24"/>
          <w:lang w:val="sv-SE"/>
        </w:rPr>
        <w:t>BOCHAN mot UKRAINA (nr 2)</w:t>
      </w:r>
    </w:p>
    <w:bookmarkEnd w:id="1"/>
    <w:p w:rsidRPr="00781D24" w:rsidR="00452CEA" w:rsidP="00452CEA">
      <w:pPr>
        <w:jc w:val="center"/>
        <w:rPr>
          <w:lang w:val="sv-SE"/>
        </w:rPr>
      </w:pPr>
    </w:p>
    <w:p w:rsidRPr="00781D24" w:rsidR="00432F37" w:rsidP="00432F37">
      <w:pPr>
        <w:jc w:val="center"/>
        <w:rPr>
          <w:rFonts w:eastAsia="Times New Roman"/>
          <w:i/>
          <w:szCs w:val="24"/>
          <w:lang w:val="sv-SE"/>
        </w:rPr>
      </w:pPr>
      <w:r w:rsidRPr="009E0B85">
        <w:rPr>
          <w:rFonts w:eastAsia="Times New Roman"/>
          <w:i/>
          <w:szCs w:val="24"/>
          <w:lang w:val="sv-SE"/>
        </w:rPr>
        <w:t>(Ansökan nr 22251/08)</w:t>
      </w:r>
    </w:p>
    <w:p w:rsidRPr="00781D24" w:rsidR="00452CEA" w:rsidP="00452CEA">
      <w:pPr>
        <w:jc w:val="center"/>
        <w:rPr>
          <w:szCs w:val="24"/>
          <w:lang w:val="sv-SE"/>
        </w:rPr>
      </w:pPr>
    </w:p>
    <w:p w:rsidRPr="00781D24" w:rsidR="00452CEA" w:rsidP="00452CEA">
      <w:pPr>
        <w:jc w:val="center"/>
        <w:rPr>
          <w:szCs w:val="24"/>
          <w:lang w:val="sv-SE"/>
        </w:rPr>
      </w:pPr>
    </w:p>
    <w:p w:rsidRPr="00781D24" w:rsidR="00452CEA" w:rsidP="00452CEA">
      <w:pPr>
        <w:jc w:val="center"/>
        <w:rPr>
          <w:szCs w:val="24"/>
          <w:lang w:val="sv-SE"/>
        </w:rPr>
      </w:pPr>
    </w:p>
    <w:p w:rsidRPr="00781D24" w:rsidR="00452CEA" w:rsidP="00452CEA">
      <w:pPr>
        <w:jc w:val="center"/>
        <w:rPr>
          <w:szCs w:val="24"/>
          <w:lang w:val="sv-SE"/>
        </w:rPr>
      </w:pPr>
    </w:p>
    <w:p w:rsidRPr="00781D24" w:rsidR="00452CEA" w:rsidP="00452CEA">
      <w:pPr>
        <w:jc w:val="center"/>
        <w:rPr>
          <w:szCs w:val="24"/>
          <w:lang w:val="sv-SE"/>
        </w:rPr>
      </w:pPr>
    </w:p>
    <w:p w:rsidRPr="00781D24" w:rsidR="00452CEA" w:rsidP="00452CEA">
      <w:pPr>
        <w:jc w:val="center"/>
        <w:rPr>
          <w:szCs w:val="24"/>
          <w:lang w:val="sv-SE"/>
        </w:rPr>
      </w:pPr>
    </w:p>
    <w:p w:rsidRPr="00781D24" w:rsidR="00452CEA" w:rsidP="00452CEA">
      <w:pPr>
        <w:jc w:val="center"/>
        <w:rPr>
          <w:szCs w:val="24"/>
          <w:lang w:val="sv-SE"/>
        </w:rPr>
      </w:pPr>
    </w:p>
    <w:p w:rsidRPr="00781D24" w:rsidR="00452CEA" w:rsidP="00452CEA">
      <w:pPr>
        <w:jc w:val="center"/>
        <w:rPr>
          <w:szCs w:val="24"/>
          <w:lang w:val="sv-SE"/>
        </w:rPr>
      </w:pPr>
    </w:p>
    <w:p w:rsidRPr="00781D24" w:rsidR="00452CEA" w:rsidP="00452CEA">
      <w:pPr>
        <w:jc w:val="center"/>
        <w:rPr>
          <w:szCs w:val="24"/>
          <w:lang w:val="sv-SE"/>
        </w:rPr>
      </w:pPr>
    </w:p>
    <w:p w:rsidRPr="00781D24" w:rsidR="00432F37" w:rsidP="00432F37">
      <w:pPr>
        <w:jc w:val="center"/>
        <w:rPr>
          <w:rFonts w:eastAsia="Times New Roman"/>
          <w:szCs w:val="24"/>
          <w:lang w:val="sv-SE"/>
        </w:rPr>
      </w:pPr>
      <w:r w:rsidRPr="009E0B85">
        <w:rPr>
          <w:rFonts w:eastAsia="Times New Roman"/>
          <w:szCs w:val="24"/>
          <w:lang w:val="sv-SE"/>
        </w:rPr>
        <w:t>DOMSLUT</w:t>
      </w:r>
    </w:p>
    <w:p w:rsidRPr="00781D24" w:rsidR="00A83CC8" w:rsidP="00452CEA">
      <w:pPr>
        <w:jc w:val="center"/>
        <w:rPr>
          <w:szCs w:val="24"/>
          <w:highlight w:val="yellow"/>
          <w:lang w:val="sv-SE"/>
        </w:rPr>
      </w:pPr>
    </w:p>
    <w:p w:rsidRPr="00781D24" w:rsidR="00432F37" w:rsidP="00432F37">
      <w:pPr>
        <w:jc w:val="center"/>
        <w:rPr>
          <w:rFonts w:eastAsia="Times New Roman"/>
          <w:i/>
          <w:sz w:val="22"/>
          <w:szCs w:val="24"/>
          <w:lang w:val="sv-SE"/>
        </w:rPr>
      </w:pPr>
      <w:r w:rsidRPr="009E0B85">
        <w:rPr>
          <w:rFonts w:eastAsia="Times New Roman"/>
          <w:i/>
          <w:sz w:val="22"/>
          <w:szCs w:val="24"/>
          <w:lang w:val="sv-SE"/>
        </w:rPr>
        <w:t>Denna version korrigerades den 11 mars 2015</w:t>
      </w:r>
    </w:p>
    <w:p w:rsidRPr="00781D24" w:rsidR="00432F37" w:rsidP="00432F37">
      <w:pPr>
        <w:jc w:val="center"/>
        <w:rPr>
          <w:rFonts w:eastAsia="Times New Roman"/>
          <w:i/>
          <w:sz w:val="22"/>
          <w:szCs w:val="24"/>
          <w:lang w:val="sv-SE"/>
        </w:rPr>
      </w:pPr>
      <w:r w:rsidRPr="009E0B85">
        <w:rPr>
          <w:rFonts w:eastAsia="Times New Roman"/>
          <w:i/>
          <w:sz w:val="22"/>
          <w:szCs w:val="24"/>
          <w:lang w:val="sv-SE"/>
        </w:rPr>
        <w:t>enligt regel 81 i Domstolens arbetsordning.</w:t>
      </w:r>
    </w:p>
    <w:p w:rsidRPr="00781D24" w:rsidR="00452CEA" w:rsidP="00452CEA">
      <w:pPr>
        <w:jc w:val="center"/>
        <w:rPr>
          <w:szCs w:val="24"/>
          <w:lang w:val="sv-SE"/>
        </w:rPr>
      </w:pPr>
    </w:p>
    <w:p w:rsidRPr="00781D24" w:rsidR="00A83CC8" w:rsidP="00452CEA">
      <w:pPr>
        <w:jc w:val="center"/>
        <w:rPr>
          <w:szCs w:val="24"/>
          <w:lang w:val="sv-SE"/>
        </w:rPr>
      </w:pPr>
    </w:p>
    <w:p w:rsidRPr="00781D24" w:rsidR="00432F37" w:rsidP="00432F37">
      <w:pPr>
        <w:jc w:val="center"/>
        <w:rPr>
          <w:rFonts w:eastAsia="Times New Roman"/>
          <w:szCs w:val="24"/>
          <w:lang w:val="sv-SE"/>
        </w:rPr>
      </w:pPr>
      <w:r w:rsidRPr="009E0B85">
        <w:rPr>
          <w:rFonts w:eastAsia="Times New Roman"/>
          <w:szCs w:val="24"/>
          <w:lang w:val="sv-SE"/>
        </w:rPr>
        <w:t>STRASBOURG</w:t>
      </w:r>
    </w:p>
    <w:p w:rsidRPr="00781D24" w:rsidR="00452CEA" w:rsidP="00452CEA">
      <w:pPr>
        <w:jc w:val="center"/>
        <w:rPr>
          <w:szCs w:val="24"/>
          <w:lang w:val="sv-SE"/>
        </w:rPr>
      </w:pPr>
    </w:p>
    <w:p w:rsidRPr="00781D24" w:rsidR="00F106DA" w:rsidP="00452CEA">
      <w:pPr>
        <w:jc w:val="center"/>
        <w:rPr>
          <w:szCs w:val="24"/>
          <w:lang w:val="sv-SE"/>
        </w:rPr>
      </w:pPr>
    </w:p>
    <w:p w:rsidRPr="00781D24" w:rsidR="00432F37" w:rsidP="00432F37">
      <w:pPr>
        <w:jc w:val="center"/>
        <w:rPr>
          <w:rFonts w:eastAsia="Times New Roman"/>
          <w:szCs w:val="24"/>
          <w:lang w:val="sv-SE"/>
        </w:rPr>
      </w:pPr>
      <w:r w:rsidRPr="009E0B85">
        <w:rPr>
          <w:rFonts w:eastAsia="Times New Roman"/>
          <w:szCs w:val="24"/>
          <w:lang w:val="sv-SE"/>
        </w:rPr>
        <w:t>5 februari 2015</w:t>
      </w:r>
    </w:p>
    <w:p w:rsidRPr="00781D24" w:rsidR="00452CEA" w:rsidP="00452CEA">
      <w:pPr>
        <w:jc w:val="center"/>
        <w:rPr>
          <w:szCs w:val="24"/>
          <w:lang w:val="sv-SE"/>
        </w:rPr>
      </w:pPr>
    </w:p>
    <w:p w:rsidRPr="00781D24" w:rsidR="00F679CB" w:rsidP="00452CEA">
      <w:pPr>
        <w:jc w:val="center"/>
        <w:rPr>
          <w:szCs w:val="24"/>
          <w:lang w:val="sv-SE"/>
        </w:rPr>
      </w:pPr>
    </w:p>
    <w:p w:rsidRPr="00781D24" w:rsidR="00452CEA" w:rsidP="00452CEA">
      <w:pPr>
        <w:jc w:val="center"/>
        <w:rPr>
          <w:szCs w:val="24"/>
          <w:lang w:val="sv-SE"/>
        </w:rPr>
      </w:pPr>
    </w:p>
    <w:p w:rsidRPr="00781D24" w:rsidR="00DA7613" w:rsidP="00452CEA">
      <w:pPr>
        <w:jc w:val="center"/>
        <w:rPr>
          <w:szCs w:val="24"/>
          <w:lang w:val="sv-SE"/>
        </w:rPr>
      </w:pPr>
    </w:p>
    <w:p w:rsidRPr="00781D24" w:rsidR="008307F8" w:rsidP="008307F8">
      <w:pPr>
        <w:rPr>
          <w:rFonts w:eastAsia="Times New Roman"/>
          <w:szCs w:val="24"/>
          <w:lang w:val="sv-SE"/>
        </w:rPr>
      </w:pPr>
      <w:r w:rsidRPr="009E0B85">
        <w:rPr>
          <w:rFonts w:eastAsia="Times New Roman"/>
          <w:i/>
          <w:szCs w:val="24"/>
          <w:lang w:val="sv-SE"/>
        </w:rPr>
        <w:t>Denna dom är slutlig men kan bli föremål för redaktionella ändringar.</w:t>
      </w:r>
    </w:p>
    <w:p w:rsidRPr="00781D24" w:rsidR="00E3356A" w:rsidP="00D5454C">
      <w:pPr>
        <w:jc w:val="center"/>
        <w:rPr>
          <w:rFonts w:ascii="Times New Roman" w:hAnsi="Times New Roman" w:cs="Times New Roman"/>
          <w:szCs w:val="24"/>
          <w:lang w:val="sv-SE"/>
        </w:rPr>
        <w:sectPr w:rsidSect="00E3356A">
          <w:headerReference w:type="default" r:id="rId9"/>
          <w:footerReference w:type="default" r:id="rId10"/>
          <w:headerReference w:type="first" r:id="rId11"/>
          <w:footerReference w:type="first" r:id="rId12"/>
          <w:footnotePr>
            <w:numRestart w:val="eachPage"/>
          </w:footnotePr>
          <w:pgSz w:w="11906" w:h="16838" w:code="9"/>
          <w:pgMar w:top="2274" w:right="1440" w:bottom="2274" w:left="1440" w:header="1701" w:footer="720" w:gutter="0"/>
          <w:pgNumType w:start="1"/>
          <w:cols w:space="720"/>
          <w:titlePg/>
          <w:docGrid w:linePitch="326"/>
        </w:sectPr>
      </w:pPr>
    </w:p>
    <w:p w:rsidRPr="00781D24" w:rsidR="008307F8" w:rsidP="008307F8">
      <w:pPr>
        <w:pStyle w:val="JuCase"/>
        <w:rPr>
          <w:rFonts w:eastAsia="Times New Roman"/>
          <w:szCs w:val="24"/>
          <w:lang w:val="sv-SE"/>
        </w:rPr>
      </w:pPr>
      <w:r w:rsidRPr="009E0B85">
        <w:rPr>
          <w:rFonts w:eastAsia="Times New Roman"/>
          <w:szCs w:val="24"/>
          <w:lang w:val="sv-SE"/>
        </w:rPr>
        <w:t>I målet Bochan mot Ukraina (nr 2),</w:t>
      </w:r>
    </w:p>
    <w:p w:rsidRPr="00781D24" w:rsidR="00D419F1" w:rsidP="00D419F1">
      <w:pPr>
        <w:pStyle w:val="ECHRPara"/>
        <w:rPr>
          <w:rFonts w:eastAsia="Times New Roman"/>
          <w:szCs w:val="24"/>
          <w:lang w:val="sv-SE"/>
        </w:rPr>
      </w:pPr>
      <w:r w:rsidRPr="009E0B85">
        <w:rPr>
          <w:rFonts w:eastAsia="Times New Roman"/>
          <w:szCs w:val="24"/>
          <w:lang w:val="sv-SE"/>
        </w:rPr>
        <w:t>avkunnar Europeiska domstolen för de mäns</w:t>
      </w:r>
      <w:r w:rsidR="009E0B85">
        <w:rPr>
          <w:rFonts w:eastAsia="Times New Roman"/>
          <w:szCs w:val="24"/>
          <w:lang w:val="sv-SE"/>
        </w:rPr>
        <w:t>kl</w:t>
      </w:r>
      <w:r w:rsidR="00696451">
        <w:rPr>
          <w:rFonts w:eastAsia="Times New Roman"/>
          <w:szCs w:val="24"/>
          <w:lang w:val="sv-SE"/>
        </w:rPr>
        <w:t>iga rättigheterna</w:t>
      </w:r>
      <w:r w:rsidRPr="009E0B85">
        <w:rPr>
          <w:rFonts w:eastAsia="Times New Roman"/>
          <w:szCs w:val="24"/>
          <w:lang w:val="sv-SE"/>
        </w:rPr>
        <w:t xml:space="preserve"> i stor sammansättning </w:t>
      </w:r>
      <w:r w:rsidR="00696451">
        <w:rPr>
          <w:rFonts w:eastAsia="Times New Roman"/>
          <w:szCs w:val="24"/>
          <w:lang w:val="sv-SE"/>
        </w:rPr>
        <w:t>(Grand Chamber</w:t>
      </w:r>
      <w:r w:rsidRPr="009E0B85" w:rsidR="00696451">
        <w:rPr>
          <w:rFonts w:eastAsia="Times New Roman"/>
          <w:szCs w:val="24"/>
          <w:lang w:val="sv-SE"/>
        </w:rPr>
        <w:t xml:space="preserve">) </w:t>
      </w:r>
      <w:r w:rsidRPr="009E0B85">
        <w:rPr>
          <w:rFonts w:eastAsia="Times New Roman"/>
          <w:szCs w:val="24"/>
          <w:lang w:val="sv-SE"/>
        </w:rPr>
        <w:t>bestående av:</w:t>
      </w:r>
    </w:p>
    <w:p w:rsidRPr="00781D24" w:rsidR="008307F8" w:rsidP="008307F8">
      <w:pPr>
        <w:pStyle w:val="ECHRDecisionBody"/>
        <w:rPr>
          <w:rFonts w:eastAsia="Times New Roman"/>
          <w:szCs w:val="24"/>
          <w:lang w:val="sv-SE"/>
        </w:rPr>
      </w:pPr>
      <w:r w:rsidRPr="00781D24">
        <w:rPr>
          <w:szCs w:val="24"/>
          <w:lang w:val="sv-SE"/>
        </w:rPr>
        <w:tab/>
      </w:r>
      <w:r w:rsidRPr="009E0B85">
        <w:rPr>
          <w:szCs w:val="24"/>
          <w:lang w:val="sv-SE"/>
        </w:rPr>
        <w:t>Dean Spielmann,</w:t>
      </w:r>
      <w:r w:rsidRPr="009E0B85">
        <w:rPr>
          <w:i/>
          <w:szCs w:val="24"/>
          <w:lang w:val="sv-SE"/>
        </w:rPr>
        <w:t xml:space="preserve"> ordförande,</w:t>
      </w:r>
      <w:r w:rsidRPr="00781D24">
        <w:rPr>
          <w:i/>
          <w:szCs w:val="24"/>
          <w:lang w:val="sv-SE"/>
        </w:rPr>
        <w:br/>
      </w:r>
      <w:r w:rsidRPr="00781D24">
        <w:rPr>
          <w:szCs w:val="24"/>
          <w:lang w:val="sv-SE"/>
        </w:rPr>
        <w:tab/>
      </w:r>
      <w:r w:rsidRPr="009E0B85">
        <w:rPr>
          <w:szCs w:val="24"/>
          <w:lang w:val="sv-SE"/>
        </w:rPr>
        <w:t>Josep Casadevall,</w:t>
      </w:r>
      <w:r w:rsidRPr="00781D24">
        <w:rPr>
          <w:i/>
          <w:szCs w:val="24"/>
          <w:lang w:val="sv-SE"/>
        </w:rPr>
        <w:br/>
      </w:r>
      <w:r w:rsidRPr="00781D24">
        <w:rPr>
          <w:szCs w:val="24"/>
          <w:lang w:val="sv-SE"/>
        </w:rPr>
        <w:tab/>
      </w:r>
      <w:r w:rsidRPr="009E0B85">
        <w:rPr>
          <w:szCs w:val="24"/>
          <w:lang w:val="sv-SE"/>
        </w:rPr>
        <w:t>Guido Raimondi,</w:t>
      </w:r>
      <w:r w:rsidRPr="00781D24">
        <w:rPr>
          <w:i/>
          <w:szCs w:val="24"/>
          <w:lang w:val="sv-SE"/>
        </w:rPr>
        <w:br/>
      </w:r>
      <w:r w:rsidRPr="00781D24">
        <w:rPr>
          <w:szCs w:val="24"/>
          <w:lang w:val="sv-SE"/>
        </w:rPr>
        <w:tab/>
      </w:r>
      <w:r w:rsidRPr="009E0B85">
        <w:rPr>
          <w:szCs w:val="24"/>
          <w:lang w:val="sv-SE"/>
        </w:rPr>
        <w:t>Ineta Ziemele,</w:t>
      </w:r>
      <w:r w:rsidRPr="00781D24">
        <w:rPr>
          <w:i/>
          <w:szCs w:val="24"/>
          <w:lang w:val="sv-SE"/>
        </w:rPr>
        <w:br/>
      </w:r>
      <w:r w:rsidRPr="00781D24">
        <w:rPr>
          <w:szCs w:val="24"/>
          <w:lang w:val="sv-SE"/>
        </w:rPr>
        <w:tab/>
      </w:r>
      <w:r w:rsidRPr="009E0B85">
        <w:rPr>
          <w:szCs w:val="24"/>
          <w:lang w:val="sv-SE"/>
        </w:rPr>
        <w:t>Mark Villiger,</w:t>
      </w:r>
      <w:r w:rsidRPr="00781D24">
        <w:rPr>
          <w:i/>
          <w:szCs w:val="24"/>
          <w:lang w:val="sv-SE"/>
        </w:rPr>
        <w:br/>
      </w:r>
      <w:r w:rsidRPr="00781D24">
        <w:rPr>
          <w:szCs w:val="24"/>
          <w:lang w:val="sv-SE"/>
        </w:rPr>
        <w:tab/>
      </w:r>
      <w:r w:rsidRPr="009E0B85">
        <w:rPr>
          <w:szCs w:val="24"/>
          <w:lang w:val="sv-SE"/>
        </w:rPr>
        <w:t>Isabelle Berro,</w:t>
      </w:r>
      <w:r w:rsidRPr="00781D24">
        <w:rPr>
          <w:i/>
          <w:szCs w:val="24"/>
          <w:lang w:val="sv-SE"/>
        </w:rPr>
        <w:br/>
      </w:r>
      <w:r w:rsidRPr="00781D24">
        <w:rPr>
          <w:szCs w:val="24"/>
          <w:lang w:val="sv-SE"/>
        </w:rPr>
        <w:tab/>
      </w:r>
      <w:r w:rsidRPr="009E0B85">
        <w:rPr>
          <w:szCs w:val="24"/>
          <w:lang w:val="sv-SE"/>
        </w:rPr>
        <w:t>Boštjan M. Zupančič,</w:t>
      </w:r>
      <w:r w:rsidRPr="00781D24">
        <w:rPr>
          <w:i/>
          <w:szCs w:val="24"/>
          <w:lang w:val="sv-SE"/>
        </w:rPr>
        <w:br/>
      </w:r>
      <w:r w:rsidRPr="00781D24">
        <w:rPr>
          <w:szCs w:val="24"/>
          <w:lang w:val="sv-SE"/>
        </w:rPr>
        <w:tab/>
      </w:r>
      <w:r w:rsidRPr="009E0B85">
        <w:rPr>
          <w:szCs w:val="24"/>
          <w:lang w:val="sv-SE"/>
        </w:rPr>
        <w:t>Alvina Gyulumyan,</w:t>
      </w:r>
      <w:r w:rsidRPr="00781D24">
        <w:rPr>
          <w:i/>
          <w:szCs w:val="24"/>
          <w:lang w:val="sv-SE"/>
        </w:rPr>
        <w:br/>
      </w:r>
      <w:r w:rsidRPr="00781D24">
        <w:rPr>
          <w:szCs w:val="24"/>
          <w:lang w:val="sv-SE"/>
        </w:rPr>
        <w:tab/>
      </w:r>
      <w:r w:rsidRPr="009E0B85">
        <w:rPr>
          <w:szCs w:val="24"/>
          <w:lang w:val="sv-SE"/>
        </w:rPr>
        <w:t>Ganna Yudkivska,</w:t>
      </w:r>
      <w:r w:rsidRPr="00781D24">
        <w:rPr>
          <w:i/>
          <w:szCs w:val="24"/>
          <w:lang w:val="sv-SE"/>
        </w:rPr>
        <w:br/>
      </w:r>
      <w:r w:rsidRPr="00781D24">
        <w:rPr>
          <w:szCs w:val="24"/>
          <w:lang w:val="sv-SE"/>
        </w:rPr>
        <w:tab/>
      </w:r>
      <w:r w:rsidRPr="009E0B85">
        <w:rPr>
          <w:szCs w:val="24"/>
          <w:lang w:val="sv-SE"/>
        </w:rPr>
        <w:t>Angelika Nußberger,</w:t>
      </w:r>
      <w:r w:rsidRPr="00781D24">
        <w:rPr>
          <w:i/>
          <w:szCs w:val="24"/>
          <w:lang w:val="sv-SE"/>
        </w:rPr>
        <w:br/>
      </w:r>
      <w:r w:rsidRPr="00781D24">
        <w:rPr>
          <w:szCs w:val="24"/>
          <w:lang w:val="sv-SE"/>
        </w:rPr>
        <w:tab/>
      </w:r>
      <w:r w:rsidRPr="009E0B85">
        <w:rPr>
          <w:szCs w:val="24"/>
          <w:lang w:val="sv-SE"/>
        </w:rPr>
        <w:t>Erik Møse,</w:t>
      </w:r>
      <w:r w:rsidRPr="00781D24">
        <w:rPr>
          <w:i/>
          <w:szCs w:val="24"/>
          <w:lang w:val="sv-SE"/>
        </w:rPr>
        <w:br/>
      </w:r>
      <w:r w:rsidRPr="00781D24">
        <w:rPr>
          <w:szCs w:val="24"/>
          <w:lang w:val="sv-SE"/>
        </w:rPr>
        <w:tab/>
      </w:r>
      <w:r w:rsidRPr="009E0B85">
        <w:rPr>
          <w:szCs w:val="24"/>
          <w:lang w:val="sv-SE"/>
        </w:rPr>
        <w:t>André Potocki,</w:t>
      </w:r>
      <w:r w:rsidRPr="00781D24">
        <w:rPr>
          <w:i/>
          <w:szCs w:val="24"/>
          <w:lang w:val="sv-SE"/>
        </w:rPr>
        <w:br/>
      </w:r>
      <w:r w:rsidRPr="00781D24">
        <w:rPr>
          <w:szCs w:val="24"/>
          <w:lang w:val="sv-SE"/>
        </w:rPr>
        <w:tab/>
      </w:r>
      <w:r w:rsidRPr="009E0B85">
        <w:rPr>
          <w:szCs w:val="24"/>
          <w:lang w:val="sv-SE"/>
        </w:rPr>
        <w:t>Paul Lemmens,</w:t>
      </w:r>
      <w:r w:rsidRPr="00781D24">
        <w:rPr>
          <w:i/>
          <w:szCs w:val="24"/>
          <w:lang w:val="sv-SE"/>
        </w:rPr>
        <w:br/>
      </w:r>
      <w:r w:rsidRPr="00781D24">
        <w:rPr>
          <w:szCs w:val="24"/>
          <w:lang w:val="sv-SE"/>
        </w:rPr>
        <w:tab/>
      </w:r>
      <w:r w:rsidRPr="009E0B85">
        <w:rPr>
          <w:szCs w:val="24"/>
          <w:lang w:val="sv-SE"/>
        </w:rPr>
        <w:t>Paul Mahoney,</w:t>
      </w:r>
      <w:r w:rsidRPr="00781D24">
        <w:rPr>
          <w:i/>
          <w:szCs w:val="24"/>
          <w:lang w:val="sv-SE"/>
        </w:rPr>
        <w:br/>
      </w:r>
      <w:r w:rsidRPr="00781D24">
        <w:rPr>
          <w:szCs w:val="24"/>
          <w:lang w:val="sv-SE"/>
        </w:rPr>
        <w:tab/>
      </w:r>
      <w:r w:rsidRPr="009E0B85">
        <w:rPr>
          <w:szCs w:val="24"/>
          <w:lang w:val="sv-SE"/>
        </w:rPr>
        <w:t>Aleš Pejchal,</w:t>
      </w:r>
      <w:r w:rsidRPr="00781D24">
        <w:rPr>
          <w:i/>
          <w:szCs w:val="24"/>
          <w:lang w:val="sv-SE"/>
        </w:rPr>
        <w:br/>
      </w:r>
      <w:r w:rsidRPr="00781D24">
        <w:rPr>
          <w:szCs w:val="24"/>
          <w:lang w:val="sv-SE"/>
        </w:rPr>
        <w:tab/>
      </w:r>
      <w:r w:rsidRPr="009E0B85">
        <w:rPr>
          <w:szCs w:val="24"/>
          <w:lang w:val="sv-SE"/>
        </w:rPr>
        <w:t>Krzysztof Wojtyczek,</w:t>
      </w:r>
      <w:r w:rsidRPr="00781D24">
        <w:rPr>
          <w:i/>
          <w:szCs w:val="24"/>
          <w:lang w:val="sv-SE"/>
        </w:rPr>
        <w:br/>
      </w:r>
      <w:r w:rsidRPr="00781D24">
        <w:rPr>
          <w:szCs w:val="24"/>
          <w:lang w:val="sv-SE"/>
        </w:rPr>
        <w:tab/>
      </w:r>
      <w:r w:rsidRPr="009E0B85">
        <w:rPr>
          <w:rFonts w:eastAsia="Times New Roman"/>
          <w:szCs w:val="24"/>
          <w:lang w:val="sv-SE"/>
        </w:rPr>
        <w:t>Dmitry Dedov,</w:t>
      </w:r>
      <w:r w:rsidRPr="009E0B85">
        <w:rPr>
          <w:rFonts w:eastAsia="Times New Roman"/>
          <w:i/>
          <w:szCs w:val="24"/>
          <w:lang w:val="sv-SE"/>
        </w:rPr>
        <w:t xml:space="preserve"> domare,</w:t>
      </w:r>
      <w:r w:rsidRPr="009E0B85">
        <w:rPr>
          <w:rFonts w:eastAsia="Times New Roman"/>
          <w:i/>
          <w:szCs w:val="24"/>
          <w:lang w:val="sv-SE"/>
        </w:rPr>
        <w:br/>
      </w:r>
      <w:r w:rsidRPr="009E0B85">
        <w:rPr>
          <w:rFonts w:eastAsia="Times New Roman"/>
          <w:szCs w:val="24"/>
          <w:lang w:val="sv-SE"/>
        </w:rPr>
        <w:t xml:space="preserve">och Lawrence Early, </w:t>
      </w:r>
      <w:r w:rsidRPr="009E0B85">
        <w:rPr>
          <w:rFonts w:eastAsia="Times New Roman"/>
          <w:i/>
          <w:szCs w:val="24"/>
          <w:lang w:val="sv-SE"/>
        </w:rPr>
        <w:t>juridisk rådgivare</w:t>
      </w:r>
    </w:p>
    <w:p w:rsidRPr="00781D24" w:rsidR="008307F8" w:rsidP="008307F8">
      <w:pPr>
        <w:pStyle w:val="ECHRPara"/>
        <w:rPr>
          <w:rFonts w:eastAsia="Times New Roman"/>
          <w:szCs w:val="24"/>
          <w:lang w:val="sv-SE"/>
        </w:rPr>
      </w:pPr>
      <w:r>
        <w:rPr>
          <w:rFonts w:eastAsia="Times New Roman"/>
          <w:szCs w:val="24"/>
          <w:lang w:val="sv-SE"/>
        </w:rPr>
        <w:t>e</w:t>
      </w:r>
      <w:r w:rsidRPr="009E0B85">
        <w:rPr>
          <w:rFonts w:eastAsia="Times New Roman"/>
          <w:szCs w:val="24"/>
          <w:lang w:val="sv-SE"/>
        </w:rPr>
        <w:t>fter enskilda överläggningar den 7 maj och den 19 november 2014,</w:t>
      </w:r>
    </w:p>
    <w:p w:rsidR="008307F8" w:rsidP="008307F8">
      <w:pPr>
        <w:pStyle w:val="ECHRPara"/>
        <w:rPr>
          <w:rFonts w:eastAsia="Times New Roman"/>
          <w:szCs w:val="24"/>
          <w:lang w:val="sv-SE"/>
        </w:rPr>
      </w:pPr>
      <w:r w:rsidRPr="009E0B85">
        <w:rPr>
          <w:rFonts w:eastAsia="Times New Roman"/>
          <w:szCs w:val="24"/>
          <w:lang w:val="sv-SE"/>
        </w:rPr>
        <w:t>följande dom, vilken fastställdes sistnämnda datum:</w:t>
      </w:r>
    </w:p>
    <w:p w:rsidR="009E0B85" w:rsidP="008307F8">
      <w:pPr>
        <w:pStyle w:val="ECHRPara"/>
        <w:rPr>
          <w:rFonts w:eastAsia="Times New Roman"/>
          <w:szCs w:val="24"/>
          <w:lang w:val="sv-SE"/>
        </w:rPr>
      </w:pPr>
    </w:p>
    <w:p w:rsidRPr="00781D24" w:rsidR="009E0B85" w:rsidP="008307F8">
      <w:pPr>
        <w:pStyle w:val="ECHRPara"/>
        <w:rPr>
          <w:rFonts w:eastAsia="Times New Roman"/>
          <w:szCs w:val="24"/>
          <w:lang w:val="sv-SE"/>
        </w:rPr>
      </w:pPr>
    </w:p>
    <w:p w:rsidRPr="00781D24" w:rsidR="008307F8" w:rsidP="008307F8">
      <w:pPr>
        <w:pStyle w:val="ECHRTitle1"/>
        <w:spacing w:before="0" w:after="0"/>
        <w:rPr>
          <w:rFonts w:eastAsia="Times New Roman"/>
          <w:szCs w:val="24"/>
          <w:lang w:val="sv-SE"/>
        </w:rPr>
      </w:pPr>
      <w:r w:rsidRPr="00781D24">
        <w:rPr>
          <w:rFonts w:eastAsia="Times New Roman"/>
          <w:szCs w:val="24"/>
          <w:lang w:val="sv-SE"/>
        </w:rPr>
        <w:t xml:space="preserve"> </w:t>
      </w:r>
      <w:r w:rsidRPr="009E0B85">
        <w:rPr>
          <w:rFonts w:eastAsia="Times New Roman"/>
          <w:szCs w:val="24"/>
          <w:lang w:val="sv-SE"/>
        </w:rPr>
        <w:t>FÖRFARANDE</w:t>
      </w:r>
    </w:p>
    <w:p w:rsidRPr="00781D24" w:rsidR="00933055" w:rsidP="00933055">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1</w:t>
      </w:r>
      <w:r w:rsidRPr="009E0B85">
        <w:rPr>
          <w:rFonts w:eastAsia="Times New Roman"/>
          <w:szCs w:val="24"/>
          <w:lang w:val="en-GB"/>
        </w:rPr>
        <w:fldChar w:fldCharType="end"/>
      </w:r>
      <w:r w:rsidRPr="009E0B85">
        <w:rPr>
          <w:rFonts w:eastAsia="Times New Roman"/>
          <w:szCs w:val="24"/>
          <w:lang w:val="sv-SE"/>
        </w:rPr>
        <w:t>  Målet hade sitt ursprung i en ansökan (nr 22251/08) mot Ukraina inlämnad till domstolen enligt artikel 34 i Konventionen om skydd för de mänskliga rättigheterna och de grundläggande friheterna (”Konventionen”)</w:t>
      </w:r>
      <w:r w:rsidR="009E0B85">
        <w:rPr>
          <w:rFonts w:eastAsia="Times New Roman"/>
          <w:szCs w:val="24"/>
          <w:lang w:val="sv-SE"/>
        </w:rPr>
        <w:t xml:space="preserve"> av en ukrainsk medborgare, </w:t>
      </w:r>
      <w:r w:rsidRPr="009E0B85">
        <w:rPr>
          <w:rFonts w:eastAsia="Times New Roman"/>
          <w:szCs w:val="24"/>
          <w:lang w:val="sv-SE"/>
        </w:rPr>
        <w:t>Mariya Ivanivna Bochan (”sökanden”) den 7 april 2008.</w:t>
      </w:r>
    </w:p>
    <w:p w:rsidRPr="00781D24" w:rsidR="00933055" w:rsidP="00933055">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2</w:t>
      </w:r>
      <w:r w:rsidRPr="009E0B85">
        <w:rPr>
          <w:rFonts w:eastAsia="Times New Roman"/>
          <w:szCs w:val="24"/>
          <w:lang w:val="en-GB"/>
        </w:rPr>
        <w:fldChar w:fldCharType="end"/>
      </w:r>
      <w:r w:rsidRPr="009E0B85">
        <w:rPr>
          <w:rFonts w:eastAsia="Times New Roman"/>
          <w:szCs w:val="24"/>
          <w:lang w:val="sv-SE"/>
        </w:rPr>
        <w:t>.  Sökan</w:t>
      </w:r>
      <w:r w:rsidR="009E0B85">
        <w:rPr>
          <w:rFonts w:eastAsia="Times New Roman"/>
          <w:szCs w:val="24"/>
          <w:lang w:val="sv-SE"/>
        </w:rPr>
        <w:t>den företräddes av sin son,</w:t>
      </w:r>
      <w:r w:rsidRPr="009E0B85">
        <w:rPr>
          <w:rFonts w:eastAsia="Times New Roman"/>
          <w:szCs w:val="24"/>
          <w:lang w:val="sv-SE"/>
        </w:rPr>
        <w:t xml:space="preserve"> I. Bochan, advokat med praktik i Ternopil.</w:t>
      </w:r>
    </w:p>
    <w:p w:rsidRPr="00781D24" w:rsidR="00933055" w:rsidP="00933055">
      <w:pPr>
        <w:pStyle w:val="ECHRPara"/>
        <w:rPr>
          <w:rFonts w:eastAsia="Times New Roman"/>
          <w:szCs w:val="24"/>
          <w:lang w:val="sv-SE"/>
        </w:rPr>
      </w:pPr>
      <w:r w:rsidRPr="00781D24">
        <w:rPr>
          <w:rFonts w:eastAsia="Times New Roman"/>
          <w:szCs w:val="24"/>
          <w:lang w:val="sv-SE"/>
        </w:rPr>
        <w:t xml:space="preserve"> </w:t>
      </w:r>
      <w:r w:rsidR="009E0B85">
        <w:rPr>
          <w:rFonts w:eastAsia="Times New Roman"/>
          <w:szCs w:val="24"/>
          <w:lang w:val="sv-SE"/>
        </w:rPr>
        <w:t>Den ukrainska regeringen (”</w:t>
      </w:r>
      <w:r w:rsidRPr="009E0B85">
        <w:rPr>
          <w:rFonts w:eastAsia="Times New Roman"/>
          <w:szCs w:val="24"/>
          <w:lang w:val="sv-SE"/>
        </w:rPr>
        <w:t>Regeringen”) företr</w:t>
      </w:r>
      <w:r w:rsidR="009E0B85">
        <w:rPr>
          <w:rFonts w:eastAsia="Times New Roman"/>
          <w:szCs w:val="24"/>
          <w:lang w:val="sv-SE"/>
        </w:rPr>
        <w:t xml:space="preserve">äddes av sitt ombud, senast </w:t>
      </w:r>
      <w:r w:rsidRPr="009E0B85">
        <w:rPr>
          <w:rFonts w:eastAsia="Times New Roman"/>
          <w:szCs w:val="24"/>
          <w:lang w:val="sv-SE"/>
        </w:rPr>
        <w:t>N. Sevostyanova, från justitieministeriet.</w:t>
      </w:r>
    </w:p>
    <w:p w:rsidR="009E0B85" w:rsidP="00933055">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3</w:t>
      </w:r>
      <w:r w:rsidRPr="009E0B85">
        <w:rPr>
          <w:rFonts w:eastAsia="Times New Roman"/>
          <w:szCs w:val="24"/>
          <w:lang w:val="en-GB"/>
        </w:rPr>
        <w:fldChar w:fldCharType="end"/>
      </w:r>
      <w:r w:rsidRPr="009E0B85">
        <w:rPr>
          <w:rFonts w:eastAsia="Times New Roman"/>
          <w:szCs w:val="24"/>
          <w:lang w:val="sv-SE"/>
        </w:rPr>
        <w:t>.  Sökanden, som åberopade artikel 6 § 1 i Konventionen och artikel 1 i protokoll nr</w:t>
      </w:r>
      <w:r>
        <w:rPr>
          <w:rFonts w:eastAsia="Times New Roman"/>
          <w:szCs w:val="24"/>
          <w:lang w:val="sv-SE"/>
        </w:rPr>
        <w:t xml:space="preserve"> </w:t>
      </w:r>
      <w:r w:rsidR="003D71BB">
        <w:rPr>
          <w:rFonts w:eastAsia="Times New Roman"/>
          <w:szCs w:val="24"/>
          <w:lang w:val="sv-SE"/>
        </w:rPr>
        <w:t xml:space="preserve">1, klagade över förfarandet </w:t>
      </w:r>
      <w:r>
        <w:rPr>
          <w:rFonts w:eastAsia="Times New Roman"/>
          <w:szCs w:val="24"/>
          <w:lang w:val="sv-SE"/>
        </w:rPr>
        <w:t>av</w:t>
      </w:r>
      <w:r w:rsidR="003D71BB">
        <w:rPr>
          <w:rFonts w:eastAsia="Times New Roman"/>
          <w:szCs w:val="24"/>
          <w:lang w:val="sv-SE"/>
        </w:rPr>
        <w:t xml:space="preserve">seende </w:t>
      </w:r>
      <w:r>
        <w:rPr>
          <w:rFonts w:eastAsia="Times New Roman"/>
          <w:szCs w:val="24"/>
          <w:lang w:val="sv-SE"/>
        </w:rPr>
        <w:t>hennes ”</w:t>
      </w:r>
      <w:r w:rsidRPr="009E0B85">
        <w:rPr>
          <w:rFonts w:eastAsia="Times New Roman"/>
          <w:szCs w:val="24"/>
          <w:lang w:val="sv-SE"/>
        </w:rPr>
        <w:t xml:space="preserve">överklagande mot bakgrund av exceptionella </w:t>
      </w:r>
      <w:r>
        <w:rPr>
          <w:rFonts w:eastAsia="Times New Roman"/>
          <w:szCs w:val="24"/>
          <w:lang w:val="sv-SE"/>
        </w:rPr>
        <w:t>omständigheter” baserat på</w:t>
      </w:r>
      <w:r w:rsidRPr="009E0B85">
        <w:rPr>
          <w:rFonts w:eastAsia="Times New Roman"/>
          <w:szCs w:val="24"/>
          <w:lang w:val="sv-SE"/>
        </w:rPr>
        <w:t xml:space="preserve"> Domstolens dom i sökandens tidigare mål (</w:t>
      </w:r>
      <w:r w:rsidRPr="009E0B85">
        <w:rPr>
          <w:rFonts w:eastAsia="Times New Roman"/>
          <w:i/>
          <w:szCs w:val="24"/>
          <w:lang w:val="sv-SE"/>
        </w:rPr>
        <w:t>jfr Bochan v. Ukraine</w:t>
      </w:r>
      <w:r w:rsidRPr="009E0B85">
        <w:rPr>
          <w:rFonts w:eastAsia="Times New Roman"/>
          <w:szCs w:val="24"/>
          <w:lang w:val="sv-SE"/>
        </w:rPr>
        <w:t>, nr 7577</w:t>
      </w:r>
      <w:r>
        <w:rPr>
          <w:rFonts w:eastAsia="Times New Roman"/>
          <w:szCs w:val="24"/>
          <w:lang w:val="sv-SE"/>
        </w:rPr>
        <w:t>/02, 3 maj 2007), föreskrivet i</w:t>
      </w:r>
      <w:r w:rsidRPr="009E0B85">
        <w:rPr>
          <w:rFonts w:eastAsia="Times New Roman"/>
          <w:szCs w:val="24"/>
          <w:lang w:val="sv-SE"/>
        </w:rPr>
        <w:t xml:space="preserve"> tillämplig ukrainsk lagstiftning.</w:t>
      </w:r>
    </w:p>
    <w:p w:rsidR="009E0B85">
      <w:pPr>
        <w:jc w:val="left"/>
        <w:rPr>
          <w:rFonts w:eastAsia="Times New Roman"/>
          <w:szCs w:val="24"/>
          <w:lang w:val="sv-SE"/>
        </w:rPr>
      </w:pPr>
      <w:r>
        <w:rPr>
          <w:rFonts w:eastAsia="Times New Roman"/>
          <w:szCs w:val="24"/>
          <w:lang w:val="sv-SE"/>
        </w:rPr>
        <w:br w:type="page"/>
      </w:r>
    </w:p>
    <w:p w:rsidRPr="00781D24" w:rsidR="00933055" w:rsidP="00933055">
      <w:pPr>
        <w:pStyle w:val="ECHRPara"/>
        <w:rPr>
          <w:rFonts w:eastAsia="Times New Roman"/>
          <w:szCs w:val="24"/>
          <w:lang w:val="sv-SE"/>
        </w:rPr>
      </w:pPr>
    </w:p>
    <w:p w:rsidRPr="00781D24" w:rsidR="00933055" w:rsidP="00933055">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4</w:t>
      </w:r>
      <w:r w:rsidRPr="009E0B85">
        <w:rPr>
          <w:rFonts w:eastAsia="Times New Roman"/>
          <w:szCs w:val="24"/>
          <w:lang w:val="en-GB"/>
        </w:rPr>
        <w:fldChar w:fldCharType="end"/>
      </w:r>
      <w:r w:rsidRPr="009E0B85">
        <w:rPr>
          <w:rFonts w:eastAsia="Times New Roman"/>
          <w:szCs w:val="24"/>
          <w:lang w:val="sv-SE"/>
        </w:rPr>
        <w:t>  Den 6 september 2011 meddelades regeringen om ansökan.</w:t>
      </w:r>
    </w:p>
    <w:p w:rsidRPr="00781D24" w:rsidR="001A38D2" w:rsidP="001A38D2">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5</w:t>
      </w:r>
      <w:r w:rsidRPr="009E0B85">
        <w:rPr>
          <w:rFonts w:eastAsia="Times New Roman"/>
          <w:szCs w:val="24"/>
          <w:lang w:val="en-GB"/>
        </w:rPr>
        <w:fldChar w:fldCharType="end"/>
      </w:r>
      <w:r w:rsidRPr="009E0B85">
        <w:rPr>
          <w:szCs w:val="24"/>
          <w:lang w:val="sv-SE"/>
        </w:rPr>
        <w:t>.  </w:t>
      </w:r>
      <w:r w:rsidRPr="009E0B85">
        <w:rPr>
          <w:rStyle w:val="JuParaCar"/>
          <w:szCs w:val="24"/>
          <w:lang w:val="sv-SE"/>
        </w:rPr>
        <w:t>D</w:t>
      </w:r>
      <w:r w:rsidR="003D71BB">
        <w:rPr>
          <w:rStyle w:val="JuParaCar"/>
          <w:szCs w:val="24"/>
          <w:lang w:val="sv-SE"/>
        </w:rPr>
        <w:t>en 19 november 2013 hänsköt en k</w:t>
      </w:r>
      <w:r w:rsidRPr="009E0B85">
        <w:rPr>
          <w:rStyle w:val="JuParaCar"/>
          <w:szCs w:val="24"/>
          <w:lang w:val="sv-SE"/>
        </w:rPr>
        <w:t>ammar</w:t>
      </w:r>
      <w:r w:rsidR="003D71BB">
        <w:rPr>
          <w:rStyle w:val="JuParaCar"/>
          <w:szCs w:val="24"/>
          <w:lang w:val="sv-SE"/>
        </w:rPr>
        <w:t>e</w:t>
      </w:r>
      <w:r w:rsidRPr="009E0B85">
        <w:rPr>
          <w:rStyle w:val="JuParaCar"/>
          <w:szCs w:val="24"/>
          <w:lang w:val="sv-SE"/>
        </w:rPr>
        <w:t xml:space="preserve"> i sektion fem bestående av Mark Villiger, ordförande, Angelika Nußberger, Boštjan M. Zupančič, Ganna Yudkivska, André Potocki, Paul Lemmens, Aleš Pejchal, domare, samt Claudia Westerdiek, sektionens justitiesekreterare, målet till Grand Chamber. Ingen av parterna invände mot hänskjutandet (Artikel 30 i Konventionen och regel 72 i Domstolens arbetsordning).</w:t>
      </w:r>
    </w:p>
    <w:p w:rsidRPr="00781D24" w:rsidR="001A38D2" w:rsidP="001A38D2">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6</w:t>
      </w:r>
      <w:r w:rsidRPr="009E0B85">
        <w:rPr>
          <w:rFonts w:eastAsia="Times New Roman"/>
          <w:szCs w:val="24"/>
          <w:lang w:val="en-GB"/>
        </w:rPr>
        <w:fldChar w:fldCharType="end"/>
      </w:r>
      <w:r w:rsidRPr="009E0B85">
        <w:rPr>
          <w:rFonts w:eastAsia="Times New Roman"/>
          <w:szCs w:val="24"/>
          <w:lang w:val="sv-SE"/>
        </w:rPr>
        <w:t>.  Sammansättningen i Grand Chamber bestämdes i enlighet med artikel 26 § 4 och § 5 i Konventionen och regel 24 i Domstolens arbetsordning.</w:t>
      </w:r>
    </w:p>
    <w:p w:rsidRPr="00781D24" w:rsidR="001A38D2" w:rsidP="001A38D2">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7</w:t>
      </w:r>
      <w:r w:rsidRPr="009E0B85">
        <w:rPr>
          <w:szCs w:val="24"/>
          <w:lang w:val="en-GB"/>
        </w:rPr>
        <w:fldChar w:fldCharType="end"/>
      </w:r>
      <w:r w:rsidRPr="009E0B85">
        <w:rPr>
          <w:szCs w:val="24"/>
          <w:lang w:val="sv-SE"/>
        </w:rPr>
        <w:t>.  Sökanden och Regeringen inkom båda med skriftliga yttranden</w:t>
      </w:r>
      <w:r w:rsidRPr="009E0B85">
        <w:rPr>
          <w:rStyle w:val="JuParaCar"/>
          <w:szCs w:val="24"/>
          <w:lang w:val="sv-SE"/>
        </w:rPr>
        <w:t>.</w:t>
      </w:r>
      <w:r w:rsidRPr="00781D24">
        <w:rPr>
          <w:rStyle w:val="JuParaCar"/>
          <w:szCs w:val="24"/>
          <w:lang w:val="sv-SE"/>
        </w:rPr>
        <w:t xml:space="preserve"> </w:t>
      </w:r>
      <w:r w:rsidRPr="009E0B85">
        <w:rPr>
          <w:rFonts w:eastAsia="Times New Roman"/>
          <w:szCs w:val="24"/>
          <w:lang w:val="sv-SE"/>
        </w:rPr>
        <w:t>Den 17 mars 2014</w:t>
      </w:r>
      <w:r w:rsidR="003D71BB">
        <w:rPr>
          <w:rFonts w:eastAsia="Times New Roman"/>
          <w:szCs w:val="24"/>
          <w:lang w:val="sv-SE"/>
        </w:rPr>
        <w:t>,</w:t>
      </w:r>
      <w:r w:rsidRPr="009E0B85">
        <w:rPr>
          <w:rFonts w:eastAsia="Times New Roman"/>
          <w:szCs w:val="24"/>
          <w:lang w:val="sv-SE"/>
        </w:rPr>
        <w:t xml:space="preserve"> efter samråd med parterna</w:t>
      </w:r>
      <w:r w:rsidR="003D71BB">
        <w:rPr>
          <w:rFonts w:eastAsia="Times New Roman"/>
          <w:szCs w:val="24"/>
          <w:lang w:val="sv-SE"/>
        </w:rPr>
        <w:t>,</w:t>
      </w:r>
      <w:r w:rsidRPr="009E0B85">
        <w:rPr>
          <w:rFonts w:eastAsia="Times New Roman"/>
          <w:szCs w:val="24"/>
          <w:lang w:val="sv-SE"/>
        </w:rPr>
        <w:t xml:space="preserve"> beslöt ordför</w:t>
      </w:r>
      <w:r w:rsidR="008712A4">
        <w:rPr>
          <w:rFonts w:eastAsia="Times New Roman"/>
          <w:szCs w:val="24"/>
          <w:lang w:val="sv-SE"/>
        </w:rPr>
        <w:t xml:space="preserve">ande för Grand Chamber att inte </w:t>
      </w:r>
      <w:r w:rsidR="00564D05">
        <w:rPr>
          <w:rFonts w:eastAsia="Times New Roman"/>
          <w:szCs w:val="24"/>
          <w:lang w:val="sv-SE"/>
        </w:rPr>
        <w:t>hålla något sammanträde.</w:t>
      </w:r>
    </w:p>
    <w:p w:rsidRPr="00781D24" w:rsidR="001A38D2" w:rsidP="001A38D2">
      <w:pPr>
        <w:pStyle w:val="ECHRTitle1"/>
        <w:rPr>
          <w:rFonts w:eastAsia="Times New Roman"/>
          <w:szCs w:val="24"/>
          <w:lang w:val="sv-SE"/>
        </w:rPr>
      </w:pPr>
      <w:r w:rsidRPr="009E0B85">
        <w:rPr>
          <w:rFonts w:eastAsia="Times New Roman"/>
          <w:szCs w:val="24"/>
          <w:lang w:val="sv-SE"/>
        </w:rPr>
        <w:t>FAKTA</w:t>
      </w:r>
    </w:p>
    <w:p w:rsidRPr="00781D24" w:rsidR="001A38D2" w:rsidP="001A38D2">
      <w:pPr>
        <w:pStyle w:val="ECHRHeading1"/>
        <w:rPr>
          <w:rFonts w:eastAsia="Times New Roman" w:cstheme="minorBidi"/>
          <w:bCs w:val="0"/>
          <w:szCs w:val="24"/>
          <w:lang w:val="sv-SE"/>
        </w:rPr>
      </w:pPr>
      <w:r w:rsidRPr="00394C16">
        <w:rPr>
          <w:rFonts w:eastAsia="Times New Roman" w:cstheme="minorBidi"/>
          <w:bCs w:val="0"/>
          <w:szCs w:val="24"/>
          <w:lang w:val="sv-SE"/>
        </w:rPr>
        <w:t>I.  OMSTÄNDIGHETERNA I MÅLET</w:t>
      </w:r>
    </w:p>
    <w:p w:rsidRPr="00781D24" w:rsidR="001A38D2" w:rsidP="001A38D2">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8</w:t>
      </w:r>
      <w:r w:rsidRPr="009E0B85">
        <w:rPr>
          <w:rFonts w:eastAsia="Times New Roman"/>
          <w:szCs w:val="24"/>
          <w:lang w:val="en-GB"/>
        </w:rPr>
        <w:fldChar w:fldCharType="end"/>
      </w:r>
      <w:r w:rsidRPr="009E0B85">
        <w:rPr>
          <w:rFonts w:eastAsia="Times New Roman"/>
          <w:szCs w:val="24"/>
          <w:lang w:val="sv-SE"/>
        </w:rPr>
        <w:t>  Sökanden föddes 1917 och bor i Ternopil.</w:t>
      </w:r>
    </w:p>
    <w:p w:rsidR="001A38D2" w:rsidP="001A38D2">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9</w:t>
      </w:r>
      <w:r w:rsidRPr="009E0B85">
        <w:rPr>
          <w:rFonts w:eastAsia="Times New Roman"/>
          <w:szCs w:val="24"/>
          <w:lang w:val="en-GB"/>
        </w:rPr>
        <w:fldChar w:fldCharType="end"/>
      </w:r>
      <w:r w:rsidRPr="009E0B85">
        <w:rPr>
          <w:rFonts w:eastAsia="Times New Roman"/>
          <w:szCs w:val="24"/>
          <w:lang w:val="sv-SE"/>
        </w:rPr>
        <w:t xml:space="preserve">.  Omständigheterna i målet, så som de framställts av parterna, kan sammanfattas som följer. </w:t>
      </w:r>
    </w:p>
    <w:p w:rsidRPr="00781D24" w:rsidR="008712A4" w:rsidP="001A38D2">
      <w:pPr>
        <w:pStyle w:val="ECHRPara"/>
        <w:rPr>
          <w:rFonts w:eastAsia="Times New Roman"/>
          <w:szCs w:val="24"/>
          <w:lang w:val="sv-SE"/>
        </w:rPr>
      </w:pPr>
    </w:p>
    <w:p w:rsidR="008712A4" w:rsidP="008712A4">
      <w:pPr>
        <w:pStyle w:val="ECHRPara"/>
        <w:numPr>
          <w:ilvl w:val="0"/>
          <w:numId w:val="22"/>
        </w:numPr>
        <w:rPr>
          <w:b/>
          <w:szCs w:val="24"/>
          <w:lang w:val="sv-SE"/>
        </w:rPr>
      </w:pPr>
      <w:r w:rsidRPr="009E0B85">
        <w:rPr>
          <w:b/>
          <w:szCs w:val="24"/>
          <w:lang w:val="sv-SE"/>
        </w:rPr>
        <w:t>Faktisk bakgrund i målet</w:t>
      </w:r>
    </w:p>
    <w:p w:rsidRPr="008712A4" w:rsidR="008712A4" w:rsidP="008712A4">
      <w:pPr>
        <w:pStyle w:val="ECHRPara"/>
        <w:ind w:left="644" w:firstLine="0"/>
        <w:rPr>
          <w:rFonts w:eastAsia="Times New Roman"/>
          <w:szCs w:val="24"/>
          <w:lang w:val="en-GB"/>
        </w:rPr>
      </w:pPr>
    </w:p>
    <w:p w:rsidRPr="00781D24" w:rsidR="00E32276" w:rsidP="008712A4">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10</w:t>
      </w:r>
      <w:r w:rsidRPr="009E0B85">
        <w:rPr>
          <w:szCs w:val="24"/>
          <w:lang w:val="en-GB"/>
        </w:rPr>
        <w:fldChar w:fldCharType="end"/>
      </w:r>
      <w:r w:rsidRPr="009E0B85">
        <w:rPr>
          <w:rStyle w:val="JuParaCar"/>
          <w:szCs w:val="24"/>
          <w:lang w:val="sv-SE"/>
        </w:rPr>
        <w:t>.  Sedan 1997 har sökanden, hittills utan framgång, gjort anspråk på äganderätten till en del av ett hus som vid den rel</w:t>
      </w:r>
      <w:r w:rsidR="008712A4">
        <w:rPr>
          <w:rStyle w:val="JuParaCar"/>
          <w:szCs w:val="24"/>
          <w:lang w:val="sv-SE"/>
        </w:rPr>
        <w:t xml:space="preserve">evanta tidpunkten ägdes av </w:t>
      </w:r>
      <w:r w:rsidR="003D71BB">
        <w:rPr>
          <w:rStyle w:val="JuParaCar"/>
          <w:szCs w:val="24"/>
          <w:lang w:val="sv-SE"/>
        </w:rPr>
        <w:t>M.</w:t>
      </w:r>
      <w:r w:rsidRPr="009E0B85">
        <w:rPr>
          <w:rStyle w:val="JuParaCar"/>
          <w:szCs w:val="24"/>
          <w:lang w:val="sv-SE"/>
        </w:rPr>
        <w:t xml:space="preserve"> och till marken som huset står på.</w:t>
      </w:r>
      <w:r w:rsidRPr="00781D24">
        <w:rPr>
          <w:rStyle w:val="JuParaCar"/>
          <w:szCs w:val="24"/>
          <w:lang w:val="sv-SE"/>
        </w:rPr>
        <w:t xml:space="preserve"> </w:t>
      </w:r>
      <w:r w:rsidRPr="009E0B85">
        <w:rPr>
          <w:szCs w:val="24"/>
          <w:lang w:val="sv-SE"/>
        </w:rPr>
        <w:t>Hennes anspråk är baserat på följande argument:</w:t>
      </w:r>
      <w:r w:rsidRPr="00781D24">
        <w:rPr>
          <w:rStyle w:val="JuParaCar"/>
          <w:szCs w:val="24"/>
          <w:lang w:val="sv-SE"/>
        </w:rPr>
        <w:t xml:space="preserve"> </w:t>
      </w:r>
      <w:r w:rsidR="00564D05">
        <w:rPr>
          <w:rFonts w:eastAsia="Times New Roman"/>
          <w:szCs w:val="24"/>
          <w:lang w:val="sv-SE"/>
        </w:rPr>
        <w:t xml:space="preserve">att aktuell del av huset </w:t>
      </w:r>
      <w:r w:rsidRPr="009E0B85">
        <w:rPr>
          <w:rFonts w:eastAsia="Times New Roman"/>
          <w:szCs w:val="24"/>
          <w:lang w:val="sv-SE"/>
        </w:rPr>
        <w:t xml:space="preserve">byggdes på hennes och hennes framlidne makes bekostnad; att hennes make </w:t>
      </w:r>
      <w:r w:rsidRPr="00564D05">
        <w:rPr>
          <w:rFonts w:eastAsia="Times New Roman"/>
          <w:szCs w:val="24"/>
          <w:lang w:val="sv-SE"/>
        </w:rPr>
        <w:t>lagligen</w:t>
      </w:r>
      <w:r w:rsidRPr="009E0B85">
        <w:rPr>
          <w:rFonts w:eastAsia="Times New Roman"/>
          <w:szCs w:val="24"/>
          <w:lang w:val="sv-SE"/>
        </w:rPr>
        <w:t xml:space="preserve"> fick äganderätten till fastigheten som hon sedan ärvde</w:t>
      </w:r>
      <w:r w:rsidR="008712A4">
        <w:rPr>
          <w:rFonts w:eastAsia="Times New Roman"/>
          <w:szCs w:val="24"/>
          <w:lang w:val="sv-SE"/>
        </w:rPr>
        <w:t xml:space="preserve">; att den inte såldes till </w:t>
      </w:r>
      <w:r w:rsidRPr="009E0B85">
        <w:rPr>
          <w:rFonts w:eastAsia="Times New Roman"/>
          <w:szCs w:val="24"/>
          <w:lang w:val="sv-SE"/>
        </w:rPr>
        <w:t>M. trots att det initialt hade funnits en överenskommelse med sökandens son med den innebörden; och</w:t>
      </w:r>
      <w:r w:rsidR="008712A4">
        <w:rPr>
          <w:rFonts w:eastAsia="Times New Roman"/>
          <w:szCs w:val="24"/>
          <w:lang w:val="sv-SE"/>
        </w:rPr>
        <w:t xml:space="preserve"> att det köpeavtal på vilket </w:t>
      </w:r>
      <w:r w:rsidR="00696451">
        <w:rPr>
          <w:rFonts w:eastAsia="Times New Roman"/>
          <w:szCs w:val="24"/>
          <w:lang w:val="sv-SE"/>
        </w:rPr>
        <w:t>M. baserade sin</w:t>
      </w:r>
      <w:r w:rsidRPr="009E0B85">
        <w:rPr>
          <w:rFonts w:eastAsia="Times New Roman"/>
          <w:szCs w:val="24"/>
          <w:lang w:val="sv-SE"/>
        </w:rPr>
        <w:t xml:space="preserve"> rätt till fastigheten på var förfalskat. </w:t>
      </w:r>
    </w:p>
    <w:p w:rsidR="00564D05" w:rsidP="00564D05">
      <w:pPr>
        <w:pStyle w:val="ECHRPara"/>
        <w:rPr>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11</w:t>
      </w:r>
      <w:r w:rsidRPr="009E0B85">
        <w:rPr>
          <w:szCs w:val="24"/>
          <w:lang w:val="en-GB"/>
        </w:rPr>
        <w:fldChar w:fldCharType="end"/>
      </w:r>
      <w:r w:rsidRPr="009E0B85">
        <w:rPr>
          <w:szCs w:val="24"/>
          <w:lang w:val="sv-SE"/>
        </w:rPr>
        <w:t>.  Sökandens anspråk på fastigheten behandlades vid ett flertal tillfällen av nationella domstolar.</w:t>
      </w:r>
      <w:r w:rsidRPr="00781D24">
        <w:rPr>
          <w:szCs w:val="24"/>
          <w:lang w:val="sv-SE"/>
        </w:rPr>
        <w:t xml:space="preserve"> </w:t>
      </w:r>
      <w:r w:rsidR="008712A4">
        <w:rPr>
          <w:szCs w:val="24"/>
          <w:lang w:val="sv-SE"/>
        </w:rPr>
        <w:t>Sedan Högsta domstolen återförvisat</w:t>
      </w:r>
      <w:r w:rsidRPr="009E0B85">
        <w:rPr>
          <w:szCs w:val="24"/>
          <w:lang w:val="sv-SE"/>
        </w:rPr>
        <w:t xml:space="preserve"> målet till domstolar i lägre instans med olika lokal behörighet avvisades </w:t>
      </w:r>
      <w:r w:rsidR="008712A4">
        <w:rPr>
          <w:szCs w:val="24"/>
          <w:lang w:val="sv-SE"/>
        </w:rPr>
        <w:t xml:space="preserve">slutligen </w:t>
      </w:r>
      <w:r w:rsidRPr="009E0B85">
        <w:rPr>
          <w:szCs w:val="24"/>
          <w:lang w:val="sv-SE"/>
        </w:rPr>
        <w:t>sökandens anspråk.</w:t>
      </w:r>
      <w:r w:rsidRPr="00781D24">
        <w:rPr>
          <w:szCs w:val="24"/>
          <w:lang w:val="sv-SE"/>
        </w:rPr>
        <w:t xml:space="preserve"> </w:t>
      </w:r>
      <w:r w:rsidRPr="009E0B85">
        <w:rPr>
          <w:szCs w:val="24"/>
          <w:lang w:val="sv-SE"/>
        </w:rPr>
        <w:t>Med hänvisning till utsagor från 17 vittnen, varav ett hördes personligen</w:t>
      </w:r>
      <w:r>
        <w:rPr>
          <w:szCs w:val="24"/>
          <w:lang w:val="sv-SE"/>
        </w:rPr>
        <w:t>,</w:t>
      </w:r>
      <w:r w:rsidRPr="009E0B85">
        <w:rPr>
          <w:szCs w:val="24"/>
          <w:lang w:val="sv-SE"/>
        </w:rPr>
        <w:t xml:space="preserve"> </w:t>
      </w:r>
      <w:r w:rsidR="008712A4">
        <w:rPr>
          <w:szCs w:val="24"/>
          <w:lang w:val="sv-SE"/>
        </w:rPr>
        <w:t xml:space="preserve">och till dokument ingivna av </w:t>
      </w:r>
      <w:r w:rsidRPr="009E0B85">
        <w:rPr>
          <w:szCs w:val="24"/>
          <w:lang w:val="sv-SE"/>
        </w:rPr>
        <w:t>M., fann domstolar</w:t>
      </w:r>
      <w:r w:rsidR="008712A4">
        <w:rPr>
          <w:szCs w:val="24"/>
          <w:lang w:val="sv-SE"/>
        </w:rPr>
        <w:t xml:space="preserve"> i två olika instanser att </w:t>
      </w:r>
      <w:r w:rsidRPr="009E0B85">
        <w:rPr>
          <w:szCs w:val="24"/>
          <w:lang w:val="sv-SE"/>
        </w:rPr>
        <w:t>M. hade köpt grunden</w:t>
      </w:r>
      <w:r>
        <w:rPr>
          <w:szCs w:val="24"/>
          <w:lang w:val="sv-SE"/>
        </w:rPr>
        <w:t xml:space="preserve"> till aktuell del av</w:t>
      </w:r>
      <w:r w:rsidR="008712A4">
        <w:rPr>
          <w:szCs w:val="24"/>
          <w:lang w:val="sv-SE"/>
        </w:rPr>
        <w:t xml:space="preserve"> </w:t>
      </w:r>
      <w:r w:rsidRPr="009E0B85">
        <w:rPr>
          <w:szCs w:val="24"/>
          <w:lang w:val="sv-SE"/>
        </w:rPr>
        <w:t xml:space="preserve">huset av sökandens son 1993 och </w:t>
      </w:r>
      <w:r w:rsidR="008712A4">
        <w:rPr>
          <w:szCs w:val="24"/>
          <w:lang w:val="sv-SE"/>
        </w:rPr>
        <w:t xml:space="preserve">därefter hade byggt det på egen </w:t>
      </w:r>
    </w:p>
    <w:p w:rsidR="00564D05">
      <w:pPr>
        <w:jc w:val="left"/>
        <w:rPr>
          <w:szCs w:val="24"/>
          <w:lang w:val="sv-SE"/>
        </w:rPr>
      </w:pPr>
      <w:r>
        <w:rPr>
          <w:szCs w:val="24"/>
          <w:lang w:val="sv-SE"/>
        </w:rPr>
        <w:br w:type="page"/>
      </w:r>
    </w:p>
    <w:p w:rsidRPr="00564D05" w:rsidR="00AD79F8" w:rsidP="00564D05">
      <w:pPr>
        <w:pStyle w:val="ECHRPara"/>
        <w:ind w:firstLine="0"/>
        <w:rPr>
          <w:szCs w:val="24"/>
          <w:lang w:val="sv-SE"/>
        </w:rPr>
      </w:pPr>
      <w:r w:rsidRPr="009E0B85">
        <w:rPr>
          <w:szCs w:val="24"/>
          <w:lang w:val="sv-SE"/>
        </w:rPr>
        <w:t>bekostnad.</w:t>
      </w:r>
      <w:r w:rsidRPr="00781D24">
        <w:rPr>
          <w:szCs w:val="24"/>
          <w:lang w:val="sv-SE"/>
        </w:rPr>
        <w:t xml:space="preserve"> </w:t>
      </w:r>
      <w:r w:rsidR="008712A4">
        <w:rPr>
          <w:szCs w:val="24"/>
          <w:lang w:val="sv-SE"/>
        </w:rPr>
        <w:t xml:space="preserve">Följaktligen var </w:t>
      </w:r>
      <w:r w:rsidRPr="009E0B85">
        <w:rPr>
          <w:szCs w:val="24"/>
          <w:lang w:val="sv-SE"/>
        </w:rPr>
        <w:t>M. rättmätig ägare till den delen av huset och hade rätt att använda marken som det var byggt på.</w:t>
      </w:r>
      <w:r w:rsidRPr="00781D24">
        <w:rPr>
          <w:szCs w:val="24"/>
          <w:lang w:val="sv-SE"/>
        </w:rPr>
        <w:t xml:space="preserve"> </w:t>
      </w:r>
      <w:r w:rsidRPr="009E0B85">
        <w:rPr>
          <w:rFonts w:eastAsia="Times New Roman"/>
          <w:szCs w:val="24"/>
          <w:lang w:val="sv-SE"/>
        </w:rPr>
        <w:t>Det slutgiltiga be</w:t>
      </w:r>
      <w:r w:rsidR="00244972">
        <w:rPr>
          <w:rFonts w:eastAsia="Times New Roman"/>
          <w:szCs w:val="24"/>
          <w:lang w:val="sv-SE"/>
        </w:rPr>
        <w:t>slutet, som fastställde domsluten</w:t>
      </w:r>
      <w:r w:rsidRPr="009E0B85">
        <w:rPr>
          <w:rFonts w:eastAsia="Times New Roman"/>
          <w:szCs w:val="24"/>
          <w:lang w:val="sv-SE"/>
        </w:rPr>
        <w:t xml:space="preserve"> i lägre instanser, fattades av Högsta domstolen den 22 augusti 2002.</w:t>
      </w:r>
    </w:p>
    <w:p w:rsidRPr="00781D24" w:rsidR="00AD79F8" w:rsidP="00AD79F8">
      <w:pPr>
        <w:pStyle w:val="ECHRHeading2"/>
        <w:rPr>
          <w:rFonts w:eastAsia="Times New Roman" w:cstheme="minorBidi"/>
          <w:bCs w:val="0"/>
          <w:szCs w:val="24"/>
          <w:lang w:val="sv-SE"/>
        </w:rPr>
      </w:pPr>
      <w:r w:rsidRPr="009E0B85">
        <w:rPr>
          <w:rFonts w:eastAsia="Times New Roman" w:cstheme="minorBidi"/>
          <w:bCs w:val="0"/>
          <w:szCs w:val="24"/>
          <w:lang w:val="sv-SE"/>
        </w:rPr>
        <w:t>B.  Domstolens dom i det första målet</w:t>
      </w:r>
    </w:p>
    <w:p w:rsidRPr="00781D24" w:rsidR="00AD79F8" w:rsidP="00AD79F8">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12</w:t>
      </w:r>
      <w:r w:rsidRPr="009E0B85">
        <w:rPr>
          <w:szCs w:val="24"/>
          <w:lang w:val="en-GB"/>
        </w:rPr>
        <w:fldChar w:fldCharType="end"/>
      </w:r>
      <w:r w:rsidRPr="009E0B85">
        <w:rPr>
          <w:szCs w:val="24"/>
          <w:lang w:val="sv-SE"/>
        </w:rPr>
        <w:t>.  Den 17 juli 2001 lämnade sökanden in en ansökan till Domstolen där hon i syn</w:t>
      </w:r>
      <w:r w:rsidR="002B40F4">
        <w:rPr>
          <w:szCs w:val="24"/>
          <w:lang w:val="sv-SE"/>
        </w:rPr>
        <w:t xml:space="preserve">nerhet klagade över </w:t>
      </w:r>
      <w:r w:rsidRPr="009E0B85">
        <w:rPr>
          <w:szCs w:val="24"/>
          <w:lang w:val="sv-SE"/>
        </w:rPr>
        <w:t xml:space="preserve">de nationella domstolarnas </w:t>
      </w:r>
      <w:r w:rsidR="002B40F4">
        <w:rPr>
          <w:szCs w:val="24"/>
          <w:lang w:val="sv-SE"/>
        </w:rPr>
        <w:t xml:space="preserve">orättvisa </w:t>
      </w:r>
      <w:r w:rsidRPr="009E0B85">
        <w:rPr>
          <w:szCs w:val="24"/>
          <w:lang w:val="sv-SE"/>
        </w:rPr>
        <w:t>behandling av hennes anspråk.</w:t>
      </w:r>
      <w:r w:rsidRPr="00781D24">
        <w:rPr>
          <w:szCs w:val="24"/>
          <w:lang w:val="sv-SE"/>
        </w:rPr>
        <w:t xml:space="preserve"> </w:t>
      </w:r>
      <w:r w:rsidRPr="009E0B85">
        <w:rPr>
          <w:rFonts w:eastAsia="Times New Roman"/>
          <w:szCs w:val="24"/>
          <w:lang w:val="sv-SE"/>
        </w:rPr>
        <w:t>Hon kl</w:t>
      </w:r>
      <w:r w:rsidR="002B40F4">
        <w:rPr>
          <w:rFonts w:eastAsia="Times New Roman"/>
          <w:szCs w:val="24"/>
          <w:lang w:val="sv-SE"/>
        </w:rPr>
        <w:t>agade även över förfarandets</w:t>
      </w:r>
      <w:r w:rsidRPr="009E0B85">
        <w:rPr>
          <w:rFonts w:eastAsia="Times New Roman"/>
          <w:szCs w:val="24"/>
          <w:lang w:val="sv-SE"/>
        </w:rPr>
        <w:t xml:space="preserve"> längd och </w:t>
      </w:r>
      <w:r w:rsidR="003D71BB">
        <w:rPr>
          <w:rFonts w:eastAsia="Times New Roman"/>
          <w:szCs w:val="24"/>
          <w:lang w:val="sv-SE"/>
        </w:rPr>
        <w:t>gjorde gällande</w:t>
      </w:r>
      <w:r w:rsidRPr="009E0B85">
        <w:rPr>
          <w:rFonts w:eastAsia="Times New Roman"/>
          <w:szCs w:val="24"/>
          <w:lang w:val="sv-SE"/>
        </w:rPr>
        <w:t xml:space="preserve"> en överträdelse </w:t>
      </w:r>
      <w:r w:rsidR="003D71BB">
        <w:rPr>
          <w:rFonts w:eastAsia="Times New Roman"/>
          <w:szCs w:val="24"/>
          <w:lang w:val="sv-SE"/>
        </w:rPr>
        <w:t xml:space="preserve">både </w:t>
      </w:r>
      <w:r w:rsidRPr="009E0B85">
        <w:rPr>
          <w:rFonts w:eastAsia="Times New Roman"/>
          <w:szCs w:val="24"/>
          <w:lang w:val="sv-SE"/>
        </w:rPr>
        <w:t xml:space="preserve">mot </w:t>
      </w:r>
      <w:bookmarkStart w:name="OLE_LINK1" w:id="2"/>
      <w:bookmarkStart w:name="OLE_LINK2" w:id="3"/>
      <w:r w:rsidRPr="009E0B85">
        <w:rPr>
          <w:rFonts w:eastAsia="Times New Roman"/>
          <w:szCs w:val="24"/>
          <w:lang w:val="sv-SE"/>
        </w:rPr>
        <w:t>artikel 1 i protokoll nr 1 till Konventionen</w:t>
      </w:r>
      <w:bookmarkEnd w:id="2"/>
      <w:bookmarkEnd w:id="3"/>
      <w:r w:rsidR="003D71BB">
        <w:rPr>
          <w:rFonts w:eastAsia="Times New Roman"/>
          <w:szCs w:val="24"/>
          <w:lang w:val="sv-SE"/>
        </w:rPr>
        <w:t xml:space="preserve"> och mot </w:t>
      </w:r>
      <w:r w:rsidRPr="009E0B85">
        <w:rPr>
          <w:rFonts w:eastAsia="Times New Roman"/>
          <w:szCs w:val="24"/>
          <w:lang w:val="sv-SE"/>
        </w:rPr>
        <w:t>artikel 14 i Kon</w:t>
      </w:r>
      <w:r w:rsidR="003D71BB">
        <w:rPr>
          <w:rFonts w:eastAsia="Times New Roman"/>
          <w:szCs w:val="24"/>
          <w:lang w:val="sv-SE"/>
        </w:rPr>
        <w:t>ventionen med anledning av</w:t>
      </w:r>
      <w:r w:rsidRPr="009E0B85">
        <w:rPr>
          <w:rFonts w:eastAsia="Times New Roman"/>
          <w:szCs w:val="24"/>
          <w:lang w:val="sv-SE"/>
        </w:rPr>
        <w:t xml:space="preserve"> resultat</w:t>
      </w:r>
      <w:r w:rsidR="003D71BB">
        <w:rPr>
          <w:rFonts w:eastAsia="Times New Roman"/>
          <w:szCs w:val="24"/>
          <w:lang w:val="sv-SE"/>
        </w:rPr>
        <w:t>et</w:t>
      </w:r>
      <w:r w:rsidRPr="009E0B85">
        <w:rPr>
          <w:rFonts w:eastAsia="Times New Roman"/>
          <w:szCs w:val="24"/>
          <w:lang w:val="sv-SE"/>
        </w:rPr>
        <w:t>.</w:t>
      </w:r>
    </w:p>
    <w:p w:rsidRPr="00781D24" w:rsidR="00C11509" w:rsidP="00C11509">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13</w:t>
      </w:r>
      <w:r w:rsidRPr="009E0B85">
        <w:rPr>
          <w:rFonts w:eastAsia="Times New Roman"/>
          <w:szCs w:val="24"/>
          <w:lang w:val="en-GB"/>
        </w:rPr>
        <w:fldChar w:fldCharType="end"/>
      </w:r>
      <w:r w:rsidRPr="009E0B85">
        <w:rPr>
          <w:rFonts w:eastAsia="Times New Roman"/>
          <w:szCs w:val="24"/>
          <w:lang w:val="sv-SE"/>
        </w:rPr>
        <w:t xml:space="preserve">.  Den 3 </w:t>
      </w:r>
      <w:r w:rsidR="002B40F4">
        <w:rPr>
          <w:rFonts w:eastAsia="Times New Roman"/>
          <w:szCs w:val="24"/>
          <w:lang w:val="sv-SE"/>
        </w:rPr>
        <w:t>maj 2007 avkunnade Domstolen sin dom i målet. Domen</w:t>
      </w:r>
      <w:r w:rsidRPr="009E0B85">
        <w:rPr>
          <w:rFonts w:eastAsia="Times New Roman"/>
          <w:szCs w:val="24"/>
          <w:lang w:val="sv-SE"/>
        </w:rPr>
        <w:t xml:space="preserve"> blev slutgiltig den 3 augusti 2007. </w:t>
      </w:r>
      <w:r w:rsidRPr="009E0B85" w:rsidR="006C2ECD">
        <w:rPr>
          <w:rFonts w:eastAsia="Times New Roman"/>
          <w:szCs w:val="24"/>
          <w:lang w:val="sv-SE"/>
        </w:rPr>
        <w:t>Domstolen fann att de</w:t>
      </w:r>
      <w:r w:rsidR="006C2ECD">
        <w:rPr>
          <w:rFonts w:eastAsia="Times New Roman"/>
          <w:szCs w:val="24"/>
          <w:lang w:val="sv-SE"/>
        </w:rPr>
        <w:t>t hade skett en kränkning</w:t>
      </w:r>
      <w:r w:rsidRPr="009E0B85" w:rsidR="006C2ECD">
        <w:rPr>
          <w:rFonts w:eastAsia="Times New Roman"/>
          <w:szCs w:val="24"/>
          <w:lang w:val="sv-SE"/>
        </w:rPr>
        <w:t xml:space="preserve"> </w:t>
      </w:r>
      <w:r w:rsidR="003D71BB">
        <w:rPr>
          <w:rFonts w:eastAsia="Times New Roman"/>
          <w:szCs w:val="24"/>
          <w:lang w:val="sv-SE"/>
        </w:rPr>
        <w:t xml:space="preserve">av </w:t>
      </w:r>
      <w:r w:rsidRPr="009E0B85" w:rsidR="006C2ECD">
        <w:rPr>
          <w:rFonts w:eastAsia="Times New Roman"/>
          <w:szCs w:val="24"/>
          <w:lang w:val="sv-SE"/>
        </w:rPr>
        <w:t xml:space="preserve">artikel 6 § 1 i Konvention, med hänsyn till de omständigheter på vilka </w:t>
      </w:r>
      <w:r w:rsidR="006C2ECD">
        <w:rPr>
          <w:rFonts w:eastAsia="Times New Roman"/>
          <w:szCs w:val="24"/>
          <w:lang w:val="sv-SE"/>
        </w:rPr>
        <w:t>Högsta domstolen hade återförvisat sökandens mål</w:t>
      </w:r>
      <w:r w:rsidRPr="009E0B85" w:rsidR="006C2ECD">
        <w:rPr>
          <w:rFonts w:eastAsia="Times New Roman"/>
          <w:szCs w:val="24"/>
          <w:lang w:val="sv-SE"/>
        </w:rPr>
        <w:t xml:space="preserve"> i förening</w:t>
      </w:r>
      <w:r w:rsidR="00564D05">
        <w:rPr>
          <w:rFonts w:eastAsia="Times New Roman"/>
          <w:szCs w:val="24"/>
          <w:lang w:val="sv-SE"/>
        </w:rPr>
        <w:t xml:space="preserve"> med bristen på tillräcklig motivering</w:t>
      </w:r>
      <w:r w:rsidR="006C2ECD">
        <w:rPr>
          <w:rFonts w:eastAsia="Times New Roman"/>
          <w:szCs w:val="24"/>
          <w:lang w:val="sv-SE"/>
        </w:rPr>
        <w:t xml:space="preserve"> i de nationella domsluten, (jfr</w:t>
      </w:r>
      <w:r w:rsidRPr="009E0B85" w:rsidR="006C2ECD">
        <w:rPr>
          <w:rFonts w:eastAsia="Times New Roman"/>
          <w:szCs w:val="24"/>
          <w:lang w:val="sv-SE"/>
        </w:rPr>
        <w:t xml:space="preserve"> </w:t>
      </w:r>
      <w:r w:rsidRPr="009E0B85" w:rsidR="006C2ECD">
        <w:rPr>
          <w:rFonts w:eastAsia="Times New Roman"/>
          <w:i/>
          <w:szCs w:val="24"/>
          <w:lang w:val="sv-SE"/>
        </w:rPr>
        <w:t>Bochan</w:t>
      </w:r>
      <w:r w:rsidRPr="009E0B85" w:rsidR="006C2ECD">
        <w:rPr>
          <w:rFonts w:eastAsia="Times New Roman"/>
          <w:szCs w:val="24"/>
          <w:lang w:val="sv-SE"/>
        </w:rPr>
        <w:t>, citerat ovan, § 85).</w:t>
      </w:r>
    </w:p>
    <w:p w:rsidRPr="00781D24" w:rsidR="00C11509" w:rsidP="00C11509">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14</w:t>
      </w:r>
      <w:r w:rsidRPr="009E0B85">
        <w:rPr>
          <w:rFonts w:eastAsia="Times New Roman"/>
          <w:szCs w:val="24"/>
          <w:lang w:val="en-GB"/>
        </w:rPr>
        <w:fldChar w:fldCharType="end"/>
      </w:r>
      <w:r w:rsidRPr="009E0B85">
        <w:rPr>
          <w:rFonts w:eastAsia="Times New Roman"/>
          <w:szCs w:val="24"/>
          <w:lang w:val="sv-SE"/>
        </w:rPr>
        <w:t>.  Domstolen resonerade som följer:</w:t>
      </w:r>
    </w:p>
    <w:p w:rsidRPr="00781D24" w:rsidR="00231081" w:rsidP="00231081">
      <w:pPr>
        <w:pStyle w:val="ECHRParaQuote"/>
        <w:rPr>
          <w:rFonts w:eastAsia="Times New Roman"/>
          <w:szCs w:val="24"/>
          <w:lang w:val="sv-SE"/>
        </w:rPr>
      </w:pPr>
      <w:r w:rsidRPr="00781D24">
        <w:rPr>
          <w:szCs w:val="24"/>
          <w:lang w:val="sv-SE"/>
        </w:rPr>
        <w:t xml:space="preserve">“74.  ... </w:t>
      </w:r>
      <w:r w:rsidRPr="009E0B85">
        <w:rPr>
          <w:szCs w:val="24"/>
          <w:lang w:val="sv-SE"/>
        </w:rPr>
        <w:t>Återförvisni</w:t>
      </w:r>
      <w:r w:rsidR="003B222B">
        <w:rPr>
          <w:szCs w:val="24"/>
          <w:lang w:val="sv-SE"/>
        </w:rPr>
        <w:t xml:space="preserve">ngen av [sökandens mål] beordrades av Högsta domstolen </w:t>
      </w:r>
      <w:r w:rsidR="00B22DE0">
        <w:rPr>
          <w:szCs w:val="24"/>
          <w:lang w:val="sv-SE"/>
        </w:rPr>
        <w:t>sedan</w:t>
      </w:r>
      <w:r w:rsidR="003B222B">
        <w:rPr>
          <w:szCs w:val="24"/>
          <w:lang w:val="sv-SE"/>
        </w:rPr>
        <w:t xml:space="preserve"> den</w:t>
      </w:r>
      <w:r w:rsidRPr="009E0B85">
        <w:rPr>
          <w:szCs w:val="24"/>
          <w:lang w:val="sv-SE"/>
        </w:rPr>
        <w:t xml:space="preserve"> utt</w:t>
      </w:r>
      <w:r w:rsidR="003B222B">
        <w:rPr>
          <w:szCs w:val="24"/>
          <w:lang w:val="sv-SE"/>
        </w:rPr>
        <w:t>ryckligen hade ogillat</w:t>
      </w:r>
      <w:r w:rsidR="003D71BB">
        <w:rPr>
          <w:szCs w:val="24"/>
          <w:lang w:val="sv-SE"/>
        </w:rPr>
        <w:t xml:space="preserve"> </w:t>
      </w:r>
      <w:r w:rsidRPr="009E0B85">
        <w:rPr>
          <w:szCs w:val="24"/>
          <w:lang w:val="sv-SE"/>
        </w:rPr>
        <w:t>lägre instanser</w:t>
      </w:r>
      <w:r w:rsidR="003B222B">
        <w:rPr>
          <w:szCs w:val="24"/>
          <w:lang w:val="sv-SE"/>
        </w:rPr>
        <w:t>s slutsatser</w:t>
      </w:r>
      <w:r w:rsidR="00B22DE0">
        <w:rPr>
          <w:szCs w:val="24"/>
          <w:lang w:val="sv-SE"/>
        </w:rPr>
        <w:t xml:space="preserve"> avseende sakomständigheterna och sedan den uttalat sin syn på</w:t>
      </w:r>
      <w:r w:rsidRPr="009E0B85">
        <w:rPr>
          <w:szCs w:val="24"/>
          <w:lang w:val="sv-SE"/>
        </w:rPr>
        <w:t xml:space="preserve"> en av de viktigaste aspekterna i målet ... redan innan</w:t>
      </w:r>
      <w:r w:rsidR="00B22DE0">
        <w:rPr>
          <w:szCs w:val="24"/>
          <w:lang w:val="sv-SE"/>
        </w:rPr>
        <w:t xml:space="preserve"> de lägre domstolarna gjort sin nya bedömning av fakta och samlat in bevisning</w:t>
      </w:r>
      <w:r w:rsidRPr="009E0B85">
        <w:rPr>
          <w:szCs w:val="24"/>
          <w:lang w:val="sv-SE"/>
        </w:rPr>
        <w:t>…</w:t>
      </w:r>
      <w:r w:rsidRPr="00781D24">
        <w:rPr>
          <w:szCs w:val="24"/>
          <w:lang w:val="sv-SE"/>
        </w:rPr>
        <w:t xml:space="preserve"> </w:t>
      </w:r>
      <w:r w:rsidR="00B22DE0">
        <w:rPr>
          <w:rFonts w:eastAsia="Times New Roman"/>
          <w:szCs w:val="24"/>
          <w:lang w:val="sv-SE"/>
        </w:rPr>
        <w:t>Eftersom Högsta domstolen dessutom underlåtit</w:t>
      </w:r>
      <w:r w:rsidRPr="009E0B85">
        <w:rPr>
          <w:rFonts w:eastAsia="Times New Roman"/>
          <w:szCs w:val="24"/>
          <w:lang w:val="sv-SE"/>
        </w:rPr>
        <w:t xml:space="preserve"> att ange skäl till återförvisningen, anser Domstolen att s</w:t>
      </w:r>
      <w:r w:rsidR="00B22DE0">
        <w:rPr>
          <w:rFonts w:eastAsia="Times New Roman"/>
          <w:szCs w:val="24"/>
          <w:lang w:val="sv-SE"/>
        </w:rPr>
        <w:t xml:space="preserve">ökandens farhågor att </w:t>
      </w:r>
      <w:r w:rsidRPr="009E0B85">
        <w:rPr>
          <w:rFonts w:eastAsia="Times New Roman"/>
          <w:szCs w:val="24"/>
          <w:lang w:val="sv-SE"/>
        </w:rPr>
        <w:t>Högsta domstolen</w:t>
      </w:r>
      <w:r w:rsidR="00B22DE0">
        <w:rPr>
          <w:rFonts w:eastAsia="Times New Roman"/>
          <w:szCs w:val="24"/>
          <w:lang w:val="sv-SE"/>
        </w:rPr>
        <w:t>s domare</w:t>
      </w:r>
      <w:r w:rsidRPr="009E0B85">
        <w:rPr>
          <w:rFonts w:eastAsia="Times New Roman"/>
          <w:szCs w:val="24"/>
          <w:lang w:val="sv-SE"/>
        </w:rPr>
        <w:t>, inklusive dess vice ordförande, hade en förutfattad idé beträffande utgången i målet och att de domare</w:t>
      </w:r>
      <w:r w:rsidR="00B22DE0">
        <w:rPr>
          <w:rFonts w:eastAsia="Times New Roman"/>
          <w:szCs w:val="24"/>
          <w:lang w:val="sv-SE"/>
        </w:rPr>
        <w:t xml:space="preserve"> till vilka målet hade återförvisats</w:t>
      </w:r>
      <w:r w:rsidRPr="009E0B85">
        <w:rPr>
          <w:rFonts w:eastAsia="Times New Roman"/>
          <w:szCs w:val="24"/>
          <w:lang w:val="sv-SE"/>
        </w:rPr>
        <w:t xml:space="preserve"> den 9 oktober 2000 skulle pröva målet i enlighet med Högsta domstolens uppfattning, objektivt var befogade.</w:t>
      </w:r>
    </w:p>
    <w:p w:rsidRPr="00781D24" w:rsidR="00231081" w:rsidP="00231081">
      <w:pPr>
        <w:pStyle w:val="ECHRParaQuote"/>
        <w:rPr>
          <w:rFonts w:eastAsia="Times New Roman"/>
          <w:szCs w:val="24"/>
          <w:lang w:val="sv-SE"/>
        </w:rPr>
      </w:pPr>
      <w:r w:rsidRPr="009E0B85">
        <w:rPr>
          <w:szCs w:val="24"/>
          <w:lang w:val="sv-SE"/>
        </w:rPr>
        <w:t>75.  Domstole</w:t>
      </w:r>
      <w:r w:rsidR="00564D05">
        <w:rPr>
          <w:szCs w:val="24"/>
          <w:lang w:val="sv-SE"/>
        </w:rPr>
        <w:t xml:space="preserve">n anser att den sammantagna </w:t>
      </w:r>
      <w:r w:rsidRPr="00564D05" w:rsidR="00564D05">
        <w:rPr>
          <w:szCs w:val="24"/>
          <w:lang w:val="sv-SE"/>
        </w:rPr>
        <w:t>processuella</w:t>
      </w:r>
      <w:r w:rsidRPr="00564D05" w:rsidR="00B22DE0">
        <w:rPr>
          <w:szCs w:val="24"/>
          <w:lang w:val="sv-SE"/>
        </w:rPr>
        <w:t xml:space="preserve"> situation</w:t>
      </w:r>
      <w:r w:rsidRPr="00564D05" w:rsidR="00564D05">
        <w:rPr>
          <w:szCs w:val="24"/>
          <w:lang w:val="sv-SE"/>
        </w:rPr>
        <w:t>en</w:t>
      </w:r>
      <w:r w:rsidRPr="00564D05" w:rsidR="00B22DE0">
        <w:rPr>
          <w:szCs w:val="24"/>
          <w:lang w:val="sv-SE"/>
        </w:rPr>
        <w:t xml:space="preserve"> </w:t>
      </w:r>
      <w:r w:rsidRPr="00564D05">
        <w:rPr>
          <w:szCs w:val="24"/>
          <w:lang w:val="sv-SE"/>
        </w:rPr>
        <w:t>även rubbade</w:t>
      </w:r>
      <w:r w:rsidRPr="009E0B85">
        <w:rPr>
          <w:szCs w:val="24"/>
          <w:lang w:val="sv-SE"/>
        </w:rPr>
        <w:t xml:space="preserve"> på rättsäkerhetsprincipen (jfr </w:t>
      </w:r>
      <w:r w:rsidRPr="009E0B85">
        <w:rPr>
          <w:i/>
          <w:szCs w:val="24"/>
          <w:lang w:val="sv-SE"/>
        </w:rPr>
        <w:t>Ryabykh v. Russia</w:t>
      </w:r>
      <w:r w:rsidRPr="009E0B85">
        <w:rPr>
          <w:szCs w:val="24"/>
          <w:lang w:val="sv-SE"/>
        </w:rPr>
        <w:t>,</w:t>
      </w:r>
      <w:r w:rsidRPr="009E0B85">
        <w:rPr>
          <w:i/>
          <w:szCs w:val="24"/>
          <w:lang w:val="sv-SE"/>
        </w:rPr>
        <w:t xml:space="preserve"> </w:t>
      </w:r>
      <w:r w:rsidRPr="009E0B85">
        <w:rPr>
          <w:szCs w:val="24"/>
          <w:lang w:val="sv-SE"/>
        </w:rPr>
        <w:t xml:space="preserve">nr 52854/99, </w:t>
      </w:r>
      <w:r w:rsidRPr="009E0B85" w:rsidR="006C2ECD">
        <w:rPr>
          <w:szCs w:val="24"/>
          <w:lang w:val="sv-SE"/>
        </w:rPr>
        <w:t>§</w:t>
      </w:r>
      <w:r w:rsidRPr="009E0B85">
        <w:rPr>
          <w:szCs w:val="24"/>
          <w:lang w:val="sv-SE"/>
        </w:rPr>
        <w:t xml:space="preserve"> 51-52, ECHR 2003</w:t>
      </w:r>
      <w:r w:rsidRPr="009E0B85">
        <w:rPr>
          <w:szCs w:val="24"/>
          <w:lang w:val="sv-SE"/>
        </w:rPr>
        <w:noBreakHyphen/>
        <w:t>IX).</w:t>
      </w:r>
      <w:r w:rsidRPr="00781D24">
        <w:rPr>
          <w:szCs w:val="24"/>
          <w:lang w:val="sv-SE"/>
        </w:rPr>
        <w:t xml:space="preserve"> </w:t>
      </w:r>
      <w:r w:rsidRPr="009E0B85">
        <w:rPr>
          <w:szCs w:val="24"/>
          <w:lang w:val="sv-SE"/>
        </w:rPr>
        <w:t>Det faktum att H</w:t>
      </w:r>
      <w:r w:rsidR="00B22DE0">
        <w:rPr>
          <w:szCs w:val="24"/>
          <w:lang w:val="sv-SE"/>
        </w:rPr>
        <w:t xml:space="preserve">ögsta domstolens syn på </w:t>
      </w:r>
      <w:r w:rsidRPr="009E0B85">
        <w:rPr>
          <w:szCs w:val="24"/>
          <w:lang w:val="sv-SE"/>
        </w:rPr>
        <w:t>sökandens mål</w:t>
      </w:r>
      <w:r w:rsidR="00C4747C">
        <w:rPr>
          <w:szCs w:val="24"/>
          <w:lang w:val="sv-SE"/>
        </w:rPr>
        <w:t xml:space="preserve"> skilde sig från den</w:t>
      </w:r>
      <w:r w:rsidRPr="009E0B85">
        <w:rPr>
          <w:szCs w:val="24"/>
          <w:lang w:val="sv-SE"/>
        </w:rPr>
        <w:t xml:space="preserve"> i lägre instans</w:t>
      </w:r>
      <w:r w:rsidR="00312052">
        <w:rPr>
          <w:szCs w:val="24"/>
          <w:lang w:val="sv-SE"/>
        </w:rPr>
        <w:t>er kunde inte vara enda skäl till</w:t>
      </w:r>
      <w:r w:rsidR="00C4747C">
        <w:rPr>
          <w:szCs w:val="24"/>
          <w:lang w:val="sv-SE"/>
        </w:rPr>
        <w:t xml:space="preserve"> den</w:t>
      </w:r>
      <w:r w:rsidRPr="009E0B85">
        <w:rPr>
          <w:szCs w:val="24"/>
          <w:lang w:val="sv-SE"/>
        </w:rPr>
        <w:t xml:space="preserve"> upprepade omprövning</w:t>
      </w:r>
      <w:r w:rsidR="00C4747C">
        <w:rPr>
          <w:szCs w:val="24"/>
          <w:lang w:val="sv-SE"/>
        </w:rPr>
        <w:t>en</w:t>
      </w:r>
      <w:r w:rsidRPr="009E0B85">
        <w:rPr>
          <w:szCs w:val="24"/>
          <w:lang w:val="sv-SE"/>
        </w:rPr>
        <w:t>.</w:t>
      </w:r>
      <w:r w:rsidRPr="00781D24">
        <w:rPr>
          <w:szCs w:val="24"/>
          <w:lang w:val="sv-SE"/>
        </w:rPr>
        <w:t xml:space="preserve"> </w:t>
      </w:r>
      <w:r w:rsidRPr="009E0B85">
        <w:rPr>
          <w:rFonts w:eastAsia="Times New Roman"/>
          <w:szCs w:val="24"/>
          <w:lang w:val="sv-SE"/>
        </w:rPr>
        <w:t xml:space="preserve">Högre domstolars </w:t>
      </w:r>
      <w:r w:rsidR="00C4747C">
        <w:rPr>
          <w:rFonts w:eastAsia="Times New Roman"/>
          <w:szCs w:val="24"/>
          <w:lang w:val="sv-SE"/>
        </w:rPr>
        <w:t>omprövnings</w:t>
      </w:r>
      <w:r w:rsidRPr="009E0B85">
        <w:rPr>
          <w:rFonts w:eastAsia="Times New Roman"/>
          <w:szCs w:val="24"/>
          <w:lang w:val="sv-SE"/>
        </w:rPr>
        <w:t>b</w:t>
      </w:r>
      <w:r w:rsidR="00C4747C">
        <w:rPr>
          <w:rFonts w:eastAsia="Times New Roman"/>
          <w:szCs w:val="24"/>
          <w:lang w:val="sv-SE"/>
        </w:rPr>
        <w:t>efogenhet ska användas</w:t>
      </w:r>
      <w:r w:rsidRPr="009E0B85">
        <w:rPr>
          <w:rFonts w:eastAsia="Times New Roman"/>
          <w:szCs w:val="24"/>
          <w:lang w:val="sv-SE"/>
        </w:rPr>
        <w:t xml:space="preserve"> för att korrigera rättsliga misstag, justitiemord</w:t>
      </w:r>
      <w:r w:rsidR="00C4747C">
        <w:rPr>
          <w:rFonts w:eastAsia="Times New Roman"/>
          <w:szCs w:val="24"/>
          <w:lang w:val="sv-SE"/>
        </w:rPr>
        <w:t xml:space="preserve">, och ska inte </w:t>
      </w:r>
      <w:r w:rsidRPr="009E0B85">
        <w:rPr>
          <w:rFonts w:eastAsia="Times New Roman"/>
          <w:szCs w:val="24"/>
          <w:lang w:val="sv-SE"/>
        </w:rPr>
        <w:t>ersätta lägre instansers bedömning av fakta.”</w:t>
      </w:r>
    </w:p>
    <w:p w:rsidRPr="00781D24" w:rsidR="00231081" w:rsidP="00231081">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15</w:t>
      </w:r>
      <w:r w:rsidRPr="009E0B85">
        <w:rPr>
          <w:rFonts w:eastAsia="Times New Roman"/>
          <w:szCs w:val="24"/>
          <w:lang w:val="en-GB"/>
        </w:rPr>
        <w:fldChar w:fldCharType="end"/>
      </w:r>
      <w:r w:rsidR="00C4747C">
        <w:rPr>
          <w:rFonts w:eastAsia="Times New Roman"/>
          <w:szCs w:val="24"/>
          <w:lang w:val="sv-SE"/>
        </w:rPr>
        <w:t>.  Domstolen konstaterade</w:t>
      </w:r>
      <w:r w:rsidRPr="009E0B85">
        <w:rPr>
          <w:rFonts w:eastAsia="Times New Roman"/>
          <w:szCs w:val="24"/>
          <w:lang w:val="sv-SE"/>
        </w:rPr>
        <w:t xml:space="preserve"> vidare att de nationella domstolarn</w:t>
      </w:r>
      <w:r w:rsidR="00C4747C">
        <w:rPr>
          <w:rFonts w:eastAsia="Times New Roman"/>
          <w:szCs w:val="24"/>
          <w:lang w:val="sv-SE"/>
        </w:rPr>
        <w:t>a inte hade bemött</w:t>
      </w:r>
      <w:r w:rsidRPr="009E0B85">
        <w:rPr>
          <w:rFonts w:eastAsia="Times New Roman"/>
          <w:szCs w:val="24"/>
          <w:lang w:val="sv-SE"/>
        </w:rPr>
        <w:t xml:space="preserve"> sökandens påståenden om vittnesutsagor</w:t>
      </w:r>
      <w:r w:rsidR="00312052">
        <w:rPr>
          <w:rFonts w:eastAsia="Times New Roman"/>
          <w:szCs w:val="24"/>
          <w:lang w:val="sv-SE"/>
        </w:rPr>
        <w:t xml:space="preserve">nas tillförlitlighet och </w:t>
      </w:r>
      <w:r w:rsidR="00C4747C">
        <w:rPr>
          <w:rFonts w:eastAsia="Times New Roman"/>
          <w:szCs w:val="24"/>
          <w:lang w:val="sv-SE"/>
        </w:rPr>
        <w:t>den skriftliga bevisningen</w:t>
      </w:r>
      <w:r w:rsidR="00312052">
        <w:rPr>
          <w:rFonts w:eastAsia="Times New Roman"/>
          <w:szCs w:val="24"/>
          <w:lang w:val="sv-SE"/>
        </w:rPr>
        <w:t>s giltighet</w:t>
      </w:r>
      <w:r w:rsidR="00C4747C">
        <w:rPr>
          <w:rFonts w:eastAsia="Times New Roman"/>
          <w:szCs w:val="24"/>
          <w:lang w:val="sv-SE"/>
        </w:rPr>
        <w:t>, vilket</w:t>
      </w:r>
      <w:r w:rsidRPr="009E0B85">
        <w:rPr>
          <w:rFonts w:eastAsia="Times New Roman"/>
          <w:szCs w:val="24"/>
          <w:lang w:val="sv-SE"/>
        </w:rPr>
        <w:t xml:space="preserve"> hade varit avgörande för utgången i målet (se </w:t>
      </w:r>
      <w:r w:rsidRPr="009E0B85">
        <w:rPr>
          <w:rFonts w:eastAsia="Times New Roman"/>
          <w:i/>
          <w:szCs w:val="24"/>
          <w:lang w:val="sv-SE"/>
        </w:rPr>
        <w:t>Bochan</w:t>
      </w:r>
      <w:r w:rsidRPr="009E0B85">
        <w:rPr>
          <w:rFonts w:eastAsia="Times New Roman"/>
          <w:szCs w:val="24"/>
          <w:lang w:val="sv-SE"/>
        </w:rPr>
        <w:t xml:space="preserve">, citerat ovan, </w:t>
      </w:r>
      <w:r w:rsidRPr="009E0B85" w:rsidR="006C2ECD">
        <w:rPr>
          <w:rFonts w:eastAsia="Times New Roman"/>
          <w:szCs w:val="24"/>
          <w:lang w:val="sv-SE"/>
        </w:rPr>
        <w:t>§</w:t>
      </w:r>
      <w:r w:rsidRPr="009E0B85">
        <w:rPr>
          <w:rFonts w:eastAsia="Times New Roman"/>
          <w:szCs w:val="24"/>
          <w:lang w:val="sv-SE"/>
        </w:rPr>
        <w:t> 81-84).</w:t>
      </w:r>
    </w:p>
    <w:p w:rsidR="00C4747C" w:rsidP="00C6476C">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16</w:t>
      </w:r>
      <w:r w:rsidRPr="009E0B85">
        <w:rPr>
          <w:rFonts w:eastAsia="Times New Roman"/>
          <w:szCs w:val="24"/>
          <w:lang w:val="en-GB"/>
        </w:rPr>
        <w:fldChar w:fldCharType="end"/>
      </w:r>
      <w:r w:rsidRPr="009E0B85">
        <w:rPr>
          <w:rFonts w:eastAsia="Times New Roman"/>
          <w:szCs w:val="24"/>
          <w:lang w:val="sv-SE"/>
        </w:rPr>
        <w:t>.  Baserat på ovanstående skäl enligt artikel 6 § 1 i Konventionen beslutade Domstolen att det inte var nödvä</w:t>
      </w:r>
      <w:r>
        <w:rPr>
          <w:rFonts w:eastAsia="Times New Roman"/>
          <w:szCs w:val="24"/>
          <w:lang w:val="sv-SE"/>
        </w:rPr>
        <w:t>ndigt att pröva sökandens</w:t>
      </w:r>
      <w:r w:rsidRPr="009E0B85">
        <w:rPr>
          <w:rFonts w:eastAsia="Times New Roman"/>
          <w:szCs w:val="24"/>
          <w:lang w:val="sv-SE"/>
        </w:rPr>
        <w:t xml:space="preserve"> </w:t>
      </w:r>
    </w:p>
    <w:p w:rsidR="00C4747C">
      <w:pPr>
        <w:jc w:val="left"/>
        <w:rPr>
          <w:rFonts w:eastAsia="Times New Roman"/>
          <w:szCs w:val="24"/>
          <w:lang w:val="sv-SE"/>
        </w:rPr>
      </w:pPr>
      <w:r>
        <w:rPr>
          <w:rFonts w:eastAsia="Times New Roman"/>
          <w:szCs w:val="24"/>
          <w:lang w:val="sv-SE"/>
        </w:rPr>
        <w:br w:type="page"/>
      </w:r>
    </w:p>
    <w:p w:rsidRPr="00781D24" w:rsidR="00C6476C" w:rsidP="00C4747C">
      <w:pPr>
        <w:pStyle w:val="ECHRPara"/>
        <w:ind w:firstLine="0"/>
        <w:rPr>
          <w:rFonts w:eastAsia="Times New Roman"/>
          <w:szCs w:val="24"/>
          <w:lang w:val="sv-SE"/>
        </w:rPr>
      </w:pPr>
      <w:r w:rsidRPr="009E0B85">
        <w:rPr>
          <w:rFonts w:eastAsia="Times New Roman"/>
          <w:szCs w:val="24"/>
          <w:lang w:val="sv-SE"/>
        </w:rPr>
        <w:t xml:space="preserve">klagomål baserat på artikel 1 i protokoll nr 1, eftersom det inte tog upp någon tydlig fråga (jfr </w:t>
      </w:r>
      <w:r w:rsidRPr="009E0B85">
        <w:rPr>
          <w:rFonts w:eastAsia="Times New Roman"/>
          <w:i/>
          <w:szCs w:val="24"/>
          <w:lang w:val="sv-SE"/>
        </w:rPr>
        <w:t>Bochan</w:t>
      </w:r>
      <w:r w:rsidRPr="009E0B85">
        <w:rPr>
          <w:rFonts w:eastAsia="Times New Roman"/>
          <w:szCs w:val="24"/>
          <w:lang w:val="sv-SE"/>
        </w:rPr>
        <w:t>, citerat ovan, § 91).</w:t>
      </w:r>
    </w:p>
    <w:p w:rsidRPr="00781D24" w:rsidR="00C6476C" w:rsidP="00C6476C">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17</w:t>
      </w:r>
      <w:r w:rsidRPr="009E0B85">
        <w:rPr>
          <w:rFonts w:eastAsia="Times New Roman"/>
          <w:szCs w:val="24"/>
          <w:lang w:val="en-GB"/>
        </w:rPr>
        <w:fldChar w:fldCharType="end"/>
      </w:r>
      <w:r w:rsidRPr="009E0B85">
        <w:rPr>
          <w:rFonts w:eastAsia="Times New Roman"/>
          <w:szCs w:val="24"/>
          <w:lang w:val="sv-SE"/>
        </w:rPr>
        <w:t>.  Sökandens klago</w:t>
      </w:r>
      <w:r w:rsidR="00C4747C">
        <w:rPr>
          <w:rFonts w:eastAsia="Times New Roman"/>
          <w:szCs w:val="24"/>
          <w:lang w:val="sv-SE"/>
        </w:rPr>
        <w:t>mål beträffande förfarandets längd och</w:t>
      </w:r>
      <w:r w:rsidRPr="009E0B85">
        <w:rPr>
          <w:rFonts w:eastAsia="Times New Roman"/>
          <w:szCs w:val="24"/>
          <w:lang w:val="sv-SE"/>
        </w:rPr>
        <w:t xml:space="preserve"> kränkning av artikel 1 protokoll nr 1 i förening med artikel 14 i Konventionen avvisades som ogrundat (jfr </w:t>
      </w:r>
      <w:r w:rsidRPr="009E0B85">
        <w:rPr>
          <w:rFonts w:eastAsia="Times New Roman"/>
          <w:i/>
          <w:szCs w:val="24"/>
          <w:lang w:val="sv-SE"/>
        </w:rPr>
        <w:t>Bochan</w:t>
      </w:r>
      <w:r w:rsidRPr="009E0B85">
        <w:rPr>
          <w:rFonts w:eastAsia="Times New Roman"/>
          <w:szCs w:val="24"/>
          <w:lang w:val="sv-SE"/>
        </w:rPr>
        <w:t xml:space="preserve">, citerat ovan, </w:t>
      </w:r>
      <w:r w:rsidRPr="009E0B85" w:rsidR="006C2ECD">
        <w:rPr>
          <w:rFonts w:eastAsia="Times New Roman"/>
          <w:szCs w:val="24"/>
          <w:lang w:val="sv-SE"/>
        </w:rPr>
        <w:t>§</w:t>
      </w:r>
      <w:r w:rsidRPr="009E0B85">
        <w:rPr>
          <w:rFonts w:eastAsia="Times New Roman"/>
          <w:szCs w:val="24"/>
          <w:lang w:val="sv-SE"/>
        </w:rPr>
        <w:t xml:space="preserve"> 87 och 93).</w:t>
      </w:r>
    </w:p>
    <w:p w:rsidRPr="00781D24" w:rsidR="00C6476C" w:rsidP="00C6476C">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18</w:t>
      </w:r>
      <w:r w:rsidRPr="009E0B85">
        <w:rPr>
          <w:szCs w:val="24"/>
          <w:lang w:val="en-GB"/>
        </w:rPr>
        <w:fldChar w:fldCharType="end"/>
      </w:r>
      <w:r w:rsidRPr="009E0B85">
        <w:rPr>
          <w:szCs w:val="24"/>
          <w:lang w:val="sv-SE"/>
        </w:rPr>
        <w:t>.  Sökanden tilldömdes EUR 2 000 som skälig gottgörelse för ideell skada.</w:t>
      </w:r>
      <w:r w:rsidRPr="00781D24">
        <w:rPr>
          <w:szCs w:val="24"/>
          <w:lang w:val="sv-SE"/>
        </w:rPr>
        <w:t xml:space="preserve"> </w:t>
      </w:r>
      <w:r w:rsidRPr="009E0B85">
        <w:rPr>
          <w:rFonts w:eastAsia="Times New Roman"/>
          <w:szCs w:val="24"/>
          <w:lang w:val="sv-SE"/>
        </w:rPr>
        <w:t>Domstolen konstaterade även ”att sökanden enligt ukrainsk lag hade rätt att beg</w:t>
      </w:r>
      <w:r w:rsidR="00312052">
        <w:rPr>
          <w:rFonts w:eastAsia="Times New Roman"/>
          <w:szCs w:val="24"/>
          <w:lang w:val="sv-SE"/>
        </w:rPr>
        <w:t xml:space="preserve">ära förnyad prövning </w:t>
      </w:r>
      <w:r w:rsidRPr="009E0B85">
        <w:rPr>
          <w:rFonts w:eastAsia="Times New Roman"/>
          <w:szCs w:val="24"/>
          <w:lang w:val="sv-SE"/>
        </w:rPr>
        <w:t>eftersom Domstolens konstaterat att de nationella domst</w:t>
      </w:r>
      <w:r w:rsidR="00E20E48">
        <w:rPr>
          <w:rFonts w:eastAsia="Times New Roman"/>
          <w:szCs w:val="24"/>
          <w:lang w:val="sv-SE"/>
        </w:rPr>
        <w:t>olarna inte hade uppfyllt</w:t>
      </w:r>
      <w:r w:rsidR="00C4747C">
        <w:rPr>
          <w:rFonts w:eastAsia="Times New Roman"/>
          <w:szCs w:val="24"/>
          <w:lang w:val="sv-SE"/>
        </w:rPr>
        <w:t xml:space="preserve"> artikel 6 i hennes mål”</w:t>
      </w:r>
      <w:r w:rsidRPr="009E0B85">
        <w:rPr>
          <w:rFonts w:eastAsia="Times New Roman"/>
          <w:szCs w:val="24"/>
          <w:lang w:val="sv-SE"/>
        </w:rPr>
        <w:t xml:space="preserve"> (jfr </w:t>
      </w:r>
      <w:r w:rsidRPr="009E0B85">
        <w:rPr>
          <w:rFonts w:eastAsia="Times New Roman"/>
          <w:i/>
          <w:szCs w:val="24"/>
          <w:lang w:val="sv-SE"/>
        </w:rPr>
        <w:t>Bochan</w:t>
      </w:r>
      <w:r w:rsidRPr="009E0B85">
        <w:rPr>
          <w:rFonts w:eastAsia="Times New Roman"/>
          <w:szCs w:val="24"/>
          <w:lang w:val="sv-SE"/>
        </w:rPr>
        <w:t xml:space="preserve">, citerat ovan, </w:t>
      </w:r>
      <w:r w:rsidRPr="009E0B85" w:rsidR="006C2ECD">
        <w:rPr>
          <w:rFonts w:eastAsia="Times New Roman"/>
          <w:szCs w:val="24"/>
          <w:lang w:val="sv-SE"/>
        </w:rPr>
        <w:t>§</w:t>
      </w:r>
      <w:r w:rsidRPr="009E0B85">
        <w:rPr>
          <w:rFonts w:eastAsia="Times New Roman"/>
          <w:szCs w:val="24"/>
          <w:lang w:val="sv-SE"/>
        </w:rPr>
        <w:t xml:space="preserve"> 97 och 98).</w:t>
      </w:r>
    </w:p>
    <w:p w:rsidRPr="00781D24" w:rsidR="00C6476C" w:rsidP="00C6476C">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19</w:t>
      </w:r>
      <w:r w:rsidRPr="009E0B85">
        <w:rPr>
          <w:rFonts w:eastAsia="Times New Roman"/>
          <w:szCs w:val="24"/>
          <w:lang w:val="en-GB"/>
        </w:rPr>
        <w:fldChar w:fldCharType="end"/>
      </w:r>
      <w:r w:rsidRPr="009E0B85">
        <w:rPr>
          <w:rFonts w:eastAsia="Times New Roman"/>
          <w:szCs w:val="24"/>
          <w:lang w:val="sv-SE"/>
        </w:rPr>
        <w:t>.  Europarådets ministerkommitté ha</w:t>
      </w:r>
      <w:r w:rsidR="00E20E48">
        <w:rPr>
          <w:rFonts w:eastAsia="Times New Roman"/>
          <w:szCs w:val="24"/>
          <w:lang w:val="sv-SE"/>
        </w:rPr>
        <w:t>r ännu inte slutfört sin övervakning av verkställandet</w:t>
      </w:r>
      <w:r w:rsidRPr="009E0B85">
        <w:rPr>
          <w:rFonts w:eastAsia="Times New Roman"/>
          <w:szCs w:val="24"/>
          <w:lang w:val="sv-SE"/>
        </w:rPr>
        <w:t xml:space="preserve"> av domen enligt artikel 45 § 2 i Konventionen. </w:t>
      </w:r>
    </w:p>
    <w:p w:rsidRPr="00781D24" w:rsidR="00C6476C" w:rsidP="00C6476C">
      <w:pPr>
        <w:pStyle w:val="ECHRHeading2"/>
        <w:rPr>
          <w:rFonts w:eastAsia="Times New Roman" w:cstheme="minorBidi"/>
          <w:bCs w:val="0"/>
          <w:szCs w:val="24"/>
          <w:lang w:val="sv-SE"/>
        </w:rPr>
      </w:pPr>
      <w:r w:rsidRPr="009E0B85">
        <w:rPr>
          <w:rFonts w:eastAsia="Times New Roman" w:cstheme="minorBidi"/>
          <w:bCs w:val="0"/>
          <w:szCs w:val="24"/>
          <w:lang w:val="sv-SE"/>
        </w:rPr>
        <w:t>C.  Sökandens ”överklagande mot bakgrund av exceptionella omständigheter”</w:t>
      </w:r>
    </w:p>
    <w:p w:rsidRPr="00781D24" w:rsidR="00E34BEB" w:rsidP="00E34BEB">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20</w:t>
      </w:r>
      <w:r w:rsidRPr="009E0B85">
        <w:rPr>
          <w:szCs w:val="24"/>
          <w:lang w:val="en-GB"/>
        </w:rPr>
        <w:fldChar w:fldCharType="end"/>
      </w:r>
      <w:r w:rsidRPr="009E0B85">
        <w:rPr>
          <w:szCs w:val="24"/>
          <w:lang w:val="sv-SE"/>
        </w:rPr>
        <w:t>.  Den 14 juli 2007 ingav söka</w:t>
      </w:r>
      <w:r w:rsidR="00CE79B1">
        <w:rPr>
          <w:szCs w:val="24"/>
          <w:lang w:val="sv-SE"/>
        </w:rPr>
        <w:t>nden till Högsta domstolen ett ”</w:t>
      </w:r>
      <w:r w:rsidRPr="009E0B85">
        <w:rPr>
          <w:szCs w:val="24"/>
          <w:lang w:val="sv-SE"/>
        </w:rPr>
        <w:t xml:space="preserve">överklagande mot bakgrund </w:t>
      </w:r>
      <w:r w:rsidR="00CE79B1">
        <w:rPr>
          <w:szCs w:val="24"/>
          <w:lang w:val="sv-SE"/>
        </w:rPr>
        <w:t>av exceptionella omständigheter”</w:t>
      </w:r>
      <w:r w:rsidRPr="009E0B85">
        <w:rPr>
          <w:szCs w:val="24"/>
          <w:lang w:val="sv-SE"/>
        </w:rPr>
        <w:t xml:space="preserve"> i enlighet med främst artikel 353-355 civilprocesslagen från 2004 (se punkt 24 nedan).</w:t>
      </w:r>
      <w:r w:rsidRPr="00781D24">
        <w:rPr>
          <w:szCs w:val="24"/>
          <w:lang w:val="sv-SE"/>
        </w:rPr>
        <w:t xml:space="preserve"> </w:t>
      </w:r>
      <w:r w:rsidRPr="009E0B85">
        <w:rPr>
          <w:szCs w:val="24"/>
          <w:lang w:val="sv-SE"/>
        </w:rPr>
        <w:t>Med hänvisning till D</w:t>
      </w:r>
      <w:r w:rsidR="00CE79B1">
        <w:rPr>
          <w:szCs w:val="24"/>
          <w:lang w:val="sv-SE"/>
        </w:rPr>
        <w:t>omstolens dom den 3 maj 2007 begärde</w:t>
      </w:r>
      <w:r w:rsidRPr="009E0B85">
        <w:rPr>
          <w:szCs w:val="24"/>
          <w:lang w:val="sv-SE"/>
        </w:rPr>
        <w:t xml:space="preserve"> hon </w:t>
      </w:r>
      <w:r w:rsidR="00CE79B1">
        <w:rPr>
          <w:szCs w:val="24"/>
          <w:lang w:val="sv-SE"/>
        </w:rPr>
        <w:t xml:space="preserve">att </w:t>
      </w:r>
      <w:r w:rsidRPr="009E0B85">
        <w:rPr>
          <w:szCs w:val="24"/>
          <w:lang w:val="sv-SE"/>
        </w:rPr>
        <w:t xml:space="preserve">Högsta domstolen </w:t>
      </w:r>
      <w:r w:rsidR="00CE79B1">
        <w:rPr>
          <w:szCs w:val="24"/>
          <w:lang w:val="sv-SE"/>
        </w:rPr>
        <w:t xml:space="preserve">skulle </w:t>
      </w:r>
      <w:r w:rsidRPr="009E0B85">
        <w:rPr>
          <w:szCs w:val="24"/>
          <w:lang w:val="sv-SE"/>
        </w:rPr>
        <w:t>upphäva domstolarnas beslut i hennes mål och fastställa en ny dom som godkände hennes anspråk full</w:t>
      </w:r>
      <w:r w:rsidR="00CE79B1">
        <w:rPr>
          <w:szCs w:val="24"/>
          <w:lang w:val="sv-SE"/>
        </w:rPr>
        <w:t>t</w:t>
      </w:r>
      <w:r w:rsidRPr="009E0B85">
        <w:rPr>
          <w:szCs w:val="24"/>
          <w:lang w:val="sv-SE"/>
        </w:rPr>
        <w:t xml:space="preserve"> ut.</w:t>
      </w:r>
      <w:r w:rsidRPr="00781D24">
        <w:rPr>
          <w:szCs w:val="24"/>
          <w:lang w:val="sv-SE"/>
        </w:rPr>
        <w:t xml:space="preserve"> </w:t>
      </w:r>
      <w:r w:rsidRPr="00781D24" w:rsidR="00CE79B1">
        <w:rPr>
          <w:szCs w:val="24"/>
          <w:lang w:val="sv-SE"/>
        </w:rPr>
        <w:t xml:space="preserve">Till sitt överklagande </w:t>
      </w:r>
      <w:r w:rsidRPr="009E0B85">
        <w:rPr>
          <w:rFonts w:eastAsia="Times New Roman"/>
          <w:szCs w:val="24"/>
          <w:lang w:val="sv-SE"/>
        </w:rPr>
        <w:t xml:space="preserve">bifogade </w:t>
      </w:r>
      <w:r w:rsidR="00CE79B1">
        <w:rPr>
          <w:rFonts w:eastAsia="Times New Roman"/>
          <w:szCs w:val="24"/>
          <w:lang w:val="sv-SE"/>
        </w:rPr>
        <w:t xml:space="preserve">hon </w:t>
      </w:r>
      <w:r w:rsidRPr="009E0B85">
        <w:rPr>
          <w:rFonts w:eastAsia="Times New Roman"/>
          <w:szCs w:val="24"/>
          <w:lang w:val="sv-SE"/>
        </w:rPr>
        <w:t>kopior av Domstolens dom och av de nationella</w:t>
      </w:r>
      <w:r w:rsidR="00CE79B1">
        <w:rPr>
          <w:rFonts w:eastAsia="Times New Roman"/>
          <w:szCs w:val="24"/>
          <w:lang w:val="sv-SE"/>
        </w:rPr>
        <w:t xml:space="preserve"> domsluten</w:t>
      </w:r>
      <w:r w:rsidRPr="009E0B85">
        <w:rPr>
          <w:rFonts w:eastAsia="Times New Roman"/>
          <w:szCs w:val="24"/>
          <w:lang w:val="sv-SE"/>
        </w:rPr>
        <w:t>.</w:t>
      </w:r>
    </w:p>
    <w:p w:rsidRPr="00781D24" w:rsidR="00E34BEB" w:rsidP="00E34BEB">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21</w:t>
      </w:r>
      <w:r w:rsidRPr="009E0B85">
        <w:rPr>
          <w:szCs w:val="24"/>
          <w:lang w:val="en-GB"/>
        </w:rPr>
        <w:fldChar w:fldCharType="end"/>
      </w:r>
      <w:r w:rsidRPr="009E0B85">
        <w:rPr>
          <w:szCs w:val="24"/>
          <w:lang w:val="sv-SE"/>
        </w:rPr>
        <w:t>.  Den 14 mars 2008 avv</w:t>
      </w:r>
      <w:r w:rsidR="00CE79B1">
        <w:rPr>
          <w:szCs w:val="24"/>
          <w:lang w:val="sv-SE"/>
        </w:rPr>
        <w:t>isade</w:t>
      </w:r>
      <w:r w:rsidR="00564D05">
        <w:rPr>
          <w:szCs w:val="24"/>
          <w:lang w:val="sv-SE"/>
        </w:rPr>
        <w:t xml:space="preserve"> en jury bestående av 18 domare</w:t>
      </w:r>
      <w:r w:rsidRPr="009E0B85">
        <w:rPr>
          <w:szCs w:val="24"/>
          <w:lang w:val="sv-SE"/>
        </w:rPr>
        <w:t xml:space="preserve"> från Högsta domstolens avdelning för civilmål</w:t>
      </w:r>
      <w:r w:rsidR="00CE79B1">
        <w:rPr>
          <w:szCs w:val="24"/>
          <w:lang w:val="sv-SE"/>
        </w:rPr>
        <w:t xml:space="preserve"> sökandens överklagande</w:t>
      </w:r>
      <w:r w:rsidRPr="009E0B85">
        <w:rPr>
          <w:szCs w:val="24"/>
          <w:lang w:val="sv-SE"/>
        </w:rPr>
        <w:t xml:space="preserve"> efter att ha prövat ö</w:t>
      </w:r>
      <w:r w:rsidR="00CE79B1">
        <w:rPr>
          <w:szCs w:val="24"/>
          <w:lang w:val="sv-SE"/>
        </w:rPr>
        <w:t>verklagandet</w:t>
      </w:r>
      <w:r w:rsidRPr="009E0B85">
        <w:rPr>
          <w:szCs w:val="24"/>
          <w:lang w:val="sv-SE"/>
        </w:rPr>
        <w:t xml:space="preserve"> och med hänvisning till artikel 358 i civilprocesslagen från 2004 (återgiven i punkt 24 nedan).</w:t>
      </w:r>
      <w:r w:rsidRPr="00781D24">
        <w:rPr>
          <w:szCs w:val="24"/>
          <w:lang w:val="sv-SE"/>
        </w:rPr>
        <w:t xml:space="preserve"> </w:t>
      </w:r>
      <w:r w:rsidRPr="009E0B85">
        <w:rPr>
          <w:rFonts w:eastAsia="Times New Roman"/>
          <w:szCs w:val="24"/>
          <w:lang w:val="sv-SE"/>
        </w:rPr>
        <w:t>Den relevanta delen av Högsta domstolens beslut lyder som följer:</w:t>
      </w:r>
    </w:p>
    <w:p w:rsidRPr="00781D24" w:rsidR="00E34BEB" w:rsidP="00E34BEB">
      <w:pPr>
        <w:pStyle w:val="ECHRParaQuote"/>
        <w:rPr>
          <w:rFonts w:eastAsia="Times New Roman"/>
          <w:szCs w:val="24"/>
          <w:lang w:val="sv-SE"/>
        </w:rPr>
      </w:pPr>
      <w:r>
        <w:rPr>
          <w:szCs w:val="24"/>
          <w:lang w:val="sv-SE"/>
        </w:rPr>
        <w:t>”Genom sin dom</w:t>
      </w:r>
      <w:r w:rsidRPr="009E0B85">
        <w:rPr>
          <w:szCs w:val="24"/>
          <w:lang w:val="sv-SE"/>
        </w:rPr>
        <w:t xml:space="preserve"> den 3 maj 2007 förklarade Europeiska domstolen för de mänskliga rättigheterna sökandens klagomål </w:t>
      </w:r>
      <w:r>
        <w:rPr>
          <w:szCs w:val="24"/>
          <w:lang w:val="sv-SE"/>
        </w:rPr>
        <w:t xml:space="preserve">angående orättvisa i förförandet och kränkning av </w:t>
      </w:r>
      <w:r w:rsidRPr="009E0B85">
        <w:rPr>
          <w:szCs w:val="24"/>
          <w:lang w:val="sv-SE"/>
        </w:rPr>
        <w:t xml:space="preserve">artikel 1 i protokoll nr 1 </w:t>
      </w:r>
      <w:r>
        <w:rPr>
          <w:szCs w:val="24"/>
          <w:lang w:val="sv-SE"/>
        </w:rPr>
        <w:t xml:space="preserve">för </w:t>
      </w:r>
      <w:r w:rsidRPr="009E0B85">
        <w:rPr>
          <w:szCs w:val="24"/>
          <w:lang w:val="sv-SE"/>
        </w:rPr>
        <w:t>tillåtlig och återstoden av ansökan otillåtlig.</w:t>
      </w:r>
      <w:r w:rsidRPr="00781D24">
        <w:rPr>
          <w:szCs w:val="24"/>
          <w:lang w:val="sv-SE"/>
        </w:rPr>
        <w:t xml:space="preserve"> </w:t>
      </w:r>
      <w:r w:rsidRPr="009E0B85">
        <w:rPr>
          <w:szCs w:val="24"/>
          <w:lang w:val="sv-SE"/>
        </w:rPr>
        <w:t xml:space="preserve">En kränkning </w:t>
      </w:r>
      <w:r>
        <w:rPr>
          <w:szCs w:val="24"/>
          <w:lang w:val="sv-SE"/>
        </w:rPr>
        <w:t xml:space="preserve">av </w:t>
      </w:r>
      <w:r w:rsidRPr="009E0B85">
        <w:rPr>
          <w:szCs w:val="24"/>
          <w:lang w:val="sv-SE"/>
        </w:rPr>
        <w:t>artikel 6 § 1 i Konventionen … konstaterades i målet.</w:t>
      </w:r>
      <w:r w:rsidRPr="00781D24">
        <w:rPr>
          <w:szCs w:val="24"/>
          <w:lang w:val="sv-SE"/>
        </w:rPr>
        <w:t xml:space="preserve"> </w:t>
      </w:r>
      <w:r w:rsidRPr="009E0B85">
        <w:rPr>
          <w:rFonts w:eastAsia="Times New Roman"/>
          <w:szCs w:val="24"/>
          <w:lang w:val="sv-SE"/>
        </w:rPr>
        <w:t>[Domstolen] fastställde att svara</w:t>
      </w:r>
      <w:r>
        <w:rPr>
          <w:rFonts w:eastAsia="Times New Roman"/>
          <w:szCs w:val="24"/>
          <w:lang w:val="sv-SE"/>
        </w:rPr>
        <w:t>ndestaten</w:t>
      </w:r>
      <w:r w:rsidRPr="009E0B85">
        <w:rPr>
          <w:rFonts w:eastAsia="Times New Roman"/>
          <w:szCs w:val="24"/>
          <w:lang w:val="sv-SE"/>
        </w:rPr>
        <w:t xml:space="preserve">, senast tre månader från det datum då domen blev slutgiltig enligt artikel 44 § 2 i Konventionen </w:t>
      </w:r>
      <w:r>
        <w:rPr>
          <w:rFonts w:eastAsia="Times New Roman"/>
          <w:szCs w:val="24"/>
          <w:lang w:val="sv-SE"/>
        </w:rPr>
        <w:t xml:space="preserve">skulle betala sökanden </w:t>
      </w:r>
      <w:r w:rsidRPr="009E0B85">
        <w:rPr>
          <w:rFonts w:eastAsia="Times New Roman"/>
          <w:szCs w:val="24"/>
          <w:lang w:val="sv-SE"/>
        </w:rPr>
        <w:t>EUR 2 000 (tvåtusen euro) i ideellt skadestånd…</w:t>
      </w:r>
    </w:p>
    <w:p w:rsidRPr="00781D24" w:rsidR="00E34BEB" w:rsidP="00E34BEB">
      <w:pPr>
        <w:pStyle w:val="ECHRParaQuote"/>
        <w:rPr>
          <w:rFonts w:eastAsia="Times New Roman"/>
          <w:szCs w:val="24"/>
          <w:lang w:val="sv-SE"/>
        </w:rPr>
      </w:pPr>
      <w:r w:rsidRPr="009E0B85">
        <w:rPr>
          <w:rFonts w:eastAsia="Times New Roman"/>
          <w:szCs w:val="24"/>
          <w:lang w:val="sv-SE"/>
        </w:rPr>
        <w:t>I punkt 64 i domen från Europeiska domstolen för de mänskliga</w:t>
      </w:r>
      <w:r w:rsidR="00A6486D">
        <w:rPr>
          <w:rFonts w:eastAsia="Times New Roman"/>
          <w:szCs w:val="24"/>
          <w:lang w:val="sv-SE"/>
        </w:rPr>
        <w:t xml:space="preserve"> rättigheterna, konstateras</w:t>
      </w:r>
      <w:r w:rsidRPr="009E0B85">
        <w:rPr>
          <w:rFonts w:eastAsia="Times New Roman"/>
          <w:szCs w:val="24"/>
          <w:lang w:val="sv-SE"/>
        </w:rPr>
        <w:t xml:space="preserve"> att sökandens framställning främst rör fyra frågor, nämligen:</w:t>
      </w:r>
    </w:p>
    <w:p w:rsidRPr="00781D24" w:rsidR="00E34BEB" w:rsidP="00E34BEB">
      <w:pPr>
        <w:pStyle w:val="ECHRParaQuote"/>
        <w:rPr>
          <w:rFonts w:eastAsia="Times New Roman"/>
          <w:szCs w:val="24"/>
          <w:lang w:val="sv-SE"/>
        </w:rPr>
      </w:pPr>
      <w:r w:rsidRPr="009E0B85">
        <w:rPr>
          <w:rFonts w:eastAsia="Times New Roman"/>
          <w:szCs w:val="24"/>
          <w:lang w:val="sv-SE"/>
        </w:rPr>
        <w:t>(a) huruvida de domstolar, som behandlade [sökandens] mål, var oberoende och opartiska;</w:t>
      </w:r>
    </w:p>
    <w:p w:rsidRPr="00781D24" w:rsidR="00E34BEB" w:rsidP="00E34BEB">
      <w:pPr>
        <w:pStyle w:val="ECHRParaQuote"/>
        <w:rPr>
          <w:rFonts w:eastAsia="Times New Roman"/>
          <w:szCs w:val="24"/>
          <w:lang w:val="sv-SE"/>
        </w:rPr>
      </w:pPr>
      <w:r w:rsidRPr="009E0B85">
        <w:rPr>
          <w:rFonts w:eastAsia="Times New Roman"/>
          <w:szCs w:val="24"/>
          <w:lang w:val="sv-SE"/>
        </w:rPr>
        <w:t>(b) huruvida det faktum att målet behandlades av stadsdomstolen i Chemerovetsk hindrade sökanden från att delta i förhandlingarna;</w:t>
      </w:r>
    </w:p>
    <w:p w:rsidRPr="00781D24" w:rsidR="00E34BEB" w:rsidP="00E34BEB">
      <w:pPr>
        <w:pStyle w:val="ECHRParaQuote"/>
        <w:rPr>
          <w:rFonts w:eastAsia="Times New Roman"/>
          <w:szCs w:val="24"/>
          <w:lang w:val="sv-SE"/>
        </w:rPr>
      </w:pPr>
      <w:r>
        <w:rPr>
          <w:rFonts w:eastAsia="Times New Roman"/>
          <w:szCs w:val="24"/>
          <w:lang w:val="sv-SE"/>
        </w:rPr>
        <w:t>(c)  huruvida principen om ”</w:t>
      </w:r>
      <w:r w:rsidR="00564D05">
        <w:rPr>
          <w:rFonts w:eastAsia="Times New Roman"/>
          <w:szCs w:val="24"/>
          <w:lang w:val="sv-SE"/>
        </w:rPr>
        <w:t>jämbördigt styrkeförhållande</w:t>
      </w:r>
      <w:r w:rsidRPr="009E0B85">
        <w:rPr>
          <w:rFonts w:eastAsia="Times New Roman"/>
          <w:szCs w:val="24"/>
          <w:lang w:val="sv-SE"/>
        </w:rPr>
        <w:t>” iakttogs med tanke på de nationella domstolarnas underlåtenhet att höra de vittnen vars skriftliga utsagor domstolarna hade godkänt som bevis;</w:t>
      </w:r>
    </w:p>
    <w:p w:rsidRPr="00781D24" w:rsidR="001E74F4" w:rsidP="001E74F4">
      <w:pPr>
        <w:pStyle w:val="ECHRParaQuote"/>
        <w:rPr>
          <w:rFonts w:eastAsia="Times New Roman"/>
          <w:szCs w:val="24"/>
          <w:lang w:val="sv-SE"/>
        </w:rPr>
      </w:pPr>
      <w:r w:rsidRPr="009E0B85">
        <w:rPr>
          <w:rFonts w:eastAsia="Times New Roman"/>
          <w:szCs w:val="24"/>
          <w:lang w:val="sv-SE"/>
        </w:rPr>
        <w:t>(d)  huruvida de slutliga domsluten från domstolarna i första, besvärs- och kassationsinstans var tillräckligt välgrundade.</w:t>
      </w:r>
    </w:p>
    <w:p w:rsidRPr="00781D24" w:rsidR="001E74F4" w:rsidP="001E74F4">
      <w:pPr>
        <w:pStyle w:val="ECHRParaQuote"/>
        <w:rPr>
          <w:rFonts w:eastAsia="Times New Roman"/>
          <w:szCs w:val="24"/>
          <w:lang w:val="sv-SE"/>
        </w:rPr>
      </w:pPr>
      <w:r w:rsidRPr="009E0B85">
        <w:rPr>
          <w:szCs w:val="24"/>
          <w:lang w:val="sv-SE"/>
        </w:rPr>
        <w:t>Som framgår av materialet i målet företräddes sökanden i de</w:t>
      </w:r>
      <w:r w:rsidR="00A6486D">
        <w:rPr>
          <w:szCs w:val="24"/>
          <w:lang w:val="sv-SE"/>
        </w:rPr>
        <w:t>t [nationella] förfarandet</w:t>
      </w:r>
      <w:r w:rsidRPr="009E0B85">
        <w:rPr>
          <w:szCs w:val="24"/>
          <w:lang w:val="sv-SE"/>
        </w:rPr>
        <w:t xml:space="preserve"> av sin son, en advokat...</w:t>
      </w:r>
      <w:r w:rsidRPr="00781D24">
        <w:rPr>
          <w:szCs w:val="24"/>
          <w:lang w:val="sv-SE"/>
        </w:rPr>
        <w:t xml:space="preserve"> </w:t>
      </w:r>
      <w:r w:rsidRPr="009E0B85">
        <w:rPr>
          <w:rFonts w:eastAsia="Times New Roman"/>
          <w:szCs w:val="24"/>
          <w:lang w:val="sv-SE"/>
        </w:rPr>
        <w:t>Under hela rättegångsförfarandet underlät hon att inställa sig i domstolen trots att hon hade informerats i laga ordning om förhandlingarna.</w:t>
      </w:r>
    </w:p>
    <w:p w:rsidRPr="00781D24" w:rsidR="001E74F4" w:rsidP="001E74F4">
      <w:pPr>
        <w:pStyle w:val="ECHRParaQuote"/>
        <w:rPr>
          <w:rFonts w:eastAsia="Times New Roman"/>
          <w:szCs w:val="24"/>
          <w:lang w:val="sv-SE"/>
        </w:rPr>
      </w:pPr>
      <w:r w:rsidRPr="009E0B85">
        <w:rPr>
          <w:szCs w:val="24"/>
          <w:lang w:val="sv-SE"/>
        </w:rPr>
        <w:t>Ingen av dem som</w:t>
      </w:r>
      <w:r w:rsidR="00A6486D">
        <w:rPr>
          <w:szCs w:val="24"/>
          <w:lang w:val="sv-SE"/>
        </w:rPr>
        <w:t xml:space="preserve"> deltog i målet, inklusive </w:t>
      </w:r>
      <w:r w:rsidRPr="009E0B85">
        <w:rPr>
          <w:szCs w:val="24"/>
          <w:lang w:val="sv-SE"/>
        </w:rPr>
        <w:t>B.I. [sökandens son] begärde att vittnena skulle inkallas...</w:t>
      </w:r>
      <w:r w:rsidRPr="00781D24">
        <w:rPr>
          <w:szCs w:val="24"/>
          <w:lang w:val="sv-SE"/>
        </w:rPr>
        <w:t xml:space="preserve"> </w:t>
      </w:r>
      <w:r w:rsidR="00A6486D">
        <w:rPr>
          <w:rFonts w:eastAsia="Times New Roman"/>
          <w:szCs w:val="24"/>
          <w:lang w:val="sv-SE"/>
        </w:rPr>
        <w:t>B.I. underlät</w:t>
      </w:r>
      <w:r w:rsidRPr="009E0B85">
        <w:rPr>
          <w:rFonts w:eastAsia="Times New Roman"/>
          <w:szCs w:val="24"/>
          <w:lang w:val="sv-SE"/>
        </w:rPr>
        <w:t xml:space="preserve"> att inge vittnesutsagor … som kunde styrka att huset hade byggts på hans (eller hans fars eller hans mors) bekostnad.</w:t>
      </w:r>
    </w:p>
    <w:p w:rsidRPr="00781D24" w:rsidR="001E74F4" w:rsidP="001E74F4">
      <w:pPr>
        <w:pStyle w:val="ECHRParaQuote"/>
        <w:rPr>
          <w:rFonts w:eastAsia="Times New Roman"/>
          <w:szCs w:val="24"/>
          <w:lang w:val="sv-SE"/>
        </w:rPr>
      </w:pPr>
      <w:r w:rsidRPr="009E0B85">
        <w:rPr>
          <w:szCs w:val="24"/>
          <w:lang w:val="sv-SE"/>
        </w:rPr>
        <w:t>In</w:t>
      </w:r>
      <w:r w:rsidR="00A6486D">
        <w:rPr>
          <w:szCs w:val="24"/>
          <w:lang w:val="sv-SE"/>
        </w:rPr>
        <w:t xml:space="preserve">gen av parterna, inklusive </w:t>
      </w:r>
      <w:r w:rsidRPr="009E0B85">
        <w:rPr>
          <w:szCs w:val="24"/>
          <w:lang w:val="sv-SE"/>
        </w:rPr>
        <w:t xml:space="preserve">B.I. </w:t>
      </w:r>
      <w:r w:rsidRPr="00564D05">
        <w:rPr>
          <w:szCs w:val="24"/>
          <w:lang w:val="sv-SE"/>
        </w:rPr>
        <w:t>begärde att domaren</w:t>
      </w:r>
      <w:r w:rsidR="00A6486D">
        <w:rPr>
          <w:szCs w:val="24"/>
          <w:lang w:val="sv-SE"/>
        </w:rPr>
        <w:t xml:space="preserve"> i [först</w:t>
      </w:r>
      <w:r w:rsidR="00564D05">
        <w:rPr>
          <w:szCs w:val="24"/>
          <w:lang w:val="sv-SE"/>
        </w:rPr>
        <w:t>a instans] skulle bytas ut</w:t>
      </w:r>
      <w:r w:rsidR="009549EA">
        <w:rPr>
          <w:szCs w:val="24"/>
          <w:lang w:val="sv-SE"/>
        </w:rPr>
        <w:t>.</w:t>
      </w:r>
      <w:r w:rsidRPr="00781D24">
        <w:rPr>
          <w:szCs w:val="24"/>
          <w:lang w:val="sv-SE"/>
        </w:rPr>
        <w:t xml:space="preserve"> </w:t>
      </w:r>
      <w:r w:rsidR="00A6486D">
        <w:rPr>
          <w:rFonts w:eastAsia="Times New Roman"/>
          <w:szCs w:val="24"/>
          <w:lang w:val="sv-SE"/>
        </w:rPr>
        <w:t>Klagomål på domstolens bristande</w:t>
      </w:r>
      <w:r w:rsidRPr="009E0B85">
        <w:rPr>
          <w:rFonts w:eastAsia="Times New Roman"/>
          <w:szCs w:val="24"/>
          <w:lang w:val="sv-SE"/>
        </w:rPr>
        <w:t xml:space="preserve"> objektivitet ... restes av he</w:t>
      </w:r>
      <w:r w:rsidR="00A6486D">
        <w:rPr>
          <w:rFonts w:eastAsia="Times New Roman"/>
          <w:szCs w:val="24"/>
          <w:lang w:val="sv-SE"/>
        </w:rPr>
        <w:t>rr B.I. först efter att dom</w:t>
      </w:r>
      <w:r w:rsidRPr="009E0B85">
        <w:rPr>
          <w:rFonts w:eastAsia="Times New Roman"/>
          <w:szCs w:val="24"/>
          <w:lang w:val="sv-SE"/>
        </w:rPr>
        <w:t xml:space="preserve"> hade fastställts i målet.</w:t>
      </w:r>
    </w:p>
    <w:p w:rsidRPr="00781D24" w:rsidR="001E74F4" w:rsidP="001E74F4">
      <w:pPr>
        <w:pStyle w:val="ECHRParaQuote"/>
        <w:rPr>
          <w:rFonts w:eastAsia="Times New Roman"/>
          <w:szCs w:val="24"/>
          <w:lang w:val="sv-SE"/>
        </w:rPr>
      </w:pPr>
      <w:r w:rsidRPr="009E0B85">
        <w:rPr>
          <w:szCs w:val="24"/>
          <w:lang w:val="sv-SE"/>
        </w:rPr>
        <w:t>Som framgår av materialet i må</w:t>
      </w:r>
      <w:r w:rsidR="00A6486D">
        <w:rPr>
          <w:szCs w:val="24"/>
          <w:lang w:val="sv-SE"/>
        </w:rPr>
        <w:t>let, bestreds inte att</w:t>
      </w:r>
      <w:r w:rsidRPr="009E0B85">
        <w:rPr>
          <w:szCs w:val="24"/>
          <w:lang w:val="sv-SE"/>
        </w:rPr>
        <w:t xml:space="preserve"> köpeavtalet från den 1</w:t>
      </w:r>
      <w:r w:rsidR="00A6486D">
        <w:rPr>
          <w:szCs w:val="24"/>
          <w:lang w:val="sv-SE"/>
        </w:rPr>
        <w:t xml:space="preserve">8 mars 1993, enligt vilket M. </w:t>
      </w:r>
      <w:r w:rsidRPr="009E0B85">
        <w:rPr>
          <w:szCs w:val="24"/>
          <w:lang w:val="sv-SE"/>
        </w:rPr>
        <w:t>köpte halva grunden och en del av byggnadsmaterialet</w:t>
      </w:r>
      <w:r w:rsidR="00E30E19">
        <w:rPr>
          <w:szCs w:val="24"/>
          <w:lang w:val="sv-SE"/>
        </w:rPr>
        <w:t xml:space="preserve"> av B.I</w:t>
      </w:r>
      <w:r w:rsidR="00A6486D">
        <w:rPr>
          <w:szCs w:val="24"/>
          <w:lang w:val="sv-SE"/>
        </w:rPr>
        <w:t xml:space="preserve">. </w:t>
      </w:r>
      <w:r w:rsidRPr="009549EA" w:rsidR="00E30E19">
        <w:rPr>
          <w:szCs w:val="24"/>
          <w:lang w:val="sv-SE"/>
        </w:rPr>
        <w:t>var giltigt</w:t>
      </w:r>
      <w:r w:rsidRPr="009E0B85">
        <w:rPr>
          <w:szCs w:val="24"/>
          <w:lang w:val="sv-SE"/>
        </w:rPr>
        <w:t>…</w:t>
      </w:r>
      <w:r w:rsidRPr="00781D24">
        <w:rPr>
          <w:szCs w:val="24"/>
          <w:lang w:val="sv-SE"/>
        </w:rPr>
        <w:t xml:space="preserve"> </w:t>
      </w:r>
      <w:r w:rsidRPr="009E0B85">
        <w:rPr>
          <w:szCs w:val="24"/>
          <w:lang w:val="sv-SE"/>
        </w:rPr>
        <w:t>Det finns även ett dokument som bekräftar att den vänstra</w:t>
      </w:r>
      <w:r w:rsidR="00E30E19">
        <w:rPr>
          <w:szCs w:val="24"/>
          <w:lang w:val="sv-SE"/>
        </w:rPr>
        <w:t xml:space="preserve"> sidan av huset byggdes på </w:t>
      </w:r>
      <w:r w:rsidRPr="009E0B85">
        <w:rPr>
          <w:szCs w:val="24"/>
          <w:lang w:val="sv-SE"/>
        </w:rPr>
        <w:t xml:space="preserve">M:s bekostnad och </w:t>
      </w:r>
      <w:r w:rsidR="00E30E19">
        <w:rPr>
          <w:szCs w:val="24"/>
          <w:lang w:val="sv-SE"/>
        </w:rPr>
        <w:t xml:space="preserve">ett dokument enligt vilket M. till </w:t>
      </w:r>
      <w:r w:rsidRPr="009E0B85">
        <w:rPr>
          <w:szCs w:val="24"/>
          <w:lang w:val="sv-SE"/>
        </w:rPr>
        <w:t xml:space="preserve">B.I. betalade 1 550 000,000 karbovanets [den tidigare övergångsvalutan i </w:t>
      </w:r>
      <w:r w:rsidRPr="009E0B85" w:rsidR="00E30E19">
        <w:rPr>
          <w:szCs w:val="24"/>
          <w:lang w:val="sv-SE"/>
        </w:rPr>
        <w:t>Ukraina</w:t>
      </w:r>
      <w:r w:rsidRPr="009E0B85">
        <w:rPr>
          <w:szCs w:val="24"/>
          <w:lang w:val="sv-SE"/>
        </w:rPr>
        <w:t xml:space="preserve"> före september 1996] </w:t>
      </w:r>
      <w:r w:rsidR="00E30E19">
        <w:rPr>
          <w:szCs w:val="24"/>
          <w:lang w:val="sv-SE"/>
        </w:rPr>
        <w:t>för grunden till den vänstra sidan av huset.</w:t>
      </w:r>
      <w:r w:rsidRPr="00781D24">
        <w:rPr>
          <w:szCs w:val="24"/>
          <w:lang w:val="sv-SE"/>
        </w:rPr>
        <w:t xml:space="preserve"> </w:t>
      </w:r>
      <w:r w:rsidRPr="009E0B85">
        <w:rPr>
          <w:rFonts w:eastAsia="Times New Roman"/>
          <w:szCs w:val="24"/>
          <w:lang w:val="sv-SE"/>
        </w:rPr>
        <w:t>Dessa omständ</w:t>
      </w:r>
      <w:r w:rsidR="00E30E19">
        <w:rPr>
          <w:rFonts w:eastAsia="Times New Roman"/>
          <w:szCs w:val="24"/>
          <w:lang w:val="sv-SE"/>
        </w:rPr>
        <w:t>igheter motbevisades</w:t>
      </w:r>
      <w:r w:rsidRPr="009E0B85">
        <w:rPr>
          <w:rFonts w:eastAsia="Times New Roman"/>
          <w:szCs w:val="24"/>
          <w:lang w:val="sv-SE"/>
        </w:rPr>
        <w:t xml:space="preserve"> inte vid expertprövningen i målet.</w:t>
      </w:r>
    </w:p>
    <w:p w:rsidRPr="00781D24" w:rsidR="001E74F4" w:rsidP="001E74F4">
      <w:pPr>
        <w:pStyle w:val="ECHRParaQuote"/>
        <w:rPr>
          <w:rFonts w:eastAsia="Times New Roman"/>
          <w:szCs w:val="24"/>
          <w:lang w:val="sv-SE"/>
        </w:rPr>
      </w:pPr>
      <w:r w:rsidRPr="009E0B85">
        <w:rPr>
          <w:szCs w:val="24"/>
          <w:lang w:val="sv-SE"/>
        </w:rPr>
        <w:t>Europiska domstolen för de mänskliga rättighe</w:t>
      </w:r>
      <w:r w:rsidR="00E30E19">
        <w:rPr>
          <w:szCs w:val="24"/>
          <w:lang w:val="sv-SE"/>
        </w:rPr>
        <w:t>terna har i sin dom även konstaterat att sökanden underlät att inkomma med</w:t>
      </w:r>
      <w:r w:rsidRPr="009E0B85">
        <w:rPr>
          <w:szCs w:val="24"/>
          <w:lang w:val="sv-SE"/>
        </w:rPr>
        <w:t xml:space="preserve"> bevis på att hon hade utsatts för diskriminering med anledning av att hon inte kommit i </w:t>
      </w:r>
      <w:r w:rsidRPr="009E0B85" w:rsidR="00E30E19">
        <w:rPr>
          <w:szCs w:val="24"/>
          <w:lang w:val="sv-SE"/>
        </w:rPr>
        <w:t>åtnjutande</w:t>
      </w:r>
      <w:r w:rsidRPr="009E0B85">
        <w:rPr>
          <w:szCs w:val="24"/>
          <w:lang w:val="sv-SE"/>
        </w:rPr>
        <w:t xml:space="preserve"> av sin egendom, i strid mot artikel 14 i konventionen i förening med artikel 1 i protokoll nr 1, på grund av resultatet i civilprocessen.</w:t>
      </w:r>
      <w:r w:rsidRPr="00781D24">
        <w:rPr>
          <w:szCs w:val="24"/>
          <w:lang w:val="sv-SE"/>
        </w:rPr>
        <w:t xml:space="preserve"> </w:t>
      </w:r>
      <w:r w:rsidRPr="009E0B85">
        <w:rPr>
          <w:szCs w:val="24"/>
          <w:lang w:val="sv-SE"/>
        </w:rPr>
        <w:t>[Domstolen] fann att sökandens klagomål [enligt dessa bestämmelser] skulle avvisas som uppenbart ogrundade i</w:t>
      </w:r>
      <w:r w:rsidR="00E30E19">
        <w:rPr>
          <w:szCs w:val="24"/>
          <w:lang w:val="sv-SE"/>
        </w:rPr>
        <w:t xml:space="preserve"> enlighet med artikel 35 §</w:t>
      </w:r>
      <w:r w:rsidRPr="009E0B85">
        <w:rPr>
          <w:szCs w:val="24"/>
          <w:lang w:val="sv-SE"/>
        </w:rPr>
        <w:t xml:space="preserve"> 3 och </w:t>
      </w:r>
      <w:r w:rsidR="00E30E19">
        <w:rPr>
          <w:szCs w:val="24"/>
          <w:lang w:val="sv-SE"/>
        </w:rPr>
        <w:t xml:space="preserve">§ </w:t>
      </w:r>
      <w:r w:rsidRPr="009E0B85">
        <w:rPr>
          <w:szCs w:val="24"/>
          <w:lang w:val="sv-SE"/>
        </w:rPr>
        <w:t>4 i Konventionen.</w:t>
      </w:r>
      <w:r w:rsidRPr="00781D24">
        <w:rPr>
          <w:szCs w:val="24"/>
          <w:lang w:val="sv-SE"/>
        </w:rPr>
        <w:t xml:space="preserve"> </w:t>
      </w:r>
      <w:r w:rsidRPr="009E0B85">
        <w:rPr>
          <w:rFonts w:eastAsia="Times New Roman"/>
          <w:szCs w:val="24"/>
          <w:lang w:val="sv-SE"/>
        </w:rPr>
        <w:t>Därför konstaterade Europeiska domstolen för de mänskliga rättigheterna att de [nationella] domstolarnas beslut var befogade och välgrundade och beslöt att tilldöma sökanden ett skadestånd uppgående till EUR 2 000 enbar</w:t>
      </w:r>
      <w:r w:rsidR="00E30E19">
        <w:rPr>
          <w:rFonts w:eastAsia="Times New Roman"/>
          <w:szCs w:val="24"/>
          <w:lang w:val="sv-SE"/>
        </w:rPr>
        <w:t>t för kränkningen av kravet på ”rimlig tid”</w:t>
      </w:r>
      <w:r w:rsidRPr="009E0B85">
        <w:rPr>
          <w:rFonts w:eastAsia="Times New Roman"/>
          <w:szCs w:val="24"/>
          <w:lang w:val="sv-SE"/>
        </w:rPr>
        <w:t xml:space="preserve"> i ukrainska domstolar.</w:t>
      </w:r>
    </w:p>
    <w:p w:rsidRPr="00781D24" w:rsidR="001E74F4" w:rsidP="001E74F4">
      <w:pPr>
        <w:pStyle w:val="ECHRParaQuote"/>
        <w:rPr>
          <w:rFonts w:eastAsia="Times New Roman"/>
          <w:szCs w:val="24"/>
          <w:lang w:val="sv-SE"/>
        </w:rPr>
      </w:pPr>
      <w:r>
        <w:rPr>
          <w:rFonts w:eastAsia="Times New Roman"/>
          <w:szCs w:val="24"/>
          <w:lang w:val="sv-SE"/>
        </w:rPr>
        <w:t xml:space="preserve">Mot bakgrund av </w:t>
      </w:r>
      <w:r w:rsidRPr="009E0B85">
        <w:rPr>
          <w:rFonts w:eastAsia="Times New Roman"/>
          <w:szCs w:val="24"/>
          <w:lang w:val="sv-SE"/>
        </w:rPr>
        <w:t>ovannämnda kan domstolarnas beslut i målet inte</w:t>
      </w:r>
      <w:r>
        <w:rPr>
          <w:rFonts w:eastAsia="Times New Roman"/>
          <w:szCs w:val="24"/>
          <w:lang w:val="sv-SE"/>
        </w:rPr>
        <w:t xml:space="preserve"> ogillas på de grunder som anges</w:t>
      </w:r>
      <w:r w:rsidRPr="009E0B85">
        <w:rPr>
          <w:rFonts w:eastAsia="Times New Roman"/>
          <w:szCs w:val="24"/>
          <w:lang w:val="sv-SE"/>
        </w:rPr>
        <w:t xml:space="preserve"> i fru Bochans ansökan.</w:t>
      </w:r>
    </w:p>
    <w:p w:rsidRPr="00781D24" w:rsidR="00290AD6" w:rsidP="00290AD6">
      <w:pPr>
        <w:pStyle w:val="ECHRParaQuote"/>
        <w:rPr>
          <w:rFonts w:eastAsia="Times New Roman"/>
          <w:szCs w:val="24"/>
          <w:u w:val="single"/>
          <w:lang w:val="sv-SE"/>
        </w:rPr>
      </w:pPr>
      <w:r w:rsidRPr="009E0B85">
        <w:rPr>
          <w:rFonts w:eastAsia="Times New Roman"/>
          <w:szCs w:val="24"/>
          <w:lang w:val="sv-SE"/>
        </w:rPr>
        <w:t>Med hänvisning till [artikel] 358 i [Ukrainas civilprocesslag], fattade domarjuryn från Högsta domstolens avdelning för civilmål i Ukraina</w:t>
      </w:r>
    </w:p>
    <w:p w:rsidRPr="00781D24" w:rsidR="00290AD6" w:rsidP="00290AD6">
      <w:pPr>
        <w:spacing w:before="120" w:after="120"/>
        <w:ind w:left="425" w:firstLine="142"/>
        <w:rPr>
          <w:rFonts w:eastAsia="Times New Roman"/>
          <w:sz w:val="20"/>
          <w:szCs w:val="24"/>
          <w:lang w:val="sv-SE"/>
        </w:rPr>
      </w:pPr>
      <w:r w:rsidRPr="009E0B85">
        <w:rPr>
          <w:rFonts w:eastAsia="Times New Roman"/>
          <w:sz w:val="20"/>
          <w:szCs w:val="24"/>
          <w:lang w:val="sv-SE"/>
        </w:rPr>
        <w:t>[följande beslut].</w:t>
      </w:r>
    </w:p>
    <w:p w:rsidRPr="00781D24" w:rsidR="00290AD6" w:rsidP="00290AD6">
      <w:pPr>
        <w:pStyle w:val="ECHRParaQuote"/>
        <w:rPr>
          <w:rFonts w:eastAsia="Times New Roman"/>
          <w:szCs w:val="24"/>
          <w:lang w:val="sv-SE"/>
        </w:rPr>
      </w:pPr>
      <w:r>
        <w:rPr>
          <w:rFonts w:eastAsia="Times New Roman"/>
          <w:szCs w:val="24"/>
          <w:lang w:val="sv-SE"/>
        </w:rPr>
        <w:t>Att inte tillåta</w:t>
      </w:r>
      <w:r w:rsidR="009549EA">
        <w:rPr>
          <w:rFonts w:eastAsia="Times New Roman"/>
          <w:szCs w:val="24"/>
          <w:lang w:val="sv-SE"/>
        </w:rPr>
        <w:t xml:space="preserve"> </w:t>
      </w:r>
      <w:r w:rsidRPr="009E0B85">
        <w:rPr>
          <w:rFonts w:eastAsia="Times New Roman"/>
          <w:szCs w:val="24"/>
          <w:lang w:val="sv-SE"/>
        </w:rPr>
        <w:t>[</w:t>
      </w:r>
      <w:r w:rsidR="00696451">
        <w:rPr>
          <w:rFonts w:eastAsia="Times New Roman"/>
          <w:szCs w:val="24"/>
          <w:lang w:val="sv-SE"/>
        </w:rPr>
        <w:t>M. I. Bochans</w:t>
      </w:r>
      <w:r w:rsidR="009549EA">
        <w:rPr>
          <w:rFonts w:eastAsia="Times New Roman"/>
          <w:szCs w:val="24"/>
          <w:lang w:val="sv-SE"/>
        </w:rPr>
        <w:t xml:space="preserve">] </w:t>
      </w:r>
      <w:r w:rsidR="00696451">
        <w:rPr>
          <w:rFonts w:eastAsia="Times New Roman"/>
          <w:szCs w:val="24"/>
          <w:lang w:val="sv-SE"/>
        </w:rPr>
        <w:t xml:space="preserve">överklagande </w:t>
      </w:r>
      <w:r w:rsidRPr="009E0B85">
        <w:rPr>
          <w:rFonts w:eastAsia="Times New Roman"/>
          <w:szCs w:val="24"/>
          <w:lang w:val="sv-SE"/>
        </w:rPr>
        <w:t>mot bakgrund av exceptionella omständigheter av domen från den 19 januari 2001 i stadsdomstolen i Chemerovetsk i Khmelnytsk-distriktet, beslutet i appellationsdomstolen i Khmelnytsk-distriktet den 1 mars 2001 och beslutet den 22 augusti 2002 i Ukrainas Högsta domstol.</w:t>
      </w:r>
    </w:p>
    <w:p w:rsidR="00E30E19" w:rsidP="00290AD6">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22</w:t>
      </w:r>
      <w:r w:rsidRPr="009E0B85">
        <w:rPr>
          <w:szCs w:val="24"/>
          <w:lang w:val="en-GB"/>
        </w:rPr>
        <w:fldChar w:fldCharType="end"/>
      </w:r>
      <w:r w:rsidRPr="009E0B85">
        <w:rPr>
          <w:szCs w:val="24"/>
          <w:lang w:val="sv-SE"/>
        </w:rPr>
        <w:t>.  Den 8 apri</w:t>
      </w:r>
      <w:r>
        <w:rPr>
          <w:szCs w:val="24"/>
          <w:lang w:val="sv-SE"/>
        </w:rPr>
        <w:t>l 2008 ingav sökanden ett nytt ”</w:t>
      </w:r>
      <w:r w:rsidRPr="009E0B85">
        <w:rPr>
          <w:szCs w:val="24"/>
          <w:lang w:val="sv-SE"/>
        </w:rPr>
        <w:t>överklaga</w:t>
      </w:r>
      <w:r>
        <w:rPr>
          <w:szCs w:val="24"/>
          <w:lang w:val="sv-SE"/>
        </w:rPr>
        <w:t>nde mot bakgrund</w:t>
      </w:r>
      <w:r w:rsidRPr="009E0B85">
        <w:rPr>
          <w:szCs w:val="24"/>
          <w:lang w:val="sv-SE"/>
        </w:rPr>
        <w:t xml:space="preserve"> av exceptionella omständigheter” till Högsta domstolen.</w:t>
      </w:r>
      <w:r w:rsidRPr="00781D24">
        <w:rPr>
          <w:szCs w:val="24"/>
          <w:lang w:val="sv-SE"/>
        </w:rPr>
        <w:t xml:space="preserve"> </w:t>
      </w:r>
      <w:r>
        <w:rPr>
          <w:rFonts w:eastAsia="Times New Roman"/>
          <w:szCs w:val="24"/>
          <w:lang w:val="sv-SE"/>
        </w:rPr>
        <w:t>Hon hävdade att beslutet</w:t>
      </w:r>
      <w:r w:rsidRPr="009E0B85">
        <w:rPr>
          <w:rFonts w:eastAsia="Times New Roman"/>
          <w:szCs w:val="24"/>
          <w:lang w:val="sv-SE"/>
        </w:rPr>
        <w:t xml:space="preserve"> den 14 mars 2008 hade baserats på en felaktig </w:t>
      </w:r>
    </w:p>
    <w:p w:rsidR="00E30E19">
      <w:pPr>
        <w:jc w:val="left"/>
        <w:rPr>
          <w:rFonts w:eastAsia="Times New Roman"/>
          <w:szCs w:val="24"/>
          <w:lang w:val="sv-SE"/>
        </w:rPr>
      </w:pPr>
      <w:r>
        <w:rPr>
          <w:rFonts w:eastAsia="Times New Roman"/>
          <w:szCs w:val="24"/>
          <w:lang w:val="sv-SE"/>
        </w:rPr>
        <w:br w:type="page"/>
      </w:r>
    </w:p>
    <w:p w:rsidRPr="00781D24" w:rsidR="00290AD6" w:rsidP="00E30E19">
      <w:pPr>
        <w:pStyle w:val="ECHRPara"/>
        <w:ind w:firstLine="0"/>
        <w:rPr>
          <w:rFonts w:eastAsia="Times New Roman"/>
          <w:szCs w:val="24"/>
          <w:lang w:val="sv-SE"/>
        </w:rPr>
      </w:pPr>
      <w:r w:rsidRPr="009E0B85">
        <w:rPr>
          <w:rFonts w:eastAsia="Times New Roman"/>
          <w:szCs w:val="24"/>
          <w:lang w:val="sv-SE"/>
        </w:rPr>
        <w:t>”tolkning” av Domstolens dom från den 3 maj 2007 och begärde att Högsta domstolen s</w:t>
      </w:r>
      <w:r w:rsidR="00D47E44">
        <w:rPr>
          <w:rFonts w:eastAsia="Times New Roman"/>
          <w:szCs w:val="24"/>
          <w:lang w:val="sv-SE"/>
        </w:rPr>
        <w:t>kulle ompröva saken</w:t>
      </w:r>
      <w:r w:rsidRPr="009E0B85">
        <w:rPr>
          <w:rFonts w:eastAsia="Times New Roman"/>
          <w:szCs w:val="24"/>
          <w:lang w:val="sv-SE"/>
        </w:rPr>
        <w:t xml:space="preserve"> mot bakgrund av Domstolens domskäl enligt artikel 6 § 1 i Konventionen i den</w:t>
      </w:r>
      <w:r w:rsidR="00D47E44">
        <w:rPr>
          <w:rFonts w:eastAsia="Times New Roman"/>
          <w:szCs w:val="24"/>
          <w:lang w:val="sv-SE"/>
        </w:rPr>
        <w:t>na dom, vilka</w:t>
      </w:r>
      <w:r w:rsidRPr="009E0B85">
        <w:rPr>
          <w:rFonts w:eastAsia="Times New Roman"/>
          <w:szCs w:val="24"/>
          <w:lang w:val="sv-SE"/>
        </w:rPr>
        <w:t xml:space="preserve"> anges i punkt 15 ovan.</w:t>
      </w:r>
    </w:p>
    <w:p w:rsidRPr="00781D24" w:rsidR="00290AD6" w:rsidP="00290AD6">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23</w:t>
      </w:r>
      <w:r w:rsidRPr="009E0B85">
        <w:rPr>
          <w:rFonts w:eastAsia="Times New Roman"/>
          <w:szCs w:val="24"/>
          <w:lang w:val="en-GB"/>
        </w:rPr>
        <w:fldChar w:fldCharType="end"/>
      </w:r>
      <w:r w:rsidRPr="009E0B85">
        <w:rPr>
          <w:rFonts w:eastAsia="Times New Roman"/>
          <w:szCs w:val="24"/>
          <w:lang w:val="sv-SE"/>
        </w:rPr>
        <w:t xml:space="preserve">.  Den 5 juni 2008 meddelade en jury bestående av sju domare från Högsta domstolens avdelning för civilmål, med hänvisning till artikel 356 i civilprocesslagen från 2004, att överklagandet inte kunde tas upp till prövning, eftersom det inte innehöll några argument som kunde anföras som skäl för omprövning av målet mot bakgrund av exceptionella omständigheter i enlighet med artikel 354 i </w:t>
      </w:r>
      <w:r w:rsidR="00696451">
        <w:rPr>
          <w:rFonts w:eastAsia="Times New Roman"/>
          <w:szCs w:val="24"/>
          <w:lang w:val="sv-SE"/>
        </w:rPr>
        <w:t>civilprocesslagen från 2004 (se</w:t>
      </w:r>
      <w:r w:rsidRPr="009E0B85">
        <w:rPr>
          <w:rFonts w:eastAsia="Times New Roman"/>
          <w:szCs w:val="24"/>
          <w:lang w:val="sv-SE"/>
        </w:rPr>
        <w:t xml:space="preserve"> punkt 24 nedan för texten i artikel 354 och relevanta utdrag ur artikel 356 i lagen).</w:t>
      </w:r>
    </w:p>
    <w:p w:rsidRPr="00781D24" w:rsidR="00BE5EAC" w:rsidP="00BE5EAC">
      <w:pPr>
        <w:pStyle w:val="ECHRHeading1"/>
        <w:rPr>
          <w:rFonts w:eastAsia="Times New Roman" w:cstheme="minorBidi"/>
          <w:bCs w:val="0"/>
          <w:szCs w:val="24"/>
          <w:lang w:val="sv-SE"/>
        </w:rPr>
      </w:pPr>
      <w:r w:rsidRPr="00394C16">
        <w:rPr>
          <w:rFonts w:eastAsia="Times New Roman" w:cstheme="minorBidi"/>
          <w:bCs w:val="0"/>
          <w:szCs w:val="24"/>
          <w:lang w:val="sv-SE"/>
        </w:rPr>
        <w:t>II.  RELEVANT NATIONELL LAGSTIFTNING</w:t>
      </w:r>
    </w:p>
    <w:p w:rsidRPr="00781D24" w:rsidR="00BE5EAC" w:rsidP="00BE5EAC">
      <w:pPr>
        <w:pStyle w:val="ECHRHeading2"/>
        <w:rPr>
          <w:rFonts w:eastAsia="Times New Roman" w:cstheme="minorBidi"/>
          <w:bCs w:val="0"/>
          <w:szCs w:val="24"/>
          <w:lang w:val="sv-SE"/>
        </w:rPr>
      </w:pPr>
      <w:r w:rsidRPr="009E0B85">
        <w:rPr>
          <w:rFonts w:eastAsia="Times New Roman" w:cstheme="minorBidi"/>
          <w:bCs w:val="0"/>
          <w:szCs w:val="24"/>
          <w:lang w:val="sv-SE"/>
        </w:rPr>
        <w:t>A.  Civilprocesslagen (2004)</w:t>
      </w:r>
    </w:p>
    <w:p w:rsidRPr="00781D24" w:rsidR="00BE5EAC" w:rsidP="00BE5EAC">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24</w:t>
      </w:r>
      <w:r w:rsidRPr="009E0B85">
        <w:rPr>
          <w:rFonts w:eastAsia="Times New Roman"/>
          <w:szCs w:val="24"/>
          <w:lang w:val="en-GB"/>
        </w:rPr>
        <w:fldChar w:fldCharType="end"/>
      </w:r>
      <w:r w:rsidRPr="009E0B85">
        <w:rPr>
          <w:rFonts w:eastAsia="Times New Roman"/>
          <w:szCs w:val="24"/>
          <w:lang w:val="sv-SE"/>
        </w:rPr>
        <w:t>.  De relevanta utdragen ur lagen, som den var formulerad vid tidpunkten, lyder som följer:</w:t>
      </w:r>
    </w:p>
    <w:p w:rsidRPr="00781D24" w:rsidR="00BE5EAC" w:rsidP="00BE5EAC">
      <w:pPr>
        <w:pStyle w:val="ECHRTitleCentre3"/>
        <w:rPr>
          <w:rFonts w:eastAsia="Times New Roman"/>
          <w:szCs w:val="24"/>
          <w:lang w:val="sv-SE"/>
        </w:rPr>
      </w:pPr>
      <w:r w:rsidRPr="009E0B85">
        <w:rPr>
          <w:rFonts w:eastAsia="Times New Roman"/>
          <w:szCs w:val="24"/>
          <w:lang w:val="sv-SE"/>
        </w:rPr>
        <w:t>Artikel 353. Rätten att inv</w:t>
      </w:r>
      <w:r w:rsidR="00701922">
        <w:rPr>
          <w:rFonts w:eastAsia="Times New Roman"/>
          <w:szCs w:val="24"/>
          <w:lang w:val="sv-SE"/>
        </w:rPr>
        <w:t>ända mot domstolsbeslut mot bakgrund</w:t>
      </w:r>
      <w:r w:rsidRPr="009E0B85">
        <w:rPr>
          <w:rFonts w:eastAsia="Times New Roman"/>
          <w:szCs w:val="24"/>
          <w:lang w:val="sv-SE"/>
        </w:rPr>
        <w:t xml:space="preserve"> av exceptionella omständigheter</w:t>
      </w:r>
    </w:p>
    <w:p w:rsidRPr="00781D24" w:rsidR="00AD6E32" w:rsidP="00AD6E32">
      <w:pPr>
        <w:pStyle w:val="ECHRParaQuote"/>
        <w:rPr>
          <w:rFonts w:eastAsia="Times New Roman"/>
          <w:szCs w:val="24"/>
          <w:lang w:val="sv-SE"/>
        </w:rPr>
      </w:pPr>
      <w:r w:rsidRPr="009E0B85">
        <w:rPr>
          <w:rFonts w:eastAsia="Times New Roman"/>
          <w:szCs w:val="24"/>
          <w:lang w:val="sv-SE"/>
        </w:rPr>
        <w:t>“1.  </w:t>
      </w:r>
      <w:r w:rsidRPr="007D166A">
        <w:rPr>
          <w:rFonts w:eastAsia="Times New Roman"/>
          <w:szCs w:val="24"/>
          <w:lang w:val="sv-SE"/>
        </w:rPr>
        <w:t>Parterna i förfarandet ... har rätt att  överklaga beslut i civilmål till Högsta domstolen i Ukrai</w:t>
      </w:r>
      <w:r w:rsidRPr="007D166A" w:rsidR="00701922">
        <w:rPr>
          <w:rFonts w:eastAsia="Times New Roman"/>
          <w:szCs w:val="24"/>
          <w:lang w:val="sv-SE"/>
        </w:rPr>
        <w:t>na mot bakgrund</w:t>
      </w:r>
      <w:r w:rsidRPr="007D166A">
        <w:rPr>
          <w:rFonts w:eastAsia="Times New Roman"/>
          <w:szCs w:val="24"/>
          <w:lang w:val="sv-SE"/>
        </w:rPr>
        <w:t xml:space="preserve"> av exceptionella</w:t>
      </w:r>
      <w:r w:rsidRPr="009E0B85">
        <w:rPr>
          <w:rFonts w:eastAsia="Times New Roman"/>
          <w:szCs w:val="24"/>
          <w:lang w:val="sv-SE"/>
        </w:rPr>
        <w:t xml:space="preserve"> omständigheter</w:t>
      </w:r>
      <w:r w:rsidR="00701922">
        <w:rPr>
          <w:rFonts w:eastAsia="Times New Roman"/>
          <w:szCs w:val="24"/>
          <w:lang w:val="sv-SE"/>
        </w:rPr>
        <w:t xml:space="preserve"> efter att [dessa beslut] har </w:t>
      </w:r>
      <w:r w:rsidRPr="009E0B85">
        <w:rPr>
          <w:rFonts w:eastAsia="Times New Roman"/>
          <w:szCs w:val="24"/>
          <w:lang w:val="sv-SE"/>
        </w:rPr>
        <w:t>prövats i kassationsdomstol.”</w:t>
      </w:r>
    </w:p>
    <w:p w:rsidRPr="00781D24" w:rsidR="00AD6E32" w:rsidP="00AD6E32">
      <w:pPr>
        <w:pStyle w:val="ECHRTitleCentre3"/>
        <w:rPr>
          <w:rFonts w:eastAsia="Times New Roman"/>
          <w:szCs w:val="24"/>
          <w:lang w:val="sv-SE"/>
        </w:rPr>
      </w:pPr>
      <w:r w:rsidRPr="009E0B85">
        <w:rPr>
          <w:rFonts w:eastAsia="Times New Roman"/>
          <w:szCs w:val="24"/>
          <w:lang w:val="sv-SE"/>
        </w:rPr>
        <w:t>Artikel 354. Grunder för ett överklagande mot bakgrund av exceptionella omständigheter</w:t>
      </w:r>
    </w:p>
    <w:p w:rsidRPr="00781D24" w:rsidR="00AD6E32" w:rsidP="00AD6E32">
      <w:pPr>
        <w:pStyle w:val="ECHRParaQuote"/>
        <w:rPr>
          <w:rFonts w:eastAsia="Times New Roman"/>
          <w:szCs w:val="24"/>
          <w:lang w:val="sv-SE"/>
        </w:rPr>
      </w:pPr>
      <w:r w:rsidRPr="009E0B85">
        <w:rPr>
          <w:rFonts w:eastAsia="Times New Roman"/>
          <w:szCs w:val="24"/>
          <w:lang w:val="sv-SE"/>
        </w:rPr>
        <w:t xml:space="preserve">“1.  Efter att </w:t>
      </w:r>
      <w:r w:rsidR="00701922">
        <w:rPr>
          <w:rFonts w:eastAsia="Times New Roman"/>
          <w:szCs w:val="24"/>
          <w:lang w:val="sv-SE"/>
        </w:rPr>
        <w:t xml:space="preserve">domstolsbeslut i civilmål har </w:t>
      </w:r>
      <w:r w:rsidRPr="009E0B85">
        <w:rPr>
          <w:rFonts w:eastAsia="Times New Roman"/>
          <w:szCs w:val="24"/>
          <w:lang w:val="sv-SE"/>
        </w:rPr>
        <w:t>prövats i kassationsdomstol kan de omprövas mot bakgrund av exceptionella omständigheter om de överklagas på [följande] grunder:</w:t>
      </w:r>
    </w:p>
    <w:p w:rsidRPr="00781D24" w:rsidR="00AD6E32" w:rsidP="00AD6E32">
      <w:pPr>
        <w:pStyle w:val="ECHRParaQuote"/>
        <w:rPr>
          <w:rFonts w:eastAsia="Times New Roman"/>
          <w:szCs w:val="24"/>
          <w:lang w:val="sv-SE"/>
        </w:rPr>
      </w:pPr>
      <w:r>
        <w:rPr>
          <w:rFonts w:eastAsia="Times New Roman"/>
          <w:szCs w:val="24"/>
          <w:lang w:val="sv-SE"/>
        </w:rPr>
        <w:t>(1)  </w:t>
      </w:r>
      <w:r w:rsidR="007D166A">
        <w:rPr>
          <w:rFonts w:eastAsia="Times New Roman"/>
          <w:szCs w:val="24"/>
          <w:lang w:val="sv-SE"/>
        </w:rPr>
        <w:t xml:space="preserve">avvikande tillämpning av lagen i </w:t>
      </w:r>
      <w:r w:rsidRPr="009E0B85">
        <w:rPr>
          <w:rFonts w:eastAsia="Times New Roman"/>
          <w:szCs w:val="24"/>
          <w:lang w:val="sv-SE"/>
        </w:rPr>
        <w:t>kassationsdomstolen (eller domstolarna);</w:t>
      </w:r>
    </w:p>
    <w:p w:rsidRPr="00781D24" w:rsidR="00AD6E32" w:rsidP="00AD6E32">
      <w:pPr>
        <w:pStyle w:val="ECHRParaQuote"/>
        <w:rPr>
          <w:rFonts w:eastAsia="Times New Roman"/>
          <w:szCs w:val="24"/>
          <w:lang w:val="sv-SE"/>
        </w:rPr>
      </w:pPr>
      <w:r w:rsidRPr="009E0B85">
        <w:rPr>
          <w:rFonts w:eastAsia="Times New Roman"/>
          <w:szCs w:val="24"/>
          <w:lang w:val="sv-SE"/>
        </w:rPr>
        <w:t>(2)</w:t>
      </w:r>
      <w:r w:rsidR="007D166A">
        <w:rPr>
          <w:rFonts w:eastAsia="Times New Roman"/>
          <w:szCs w:val="24"/>
          <w:lang w:val="sv-SE"/>
        </w:rPr>
        <w:t>  en internationell domstol</w:t>
      </w:r>
      <w:r w:rsidRPr="009E0B85">
        <w:rPr>
          <w:rFonts w:eastAsia="Times New Roman"/>
          <w:szCs w:val="24"/>
          <w:lang w:val="sv-SE"/>
        </w:rPr>
        <w:t>, vars jurisdiktion har erkänts av Ukraina finner a</w:t>
      </w:r>
      <w:r w:rsidR="00E44B1E">
        <w:rPr>
          <w:rFonts w:eastAsia="Times New Roman"/>
          <w:szCs w:val="24"/>
          <w:lang w:val="sv-SE"/>
        </w:rPr>
        <w:t>tt ett [nationellt] domslut var i strid med</w:t>
      </w:r>
      <w:r w:rsidRPr="009E0B85">
        <w:rPr>
          <w:rFonts w:eastAsia="Times New Roman"/>
          <w:szCs w:val="24"/>
          <w:lang w:val="sv-SE"/>
        </w:rPr>
        <w:t xml:space="preserve"> Ukrainas internationella åtaganden.”</w:t>
      </w:r>
    </w:p>
    <w:p w:rsidRPr="00781D24" w:rsidR="00AD6E32" w:rsidP="00AD6E32">
      <w:pPr>
        <w:pStyle w:val="ECHRTitleCentre3"/>
        <w:rPr>
          <w:rFonts w:eastAsia="Times New Roman"/>
          <w:szCs w:val="24"/>
          <w:lang w:val="sv-SE"/>
        </w:rPr>
      </w:pPr>
      <w:r w:rsidRPr="009E0B85">
        <w:rPr>
          <w:rFonts w:eastAsia="Times New Roman"/>
          <w:szCs w:val="24"/>
          <w:lang w:val="sv-SE"/>
        </w:rPr>
        <w:t>Artikel 355. Överklagande mot bakgrund av exceptionella omständigheter</w:t>
      </w:r>
    </w:p>
    <w:p w:rsidRPr="00781D24" w:rsidR="00AD6E32" w:rsidP="00AD6E32">
      <w:pPr>
        <w:pStyle w:val="ECHRParaQuote"/>
        <w:rPr>
          <w:rFonts w:eastAsia="Times New Roman"/>
          <w:szCs w:val="24"/>
          <w:lang w:val="sv-SE"/>
        </w:rPr>
      </w:pPr>
      <w:r w:rsidRPr="009E0B85">
        <w:rPr>
          <w:rFonts w:eastAsia="Times New Roman"/>
          <w:szCs w:val="24"/>
          <w:lang w:val="sv-SE"/>
        </w:rPr>
        <w:t>“1.  Ett överklagande kan lämnas in inom en</w:t>
      </w:r>
      <w:r w:rsidR="00E44B1E">
        <w:rPr>
          <w:rFonts w:eastAsia="Times New Roman"/>
          <w:szCs w:val="24"/>
          <w:lang w:val="sv-SE"/>
        </w:rPr>
        <w:t xml:space="preserve"> månad efter att </w:t>
      </w:r>
      <w:r w:rsidR="007D166A">
        <w:rPr>
          <w:rFonts w:eastAsia="Times New Roman"/>
          <w:szCs w:val="24"/>
          <w:lang w:val="sv-SE"/>
        </w:rPr>
        <w:t xml:space="preserve">de </w:t>
      </w:r>
      <w:r w:rsidR="00E44B1E">
        <w:rPr>
          <w:rFonts w:eastAsia="Times New Roman"/>
          <w:szCs w:val="24"/>
          <w:lang w:val="sv-SE"/>
        </w:rPr>
        <w:t xml:space="preserve">exceptionella </w:t>
      </w:r>
      <w:r w:rsidR="007D166A">
        <w:rPr>
          <w:rFonts w:eastAsia="Times New Roman"/>
          <w:szCs w:val="24"/>
          <w:lang w:val="sv-SE"/>
        </w:rPr>
        <w:t>omständigheterna uppmärksammades</w:t>
      </w:r>
      <w:r w:rsidRPr="009E0B85">
        <w:rPr>
          <w:rFonts w:eastAsia="Times New Roman"/>
          <w:szCs w:val="24"/>
          <w:lang w:val="sv-SE"/>
        </w:rPr>
        <w:t>.</w:t>
      </w:r>
    </w:p>
    <w:p w:rsidRPr="00781D24" w:rsidR="00B06525" w:rsidP="00B06525">
      <w:pPr>
        <w:pStyle w:val="ECHRParaQuote"/>
        <w:rPr>
          <w:rFonts w:eastAsia="Times New Roman"/>
          <w:szCs w:val="24"/>
          <w:lang w:val="sv-SE"/>
        </w:rPr>
      </w:pPr>
      <w:r w:rsidRPr="009E0B85">
        <w:rPr>
          <w:rFonts w:eastAsia="Times New Roman"/>
          <w:szCs w:val="24"/>
          <w:lang w:val="sv-SE"/>
        </w:rPr>
        <w:t>2.  Ett överklagande mot bakgrund av exceptionella omständigheter ska lämnas in i enlighet med tillämpliga regler för kassationsbesvär.</w:t>
      </w:r>
    </w:p>
    <w:p w:rsidRPr="00781D24" w:rsidR="00542848" w:rsidP="00542848">
      <w:pPr>
        <w:pStyle w:val="ECHRParaQuote"/>
        <w:rPr>
          <w:rFonts w:eastAsia="Times New Roman"/>
          <w:lang w:val="sv-SE" w:eastAsia="fr-FR"/>
        </w:rPr>
      </w:pPr>
      <w:r w:rsidRPr="00781D24">
        <w:rPr>
          <w:rFonts w:eastAsia="Times New Roman"/>
          <w:lang w:val="sv-SE" w:eastAsia="fr-FR"/>
        </w:rPr>
        <w:t>...</w:t>
      </w:r>
    </w:p>
    <w:p w:rsidRPr="00394C16" w:rsidR="00B06525" w:rsidP="00394C16">
      <w:pPr>
        <w:pStyle w:val="ECHRTitleCentre3"/>
        <w:rPr>
          <w:rFonts w:eastAsia="Times New Roman"/>
          <w:szCs w:val="24"/>
          <w:lang w:val="sv-SE"/>
        </w:rPr>
      </w:pPr>
      <w:r w:rsidRPr="009E0B85">
        <w:rPr>
          <w:rFonts w:eastAsia="Times New Roman"/>
          <w:szCs w:val="24"/>
          <w:lang w:val="sv-SE"/>
        </w:rPr>
        <w:t>Artikel 356</w:t>
      </w:r>
      <w:r w:rsidRPr="009E0B85" w:rsidR="006C2ECD">
        <w:rPr>
          <w:rFonts w:eastAsia="Times New Roman"/>
          <w:szCs w:val="24"/>
          <w:lang w:val="sv-SE"/>
        </w:rPr>
        <w:t>. Tillåtlighet</w:t>
      </w:r>
      <w:r w:rsidRPr="009E0B85">
        <w:rPr>
          <w:rFonts w:eastAsia="Times New Roman"/>
          <w:szCs w:val="24"/>
          <w:lang w:val="sv-SE"/>
        </w:rPr>
        <w:t xml:space="preserve"> för ett överklagande mot bakgrund av exceptionella omständigheter</w:t>
      </w:r>
    </w:p>
    <w:p w:rsidRPr="00781D24" w:rsidR="00B06525" w:rsidP="00B06525">
      <w:pPr>
        <w:pStyle w:val="ECHRParaQuote"/>
        <w:rPr>
          <w:rFonts w:eastAsia="Times New Roman"/>
          <w:szCs w:val="24"/>
          <w:lang w:val="sv-SE"/>
        </w:rPr>
      </w:pPr>
      <w:r w:rsidRPr="009E0B85">
        <w:rPr>
          <w:rFonts w:eastAsia="Times New Roman"/>
          <w:szCs w:val="24"/>
          <w:lang w:val="sv-SE"/>
        </w:rPr>
        <w:t>“1.  Fr</w:t>
      </w:r>
      <w:r w:rsidR="00E44B1E">
        <w:rPr>
          <w:rFonts w:eastAsia="Times New Roman"/>
          <w:szCs w:val="24"/>
          <w:lang w:val="sv-SE"/>
        </w:rPr>
        <w:t xml:space="preserve">ågan huruvida </w:t>
      </w:r>
      <w:r w:rsidRPr="009E0B85">
        <w:rPr>
          <w:rFonts w:eastAsia="Times New Roman"/>
          <w:szCs w:val="24"/>
          <w:lang w:val="sv-SE"/>
        </w:rPr>
        <w:t>ett överklagande mot bakgrund av exce</w:t>
      </w:r>
      <w:r w:rsidR="00E44B1E">
        <w:rPr>
          <w:rFonts w:eastAsia="Times New Roman"/>
          <w:szCs w:val="24"/>
          <w:lang w:val="sv-SE"/>
        </w:rPr>
        <w:t>ptionella omständigheter är tillåtligt</w:t>
      </w:r>
      <w:r w:rsidR="006C2ECD">
        <w:rPr>
          <w:rFonts w:eastAsia="Times New Roman"/>
          <w:szCs w:val="24"/>
          <w:lang w:val="sv-SE"/>
        </w:rPr>
        <w:t>…</w:t>
      </w:r>
      <w:r w:rsidR="00E44B1E">
        <w:rPr>
          <w:rFonts w:eastAsia="Times New Roman"/>
          <w:szCs w:val="24"/>
          <w:lang w:val="sv-SE"/>
        </w:rPr>
        <w:t xml:space="preserve"> ska beslutas </w:t>
      </w:r>
      <w:r w:rsidR="007D166A">
        <w:rPr>
          <w:rFonts w:eastAsia="Times New Roman"/>
          <w:szCs w:val="24"/>
          <w:lang w:val="sv-SE"/>
        </w:rPr>
        <w:t xml:space="preserve">i </w:t>
      </w:r>
      <w:r w:rsidRPr="007D166A" w:rsidR="007D166A">
        <w:rPr>
          <w:rFonts w:eastAsia="Times New Roman"/>
          <w:szCs w:val="24"/>
          <w:lang w:val="sv-SE"/>
        </w:rPr>
        <w:t xml:space="preserve">kammare </w:t>
      </w:r>
      <w:r w:rsidRPr="007D166A">
        <w:rPr>
          <w:rFonts w:eastAsia="Times New Roman"/>
          <w:szCs w:val="24"/>
          <w:lang w:val="sv-SE"/>
        </w:rPr>
        <w:t>av en jury bestående</w:t>
      </w:r>
      <w:r w:rsidRPr="009E0B85">
        <w:rPr>
          <w:rFonts w:eastAsia="Times New Roman"/>
          <w:szCs w:val="24"/>
          <w:lang w:val="sv-SE"/>
        </w:rPr>
        <w:t xml:space="preserve"> av sju domare…</w:t>
      </w:r>
    </w:p>
    <w:p w:rsidRPr="00781D24" w:rsidR="00B06525" w:rsidP="00B06525">
      <w:pPr>
        <w:pStyle w:val="ECHRParaQuote"/>
        <w:rPr>
          <w:rFonts w:eastAsia="Times New Roman"/>
          <w:szCs w:val="24"/>
          <w:lang w:val="sv-SE"/>
        </w:rPr>
      </w:pPr>
      <w:r w:rsidRPr="009E0B85">
        <w:rPr>
          <w:rFonts w:eastAsia="Times New Roman"/>
          <w:szCs w:val="24"/>
          <w:lang w:val="sv-SE"/>
        </w:rPr>
        <w:t>2.  Ett överklagande ska förklaras tillåtligt… om minst tre domare beslutar så ...</w:t>
      </w:r>
    </w:p>
    <w:p w:rsidRPr="00781D24" w:rsidR="00CE2CA5" w:rsidP="00CE2CA5">
      <w:pPr>
        <w:pStyle w:val="ECHRParaQuote"/>
        <w:rPr>
          <w:rFonts w:eastAsia="Times New Roman"/>
          <w:szCs w:val="24"/>
          <w:lang w:val="sv-SE"/>
        </w:rPr>
      </w:pPr>
      <w:r w:rsidRPr="009E0B85">
        <w:rPr>
          <w:rFonts w:eastAsia="Times New Roman"/>
          <w:szCs w:val="24"/>
          <w:lang w:val="sv-SE"/>
        </w:rPr>
        <w:t>3.  Bes</w:t>
      </w:r>
      <w:r w:rsidR="00E44B1E">
        <w:rPr>
          <w:rFonts w:eastAsia="Times New Roman"/>
          <w:szCs w:val="24"/>
          <w:lang w:val="sv-SE"/>
        </w:rPr>
        <w:t xml:space="preserve">lut angående </w:t>
      </w:r>
      <w:r w:rsidRPr="009E0B85">
        <w:rPr>
          <w:rFonts w:eastAsia="Times New Roman"/>
          <w:szCs w:val="24"/>
          <w:lang w:val="sv-SE"/>
        </w:rPr>
        <w:t>ett överklagande</w:t>
      </w:r>
      <w:r w:rsidR="00E44B1E">
        <w:rPr>
          <w:rFonts w:eastAsia="Times New Roman"/>
          <w:szCs w:val="24"/>
          <w:lang w:val="sv-SE"/>
        </w:rPr>
        <w:t>s tillåtlighet</w:t>
      </w:r>
      <w:r w:rsidRPr="009E0B85">
        <w:rPr>
          <w:rFonts w:eastAsia="Times New Roman"/>
          <w:szCs w:val="24"/>
          <w:lang w:val="sv-SE"/>
        </w:rPr>
        <w:t xml:space="preserve"> … kan inte överklagas...</w:t>
      </w:r>
    </w:p>
    <w:p w:rsidRPr="00781D24" w:rsidR="00CE2CA5" w:rsidP="00CE2CA5">
      <w:pPr>
        <w:pStyle w:val="ECHRParaQuote"/>
        <w:rPr>
          <w:rFonts w:eastAsia="Times New Roman"/>
          <w:szCs w:val="24"/>
          <w:lang w:val="sv-SE"/>
        </w:rPr>
      </w:pPr>
      <w:r w:rsidRPr="009E0B85">
        <w:rPr>
          <w:rFonts w:eastAsia="Times New Roman"/>
          <w:szCs w:val="24"/>
          <w:lang w:val="sv-SE"/>
        </w:rPr>
        <w:t>4.  En kopia av beslutet som förklarar ett överklagande tillåtligt… ska skickas till parterna ...</w:t>
      </w:r>
    </w:p>
    <w:p w:rsidRPr="00781D24" w:rsidR="00CE2CA5" w:rsidP="00CE2CA5">
      <w:pPr>
        <w:pStyle w:val="ECHRParaQuote"/>
        <w:rPr>
          <w:rFonts w:eastAsia="Times New Roman"/>
          <w:szCs w:val="24"/>
          <w:lang w:val="sv-SE"/>
        </w:rPr>
      </w:pPr>
      <w:r>
        <w:rPr>
          <w:rFonts w:eastAsia="Times New Roman"/>
          <w:szCs w:val="24"/>
          <w:lang w:val="sv-SE"/>
        </w:rPr>
        <w:t xml:space="preserve">5.  Har ett överklagande </w:t>
      </w:r>
      <w:r w:rsidRPr="009E0B85">
        <w:rPr>
          <w:rFonts w:eastAsia="Times New Roman"/>
          <w:szCs w:val="24"/>
          <w:lang w:val="sv-SE"/>
        </w:rPr>
        <w:t>förklarats tillåtligt... kan domstolen skjuta upp v</w:t>
      </w:r>
      <w:r>
        <w:rPr>
          <w:rFonts w:eastAsia="Times New Roman"/>
          <w:szCs w:val="24"/>
          <w:lang w:val="sv-SE"/>
        </w:rPr>
        <w:t xml:space="preserve">erkställigheten av </w:t>
      </w:r>
      <w:r w:rsidRPr="009E0B85">
        <w:rPr>
          <w:rFonts w:eastAsia="Times New Roman"/>
          <w:szCs w:val="24"/>
          <w:lang w:val="sv-SE"/>
        </w:rPr>
        <w:t>besluten</w:t>
      </w:r>
      <w:r>
        <w:rPr>
          <w:rFonts w:eastAsia="Times New Roman"/>
          <w:szCs w:val="24"/>
          <w:lang w:val="sv-SE"/>
        </w:rPr>
        <w:t xml:space="preserve"> i fråga</w:t>
      </w:r>
      <w:r w:rsidRPr="009E0B85">
        <w:rPr>
          <w:rFonts w:eastAsia="Times New Roman"/>
          <w:szCs w:val="24"/>
          <w:lang w:val="sv-SE"/>
        </w:rPr>
        <w:t>.</w:t>
      </w:r>
    </w:p>
    <w:p w:rsidRPr="00781D24" w:rsidR="00CE2CA5" w:rsidP="00CE2CA5">
      <w:pPr>
        <w:pStyle w:val="ECHRParaQuote"/>
        <w:rPr>
          <w:rFonts w:eastAsia="Times New Roman"/>
          <w:szCs w:val="24"/>
          <w:lang w:val="sv-SE"/>
        </w:rPr>
      </w:pPr>
      <w:r w:rsidRPr="009E0B85">
        <w:rPr>
          <w:rFonts w:eastAsia="Times New Roman"/>
          <w:szCs w:val="24"/>
          <w:lang w:val="sv-SE"/>
        </w:rPr>
        <w:t>6.  Reglerna i punkt 1 till 4 i denna artikel är inte tillämpliga på ett överklagande som lämnas in baserat på de grunder som anges i punkt 2 i artikel 354 i denna lag.”</w:t>
      </w:r>
    </w:p>
    <w:p w:rsidRPr="00781D24" w:rsidR="00CE2CA5" w:rsidP="00CE2CA5">
      <w:pPr>
        <w:pStyle w:val="ECHRTitleCentre3"/>
        <w:rPr>
          <w:rFonts w:eastAsia="Times New Roman"/>
          <w:szCs w:val="24"/>
          <w:lang w:val="sv-SE"/>
        </w:rPr>
      </w:pPr>
      <w:r>
        <w:rPr>
          <w:rFonts w:eastAsia="Times New Roman"/>
          <w:szCs w:val="24"/>
          <w:lang w:val="sv-SE"/>
        </w:rPr>
        <w:t>Artikel 357. Förfarande vid</w:t>
      </w:r>
      <w:r w:rsidRPr="009E0B85">
        <w:rPr>
          <w:rFonts w:eastAsia="Times New Roman"/>
          <w:szCs w:val="24"/>
          <w:lang w:val="sv-SE"/>
        </w:rPr>
        <w:t xml:space="preserve"> prövning mot bakgrund av exceptionella omständigheter</w:t>
      </w:r>
    </w:p>
    <w:p w:rsidRPr="00781D24" w:rsidR="00CE2CA5" w:rsidP="00CE2CA5">
      <w:pPr>
        <w:pStyle w:val="ECHRParaQuote"/>
        <w:rPr>
          <w:rFonts w:eastAsia="Times New Roman"/>
          <w:szCs w:val="24"/>
          <w:lang w:val="sv-SE"/>
        </w:rPr>
      </w:pPr>
      <w:r w:rsidRPr="009E0B85">
        <w:rPr>
          <w:szCs w:val="24"/>
          <w:lang w:val="sv-SE"/>
        </w:rPr>
        <w:t>“1.  Prövning av ett mål mot bakgrund av exceptionella omständigheter är ett slags kassationsförfarande (</w:t>
      </w:r>
      <w:r w:rsidRPr="009E0B85">
        <w:rPr>
          <w:i/>
          <w:szCs w:val="24"/>
          <w:lang w:val="sv-SE"/>
        </w:rPr>
        <w:t>різновидом касаційного провадження</w:t>
      </w:r>
      <w:r w:rsidRPr="009E0B85">
        <w:rPr>
          <w:szCs w:val="24"/>
          <w:lang w:val="sv-SE"/>
        </w:rPr>
        <w:t>).</w:t>
      </w:r>
    </w:p>
    <w:p w:rsidRPr="00781D24" w:rsidR="00CE2CA5" w:rsidP="00CE2CA5">
      <w:pPr>
        <w:pStyle w:val="ECHRParaQuote"/>
        <w:rPr>
          <w:rFonts w:eastAsia="Times New Roman"/>
          <w:szCs w:val="24"/>
          <w:lang w:val="sv-SE"/>
        </w:rPr>
      </w:pPr>
      <w:r w:rsidRPr="009E0B85">
        <w:rPr>
          <w:rFonts w:eastAsia="Times New Roman"/>
          <w:szCs w:val="24"/>
          <w:lang w:val="sv-SE"/>
        </w:rPr>
        <w:t>2.  Målet ska pröva</w:t>
      </w:r>
      <w:r w:rsidR="007D166A">
        <w:rPr>
          <w:rFonts w:eastAsia="Times New Roman"/>
          <w:szCs w:val="24"/>
          <w:lang w:val="sv-SE"/>
        </w:rPr>
        <w:t>s</w:t>
      </w:r>
      <w:r w:rsidRPr="009E0B85">
        <w:rPr>
          <w:rFonts w:eastAsia="Times New Roman"/>
          <w:szCs w:val="24"/>
          <w:lang w:val="sv-SE"/>
        </w:rPr>
        <w:t xml:space="preserve"> av en domarjury som representerar minst två </w:t>
      </w:r>
      <w:r w:rsidRPr="007D166A">
        <w:rPr>
          <w:rFonts w:eastAsia="Times New Roman"/>
          <w:szCs w:val="24"/>
          <w:lang w:val="sv-SE"/>
        </w:rPr>
        <w:t>tredjedelar av medlemmarna i civilm</w:t>
      </w:r>
      <w:r w:rsidRPr="007D166A" w:rsidR="007D166A">
        <w:rPr>
          <w:rFonts w:eastAsia="Times New Roman"/>
          <w:szCs w:val="24"/>
          <w:lang w:val="sv-SE"/>
        </w:rPr>
        <w:t>ålsavdelningen</w:t>
      </w:r>
      <w:r w:rsidRPr="007D166A">
        <w:rPr>
          <w:rFonts w:eastAsia="Times New Roman"/>
          <w:szCs w:val="24"/>
          <w:lang w:val="sv-SE"/>
        </w:rPr>
        <w:t xml:space="preserve"> i Ukraina</w:t>
      </w:r>
      <w:r w:rsidRPr="007D166A" w:rsidR="007D166A">
        <w:rPr>
          <w:rFonts w:eastAsia="Times New Roman"/>
          <w:szCs w:val="24"/>
          <w:lang w:val="sv-SE"/>
        </w:rPr>
        <w:t>s Högsta domstol</w:t>
      </w:r>
      <w:r w:rsidRPr="007D166A">
        <w:rPr>
          <w:rFonts w:eastAsia="Times New Roman"/>
          <w:szCs w:val="24"/>
          <w:lang w:val="sv-SE"/>
        </w:rPr>
        <w:t xml:space="preserve"> ...</w:t>
      </w:r>
    </w:p>
    <w:p w:rsidRPr="00781D24" w:rsidR="00B83FFA" w:rsidP="00296D23">
      <w:pPr>
        <w:pStyle w:val="ECHRParaQuote"/>
        <w:rPr>
          <w:rFonts w:eastAsia="Times New Roman"/>
          <w:lang w:val="sv-SE" w:eastAsia="fr-FR"/>
        </w:rPr>
      </w:pPr>
      <w:r w:rsidRPr="00781D24">
        <w:rPr>
          <w:rFonts w:eastAsia="Times New Roman"/>
          <w:lang w:val="sv-SE" w:eastAsia="fr-FR"/>
        </w:rPr>
        <w:t>...</w:t>
      </w:r>
    </w:p>
    <w:p w:rsidRPr="00781D24" w:rsidR="00CE2CA5" w:rsidP="00CE2CA5">
      <w:pPr>
        <w:pStyle w:val="ECHRParaQuote"/>
        <w:rPr>
          <w:rFonts w:eastAsia="Times New Roman"/>
          <w:szCs w:val="24"/>
          <w:lang w:val="sv-SE"/>
        </w:rPr>
      </w:pPr>
      <w:r w:rsidRPr="009E0B85">
        <w:rPr>
          <w:rFonts w:eastAsia="Times New Roman"/>
          <w:szCs w:val="24"/>
          <w:lang w:val="sv-SE"/>
        </w:rPr>
        <w:t>4.  Prövning av mål mot bakgrund av exceptionella omständigheter ska genomföras enligt de regler som är tillämpliga på kassationsförfaranden.”</w:t>
      </w:r>
    </w:p>
    <w:p w:rsidRPr="00781D24" w:rsidR="00CE2CA5" w:rsidP="00CE2CA5">
      <w:pPr>
        <w:pStyle w:val="ECHRTitleCentre3"/>
        <w:rPr>
          <w:rFonts w:eastAsia="Times New Roman"/>
          <w:szCs w:val="24"/>
          <w:lang w:val="sv-SE"/>
        </w:rPr>
      </w:pPr>
      <w:r w:rsidRPr="009E0B85">
        <w:rPr>
          <w:rFonts w:eastAsia="Times New Roman"/>
          <w:szCs w:val="24"/>
          <w:lang w:val="sv-SE"/>
        </w:rPr>
        <w:t xml:space="preserve">Artikel 358. </w:t>
      </w:r>
      <w:r w:rsidRPr="007D166A">
        <w:rPr>
          <w:rFonts w:eastAsia="Times New Roman"/>
          <w:szCs w:val="24"/>
          <w:lang w:val="sv-SE"/>
        </w:rPr>
        <w:t>Befogenheter hos</w:t>
      </w:r>
      <w:r w:rsidRPr="009E0B85">
        <w:rPr>
          <w:rFonts w:eastAsia="Times New Roman"/>
          <w:szCs w:val="24"/>
          <w:lang w:val="sv-SE"/>
        </w:rPr>
        <w:t xml:space="preserve"> Högsta domstolen i Ukraina vid prövning av mål mot bakgrund av exceptionella omständigheter</w:t>
      </w:r>
    </w:p>
    <w:p w:rsidRPr="00781D24" w:rsidR="00CE2CA5" w:rsidP="00CE2CA5">
      <w:pPr>
        <w:pStyle w:val="ECHRParaQuote"/>
        <w:rPr>
          <w:rFonts w:eastAsia="Times New Roman"/>
          <w:szCs w:val="24"/>
          <w:lang w:val="sv-SE"/>
        </w:rPr>
      </w:pPr>
      <w:r w:rsidRPr="009E0B85">
        <w:rPr>
          <w:rFonts w:eastAsia="Times New Roman"/>
          <w:szCs w:val="24"/>
          <w:lang w:val="sv-SE"/>
        </w:rPr>
        <w:t>“1.  Vid prövning av ett mål mot bakgrund av exceptionella omständigheter har Högsta domstolen i Ukraina befogenhet att:</w:t>
      </w:r>
    </w:p>
    <w:p w:rsidRPr="00781D24" w:rsidR="00CE2CA5" w:rsidP="00CE2CA5">
      <w:pPr>
        <w:pStyle w:val="ECHRParaQuote"/>
        <w:rPr>
          <w:rFonts w:eastAsia="Times New Roman"/>
          <w:szCs w:val="24"/>
          <w:lang w:val="sv-SE"/>
        </w:rPr>
      </w:pPr>
      <w:r w:rsidRPr="009E0B85">
        <w:rPr>
          <w:rFonts w:eastAsia="Times New Roman"/>
          <w:szCs w:val="24"/>
          <w:lang w:val="sv-SE"/>
        </w:rPr>
        <w:t>(1)  avvisa ett öv</w:t>
      </w:r>
      <w:r w:rsidR="00162580">
        <w:rPr>
          <w:rFonts w:eastAsia="Times New Roman"/>
          <w:szCs w:val="24"/>
          <w:lang w:val="sv-SE"/>
        </w:rPr>
        <w:t>erklagande och att låta domslutet</w:t>
      </w:r>
      <w:r w:rsidRPr="009E0B85">
        <w:rPr>
          <w:rFonts w:eastAsia="Times New Roman"/>
          <w:szCs w:val="24"/>
          <w:lang w:val="sv-SE"/>
        </w:rPr>
        <w:t xml:space="preserve"> kvarstå oförändrat ...</w:t>
      </w:r>
    </w:p>
    <w:p w:rsidRPr="00781D24" w:rsidR="00486331" w:rsidP="00486331">
      <w:pPr>
        <w:pStyle w:val="ECHRParaQuote"/>
        <w:rPr>
          <w:rFonts w:eastAsia="Times New Roman"/>
          <w:szCs w:val="24"/>
          <w:lang w:val="sv-SE"/>
        </w:rPr>
      </w:pPr>
      <w:r w:rsidRPr="009E0B85">
        <w:rPr>
          <w:rFonts w:eastAsia="Times New Roman"/>
          <w:szCs w:val="24"/>
          <w:lang w:val="sv-SE"/>
        </w:rPr>
        <w:t>(2)  helt eller d</w:t>
      </w:r>
      <w:r w:rsidR="00696451">
        <w:rPr>
          <w:rFonts w:eastAsia="Times New Roman"/>
          <w:szCs w:val="24"/>
          <w:lang w:val="sv-SE"/>
        </w:rPr>
        <w:t xml:space="preserve">elvis häva ett domslut, och att </w:t>
      </w:r>
      <w:r w:rsidRPr="009E0B85">
        <w:rPr>
          <w:rFonts w:eastAsia="Times New Roman"/>
          <w:szCs w:val="24"/>
          <w:lang w:val="sv-SE"/>
        </w:rPr>
        <w:t>återförvisa ett</w:t>
      </w:r>
      <w:r w:rsidR="00162580">
        <w:rPr>
          <w:rFonts w:eastAsia="Times New Roman"/>
          <w:szCs w:val="24"/>
          <w:lang w:val="sv-SE"/>
        </w:rPr>
        <w:t xml:space="preserve"> mål till förnyad prövning i domstol</w:t>
      </w:r>
      <w:r w:rsidRPr="009E0B85">
        <w:rPr>
          <w:rFonts w:eastAsia="Times New Roman"/>
          <w:szCs w:val="24"/>
          <w:lang w:val="sv-SE"/>
        </w:rPr>
        <w:t xml:space="preserve"> i första insta</w:t>
      </w:r>
      <w:r w:rsidR="00162580">
        <w:rPr>
          <w:rFonts w:eastAsia="Times New Roman"/>
          <w:szCs w:val="24"/>
          <w:lang w:val="sv-SE"/>
        </w:rPr>
        <w:t>ns, besvärsdomstol eller kassationsdomstol</w:t>
      </w:r>
      <w:r w:rsidRPr="009E0B85">
        <w:rPr>
          <w:rFonts w:eastAsia="Times New Roman"/>
          <w:szCs w:val="24"/>
          <w:lang w:val="sv-SE"/>
        </w:rPr>
        <w:t xml:space="preserve"> ...</w:t>
      </w:r>
    </w:p>
    <w:p w:rsidRPr="00781D24" w:rsidR="00486331" w:rsidP="00486331">
      <w:pPr>
        <w:pStyle w:val="ECHRParaQuote"/>
        <w:rPr>
          <w:rFonts w:eastAsia="Times New Roman"/>
          <w:szCs w:val="24"/>
          <w:lang w:val="sv-SE"/>
        </w:rPr>
      </w:pPr>
      <w:r w:rsidRPr="009E0B85">
        <w:rPr>
          <w:rFonts w:eastAsia="Times New Roman"/>
          <w:szCs w:val="24"/>
          <w:lang w:val="sv-SE"/>
        </w:rPr>
        <w:t>(3)  hä</w:t>
      </w:r>
      <w:r w:rsidR="00162580">
        <w:rPr>
          <w:rFonts w:eastAsia="Times New Roman"/>
          <w:szCs w:val="24"/>
          <w:lang w:val="sv-SE"/>
        </w:rPr>
        <w:t xml:space="preserve">va ett domslut i besvärsdomstol eller kassationsdomstol och fastställa ett domslut </w:t>
      </w:r>
      <w:r w:rsidRPr="009E0B85">
        <w:rPr>
          <w:rFonts w:eastAsia="Times New Roman"/>
          <w:szCs w:val="24"/>
          <w:lang w:val="sv-SE"/>
        </w:rPr>
        <w:t>som hävts felaktigt ...</w:t>
      </w:r>
    </w:p>
    <w:p w:rsidRPr="00781D24" w:rsidR="00486331" w:rsidP="00486331">
      <w:pPr>
        <w:pStyle w:val="ECHRParaQuote"/>
        <w:rPr>
          <w:rFonts w:eastAsia="Times New Roman"/>
          <w:szCs w:val="24"/>
          <w:lang w:val="sv-SE"/>
        </w:rPr>
      </w:pPr>
      <w:r>
        <w:rPr>
          <w:rFonts w:eastAsia="Times New Roman"/>
          <w:szCs w:val="24"/>
          <w:lang w:val="sv-SE"/>
        </w:rPr>
        <w:t>(4)  häva dom</w:t>
      </w:r>
      <w:r w:rsidRPr="009E0B85">
        <w:rPr>
          <w:rFonts w:eastAsia="Times New Roman"/>
          <w:szCs w:val="24"/>
          <w:lang w:val="sv-SE"/>
        </w:rPr>
        <w:t>sluten i målet och avbryta förfarandet ...</w:t>
      </w:r>
    </w:p>
    <w:p w:rsidRPr="00781D24" w:rsidR="00486331" w:rsidP="00486331">
      <w:pPr>
        <w:pStyle w:val="ECHRParaQuote"/>
        <w:rPr>
          <w:rFonts w:eastAsia="Times New Roman"/>
          <w:szCs w:val="24"/>
          <w:lang w:val="sv-SE"/>
        </w:rPr>
      </w:pPr>
      <w:r>
        <w:rPr>
          <w:rFonts w:eastAsia="Times New Roman"/>
          <w:szCs w:val="24"/>
          <w:lang w:val="sv-SE"/>
        </w:rPr>
        <w:t>(5)  ändra ett domslut</w:t>
      </w:r>
      <w:r w:rsidRPr="009E0B85">
        <w:rPr>
          <w:rFonts w:eastAsia="Times New Roman"/>
          <w:szCs w:val="24"/>
          <w:lang w:val="sv-SE"/>
        </w:rPr>
        <w:t xml:space="preserve"> och att </w:t>
      </w:r>
      <w:r>
        <w:rPr>
          <w:rFonts w:eastAsia="Times New Roman"/>
          <w:szCs w:val="24"/>
          <w:lang w:val="sv-SE"/>
        </w:rPr>
        <w:t>fastställa ett nytt domslut</w:t>
      </w:r>
      <w:r w:rsidRPr="009E0B85">
        <w:rPr>
          <w:rFonts w:eastAsia="Times New Roman"/>
          <w:szCs w:val="24"/>
          <w:lang w:val="sv-SE"/>
        </w:rPr>
        <w:t xml:space="preserve"> baserat på de faktiska omständigheterna i målet ...”</w:t>
      </w:r>
    </w:p>
    <w:p w:rsidRPr="00781D24" w:rsidR="00486331" w:rsidP="00486331">
      <w:pPr>
        <w:pStyle w:val="ECHRTitleCentre3"/>
        <w:rPr>
          <w:rFonts w:eastAsia="Times New Roman"/>
          <w:szCs w:val="24"/>
          <w:lang w:val="sv-SE"/>
        </w:rPr>
      </w:pPr>
      <w:r>
        <w:rPr>
          <w:rFonts w:eastAsia="Times New Roman"/>
          <w:szCs w:val="24"/>
          <w:lang w:val="sv-SE"/>
        </w:rPr>
        <w:t>Artikel 360. Högsta domstolens domar vinner laga kraft</w:t>
      </w:r>
    </w:p>
    <w:p w:rsidRPr="00781D24" w:rsidR="00486331" w:rsidP="00486331">
      <w:pPr>
        <w:pStyle w:val="ECHRParaQuote"/>
        <w:rPr>
          <w:rFonts w:eastAsia="Times New Roman"/>
          <w:szCs w:val="24"/>
          <w:lang w:val="sv-SE"/>
        </w:rPr>
      </w:pPr>
      <w:r w:rsidRPr="009E0B85">
        <w:rPr>
          <w:rFonts w:eastAsia="Times New Roman"/>
          <w:szCs w:val="24"/>
          <w:lang w:val="sv-SE"/>
        </w:rPr>
        <w:t xml:space="preserve">“1.  Beslut fastställda av Ukrainas Högsta domstol mot bakgrund av </w:t>
      </w:r>
      <w:r w:rsidR="00162580">
        <w:rPr>
          <w:rFonts w:eastAsia="Times New Roman"/>
          <w:szCs w:val="24"/>
          <w:lang w:val="sv-SE"/>
        </w:rPr>
        <w:t xml:space="preserve">exceptionella </w:t>
      </w:r>
      <w:r w:rsidRPr="009E0B85">
        <w:rPr>
          <w:rFonts w:eastAsia="Times New Roman"/>
          <w:szCs w:val="24"/>
          <w:lang w:val="sv-SE"/>
        </w:rPr>
        <w:t>omständigheter vinner laga kraft när de avkunnats och kan inte överklagas.”</w:t>
      </w:r>
    </w:p>
    <w:p w:rsidRPr="00781D24" w:rsidR="00503150" w:rsidP="00503150">
      <w:pPr>
        <w:pStyle w:val="ECHRHeading2"/>
        <w:rPr>
          <w:rFonts w:eastAsia="Times New Roman" w:cstheme="minorBidi"/>
          <w:bCs w:val="0"/>
          <w:szCs w:val="24"/>
          <w:lang w:val="sv-SE"/>
        </w:rPr>
      </w:pPr>
      <w:r w:rsidRPr="009E0B85">
        <w:rPr>
          <w:rFonts w:eastAsia="Times New Roman" w:cstheme="minorBidi"/>
          <w:bCs w:val="0"/>
          <w:szCs w:val="24"/>
          <w:lang w:val="sv-SE"/>
        </w:rPr>
        <w:t>B.  Lag</w:t>
      </w:r>
      <w:r w:rsidRPr="009E0B85">
        <w:rPr>
          <w:rFonts w:eastAsia="Times New Roman" w:cstheme="minorBidi"/>
          <w:bCs w:val="0"/>
          <w:szCs w:val="24"/>
          <w:lang w:val="sv-SE"/>
        </w:rPr>
        <w:t xml:space="preserve"> om verkställande av domar </w:t>
      </w:r>
      <w:r w:rsidR="00B7720B">
        <w:rPr>
          <w:rFonts w:eastAsia="Times New Roman" w:cstheme="minorBidi"/>
          <w:bCs w:val="0"/>
          <w:szCs w:val="24"/>
          <w:lang w:val="sv-SE"/>
        </w:rPr>
        <w:t>och tillämpningen av</w:t>
      </w:r>
      <w:r w:rsidR="007D166A">
        <w:rPr>
          <w:rFonts w:eastAsia="Times New Roman" w:cstheme="minorBidi"/>
          <w:bCs w:val="0"/>
          <w:szCs w:val="24"/>
          <w:lang w:val="sv-SE"/>
        </w:rPr>
        <w:t xml:space="preserve"> rättspraxis i Europadomstolens</w:t>
      </w:r>
      <w:r w:rsidR="00B7720B">
        <w:rPr>
          <w:rFonts w:eastAsia="Times New Roman" w:cstheme="minorBidi"/>
          <w:bCs w:val="0"/>
          <w:szCs w:val="24"/>
          <w:lang w:val="sv-SE"/>
        </w:rPr>
        <w:t xml:space="preserve"> rättpraxis</w:t>
      </w:r>
      <w:r w:rsidRPr="009E0B85">
        <w:rPr>
          <w:rFonts w:eastAsia="Times New Roman" w:cstheme="minorBidi"/>
          <w:bCs w:val="0"/>
          <w:szCs w:val="24"/>
          <w:lang w:val="sv-SE"/>
        </w:rPr>
        <w:t>, 23 februari 2006</w:t>
      </w:r>
      <w:r>
        <w:rPr>
          <w:rStyle w:val="FootnoteReference"/>
          <w:rFonts w:eastAsia="Times New Roman" w:cstheme="minorBidi"/>
          <w:bCs w:val="0"/>
          <w:szCs w:val="24"/>
          <w:lang w:val="sv-SE"/>
        </w:rPr>
        <w:footnoteReference w:id="2"/>
      </w:r>
    </w:p>
    <w:p w:rsidRPr="00781D24" w:rsidR="00503150" w:rsidP="00503150">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25</w:t>
      </w:r>
      <w:r w:rsidRPr="009E0B85">
        <w:rPr>
          <w:rFonts w:eastAsia="Times New Roman"/>
          <w:szCs w:val="24"/>
          <w:lang w:val="en-GB"/>
        </w:rPr>
        <w:fldChar w:fldCharType="end"/>
      </w:r>
      <w:r w:rsidRPr="009E0B85">
        <w:rPr>
          <w:rFonts w:eastAsia="Times New Roman"/>
          <w:szCs w:val="24"/>
          <w:lang w:val="sv-SE"/>
        </w:rPr>
        <w:t>.  De relevanta utdragen ur lagen, som den var formulerad vid tidpunkten, lyder som följer:</w:t>
      </w:r>
    </w:p>
    <w:p w:rsidRPr="00781D24" w:rsidR="00503150" w:rsidP="00503150">
      <w:pPr>
        <w:pStyle w:val="ECHRParaQuote"/>
        <w:rPr>
          <w:rFonts w:eastAsia="Times New Roman"/>
          <w:szCs w:val="24"/>
          <w:lang w:val="sv-SE"/>
        </w:rPr>
      </w:pPr>
      <w:r w:rsidRPr="009E0B85">
        <w:rPr>
          <w:szCs w:val="24"/>
          <w:lang w:val="sv-SE"/>
        </w:rPr>
        <w:t>”Denna lag reglerar förhållanden som härrör från:</w:t>
      </w:r>
      <w:r w:rsidRPr="00781D24">
        <w:rPr>
          <w:szCs w:val="24"/>
          <w:lang w:val="sv-SE"/>
        </w:rPr>
        <w:t xml:space="preserve"> </w:t>
      </w:r>
      <w:r w:rsidRPr="009E0B85">
        <w:rPr>
          <w:rFonts w:eastAsia="Times New Roman"/>
          <w:szCs w:val="24"/>
          <w:lang w:val="sv-SE"/>
        </w:rPr>
        <w:t>Statens skyldighet att verkställa domslut i Europeiska domstolen för de mänskliga rättigheterna i mål mot Ukraina; nödvändigheten att undanröja orsa</w:t>
      </w:r>
      <w:r w:rsidR="00220C32">
        <w:rPr>
          <w:rFonts w:eastAsia="Times New Roman"/>
          <w:szCs w:val="24"/>
          <w:lang w:val="sv-SE"/>
        </w:rPr>
        <w:t>kerna till en kränkning</w:t>
      </w:r>
      <w:r w:rsidRPr="009E0B85">
        <w:rPr>
          <w:rFonts w:eastAsia="Times New Roman"/>
          <w:szCs w:val="24"/>
          <w:lang w:val="sv-SE"/>
        </w:rPr>
        <w:t xml:space="preserve"> </w:t>
      </w:r>
      <w:r w:rsidR="00312052">
        <w:rPr>
          <w:rFonts w:eastAsia="Times New Roman"/>
          <w:szCs w:val="24"/>
          <w:lang w:val="sv-SE"/>
        </w:rPr>
        <w:t xml:space="preserve">av </w:t>
      </w:r>
      <w:r w:rsidRPr="009E0B85">
        <w:rPr>
          <w:rFonts w:eastAsia="Times New Roman"/>
          <w:szCs w:val="24"/>
          <w:lang w:val="sv-SE"/>
        </w:rPr>
        <w:t>konventionen om skydd för de mänskliga rättigheterna och de grundläggande friheterna och protollen till konventionen</w:t>
      </w:r>
      <w:r w:rsidR="00220C32">
        <w:rPr>
          <w:rFonts w:eastAsia="Times New Roman"/>
          <w:szCs w:val="24"/>
          <w:lang w:val="sv-SE"/>
        </w:rPr>
        <w:t xml:space="preserve"> från Ukrainas sida</w:t>
      </w:r>
      <w:r w:rsidRPr="009E0B85">
        <w:rPr>
          <w:rFonts w:eastAsia="Times New Roman"/>
          <w:szCs w:val="24"/>
          <w:lang w:val="sv-SE"/>
        </w:rPr>
        <w:t>; behovet att implementera europeiska regler för mänskliga rättigheter i Ukrainas rättsliga och administrativa</w:t>
      </w:r>
      <w:r w:rsidR="00220C32">
        <w:rPr>
          <w:rFonts w:eastAsia="Times New Roman"/>
          <w:szCs w:val="24"/>
          <w:lang w:val="sv-SE"/>
        </w:rPr>
        <w:t xml:space="preserve"> förfaranden; och behovet</w:t>
      </w:r>
      <w:r w:rsidRPr="009E0B85">
        <w:rPr>
          <w:rFonts w:eastAsia="Times New Roman"/>
          <w:szCs w:val="24"/>
          <w:lang w:val="sv-SE"/>
        </w:rPr>
        <w:t xml:space="preserve"> at</w:t>
      </w:r>
      <w:r w:rsidR="00220C32">
        <w:rPr>
          <w:rFonts w:eastAsia="Times New Roman"/>
          <w:szCs w:val="24"/>
          <w:lang w:val="sv-SE"/>
        </w:rPr>
        <w:t xml:space="preserve">t skapa förutsättningar </w:t>
      </w:r>
      <w:r w:rsidRPr="009E0B85">
        <w:rPr>
          <w:rFonts w:eastAsia="Times New Roman"/>
          <w:szCs w:val="24"/>
          <w:lang w:val="sv-SE"/>
        </w:rPr>
        <w:t>att minska antalet ansökningar mot Ukraina i den Europiska domstolen för de mänskliga rättigheterna."</w:t>
      </w:r>
    </w:p>
    <w:p w:rsidRPr="00781D24" w:rsidR="00503150" w:rsidP="00503150">
      <w:pPr>
        <w:pStyle w:val="ECHRTitleCentre3"/>
        <w:rPr>
          <w:rFonts w:eastAsia="Times New Roman"/>
          <w:szCs w:val="24"/>
          <w:lang w:val="sv-SE"/>
        </w:rPr>
      </w:pPr>
      <w:r w:rsidRPr="009E0B85">
        <w:rPr>
          <w:rFonts w:eastAsia="Times New Roman"/>
          <w:szCs w:val="24"/>
          <w:lang w:val="sv-SE"/>
        </w:rPr>
        <w:t>Paragraf 1. Definitioner</w:t>
      </w:r>
    </w:p>
    <w:p w:rsidRPr="00781D24" w:rsidR="00503150" w:rsidP="00503150">
      <w:pPr>
        <w:pStyle w:val="ECHRParaQuote"/>
        <w:rPr>
          <w:rFonts w:eastAsia="Times New Roman"/>
          <w:szCs w:val="24"/>
          <w:lang w:val="sv-SE"/>
        </w:rPr>
      </w:pPr>
      <w:r w:rsidRPr="009E0B85">
        <w:rPr>
          <w:rFonts w:eastAsia="Times New Roman"/>
          <w:szCs w:val="24"/>
          <w:lang w:val="sv-SE"/>
        </w:rPr>
        <w:t>“1.  För tillämpningen av denna lag har dessa termer följande innebörd när de används:</w:t>
      </w:r>
    </w:p>
    <w:p w:rsidRPr="009C422E" w:rsidR="00B83FFA" w:rsidP="00296D23">
      <w:pPr>
        <w:pStyle w:val="ECHRParaQuote"/>
        <w:rPr>
          <w:rFonts w:eastAsia="Times New Roman"/>
          <w:lang w:val="sv-SE" w:eastAsia="fr-FR"/>
        </w:rPr>
      </w:pPr>
      <w:r w:rsidRPr="009C422E">
        <w:rPr>
          <w:rFonts w:eastAsia="Times New Roman"/>
          <w:lang w:val="sv-SE" w:eastAsia="fr-FR"/>
        </w:rPr>
        <w:t>...</w:t>
      </w:r>
    </w:p>
    <w:p w:rsidRPr="00781D24" w:rsidR="00503150" w:rsidP="00503150">
      <w:pPr>
        <w:pStyle w:val="ECHRParaQuote"/>
        <w:rPr>
          <w:rFonts w:eastAsia="Times New Roman"/>
          <w:szCs w:val="24"/>
          <w:lang w:val="sv-SE"/>
        </w:rPr>
      </w:pPr>
      <w:r w:rsidRPr="009E0B85">
        <w:rPr>
          <w:rFonts w:eastAsia="Times New Roman"/>
          <w:i/>
          <w:szCs w:val="24"/>
          <w:lang w:val="sv-SE"/>
        </w:rPr>
        <w:t>Konventionen</w:t>
      </w:r>
      <w:r w:rsidRPr="009E0B85">
        <w:rPr>
          <w:rFonts w:eastAsia="Times New Roman"/>
          <w:szCs w:val="24"/>
          <w:lang w:val="sv-SE"/>
        </w:rPr>
        <w:t xml:space="preserve"> – Konventionen om skydd för de mänskliga rättigheterna och de grundläggande friheterna 1950 och tillhörande protokoll som antagits som bindande av Ukrainas [parlament];</w:t>
      </w:r>
    </w:p>
    <w:p w:rsidRPr="00781D24" w:rsidR="00503150" w:rsidP="00503150">
      <w:pPr>
        <w:pStyle w:val="ECHRParaQuote"/>
        <w:rPr>
          <w:rFonts w:eastAsia="Times New Roman"/>
          <w:szCs w:val="24"/>
          <w:lang w:val="sv-SE"/>
        </w:rPr>
      </w:pPr>
      <w:r w:rsidRPr="009E0B85">
        <w:rPr>
          <w:rFonts w:eastAsia="Times New Roman"/>
          <w:i/>
          <w:szCs w:val="24"/>
          <w:lang w:val="sv-SE"/>
        </w:rPr>
        <w:t>Domstolen</w:t>
      </w:r>
      <w:r w:rsidR="00312052">
        <w:rPr>
          <w:rFonts w:eastAsia="Times New Roman"/>
          <w:i/>
          <w:szCs w:val="24"/>
          <w:lang w:val="sv-SE"/>
        </w:rPr>
        <w:t xml:space="preserve"> </w:t>
      </w:r>
      <w:r w:rsidRPr="009E0B85">
        <w:rPr>
          <w:rFonts w:eastAsia="Times New Roman"/>
          <w:szCs w:val="24"/>
          <w:lang w:val="sv-SE"/>
        </w:rPr>
        <w:t>– Europeiska domstolen för de mänskliga rättigheterna;</w:t>
      </w:r>
    </w:p>
    <w:p w:rsidRPr="00781D24" w:rsidR="00B83FFA" w:rsidP="00296D23">
      <w:pPr>
        <w:pStyle w:val="ECHRParaQuote"/>
        <w:rPr>
          <w:rFonts w:eastAsia="Times New Roman"/>
          <w:lang w:val="sv-SE" w:eastAsia="fr-FR"/>
        </w:rPr>
      </w:pPr>
      <w:r w:rsidRPr="00781D24">
        <w:rPr>
          <w:rFonts w:eastAsia="Times New Roman"/>
          <w:lang w:val="sv-SE" w:eastAsia="fr-FR"/>
        </w:rPr>
        <w:t>...</w:t>
      </w:r>
    </w:p>
    <w:p w:rsidRPr="00781D24" w:rsidR="00503150" w:rsidP="00503150">
      <w:pPr>
        <w:pStyle w:val="ECHRParaQuote"/>
        <w:rPr>
          <w:rFonts w:eastAsia="Times New Roman"/>
          <w:szCs w:val="24"/>
          <w:lang w:val="sv-SE"/>
        </w:rPr>
      </w:pPr>
      <w:r w:rsidRPr="009E0B85">
        <w:rPr>
          <w:rFonts w:eastAsia="Times New Roman"/>
          <w:i/>
          <w:szCs w:val="24"/>
          <w:lang w:val="sv-SE"/>
        </w:rPr>
        <w:t>Förmånstagare</w:t>
      </w:r>
      <w:r w:rsidRPr="009E0B85">
        <w:rPr>
          <w:rFonts w:eastAsia="Times New Roman"/>
          <w:szCs w:val="24"/>
          <w:lang w:val="sv-SE"/>
        </w:rPr>
        <w:t xml:space="preserve"> – (a) en sökande i Europeiska domstolen för de mänskliga rättigheterna i ett mål mot Ukraina till vars förmån Domstolen avkunnat sin dom eller i vars mål parterna har nått en uppgörelse i godo, eller</w:t>
      </w:r>
      <w:r w:rsidR="00220C32">
        <w:rPr>
          <w:rFonts w:eastAsia="Times New Roman"/>
          <w:szCs w:val="24"/>
          <w:lang w:val="sv-SE"/>
        </w:rPr>
        <w:t xml:space="preserve"> dennes företrädare eller</w:t>
      </w:r>
      <w:r w:rsidRPr="009E0B85">
        <w:rPr>
          <w:rFonts w:eastAsia="Times New Roman"/>
          <w:szCs w:val="24"/>
          <w:lang w:val="sv-SE"/>
        </w:rPr>
        <w:t xml:space="preserve"> efterträdare ...</w:t>
      </w:r>
    </w:p>
    <w:p w:rsidRPr="00781D24" w:rsidR="00503150" w:rsidP="00503150">
      <w:pPr>
        <w:pStyle w:val="ECHRParaQuote"/>
        <w:rPr>
          <w:rFonts w:eastAsia="Times New Roman"/>
          <w:szCs w:val="24"/>
          <w:lang w:val="sv-SE"/>
        </w:rPr>
      </w:pPr>
      <w:r w:rsidRPr="009E0B85">
        <w:rPr>
          <w:rFonts w:eastAsia="Times New Roman"/>
          <w:i/>
          <w:szCs w:val="24"/>
          <w:lang w:val="sv-SE"/>
        </w:rPr>
        <w:t>Verkställ</w:t>
      </w:r>
      <w:r w:rsidR="00220C32">
        <w:rPr>
          <w:rFonts w:eastAsia="Times New Roman"/>
          <w:i/>
          <w:szCs w:val="24"/>
          <w:lang w:val="sv-SE"/>
        </w:rPr>
        <w:t>ande</w:t>
      </w:r>
      <w:r w:rsidRPr="009E0B85">
        <w:rPr>
          <w:rFonts w:eastAsia="Times New Roman"/>
          <w:i/>
          <w:szCs w:val="24"/>
          <w:lang w:val="sv-SE"/>
        </w:rPr>
        <w:t xml:space="preserve"> av [Domstolens] domslut</w:t>
      </w:r>
      <w:r w:rsidRPr="009E0B85">
        <w:rPr>
          <w:rFonts w:eastAsia="Times New Roman"/>
          <w:szCs w:val="24"/>
          <w:lang w:val="sv-SE"/>
        </w:rPr>
        <w:t xml:space="preserve"> – (a) betalning av skadestånd till Förmånstagaren; (b) införande av enskilda åtgärder; (c) införande av generella åtgärder;</w:t>
      </w:r>
    </w:p>
    <w:p w:rsidRPr="00781D24" w:rsidR="00B83FFA" w:rsidP="00503150">
      <w:pPr>
        <w:pStyle w:val="ECHRParaQuote"/>
        <w:rPr>
          <w:rFonts w:eastAsia="Times New Roman"/>
          <w:lang w:val="sv-SE" w:eastAsia="fr-FR"/>
        </w:rPr>
      </w:pPr>
      <w:r w:rsidRPr="00781D24">
        <w:rPr>
          <w:rFonts w:eastAsia="Times New Roman"/>
          <w:lang w:val="sv-SE" w:eastAsia="fr-FR"/>
        </w:rPr>
        <w:t>...”</w:t>
      </w:r>
    </w:p>
    <w:p w:rsidRPr="00781D24" w:rsidR="00503150" w:rsidP="00503150">
      <w:pPr>
        <w:pStyle w:val="ECHRTitleCentre3"/>
        <w:rPr>
          <w:rFonts w:eastAsia="Times New Roman"/>
          <w:szCs w:val="24"/>
          <w:lang w:val="sv-SE"/>
        </w:rPr>
      </w:pPr>
      <w:r w:rsidRPr="007D166A">
        <w:rPr>
          <w:rFonts w:eastAsia="Times New Roman"/>
          <w:szCs w:val="24"/>
          <w:lang w:val="sv-SE"/>
        </w:rPr>
        <w:t>Paragraf 2</w:t>
      </w:r>
      <w:r>
        <w:rPr>
          <w:rFonts w:eastAsia="Times New Roman"/>
          <w:szCs w:val="24"/>
          <w:lang w:val="sv-SE"/>
        </w:rPr>
        <w:t>. Verkställande</w:t>
      </w:r>
      <w:r w:rsidRPr="009E0B85">
        <w:rPr>
          <w:rFonts w:eastAsia="Times New Roman"/>
          <w:szCs w:val="24"/>
          <w:lang w:val="sv-SE"/>
        </w:rPr>
        <w:t xml:space="preserve"> av [Domstolens] domslut</w:t>
      </w:r>
    </w:p>
    <w:p w:rsidRPr="00781D24" w:rsidR="00503150" w:rsidP="00503150">
      <w:pPr>
        <w:pStyle w:val="ECHRParaQuote"/>
        <w:rPr>
          <w:rFonts w:eastAsia="Times New Roman"/>
          <w:szCs w:val="24"/>
          <w:lang w:val="sv-SE"/>
        </w:rPr>
      </w:pPr>
      <w:r w:rsidRPr="009E0B85">
        <w:rPr>
          <w:rFonts w:eastAsia="Times New Roman"/>
          <w:szCs w:val="24"/>
          <w:lang w:val="sv-SE"/>
        </w:rPr>
        <w:t>“1.  [Domstolens]  domslut ska vara bindande och verkställbart för Ukraina i enlighet med artikel 46 i Konventionen.</w:t>
      </w:r>
    </w:p>
    <w:p w:rsidRPr="00781D24" w:rsidR="00503150" w:rsidP="00503150">
      <w:pPr>
        <w:pStyle w:val="ECHRParaQuote"/>
        <w:rPr>
          <w:rFonts w:eastAsia="Times New Roman"/>
          <w:szCs w:val="24"/>
          <w:lang w:val="sv-SE"/>
        </w:rPr>
      </w:pPr>
      <w:r w:rsidRPr="009E0B85">
        <w:rPr>
          <w:rFonts w:eastAsia="Times New Roman"/>
          <w:szCs w:val="24"/>
          <w:lang w:val="sv-SE"/>
        </w:rPr>
        <w:t>2.  Verkställighetsförfarandet regleras av denna Lag, verkställighetsförfarandelagen, och av andra bestämmelser, med beaktande av de specifika bestämmelserna i ifrågavarande lag.”</w:t>
      </w:r>
    </w:p>
    <w:p w:rsidRPr="00781D24" w:rsidR="00503150" w:rsidP="00503150">
      <w:pPr>
        <w:pStyle w:val="ECHRTitleCentre3"/>
        <w:rPr>
          <w:rFonts w:eastAsia="Times New Roman"/>
          <w:szCs w:val="24"/>
          <w:lang w:val="sv-SE"/>
        </w:rPr>
      </w:pPr>
      <w:r w:rsidRPr="009E0B85">
        <w:rPr>
          <w:rFonts w:eastAsia="Times New Roman"/>
          <w:szCs w:val="24"/>
          <w:lang w:val="sv-SE"/>
        </w:rPr>
        <w:t>Paragraf 10. Ytterligare enskilda åtgärder</w:t>
      </w:r>
    </w:p>
    <w:p w:rsidRPr="00781D24" w:rsidR="00503150" w:rsidP="00503150">
      <w:pPr>
        <w:pStyle w:val="ECHRParaQuote"/>
        <w:rPr>
          <w:rFonts w:eastAsia="Times New Roman"/>
          <w:szCs w:val="24"/>
          <w:lang w:val="sv-SE"/>
        </w:rPr>
      </w:pPr>
      <w:r>
        <w:rPr>
          <w:rFonts w:eastAsia="Times New Roman"/>
          <w:szCs w:val="24"/>
          <w:lang w:val="sv-SE"/>
        </w:rPr>
        <w:t>“1.  F</w:t>
      </w:r>
      <w:r w:rsidRPr="009E0B85">
        <w:rPr>
          <w:rFonts w:eastAsia="Times New Roman"/>
          <w:szCs w:val="24"/>
          <w:lang w:val="sv-SE"/>
        </w:rPr>
        <w:t xml:space="preserve">örutom betalningen av skadestånd </w:t>
      </w:r>
      <w:r>
        <w:rPr>
          <w:rFonts w:eastAsia="Times New Roman"/>
          <w:szCs w:val="24"/>
          <w:lang w:val="sv-SE"/>
        </w:rPr>
        <w:t>ska enskilda åtgärder vidtas i syfte</w:t>
      </w:r>
      <w:r w:rsidRPr="009E0B85">
        <w:rPr>
          <w:rFonts w:eastAsia="Times New Roman"/>
          <w:szCs w:val="24"/>
          <w:lang w:val="sv-SE"/>
        </w:rPr>
        <w:t xml:space="preserve"> att återupprätta Förmånstagarens rättigheter [som har] kränkts.</w:t>
      </w:r>
    </w:p>
    <w:p w:rsidRPr="00781D24" w:rsidR="00503150" w:rsidP="00503150">
      <w:pPr>
        <w:pStyle w:val="ECHRParaQuote"/>
        <w:rPr>
          <w:rFonts w:eastAsia="Times New Roman"/>
          <w:szCs w:val="24"/>
          <w:lang w:val="sv-SE"/>
        </w:rPr>
      </w:pPr>
      <w:r w:rsidRPr="00781D24">
        <w:rPr>
          <w:rFonts w:eastAsia="Times New Roman"/>
          <w:szCs w:val="24"/>
          <w:lang w:val="sv-SE"/>
        </w:rPr>
        <w:t xml:space="preserve">2. </w:t>
      </w:r>
      <w:r w:rsidRPr="009E0B85">
        <w:rPr>
          <w:rFonts w:eastAsia="Times New Roman"/>
          <w:szCs w:val="24"/>
          <w:lang w:val="sv-SE"/>
        </w:rPr>
        <w:t>Enskilda åtgärder är bland annat:</w:t>
      </w:r>
    </w:p>
    <w:p w:rsidRPr="00781D24" w:rsidR="00503150" w:rsidP="00503150">
      <w:pPr>
        <w:pStyle w:val="ECHRParaQuote"/>
        <w:rPr>
          <w:rFonts w:eastAsia="Times New Roman"/>
          <w:szCs w:val="24"/>
          <w:lang w:val="sv-SE"/>
        </w:rPr>
      </w:pPr>
      <w:r w:rsidRPr="009E0B85">
        <w:rPr>
          <w:rFonts w:eastAsia="Times New Roman"/>
          <w:szCs w:val="24"/>
          <w:lang w:val="sv-SE"/>
        </w:rPr>
        <w:t>(a)  så långt som möjligt återställa den rättsliga ställning som Förmånstagare</w:t>
      </w:r>
      <w:r w:rsidR="007D166A">
        <w:rPr>
          <w:rFonts w:eastAsia="Times New Roman"/>
          <w:szCs w:val="24"/>
          <w:lang w:val="sv-SE"/>
        </w:rPr>
        <w:t>n</w:t>
      </w:r>
      <w:r w:rsidRPr="009E0B85">
        <w:rPr>
          <w:rFonts w:eastAsia="Times New Roman"/>
          <w:szCs w:val="24"/>
          <w:lang w:val="sv-SE"/>
        </w:rPr>
        <w:t xml:space="preserve"> hade innan Konventionen kränktes (</w:t>
      </w:r>
      <w:r w:rsidRPr="009E0B85">
        <w:rPr>
          <w:rFonts w:eastAsia="Times New Roman"/>
          <w:i/>
          <w:szCs w:val="24"/>
          <w:lang w:val="sv-SE"/>
        </w:rPr>
        <w:t>restitutio in integrum</w:t>
      </w:r>
      <w:r w:rsidRPr="009E0B85">
        <w:rPr>
          <w:rFonts w:eastAsia="Times New Roman"/>
          <w:szCs w:val="24"/>
          <w:lang w:val="sv-SE"/>
        </w:rPr>
        <w:t>);</w:t>
      </w:r>
    </w:p>
    <w:p w:rsidRPr="00781D24" w:rsidR="00B83FFA" w:rsidP="00296D23">
      <w:pPr>
        <w:pStyle w:val="ECHRParaQuote"/>
        <w:rPr>
          <w:rFonts w:eastAsia="Times New Roman"/>
          <w:lang w:val="sv-SE" w:eastAsia="fr-FR"/>
        </w:rPr>
      </w:pPr>
      <w:r w:rsidRPr="00781D24">
        <w:rPr>
          <w:rFonts w:eastAsia="Times New Roman"/>
          <w:lang w:val="sv-SE" w:eastAsia="fr-FR"/>
        </w:rPr>
        <w:t>...</w:t>
      </w:r>
    </w:p>
    <w:p w:rsidRPr="00781D24" w:rsidR="00503150" w:rsidP="00503150">
      <w:pPr>
        <w:pStyle w:val="ECHRParaQuote"/>
        <w:rPr>
          <w:rFonts w:eastAsia="Times New Roman"/>
          <w:szCs w:val="24"/>
          <w:lang w:val="sv-SE"/>
        </w:rPr>
      </w:pPr>
      <w:r w:rsidRPr="009E0B85">
        <w:rPr>
          <w:rFonts w:eastAsia="Times New Roman"/>
          <w:szCs w:val="24"/>
          <w:lang w:val="sv-SE"/>
        </w:rPr>
        <w:t>3.  Förmånstagarens tidigare rättsliga ställ</w:t>
      </w:r>
      <w:r>
        <w:rPr>
          <w:rFonts w:eastAsia="Times New Roman"/>
          <w:szCs w:val="24"/>
          <w:lang w:val="sv-SE"/>
        </w:rPr>
        <w:t>ning ska återställas, bland annat</w:t>
      </w:r>
      <w:r w:rsidRPr="009E0B85">
        <w:rPr>
          <w:rFonts w:eastAsia="Times New Roman"/>
          <w:szCs w:val="24"/>
          <w:lang w:val="sv-SE"/>
        </w:rPr>
        <w:t>, genom:</w:t>
      </w:r>
    </w:p>
    <w:p w:rsidRPr="00781D24" w:rsidR="00503150" w:rsidP="00503150">
      <w:pPr>
        <w:pStyle w:val="ECHRParaQuote"/>
        <w:rPr>
          <w:rFonts w:eastAsia="Times New Roman"/>
          <w:szCs w:val="24"/>
          <w:lang w:val="sv-SE"/>
        </w:rPr>
      </w:pPr>
      <w:r w:rsidRPr="009E0B85">
        <w:rPr>
          <w:rFonts w:eastAsia="Times New Roman"/>
          <w:szCs w:val="24"/>
          <w:lang w:val="sv-SE"/>
        </w:rPr>
        <w:t>(a)  förnyad prövning av målet i domstol, inklusive återupptagande av förhandlingarna i målet;</w:t>
      </w:r>
    </w:p>
    <w:p w:rsidRPr="00781D24" w:rsidR="00503150" w:rsidP="00503150">
      <w:pPr>
        <w:pStyle w:val="ECHRParaQuote"/>
        <w:rPr>
          <w:rFonts w:eastAsia="Times New Roman"/>
          <w:szCs w:val="24"/>
          <w:lang w:val="sv-SE"/>
        </w:rPr>
      </w:pPr>
      <w:r w:rsidRPr="009E0B85">
        <w:rPr>
          <w:rFonts w:eastAsia="Times New Roman"/>
          <w:szCs w:val="24"/>
          <w:lang w:val="sv-SE"/>
        </w:rPr>
        <w:t xml:space="preserve">(b)  förnyad </w:t>
      </w:r>
      <w:r w:rsidR="00312052">
        <w:rPr>
          <w:rFonts w:eastAsia="Times New Roman"/>
          <w:szCs w:val="24"/>
          <w:lang w:val="sv-SE"/>
        </w:rPr>
        <w:t>prövning av målet i</w:t>
      </w:r>
      <w:r w:rsidRPr="009E0B85">
        <w:rPr>
          <w:rFonts w:eastAsia="Times New Roman"/>
          <w:szCs w:val="24"/>
          <w:lang w:val="sv-SE"/>
        </w:rPr>
        <w:t xml:space="preserve"> förvaltningsmyndighet.”</w:t>
      </w:r>
    </w:p>
    <w:p w:rsidRPr="00781D24" w:rsidR="00503150" w:rsidP="00503150">
      <w:pPr>
        <w:pStyle w:val="ECHRTitleCentre3"/>
        <w:rPr>
          <w:rFonts w:eastAsia="Times New Roman"/>
          <w:szCs w:val="24"/>
          <w:lang w:val="sv-SE"/>
        </w:rPr>
      </w:pPr>
      <w:r w:rsidRPr="009E0B85">
        <w:rPr>
          <w:rFonts w:eastAsia="Times New Roman"/>
          <w:szCs w:val="24"/>
          <w:lang w:val="sv-SE"/>
        </w:rPr>
        <w:t>Paragraf 11. Åtgärder som ska vidtas av regeringens ombud med avseende på enskilda åtgärder</w:t>
      </w:r>
    </w:p>
    <w:p w:rsidRPr="00781D24" w:rsidR="00503150" w:rsidP="00503150">
      <w:pPr>
        <w:pStyle w:val="ECHRParaQuote"/>
        <w:rPr>
          <w:rFonts w:eastAsia="Times New Roman"/>
          <w:szCs w:val="24"/>
          <w:lang w:val="sv-SE"/>
        </w:rPr>
      </w:pPr>
      <w:r w:rsidRPr="009E0B85">
        <w:rPr>
          <w:rFonts w:eastAsia="Times New Roman"/>
          <w:szCs w:val="24"/>
          <w:lang w:val="sv-SE"/>
        </w:rPr>
        <w:t xml:space="preserve">“1.  Regeringens ombud ska inom tre dagar från </w:t>
      </w:r>
      <w:r w:rsidR="00312052">
        <w:rPr>
          <w:rFonts w:eastAsia="Times New Roman"/>
          <w:szCs w:val="24"/>
          <w:lang w:val="sv-SE"/>
        </w:rPr>
        <w:t xml:space="preserve">det </w:t>
      </w:r>
      <w:r w:rsidRPr="009E0B85">
        <w:rPr>
          <w:rFonts w:eastAsia="Times New Roman"/>
          <w:szCs w:val="24"/>
          <w:lang w:val="sv-SE"/>
        </w:rPr>
        <w:t xml:space="preserve">att meddelande </w:t>
      </w:r>
      <w:r w:rsidR="00312052">
        <w:rPr>
          <w:rFonts w:eastAsia="Times New Roman"/>
          <w:szCs w:val="24"/>
          <w:lang w:val="sv-SE"/>
        </w:rPr>
        <w:t xml:space="preserve">om </w:t>
      </w:r>
      <w:r w:rsidRPr="009E0B85">
        <w:rPr>
          <w:rFonts w:eastAsia="Times New Roman"/>
          <w:szCs w:val="24"/>
          <w:lang w:val="sv-SE"/>
        </w:rPr>
        <w:t>att Domstolens dom vunnit laga kraft har mottagits:</w:t>
      </w:r>
    </w:p>
    <w:p w:rsidRPr="00781D24" w:rsidR="00503150" w:rsidP="00503150">
      <w:pPr>
        <w:pStyle w:val="ECHRParaQuote"/>
        <w:rPr>
          <w:rFonts w:eastAsia="Times New Roman"/>
          <w:szCs w:val="24"/>
          <w:lang w:val="sv-SE"/>
        </w:rPr>
      </w:pPr>
      <w:r w:rsidRPr="009E0B85">
        <w:rPr>
          <w:rFonts w:eastAsia="Times New Roman"/>
          <w:szCs w:val="24"/>
          <w:lang w:val="sv-SE"/>
        </w:rPr>
        <w:t xml:space="preserve">(a)  skicka ett meddelande till Förmånstagaren som förklarar hans rätt att inleda förfarande för </w:t>
      </w:r>
      <w:r w:rsidR="00312052">
        <w:rPr>
          <w:rFonts w:eastAsia="Times New Roman"/>
          <w:szCs w:val="24"/>
          <w:lang w:val="sv-SE"/>
        </w:rPr>
        <w:t xml:space="preserve">ny </w:t>
      </w:r>
      <w:r w:rsidRPr="009E0B85">
        <w:rPr>
          <w:rFonts w:eastAsia="Times New Roman"/>
          <w:szCs w:val="24"/>
          <w:lang w:val="sv-SE"/>
        </w:rPr>
        <w:t>prövning av hans mål o</w:t>
      </w:r>
      <w:r w:rsidR="00312052">
        <w:rPr>
          <w:rFonts w:eastAsia="Times New Roman"/>
          <w:szCs w:val="24"/>
          <w:lang w:val="sv-SE"/>
        </w:rPr>
        <w:t>ch/eller återupptagande av förfarandet</w:t>
      </w:r>
      <w:r w:rsidRPr="009E0B85">
        <w:rPr>
          <w:rFonts w:eastAsia="Times New Roman"/>
          <w:szCs w:val="24"/>
          <w:lang w:val="sv-SE"/>
        </w:rPr>
        <w:t xml:space="preserve"> i enlighet med gällande lag ...”</w:t>
      </w:r>
    </w:p>
    <w:p w:rsidRPr="00781D24" w:rsidR="00341A6D" w:rsidP="00341A6D">
      <w:pPr>
        <w:pStyle w:val="ECHRHeading1"/>
        <w:rPr>
          <w:rFonts w:eastAsia="Times New Roman" w:cstheme="minorBidi"/>
          <w:bCs w:val="0"/>
          <w:caps/>
          <w:szCs w:val="24"/>
          <w:lang w:val="sv-SE"/>
        </w:rPr>
      </w:pPr>
      <w:r w:rsidRPr="00394C16">
        <w:rPr>
          <w:rFonts w:eastAsia="Times New Roman" w:cstheme="minorBidi"/>
          <w:bCs w:val="0"/>
          <w:caps/>
          <w:szCs w:val="24"/>
          <w:lang w:val="sv-SE"/>
        </w:rPr>
        <w:t>III.  Lagstiftning och rättspraxis i europarådets medlemsstater</w:t>
      </w:r>
    </w:p>
    <w:p w:rsidRPr="00781D24" w:rsidR="001B4FE2" w:rsidP="001B4FE2">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26</w:t>
      </w:r>
      <w:r w:rsidRPr="009E0B85">
        <w:rPr>
          <w:szCs w:val="24"/>
          <w:lang w:val="en-GB"/>
        </w:rPr>
        <w:fldChar w:fldCharType="end"/>
      </w:r>
      <w:r w:rsidRPr="009E0B85">
        <w:rPr>
          <w:szCs w:val="24"/>
          <w:lang w:val="sv-SE"/>
        </w:rPr>
        <w:t xml:space="preserve">.  En jämförande granskning av nationell lagstiftning och rättspraxis i trettioåtta av Europarådets medlemsstater visar att många stater har infört nationella mekanismer </w:t>
      </w:r>
      <w:r w:rsidRPr="007D166A">
        <w:rPr>
          <w:szCs w:val="24"/>
          <w:lang w:val="sv-SE"/>
        </w:rPr>
        <w:t>som ger möjlighet att begära förnyad prövning av civilmål som avslutats med slutgiltig</w:t>
      </w:r>
      <w:r w:rsidRPr="007D166A" w:rsidR="002B4BD9">
        <w:rPr>
          <w:szCs w:val="24"/>
          <w:lang w:val="sv-SE"/>
        </w:rPr>
        <w:t>t</w:t>
      </w:r>
      <w:r w:rsidRPr="007D166A">
        <w:rPr>
          <w:szCs w:val="24"/>
          <w:lang w:val="sv-SE"/>
        </w:rPr>
        <w:t xml:space="preserve"> </w:t>
      </w:r>
      <w:r w:rsidRPr="007D166A" w:rsidR="002B4BD9">
        <w:rPr>
          <w:szCs w:val="24"/>
          <w:lang w:val="sv-SE"/>
        </w:rPr>
        <w:t>domstols</w:t>
      </w:r>
      <w:r w:rsidRPr="007D166A">
        <w:rPr>
          <w:szCs w:val="24"/>
          <w:lang w:val="sv-SE"/>
        </w:rPr>
        <w:t>beslut baserat på att Domstolen konstaterat en Konventionskränkning.</w:t>
      </w:r>
      <w:r w:rsidRPr="00781D24">
        <w:rPr>
          <w:szCs w:val="24"/>
          <w:lang w:val="sv-SE"/>
        </w:rPr>
        <w:t xml:space="preserve"> </w:t>
      </w:r>
      <w:r w:rsidRPr="007D166A">
        <w:rPr>
          <w:szCs w:val="24"/>
          <w:lang w:val="sv-SE"/>
        </w:rPr>
        <w:t>I</w:t>
      </w:r>
      <w:r w:rsidRPr="009E0B85">
        <w:rPr>
          <w:szCs w:val="24"/>
          <w:lang w:val="sv-SE"/>
        </w:rPr>
        <w:t xml:space="preserve"> framförallt tjugotvå av de granskade medlemsstaterna föreskriver den nationella civilprocesslagen uttryckligen att en </w:t>
      </w:r>
      <w:r w:rsidRPr="007D166A">
        <w:rPr>
          <w:szCs w:val="24"/>
          <w:lang w:val="sv-SE"/>
        </w:rPr>
        <w:t>sökande ska ges möjlighet att begära förnyad prövning av ett civilmål baserat på</w:t>
      </w:r>
      <w:r w:rsidRPr="009E0B85">
        <w:rPr>
          <w:szCs w:val="24"/>
          <w:lang w:val="sv-SE"/>
        </w:rPr>
        <w:t xml:space="preserve"> att Europeiska domstolen för de mänskliga rättigheterna eller annan internationell domstol har konstaterat att en kränkning skett.</w:t>
      </w:r>
      <w:r w:rsidRPr="00781D24">
        <w:rPr>
          <w:szCs w:val="24"/>
          <w:lang w:val="sv-SE"/>
        </w:rPr>
        <w:t xml:space="preserve"> </w:t>
      </w:r>
      <w:r w:rsidRPr="009E0B85">
        <w:rPr>
          <w:szCs w:val="24"/>
          <w:lang w:val="sv-SE"/>
        </w:rPr>
        <w:t>Så är fallet i Albanien, Andorra, Armenien, Azerbajdzja</w:t>
      </w:r>
      <w:r w:rsidR="00FB0FE4">
        <w:rPr>
          <w:szCs w:val="24"/>
          <w:lang w:val="sv-SE"/>
        </w:rPr>
        <w:t xml:space="preserve">n, Tjeckien, Estland, </w:t>
      </w:r>
      <w:r w:rsidRPr="009E0B85">
        <w:rPr>
          <w:szCs w:val="24"/>
          <w:lang w:val="sv-SE"/>
        </w:rPr>
        <w:t>Makedonien, Georgien, Tyskland, Lettland, Litauen, Moldavien, Montenegro, Norge, Portugal, Rumänien, Ryssland, Serbien, Slovakien, Schweiz och Turkiet.</w:t>
      </w:r>
      <w:r w:rsidRPr="00781D24">
        <w:rPr>
          <w:i/>
          <w:szCs w:val="24"/>
          <w:lang w:val="sv-SE"/>
        </w:rPr>
        <w:t xml:space="preserve"> </w:t>
      </w:r>
      <w:r w:rsidRPr="009E0B85">
        <w:rPr>
          <w:szCs w:val="24"/>
          <w:lang w:val="sv-SE"/>
        </w:rPr>
        <w:t>I alla dessa stater ska begäran om förnyad prövning g</w:t>
      </w:r>
      <w:r w:rsidR="002B4BD9">
        <w:rPr>
          <w:szCs w:val="24"/>
          <w:lang w:val="sv-SE"/>
        </w:rPr>
        <w:t xml:space="preserve">öras till </w:t>
      </w:r>
      <w:r w:rsidRPr="009E0B85">
        <w:rPr>
          <w:szCs w:val="24"/>
          <w:lang w:val="sv-SE"/>
        </w:rPr>
        <w:t>en domstol.</w:t>
      </w:r>
      <w:r w:rsidRPr="00781D24">
        <w:rPr>
          <w:szCs w:val="24"/>
          <w:lang w:val="sv-SE"/>
        </w:rPr>
        <w:t xml:space="preserve"> </w:t>
      </w:r>
      <w:r w:rsidRPr="009E0B85">
        <w:rPr>
          <w:szCs w:val="24"/>
          <w:lang w:val="sv-SE"/>
        </w:rPr>
        <w:t>Däremot varierar jurisdiktionsnivån från medlemsstat till medlemsstat.</w:t>
      </w:r>
      <w:r w:rsidRPr="00781D24">
        <w:rPr>
          <w:szCs w:val="24"/>
          <w:lang w:val="sv-SE"/>
        </w:rPr>
        <w:t xml:space="preserve"> </w:t>
      </w:r>
      <w:r w:rsidRPr="009E0B85">
        <w:rPr>
          <w:szCs w:val="24"/>
          <w:lang w:val="sv-SE"/>
        </w:rPr>
        <w:t xml:space="preserve">I vissa </w:t>
      </w:r>
      <w:r w:rsidR="002B4BD9">
        <w:rPr>
          <w:szCs w:val="24"/>
          <w:lang w:val="sv-SE"/>
        </w:rPr>
        <w:t xml:space="preserve">stater </w:t>
      </w:r>
      <w:r w:rsidRPr="009E0B85">
        <w:rPr>
          <w:szCs w:val="24"/>
          <w:lang w:val="sv-SE"/>
        </w:rPr>
        <w:t xml:space="preserve">är det den högsta instansen som </w:t>
      </w:r>
      <w:r w:rsidRPr="007D166A" w:rsidR="007D166A">
        <w:rPr>
          <w:szCs w:val="24"/>
          <w:lang w:val="sv-SE"/>
        </w:rPr>
        <w:t>behandlar</w:t>
      </w:r>
      <w:r w:rsidRPr="007D166A">
        <w:rPr>
          <w:szCs w:val="24"/>
          <w:lang w:val="sv-SE"/>
        </w:rPr>
        <w:t xml:space="preserve"> ansökan,</w:t>
      </w:r>
      <w:r w:rsidR="007D166A">
        <w:rPr>
          <w:szCs w:val="24"/>
          <w:lang w:val="sv-SE"/>
        </w:rPr>
        <w:t xml:space="preserve"> det vill säga H</w:t>
      </w:r>
      <w:r w:rsidRPr="009E0B85">
        <w:rPr>
          <w:szCs w:val="24"/>
          <w:lang w:val="sv-SE"/>
        </w:rPr>
        <w:t>ögsta domstolen (så är fallet i Albanien, Azerbajdzj</w:t>
      </w:r>
      <w:r w:rsidR="007D166A">
        <w:rPr>
          <w:szCs w:val="24"/>
          <w:lang w:val="sv-SE"/>
        </w:rPr>
        <w:t>an, Estland och Litauen) eller F</w:t>
      </w:r>
      <w:r w:rsidRPr="009E0B85">
        <w:rPr>
          <w:szCs w:val="24"/>
          <w:lang w:val="sv-SE"/>
        </w:rPr>
        <w:t>örfattningsdomstolen (Tjeckien).</w:t>
      </w:r>
      <w:r w:rsidRPr="00781D24">
        <w:rPr>
          <w:szCs w:val="24"/>
          <w:lang w:val="sv-SE"/>
        </w:rPr>
        <w:t xml:space="preserve"> </w:t>
      </w:r>
      <w:r w:rsidRPr="009E0B85">
        <w:rPr>
          <w:szCs w:val="24"/>
          <w:lang w:val="sv-SE"/>
        </w:rPr>
        <w:t>I andra, riktas begäran till den domstol vars beslut ö</w:t>
      </w:r>
      <w:r w:rsidR="00FB0FE4">
        <w:rPr>
          <w:szCs w:val="24"/>
          <w:lang w:val="sv-SE"/>
        </w:rPr>
        <w:t>verklaga</w:t>
      </w:r>
      <w:r w:rsidR="007D166A">
        <w:rPr>
          <w:szCs w:val="24"/>
          <w:lang w:val="sv-SE"/>
        </w:rPr>
        <w:t>t</w:t>
      </w:r>
      <w:r w:rsidR="00FB0FE4">
        <w:rPr>
          <w:szCs w:val="24"/>
          <w:lang w:val="sv-SE"/>
        </w:rPr>
        <w:t xml:space="preserve">s (Kroatien, </w:t>
      </w:r>
      <w:r w:rsidRPr="009E0B85">
        <w:rPr>
          <w:szCs w:val="24"/>
          <w:lang w:val="sv-SE"/>
        </w:rPr>
        <w:t>Makedonien och Serbien).</w:t>
      </w:r>
      <w:r w:rsidRPr="00781D24">
        <w:rPr>
          <w:szCs w:val="24"/>
          <w:lang w:val="sv-SE"/>
        </w:rPr>
        <w:t xml:space="preserve"> </w:t>
      </w:r>
      <w:r w:rsidR="00DE518D">
        <w:rPr>
          <w:szCs w:val="24"/>
          <w:lang w:val="sv-SE"/>
        </w:rPr>
        <w:t>Normalt sker inte förnyad prövning automatiskt utan</w:t>
      </w:r>
      <w:r w:rsidRPr="009E0B85">
        <w:rPr>
          <w:szCs w:val="24"/>
          <w:lang w:val="sv-SE"/>
        </w:rPr>
        <w:t xml:space="preserve"> den är föremål</w:t>
      </w:r>
      <w:r w:rsidR="00D154F4">
        <w:rPr>
          <w:szCs w:val="24"/>
          <w:lang w:val="sv-SE"/>
        </w:rPr>
        <w:t xml:space="preserve"> för tillåtlighetskrav</w:t>
      </w:r>
      <w:r w:rsidR="002B4BD9">
        <w:rPr>
          <w:szCs w:val="24"/>
          <w:lang w:val="sv-SE"/>
        </w:rPr>
        <w:t xml:space="preserve">, till exempel tidsgränser, </w:t>
      </w:r>
      <w:r w:rsidRPr="007D166A">
        <w:rPr>
          <w:szCs w:val="24"/>
          <w:lang w:val="sv-SE"/>
        </w:rPr>
        <w:t>sökandes ta</w:t>
      </w:r>
      <w:r w:rsidRPr="007D166A" w:rsidR="00DE518D">
        <w:rPr>
          <w:szCs w:val="24"/>
          <w:lang w:val="sv-SE"/>
        </w:rPr>
        <w:t xml:space="preserve">lerätt och </w:t>
      </w:r>
      <w:r w:rsidRPr="007D166A" w:rsidR="007D166A">
        <w:rPr>
          <w:szCs w:val="24"/>
          <w:lang w:val="sv-SE"/>
        </w:rPr>
        <w:t>skälen för</w:t>
      </w:r>
      <w:r w:rsidRPr="007D166A" w:rsidR="00DE518D">
        <w:rPr>
          <w:szCs w:val="24"/>
          <w:lang w:val="sv-SE"/>
        </w:rPr>
        <w:t xml:space="preserve"> begäran</w:t>
      </w:r>
      <w:r w:rsidRPr="007D166A">
        <w:rPr>
          <w:szCs w:val="24"/>
          <w:lang w:val="sv-SE"/>
        </w:rPr>
        <w:t xml:space="preserve"> (så är</w:t>
      </w:r>
      <w:r w:rsidRPr="009E0B85">
        <w:rPr>
          <w:szCs w:val="24"/>
          <w:lang w:val="sv-SE"/>
        </w:rPr>
        <w:t xml:space="preserve"> fallet till exempel i Albanien, Makedonien, Georgien, Montenegro och Turkiet). </w:t>
      </w:r>
      <w:r w:rsidRPr="00781D24">
        <w:rPr>
          <w:szCs w:val="24"/>
          <w:lang w:val="sv-SE"/>
        </w:rPr>
        <w:t xml:space="preserve"> </w:t>
      </w:r>
      <w:r w:rsidRPr="009E0B85">
        <w:rPr>
          <w:rFonts w:eastAsia="Times New Roman"/>
          <w:szCs w:val="24"/>
          <w:lang w:val="sv-SE"/>
        </w:rPr>
        <w:t>Vissa nationella bestämmelser kräver att andra villkor är uppfyllda, till exempel att de allva</w:t>
      </w:r>
      <w:r w:rsidR="00773B52">
        <w:rPr>
          <w:rFonts w:eastAsia="Times New Roman"/>
          <w:szCs w:val="24"/>
          <w:lang w:val="sv-SE"/>
        </w:rPr>
        <w:t>rliga följderna av kränkningen</w:t>
      </w:r>
      <w:r w:rsidRPr="009E0B85">
        <w:rPr>
          <w:rFonts w:eastAsia="Times New Roman"/>
          <w:szCs w:val="24"/>
          <w:lang w:val="sv-SE"/>
        </w:rPr>
        <w:t xml:space="preserve"> fortfarande består (Rumänien) eller att </w:t>
      </w:r>
      <w:r w:rsidRPr="009E0B85">
        <w:rPr>
          <w:rFonts w:eastAsia="Times New Roman"/>
          <w:szCs w:val="24"/>
          <w:lang w:val="sv-SE"/>
        </w:rPr>
        <w:t xml:space="preserve">skadeståndet </w:t>
      </w:r>
      <w:r w:rsidR="00773B52">
        <w:rPr>
          <w:rFonts w:eastAsia="Times New Roman"/>
          <w:szCs w:val="24"/>
          <w:lang w:val="sv-SE"/>
        </w:rPr>
        <w:t>inte har gottgjort kränkningen</w:t>
      </w:r>
      <w:r w:rsidRPr="009E0B85">
        <w:rPr>
          <w:rFonts w:eastAsia="Times New Roman"/>
          <w:szCs w:val="24"/>
          <w:lang w:val="sv-SE"/>
        </w:rPr>
        <w:t xml:space="preserve"> (Slovakien) eller att sökanden inte kunnat kompenseras på annat sätt (Estland).</w:t>
      </w:r>
    </w:p>
    <w:p w:rsidRPr="00781D24" w:rsidR="001B4FE2" w:rsidP="001B4FE2">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27</w:t>
      </w:r>
      <w:r w:rsidRPr="009E0B85">
        <w:rPr>
          <w:rFonts w:eastAsia="Times New Roman"/>
          <w:szCs w:val="24"/>
          <w:lang w:val="en-GB"/>
        </w:rPr>
        <w:fldChar w:fldCharType="end"/>
      </w:r>
      <w:r w:rsidRPr="009E0B85">
        <w:rPr>
          <w:rFonts w:eastAsia="Times New Roman"/>
          <w:szCs w:val="24"/>
          <w:lang w:val="sv-SE"/>
        </w:rPr>
        <w:t>.  I sexton av de trettioåtta grans</w:t>
      </w:r>
      <w:r w:rsidR="00696451">
        <w:rPr>
          <w:rFonts w:eastAsia="Times New Roman"/>
          <w:szCs w:val="24"/>
          <w:lang w:val="sv-SE"/>
        </w:rPr>
        <w:t>kade medlemsstaterna är</w:t>
      </w:r>
      <w:r w:rsidRPr="009E0B85">
        <w:rPr>
          <w:rFonts w:eastAsia="Times New Roman"/>
          <w:szCs w:val="24"/>
          <w:lang w:val="sv-SE"/>
        </w:rPr>
        <w:t xml:space="preserve"> </w:t>
      </w:r>
      <w:r w:rsidR="00773B52">
        <w:rPr>
          <w:rFonts w:eastAsia="Times New Roman"/>
          <w:szCs w:val="24"/>
          <w:lang w:val="sv-SE"/>
        </w:rPr>
        <w:t xml:space="preserve">för närvarande inte förnyad </w:t>
      </w:r>
      <w:r w:rsidRPr="009E0B85">
        <w:rPr>
          <w:rFonts w:eastAsia="Times New Roman"/>
          <w:szCs w:val="24"/>
          <w:lang w:val="sv-SE"/>
        </w:rPr>
        <w:t>prövning av civilmål b</w:t>
      </w:r>
      <w:r w:rsidR="00FB0FE4">
        <w:rPr>
          <w:rFonts w:eastAsia="Times New Roman"/>
          <w:szCs w:val="24"/>
          <w:lang w:val="sv-SE"/>
        </w:rPr>
        <w:t xml:space="preserve">aserat på </w:t>
      </w:r>
      <w:r w:rsidR="00773B52">
        <w:rPr>
          <w:rFonts w:eastAsia="Times New Roman"/>
          <w:szCs w:val="24"/>
          <w:lang w:val="sv-SE"/>
        </w:rPr>
        <w:t>Domstolens utslag</w:t>
      </w:r>
      <w:r w:rsidRPr="009E0B85">
        <w:rPr>
          <w:rFonts w:eastAsia="Times New Roman"/>
          <w:szCs w:val="24"/>
          <w:lang w:val="sv-SE"/>
        </w:rPr>
        <w:t xml:space="preserve"> om Konventionskränkning uttryckligen </w:t>
      </w:r>
      <w:r w:rsidR="00696451">
        <w:rPr>
          <w:rFonts w:eastAsia="Times New Roman"/>
          <w:szCs w:val="24"/>
          <w:lang w:val="sv-SE"/>
        </w:rPr>
        <w:t xml:space="preserve">föreskriven </w:t>
      </w:r>
      <w:r w:rsidRPr="009E0B85">
        <w:rPr>
          <w:rFonts w:eastAsia="Times New Roman"/>
          <w:szCs w:val="24"/>
          <w:lang w:val="sv-SE"/>
        </w:rPr>
        <w:t>i befintlig lagstiftning (så är fallet i Österrike, Belgien, Frankrike, Grekland, Ungern, Italien, Irland, Liechtenstein, Luxemburg, Monaco, Nederländerna, Polen, Slovenien, Spanien, Sverige och Sto</w:t>
      </w:r>
      <w:r w:rsidR="00773B52">
        <w:rPr>
          <w:rFonts w:eastAsia="Times New Roman"/>
          <w:szCs w:val="24"/>
          <w:lang w:val="sv-SE"/>
        </w:rPr>
        <w:t>rbritannien (England och Wales). I</w:t>
      </w:r>
      <w:r w:rsidRPr="009E0B85">
        <w:rPr>
          <w:rFonts w:eastAsia="Times New Roman"/>
          <w:szCs w:val="24"/>
          <w:lang w:val="sv-SE"/>
        </w:rPr>
        <w:t xml:space="preserve"> vissa av dessa stater har sökan</w:t>
      </w:r>
      <w:r w:rsidR="00773B52">
        <w:rPr>
          <w:rFonts w:eastAsia="Times New Roman"/>
          <w:szCs w:val="24"/>
          <w:lang w:val="sv-SE"/>
        </w:rPr>
        <w:t xml:space="preserve">den ändå möjlighet att begära ny </w:t>
      </w:r>
      <w:r w:rsidRPr="009E0B85">
        <w:rPr>
          <w:rFonts w:eastAsia="Times New Roman"/>
          <w:szCs w:val="24"/>
          <w:lang w:val="sv-SE"/>
        </w:rPr>
        <w:t>prövning i en sådan situation enligt omprövningsförfarandet mot bakgrund av nya fakta som framkommit eller på grund av att rättegångsfel har begåtts (till exempel Frankrike, Nederländerna och Polen).</w:t>
      </w:r>
    </w:p>
    <w:p w:rsidRPr="00394C16" w:rsidR="003906E8" w:rsidP="003906E8">
      <w:pPr>
        <w:pStyle w:val="ECHRHeading1"/>
        <w:contextualSpacing/>
        <w:rPr>
          <w:rFonts w:eastAsia="Times New Roman" w:cstheme="minorBidi"/>
          <w:bCs w:val="0"/>
          <w:caps/>
          <w:szCs w:val="24"/>
          <w:lang w:val="sv-SE"/>
        </w:rPr>
      </w:pPr>
      <w:r w:rsidRPr="00394C16">
        <w:rPr>
          <w:rFonts w:eastAsia="Times New Roman" w:cstheme="minorBidi"/>
          <w:bCs w:val="0"/>
          <w:caps/>
          <w:szCs w:val="24"/>
          <w:lang w:val="sv-SE"/>
        </w:rPr>
        <w:t>IV.  </w:t>
      </w:r>
      <w:r w:rsidRPr="00394C16">
        <w:rPr>
          <w:rFonts w:eastAsia="Times New Roman" w:cstheme="minorBidi"/>
          <w:bCs w:val="0"/>
          <w:caps/>
          <w:szCs w:val="24"/>
          <w:lang w:val="sv-SE"/>
        </w:rPr>
        <w:t xml:space="preserve">REKOMMENDATION </w:t>
      </w:r>
      <w:r w:rsidRPr="00394C16">
        <w:rPr>
          <w:rFonts w:eastAsia="Times New Roman" w:cstheme="minorBidi"/>
          <w:bCs w:val="0"/>
          <w:caps/>
          <w:szCs w:val="24"/>
          <w:lang w:val="sv-SE"/>
        </w:rPr>
        <w:t>NR </w:t>
      </w:r>
      <w:r w:rsidRPr="00394C16">
        <w:rPr>
          <w:rFonts w:eastAsia="Times New Roman" w:cstheme="minorBidi"/>
          <w:bCs w:val="0"/>
          <w:caps/>
          <w:szCs w:val="24"/>
          <w:lang w:val="sv-SE"/>
        </w:rPr>
        <w:t>R</w:t>
      </w:r>
      <w:r w:rsidRPr="00394C16">
        <w:rPr>
          <w:rFonts w:eastAsia="Times New Roman" w:cstheme="minorBidi"/>
          <w:bCs w:val="0"/>
          <w:caps/>
          <w:szCs w:val="24"/>
          <w:lang w:val="sv-SE"/>
        </w:rPr>
        <w:t> </w:t>
      </w:r>
      <w:r w:rsidRPr="00394C16">
        <w:rPr>
          <w:rFonts w:eastAsia="Times New Roman" w:cstheme="minorBidi"/>
          <w:bCs w:val="0"/>
          <w:caps/>
          <w:szCs w:val="24"/>
          <w:lang w:val="sv-SE"/>
        </w:rPr>
        <w:t>(2000) 2</w:t>
      </w:r>
      <w:r w:rsidRPr="00394C16">
        <w:rPr>
          <w:rFonts w:eastAsia="Times New Roman" w:cstheme="minorBidi"/>
          <w:bCs w:val="0"/>
          <w:caps/>
          <w:szCs w:val="24"/>
          <w:lang w:val="sv-SE"/>
        </w:rPr>
        <w:t xml:space="preserve"> från europarådets ministerkommitté</w:t>
      </w:r>
    </w:p>
    <w:p w:rsidRPr="00781D24" w:rsidR="003906E8" w:rsidP="003906E8">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28</w:t>
      </w:r>
      <w:r w:rsidRPr="009E0B85">
        <w:rPr>
          <w:rFonts w:eastAsia="Times New Roman"/>
          <w:szCs w:val="24"/>
          <w:lang w:val="en-GB"/>
        </w:rPr>
        <w:fldChar w:fldCharType="end"/>
      </w:r>
      <w:r w:rsidRPr="009E0B85">
        <w:rPr>
          <w:rFonts w:eastAsia="Times New Roman"/>
          <w:szCs w:val="24"/>
          <w:lang w:val="sv-SE"/>
        </w:rPr>
        <w:t xml:space="preserve">.  I sin rekommendation nr R (2000) 2, antagen den 19 januari 2000 på ställföreträdarnas </w:t>
      </w:r>
      <w:r w:rsidRPr="007D166A">
        <w:rPr>
          <w:rFonts w:eastAsia="Times New Roman"/>
          <w:szCs w:val="24"/>
          <w:lang w:val="sv-SE"/>
        </w:rPr>
        <w:t>694:e möte,</w:t>
      </w:r>
      <w:r w:rsidRPr="009E0B85">
        <w:rPr>
          <w:rFonts w:eastAsia="Times New Roman"/>
          <w:szCs w:val="24"/>
          <w:lang w:val="sv-SE"/>
        </w:rPr>
        <w:t xml:space="preserve"> konstaterade</w:t>
      </w:r>
      <w:r w:rsidR="00B30C6A">
        <w:rPr>
          <w:rFonts w:eastAsia="Times New Roman"/>
          <w:szCs w:val="24"/>
          <w:lang w:val="sv-SE"/>
        </w:rPr>
        <w:t xml:space="preserve"> Ministerkommittén att övervakningen av verkställandet</w:t>
      </w:r>
      <w:r w:rsidRPr="009E0B85">
        <w:rPr>
          <w:rFonts w:eastAsia="Times New Roman"/>
          <w:szCs w:val="24"/>
          <w:lang w:val="sv-SE"/>
        </w:rPr>
        <w:t xml:space="preserve"> av Dom</w:t>
      </w:r>
      <w:r w:rsidR="00B30C6A">
        <w:rPr>
          <w:rFonts w:eastAsia="Times New Roman"/>
          <w:szCs w:val="24"/>
          <w:lang w:val="sv-SE"/>
        </w:rPr>
        <w:t>stolens domar visade att ny</w:t>
      </w:r>
      <w:r w:rsidRPr="009E0B85">
        <w:rPr>
          <w:rFonts w:eastAsia="Times New Roman"/>
          <w:szCs w:val="24"/>
          <w:lang w:val="sv-SE"/>
        </w:rPr>
        <w:t xml:space="preserve"> prövning av ett mål eller återupptagande av förhandlingar i ett mål under vissa omständigheter var det effektivaste, om inte det enda, sättet att uppnå </w:t>
      </w:r>
      <w:r w:rsidRPr="009E0B85">
        <w:rPr>
          <w:rFonts w:eastAsia="Times New Roman"/>
          <w:i/>
          <w:szCs w:val="24"/>
          <w:lang w:val="sv-SE"/>
        </w:rPr>
        <w:t>restitutio in integrum</w:t>
      </w:r>
      <w:r w:rsidRPr="009E0B85">
        <w:rPr>
          <w:rFonts w:eastAsia="Times New Roman"/>
          <w:szCs w:val="24"/>
          <w:lang w:val="sv-SE"/>
        </w:rPr>
        <w:t>.</w:t>
      </w:r>
    </w:p>
    <w:p w:rsidRPr="00781D24" w:rsidR="00E13087" w:rsidP="00E13087">
      <w:pPr>
        <w:pStyle w:val="ECHRPara"/>
        <w:rPr>
          <w:rFonts w:eastAsia="Times New Roman"/>
          <w:szCs w:val="24"/>
          <w:lang w:val="sv-SE"/>
        </w:rPr>
      </w:pPr>
      <w:r w:rsidRPr="00781D24">
        <w:rPr>
          <w:rFonts w:eastAsia="Times New Roman"/>
          <w:szCs w:val="24"/>
          <w:lang w:val="sv-SE"/>
        </w:rPr>
        <w:t xml:space="preserve"> </w:t>
      </w:r>
      <w:r w:rsidRPr="009E0B85">
        <w:rPr>
          <w:rFonts w:eastAsia="Times New Roman"/>
          <w:szCs w:val="24"/>
          <w:lang w:val="sv-SE"/>
        </w:rPr>
        <w:t xml:space="preserve">Ministerkommittén uppmanade därför staterna att införa mekanismer för ny prövning av ett mål sedan Domstolen konstaterat Konventionskränkning, i synnerhet när:  </w:t>
      </w:r>
    </w:p>
    <w:p w:rsidRPr="00781D24" w:rsidR="00E13087" w:rsidP="00E13087">
      <w:pPr>
        <w:pStyle w:val="ECHRParaQuote"/>
        <w:rPr>
          <w:rFonts w:eastAsia="Times New Roman"/>
          <w:szCs w:val="24"/>
          <w:lang w:val="sv-SE"/>
        </w:rPr>
      </w:pPr>
      <w:r>
        <w:rPr>
          <w:rFonts w:eastAsia="Times New Roman"/>
          <w:szCs w:val="24"/>
          <w:lang w:val="sv-SE"/>
        </w:rPr>
        <w:t>”</w:t>
      </w:r>
      <w:r w:rsidRPr="009E0B85">
        <w:rPr>
          <w:rFonts w:eastAsia="Times New Roman"/>
          <w:szCs w:val="24"/>
          <w:lang w:val="sv-SE"/>
        </w:rPr>
        <w:t>(i)  målsäganden fortfarande är drabbad av mycket svåra negativa konsekvenser på grund av utslaget</w:t>
      </w:r>
      <w:r>
        <w:rPr>
          <w:rFonts w:eastAsia="Times New Roman"/>
          <w:szCs w:val="24"/>
          <w:lang w:val="sv-SE"/>
        </w:rPr>
        <w:t xml:space="preserve"> </w:t>
      </w:r>
      <w:r w:rsidR="004C234C">
        <w:rPr>
          <w:rFonts w:eastAsia="Times New Roman"/>
          <w:szCs w:val="24"/>
          <w:lang w:val="sv-SE"/>
        </w:rPr>
        <w:t xml:space="preserve">av </w:t>
      </w:r>
      <w:r>
        <w:rPr>
          <w:rFonts w:eastAsia="Times New Roman"/>
          <w:szCs w:val="24"/>
          <w:lang w:val="sv-SE"/>
        </w:rPr>
        <w:t>det nationella beslutet</w:t>
      </w:r>
      <w:r w:rsidRPr="009E0B85">
        <w:rPr>
          <w:rFonts w:eastAsia="Times New Roman"/>
          <w:szCs w:val="24"/>
          <w:lang w:val="sv-SE"/>
        </w:rPr>
        <w:t>, vilka inte har gottgjorts tillräckligt genom den skäliga gottgörelsen och inte kan rättas till utan ny prövning eller återupptagande av förhandlingarna, och</w:t>
      </w:r>
    </w:p>
    <w:p w:rsidRPr="00781D24" w:rsidR="00E13087" w:rsidP="00E13087">
      <w:pPr>
        <w:pStyle w:val="ECHRParaQuote"/>
        <w:rPr>
          <w:rFonts w:eastAsia="Times New Roman"/>
          <w:szCs w:val="24"/>
          <w:lang w:val="sv-SE"/>
        </w:rPr>
      </w:pPr>
      <w:r w:rsidRPr="009E0B85">
        <w:rPr>
          <w:rFonts w:eastAsia="Times New Roman"/>
          <w:szCs w:val="24"/>
          <w:lang w:val="sv-SE"/>
        </w:rPr>
        <w:t>(ii)  Domstolens domslut leder till slutsatsen att</w:t>
      </w:r>
    </w:p>
    <w:p w:rsidRPr="00781D24" w:rsidR="00E13087" w:rsidP="00E13087">
      <w:pPr>
        <w:pStyle w:val="ECHRParaQuote"/>
        <w:ind w:firstLine="295"/>
        <w:rPr>
          <w:rFonts w:eastAsia="Times New Roman"/>
          <w:szCs w:val="24"/>
          <w:lang w:val="sv-SE"/>
        </w:rPr>
      </w:pPr>
      <w:r w:rsidRPr="009E0B85">
        <w:rPr>
          <w:rFonts w:eastAsia="Times New Roman"/>
          <w:szCs w:val="24"/>
          <w:lang w:val="sv-SE"/>
        </w:rPr>
        <w:t>(a)  </w:t>
      </w:r>
      <w:r w:rsidRPr="004C234C">
        <w:rPr>
          <w:rFonts w:eastAsia="Times New Roman"/>
          <w:szCs w:val="24"/>
          <w:lang w:val="sv-SE"/>
        </w:rPr>
        <w:t>det ifrågasatta nationella</w:t>
      </w:r>
      <w:r w:rsidRPr="009E0B85">
        <w:rPr>
          <w:rFonts w:eastAsia="Times New Roman"/>
          <w:szCs w:val="24"/>
          <w:lang w:val="sv-SE"/>
        </w:rPr>
        <w:t xml:space="preserve"> beslutet i sak strider mot Konventionen, eller</w:t>
      </w:r>
    </w:p>
    <w:p w:rsidRPr="00781D24" w:rsidR="00E13087" w:rsidP="00E13087">
      <w:pPr>
        <w:pStyle w:val="ECHRParaQuote"/>
        <w:ind w:firstLine="295"/>
        <w:rPr>
          <w:rFonts w:eastAsia="Times New Roman"/>
          <w:szCs w:val="24"/>
          <w:lang w:val="sv-SE"/>
        </w:rPr>
      </w:pPr>
      <w:r w:rsidRPr="009E0B85">
        <w:rPr>
          <w:rFonts w:eastAsia="Times New Roman"/>
          <w:szCs w:val="24"/>
          <w:lang w:val="sv-SE"/>
        </w:rPr>
        <w:t>(b)  den konstaterade kränkningen är baserad på rättegångsfel eller brister av sådan dignitet att det re</w:t>
      </w:r>
      <w:r w:rsidR="00FB0FE4">
        <w:rPr>
          <w:rFonts w:eastAsia="Times New Roman"/>
          <w:szCs w:val="24"/>
          <w:lang w:val="sv-SE"/>
        </w:rPr>
        <w:t xml:space="preserve">ser allvarliga tvivel </w:t>
      </w:r>
      <w:r w:rsidR="00B30C6A">
        <w:rPr>
          <w:rFonts w:eastAsia="Times New Roman"/>
          <w:szCs w:val="24"/>
          <w:lang w:val="sv-SE"/>
        </w:rPr>
        <w:t>mot resultatet</w:t>
      </w:r>
      <w:r w:rsidR="00FB0FE4">
        <w:rPr>
          <w:rFonts w:eastAsia="Times New Roman"/>
          <w:szCs w:val="24"/>
          <w:lang w:val="sv-SE"/>
        </w:rPr>
        <w:t xml:space="preserve"> av det nationella förfarande</w:t>
      </w:r>
      <w:r w:rsidRPr="009E0B85">
        <w:rPr>
          <w:rFonts w:eastAsia="Times New Roman"/>
          <w:szCs w:val="24"/>
          <w:lang w:val="sv-SE"/>
        </w:rPr>
        <w:t xml:space="preserve"> som sökanden klagat på.”</w:t>
      </w:r>
    </w:p>
    <w:p w:rsidR="00FB0FE4">
      <w:pPr>
        <w:jc w:val="left"/>
        <w:rPr>
          <w:rFonts w:eastAsia="Times New Roman" w:asciiTheme="majorHAnsi" w:hAnsiTheme="majorHAnsi"/>
          <w:sz w:val="28"/>
          <w:szCs w:val="24"/>
          <w:lang w:val="sv-SE"/>
        </w:rPr>
      </w:pPr>
      <w:r>
        <w:rPr>
          <w:rFonts w:eastAsia="Times New Roman"/>
          <w:szCs w:val="24"/>
          <w:lang w:val="sv-SE"/>
        </w:rPr>
        <w:br w:type="page"/>
      </w:r>
    </w:p>
    <w:p w:rsidRPr="00781D24" w:rsidR="00E13087" w:rsidP="00E13087">
      <w:pPr>
        <w:pStyle w:val="ECHRTitle1"/>
        <w:rPr>
          <w:rFonts w:eastAsia="Times New Roman"/>
          <w:szCs w:val="24"/>
          <w:lang w:val="sv-SE"/>
        </w:rPr>
      </w:pPr>
      <w:r w:rsidRPr="00A61A46">
        <w:rPr>
          <w:rFonts w:eastAsia="Times New Roman"/>
          <w:szCs w:val="24"/>
          <w:lang w:val="sv-SE"/>
        </w:rPr>
        <w:t>LAGSTIFTNINGEN</w:t>
      </w:r>
    </w:p>
    <w:p w:rsidRPr="00781D24" w:rsidR="00CE4ED8" w:rsidP="00CE4ED8">
      <w:pPr>
        <w:pStyle w:val="ECHRHeading1"/>
        <w:rPr>
          <w:rFonts w:eastAsia="Times New Roman" w:cstheme="minorBidi"/>
          <w:bCs w:val="0"/>
          <w:caps/>
          <w:szCs w:val="24"/>
          <w:lang w:val="sv-SE"/>
        </w:rPr>
      </w:pPr>
      <w:r w:rsidRPr="00394C16">
        <w:rPr>
          <w:rFonts w:eastAsia="Times New Roman" w:cstheme="minorBidi"/>
          <w:bCs w:val="0"/>
          <w:caps/>
          <w:szCs w:val="24"/>
          <w:lang w:val="sv-SE"/>
        </w:rPr>
        <w:t>I.  PÅSTÅDD KRÄNKNING</w:t>
      </w:r>
      <w:r w:rsidRPr="00394C16">
        <w:rPr>
          <w:rFonts w:eastAsia="Times New Roman" w:cstheme="minorBidi"/>
          <w:bCs w:val="0"/>
          <w:caps/>
          <w:szCs w:val="24"/>
          <w:lang w:val="sv-SE"/>
        </w:rPr>
        <w:t xml:space="preserve"> AV ARTIKEL 6 § 1 I KONVENTIONEN OCH ARTIKEL 1 I PROTOKOLL NR 1</w:t>
      </w:r>
    </w:p>
    <w:p w:rsidRPr="00781D24" w:rsidR="00CE4ED8" w:rsidP="00CE4ED8">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29</w:t>
      </w:r>
      <w:r w:rsidRPr="009E0B85">
        <w:rPr>
          <w:szCs w:val="24"/>
          <w:lang w:val="en-GB"/>
        </w:rPr>
        <w:fldChar w:fldCharType="end"/>
      </w:r>
      <w:r w:rsidRPr="009E0B85">
        <w:rPr>
          <w:szCs w:val="24"/>
          <w:lang w:val="sv-SE"/>
        </w:rPr>
        <w:t>.  Sökanden klagade ö</w:t>
      </w:r>
      <w:r w:rsidR="009E65CB">
        <w:rPr>
          <w:szCs w:val="24"/>
          <w:lang w:val="sv-SE"/>
        </w:rPr>
        <w:t>ver behandlingen av</w:t>
      </w:r>
      <w:r w:rsidR="00A61A46">
        <w:rPr>
          <w:szCs w:val="24"/>
          <w:lang w:val="sv-SE"/>
        </w:rPr>
        <w:t xml:space="preserve"> hennes ”</w:t>
      </w:r>
      <w:r w:rsidR="009E65CB">
        <w:rPr>
          <w:szCs w:val="24"/>
          <w:lang w:val="sv-SE"/>
        </w:rPr>
        <w:t xml:space="preserve">överklagande </w:t>
      </w:r>
      <w:r w:rsidRPr="009E0B85">
        <w:rPr>
          <w:szCs w:val="24"/>
          <w:lang w:val="sv-SE"/>
        </w:rPr>
        <w:t xml:space="preserve">mot bakgrund </w:t>
      </w:r>
      <w:r w:rsidR="00A61A46">
        <w:rPr>
          <w:szCs w:val="24"/>
          <w:lang w:val="sv-SE"/>
        </w:rPr>
        <w:t>av exceptionella omständigheter”</w:t>
      </w:r>
      <w:r w:rsidRPr="009E0B85">
        <w:rPr>
          <w:szCs w:val="24"/>
          <w:lang w:val="sv-SE"/>
        </w:rPr>
        <w:t xml:space="preserve"> som kulminerade i Högsta domstolens beslut den 14 mars 2008. Framförallt hävdade hon att Högsta domstolen i behandlingen av hennes överklagande hade underlåtit att ta hänsyn till </w:t>
      </w:r>
      <w:r w:rsidRPr="004C234C" w:rsidR="009E65CB">
        <w:rPr>
          <w:szCs w:val="24"/>
          <w:lang w:val="sv-SE"/>
        </w:rPr>
        <w:t>Domstolens utslag</w:t>
      </w:r>
      <w:r w:rsidR="00696451">
        <w:rPr>
          <w:szCs w:val="24"/>
          <w:lang w:val="sv-SE"/>
        </w:rPr>
        <w:t xml:space="preserve"> enligt artikel 6 §</w:t>
      </w:r>
      <w:r w:rsidRPr="004C234C">
        <w:rPr>
          <w:szCs w:val="24"/>
          <w:lang w:val="sv-SE"/>
        </w:rPr>
        <w:t xml:space="preserve"> 1 i Konventionen i</w:t>
      </w:r>
      <w:r w:rsidRPr="004C234C" w:rsidR="009E65CB">
        <w:rPr>
          <w:szCs w:val="24"/>
          <w:lang w:val="sv-SE"/>
        </w:rPr>
        <w:t xml:space="preserve"> sin dom den 3 maj 2007 med avseende på</w:t>
      </w:r>
      <w:r w:rsidRPr="004C234C">
        <w:rPr>
          <w:szCs w:val="24"/>
          <w:lang w:val="sv-SE"/>
        </w:rPr>
        <w:t xml:space="preserve"> de nationella domstolarnas bevisvärdering (se punkt 15 ovan).</w:t>
      </w:r>
      <w:r w:rsidRPr="00781D24">
        <w:rPr>
          <w:szCs w:val="24"/>
          <w:lang w:val="sv-SE"/>
        </w:rPr>
        <w:t xml:space="preserve"> </w:t>
      </w:r>
      <w:r w:rsidRPr="009E0B85">
        <w:rPr>
          <w:szCs w:val="24"/>
          <w:lang w:val="sv-SE"/>
        </w:rPr>
        <w:t>Högsta domstolen hade även underlåtit att ta upp vissa viktiga aspekter i målet, särskilt giltigheten hos den skriftliga huvudbevisningen som de nationella doms</w:t>
      </w:r>
      <w:r w:rsidR="009E65CB">
        <w:rPr>
          <w:szCs w:val="24"/>
          <w:lang w:val="sv-SE"/>
        </w:rPr>
        <w:t>tolarna hade baserat sina domslut</w:t>
      </w:r>
      <w:r w:rsidRPr="009E0B85">
        <w:rPr>
          <w:szCs w:val="24"/>
          <w:lang w:val="sv-SE"/>
        </w:rPr>
        <w:t xml:space="preserve"> på.</w:t>
      </w:r>
      <w:r w:rsidRPr="00781D24">
        <w:rPr>
          <w:szCs w:val="24"/>
          <w:lang w:val="sv-SE"/>
        </w:rPr>
        <w:t xml:space="preserve"> </w:t>
      </w:r>
      <w:r w:rsidR="009E65CB">
        <w:rPr>
          <w:szCs w:val="24"/>
          <w:lang w:val="sv-SE"/>
        </w:rPr>
        <w:t xml:space="preserve">Vidare </w:t>
      </w:r>
      <w:r w:rsidR="00FB0FE4">
        <w:rPr>
          <w:szCs w:val="24"/>
          <w:lang w:val="sv-SE"/>
        </w:rPr>
        <w:t>stred</w:t>
      </w:r>
      <w:r w:rsidRPr="009E0B85">
        <w:rPr>
          <w:szCs w:val="24"/>
          <w:lang w:val="sv-SE"/>
        </w:rPr>
        <w:t xml:space="preserve"> Högsta domsto</w:t>
      </w:r>
      <w:r w:rsidR="009E65CB">
        <w:rPr>
          <w:szCs w:val="24"/>
          <w:lang w:val="sv-SE"/>
        </w:rPr>
        <w:t xml:space="preserve">lens resonemang beträffande </w:t>
      </w:r>
      <w:r w:rsidRPr="009E0B85">
        <w:rPr>
          <w:szCs w:val="24"/>
          <w:lang w:val="sv-SE"/>
        </w:rPr>
        <w:t>resultatet av sökand</w:t>
      </w:r>
      <w:r w:rsidR="00FB0FE4">
        <w:rPr>
          <w:szCs w:val="24"/>
          <w:lang w:val="sv-SE"/>
        </w:rPr>
        <w:t xml:space="preserve">ens tidigare ansökan mot det som </w:t>
      </w:r>
      <w:r w:rsidR="0039393F">
        <w:rPr>
          <w:szCs w:val="24"/>
          <w:lang w:val="sv-SE"/>
        </w:rPr>
        <w:t>Domstolen konstaterat</w:t>
      </w:r>
      <w:r w:rsidRPr="009E0B85">
        <w:rPr>
          <w:szCs w:val="24"/>
          <w:lang w:val="sv-SE"/>
        </w:rPr>
        <w:t xml:space="preserve"> i sin dom den 3 maj 2007 (se punkt 13 och 18 ovan).</w:t>
      </w:r>
      <w:r w:rsidRPr="00781D24">
        <w:rPr>
          <w:szCs w:val="24"/>
          <w:lang w:val="sv-SE"/>
        </w:rPr>
        <w:t xml:space="preserve"> </w:t>
      </w:r>
      <w:r w:rsidRPr="009E0B85">
        <w:rPr>
          <w:rFonts w:eastAsia="Times New Roman"/>
          <w:szCs w:val="24"/>
          <w:lang w:val="sv-SE"/>
        </w:rPr>
        <w:t>Enligt sökande hade det orättvisa sätt på vilket Högsta domstolen hade behandlat hennes överklagande inneburit en ny kränkning av artikel 6 § 1 i Konventionen och artikel 1 i protokoll nr 1. Dessa bestämmelser lyder, i den mån de är relevanta för sökandens synpunkter, som följer:</w:t>
      </w:r>
    </w:p>
    <w:p w:rsidRPr="00781D24" w:rsidR="004B2A9B" w:rsidP="004B2A9B">
      <w:pPr>
        <w:pStyle w:val="ECHRTitleCentre3"/>
        <w:rPr>
          <w:rFonts w:eastAsia="Times New Roman"/>
          <w:szCs w:val="24"/>
          <w:lang w:val="sv-SE"/>
        </w:rPr>
      </w:pPr>
      <w:r w:rsidRPr="009E0B85">
        <w:rPr>
          <w:rFonts w:eastAsia="Times New Roman"/>
          <w:szCs w:val="24"/>
          <w:lang w:val="sv-SE"/>
        </w:rPr>
        <w:t>Artikel 6 § 1</w:t>
      </w:r>
    </w:p>
    <w:p w:rsidRPr="00781D24" w:rsidR="004B2A9B" w:rsidP="004B2A9B">
      <w:pPr>
        <w:pStyle w:val="ECHRParaQuote"/>
        <w:rPr>
          <w:rFonts w:eastAsia="Times New Roman"/>
          <w:szCs w:val="24"/>
          <w:lang w:val="sv-SE"/>
        </w:rPr>
      </w:pPr>
      <w:r>
        <w:rPr>
          <w:rFonts w:eastAsia="Times New Roman"/>
          <w:szCs w:val="24"/>
          <w:lang w:val="sv-SE"/>
        </w:rPr>
        <w:t>”</w:t>
      </w:r>
      <w:r w:rsidRPr="009E0B85">
        <w:rPr>
          <w:rFonts w:eastAsia="Times New Roman"/>
          <w:szCs w:val="24"/>
          <w:lang w:val="sv-SE"/>
        </w:rPr>
        <w:t>Var och en skall, vid prövningen av hans civil</w:t>
      </w:r>
      <w:r>
        <w:rPr>
          <w:rFonts w:eastAsia="Times New Roman"/>
          <w:szCs w:val="24"/>
          <w:lang w:val="sv-SE"/>
        </w:rPr>
        <w:t>a rättigheter och skyldigheter…</w:t>
      </w:r>
      <w:r w:rsidRPr="009E0B85">
        <w:rPr>
          <w:rFonts w:eastAsia="Times New Roman"/>
          <w:szCs w:val="24"/>
          <w:lang w:val="sv-SE"/>
        </w:rPr>
        <w:t>, vara berättigad till en rät</w:t>
      </w:r>
      <w:r>
        <w:rPr>
          <w:rFonts w:eastAsia="Times New Roman"/>
          <w:szCs w:val="24"/>
          <w:lang w:val="sv-SE"/>
        </w:rPr>
        <w:t xml:space="preserve">tvis … förhandling … inför en … </w:t>
      </w:r>
      <w:r w:rsidRPr="009E0B85">
        <w:rPr>
          <w:rFonts w:eastAsia="Times New Roman"/>
          <w:szCs w:val="24"/>
          <w:lang w:val="sv-SE"/>
        </w:rPr>
        <w:t>domstol…”</w:t>
      </w:r>
    </w:p>
    <w:p w:rsidRPr="00781D24" w:rsidR="004B2A9B" w:rsidP="004B2A9B">
      <w:pPr>
        <w:pStyle w:val="ECHRTitleCentre3"/>
        <w:rPr>
          <w:rFonts w:eastAsia="Times New Roman"/>
          <w:szCs w:val="24"/>
          <w:lang w:val="sv-SE"/>
        </w:rPr>
      </w:pPr>
      <w:r w:rsidRPr="009E0B85">
        <w:rPr>
          <w:rFonts w:eastAsia="Times New Roman"/>
          <w:szCs w:val="24"/>
          <w:lang w:val="sv-SE"/>
        </w:rPr>
        <w:t>Artikel 1 i protokoll nr 1</w:t>
      </w:r>
    </w:p>
    <w:p w:rsidRPr="00781D24" w:rsidR="004B2A9B" w:rsidP="004B2A9B">
      <w:pPr>
        <w:pStyle w:val="ECHRParaQuote"/>
        <w:rPr>
          <w:rFonts w:eastAsia="Times New Roman"/>
          <w:szCs w:val="24"/>
          <w:lang w:val="sv-SE"/>
        </w:rPr>
      </w:pPr>
      <w:r w:rsidRPr="009E0B85">
        <w:rPr>
          <w:szCs w:val="24"/>
          <w:lang w:val="sv-SE"/>
        </w:rPr>
        <w:t>“Envar fysisk eller juridisk persons rätt till sin egendom skall lämnas okränkt.</w:t>
      </w:r>
      <w:r w:rsidRPr="00781D24">
        <w:rPr>
          <w:szCs w:val="24"/>
          <w:lang w:val="sv-SE"/>
        </w:rPr>
        <w:t xml:space="preserve"> </w:t>
      </w:r>
      <w:r w:rsidRPr="009E0B85">
        <w:rPr>
          <w:szCs w:val="24"/>
          <w:lang w:val="sv-SE"/>
        </w:rPr>
        <w:t>Ingen får berövas sin egendom annat än i det allmännas intresse och under de förutsättningar som anges i lag och i folkrättens allmänna grundsatser</w:t>
      </w:r>
      <w:r w:rsidRPr="009E0B85">
        <w:rPr>
          <w:rFonts w:ascii="Helvetica" w:hAnsi="Helvetica"/>
          <w:szCs w:val="24"/>
          <w:lang w:val="sv-SE"/>
        </w:rPr>
        <w:t>.</w:t>
      </w:r>
    </w:p>
    <w:p w:rsidRPr="00781D24" w:rsidR="004B2A9B" w:rsidP="004B2A9B">
      <w:pPr>
        <w:pStyle w:val="ECHRParaQuote"/>
        <w:rPr>
          <w:rFonts w:eastAsia="Times New Roman"/>
          <w:szCs w:val="24"/>
          <w:lang w:val="sv-SE"/>
        </w:rPr>
      </w:pPr>
      <w:r w:rsidRPr="009E0B85">
        <w:rPr>
          <w:rFonts w:eastAsia="Times New Roman"/>
          <w:szCs w:val="24"/>
          <w:lang w:val="sv-SE"/>
        </w:rPr>
        <w:t>Ovanstående bestämmelser inskränker dock inte en stats rätt att genomföra sådan lagstiftning som staten finner erforderlig för att reglera nyttjandet av viss egendom i överensstämmelse med det allmännas intresse eller för att säkerställa betalning av skatter och andra pålagor eller av böter och viten”.</w:t>
      </w:r>
    </w:p>
    <w:p w:rsidRPr="00781D24" w:rsidR="001408AD" w:rsidP="001408AD">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30</w:t>
      </w:r>
      <w:r w:rsidRPr="009E0B85">
        <w:rPr>
          <w:szCs w:val="24"/>
          <w:lang w:val="en-GB"/>
        </w:rPr>
        <w:fldChar w:fldCharType="end"/>
      </w:r>
      <w:r w:rsidRPr="009E0B85">
        <w:rPr>
          <w:szCs w:val="24"/>
          <w:lang w:val="sv-SE"/>
        </w:rPr>
        <w:t>.  Inledningsvis noterar Domstolen att denna ansökan är en fortsättning på en tidigare ansökan från samma sökande med avseende på en civilprocess rörande äganderätten till fast egendom.</w:t>
      </w:r>
      <w:r w:rsidRPr="00781D24">
        <w:rPr>
          <w:szCs w:val="24"/>
          <w:lang w:val="sv-SE"/>
        </w:rPr>
        <w:t xml:space="preserve"> </w:t>
      </w:r>
      <w:r w:rsidRPr="009E0B85">
        <w:rPr>
          <w:szCs w:val="24"/>
          <w:lang w:val="sv-SE"/>
        </w:rPr>
        <w:t>I sin dom den 3 maj 2007 rörande denna ansökan, förklarade Domstolen att de nationella d</w:t>
      </w:r>
      <w:r w:rsidR="0039393F">
        <w:rPr>
          <w:szCs w:val="24"/>
          <w:lang w:val="sv-SE"/>
        </w:rPr>
        <w:t>omstolarna hade fattat sina beslut</w:t>
      </w:r>
      <w:r w:rsidRPr="009E0B85">
        <w:rPr>
          <w:szCs w:val="24"/>
          <w:lang w:val="sv-SE"/>
        </w:rPr>
        <w:t xml:space="preserve"> i förfaranden som inte hade respekterat garantierna i artikel 6 § 1 om rättvis förhandling, oavhängighet och opartiskhet, rättssäkerhet </w:t>
      </w:r>
      <w:r w:rsidRPr="004C234C">
        <w:rPr>
          <w:szCs w:val="24"/>
          <w:lang w:val="sv-SE"/>
        </w:rPr>
        <w:t>och kravet på tillräcklig motivering</w:t>
      </w:r>
      <w:r w:rsidRPr="009E0B85">
        <w:rPr>
          <w:szCs w:val="24"/>
          <w:lang w:val="sv-SE"/>
        </w:rPr>
        <w:t xml:space="preserve"> (se punkt 13-15 ovan).</w:t>
      </w:r>
      <w:r w:rsidRPr="00781D24">
        <w:rPr>
          <w:szCs w:val="24"/>
          <w:lang w:val="sv-SE"/>
        </w:rPr>
        <w:t xml:space="preserve"> </w:t>
      </w:r>
      <w:r w:rsidRPr="009E0B85">
        <w:rPr>
          <w:szCs w:val="24"/>
          <w:lang w:val="sv-SE"/>
        </w:rPr>
        <w:t>Med hänvisning huvudsakligen till Domstolens dom den 3 maj 2007, ingav sökande ett exceptionellt överklagande mot nämnda beslut till Högsta domstolen.</w:t>
      </w:r>
      <w:r w:rsidRPr="00781D24">
        <w:rPr>
          <w:szCs w:val="24"/>
          <w:lang w:val="sv-SE"/>
        </w:rPr>
        <w:t xml:space="preserve"> </w:t>
      </w:r>
      <w:r w:rsidRPr="009E0B85">
        <w:rPr>
          <w:rFonts w:eastAsia="Times New Roman"/>
          <w:szCs w:val="24"/>
          <w:lang w:val="sv-SE"/>
        </w:rPr>
        <w:t xml:space="preserve">I det förfarande som avgjordes i mars 2008, och som är </w:t>
      </w:r>
      <w:r w:rsidRPr="009E0B85">
        <w:rPr>
          <w:rFonts w:eastAsia="Times New Roman"/>
          <w:szCs w:val="24"/>
          <w:lang w:val="sv-SE"/>
        </w:rPr>
        <w:t>föremål för hennes nuvarande ansökan avvisade Högsta domstolen hennes överklagande, och vidhöll att de nationella besluten hade varit korrekta och välgrundade.</w:t>
      </w:r>
    </w:p>
    <w:p w:rsidRPr="00781D24" w:rsidR="000E5139" w:rsidP="000E5139">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31</w:t>
      </w:r>
      <w:r w:rsidRPr="009E0B85">
        <w:rPr>
          <w:szCs w:val="24"/>
          <w:lang w:val="en-GB"/>
        </w:rPr>
        <w:fldChar w:fldCharType="end"/>
      </w:r>
      <w:r w:rsidR="00185734">
        <w:rPr>
          <w:szCs w:val="24"/>
          <w:lang w:val="sv-SE"/>
        </w:rPr>
        <w:t>.  Domstolen måste först avgöra om den är förhindrad av artikel 46</w:t>
      </w:r>
      <w:r w:rsidRPr="009E0B85">
        <w:rPr>
          <w:szCs w:val="24"/>
          <w:lang w:val="sv-SE"/>
        </w:rPr>
        <w:t xml:space="preserve"> i Kon</w:t>
      </w:r>
      <w:r w:rsidR="00696451">
        <w:rPr>
          <w:szCs w:val="24"/>
          <w:lang w:val="sv-SE"/>
        </w:rPr>
        <w:t xml:space="preserve">ventionen att behandla </w:t>
      </w:r>
      <w:r w:rsidR="00185734">
        <w:rPr>
          <w:szCs w:val="24"/>
          <w:lang w:val="sv-SE"/>
        </w:rPr>
        <w:t>sökandens klagomål</w:t>
      </w:r>
      <w:r w:rsidRPr="009E0B85">
        <w:rPr>
          <w:szCs w:val="24"/>
          <w:lang w:val="sv-SE"/>
        </w:rPr>
        <w:t xml:space="preserve"> med hänsyn till Konventionens befogenhetsfördelning mellan ministerkommittén oc</w:t>
      </w:r>
      <w:r w:rsidR="00185734">
        <w:rPr>
          <w:szCs w:val="24"/>
          <w:lang w:val="sv-SE"/>
        </w:rPr>
        <w:t>h Domstolen vad gäller övervakningen av verkställandet</w:t>
      </w:r>
      <w:r w:rsidRPr="009E0B85">
        <w:rPr>
          <w:szCs w:val="24"/>
          <w:lang w:val="sv-SE"/>
        </w:rPr>
        <w:t xml:space="preserve"> av Domstolens domslut (jfr, t.ex. </w:t>
      </w:r>
      <w:r w:rsidRPr="009E0B85">
        <w:rPr>
          <w:i/>
          <w:szCs w:val="24"/>
          <w:lang w:val="sv-SE"/>
        </w:rPr>
        <w:t>Lyons and Others v. the United Kingdom</w:t>
      </w:r>
      <w:r w:rsidRPr="009E0B85">
        <w:rPr>
          <w:szCs w:val="24"/>
          <w:lang w:val="sv-SE"/>
        </w:rPr>
        <w:t xml:space="preserve"> (dec.), nr 15227/03, ECHR 2003</w:t>
      </w:r>
      <w:r w:rsidRPr="009E0B85">
        <w:rPr>
          <w:szCs w:val="24"/>
          <w:lang w:val="sv-SE"/>
        </w:rPr>
        <w:noBreakHyphen/>
        <w:t>IX).</w:t>
      </w:r>
      <w:r w:rsidRPr="00781D24">
        <w:rPr>
          <w:szCs w:val="24"/>
          <w:lang w:val="sv-SE"/>
        </w:rPr>
        <w:t xml:space="preserve"> </w:t>
      </w:r>
      <w:r w:rsidRPr="009E0B85">
        <w:rPr>
          <w:rFonts w:eastAsia="Times New Roman"/>
          <w:szCs w:val="24"/>
          <w:lang w:val="sv-SE"/>
        </w:rPr>
        <w:t xml:space="preserve">För det </w:t>
      </w:r>
      <w:r w:rsidR="00185734">
        <w:rPr>
          <w:rFonts w:eastAsia="Times New Roman"/>
          <w:szCs w:val="24"/>
          <w:lang w:val="sv-SE"/>
        </w:rPr>
        <w:t>andra, i händelse att</w:t>
      </w:r>
      <w:r w:rsidRPr="009E0B85">
        <w:rPr>
          <w:rFonts w:eastAsia="Times New Roman"/>
          <w:szCs w:val="24"/>
          <w:lang w:val="sv-SE"/>
        </w:rPr>
        <w:t xml:space="preserve"> Domstolen inte är förhindrad att göra detta, måste Domstolen undersöka huruvida de</w:t>
      </w:r>
      <w:r w:rsidR="00185734">
        <w:rPr>
          <w:rFonts w:eastAsia="Times New Roman"/>
          <w:szCs w:val="24"/>
          <w:lang w:val="sv-SE"/>
        </w:rPr>
        <w:t>t nationella förfarandet</w:t>
      </w:r>
      <w:r w:rsidRPr="009E0B85">
        <w:rPr>
          <w:rFonts w:eastAsia="Times New Roman"/>
          <w:szCs w:val="24"/>
          <w:lang w:val="sv-SE"/>
        </w:rPr>
        <w:t xml:space="preserve"> avseende sökandens exceptionella överklagande var i enlighet med garantiern</w:t>
      </w:r>
      <w:r w:rsidR="00185734">
        <w:rPr>
          <w:rFonts w:eastAsia="Times New Roman"/>
          <w:szCs w:val="24"/>
          <w:lang w:val="sv-SE"/>
        </w:rPr>
        <w:t>a i Konventionen, framförallt garantierna</w:t>
      </w:r>
      <w:r w:rsidRPr="009E0B85">
        <w:rPr>
          <w:rFonts w:eastAsia="Times New Roman"/>
          <w:szCs w:val="24"/>
          <w:lang w:val="sv-SE"/>
        </w:rPr>
        <w:t xml:space="preserve"> i artikel 6 § 1 (jfr </w:t>
      </w:r>
      <w:r w:rsidRPr="009E0B85">
        <w:rPr>
          <w:rFonts w:eastAsia="Times New Roman"/>
          <w:i/>
          <w:szCs w:val="24"/>
          <w:lang w:val="sv-SE"/>
        </w:rPr>
        <w:t>Steck-Risch and Others v. Liechtenstein</w:t>
      </w:r>
      <w:r w:rsidRPr="009E0B85">
        <w:rPr>
          <w:rFonts w:eastAsia="Times New Roman"/>
          <w:szCs w:val="24"/>
          <w:lang w:val="sv-SE"/>
        </w:rPr>
        <w:t xml:space="preserve"> (dec.), nr 29061/08, 11 maj 2010) och, i så fall, om kraven i artikel 6 § 1 var uppfyllda</w:t>
      </w:r>
    </w:p>
    <w:p w:rsidRPr="00781D24" w:rsidR="000E5139" w:rsidP="000E5139">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32</w:t>
      </w:r>
      <w:r w:rsidRPr="009E0B85">
        <w:rPr>
          <w:rFonts w:eastAsia="Times New Roman"/>
          <w:szCs w:val="24"/>
          <w:lang w:val="en-GB"/>
        </w:rPr>
        <w:fldChar w:fldCharType="end"/>
      </w:r>
      <w:r w:rsidRPr="009E0B85">
        <w:rPr>
          <w:rFonts w:eastAsia="Times New Roman"/>
          <w:szCs w:val="24"/>
          <w:lang w:val="sv-SE"/>
        </w:rPr>
        <w:t>.  Inledningsvis är att beakta att sökandens klagomål i princip riktar sig mot</w:t>
      </w:r>
      <w:r w:rsidR="00320EC7">
        <w:rPr>
          <w:rFonts w:eastAsia="Times New Roman"/>
          <w:szCs w:val="24"/>
          <w:lang w:val="sv-SE"/>
        </w:rPr>
        <w:t xml:space="preserve"> det förfarande som avsåg</w:t>
      </w:r>
      <w:r w:rsidRPr="009E0B85">
        <w:rPr>
          <w:rFonts w:eastAsia="Times New Roman"/>
          <w:szCs w:val="24"/>
          <w:lang w:val="sv-SE"/>
        </w:rPr>
        <w:t xml:space="preserve"> hennes excep</w:t>
      </w:r>
      <w:r w:rsidR="00320EC7">
        <w:rPr>
          <w:rFonts w:eastAsia="Times New Roman"/>
          <w:szCs w:val="24"/>
          <w:lang w:val="sv-SE"/>
        </w:rPr>
        <w:t xml:space="preserve">tionella överklagande </w:t>
      </w:r>
      <w:r w:rsidR="00FB0FE4">
        <w:rPr>
          <w:rFonts w:eastAsia="Times New Roman"/>
          <w:szCs w:val="24"/>
          <w:lang w:val="sv-SE"/>
        </w:rPr>
        <w:t xml:space="preserve">som ingavs </w:t>
      </w:r>
      <w:r w:rsidRPr="009E0B85">
        <w:rPr>
          <w:rFonts w:eastAsia="Times New Roman"/>
          <w:szCs w:val="24"/>
          <w:lang w:val="sv-SE"/>
        </w:rPr>
        <w:t>den 14 juni 2007 och avvisades av Högsta domstolen den 14 mars 2008. Med tanke på arten och r</w:t>
      </w:r>
      <w:r w:rsidR="00320EC7">
        <w:rPr>
          <w:rFonts w:eastAsia="Times New Roman"/>
          <w:szCs w:val="24"/>
          <w:lang w:val="sv-SE"/>
        </w:rPr>
        <w:t xml:space="preserve">esultatet av sökandens </w:t>
      </w:r>
      <w:r w:rsidRPr="009E0B85">
        <w:rPr>
          <w:rFonts w:eastAsia="Times New Roman"/>
          <w:szCs w:val="24"/>
          <w:lang w:val="sv-SE"/>
        </w:rPr>
        <w:t>tidigare</w:t>
      </w:r>
      <w:r w:rsidR="00320EC7">
        <w:rPr>
          <w:rFonts w:eastAsia="Times New Roman"/>
          <w:szCs w:val="24"/>
          <w:lang w:val="sv-SE"/>
        </w:rPr>
        <w:t>, liknande</w:t>
      </w:r>
      <w:r w:rsidRPr="009E0B85">
        <w:rPr>
          <w:rFonts w:eastAsia="Times New Roman"/>
          <w:szCs w:val="24"/>
          <w:lang w:val="sv-SE"/>
        </w:rPr>
        <w:t xml:space="preserve"> överklagande, som avvisades av Högsta domstolen den 5 juni 2008, kommer Domstolen även att beakta det senare förfarandet (se punkt 55-56 nedan).</w:t>
      </w:r>
    </w:p>
    <w:p w:rsidRPr="00781D24" w:rsidR="000E5139" w:rsidP="000E5139">
      <w:pPr>
        <w:pStyle w:val="ECHRHeading2"/>
        <w:rPr>
          <w:rFonts w:eastAsia="Times New Roman" w:cstheme="minorBidi"/>
          <w:bCs w:val="0"/>
          <w:szCs w:val="24"/>
          <w:lang w:val="sv-SE"/>
        </w:rPr>
      </w:pPr>
      <w:r w:rsidRPr="009E0B85">
        <w:rPr>
          <w:rFonts w:eastAsia="Times New Roman" w:cstheme="minorBidi"/>
          <w:bCs w:val="0"/>
          <w:szCs w:val="24"/>
          <w:lang w:val="sv-SE"/>
        </w:rPr>
        <w:t>A.  Huruvida Domstolen hindras av artikel 46 i</w:t>
      </w:r>
      <w:r w:rsidR="00BB524E">
        <w:rPr>
          <w:rFonts w:eastAsia="Times New Roman" w:cstheme="minorBidi"/>
          <w:bCs w:val="0"/>
          <w:szCs w:val="24"/>
          <w:lang w:val="sv-SE"/>
        </w:rPr>
        <w:t xml:space="preserve"> konventionen från att pröva </w:t>
      </w:r>
      <w:r w:rsidRPr="009E0B85">
        <w:rPr>
          <w:rFonts w:eastAsia="Times New Roman" w:cstheme="minorBidi"/>
          <w:bCs w:val="0"/>
          <w:szCs w:val="24"/>
          <w:lang w:val="sv-SE"/>
        </w:rPr>
        <w:t>klagomål</w:t>
      </w:r>
      <w:r w:rsidR="00BB524E">
        <w:rPr>
          <w:rFonts w:eastAsia="Times New Roman" w:cstheme="minorBidi"/>
          <w:bCs w:val="0"/>
          <w:szCs w:val="24"/>
          <w:lang w:val="sv-SE"/>
        </w:rPr>
        <w:t xml:space="preserve">en i </w:t>
      </w:r>
      <w:r w:rsidR="00B54C82">
        <w:rPr>
          <w:rFonts w:eastAsia="Times New Roman" w:cstheme="minorBidi"/>
          <w:bCs w:val="0"/>
          <w:szCs w:val="24"/>
          <w:lang w:val="sv-SE"/>
        </w:rPr>
        <w:t>förevarande</w:t>
      </w:r>
      <w:r w:rsidRPr="009E0B85">
        <w:rPr>
          <w:rFonts w:eastAsia="Times New Roman" w:cstheme="minorBidi"/>
          <w:bCs w:val="0"/>
          <w:szCs w:val="24"/>
          <w:lang w:val="sv-SE"/>
        </w:rPr>
        <w:t xml:space="preserve"> ansökan</w:t>
      </w:r>
    </w:p>
    <w:p w:rsidRPr="00781D24" w:rsidR="000E5139" w:rsidP="000E5139">
      <w:pPr>
        <w:pStyle w:val="ECHRHeading3"/>
        <w:rPr>
          <w:rFonts w:eastAsia="Times New Roman" w:cstheme="minorBidi"/>
          <w:bCs w:val="0"/>
          <w:szCs w:val="24"/>
          <w:lang w:val="sv-SE"/>
        </w:rPr>
      </w:pPr>
      <w:r w:rsidRPr="00394C16">
        <w:rPr>
          <w:rFonts w:eastAsia="Times New Roman" w:cstheme="minorBidi"/>
          <w:bCs w:val="0"/>
          <w:szCs w:val="24"/>
          <w:lang w:val="sv-SE"/>
        </w:rPr>
        <w:t>1.  Allmänna principer</w:t>
      </w:r>
    </w:p>
    <w:p w:rsidRPr="00781D24" w:rsidR="002E5052" w:rsidP="002E5052">
      <w:pPr>
        <w:pStyle w:val="ECHRPara"/>
        <w:rPr>
          <w:rFonts w:eastAsia="Times New Roman"/>
          <w:i/>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33</w:t>
      </w:r>
      <w:r w:rsidRPr="009E0B85">
        <w:rPr>
          <w:szCs w:val="24"/>
          <w:lang w:val="en-GB"/>
        </w:rPr>
        <w:fldChar w:fldCharType="end"/>
      </w:r>
      <w:r w:rsidR="00B54C82">
        <w:rPr>
          <w:szCs w:val="24"/>
          <w:lang w:val="sv-SE"/>
        </w:rPr>
        <w:t>   Frågan huruvida</w:t>
      </w:r>
      <w:r w:rsidRPr="009E0B85">
        <w:rPr>
          <w:szCs w:val="24"/>
          <w:lang w:val="sv-SE"/>
        </w:rPr>
        <w:t xml:space="preserve"> de höga fördrag</w:t>
      </w:r>
      <w:r w:rsidR="00B54C82">
        <w:rPr>
          <w:szCs w:val="24"/>
          <w:lang w:val="sv-SE"/>
        </w:rPr>
        <w:t>sslutande parterna har rättat sig efter</w:t>
      </w:r>
      <w:r w:rsidRPr="009E0B85">
        <w:rPr>
          <w:szCs w:val="24"/>
          <w:lang w:val="sv-SE"/>
        </w:rPr>
        <w:t xml:space="preserve"> Domstolens domslut faller utanför dess jurisdiktion</w:t>
      </w:r>
      <w:r w:rsidR="00B54C82">
        <w:rPr>
          <w:szCs w:val="24"/>
          <w:lang w:val="sv-SE"/>
        </w:rPr>
        <w:t xml:space="preserve"> om den inte väcks i samband med det ”</w:t>
      </w:r>
      <w:r w:rsidR="00460A37">
        <w:rPr>
          <w:szCs w:val="24"/>
          <w:lang w:val="sv-SE"/>
        </w:rPr>
        <w:t>överträdelse</w:t>
      </w:r>
      <w:r w:rsidRPr="009E0B85">
        <w:rPr>
          <w:szCs w:val="24"/>
          <w:lang w:val="sv-SE"/>
        </w:rPr>
        <w:t xml:space="preserve">förfarande” </w:t>
      </w:r>
      <w:r w:rsidR="004C234C">
        <w:rPr>
          <w:szCs w:val="24"/>
          <w:lang w:val="sv-SE"/>
        </w:rPr>
        <w:t>som anges i artikel 46 § 4 och</w:t>
      </w:r>
      <w:r w:rsidRPr="009E0B85">
        <w:rPr>
          <w:szCs w:val="24"/>
          <w:lang w:val="sv-SE"/>
        </w:rPr>
        <w:t xml:space="preserve"> 5 i Konventionen (jfr </w:t>
      </w:r>
      <w:r w:rsidRPr="009E0B85">
        <w:rPr>
          <w:i/>
          <w:szCs w:val="24"/>
          <w:lang w:val="sv-SE"/>
        </w:rPr>
        <w:t>The United Macedonian Organisation Ilinden – PIRIN and Others v. Bulgaria (nr 2)</w:t>
      </w:r>
      <w:r w:rsidRPr="009E0B85">
        <w:rPr>
          <w:szCs w:val="24"/>
          <w:lang w:val="sv-SE"/>
        </w:rPr>
        <w:t>, nr</w:t>
      </w:r>
      <w:r w:rsidRPr="00781D24">
        <w:rPr>
          <w:szCs w:val="24"/>
          <w:lang w:val="sv-SE"/>
        </w:rPr>
        <w:t xml:space="preserve"> </w:t>
      </w:r>
      <w:r w:rsidRPr="009E0B85">
        <w:rPr>
          <w:szCs w:val="24"/>
          <w:lang w:val="sv-SE"/>
        </w:rPr>
        <w:t>41561/07 och 20972/08, § 56, 18 oktober 2011).</w:t>
      </w:r>
      <w:r w:rsidRPr="00781D24">
        <w:rPr>
          <w:szCs w:val="24"/>
          <w:lang w:val="sv-SE"/>
        </w:rPr>
        <w:t xml:space="preserve"> </w:t>
      </w:r>
      <w:r w:rsidRPr="009E0B85">
        <w:rPr>
          <w:szCs w:val="24"/>
          <w:lang w:val="sv-SE"/>
        </w:rPr>
        <w:t>Enligt artikel 46 § 2 har ministerkommittén befogenh</w:t>
      </w:r>
      <w:r w:rsidR="00B54C82">
        <w:rPr>
          <w:szCs w:val="24"/>
          <w:lang w:val="sv-SE"/>
        </w:rPr>
        <w:t>et att övervaka verkställandet</w:t>
      </w:r>
      <w:r w:rsidRPr="009E0B85">
        <w:rPr>
          <w:szCs w:val="24"/>
          <w:lang w:val="sv-SE"/>
        </w:rPr>
        <w:t xml:space="preserve"> av Domstolens domar och utvärdera de åtgärder som vidtas av svarandestaterna.</w:t>
      </w:r>
      <w:r w:rsidRPr="00781D24">
        <w:rPr>
          <w:szCs w:val="24"/>
          <w:lang w:val="sv-SE"/>
        </w:rPr>
        <w:t xml:space="preserve"> </w:t>
      </w:r>
      <w:r w:rsidRPr="009E0B85">
        <w:rPr>
          <w:rFonts w:eastAsia="Times New Roman"/>
          <w:szCs w:val="24"/>
          <w:lang w:val="sv-SE"/>
        </w:rPr>
        <w:t>Ministerkommitténs roll</w:t>
      </w:r>
      <w:r w:rsidR="00B54C82">
        <w:rPr>
          <w:rFonts w:eastAsia="Times New Roman"/>
          <w:szCs w:val="24"/>
          <w:lang w:val="sv-SE"/>
        </w:rPr>
        <w:t xml:space="preserve"> när det gäller verkställandet</w:t>
      </w:r>
      <w:r w:rsidRPr="009E0B85">
        <w:rPr>
          <w:rFonts w:eastAsia="Times New Roman"/>
          <w:szCs w:val="24"/>
          <w:lang w:val="sv-SE"/>
        </w:rPr>
        <w:t xml:space="preserve"> av Domstolens domar hindrar dock i</w:t>
      </w:r>
      <w:r w:rsidR="00B54C82">
        <w:rPr>
          <w:rFonts w:eastAsia="Times New Roman"/>
          <w:szCs w:val="24"/>
          <w:lang w:val="sv-SE"/>
        </w:rPr>
        <w:t>nte Domstolen från att pröva en ny ansökan avseende</w:t>
      </w:r>
      <w:r w:rsidRPr="009E0B85">
        <w:rPr>
          <w:rFonts w:eastAsia="Times New Roman"/>
          <w:szCs w:val="24"/>
          <w:lang w:val="sv-SE"/>
        </w:rPr>
        <w:t xml:space="preserve"> åtgärder vidtagna av en svarandestat</w:t>
      </w:r>
      <w:r w:rsidR="00B54C82">
        <w:rPr>
          <w:rFonts w:eastAsia="Times New Roman"/>
          <w:szCs w:val="24"/>
          <w:lang w:val="sv-SE"/>
        </w:rPr>
        <w:t xml:space="preserve"> när det gäller verkställandet</w:t>
      </w:r>
      <w:r w:rsidRPr="009E0B85">
        <w:rPr>
          <w:rFonts w:eastAsia="Times New Roman"/>
          <w:szCs w:val="24"/>
          <w:lang w:val="sv-SE"/>
        </w:rPr>
        <w:t xml:space="preserve"> av en dom om denna ansökan innehåller relevant ny information avsee</w:t>
      </w:r>
      <w:r w:rsidR="00B54C82">
        <w:rPr>
          <w:rFonts w:eastAsia="Times New Roman"/>
          <w:szCs w:val="24"/>
          <w:lang w:val="sv-SE"/>
        </w:rPr>
        <w:t>nde frågor som lämnats öppna</w:t>
      </w:r>
      <w:r w:rsidRPr="009E0B85">
        <w:rPr>
          <w:rFonts w:eastAsia="Times New Roman"/>
          <w:szCs w:val="24"/>
          <w:lang w:val="sv-SE"/>
        </w:rPr>
        <w:t xml:space="preserve"> i den första domen (jfr </w:t>
      </w:r>
      <w:r w:rsidRPr="009E0B85">
        <w:rPr>
          <w:rFonts w:eastAsia="Times New Roman"/>
          <w:i/>
          <w:szCs w:val="24"/>
          <w:lang w:val="sv-SE"/>
        </w:rPr>
        <w:t xml:space="preserve">Verein gegen Tierfabriken Schweiz (VgT) v. Switzerland (no. 2) </w:t>
      </w:r>
      <w:r w:rsidRPr="009E0B85">
        <w:rPr>
          <w:rFonts w:eastAsia="Times New Roman"/>
          <w:szCs w:val="24"/>
          <w:lang w:val="sv-SE"/>
        </w:rPr>
        <w:t xml:space="preserve">[GC], nr 32772/02, </w:t>
      </w:r>
      <w:r w:rsidRPr="009E0B85" w:rsidR="006C2ECD">
        <w:rPr>
          <w:rFonts w:eastAsia="Times New Roman"/>
          <w:szCs w:val="24"/>
          <w:lang w:val="sv-SE"/>
        </w:rPr>
        <w:t>§</w:t>
      </w:r>
      <w:r w:rsidRPr="009E0B85">
        <w:rPr>
          <w:rFonts w:eastAsia="Times New Roman"/>
          <w:szCs w:val="24"/>
          <w:lang w:val="sv-SE"/>
        </w:rPr>
        <w:t xml:space="preserve"> 61</w:t>
      </w:r>
      <w:r w:rsidRPr="009E0B85">
        <w:rPr>
          <w:rFonts w:eastAsia="Times New Roman"/>
          <w:szCs w:val="24"/>
          <w:lang w:val="sv-SE"/>
        </w:rPr>
        <w:noBreakHyphen/>
        <w:t>63, ECHR 2009).</w:t>
      </w:r>
    </w:p>
    <w:p w:rsidRPr="00781D24" w:rsidR="002E5052" w:rsidP="002E5052">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34</w:t>
      </w:r>
      <w:r w:rsidRPr="009E0B85">
        <w:rPr>
          <w:rFonts w:eastAsia="Times New Roman"/>
          <w:szCs w:val="24"/>
          <w:lang w:val="en-GB"/>
        </w:rPr>
        <w:fldChar w:fldCharType="end"/>
      </w:r>
      <w:r w:rsidRPr="009E0B85">
        <w:rPr>
          <w:rFonts w:eastAsia="Times New Roman"/>
          <w:szCs w:val="24"/>
          <w:lang w:val="sv-SE"/>
        </w:rPr>
        <w:t xml:space="preserve">.  De relevanta allmänna principerna sammanfattades i </w:t>
      </w:r>
      <w:r w:rsidRPr="009E0B85">
        <w:rPr>
          <w:rFonts w:eastAsia="Times New Roman"/>
          <w:i/>
          <w:szCs w:val="24"/>
          <w:lang w:val="sv-SE"/>
        </w:rPr>
        <w:t xml:space="preserve">Egmez v. Cyprus </w:t>
      </w:r>
      <w:r w:rsidRPr="009E0B85">
        <w:rPr>
          <w:rFonts w:eastAsia="Times New Roman"/>
          <w:szCs w:val="24"/>
          <w:lang w:val="sv-SE"/>
        </w:rPr>
        <w:t xml:space="preserve">(dec.), nr 12214/07, </w:t>
      </w:r>
      <w:r w:rsidRPr="009E0B85" w:rsidR="006C2ECD">
        <w:rPr>
          <w:rFonts w:eastAsia="Times New Roman"/>
          <w:szCs w:val="24"/>
          <w:lang w:val="sv-SE"/>
        </w:rPr>
        <w:t>§</w:t>
      </w:r>
      <w:r w:rsidRPr="009E0B85">
        <w:rPr>
          <w:rFonts w:eastAsia="Times New Roman"/>
          <w:szCs w:val="24"/>
          <w:lang w:val="sv-SE"/>
        </w:rPr>
        <w:t xml:space="preserve"> 48-56, 18 september 2012), som följer:</w:t>
      </w:r>
    </w:p>
    <w:p w:rsidRPr="00781D24" w:rsidR="000A3FBB" w:rsidP="000A3FBB">
      <w:pPr>
        <w:pStyle w:val="ECHRParaQuote"/>
        <w:rPr>
          <w:rFonts w:eastAsia="Times New Roman"/>
          <w:szCs w:val="24"/>
          <w:lang w:val="sv-SE"/>
        </w:rPr>
      </w:pPr>
      <w:r w:rsidRPr="009E0B85">
        <w:rPr>
          <w:szCs w:val="24"/>
          <w:lang w:val="sv-SE"/>
        </w:rPr>
        <w:t>“48.  Domstolen upprepar att när Domstolen fas</w:t>
      </w:r>
      <w:r>
        <w:rPr>
          <w:szCs w:val="24"/>
          <w:lang w:val="sv-SE"/>
        </w:rPr>
        <w:t>tställer att en kränkning skett</w:t>
      </w:r>
      <w:r w:rsidRPr="009E0B85">
        <w:rPr>
          <w:szCs w:val="24"/>
          <w:lang w:val="sv-SE"/>
        </w:rPr>
        <w:t xml:space="preserve"> är </w:t>
      </w:r>
      <w:r w:rsidRPr="004C234C">
        <w:rPr>
          <w:szCs w:val="24"/>
          <w:lang w:val="sv-SE"/>
        </w:rPr>
        <w:t>detta i princip en fastställelsedom</w:t>
      </w:r>
      <w:r w:rsidRPr="009E0B85">
        <w:rPr>
          <w:szCs w:val="24"/>
          <w:lang w:val="sv-SE"/>
        </w:rPr>
        <w:t xml:space="preserve"> (jfr </w:t>
      </w:r>
      <w:r w:rsidRPr="009E0B85">
        <w:rPr>
          <w:i/>
          <w:szCs w:val="24"/>
          <w:lang w:val="sv-SE"/>
        </w:rPr>
        <w:t>Krčmář and Others v. the Czech Republic</w:t>
      </w:r>
      <w:r w:rsidRPr="009E0B85">
        <w:rPr>
          <w:szCs w:val="24"/>
          <w:lang w:val="sv-SE"/>
        </w:rPr>
        <w:t xml:space="preserve"> (dec.), nr 69190/01, 30 mars 2004; </w:t>
      </w:r>
      <w:r w:rsidRPr="009E0B85">
        <w:rPr>
          <w:i/>
          <w:szCs w:val="24"/>
          <w:lang w:val="sv-SE"/>
        </w:rPr>
        <w:t>Lyons and Others v. the United Kingdom</w:t>
      </w:r>
      <w:r w:rsidRPr="009E0B85">
        <w:rPr>
          <w:szCs w:val="24"/>
          <w:lang w:val="sv-SE"/>
        </w:rPr>
        <w:t xml:space="preserve"> (dec.), nr 15227/03, ECHR 2003-IX; och </w:t>
      </w:r>
      <w:r w:rsidRPr="009E0B85">
        <w:rPr>
          <w:i/>
          <w:szCs w:val="24"/>
          <w:lang w:val="sv-SE"/>
        </w:rPr>
        <w:t>Marckx v. Belgium</w:t>
      </w:r>
      <w:r w:rsidRPr="009E0B85">
        <w:rPr>
          <w:szCs w:val="24"/>
          <w:lang w:val="sv-SE"/>
        </w:rPr>
        <w:t>, 13 juni 1979, § 58, serie A nr 31) och att de höga fördragsslutande parterna genom artikel 46 i Konventionen förbundit sig att rätta sig efter</w:t>
      </w:r>
      <w:r>
        <w:rPr>
          <w:szCs w:val="24"/>
          <w:lang w:val="sv-SE"/>
        </w:rPr>
        <w:t xml:space="preserve"> Domstolens slutgiltiga</w:t>
      </w:r>
      <w:r w:rsidRPr="009E0B85">
        <w:rPr>
          <w:szCs w:val="24"/>
          <w:lang w:val="sv-SE"/>
        </w:rPr>
        <w:t xml:space="preserve"> domar i varje mål dä</w:t>
      </w:r>
      <w:r>
        <w:rPr>
          <w:szCs w:val="24"/>
          <w:lang w:val="sv-SE"/>
        </w:rPr>
        <w:t>r de är parter, verkställandet</w:t>
      </w:r>
      <w:r w:rsidRPr="009E0B85">
        <w:rPr>
          <w:szCs w:val="24"/>
          <w:lang w:val="sv-SE"/>
        </w:rPr>
        <w:t xml:space="preserve"> övervakas av ministerkommittén (jfr, mutatis mutandis, </w:t>
      </w:r>
      <w:r w:rsidRPr="009E0B85">
        <w:rPr>
          <w:i/>
          <w:szCs w:val="24"/>
          <w:lang w:val="sv-SE"/>
        </w:rPr>
        <w:t>Papamichalopoulos and Others v. Greece</w:t>
      </w:r>
      <w:r>
        <w:rPr>
          <w:szCs w:val="24"/>
          <w:lang w:val="sv-SE"/>
        </w:rPr>
        <w:t xml:space="preserve"> (artikel</w:t>
      </w:r>
      <w:r w:rsidRPr="009E0B85">
        <w:rPr>
          <w:szCs w:val="24"/>
          <w:lang w:val="sv-SE"/>
        </w:rPr>
        <w:t xml:space="preserve"> 50), 31 oktober 1995, § 34, serie A nr 330-B).</w:t>
      </w:r>
      <w:r w:rsidRPr="00781D24">
        <w:rPr>
          <w:szCs w:val="24"/>
          <w:lang w:val="sv-SE"/>
        </w:rPr>
        <w:t xml:space="preserve"> </w:t>
      </w:r>
      <w:r w:rsidR="000A395E">
        <w:rPr>
          <w:szCs w:val="24"/>
          <w:lang w:val="sv-SE"/>
        </w:rPr>
        <w:t xml:space="preserve">Det innebär, bland annat, att </w:t>
      </w:r>
      <w:r w:rsidR="00FB0FE4">
        <w:rPr>
          <w:szCs w:val="24"/>
          <w:lang w:val="sv-SE"/>
        </w:rPr>
        <w:t xml:space="preserve">svarandestaten </w:t>
      </w:r>
      <w:r w:rsidR="000A395E">
        <w:rPr>
          <w:szCs w:val="24"/>
          <w:lang w:val="sv-SE"/>
        </w:rPr>
        <w:t xml:space="preserve">genom en dom där </w:t>
      </w:r>
      <w:r w:rsidRPr="009E0B85">
        <w:rPr>
          <w:szCs w:val="24"/>
          <w:lang w:val="sv-SE"/>
        </w:rPr>
        <w:t>Domstolen konstaterar en kränkning av Konventio</w:t>
      </w:r>
      <w:r w:rsidR="000A395E">
        <w:rPr>
          <w:szCs w:val="24"/>
          <w:lang w:val="sv-SE"/>
        </w:rPr>
        <w:t>nen eller des</w:t>
      </w:r>
      <w:r w:rsidR="00FB0FE4">
        <w:rPr>
          <w:szCs w:val="24"/>
          <w:lang w:val="sv-SE"/>
        </w:rPr>
        <w:t>s protokoll åläggs</w:t>
      </w:r>
      <w:r w:rsidRPr="009E0B85">
        <w:rPr>
          <w:szCs w:val="24"/>
          <w:lang w:val="sv-SE"/>
        </w:rPr>
        <w:t xml:space="preserve"> inte bara att betala de berörda tillerkända skadeståndsbelopp, utan även att välja, under övervakning av</w:t>
      </w:r>
      <w:r w:rsidR="00FB0FE4">
        <w:rPr>
          <w:szCs w:val="24"/>
          <w:lang w:val="sv-SE"/>
        </w:rPr>
        <w:t xml:space="preserve"> </w:t>
      </w:r>
      <w:r w:rsidRPr="009E0B85">
        <w:rPr>
          <w:szCs w:val="24"/>
          <w:lang w:val="sv-SE"/>
        </w:rPr>
        <w:t xml:space="preserve">ministerkommittén, de allmänna och/eller enskilda åtgärder som ska införas i deras nationella rättsordning för att sätta stopp för den kränkning som Domstolen fastställt och för att i möjligaste mån avhjälpa effekterna (jfr </w:t>
      </w:r>
      <w:r w:rsidRPr="009E0B85">
        <w:rPr>
          <w:i/>
          <w:szCs w:val="24"/>
          <w:lang w:val="sv-SE"/>
        </w:rPr>
        <w:t xml:space="preserve">Pisano v. Italy </w:t>
      </w:r>
      <w:r w:rsidRPr="009E0B85">
        <w:rPr>
          <w:szCs w:val="24"/>
          <w:lang w:val="sv-SE"/>
        </w:rPr>
        <w:t xml:space="preserve">(avskrivs) [GC], nr 36732/97, § 43, 24 oktober 2002 och </w:t>
      </w:r>
      <w:r w:rsidRPr="009E0B85">
        <w:rPr>
          <w:i/>
          <w:szCs w:val="24"/>
          <w:lang w:val="sv-SE"/>
        </w:rPr>
        <w:t>Scozzari and Giunta v. Italy</w:t>
      </w:r>
      <w:r w:rsidRPr="009E0B85">
        <w:rPr>
          <w:szCs w:val="24"/>
          <w:lang w:val="sv-SE"/>
        </w:rPr>
        <w:t xml:space="preserve"> [GC], nr.</w:t>
      </w:r>
      <w:r w:rsidRPr="00781D24">
        <w:rPr>
          <w:szCs w:val="24"/>
          <w:lang w:val="sv-SE"/>
        </w:rPr>
        <w:t xml:space="preserve"> </w:t>
      </w:r>
      <w:r w:rsidRPr="009E0B85">
        <w:rPr>
          <w:szCs w:val="24"/>
          <w:lang w:val="sv-SE"/>
        </w:rPr>
        <w:t>39221/98 och 41963/98, § 249, ECHR 2000-VIII).</w:t>
      </w:r>
      <w:r w:rsidRPr="00781D24">
        <w:rPr>
          <w:szCs w:val="24"/>
          <w:lang w:val="sv-SE"/>
        </w:rPr>
        <w:t xml:space="preserve"> </w:t>
      </w:r>
      <w:r w:rsidRPr="009E0B85">
        <w:rPr>
          <w:szCs w:val="24"/>
          <w:lang w:val="sv-SE"/>
        </w:rPr>
        <w:t>Svarandestaten har, under ministerkommitténs övervakning, fortfarande frihet att välja med vilka medel de ska fullgöra sin</w:t>
      </w:r>
      <w:r w:rsidR="000A395E">
        <w:rPr>
          <w:szCs w:val="24"/>
          <w:lang w:val="sv-SE"/>
        </w:rPr>
        <w:t>a</w:t>
      </w:r>
      <w:r w:rsidRPr="009E0B85">
        <w:rPr>
          <w:szCs w:val="24"/>
          <w:lang w:val="sv-SE"/>
        </w:rPr>
        <w:t xml:space="preserve"> skyldighet</w:t>
      </w:r>
      <w:r w:rsidR="000A395E">
        <w:rPr>
          <w:szCs w:val="24"/>
          <w:lang w:val="sv-SE"/>
        </w:rPr>
        <w:t>er</w:t>
      </w:r>
      <w:r w:rsidRPr="009E0B85">
        <w:rPr>
          <w:szCs w:val="24"/>
          <w:lang w:val="sv-SE"/>
        </w:rPr>
        <w:t xml:space="preserve"> enligt artikel 46 i Konventionen, förutsatt att dessa medel är förenliga med Domstolens beslut (jfr </w:t>
      </w:r>
      <w:r w:rsidRPr="009E0B85">
        <w:rPr>
          <w:i/>
          <w:szCs w:val="24"/>
          <w:lang w:val="sv-SE"/>
        </w:rPr>
        <w:t>Scozzari and Giunta</w:t>
      </w:r>
      <w:r w:rsidR="000A395E">
        <w:rPr>
          <w:szCs w:val="24"/>
          <w:lang w:val="sv-SE"/>
        </w:rPr>
        <w:t xml:space="preserve"> citerat ovan</w:t>
      </w:r>
      <w:r w:rsidRPr="009E0B85">
        <w:rPr>
          <w:szCs w:val="24"/>
          <w:lang w:val="sv-SE"/>
        </w:rPr>
        <w:t xml:space="preserve">, </w:t>
      </w:r>
      <w:r w:rsidR="004C234C">
        <w:rPr>
          <w:szCs w:val="24"/>
          <w:lang w:val="sv-SE"/>
        </w:rPr>
        <w:t>§ </w:t>
      </w:r>
      <w:r w:rsidRPr="009E0B85">
        <w:rPr>
          <w:szCs w:val="24"/>
          <w:lang w:val="sv-SE"/>
        </w:rPr>
        <w:t>249).</w:t>
      </w:r>
      <w:r w:rsidRPr="00781D24">
        <w:rPr>
          <w:szCs w:val="24"/>
          <w:lang w:val="sv-SE"/>
        </w:rPr>
        <w:t xml:space="preserve"> </w:t>
      </w:r>
      <w:r w:rsidR="000A395E">
        <w:rPr>
          <w:rFonts w:eastAsia="Times New Roman"/>
          <w:szCs w:val="24"/>
          <w:lang w:val="sv-SE"/>
        </w:rPr>
        <w:t xml:space="preserve">Domstolen kan </w:t>
      </w:r>
      <w:r w:rsidRPr="009E0B85">
        <w:rPr>
          <w:rFonts w:eastAsia="Times New Roman"/>
          <w:szCs w:val="24"/>
          <w:lang w:val="sv-SE"/>
        </w:rPr>
        <w:t>inte ikläda sig någon roll i denna dialog ((</w:t>
      </w:r>
      <w:r w:rsidRPr="009E0B85">
        <w:rPr>
          <w:rFonts w:eastAsia="Times New Roman"/>
          <w:i/>
          <w:szCs w:val="24"/>
          <w:lang w:val="sv-SE"/>
        </w:rPr>
        <w:t>Lyons and Others</w:t>
      </w:r>
      <w:r w:rsidRPr="009E0B85">
        <w:rPr>
          <w:rFonts w:eastAsia="Times New Roman"/>
          <w:szCs w:val="24"/>
          <w:lang w:val="sv-SE"/>
        </w:rPr>
        <w:t>, citerat ovan).</w:t>
      </w:r>
    </w:p>
    <w:p w:rsidRPr="00781D24" w:rsidR="000A3FBB" w:rsidP="000A3FBB">
      <w:pPr>
        <w:pStyle w:val="ECHRParaQuote"/>
        <w:rPr>
          <w:rFonts w:eastAsia="Times New Roman"/>
          <w:szCs w:val="24"/>
          <w:lang w:val="sv-SE"/>
        </w:rPr>
      </w:pPr>
      <w:r w:rsidRPr="009E0B85">
        <w:rPr>
          <w:szCs w:val="24"/>
          <w:lang w:val="sv-SE"/>
        </w:rPr>
        <w:t>49.  Även om Domstolen i vissa situationer ange</w:t>
      </w:r>
      <w:r w:rsidR="000A395E">
        <w:rPr>
          <w:szCs w:val="24"/>
          <w:lang w:val="sv-SE"/>
        </w:rPr>
        <w:t>r</w:t>
      </w:r>
      <w:r w:rsidRPr="009E0B85">
        <w:rPr>
          <w:szCs w:val="24"/>
          <w:lang w:val="sv-SE"/>
        </w:rPr>
        <w:t xml:space="preserve"> vilka specifika gottgörelser eller andra åtgärder som svarandestaten ska vidta (jfr, till exempel, </w:t>
      </w:r>
      <w:r w:rsidRPr="009E0B85">
        <w:rPr>
          <w:i/>
          <w:szCs w:val="24"/>
          <w:lang w:val="sv-SE"/>
        </w:rPr>
        <w:t>Assanidze v. Georgia</w:t>
      </w:r>
      <w:r w:rsidRPr="009E0B85">
        <w:rPr>
          <w:szCs w:val="24"/>
          <w:lang w:val="sv-SE"/>
        </w:rPr>
        <w:t xml:space="preserve"> [GC], nr 71503/01, punkt 14 i den operativa delen, ECHR 2004-II; </w:t>
      </w:r>
      <w:r w:rsidRPr="009E0B85">
        <w:rPr>
          <w:i/>
          <w:szCs w:val="24"/>
          <w:lang w:val="sv-SE"/>
        </w:rPr>
        <w:t>Gençel v. Turkey</w:t>
      </w:r>
      <w:r w:rsidRPr="009E0B85">
        <w:rPr>
          <w:szCs w:val="24"/>
          <w:lang w:val="sv-SE"/>
        </w:rPr>
        <w:t xml:space="preserve">, nr 53431/99, § 27, 23 oktober 2003), är det fortfarande ministerkommittén som ska utvärdera implementeringen av åtgärderna enligt artikel 46 § 2 i Konventionen (jfr </w:t>
      </w:r>
      <w:r w:rsidRPr="009E0B85">
        <w:rPr>
          <w:i/>
          <w:szCs w:val="24"/>
          <w:lang w:val="sv-SE"/>
        </w:rPr>
        <w:t>Greens and M.T. v. the United Kingdom</w:t>
      </w:r>
      <w:r w:rsidRPr="009E0B85">
        <w:rPr>
          <w:szCs w:val="24"/>
          <w:lang w:val="sv-SE"/>
        </w:rPr>
        <w:t xml:space="preserve">, nr 60041/08 och 60054/08, § 107, 23 november 2010; </w:t>
      </w:r>
      <w:r w:rsidRPr="009E0B85">
        <w:rPr>
          <w:i/>
          <w:szCs w:val="24"/>
          <w:lang w:val="sv-SE"/>
        </w:rPr>
        <w:t>Suljagić v. Bosnia and Herzegovina</w:t>
      </w:r>
      <w:r w:rsidRPr="009E0B85">
        <w:rPr>
          <w:szCs w:val="24"/>
          <w:lang w:val="sv-SE"/>
        </w:rPr>
        <w:t xml:space="preserve">, nr 27912/02, § 61, 3 november 2009; </w:t>
      </w:r>
      <w:r w:rsidRPr="009E0B85">
        <w:rPr>
          <w:i/>
          <w:szCs w:val="24"/>
          <w:lang w:val="sv-SE"/>
        </w:rPr>
        <w:t>Hutten Czapska v. Poland</w:t>
      </w:r>
      <w:r w:rsidRPr="009E0B85">
        <w:rPr>
          <w:szCs w:val="24"/>
          <w:lang w:val="sv-SE"/>
        </w:rPr>
        <w:t xml:space="preserve"> (uppgörelse i godo) [GC], nr 35014/97, § 42, 28 </w:t>
      </w:r>
      <w:r w:rsidRPr="009E0B85" w:rsidR="006C2ECD">
        <w:rPr>
          <w:szCs w:val="24"/>
          <w:lang w:val="sv-SE"/>
        </w:rPr>
        <w:t>april</w:t>
      </w:r>
      <w:r w:rsidRPr="009E0B85">
        <w:rPr>
          <w:szCs w:val="24"/>
          <w:lang w:val="sv-SE"/>
        </w:rPr>
        <w:t xml:space="preserve"> 2008; </w:t>
      </w:r>
      <w:r w:rsidRPr="009E0B85">
        <w:rPr>
          <w:i/>
          <w:szCs w:val="24"/>
          <w:lang w:val="sv-SE"/>
        </w:rPr>
        <w:t>Hutten Czapska v. Poland</w:t>
      </w:r>
      <w:r w:rsidRPr="009E0B85">
        <w:rPr>
          <w:szCs w:val="24"/>
          <w:lang w:val="sv-SE"/>
        </w:rPr>
        <w:t xml:space="preserve"> [GC], nr  35014/97, </w:t>
      </w:r>
      <w:r w:rsidRPr="009E0B85" w:rsidR="006C2ECD">
        <w:rPr>
          <w:szCs w:val="24"/>
          <w:lang w:val="sv-SE"/>
        </w:rPr>
        <w:t>§</w:t>
      </w:r>
      <w:r w:rsidRPr="009E0B85">
        <w:rPr>
          <w:szCs w:val="24"/>
          <w:lang w:val="sv-SE"/>
        </w:rPr>
        <w:t xml:space="preserve"> 231-239 och den operativa delen, ECHR 2006-VIII); </w:t>
      </w:r>
      <w:r w:rsidRPr="009E0B85">
        <w:rPr>
          <w:i/>
          <w:szCs w:val="24"/>
          <w:lang w:val="sv-SE"/>
        </w:rPr>
        <w:t>Broniowski v. Poland</w:t>
      </w:r>
      <w:r w:rsidRPr="009E0B85">
        <w:rPr>
          <w:szCs w:val="24"/>
          <w:lang w:val="sv-SE"/>
        </w:rPr>
        <w:t xml:space="preserve"> (uppgörelse i godo) [GC], no. 31443/96, § 42, ECHR 2005-IX; och </w:t>
      </w:r>
      <w:r w:rsidRPr="009E0B85">
        <w:rPr>
          <w:i/>
          <w:szCs w:val="24"/>
          <w:lang w:val="sv-SE"/>
        </w:rPr>
        <w:t>Broniowski v. Poland</w:t>
      </w:r>
      <w:r w:rsidRPr="009E0B85">
        <w:rPr>
          <w:szCs w:val="24"/>
          <w:lang w:val="sv-SE"/>
        </w:rPr>
        <w:t xml:space="preserve"> [GC], nr 31443/96, </w:t>
      </w:r>
      <w:r w:rsidRPr="009E0B85" w:rsidR="006C2ECD">
        <w:rPr>
          <w:szCs w:val="24"/>
          <w:lang w:val="sv-SE"/>
        </w:rPr>
        <w:t>§</w:t>
      </w:r>
      <w:r w:rsidRPr="009E0B85">
        <w:rPr>
          <w:szCs w:val="24"/>
          <w:lang w:val="sv-SE"/>
        </w:rPr>
        <w:t xml:space="preserve"> 189-194 och den operativa delen, ECHR 2004-V).</w:t>
      </w:r>
    </w:p>
    <w:p w:rsidRPr="00781D24" w:rsidR="009D2ECF" w:rsidP="009D2ECF">
      <w:pPr>
        <w:pStyle w:val="ECHRParaQuote"/>
        <w:rPr>
          <w:rFonts w:eastAsia="Times New Roman"/>
          <w:szCs w:val="24"/>
          <w:lang w:val="sv-SE"/>
        </w:rPr>
      </w:pPr>
      <w:r w:rsidRPr="009E0B85">
        <w:rPr>
          <w:szCs w:val="24"/>
          <w:lang w:val="sv-SE"/>
        </w:rPr>
        <w:t>50.  Följaktligen har Domstolen genomgående betonat att den inte har befogenhet att intyga huruv</w:t>
      </w:r>
      <w:r w:rsidR="00FB0FE4">
        <w:rPr>
          <w:szCs w:val="24"/>
          <w:lang w:val="sv-SE"/>
        </w:rPr>
        <w:t>ida en fördragsslutande part har</w:t>
      </w:r>
      <w:r w:rsidRPr="009E0B85">
        <w:rPr>
          <w:szCs w:val="24"/>
          <w:lang w:val="sv-SE"/>
        </w:rPr>
        <w:t xml:space="preserve"> fullgjort de förpliktelser som parten ålagt</w:t>
      </w:r>
      <w:r w:rsidR="000A395E">
        <w:rPr>
          <w:szCs w:val="24"/>
          <w:lang w:val="sv-SE"/>
        </w:rPr>
        <w:t>s</w:t>
      </w:r>
      <w:r w:rsidRPr="009E0B85">
        <w:rPr>
          <w:szCs w:val="24"/>
          <w:lang w:val="sv-SE"/>
        </w:rPr>
        <w:t xml:space="preserve"> genom en av Domstolens domar. Domstolen har därför vägrat pröva klagomål rörande staters underlåtenhet att verkställa dess domar, och förklarat sådan</w:t>
      </w:r>
      <w:r w:rsidR="000A395E">
        <w:rPr>
          <w:szCs w:val="24"/>
          <w:lang w:val="sv-SE"/>
        </w:rPr>
        <w:t>a</w:t>
      </w:r>
      <w:r w:rsidRPr="009E0B85">
        <w:rPr>
          <w:szCs w:val="24"/>
          <w:lang w:val="sv-SE"/>
        </w:rPr>
        <w:t xml:space="preserve"> klagomål vara otillåtliga </w:t>
      </w:r>
      <w:r w:rsidRPr="009E0B85">
        <w:rPr>
          <w:i/>
          <w:szCs w:val="24"/>
          <w:lang w:val="sv-SE"/>
        </w:rPr>
        <w:t>ratione materiae</w:t>
      </w:r>
      <w:r w:rsidR="000A395E">
        <w:rPr>
          <w:szCs w:val="24"/>
          <w:lang w:val="sv-SE"/>
        </w:rPr>
        <w:t xml:space="preserve"> (jfr</w:t>
      </w:r>
      <w:r w:rsidRPr="009E0B85">
        <w:rPr>
          <w:szCs w:val="24"/>
          <w:lang w:val="sv-SE"/>
        </w:rPr>
        <w:t xml:space="preserve"> </w:t>
      </w:r>
      <w:r w:rsidRPr="009E0B85">
        <w:rPr>
          <w:i/>
          <w:szCs w:val="24"/>
          <w:lang w:val="sv-SE"/>
        </w:rPr>
        <w:t>Moldovan and Others v. Moldova</w:t>
      </w:r>
      <w:r w:rsidRPr="009E0B85">
        <w:rPr>
          <w:szCs w:val="24"/>
          <w:lang w:val="sv-SE"/>
        </w:rPr>
        <w:t xml:space="preserve"> (dec.), nr 8229/04, 15 februari 2011; </w:t>
      </w:r>
      <w:r w:rsidRPr="009E0B85">
        <w:rPr>
          <w:i/>
          <w:szCs w:val="24"/>
          <w:lang w:val="sv-SE"/>
        </w:rPr>
        <w:t>Dowsett v. the United Kingdom</w:t>
      </w:r>
      <w:r w:rsidRPr="009E0B85">
        <w:rPr>
          <w:szCs w:val="24"/>
          <w:lang w:val="sv-SE"/>
        </w:rPr>
        <w:t xml:space="preserve"> (nr 2) (dec.), nr 8559/08, 4 januari 2011; </w:t>
      </w:r>
      <w:r w:rsidRPr="009E0B85">
        <w:rPr>
          <w:i/>
          <w:szCs w:val="24"/>
          <w:lang w:val="sv-SE"/>
        </w:rPr>
        <w:t>Öcalan v. Turkey</w:t>
      </w:r>
      <w:r w:rsidRPr="009E0B85">
        <w:rPr>
          <w:szCs w:val="24"/>
          <w:lang w:val="sv-SE"/>
        </w:rPr>
        <w:t xml:space="preserve"> (dec.), nr 5980/07, 6 juli 2010; </w:t>
      </w:r>
      <w:r w:rsidRPr="009E0B85">
        <w:rPr>
          <w:i/>
          <w:szCs w:val="24"/>
          <w:lang w:val="sv-SE"/>
        </w:rPr>
        <w:t>Haase v. Germany</w:t>
      </w:r>
      <w:r w:rsidRPr="009E0B85">
        <w:rPr>
          <w:szCs w:val="24"/>
          <w:lang w:val="sv-SE"/>
        </w:rPr>
        <w:t xml:space="preserve">, nr 11057/02, ECHR 2004 III; </w:t>
      </w:r>
      <w:r w:rsidRPr="009E0B85">
        <w:rPr>
          <w:i/>
          <w:szCs w:val="24"/>
          <w:lang w:val="sv-SE"/>
        </w:rPr>
        <w:t>Komanický v. Slovakia</w:t>
      </w:r>
      <w:r w:rsidRPr="009E0B85">
        <w:rPr>
          <w:szCs w:val="24"/>
          <w:lang w:val="sv-SE"/>
        </w:rPr>
        <w:t xml:space="preserve"> (dec.), nr 13677/03, 1 mars 2005; </w:t>
      </w:r>
      <w:r w:rsidRPr="009E0B85">
        <w:rPr>
          <w:i/>
          <w:szCs w:val="24"/>
          <w:lang w:val="sv-SE"/>
        </w:rPr>
        <w:t>Lyons and Others</w:t>
      </w:r>
      <w:r w:rsidRPr="009E0B85">
        <w:rPr>
          <w:szCs w:val="24"/>
          <w:lang w:val="sv-SE"/>
        </w:rPr>
        <w:t xml:space="preserve">, citerat ovan; </w:t>
      </w:r>
      <w:r w:rsidRPr="009E0B85">
        <w:rPr>
          <w:i/>
          <w:szCs w:val="24"/>
          <w:lang w:val="sv-SE"/>
        </w:rPr>
        <w:t>Krčmář and Others</w:t>
      </w:r>
      <w:r w:rsidRPr="009E0B85">
        <w:rPr>
          <w:szCs w:val="24"/>
          <w:lang w:val="sv-SE"/>
        </w:rPr>
        <w:t>, citerat ovan; och [</w:t>
      </w:r>
      <w:r w:rsidRPr="009E0B85">
        <w:rPr>
          <w:i/>
          <w:szCs w:val="24"/>
          <w:lang w:val="sv-SE"/>
        </w:rPr>
        <w:t>Fischer</w:t>
      </w:r>
      <w:r w:rsidRPr="009E0B85">
        <w:rPr>
          <w:sz w:val="22"/>
          <w:szCs w:val="24"/>
          <w:lang w:val="sv-SE"/>
        </w:rPr>
        <w:t>]</w:t>
      </w:r>
      <w:r w:rsidRPr="009E0B85">
        <w:rPr>
          <w:i/>
          <w:szCs w:val="24"/>
          <w:lang w:val="sv-SE"/>
        </w:rPr>
        <w:t xml:space="preserve"> v. Austria</w:t>
      </w:r>
      <w:r w:rsidRPr="009E0B85">
        <w:rPr>
          <w:szCs w:val="24"/>
          <w:lang w:val="sv-SE"/>
        </w:rPr>
        <w:t xml:space="preserve"> (dec.), nr 27569/02, ECHR 2003 VI).</w:t>
      </w:r>
    </w:p>
    <w:p w:rsidRPr="00781D24" w:rsidR="009D2ECF" w:rsidP="009D2ECF">
      <w:pPr>
        <w:pStyle w:val="ECHRParaQuote"/>
        <w:rPr>
          <w:rFonts w:eastAsia="Times New Roman"/>
          <w:szCs w:val="24"/>
          <w:lang w:val="sv-SE"/>
        </w:rPr>
      </w:pPr>
      <w:r w:rsidRPr="009E0B85">
        <w:rPr>
          <w:rFonts w:eastAsia="Times New Roman"/>
          <w:szCs w:val="24"/>
          <w:lang w:val="sv-SE"/>
        </w:rPr>
        <w:t xml:space="preserve">51.  Ministerkommitténs roll på det här området innebär dock inte att de åtgärder som en svarandestat vidtar för att gottgöra en överträdelse inte kan ge upphov till en ny fråga som inte har avgjorts i domen (jfr </w:t>
      </w:r>
      <w:r w:rsidRPr="009E0B85">
        <w:rPr>
          <w:rFonts w:eastAsia="Times New Roman"/>
          <w:i/>
          <w:szCs w:val="24"/>
          <w:lang w:val="sv-SE"/>
        </w:rPr>
        <w:t>Verein gegen Tierfabriken Schweiz (VgT)</w:t>
      </w:r>
      <w:r w:rsidRPr="009E0B85">
        <w:rPr>
          <w:rFonts w:eastAsia="Times New Roman"/>
          <w:szCs w:val="24"/>
          <w:lang w:val="sv-SE"/>
        </w:rPr>
        <w:t xml:space="preserve">, citerat ovan, § 62; </w:t>
      </w:r>
      <w:r w:rsidRPr="009E0B85">
        <w:rPr>
          <w:rFonts w:eastAsia="Times New Roman"/>
          <w:i/>
          <w:szCs w:val="24"/>
          <w:lang w:val="sv-SE"/>
        </w:rPr>
        <w:t>Hakkar v. France</w:t>
      </w:r>
      <w:r w:rsidRPr="009E0B85">
        <w:rPr>
          <w:rFonts w:eastAsia="Times New Roman"/>
          <w:szCs w:val="24"/>
          <w:lang w:val="sv-SE"/>
        </w:rPr>
        <w:t xml:space="preserve"> (dec.), nr 43580/04, 7 april 2009; </w:t>
      </w:r>
      <w:r w:rsidRPr="009E0B85">
        <w:rPr>
          <w:rFonts w:eastAsia="Times New Roman"/>
          <w:i/>
          <w:szCs w:val="24"/>
          <w:lang w:val="sv-SE"/>
        </w:rPr>
        <w:t>Haase</w:t>
      </w:r>
      <w:r w:rsidRPr="009E0B85">
        <w:rPr>
          <w:rFonts w:eastAsia="Times New Roman"/>
          <w:szCs w:val="24"/>
          <w:lang w:val="sv-SE"/>
        </w:rPr>
        <w:t xml:space="preserve">, citerat ovan; </w:t>
      </w:r>
      <w:r w:rsidRPr="009E0B85">
        <w:rPr>
          <w:rFonts w:eastAsia="Times New Roman"/>
          <w:i/>
          <w:szCs w:val="24"/>
          <w:lang w:val="sv-SE"/>
        </w:rPr>
        <w:t xml:space="preserve">Mehemi </w:t>
      </w:r>
      <w:r w:rsidRPr="009E0B85">
        <w:rPr>
          <w:rFonts w:eastAsia="Times New Roman"/>
          <w:szCs w:val="24"/>
          <w:lang w:val="sv-SE"/>
        </w:rPr>
        <w:t>[</w:t>
      </w:r>
      <w:r w:rsidRPr="009E0B85">
        <w:rPr>
          <w:rFonts w:eastAsia="Times New Roman"/>
          <w:i/>
          <w:szCs w:val="24"/>
          <w:lang w:val="sv-SE"/>
        </w:rPr>
        <w:t>v. France (nr 2)</w:t>
      </w:r>
      <w:r w:rsidRPr="009E0B85">
        <w:rPr>
          <w:rFonts w:eastAsia="Times New Roman"/>
          <w:szCs w:val="24"/>
          <w:lang w:val="sv-SE"/>
        </w:rPr>
        <w:t>,</w:t>
      </w:r>
      <w:r w:rsidRPr="009E0B85">
        <w:rPr>
          <w:rFonts w:eastAsia="Times New Roman"/>
          <w:i/>
          <w:szCs w:val="24"/>
          <w:lang w:val="sv-SE"/>
        </w:rPr>
        <w:t xml:space="preserve"> </w:t>
      </w:r>
      <w:r w:rsidRPr="009E0B85">
        <w:rPr>
          <w:rFonts w:eastAsia="Times New Roman"/>
          <w:szCs w:val="24"/>
          <w:lang w:val="sv-SE"/>
        </w:rPr>
        <w:t>nr 53470/99, § 43, ECHR 2003</w:t>
      </w:r>
      <w:r w:rsidRPr="009E0B85">
        <w:rPr>
          <w:rFonts w:eastAsia="Times New Roman"/>
          <w:szCs w:val="24"/>
          <w:lang w:val="sv-SE"/>
        </w:rPr>
        <w:noBreakHyphen/>
        <w:t xml:space="preserve">IV]; </w:t>
      </w:r>
      <w:r w:rsidRPr="009E0B85">
        <w:rPr>
          <w:rFonts w:eastAsia="Times New Roman"/>
          <w:i/>
          <w:szCs w:val="24"/>
          <w:lang w:val="sv-SE"/>
        </w:rPr>
        <w:t>Rongoni v. Italy</w:t>
      </w:r>
      <w:r w:rsidRPr="009E0B85">
        <w:rPr>
          <w:rFonts w:eastAsia="Times New Roman"/>
          <w:szCs w:val="24"/>
          <w:lang w:val="sv-SE"/>
        </w:rPr>
        <w:t xml:space="preserve">, nr 44531/98, § 13, 25 oktober 2001; </w:t>
      </w:r>
      <w:r w:rsidRPr="009E0B85">
        <w:rPr>
          <w:rFonts w:eastAsia="Times New Roman"/>
          <w:i/>
          <w:szCs w:val="24"/>
          <w:lang w:val="sv-SE"/>
        </w:rPr>
        <w:t>Rando v. Italy</w:t>
      </w:r>
      <w:r w:rsidRPr="009E0B85">
        <w:rPr>
          <w:rFonts w:eastAsia="Times New Roman"/>
          <w:szCs w:val="24"/>
          <w:lang w:val="sv-SE"/>
        </w:rPr>
        <w:t xml:space="preserve">, nr 38498/97, § 17, 15 februari 2000; </w:t>
      </w:r>
      <w:r w:rsidRPr="009E0B85">
        <w:rPr>
          <w:rFonts w:eastAsia="Times New Roman"/>
          <w:i/>
          <w:szCs w:val="24"/>
          <w:lang w:val="sv-SE"/>
        </w:rPr>
        <w:t>Leterme v. France</w:t>
      </w:r>
      <w:r w:rsidRPr="009E0B85">
        <w:rPr>
          <w:rFonts w:eastAsia="Times New Roman"/>
          <w:szCs w:val="24"/>
          <w:lang w:val="sv-SE"/>
        </w:rPr>
        <w:t xml:space="preserve">, 29 april 1998, Rapporter 1998-III; </w:t>
      </w:r>
      <w:r w:rsidRPr="009E0B85">
        <w:rPr>
          <w:rFonts w:eastAsia="Times New Roman"/>
          <w:i/>
          <w:szCs w:val="24"/>
          <w:lang w:val="sv-SE"/>
        </w:rPr>
        <w:t>Pailot v. France</w:t>
      </w:r>
      <w:r w:rsidRPr="009E0B85">
        <w:rPr>
          <w:rFonts w:eastAsia="Times New Roman"/>
          <w:szCs w:val="24"/>
          <w:lang w:val="sv-SE"/>
        </w:rPr>
        <w:t xml:space="preserve">, 22 april </w:t>
      </w:r>
      <w:r w:rsidRPr="009E0B85">
        <w:rPr>
          <w:rFonts w:eastAsia="Times New Roman"/>
          <w:szCs w:val="24"/>
          <w:lang w:val="sv-SE"/>
        </w:rPr>
        <w:t xml:space="preserve">1998, § 57, Rapporter 1998-II; och </w:t>
      </w:r>
      <w:r w:rsidRPr="009E0B85">
        <w:rPr>
          <w:rFonts w:eastAsia="Times New Roman"/>
          <w:i/>
          <w:szCs w:val="24"/>
          <w:lang w:val="sv-SE"/>
        </w:rPr>
        <w:t>Olsson v. Swede</w:t>
      </w:r>
      <w:r w:rsidRPr="009E0B85">
        <w:rPr>
          <w:rFonts w:eastAsia="Times New Roman"/>
          <w:szCs w:val="24"/>
          <w:lang w:val="sv-SE"/>
        </w:rPr>
        <w:t>n (nr 2), 27 november 1992, serie A nr 250) och, i sig, bli föremål för en ny ansökan som Domstolen kan behandla.</w:t>
      </w:r>
    </w:p>
    <w:p w:rsidRPr="00781D24" w:rsidR="009D2ECF" w:rsidP="009D2ECF">
      <w:pPr>
        <w:pStyle w:val="ECHRParaQuote"/>
        <w:rPr>
          <w:rFonts w:eastAsia="Times New Roman"/>
          <w:szCs w:val="24"/>
          <w:lang w:val="sv-SE"/>
        </w:rPr>
      </w:pPr>
      <w:r w:rsidRPr="00465533">
        <w:rPr>
          <w:szCs w:val="24"/>
          <w:lang w:val="sv-SE"/>
        </w:rPr>
        <w:t>52.  Baserat på detta har Domstolen funnit att den hade</w:t>
      </w:r>
      <w:r w:rsidR="00465533">
        <w:rPr>
          <w:szCs w:val="24"/>
          <w:lang w:val="sv-SE"/>
        </w:rPr>
        <w:t xml:space="preserve"> behörighet att pröva</w:t>
      </w:r>
      <w:r w:rsidRPr="009E0B85">
        <w:rPr>
          <w:szCs w:val="24"/>
          <w:lang w:val="sv-SE"/>
        </w:rPr>
        <w:t xml:space="preserve"> klagomål i att antal uppföljningsmål, till exempel när nati</w:t>
      </w:r>
      <w:r w:rsidR="00FB0FE4">
        <w:rPr>
          <w:szCs w:val="24"/>
          <w:lang w:val="sv-SE"/>
        </w:rPr>
        <w:t>onella myndigheter har genomfört</w:t>
      </w:r>
      <w:r w:rsidRPr="009E0B85">
        <w:rPr>
          <w:szCs w:val="24"/>
          <w:lang w:val="sv-SE"/>
        </w:rPr>
        <w:t xml:space="preserve"> en ny </w:t>
      </w:r>
      <w:r w:rsidRPr="004C234C">
        <w:rPr>
          <w:szCs w:val="24"/>
          <w:lang w:val="sv-SE"/>
        </w:rPr>
        <w:t xml:space="preserve">nationell prövning av målet genom implementering </w:t>
      </w:r>
      <w:r w:rsidRPr="004C234C" w:rsidR="004C234C">
        <w:rPr>
          <w:szCs w:val="24"/>
          <w:lang w:val="sv-SE"/>
        </w:rPr>
        <w:t xml:space="preserve">av </w:t>
      </w:r>
      <w:r w:rsidRPr="004C234C">
        <w:rPr>
          <w:szCs w:val="24"/>
          <w:lang w:val="sv-SE"/>
        </w:rPr>
        <w:t>en av Domstolens domar, antingen</w:t>
      </w:r>
      <w:r w:rsidRPr="009E0B85">
        <w:rPr>
          <w:szCs w:val="24"/>
          <w:lang w:val="sv-SE"/>
        </w:rPr>
        <w:t xml:space="preserve"> gen</w:t>
      </w:r>
      <w:r w:rsidR="00465533">
        <w:rPr>
          <w:szCs w:val="24"/>
          <w:lang w:val="sv-SE"/>
        </w:rPr>
        <w:t>om att återuppta förfarandet</w:t>
      </w:r>
      <w:r w:rsidRPr="009E0B85">
        <w:rPr>
          <w:szCs w:val="24"/>
          <w:lang w:val="sv-SE"/>
        </w:rPr>
        <w:t xml:space="preserve"> (jfr </w:t>
      </w:r>
      <w:r w:rsidRPr="009E0B85">
        <w:rPr>
          <w:i/>
          <w:szCs w:val="24"/>
          <w:lang w:val="sv-SE"/>
        </w:rPr>
        <w:t>Emre v. Switzerland (nr 2)</w:t>
      </w:r>
      <w:r w:rsidRPr="009E0B85">
        <w:rPr>
          <w:szCs w:val="24"/>
          <w:lang w:val="sv-SE"/>
        </w:rPr>
        <w:t xml:space="preserve">, nr 5056/10, 11 oktober 2011, och </w:t>
      </w:r>
      <w:r w:rsidRPr="009E0B85">
        <w:rPr>
          <w:i/>
          <w:szCs w:val="24"/>
          <w:lang w:val="sv-SE"/>
        </w:rPr>
        <w:t>Hertel</w:t>
      </w:r>
      <w:r w:rsidRPr="009E0B85">
        <w:rPr>
          <w:szCs w:val="24"/>
          <w:lang w:val="sv-SE"/>
        </w:rPr>
        <w:t xml:space="preserve"> [</w:t>
      </w:r>
      <w:r w:rsidRPr="009E0B85">
        <w:rPr>
          <w:i/>
          <w:szCs w:val="24"/>
          <w:lang w:val="sv-SE"/>
        </w:rPr>
        <w:t>v. Switzerland</w:t>
      </w:r>
      <w:r w:rsidRPr="009E0B85">
        <w:rPr>
          <w:szCs w:val="24"/>
          <w:lang w:val="sv-SE"/>
        </w:rPr>
        <w:t xml:space="preserve"> (dec.), nr 53440/99, ECHR 2002-I]) eller genom att inleda [ett] helt nytt nationellt förfarande (jfr </w:t>
      </w:r>
      <w:r w:rsidRPr="009E0B85">
        <w:rPr>
          <w:i/>
          <w:szCs w:val="24"/>
          <w:lang w:val="sv-SE"/>
        </w:rPr>
        <w:t>The United Macedonian Organisation Ilinden – PIRIN and Others v. Bulgaria (no. 2)</w:t>
      </w:r>
      <w:r w:rsidRPr="009E0B85">
        <w:rPr>
          <w:szCs w:val="24"/>
          <w:lang w:val="sv-SE"/>
        </w:rPr>
        <w:t>, nr</w:t>
      </w:r>
      <w:r w:rsidRPr="00781D24">
        <w:rPr>
          <w:szCs w:val="24"/>
          <w:lang w:val="sv-SE"/>
        </w:rPr>
        <w:t xml:space="preserve"> </w:t>
      </w:r>
      <w:r w:rsidRPr="009E0B85">
        <w:rPr>
          <w:rFonts w:eastAsia="Times New Roman"/>
          <w:szCs w:val="24"/>
          <w:lang w:val="sv-SE"/>
        </w:rPr>
        <w:t xml:space="preserve">41561/07 och 20972/08, 18 oktober 2011 och </w:t>
      </w:r>
      <w:r w:rsidRPr="009E0B85">
        <w:rPr>
          <w:rFonts w:eastAsia="Times New Roman"/>
          <w:i/>
          <w:szCs w:val="24"/>
          <w:lang w:val="sv-SE"/>
        </w:rPr>
        <w:t>Liu v. Russia (nr 2)</w:t>
      </w:r>
      <w:r w:rsidRPr="009E0B85">
        <w:rPr>
          <w:rFonts w:eastAsia="Times New Roman"/>
          <w:szCs w:val="24"/>
          <w:lang w:val="sv-SE"/>
        </w:rPr>
        <w:t>, nr 29157/09, 26 juli 2011).</w:t>
      </w:r>
    </w:p>
    <w:p w:rsidRPr="00781D24" w:rsidR="006377B3" w:rsidP="006377B3">
      <w:pPr>
        <w:pStyle w:val="ECHRParaQuote"/>
        <w:rPr>
          <w:rFonts w:eastAsia="Times New Roman"/>
          <w:szCs w:val="24"/>
          <w:lang w:val="sv-SE"/>
        </w:rPr>
      </w:pPr>
      <w:r>
        <w:rPr>
          <w:szCs w:val="24"/>
          <w:lang w:val="sv-SE"/>
        </w:rPr>
        <w:t>53.  N</w:t>
      </w:r>
      <w:r w:rsidR="00465533">
        <w:rPr>
          <w:szCs w:val="24"/>
          <w:lang w:val="sv-SE"/>
        </w:rPr>
        <w:t xml:space="preserve">är det handlar om </w:t>
      </w:r>
      <w:r w:rsidRPr="009E0B85">
        <w:rPr>
          <w:szCs w:val="24"/>
          <w:lang w:val="sv-SE"/>
        </w:rPr>
        <w:t>en fortsatt kränkning av e</w:t>
      </w:r>
      <w:r w:rsidR="009F75FE">
        <w:rPr>
          <w:szCs w:val="24"/>
          <w:lang w:val="sv-SE"/>
        </w:rPr>
        <w:t xml:space="preserve">n Konventionsrättighet </w:t>
      </w:r>
      <w:r w:rsidRPr="004C234C" w:rsidR="009F75FE">
        <w:rPr>
          <w:szCs w:val="24"/>
          <w:lang w:val="sv-SE"/>
        </w:rPr>
        <w:t xml:space="preserve">efter implementering av en dom </w:t>
      </w:r>
      <w:r w:rsidRPr="004C234C">
        <w:rPr>
          <w:szCs w:val="24"/>
          <w:lang w:val="sv-SE"/>
        </w:rPr>
        <w:t>där Domstolen har konstaterat en kränkning av den</w:t>
      </w:r>
      <w:r w:rsidRPr="009E0B85">
        <w:rPr>
          <w:szCs w:val="24"/>
          <w:lang w:val="sv-SE"/>
        </w:rPr>
        <w:t xml:space="preserve"> rättigheten under en viss tid, är det inte ovanligt att Domstolen prövar en andra ansökan rörande en kränkning av</w:t>
      </w:r>
      <w:r w:rsidR="00C142B0">
        <w:rPr>
          <w:szCs w:val="24"/>
          <w:lang w:val="sv-SE"/>
        </w:rPr>
        <w:t xml:space="preserve"> den rättigheten under senare</w:t>
      </w:r>
      <w:r w:rsidRPr="009E0B85">
        <w:rPr>
          <w:szCs w:val="24"/>
          <w:lang w:val="sv-SE"/>
        </w:rPr>
        <w:t xml:space="preserve"> period (jfr bland annat </w:t>
      </w:r>
      <w:r w:rsidRPr="009E0B85">
        <w:rPr>
          <w:i/>
          <w:szCs w:val="24"/>
          <w:lang w:val="sv-SE"/>
        </w:rPr>
        <w:t>Ivanţoc and Others v. Moldova and Russia</w:t>
      </w:r>
      <w:r w:rsidRPr="009E0B85">
        <w:rPr>
          <w:szCs w:val="24"/>
          <w:lang w:val="sv-SE"/>
        </w:rPr>
        <w:t xml:space="preserve">, nr 23687/05, </w:t>
      </w:r>
      <w:r w:rsidRPr="009E0B85" w:rsidR="006C2ECD">
        <w:rPr>
          <w:szCs w:val="24"/>
          <w:lang w:val="sv-SE"/>
        </w:rPr>
        <w:t>§</w:t>
      </w:r>
      <w:r w:rsidRPr="009E0B85">
        <w:rPr>
          <w:szCs w:val="24"/>
          <w:lang w:val="sv-SE"/>
        </w:rPr>
        <w:t xml:space="preserve"> 93-96, 15 november 2011 avseende fortsatt frihetsberövande; </w:t>
      </w:r>
      <w:r w:rsidRPr="009E0B85">
        <w:rPr>
          <w:i/>
          <w:szCs w:val="24"/>
          <w:lang w:val="sv-SE"/>
        </w:rPr>
        <w:t>Wasserman v. Russia (no. 2)</w:t>
      </w:r>
      <w:r w:rsidRPr="009E0B85">
        <w:rPr>
          <w:szCs w:val="24"/>
          <w:lang w:val="sv-SE"/>
        </w:rPr>
        <w:t xml:space="preserve">, nr 21071/05, </w:t>
      </w:r>
      <w:r w:rsidRPr="009E0B85" w:rsidR="006C2ECD">
        <w:rPr>
          <w:szCs w:val="24"/>
          <w:lang w:val="sv-SE"/>
        </w:rPr>
        <w:t>§</w:t>
      </w:r>
      <w:r w:rsidRPr="009E0B85">
        <w:rPr>
          <w:szCs w:val="24"/>
          <w:lang w:val="sv-SE"/>
        </w:rPr>
        <w:t xml:space="preserve"> 36-37, 10 april 2008 betr</w:t>
      </w:r>
      <w:r w:rsidR="00C142B0">
        <w:rPr>
          <w:szCs w:val="24"/>
          <w:lang w:val="sv-SE"/>
        </w:rPr>
        <w:t>äffande utebliven verkställan</w:t>
      </w:r>
      <w:r w:rsidRPr="009E0B85">
        <w:rPr>
          <w:szCs w:val="24"/>
          <w:lang w:val="sv-SE"/>
        </w:rPr>
        <w:t xml:space="preserve"> av en nationell dom; och </w:t>
      </w:r>
      <w:r w:rsidRPr="009E0B85">
        <w:rPr>
          <w:i/>
          <w:szCs w:val="24"/>
          <w:lang w:val="sv-SE"/>
        </w:rPr>
        <w:t>Rongoni v. Italy</w:t>
      </w:r>
      <w:r w:rsidRPr="009E0B85">
        <w:rPr>
          <w:szCs w:val="24"/>
          <w:lang w:val="sv-SE"/>
        </w:rPr>
        <w:t>, citerat</w:t>
      </w:r>
      <w:r w:rsidR="00C142B0">
        <w:rPr>
          <w:szCs w:val="24"/>
          <w:lang w:val="sv-SE"/>
        </w:rPr>
        <w:t xml:space="preserve"> ovan, § 13, rörande </w:t>
      </w:r>
      <w:r w:rsidRPr="009E0B85">
        <w:rPr>
          <w:szCs w:val="24"/>
          <w:lang w:val="sv-SE"/>
        </w:rPr>
        <w:t>förfarandet</w:t>
      </w:r>
      <w:r w:rsidR="00C142B0">
        <w:rPr>
          <w:szCs w:val="24"/>
          <w:lang w:val="sv-SE"/>
        </w:rPr>
        <w:t>s längd.</w:t>
      </w:r>
      <w:r w:rsidRPr="00781D24">
        <w:rPr>
          <w:szCs w:val="24"/>
          <w:lang w:val="sv-SE"/>
        </w:rPr>
        <w:t xml:space="preserve"> </w:t>
      </w:r>
      <w:r>
        <w:rPr>
          <w:szCs w:val="24"/>
          <w:lang w:val="sv-SE"/>
        </w:rPr>
        <w:t>I sådana mål är den ”nya frågan”</w:t>
      </w:r>
      <w:r w:rsidRPr="009E0B85">
        <w:rPr>
          <w:szCs w:val="24"/>
          <w:lang w:val="sv-SE"/>
        </w:rPr>
        <w:t xml:space="preserve"> följden av att den kränkning som låg till grund för Domstolens första beslut har fortsatt.</w:t>
      </w:r>
      <w:r w:rsidRPr="00781D24">
        <w:rPr>
          <w:szCs w:val="24"/>
          <w:lang w:val="sv-SE"/>
        </w:rPr>
        <w:t xml:space="preserve"> </w:t>
      </w:r>
      <w:r w:rsidRPr="009E0B85">
        <w:rPr>
          <w:szCs w:val="24"/>
          <w:lang w:val="sv-SE"/>
        </w:rPr>
        <w:t xml:space="preserve">Domstolens prövning är dock begränsad till de nya perioderna i fråga och eventuella nya klagomål som väckts med avseende på detta (jfr till exempel, </w:t>
      </w:r>
      <w:r w:rsidRPr="009E0B85">
        <w:rPr>
          <w:i/>
          <w:szCs w:val="24"/>
          <w:lang w:val="sv-SE"/>
        </w:rPr>
        <w:t>Ivanţoc and Others</w:t>
      </w:r>
      <w:r w:rsidRPr="009E0B85">
        <w:rPr>
          <w:szCs w:val="24"/>
          <w:lang w:val="sv-SE"/>
        </w:rPr>
        <w:t>, citerat ovan).</w:t>
      </w:r>
    </w:p>
    <w:p w:rsidR="009411BF" w:rsidP="0097330C">
      <w:pPr>
        <w:pStyle w:val="ECHRParaQuote"/>
        <w:rPr>
          <w:szCs w:val="24"/>
          <w:lang w:val="sv-SE"/>
        </w:rPr>
      </w:pPr>
      <w:r>
        <w:rPr>
          <w:szCs w:val="24"/>
          <w:lang w:val="sv-SE"/>
        </w:rPr>
        <w:t>54.  </w:t>
      </w:r>
      <w:r w:rsidRPr="009E0B85" w:rsidR="0097330C">
        <w:rPr>
          <w:szCs w:val="24"/>
          <w:lang w:val="sv-SE"/>
        </w:rPr>
        <w:t>Det framgår av Domstolens rättspraxis att fastställande av huruvida en ”ny fråga" föreligger i hög grad beror på de specifika omständigheterna i ett visst mål och att skillnaderna mellan målen inte alltid är entydiga.</w:t>
      </w:r>
      <w:r w:rsidRPr="00781D24" w:rsidR="0097330C">
        <w:rPr>
          <w:szCs w:val="24"/>
          <w:lang w:val="sv-SE"/>
        </w:rPr>
        <w:t xml:space="preserve"> </w:t>
      </w:r>
      <w:r w:rsidR="00C142B0">
        <w:rPr>
          <w:szCs w:val="24"/>
          <w:lang w:val="sv-SE"/>
        </w:rPr>
        <w:t xml:space="preserve">I exempelvis </w:t>
      </w:r>
      <w:r w:rsidRPr="009E0B85" w:rsidR="0097330C">
        <w:rPr>
          <w:szCs w:val="24"/>
          <w:lang w:val="sv-SE"/>
        </w:rPr>
        <w:t xml:space="preserve">målet </w:t>
      </w:r>
      <w:r w:rsidRPr="009E0B85" w:rsidR="0097330C">
        <w:rPr>
          <w:i/>
          <w:szCs w:val="24"/>
          <w:lang w:val="sv-SE"/>
        </w:rPr>
        <w:t xml:space="preserve">Verein gegen Tierfabriken Schweiz (VgT) </w:t>
      </w:r>
      <w:r w:rsidRPr="009E0B85" w:rsidR="0097330C">
        <w:rPr>
          <w:szCs w:val="24"/>
          <w:lang w:val="sv-SE"/>
        </w:rPr>
        <w:t>(citerat ovan) fann Domstolen att den var b</w:t>
      </w:r>
      <w:r w:rsidR="00C142B0">
        <w:rPr>
          <w:szCs w:val="24"/>
          <w:lang w:val="sv-SE"/>
        </w:rPr>
        <w:t>ehöri</w:t>
      </w:r>
      <w:r w:rsidR="00FB0FE4">
        <w:rPr>
          <w:szCs w:val="24"/>
          <w:lang w:val="sv-SE"/>
        </w:rPr>
        <w:t>g att pröva ett klagomål med avseende på</w:t>
      </w:r>
      <w:r w:rsidRPr="009E0B85" w:rsidR="0097330C">
        <w:rPr>
          <w:szCs w:val="24"/>
          <w:lang w:val="sv-SE"/>
        </w:rPr>
        <w:t xml:space="preserve"> att den nationella domstolen i fråga hade avvisat en begär</w:t>
      </w:r>
      <w:r w:rsidR="00C142B0">
        <w:rPr>
          <w:szCs w:val="24"/>
          <w:lang w:val="sv-SE"/>
        </w:rPr>
        <w:t>an om att återuppta förfarandet</w:t>
      </w:r>
      <w:r w:rsidRPr="009E0B85" w:rsidR="0097330C">
        <w:rPr>
          <w:szCs w:val="24"/>
          <w:lang w:val="sv-SE"/>
        </w:rPr>
        <w:t xml:space="preserve"> efter Domstolens dom.</w:t>
      </w:r>
      <w:r w:rsidRPr="00781D24" w:rsidR="0097330C">
        <w:rPr>
          <w:szCs w:val="24"/>
          <w:lang w:val="sv-SE"/>
        </w:rPr>
        <w:t xml:space="preserve"> </w:t>
      </w:r>
      <w:r w:rsidRPr="009E0B85" w:rsidR="0097330C">
        <w:rPr>
          <w:szCs w:val="24"/>
          <w:lang w:val="sv-SE"/>
        </w:rPr>
        <w:t>Domstolen hänvisade främst t</w:t>
      </w:r>
      <w:r w:rsidR="00C142B0">
        <w:rPr>
          <w:szCs w:val="24"/>
          <w:lang w:val="sv-SE"/>
        </w:rPr>
        <w:t>ill det faktum att skälen till att ansökan avvisades</w:t>
      </w:r>
      <w:r w:rsidRPr="009E0B85" w:rsidR="0097330C">
        <w:rPr>
          <w:szCs w:val="24"/>
          <w:lang w:val="sv-SE"/>
        </w:rPr>
        <w:t xml:space="preserve"> var nya och därför utgjorde relevant ny information som kunde ge upphov till en ny Konventionskränkning (jfr </w:t>
      </w:r>
      <w:r w:rsidRPr="009E0B85" w:rsidR="0097330C">
        <w:rPr>
          <w:i/>
          <w:szCs w:val="24"/>
          <w:lang w:val="sv-SE"/>
        </w:rPr>
        <w:t>Verein gegen Tierfabriken Schweiz (VgT)</w:t>
      </w:r>
      <w:r w:rsidRPr="009E0B85" w:rsidR="0097330C">
        <w:rPr>
          <w:szCs w:val="24"/>
          <w:lang w:val="sv-SE"/>
        </w:rPr>
        <w:t>, citerat ovan, § 65).</w:t>
      </w:r>
      <w:r w:rsidRPr="00781D24" w:rsidR="0097330C">
        <w:rPr>
          <w:szCs w:val="24"/>
          <w:lang w:val="sv-SE"/>
        </w:rPr>
        <w:t xml:space="preserve"> </w:t>
      </w:r>
      <w:r w:rsidRPr="009E0B85" w:rsidR="0097330C">
        <w:rPr>
          <w:szCs w:val="24"/>
          <w:lang w:val="sv-SE"/>
        </w:rPr>
        <w:t>Domstolen t</w:t>
      </w:r>
      <w:r w:rsidR="00C142B0">
        <w:rPr>
          <w:szCs w:val="24"/>
          <w:lang w:val="sv-SE"/>
        </w:rPr>
        <w:t>og även</w:t>
      </w:r>
      <w:r w:rsidRPr="009E0B85" w:rsidR="0097330C">
        <w:rPr>
          <w:szCs w:val="24"/>
          <w:lang w:val="sv-SE"/>
        </w:rPr>
        <w:t xml:space="preserve"> hänsyn till det faktum att ministerkommittén hade avslutat sin ö</w:t>
      </w:r>
      <w:r w:rsidR="00C142B0">
        <w:rPr>
          <w:szCs w:val="24"/>
          <w:lang w:val="sv-SE"/>
        </w:rPr>
        <w:t>vervakning över verkställandet</w:t>
      </w:r>
      <w:r w:rsidRPr="009E0B85" w:rsidR="0097330C">
        <w:rPr>
          <w:szCs w:val="24"/>
          <w:lang w:val="sv-SE"/>
        </w:rPr>
        <w:t xml:space="preserve"> av Domstolens do</w:t>
      </w:r>
      <w:r w:rsidR="00C142B0">
        <w:rPr>
          <w:szCs w:val="24"/>
          <w:lang w:val="sv-SE"/>
        </w:rPr>
        <w:t>m utan att ta hänsyn till att den nationella domstolen vägra</w:t>
      </w:r>
      <w:r w:rsidR="00FB0FE4">
        <w:rPr>
          <w:szCs w:val="24"/>
          <w:lang w:val="sv-SE"/>
        </w:rPr>
        <w:t>t</w:t>
      </w:r>
      <w:r w:rsidR="00C142B0">
        <w:rPr>
          <w:szCs w:val="24"/>
          <w:lang w:val="sv-SE"/>
        </w:rPr>
        <w:t xml:space="preserve"> återuppta förfarandet eftersom ministerkommittén</w:t>
      </w:r>
      <w:r w:rsidRPr="009E0B85" w:rsidR="0097330C">
        <w:rPr>
          <w:szCs w:val="24"/>
          <w:lang w:val="sv-SE"/>
        </w:rPr>
        <w:t xml:space="preserve"> inte hade informerats om det beslutet.</w:t>
      </w:r>
      <w:r w:rsidRPr="00781D24" w:rsidR="0097330C">
        <w:rPr>
          <w:szCs w:val="24"/>
          <w:lang w:val="sv-SE"/>
        </w:rPr>
        <w:t xml:space="preserve"> </w:t>
      </w:r>
      <w:r w:rsidR="00C142B0">
        <w:rPr>
          <w:szCs w:val="24"/>
          <w:lang w:val="sv-SE"/>
        </w:rPr>
        <w:t xml:space="preserve">Domstolen ansåg att </w:t>
      </w:r>
      <w:r w:rsidRPr="009E0B85" w:rsidR="0097330C">
        <w:rPr>
          <w:szCs w:val="24"/>
          <w:lang w:val="sv-SE"/>
        </w:rPr>
        <w:t>denna vägran</w:t>
      </w:r>
      <w:r w:rsidR="00C142B0">
        <w:rPr>
          <w:szCs w:val="24"/>
          <w:lang w:val="sv-SE"/>
        </w:rPr>
        <w:t>, även ur det perspektivet,</w:t>
      </w:r>
      <w:r w:rsidRPr="009E0B85" w:rsidR="0097330C">
        <w:rPr>
          <w:szCs w:val="24"/>
          <w:lang w:val="sv-SE"/>
        </w:rPr>
        <w:t xml:space="preserve"> </w:t>
      </w:r>
      <w:r w:rsidR="00C142B0">
        <w:rPr>
          <w:szCs w:val="24"/>
          <w:lang w:val="sv-SE"/>
        </w:rPr>
        <w:t xml:space="preserve">utgjorde </w:t>
      </w:r>
      <w:r w:rsidRPr="009E0B85" w:rsidR="0097330C">
        <w:rPr>
          <w:szCs w:val="24"/>
          <w:lang w:val="sv-SE"/>
        </w:rPr>
        <w:t>ett nytt sakförhållande (ibid, § 67).</w:t>
      </w:r>
      <w:r w:rsidRPr="00781D24" w:rsidR="0097330C">
        <w:rPr>
          <w:szCs w:val="24"/>
          <w:lang w:val="sv-SE"/>
        </w:rPr>
        <w:t xml:space="preserve"> </w:t>
      </w:r>
      <w:r w:rsidRPr="009E0B85" w:rsidR="0097330C">
        <w:rPr>
          <w:szCs w:val="24"/>
          <w:lang w:val="sv-SE"/>
        </w:rPr>
        <w:t xml:space="preserve">I sin dom nyligen i målet </w:t>
      </w:r>
      <w:r w:rsidRPr="009E0B85" w:rsidR="0097330C">
        <w:rPr>
          <w:i/>
          <w:szCs w:val="24"/>
          <w:lang w:val="sv-SE"/>
        </w:rPr>
        <w:t xml:space="preserve">Emre </w:t>
      </w:r>
      <w:r w:rsidRPr="009E0B85" w:rsidR="0097330C">
        <w:rPr>
          <w:szCs w:val="24"/>
          <w:lang w:val="sv-SE"/>
        </w:rPr>
        <w:t>(åberopat ovan) fann Domstolen också att en ny nation</w:t>
      </w:r>
      <w:r w:rsidR="00C142B0">
        <w:rPr>
          <w:szCs w:val="24"/>
          <w:lang w:val="sv-SE"/>
        </w:rPr>
        <w:t>ell dom, som avkunnats efter att</w:t>
      </w:r>
      <w:r w:rsidRPr="009E0B85" w:rsidR="0097330C">
        <w:rPr>
          <w:szCs w:val="24"/>
          <w:lang w:val="sv-SE"/>
        </w:rPr>
        <w:t xml:space="preserve"> ett mål återupptagits</w:t>
      </w:r>
      <w:r w:rsidR="00C142B0">
        <w:rPr>
          <w:szCs w:val="24"/>
          <w:lang w:val="sv-SE"/>
        </w:rPr>
        <w:t xml:space="preserve">, </w:t>
      </w:r>
      <w:r w:rsidRPr="009E0B85" w:rsidR="0097330C">
        <w:rPr>
          <w:szCs w:val="24"/>
          <w:lang w:val="sv-SE"/>
        </w:rPr>
        <w:t>där den nationella domstolen hade gjort en ny intresseavvägning, utgjorde en ny sakuppgift.</w:t>
      </w:r>
      <w:r w:rsidRPr="00781D24" w:rsidR="0097330C">
        <w:rPr>
          <w:szCs w:val="24"/>
          <w:lang w:val="sv-SE"/>
        </w:rPr>
        <w:t xml:space="preserve"> </w:t>
      </w:r>
      <w:r w:rsidRPr="009E0B85" w:rsidR="0097330C">
        <w:rPr>
          <w:szCs w:val="24"/>
          <w:lang w:val="sv-SE"/>
        </w:rPr>
        <w:t xml:space="preserve">Domstolen konstaterade i detta avseende även att ministerkommittén inte </w:t>
      </w:r>
      <w:r w:rsidR="00C142B0">
        <w:rPr>
          <w:szCs w:val="24"/>
          <w:lang w:val="sv-SE"/>
        </w:rPr>
        <w:t>på</w:t>
      </w:r>
      <w:r w:rsidRPr="009E0B85" w:rsidR="0097330C">
        <w:rPr>
          <w:szCs w:val="24"/>
          <w:lang w:val="sv-SE"/>
        </w:rPr>
        <w:t xml:space="preserve">börjat sin granskning </w:t>
      </w:r>
      <w:r w:rsidR="00C142B0">
        <w:rPr>
          <w:szCs w:val="24"/>
          <w:lang w:val="sv-SE"/>
        </w:rPr>
        <w:t xml:space="preserve">av verkställandet </w:t>
      </w:r>
      <w:r w:rsidRPr="009E0B85" w:rsidR="0097330C">
        <w:rPr>
          <w:szCs w:val="24"/>
          <w:lang w:val="sv-SE"/>
        </w:rPr>
        <w:t>ännu.</w:t>
      </w:r>
      <w:r w:rsidRPr="00781D24" w:rsidR="0097330C">
        <w:rPr>
          <w:szCs w:val="24"/>
          <w:lang w:val="sv-SE"/>
        </w:rPr>
        <w:t xml:space="preserve"> </w:t>
      </w:r>
      <w:r w:rsidRPr="009E0B85" w:rsidR="0097330C">
        <w:rPr>
          <w:szCs w:val="24"/>
          <w:lang w:val="sv-SE"/>
        </w:rPr>
        <w:t xml:space="preserve">Jämförbara klagomål ogillades dock i målen </w:t>
      </w:r>
      <w:r w:rsidR="00696451">
        <w:rPr>
          <w:i/>
          <w:szCs w:val="24"/>
          <w:lang w:val="sv-SE"/>
        </w:rPr>
        <w:t>Schelling v. Austria (nr</w:t>
      </w:r>
      <w:r w:rsidRPr="009E0B85" w:rsidR="0097330C">
        <w:rPr>
          <w:i/>
          <w:szCs w:val="24"/>
          <w:lang w:val="sv-SE"/>
        </w:rPr>
        <w:t xml:space="preserve"> 2) </w:t>
      </w:r>
      <w:r w:rsidRPr="009E0B85" w:rsidR="0097330C">
        <w:rPr>
          <w:szCs w:val="24"/>
          <w:lang w:val="sv-SE"/>
        </w:rPr>
        <w:t xml:space="preserve">(dec.), nr 46128/07, 16 september 2010 och </w:t>
      </w:r>
      <w:r w:rsidRPr="009E0B85" w:rsidR="0097330C">
        <w:rPr>
          <w:i/>
          <w:szCs w:val="24"/>
          <w:lang w:val="sv-SE"/>
        </w:rPr>
        <w:t>Steck-Risch and Others v. Liechtenstein</w:t>
      </w:r>
      <w:r w:rsidRPr="009E0B85" w:rsidR="0097330C">
        <w:rPr>
          <w:szCs w:val="24"/>
          <w:lang w:val="sv-SE"/>
        </w:rPr>
        <w:t xml:space="preserve"> (dec.) nr 629061//08, 11 maj 2010), eftersom Domstolen ansåg att de nationella domstolarnas bes</w:t>
      </w:r>
      <w:r w:rsidR="004735C4">
        <w:rPr>
          <w:szCs w:val="24"/>
          <w:lang w:val="sv-SE"/>
        </w:rPr>
        <w:t>lut att avslå ansökningarna om att förfarandet skulle återupptas</w:t>
      </w:r>
      <w:r w:rsidRPr="009E0B85" w:rsidR="0097330C">
        <w:rPr>
          <w:szCs w:val="24"/>
          <w:lang w:val="sv-SE"/>
        </w:rPr>
        <w:t xml:space="preserve"> inte var baserade på eller kopplade till relevanta nya grunder som kunde ge upphov till en ny Konventionskränkning.</w:t>
      </w:r>
      <w:r w:rsidRPr="00781D24" w:rsidR="0097330C">
        <w:rPr>
          <w:szCs w:val="24"/>
          <w:lang w:val="sv-SE"/>
        </w:rPr>
        <w:t xml:space="preserve"> </w:t>
      </w:r>
      <w:r w:rsidRPr="009E0B85" w:rsidR="0097330C">
        <w:rPr>
          <w:szCs w:val="24"/>
          <w:lang w:val="sv-SE"/>
        </w:rPr>
        <w:t xml:space="preserve">I </w:t>
      </w:r>
    </w:p>
    <w:p w:rsidR="009411BF">
      <w:pPr>
        <w:jc w:val="left"/>
        <w:rPr>
          <w:sz w:val="20"/>
          <w:szCs w:val="24"/>
          <w:lang w:val="sv-SE"/>
        </w:rPr>
      </w:pPr>
      <w:r>
        <w:rPr>
          <w:szCs w:val="24"/>
          <w:lang w:val="sv-SE"/>
        </w:rPr>
        <w:br w:type="page"/>
      </w:r>
    </w:p>
    <w:p w:rsidRPr="00781D24" w:rsidR="0097330C" w:rsidP="009411BF">
      <w:pPr>
        <w:pStyle w:val="ECHRParaQuote"/>
        <w:ind w:firstLine="1"/>
        <w:rPr>
          <w:rFonts w:eastAsia="Times New Roman"/>
          <w:szCs w:val="24"/>
          <w:lang w:val="sv-SE"/>
        </w:rPr>
      </w:pPr>
      <w:r w:rsidRPr="009E0B85">
        <w:rPr>
          <w:i/>
          <w:szCs w:val="24"/>
          <w:lang w:val="sv-SE"/>
        </w:rPr>
        <w:t>Steck-Risch</w:t>
      </w:r>
      <w:r w:rsidRPr="009E0B85">
        <w:rPr>
          <w:szCs w:val="24"/>
          <w:lang w:val="sv-SE"/>
        </w:rPr>
        <w:t xml:space="preserve"> konstaterade Domstolen vidare att ministerkommittén hade avslutat sin</w:t>
      </w:r>
      <w:r w:rsidR="004735C4">
        <w:rPr>
          <w:szCs w:val="24"/>
          <w:lang w:val="sv-SE"/>
        </w:rPr>
        <w:t xml:space="preserve"> övervakning av verkställandet</w:t>
      </w:r>
      <w:r w:rsidRPr="009E0B85">
        <w:rPr>
          <w:szCs w:val="24"/>
          <w:lang w:val="sv-SE"/>
        </w:rPr>
        <w:t xml:space="preserve"> av Domstolens tidigare dom innan den nationella domst</w:t>
      </w:r>
      <w:r w:rsidR="00FB0FE4">
        <w:rPr>
          <w:szCs w:val="24"/>
          <w:lang w:val="sv-SE"/>
        </w:rPr>
        <w:t>olen beslöt</w:t>
      </w:r>
      <w:r w:rsidR="004735C4">
        <w:rPr>
          <w:szCs w:val="24"/>
          <w:lang w:val="sv-SE"/>
        </w:rPr>
        <w:t xml:space="preserve"> att </w:t>
      </w:r>
      <w:r w:rsidRPr="009E0B85">
        <w:rPr>
          <w:szCs w:val="24"/>
          <w:lang w:val="sv-SE"/>
        </w:rPr>
        <w:t xml:space="preserve">förfarandet </w:t>
      </w:r>
      <w:r w:rsidR="004735C4">
        <w:rPr>
          <w:szCs w:val="24"/>
          <w:lang w:val="sv-SE"/>
        </w:rPr>
        <w:t>inte skulle återupptas utan att ta</w:t>
      </w:r>
      <w:r w:rsidRPr="009E0B85">
        <w:rPr>
          <w:szCs w:val="24"/>
          <w:lang w:val="sv-SE"/>
        </w:rPr>
        <w:t xml:space="preserve"> hänsyn till det faktum att en b</w:t>
      </w:r>
      <w:r w:rsidR="004735C4">
        <w:rPr>
          <w:szCs w:val="24"/>
          <w:lang w:val="sv-SE"/>
        </w:rPr>
        <w:t>egäran om att förfarandet skulle återupptas skulle kunna framställas</w:t>
      </w:r>
      <w:r w:rsidRPr="009E0B85">
        <w:rPr>
          <w:szCs w:val="24"/>
          <w:lang w:val="sv-SE"/>
        </w:rPr>
        <w:t>.</w:t>
      </w:r>
      <w:r w:rsidRPr="00781D24">
        <w:rPr>
          <w:szCs w:val="24"/>
          <w:lang w:val="sv-SE"/>
        </w:rPr>
        <w:t xml:space="preserve"> </w:t>
      </w:r>
      <w:r w:rsidRPr="009E0B85">
        <w:rPr>
          <w:rFonts w:eastAsia="Times New Roman"/>
          <w:szCs w:val="24"/>
          <w:lang w:val="sv-SE"/>
        </w:rPr>
        <w:t>Det fanns ingen relevant ny information avseende detta heller.</w:t>
      </w:r>
    </w:p>
    <w:p w:rsidRPr="00781D24" w:rsidR="0097330C" w:rsidP="0097330C">
      <w:pPr>
        <w:pStyle w:val="ECHRParaQuote"/>
        <w:rPr>
          <w:rFonts w:eastAsia="Times New Roman"/>
          <w:szCs w:val="24"/>
          <w:lang w:val="sv-SE"/>
        </w:rPr>
      </w:pPr>
      <w:r w:rsidRPr="009E0B85">
        <w:rPr>
          <w:szCs w:val="24"/>
          <w:lang w:val="sv-SE"/>
        </w:rPr>
        <w:t>55.  I detta sammanhang bör även hänvisas till de kriterier som etablerats i rättspraxis rörande artikel 35 § 2 (b), enligt vilken</w:t>
      </w:r>
      <w:r w:rsidR="009411BF">
        <w:rPr>
          <w:szCs w:val="24"/>
          <w:lang w:val="sv-SE"/>
        </w:rPr>
        <w:t xml:space="preserve"> en ansökan ska avvisas om den ”</w:t>
      </w:r>
      <w:r w:rsidRPr="009E0B85">
        <w:rPr>
          <w:szCs w:val="24"/>
          <w:lang w:val="sv-SE"/>
        </w:rPr>
        <w:t>väsentligen innefattar samma omständighet som redan prövats av Domstolen... och inte innehå</w:t>
      </w:r>
      <w:r w:rsidR="009411BF">
        <w:rPr>
          <w:szCs w:val="24"/>
          <w:lang w:val="sv-SE"/>
        </w:rPr>
        <w:t>ller nya relevanta upplysningar”</w:t>
      </w:r>
      <w:r w:rsidRPr="009E0B85">
        <w:rPr>
          <w:szCs w:val="24"/>
          <w:lang w:val="sv-SE"/>
        </w:rPr>
        <w:t>:</w:t>
      </w:r>
      <w:r w:rsidRPr="00781D24">
        <w:rPr>
          <w:szCs w:val="24"/>
          <w:lang w:val="sv-SE"/>
        </w:rPr>
        <w:t xml:space="preserve"> </w:t>
      </w:r>
      <w:r w:rsidR="009411BF">
        <w:rPr>
          <w:szCs w:val="24"/>
          <w:lang w:val="sv-SE"/>
        </w:rPr>
        <w:t>(i) en ansökan anses ”</w:t>
      </w:r>
      <w:r w:rsidRPr="009E0B85">
        <w:rPr>
          <w:szCs w:val="24"/>
          <w:lang w:val="sv-SE"/>
        </w:rPr>
        <w:t>väsentligen</w:t>
      </w:r>
      <w:r w:rsidR="009411BF">
        <w:rPr>
          <w:szCs w:val="24"/>
          <w:lang w:val="sv-SE"/>
        </w:rPr>
        <w:t xml:space="preserve"> innefatta samma omständigheter”</w:t>
      </w:r>
      <w:r w:rsidRPr="009E0B85">
        <w:rPr>
          <w:szCs w:val="24"/>
          <w:lang w:val="sv-SE"/>
        </w:rPr>
        <w:t xml:space="preserve"> om parterna, klagomålen och sakuppgifterna är identiska (jfr </w:t>
      </w:r>
      <w:r w:rsidRPr="009E0B85">
        <w:rPr>
          <w:i/>
          <w:szCs w:val="24"/>
          <w:lang w:val="sv-SE"/>
        </w:rPr>
        <w:t>Verein Gegen Tierfabriken Schweiz (VgT)</w:t>
      </w:r>
      <w:r w:rsidRPr="009E0B85">
        <w:rPr>
          <w:szCs w:val="24"/>
          <w:lang w:val="sv-SE"/>
        </w:rPr>
        <w:t xml:space="preserve"> citerat ovan, § 63 och </w:t>
      </w:r>
      <w:r w:rsidRPr="009E0B85">
        <w:rPr>
          <w:i/>
          <w:szCs w:val="24"/>
          <w:lang w:val="sv-SE"/>
        </w:rPr>
        <w:t>Pauger v. Austria</w:t>
      </w:r>
      <w:r w:rsidRPr="009E0B85">
        <w:rPr>
          <w:szCs w:val="24"/>
          <w:lang w:val="sv-SE"/>
        </w:rPr>
        <w:t xml:space="preserve"> (dec.), nr</w:t>
      </w:r>
      <w:r w:rsidRPr="00781D24">
        <w:rPr>
          <w:szCs w:val="24"/>
          <w:lang w:val="sv-SE"/>
        </w:rPr>
        <w:t xml:space="preserve"> </w:t>
      </w:r>
      <w:r w:rsidRPr="009E0B85">
        <w:rPr>
          <w:rFonts w:eastAsia="Times New Roman"/>
          <w:szCs w:val="24"/>
          <w:lang w:val="sv-SE"/>
        </w:rPr>
        <w:t>16717/90 och 24872/94, kommissionens beslut den 9 januari 1</w:t>
      </w:r>
      <w:r w:rsidR="009411BF">
        <w:rPr>
          <w:rFonts w:eastAsia="Times New Roman"/>
          <w:szCs w:val="24"/>
          <w:lang w:val="sv-SE"/>
        </w:rPr>
        <w:t xml:space="preserve">995); (ii) </w:t>
      </w:r>
      <w:r w:rsidRPr="004C234C" w:rsidR="004C234C">
        <w:rPr>
          <w:rFonts w:eastAsia="Times New Roman"/>
          <w:szCs w:val="24"/>
          <w:lang w:val="sv-SE"/>
        </w:rPr>
        <w:t>klagomålet</w:t>
      </w:r>
      <w:r w:rsidRPr="004C234C" w:rsidR="009411BF">
        <w:rPr>
          <w:rFonts w:eastAsia="Times New Roman"/>
          <w:szCs w:val="24"/>
          <w:lang w:val="sv-SE"/>
        </w:rPr>
        <w:t xml:space="preserve"> karaktäriseras av</w:t>
      </w:r>
      <w:r w:rsidRPr="004C234C">
        <w:rPr>
          <w:rFonts w:eastAsia="Times New Roman"/>
          <w:szCs w:val="24"/>
          <w:lang w:val="sv-SE"/>
        </w:rPr>
        <w:t xml:space="preserve"> de fakta som påstås i det och inte enbart av de rättsliga grunder eller skäl som åberopas</w:t>
      </w:r>
      <w:r w:rsidRPr="009E0B85">
        <w:rPr>
          <w:rFonts w:eastAsia="Times New Roman"/>
          <w:szCs w:val="24"/>
          <w:lang w:val="sv-SE"/>
        </w:rPr>
        <w:t xml:space="preserve"> i det (jfr </w:t>
      </w:r>
      <w:r w:rsidRPr="009E0B85">
        <w:rPr>
          <w:rFonts w:eastAsia="Times New Roman"/>
          <w:i/>
          <w:szCs w:val="24"/>
          <w:lang w:val="sv-SE"/>
        </w:rPr>
        <w:t>Guerra and Others v. Italy</w:t>
      </w:r>
      <w:r w:rsidRPr="009E0B85">
        <w:rPr>
          <w:rFonts w:eastAsia="Times New Roman"/>
          <w:szCs w:val="24"/>
          <w:lang w:val="sv-SE"/>
        </w:rPr>
        <w:t xml:space="preserve">, 19 februari 1998, § 44, Rapporter 1998-I och </w:t>
      </w:r>
      <w:r w:rsidRPr="009E0B85">
        <w:rPr>
          <w:rFonts w:eastAsia="Times New Roman"/>
          <w:i/>
          <w:szCs w:val="24"/>
          <w:lang w:val="sv-SE"/>
        </w:rPr>
        <w:t>Powell and Rayner v. the United Kingdom</w:t>
      </w:r>
      <w:r w:rsidRPr="009E0B85">
        <w:rPr>
          <w:rFonts w:eastAsia="Times New Roman"/>
          <w:szCs w:val="24"/>
          <w:lang w:val="sv-SE"/>
        </w:rPr>
        <w:t xml:space="preserve">, 21 februari 1990, § 29, serie A nr 172); och (iii) när sökanden inkommer med nya upplysningar, ansökan inte väsentligen är den samma som tidigare ansökan (jfr </w:t>
      </w:r>
      <w:r w:rsidRPr="009E0B85">
        <w:rPr>
          <w:rFonts w:eastAsia="Times New Roman"/>
          <w:i/>
          <w:szCs w:val="24"/>
          <w:lang w:val="sv-SE"/>
        </w:rPr>
        <w:t>Patera v. the Czech Republic</w:t>
      </w:r>
      <w:r w:rsidRPr="009E0B85">
        <w:rPr>
          <w:rFonts w:eastAsia="Times New Roman"/>
          <w:szCs w:val="24"/>
          <w:lang w:val="sv-SE"/>
        </w:rPr>
        <w:t xml:space="preserve"> (dec.), nr 25326/03), kommissionens beslut den 10 januari 1996 och </w:t>
      </w:r>
      <w:r w:rsidRPr="009E0B85">
        <w:rPr>
          <w:rFonts w:eastAsia="Times New Roman"/>
          <w:i/>
          <w:szCs w:val="24"/>
          <w:lang w:val="sv-SE"/>
        </w:rPr>
        <w:t>Chappex v. Switzerland</w:t>
      </w:r>
      <w:r w:rsidRPr="009E0B85">
        <w:rPr>
          <w:rFonts w:eastAsia="Times New Roman"/>
          <w:szCs w:val="24"/>
          <w:lang w:val="sv-SE"/>
        </w:rPr>
        <w:t xml:space="preserve"> (dec.), nr 20338/92, kommissionens beslut den 12 oktober 1994).</w:t>
      </w:r>
    </w:p>
    <w:p w:rsidRPr="00781D24" w:rsidR="00D67B59" w:rsidP="00D67B59">
      <w:pPr>
        <w:pStyle w:val="ECHRParaQuote"/>
        <w:rPr>
          <w:rFonts w:eastAsia="Times New Roman"/>
          <w:szCs w:val="24"/>
          <w:lang w:val="sv-SE"/>
        </w:rPr>
      </w:pPr>
      <w:r w:rsidRPr="009E0B85">
        <w:rPr>
          <w:rFonts w:eastAsia="Times New Roman"/>
          <w:szCs w:val="24"/>
          <w:lang w:val="sv-SE"/>
        </w:rPr>
        <w:t xml:space="preserve">56.  Följaktligen innebär det inte </w:t>
      </w:r>
      <w:r w:rsidR="009411BF">
        <w:rPr>
          <w:rFonts w:eastAsia="Times New Roman"/>
          <w:szCs w:val="24"/>
          <w:lang w:val="sv-SE"/>
        </w:rPr>
        <w:t xml:space="preserve">något </w:t>
      </w:r>
      <w:r w:rsidRPr="009E0B85">
        <w:rPr>
          <w:rFonts w:eastAsia="Times New Roman"/>
          <w:szCs w:val="24"/>
          <w:lang w:val="sv-SE"/>
        </w:rPr>
        <w:t>intrång i</w:t>
      </w:r>
      <w:r w:rsidR="00FB0FE4">
        <w:rPr>
          <w:rFonts w:eastAsia="Times New Roman"/>
          <w:szCs w:val="24"/>
          <w:lang w:val="sv-SE"/>
        </w:rPr>
        <w:t xml:space="preserve"> ministerkommitténs befogenhet</w:t>
      </w:r>
      <w:r w:rsidRPr="009E0B85">
        <w:rPr>
          <w:rFonts w:eastAsia="Times New Roman"/>
          <w:szCs w:val="24"/>
          <w:lang w:val="sv-SE"/>
        </w:rPr>
        <w:t xml:space="preserve"> enligt artikel </w:t>
      </w:r>
      <w:r w:rsidR="009411BF">
        <w:rPr>
          <w:rFonts w:eastAsia="Times New Roman"/>
          <w:szCs w:val="24"/>
          <w:lang w:val="sv-SE"/>
        </w:rPr>
        <w:t>46 att övervaka verkställandet</w:t>
      </w:r>
      <w:r w:rsidRPr="009E0B85">
        <w:rPr>
          <w:rFonts w:eastAsia="Times New Roman"/>
          <w:szCs w:val="24"/>
          <w:lang w:val="sv-SE"/>
        </w:rPr>
        <w:t xml:space="preserve"> av Domstolens domar och utvärdera implementeringen av de åtgärder som staterna ska vidta enligt denna artikel när Domstolen behandlar relevanta nya upplysningar i samband med en ny ansökan (jfr </w:t>
      </w:r>
      <w:r w:rsidRPr="009E0B85">
        <w:rPr>
          <w:rFonts w:eastAsia="Times New Roman"/>
          <w:i/>
          <w:szCs w:val="24"/>
          <w:lang w:val="sv-SE"/>
        </w:rPr>
        <w:t>Verein Gegen Tierfabriken Schweiz (VgT)</w:t>
      </w:r>
      <w:r w:rsidRPr="009E0B85">
        <w:rPr>
          <w:rFonts w:eastAsia="Times New Roman"/>
          <w:szCs w:val="24"/>
          <w:lang w:val="sv-SE"/>
        </w:rPr>
        <w:t xml:space="preserve"> citerat ovan, § 67).”</w:t>
      </w:r>
    </w:p>
    <w:p w:rsidRPr="00781D24" w:rsidR="00D67B59" w:rsidP="00D67B59">
      <w:pPr>
        <w:pStyle w:val="ECHRHeading3"/>
        <w:rPr>
          <w:rFonts w:eastAsia="Times New Roman" w:cstheme="minorBidi"/>
          <w:bCs w:val="0"/>
          <w:szCs w:val="24"/>
          <w:lang w:val="sv-SE"/>
        </w:rPr>
      </w:pPr>
      <w:r w:rsidRPr="00394C16">
        <w:rPr>
          <w:rFonts w:eastAsia="Times New Roman" w:cstheme="minorBidi"/>
          <w:bCs w:val="0"/>
          <w:szCs w:val="24"/>
          <w:lang w:val="sv-SE"/>
        </w:rPr>
        <w:t xml:space="preserve">2.  Tillämpning av </w:t>
      </w:r>
      <w:r w:rsidRPr="00394C16">
        <w:rPr>
          <w:rFonts w:eastAsia="Times New Roman" w:cstheme="minorBidi"/>
          <w:bCs w:val="0"/>
          <w:szCs w:val="24"/>
          <w:lang w:val="sv-SE"/>
        </w:rPr>
        <w:t>ovanstå</w:t>
      </w:r>
      <w:r w:rsidRPr="00394C16">
        <w:rPr>
          <w:rFonts w:eastAsia="Times New Roman" w:cstheme="minorBidi"/>
          <w:bCs w:val="0"/>
          <w:szCs w:val="24"/>
          <w:lang w:val="sv-SE"/>
        </w:rPr>
        <w:t>ende principer</w:t>
      </w:r>
      <w:r w:rsidRPr="00394C16">
        <w:rPr>
          <w:rFonts w:eastAsia="Times New Roman" w:cstheme="minorBidi"/>
          <w:bCs w:val="0"/>
          <w:szCs w:val="24"/>
          <w:lang w:val="sv-SE"/>
        </w:rPr>
        <w:t xml:space="preserve"> på det aktuella fallet</w:t>
      </w:r>
    </w:p>
    <w:p w:rsidRPr="00781D24" w:rsidR="00967C21" w:rsidP="00967C21">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35</w:t>
      </w:r>
      <w:r w:rsidRPr="009E0B85">
        <w:rPr>
          <w:szCs w:val="24"/>
          <w:lang w:val="en-GB"/>
        </w:rPr>
        <w:fldChar w:fldCharType="end"/>
      </w:r>
      <w:r w:rsidRPr="009E0B85">
        <w:rPr>
          <w:szCs w:val="24"/>
          <w:lang w:val="sv-SE"/>
        </w:rPr>
        <w:t xml:space="preserve">.  I det </w:t>
      </w:r>
      <w:r w:rsidR="00FB0FE4">
        <w:rPr>
          <w:szCs w:val="24"/>
          <w:lang w:val="sv-SE"/>
        </w:rPr>
        <w:t xml:space="preserve">nu </w:t>
      </w:r>
      <w:r w:rsidRPr="004C234C">
        <w:rPr>
          <w:szCs w:val="24"/>
          <w:lang w:val="sv-SE"/>
        </w:rPr>
        <w:t>aktuella målet anser Domstolen att vissa av söka</w:t>
      </w:r>
      <w:r w:rsidRPr="004C234C" w:rsidR="004C234C">
        <w:rPr>
          <w:szCs w:val="24"/>
          <w:lang w:val="sv-SE"/>
        </w:rPr>
        <w:t>ndens anföranden</w:t>
      </w:r>
      <w:r w:rsidRPr="004C234C" w:rsidR="00FB0FE4">
        <w:rPr>
          <w:szCs w:val="24"/>
          <w:lang w:val="sv-SE"/>
        </w:rPr>
        <w:t xml:space="preserve"> i </w:t>
      </w:r>
      <w:r w:rsidR="004C234C">
        <w:rPr>
          <w:szCs w:val="24"/>
          <w:lang w:val="sv-SE"/>
        </w:rPr>
        <w:t xml:space="preserve">det nu aktuella målet </w:t>
      </w:r>
      <w:r w:rsidRPr="004C234C" w:rsidR="001466B1">
        <w:rPr>
          <w:szCs w:val="24"/>
          <w:lang w:val="sv-SE"/>
        </w:rPr>
        <w:t>ska tolkas som ett klagomål</w:t>
      </w:r>
      <w:r w:rsidRPr="004C234C">
        <w:rPr>
          <w:szCs w:val="24"/>
          <w:lang w:val="sv-SE"/>
        </w:rPr>
        <w:t xml:space="preserve"> över att Domstolens dom den 3 maj 2007 i hennes tidigare mål</w:t>
      </w:r>
      <w:r w:rsidRPr="009E0B85">
        <w:rPr>
          <w:szCs w:val="24"/>
          <w:lang w:val="sv-SE"/>
        </w:rPr>
        <w:t xml:space="preserve"> inte har verkställts korrekt.</w:t>
      </w:r>
      <w:r w:rsidRPr="00781D24">
        <w:rPr>
          <w:szCs w:val="24"/>
          <w:lang w:val="sv-SE"/>
        </w:rPr>
        <w:t xml:space="preserve"> </w:t>
      </w:r>
      <w:r w:rsidRPr="00781D24" w:rsidR="001466B1">
        <w:rPr>
          <w:szCs w:val="24"/>
          <w:lang w:val="sv-SE"/>
        </w:rPr>
        <w:t>I synnerhet kan s</w:t>
      </w:r>
      <w:r w:rsidRPr="009E0B85">
        <w:rPr>
          <w:szCs w:val="24"/>
          <w:lang w:val="sv-SE"/>
        </w:rPr>
        <w:t>ökande</w:t>
      </w:r>
      <w:r w:rsidR="001466B1">
        <w:rPr>
          <w:szCs w:val="24"/>
          <w:lang w:val="sv-SE"/>
        </w:rPr>
        <w:t xml:space="preserve">n </w:t>
      </w:r>
      <w:r w:rsidRPr="009E0B85">
        <w:rPr>
          <w:szCs w:val="24"/>
          <w:lang w:val="sv-SE"/>
        </w:rPr>
        <w:t>anses hävda att bristerna i det ursprungliga nationella förfarandet som var föremål för Domstolens dom 2007 inte avhjälptes genom det förfarande som kulminerade i Högsta domstolens beslut den 14 mars 2008, eftersom Högsta domstolen underlät att behandla giltigheten i den skriftliga huvudbevisningen som de omtvistade besluten i de nati</w:t>
      </w:r>
      <w:r w:rsidR="00CB74FA">
        <w:rPr>
          <w:szCs w:val="24"/>
          <w:lang w:val="sv-SE"/>
        </w:rPr>
        <w:t>onella domstolarna var baserade</w:t>
      </w:r>
      <w:r w:rsidRPr="009E0B85">
        <w:rPr>
          <w:szCs w:val="24"/>
          <w:lang w:val="sv-SE"/>
        </w:rPr>
        <w:t xml:space="preserve"> på (se punkt 29 ovan).</w:t>
      </w:r>
      <w:r w:rsidRPr="00781D24">
        <w:rPr>
          <w:szCs w:val="24"/>
          <w:lang w:val="sv-SE"/>
        </w:rPr>
        <w:t xml:space="preserve"> </w:t>
      </w:r>
      <w:r w:rsidRPr="009E0B85">
        <w:rPr>
          <w:szCs w:val="24"/>
          <w:lang w:val="sv-SE"/>
        </w:rPr>
        <w:t xml:space="preserve">Klagomål beträffande en underlåtenhet att antingen verkställa Domstolens dom </w:t>
      </w:r>
      <w:r w:rsidRPr="004C234C" w:rsidR="00CB74FA">
        <w:rPr>
          <w:szCs w:val="24"/>
          <w:lang w:val="sv-SE"/>
        </w:rPr>
        <w:t>eller gottgöra</w:t>
      </w:r>
      <w:r w:rsidRPr="004C234C">
        <w:rPr>
          <w:szCs w:val="24"/>
          <w:lang w:val="sv-SE"/>
        </w:rPr>
        <w:t xml:space="preserve"> en kränkning </w:t>
      </w:r>
      <w:r w:rsidRPr="004C234C" w:rsidR="00CB74FA">
        <w:rPr>
          <w:szCs w:val="24"/>
          <w:lang w:val="sv-SE"/>
        </w:rPr>
        <w:t xml:space="preserve">som </w:t>
      </w:r>
      <w:r w:rsidRPr="004C234C">
        <w:rPr>
          <w:szCs w:val="24"/>
          <w:lang w:val="sv-SE"/>
        </w:rPr>
        <w:t>redan</w:t>
      </w:r>
      <w:r w:rsidRPr="009E0B85">
        <w:rPr>
          <w:szCs w:val="24"/>
          <w:lang w:val="sv-SE"/>
        </w:rPr>
        <w:t xml:space="preserve"> fastställts av Domstolen faller utan för Domstolens behörighet </w:t>
      </w:r>
      <w:r w:rsidRPr="009E0B85">
        <w:rPr>
          <w:i/>
          <w:szCs w:val="24"/>
          <w:lang w:val="sv-SE"/>
        </w:rPr>
        <w:t>ratione materiae</w:t>
      </w:r>
      <w:r w:rsidRPr="009E0B85">
        <w:rPr>
          <w:szCs w:val="24"/>
          <w:lang w:val="sv-SE"/>
        </w:rPr>
        <w:t xml:space="preserve"> (jfr sammanfattning av Domstolens rättspraxis, återgiven i föregående punkt, i synnerhet </w:t>
      </w:r>
      <w:r w:rsidRPr="009E0B85">
        <w:rPr>
          <w:i/>
          <w:szCs w:val="24"/>
          <w:lang w:val="sv-SE"/>
        </w:rPr>
        <w:t xml:space="preserve">Lyons and Others, </w:t>
      </w:r>
      <w:r w:rsidRPr="009E0B85">
        <w:rPr>
          <w:szCs w:val="24"/>
          <w:lang w:val="sv-SE"/>
        </w:rPr>
        <w:t>citerat ovan.</w:t>
      </w:r>
      <w:r w:rsidRPr="00781D24">
        <w:rPr>
          <w:szCs w:val="24"/>
          <w:lang w:val="sv-SE"/>
        </w:rPr>
        <w:t xml:space="preserve"> </w:t>
      </w:r>
      <w:r w:rsidRPr="009E0B85">
        <w:rPr>
          <w:rFonts w:eastAsia="Times New Roman"/>
          <w:szCs w:val="24"/>
          <w:lang w:val="sv-SE"/>
        </w:rPr>
        <w:t>I den mån sökandens klagomål avser underlåtenhet att gottgöra den ursprungliga kränkningen av artikel 6 § 1 i Konventionen fastställd i Domstolen</w:t>
      </w:r>
      <w:r w:rsidR="00FB0FE4">
        <w:rPr>
          <w:rFonts w:eastAsia="Times New Roman"/>
          <w:szCs w:val="24"/>
          <w:lang w:val="sv-SE"/>
        </w:rPr>
        <w:t>s</w:t>
      </w:r>
      <w:r w:rsidRPr="009E0B85">
        <w:rPr>
          <w:rFonts w:eastAsia="Times New Roman"/>
          <w:szCs w:val="24"/>
          <w:lang w:val="sv-SE"/>
        </w:rPr>
        <w:t xml:space="preserve"> dom 2007, måste de</w:t>
      </w:r>
      <w:r w:rsidR="00CB74FA">
        <w:rPr>
          <w:rFonts w:eastAsia="Times New Roman"/>
          <w:szCs w:val="24"/>
          <w:lang w:val="sv-SE"/>
        </w:rPr>
        <w:t>t</w:t>
      </w:r>
      <w:r w:rsidRPr="009E0B85">
        <w:rPr>
          <w:rFonts w:eastAsia="Times New Roman"/>
          <w:szCs w:val="24"/>
          <w:lang w:val="sv-SE"/>
        </w:rPr>
        <w:t xml:space="preserve"> f</w:t>
      </w:r>
      <w:r w:rsidR="00FB0FE4">
        <w:rPr>
          <w:rFonts w:eastAsia="Times New Roman"/>
          <w:szCs w:val="24"/>
          <w:lang w:val="sv-SE"/>
        </w:rPr>
        <w:t>öljaktligen förklaras oförenligt</w:t>
      </w:r>
      <w:r w:rsidRPr="009E0B85">
        <w:rPr>
          <w:rFonts w:eastAsia="Times New Roman"/>
          <w:szCs w:val="24"/>
          <w:lang w:val="sv-SE"/>
        </w:rPr>
        <w:t xml:space="preserve"> </w:t>
      </w:r>
      <w:r w:rsidRPr="009E0B85">
        <w:rPr>
          <w:rFonts w:eastAsia="Times New Roman"/>
          <w:i/>
          <w:szCs w:val="24"/>
          <w:lang w:val="sv-SE"/>
        </w:rPr>
        <w:t>ratione materiae</w:t>
      </w:r>
      <w:r w:rsidRPr="009E0B85">
        <w:rPr>
          <w:rFonts w:eastAsia="Times New Roman"/>
          <w:szCs w:val="24"/>
          <w:lang w:val="sv-SE"/>
        </w:rPr>
        <w:t xml:space="preserve"> med Konventionen enligt artikel 35 § 3 (a) och § 4.</w:t>
      </w:r>
    </w:p>
    <w:p w:rsidRPr="00781D24" w:rsidR="00A564AA" w:rsidP="00A564AA">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36</w:t>
      </w:r>
      <w:r w:rsidRPr="009E0B85">
        <w:rPr>
          <w:rFonts w:eastAsia="Times New Roman"/>
          <w:szCs w:val="24"/>
          <w:lang w:val="en-GB"/>
        </w:rPr>
        <w:fldChar w:fldCharType="end"/>
      </w:r>
      <w:r w:rsidRPr="009E0B85">
        <w:rPr>
          <w:rFonts w:eastAsia="Times New Roman"/>
          <w:szCs w:val="24"/>
          <w:lang w:val="sv-SE"/>
        </w:rPr>
        <w:t xml:space="preserve">.  Sökandens nya ansökan tar dock även upp en ny olägenhet som inte så mycket rör resultatet av förfarandet i Högsta domstolen 2008 utan hur </w:t>
      </w:r>
      <w:r w:rsidRPr="009E0B85">
        <w:rPr>
          <w:rFonts w:eastAsia="Times New Roman"/>
          <w:szCs w:val="24"/>
          <w:lang w:val="sv-SE"/>
        </w:rPr>
        <w:t>detta förfarande genomfördes och rättvisan i förfarandet – som kronologisk</w:t>
      </w:r>
      <w:r w:rsidR="00CB74FA">
        <w:rPr>
          <w:rFonts w:eastAsia="Times New Roman"/>
          <w:szCs w:val="24"/>
          <w:lang w:val="sv-SE"/>
        </w:rPr>
        <w:t>t</w:t>
      </w:r>
      <w:r w:rsidRPr="009E0B85">
        <w:rPr>
          <w:rFonts w:eastAsia="Times New Roman"/>
          <w:szCs w:val="24"/>
          <w:lang w:val="sv-SE"/>
        </w:rPr>
        <w:t xml:space="preserve"> följde efter och skilde sig från det nationella förfarande som ifrågasattes i Domstolens dom 2007.</w:t>
      </w:r>
    </w:p>
    <w:p w:rsidRPr="00781D24" w:rsidR="003466F3" w:rsidP="003466F3">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37</w:t>
      </w:r>
      <w:r w:rsidRPr="009E0B85">
        <w:rPr>
          <w:szCs w:val="24"/>
          <w:lang w:val="en-GB"/>
        </w:rPr>
        <w:fldChar w:fldCharType="end"/>
      </w:r>
      <w:r w:rsidRPr="009E0B85">
        <w:rPr>
          <w:szCs w:val="24"/>
          <w:lang w:val="sv-SE"/>
        </w:rPr>
        <w:t>.  Sökandens klagomål i det avseendet, vilket framgår av hennes inlagor</w:t>
      </w:r>
      <w:r w:rsidR="00B7539A">
        <w:rPr>
          <w:szCs w:val="24"/>
          <w:lang w:val="sv-SE"/>
        </w:rPr>
        <w:t>,</w:t>
      </w:r>
      <w:r w:rsidRPr="009E0B85">
        <w:rPr>
          <w:szCs w:val="24"/>
          <w:lang w:val="sv-SE"/>
        </w:rPr>
        <w:t xml:space="preserve"> rör det sätt på vilket Högsta domstolen behandlade ett av hennes huvudargument baserat på Domstolens dom 2007.</w:t>
      </w:r>
      <w:r w:rsidRPr="00781D24">
        <w:rPr>
          <w:szCs w:val="24"/>
          <w:lang w:val="sv-SE"/>
        </w:rPr>
        <w:t xml:space="preserve"> </w:t>
      </w:r>
      <w:r w:rsidRPr="009E0B85">
        <w:rPr>
          <w:szCs w:val="24"/>
          <w:lang w:val="sv-SE"/>
        </w:rPr>
        <w:t>I synnerhet hävdade hon att den bevisföring som Högsta domstolen använde sig av i sitt beslut den 14 mars 2008 tydligt stred mot Domstolens relevanta slutsatser i sin dom 2007 (se punkt 29 ovan).</w:t>
      </w:r>
      <w:r w:rsidRPr="00781D24">
        <w:rPr>
          <w:szCs w:val="24"/>
          <w:lang w:val="sv-SE"/>
        </w:rPr>
        <w:t xml:space="preserve"> </w:t>
      </w:r>
      <w:r w:rsidRPr="009E0B85">
        <w:rPr>
          <w:szCs w:val="24"/>
          <w:lang w:val="sv-SE"/>
        </w:rPr>
        <w:t>Detta nya klagomål handlar därför om det sätt på vilket beslutet från mars 2008 hade fattats i förfarandet rörande sökandes exceptionella över</w:t>
      </w:r>
      <w:r w:rsidR="004C234C">
        <w:rPr>
          <w:szCs w:val="24"/>
          <w:lang w:val="sv-SE"/>
        </w:rPr>
        <w:t>klagande, inte om vare sig dess</w:t>
      </w:r>
      <w:r w:rsidRPr="009E0B85">
        <w:rPr>
          <w:szCs w:val="24"/>
          <w:lang w:val="sv-SE"/>
        </w:rPr>
        <w:t xml:space="preserve"> resultat i sig eller effektiviteten i de nationella domstolarnas implementering av Domstolens dom (jämför med </w:t>
      </w:r>
      <w:r w:rsidRPr="009E0B85">
        <w:rPr>
          <w:i/>
          <w:szCs w:val="24"/>
          <w:lang w:val="sv-SE"/>
        </w:rPr>
        <w:t>Steck-Risch and Others</w:t>
      </w:r>
      <w:r w:rsidRPr="009E0B85">
        <w:rPr>
          <w:szCs w:val="24"/>
          <w:lang w:val="sv-SE"/>
        </w:rPr>
        <w:t>,</w:t>
      </w:r>
      <w:r w:rsidRPr="009E0B85">
        <w:rPr>
          <w:i/>
          <w:szCs w:val="24"/>
          <w:lang w:val="sv-SE"/>
        </w:rPr>
        <w:t xml:space="preserve"> Öcalan</w:t>
      </w:r>
      <w:r w:rsidRPr="009E0B85">
        <w:rPr>
          <w:szCs w:val="24"/>
          <w:lang w:val="sv-SE"/>
        </w:rPr>
        <w:t xml:space="preserve">, och </w:t>
      </w:r>
      <w:r w:rsidRPr="009E0B85">
        <w:rPr>
          <w:i/>
          <w:szCs w:val="24"/>
          <w:lang w:val="sv-SE"/>
        </w:rPr>
        <w:t>Schelling (nr 2)</w:t>
      </w:r>
      <w:r w:rsidRPr="009E0B85">
        <w:rPr>
          <w:szCs w:val="24"/>
          <w:lang w:val="sv-SE"/>
        </w:rPr>
        <w:t xml:space="preserve">, citerat ovan, där ingen klar orättvisa </w:t>
      </w:r>
      <w:r w:rsidR="00B7539A">
        <w:rPr>
          <w:szCs w:val="24"/>
          <w:lang w:val="sv-SE"/>
        </w:rPr>
        <w:t>gjordes gällande avseende</w:t>
      </w:r>
      <w:r w:rsidRPr="009E0B85">
        <w:rPr>
          <w:szCs w:val="24"/>
          <w:lang w:val="sv-SE"/>
        </w:rPr>
        <w:t xml:space="preserve"> genomförandet av det relevanta nya förfaran</w:t>
      </w:r>
      <w:r w:rsidR="00FB0FE4">
        <w:rPr>
          <w:szCs w:val="24"/>
          <w:lang w:val="sv-SE"/>
        </w:rPr>
        <w:t xml:space="preserve">de som de sökande i dessa mål </w:t>
      </w:r>
      <w:r w:rsidRPr="009E0B85">
        <w:rPr>
          <w:szCs w:val="24"/>
          <w:lang w:val="sv-SE"/>
        </w:rPr>
        <w:t>inledde på nationell nivå).</w:t>
      </w:r>
      <w:r w:rsidRPr="00781D24">
        <w:rPr>
          <w:szCs w:val="24"/>
          <w:lang w:val="sv-SE"/>
        </w:rPr>
        <w:t xml:space="preserve"> </w:t>
      </w:r>
      <w:r w:rsidRPr="009E0B85">
        <w:rPr>
          <w:rFonts w:eastAsia="Times New Roman"/>
          <w:szCs w:val="24"/>
          <w:lang w:val="sv-SE"/>
        </w:rPr>
        <w:t>Även om sökandens initiativ för att få de nationella besluten i det aktuella målet</w:t>
      </w:r>
      <w:r w:rsidR="00B7539A">
        <w:rPr>
          <w:rFonts w:eastAsia="Times New Roman"/>
          <w:szCs w:val="24"/>
          <w:lang w:val="sv-SE"/>
        </w:rPr>
        <w:t xml:space="preserve"> omprövade tveklöst var kopplade</w:t>
      </w:r>
      <w:r w:rsidRPr="009E0B85">
        <w:rPr>
          <w:rFonts w:eastAsia="Times New Roman"/>
          <w:szCs w:val="24"/>
          <w:lang w:val="sv-SE"/>
        </w:rPr>
        <w:t xml:space="preserve"> till verkställandet av Domstolens dom från den 3 maj 2007, rör hennes klagomål beträffande orättvisan i det efterf</w:t>
      </w:r>
      <w:r w:rsidR="00696451">
        <w:rPr>
          <w:rFonts w:eastAsia="Times New Roman"/>
          <w:szCs w:val="24"/>
          <w:lang w:val="sv-SE"/>
        </w:rPr>
        <w:t>öljande domstolsförfarandet</w:t>
      </w:r>
      <w:r w:rsidRPr="009E0B85">
        <w:rPr>
          <w:rFonts w:eastAsia="Times New Roman"/>
          <w:szCs w:val="24"/>
          <w:lang w:val="sv-SE"/>
        </w:rPr>
        <w:t xml:space="preserve"> en situation som är klart skild från den</w:t>
      </w:r>
      <w:r w:rsidR="004C234C">
        <w:rPr>
          <w:rFonts w:eastAsia="Times New Roman"/>
          <w:szCs w:val="24"/>
          <w:lang w:val="sv-SE"/>
        </w:rPr>
        <w:t xml:space="preserve"> som prövades i den domen och</w:t>
      </w:r>
      <w:r w:rsidRPr="009E0B85">
        <w:rPr>
          <w:rFonts w:eastAsia="Times New Roman"/>
          <w:szCs w:val="24"/>
          <w:lang w:val="sv-SE"/>
        </w:rPr>
        <w:t xml:space="preserve"> </w:t>
      </w:r>
      <w:r w:rsidR="00696451">
        <w:rPr>
          <w:rFonts w:eastAsia="Times New Roman"/>
          <w:szCs w:val="24"/>
          <w:lang w:val="sv-SE"/>
        </w:rPr>
        <w:t xml:space="preserve">de </w:t>
      </w:r>
      <w:r w:rsidRPr="009E0B85">
        <w:rPr>
          <w:rFonts w:eastAsia="Times New Roman"/>
          <w:szCs w:val="24"/>
          <w:lang w:val="sv-SE"/>
        </w:rPr>
        <w:t>innehåller relevanta nya upplysningar rörande omständigheter som inte omfattades av den domen.</w:t>
      </w:r>
    </w:p>
    <w:p w:rsidRPr="00781D24" w:rsidR="003466F3" w:rsidP="003466F3">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38</w:t>
      </w:r>
      <w:r w:rsidRPr="009E0B85">
        <w:rPr>
          <w:rFonts w:eastAsia="Times New Roman"/>
          <w:szCs w:val="24"/>
          <w:lang w:val="en-GB"/>
        </w:rPr>
        <w:fldChar w:fldCharType="end"/>
      </w:r>
      <w:r w:rsidR="0011784F">
        <w:rPr>
          <w:rFonts w:eastAsia="Times New Roman"/>
          <w:szCs w:val="24"/>
          <w:lang w:val="sv-SE"/>
        </w:rPr>
        <w:t>.  D</w:t>
      </w:r>
      <w:r w:rsidRPr="009E0B85">
        <w:rPr>
          <w:rFonts w:eastAsia="Times New Roman"/>
          <w:szCs w:val="24"/>
          <w:lang w:val="sv-SE"/>
        </w:rPr>
        <w:t xml:space="preserve">en ”nya omständigheten”, som Domstolen i det </w:t>
      </w:r>
      <w:r w:rsidR="0011784F">
        <w:rPr>
          <w:rFonts w:eastAsia="Times New Roman"/>
          <w:szCs w:val="24"/>
          <w:lang w:val="sv-SE"/>
        </w:rPr>
        <w:t xml:space="preserve">nu </w:t>
      </w:r>
      <w:r w:rsidRPr="009E0B85">
        <w:rPr>
          <w:rFonts w:eastAsia="Times New Roman"/>
          <w:szCs w:val="24"/>
          <w:lang w:val="sv-SE"/>
        </w:rPr>
        <w:t xml:space="preserve">aktuella målet är behörig att pröva utan att det inkräktar på svarandestatens och ministerkommitténs befogenheter enligt artikel 46 i Konventionen, </w:t>
      </w:r>
      <w:r w:rsidR="0011784F">
        <w:rPr>
          <w:rFonts w:eastAsia="Times New Roman"/>
          <w:szCs w:val="24"/>
          <w:lang w:val="sv-SE"/>
        </w:rPr>
        <w:t xml:space="preserve">rör följaktligen </w:t>
      </w:r>
      <w:r w:rsidRPr="009E0B85">
        <w:rPr>
          <w:rFonts w:eastAsia="Times New Roman"/>
          <w:szCs w:val="24"/>
          <w:lang w:val="sv-SE"/>
        </w:rPr>
        <w:t xml:space="preserve">den påstådda orättvisan i </w:t>
      </w:r>
      <w:r w:rsidRPr="004C234C">
        <w:rPr>
          <w:rFonts w:eastAsia="Times New Roman"/>
          <w:szCs w:val="24"/>
          <w:lang w:val="sv-SE"/>
        </w:rPr>
        <w:t>förfarandet rörande sökandens exceptionella överklag</w:t>
      </w:r>
      <w:r w:rsidRPr="004C234C" w:rsidR="00B7539A">
        <w:rPr>
          <w:rFonts w:eastAsia="Times New Roman"/>
          <w:szCs w:val="24"/>
          <w:lang w:val="sv-SE"/>
        </w:rPr>
        <w:t>ande, och inte dess resultat i sig eller dess inverkan på det korrekta verkställandet</w:t>
      </w:r>
      <w:r w:rsidRPr="004C234C">
        <w:rPr>
          <w:rFonts w:eastAsia="Times New Roman"/>
          <w:szCs w:val="24"/>
          <w:lang w:val="sv-SE"/>
        </w:rPr>
        <w:t xml:space="preserve"> av Domstolens</w:t>
      </w:r>
      <w:r w:rsidRPr="009E0B85">
        <w:rPr>
          <w:rFonts w:eastAsia="Times New Roman"/>
          <w:szCs w:val="24"/>
          <w:lang w:val="sv-SE"/>
        </w:rPr>
        <w:t xml:space="preserve"> dom från den 3 maj 2007.</w:t>
      </w:r>
    </w:p>
    <w:p w:rsidRPr="00781D24" w:rsidR="003466F3" w:rsidP="003466F3">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39</w:t>
      </w:r>
      <w:r w:rsidRPr="009E0B85">
        <w:rPr>
          <w:rFonts w:eastAsia="Times New Roman"/>
          <w:szCs w:val="24"/>
          <w:lang w:val="en-GB"/>
        </w:rPr>
        <w:fldChar w:fldCharType="end"/>
      </w:r>
      <w:r w:rsidR="00B7539A">
        <w:rPr>
          <w:rFonts w:eastAsia="Times New Roman"/>
          <w:szCs w:val="24"/>
          <w:lang w:val="sv-SE"/>
        </w:rPr>
        <w:t xml:space="preserve">.  Följaktligen </w:t>
      </w:r>
      <w:r w:rsidR="0011784F">
        <w:rPr>
          <w:rFonts w:eastAsia="Times New Roman"/>
          <w:szCs w:val="24"/>
          <w:lang w:val="sv-SE"/>
        </w:rPr>
        <w:t>för</w:t>
      </w:r>
      <w:r w:rsidR="00B7539A">
        <w:rPr>
          <w:rFonts w:eastAsia="Times New Roman"/>
          <w:szCs w:val="24"/>
          <w:lang w:val="sv-SE"/>
        </w:rPr>
        <w:t>hindrar</w:t>
      </w:r>
      <w:r w:rsidRPr="009E0B85">
        <w:rPr>
          <w:rFonts w:eastAsia="Times New Roman"/>
          <w:szCs w:val="24"/>
          <w:lang w:val="sv-SE"/>
        </w:rPr>
        <w:t xml:space="preserve"> </w:t>
      </w:r>
      <w:r w:rsidR="00B7539A">
        <w:rPr>
          <w:rFonts w:eastAsia="Times New Roman"/>
          <w:szCs w:val="24"/>
          <w:lang w:val="sv-SE"/>
        </w:rPr>
        <w:t xml:space="preserve">inte </w:t>
      </w:r>
      <w:r w:rsidRPr="009E0B85">
        <w:rPr>
          <w:rFonts w:eastAsia="Times New Roman"/>
          <w:szCs w:val="24"/>
          <w:lang w:val="sv-SE"/>
        </w:rPr>
        <w:t xml:space="preserve">artikel 46 i Konventionen </w:t>
      </w:r>
      <w:r w:rsidR="0011784F">
        <w:rPr>
          <w:rFonts w:eastAsia="Times New Roman"/>
          <w:szCs w:val="24"/>
          <w:lang w:val="sv-SE"/>
        </w:rPr>
        <w:t xml:space="preserve">att Domstolen </w:t>
      </w:r>
      <w:r w:rsidRPr="009E0B85">
        <w:rPr>
          <w:rFonts w:eastAsia="Times New Roman"/>
          <w:szCs w:val="24"/>
          <w:lang w:val="sv-SE"/>
        </w:rPr>
        <w:t>pröva</w:t>
      </w:r>
      <w:r w:rsidR="0011784F">
        <w:rPr>
          <w:rFonts w:eastAsia="Times New Roman"/>
          <w:szCs w:val="24"/>
          <w:lang w:val="sv-SE"/>
        </w:rPr>
        <w:t>r</w:t>
      </w:r>
      <w:r w:rsidRPr="009E0B85">
        <w:rPr>
          <w:rFonts w:eastAsia="Times New Roman"/>
          <w:szCs w:val="24"/>
          <w:lang w:val="sv-SE"/>
        </w:rPr>
        <w:t xml:space="preserve"> sökandens nya klagomål beträffande orättvisan i det förfarande som kulminerade i Högsta domstolens beslut den 14 mars 2008. Domstolen kommer nu att gå över till frågan huruvida det ifrågasatta nationella förfarandet omfattas av rättvisegarantierna i artikel 6 § 1 i Konventionen. </w:t>
      </w:r>
    </w:p>
    <w:p w:rsidRPr="00781D24" w:rsidR="003466F3" w:rsidP="003466F3">
      <w:pPr>
        <w:pStyle w:val="ECHRHeading2"/>
        <w:rPr>
          <w:rFonts w:eastAsia="Times New Roman" w:cstheme="minorBidi"/>
          <w:bCs w:val="0"/>
          <w:szCs w:val="24"/>
          <w:lang w:val="sv-SE"/>
        </w:rPr>
      </w:pPr>
      <w:r w:rsidRPr="009E0B85">
        <w:rPr>
          <w:rFonts w:eastAsia="Times New Roman" w:cstheme="minorBidi"/>
          <w:bCs w:val="0"/>
          <w:szCs w:val="24"/>
          <w:lang w:val="sv-SE"/>
        </w:rPr>
        <w:t>B.  </w:t>
      </w:r>
      <w:r w:rsidRPr="004C234C">
        <w:rPr>
          <w:rFonts w:eastAsia="Times New Roman" w:cstheme="minorBidi"/>
          <w:bCs w:val="0"/>
          <w:szCs w:val="24"/>
          <w:lang w:val="sv-SE"/>
        </w:rPr>
        <w:t xml:space="preserve">Huruvida sökandens nya klagomål är förenligt </w:t>
      </w:r>
      <w:r w:rsidRPr="004C234C">
        <w:rPr>
          <w:rFonts w:eastAsia="Times New Roman" w:cstheme="minorBidi"/>
          <w:bCs w:val="0"/>
          <w:i/>
          <w:szCs w:val="24"/>
          <w:lang w:val="sv-SE"/>
        </w:rPr>
        <w:t>ratione materiae</w:t>
      </w:r>
      <w:r w:rsidRPr="004C234C">
        <w:rPr>
          <w:rFonts w:eastAsia="Times New Roman" w:cstheme="minorBidi"/>
          <w:bCs w:val="0"/>
          <w:szCs w:val="24"/>
          <w:lang w:val="sv-SE"/>
        </w:rPr>
        <w:t xml:space="preserve"> med artikel 6</w:t>
      </w:r>
      <w:r w:rsidRPr="009E0B85">
        <w:rPr>
          <w:rFonts w:eastAsia="Times New Roman" w:cstheme="minorBidi"/>
          <w:bCs w:val="0"/>
          <w:szCs w:val="24"/>
          <w:lang w:val="sv-SE"/>
        </w:rPr>
        <w:t xml:space="preserve"> § i Konventionen</w:t>
      </w:r>
    </w:p>
    <w:p w:rsidRPr="00781D24" w:rsidR="00846426" w:rsidP="00846426">
      <w:pPr>
        <w:pStyle w:val="ECHRHeading3"/>
        <w:rPr>
          <w:rFonts w:eastAsia="Times New Roman" w:cstheme="minorBidi"/>
          <w:bCs w:val="0"/>
          <w:szCs w:val="24"/>
          <w:lang w:val="sv-SE"/>
        </w:rPr>
      </w:pPr>
      <w:r w:rsidRPr="00394C16">
        <w:rPr>
          <w:rFonts w:eastAsia="Times New Roman" w:cstheme="minorBidi"/>
          <w:bCs w:val="0"/>
          <w:szCs w:val="24"/>
          <w:lang w:val="sv-SE"/>
        </w:rPr>
        <w:t>1.  Parternas sakframställningar</w:t>
      </w:r>
    </w:p>
    <w:p w:rsidRPr="00781D24" w:rsidR="00846426" w:rsidP="00846426">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40</w:t>
      </w:r>
      <w:r w:rsidRPr="009E0B85">
        <w:rPr>
          <w:szCs w:val="24"/>
          <w:lang w:val="en-GB"/>
        </w:rPr>
        <w:fldChar w:fldCharType="end"/>
      </w:r>
      <w:r w:rsidRPr="009E0B85">
        <w:rPr>
          <w:szCs w:val="24"/>
          <w:lang w:val="sv-SE"/>
        </w:rPr>
        <w:t xml:space="preserve">.  Regeringen hävdade att artikel 6 i Konventionen inte var tillämplig på det </w:t>
      </w:r>
      <w:r w:rsidR="00B0114B">
        <w:rPr>
          <w:szCs w:val="24"/>
          <w:lang w:val="sv-SE"/>
        </w:rPr>
        <w:t>förfarande som rörde sökandens ”</w:t>
      </w:r>
      <w:r w:rsidRPr="009E0B85">
        <w:rPr>
          <w:szCs w:val="24"/>
          <w:lang w:val="sv-SE"/>
        </w:rPr>
        <w:t>överklagande mot bakgrund av exceptionella omständigheter”.</w:t>
      </w:r>
      <w:r w:rsidRPr="00781D24">
        <w:rPr>
          <w:szCs w:val="24"/>
          <w:lang w:val="sv-SE"/>
        </w:rPr>
        <w:t xml:space="preserve"> </w:t>
      </w:r>
      <w:r w:rsidRPr="009E0B85">
        <w:rPr>
          <w:szCs w:val="24"/>
          <w:lang w:val="sv-SE"/>
        </w:rPr>
        <w:t xml:space="preserve">Regeringen hävdade att Högsta domstolens beslut den 14 mars 2008, där hennes första överklagande avvisades, hade varit interimistiskt och inte hade fastställt hennes civila rättigheter eller </w:t>
      </w:r>
      <w:r w:rsidRPr="009E0B85">
        <w:rPr>
          <w:szCs w:val="24"/>
          <w:lang w:val="sv-SE"/>
        </w:rPr>
        <w:t>skyldigheter.</w:t>
      </w:r>
      <w:r w:rsidRPr="00781D24">
        <w:rPr>
          <w:szCs w:val="24"/>
          <w:lang w:val="sv-SE"/>
        </w:rPr>
        <w:t xml:space="preserve"> </w:t>
      </w:r>
      <w:r w:rsidRPr="009E0B85">
        <w:rPr>
          <w:szCs w:val="24"/>
          <w:lang w:val="sv-SE"/>
        </w:rPr>
        <w:t xml:space="preserve">Det var Högsta domstolens senare beslut </w:t>
      </w:r>
      <w:r w:rsidR="0011784F">
        <w:rPr>
          <w:szCs w:val="24"/>
          <w:lang w:val="sv-SE"/>
        </w:rPr>
        <w:t xml:space="preserve">från </w:t>
      </w:r>
      <w:r w:rsidRPr="009E0B85">
        <w:rPr>
          <w:szCs w:val="24"/>
          <w:lang w:val="sv-SE"/>
        </w:rPr>
        <w:t>den 5 juni 2008 där hennes andra ö</w:t>
      </w:r>
      <w:r w:rsidR="00B0114B">
        <w:rPr>
          <w:szCs w:val="24"/>
          <w:lang w:val="sv-SE"/>
        </w:rPr>
        <w:t>verklagande avvisades som hade ”</w:t>
      </w:r>
      <w:r w:rsidRPr="009E0B85">
        <w:rPr>
          <w:szCs w:val="24"/>
          <w:lang w:val="sv-SE"/>
        </w:rPr>
        <w:t>fastställt” hennes civila rättigheter och skyldigheter.</w:t>
      </w:r>
      <w:r w:rsidRPr="00781D24">
        <w:rPr>
          <w:szCs w:val="24"/>
          <w:lang w:val="sv-SE"/>
        </w:rPr>
        <w:t xml:space="preserve"> </w:t>
      </w:r>
      <w:r w:rsidRPr="009E0B85">
        <w:rPr>
          <w:rFonts w:eastAsia="Times New Roman"/>
          <w:szCs w:val="24"/>
          <w:lang w:val="sv-SE"/>
        </w:rPr>
        <w:t>Men, eftersom sökanden inte klagade över att förfarandet i juni 2008 var bristfälligt var artikel 6 inte tillämplig.</w:t>
      </w:r>
    </w:p>
    <w:p w:rsidRPr="00781D24" w:rsidR="00846426" w:rsidP="00846426">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41</w:t>
      </w:r>
      <w:r w:rsidRPr="009E0B85">
        <w:rPr>
          <w:rFonts w:eastAsia="Times New Roman"/>
          <w:szCs w:val="24"/>
          <w:lang w:val="en-GB"/>
        </w:rPr>
        <w:fldChar w:fldCharType="end"/>
      </w:r>
      <w:r w:rsidRPr="009E0B85">
        <w:rPr>
          <w:rFonts w:eastAsia="Times New Roman"/>
          <w:szCs w:val="24"/>
          <w:lang w:val="sv-SE"/>
        </w:rPr>
        <w:t>.  Sökanden hävdade att artikel 6 § 1 i Konventionen var tillämplig på det förfarande som rörde hennes exceptionella överklagande vilket kuliminerade i Högsta domstolens beslut den 14 mars 2008.</w:t>
      </w:r>
    </w:p>
    <w:p w:rsidRPr="00781D24" w:rsidR="00464DB3" w:rsidP="00464DB3">
      <w:pPr>
        <w:pStyle w:val="ECHRHeading3"/>
        <w:rPr>
          <w:rFonts w:eastAsia="Times New Roman" w:cstheme="minorBidi"/>
          <w:bCs w:val="0"/>
          <w:szCs w:val="24"/>
          <w:lang w:val="sv-SE"/>
        </w:rPr>
      </w:pPr>
      <w:r w:rsidRPr="00394C16">
        <w:rPr>
          <w:rFonts w:eastAsia="Times New Roman" w:cstheme="minorBidi"/>
          <w:bCs w:val="0"/>
          <w:szCs w:val="24"/>
          <w:lang w:val="sv-SE"/>
        </w:rPr>
        <w:t>2.  Domstolens bedömning</w:t>
      </w:r>
    </w:p>
    <w:p w:rsidRPr="00781D24" w:rsidR="00464DB3" w:rsidP="00464DB3">
      <w:pPr>
        <w:pStyle w:val="ECHRHeading4"/>
        <w:rPr>
          <w:rFonts w:eastAsia="Times New Roman" w:cstheme="minorBidi"/>
          <w:bCs w:val="0"/>
          <w:iCs w:val="0"/>
          <w:szCs w:val="24"/>
          <w:lang w:val="sv-SE"/>
        </w:rPr>
      </w:pPr>
      <w:r w:rsidRPr="00394C16">
        <w:rPr>
          <w:rFonts w:eastAsia="Times New Roman" w:cstheme="minorBidi"/>
          <w:bCs w:val="0"/>
          <w:iCs w:val="0"/>
          <w:szCs w:val="24"/>
          <w:lang w:val="sv-SE"/>
        </w:rPr>
        <w:t>(a)  Allmänna principer</w:t>
      </w:r>
    </w:p>
    <w:p w:rsidRPr="00781D24" w:rsidR="0058606A" w:rsidP="0058606A">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42</w:t>
      </w:r>
      <w:r w:rsidRPr="009E0B85">
        <w:rPr>
          <w:szCs w:val="24"/>
          <w:lang w:val="en-GB"/>
        </w:rPr>
        <w:fldChar w:fldCharType="end"/>
      </w:r>
      <w:r w:rsidRPr="009E0B85">
        <w:rPr>
          <w:szCs w:val="24"/>
          <w:lang w:val="sv-SE"/>
        </w:rPr>
        <w:t>.  Domstolen upprepar att för att artikel 6</w:t>
      </w:r>
      <w:r w:rsidR="0011784F">
        <w:rPr>
          <w:szCs w:val="24"/>
          <w:lang w:val="sv-SE"/>
        </w:rPr>
        <w:t xml:space="preserve"> § 1 ska vara tillämplig i sin ”</w:t>
      </w:r>
      <w:r w:rsidRPr="004C234C" w:rsidR="00B0114B">
        <w:rPr>
          <w:szCs w:val="24"/>
          <w:lang w:val="sv-SE"/>
        </w:rPr>
        <w:t xml:space="preserve">civila” </w:t>
      </w:r>
      <w:r w:rsidR="004C234C">
        <w:rPr>
          <w:szCs w:val="24"/>
          <w:lang w:val="sv-SE"/>
        </w:rPr>
        <w:t>gren</w:t>
      </w:r>
      <w:r w:rsidR="00B0114B">
        <w:rPr>
          <w:szCs w:val="24"/>
          <w:lang w:val="sv-SE"/>
        </w:rPr>
        <w:t xml:space="preserve"> måste en tvist (”</w:t>
      </w:r>
      <w:r w:rsidRPr="009E0B85">
        <w:rPr>
          <w:i/>
          <w:szCs w:val="24"/>
          <w:lang w:val="sv-SE"/>
        </w:rPr>
        <w:t>contestation</w:t>
      </w:r>
      <w:r w:rsidRPr="009E0B85">
        <w:rPr>
          <w:szCs w:val="24"/>
          <w:lang w:val="sv-SE"/>
        </w:rPr>
        <w:t>” i den f</w:t>
      </w:r>
      <w:r w:rsidR="00B73130">
        <w:rPr>
          <w:szCs w:val="24"/>
          <w:lang w:val="sv-SE"/>
        </w:rPr>
        <w:t xml:space="preserve">ranska texten) föreligga </w:t>
      </w:r>
      <w:r w:rsidR="0011784F">
        <w:rPr>
          <w:szCs w:val="24"/>
          <w:lang w:val="sv-SE"/>
        </w:rPr>
        <w:t>beträffande en ”</w:t>
      </w:r>
      <w:r w:rsidRPr="009E0B85">
        <w:rPr>
          <w:szCs w:val="24"/>
          <w:lang w:val="sv-SE"/>
        </w:rPr>
        <w:t>rättighet” som, åtminstone på rimliga grunder, kan sägas vara erkänd enligt nationell lag, oavsett om den rättigheten skyddas av Konventionen eller inte.</w:t>
      </w:r>
      <w:r w:rsidRPr="00781D24">
        <w:rPr>
          <w:szCs w:val="24"/>
          <w:lang w:val="sv-SE"/>
        </w:rPr>
        <w:t xml:space="preserve"> </w:t>
      </w:r>
      <w:r w:rsidRPr="009E0B85">
        <w:rPr>
          <w:rFonts w:eastAsia="Times New Roman"/>
          <w:szCs w:val="24"/>
          <w:lang w:val="sv-SE"/>
        </w:rPr>
        <w:t xml:space="preserve">Tvisten måste vara reell och seriös; den får inte enbart handla om huruvida rättigheten finns eller inte utan även om dess omfattning och sätten på vilken den utövas; och slutligen måste resultatet av förfarandet vara direkt avgörande för rättigheten i fråga, enbart svagt underbyggda samband eller indirekta konsekvenser räcker inte för att artikel 6 § 1 ska komma i fråga (jfr bland annat </w:t>
      </w:r>
      <w:r w:rsidRPr="009E0B85">
        <w:rPr>
          <w:rFonts w:eastAsia="Times New Roman"/>
          <w:i/>
          <w:szCs w:val="24"/>
          <w:lang w:val="sv-SE"/>
        </w:rPr>
        <w:t>Micallef v. Malta</w:t>
      </w:r>
      <w:r w:rsidRPr="009E0B85">
        <w:rPr>
          <w:rFonts w:eastAsia="Times New Roman"/>
          <w:szCs w:val="24"/>
          <w:lang w:val="sv-SE"/>
        </w:rPr>
        <w:t xml:space="preserve"> [GC], nr 17056/06, § 74, ECHR 2009; och</w:t>
      </w:r>
      <w:r w:rsidRPr="009E0B85">
        <w:rPr>
          <w:rFonts w:eastAsia="Times New Roman"/>
          <w:i/>
          <w:szCs w:val="24"/>
          <w:lang w:val="sv-SE"/>
        </w:rPr>
        <w:t xml:space="preserve"> Boulois v. Luxembourg </w:t>
      </w:r>
      <w:r w:rsidRPr="009E0B85">
        <w:rPr>
          <w:rFonts w:eastAsia="Times New Roman"/>
          <w:szCs w:val="24"/>
          <w:lang w:val="sv-SE"/>
        </w:rPr>
        <w:t>[GC], nr 37575/04, § 90, ECHR 2012).</w:t>
      </w:r>
    </w:p>
    <w:p w:rsidRPr="00781D24" w:rsidR="0058606A" w:rsidP="0058606A">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43</w:t>
      </w:r>
      <w:r w:rsidRPr="009E0B85">
        <w:rPr>
          <w:rFonts w:eastAsia="Times New Roman"/>
          <w:szCs w:val="24"/>
          <w:lang w:val="en-GB"/>
        </w:rPr>
        <w:fldChar w:fldCharType="end"/>
      </w:r>
      <w:r w:rsidRPr="009E0B85">
        <w:rPr>
          <w:rFonts w:eastAsia="Times New Roman"/>
          <w:szCs w:val="24"/>
          <w:lang w:val="sv-SE"/>
        </w:rPr>
        <w:t xml:space="preserve">.  I detta hänseende är inte karaktären på lagstiftningen som reglerar hur frågan </w:t>
      </w:r>
      <w:r w:rsidR="004C234C">
        <w:rPr>
          <w:rFonts w:eastAsia="Times New Roman"/>
          <w:szCs w:val="24"/>
          <w:lang w:val="sv-SE"/>
        </w:rPr>
        <w:t xml:space="preserve">ska </w:t>
      </w:r>
      <w:r w:rsidRPr="009E0B85">
        <w:rPr>
          <w:rFonts w:eastAsia="Times New Roman"/>
          <w:szCs w:val="24"/>
          <w:lang w:val="sv-SE"/>
        </w:rPr>
        <w:t xml:space="preserve">fastställas (civil, kommersiell, administrativ lag och så vidare) eller karaktären hos myndigheten som har jurisdiktion i frågan (vanlig domstol, förvaltningsmyndighet osv.) av avgörande betydelse (jfr </w:t>
      </w:r>
      <w:r w:rsidRPr="009E0B85">
        <w:rPr>
          <w:rFonts w:eastAsia="Times New Roman"/>
          <w:i/>
          <w:szCs w:val="24"/>
          <w:lang w:val="sv-SE"/>
        </w:rPr>
        <w:t>Micallef</w:t>
      </w:r>
      <w:r w:rsidRPr="009E0B85">
        <w:rPr>
          <w:rFonts w:eastAsia="Times New Roman"/>
          <w:szCs w:val="24"/>
          <w:lang w:val="sv-SE"/>
        </w:rPr>
        <w:t>, citerat ovan, § 74).</w:t>
      </w:r>
    </w:p>
    <w:p w:rsidRPr="00781D24" w:rsidR="00022747" w:rsidP="00022747">
      <w:pPr>
        <w:pStyle w:val="ECHRHeading4"/>
        <w:rPr>
          <w:rFonts w:eastAsia="Times New Roman" w:cstheme="minorBidi"/>
          <w:bCs w:val="0"/>
          <w:iCs w:val="0"/>
          <w:szCs w:val="24"/>
          <w:lang w:val="sv-SE"/>
        </w:rPr>
      </w:pPr>
      <w:r w:rsidRPr="00394C16">
        <w:rPr>
          <w:rFonts w:eastAsia="Times New Roman" w:cstheme="minorBidi"/>
          <w:bCs w:val="0"/>
          <w:iCs w:val="0"/>
          <w:szCs w:val="24"/>
          <w:lang w:val="sv-SE"/>
        </w:rPr>
        <w:t>(b)  Rättspraxis av</w:t>
      </w:r>
      <w:r w:rsidRPr="00394C16">
        <w:rPr>
          <w:rFonts w:eastAsia="Times New Roman" w:cstheme="minorBidi"/>
          <w:bCs w:val="0"/>
          <w:iCs w:val="0"/>
          <w:szCs w:val="24"/>
          <w:lang w:val="sv-SE"/>
        </w:rPr>
        <w:t>seende tillämpligheten av artikel 6 på överklaganden baserat på synnerliga skäl</w:t>
      </w:r>
    </w:p>
    <w:p w:rsidR="0094660F" w:rsidP="00711781">
      <w:pPr>
        <w:pStyle w:val="ECHRPara"/>
        <w:rPr>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44</w:t>
      </w:r>
      <w:r w:rsidRPr="009E0B85">
        <w:rPr>
          <w:szCs w:val="24"/>
          <w:lang w:val="en-GB"/>
        </w:rPr>
        <w:fldChar w:fldCharType="end"/>
      </w:r>
      <w:r w:rsidRPr="009E0B85">
        <w:rPr>
          <w:szCs w:val="24"/>
          <w:lang w:val="sv-SE"/>
        </w:rPr>
        <w:t>.  Enligt mångårig och etablerad rättspraxis i linje med ovannämnda principer garanterar inte Konventionen rätten att få ett avslutat mål återupptaget.</w:t>
      </w:r>
      <w:r w:rsidRPr="00781D24">
        <w:rPr>
          <w:szCs w:val="24"/>
          <w:lang w:val="sv-SE"/>
        </w:rPr>
        <w:t xml:space="preserve"> </w:t>
      </w:r>
      <w:r w:rsidRPr="009E0B85">
        <w:rPr>
          <w:szCs w:val="24"/>
          <w:lang w:val="sv-SE"/>
        </w:rPr>
        <w:t>Extraordinära överklaganden med begäran om att återuppta avslutade domstolsförfaranden innef</w:t>
      </w:r>
      <w:r w:rsidR="00696451">
        <w:rPr>
          <w:szCs w:val="24"/>
          <w:lang w:val="sv-SE"/>
        </w:rPr>
        <w:t>attar normalt inte fastställande</w:t>
      </w:r>
      <w:r>
        <w:rPr>
          <w:szCs w:val="24"/>
          <w:lang w:val="sv-SE"/>
        </w:rPr>
        <w:t xml:space="preserve"> av ”</w:t>
      </w:r>
      <w:r w:rsidRPr="009E0B85">
        <w:rPr>
          <w:szCs w:val="24"/>
          <w:lang w:val="sv-SE"/>
        </w:rPr>
        <w:t xml:space="preserve">civila rättigheter och skyldigheter” eller av brottmålsanklagelse” och därför anses artikel 6 inte tillämplig på dessa (jfr bland andra källor, </w:t>
      </w:r>
      <w:r w:rsidRPr="009E0B85">
        <w:rPr>
          <w:i/>
          <w:szCs w:val="24"/>
          <w:lang w:val="sv-SE"/>
        </w:rPr>
        <w:t>X. v. Austria</w:t>
      </w:r>
      <w:r w:rsidRPr="009E0B85">
        <w:rPr>
          <w:szCs w:val="24"/>
          <w:lang w:val="sv-SE"/>
        </w:rPr>
        <w:t xml:space="preserve">, nr 7761/77, kommissionens beslut den 8 maj 1978, D.R. 14, p. 171; </w:t>
      </w:r>
      <w:r w:rsidRPr="009E0B85">
        <w:rPr>
          <w:i/>
          <w:szCs w:val="24"/>
          <w:lang w:val="sv-SE"/>
        </w:rPr>
        <w:t>Surmont and De Meurechy v. Belgium</w:t>
      </w:r>
      <w:r w:rsidRPr="009E0B85">
        <w:rPr>
          <w:szCs w:val="24"/>
          <w:lang w:val="sv-SE"/>
        </w:rPr>
        <w:t xml:space="preserve">, nr 13601/88 och 13602/88, kommissionens beslut den 6 juli 1989, D.R. 62, p. 284; </w:t>
      </w:r>
      <w:r w:rsidRPr="009E0B85">
        <w:rPr>
          <w:i/>
          <w:szCs w:val="24"/>
          <w:lang w:val="sv-SE"/>
        </w:rPr>
        <w:t>J.F. v. France</w:t>
      </w:r>
      <w:r w:rsidRPr="009E0B85">
        <w:rPr>
          <w:szCs w:val="24"/>
          <w:lang w:val="sv-SE"/>
        </w:rPr>
        <w:t xml:space="preserve"> (dec.), nr 39616/98, 20 april 1999; </w:t>
      </w:r>
      <w:r w:rsidRPr="009E0B85">
        <w:rPr>
          <w:i/>
          <w:szCs w:val="24"/>
          <w:lang w:val="sv-SE"/>
        </w:rPr>
        <w:t>Zawadzki v. Poland</w:t>
      </w:r>
      <w:r w:rsidRPr="009E0B85">
        <w:rPr>
          <w:szCs w:val="24"/>
          <w:lang w:val="sv-SE"/>
        </w:rPr>
        <w:t xml:space="preserve"> (dec.) nr 34158/96, 6 juli 1999; </w:t>
      </w:r>
      <w:r w:rsidRPr="009E0B85">
        <w:rPr>
          <w:i/>
          <w:szCs w:val="24"/>
          <w:lang w:val="sv-SE"/>
        </w:rPr>
        <w:t>Sonnleitner v. Austria</w:t>
      </w:r>
      <w:r w:rsidRPr="009E0B85">
        <w:rPr>
          <w:szCs w:val="24"/>
          <w:lang w:val="sv-SE"/>
        </w:rPr>
        <w:t xml:space="preserve"> (dec.) nr 34813/97, 6 januari 2000; </w:t>
      </w:r>
      <w:r w:rsidRPr="009E0B85">
        <w:rPr>
          <w:i/>
          <w:szCs w:val="24"/>
          <w:lang w:val="sv-SE"/>
        </w:rPr>
        <w:t>Sablon v. Belgium</w:t>
      </w:r>
      <w:r w:rsidRPr="009E0B85">
        <w:rPr>
          <w:szCs w:val="24"/>
          <w:lang w:val="sv-SE"/>
        </w:rPr>
        <w:t>, no. 36445/97, § 86, 10 </w:t>
      </w:r>
      <w:r w:rsidRPr="009E0B85" w:rsidR="006C2ECD">
        <w:rPr>
          <w:szCs w:val="24"/>
          <w:lang w:val="sv-SE"/>
        </w:rPr>
        <w:t>april</w:t>
      </w:r>
      <w:r w:rsidRPr="009E0B85">
        <w:rPr>
          <w:szCs w:val="24"/>
          <w:lang w:val="sv-SE"/>
        </w:rPr>
        <w:t xml:space="preserve"> 2001; </w:t>
      </w:r>
      <w:r w:rsidRPr="009E0B85">
        <w:rPr>
          <w:i/>
          <w:szCs w:val="24"/>
          <w:lang w:val="sv-SE"/>
        </w:rPr>
        <w:t>Valentin Gorizdra v. Moldova</w:t>
      </w:r>
      <w:r w:rsidRPr="009E0B85">
        <w:rPr>
          <w:szCs w:val="24"/>
          <w:lang w:val="sv-SE"/>
        </w:rPr>
        <w:t xml:space="preserve"> </w:t>
      </w:r>
    </w:p>
    <w:p w:rsidRPr="00781D24" w:rsidR="00711781" w:rsidP="00696451">
      <w:pPr>
        <w:jc w:val="left"/>
        <w:rPr>
          <w:rFonts w:eastAsia="Times New Roman"/>
          <w:szCs w:val="24"/>
          <w:lang w:val="sv-SE"/>
        </w:rPr>
      </w:pPr>
      <w:r>
        <w:rPr>
          <w:szCs w:val="24"/>
          <w:lang w:val="sv-SE"/>
        </w:rPr>
        <w:br w:type="page"/>
      </w:r>
      <w:r w:rsidRPr="009E0B85">
        <w:rPr>
          <w:szCs w:val="24"/>
          <w:lang w:val="sv-SE"/>
        </w:rPr>
        <w:t xml:space="preserve">(dec.) nr 53180/99, 2 juli 2002; </w:t>
      </w:r>
      <w:r w:rsidRPr="009E0B85">
        <w:rPr>
          <w:i/>
          <w:szCs w:val="24"/>
          <w:lang w:val="sv-SE"/>
        </w:rPr>
        <w:t>Kucera v. Austria</w:t>
      </w:r>
      <w:r w:rsidRPr="009E0B85">
        <w:rPr>
          <w:szCs w:val="24"/>
          <w:lang w:val="sv-SE"/>
        </w:rPr>
        <w:t xml:space="preserve">, nr 40072/98, 3 oktober 2002; </w:t>
      </w:r>
      <w:r w:rsidRPr="009E0B85">
        <w:rPr>
          <w:i/>
          <w:szCs w:val="24"/>
          <w:lang w:val="sv-SE"/>
        </w:rPr>
        <w:t>Fischer</w:t>
      </w:r>
      <w:r w:rsidRPr="009E0B85">
        <w:rPr>
          <w:szCs w:val="24"/>
          <w:lang w:val="sv-SE"/>
        </w:rPr>
        <w:t xml:space="preserve">, citerat ovan; </w:t>
      </w:r>
      <w:r w:rsidRPr="009E0B85">
        <w:rPr>
          <w:i/>
          <w:szCs w:val="24"/>
          <w:lang w:val="sv-SE"/>
        </w:rPr>
        <w:t>Jussy v. France</w:t>
      </w:r>
      <w:r w:rsidRPr="009E0B85">
        <w:rPr>
          <w:szCs w:val="24"/>
          <w:lang w:val="sv-SE"/>
        </w:rPr>
        <w:t>,</w:t>
      </w:r>
      <w:r w:rsidRPr="009E0B85">
        <w:rPr>
          <w:i/>
          <w:szCs w:val="24"/>
          <w:lang w:val="sv-SE"/>
        </w:rPr>
        <w:t xml:space="preserve"> </w:t>
      </w:r>
      <w:r w:rsidRPr="009E0B85">
        <w:rPr>
          <w:szCs w:val="24"/>
          <w:lang w:val="sv-SE"/>
        </w:rPr>
        <w:t xml:space="preserve">nr 42277/98, § 18, 8 april 2003; </w:t>
      </w:r>
      <w:r w:rsidRPr="009E0B85">
        <w:rPr>
          <w:i/>
          <w:szCs w:val="24"/>
          <w:lang w:val="sv-SE"/>
        </w:rPr>
        <w:t>Dankevich v. Ukraine</w:t>
      </w:r>
      <w:r w:rsidRPr="009E0B85">
        <w:rPr>
          <w:szCs w:val="24"/>
          <w:lang w:val="sv-SE"/>
        </w:rPr>
        <w:t>,</w:t>
      </w:r>
      <w:r w:rsidRPr="009E0B85">
        <w:rPr>
          <w:i/>
          <w:szCs w:val="24"/>
          <w:lang w:val="sv-SE"/>
        </w:rPr>
        <w:t xml:space="preserve"> </w:t>
      </w:r>
      <w:r w:rsidRPr="009E0B85">
        <w:rPr>
          <w:szCs w:val="24"/>
          <w:lang w:val="sv-SE"/>
        </w:rPr>
        <w:t xml:space="preserve">nr 40679/98, 29 april 2003; </w:t>
      </w:r>
      <w:r w:rsidRPr="009E0B85">
        <w:rPr>
          <w:i/>
          <w:szCs w:val="24"/>
          <w:lang w:val="sv-SE"/>
        </w:rPr>
        <w:t>Steck-Risch and Others</w:t>
      </w:r>
      <w:r w:rsidRPr="009E0B85">
        <w:rPr>
          <w:szCs w:val="24"/>
          <w:lang w:val="sv-SE"/>
        </w:rPr>
        <w:t xml:space="preserve">, citerat ovan; </w:t>
      </w:r>
      <w:r w:rsidRPr="009E0B85">
        <w:rPr>
          <w:i/>
          <w:szCs w:val="24"/>
          <w:lang w:val="sv-SE"/>
        </w:rPr>
        <w:t>Öcalan</w:t>
      </w:r>
      <w:r w:rsidRPr="009E0B85">
        <w:rPr>
          <w:szCs w:val="24"/>
          <w:lang w:val="sv-SE"/>
        </w:rPr>
        <w:t xml:space="preserve">, åberopat ovan; </w:t>
      </w:r>
      <w:r w:rsidRPr="009E0B85">
        <w:rPr>
          <w:i/>
          <w:szCs w:val="24"/>
          <w:lang w:val="sv-SE"/>
        </w:rPr>
        <w:t>Schelling (nr 2)</w:t>
      </w:r>
      <w:r w:rsidRPr="009E0B85">
        <w:rPr>
          <w:szCs w:val="24"/>
          <w:lang w:val="sv-SE"/>
        </w:rPr>
        <w:t xml:space="preserve">, citerat ovan; </w:t>
      </w:r>
      <w:r w:rsidRPr="009E0B85">
        <w:rPr>
          <w:i/>
          <w:szCs w:val="24"/>
          <w:lang w:val="sv-SE"/>
        </w:rPr>
        <w:t>Hurter v. Switzerland</w:t>
      </w:r>
      <w:r w:rsidR="0011784F">
        <w:rPr>
          <w:szCs w:val="24"/>
          <w:lang w:val="sv-SE"/>
        </w:rPr>
        <w:t xml:space="preserve"> (dec.), nr</w:t>
      </w:r>
      <w:r w:rsidRPr="009E0B85">
        <w:rPr>
          <w:szCs w:val="24"/>
          <w:lang w:val="sv-SE"/>
        </w:rPr>
        <w:t xml:space="preserve"> 48111/07, 15 maj 2012; </w:t>
      </w:r>
      <w:r w:rsidRPr="009E0B85">
        <w:rPr>
          <w:i/>
          <w:szCs w:val="24"/>
          <w:lang w:val="sv-SE"/>
        </w:rPr>
        <w:t>Dybeku v. Albania</w:t>
      </w:r>
      <w:r w:rsidRPr="009E0B85">
        <w:rPr>
          <w:szCs w:val="24"/>
          <w:lang w:val="sv-SE"/>
        </w:rPr>
        <w:t xml:space="preserve"> (dec.), nr 557/12, § 30, 11 mars 2014).</w:t>
      </w:r>
      <w:r w:rsidRPr="00781D24">
        <w:rPr>
          <w:szCs w:val="24"/>
          <w:lang w:val="sv-SE"/>
        </w:rPr>
        <w:t xml:space="preserve"> </w:t>
      </w:r>
      <w:r w:rsidRPr="009E0B85">
        <w:rPr>
          <w:rFonts w:eastAsia="Times New Roman"/>
          <w:szCs w:val="24"/>
          <w:lang w:val="sv-SE"/>
        </w:rPr>
        <w:t xml:space="preserve">Detta beror på att i den mån som frågan omfattas av </w:t>
      </w:r>
      <w:r w:rsidRPr="009E0B85">
        <w:rPr>
          <w:rFonts w:eastAsia="Times New Roman"/>
          <w:i/>
          <w:szCs w:val="24"/>
          <w:lang w:val="sv-SE"/>
        </w:rPr>
        <w:t>res iudicata</w:t>
      </w:r>
      <w:r w:rsidR="004C234C">
        <w:rPr>
          <w:rFonts w:eastAsia="Times New Roman"/>
          <w:szCs w:val="24"/>
          <w:lang w:val="sv-SE"/>
        </w:rPr>
        <w:t xml:space="preserve"> för en slutlig dom i ett</w:t>
      </w:r>
      <w:r w:rsidRPr="009E0B85">
        <w:rPr>
          <w:rFonts w:eastAsia="Times New Roman"/>
          <w:szCs w:val="24"/>
          <w:lang w:val="sv-SE"/>
        </w:rPr>
        <w:t xml:space="preserve"> </w:t>
      </w:r>
      <w:r w:rsidRPr="004C234C">
        <w:rPr>
          <w:rFonts w:eastAsia="Times New Roman"/>
          <w:szCs w:val="24"/>
          <w:lang w:val="sv-SE"/>
        </w:rPr>
        <w:t xml:space="preserve">nationellt domstolsförfarande, kan det i princip inte göras gällande att en senare extraordinär ansökan eller </w:t>
      </w:r>
      <w:r w:rsidRPr="004C234C" w:rsidR="0011784F">
        <w:rPr>
          <w:rFonts w:eastAsia="Times New Roman"/>
          <w:szCs w:val="24"/>
          <w:lang w:val="sv-SE"/>
        </w:rPr>
        <w:t xml:space="preserve">ett </w:t>
      </w:r>
      <w:r w:rsidRPr="004C234C">
        <w:rPr>
          <w:rFonts w:eastAsia="Times New Roman"/>
          <w:szCs w:val="24"/>
          <w:lang w:val="sv-SE"/>
        </w:rPr>
        <w:t xml:space="preserve">överklagande med begäran </w:t>
      </w:r>
      <w:r w:rsidRPr="004C234C" w:rsidR="004C234C">
        <w:rPr>
          <w:rFonts w:eastAsia="Times New Roman"/>
          <w:szCs w:val="24"/>
          <w:lang w:val="sv-SE"/>
        </w:rPr>
        <w:t xml:space="preserve">om revidering av den domen </w:t>
      </w:r>
      <w:r w:rsidRPr="004C234C">
        <w:rPr>
          <w:rFonts w:eastAsia="Times New Roman"/>
          <w:szCs w:val="24"/>
          <w:lang w:val="sv-SE"/>
        </w:rPr>
        <w:t>ger upphov till ett rimligt grundat påstående (</w:t>
      </w:r>
      <w:r w:rsidRPr="004C234C">
        <w:rPr>
          <w:rFonts w:eastAsia="Times New Roman"/>
          <w:i/>
          <w:szCs w:val="24"/>
          <w:lang w:val="sv-SE"/>
        </w:rPr>
        <w:t>arguable claim</w:t>
      </w:r>
      <w:r w:rsidRPr="004C234C">
        <w:rPr>
          <w:rFonts w:eastAsia="Times New Roman"/>
          <w:szCs w:val="24"/>
          <w:lang w:val="sv-SE"/>
        </w:rPr>
        <w:t>) beträffande förekomsten av en viss rättighet som erkänns i nationell lag eller att utslaget</w:t>
      </w:r>
      <w:r w:rsidRPr="004C234C" w:rsidR="004C234C">
        <w:rPr>
          <w:rFonts w:eastAsia="Times New Roman"/>
          <w:szCs w:val="24"/>
          <w:lang w:val="sv-SE"/>
        </w:rPr>
        <w:t xml:space="preserve"> i en</w:t>
      </w:r>
      <w:r w:rsidRPr="004C234C">
        <w:rPr>
          <w:rFonts w:eastAsia="Times New Roman"/>
          <w:szCs w:val="24"/>
          <w:lang w:val="sv-SE"/>
        </w:rPr>
        <w:t xml:space="preserve"> domstolsprocess där det fastställ</w:t>
      </w:r>
      <w:r w:rsidR="007C2BC5">
        <w:rPr>
          <w:rFonts w:eastAsia="Times New Roman"/>
          <w:szCs w:val="24"/>
          <w:lang w:val="sv-SE"/>
        </w:rPr>
        <w:t>t</w:t>
      </w:r>
      <w:r w:rsidRPr="004C234C">
        <w:rPr>
          <w:rFonts w:eastAsia="Times New Roman"/>
          <w:szCs w:val="24"/>
          <w:lang w:val="sv-SE"/>
        </w:rPr>
        <w:t>s om samma mål ska prövas ig</w:t>
      </w:r>
      <w:r w:rsidR="007C2BC5">
        <w:rPr>
          <w:rFonts w:eastAsia="Times New Roman"/>
          <w:szCs w:val="24"/>
          <w:lang w:val="sv-SE"/>
        </w:rPr>
        <w:t>en</w:t>
      </w:r>
      <w:r w:rsidRPr="004C234C" w:rsidR="004C234C">
        <w:rPr>
          <w:rFonts w:eastAsia="Times New Roman"/>
          <w:szCs w:val="24"/>
          <w:lang w:val="sv-SE"/>
        </w:rPr>
        <w:t xml:space="preserve"> </w:t>
      </w:r>
      <w:r w:rsidRPr="004C234C">
        <w:rPr>
          <w:rFonts w:eastAsia="Times New Roman"/>
          <w:szCs w:val="24"/>
          <w:lang w:val="sv-SE"/>
        </w:rPr>
        <w:t>är avgörande för ”</w:t>
      </w:r>
      <w:r w:rsidR="00696451">
        <w:rPr>
          <w:rFonts w:eastAsia="Times New Roman"/>
          <w:szCs w:val="24"/>
          <w:lang w:val="sv-SE"/>
        </w:rPr>
        <w:t>fastställandet</w:t>
      </w:r>
      <w:r w:rsidRPr="004C234C">
        <w:rPr>
          <w:rFonts w:eastAsia="Times New Roman"/>
          <w:szCs w:val="24"/>
          <w:lang w:val="sv-SE"/>
        </w:rPr>
        <w:t xml:space="preserve"> av ... civila rättigheter eller skyldigheter eller</w:t>
      </w:r>
      <w:r w:rsidR="00696451">
        <w:rPr>
          <w:rFonts w:eastAsia="Times New Roman"/>
          <w:szCs w:val="24"/>
          <w:lang w:val="sv-SE"/>
        </w:rPr>
        <w:t xml:space="preserve"> </w:t>
      </w:r>
      <w:r w:rsidRPr="009E0B85">
        <w:rPr>
          <w:rFonts w:eastAsia="Times New Roman"/>
          <w:szCs w:val="24"/>
          <w:lang w:val="sv-SE"/>
        </w:rPr>
        <w:t>brott</w:t>
      </w:r>
      <w:r w:rsidR="00696451">
        <w:rPr>
          <w:rFonts w:eastAsia="Times New Roman"/>
          <w:szCs w:val="24"/>
          <w:lang w:val="sv-SE"/>
        </w:rPr>
        <w:t>målsanklagelse</w:t>
      </w:r>
      <w:r w:rsidRPr="009E0B85">
        <w:rPr>
          <w:rFonts w:eastAsia="Times New Roman"/>
          <w:szCs w:val="24"/>
          <w:lang w:val="sv-SE"/>
        </w:rPr>
        <w:t xml:space="preserve">” (jfr </w:t>
      </w:r>
      <w:r w:rsidRPr="009E0B85">
        <w:rPr>
          <w:rFonts w:eastAsia="Times New Roman"/>
          <w:i/>
          <w:szCs w:val="24"/>
          <w:lang w:val="sv-SE"/>
        </w:rPr>
        <w:t>Melis v. Greece</w:t>
      </w:r>
      <w:r w:rsidRPr="009E0B85">
        <w:rPr>
          <w:rFonts w:eastAsia="Times New Roman"/>
          <w:szCs w:val="24"/>
          <w:lang w:val="sv-SE"/>
        </w:rPr>
        <w:t xml:space="preserve">, nr 30604/07, </w:t>
      </w:r>
      <w:r w:rsidRPr="009E0B85" w:rsidR="00EB27EE">
        <w:rPr>
          <w:rFonts w:eastAsia="Times New Roman"/>
          <w:szCs w:val="24"/>
          <w:lang w:val="sv-SE"/>
        </w:rPr>
        <w:t>§</w:t>
      </w:r>
      <w:r w:rsidRPr="009E0B85">
        <w:rPr>
          <w:rFonts w:eastAsia="Times New Roman"/>
          <w:szCs w:val="24"/>
          <w:lang w:val="sv-SE"/>
        </w:rPr>
        <w:t xml:space="preserve"> 18-20, 22 juli 2010, som skiljer sig från ovanstående).</w:t>
      </w:r>
    </w:p>
    <w:p w:rsidRPr="00781D24" w:rsidR="0018428B" w:rsidP="0018428B">
      <w:pPr>
        <w:pStyle w:val="ECHRPara"/>
        <w:rPr>
          <w:rFonts w:eastAsia="Times New Roman"/>
          <w:sz w:val="20"/>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45</w:t>
      </w:r>
      <w:r w:rsidRPr="009E0B85">
        <w:rPr>
          <w:szCs w:val="24"/>
          <w:lang w:val="en-GB"/>
        </w:rPr>
        <w:fldChar w:fldCharType="end"/>
      </w:r>
      <w:r w:rsidR="0094660F">
        <w:rPr>
          <w:szCs w:val="24"/>
          <w:lang w:val="sv-SE"/>
        </w:rPr>
        <w:t>.  Detta synsätt har tillämpats</w:t>
      </w:r>
      <w:r w:rsidRPr="009E0B85">
        <w:rPr>
          <w:szCs w:val="24"/>
          <w:lang w:val="sv-SE"/>
        </w:rPr>
        <w:t xml:space="preserve"> även i mål där återupptagande av avslutade nationella domstolsförfaranden har begärts baserat på att Domstolen fastställt en Konventionskränkning (jfr, t.ex. </w:t>
      </w:r>
      <w:r w:rsidRPr="009E0B85">
        <w:rPr>
          <w:i/>
          <w:szCs w:val="24"/>
          <w:lang w:val="sv-SE"/>
        </w:rPr>
        <w:t>Fischer</w:t>
      </w:r>
      <w:r w:rsidRPr="009E0B85">
        <w:rPr>
          <w:szCs w:val="24"/>
          <w:lang w:val="sv-SE"/>
        </w:rPr>
        <w:t>, citerat ovan).</w:t>
      </w:r>
      <w:r w:rsidRPr="00781D24">
        <w:rPr>
          <w:szCs w:val="24"/>
          <w:lang w:val="sv-SE"/>
        </w:rPr>
        <w:t xml:space="preserve"> </w:t>
      </w:r>
      <w:r w:rsidRPr="009E0B85">
        <w:rPr>
          <w:rFonts w:eastAsia="Times New Roman"/>
          <w:szCs w:val="24"/>
          <w:lang w:val="sv-SE"/>
        </w:rPr>
        <w:t xml:space="preserve">När sökandens klagomål förklarades otillåtligt enligt artikel 6 i </w:t>
      </w:r>
      <w:r w:rsidRPr="009E0B85">
        <w:rPr>
          <w:rFonts w:eastAsia="Times New Roman"/>
          <w:i/>
          <w:szCs w:val="24"/>
          <w:lang w:val="sv-SE"/>
        </w:rPr>
        <w:t>Verein gegen Tierfabriken Schweiz (VgT) v. Switzerland (nr 2)</w:t>
      </w:r>
      <w:r w:rsidRPr="009E0B85">
        <w:rPr>
          <w:rFonts w:eastAsia="Times New Roman"/>
          <w:szCs w:val="24"/>
          <w:lang w:val="sv-SE"/>
        </w:rPr>
        <w:t xml:space="preserve"> (nr 32772/02, § 24, 4 oktober 2007), konstaterade kammaren:</w:t>
      </w:r>
    </w:p>
    <w:p w:rsidRPr="00781D24" w:rsidR="0018428B" w:rsidP="0018428B">
      <w:pPr>
        <w:pStyle w:val="ECHRParaQuote"/>
        <w:rPr>
          <w:rFonts w:eastAsia="Times New Roman"/>
          <w:szCs w:val="24"/>
          <w:lang w:val="sv-SE"/>
        </w:rPr>
      </w:pPr>
      <w:r w:rsidRPr="00781D24">
        <w:rPr>
          <w:szCs w:val="24"/>
          <w:lang w:val="sv-SE"/>
        </w:rPr>
        <w:t xml:space="preserve">“24.  ... </w:t>
      </w:r>
      <w:r w:rsidRPr="009E0B85">
        <w:rPr>
          <w:szCs w:val="24"/>
          <w:lang w:val="sv-SE"/>
        </w:rPr>
        <w:t xml:space="preserve">Det framgår tydligt av rättspraxis att denna artikel inte är tillämplig på förfaranden som rör ansökan om förnyad prövning eller återupptagande av civilprocesser (jfr </w:t>
      </w:r>
      <w:r w:rsidRPr="009E0B85">
        <w:rPr>
          <w:i/>
          <w:szCs w:val="24"/>
          <w:lang w:val="sv-SE"/>
        </w:rPr>
        <w:t>Sablon v. Belgium</w:t>
      </w:r>
      <w:r w:rsidRPr="009E0B85">
        <w:rPr>
          <w:szCs w:val="24"/>
          <w:lang w:val="sv-SE"/>
        </w:rPr>
        <w:t>, nr 36445/97, § 86, 10 april 2001). Domstolen ser inget skäl till varför detta resonemang inte även skulle vara tillämpligt på en begäran om att återuppta ett förfarande efter att Domstolen konstaterat en Konventionskränkning (jfr i samband med brottmål, [</w:t>
      </w:r>
      <w:r w:rsidRPr="009E0B85">
        <w:rPr>
          <w:i/>
          <w:szCs w:val="24"/>
          <w:lang w:val="sv-SE"/>
        </w:rPr>
        <w:t>Fischer</w:t>
      </w:r>
      <w:r w:rsidRPr="009E0B85">
        <w:rPr>
          <w:szCs w:val="24"/>
          <w:lang w:val="sv-SE"/>
        </w:rPr>
        <w:t>]</w:t>
      </w:r>
      <w:r w:rsidRPr="009E0B85">
        <w:rPr>
          <w:i/>
          <w:szCs w:val="24"/>
          <w:lang w:val="sv-SE"/>
        </w:rPr>
        <w:t xml:space="preserve"> v. Austria</w:t>
      </w:r>
      <w:r w:rsidRPr="009E0B85">
        <w:rPr>
          <w:szCs w:val="24"/>
          <w:lang w:val="sv-SE"/>
        </w:rPr>
        <w:t xml:space="preserve"> (dec.), nr 27569/02, ECHR 2003</w:t>
      </w:r>
      <w:r w:rsidRPr="009E0B85">
        <w:rPr>
          <w:szCs w:val="24"/>
          <w:lang w:val="sv-SE"/>
        </w:rPr>
        <w:noBreakHyphen/>
        <w:t>VI).</w:t>
      </w:r>
      <w:r w:rsidRPr="00781D24">
        <w:rPr>
          <w:szCs w:val="24"/>
          <w:lang w:val="sv-SE"/>
        </w:rPr>
        <w:t xml:space="preserve"> </w:t>
      </w:r>
      <w:r w:rsidRPr="009E0B85">
        <w:rPr>
          <w:rFonts w:eastAsia="Times New Roman"/>
          <w:szCs w:val="24"/>
          <w:lang w:val="sv-SE"/>
        </w:rPr>
        <w:t xml:space="preserve">Domstolen finner därför att klagomålet enligt artikel 6 är </w:t>
      </w:r>
      <w:r w:rsidR="009B3E8F">
        <w:rPr>
          <w:rFonts w:eastAsia="Times New Roman"/>
          <w:szCs w:val="24"/>
          <w:lang w:val="sv-SE"/>
        </w:rPr>
        <w:t>o</w:t>
      </w:r>
      <w:r w:rsidRPr="009E0B85">
        <w:rPr>
          <w:rFonts w:eastAsia="Times New Roman"/>
          <w:szCs w:val="24"/>
          <w:lang w:val="sv-SE"/>
        </w:rPr>
        <w:t xml:space="preserve">förenligt </w:t>
      </w:r>
      <w:r w:rsidRPr="009E0B85">
        <w:rPr>
          <w:rFonts w:eastAsia="Times New Roman"/>
          <w:i/>
          <w:szCs w:val="24"/>
          <w:lang w:val="sv-SE"/>
        </w:rPr>
        <w:t>ratione materiae</w:t>
      </w:r>
      <w:r w:rsidRPr="009E0B85">
        <w:rPr>
          <w:rFonts w:eastAsia="Times New Roman"/>
          <w:szCs w:val="24"/>
          <w:lang w:val="sv-SE"/>
        </w:rPr>
        <w:t xml:space="preserve"> med Konventionens bestämmelser.”</w:t>
      </w:r>
    </w:p>
    <w:p w:rsidRPr="00781D24" w:rsidR="0018428B" w:rsidP="0018428B">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46</w:t>
      </w:r>
      <w:r w:rsidRPr="009E0B85">
        <w:rPr>
          <w:rFonts w:eastAsia="Times New Roman"/>
          <w:szCs w:val="24"/>
          <w:lang w:val="en-GB"/>
        </w:rPr>
        <w:fldChar w:fldCharType="end"/>
      </w:r>
      <w:r w:rsidRPr="009E0B85">
        <w:rPr>
          <w:rFonts w:eastAsia="Times New Roman"/>
          <w:szCs w:val="24"/>
          <w:lang w:val="sv-SE"/>
        </w:rPr>
        <w:t xml:space="preserve">.  Skulle däremot ett extraordinärt överklagade innefatta eller faktiskt leda </w:t>
      </w:r>
      <w:r w:rsidR="009B3E8F">
        <w:rPr>
          <w:rFonts w:eastAsia="Times New Roman"/>
          <w:szCs w:val="24"/>
          <w:lang w:val="sv-SE"/>
        </w:rPr>
        <w:t>till att målet prövas p</w:t>
      </w:r>
      <w:r w:rsidR="00696451">
        <w:rPr>
          <w:rFonts w:eastAsia="Times New Roman"/>
          <w:szCs w:val="24"/>
          <w:lang w:val="sv-SE"/>
        </w:rPr>
        <w:t>å nytt, är artikel 6 tillämplig</w:t>
      </w:r>
      <w:r w:rsidR="009B3E8F">
        <w:rPr>
          <w:rFonts w:eastAsia="Times New Roman"/>
          <w:szCs w:val="24"/>
          <w:lang w:val="sv-SE"/>
        </w:rPr>
        <w:t xml:space="preserve"> på ”omprövningen</w:t>
      </w:r>
      <w:r w:rsidRPr="009E0B85">
        <w:rPr>
          <w:rFonts w:eastAsia="Times New Roman"/>
          <w:szCs w:val="24"/>
          <w:lang w:val="sv-SE"/>
        </w:rPr>
        <w:t xml:space="preserve"> på vanligt sätt (jfr, till exempel, </w:t>
      </w:r>
      <w:r w:rsidRPr="009E0B85">
        <w:rPr>
          <w:rFonts w:eastAsia="Times New Roman"/>
          <w:i/>
          <w:szCs w:val="24"/>
          <w:lang w:val="sv-SE"/>
        </w:rPr>
        <w:t>Sablon</w:t>
      </w:r>
      <w:r w:rsidRPr="009E0B85">
        <w:rPr>
          <w:rFonts w:eastAsia="Times New Roman"/>
          <w:szCs w:val="24"/>
          <w:lang w:val="sv-SE"/>
        </w:rPr>
        <w:t xml:space="preserve">, citerat ovan, §§ 88-89; </w:t>
      </w:r>
      <w:r w:rsidRPr="009E0B85">
        <w:rPr>
          <w:rFonts w:eastAsia="Times New Roman"/>
          <w:i/>
          <w:szCs w:val="24"/>
          <w:lang w:val="sv-SE"/>
        </w:rPr>
        <w:t>Vanyan v. Russia</w:t>
      </w:r>
      <w:r w:rsidRPr="009E0B85">
        <w:rPr>
          <w:rFonts w:eastAsia="Times New Roman"/>
          <w:szCs w:val="24"/>
          <w:lang w:val="sv-SE"/>
        </w:rPr>
        <w:t>, nr 53203/99, § 56, 15 december 2005;</w:t>
      </w:r>
      <w:r w:rsidRPr="009E0B85">
        <w:rPr>
          <w:rFonts w:eastAsia="Times New Roman"/>
          <w:i/>
          <w:szCs w:val="24"/>
          <w:lang w:val="sv-SE"/>
        </w:rPr>
        <w:t xml:space="preserve"> Zasurtsev v. Russia</w:t>
      </w:r>
      <w:r w:rsidRPr="009E0B85">
        <w:rPr>
          <w:rFonts w:eastAsia="Times New Roman"/>
          <w:szCs w:val="24"/>
          <w:lang w:val="sv-SE"/>
        </w:rPr>
        <w:t xml:space="preserve">, nr 67051/01, § 62, 27 april 2006; </w:t>
      </w:r>
      <w:r w:rsidRPr="009E0B85">
        <w:rPr>
          <w:rFonts w:eastAsia="Times New Roman"/>
          <w:i/>
          <w:szCs w:val="24"/>
          <w:lang w:val="sv-SE"/>
        </w:rPr>
        <w:t>Alekseyenko v. Russia</w:t>
      </w:r>
      <w:r w:rsidRPr="009E0B85">
        <w:rPr>
          <w:rFonts w:eastAsia="Times New Roman"/>
          <w:szCs w:val="24"/>
          <w:lang w:val="sv-SE"/>
        </w:rPr>
        <w:t xml:space="preserve">, nr 74266/01, § 55, 8 januari 2009; </w:t>
      </w:r>
      <w:r w:rsidRPr="009E0B85">
        <w:rPr>
          <w:rFonts w:eastAsia="Times New Roman"/>
          <w:i/>
          <w:szCs w:val="24"/>
          <w:lang w:val="sv-SE"/>
        </w:rPr>
        <w:t>Hakkar</w:t>
      </w:r>
      <w:r w:rsidRPr="009E0B85">
        <w:rPr>
          <w:rFonts w:eastAsia="Times New Roman"/>
          <w:szCs w:val="24"/>
          <w:lang w:val="sv-SE"/>
        </w:rPr>
        <w:t xml:space="preserve">, citerat ovan; och </w:t>
      </w:r>
      <w:r w:rsidRPr="009E0B85">
        <w:rPr>
          <w:rFonts w:eastAsia="Times New Roman"/>
          <w:i/>
          <w:szCs w:val="24"/>
          <w:lang w:val="sv-SE"/>
        </w:rPr>
        <w:t xml:space="preserve">Rizi v. Albania </w:t>
      </w:r>
      <w:r w:rsidRPr="009E0B85">
        <w:rPr>
          <w:rFonts w:eastAsia="Times New Roman"/>
          <w:szCs w:val="24"/>
          <w:lang w:val="sv-SE"/>
        </w:rPr>
        <w:t>(dec.), nr 49201/06, § 47, 8 november 2011).</w:t>
      </w:r>
    </w:p>
    <w:p w:rsidRPr="00781D24" w:rsidR="00A77747" w:rsidP="00A77747">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47</w:t>
      </w:r>
      <w:r w:rsidRPr="009E0B85">
        <w:rPr>
          <w:rFonts w:eastAsia="Times New Roman"/>
          <w:szCs w:val="24"/>
          <w:lang w:val="en-GB"/>
        </w:rPr>
        <w:fldChar w:fldCharType="end"/>
      </w:r>
      <w:r w:rsidRPr="009E0B85">
        <w:rPr>
          <w:rFonts w:eastAsia="Times New Roman"/>
          <w:szCs w:val="24"/>
          <w:lang w:val="sv-SE"/>
        </w:rPr>
        <w:t>.  Vidare har artikel 6 även befunnits vara tillämplig under vissa omständigheter när förfarandet, även om</w:t>
      </w:r>
      <w:r w:rsidR="009B3E8F">
        <w:rPr>
          <w:rFonts w:eastAsia="Times New Roman"/>
          <w:szCs w:val="24"/>
          <w:lang w:val="sv-SE"/>
        </w:rPr>
        <w:t xml:space="preserve"> det klassas som ”extraordinärt” eller ”exceptionellt”</w:t>
      </w:r>
      <w:r w:rsidRPr="009E0B85">
        <w:rPr>
          <w:rFonts w:eastAsia="Times New Roman"/>
          <w:szCs w:val="24"/>
          <w:lang w:val="sv-SE"/>
        </w:rPr>
        <w:t xml:space="preserve"> i nationell lagstiftning, till sin karaktär och omfattning ansågs likna ett vanligt besvärsförfarande, eftersom förfarandets nationella karaktär inte anses vara avgörande för tillämplighetsfrågan.</w:t>
      </w:r>
    </w:p>
    <w:p w:rsidRPr="00781D24" w:rsidR="00F63DF3" w:rsidP="00F63DF3">
      <w:pPr>
        <w:pStyle w:val="ECHRPara"/>
        <w:rPr>
          <w:rFonts w:eastAsia="Times New Roman"/>
          <w:szCs w:val="24"/>
          <w:lang w:val="sv-SE"/>
        </w:rPr>
      </w:pPr>
      <w:r w:rsidRPr="009E0B85">
        <w:rPr>
          <w:szCs w:val="24"/>
        </w:rPr>
        <w:fldChar w:fldCharType="begin"/>
      </w:r>
      <w:r w:rsidRPr="00781D24">
        <w:rPr>
          <w:szCs w:val="24"/>
          <w:lang w:val="sv-SE"/>
        </w:rPr>
        <w:instrText xml:space="preserve"> SEQ level0 \*arabic </w:instrText>
      </w:r>
      <w:r w:rsidRPr="009E0B85">
        <w:rPr>
          <w:szCs w:val="24"/>
        </w:rPr>
        <w:fldChar w:fldCharType="separate"/>
      </w:r>
      <w:r w:rsidRPr="00781D24">
        <w:rPr>
          <w:noProof/>
          <w:szCs w:val="24"/>
          <w:lang w:val="sv-SE"/>
        </w:rPr>
        <w:t>48</w:t>
      </w:r>
      <w:r w:rsidRPr="009E0B85">
        <w:rPr>
          <w:szCs w:val="24"/>
        </w:rPr>
        <w:fldChar w:fldCharType="end"/>
      </w:r>
      <w:r w:rsidRPr="009E0B85">
        <w:rPr>
          <w:szCs w:val="24"/>
          <w:lang w:val="sv-SE"/>
        </w:rPr>
        <w:t xml:space="preserve">.  I </w:t>
      </w:r>
      <w:r w:rsidRPr="009E0B85">
        <w:rPr>
          <w:i/>
          <w:szCs w:val="24"/>
          <w:lang w:val="sv-SE"/>
        </w:rPr>
        <w:t>San Leonard Band Club v. Malta</w:t>
      </w:r>
      <w:r w:rsidRPr="009E0B85">
        <w:rPr>
          <w:szCs w:val="24"/>
          <w:lang w:val="sv-SE"/>
        </w:rPr>
        <w:t xml:space="preserve"> (nr 77562/01, §§ 41-48, ECHR 2004 IX), ansågs därför artikel 6 vara tillämplig på ett förfarande rörande begäran om ny rättegång.</w:t>
      </w:r>
      <w:r w:rsidRPr="00781D24">
        <w:rPr>
          <w:szCs w:val="24"/>
          <w:lang w:val="sv-SE"/>
        </w:rPr>
        <w:t xml:space="preserve"> </w:t>
      </w:r>
      <w:r w:rsidR="009B3E8F">
        <w:rPr>
          <w:rFonts w:eastAsia="Times New Roman"/>
          <w:szCs w:val="24"/>
          <w:lang w:val="sv-SE"/>
        </w:rPr>
        <w:t>Domstolen motiverade det med</w:t>
      </w:r>
      <w:r w:rsidRPr="009E0B85">
        <w:rPr>
          <w:rFonts w:eastAsia="Times New Roman"/>
          <w:szCs w:val="24"/>
          <w:lang w:val="sv-SE"/>
        </w:rPr>
        <w:t xml:space="preserve"> att begäran </w:t>
      </w:r>
      <w:r w:rsidRPr="009E0B85">
        <w:rPr>
          <w:rFonts w:eastAsia="Times New Roman"/>
          <w:szCs w:val="24"/>
          <w:lang w:val="sv-SE"/>
        </w:rPr>
        <w:t>liknade ett överklagande i rättsfrågor inför kassationsdomstol, de maltesiska myndigheterna hade inte någon prövningsrätt men var skyldiga att fatta ett beslut avseen</w:t>
      </w:r>
      <w:r w:rsidR="0011784F">
        <w:rPr>
          <w:rFonts w:eastAsia="Times New Roman"/>
          <w:szCs w:val="24"/>
          <w:lang w:val="sv-SE"/>
        </w:rPr>
        <w:t>de begäran och resultatet av det</w:t>
      </w:r>
      <w:r w:rsidRPr="009E0B85">
        <w:rPr>
          <w:rFonts w:eastAsia="Times New Roman"/>
          <w:szCs w:val="24"/>
          <w:lang w:val="sv-SE"/>
        </w:rPr>
        <w:t xml:space="preserve"> nya rättegångsför</w:t>
      </w:r>
      <w:r w:rsidR="0011784F">
        <w:rPr>
          <w:rFonts w:eastAsia="Times New Roman"/>
          <w:szCs w:val="24"/>
          <w:lang w:val="sv-SE"/>
        </w:rPr>
        <w:t>f</w:t>
      </w:r>
      <w:r w:rsidRPr="009E0B85">
        <w:rPr>
          <w:rFonts w:eastAsia="Times New Roman"/>
          <w:szCs w:val="24"/>
          <w:lang w:val="sv-SE"/>
        </w:rPr>
        <w:t>arande</w:t>
      </w:r>
      <w:r w:rsidR="0011784F">
        <w:rPr>
          <w:rFonts w:eastAsia="Times New Roman"/>
          <w:szCs w:val="24"/>
          <w:lang w:val="sv-SE"/>
        </w:rPr>
        <w:t>t</w:t>
      </w:r>
      <w:r w:rsidRPr="009E0B85">
        <w:rPr>
          <w:rFonts w:eastAsia="Times New Roman"/>
          <w:szCs w:val="24"/>
          <w:lang w:val="sv-SE"/>
        </w:rPr>
        <w:t xml:space="preserve"> var</w:t>
      </w:r>
      <w:r w:rsidR="009B3E8F">
        <w:rPr>
          <w:rFonts w:eastAsia="Times New Roman"/>
          <w:szCs w:val="24"/>
          <w:lang w:val="sv-SE"/>
        </w:rPr>
        <w:t xml:space="preserve"> avgörande för sökandebolagets ”</w:t>
      </w:r>
      <w:r w:rsidRPr="009E0B85">
        <w:rPr>
          <w:rFonts w:eastAsia="Times New Roman"/>
          <w:szCs w:val="24"/>
          <w:lang w:val="sv-SE"/>
        </w:rPr>
        <w:t>civi</w:t>
      </w:r>
      <w:r w:rsidR="009B3E8F">
        <w:rPr>
          <w:rFonts w:eastAsia="Times New Roman"/>
          <w:szCs w:val="24"/>
          <w:lang w:val="sv-SE"/>
        </w:rPr>
        <w:t>la rättigheter och skyldigheter”</w:t>
      </w:r>
      <w:r w:rsidRPr="009E0B85">
        <w:rPr>
          <w:rFonts w:eastAsia="Times New Roman"/>
          <w:szCs w:val="24"/>
          <w:lang w:val="sv-SE"/>
        </w:rPr>
        <w:t>.</w:t>
      </w:r>
    </w:p>
    <w:p w:rsidRPr="00781D24" w:rsidR="00F63DF3" w:rsidP="00F63DF3">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49</w:t>
      </w:r>
      <w:r w:rsidRPr="009E0B85">
        <w:rPr>
          <w:szCs w:val="24"/>
          <w:lang w:val="en-GB"/>
        </w:rPr>
        <w:fldChar w:fldCharType="end"/>
      </w:r>
      <w:r w:rsidRPr="009E0B85">
        <w:rPr>
          <w:szCs w:val="24"/>
          <w:lang w:val="sv-SE"/>
        </w:rPr>
        <w:t xml:space="preserve">.  Likaledes fann Domstolen i </w:t>
      </w:r>
      <w:r w:rsidRPr="009E0B85">
        <w:rPr>
          <w:i/>
          <w:szCs w:val="24"/>
          <w:lang w:val="sv-SE"/>
        </w:rPr>
        <w:t>Maresti v. Croatia</w:t>
      </w:r>
      <w:r w:rsidRPr="009E0B85">
        <w:rPr>
          <w:szCs w:val="24"/>
          <w:lang w:val="sv-SE"/>
        </w:rPr>
        <w:t xml:space="preserve"> (nr 55759/07, 25 juni 2009) att </w:t>
      </w:r>
      <w:r w:rsidR="009B3E8F">
        <w:rPr>
          <w:szCs w:val="24"/>
          <w:lang w:val="sv-SE"/>
        </w:rPr>
        <w:t xml:space="preserve">ett </w:t>
      </w:r>
      <w:r w:rsidRPr="009E0B85">
        <w:rPr>
          <w:szCs w:val="24"/>
          <w:lang w:val="sv-SE"/>
        </w:rPr>
        <w:t xml:space="preserve">förfarande rörande en begäran om extraordinär omprövning av en slutlig dom i ett brottmål föll inom artikel 6. Vid undersökning av arten och de specifika egenskaperna i dessa förfaranden, kan det noteras att </w:t>
      </w:r>
      <w:r w:rsidR="009B3E8F">
        <w:rPr>
          <w:szCs w:val="24"/>
          <w:lang w:val="sv-SE"/>
        </w:rPr>
        <w:t>möjligheten att begära</w:t>
      </w:r>
      <w:r w:rsidRPr="009E0B85">
        <w:rPr>
          <w:szCs w:val="24"/>
          <w:lang w:val="sv-SE"/>
        </w:rPr>
        <w:t xml:space="preserve"> extra</w:t>
      </w:r>
      <w:r w:rsidR="009B3E8F">
        <w:rPr>
          <w:szCs w:val="24"/>
          <w:lang w:val="sv-SE"/>
        </w:rPr>
        <w:t>ordinär omprövning var strikt begränsad</w:t>
      </w:r>
      <w:r w:rsidRPr="009E0B85">
        <w:rPr>
          <w:szCs w:val="24"/>
          <w:lang w:val="sv-SE"/>
        </w:rPr>
        <w:t xml:space="preserve"> till rättsliga fel till nackdel för svarande, begäran måste lämnas in inom en strikt enmånadsgrä</w:t>
      </w:r>
      <w:r w:rsidR="00696451">
        <w:rPr>
          <w:szCs w:val="24"/>
          <w:lang w:val="sv-SE"/>
        </w:rPr>
        <w:t>ns efter att svaranden meddelats</w:t>
      </w:r>
      <w:r w:rsidRPr="009E0B85">
        <w:rPr>
          <w:szCs w:val="24"/>
          <w:lang w:val="sv-SE"/>
        </w:rPr>
        <w:t xml:space="preserve"> besvärsdomstolens dom, och skälen som motiverade den extraordinära omprövningen var uttryckligen angivna i den kroatiska straffprocesslagen och inte föremål för den kroatiska Högsta domstolens egen bedömning.</w:t>
      </w:r>
      <w:r w:rsidRPr="00781D24">
        <w:rPr>
          <w:szCs w:val="24"/>
          <w:lang w:val="sv-SE"/>
        </w:rPr>
        <w:t xml:space="preserve"> </w:t>
      </w:r>
      <w:r w:rsidRPr="009E0B85">
        <w:rPr>
          <w:rFonts w:eastAsia="Times New Roman"/>
          <w:szCs w:val="24"/>
          <w:lang w:val="sv-SE"/>
        </w:rPr>
        <w:t>Domstolen noterade även att begäran om extraordinär omprövning hade sin motsvarighet i kroatiska civilprocesser i form av ett överklagande i rättsfrågor i civilmål, på vilket artikel 6 var tillämplig (se punkt 25-28 i ovannämnda dom).</w:t>
      </w:r>
    </w:p>
    <w:p w:rsidRPr="00781D24" w:rsidR="00F63DF3" w:rsidP="00F63DF3">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50</w:t>
      </w:r>
      <w:r w:rsidRPr="009E0B85">
        <w:rPr>
          <w:szCs w:val="24"/>
          <w:lang w:val="en-GB"/>
        </w:rPr>
        <w:fldChar w:fldCharType="end"/>
      </w:r>
      <w:r w:rsidRPr="009E0B85">
        <w:rPr>
          <w:szCs w:val="24"/>
          <w:lang w:val="sv-SE"/>
        </w:rPr>
        <w:t xml:space="preserve">.  Även om artikel 6 § 1 </w:t>
      </w:r>
      <w:r w:rsidR="00442D86">
        <w:rPr>
          <w:szCs w:val="24"/>
          <w:lang w:val="sv-SE"/>
        </w:rPr>
        <w:t xml:space="preserve">normalt </w:t>
      </w:r>
      <w:r w:rsidRPr="009E0B85">
        <w:rPr>
          <w:szCs w:val="24"/>
          <w:lang w:val="sv-SE"/>
        </w:rPr>
        <w:t xml:space="preserve">inte är tillämplig på extraordinära </w:t>
      </w:r>
      <w:r w:rsidRPr="004C234C" w:rsidR="004C234C">
        <w:rPr>
          <w:szCs w:val="24"/>
          <w:lang w:val="sv-SE"/>
        </w:rPr>
        <w:t>överklaganden i syfte</w:t>
      </w:r>
      <w:r w:rsidRPr="004C234C">
        <w:rPr>
          <w:szCs w:val="24"/>
          <w:lang w:val="sv-SE"/>
        </w:rPr>
        <w:t xml:space="preserve"> att återuppta avslutad</w:t>
      </w:r>
      <w:r w:rsidRPr="004C234C" w:rsidR="0011784F">
        <w:rPr>
          <w:szCs w:val="24"/>
          <w:lang w:val="sv-SE"/>
        </w:rPr>
        <w:t>e domstolsförfaranden, kan typen</w:t>
      </w:r>
      <w:r w:rsidRPr="004C234C">
        <w:rPr>
          <w:szCs w:val="24"/>
          <w:lang w:val="sv-SE"/>
        </w:rPr>
        <w:t>,</w:t>
      </w:r>
      <w:r w:rsidRPr="009E0B85">
        <w:rPr>
          <w:szCs w:val="24"/>
          <w:lang w:val="sv-SE"/>
        </w:rPr>
        <w:t xml:space="preserve"> omfattning och specifika egenskaper hos förfarandet avseende ett visst extraordinärt överklagande i det berörda rättssystemet vara </w:t>
      </w:r>
      <w:r w:rsidR="0011784F">
        <w:rPr>
          <w:szCs w:val="24"/>
          <w:lang w:val="sv-SE"/>
        </w:rPr>
        <w:t>av sådan art</w:t>
      </w:r>
      <w:r w:rsidR="00696451">
        <w:rPr>
          <w:szCs w:val="24"/>
          <w:lang w:val="sv-SE"/>
        </w:rPr>
        <w:t xml:space="preserve"> att förfarandet rörande</w:t>
      </w:r>
      <w:r w:rsidRPr="009E0B85">
        <w:rPr>
          <w:szCs w:val="24"/>
          <w:lang w:val="sv-SE"/>
        </w:rPr>
        <w:t xml:space="preserve"> den typen av överklagande omfattas av artikel 6 § 1 och de garantier för rättvis rättegång som den ger processande parter. </w:t>
      </w:r>
      <w:r w:rsidRPr="009E0B85">
        <w:rPr>
          <w:rFonts w:eastAsia="Times New Roman"/>
          <w:szCs w:val="24"/>
          <w:lang w:val="sv-SE"/>
        </w:rPr>
        <w:t>Domstolen må</w:t>
      </w:r>
      <w:r w:rsidR="0011784F">
        <w:rPr>
          <w:rFonts w:eastAsia="Times New Roman"/>
          <w:szCs w:val="24"/>
          <w:lang w:val="sv-SE"/>
        </w:rPr>
        <w:t>ste följaktligen undersöka typen</w:t>
      </w:r>
      <w:r w:rsidRPr="009E0B85">
        <w:rPr>
          <w:rFonts w:eastAsia="Times New Roman"/>
          <w:szCs w:val="24"/>
          <w:lang w:val="sv-SE"/>
        </w:rPr>
        <w:t xml:space="preserve">, omfattning och de specifika egenskaperna i det extraordinära överklagandet i det </w:t>
      </w:r>
      <w:r w:rsidR="0011784F">
        <w:rPr>
          <w:rFonts w:eastAsia="Times New Roman"/>
          <w:szCs w:val="24"/>
          <w:lang w:val="sv-SE"/>
        </w:rPr>
        <w:t xml:space="preserve">nu </w:t>
      </w:r>
      <w:r w:rsidRPr="009E0B85">
        <w:rPr>
          <w:rFonts w:eastAsia="Times New Roman"/>
          <w:szCs w:val="24"/>
          <w:lang w:val="sv-SE"/>
        </w:rPr>
        <w:t>aktuella målet.</w:t>
      </w:r>
    </w:p>
    <w:p w:rsidRPr="00781D24" w:rsidR="00F63DF3" w:rsidP="00F63DF3">
      <w:pPr>
        <w:pStyle w:val="ECHRHeading4"/>
        <w:rPr>
          <w:rFonts w:eastAsia="Times New Roman" w:cstheme="minorBidi"/>
          <w:bCs w:val="0"/>
          <w:iCs w:val="0"/>
          <w:szCs w:val="24"/>
          <w:lang w:val="sv-SE"/>
        </w:rPr>
      </w:pPr>
      <w:r w:rsidRPr="00394C16">
        <w:rPr>
          <w:rFonts w:eastAsia="Times New Roman" w:cstheme="minorBidi"/>
          <w:bCs w:val="0"/>
          <w:iCs w:val="0"/>
          <w:szCs w:val="24"/>
          <w:lang w:val="sv-SE"/>
        </w:rPr>
        <w:t>(c)  Tillämpning av ovanstående principer</w:t>
      </w:r>
      <w:r w:rsidRPr="00394C16">
        <w:rPr>
          <w:rFonts w:eastAsia="Times New Roman" w:cstheme="minorBidi"/>
          <w:bCs w:val="0"/>
          <w:iCs w:val="0"/>
          <w:szCs w:val="24"/>
          <w:lang w:val="sv-SE"/>
        </w:rPr>
        <w:t xml:space="preserve"> på det aktuella målet</w:t>
      </w:r>
    </w:p>
    <w:p w:rsidR="009E6222" w:rsidP="006E7A22">
      <w:pPr>
        <w:pStyle w:val="ECHRPara"/>
        <w:rPr>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51</w:t>
      </w:r>
      <w:r w:rsidRPr="009E0B85">
        <w:rPr>
          <w:szCs w:val="24"/>
          <w:lang w:val="en-GB"/>
        </w:rPr>
        <w:fldChar w:fldCharType="end"/>
      </w:r>
      <w:r w:rsidRPr="009E0B85">
        <w:rPr>
          <w:szCs w:val="24"/>
          <w:lang w:val="sv-SE"/>
        </w:rPr>
        <w:t>.  Vad gäller de konkreta omständigheterna i det aktuella målet, noterar Domstolen att civilprocesslagen vid den relevanta tidpunkten garanterade parter i förfarande</w:t>
      </w:r>
      <w:r>
        <w:rPr>
          <w:szCs w:val="24"/>
          <w:lang w:val="sv-SE"/>
        </w:rPr>
        <w:t>n</w:t>
      </w:r>
      <w:r w:rsidRPr="009E0B85">
        <w:rPr>
          <w:szCs w:val="24"/>
          <w:lang w:val="sv-SE"/>
        </w:rPr>
        <w:t xml:space="preserve"> som redan hade avsl</w:t>
      </w:r>
      <w:r>
        <w:rPr>
          <w:szCs w:val="24"/>
          <w:lang w:val="sv-SE"/>
        </w:rPr>
        <w:t>utats med ett kassationsbeslut ”</w:t>
      </w:r>
      <w:r w:rsidRPr="009E0B85">
        <w:rPr>
          <w:szCs w:val="24"/>
          <w:lang w:val="sv-SE"/>
        </w:rPr>
        <w:t>rätten att till Högsta domstolen överklaga… domstolsbeslut i civilmål mot bakgrund av exceptionella omständigheter” (Artikel 353, den inledande artikeln i den del av lagen som rör exceptionella överklaganden – texten återges i punkt 24 ovan).</w:t>
      </w:r>
      <w:r w:rsidRPr="00781D24">
        <w:rPr>
          <w:szCs w:val="24"/>
          <w:lang w:val="sv-SE"/>
        </w:rPr>
        <w:t xml:space="preserve"> </w:t>
      </w:r>
      <w:r w:rsidRPr="009E0B85">
        <w:rPr>
          <w:szCs w:val="24"/>
          <w:lang w:val="sv-SE"/>
        </w:rPr>
        <w:t>I kraft av följande bestämmelse i lagen (artikel 354 § 1 – texten å</w:t>
      </w:r>
      <w:r>
        <w:rPr>
          <w:szCs w:val="24"/>
          <w:lang w:val="sv-SE"/>
        </w:rPr>
        <w:t>terges också i punkt 24 ovan), ”</w:t>
      </w:r>
      <w:r w:rsidRPr="009E0B85">
        <w:rPr>
          <w:szCs w:val="24"/>
          <w:lang w:val="sv-SE"/>
        </w:rPr>
        <w:t>när ett internationell</w:t>
      </w:r>
      <w:r>
        <w:rPr>
          <w:szCs w:val="24"/>
          <w:lang w:val="sv-SE"/>
        </w:rPr>
        <w:t>t</w:t>
      </w:r>
      <w:r w:rsidRPr="009E0B85">
        <w:rPr>
          <w:szCs w:val="24"/>
          <w:lang w:val="sv-SE"/>
        </w:rPr>
        <w:t xml:space="preserve"> rättsorgan vars jurisdiktion har erkänts av Ukraina konstaterar att ett [nationellt] domstolsbeslut är i strid med Ukrainas internationella åtaganden” var en av två grunder på vilka ett sådant exceptionellt överklagande kunde inges.</w:t>
      </w:r>
      <w:r w:rsidRPr="00781D24">
        <w:rPr>
          <w:szCs w:val="24"/>
          <w:lang w:val="sv-SE"/>
        </w:rPr>
        <w:t xml:space="preserve"> </w:t>
      </w:r>
      <w:r w:rsidR="0011784F">
        <w:rPr>
          <w:szCs w:val="24"/>
          <w:lang w:val="sv-SE"/>
        </w:rPr>
        <w:t xml:space="preserve">I artikel 357 (ibid.) definieras </w:t>
      </w:r>
      <w:r w:rsidRPr="009E0B85">
        <w:rPr>
          <w:szCs w:val="24"/>
          <w:lang w:val="sv-SE"/>
        </w:rPr>
        <w:t>”prövning av ett mål mot bakgrund av ex</w:t>
      </w:r>
      <w:r>
        <w:rPr>
          <w:szCs w:val="24"/>
          <w:lang w:val="sv-SE"/>
        </w:rPr>
        <w:t xml:space="preserve">ceptionella omständigheter som ”ett slags </w:t>
      </w:r>
    </w:p>
    <w:p w:rsidR="009E6222">
      <w:pPr>
        <w:jc w:val="left"/>
        <w:rPr>
          <w:szCs w:val="24"/>
          <w:lang w:val="sv-SE"/>
        </w:rPr>
      </w:pPr>
      <w:r>
        <w:rPr>
          <w:szCs w:val="24"/>
          <w:lang w:val="sv-SE"/>
        </w:rPr>
        <w:br w:type="page"/>
      </w:r>
    </w:p>
    <w:p w:rsidRPr="00781D24" w:rsidR="006E7A22" w:rsidP="009E6222">
      <w:pPr>
        <w:pStyle w:val="ECHRPara"/>
        <w:ind w:firstLine="0"/>
        <w:rPr>
          <w:rFonts w:eastAsia="Times New Roman"/>
          <w:szCs w:val="24"/>
          <w:lang w:val="sv-SE"/>
        </w:rPr>
      </w:pPr>
      <w:r>
        <w:rPr>
          <w:szCs w:val="24"/>
          <w:lang w:val="sv-SE"/>
        </w:rPr>
        <w:t>k</w:t>
      </w:r>
      <w:r w:rsidR="00A67071">
        <w:rPr>
          <w:szCs w:val="24"/>
          <w:lang w:val="sv-SE"/>
        </w:rPr>
        <w:t>assationsförfarande” där</w:t>
      </w:r>
      <w:r w:rsidRPr="009E0B85">
        <w:rPr>
          <w:szCs w:val="24"/>
          <w:lang w:val="sv-SE"/>
        </w:rPr>
        <w:t xml:space="preserve"> Högsta domstolen har samma befogenhet</w:t>
      </w:r>
      <w:r w:rsidR="00A67071">
        <w:rPr>
          <w:szCs w:val="24"/>
          <w:lang w:val="sv-SE"/>
        </w:rPr>
        <w:t>er</w:t>
      </w:r>
      <w:r w:rsidRPr="009E0B85">
        <w:rPr>
          <w:szCs w:val="24"/>
          <w:lang w:val="sv-SE"/>
        </w:rPr>
        <w:t xml:space="preserve"> att ompröva</w:t>
      </w:r>
      <w:r w:rsidR="009E6222">
        <w:rPr>
          <w:szCs w:val="24"/>
          <w:lang w:val="sv-SE"/>
        </w:rPr>
        <w:t xml:space="preserve"> som</w:t>
      </w:r>
      <w:r w:rsidR="00A67071">
        <w:rPr>
          <w:szCs w:val="24"/>
          <w:lang w:val="sv-SE"/>
        </w:rPr>
        <w:t xml:space="preserve"> den hade</w:t>
      </w:r>
      <w:r w:rsidRPr="009E0B85">
        <w:rPr>
          <w:szCs w:val="24"/>
          <w:lang w:val="sv-SE"/>
        </w:rPr>
        <w:t xml:space="preserve"> i ett kassationsförfarande och det exceptionella överklagandet är föremål för samma förfarande som vid kassationsbesvär.</w:t>
      </w:r>
      <w:r w:rsidRPr="00781D24">
        <w:rPr>
          <w:szCs w:val="24"/>
          <w:lang w:val="sv-SE"/>
        </w:rPr>
        <w:t xml:space="preserve"> </w:t>
      </w:r>
      <w:r w:rsidRPr="009E0B85">
        <w:rPr>
          <w:szCs w:val="24"/>
          <w:lang w:val="sv-SE"/>
        </w:rPr>
        <w:t>Högsta domstolens befogenheter att avgöra e</w:t>
      </w:r>
      <w:r w:rsidR="009E6222">
        <w:rPr>
          <w:szCs w:val="24"/>
          <w:lang w:val="sv-SE"/>
        </w:rPr>
        <w:t>tt exceptionellt överklagande var också jämförbara</w:t>
      </w:r>
      <w:r w:rsidRPr="009E0B85">
        <w:rPr>
          <w:szCs w:val="24"/>
          <w:lang w:val="sv-SE"/>
        </w:rPr>
        <w:t xml:space="preserve"> med befogenheterna i kassationsbesvär.</w:t>
      </w:r>
      <w:r w:rsidRPr="00781D24">
        <w:rPr>
          <w:szCs w:val="24"/>
          <w:lang w:val="sv-SE"/>
        </w:rPr>
        <w:t xml:space="preserve"> </w:t>
      </w:r>
      <w:r w:rsidRPr="009E0B85">
        <w:rPr>
          <w:rFonts w:eastAsia="Times New Roman"/>
          <w:szCs w:val="24"/>
          <w:lang w:val="sv-SE"/>
        </w:rPr>
        <w:t xml:space="preserve">Därför kan exceptionella besvärsförfaranden leda till </w:t>
      </w:r>
      <w:r w:rsidR="00A67071">
        <w:rPr>
          <w:rFonts w:eastAsia="Times New Roman"/>
          <w:szCs w:val="24"/>
          <w:lang w:val="sv-SE"/>
        </w:rPr>
        <w:t>ett av de olika typer av beslut som anges</w:t>
      </w:r>
      <w:r w:rsidRPr="009E0B85">
        <w:rPr>
          <w:rFonts w:eastAsia="Times New Roman"/>
          <w:szCs w:val="24"/>
          <w:lang w:val="sv-SE"/>
        </w:rPr>
        <w:t xml:space="preserve"> i artikel 358 i l</w:t>
      </w:r>
      <w:r w:rsidR="009E6222">
        <w:rPr>
          <w:rFonts w:eastAsia="Times New Roman"/>
          <w:szCs w:val="24"/>
          <w:lang w:val="sv-SE"/>
        </w:rPr>
        <w:t>agen, i synnerhet beslutet att ”</w:t>
      </w:r>
      <w:r w:rsidRPr="009E0B85">
        <w:rPr>
          <w:rFonts w:eastAsia="Times New Roman"/>
          <w:szCs w:val="24"/>
          <w:lang w:val="sv-SE"/>
        </w:rPr>
        <w:t>avvisa ett besvär och att låta det [omtvistade] beslutet kvarstå oförändrat”, “att helt eller delvis upphäva det [omtvistade] domstolsbeslutet och att hänskjuta målet till omprövni</w:t>
      </w:r>
      <w:r w:rsidR="009E6222">
        <w:rPr>
          <w:rFonts w:eastAsia="Times New Roman"/>
          <w:szCs w:val="24"/>
          <w:lang w:val="sv-SE"/>
        </w:rPr>
        <w:t>ng i [behörig lägre instans]”, ”</w:t>
      </w:r>
      <w:r w:rsidRPr="009E0B85">
        <w:rPr>
          <w:rFonts w:eastAsia="Times New Roman"/>
          <w:szCs w:val="24"/>
          <w:lang w:val="sv-SE"/>
        </w:rPr>
        <w:t>att häva [det omtvistade] beslutet i besvärsdomstolen eller kassationsdomstolen och att fastställa en dom som fela</w:t>
      </w:r>
      <w:r w:rsidR="009E6222">
        <w:rPr>
          <w:rFonts w:eastAsia="Times New Roman"/>
          <w:szCs w:val="24"/>
          <w:lang w:val="sv-SE"/>
        </w:rPr>
        <w:t>ktigt hävts”, eller att ändra ”</w:t>
      </w:r>
      <w:r w:rsidRPr="009E0B85">
        <w:rPr>
          <w:rFonts w:eastAsia="Times New Roman"/>
          <w:szCs w:val="24"/>
          <w:lang w:val="sv-SE"/>
        </w:rPr>
        <w:t>[det omtvistade] beslutet eller fastställa ett nytt beslut baserat på fakta i målet” (ibid.).</w:t>
      </w:r>
    </w:p>
    <w:p w:rsidRPr="00AF1CCC" w:rsidR="00624389" w:rsidP="00624389">
      <w:pPr>
        <w:pStyle w:val="ECHRPara"/>
        <w:rPr>
          <w:szCs w:val="24"/>
          <w:lang w:val="sv-SE"/>
        </w:rPr>
      </w:pPr>
      <w:r w:rsidRPr="00AF1CCC">
        <w:rPr>
          <w:szCs w:val="24"/>
          <w:lang w:val="en-GB"/>
        </w:rPr>
        <w:fldChar w:fldCharType="begin"/>
      </w:r>
      <w:r w:rsidRPr="00781D24">
        <w:rPr>
          <w:szCs w:val="24"/>
          <w:lang w:val="sv-SE"/>
        </w:rPr>
        <w:instrText xml:space="preserve"> SEQ level0 \*arabic </w:instrText>
      </w:r>
      <w:r w:rsidRPr="00AF1CCC">
        <w:rPr>
          <w:szCs w:val="24"/>
          <w:lang w:val="en-GB"/>
        </w:rPr>
        <w:fldChar w:fldCharType="separate"/>
      </w:r>
      <w:r w:rsidRPr="00781D24">
        <w:rPr>
          <w:noProof/>
          <w:szCs w:val="24"/>
          <w:lang w:val="sv-SE"/>
        </w:rPr>
        <w:t>52</w:t>
      </w:r>
      <w:r w:rsidRPr="00AF1CCC">
        <w:rPr>
          <w:szCs w:val="24"/>
          <w:lang w:val="en-GB"/>
        </w:rPr>
        <w:fldChar w:fldCharType="end"/>
      </w:r>
      <w:r w:rsidR="00AF1CCC">
        <w:rPr>
          <w:szCs w:val="24"/>
          <w:lang w:val="sv-SE"/>
        </w:rPr>
        <w:t>.  För</w:t>
      </w:r>
      <w:r w:rsidRPr="00AF1CCC">
        <w:rPr>
          <w:szCs w:val="24"/>
          <w:lang w:val="sv-SE"/>
        </w:rPr>
        <w:t xml:space="preserve"> </w:t>
      </w:r>
      <w:r w:rsidR="00A67071">
        <w:rPr>
          <w:szCs w:val="24"/>
          <w:lang w:val="sv-SE"/>
        </w:rPr>
        <w:t>denna Domstols prövning av typen</w:t>
      </w:r>
      <w:r w:rsidRPr="00AF1CCC">
        <w:rPr>
          <w:szCs w:val="24"/>
          <w:lang w:val="sv-SE"/>
        </w:rPr>
        <w:t xml:space="preserve"> och omfattningen av det</w:t>
      </w:r>
      <w:r w:rsidRPr="009E0B85">
        <w:rPr>
          <w:szCs w:val="24"/>
          <w:lang w:val="sv-SE"/>
        </w:rPr>
        <w:t xml:space="preserve"> rättsmedel som sökanden använt sig av enligt civilprocesslagen kan även den bakomliggande lagkontexten som utgörs av bestämmels</w:t>
      </w:r>
      <w:r w:rsidR="00AF1CCC">
        <w:rPr>
          <w:szCs w:val="24"/>
          <w:lang w:val="sv-SE"/>
        </w:rPr>
        <w:t>erna i lagen om verkställandet</w:t>
      </w:r>
      <w:r w:rsidRPr="009E0B85">
        <w:rPr>
          <w:szCs w:val="24"/>
          <w:lang w:val="sv-SE"/>
        </w:rPr>
        <w:t xml:space="preserve"> av domarna och tillämpningen av rättspraxis i den europ</w:t>
      </w:r>
      <w:r w:rsidR="00AF1CCC">
        <w:rPr>
          <w:szCs w:val="24"/>
          <w:lang w:val="sv-SE"/>
        </w:rPr>
        <w:t>e</w:t>
      </w:r>
      <w:r w:rsidRPr="009E0B85">
        <w:rPr>
          <w:szCs w:val="24"/>
          <w:lang w:val="sv-SE"/>
        </w:rPr>
        <w:t>iska domstolen om de mänskliga rättigheter vara av viss relevans (se punkt 25 ovan, som återger de relevanta delarna av denna lag).</w:t>
      </w:r>
      <w:r w:rsidRPr="00781D24">
        <w:rPr>
          <w:szCs w:val="24"/>
          <w:lang w:val="sv-SE"/>
        </w:rPr>
        <w:t xml:space="preserve"> </w:t>
      </w:r>
      <w:r w:rsidRPr="009E0B85">
        <w:rPr>
          <w:szCs w:val="24"/>
          <w:lang w:val="sv-SE"/>
        </w:rPr>
        <w:t>I synnerhet paragraf 10(3)(a) i lagen från 2006 anger att ”Förmånstagarens tidigare rättsliga stäl</w:t>
      </w:r>
      <w:r w:rsidR="00A67071">
        <w:rPr>
          <w:szCs w:val="24"/>
          <w:lang w:val="sv-SE"/>
        </w:rPr>
        <w:t xml:space="preserve">lning” – det vill säga, den </w:t>
      </w:r>
      <w:r w:rsidRPr="004C234C">
        <w:rPr>
          <w:szCs w:val="24"/>
          <w:lang w:val="sv-SE"/>
        </w:rPr>
        <w:t>sökande</w:t>
      </w:r>
      <w:r w:rsidRPr="009E0B85">
        <w:rPr>
          <w:szCs w:val="24"/>
          <w:lang w:val="sv-SE"/>
        </w:rPr>
        <w:t xml:space="preserve"> </w:t>
      </w:r>
      <w:r w:rsidR="00A67071">
        <w:rPr>
          <w:szCs w:val="24"/>
          <w:lang w:val="sv-SE"/>
        </w:rPr>
        <w:t xml:space="preserve">som haft framgång </w:t>
      </w:r>
      <w:r w:rsidRPr="009E0B85">
        <w:rPr>
          <w:szCs w:val="24"/>
          <w:lang w:val="sv-SE"/>
        </w:rPr>
        <w:t>i denna Domstol – ”ska återställas, bland annat, genom att målet omprövas av domstol, inklusive att förfarandet i målet återupptas (ibid.).</w:t>
      </w:r>
      <w:r w:rsidRPr="00781D24">
        <w:rPr>
          <w:szCs w:val="24"/>
          <w:lang w:val="sv-SE"/>
        </w:rPr>
        <w:t xml:space="preserve"> </w:t>
      </w:r>
      <w:r w:rsidRPr="009E0B85">
        <w:rPr>
          <w:rFonts w:eastAsia="Times New Roman"/>
          <w:szCs w:val="24"/>
          <w:lang w:val="sv-SE"/>
        </w:rPr>
        <w:t>Vidare ska, enligt paragraf 11 § 1(a) i samma lag, regeringe</w:t>
      </w:r>
      <w:r w:rsidR="00AF1CCC">
        <w:rPr>
          <w:rFonts w:eastAsia="Times New Roman"/>
          <w:szCs w:val="24"/>
          <w:lang w:val="sv-SE"/>
        </w:rPr>
        <w:t>ns ombud skicka Förmånstagaren ”</w:t>
      </w:r>
      <w:r w:rsidRPr="009E0B85">
        <w:rPr>
          <w:rFonts w:eastAsia="Times New Roman"/>
          <w:szCs w:val="24"/>
          <w:lang w:val="sv-SE"/>
        </w:rPr>
        <w:t>ett meddelande som förklarar hans rätt att inleda ett förfarande för omprövning av hans mål och/eller för att återuppta förhandlingar enligt gällande lag”.</w:t>
      </w:r>
    </w:p>
    <w:p w:rsidR="00AF1CCC" w:rsidP="00F956A2">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53</w:t>
      </w:r>
      <w:r w:rsidRPr="009E0B85">
        <w:rPr>
          <w:szCs w:val="24"/>
          <w:lang w:val="en-GB"/>
        </w:rPr>
        <w:fldChar w:fldCharType="end"/>
      </w:r>
      <w:r w:rsidRPr="009E0B85">
        <w:rPr>
          <w:szCs w:val="24"/>
          <w:lang w:val="sv-SE"/>
        </w:rPr>
        <w:t>.  Tillämplig nationell rättsordning gav därmed sökanden tillgång till ett rättsmedel som möjliggjorde prövning av hennes mål i Högsta domstolen mot bakgrund av att Domstolen funnit att de ursprungliga nationella besluten varit felaktiga.</w:t>
      </w:r>
      <w:r w:rsidRPr="00781D24">
        <w:rPr>
          <w:szCs w:val="24"/>
          <w:lang w:val="sv-SE"/>
        </w:rPr>
        <w:t xml:space="preserve"> </w:t>
      </w:r>
      <w:r w:rsidRPr="009E0B85">
        <w:rPr>
          <w:szCs w:val="24"/>
          <w:lang w:val="sv-SE"/>
        </w:rPr>
        <w:t>På grund av den tillåtna typen av omprövning kan sökandens exceptionella överklagande betraktas som en förlängning av den ursprungliga (avslutade) civilprocessen, besläktad med ett kassationsförfarande i enlighet med ukrainsk lag.</w:t>
      </w:r>
      <w:r w:rsidRPr="00781D24">
        <w:rPr>
          <w:szCs w:val="24"/>
          <w:lang w:val="sv-SE"/>
        </w:rPr>
        <w:t xml:space="preserve"> </w:t>
      </w:r>
      <w:r w:rsidRPr="009E0B85">
        <w:rPr>
          <w:rFonts w:eastAsia="Times New Roman"/>
          <w:szCs w:val="24"/>
          <w:lang w:val="sv-SE"/>
        </w:rPr>
        <w:t xml:space="preserve">Eftersom, följaktligen, de speciella grunddragen i denna kassationstyp kan påverka tillämpningen av de föreskrivna processrättsliga garantierna i artikel 6 § 1 (jfr </w:t>
      </w:r>
      <w:r w:rsidRPr="009E0B85">
        <w:rPr>
          <w:rFonts w:eastAsia="Times New Roman"/>
          <w:i/>
          <w:szCs w:val="24"/>
          <w:lang w:val="sv-SE"/>
        </w:rPr>
        <w:t>Delcourt v. Belgium</w:t>
      </w:r>
      <w:r w:rsidRPr="009E0B85">
        <w:rPr>
          <w:rFonts w:eastAsia="Times New Roman"/>
          <w:szCs w:val="24"/>
          <w:lang w:val="sv-SE"/>
        </w:rPr>
        <w:t>, 17 januari 1970, § 26, serie A nr 11), anser Domstolen att dessa garantier bör vara tillämpliga på samma sätt som de generellt är tillämpliga på kassationsförfarande</w:t>
      </w:r>
      <w:r>
        <w:rPr>
          <w:rFonts w:eastAsia="Times New Roman"/>
          <w:szCs w:val="24"/>
          <w:lang w:val="sv-SE"/>
        </w:rPr>
        <w:t>n</w:t>
      </w:r>
      <w:r w:rsidRPr="009E0B85">
        <w:rPr>
          <w:rFonts w:eastAsia="Times New Roman"/>
          <w:szCs w:val="24"/>
          <w:lang w:val="sv-SE"/>
        </w:rPr>
        <w:t xml:space="preserve"> i civilmål (jfr, till exempel, </w:t>
      </w:r>
      <w:r w:rsidRPr="009E0B85">
        <w:rPr>
          <w:rFonts w:eastAsia="Times New Roman"/>
          <w:i/>
          <w:szCs w:val="24"/>
          <w:lang w:val="sv-SE"/>
        </w:rPr>
        <w:t>Mushta v. Ukraine</w:t>
      </w:r>
      <w:r w:rsidRPr="009E0B85">
        <w:rPr>
          <w:rFonts w:eastAsia="Times New Roman"/>
          <w:szCs w:val="24"/>
          <w:lang w:val="sv-SE"/>
        </w:rPr>
        <w:t xml:space="preserve">, no. 8863/06, § 39, 18 november 2010; och </w:t>
      </w:r>
      <w:r w:rsidRPr="009E0B85">
        <w:rPr>
          <w:rFonts w:eastAsia="Times New Roman"/>
          <w:i/>
          <w:szCs w:val="24"/>
          <w:lang w:val="sv-SE"/>
        </w:rPr>
        <w:t>mutatis mutandis</w:t>
      </w:r>
      <w:r w:rsidRPr="009E0B85">
        <w:rPr>
          <w:rFonts w:eastAsia="Times New Roman"/>
          <w:szCs w:val="24"/>
          <w:lang w:val="sv-SE"/>
        </w:rPr>
        <w:t xml:space="preserve">, </w:t>
      </w:r>
      <w:r w:rsidRPr="009E0B85">
        <w:rPr>
          <w:rFonts w:eastAsia="Times New Roman"/>
          <w:i/>
          <w:szCs w:val="24"/>
          <w:lang w:val="sv-SE"/>
        </w:rPr>
        <w:t>San Leonard Band Club</w:t>
      </w:r>
      <w:r w:rsidRPr="009E0B85">
        <w:rPr>
          <w:rFonts w:eastAsia="Times New Roman"/>
          <w:szCs w:val="24"/>
          <w:lang w:val="sv-SE"/>
        </w:rPr>
        <w:t xml:space="preserve"> och </w:t>
      </w:r>
      <w:r w:rsidRPr="009E0B85">
        <w:rPr>
          <w:rFonts w:eastAsia="Times New Roman"/>
          <w:i/>
          <w:szCs w:val="24"/>
          <w:lang w:val="sv-SE"/>
        </w:rPr>
        <w:t>Maresti</w:t>
      </w:r>
      <w:r w:rsidRPr="009E0B85">
        <w:rPr>
          <w:rFonts w:eastAsia="Times New Roman"/>
          <w:szCs w:val="24"/>
          <w:lang w:val="sv-SE"/>
        </w:rPr>
        <w:t>, citerat ovan i punkt 48-49).</w:t>
      </w:r>
    </w:p>
    <w:p w:rsidR="00AF1CCC">
      <w:pPr>
        <w:jc w:val="left"/>
        <w:rPr>
          <w:rFonts w:eastAsia="Times New Roman"/>
          <w:szCs w:val="24"/>
          <w:lang w:val="sv-SE"/>
        </w:rPr>
      </w:pPr>
      <w:r>
        <w:rPr>
          <w:rFonts w:eastAsia="Times New Roman"/>
          <w:szCs w:val="24"/>
          <w:lang w:val="sv-SE"/>
        </w:rPr>
        <w:br w:type="page"/>
      </w:r>
    </w:p>
    <w:p w:rsidRPr="00781D24" w:rsidR="00F956A2" w:rsidP="00F956A2">
      <w:pPr>
        <w:pStyle w:val="ECHRPara"/>
        <w:rPr>
          <w:rFonts w:eastAsia="Times New Roman"/>
          <w:szCs w:val="24"/>
          <w:lang w:val="sv-SE"/>
        </w:rPr>
      </w:pPr>
    </w:p>
    <w:p w:rsidRPr="00781D24" w:rsidR="00F956A2" w:rsidP="00F956A2">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54</w:t>
      </w:r>
      <w:r w:rsidRPr="009E0B85">
        <w:rPr>
          <w:szCs w:val="24"/>
          <w:lang w:val="en-GB"/>
        </w:rPr>
        <w:fldChar w:fldCharType="end"/>
      </w:r>
      <w:r w:rsidRPr="009E0B85">
        <w:rPr>
          <w:szCs w:val="24"/>
          <w:lang w:val="sv-SE"/>
        </w:rPr>
        <w:t>.  Denna slutsats härledd från tillämpliga ukrain</w:t>
      </w:r>
      <w:r w:rsidR="00AF1CCC">
        <w:rPr>
          <w:szCs w:val="24"/>
          <w:lang w:val="sv-SE"/>
        </w:rPr>
        <w:t>ska lagbestämmelser stöds av omfattningen och arten av den ”</w:t>
      </w:r>
      <w:r w:rsidRPr="009E0B85">
        <w:rPr>
          <w:szCs w:val="24"/>
          <w:lang w:val="sv-SE"/>
        </w:rPr>
        <w:t>prövning” som faktiskt genomfördes av Högsta domstolen den 14 mars 2008 innan den avvisade sökandens exceptionella överklagande och lät de ifrågasatta besluten kvarstå oförändrade.</w:t>
      </w:r>
      <w:r w:rsidRPr="00781D24">
        <w:rPr>
          <w:szCs w:val="24"/>
          <w:lang w:val="sv-SE"/>
        </w:rPr>
        <w:t xml:space="preserve"> </w:t>
      </w:r>
      <w:r w:rsidRPr="009E0B85">
        <w:rPr>
          <w:szCs w:val="24"/>
          <w:lang w:val="sv-SE"/>
        </w:rPr>
        <w:t xml:space="preserve">Under den prövningen granskade Högsta domstolen materialet i målet och domstolsbesluten från det ursprungliga förfarandet baserat på sökandens nya uppgifter mot bakgrund </w:t>
      </w:r>
      <w:r w:rsidR="00713E53">
        <w:rPr>
          <w:szCs w:val="24"/>
          <w:lang w:val="sv-SE"/>
        </w:rPr>
        <w:t xml:space="preserve">främst av </w:t>
      </w:r>
      <w:r w:rsidRPr="009E0B85">
        <w:rPr>
          <w:szCs w:val="24"/>
          <w:lang w:val="sv-SE"/>
        </w:rPr>
        <w:t>Domstolens dom den 3 maj 2007 (se punkt 20-21 ovan).</w:t>
      </w:r>
      <w:r w:rsidRPr="00781D24">
        <w:rPr>
          <w:szCs w:val="24"/>
          <w:lang w:val="sv-SE"/>
        </w:rPr>
        <w:t xml:space="preserve"> </w:t>
      </w:r>
      <w:r w:rsidRPr="009E0B85">
        <w:rPr>
          <w:szCs w:val="24"/>
          <w:lang w:val="sv-SE"/>
        </w:rPr>
        <w:t>Följaktligen kan det som inträffade i förfarandet i</w:t>
      </w:r>
      <w:r w:rsidR="00AF1CCC">
        <w:rPr>
          <w:szCs w:val="24"/>
          <w:lang w:val="sv-SE"/>
        </w:rPr>
        <w:t xml:space="preserve"> mars 2008 väl jämföras med </w:t>
      </w:r>
      <w:r w:rsidRPr="009E0B85">
        <w:rPr>
          <w:szCs w:val="24"/>
          <w:lang w:val="sv-SE"/>
        </w:rPr>
        <w:t>förfarande</w:t>
      </w:r>
      <w:r w:rsidR="00AF1CCC">
        <w:rPr>
          <w:szCs w:val="24"/>
          <w:lang w:val="sv-SE"/>
        </w:rPr>
        <w:t>t</w:t>
      </w:r>
      <w:r w:rsidRPr="009E0B85">
        <w:rPr>
          <w:szCs w:val="24"/>
          <w:lang w:val="sv-SE"/>
        </w:rPr>
        <w:t xml:space="preserve"> avseende sökandens kassationsbesvär som avgjordes av Högsta domstolen i augusti 2002 (se punkt 11 ovan och </w:t>
      </w:r>
      <w:r w:rsidRPr="009E0B85">
        <w:rPr>
          <w:i/>
          <w:szCs w:val="24"/>
          <w:lang w:val="sv-SE"/>
        </w:rPr>
        <w:t>Bochan</w:t>
      </w:r>
      <w:r w:rsidRPr="009E0B85">
        <w:rPr>
          <w:szCs w:val="24"/>
          <w:lang w:val="sv-SE"/>
        </w:rPr>
        <w:t xml:space="preserve">, citerat ovan, § 39), på vilka artikel 6 § 1 var tillämplig </w:t>
      </w:r>
      <w:r w:rsidRPr="009E0B85">
        <w:rPr>
          <w:i/>
          <w:szCs w:val="24"/>
          <w:lang w:val="sv-SE"/>
        </w:rPr>
        <w:t>ratione materiae</w:t>
      </w:r>
      <w:r w:rsidRPr="009E0B85">
        <w:rPr>
          <w:szCs w:val="24"/>
          <w:lang w:val="sv-SE"/>
        </w:rPr>
        <w:t>.</w:t>
      </w:r>
      <w:r w:rsidRPr="00781D24">
        <w:rPr>
          <w:szCs w:val="24"/>
          <w:lang w:val="sv-SE"/>
        </w:rPr>
        <w:t xml:space="preserve"> </w:t>
      </w:r>
      <w:r w:rsidRPr="009E0B85">
        <w:rPr>
          <w:szCs w:val="24"/>
          <w:lang w:val="sv-SE"/>
        </w:rPr>
        <w:t xml:space="preserve">Högsta domstolen </w:t>
      </w:r>
      <w:r w:rsidR="004C234C">
        <w:rPr>
          <w:szCs w:val="24"/>
          <w:lang w:val="sv-SE"/>
        </w:rPr>
        <w:t>granskade</w:t>
      </w:r>
      <w:r w:rsidR="00EA2CE3">
        <w:rPr>
          <w:szCs w:val="24"/>
          <w:lang w:val="sv-SE"/>
        </w:rPr>
        <w:t xml:space="preserve"> för Domstolen</w:t>
      </w:r>
      <w:r w:rsidR="004C234C">
        <w:rPr>
          <w:szCs w:val="24"/>
          <w:lang w:val="sv-SE"/>
        </w:rPr>
        <w:t xml:space="preserve"> </w:t>
      </w:r>
      <w:r w:rsidRPr="009E0B85">
        <w:rPr>
          <w:szCs w:val="24"/>
          <w:lang w:val="sv-SE"/>
        </w:rPr>
        <w:t>i mars 2008 sökandens civilmål ”mot bakgrund av exceptionella omständigheter”, det vill säga Domstolens dom 2007, i ett kassationsliknande förfarande och fann ingen anledning att upphäva de ifrågasatta besluten.</w:t>
      </w:r>
      <w:r w:rsidRPr="00781D24">
        <w:rPr>
          <w:szCs w:val="24"/>
          <w:lang w:val="sv-SE"/>
        </w:rPr>
        <w:t xml:space="preserve"> </w:t>
      </w:r>
      <w:r w:rsidRPr="009E0B85">
        <w:rPr>
          <w:rFonts w:eastAsia="Times New Roman"/>
          <w:szCs w:val="24"/>
          <w:lang w:val="sv-SE"/>
        </w:rPr>
        <w:t>Den genomförde därmed en ”förnyad prövning” som det benämndes i lagen från 2006, av hennes fastighetsanspråk på nya grunder</w:t>
      </w:r>
      <w:r w:rsidR="007F04C0">
        <w:rPr>
          <w:rFonts w:eastAsia="Times New Roman"/>
          <w:szCs w:val="24"/>
          <w:lang w:val="sv-SE"/>
        </w:rPr>
        <w:t>,</w:t>
      </w:r>
      <w:r w:rsidRPr="009E0B85">
        <w:rPr>
          <w:rFonts w:eastAsia="Times New Roman"/>
          <w:szCs w:val="24"/>
          <w:lang w:val="sv-SE"/>
        </w:rPr>
        <w:t xml:space="preserve"> kopplat till dess tolkning av Domstolens dom den 3 april 2007, låt vara att den beslöt att inte ändra utslaget i målet </w:t>
      </w:r>
      <w:r w:rsidR="00B1727B">
        <w:rPr>
          <w:rFonts w:eastAsia="Times New Roman"/>
          <w:szCs w:val="24"/>
          <w:lang w:val="sv-SE"/>
        </w:rPr>
        <w:t xml:space="preserve">och, i synnerhet, inte beordrade </w:t>
      </w:r>
      <w:r w:rsidRPr="009E0B85">
        <w:rPr>
          <w:rFonts w:eastAsia="Times New Roman"/>
          <w:szCs w:val="24"/>
          <w:lang w:val="sv-SE"/>
        </w:rPr>
        <w:t>en fullständig förnyad prövning av målet i lägre instans.</w:t>
      </w:r>
    </w:p>
    <w:p w:rsidRPr="00781D24" w:rsidR="00D143AC" w:rsidP="00D143AC">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55</w:t>
      </w:r>
      <w:r w:rsidRPr="009E0B85">
        <w:rPr>
          <w:rFonts w:eastAsia="Times New Roman"/>
          <w:szCs w:val="24"/>
          <w:lang w:val="en-GB"/>
        </w:rPr>
        <w:fldChar w:fldCharType="end"/>
      </w:r>
      <w:r w:rsidRPr="009E0B85">
        <w:rPr>
          <w:rFonts w:eastAsia="Times New Roman"/>
          <w:szCs w:val="24"/>
          <w:lang w:val="sv-SE"/>
        </w:rPr>
        <w:t>.  Ovanstående överväganden förändras inte av det faktum att Högsta domstolen i juni 2008, baserat på artikel 356 i lagen, avvisade sökandens uppföljande överklagande i april 2008 som otillåtligt på for</w:t>
      </w:r>
      <w:r w:rsidR="007F04C0">
        <w:rPr>
          <w:rFonts w:eastAsia="Times New Roman"/>
          <w:szCs w:val="24"/>
          <w:lang w:val="sv-SE"/>
        </w:rPr>
        <w:t>mella grunder utan ytterligare ”</w:t>
      </w:r>
      <w:r w:rsidRPr="009E0B85">
        <w:rPr>
          <w:rFonts w:eastAsia="Times New Roman"/>
          <w:szCs w:val="24"/>
          <w:lang w:val="sv-SE"/>
        </w:rPr>
        <w:t xml:space="preserve">prövning” av de </w:t>
      </w:r>
      <w:r w:rsidRPr="00EA2CE3">
        <w:rPr>
          <w:rFonts w:eastAsia="Times New Roman"/>
          <w:szCs w:val="24"/>
          <w:lang w:val="sv-SE"/>
        </w:rPr>
        <w:t>faktiska aspekterna av målet</w:t>
      </w:r>
      <w:r w:rsidRPr="009E0B85">
        <w:rPr>
          <w:rFonts w:eastAsia="Times New Roman"/>
          <w:szCs w:val="24"/>
          <w:lang w:val="sv-SE"/>
        </w:rPr>
        <w:t xml:space="preserve"> (se punkt 23 ovan).</w:t>
      </w:r>
    </w:p>
    <w:p w:rsidRPr="00781D24" w:rsidR="00D143AC" w:rsidP="00D143AC">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56</w:t>
      </w:r>
      <w:r w:rsidRPr="009E0B85">
        <w:rPr>
          <w:szCs w:val="24"/>
          <w:lang w:val="en-GB"/>
        </w:rPr>
        <w:fldChar w:fldCharType="end"/>
      </w:r>
      <w:r w:rsidRPr="009E0B85">
        <w:rPr>
          <w:szCs w:val="24"/>
          <w:lang w:val="sv-SE"/>
        </w:rPr>
        <w:t>.  Mot bakgrund av såväl de relevanta bestämmelserna i ukrainsk lagstiftning som arten och omfattningen av förfarandet som kulminerade i Högsta domstolens beslut den 14 mars 2008 i relation till sökandens exceptionella överklagande, följt av dess bekräftelsebeslut i juni 2008, anser Domstolen att dessa förhandlingar var avgörande för fastställandet av sökandens civila rättigheter och skyldigheter.</w:t>
      </w:r>
      <w:r w:rsidRPr="00781D24">
        <w:rPr>
          <w:szCs w:val="24"/>
          <w:lang w:val="sv-SE"/>
        </w:rPr>
        <w:t xml:space="preserve"> </w:t>
      </w:r>
      <w:r w:rsidRPr="009E0B85">
        <w:rPr>
          <w:szCs w:val="24"/>
          <w:lang w:val="sv-SE"/>
        </w:rPr>
        <w:t xml:space="preserve">Följaktligen är de relevanta garantierna i artikel 6 § 1 tillämliga på detta förfarande. </w:t>
      </w:r>
      <w:r w:rsidR="007F04C0">
        <w:rPr>
          <w:rFonts w:eastAsia="Times New Roman"/>
          <w:szCs w:val="24"/>
          <w:lang w:val="sv-SE"/>
        </w:rPr>
        <w:t>Därför</w:t>
      </w:r>
      <w:r w:rsidRPr="009E0B85">
        <w:rPr>
          <w:rFonts w:eastAsia="Times New Roman"/>
          <w:szCs w:val="24"/>
          <w:lang w:val="sv-SE"/>
        </w:rPr>
        <w:t xml:space="preserve"> avvisas regeringens invändning rörande denna bestämmelses tillämplighet på det ifrågasatta förfarandet.</w:t>
      </w:r>
    </w:p>
    <w:p w:rsidRPr="00781D24" w:rsidR="009B42D0" w:rsidP="009B42D0">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57</w:t>
      </w:r>
      <w:r w:rsidRPr="009E0B85">
        <w:rPr>
          <w:szCs w:val="24"/>
          <w:lang w:val="en-GB"/>
        </w:rPr>
        <w:fldChar w:fldCharType="end"/>
      </w:r>
      <w:r w:rsidRPr="009E0B85">
        <w:rPr>
          <w:szCs w:val="24"/>
          <w:lang w:val="sv-SE"/>
        </w:rPr>
        <w:t>.  Obe</w:t>
      </w:r>
      <w:r w:rsidR="007F04C0">
        <w:rPr>
          <w:szCs w:val="24"/>
          <w:lang w:val="sv-SE"/>
        </w:rPr>
        <w:t xml:space="preserve">roende av slutsatsen </w:t>
      </w:r>
      <w:r w:rsidRPr="00EA2CE3" w:rsidR="007F04C0">
        <w:rPr>
          <w:szCs w:val="24"/>
          <w:lang w:val="sv-SE"/>
        </w:rPr>
        <w:t>vad gäller tillämpligheten av artikel</w:t>
      </w:r>
      <w:r w:rsidR="007F04C0">
        <w:rPr>
          <w:szCs w:val="24"/>
          <w:lang w:val="sv-SE"/>
        </w:rPr>
        <w:t xml:space="preserve"> 6 § 1 </w:t>
      </w:r>
      <w:r w:rsidRPr="009E0B85">
        <w:rPr>
          <w:szCs w:val="24"/>
          <w:lang w:val="sv-SE"/>
        </w:rPr>
        <w:t>på den typ av förfarande som det rör sig om i det aktuell</w:t>
      </w:r>
      <w:r w:rsidR="007F04C0">
        <w:rPr>
          <w:szCs w:val="24"/>
          <w:lang w:val="sv-SE"/>
        </w:rPr>
        <w:t>a målet, vill Domstolen betona</w:t>
      </w:r>
      <w:r w:rsidRPr="009E0B85">
        <w:rPr>
          <w:szCs w:val="24"/>
          <w:lang w:val="sv-SE"/>
        </w:rPr>
        <w:t xml:space="preserve"> att det är upp till avtalsstaterna att besluta hur de bäst ska implementera Domstolens</w:t>
      </w:r>
      <w:r w:rsidR="007F04C0">
        <w:rPr>
          <w:szCs w:val="24"/>
          <w:lang w:val="sv-SE"/>
        </w:rPr>
        <w:t xml:space="preserve"> dom utan att otillbörligt rucka</w:t>
      </w:r>
      <w:r w:rsidRPr="009E0B85">
        <w:rPr>
          <w:szCs w:val="24"/>
          <w:lang w:val="sv-SE"/>
        </w:rPr>
        <w:t xml:space="preserve"> på principen om </w:t>
      </w:r>
      <w:r w:rsidRPr="009E0B85">
        <w:rPr>
          <w:i/>
          <w:szCs w:val="24"/>
          <w:lang w:val="sv-SE"/>
        </w:rPr>
        <w:t>res iudicata</w:t>
      </w:r>
      <w:r w:rsidRPr="009E0B85">
        <w:rPr>
          <w:szCs w:val="24"/>
          <w:lang w:val="sv-SE"/>
        </w:rPr>
        <w:t xml:space="preserve"> eller rättssäkerhet i civilmål, i synnerhet när ett sådant mål rör tredje part som har egna legitima intressen som ska skyddas.</w:t>
      </w:r>
      <w:r w:rsidRPr="00781D24">
        <w:rPr>
          <w:szCs w:val="24"/>
          <w:lang w:val="sv-SE"/>
        </w:rPr>
        <w:t xml:space="preserve"> </w:t>
      </w:r>
      <w:r w:rsidRPr="009E0B85">
        <w:rPr>
          <w:szCs w:val="24"/>
          <w:lang w:val="sv-SE"/>
        </w:rPr>
        <w:t>Även när en fördragsstat ger möjlighet att begära ett återupptagande av ett avslutat domstolsförfarande mot bakgrund av en dom i Domstolen, är det upp till de nationella myndigheterna att behandla en såda</w:t>
      </w:r>
      <w:r w:rsidR="007F04C0">
        <w:rPr>
          <w:szCs w:val="24"/>
          <w:lang w:val="sv-SE"/>
        </w:rPr>
        <w:t>n begäran och att fastställa</w:t>
      </w:r>
      <w:r w:rsidRPr="009E0B85">
        <w:rPr>
          <w:szCs w:val="24"/>
          <w:lang w:val="sv-SE"/>
        </w:rPr>
        <w:t xml:space="preserve"> </w:t>
      </w:r>
      <w:r w:rsidR="007F04C0">
        <w:rPr>
          <w:szCs w:val="24"/>
          <w:lang w:val="sv-SE"/>
        </w:rPr>
        <w:t xml:space="preserve">på </w:t>
      </w:r>
      <w:r w:rsidR="007F04C0">
        <w:rPr>
          <w:szCs w:val="24"/>
          <w:lang w:val="sv-SE"/>
        </w:rPr>
        <w:t xml:space="preserve">vilka </w:t>
      </w:r>
      <w:r w:rsidRPr="009E0B85" w:rsidR="006C2ECD">
        <w:rPr>
          <w:szCs w:val="24"/>
          <w:lang w:val="sv-SE"/>
        </w:rPr>
        <w:t>kriterier</w:t>
      </w:r>
      <w:r w:rsidRPr="009E0B85">
        <w:rPr>
          <w:szCs w:val="24"/>
          <w:lang w:val="sv-SE"/>
        </w:rPr>
        <w:t xml:space="preserve"> </w:t>
      </w:r>
      <w:r w:rsidR="007F04C0">
        <w:rPr>
          <w:szCs w:val="24"/>
          <w:lang w:val="sv-SE"/>
        </w:rPr>
        <w:t>det är motiverat att återuppta ett visst mål</w:t>
      </w:r>
      <w:r w:rsidRPr="009E0B85">
        <w:rPr>
          <w:szCs w:val="24"/>
          <w:lang w:val="sv-SE"/>
        </w:rPr>
        <w:t>.</w:t>
      </w:r>
      <w:r w:rsidRPr="00781D24">
        <w:rPr>
          <w:szCs w:val="24"/>
          <w:lang w:val="sv-SE"/>
        </w:rPr>
        <w:t xml:space="preserve"> </w:t>
      </w:r>
      <w:r w:rsidRPr="009E0B85">
        <w:rPr>
          <w:rFonts w:eastAsia="Times New Roman"/>
          <w:szCs w:val="24"/>
          <w:lang w:val="sv-SE"/>
        </w:rPr>
        <w:t>Det finns i</w:t>
      </w:r>
      <w:r w:rsidR="00B1727B">
        <w:rPr>
          <w:rFonts w:eastAsia="Times New Roman"/>
          <w:szCs w:val="24"/>
          <w:lang w:val="sv-SE"/>
        </w:rPr>
        <w:t>n</w:t>
      </w:r>
      <w:r w:rsidRPr="009E0B85">
        <w:rPr>
          <w:rFonts w:eastAsia="Times New Roman"/>
          <w:szCs w:val="24"/>
          <w:lang w:val="sv-SE"/>
        </w:rPr>
        <w:t xml:space="preserve">gen enhetlig strategi bland fördragsstaterna vad gäller möjligheten </w:t>
      </w:r>
      <w:r w:rsidR="007F04C0">
        <w:rPr>
          <w:rFonts w:eastAsia="Times New Roman"/>
          <w:szCs w:val="24"/>
          <w:lang w:val="sv-SE"/>
        </w:rPr>
        <w:t xml:space="preserve">att begära att en </w:t>
      </w:r>
      <w:r w:rsidRPr="009E0B85">
        <w:rPr>
          <w:rFonts w:eastAsia="Times New Roman"/>
          <w:szCs w:val="24"/>
          <w:lang w:val="sv-SE"/>
        </w:rPr>
        <w:t xml:space="preserve">avslutad civilprocess </w:t>
      </w:r>
      <w:r w:rsidR="007F04C0">
        <w:rPr>
          <w:rFonts w:eastAsia="Times New Roman"/>
          <w:szCs w:val="24"/>
          <w:lang w:val="sv-SE"/>
        </w:rPr>
        <w:t xml:space="preserve">ska återupptas </w:t>
      </w:r>
      <w:r w:rsidRPr="009E0B85">
        <w:rPr>
          <w:rFonts w:eastAsia="Times New Roman"/>
          <w:szCs w:val="24"/>
          <w:lang w:val="sv-SE"/>
        </w:rPr>
        <w:t>efter att Domstolen konstaterat en kräkning eller beträffande modaliteterna för implementering av befintliga mekanismer för återupptagande (se punkt 26-27 ovan).</w:t>
      </w:r>
    </w:p>
    <w:p w:rsidRPr="00781D24" w:rsidR="00DE4669" w:rsidP="00DE4669">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58</w:t>
      </w:r>
      <w:r w:rsidRPr="009E0B85">
        <w:rPr>
          <w:szCs w:val="24"/>
          <w:lang w:val="en-GB"/>
        </w:rPr>
        <w:fldChar w:fldCharType="end"/>
      </w:r>
      <w:r w:rsidRPr="009E0B85">
        <w:rPr>
          <w:szCs w:val="24"/>
          <w:lang w:val="sv-SE"/>
        </w:rPr>
        <w:t>.  Ovannämnda faktorer bör dock inte förringa vikten av att, för Konventionssystemets effektivitet, säkerställa att det finns nationella procedurer på plats som tillåter att ett mål omprövas mot b</w:t>
      </w:r>
      <w:r w:rsidR="00496AA3">
        <w:rPr>
          <w:szCs w:val="24"/>
          <w:lang w:val="sv-SE"/>
        </w:rPr>
        <w:t xml:space="preserve">akgrund av att en </w:t>
      </w:r>
      <w:r w:rsidRPr="009E0B85">
        <w:rPr>
          <w:szCs w:val="24"/>
          <w:lang w:val="sv-SE"/>
        </w:rPr>
        <w:t>kränkning av garantierna för rättvis rättegång i artikel 6</w:t>
      </w:r>
      <w:r w:rsidR="00496AA3">
        <w:rPr>
          <w:szCs w:val="24"/>
          <w:lang w:val="sv-SE"/>
        </w:rPr>
        <w:t xml:space="preserve"> har konstaterats</w:t>
      </w:r>
      <w:r w:rsidRPr="009E0B85">
        <w:rPr>
          <w:szCs w:val="24"/>
          <w:lang w:val="sv-SE"/>
        </w:rPr>
        <w:t>.</w:t>
      </w:r>
      <w:r w:rsidRPr="00781D24">
        <w:rPr>
          <w:szCs w:val="24"/>
          <w:lang w:val="sv-SE"/>
        </w:rPr>
        <w:t xml:space="preserve"> </w:t>
      </w:r>
      <w:r w:rsidRPr="009E0B85">
        <w:rPr>
          <w:szCs w:val="24"/>
          <w:lang w:val="sv-SE"/>
        </w:rPr>
        <w:t>Tvärtom måste sådana procedurer anses vara en vi</w:t>
      </w:r>
      <w:r w:rsidR="00496AA3">
        <w:rPr>
          <w:szCs w:val="24"/>
          <w:lang w:val="sv-SE"/>
        </w:rPr>
        <w:t>ktig aspekt för verkställandet</w:t>
      </w:r>
      <w:r w:rsidRPr="009E0B85">
        <w:rPr>
          <w:szCs w:val="24"/>
          <w:lang w:val="sv-SE"/>
        </w:rPr>
        <w:t xml:space="preserve"> av Domstolens domar som regleras i artikel 46 i Konventionen och deras förekomst visar att en fördragsstat är bunden av Konventionen och Domstolens rättspraxis (jfr </w:t>
      </w:r>
      <w:r w:rsidRPr="009E0B85">
        <w:rPr>
          <w:i/>
          <w:szCs w:val="24"/>
          <w:lang w:val="sv-SE"/>
        </w:rPr>
        <w:t>Lyons and Others</w:t>
      </w:r>
      <w:r w:rsidRPr="009E0B85">
        <w:rPr>
          <w:szCs w:val="24"/>
          <w:lang w:val="sv-SE"/>
        </w:rPr>
        <w:t>, citerat ovan).</w:t>
      </w:r>
      <w:r w:rsidRPr="00781D24">
        <w:rPr>
          <w:szCs w:val="24"/>
          <w:lang w:val="sv-SE"/>
        </w:rPr>
        <w:t xml:space="preserve"> </w:t>
      </w:r>
      <w:r w:rsidR="00B1727B">
        <w:rPr>
          <w:szCs w:val="24"/>
          <w:lang w:val="sv-SE"/>
        </w:rPr>
        <w:t>Domstolen påminner</w:t>
      </w:r>
      <w:r w:rsidRPr="009E0B85">
        <w:rPr>
          <w:szCs w:val="24"/>
          <w:lang w:val="sv-SE"/>
        </w:rPr>
        <w:t xml:space="preserve"> i detta sammanhang</w:t>
      </w:r>
      <w:r w:rsidR="00B1727B">
        <w:rPr>
          <w:szCs w:val="24"/>
          <w:lang w:val="sv-SE"/>
        </w:rPr>
        <w:t xml:space="preserve"> om</w:t>
      </w:r>
      <w:r w:rsidRPr="009E0B85">
        <w:rPr>
          <w:szCs w:val="24"/>
          <w:lang w:val="sv-SE"/>
        </w:rPr>
        <w:t xml:space="preserve"> rekommendation nr R (2000) 2 antagen av ministerkommittén, där Konventionens medlemsstater uppmanas att garantera att det finns adekvata möjligheter att återuppta förhandlingar på nationell nivå när Domstolen har fastställt en Konventionskränkning (se punkt 28 ovan).</w:t>
      </w:r>
      <w:r w:rsidRPr="00781D24">
        <w:rPr>
          <w:szCs w:val="24"/>
          <w:lang w:val="sv-SE"/>
        </w:rPr>
        <w:t xml:space="preserve"> </w:t>
      </w:r>
      <w:r w:rsidRPr="009E0B85">
        <w:rPr>
          <w:rFonts w:eastAsia="Times New Roman"/>
          <w:szCs w:val="24"/>
          <w:lang w:val="sv-SE"/>
        </w:rPr>
        <w:t>Det bekräftar Domstolens inställnin</w:t>
      </w:r>
      <w:r w:rsidR="00496AA3">
        <w:rPr>
          <w:rFonts w:eastAsia="Times New Roman"/>
          <w:szCs w:val="24"/>
          <w:lang w:val="sv-SE"/>
        </w:rPr>
        <w:t>g att sådana åtgärder kan vara ”</w:t>
      </w:r>
      <w:r w:rsidRPr="009E0B85">
        <w:rPr>
          <w:rFonts w:eastAsia="Times New Roman"/>
          <w:szCs w:val="24"/>
          <w:lang w:val="sv-SE"/>
        </w:rPr>
        <w:t xml:space="preserve">det effektivaste om inte det enda, sättet att nå </w:t>
      </w:r>
      <w:r w:rsidRPr="009E0B85">
        <w:rPr>
          <w:rFonts w:eastAsia="Times New Roman"/>
          <w:i/>
          <w:szCs w:val="24"/>
          <w:lang w:val="sv-SE"/>
        </w:rPr>
        <w:t>restitutio in integrum</w:t>
      </w:r>
      <w:r w:rsidRPr="009E0B85">
        <w:rPr>
          <w:rFonts w:eastAsia="Times New Roman"/>
          <w:szCs w:val="24"/>
          <w:lang w:val="sv-SE"/>
        </w:rPr>
        <w:t xml:space="preserve">” (jfr </w:t>
      </w:r>
      <w:r w:rsidRPr="009E0B85">
        <w:rPr>
          <w:rFonts w:eastAsia="Times New Roman"/>
          <w:i/>
          <w:szCs w:val="24"/>
          <w:lang w:val="sv-SE"/>
        </w:rPr>
        <w:t>Verein gegen Tierfabriken Schweiz (VgT) (no. 2)</w:t>
      </w:r>
      <w:r w:rsidRPr="009E0B85">
        <w:rPr>
          <w:rFonts w:eastAsia="Times New Roman"/>
          <w:szCs w:val="24"/>
          <w:lang w:val="sv-SE"/>
        </w:rPr>
        <w:t>, citerat i punkt 33 ovan, § 33 och § 89; och</w:t>
      </w:r>
      <w:r w:rsidRPr="009E0B85">
        <w:rPr>
          <w:rFonts w:eastAsia="Times New Roman"/>
          <w:i/>
          <w:szCs w:val="24"/>
          <w:lang w:val="sv-SE"/>
        </w:rPr>
        <w:t xml:space="preserve"> Steck-Risch and Others</w:t>
      </w:r>
      <w:r w:rsidRPr="009E0B85">
        <w:rPr>
          <w:rFonts w:eastAsia="Times New Roman"/>
          <w:szCs w:val="24"/>
          <w:lang w:val="sv-SE"/>
        </w:rPr>
        <w:t>, citerat ovan).</w:t>
      </w:r>
    </w:p>
    <w:p w:rsidRPr="00781D24" w:rsidR="00D419F1" w:rsidP="00D419F1">
      <w:pPr>
        <w:pStyle w:val="ECHRHeading2"/>
        <w:rPr>
          <w:rFonts w:eastAsia="Times New Roman" w:cstheme="minorBidi"/>
          <w:bCs w:val="0"/>
          <w:szCs w:val="24"/>
          <w:lang w:val="sv-SE"/>
        </w:rPr>
      </w:pPr>
      <w:r w:rsidRPr="00075025">
        <w:rPr>
          <w:rFonts w:eastAsia="Times New Roman" w:cstheme="minorBidi"/>
          <w:bCs w:val="0"/>
          <w:szCs w:val="24"/>
          <w:lang w:val="sv-SE"/>
        </w:rPr>
        <w:t>C.  Huruvida sökandens nya klagomål enligt artikel 6 § 1 i</w:t>
      </w:r>
      <w:r w:rsidRPr="009E0B85">
        <w:rPr>
          <w:rFonts w:eastAsia="Times New Roman" w:cstheme="minorBidi"/>
          <w:bCs w:val="0"/>
          <w:szCs w:val="24"/>
          <w:lang w:val="sv-SE"/>
        </w:rPr>
        <w:t xml:space="preserve"> Konventionen uppfyller övriga tillåtlighetskrav</w:t>
      </w:r>
    </w:p>
    <w:p w:rsidRPr="00781D24" w:rsidR="00D419F1" w:rsidP="00D419F1">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59</w:t>
      </w:r>
      <w:r w:rsidRPr="009E0B85">
        <w:rPr>
          <w:szCs w:val="24"/>
          <w:lang w:val="en-GB"/>
        </w:rPr>
        <w:fldChar w:fldCharType="end"/>
      </w:r>
      <w:r w:rsidRPr="009E0B85">
        <w:rPr>
          <w:szCs w:val="24"/>
          <w:lang w:val="sv-SE"/>
        </w:rPr>
        <w:t>.  Domstolen konstaterar vidare att sökandens klagomål</w:t>
      </w:r>
      <w:r w:rsidR="00B1727B">
        <w:rPr>
          <w:szCs w:val="24"/>
          <w:lang w:val="sv-SE"/>
        </w:rPr>
        <w:t xml:space="preserve"> om orättvisa i det förfarande</w:t>
      </w:r>
      <w:r w:rsidRPr="009E0B85">
        <w:rPr>
          <w:szCs w:val="24"/>
          <w:lang w:val="sv-SE"/>
        </w:rPr>
        <w:t xml:space="preserve"> som kulminerade i Högsta domstolens beslut den 14 mars 2008 inte är uppenbart ogrundat enligt innebörden i artikel 35 § 3 (a) i Konventionen och att det inte är otillåtligt av andra skäl.</w:t>
      </w:r>
      <w:r w:rsidRPr="00781D24">
        <w:rPr>
          <w:szCs w:val="24"/>
          <w:lang w:val="sv-SE"/>
        </w:rPr>
        <w:t xml:space="preserve"> </w:t>
      </w:r>
      <w:r w:rsidRPr="009E0B85">
        <w:rPr>
          <w:rFonts w:eastAsia="Times New Roman"/>
          <w:szCs w:val="24"/>
          <w:lang w:val="sv-SE"/>
        </w:rPr>
        <w:t>Det måste därför förklaras tillåtligt.</w:t>
      </w:r>
    </w:p>
    <w:p w:rsidRPr="00781D24" w:rsidR="00573468" w:rsidP="00573468">
      <w:pPr>
        <w:pStyle w:val="ECHRHeading2"/>
        <w:rPr>
          <w:rFonts w:eastAsia="Times New Roman" w:cstheme="minorBidi"/>
          <w:bCs w:val="0"/>
          <w:szCs w:val="24"/>
          <w:lang w:val="sv-SE"/>
        </w:rPr>
      </w:pPr>
      <w:r w:rsidRPr="009E0B85">
        <w:rPr>
          <w:rFonts w:eastAsia="Times New Roman" w:cstheme="minorBidi"/>
          <w:bCs w:val="0"/>
          <w:szCs w:val="24"/>
          <w:lang w:val="sv-SE"/>
        </w:rPr>
        <w:t>D.  Sökandens nya klagomål enligt artikel 6 § 1 i Konventionen</w:t>
      </w:r>
    </w:p>
    <w:p w:rsidRPr="00781D24" w:rsidR="004072FD" w:rsidP="004072FD">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60</w:t>
      </w:r>
      <w:r w:rsidRPr="009E0B85">
        <w:rPr>
          <w:rFonts w:eastAsia="Times New Roman"/>
          <w:szCs w:val="24"/>
          <w:lang w:val="en-GB"/>
        </w:rPr>
        <w:fldChar w:fldCharType="end"/>
      </w:r>
      <w:r w:rsidRPr="009E0B85">
        <w:rPr>
          <w:rFonts w:eastAsia="Times New Roman"/>
          <w:szCs w:val="24"/>
          <w:lang w:val="sv-SE"/>
        </w:rPr>
        <w:t xml:space="preserve">  Vad gäller frågan huruvida kraven i artikel 6 § 1 är uppfyllda i det </w:t>
      </w:r>
      <w:r w:rsidR="00B1727B">
        <w:rPr>
          <w:rFonts w:eastAsia="Times New Roman"/>
          <w:szCs w:val="24"/>
          <w:lang w:val="sv-SE"/>
        </w:rPr>
        <w:t xml:space="preserve">nu </w:t>
      </w:r>
      <w:r w:rsidRPr="009E0B85">
        <w:rPr>
          <w:rFonts w:eastAsia="Times New Roman"/>
          <w:szCs w:val="24"/>
          <w:lang w:val="sv-SE"/>
        </w:rPr>
        <w:t>aktuella målet finner Domstolen att sökandens klagomål beträffande orättvisa var riktat specifikt mot Högsta domstolens motivering i sitt beslut den 14 mars 2008.</w:t>
      </w:r>
    </w:p>
    <w:p w:rsidRPr="00781D24" w:rsidR="00115F0B" w:rsidP="00115F0B">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61</w:t>
      </w:r>
      <w:r w:rsidRPr="009E0B85">
        <w:rPr>
          <w:szCs w:val="24"/>
          <w:lang w:val="en-GB"/>
        </w:rPr>
        <w:fldChar w:fldCharType="end"/>
      </w:r>
      <w:r w:rsidRPr="009E0B85">
        <w:rPr>
          <w:szCs w:val="24"/>
          <w:lang w:val="sv-SE"/>
        </w:rPr>
        <w:t xml:space="preserve">.  Domstolen upprepar att enligt dess mångåriga och etablerade rättspraxis ska den inte behandla påstådda rättsliga fel eller faktafel begångna av nationella domstolar om inte dessa har kränkt rättigheter och friheter som skyddas av Konventionen (jfr, till exempel, </w:t>
      </w:r>
      <w:r w:rsidRPr="009E0B85">
        <w:rPr>
          <w:i/>
          <w:szCs w:val="24"/>
          <w:lang w:val="sv-SE"/>
        </w:rPr>
        <w:t>García Ruiz v. Spain</w:t>
      </w:r>
      <w:r w:rsidRPr="009E0B85">
        <w:rPr>
          <w:szCs w:val="24"/>
          <w:lang w:val="sv-SE"/>
        </w:rPr>
        <w:t xml:space="preserve"> [GC], nr 30544/96, § 28, ECHR 1999</w:t>
      </w:r>
      <w:r w:rsidRPr="009E0B85">
        <w:rPr>
          <w:szCs w:val="24"/>
          <w:lang w:val="sv-SE"/>
        </w:rPr>
        <w:noBreakHyphen/>
        <w:t xml:space="preserve">I; och </w:t>
      </w:r>
      <w:r w:rsidRPr="009E0B85">
        <w:rPr>
          <w:i/>
          <w:szCs w:val="24"/>
          <w:lang w:val="sv-SE"/>
        </w:rPr>
        <w:t xml:space="preserve">Perez v. France </w:t>
      </w:r>
      <w:r w:rsidRPr="009E0B85">
        <w:rPr>
          <w:szCs w:val="24"/>
          <w:lang w:val="sv-SE"/>
        </w:rPr>
        <w:t>[GC], nr 47287/99, § 82, ECHR 2004</w:t>
      </w:r>
      <w:r w:rsidRPr="009E0B85">
        <w:rPr>
          <w:szCs w:val="24"/>
          <w:lang w:val="sv-SE"/>
        </w:rPr>
        <w:noBreakHyphen/>
        <w:t xml:space="preserve">I), till exempel när det kan sägas att de utgör </w:t>
      </w:r>
      <w:r w:rsidRPr="009E0B85">
        <w:rPr>
          <w:szCs w:val="24"/>
          <w:lang w:val="sv-SE"/>
        </w:rPr>
        <w:t>”orättvisa” som är oförenlig med artikel 6 i Konventionen.</w:t>
      </w:r>
      <w:r w:rsidRPr="00781D24">
        <w:rPr>
          <w:szCs w:val="24"/>
          <w:lang w:val="sv-SE"/>
        </w:rPr>
        <w:t xml:space="preserve"> </w:t>
      </w:r>
      <w:r w:rsidRPr="009E0B85">
        <w:rPr>
          <w:szCs w:val="24"/>
          <w:lang w:val="sv-SE"/>
        </w:rPr>
        <w:t>Även om denna bestämmelse garanterar rätten till rättvis rättegång fastställer den inga regler beträffande bevismaterialets tillåtlighet eller hur bevisningen ska bedömas, detta är främst frågor som regleras i nationell lag och nationella domstolar.</w:t>
      </w:r>
      <w:r w:rsidRPr="00781D24">
        <w:rPr>
          <w:szCs w:val="24"/>
          <w:lang w:val="sv-SE"/>
        </w:rPr>
        <w:t xml:space="preserve"> </w:t>
      </w:r>
      <w:r w:rsidRPr="009E0B85">
        <w:rPr>
          <w:szCs w:val="24"/>
          <w:lang w:val="sv-SE"/>
        </w:rPr>
        <w:t>Normalt är frågor som vilk</w:t>
      </w:r>
      <w:r w:rsidR="00B1727B">
        <w:rPr>
          <w:szCs w:val="24"/>
          <w:lang w:val="sv-SE"/>
        </w:rPr>
        <w:t>en vikt nationella domstolar fäster</w:t>
      </w:r>
      <w:r w:rsidRPr="009E0B85">
        <w:rPr>
          <w:szCs w:val="24"/>
          <w:lang w:val="sv-SE"/>
        </w:rPr>
        <w:t xml:space="preserve"> vid ett visst bevismaterial eller </w:t>
      </w:r>
      <w:r w:rsidR="00EA2CE3">
        <w:rPr>
          <w:szCs w:val="24"/>
          <w:lang w:val="sv-SE"/>
        </w:rPr>
        <w:t xml:space="preserve">vid </w:t>
      </w:r>
      <w:r w:rsidR="00075025">
        <w:rPr>
          <w:szCs w:val="24"/>
          <w:lang w:val="sv-SE"/>
        </w:rPr>
        <w:t xml:space="preserve">vissa </w:t>
      </w:r>
      <w:r w:rsidRPr="00EA2CE3" w:rsidR="00EA2CE3">
        <w:rPr>
          <w:szCs w:val="24"/>
          <w:lang w:val="sv-SE"/>
        </w:rPr>
        <w:t xml:space="preserve">konstateranden eller vid bedömningar de ska göra </w:t>
      </w:r>
      <w:r w:rsidRPr="00EA2CE3">
        <w:rPr>
          <w:szCs w:val="24"/>
          <w:lang w:val="sv-SE"/>
        </w:rPr>
        <w:t>inte föremå</w:t>
      </w:r>
      <w:r w:rsidRPr="009E0B85">
        <w:rPr>
          <w:szCs w:val="24"/>
          <w:lang w:val="sv-SE"/>
        </w:rPr>
        <w:t>l för Domstolens prövning.</w:t>
      </w:r>
      <w:r w:rsidRPr="00781D24">
        <w:rPr>
          <w:szCs w:val="24"/>
          <w:lang w:val="sv-SE"/>
        </w:rPr>
        <w:t xml:space="preserve"> </w:t>
      </w:r>
      <w:r w:rsidRPr="009E0B85">
        <w:rPr>
          <w:szCs w:val="24"/>
          <w:lang w:val="sv-SE"/>
        </w:rPr>
        <w:t>Domstolen ska inte</w:t>
      </w:r>
      <w:r w:rsidR="00075025">
        <w:rPr>
          <w:szCs w:val="24"/>
          <w:lang w:val="sv-SE"/>
        </w:rPr>
        <w:t xml:space="preserve"> agera </w:t>
      </w:r>
      <w:r w:rsidRPr="009E0B85">
        <w:rPr>
          <w:szCs w:val="24"/>
          <w:lang w:val="sv-SE"/>
        </w:rPr>
        <w:t xml:space="preserve">fjärde instans och kommer därför inte att ifrågasätta domar i nationella domstolar enligt artikel 6 § 1 om inte deras domskäl kan anses vara godtyckliga eller uppenbart oskäliga (jfr, till exempel, </w:t>
      </w:r>
      <w:r w:rsidRPr="009E0B85">
        <w:rPr>
          <w:i/>
          <w:szCs w:val="24"/>
          <w:lang w:val="sv-SE"/>
        </w:rPr>
        <w:t>Dulaurans v. France</w:t>
      </w:r>
      <w:r w:rsidRPr="009E0B85">
        <w:rPr>
          <w:szCs w:val="24"/>
          <w:lang w:val="sv-SE"/>
        </w:rPr>
        <w:t xml:space="preserve">, nr 34553/97, §§ 33-34 och 38, 21 mars 2000; </w:t>
      </w:r>
      <w:r w:rsidRPr="009E0B85">
        <w:rPr>
          <w:i/>
          <w:szCs w:val="24"/>
          <w:lang w:val="sv-SE"/>
        </w:rPr>
        <w:t>Khamidov v. Russia</w:t>
      </w:r>
      <w:r w:rsidRPr="009E0B85">
        <w:rPr>
          <w:szCs w:val="24"/>
          <w:lang w:val="sv-SE"/>
        </w:rPr>
        <w:t xml:space="preserve">, nr 72118/01, § 170, 15 november 2007; och </w:t>
      </w:r>
      <w:r w:rsidRPr="009E0B85">
        <w:rPr>
          <w:i/>
          <w:szCs w:val="24"/>
          <w:lang w:val="sv-SE"/>
        </w:rPr>
        <w:t>Anđelković v. Serbia</w:t>
      </w:r>
      <w:r w:rsidRPr="009E0B85">
        <w:rPr>
          <w:szCs w:val="24"/>
          <w:lang w:val="sv-SE"/>
        </w:rPr>
        <w:t>, nr 1401/08, § 24, 9 april 2013).</w:t>
      </w:r>
    </w:p>
    <w:p w:rsidRPr="00781D24" w:rsidR="007C1AAB" w:rsidP="007C1AAB">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62</w:t>
      </w:r>
      <w:r w:rsidRPr="009E0B85">
        <w:rPr>
          <w:szCs w:val="24"/>
          <w:lang w:val="en-GB"/>
        </w:rPr>
        <w:fldChar w:fldCharType="end"/>
      </w:r>
      <w:r w:rsidRPr="009E0B85">
        <w:rPr>
          <w:szCs w:val="24"/>
          <w:lang w:val="sv-SE"/>
        </w:rPr>
        <w:t xml:space="preserve">.  I </w:t>
      </w:r>
      <w:r w:rsidRPr="009E0B85">
        <w:rPr>
          <w:i/>
          <w:szCs w:val="24"/>
          <w:lang w:val="sv-SE"/>
        </w:rPr>
        <w:t xml:space="preserve">Dulaurans </w:t>
      </w:r>
      <w:r w:rsidRPr="009E0B85">
        <w:rPr>
          <w:szCs w:val="24"/>
          <w:lang w:val="sv-SE"/>
        </w:rPr>
        <w:t>fastställde Domstolen följaktligen en kränkning av rätten till rättvis rättegång eftersom det enda skälet till att den franska kassationsdomstolen fattade sitt omtvistade beslut att avvisa sökanden</w:t>
      </w:r>
      <w:r w:rsidR="00B1727B">
        <w:rPr>
          <w:szCs w:val="24"/>
          <w:lang w:val="sv-SE"/>
        </w:rPr>
        <w:t>s</w:t>
      </w:r>
      <w:r w:rsidRPr="009E0B85">
        <w:rPr>
          <w:szCs w:val="24"/>
          <w:lang w:val="sv-SE"/>
        </w:rPr>
        <w:t xml:space="preserve"> kassationsbesvär s</w:t>
      </w:r>
      <w:r w:rsidR="00075025">
        <w:rPr>
          <w:szCs w:val="24"/>
          <w:lang w:val="sv-SE"/>
        </w:rPr>
        <w:t>om otillåtligt var resultat av ”</w:t>
      </w:r>
      <w:r w:rsidRPr="009E0B85">
        <w:rPr>
          <w:i/>
          <w:szCs w:val="24"/>
          <w:lang w:val="sv-SE"/>
        </w:rPr>
        <w:t>une erreur manifeste d’appréciation</w:t>
      </w:r>
      <w:r w:rsidR="00075025">
        <w:rPr>
          <w:szCs w:val="24"/>
          <w:lang w:val="sv-SE"/>
        </w:rPr>
        <w:t>” (”</w:t>
      </w:r>
      <w:r w:rsidRPr="009E0B85">
        <w:rPr>
          <w:szCs w:val="24"/>
          <w:lang w:val="sv-SE"/>
        </w:rPr>
        <w:t xml:space="preserve">en uppenbart felaktig bedömning ”) (jfr </w:t>
      </w:r>
      <w:r w:rsidRPr="009E0B85">
        <w:rPr>
          <w:i/>
          <w:szCs w:val="24"/>
          <w:lang w:val="sv-SE"/>
        </w:rPr>
        <w:t>Dulaurans</w:t>
      </w:r>
      <w:r w:rsidRPr="009E0B85">
        <w:rPr>
          <w:szCs w:val="24"/>
          <w:lang w:val="sv-SE"/>
        </w:rPr>
        <w:t>, citerat ovan).</w:t>
      </w:r>
      <w:r w:rsidRPr="00781D24">
        <w:rPr>
          <w:szCs w:val="24"/>
          <w:lang w:val="sv-SE"/>
        </w:rPr>
        <w:t xml:space="preserve"> </w:t>
      </w:r>
      <w:r w:rsidRPr="009E0B85">
        <w:rPr>
          <w:szCs w:val="24"/>
          <w:lang w:val="sv-SE"/>
        </w:rPr>
        <w:t>Tankarna bakom den här tolkningen av ”</w:t>
      </w:r>
      <w:r w:rsidRPr="009E0B85">
        <w:rPr>
          <w:i/>
          <w:szCs w:val="24"/>
          <w:lang w:val="sv-SE"/>
        </w:rPr>
        <w:t>erreur manifeste d’appréciation</w:t>
      </w:r>
      <w:r w:rsidRPr="009E0B85">
        <w:rPr>
          <w:szCs w:val="24"/>
          <w:lang w:val="sv-SE"/>
        </w:rPr>
        <w:t>” (ett koncept i fransk förvaltningslag) när det används i samband m</w:t>
      </w:r>
      <w:r w:rsidR="00B1727B">
        <w:rPr>
          <w:szCs w:val="24"/>
          <w:lang w:val="sv-SE"/>
        </w:rPr>
        <w:t>ed artikel 6 § 1 i Konventionen</w:t>
      </w:r>
      <w:r w:rsidRPr="009E0B85">
        <w:rPr>
          <w:szCs w:val="24"/>
          <w:lang w:val="sv-SE"/>
        </w:rPr>
        <w:t xml:space="preserve"> är tveklöst att om det rättsliga felet eller faktafelet i nationell domstol är så uppenbart att det kan karaktäriseras som ett ”uppenbart fel” – det vill säga ett fel som ingen förnuftig domstol någ</w:t>
      </w:r>
      <w:r w:rsidR="000C412F">
        <w:rPr>
          <w:szCs w:val="24"/>
          <w:lang w:val="sv-SE"/>
        </w:rPr>
        <w:t xml:space="preserve">onsin skulle göra, kan det </w:t>
      </w:r>
      <w:r w:rsidRPr="00EA2CE3" w:rsidR="00B1727B">
        <w:rPr>
          <w:szCs w:val="24"/>
          <w:lang w:val="sv-SE"/>
        </w:rPr>
        <w:t>rubba</w:t>
      </w:r>
      <w:r w:rsidR="00EA2CE3">
        <w:rPr>
          <w:szCs w:val="24"/>
          <w:lang w:val="sv-SE"/>
        </w:rPr>
        <w:t xml:space="preserve"> rättvisan i rättegången</w:t>
      </w:r>
      <w:r w:rsidRPr="009E0B85">
        <w:rPr>
          <w:szCs w:val="24"/>
          <w:lang w:val="sv-SE"/>
        </w:rPr>
        <w:t>.</w:t>
      </w:r>
      <w:r w:rsidRPr="00781D24">
        <w:rPr>
          <w:szCs w:val="24"/>
          <w:lang w:val="sv-SE"/>
        </w:rPr>
        <w:t xml:space="preserve"> </w:t>
      </w:r>
      <w:r w:rsidRPr="009E0B85">
        <w:rPr>
          <w:szCs w:val="24"/>
          <w:lang w:val="sv-SE"/>
        </w:rPr>
        <w:t xml:space="preserve">I </w:t>
      </w:r>
      <w:r w:rsidRPr="009E0B85">
        <w:rPr>
          <w:i/>
          <w:szCs w:val="24"/>
          <w:lang w:val="sv-SE"/>
        </w:rPr>
        <w:t>Khamidov</w:t>
      </w:r>
      <w:r w:rsidRPr="009E0B85">
        <w:rPr>
          <w:szCs w:val="24"/>
          <w:lang w:val="sv-SE"/>
        </w:rPr>
        <w:t xml:space="preserve"> var de nationella domstolarnas sl</w:t>
      </w:r>
      <w:r w:rsidR="000C412F">
        <w:rPr>
          <w:szCs w:val="24"/>
          <w:lang w:val="sv-SE"/>
        </w:rPr>
        <w:t>utsatser med avseende på fakta ”så slående och uppenbart</w:t>
      </w:r>
      <w:r w:rsidRPr="009E0B85">
        <w:rPr>
          <w:szCs w:val="24"/>
          <w:lang w:val="sv-SE"/>
        </w:rPr>
        <w:t>” orimliga att Domstolen ansåg att den rättegång som klagom</w:t>
      </w:r>
      <w:r w:rsidR="000C412F">
        <w:rPr>
          <w:szCs w:val="24"/>
          <w:lang w:val="sv-SE"/>
        </w:rPr>
        <w:t>ålet avsåg måste betraktas som ”</w:t>
      </w:r>
      <w:r w:rsidRPr="009E0B85">
        <w:rPr>
          <w:szCs w:val="24"/>
          <w:lang w:val="sv-SE"/>
        </w:rPr>
        <w:t xml:space="preserve">ytterst godtycklig” (jfr </w:t>
      </w:r>
      <w:r w:rsidRPr="009E0B85">
        <w:rPr>
          <w:i/>
          <w:szCs w:val="24"/>
          <w:lang w:val="sv-SE"/>
        </w:rPr>
        <w:t>Khamidov</w:t>
      </w:r>
      <w:r w:rsidRPr="009E0B85">
        <w:rPr>
          <w:szCs w:val="24"/>
          <w:lang w:val="sv-SE"/>
        </w:rPr>
        <w:t>, citerat ovan, § 174).</w:t>
      </w:r>
      <w:r w:rsidRPr="00781D24">
        <w:rPr>
          <w:szCs w:val="24"/>
          <w:lang w:val="sv-SE"/>
        </w:rPr>
        <w:t xml:space="preserve"> </w:t>
      </w:r>
      <w:r w:rsidRPr="009E0B85">
        <w:rPr>
          <w:szCs w:val="24"/>
          <w:lang w:val="sv-SE"/>
        </w:rPr>
        <w:t xml:space="preserve">I </w:t>
      </w:r>
      <w:r w:rsidRPr="009E0B85">
        <w:rPr>
          <w:i/>
          <w:szCs w:val="24"/>
          <w:lang w:val="sv-SE"/>
        </w:rPr>
        <w:t>Anđelković</w:t>
      </w:r>
      <w:r w:rsidRPr="009E0B85">
        <w:rPr>
          <w:szCs w:val="24"/>
          <w:lang w:val="sv-SE"/>
        </w:rPr>
        <w:t xml:space="preserve">, fann Domstolen att godtycket i den nationella domstolens beslut, vilket i princip saknade rättslig grund i nationell lag och inte innehöll något samband mellan fastställda fakta, tillämplig lag och resultatet av förfarandet, var liktydigt med rättsvägran (jfr </w:t>
      </w:r>
      <w:r w:rsidRPr="009E0B85">
        <w:rPr>
          <w:i/>
          <w:szCs w:val="24"/>
          <w:lang w:val="sv-SE"/>
        </w:rPr>
        <w:t>Anđelković</w:t>
      </w:r>
      <w:r w:rsidRPr="009E0B85">
        <w:rPr>
          <w:szCs w:val="24"/>
          <w:lang w:val="sv-SE"/>
        </w:rPr>
        <w:t>, citerat ovan, § 27).</w:t>
      </w:r>
    </w:p>
    <w:p w:rsidRPr="00781D24" w:rsidR="007C1AAB" w:rsidP="007C1AAB">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63</w:t>
      </w:r>
      <w:r w:rsidRPr="009E0B85">
        <w:rPr>
          <w:rFonts w:eastAsia="Times New Roman"/>
          <w:szCs w:val="24"/>
          <w:lang w:val="en-GB"/>
        </w:rPr>
        <w:fldChar w:fldCharType="end"/>
      </w:r>
      <w:r w:rsidR="00E93EC3">
        <w:rPr>
          <w:rFonts w:eastAsia="Times New Roman"/>
          <w:szCs w:val="24"/>
          <w:lang w:val="sv-SE"/>
        </w:rPr>
        <w:t xml:space="preserve">.  I </w:t>
      </w:r>
      <w:r w:rsidRPr="009E0B85">
        <w:rPr>
          <w:rFonts w:eastAsia="Times New Roman"/>
          <w:szCs w:val="24"/>
          <w:lang w:val="sv-SE"/>
        </w:rPr>
        <w:t xml:space="preserve">det </w:t>
      </w:r>
      <w:r w:rsidR="00E93EC3">
        <w:rPr>
          <w:rFonts w:eastAsia="Times New Roman"/>
          <w:szCs w:val="24"/>
          <w:lang w:val="sv-SE"/>
        </w:rPr>
        <w:t xml:space="preserve">nu </w:t>
      </w:r>
      <w:r w:rsidRPr="009E0B85">
        <w:rPr>
          <w:rFonts w:eastAsia="Times New Roman"/>
          <w:szCs w:val="24"/>
          <w:lang w:val="sv-SE"/>
        </w:rPr>
        <w:t>aktuell</w:t>
      </w:r>
      <w:r w:rsidR="00E93EC3">
        <w:rPr>
          <w:rFonts w:eastAsia="Times New Roman"/>
          <w:szCs w:val="24"/>
          <w:lang w:val="sv-SE"/>
        </w:rPr>
        <w:t>a</w:t>
      </w:r>
      <w:r w:rsidRPr="009E0B85">
        <w:rPr>
          <w:rFonts w:eastAsia="Times New Roman"/>
          <w:szCs w:val="24"/>
          <w:lang w:val="sv-SE"/>
        </w:rPr>
        <w:t xml:space="preserve"> målet noterar Domstolen att Högsta domstolen i sitt beslut den 14 mars 2008 framställde Domstolens domskäl i domen den 3 maj 2007 </w:t>
      </w:r>
      <w:r w:rsidR="00B1727B">
        <w:rPr>
          <w:rFonts w:eastAsia="Times New Roman"/>
          <w:szCs w:val="24"/>
          <w:lang w:val="sv-SE"/>
        </w:rPr>
        <w:t xml:space="preserve">på ett </w:t>
      </w:r>
      <w:r w:rsidRPr="009E0B85">
        <w:rPr>
          <w:rFonts w:eastAsia="Times New Roman"/>
          <w:szCs w:val="24"/>
          <w:lang w:val="sv-SE"/>
        </w:rPr>
        <w:t>grovt felaktigt</w:t>
      </w:r>
      <w:r w:rsidR="00B1727B">
        <w:rPr>
          <w:rFonts w:eastAsia="Times New Roman"/>
          <w:szCs w:val="24"/>
          <w:lang w:val="sv-SE"/>
        </w:rPr>
        <w:t xml:space="preserve"> sätt</w:t>
      </w:r>
      <w:r w:rsidRPr="009E0B85">
        <w:rPr>
          <w:rFonts w:eastAsia="Times New Roman"/>
          <w:szCs w:val="24"/>
          <w:lang w:val="sv-SE"/>
        </w:rPr>
        <w:t>. Högsta domsto</w:t>
      </w:r>
      <w:r w:rsidR="00B1727B">
        <w:rPr>
          <w:rFonts w:eastAsia="Times New Roman"/>
          <w:szCs w:val="24"/>
          <w:lang w:val="sv-SE"/>
        </w:rPr>
        <w:t>len uppgav framförallt</w:t>
      </w:r>
      <w:r w:rsidRPr="009E0B85">
        <w:rPr>
          <w:rFonts w:eastAsia="Times New Roman"/>
          <w:szCs w:val="24"/>
          <w:lang w:val="sv-SE"/>
        </w:rPr>
        <w:t xml:space="preserve"> att denna Domstol hade funnit att de nationella domstolarnas beslut i hennes mål hade varit lagenligt och välgrundat och att hon hade tillerkänts skälig gottgörelse för kränkn</w:t>
      </w:r>
      <w:r w:rsidR="00E93EC3">
        <w:rPr>
          <w:rFonts w:eastAsia="Times New Roman"/>
          <w:szCs w:val="24"/>
          <w:lang w:val="sv-SE"/>
        </w:rPr>
        <w:t>ingen av ”rimlig-tid”</w:t>
      </w:r>
      <w:r w:rsidRPr="009E0B85">
        <w:rPr>
          <w:rFonts w:eastAsia="Times New Roman"/>
          <w:szCs w:val="24"/>
          <w:lang w:val="sv-SE"/>
        </w:rPr>
        <w:t>-garantin, påståenden som är uppenbart felaktiga (se punkt 13-18 och 21 ovan).</w:t>
      </w:r>
    </w:p>
    <w:p w:rsidR="00E93EC3" w:rsidP="00461A42">
      <w:pPr>
        <w:pStyle w:val="ECHRPara"/>
        <w:rPr>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64</w:t>
      </w:r>
      <w:r w:rsidRPr="009E0B85">
        <w:rPr>
          <w:szCs w:val="24"/>
          <w:lang w:val="en-GB"/>
        </w:rPr>
        <w:fldChar w:fldCharType="end"/>
      </w:r>
      <w:r w:rsidRPr="009E0B85">
        <w:rPr>
          <w:szCs w:val="24"/>
          <w:lang w:val="sv-SE"/>
        </w:rPr>
        <w:t>.  Domstolen konstaterar att Högsta domstolens resonemang inte enbart är en skiljaktig tolkning av en juridisk text.</w:t>
      </w:r>
      <w:r w:rsidRPr="00781D24">
        <w:rPr>
          <w:szCs w:val="24"/>
          <w:lang w:val="sv-SE"/>
        </w:rPr>
        <w:t xml:space="preserve"> </w:t>
      </w:r>
      <w:r w:rsidRPr="009E0B85">
        <w:rPr>
          <w:szCs w:val="24"/>
          <w:lang w:val="sv-SE"/>
        </w:rPr>
        <w:t>Enligt Dom</w:t>
      </w:r>
      <w:r>
        <w:rPr>
          <w:szCs w:val="24"/>
          <w:lang w:val="sv-SE"/>
        </w:rPr>
        <w:t>stolen kan det bara tolkas som ”grovt godtycke” eller som ”</w:t>
      </w:r>
      <w:r w:rsidRPr="009E0B85">
        <w:rPr>
          <w:szCs w:val="24"/>
          <w:lang w:val="sv-SE"/>
        </w:rPr>
        <w:t xml:space="preserve">rättsvägran”, eftersom den </w:t>
      </w:r>
    </w:p>
    <w:p w:rsidR="00E93EC3">
      <w:pPr>
        <w:jc w:val="left"/>
        <w:rPr>
          <w:szCs w:val="24"/>
          <w:lang w:val="sv-SE"/>
        </w:rPr>
      </w:pPr>
      <w:r>
        <w:rPr>
          <w:szCs w:val="24"/>
          <w:lang w:val="sv-SE"/>
        </w:rPr>
        <w:br w:type="page"/>
      </w:r>
    </w:p>
    <w:p w:rsidRPr="00781D24" w:rsidR="00461A42" w:rsidP="00E93EC3">
      <w:pPr>
        <w:pStyle w:val="ECHRPara"/>
        <w:ind w:firstLine="0"/>
        <w:rPr>
          <w:rFonts w:eastAsia="Times New Roman"/>
          <w:szCs w:val="24"/>
          <w:lang w:val="sv-SE"/>
        </w:rPr>
      </w:pPr>
      <w:r w:rsidRPr="009E0B85">
        <w:rPr>
          <w:szCs w:val="24"/>
          <w:lang w:val="sv-SE"/>
        </w:rPr>
        <w:t xml:space="preserve">förvanskade presentationen av domen från 2007 i det första </w:t>
      </w:r>
      <w:r w:rsidRPr="009E0B85">
        <w:rPr>
          <w:i/>
          <w:szCs w:val="24"/>
          <w:lang w:val="sv-SE"/>
        </w:rPr>
        <w:t>Bochan</w:t>
      </w:r>
      <w:r w:rsidRPr="009E0B85">
        <w:rPr>
          <w:szCs w:val="24"/>
          <w:lang w:val="sv-SE"/>
        </w:rPr>
        <w:t>-målet (citerat ovan) ledde till att sökandens försök att få sitt fastighetsanspråk prövat baserat på Domstolens dom i hennes tidigare mål i det förfarande av kassationstyp som förskrivs i nationell lag omintetgjordes (se punkt 51-53 ovan).</w:t>
      </w:r>
      <w:r w:rsidRPr="00781D24">
        <w:rPr>
          <w:szCs w:val="24"/>
          <w:lang w:val="sv-SE"/>
        </w:rPr>
        <w:t xml:space="preserve"> </w:t>
      </w:r>
      <w:r w:rsidRPr="009E0B85">
        <w:rPr>
          <w:rFonts w:eastAsia="Times New Roman"/>
          <w:szCs w:val="24"/>
          <w:lang w:val="sv-SE"/>
        </w:rPr>
        <w:t>I detta avseende är att notera att Domstolen i sitt domslut 2007 funnit att, med hänsyn till de omständigheter enligt vilka sökandens mål hade återförvisats av Högsta domstolen till lägre instanser, hade sökandens tvivel rörande opartiskheten hos de domare som behandlade målet, inklusive domarna i Högsta domstolen, objektivt varit befogade (se punkt 13-15 ovan).</w:t>
      </w:r>
    </w:p>
    <w:p w:rsidRPr="00781D24" w:rsidR="00461A42" w:rsidP="00461A42">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65</w:t>
      </w:r>
      <w:r w:rsidRPr="009E0B85">
        <w:rPr>
          <w:rFonts w:eastAsia="Times New Roman"/>
          <w:szCs w:val="24"/>
          <w:lang w:val="en-GB"/>
        </w:rPr>
        <w:fldChar w:fldCharType="end"/>
      </w:r>
      <w:r w:rsidRPr="009E0B85">
        <w:rPr>
          <w:rFonts w:eastAsia="Times New Roman"/>
          <w:szCs w:val="24"/>
          <w:lang w:val="sv-SE"/>
        </w:rPr>
        <w:t>.  Mot bakgrund av Domstolens slutsatser beträffande arten och följderna av bristerna i Högsta domstolens beslut den 14 mars 2008 (se punkt 63-64 ovan), måste det anses att de</w:t>
      </w:r>
      <w:r w:rsidR="00B1727B">
        <w:rPr>
          <w:rFonts w:eastAsia="Times New Roman"/>
          <w:szCs w:val="24"/>
          <w:lang w:val="sv-SE"/>
        </w:rPr>
        <w:t>t ifrågasatta förfarandet</w:t>
      </w:r>
      <w:r w:rsidR="00A951BB">
        <w:rPr>
          <w:rFonts w:eastAsia="Times New Roman"/>
          <w:szCs w:val="24"/>
          <w:lang w:val="sv-SE"/>
        </w:rPr>
        <w:t xml:space="preserve"> inte uppfyllde kravet på ”</w:t>
      </w:r>
      <w:r w:rsidRPr="009E0B85">
        <w:rPr>
          <w:rFonts w:eastAsia="Times New Roman"/>
          <w:szCs w:val="24"/>
          <w:lang w:val="sv-SE"/>
        </w:rPr>
        <w:t>rättvis rättegång” enligt artikel 6 § 1 i Konventionen och att en kränkning har skett mot den bestämmelsen.</w:t>
      </w:r>
    </w:p>
    <w:p w:rsidRPr="00781D24" w:rsidR="004A01A2" w:rsidP="004A01A2">
      <w:pPr>
        <w:pStyle w:val="ECHRHeading2"/>
        <w:rPr>
          <w:rFonts w:eastAsia="Times New Roman" w:cstheme="minorBidi"/>
          <w:bCs w:val="0"/>
          <w:szCs w:val="24"/>
          <w:lang w:val="sv-SE"/>
        </w:rPr>
      </w:pPr>
      <w:r w:rsidRPr="009E0B85">
        <w:rPr>
          <w:rFonts w:eastAsia="Times New Roman" w:cstheme="minorBidi"/>
          <w:bCs w:val="0"/>
          <w:szCs w:val="24"/>
          <w:lang w:val="sv-SE"/>
        </w:rPr>
        <w:t>E.  Sökandens</w:t>
      </w:r>
      <w:r w:rsidR="00B1727B">
        <w:rPr>
          <w:rFonts w:eastAsia="Times New Roman" w:cstheme="minorBidi"/>
          <w:bCs w:val="0"/>
          <w:szCs w:val="24"/>
          <w:lang w:val="sv-SE"/>
        </w:rPr>
        <w:t xml:space="preserve"> nya klagomål avseende </w:t>
      </w:r>
      <w:r w:rsidRPr="009E0B85">
        <w:rPr>
          <w:rFonts w:eastAsia="Times New Roman" w:cstheme="minorBidi"/>
          <w:bCs w:val="0"/>
          <w:szCs w:val="24"/>
          <w:lang w:val="sv-SE"/>
        </w:rPr>
        <w:t>artikel 1 i protokoll nr 1</w:t>
      </w:r>
    </w:p>
    <w:p w:rsidRPr="00781D24" w:rsidR="004A01A2" w:rsidP="004A01A2">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66</w:t>
      </w:r>
      <w:r w:rsidRPr="009E0B85">
        <w:rPr>
          <w:szCs w:val="24"/>
          <w:lang w:val="en-GB"/>
        </w:rPr>
        <w:fldChar w:fldCharType="end"/>
      </w:r>
      <w:r w:rsidRPr="009E0B85">
        <w:rPr>
          <w:szCs w:val="24"/>
          <w:lang w:val="sv-SE"/>
        </w:rPr>
        <w:t>.  Sökanden hävdade att hon hade blivit olagligen berövad sin egendom på grund av förfarandet avseende hennes exceptionella överklagande.</w:t>
      </w:r>
      <w:r w:rsidRPr="00781D24">
        <w:rPr>
          <w:szCs w:val="24"/>
          <w:lang w:val="sv-SE"/>
        </w:rPr>
        <w:t xml:space="preserve"> </w:t>
      </w:r>
      <w:r w:rsidRPr="009E0B85">
        <w:rPr>
          <w:rFonts w:eastAsia="Times New Roman"/>
          <w:szCs w:val="24"/>
          <w:lang w:val="sv-SE"/>
        </w:rPr>
        <w:t>Hon åberopade artikel 1 i protokoll nr 1.</w:t>
      </w:r>
    </w:p>
    <w:p w:rsidRPr="00781D24" w:rsidR="004A01A2" w:rsidP="004A01A2">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67</w:t>
      </w:r>
      <w:r w:rsidRPr="009E0B85">
        <w:rPr>
          <w:rFonts w:eastAsia="Times New Roman"/>
          <w:szCs w:val="24"/>
          <w:lang w:val="en-GB"/>
        </w:rPr>
        <w:fldChar w:fldCharType="end"/>
      </w:r>
      <w:r w:rsidRPr="009E0B85">
        <w:rPr>
          <w:rFonts w:eastAsia="Times New Roman"/>
          <w:szCs w:val="24"/>
          <w:lang w:val="sv-SE"/>
        </w:rPr>
        <w:t>.  Domstolen konstaterar att detta klagomål är kopplat till det klagomål som prövades ovan och därför också måste förklaras tillåtligt.</w:t>
      </w:r>
    </w:p>
    <w:p w:rsidRPr="00781D24" w:rsidR="00F138DD" w:rsidP="00F138DD">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68</w:t>
      </w:r>
      <w:r w:rsidRPr="009E0B85">
        <w:rPr>
          <w:rFonts w:eastAsia="Times New Roman"/>
          <w:szCs w:val="24"/>
          <w:lang w:val="en-GB"/>
        </w:rPr>
        <w:fldChar w:fldCharType="end"/>
      </w:r>
      <w:r w:rsidRPr="009E0B85">
        <w:rPr>
          <w:rFonts w:eastAsia="Times New Roman"/>
          <w:szCs w:val="24"/>
          <w:lang w:val="sv-SE"/>
        </w:rPr>
        <w:t>.  Med beaktande av sin bedömning enligt artikel 6 § 1 i Konventionen (se paragraf 65 ovan), anser Domstolen inte att det är nödvändigt att pröva huruvida det har skett en kränkning av artikel 1 i protokoll nr 1 i detta mål.</w:t>
      </w:r>
    </w:p>
    <w:p w:rsidRPr="00781D24" w:rsidR="00F138DD" w:rsidP="00F138DD">
      <w:pPr>
        <w:pStyle w:val="ECHRHeading1"/>
        <w:rPr>
          <w:rFonts w:eastAsia="Times New Roman" w:cstheme="minorBidi"/>
          <w:bCs w:val="0"/>
          <w:szCs w:val="24"/>
          <w:lang w:val="sv-SE"/>
        </w:rPr>
      </w:pPr>
      <w:r w:rsidRPr="00394C16">
        <w:rPr>
          <w:rFonts w:eastAsia="Times New Roman" w:cstheme="minorBidi"/>
          <w:bCs w:val="0"/>
          <w:szCs w:val="24"/>
          <w:lang w:val="sv-SE"/>
        </w:rPr>
        <w:t>II.  TILLÄMPNING AV ARTIKEL 41 I KONVENTIONEN</w:t>
      </w:r>
    </w:p>
    <w:p w:rsidRPr="00781D24" w:rsidR="00F138DD" w:rsidP="00F138DD">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69</w:t>
      </w:r>
      <w:r w:rsidRPr="009E0B85">
        <w:rPr>
          <w:rFonts w:eastAsia="Times New Roman"/>
          <w:szCs w:val="24"/>
          <w:lang w:val="en-GB"/>
        </w:rPr>
        <w:fldChar w:fldCharType="end"/>
      </w:r>
      <w:r w:rsidRPr="009E0B85">
        <w:rPr>
          <w:rFonts w:eastAsia="Times New Roman"/>
          <w:szCs w:val="24"/>
          <w:lang w:val="sv-SE"/>
        </w:rPr>
        <w:t>.  Artikel 41 i konventionen stadgar:</w:t>
      </w:r>
    </w:p>
    <w:p w:rsidRPr="00781D24" w:rsidR="00F138DD" w:rsidP="00F138DD">
      <w:pPr>
        <w:pStyle w:val="ECHRParaQuote"/>
        <w:keepNext/>
        <w:keepLines/>
        <w:rPr>
          <w:rFonts w:eastAsia="Times New Roman"/>
          <w:szCs w:val="24"/>
          <w:lang w:val="sv-SE"/>
        </w:rPr>
      </w:pPr>
      <w:r w:rsidRPr="009E0B85">
        <w:rPr>
          <w:rFonts w:eastAsia="Times New Roman"/>
          <w:szCs w:val="24"/>
          <w:lang w:val="sv-SE"/>
        </w:rPr>
        <w:t>”Om domstolen finner att ett brott mot konventionen eller protokollen till denna ägt rum och om den berörda höga fördragsslutande partens nationella rätt endast till en del medger att gottgörelse lämnas, skall domstolen, om så anses nödvändigt, tillerkänna den förfördelade parten skälig</w:t>
      </w:r>
      <w:r w:rsidR="00B1727B">
        <w:rPr>
          <w:rFonts w:eastAsia="Times New Roman"/>
          <w:szCs w:val="24"/>
          <w:lang w:val="sv-SE"/>
        </w:rPr>
        <w:t xml:space="preserve"> </w:t>
      </w:r>
      <w:r w:rsidRPr="009E0B85">
        <w:rPr>
          <w:rFonts w:eastAsia="Times New Roman"/>
          <w:szCs w:val="24"/>
          <w:lang w:val="sv-SE"/>
        </w:rPr>
        <w:t>gottgörelse.</w:t>
      </w:r>
    </w:p>
    <w:p w:rsidRPr="00781D24" w:rsidR="00F138DD" w:rsidP="00F138DD">
      <w:pPr>
        <w:pStyle w:val="ECHRHeading2"/>
        <w:rPr>
          <w:rFonts w:eastAsia="Times New Roman" w:cstheme="minorBidi"/>
          <w:bCs w:val="0"/>
          <w:szCs w:val="24"/>
          <w:lang w:val="sv-SE"/>
        </w:rPr>
      </w:pPr>
      <w:r w:rsidRPr="009E0B85">
        <w:rPr>
          <w:rFonts w:eastAsia="Times New Roman" w:cstheme="minorBidi"/>
          <w:bCs w:val="0"/>
          <w:szCs w:val="24"/>
          <w:lang w:val="sv-SE"/>
        </w:rPr>
        <w:t>A.  Skadestånd</w:t>
      </w:r>
    </w:p>
    <w:p w:rsidR="00A951BB" w:rsidP="00F138DD">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70</w:t>
      </w:r>
      <w:r w:rsidRPr="009E0B85">
        <w:rPr>
          <w:rFonts w:eastAsia="Times New Roman"/>
          <w:szCs w:val="24"/>
          <w:lang w:val="en-GB"/>
        </w:rPr>
        <w:fldChar w:fldCharType="end"/>
      </w:r>
      <w:r w:rsidRPr="009E0B85">
        <w:rPr>
          <w:rFonts w:eastAsia="Times New Roman"/>
          <w:szCs w:val="24"/>
          <w:lang w:val="sv-SE"/>
        </w:rPr>
        <w:t>.  Sökanden begärde 300 000 euro (EUR) i skadestånd för den påstådda kränkningen av hennes rättigheter enligt artikel 6 i Konventionen och artikel 1 i protokoll nr 1.</w:t>
      </w:r>
    </w:p>
    <w:p w:rsidRPr="00A951BB" w:rsidR="00F138DD" w:rsidP="00A951BB">
      <w:pPr>
        <w:jc w:val="left"/>
        <w:rPr>
          <w:rFonts w:eastAsia="Times New Roman"/>
          <w:szCs w:val="24"/>
          <w:lang w:val="sv-SE"/>
        </w:rPr>
      </w:pPr>
      <w:r>
        <w:rPr>
          <w:rFonts w:eastAsia="Times New Roman"/>
          <w:szCs w:val="24"/>
          <w:lang w:val="sv-SE"/>
        </w:rPr>
        <w:br w:type="page"/>
      </w:r>
    </w:p>
    <w:p w:rsidRPr="00781D24" w:rsidR="00F138DD" w:rsidP="00F138DD">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71</w:t>
      </w:r>
      <w:r w:rsidRPr="009E0B85">
        <w:rPr>
          <w:szCs w:val="24"/>
          <w:lang w:val="en-GB"/>
        </w:rPr>
        <w:fldChar w:fldCharType="end"/>
      </w:r>
      <w:r w:rsidRPr="009E0B85">
        <w:rPr>
          <w:szCs w:val="24"/>
          <w:lang w:val="sv-SE"/>
        </w:rPr>
        <w:t>.  Regeringen hävdade att sökanden inte hade specificerat vilken typ av skada hon skulle ha lidit på grund av Högsta domstolens beslut i hennes mål och att hon inte hade ingivit något bevis till stöd för sitt anspråk.</w:t>
      </w:r>
      <w:r w:rsidRPr="00781D24">
        <w:rPr>
          <w:szCs w:val="24"/>
          <w:lang w:val="sv-SE"/>
        </w:rPr>
        <w:t xml:space="preserve"> </w:t>
      </w:r>
      <w:r w:rsidRPr="009E0B85">
        <w:rPr>
          <w:rFonts w:eastAsia="Times New Roman"/>
          <w:szCs w:val="24"/>
          <w:lang w:val="sv-SE"/>
        </w:rPr>
        <w:t>Följaktligen borde hennes anspråk ogillas helt.</w:t>
      </w:r>
    </w:p>
    <w:p w:rsidRPr="00781D24" w:rsidR="00F138DD" w:rsidP="00F138DD">
      <w:pPr>
        <w:pStyle w:val="ECHRPara"/>
        <w:rPr>
          <w:rFonts w:eastAsia="Times New Roman"/>
          <w:szCs w:val="24"/>
          <w:lang w:val="sv-SE"/>
        </w:rPr>
      </w:pPr>
      <w:r w:rsidRPr="009E0B85">
        <w:rPr>
          <w:szCs w:val="24"/>
          <w:lang w:val="en-GB"/>
        </w:rPr>
        <w:fldChar w:fldCharType="begin"/>
      </w:r>
      <w:r w:rsidRPr="00781D24">
        <w:rPr>
          <w:szCs w:val="24"/>
          <w:lang w:val="sv-SE"/>
        </w:rPr>
        <w:instrText xml:space="preserve"> SEQ level0 \*arabic </w:instrText>
      </w:r>
      <w:r w:rsidRPr="009E0B85">
        <w:rPr>
          <w:szCs w:val="24"/>
          <w:lang w:val="en-GB"/>
        </w:rPr>
        <w:fldChar w:fldCharType="separate"/>
      </w:r>
      <w:r w:rsidRPr="00781D24">
        <w:rPr>
          <w:noProof/>
          <w:szCs w:val="24"/>
          <w:lang w:val="sv-SE"/>
        </w:rPr>
        <w:t>72</w:t>
      </w:r>
      <w:r w:rsidRPr="009E0B85">
        <w:rPr>
          <w:szCs w:val="24"/>
          <w:lang w:val="en-GB"/>
        </w:rPr>
        <w:fldChar w:fldCharType="end"/>
      </w:r>
      <w:r w:rsidRPr="009E0B85">
        <w:rPr>
          <w:szCs w:val="24"/>
          <w:lang w:val="sv-SE"/>
        </w:rPr>
        <w:t>.  Domstolen konstaterar att sökanden inte lämnade några uppgifter beträffande den påståd</w:t>
      </w:r>
      <w:r w:rsidR="00B1727B">
        <w:rPr>
          <w:szCs w:val="24"/>
          <w:lang w:val="sv-SE"/>
        </w:rPr>
        <w:t>da skadans typ eller dess svårighetsgrad</w:t>
      </w:r>
      <w:r w:rsidRPr="009E0B85">
        <w:rPr>
          <w:szCs w:val="24"/>
          <w:lang w:val="sv-SE"/>
        </w:rPr>
        <w:t>.</w:t>
      </w:r>
      <w:r w:rsidRPr="00781D24">
        <w:rPr>
          <w:szCs w:val="24"/>
          <w:lang w:val="sv-SE"/>
        </w:rPr>
        <w:t xml:space="preserve"> </w:t>
      </w:r>
      <w:r w:rsidRPr="009E0B85">
        <w:rPr>
          <w:szCs w:val="24"/>
          <w:lang w:val="sv-SE"/>
        </w:rPr>
        <w:t xml:space="preserve">Icke desto mindre anser Domstolen att sökanden måste ha utsatts </w:t>
      </w:r>
      <w:r w:rsidR="00A951BB">
        <w:rPr>
          <w:szCs w:val="24"/>
          <w:lang w:val="sv-SE"/>
        </w:rPr>
        <w:t xml:space="preserve">för </w:t>
      </w:r>
      <w:r w:rsidRPr="009E0B85">
        <w:rPr>
          <w:szCs w:val="24"/>
          <w:lang w:val="sv-SE"/>
        </w:rPr>
        <w:t>viss oro och ångest på grund av det ”orättvisa” sätt på vi</w:t>
      </w:r>
      <w:r w:rsidR="00A951BB">
        <w:rPr>
          <w:szCs w:val="24"/>
          <w:lang w:val="sv-SE"/>
        </w:rPr>
        <w:t>lket Högsta domstolen behandlat</w:t>
      </w:r>
      <w:r w:rsidRPr="009E0B85">
        <w:rPr>
          <w:szCs w:val="24"/>
          <w:lang w:val="sv-SE"/>
        </w:rPr>
        <w:t xml:space="preserve"> hennes exceptionella överklagande, vilket ledde till att hennes försök att få sitt fastighetsanspråk prövat mot bakgrund av Domstolens dom i hennes tidigare mål </w:t>
      </w:r>
      <w:r w:rsidR="00B1727B">
        <w:rPr>
          <w:szCs w:val="24"/>
          <w:lang w:val="sv-SE"/>
        </w:rPr>
        <w:t xml:space="preserve">i </w:t>
      </w:r>
      <w:r w:rsidRPr="009E0B85">
        <w:rPr>
          <w:szCs w:val="24"/>
          <w:lang w:val="sv-SE"/>
        </w:rPr>
        <w:t>ett förfarande av kassationstyp föreskrivet i nationell lag (se punkt 64 ovan) omintetgjordes.</w:t>
      </w:r>
      <w:r w:rsidRPr="00781D24">
        <w:rPr>
          <w:szCs w:val="24"/>
          <w:lang w:val="sv-SE"/>
        </w:rPr>
        <w:t xml:space="preserve"> </w:t>
      </w:r>
      <w:r w:rsidR="00B1727B">
        <w:rPr>
          <w:szCs w:val="24"/>
          <w:lang w:val="sv-SE"/>
        </w:rPr>
        <w:t xml:space="preserve">Domstolen bedömer det inte </w:t>
      </w:r>
      <w:r w:rsidRPr="009E0B85">
        <w:rPr>
          <w:szCs w:val="24"/>
          <w:lang w:val="sv-SE"/>
        </w:rPr>
        <w:t>lämpligt att pröva huruvida ytterligare omprövning av sökandens fastighetsanspråk på nationell nivå är möjlig under omständigheterna, särskilt på grund av att avsevärd ti</w:t>
      </w:r>
      <w:r w:rsidR="00A951BB">
        <w:rPr>
          <w:szCs w:val="24"/>
          <w:lang w:val="sv-SE"/>
        </w:rPr>
        <w:t xml:space="preserve">d har hunnit förflyta, samt </w:t>
      </w:r>
      <w:r w:rsidRPr="009E0B85">
        <w:rPr>
          <w:szCs w:val="24"/>
          <w:lang w:val="sv-SE"/>
        </w:rPr>
        <w:t>de eventuella följder en sådan omprövning skulle få för principen</w:t>
      </w:r>
      <w:r w:rsidR="00696451">
        <w:rPr>
          <w:i/>
          <w:szCs w:val="24"/>
          <w:lang w:val="sv-SE"/>
        </w:rPr>
        <w:t xml:space="preserve"> </w:t>
      </w:r>
      <w:r w:rsidR="0052399A">
        <w:rPr>
          <w:i/>
          <w:szCs w:val="24"/>
          <w:lang w:val="sv-SE"/>
        </w:rPr>
        <w:t xml:space="preserve">res </w:t>
      </w:r>
      <w:r w:rsidR="00696451">
        <w:rPr>
          <w:i/>
          <w:szCs w:val="24"/>
          <w:lang w:val="sv-SE"/>
        </w:rPr>
        <w:t>j</w:t>
      </w:r>
      <w:r w:rsidRPr="009E0B85">
        <w:rPr>
          <w:i/>
          <w:szCs w:val="24"/>
          <w:lang w:val="sv-SE"/>
        </w:rPr>
        <w:t>udicata</w:t>
      </w:r>
      <w:r w:rsidRPr="009E0B85">
        <w:rPr>
          <w:szCs w:val="24"/>
          <w:lang w:val="sv-SE"/>
        </w:rPr>
        <w:t xml:space="preserve"> och rättsäkerheten i ett avslutat civilmål och för tredje parts legitima intressen.</w:t>
      </w:r>
      <w:r w:rsidRPr="00781D24">
        <w:rPr>
          <w:szCs w:val="24"/>
          <w:lang w:val="sv-SE"/>
        </w:rPr>
        <w:t xml:space="preserve"> </w:t>
      </w:r>
      <w:r w:rsidRPr="009E0B85">
        <w:rPr>
          <w:szCs w:val="24"/>
          <w:lang w:val="sv-SE"/>
        </w:rPr>
        <w:t xml:space="preserve">Å andra sidan är realiteten nu att sökanden, enligt Domstolens bedömning enligt artikel 41, inte kan anses ha någon praktisk möjlighet att rätta till den kränkning som konstaterats i hennes mål på nationell nivå. </w:t>
      </w:r>
      <w:r w:rsidRPr="00781D24">
        <w:rPr>
          <w:szCs w:val="24"/>
          <w:lang w:val="sv-SE"/>
        </w:rPr>
        <w:t xml:space="preserve"> </w:t>
      </w:r>
      <w:r w:rsidRPr="009E0B85">
        <w:rPr>
          <w:rFonts w:eastAsia="Times New Roman"/>
          <w:szCs w:val="24"/>
          <w:lang w:val="sv-SE"/>
        </w:rPr>
        <w:t>Domstolen gör sin bedömning baserat på skälighet och finner det därför rimli</w:t>
      </w:r>
      <w:r w:rsidR="00A951BB">
        <w:rPr>
          <w:rFonts w:eastAsia="Times New Roman"/>
          <w:szCs w:val="24"/>
          <w:lang w:val="sv-SE"/>
        </w:rPr>
        <w:t>gt att tilldöma sökanden EUR 10 </w:t>
      </w:r>
      <w:r w:rsidRPr="009E0B85">
        <w:rPr>
          <w:rFonts w:eastAsia="Times New Roman"/>
          <w:szCs w:val="24"/>
          <w:lang w:val="sv-SE"/>
        </w:rPr>
        <w:t>000 i ideellt skadestånd, plus eventuell skatt som kan utgå på det beloppet.</w:t>
      </w:r>
    </w:p>
    <w:p w:rsidRPr="00781D24" w:rsidR="00F138DD" w:rsidP="00F138DD">
      <w:pPr>
        <w:pStyle w:val="ECHRHeading2"/>
        <w:rPr>
          <w:rFonts w:eastAsia="Times New Roman" w:cstheme="minorBidi"/>
          <w:bCs w:val="0"/>
          <w:szCs w:val="24"/>
          <w:lang w:val="sv-SE"/>
        </w:rPr>
      </w:pPr>
      <w:r w:rsidRPr="009E0B85">
        <w:rPr>
          <w:rFonts w:eastAsia="Times New Roman" w:cstheme="minorBidi"/>
          <w:bCs w:val="0"/>
          <w:szCs w:val="24"/>
          <w:lang w:val="sv-SE"/>
        </w:rPr>
        <w:t>B.  Kostnader och utgifter</w:t>
      </w:r>
    </w:p>
    <w:p w:rsidRPr="00781D24" w:rsidR="00F138DD" w:rsidP="00F138DD">
      <w:pPr>
        <w:pStyle w:val="ECHRPara"/>
        <w:rPr>
          <w:rFonts w:eastAsia="Times New Roman"/>
          <w:szCs w:val="24"/>
          <w:lang w:val="sv-SE"/>
        </w:rPr>
      </w:pPr>
      <w:r w:rsidRPr="009E0B85">
        <w:rPr>
          <w:rFonts w:eastAsia="Times New Roman"/>
          <w:szCs w:val="24"/>
        </w:rPr>
        <w:fldChar w:fldCharType="begin"/>
      </w:r>
      <w:r w:rsidRPr="00781D24">
        <w:rPr>
          <w:rFonts w:eastAsia="Times New Roman"/>
          <w:szCs w:val="24"/>
          <w:lang w:val="sv-SE"/>
        </w:rPr>
        <w:instrText xml:space="preserve"> SEQ level0 \*arabic </w:instrText>
      </w:r>
      <w:r w:rsidRPr="009E0B85">
        <w:rPr>
          <w:rFonts w:eastAsia="Times New Roman"/>
          <w:szCs w:val="24"/>
        </w:rPr>
        <w:fldChar w:fldCharType="separate"/>
      </w:r>
      <w:r w:rsidRPr="00781D24">
        <w:rPr>
          <w:rFonts w:eastAsia="Times New Roman"/>
          <w:noProof/>
          <w:szCs w:val="24"/>
          <w:lang w:val="sv-SE"/>
        </w:rPr>
        <w:t>73</w:t>
      </w:r>
      <w:r w:rsidRPr="009E0B85">
        <w:rPr>
          <w:rFonts w:eastAsia="Times New Roman"/>
          <w:szCs w:val="24"/>
        </w:rPr>
        <w:fldChar w:fldCharType="end"/>
      </w:r>
      <w:r w:rsidRPr="009E0B85">
        <w:rPr>
          <w:rFonts w:eastAsia="Times New Roman"/>
          <w:szCs w:val="24"/>
          <w:lang w:val="sv-SE"/>
        </w:rPr>
        <w:t>.  Sökanden har inte inkommit med något anspråk på kostnadsersättning.</w:t>
      </w:r>
    </w:p>
    <w:p w:rsidRPr="00781D24" w:rsidR="00F138DD" w:rsidP="00F138DD">
      <w:pPr>
        <w:pStyle w:val="ECHRHeading2"/>
        <w:rPr>
          <w:rFonts w:eastAsia="Times New Roman" w:cstheme="minorBidi"/>
          <w:bCs w:val="0"/>
          <w:szCs w:val="24"/>
          <w:lang w:val="sv-SE"/>
        </w:rPr>
      </w:pPr>
      <w:r w:rsidRPr="009E0B85">
        <w:rPr>
          <w:rFonts w:eastAsia="Times New Roman" w:cstheme="minorBidi"/>
          <w:bCs w:val="0"/>
          <w:szCs w:val="24"/>
          <w:lang w:val="sv-SE"/>
        </w:rPr>
        <w:t>C.  Dröjsmålsränta</w:t>
      </w:r>
    </w:p>
    <w:p w:rsidRPr="00781D24" w:rsidR="00F138DD" w:rsidP="00F138DD">
      <w:pPr>
        <w:pStyle w:val="ECHRPara"/>
        <w:rPr>
          <w:rFonts w:eastAsia="Times New Roman"/>
          <w:szCs w:val="24"/>
          <w:lang w:val="sv-SE"/>
        </w:rPr>
      </w:pPr>
      <w:r w:rsidRPr="009E0B85">
        <w:rPr>
          <w:rFonts w:eastAsia="Times New Roman"/>
          <w:szCs w:val="24"/>
          <w:lang w:val="en-GB"/>
        </w:rPr>
        <w:fldChar w:fldCharType="begin"/>
      </w:r>
      <w:r w:rsidRPr="00781D24">
        <w:rPr>
          <w:rFonts w:eastAsia="Times New Roman"/>
          <w:szCs w:val="24"/>
          <w:lang w:val="sv-SE"/>
        </w:rPr>
        <w:instrText xml:space="preserve"> SEQ level0 \*arabic </w:instrText>
      </w:r>
      <w:r w:rsidRPr="009E0B85">
        <w:rPr>
          <w:rFonts w:eastAsia="Times New Roman"/>
          <w:szCs w:val="24"/>
          <w:lang w:val="en-GB"/>
        </w:rPr>
        <w:fldChar w:fldCharType="separate"/>
      </w:r>
      <w:r w:rsidRPr="00781D24">
        <w:rPr>
          <w:rFonts w:eastAsia="Times New Roman"/>
          <w:noProof/>
          <w:szCs w:val="24"/>
          <w:lang w:val="sv-SE"/>
        </w:rPr>
        <w:t>74</w:t>
      </w:r>
      <w:r w:rsidRPr="009E0B85">
        <w:rPr>
          <w:rFonts w:eastAsia="Times New Roman"/>
          <w:szCs w:val="24"/>
          <w:lang w:val="en-GB"/>
        </w:rPr>
        <w:fldChar w:fldCharType="end"/>
      </w:r>
      <w:r w:rsidRPr="009E0B85">
        <w:rPr>
          <w:rFonts w:eastAsia="Times New Roman"/>
          <w:szCs w:val="24"/>
          <w:lang w:val="sv-SE"/>
        </w:rPr>
        <w:t>.  Domstolen anser det lämpligt att dröjsmålsräntan baseras på Europeiska centralbankens utlåningsränta, plus tre procentenheter.</w:t>
      </w:r>
    </w:p>
    <w:p w:rsidRPr="00781D24" w:rsidR="00F94EDD" w:rsidP="00F94EDD">
      <w:pPr>
        <w:pStyle w:val="ECHRTitle1"/>
        <w:rPr>
          <w:rFonts w:eastAsia="Times New Roman"/>
          <w:szCs w:val="24"/>
          <w:lang w:val="sv-SE"/>
        </w:rPr>
      </w:pPr>
      <w:r w:rsidRPr="0049418F">
        <w:rPr>
          <w:rFonts w:eastAsia="Times New Roman"/>
          <w:szCs w:val="24"/>
          <w:lang w:val="sv-SE"/>
        </w:rPr>
        <w:t>AV DESSA</w:t>
      </w:r>
      <w:r w:rsidRPr="009E0B85">
        <w:rPr>
          <w:rFonts w:eastAsia="Times New Roman"/>
          <w:szCs w:val="24"/>
          <w:lang w:val="sv-SE"/>
        </w:rPr>
        <w:t xml:space="preserve"> SKÄL BESLUTAR DOMSTOLEN ENHÄLLIGT FÖLJANDE:</w:t>
      </w:r>
    </w:p>
    <w:p w:rsidRPr="00781D24" w:rsidR="00F94EDD" w:rsidP="00F94EDD">
      <w:pPr>
        <w:pStyle w:val="JuList"/>
        <w:rPr>
          <w:rFonts w:eastAsia="Times New Roman"/>
          <w:szCs w:val="24"/>
          <w:lang w:val="sv-SE"/>
        </w:rPr>
      </w:pPr>
      <w:r w:rsidRPr="009E0B85">
        <w:rPr>
          <w:rFonts w:eastAsia="Times New Roman"/>
          <w:szCs w:val="24"/>
          <w:lang w:val="sv-SE"/>
        </w:rPr>
        <w:t xml:space="preserve">1.  Domstolen </w:t>
      </w:r>
      <w:r w:rsidRPr="009E0B85">
        <w:rPr>
          <w:rFonts w:eastAsia="Times New Roman"/>
          <w:i/>
          <w:szCs w:val="24"/>
          <w:lang w:val="sv-SE"/>
        </w:rPr>
        <w:t>förklarar</w:t>
      </w:r>
      <w:r w:rsidRPr="009E0B85">
        <w:rPr>
          <w:rFonts w:eastAsia="Times New Roman"/>
          <w:szCs w:val="24"/>
          <w:lang w:val="sv-SE"/>
        </w:rPr>
        <w:t xml:space="preserve"> sökanden</w:t>
      </w:r>
      <w:r w:rsidR="0049418F">
        <w:rPr>
          <w:rFonts w:eastAsia="Times New Roman"/>
          <w:szCs w:val="24"/>
          <w:lang w:val="sv-SE"/>
        </w:rPr>
        <w:t>s klagomål enligt artikel 6 § 1 i Konventionen om</w:t>
      </w:r>
      <w:r w:rsidRPr="009E0B85">
        <w:rPr>
          <w:rFonts w:eastAsia="Times New Roman"/>
          <w:szCs w:val="24"/>
          <w:lang w:val="sv-SE"/>
        </w:rPr>
        <w:t xml:space="preserve"> orättvisan i det förfarande som kulminerade med beslutet i Högsta domstolen den 14 mars 2008 och hennes klagomål enligt artikel 1 i protokoll nr 1 till Konventionen att hon olagligen hade </w:t>
      </w:r>
      <w:r w:rsidRPr="009E0B85">
        <w:rPr>
          <w:rFonts w:eastAsia="Times New Roman"/>
          <w:szCs w:val="24"/>
          <w:lang w:val="sv-SE"/>
        </w:rPr>
        <w:t>berövats sin egendom på grund av detta förfarande tillåtligt och resten av klagomålet otillåtligt;</w:t>
      </w:r>
    </w:p>
    <w:p w:rsidRPr="00781D24" w:rsidR="00014566" w:rsidP="00080C30">
      <w:pPr>
        <w:pStyle w:val="JuList"/>
        <w:ind w:left="0" w:firstLine="0"/>
        <w:rPr>
          <w:lang w:val="sv-SE"/>
        </w:rPr>
      </w:pPr>
    </w:p>
    <w:p w:rsidRPr="00781D24" w:rsidR="00F94EDD" w:rsidP="00F94EDD">
      <w:pPr>
        <w:pStyle w:val="JuList"/>
        <w:rPr>
          <w:rFonts w:eastAsia="Times New Roman"/>
          <w:szCs w:val="24"/>
          <w:lang w:val="sv-SE"/>
        </w:rPr>
      </w:pPr>
      <w:r w:rsidRPr="009E0B85">
        <w:rPr>
          <w:rFonts w:eastAsia="Times New Roman"/>
          <w:szCs w:val="24"/>
          <w:lang w:val="sv-SE"/>
        </w:rPr>
        <w:t xml:space="preserve">2.  Domstolen </w:t>
      </w:r>
      <w:r w:rsidRPr="009E0B85">
        <w:rPr>
          <w:rFonts w:eastAsia="Times New Roman"/>
          <w:i/>
          <w:szCs w:val="24"/>
          <w:lang w:val="sv-SE"/>
        </w:rPr>
        <w:t xml:space="preserve">fastslår </w:t>
      </w:r>
      <w:r w:rsidRPr="009E0B85">
        <w:rPr>
          <w:rFonts w:eastAsia="Times New Roman"/>
          <w:szCs w:val="24"/>
          <w:lang w:val="sv-SE"/>
        </w:rPr>
        <w:t>att det skett en kränkning av artikel 6 § 1 i Konventionen;</w:t>
      </w:r>
    </w:p>
    <w:p w:rsidRPr="00781D24" w:rsidR="00014566" w:rsidP="00C621C2">
      <w:pPr>
        <w:pStyle w:val="JuList"/>
        <w:rPr>
          <w:lang w:val="sv-SE"/>
        </w:rPr>
      </w:pPr>
    </w:p>
    <w:p w:rsidRPr="00781D24" w:rsidR="00F94EDD" w:rsidP="00F94EDD">
      <w:pPr>
        <w:pStyle w:val="JuList"/>
        <w:rPr>
          <w:rFonts w:eastAsia="Times New Roman"/>
          <w:szCs w:val="24"/>
          <w:lang w:val="sv-SE"/>
        </w:rPr>
      </w:pPr>
      <w:r w:rsidRPr="009E0B85">
        <w:rPr>
          <w:rFonts w:eastAsia="Times New Roman"/>
          <w:szCs w:val="24"/>
          <w:lang w:val="sv-SE"/>
        </w:rPr>
        <w:t xml:space="preserve">3.  Domstolen </w:t>
      </w:r>
      <w:r w:rsidRPr="009E0B85">
        <w:rPr>
          <w:rFonts w:eastAsia="Times New Roman"/>
          <w:i/>
          <w:szCs w:val="24"/>
          <w:lang w:val="sv-SE"/>
        </w:rPr>
        <w:t xml:space="preserve">fastslår </w:t>
      </w:r>
      <w:r w:rsidRPr="009E0B85">
        <w:rPr>
          <w:rFonts w:eastAsia="Times New Roman"/>
          <w:szCs w:val="24"/>
          <w:lang w:val="sv-SE"/>
        </w:rPr>
        <w:t>att det saknas behov att pröva klagomålet enligt artikel 1 protokoll nr 1 till Konventionen;</w:t>
      </w:r>
    </w:p>
    <w:p w:rsidRPr="00781D24" w:rsidR="00014566" w:rsidP="00C621C2">
      <w:pPr>
        <w:pStyle w:val="JuList"/>
        <w:rPr>
          <w:lang w:val="sv-SE"/>
        </w:rPr>
      </w:pPr>
    </w:p>
    <w:p w:rsidRPr="00781D24" w:rsidR="00F94EDD" w:rsidP="00F94EDD">
      <w:pPr>
        <w:pStyle w:val="JuList"/>
        <w:rPr>
          <w:rFonts w:eastAsia="Times New Roman"/>
          <w:szCs w:val="24"/>
          <w:lang w:val="sv-SE"/>
        </w:rPr>
      </w:pPr>
      <w:r w:rsidRPr="009E0B85">
        <w:rPr>
          <w:rFonts w:eastAsia="Times New Roman"/>
          <w:szCs w:val="24"/>
          <w:lang w:val="sv-SE"/>
        </w:rPr>
        <w:t xml:space="preserve">4.  Domstolen </w:t>
      </w:r>
      <w:r w:rsidRPr="009E0B85">
        <w:rPr>
          <w:rFonts w:eastAsia="Times New Roman"/>
          <w:i/>
          <w:szCs w:val="24"/>
          <w:lang w:val="sv-SE"/>
        </w:rPr>
        <w:t>fastslår</w:t>
      </w:r>
    </w:p>
    <w:p w:rsidRPr="00781D24" w:rsidR="00F94EDD" w:rsidP="00F94EDD">
      <w:pPr>
        <w:pStyle w:val="JuLista"/>
        <w:rPr>
          <w:rFonts w:eastAsia="Times New Roman"/>
          <w:szCs w:val="24"/>
          <w:lang w:val="sv-SE"/>
        </w:rPr>
      </w:pPr>
      <w:r w:rsidRPr="009E0B85">
        <w:rPr>
          <w:rFonts w:eastAsia="Times New Roman"/>
          <w:szCs w:val="24"/>
          <w:lang w:val="sv-SE"/>
        </w:rPr>
        <w:t>(a)  att svarandestaten inom tre månader till sökanden ska betala EUR 10 000 (tiotusen euro), plus eventuell skatt, i ideellt skadestånd, att konverteras till svarandestatens valuta till gällande kurs på likviddagen;</w:t>
      </w:r>
    </w:p>
    <w:p w:rsidRPr="00781D24" w:rsidR="00F94EDD" w:rsidP="00F94EDD">
      <w:pPr>
        <w:pStyle w:val="JuLista"/>
        <w:rPr>
          <w:rFonts w:eastAsia="Times New Roman"/>
          <w:szCs w:val="24"/>
          <w:lang w:val="sv-SE"/>
        </w:rPr>
      </w:pPr>
      <w:r w:rsidRPr="009E0B85">
        <w:rPr>
          <w:rFonts w:eastAsia="Times New Roman"/>
          <w:szCs w:val="24"/>
          <w:lang w:val="sv-SE"/>
        </w:rPr>
        <w:t>(b) </w:t>
      </w:r>
      <w:r w:rsidR="0049418F">
        <w:rPr>
          <w:rFonts w:eastAsia="Times New Roman"/>
          <w:szCs w:val="24"/>
          <w:lang w:val="sv-SE"/>
        </w:rPr>
        <w:t> att räknat från utgången av</w:t>
      </w:r>
      <w:r w:rsidRPr="009E0B85">
        <w:rPr>
          <w:rFonts w:eastAsia="Times New Roman"/>
          <w:szCs w:val="24"/>
          <w:lang w:val="sv-SE"/>
        </w:rPr>
        <w:t xml:space="preserve"> ovannämnda </w:t>
      </w:r>
      <w:r w:rsidR="0049418F">
        <w:rPr>
          <w:rFonts w:eastAsia="Times New Roman"/>
          <w:szCs w:val="24"/>
          <w:lang w:val="sv-SE"/>
        </w:rPr>
        <w:t xml:space="preserve">tremånadersperiod </w:t>
      </w:r>
      <w:r w:rsidRPr="009E0B85">
        <w:rPr>
          <w:rFonts w:eastAsia="Times New Roman"/>
          <w:szCs w:val="24"/>
          <w:lang w:val="sv-SE"/>
        </w:rPr>
        <w:t xml:space="preserve">fram till reglering, </w:t>
      </w:r>
      <w:r w:rsidR="00B1727B">
        <w:rPr>
          <w:rFonts w:eastAsia="Times New Roman"/>
          <w:szCs w:val="24"/>
          <w:lang w:val="sv-SE"/>
        </w:rPr>
        <w:t xml:space="preserve">enkel ränta ska läggas till </w:t>
      </w:r>
      <w:r w:rsidRPr="009E0B85">
        <w:rPr>
          <w:rFonts w:eastAsia="Times New Roman"/>
          <w:szCs w:val="24"/>
          <w:lang w:val="sv-SE"/>
        </w:rPr>
        <w:t xml:space="preserve">ovannämnda belopp enligt en räntesats som motsvarar Europeiska centralbankens utlåningsränta under dröjsmålsperioden plus tre procentenheter; </w:t>
      </w:r>
    </w:p>
    <w:p w:rsidRPr="00781D24" w:rsidR="00014566" w:rsidP="00C621C2">
      <w:pPr>
        <w:pStyle w:val="JuList"/>
        <w:rPr>
          <w:lang w:val="sv-SE"/>
        </w:rPr>
      </w:pPr>
    </w:p>
    <w:p w:rsidRPr="00781D24" w:rsidR="00F94EDD" w:rsidP="00F94EDD">
      <w:pPr>
        <w:pStyle w:val="JuList"/>
        <w:rPr>
          <w:rFonts w:eastAsia="Times New Roman"/>
          <w:szCs w:val="24"/>
          <w:lang w:val="sv-SE"/>
        </w:rPr>
      </w:pPr>
      <w:r w:rsidRPr="009E0B85">
        <w:rPr>
          <w:rFonts w:eastAsia="Times New Roman"/>
          <w:szCs w:val="24"/>
          <w:lang w:val="sv-SE"/>
        </w:rPr>
        <w:t xml:space="preserve">5.  Domstolen </w:t>
      </w:r>
      <w:r w:rsidRPr="009E0B85">
        <w:rPr>
          <w:rFonts w:eastAsia="Times New Roman"/>
          <w:i/>
          <w:szCs w:val="24"/>
          <w:lang w:val="sv-SE"/>
        </w:rPr>
        <w:t xml:space="preserve">avvisar </w:t>
      </w:r>
      <w:r w:rsidRPr="009E0B85">
        <w:rPr>
          <w:rFonts w:eastAsia="Times New Roman"/>
          <w:szCs w:val="24"/>
          <w:lang w:val="sv-SE"/>
        </w:rPr>
        <w:t>sökandens övriga krav på skälig gottgörelse.</w:t>
      </w:r>
    </w:p>
    <w:p w:rsidRPr="00781D24" w:rsidR="00F94EDD" w:rsidP="00F94EDD">
      <w:pPr>
        <w:pStyle w:val="JuParaLast"/>
        <w:rPr>
          <w:rFonts w:eastAsia="Times New Roman"/>
          <w:szCs w:val="24"/>
          <w:lang w:val="sv-SE"/>
        </w:rPr>
      </w:pPr>
      <w:r w:rsidRPr="009E0B85">
        <w:rPr>
          <w:rFonts w:eastAsia="Times New Roman"/>
          <w:szCs w:val="24"/>
          <w:lang w:val="sv-SE"/>
        </w:rPr>
        <w:t>Utfärdat på engelska och på franska, och meddelat skriftligen den 5 februari 2015, i enlighet med regel 77 § 2 och § 3 i domstolens arbetsordning.</w:t>
      </w:r>
    </w:p>
    <w:p w:rsidRPr="00781D24" w:rsidR="00F94EDD" w:rsidP="00F94EDD">
      <w:pPr>
        <w:pStyle w:val="JuSigned"/>
        <w:rPr>
          <w:rFonts w:eastAsia="Times New Roman"/>
          <w:szCs w:val="24"/>
          <w:lang w:val="sv-SE"/>
        </w:rPr>
      </w:pPr>
      <w:r w:rsidRPr="009E0B85">
        <w:rPr>
          <w:szCs w:val="24"/>
          <w:lang w:val="sv-SE"/>
        </w:rPr>
        <w:t>Lawrence Early</w:t>
      </w:r>
      <w:r w:rsidRPr="00781D24">
        <w:rPr>
          <w:szCs w:val="24"/>
          <w:lang w:val="sv-SE"/>
        </w:rPr>
        <w:tab/>
      </w:r>
      <w:r w:rsidRPr="009E0B85">
        <w:rPr>
          <w:szCs w:val="24"/>
          <w:lang w:val="sv-SE"/>
        </w:rPr>
        <w:t>Dean Spielmann</w:t>
      </w:r>
      <w:r w:rsidRPr="00781D24">
        <w:rPr>
          <w:szCs w:val="24"/>
          <w:lang w:val="sv-SE"/>
        </w:rPr>
        <w:br/>
      </w:r>
      <w:r w:rsidRPr="00781D24">
        <w:rPr>
          <w:szCs w:val="24"/>
          <w:lang w:val="sv-SE"/>
        </w:rPr>
        <w:tab/>
      </w:r>
      <w:r w:rsidRPr="0049418F">
        <w:rPr>
          <w:szCs w:val="24"/>
          <w:lang w:val="sv-SE"/>
        </w:rPr>
        <w:t>Juridisk rådgivare</w:t>
      </w:r>
      <w:r w:rsidRPr="00781D24">
        <w:rPr>
          <w:szCs w:val="24"/>
          <w:lang w:val="sv-SE"/>
        </w:rPr>
        <w:tab/>
      </w:r>
      <w:r w:rsidRPr="0049418F">
        <w:rPr>
          <w:rFonts w:eastAsia="Times New Roman"/>
          <w:szCs w:val="24"/>
          <w:lang w:val="sv-SE"/>
        </w:rPr>
        <w:t>Ordförande</w:t>
      </w:r>
    </w:p>
    <w:p w:rsidRPr="00781D24" w:rsidR="00F94EDD" w:rsidP="00F94EDD">
      <w:pPr>
        <w:pStyle w:val="JuParaLast"/>
        <w:rPr>
          <w:rFonts w:eastAsia="Times New Roman"/>
          <w:szCs w:val="24"/>
          <w:lang w:val="sv-SE"/>
        </w:rPr>
      </w:pPr>
      <w:r w:rsidRPr="009E0B85">
        <w:rPr>
          <w:rFonts w:eastAsia="Times New Roman"/>
          <w:szCs w:val="24"/>
          <w:lang w:val="sv-SE"/>
        </w:rPr>
        <w:t>I enlighet med artikel 45 § 2 i konventionen och regel 74 § 2 i domstolens arbetsordning bifogas följande separata yttranden till detta domslut.</w:t>
      </w:r>
    </w:p>
    <w:p w:rsidRPr="00781D24" w:rsidR="00F94EDD" w:rsidP="00F94EDD">
      <w:pPr>
        <w:pStyle w:val="ECHRPara"/>
        <w:rPr>
          <w:rFonts w:eastAsia="Times New Roman"/>
          <w:szCs w:val="24"/>
          <w:lang w:val="sv-SE"/>
        </w:rPr>
      </w:pPr>
      <w:r w:rsidRPr="009E0B85">
        <w:rPr>
          <w:rFonts w:eastAsia="Times New Roman"/>
          <w:szCs w:val="24"/>
          <w:lang w:val="sv-SE"/>
        </w:rPr>
        <w:t>(a)  gemensam egen motivering från domare Yudkivska och domare Lemmens;</w:t>
      </w:r>
    </w:p>
    <w:p w:rsidRPr="00781D24" w:rsidR="00F94EDD" w:rsidP="00F94EDD">
      <w:pPr>
        <w:pStyle w:val="ECHRPara"/>
        <w:rPr>
          <w:rFonts w:eastAsia="Times New Roman"/>
          <w:szCs w:val="24"/>
          <w:lang w:val="sv-SE"/>
        </w:rPr>
      </w:pPr>
      <w:r w:rsidRPr="009E0B85">
        <w:rPr>
          <w:rFonts w:eastAsia="Times New Roman"/>
          <w:szCs w:val="24"/>
          <w:lang w:val="sv-SE"/>
        </w:rPr>
        <w:t>(b)  egen motivering från domare Wojtyczek.</w:t>
      </w:r>
    </w:p>
    <w:p w:rsidRPr="00781D24" w:rsidR="00F94EDD" w:rsidP="00F94EDD">
      <w:pPr>
        <w:pStyle w:val="JuInitialled"/>
        <w:rPr>
          <w:rFonts w:eastAsia="Times New Roman"/>
          <w:szCs w:val="24"/>
          <w:lang w:val="sv-SE"/>
        </w:rPr>
      </w:pPr>
      <w:r w:rsidRPr="009E0B85">
        <w:rPr>
          <w:rFonts w:eastAsia="Times New Roman"/>
          <w:szCs w:val="24"/>
          <w:lang w:val="sv-SE"/>
        </w:rPr>
        <w:t>D.S.</w:t>
      </w:r>
      <w:r w:rsidRPr="009E0B85">
        <w:rPr>
          <w:rFonts w:eastAsia="Times New Roman"/>
          <w:szCs w:val="24"/>
          <w:lang w:val="sv-SE"/>
        </w:rPr>
        <w:br/>
        <w:t>T.L.E.</w:t>
      </w:r>
    </w:p>
    <w:p w:rsidRPr="00781D24" w:rsidR="00BC78CC" w:rsidP="008847BC">
      <w:pPr>
        <w:pStyle w:val="ECHRPara"/>
        <w:rPr>
          <w:rFonts w:eastAsia="Times New Roman"/>
          <w:lang w:val="sv-SE" w:eastAsia="fr-FR"/>
        </w:rPr>
        <w:sectPr w:rsidSect="008174E8">
          <w:headerReference w:type="even" r:id="rId13"/>
          <w:footnotePr>
            <w:numRestart w:val="eachPage"/>
          </w:footnotePr>
          <w:pgSz w:w="11906" w:h="16838" w:code="9"/>
          <w:pgMar w:top="2274" w:right="2274" w:bottom="2274" w:left="2274" w:header="1701" w:footer="720" w:gutter="0"/>
          <w:pgNumType w:start="1"/>
          <w:cols w:space="720"/>
          <w:docGrid w:linePitch="326"/>
        </w:sectPr>
      </w:pPr>
    </w:p>
    <w:p w:rsidRPr="00781D24" w:rsidR="00BC78CC" w:rsidP="008847BC">
      <w:pPr>
        <w:pStyle w:val="OpiPara"/>
        <w:rPr>
          <w:rFonts w:eastAsia="Times New Roman"/>
          <w:lang w:val="sv-SE" w:eastAsia="fr-FR"/>
        </w:rPr>
      </w:pPr>
    </w:p>
    <w:p w:rsidRPr="00781D24" w:rsidR="00F94EDD" w:rsidP="00F94EDD">
      <w:pPr>
        <w:pStyle w:val="ECHRTitleCentre1"/>
        <w:rPr>
          <w:rFonts w:eastAsia="Times New Roman"/>
          <w:szCs w:val="24"/>
          <w:lang w:val="sv-SE"/>
        </w:rPr>
      </w:pPr>
      <w:r w:rsidRPr="00394C16">
        <w:rPr>
          <w:rFonts w:eastAsia="Times New Roman"/>
          <w:szCs w:val="24"/>
          <w:lang w:val="sv-SE"/>
        </w:rPr>
        <w:t>GEMENSAM EGEN MOTIVERING FRÅN DOMARE YUDKIVSKA OCH DOMARE LEMMENS</w:t>
      </w:r>
    </w:p>
    <w:p w:rsidRPr="00781D24" w:rsidR="00F94EDD" w:rsidP="00F94EDD">
      <w:pPr>
        <w:pStyle w:val="OpiPara"/>
        <w:rPr>
          <w:rFonts w:eastAsia="Times New Roman"/>
          <w:szCs w:val="24"/>
          <w:lang w:val="sv-SE"/>
        </w:rPr>
      </w:pPr>
      <w:r w:rsidRPr="009E0B85">
        <w:rPr>
          <w:rFonts w:eastAsia="Times New Roman"/>
          <w:szCs w:val="24"/>
          <w:lang w:val="sv-SE"/>
        </w:rPr>
        <w:t>1.  Vi instämmer helhjärtat i slutsatsen att artikel 6 § 1 har kränkts.</w:t>
      </w:r>
    </w:p>
    <w:p w:rsidRPr="00781D24" w:rsidR="00F94EDD" w:rsidP="00F94EDD">
      <w:pPr>
        <w:pStyle w:val="OpiPara"/>
        <w:rPr>
          <w:rFonts w:eastAsia="Times New Roman"/>
          <w:szCs w:val="24"/>
          <w:lang w:val="sv-SE"/>
        </w:rPr>
      </w:pPr>
      <w:r w:rsidRPr="009E0B85">
        <w:rPr>
          <w:rFonts w:eastAsia="Times New Roman"/>
          <w:szCs w:val="24"/>
          <w:lang w:val="sv-SE"/>
        </w:rPr>
        <w:t>På den här punkten utgör domen ett viktigt steg framåt för det skydd som Konventionen erbjuder sökande som med framgång har överklagat en kränkning av sina grundläggande rättigheter, och som därefter försöker utverka att det nationella förfarandet återupptas.</w:t>
      </w:r>
    </w:p>
    <w:p w:rsidRPr="00781D24" w:rsidR="0026619E" w:rsidP="0026619E">
      <w:pPr>
        <w:pStyle w:val="OpiPara"/>
        <w:rPr>
          <w:rFonts w:eastAsia="Times New Roman"/>
          <w:szCs w:val="24"/>
          <w:lang w:val="sv-SE"/>
        </w:rPr>
      </w:pPr>
      <w:r w:rsidRPr="009E0B85">
        <w:rPr>
          <w:rFonts w:eastAsia="Times New Roman"/>
          <w:szCs w:val="24"/>
          <w:lang w:val="sv-SE"/>
        </w:rPr>
        <w:t>2.  Icke desto mindre skulle vi vilj</w:t>
      </w:r>
      <w:r w:rsidR="00955C14">
        <w:rPr>
          <w:rFonts w:eastAsia="Times New Roman"/>
          <w:szCs w:val="24"/>
          <w:lang w:val="sv-SE"/>
        </w:rPr>
        <w:t>a peka på att i den mån</w:t>
      </w:r>
      <w:r w:rsidRPr="009E0B85">
        <w:rPr>
          <w:rFonts w:eastAsia="Times New Roman"/>
          <w:szCs w:val="24"/>
          <w:lang w:val="sv-SE"/>
        </w:rPr>
        <w:t xml:space="preserve"> domen prövar tillämpligheten av artikel 6 § 1 på förfarandet i Högsta domstolen, skulle vi ha föredragit ett något vidare resonemang.</w:t>
      </w:r>
    </w:p>
    <w:p w:rsidRPr="00781D24" w:rsidR="0026619E" w:rsidP="0026619E">
      <w:pPr>
        <w:pStyle w:val="OpiPara"/>
        <w:rPr>
          <w:rFonts w:eastAsia="Times New Roman"/>
          <w:szCs w:val="24"/>
          <w:lang w:val="sv-SE"/>
        </w:rPr>
      </w:pPr>
      <w:r w:rsidRPr="009E0B85">
        <w:rPr>
          <w:szCs w:val="24"/>
          <w:lang w:val="sv-SE"/>
        </w:rPr>
        <w:t xml:space="preserve">Enligt vår uppfattning är det tillräckligt att </w:t>
      </w:r>
      <w:r w:rsidR="00955C14">
        <w:rPr>
          <w:szCs w:val="24"/>
          <w:lang w:val="sv-SE"/>
        </w:rPr>
        <w:t>konstatera att förfarandet avsåg</w:t>
      </w:r>
      <w:r w:rsidRPr="009E0B85">
        <w:rPr>
          <w:szCs w:val="24"/>
          <w:lang w:val="sv-SE"/>
        </w:rPr>
        <w:t xml:space="preserve"> den rättsliga prövningen av besluten i de nationella domstolarna, inklusive det ursprungliga beslutet i Högsta domstolen den 22 augusti 2002, sedan vår Domstol hade fastställt att förfarandet i Högsta domstolen hade varit orättvist.</w:t>
      </w:r>
      <w:r w:rsidRPr="00781D24">
        <w:rPr>
          <w:szCs w:val="24"/>
          <w:lang w:val="sv-SE"/>
        </w:rPr>
        <w:t xml:space="preserve"> </w:t>
      </w:r>
      <w:r w:rsidRPr="009E0B85">
        <w:rPr>
          <w:rFonts w:eastAsia="Times New Roman"/>
          <w:szCs w:val="24"/>
          <w:lang w:val="sv-SE"/>
        </w:rPr>
        <w:t>Vi lägger stor vikt vid det faktum att det exceptionella överklagande som ingavs av sökanden kan betraktas som en förlängning av det urs</w:t>
      </w:r>
      <w:r w:rsidR="00A63ACD">
        <w:rPr>
          <w:rFonts w:eastAsia="Times New Roman"/>
          <w:szCs w:val="24"/>
          <w:lang w:val="sv-SE"/>
        </w:rPr>
        <w:t>prungliga förfarandet, jämförbart</w:t>
      </w:r>
      <w:r w:rsidRPr="009E0B85">
        <w:rPr>
          <w:rFonts w:eastAsia="Times New Roman"/>
          <w:szCs w:val="24"/>
          <w:lang w:val="sv-SE"/>
        </w:rPr>
        <w:t xml:space="preserve"> med ett kassationsförfarande (se punkt 53 i domen).</w:t>
      </w:r>
    </w:p>
    <w:p w:rsidRPr="00781D24" w:rsidR="0026619E" w:rsidP="0026619E">
      <w:pPr>
        <w:pStyle w:val="OpiPara"/>
        <w:rPr>
          <w:rFonts w:eastAsia="Times New Roman"/>
          <w:szCs w:val="24"/>
          <w:lang w:val="sv-SE"/>
        </w:rPr>
      </w:pPr>
      <w:r w:rsidRPr="009E0B85">
        <w:rPr>
          <w:szCs w:val="24"/>
          <w:lang w:val="sv-SE"/>
        </w:rPr>
        <w:t>Vi anser däremot inte att det är nödvändigt att ta hänsyn till på vilket sätt Högsta domstolen faktiskt fullgjorde sina funktioner i det exceptionella besvärsförfarandet (se punkt 54 i domen).</w:t>
      </w:r>
      <w:r w:rsidRPr="00781D24">
        <w:rPr>
          <w:szCs w:val="24"/>
          <w:lang w:val="sv-SE"/>
        </w:rPr>
        <w:t xml:space="preserve"> </w:t>
      </w:r>
      <w:r w:rsidRPr="009E0B85">
        <w:rPr>
          <w:rFonts w:eastAsia="Times New Roman"/>
          <w:szCs w:val="24"/>
          <w:lang w:val="sv-SE"/>
        </w:rPr>
        <w:t>Huruvida artikel 6 § 1 är tillämplig bör inte bero på resultat</w:t>
      </w:r>
      <w:r w:rsidR="00A63ACD">
        <w:rPr>
          <w:rFonts w:eastAsia="Times New Roman"/>
          <w:szCs w:val="24"/>
          <w:lang w:val="sv-SE"/>
        </w:rPr>
        <w:t>et</w:t>
      </w:r>
      <w:r w:rsidRPr="009E0B85">
        <w:rPr>
          <w:rFonts w:eastAsia="Times New Roman"/>
          <w:szCs w:val="24"/>
          <w:lang w:val="sv-SE"/>
        </w:rPr>
        <w:t xml:space="preserve"> av förfarandet, i synnerhet inte på det faktum att kassationsdomstolen i viss mån kan ha </w:t>
      </w:r>
      <w:r w:rsidRPr="00EA2CE3">
        <w:rPr>
          <w:rFonts w:eastAsia="Times New Roman"/>
          <w:szCs w:val="24"/>
          <w:lang w:val="sv-SE"/>
        </w:rPr>
        <w:t xml:space="preserve">prövat </w:t>
      </w:r>
      <w:r w:rsidRPr="00EA2CE3" w:rsidR="00EA2CE3">
        <w:rPr>
          <w:rFonts w:eastAsia="Times New Roman"/>
          <w:szCs w:val="24"/>
          <w:lang w:val="sv-SE"/>
        </w:rPr>
        <w:t>omständigheterna</w:t>
      </w:r>
      <w:r w:rsidRPr="00EA2CE3">
        <w:rPr>
          <w:rFonts w:eastAsia="Times New Roman"/>
          <w:szCs w:val="24"/>
          <w:lang w:val="sv-SE"/>
        </w:rPr>
        <w:t xml:space="preserve"> i det ursprungliga anspråket.</w:t>
      </w:r>
    </w:p>
    <w:p w:rsidRPr="00781D24" w:rsidR="0026619E" w:rsidP="0026619E">
      <w:pPr>
        <w:pStyle w:val="OpiPara"/>
        <w:rPr>
          <w:rFonts w:eastAsia="Times New Roman"/>
          <w:szCs w:val="24"/>
          <w:lang w:val="sv-SE"/>
        </w:rPr>
      </w:pPr>
      <w:r w:rsidRPr="009E0B85">
        <w:rPr>
          <w:rFonts w:eastAsia="Times New Roman"/>
          <w:szCs w:val="24"/>
          <w:lang w:val="sv-SE"/>
        </w:rPr>
        <w:t xml:space="preserve">3.  Vi vill </w:t>
      </w:r>
      <w:r w:rsidR="00A63ACD">
        <w:rPr>
          <w:rFonts w:eastAsia="Times New Roman"/>
          <w:szCs w:val="24"/>
          <w:lang w:val="sv-SE"/>
        </w:rPr>
        <w:t xml:space="preserve">också understryka att </w:t>
      </w:r>
      <w:r w:rsidR="0052399A">
        <w:rPr>
          <w:rFonts w:eastAsia="Times New Roman"/>
          <w:i/>
          <w:szCs w:val="24"/>
          <w:lang w:val="sv-SE"/>
        </w:rPr>
        <w:t>res j</w:t>
      </w:r>
      <w:r w:rsidRPr="009E0B85">
        <w:rPr>
          <w:rFonts w:eastAsia="Times New Roman"/>
          <w:i/>
          <w:szCs w:val="24"/>
          <w:lang w:val="sv-SE"/>
        </w:rPr>
        <w:t>udicata</w:t>
      </w:r>
      <w:r w:rsidR="00A63ACD">
        <w:rPr>
          <w:rFonts w:eastAsia="Times New Roman"/>
          <w:szCs w:val="24"/>
          <w:lang w:val="sv-SE"/>
        </w:rPr>
        <w:t xml:space="preserve"> och rättssäkerhetsprincipen</w:t>
      </w:r>
      <w:r w:rsidRPr="009E0B85">
        <w:rPr>
          <w:rFonts w:eastAsia="Times New Roman"/>
          <w:szCs w:val="24"/>
          <w:lang w:val="sv-SE"/>
        </w:rPr>
        <w:t xml:space="preserve"> som det hänvisas till </w:t>
      </w:r>
      <w:r w:rsidR="00A63ACD">
        <w:rPr>
          <w:rFonts w:eastAsia="Times New Roman"/>
          <w:szCs w:val="24"/>
          <w:lang w:val="sv-SE"/>
        </w:rPr>
        <w:t xml:space="preserve">i punkt 57 i domen inte </w:t>
      </w:r>
      <w:r w:rsidRPr="00EA2CE3" w:rsidR="00A63ACD">
        <w:rPr>
          <w:rFonts w:eastAsia="Times New Roman"/>
          <w:szCs w:val="24"/>
          <w:lang w:val="sv-SE"/>
        </w:rPr>
        <w:t>kan bli otillbörligt satt</w:t>
      </w:r>
      <w:r w:rsidRPr="00EA2CE3" w:rsidR="00EA2CE3">
        <w:rPr>
          <w:rFonts w:eastAsia="Times New Roman"/>
          <w:szCs w:val="24"/>
          <w:lang w:val="sv-SE"/>
        </w:rPr>
        <w:t>a</w:t>
      </w:r>
      <w:r w:rsidRPr="00EA2CE3" w:rsidR="00A63ACD">
        <w:rPr>
          <w:rFonts w:eastAsia="Times New Roman"/>
          <w:szCs w:val="24"/>
          <w:lang w:val="sv-SE"/>
        </w:rPr>
        <w:t xml:space="preserve"> ur spel</w:t>
      </w:r>
      <w:r w:rsidRPr="00EA2CE3">
        <w:rPr>
          <w:rFonts w:eastAsia="Times New Roman"/>
          <w:szCs w:val="24"/>
          <w:lang w:val="sv-SE"/>
        </w:rPr>
        <w:t xml:space="preserve"> </w:t>
      </w:r>
      <w:r w:rsidRPr="005A4E6A">
        <w:rPr>
          <w:rFonts w:eastAsia="Times New Roman"/>
          <w:szCs w:val="24"/>
          <w:lang w:val="sv-SE"/>
        </w:rPr>
        <w:t>i m</w:t>
      </w:r>
      <w:r w:rsidRPr="009E0B85">
        <w:rPr>
          <w:rFonts w:eastAsia="Times New Roman"/>
          <w:szCs w:val="24"/>
          <w:lang w:val="sv-SE"/>
        </w:rPr>
        <w:t>ål som detta, eftersom möjligheten att återuppta avslutade förhandlingar redan inledningsvis stadgas i nationell lag.</w:t>
      </w:r>
    </w:p>
    <w:p w:rsidRPr="00781D24" w:rsidR="0026619E" w:rsidP="0026619E">
      <w:pPr>
        <w:pStyle w:val="OpiPara"/>
        <w:rPr>
          <w:rFonts w:eastAsia="Times New Roman"/>
          <w:szCs w:val="24"/>
          <w:lang w:val="sv-SE"/>
        </w:rPr>
      </w:pPr>
      <w:r w:rsidRPr="009E0B85">
        <w:rPr>
          <w:szCs w:val="24"/>
          <w:lang w:val="sv-SE"/>
        </w:rPr>
        <w:t>I detta avseende up</w:t>
      </w:r>
      <w:r w:rsidR="0052399A">
        <w:rPr>
          <w:szCs w:val="24"/>
          <w:lang w:val="sv-SE"/>
        </w:rPr>
        <w:t>prepar vi att Konventionen ska</w:t>
      </w:r>
      <w:r w:rsidRPr="009E0B85">
        <w:rPr>
          <w:szCs w:val="24"/>
          <w:lang w:val="sv-SE"/>
        </w:rPr>
        <w:t xml:space="preserve"> tolkas som att den garanterar rättigheter som är genomförbara och faktiska.</w:t>
      </w:r>
      <w:r w:rsidRPr="00781D24">
        <w:rPr>
          <w:szCs w:val="24"/>
          <w:lang w:val="sv-SE"/>
        </w:rPr>
        <w:t xml:space="preserve"> </w:t>
      </w:r>
      <w:r w:rsidRPr="009E0B85">
        <w:rPr>
          <w:rFonts w:eastAsia="Times New Roman"/>
          <w:szCs w:val="24"/>
          <w:lang w:val="sv-SE"/>
        </w:rPr>
        <w:t>Vi understryker, som en principsak, att om det inte går att ändra nationella bes</w:t>
      </w:r>
      <w:r w:rsidR="00A63ACD">
        <w:rPr>
          <w:rFonts w:eastAsia="Times New Roman"/>
          <w:szCs w:val="24"/>
          <w:lang w:val="sv-SE"/>
        </w:rPr>
        <w:t>lut som denna Domstol konstaterat</w:t>
      </w:r>
      <w:r w:rsidRPr="009E0B85">
        <w:rPr>
          <w:rFonts w:eastAsia="Times New Roman"/>
          <w:szCs w:val="24"/>
          <w:lang w:val="sv-SE"/>
        </w:rPr>
        <w:t xml:space="preserve"> vara et</w:t>
      </w:r>
      <w:r w:rsidR="002863CA">
        <w:rPr>
          <w:rFonts w:eastAsia="Times New Roman"/>
          <w:szCs w:val="24"/>
          <w:lang w:val="sv-SE"/>
        </w:rPr>
        <w:t xml:space="preserve">t brott mot Konventionen kan det leda till </w:t>
      </w:r>
      <w:r w:rsidRPr="009E0B85">
        <w:rPr>
          <w:rFonts w:eastAsia="Times New Roman"/>
          <w:szCs w:val="24"/>
          <w:lang w:val="sv-SE"/>
        </w:rPr>
        <w:t>att Domstolens domar berövas mycket av sin ve</w:t>
      </w:r>
      <w:r w:rsidR="002863CA">
        <w:rPr>
          <w:rFonts w:eastAsia="Times New Roman"/>
          <w:szCs w:val="24"/>
          <w:lang w:val="sv-SE"/>
        </w:rPr>
        <w:t>rkliga inverkan, och därmed skulle</w:t>
      </w:r>
      <w:r w:rsidRPr="009E0B85">
        <w:rPr>
          <w:rFonts w:eastAsia="Times New Roman"/>
          <w:szCs w:val="24"/>
          <w:lang w:val="sv-SE"/>
        </w:rPr>
        <w:t xml:space="preserve"> rättsmedlet Strasbourg</w:t>
      </w:r>
      <w:r w:rsidR="002863CA">
        <w:rPr>
          <w:rFonts w:eastAsia="Times New Roman"/>
          <w:szCs w:val="24"/>
          <w:lang w:val="sv-SE"/>
        </w:rPr>
        <w:t xml:space="preserve"> bli</w:t>
      </w:r>
      <w:r w:rsidRPr="009E0B85">
        <w:rPr>
          <w:rFonts w:eastAsia="Times New Roman"/>
          <w:szCs w:val="24"/>
          <w:lang w:val="sv-SE"/>
        </w:rPr>
        <w:t xml:space="preserve"> illusoriskt.</w:t>
      </w:r>
    </w:p>
    <w:p w:rsidRPr="00781D24" w:rsidR="0026619E" w:rsidP="0026619E">
      <w:pPr>
        <w:pStyle w:val="OpiPara"/>
        <w:rPr>
          <w:rFonts w:eastAsia="Times New Roman"/>
          <w:szCs w:val="24"/>
          <w:lang w:val="sv-SE"/>
        </w:rPr>
      </w:pPr>
      <w:r w:rsidRPr="009E0B85">
        <w:rPr>
          <w:rFonts w:eastAsia="Times New Roman"/>
          <w:szCs w:val="24"/>
          <w:lang w:val="sv-SE"/>
        </w:rPr>
        <w:t>4.  Vi passar på att konstatera att vi i allmänhet skulle föredra en mycket vidare syn på tillämpligheten av artikel 6 § 1 i civilmål.</w:t>
      </w:r>
    </w:p>
    <w:p w:rsidRPr="00781D24" w:rsidR="00C75C3B" w:rsidP="00C75C3B">
      <w:pPr>
        <w:pStyle w:val="OpiPara"/>
        <w:rPr>
          <w:rFonts w:eastAsia="Times New Roman"/>
          <w:szCs w:val="24"/>
          <w:lang w:val="sv-SE"/>
        </w:rPr>
      </w:pPr>
      <w:r w:rsidRPr="009E0B85">
        <w:rPr>
          <w:szCs w:val="24"/>
          <w:lang w:val="sv-SE"/>
        </w:rPr>
        <w:t xml:space="preserve">Vi bör fråga oss om artikel 6 § 1 inte är tillämplig på </w:t>
      </w:r>
      <w:r w:rsidRPr="009E0B85">
        <w:rPr>
          <w:i/>
          <w:szCs w:val="24"/>
          <w:lang w:val="sv-SE"/>
        </w:rPr>
        <w:t xml:space="preserve">alla </w:t>
      </w:r>
      <w:r w:rsidRPr="009E0B85">
        <w:rPr>
          <w:szCs w:val="24"/>
          <w:lang w:val="sv-SE"/>
        </w:rPr>
        <w:t>domstolsförfaranden rörande rättigheter eller intressen som skyddas i lag, oavsett i vilken utsträckning de anses avgörande för fastställandet av (civila) rättigheter och skyldigheter.</w:t>
      </w:r>
      <w:r w:rsidRPr="00781D24">
        <w:rPr>
          <w:szCs w:val="24"/>
          <w:lang w:val="sv-SE"/>
        </w:rPr>
        <w:t xml:space="preserve"> </w:t>
      </w:r>
      <w:r w:rsidRPr="009E0B85">
        <w:rPr>
          <w:rFonts w:eastAsia="Times New Roman"/>
          <w:szCs w:val="24"/>
          <w:lang w:val="sv-SE"/>
        </w:rPr>
        <w:t xml:space="preserve">Med den inställningen skulle </w:t>
      </w:r>
      <w:r w:rsidR="00EA2CE3">
        <w:rPr>
          <w:rFonts w:eastAsia="Times New Roman"/>
          <w:szCs w:val="24"/>
          <w:lang w:val="sv-SE"/>
        </w:rPr>
        <w:t>den långdragna</w:t>
      </w:r>
      <w:r w:rsidRPr="009E0B85">
        <w:rPr>
          <w:rFonts w:eastAsia="Times New Roman"/>
          <w:szCs w:val="24"/>
          <w:lang w:val="sv-SE"/>
        </w:rPr>
        <w:t xml:space="preserve"> </w:t>
      </w:r>
      <w:r w:rsidRPr="009E0B85">
        <w:rPr>
          <w:rFonts w:eastAsia="Times New Roman"/>
          <w:szCs w:val="24"/>
          <w:lang w:val="sv-SE"/>
        </w:rPr>
        <w:t>prövning</w:t>
      </w:r>
      <w:r w:rsidR="00EA2CE3">
        <w:rPr>
          <w:rFonts w:eastAsia="Times New Roman"/>
          <w:szCs w:val="24"/>
          <w:lang w:val="sv-SE"/>
        </w:rPr>
        <w:t>en</w:t>
      </w:r>
      <w:r w:rsidRPr="009E0B85">
        <w:rPr>
          <w:rFonts w:eastAsia="Times New Roman"/>
          <w:szCs w:val="24"/>
          <w:lang w:val="sv-SE"/>
        </w:rPr>
        <w:t xml:space="preserve"> av huruvida specifika förfaranden, med hänsyn till sina specifika särdrag, faller inom artikel 6 § 1 undgås.</w:t>
      </w:r>
    </w:p>
    <w:p w:rsidRPr="00781D24" w:rsidR="00C302FE" w:rsidP="008847BC">
      <w:pPr>
        <w:pStyle w:val="ECHRPara"/>
        <w:rPr>
          <w:lang w:val="sv-SE"/>
        </w:rPr>
      </w:pPr>
      <w:r w:rsidRPr="00781D24">
        <w:rPr>
          <w:lang w:val="sv-SE"/>
        </w:rPr>
        <w:br w:type="page"/>
      </w:r>
    </w:p>
    <w:p w:rsidRPr="00781D24" w:rsidR="005C514F" w:rsidP="005C514F">
      <w:pPr>
        <w:pStyle w:val="ECHRTitleCentre1"/>
        <w:spacing w:before="480"/>
        <w:rPr>
          <w:rFonts w:eastAsia="Times New Roman"/>
          <w:szCs w:val="24"/>
          <w:lang w:val="sv-SE"/>
        </w:rPr>
      </w:pPr>
      <w:r w:rsidRPr="009E0B85">
        <w:rPr>
          <w:rFonts w:eastAsia="Times New Roman"/>
          <w:szCs w:val="24"/>
          <w:lang w:val="sv-SE"/>
        </w:rPr>
        <w:t>EGEN MOTIVERING FRÅN DOMARE WOJTYCZEK</w:t>
      </w:r>
    </w:p>
    <w:p w:rsidRPr="009E0B85" w:rsidR="005C514F" w:rsidP="005C514F">
      <w:pPr>
        <w:pStyle w:val="OpiTranslation"/>
        <w:rPr>
          <w:rFonts w:eastAsia="Times New Roman"/>
          <w:szCs w:val="24"/>
          <w:lang w:val="uk-UA"/>
        </w:rPr>
      </w:pPr>
      <w:r w:rsidRPr="009E0B85">
        <w:rPr>
          <w:rFonts w:eastAsia="Times New Roman"/>
          <w:szCs w:val="24"/>
          <w:lang w:val="sv-SE"/>
        </w:rPr>
        <w:t>(Översättning)</w:t>
      </w:r>
    </w:p>
    <w:p w:rsidRPr="009E0B85" w:rsidR="00A153E9" w:rsidP="00A153E9">
      <w:pPr>
        <w:pStyle w:val="OpiPara"/>
        <w:rPr>
          <w:lang w:val="uk-UA"/>
        </w:rPr>
      </w:pPr>
    </w:p>
    <w:p w:rsidRPr="00781D24" w:rsidR="004550D8" w:rsidP="004550D8">
      <w:pPr>
        <w:pStyle w:val="OpiPara"/>
        <w:rPr>
          <w:rFonts w:eastAsia="Times New Roman"/>
          <w:szCs w:val="24"/>
          <w:lang w:val="sv-SE"/>
        </w:rPr>
      </w:pPr>
      <w:r w:rsidRPr="009E0B85">
        <w:rPr>
          <w:szCs w:val="24"/>
          <w:lang w:val="sv-SE"/>
        </w:rPr>
        <w:t xml:space="preserve">1.  I det </w:t>
      </w:r>
      <w:r w:rsidR="00B1727B">
        <w:rPr>
          <w:szCs w:val="24"/>
          <w:lang w:val="sv-SE"/>
        </w:rPr>
        <w:t xml:space="preserve">nu </w:t>
      </w:r>
      <w:r w:rsidRPr="009E0B85">
        <w:rPr>
          <w:szCs w:val="24"/>
          <w:lang w:val="sv-SE"/>
        </w:rPr>
        <w:t>aktuella målet röstade jag med majoriteten i fastställandet av en kränkning av artikel 6 § 1 i Konventionen.</w:t>
      </w:r>
      <w:r w:rsidRPr="00781D24">
        <w:rPr>
          <w:szCs w:val="24"/>
          <w:lang w:val="sv-SE"/>
        </w:rPr>
        <w:t xml:space="preserve"> </w:t>
      </w:r>
      <w:r w:rsidRPr="009E0B85">
        <w:rPr>
          <w:rFonts w:eastAsia="Times New Roman"/>
          <w:szCs w:val="24"/>
          <w:lang w:val="sv-SE"/>
        </w:rPr>
        <w:t xml:space="preserve">Men jag är lite tveksam till </w:t>
      </w:r>
      <w:r w:rsidR="00EA2CE3">
        <w:rPr>
          <w:rFonts w:eastAsia="Times New Roman"/>
          <w:szCs w:val="24"/>
          <w:lang w:val="sv-SE"/>
        </w:rPr>
        <w:t>motiveringen</w:t>
      </w:r>
      <w:r w:rsidRPr="009E0B85">
        <w:rPr>
          <w:rFonts w:eastAsia="Times New Roman"/>
          <w:szCs w:val="24"/>
          <w:lang w:val="sv-SE"/>
        </w:rPr>
        <w:t xml:space="preserve"> och i synnerhet </w:t>
      </w:r>
      <w:r w:rsidR="009D0D35">
        <w:rPr>
          <w:rFonts w:eastAsia="Times New Roman"/>
          <w:szCs w:val="24"/>
          <w:lang w:val="sv-SE"/>
        </w:rPr>
        <w:t xml:space="preserve">till </w:t>
      </w:r>
      <w:r w:rsidRPr="009E0B85">
        <w:rPr>
          <w:rFonts w:eastAsia="Times New Roman"/>
          <w:szCs w:val="24"/>
          <w:lang w:val="sv-SE"/>
        </w:rPr>
        <w:t>synpunkterna på tillämligheten av artikel 6 på förfaranden som prövar extraordinära överklaganden mot domstolsbeslut.</w:t>
      </w:r>
    </w:p>
    <w:p w:rsidRPr="00781D24" w:rsidR="004550D8" w:rsidP="004550D8">
      <w:pPr>
        <w:pStyle w:val="OpiPara"/>
        <w:rPr>
          <w:rFonts w:eastAsia="Times New Roman"/>
          <w:szCs w:val="24"/>
          <w:lang w:val="sv-SE"/>
        </w:rPr>
      </w:pPr>
      <w:r w:rsidRPr="009E0B85">
        <w:rPr>
          <w:szCs w:val="24"/>
          <w:lang w:val="sv-SE"/>
        </w:rPr>
        <w:t>2.  Frågan huruvida o</w:t>
      </w:r>
      <w:r w:rsidR="00B1727B">
        <w:rPr>
          <w:szCs w:val="24"/>
          <w:lang w:val="sv-SE"/>
        </w:rPr>
        <w:t>ch i vilken mån artikel 6 är tillämplig på</w:t>
      </w:r>
      <w:r w:rsidRPr="009E0B85">
        <w:rPr>
          <w:szCs w:val="24"/>
          <w:lang w:val="sv-SE"/>
        </w:rPr>
        <w:t xml:space="preserve"> förfaranden som prövar extraordinära överklaganden mot domstolsbeslut eller enskilda förvaltningsbeslut är mycket svår, med tanke på processrättens komplexitet och variationerna i Europa.</w:t>
      </w:r>
      <w:r w:rsidRPr="00781D24">
        <w:rPr>
          <w:szCs w:val="24"/>
          <w:lang w:val="sv-SE"/>
        </w:rPr>
        <w:t xml:space="preserve"> </w:t>
      </w:r>
      <w:r w:rsidRPr="009E0B85">
        <w:rPr>
          <w:rFonts w:eastAsia="Times New Roman"/>
          <w:szCs w:val="24"/>
          <w:lang w:val="sv-SE"/>
        </w:rPr>
        <w:t>Förutom de betydande svårigheterna finns det lingvistiska problem som är särskilt svåra på det</w:t>
      </w:r>
      <w:r w:rsidR="009D0D35">
        <w:rPr>
          <w:rFonts w:eastAsia="Times New Roman"/>
          <w:szCs w:val="24"/>
          <w:lang w:val="sv-SE"/>
        </w:rPr>
        <w:t xml:space="preserve">ta rättsområde eftersom </w:t>
      </w:r>
      <w:r w:rsidRPr="009E0B85">
        <w:rPr>
          <w:rFonts w:eastAsia="Times New Roman"/>
          <w:szCs w:val="24"/>
          <w:lang w:val="sv-SE"/>
        </w:rPr>
        <w:t>många av de termer som används i fördragspartern</w:t>
      </w:r>
      <w:r w:rsidR="009D0D35">
        <w:rPr>
          <w:rFonts w:eastAsia="Times New Roman"/>
          <w:szCs w:val="24"/>
          <w:lang w:val="sv-SE"/>
        </w:rPr>
        <w:t>as lagstiftning saknar</w:t>
      </w:r>
      <w:r w:rsidRPr="009E0B85">
        <w:rPr>
          <w:rFonts w:eastAsia="Times New Roman"/>
          <w:szCs w:val="24"/>
          <w:lang w:val="sv-SE"/>
        </w:rPr>
        <w:t xml:space="preserve"> motsvarighet i Domstolens språk.</w:t>
      </w:r>
    </w:p>
    <w:p w:rsidRPr="00781D24" w:rsidR="000D54F2" w:rsidP="000D54F2">
      <w:pPr>
        <w:pStyle w:val="OpiPara"/>
        <w:rPr>
          <w:rFonts w:eastAsia="Times New Roman"/>
          <w:szCs w:val="24"/>
          <w:lang w:val="sv-SE"/>
        </w:rPr>
      </w:pPr>
      <w:r w:rsidRPr="009E0B85">
        <w:rPr>
          <w:szCs w:val="24"/>
          <w:lang w:val="sv-SE"/>
        </w:rPr>
        <w:t xml:space="preserve">Jag konstaterar att Domstolen i sin tidigare rättspraxis har accepterat att artikel 6 är tillämplig </w:t>
      </w:r>
      <w:r w:rsidRPr="00EA2CE3">
        <w:rPr>
          <w:szCs w:val="24"/>
          <w:lang w:val="sv-SE"/>
        </w:rPr>
        <w:t>på ”kassationsbesvär” i domstolsförfaranden</w:t>
      </w:r>
      <w:r w:rsidRPr="009E0B85">
        <w:rPr>
          <w:szCs w:val="24"/>
          <w:lang w:val="sv-SE"/>
        </w:rPr>
        <w:t xml:space="preserve"> i vissa stater, även när ett sådant överklagande betraktas som ett extraordinärt rättsmedel enligt nationell lag.</w:t>
      </w:r>
      <w:r w:rsidRPr="00781D24">
        <w:rPr>
          <w:szCs w:val="24"/>
          <w:lang w:val="sv-SE"/>
        </w:rPr>
        <w:t xml:space="preserve"> </w:t>
      </w:r>
      <w:r w:rsidRPr="009E0B85">
        <w:rPr>
          <w:szCs w:val="24"/>
          <w:lang w:val="sv-SE"/>
        </w:rPr>
        <w:t>Å andra sidan har Domstolen ansett att artikel 6 i princip inte är tillämplig på förfarande</w:t>
      </w:r>
      <w:r w:rsidR="009D0D35">
        <w:rPr>
          <w:szCs w:val="24"/>
          <w:lang w:val="sv-SE"/>
        </w:rPr>
        <w:t>n där en begäran om ”</w:t>
      </w:r>
      <w:r w:rsidRPr="009E0B85">
        <w:rPr>
          <w:szCs w:val="24"/>
          <w:lang w:val="sv-SE"/>
        </w:rPr>
        <w:t xml:space="preserve">återupptagande av domstolsförfarande” prövas (jfr de domar som citeras i punkt 44 i domen). </w:t>
      </w:r>
      <w:r w:rsidRPr="00781D24">
        <w:rPr>
          <w:szCs w:val="24"/>
          <w:lang w:val="sv-SE"/>
        </w:rPr>
        <w:t xml:space="preserve"> </w:t>
      </w:r>
      <w:r w:rsidRPr="009E0B85">
        <w:rPr>
          <w:rFonts w:eastAsia="Times New Roman"/>
          <w:szCs w:val="24"/>
          <w:lang w:val="sv-SE"/>
        </w:rPr>
        <w:t xml:space="preserve">Samtidigt ansåg Domstolen i flera fall att artikel 6 var tillämplig på andra extraordinära rättsmedel som föreskrivs i vissa stater (jfr, i synnerhet domarna i </w:t>
      </w:r>
      <w:r w:rsidRPr="009E0B85">
        <w:rPr>
          <w:rFonts w:eastAsia="Times New Roman"/>
          <w:i/>
          <w:szCs w:val="24"/>
          <w:lang w:val="sv-SE"/>
        </w:rPr>
        <w:t>Melis v. Greece</w:t>
      </w:r>
      <w:r w:rsidRPr="009E0B85">
        <w:rPr>
          <w:rFonts w:eastAsia="Times New Roman"/>
          <w:szCs w:val="24"/>
          <w:lang w:val="sv-SE"/>
        </w:rPr>
        <w:t>,</w:t>
      </w:r>
      <w:r w:rsidRPr="009E0B85">
        <w:rPr>
          <w:rFonts w:eastAsia="Times New Roman"/>
          <w:i/>
          <w:szCs w:val="24"/>
          <w:lang w:val="sv-SE"/>
        </w:rPr>
        <w:t xml:space="preserve"> </w:t>
      </w:r>
      <w:r w:rsidRPr="009E0B85">
        <w:rPr>
          <w:rFonts w:eastAsia="Times New Roman"/>
          <w:szCs w:val="24"/>
          <w:lang w:val="sv-SE"/>
        </w:rPr>
        <w:t xml:space="preserve">nr 30604/07, § 19, 22 juli 2010; </w:t>
      </w:r>
      <w:r w:rsidRPr="009E0B85">
        <w:rPr>
          <w:rFonts w:eastAsia="Times New Roman"/>
          <w:i/>
          <w:szCs w:val="24"/>
          <w:lang w:val="sv-SE"/>
        </w:rPr>
        <w:t>San Leonard Band Club v. Malta</w:t>
      </w:r>
      <w:r w:rsidRPr="009E0B85">
        <w:rPr>
          <w:rFonts w:eastAsia="Times New Roman"/>
          <w:szCs w:val="24"/>
          <w:lang w:val="sv-SE"/>
        </w:rPr>
        <w:t>,</w:t>
      </w:r>
      <w:r w:rsidRPr="009E0B85">
        <w:rPr>
          <w:rFonts w:eastAsia="Times New Roman"/>
          <w:i/>
          <w:szCs w:val="24"/>
          <w:lang w:val="sv-SE"/>
        </w:rPr>
        <w:t xml:space="preserve"> </w:t>
      </w:r>
      <w:r w:rsidRPr="009E0B85">
        <w:rPr>
          <w:rFonts w:eastAsia="Times New Roman"/>
          <w:szCs w:val="24"/>
          <w:lang w:val="sv-SE"/>
        </w:rPr>
        <w:t xml:space="preserve">nr 77562/01, ECHR 2004-IX; </w:t>
      </w:r>
      <w:r w:rsidRPr="009E0B85">
        <w:rPr>
          <w:rFonts w:eastAsia="Times New Roman"/>
          <w:i/>
          <w:szCs w:val="24"/>
          <w:lang w:val="sv-SE"/>
        </w:rPr>
        <w:t>Maresti v. Croatia</w:t>
      </w:r>
      <w:r w:rsidRPr="009E0B85">
        <w:rPr>
          <w:rFonts w:eastAsia="Times New Roman"/>
          <w:szCs w:val="24"/>
          <w:lang w:val="sv-SE"/>
        </w:rPr>
        <w:t xml:space="preserve">, nr 55759/07, 25 juni 2009; och </w:t>
      </w:r>
      <w:r w:rsidRPr="009E0B85">
        <w:rPr>
          <w:rFonts w:eastAsia="Times New Roman"/>
          <w:i/>
          <w:szCs w:val="24"/>
          <w:lang w:val="sv-SE"/>
        </w:rPr>
        <w:t>J.S. and A.S. v. Poland</w:t>
      </w:r>
      <w:r w:rsidRPr="009E0B85">
        <w:rPr>
          <w:rFonts w:eastAsia="Times New Roman"/>
          <w:szCs w:val="24"/>
          <w:lang w:val="sv-SE"/>
        </w:rPr>
        <w:t xml:space="preserve">, nr 40732/98, 24 maj 2005). </w:t>
      </w:r>
    </w:p>
    <w:p w:rsidRPr="00781D24" w:rsidR="009C3826" w:rsidP="009C3826">
      <w:pPr>
        <w:pStyle w:val="OpiPara"/>
        <w:rPr>
          <w:rFonts w:eastAsia="Times New Roman"/>
          <w:szCs w:val="24"/>
          <w:lang w:val="sv-SE"/>
        </w:rPr>
      </w:pPr>
      <w:r w:rsidRPr="009E0B85">
        <w:rPr>
          <w:szCs w:val="24"/>
          <w:lang w:val="sv-SE"/>
        </w:rPr>
        <w:t xml:space="preserve">I dessa domar presenteras varierande argument för att styrka </w:t>
      </w:r>
      <w:r w:rsidR="00B1727B">
        <w:rPr>
          <w:szCs w:val="24"/>
          <w:lang w:val="sv-SE"/>
        </w:rPr>
        <w:t xml:space="preserve">att </w:t>
      </w:r>
      <w:r w:rsidRPr="009E0B85">
        <w:rPr>
          <w:szCs w:val="24"/>
          <w:lang w:val="sv-SE"/>
        </w:rPr>
        <w:t>artikel 6</w:t>
      </w:r>
      <w:r w:rsidR="00B1727B">
        <w:rPr>
          <w:szCs w:val="24"/>
          <w:lang w:val="sv-SE"/>
        </w:rPr>
        <w:t xml:space="preserve"> är tillämplig</w:t>
      </w:r>
      <w:r w:rsidRPr="009E0B85">
        <w:rPr>
          <w:szCs w:val="24"/>
          <w:lang w:val="sv-SE"/>
        </w:rPr>
        <w:t xml:space="preserve">. I </w:t>
      </w:r>
      <w:r w:rsidRPr="009E0B85">
        <w:rPr>
          <w:i/>
          <w:szCs w:val="24"/>
          <w:lang w:val="sv-SE"/>
        </w:rPr>
        <w:t>San Leonard Band Club</w:t>
      </w:r>
      <w:r w:rsidRPr="009E0B85">
        <w:rPr>
          <w:szCs w:val="24"/>
          <w:lang w:val="sv-SE"/>
        </w:rPr>
        <w:t>, som avsåg en begäran om ny brottmålsrättegång, betonade Domstolen tre faktorer:</w:t>
      </w:r>
      <w:r w:rsidRPr="00781D24">
        <w:rPr>
          <w:szCs w:val="24"/>
          <w:lang w:val="sv-SE"/>
        </w:rPr>
        <w:t xml:space="preserve"> </w:t>
      </w:r>
      <w:r w:rsidRPr="009E0B85">
        <w:rPr>
          <w:rFonts w:eastAsia="Times New Roman"/>
          <w:szCs w:val="24"/>
          <w:lang w:val="sv-SE"/>
        </w:rPr>
        <w:t xml:space="preserve">(1) en begäran om ny rättegång var </w:t>
      </w:r>
      <w:r w:rsidR="009D0D35">
        <w:rPr>
          <w:rFonts w:eastAsia="Times New Roman"/>
          <w:szCs w:val="24"/>
          <w:lang w:val="sv-SE"/>
        </w:rPr>
        <w:t xml:space="preserve">enligt maltesisk lag </w:t>
      </w:r>
      <w:r w:rsidRPr="009E0B85">
        <w:rPr>
          <w:rFonts w:eastAsia="Times New Roman"/>
          <w:szCs w:val="24"/>
          <w:lang w:val="sv-SE"/>
        </w:rPr>
        <w:t>det e</w:t>
      </w:r>
      <w:r w:rsidR="009D0D35">
        <w:rPr>
          <w:rFonts w:eastAsia="Times New Roman"/>
          <w:szCs w:val="24"/>
          <w:lang w:val="sv-SE"/>
        </w:rPr>
        <w:t>nda sättet att invända mot</w:t>
      </w:r>
      <w:r w:rsidRPr="009E0B85">
        <w:rPr>
          <w:rFonts w:eastAsia="Times New Roman"/>
          <w:szCs w:val="24"/>
          <w:lang w:val="sv-SE"/>
        </w:rPr>
        <w:t xml:space="preserve"> ett beslut som hade </w:t>
      </w:r>
      <w:r w:rsidRPr="00EA2CE3">
        <w:rPr>
          <w:rFonts w:eastAsia="Times New Roman"/>
          <w:szCs w:val="24"/>
          <w:lang w:val="sv-SE"/>
        </w:rPr>
        <w:t>fastställts efter överklagande</w:t>
      </w:r>
      <w:r w:rsidRPr="00EA2CE3" w:rsidR="009D0D35">
        <w:rPr>
          <w:rFonts w:eastAsia="Times New Roman"/>
          <w:szCs w:val="24"/>
          <w:lang w:val="sv-SE"/>
        </w:rPr>
        <w:t>;</w:t>
      </w:r>
      <w:r w:rsidR="009D0D35">
        <w:rPr>
          <w:rFonts w:eastAsia="Times New Roman"/>
          <w:szCs w:val="24"/>
          <w:lang w:val="sv-SE"/>
        </w:rPr>
        <w:t xml:space="preserve"> (2) i</w:t>
      </w:r>
      <w:r w:rsidRPr="009E0B85">
        <w:rPr>
          <w:rFonts w:eastAsia="Times New Roman"/>
          <w:szCs w:val="24"/>
          <w:lang w:val="sv-SE"/>
        </w:rPr>
        <w:t xml:space="preserve"> målet </w:t>
      </w:r>
      <w:r w:rsidR="009D0D35">
        <w:rPr>
          <w:rFonts w:eastAsia="Times New Roman"/>
          <w:szCs w:val="24"/>
          <w:lang w:val="sv-SE"/>
        </w:rPr>
        <w:t xml:space="preserve">i fråga </w:t>
      </w:r>
      <w:r w:rsidR="00D107DA">
        <w:rPr>
          <w:rFonts w:eastAsia="Times New Roman"/>
          <w:szCs w:val="24"/>
          <w:lang w:val="sv-SE"/>
        </w:rPr>
        <w:t xml:space="preserve">hade begäran grundats på påstått felaktig tillämpning </w:t>
      </w:r>
      <w:r w:rsidRPr="009E0B85">
        <w:rPr>
          <w:rFonts w:eastAsia="Times New Roman"/>
          <w:szCs w:val="24"/>
          <w:lang w:val="sv-SE"/>
        </w:rPr>
        <w:t xml:space="preserve">av lagen; och (3) om de lagstadgade kraven var uppfyllda, </w:t>
      </w:r>
      <w:r w:rsidR="00D107DA">
        <w:rPr>
          <w:rFonts w:eastAsia="Times New Roman"/>
          <w:szCs w:val="24"/>
          <w:lang w:val="sv-SE"/>
        </w:rPr>
        <w:t>hade en</w:t>
      </w:r>
      <w:r w:rsidRPr="009E0B85">
        <w:rPr>
          <w:rFonts w:eastAsia="Times New Roman"/>
          <w:szCs w:val="24"/>
          <w:lang w:val="sv-SE"/>
        </w:rPr>
        <w:t xml:space="preserve"> begäran </w:t>
      </w:r>
      <w:r w:rsidR="00D107DA">
        <w:rPr>
          <w:rFonts w:eastAsia="Times New Roman"/>
          <w:szCs w:val="24"/>
          <w:lang w:val="sv-SE"/>
        </w:rPr>
        <w:t xml:space="preserve">utlöst </w:t>
      </w:r>
      <w:r w:rsidRPr="009E0B85">
        <w:rPr>
          <w:rFonts w:eastAsia="Times New Roman"/>
          <w:szCs w:val="24"/>
          <w:lang w:val="sv-SE"/>
        </w:rPr>
        <w:t xml:space="preserve">en ny rättegång </w:t>
      </w:r>
      <w:r w:rsidRPr="00EA2CE3">
        <w:rPr>
          <w:rFonts w:eastAsia="Times New Roman"/>
          <w:szCs w:val="24"/>
          <w:lang w:val="sv-SE"/>
        </w:rPr>
        <w:t xml:space="preserve">utan att </w:t>
      </w:r>
      <w:r w:rsidRPr="00EA2CE3" w:rsidR="00EA2CE3">
        <w:rPr>
          <w:rFonts w:eastAsia="Times New Roman"/>
          <w:szCs w:val="24"/>
          <w:lang w:val="sv-SE"/>
        </w:rPr>
        <w:t xml:space="preserve">det </w:t>
      </w:r>
      <w:r w:rsidRPr="00EA2CE3">
        <w:rPr>
          <w:rFonts w:eastAsia="Times New Roman"/>
          <w:szCs w:val="24"/>
          <w:lang w:val="sv-SE"/>
        </w:rPr>
        <w:t xml:space="preserve">fanns </w:t>
      </w:r>
      <w:r w:rsidRPr="00EA2CE3" w:rsidR="00D107DA">
        <w:rPr>
          <w:rFonts w:eastAsia="Times New Roman"/>
          <w:szCs w:val="24"/>
          <w:lang w:val="sv-SE"/>
        </w:rPr>
        <w:t xml:space="preserve">någon </w:t>
      </w:r>
      <w:r w:rsidRPr="00EA2CE3">
        <w:rPr>
          <w:rFonts w:eastAsia="Times New Roman"/>
          <w:szCs w:val="24"/>
          <w:lang w:val="sv-SE"/>
        </w:rPr>
        <w:t>handlingsfrihet att avgöra huruvida det</w:t>
      </w:r>
      <w:r w:rsidR="0052399A">
        <w:rPr>
          <w:rFonts w:eastAsia="Times New Roman"/>
          <w:szCs w:val="24"/>
          <w:lang w:val="sv-SE"/>
        </w:rPr>
        <w:t>ta</w:t>
      </w:r>
      <w:r w:rsidRPr="00EA2CE3">
        <w:rPr>
          <w:rFonts w:eastAsia="Times New Roman"/>
          <w:szCs w:val="24"/>
          <w:lang w:val="sv-SE"/>
        </w:rPr>
        <w:t xml:space="preserve"> var tillbörligt.</w:t>
      </w:r>
    </w:p>
    <w:p w:rsidRPr="00781D24" w:rsidR="009C3826" w:rsidP="009C3826">
      <w:pPr>
        <w:pStyle w:val="OpiPara"/>
        <w:rPr>
          <w:rFonts w:eastAsia="Times New Roman"/>
          <w:szCs w:val="24"/>
          <w:lang w:val="sv-SE"/>
        </w:rPr>
      </w:pPr>
      <w:r w:rsidRPr="009E0B85">
        <w:rPr>
          <w:rFonts w:eastAsia="Times New Roman"/>
          <w:szCs w:val="24"/>
          <w:lang w:val="sv-SE"/>
        </w:rPr>
        <w:t xml:space="preserve">I </w:t>
      </w:r>
      <w:r w:rsidRPr="009E0B85">
        <w:rPr>
          <w:rFonts w:eastAsia="Times New Roman"/>
          <w:i/>
          <w:szCs w:val="24"/>
          <w:lang w:val="sv-SE"/>
        </w:rPr>
        <w:t>Melis</w:t>
      </w:r>
      <w:r w:rsidRPr="009E0B85">
        <w:rPr>
          <w:rFonts w:eastAsia="Times New Roman"/>
          <w:szCs w:val="24"/>
          <w:lang w:val="sv-SE"/>
        </w:rPr>
        <w:t>, som rörde en ansökan om att återuppta förfara</w:t>
      </w:r>
      <w:r w:rsidR="00D107DA">
        <w:rPr>
          <w:rFonts w:eastAsia="Times New Roman"/>
          <w:szCs w:val="24"/>
          <w:lang w:val="sv-SE"/>
        </w:rPr>
        <w:t>ndet, framhöll Domstolen den ”avgörande faktorn</w:t>
      </w:r>
      <w:r w:rsidRPr="009E0B85">
        <w:rPr>
          <w:rFonts w:eastAsia="Times New Roman"/>
          <w:szCs w:val="24"/>
          <w:lang w:val="sv-SE"/>
        </w:rPr>
        <w:t>... att en ansökan om att återuppta förfarandet i det aktuella målet var det enda rättsmedlet med vilket sökanden kunde få den överklagade domen i civilmål upphävd och få si</w:t>
      </w:r>
      <w:r w:rsidR="00D107DA">
        <w:rPr>
          <w:rFonts w:eastAsia="Times New Roman"/>
          <w:szCs w:val="24"/>
          <w:lang w:val="sv-SE"/>
        </w:rPr>
        <w:t>n ägaderätt återupprättad”</w:t>
      </w:r>
      <w:r w:rsidRPr="009E0B85">
        <w:rPr>
          <w:rFonts w:eastAsia="Times New Roman"/>
          <w:szCs w:val="24"/>
          <w:lang w:val="sv-SE"/>
        </w:rPr>
        <w:t xml:space="preserve"> (§ 19).</w:t>
      </w:r>
    </w:p>
    <w:p w:rsidRPr="00781D24" w:rsidR="009C3826" w:rsidP="009C3826">
      <w:pPr>
        <w:pStyle w:val="OpiPara"/>
        <w:rPr>
          <w:rFonts w:eastAsia="Times New Roman"/>
          <w:szCs w:val="24"/>
          <w:lang w:val="sv-SE"/>
        </w:rPr>
      </w:pPr>
      <w:r w:rsidRPr="009E0B85">
        <w:rPr>
          <w:szCs w:val="24"/>
          <w:lang w:val="sv-SE"/>
        </w:rPr>
        <w:t xml:space="preserve">I </w:t>
      </w:r>
      <w:r w:rsidRPr="009E0B85">
        <w:rPr>
          <w:i/>
          <w:szCs w:val="24"/>
          <w:lang w:val="sv-SE"/>
        </w:rPr>
        <w:t>Maresti</w:t>
      </w:r>
      <w:r w:rsidRPr="009E0B85">
        <w:rPr>
          <w:szCs w:val="24"/>
          <w:lang w:val="sv-SE"/>
        </w:rPr>
        <w:t>, som rör en begäran om extraordinär prövning av en brottmålsdom, motiverades tillämpligheten av artikel 6 främst med argumentet att rättsmedlet i fråga liknade ett kassationsbesvär i en civilprocess.</w:t>
      </w:r>
      <w:r w:rsidRPr="00781D24">
        <w:rPr>
          <w:szCs w:val="24"/>
          <w:lang w:val="sv-SE"/>
        </w:rPr>
        <w:t xml:space="preserve"> </w:t>
      </w:r>
      <w:r w:rsidRPr="009E0B85">
        <w:rPr>
          <w:rFonts w:eastAsia="Times New Roman"/>
          <w:szCs w:val="24"/>
          <w:lang w:val="sv-SE"/>
        </w:rPr>
        <w:t xml:space="preserve">Domstolen underströk vidare att sökanden, genom att </w:t>
      </w:r>
      <w:r w:rsidRPr="009E0B85">
        <w:rPr>
          <w:rFonts w:eastAsia="Times New Roman"/>
          <w:szCs w:val="24"/>
          <w:lang w:val="sv-SE"/>
        </w:rPr>
        <w:t xml:space="preserve">framställa sin begäran hade hänvisat till </w:t>
      </w:r>
      <w:r w:rsidRPr="00EA2CE3">
        <w:rPr>
          <w:rFonts w:eastAsia="Times New Roman"/>
          <w:szCs w:val="24"/>
          <w:lang w:val="sv-SE"/>
        </w:rPr>
        <w:t>det faktum att åtal i hans mål var förbjudet enligt lag.</w:t>
      </w:r>
    </w:p>
    <w:p w:rsidRPr="00781D24" w:rsidR="00660C4E" w:rsidP="00660C4E">
      <w:pPr>
        <w:pStyle w:val="OpiPara"/>
        <w:rPr>
          <w:rFonts w:eastAsia="Times New Roman"/>
          <w:szCs w:val="24"/>
          <w:lang w:val="sv-SE"/>
        </w:rPr>
      </w:pPr>
      <w:r w:rsidRPr="009E0B85">
        <w:rPr>
          <w:szCs w:val="24"/>
          <w:lang w:val="sv-SE"/>
        </w:rPr>
        <w:t>Det är också intressant att notera att domen i</w:t>
      </w:r>
      <w:r w:rsidRPr="009E0B85">
        <w:rPr>
          <w:i/>
          <w:szCs w:val="24"/>
          <w:lang w:val="sv-SE"/>
        </w:rPr>
        <w:t xml:space="preserve"> J.S. and A.S. v. Poland</w:t>
      </w:r>
      <w:r w:rsidRPr="009E0B85">
        <w:rPr>
          <w:szCs w:val="24"/>
          <w:lang w:val="sv-SE"/>
        </w:rPr>
        <w:t xml:space="preserve"> konstaterade att artikel 6 var tillämplig på ett av de extraordinära rättsmedel som föreskrevs i polskt förvaltningsförfarande, i detta fall en ansökan om att</w:t>
      </w:r>
      <w:r w:rsidR="00B1727B">
        <w:rPr>
          <w:szCs w:val="24"/>
          <w:lang w:val="sv-SE"/>
        </w:rPr>
        <w:t xml:space="preserve"> ett</w:t>
      </w:r>
      <w:r w:rsidRPr="009E0B85">
        <w:rPr>
          <w:szCs w:val="24"/>
          <w:lang w:val="sv-SE"/>
        </w:rPr>
        <w:t xml:space="preserve"> enskilt förvaltningsbeslut som präglades av allvarliga brister skulle förklaras ogiltigt.</w:t>
      </w:r>
      <w:r w:rsidRPr="00781D24">
        <w:rPr>
          <w:szCs w:val="24"/>
          <w:lang w:val="sv-SE"/>
        </w:rPr>
        <w:t xml:space="preserve"> </w:t>
      </w:r>
      <w:r w:rsidRPr="009E0B85">
        <w:rPr>
          <w:szCs w:val="24"/>
          <w:lang w:val="sv-SE"/>
        </w:rPr>
        <w:t>Detta rättsmedel gör de</w:t>
      </w:r>
      <w:r w:rsidR="00D107DA">
        <w:rPr>
          <w:szCs w:val="24"/>
          <w:lang w:val="sv-SE"/>
        </w:rPr>
        <w:t>t möjlig</w:t>
      </w:r>
      <w:r w:rsidRPr="009E0B85">
        <w:rPr>
          <w:szCs w:val="24"/>
          <w:lang w:val="sv-SE"/>
        </w:rPr>
        <w:t>t för de sökande att få en omprövning av lagligheten i ett slutgiltigt e</w:t>
      </w:r>
      <w:r w:rsidR="00B1727B">
        <w:rPr>
          <w:szCs w:val="24"/>
          <w:lang w:val="sv-SE"/>
        </w:rPr>
        <w:t xml:space="preserve">nskilt förvaltningsbeslut även flera </w:t>
      </w:r>
      <w:r w:rsidR="0052399A">
        <w:rPr>
          <w:szCs w:val="24"/>
          <w:lang w:val="sv-SE"/>
        </w:rPr>
        <w:t>år efter att det har meddelats</w:t>
      </w:r>
      <w:r w:rsidRPr="009E0B85">
        <w:rPr>
          <w:szCs w:val="24"/>
          <w:lang w:val="sv-SE"/>
        </w:rPr>
        <w:t>.</w:t>
      </w:r>
      <w:r w:rsidRPr="00781D24">
        <w:rPr>
          <w:szCs w:val="24"/>
          <w:lang w:val="sv-SE"/>
        </w:rPr>
        <w:t xml:space="preserve"> </w:t>
      </w:r>
      <w:r w:rsidRPr="009E0B85">
        <w:rPr>
          <w:szCs w:val="24"/>
          <w:lang w:val="sv-SE"/>
        </w:rPr>
        <w:t>Följaktligen har enskilda, som lä</w:t>
      </w:r>
      <w:r w:rsidR="00EA2CE3">
        <w:rPr>
          <w:szCs w:val="24"/>
          <w:lang w:val="sv-SE"/>
        </w:rPr>
        <w:t>mnar in en ansökan om upphävande</w:t>
      </w:r>
      <w:r w:rsidRPr="009E0B85">
        <w:rPr>
          <w:szCs w:val="24"/>
          <w:lang w:val="sv-SE"/>
        </w:rPr>
        <w:t xml:space="preserve"> av ett slutgiltigt enskilt förvaltningsbeslut </w:t>
      </w:r>
      <w:r w:rsidR="0052399A">
        <w:rPr>
          <w:szCs w:val="24"/>
          <w:lang w:val="sv-SE"/>
        </w:rPr>
        <w:t>som meddelats</w:t>
      </w:r>
      <w:r w:rsidRPr="009E0B85">
        <w:rPr>
          <w:szCs w:val="24"/>
          <w:lang w:val="sv-SE"/>
        </w:rPr>
        <w:t xml:space="preserve"> ett antal år innan, som rör civila rättigheter eller skyldi</w:t>
      </w:r>
      <w:r w:rsidR="00157AAF">
        <w:rPr>
          <w:szCs w:val="24"/>
          <w:lang w:val="sv-SE"/>
        </w:rPr>
        <w:t xml:space="preserve">gheter enligt Konventionen, </w:t>
      </w:r>
      <w:r w:rsidR="00EA2CE3">
        <w:rPr>
          <w:szCs w:val="24"/>
          <w:lang w:val="sv-SE"/>
        </w:rPr>
        <w:t>rätt till rättegång inom rimlig tid i</w:t>
      </w:r>
      <w:r w:rsidRPr="009E0B85">
        <w:rPr>
          <w:szCs w:val="24"/>
          <w:lang w:val="sv-SE"/>
        </w:rPr>
        <w:t xml:space="preserve"> en oberoende och opartisk domstol som ska fatta beslut i vederbörlig ordning.</w:t>
      </w:r>
      <w:r w:rsidRPr="00781D24">
        <w:rPr>
          <w:szCs w:val="24"/>
          <w:lang w:val="sv-SE"/>
        </w:rPr>
        <w:t xml:space="preserve"> </w:t>
      </w:r>
      <w:r w:rsidRPr="009E0B85">
        <w:rPr>
          <w:rFonts w:eastAsia="Times New Roman"/>
          <w:szCs w:val="24"/>
          <w:lang w:val="sv-SE"/>
        </w:rPr>
        <w:t>Till stöd för slutsatsen att artikel 6 var tillämplig pekade Domstolen på att de sökande i målet i fråga inte hade begärt återupptagande av förvaltningsförfarandet</w:t>
      </w:r>
      <w:r w:rsidRPr="00EA2CE3">
        <w:rPr>
          <w:rFonts w:eastAsia="Times New Roman"/>
          <w:szCs w:val="24"/>
          <w:lang w:val="sv-SE"/>
        </w:rPr>
        <w:t xml:space="preserve">, </w:t>
      </w:r>
      <w:r w:rsidRPr="00EA2CE3" w:rsidR="00EA2CE3">
        <w:rPr>
          <w:rFonts w:eastAsia="Times New Roman"/>
          <w:szCs w:val="24"/>
          <w:lang w:val="sv-SE"/>
        </w:rPr>
        <w:t>utan endast ett fastställande av</w:t>
      </w:r>
      <w:r w:rsidRPr="00EA2CE3">
        <w:rPr>
          <w:rFonts w:eastAsia="Times New Roman"/>
          <w:szCs w:val="24"/>
          <w:lang w:val="sv-SE"/>
        </w:rPr>
        <w:t xml:space="preserve"> att ett tidigare förvaltningsbeslut var ogiltigt.</w:t>
      </w:r>
    </w:p>
    <w:p w:rsidRPr="00781D24" w:rsidR="00984515" w:rsidP="00984515">
      <w:pPr>
        <w:pStyle w:val="OpiPara"/>
        <w:rPr>
          <w:rFonts w:eastAsia="Times New Roman"/>
          <w:szCs w:val="24"/>
          <w:lang w:val="sv-SE"/>
        </w:rPr>
      </w:pPr>
      <w:r w:rsidRPr="009E0B85">
        <w:rPr>
          <w:szCs w:val="24"/>
          <w:lang w:val="sv-SE"/>
        </w:rPr>
        <w:t xml:space="preserve">3.  Utan att ge oss in i en jämförande </w:t>
      </w:r>
      <w:r w:rsidR="00157AAF">
        <w:rPr>
          <w:szCs w:val="24"/>
          <w:lang w:val="sv-SE"/>
        </w:rPr>
        <w:t>processrättsanalys</w:t>
      </w:r>
      <w:r w:rsidRPr="009E0B85">
        <w:rPr>
          <w:szCs w:val="24"/>
          <w:lang w:val="sv-SE"/>
        </w:rPr>
        <w:t xml:space="preserve"> kan vi kort konsta</w:t>
      </w:r>
      <w:r w:rsidR="00157AAF">
        <w:rPr>
          <w:szCs w:val="24"/>
          <w:lang w:val="sv-SE"/>
        </w:rPr>
        <w:t>tera att i många rättsystem är ”kassationsbesvär”</w:t>
      </w:r>
      <w:r w:rsidRPr="009E0B85">
        <w:rPr>
          <w:szCs w:val="24"/>
          <w:lang w:val="sv-SE"/>
        </w:rPr>
        <w:t xml:space="preserve"> föremål för mycket strikta tidsgränser o</w:t>
      </w:r>
      <w:r w:rsidR="00157AAF">
        <w:rPr>
          <w:szCs w:val="24"/>
          <w:lang w:val="sv-SE"/>
        </w:rPr>
        <w:t>ch rör rättsliga frågor, medan ”</w:t>
      </w:r>
      <w:r w:rsidRPr="009E0B85">
        <w:rPr>
          <w:szCs w:val="24"/>
          <w:lang w:val="sv-SE"/>
        </w:rPr>
        <w:t>begäran om återupptagande av förhandling” kan inges många år senare och i synnerhet grundar sig på nya fakta, nya bevis eller vissa allvarliga processuella fel.</w:t>
      </w:r>
      <w:r w:rsidRPr="00781D24">
        <w:rPr>
          <w:szCs w:val="24"/>
          <w:lang w:val="sv-SE"/>
        </w:rPr>
        <w:t xml:space="preserve"> </w:t>
      </w:r>
      <w:r w:rsidRPr="009E0B85">
        <w:rPr>
          <w:szCs w:val="24"/>
          <w:lang w:val="sv-SE"/>
        </w:rPr>
        <w:t>Vi kan därför notera, på ett mycket intuitiv</w:t>
      </w:r>
      <w:r w:rsidR="00250FC5">
        <w:rPr>
          <w:szCs w:val="24"/>
          <w:lang w:val="sv-SE"/>
        </w:rPr>
        <w:t>t</w:t>
      </w:r>
      <w:r w:rsidRPr="009E0B85">
        <w:rPr>
          <w:szCs w:val="24"/>
          <w:lang w:val="sv-SE"/>
        </w:rPr>
        <w:t xml:space="preserve"> sätt, att prövningen i en kassationsdomstol i viss mening är en ”naturlig förlängning” av det ursprungliga förfarandet, som fokuserar på frågor som rör tolkningen av tillämplig lag och som förlänger parternas ovisshet beträffande resultatet av förfarandet.</w:t>
      </w:r>
      <w:r w:rsidRPr="00781D24">
        <w:rPr>
          <w:szCs w:val="24"/>
          <w:lang w:val="sv-SE"/>
        </w:rPr>
        <w:t xml:space="preserve"> </w:t>
      </w:r>
      <w:r w:rsidR="00250FC5">
        <w:rPr>
          <w:rFonts w:eastAsia="Times New Roman"/>
          <w:szCs w:val="24"/>
          <w:lang w:val="sv-SE"/>
        </w:rPr>
        <w:t>Att ett förfarande återupptas</w:t>
      </w:r>
      <w:r w:rsidRPr="009E0B85">
        <w:rPr>
          <w:rFonts w:eastAsia="Times New Roman"/>
          <w:szCs w:val="24"/>
          <w:lang w:val="sv-SE"/>
        </w:rPr>
        <w:t xml:space="preserve"> förefaller vara mer ovanligt och kan inträffa mycket lång tid efter att dom avkunnats i det ursprungliga förfarandet.</w:t>
      </w:r>
    </w:p>
    <w:p w:rsidR="00F33B9E" w:rsidP="00984515">
      <w:pPr>
        <w:pStyle w:val="OpiPara"/>
        <w:rPr>
          <w:rFonts w:eastAsia="Times New Roman"/>
          <w:szCs w:val="24"/>
          <w:lang w:val="sv-SE"/>
        </w:rPr>
      </w:pPr>
      <w:r w:rsidRPr="009E0B85">
        <w:rPr>
          <w:szCs w:val="24"/>
          <w:lang w:val="sv-SE"/>
        </w:rPr>
        <w:t>Å andra sidan är det viktigt att betona att ett kassationsbesvär, i många rättssystem, främst ligger i allmänhetens intresse.</w:t>
      </w:r>
      <w:r w:rsidRPr="00781D24">
        <w:rPr>
          <w:szCs w:val="24"/>
          <w:lang w:val="sv-SE"/>
        </w:rPr>
        <w:t xml:space="preserve"> </w:t>
      </w:r>
      <w:r w:rsidRPr="009E0B85">
        <w:rPr>
          <w:szCs w:val="24"/>
          <w:lang w:val="sv-SE"/>
        </w:rPr>
        <w:t xml:space="preserve">Det </w:t>
      </w:r>
      <w:r w:rsidR="00157AAF">
        <w:rPr>
          <w:szCs w:val="24"/>
          <w:lang w:val="sv-SE"/>
        </w:rPr>
        <w:t>är ett sätt att säkerställa korrekt tolkning</w:t>
      </w:r>
      <w:r w:rsidRPr="009E0B85">
        <w:rPr>
          <w:szCs w:val="24"/>
          <w:lang w:val="sv-SE"/>
        </w:rPr>
        <w:t xml:space="preserve"> av lagen och harmonisering av rättpraxis i lägre instanser.</w:t>
      </w:r>
      <w:r w:rsidRPr="00781D24">
        <w:rPr>
          <w:szCs w:val="24"/>
          <w:lang w:val="sv-SE"/>
        </w:rPr>
        <w:t xml:space="preserve"> </w:t>
      </w:r>
      <w:r w:rsidRPr="009E0B85">
        <w:rPr>
          <w:szCs w:val="24"/>
          <w:lang w:val="sv-SE"/>
        </w:rPr>
        <w:t xml:space="preserve">Personer som vill lämna </w:t>
      </w:r>
      <w:r w:rsidR="00157AAF">
        <w:rPr>
          <w:szCs w:val="24"/>
          <w:lang w:val="sv-SE"/>
        </w:rPr>
        <w:t xml:space="preserve">in </w:t>
      </w:r>
      <w:r w:rsidRPr="009E0B85">
        <w:rPr>
          <w:szCs w:val="24"/>
          <w:lang w:val="sv-SE"/>
        </w:rPr>
        <w:t>en ett överklagande av det här slaget måste styrka att det ligger i allmänhetens intresse att få det prövat.</w:t>
      </w:r>
      <w:r w:rsidRPr="00781D24">
        <w:rPr>
          <w:szCs w:val="24"/>
          <w:lang w:val="sv-SE"/>
        </w:rPr>
        <w:t xml:space="preserve"> </w:t>
      </w:r>
      <w:r w:rsidRPr="009E0B85">
        <w:rPr>
          <w:szCs w:val="24"/>
          <w:lang w:val="sv-SE"/>
        </w:rPr>
        <w:t>Däremot är en begäran om återupptagande av förhandlingar mycket ofta inte föremål för sådana krav.</w:t>
      </w:r>
      <w:r w:rsidRPr="00781D24">
        <w:rPr>
          <w:szCs w:val="24"/>
          <w:lang w:val="sv-SE"/>
        </w:rPr>
        <w:t xml:space="preserve"> </w:t>
      </w:r>
      <w:r w:rsidRPr="009E0B85">
        <w:rPr>
          <w:szCs w:val="24"/>
          <w:lang w:val="sv-SE"/>
        </w:rPr>
        <w:t>Det kan därför syfta till att skydda subjektiva rättigheter utan att det är nödvändigt att styrka att det ligger i allmänhetens intresse att få det prövat.</w:t>
      </w:r>
      <w:r w:rsidRPr="00781D24">
        <w:rPr>
          <w:szCs w:val="24"/>
          <w:lang w:val="sv-SE"/>
        </w:rPr>
        <w:t xml:space="preserve"> </w:t>
      </w:r>
      <w:r w:rsidR="00157AAF">
        <w:rPr>
          <w:szCs w:val="24"/>
          <w:lang w:val="sv-SE"/>
        </w:rPr>
        <w:t>O</w:t>
      </w:r>
      <w:r w:rsidRPr="009E0B85">
        <w:rPr>
          <w:szCs w:val="24"/>
          <w:lang w:val="sv-SE"/>
        </w:rPr>
        <w:t xml:space="preserve">rättvisor som åtgärdas genom återupptagande av förhandlingar och </w:t>
      </w:r>
      <w:r w:rsidR="00157AAF">
        <w:rPr>
          <w:szCs w:val="24"/>
          <w:lang w:val="sv-SE"/>
        </w:rPr>
        <w:t xml:space="preserve">som </w:t>
      </w:r>
      <w:r w:rsidRPr="009E0B85">
        <w:rPr>
          <w:szCs w:val="24"/>
          <w:lang w:val="sv-SE"/>
        </w:rPr>
        <w:t xml:space="preserve">är kopplade till faktiska fel </w:t>
      </w:r>
      <w:r w:rsidR="00157AAF">
        <w:rPr>
          <w:szCs w:val="24"/>
          <w:lang w:val="sv-SE"/>
        </w:rPr>
        <w:t xml:space="preserve">är dessutom </w:t>
      </w:r>
      <w:r w:rsidRPr="009E0B85">
        <w:rPr>
          <w:szCs w:val="24"/>
          <w:lang w:val="sv-SE"/>
        </w:rPr>
        <w:t xml:space="preserve">ofta mycket mer iögonenfallande än de ofta oundvikliga tveksamheterna vid lagtolkning som </w:t>
      </w:r>
      <w:r w:rsidRPr="00EA2CE3" w:rsidR="00157AAF">
        <w:rPr>
          <w:szCs w:val="24"/>
          <w:lang w:val="sv-SE"/>
        </w:rPr>
        <w:t>löses</w:t>
      </w:r>
      <w:r w:rsidRPr="00EA2CE3">
        <w:rPr>
          <w:szCs w:val="24"/>
          <w:lang w:val="sv-SE"/>
        </w:rPr>
        <w:t xml:space="preserve"> genom kassationsbesvär.</w:t>
      </w:r>
      <w:r w:rsidRPr="00781D24">
        <w:rPr>
          <w:szCs w:val="24"/>
          <w:lang w:val="sv-SE"/>
        </w:rPr>
        <w:t xml:space="preserve"> </w:t>
      </w:r>
      <w:r w:rsidRPr="009E0B85">
        <w:rPr>
          <w:rFonts w:eastAsia="Times New Roman"/>
          <w:szCs w:val="24"/>
          <w:lang w:val="sv-SE"/>
        </w:rPr>
        <w:t xml:space="preserve">Vidare är kassationsbesvär ofta föremål </w:t>
      </w:r>
    </w:p>
    <w:p w:rsidR="00F33B9E">
      <w:pPr>
        <w:jc w:val="left"/>
        <w:rPr>
          <w:rFonts w:eastAsia="Times New Roman"/>
          <w:szCs w:val="24"/>
          <w:lang w:val="sv-SE"/>
        </w:rPr>
      </w:pPr>
      <w:r>
        <w:rPr>
          <w:rFonts w:eastAsia="Times New Roman"/>
          <w:szCs w:val="24"/>
          <w:lang w:val="sv-SE"/>
        </w:rPr>
        <w:br w:type="page"/>
      </w:r>
    </w:p>
    <w:p w:rsidRPr="00781D24" w:rsidR="00984515" w:rsidP="00F33B9E">
      <w:pPr>
        <w:pStyle w:val="OpiPara"/>
        <w:ind w:firstLine="0"/>
        <w:rPr>
          <w:rFonts w:eastAsia="Times New Roman"/>
          <w:szCs w:val="24"/>
          <w:lang w:val="sv-SE"/>
        </w:rPr>
      </w:pPr>
      <w:r w:rsidRPr="009E0B85">
        <w:rPr>
          <w:rFonts w:eastAsia="Times New Roman"/>
          <w:szCs w:val="24"/>
          <w:lang w:val="sv-SE"/>
        </w:rPr>
        <w:t xml:space="preserve">för ett preliminärt filtreringsförfarande som gör det möjligt att bedöma </w:t>
      </w:r>
      <w:r w:rsidR="00157AAF">
        <w:rPr>
          <w:rFonts w:eastAsia="Times New Roman"/>
          <w:szCs w:val="24"/>
          <w:lang w:val="sv-SE"/>
        </w:rPr>
        <w:t xml:space="preserve">om de är tillåtliga </w:t>
      </w:r>
      <w:r w:rsidRPr="009E0B85">
        <w:rPr>
          <w:rFonts w:eastAsia="Times New Roman"/>
          <w:szCs w:val="24"/>
          <w:lang w:val="sv-SE"/>
        </w:rPr>
        <w:t>innan de prövas i sak.</w:t>
      </w:r>
    </w:p>
    <w:p w:rsidRPr="00781D24" w:rsidR="00F6066F" w:rsidP="00F6066F">
      <w:pPr>
        <w:pStyle w:val="OpiPara"/>
        <w:rPr>
          <w:rFonts w:eastAsia="Times New Roman"/>
          <w:szCs w:val="24"/>
          <w:lang w:val="sv-SE"/>
        </w:rPr>
      </w:pPr>
      <w:r w:rsidRPr="009E0B85">
        <w:rPr>
          <w:szCs w:val="24"/>
          <w:lang w:val="sv-SE"/>
        </w:rPr>
        <w:t>Domstolen har i diverse domar ansett att prövningen av en begäran om återupptagande av förhandingar inte i sig är ett förfarande som leder till fastställande av parternas rättigheter eller skyldigheter eller till åtal.</w:t>
      </w:r>
      <w:r w:rsidRPr="00781D24">
        <w:rPr>
          <w:szCs w:val="24"/>
          <w:lang w:val="sv-SE"/>
        </w:rPr>
        <w:t xml:space="preserve"> </w:t>
      </w:r>
      <w:r w:rsidRPr="009E0B85">
        <w:rPr>
          <w:szCs w:val="24"/>
          <w:lang w:val="sv-SE"/>
        </w:rPr>
        <w:t>Ett nytt fastställande av parternas rättigheter och skyldigheter sker först när beslut har tagits att återuppta förhandlingarna.</w:t>
      </w:r>
      <w:r w:rsidRPr="00781D24">
        <w:rPr>
          <w:szCs w:val="24"/>
          <w:lang w:val="sv-SE"/>
        </w:rPr>
        <w:t xml:space="preserve"> </w:t>
      </w:r>
      <w:r w:rsidRPr="009E0B85">
        <w:rPr>
          <w:szCs w:val="24"/>
          <w:lang w:val="sv-SE"/>
        </w:rPr>
        <w:t xml:space="preserve">Jag, för min del, konstaterar att i </w:t>
      </w:r>
      <w:r w:rsidRPr="00EA2CE3">
        <w:rPr>
          <w:szCs w:val="24"/>
          <w:lang w:val="sv-SE"/>
        </w:rPr>
        <w:t>vissa lände</w:t>
      </w:r>
      <w:r w:rsidRPr="00EA2CE3" w:rsidR="009A5E1A">
        <w:rPr>
          <w:szCs w:val="24"/>
          <w:lang w:val="sv-SE"/>
        </w:rPr>
        <w:t>r har ett kassationsbesvär många likheter i detta avseende</w:t>
      </w:r>
      <w:r w:rsidRPr="00EA2CE3">
        <w:rPr>
          <w:szCs w:val="24"/>
          <w:lang w:val="sv-SE"/>
        </w:rPr>
        <w:t>.</w:t>
      </w:r>
      <w:r w:rsidRPr="00781D24">
        <w:rPr>
          <w:szCs w:val="24"/>
          <w:lang w:val="sv-SE"/>
        </w:rPr>
        <w:t xml:space="preserve"> </w:t>
      </w:r>
      <w:r w:rsidRPr="00EA2CE3">
        <w:rPr>
          <w:szCs w:val="24"/>
          <w:lang w:val="sv-SE"/>
        </w:rPr>
        <w:t>Under</w:t>
      </w:r>
      <w:r w:rsidRPr="009E0B85">
        <w:rPr>
          <w:szCs w:val="24"/>
          <w:lang w:val="sv-SE"/>
        </w:rPr>
        <w:t xml:space="preserve"> den först</w:t>
      </w:r>
      <w:r w:rsidR="009A5E1A">
        <w:rPr>
          <w:szCs w:val="24"/>
          <w:lang w:val="sv-SE"/>
        </w:rPr>
        <w:t>a fasen prövar behörig domstol</w:t>
      </w:r>
      <w:r w:rsidRPr="009E0B85">
        <w:rPr>
          <w:szCs w:val="24"/>
          <w:lang w:val="sv-SE"/>
        </w:rPr>
        <w:t xml:space="preserve"> besvärets tillåtlighet.</w:t>
      </w:r>
      <w:r w:rsidRPr="00781D24">
        <w:rPr>
          <w:szCs w:val="24"/>
          <w:lang w:val="sv-SE"/>
        </w:rPr>
        <w:t xml:space="preserve"> </w:t>
      </w:r>
      <w:r w:rsidRPr="009E0B85">
        <w:rPr>
          <w:szCs w:val="24"/>
          <w:lang w:val="sv-SE"/>
        </w:rPr>
        <w:t>Under den andra fasen beslutar den i sakfrågan, och upphäver eventuellt den ifrågasatta domen.</w:t>
      </w:r>
      <w:r w:rsidRPr="00781D24">
        <w:rPr>
          <w:szCs w:val="24"/>
          <w:lang w:val="sv-SE"/>
        </w:rPr>
        <w:t xml:space="preserve"> </w:t>
      </w:r>
      <w:r w:rsidRPr="009E0B85">
        <w:rPr>
          <w:rFonts w:eastAsia="Times New Roman"/>
          <w:szCs w:val="24"/>
          <w:lang w:val="sv-SE"/>
        </w:rPr>
        <w:t>Under den tredje fasen fastställer en annan domstol, i förekommande fall, parternas rättigheter och skyldigheter på nytt.</w:t>
      </w:r>
    </w:p>
    <w:p w:rsidRPr="00781D24" w:rsidR="00F6066F" w:rsidP="00F6066F">
      <w:pPr>
        <w:pStyle w:val="OpiPara"/>
        <w:rPr>
          <w:rFonts w:eastAsia="Times New Roman"/>
          <w:szCs w:val="24"/>
          <w:lang w:val="sv-SE"/>
        </w:rPr>
      </w:pPr>
      <w:r w:rsidRPr="009E0B85">
        <w:rPr>
          <w:szCs w:val="24"/>
          <w:lang w:val="sv-SE"/>
        </w:rPr>
        <w:t xml:space="preserve">Kan vi, mot bakgrund av detta verkligen dra en skiljelinje mellan de två typerna av extraordinära rättsmedel vid </w:t>
      </w:r>
      <w:r w:rsidRPr="00EA2CE3">
        <w:rPr>
          <w:szCs w:val="24"/>
          <w:lang w:val="sv-SE"/>
        </w:rPr>
        <w:t>bedömningen av huruvida artikel</w:t>
      </w:r>
      <w:r w:rsidRPr="009E0B85">
        <w:rPr>
          <w:szCs w:val="24"/>
          <w:lang w:val="sv-SE"/>
        </w:rPr>
        <w:t xml:space="preserve"> 6 är tillämplig?</w:t>
      </w:r>
      <w:r w:rsidRPr="00781D24">
        <w:rPr>
          <w:szCs w:val="24"/>
          <w:lang w:val="sv-SE"/>
        </w:rPr>
        <w:t xml:space="preserve"> </w:t>
      </w:r>
      <w:r w:rsidRPr="009E0B85">
        <w:rPr>
          <w:szCs w:val="24"/>
          <w:lang w:val="sv-SE"/>
        </w:rPr>
        <w:t>Det är tveksamt.</w:t>
      </w:r>
      <w:r w:rsidRPr="00781D24">
        <w:rPr>
          <w:szCs w:val="24"/>
          <w:lang w:val="sv-SE"/>
        </w:rPr>
        <w:t xml:space="preserve"> </w:t>
      </w:r>
      <w:r w:rsidRPr="009E0B85">
        <w:rPr>
          <w:szCs w:val="24"/>
          <w:lang w:val="sv-SE"/>
        </w:rPr>
        <w:t>I alla händelser skulle ett övertygande jakande svar kräva en djupgående studie av processrätten i de skilda staterna.</w:t>
      </w:r>
      <w:r w:rsidRPr="00781D24">
        <w:rPr>
          <w:szCs w:val="24"/>
          <w:lang w:val="sv-SE"/>
        </w:rPr>
        <w:t xml:space="preserve"> </w:t>
      </w:r>
      <w:r w:rsidRPr="009E0B85">
        <w:rPr>
          <w:szCs w:val="24"/>
          <w:lang w:val="sv-SE"/>
        </w:rPr>
        <w:t xml:space="preserve">En analys av Domstolens domar och beslut leder till slutsatsen att rättspraxis inte har fastställt </w:t>
      </w:r>
      <w:r w:rsidR="009A5E1A">
        <w:rPr>
          <w:szCs w:val="24"/>
          <w:lang w:val="sv-SE"/>
        </w:rPr>
        <w:t>exakta kriterier för att avgöra</w:t>
      </w:r>
      <w:r w:rsidRPr="009E0B85">
        <w:rPr>
          <w:szCs w:val="24"/>
          <w:lang w:val="sv-SE"/>
        </w:rPr>
        <w:t xml:space="preserve"> vilka extraordinära rättsmedel som faller under artikel 6 i konventionen.</w:t>
      </w:r>
      <w:r w:rsidRPr="00781D24">
        <w:rPr>
          <w:szCs w:val="24"/>
          <w:lang w:val="sv-SE"/>
        </w:rPr>
        <w:t xml:space="preserve"> </w:t>
      </w:r>
      <w:r w:rsidR="009A5E1A">
        <w:rPr>
          <w:szCs w:val="24"/>
          <w:lang w:val="sv-SE"/>
        </w:rPr>
        <w:t>E</w:t>
      </w:r>
      <w:r w:rsidRPr="009E0B85">
        <w:rPr>
          <w:szCs w:val="24"/>
          <w:lang w:val="sv-SE"/>
        </w:rPr>
        <w:t xml:space="preserve">nligt min uppfattning är det förhållningssätt som används i </w:t>
      </w:r>
      <w:r w:rsidRPr="009E0B85">
        <w:rPr>
          <w:i/>
          <w:szCs w:val="24"/>
          <w:lang w:val="sv-SE"/>
        </w:rPr>
        <w:t xml:space="preserve">J.S. and A.S. </w:t>
      </w:r>
      <w:r w:rsidR="009A5E1A">
        <w:rPr>
          <w:szCs w:val="24"/>
          <w:lang w:val="sv-SE"/>
        </w:rPr>
        <w:t xml:space="preserve">dessutom </w:t>
      </w:r>
      <w:r w:rsidRPr="009E0B85">
        <w:rPr>
          <w:szCs w:val="24"/>
          <w:lang w:val="sv-SE"/>
        </w:rPr>
        <w:t>svårt att förena med Domstolens rättspraxis rörande rättsmedel som möjliggör omprövning av beslut som avkunnats i olika typer av förfaranden.</w:t>
      </w:r>
      <w:r w:rsidRPr="00781D24">
        <w:rPr>
          <w:szCs w:val="24"/>
          <w:lang w:val="sv-SE"/>
        </w:rPr>
        <w:t xml:space="preserve"> </w:t>
      </w:r>
      <w:r w:rsidRPr="009E0B85">
        <w:rPr>
          <w:rFonts w:eastAsia="Times New Roman"/>
          <w:szCs w:val="24"/>
          <w:lang w:val="sv-SE"/>
        </w:rPr>
        <w:t>Granskad rättspraxis avslöjar en mycket hög grad av osäkerhet för parterna i målen och för Konventionens fördragsslutande parter.</w:t>
      </w:r>
    </w:p>
    <w:p w:rsidRPr="00781D24" w:rsidR="00F42916" w:rsidP="00F42916">
      <w:pPr>
        <w:pStyle w:val="OpiPara"/>
        <w:rPr>
          <w:rFonts w:eastAsia="Times New Roman"/>
          <w:szCs w:val="24"/>
          <w:lang w:val="sv-SE"/>
        </w:rPr>
      </w:pPr>
      <w:r w:rsidRPr="009E0B85">
        <w:rPr>
          <w:rFonts w:eastAsia="Times New Roman"/>
          <w:szCs w:val="24"/>
          <w:lang w:val="sv-SE"/>
        </w:rPr>
        <w:t xml:space="preserve">4.  Målet </w:t>
      </w:r>
      <w:r w:rsidRPr="009E0B85">
        <w:rPr>
          <w:rFonts w:eastAsia="Times New Roman"/>
          <w:i/>
          <w:szCs w:val="24"/>
          <w:lang w:val="sv-SE"/>
        </w:rPr>
        <w:t>Bochan v. Ukraine</w:t>
      </w:r>
      <w:r w:rsidRPr="009E0B85">
        <w:rPr>
          <w:rFonts w:eastAsia="Times New Roman"/>
          <w:szCs w:val="24"/>
          <w:lang w:val="sv-SE"/>
        </w:rPr>
        <w:t xml:space="preserve"> ger en god möjlighet att klargöra Domstolens rättspraxis rörande tillämpligheten av artikel 6 på extraordinära besvär i domstolsförfarande, åtminstone i civilmål.</w:t>
      </w:r>
    </w:p>
    <w:p w:rsidR="00F33B9E" w:rsidP="00F42916">
      <w:pPr>
        <w:pStyle w:val="OpiPara"/>
        <w:rPr>
          <w:rFonts w:eastAsia="Times New Roman"/>
          <w:szCs w:val="24"/>
          <w:lang w:val="sv-SE"/>
        </w:rPr>
      </w:pPr>
      <w:r w:rsidRPr="00442D86">
        <w:rPr>
          <w:szCs w:val="24"/>
          <w:lang w:val="sv-SE"/>
        </w:rPr>
        <w:t>Majoritete</w:t>
      </w:r>
      <w:r>
        <w:rPr>
          <w:szCs w:val="24"/>
          <w:lang w:val="sv-SE"/>
        </w:rPr>
        <w:t>n</w:t>
      </w:r>
      <w:r w:rsidRPr="009E0B85" w:rsidR="00F42916">
        <w:rPr>
          <w:szCs w:val="24"/>
          <w:lang w:val="sv-SE"/>
        </w:rPr>
        <w:t xml:space="preserve"> anför följande i punkt 50:</w:t>
      </w:r>
      <w:r w:rsidRPr="00781D24" w:rsidR="00F42916">
        <w:rPr>
          <w:szCs w:val="24"/>
          <w:lang w:val="sv-SE"/>
        </w:rPr>
        <w:t xml:space="preserve"> </w:t>
      </w:r>
      <w:r>
        <w:rPr>
          <w:szCs w:val="24"/>
          <w:lang w:val="sv-SE"/>
        </w:rPr>
        <w:t>”</w:t>
      </w:r>
      <w:r w:rsidRPr="009E0B85" w:rsidR="00442D86">
        <w:rPr>
          <w:szCs w:val="24"/>
          <w:lang w:val="sv-SE"/>
        </w:rPr>
        <w:t xml:space="preserve">Även om artikel 6 § 1 </w:t>
      </w:r>
      <w:r w:rsidR="00442D86">
        <w:rPr>
          <w:szCs w:val="24"/>
          <w:lang w:val="sv-SE"/>
        </w:rPr>
        <w:t xml:space="preserve">normalt </w:t>
      </w:r>
      <w:r w:rsidRPr="009E0B85" w:rsidR="00442D86">
        <w:rPr>
          <w:szCs w:val="24"/>
          <w:lang w:val="sv-SE"/>
        </w:rPr>
        <w:t xml:space="preserve">inte är tillämplig på extraordinära </w:t>
      </w:r>
      <w:r w:rsidRPr="004C234C" w:rsidR="00442D86">
        <w:rPr>
          <w:szCs w:val="24"/>
          <w:lang w:val="sv-SE"/>
        </w:rPr>
        <w:t>överklaganden i syfte att återuppta avslutade domstolsförfaranden, kan typen,</w:t>
      </w:r>
      <w:r w:rsidRPr="009E0B85" w:rsidR="00442D86">
        <w:rPr>
          <w:szCs w:val="24"/>
          <w:lang w:val="sv-SE"/>
        </w:rPr>
        <w:t xml:space="preserve"> omfattning och specifika egenskaper hos förfarandet avseende ett visst extraordinärt överklagande i det berörda rättssystemet vara </w:t>
      </w:r>
      <w:r w:rsidR="00442D86">
        <w:rPr>
          <w:szCs w:val="24"/>
          <w:lang w:val="sv-SE"/>
        </w:rPr>
        <w:t>av sådan art</w:t>
      </w:r>
      <w:r w:rsidRPr="009E0B85" w:rsidR="00442D86">
        <w:rPr>
          <w:szCs w:val="24"/>
          <w:lang w:val="sv-SE"/>
        </w:rPr>
        <w:t xml:space="preserve"> att förfarandet i den typen av överklagande omfattas av artikel 6 § 1 och de garantier för rättvis rättegång som den ger processande parter</w:t>
      </w:r>
      <w:r w:rsidR="00442D86">
        <w:rPr>
          <w:szCs w:val="24"/>
          <w:lang w:val="sv-SE"/>
        </w:rPr>
        <w:t>”</w:t>
      </w:r>
      <w:r w:rsidRPr="009E0B85" w:rsidR="00F42916">
        <w:rPr>
          <w:szCs w:val="24"/>
          <w:lang w:val="sv-SE"/>
        </w:rPr>
        <w:t xml:space="preserve">. I sin analys av </w:t>
      </w:r>
      <w:r w:rsidR="00442D86">
        <w:rPr>
          <w:szCs w:val="24"/>
          <w:lang w:val="sv-SE"/>
        </w:rPr>
        <w:t>det nu aktuella</w:t>
      </w:r>
      <w:r>
        <w:rPr>
          <w:szCs w:val="24"/>
          <w:lang w:val="sv-SE"/>
        </w:rPr>
        <w:t xml:space="preserve"> överklagandet </w:t>
      </w:r>
      <w:r w:rsidRPr="009E0B85" w:rsidR="00F42916">
        <w:rPr>
          <w:szCs w:val="24"/>
          <w:lang w:val="sv-SE"/>
        </w:rPr>
        <w:t>framhåller Domstolen l</w:t>
      </w:r>
      <w:r>
        <w:rPr>
          <w:szCs w:val="24"/>
          <w:lang w:val="sv-SE"/>
        </w:rPr>
        <w:t>ikheterna med ett ”kassationsbesvär”</w:t>
      </w:r>
      <w:r w:rsidRPr="009E0B85" w:rsidR="00F42916">
        <w:rPr>
          <w:szCs w:val="24"/>
          <w:lang w:val="sv-SE"/>
        </w:rPr>
        <w:t xml:space="preserve"> och det faktum att överklagandet kan anses som en förlängning av det ursprungliga förfarandet, innan Domstolen analyserar den omprövning som Högsta domstolen i Ukraina gjorde i målet i fråga.</w:t>
      </w:r>
      <w:r w:rsidRPr="00781D24" w:rsidR="00F42916">
        <w:rPr>
          <w:szCs w:val="24"/>
          <w:lang w:val="sv-SE"/>
        </w:rPr>
        <w:t xml:space="preserve"> </w:t>
      </w:r>
      <w:r w:rsidRPr="009E0B85" w:rsidR="00F42916">
        <w:rPr>
          <w:rFonts w:eastAsia="Times New Roman"/>
          <w:szCs w:val="24"/>
          <w:lang w:val="sv-SE"/>
        </w:rPr>
        <w:t>Jag beklagar det faktum att domskälen inte erbjuder mer specifika allmänna kriterier för att avgöra vilka faktorer avseende arten, omfattningen och särskilda egenskaper i ett givet förfarande som är avgörande för att artikel 6 ska vara tillämplig.</w:t>
      </w:r>
    </w:p>
    <w:p w:rsidRPr="00F33B9E" w:rsidR="00F42916" w:rsidP="00F33B9E">
      <w:pPr>
        <w:jc w:val="left"/>
        <w:rPr>
          <w:rFonts w:eastAsia="Times New Roman"/>
          <w:szCs w:val="24"/>
          <w:lang w:val="sv-SE"/>
        </w:rPr>
      </w:pPr>
      <w:r>
        <w:rPr>
          <w:rFonts w:eastAsia="Times New Roman"/>
          <w:szCs w:val="24"/>
          <w:lang w:val="sv-SE"/>
        </w:rPr>
        <w:br w:type="page"/>
      </w:r>
    </w:p>
    <w:p w:rsidRPr="00781D24" w:rsidR="00774203" w:rsidP="00475015">
      <w:pPr>
        <w:pStyle w:val="OpiPara"/>
        <w:rPr>
          <w:rFonts w:eastAsia="Times New Roman"/>
          <w:szCs w:val="24"/>
          <w:lang w:val="sv-SE"/>
        </w:rPr>
      </w:pPr>
      <w:r w:rsidRPr="009E0B85">
        <w:rPr>
          <w:szCs w:val="24"/>
          <w:lang w:val="sv-SE"/>
        </w:rPr>
        <w:t>Osäkerheten beträffande exakt när artikel 6 är tillämplig verkar återspeglas i resonemanget.</w:t>
      </w:r>
      <w:r w:rsidRPr="00781D24">
        <w:rPr>
          <w:szCs w:val="24"/>
          <w:lang w:val="sv-SE"/>
        </w:rPr>
        <w:t xml:space="preserve"> </w:t>
      </w:r>
      <w:r w:rsidRPr="009E0B85">
        <w:rPr>
          <w:szCs w:val="24"/>
          <w:lang w:val="sv-SE"/>
        </w:rPr>
        <w:t xml:space="preserve">Till exempel i paragraf 44 </w:t>
      </w:r>
      <w:r w:rsidRPr="009E0B85">
        <w:rPr>
          <w:i/>
          <w:szCs w:val="24"/>
          <w:lang w:val="sv-SE"/>
        </w:rPr>
        <w:t>in fine</w:t>
      </w:r>
      <w:r w:rsidRPr="009E0B85">
        <w:rPr>
          <w:szCs w:val="24"/>
          <w:lang w:val="sv-SE"/>
        </w:rPr>
        <w:t xml:space="preserve"> sammanfattar Domstolen i följande ordalag fastställd rättspraxis rörande extraordinära överklaganden:</w:t>
      </w:r>
      <w:r w:rsidRPr="00781D24">
        <w:rPr>
          <w:szCs w:val="24"/>
          <w:lang w:val="sv-SE"/>
        </w:rPr>
        <w:t xml:space="preserve"> </w:t>
      </w:r>
      <w:r w:rsidRPr="009E0B85">
        <w:rPr>
          <w:szCs w:val="24"/>
          <w:lang w:val="sv-SE"/>
        </w:rPr>
        <w:t>”[</w:t>
      </w:r>
      <w:r w:rsidRPr="007C2BC5">
        <w:rPr>
          <w:szCs w:val="24"/>
          <w:lang w:val="sv-SE"/>
        </w:rPr>
        <w:t>Detta b</w:t>
      </w:r>
      <w:r w:rsidRPr="007C2BC5" w:rsidR="007C2BC5">
        <w:rPr>
          <w:szCs w:val="24"/>
          <w:lang w:val="sv-SE"/>
        </w:rPr>
        <w:t>eror</w:t>
      </w:r>
      <w:r w:rsidR="007C2BC5">
        <w:rPr>
          <w:szCs w:val="24"/>
          <w:lang w:val="sv-SE"/>
        </w:rPr>
        <w:t xml:space="preserve"> på att]</w:t>
      </w:r>
      <w:r w:rsidRPr="009E0B85" w:rsidR="007C2BC5">
        <w:rPr>
          <w:rFonts w:eastAsia="Times New Roman"/>
          <w:szCs w:val="24"/>
          <w:lang w:val="sv-SE"/>
        </w:rPr>
        <w:t xml:space="preserve"> i den mån som frågan omfattas av </w:t>
      </w:r>
      <w:r w:rsidR="0052399A">
        <w:rPr>
          <w:rFonts w:eastAsia="Times New Roman"/>
          <w:i/>
          <w:szCs w:val="24"/>
          <w:lang w:val="sv-SE"/>
        </w:rPr>
        <w:t>res j</w:t>
      </w:r>
      <w:r w:rsidRPr="009E0B85" w:rsidR="007C2BC5">
        <w:rPr>
          <w:rFonts w:eastAsia="Times New Roman"/>
          <w:i/>
          <w:szCs w:val="24"/>
          <w:lang w:val="sv-SE"/>
        </w:rPr>
        <w:t>udicata</w:t>
      </w:r>
      <w:r w:rsidR="007C2BC5">
        <w:rPr>
          <w:rFonts w:eastAsia="Times New Roman"/>
          <w:szCs w:val="24"/>
          <w:lang w:val="sv-SE"/>
        </w:rPr>
        <w:t xml:space="preserve"> för en slutlig dom i ett</w:t>
      </w:r>
      <w:r w:rsidRPr="009E0B85" w:rsidR="007C2BC5">
        <w:rPr>
          <w:rFonts w:eastAsia="Times New Roman"/>
          <w:szCs w:val="24"/>
          <w:lang w:val="sv-SE"/>
        </w:rPr>
        <w:t xml:space="preserve"> </w:t>
      </w:r>
      <w:r w:rsidRPr="004C234C" w:rsidR="007C2BC5">
        <w:rPr>
          <w:rFonts w:eastAsia="Times New Roman"/>
          <w:szCs w:val="24"/>
          <w:lang w:val="sv-SE"/>
        </w:rPr>
        <w:t>nationellt domstolsförfarande, kan det i princip inte göras gällande att en senare extraordinär ansökan eller ett överklagande med begäran om revidering av den domen ger upphov till ett rimligt grundat påstående (</w:t>
      </w:r>
      <w:r w:rsidRPr="004C234C" w:rsidR="007C2BC5">
        <w:rPr>
          <w:rFonts w:eastAsia="Times New Roman"/>
          <w:i/>
          <w:szCs w:val="24"/>
          <w:lang w:val="sv-SE"/>
        </w:rPr>
        <w:t>arguable claim</w:t>
      </w:r>
      <w:r w:rsidRPr="004C234C" w:rsidR="007C2BC5">
        <w:rPr>
          <w:rFonts w:eastAsia="Times New Roman"/>
          <w:szCs w:val="24"/>
          <w:lang w:val="sv-SE"/>
        </w:rPr>
        <w:t>) beträffande förekomsten av en viss rättighet som erkänns i nationell lag eller att utslaget i en domstolsprocess där det fastställ</w:t>
      </w:r>
      <w:r w:rsidR="007C2BC5">
        <w:rPr>
          <w:rFonts w:eastAsia="Times New Roman"/>
          <w:szCs w:val="24"/>
          <w:lang w:val="sv-SE"/>
        </w:rPr>
        <w:t>t</w:t>
      </w:r>
      <w:r w:rsidRPr="004C234C" w:rsidR="007C2BC5">
        <w:rPr>
          <w:rFonts w:eastAsia="Times New Roman"/>
          <w:szCs w:val="24"/>
          <w:lang w:val="sv-SE"/>
        </w:rPr>
        <w:t>s om samma mål ska prövas ig</w:t>
      </w:r>
      <w:r w:rsidR="007C2BC5">
        <w:rPr>
          <w:rFonts w:eastAsia="Times New Roman"/>
          <w:szCs w:val="24"/>
          <w:lang w:val="sv-SE"/>
        </w:rPr>
        <w:t>en</w:t>
      </w:r>
      <w:r w:rsidRPr="004C234C" w:rsidR="007C2BC5">
        <w:rPr>
          <w:rFonts w:eastAsia="Times New Roman"/>
          <w:szCs w:val="24"/>
          <w:lang w:val="sv-SE"/>
        </w:rPr>
        <w:t xml:space="preserve"> är avgörande för ”fastställandet av ... civila rättigheter eller skyldigheter eller</w:t>
      </w:r>
      <w:r w:rsidRPr="009E0B85" w:rsidR="007C2BC5">
        <w:rPr>
          <w:rFonts w:eastAsia="Times New Roman"/>
          <w:szCs w:val="24"/>
          <w:lang w:val="sv-SE"/>
        </w:rPr>
        <w:t xml:space="preserve"> av </w:t>
      </w:r>
      <w:r w:rsidR="0052399A">
        <w:rPr>
          <w:rFonts w:eastAsia="Times New Roman"/>
          <w:szCs w:val="24"/>
          <w:lang w:val="sv-SE"/>
        </w:rPr>
        <w:t>brottmålsanklagelse</w:t>
      </w:r>
      <w:r w:rsidR="00F33B9E">
        <w:rPr>
          <w:szCs w:val="24"/>
          <w:lang w:val="sv-SE"/>
        </w:rPr>
        <w:t>”</w:t>
      </w:r>
      <w:r>
        <w:rPr>
          <w:szCs w:val="24"/>
          <w:lang w:val="sv-SE"/>
        </w:rPr>
        <w:t>.</w:t>
      </w:r>
      <w:r>
        <w:rPr>
          <w:rFonts w:eastAsia="Times New Roman"/>
          <w:szCs w:val="24"/>
          <w:lang w:val="sv-SE"/>
        </w:rPr>
        <w:t xml:space="preserve"> </w:t>
      </w:r>
      <w:r w:rsidRPr="009E0B85">
        <w:rPr>
          <w:rFonts w:eastAsia="Times New Roman"/>
          <w:szCs w:val="24"/>
          <w:lang w:val="sv-SE"/>
        </w:rPr>
        <w:t xml:space="preserve"> </w:t>
      </w:r>
      <w:r w:rsidR="007C2BC5">
        <w:rPr>
          <w:rFonts w:eastAsia="Times New Roman"/>
          <w:szCs w:val="24"/>
          <w:lang w:val="sv-SE"/>
        </w:rPr>
        <w:t xml:space="preserve">Jag </w:t>
      </w:r>
      <w:r w:rsidRPr="009E0B85">
        <w:rPr>
          <w:rFonts w:eastAsia="Times New Roman"/>
          <w:szCs w:val="24"/>
          <w:lang w:val="sv-SE"/>
        </w:rPr>
        <w:t>noterar att detta argument, som används för att förklara</w:t>
      </w:r>
      <w:r>
        <w:rPr>
          <w:rFonts w:eastAsia="Times New Roman"/>
          <w:szCs w:val="24"/>
          <w:lang w:val="sv-SE"/>
        </w:rPr>
        <w:t xml:space="preserve"> varför artikel 6 inte är tillämplig</w:t>
      </w:r>
      <w:r w:rsidRPr="009E0B85">
        <w:rPr>
          <w:rFonts w:eastAsia="Times New Roman"/>
          <w:szCs w:val="24"/>
          <w:lang w:val="sv-SE"/>
        </w:rPr>
        <w:t xml:space="preserve"> på begäran om återupptagande av förhandlingar</w:t>
      </w:r>
      <w:r w:rsidRPr="007C2BC5">
        <w:rPr>
          <w:rFonts w:eastAsia="Times New Roman"/>
          <w:szCs w:val="24"/>
          <w:lang w:val="sv-SE"/>
        </w:rPr>
        <w:t>, väger lika till förmån för tillämpligheten</w:t>
      </w:r>
      <w:r w:rsidRPr="009E0B85">
        <w:rPr>
          <w:rFonts w:eastAsia="Times New Roman"/>
          <w:szCs w:val="24"/>
          <w:lang w:val="sv-SE"/>
        </w:rPr>
        <w:t xml:space="preserve"> av artikel 6 på kassationsbesvär i rättssystem där sådana besvär riktas mot domstolsbeslut som anses var</w:t>
      </w:r>
      <w:r>
        <w:rPr>
          <w:rFonts w:eastAsia="Times New Roman"/>
          <w:szCs w:val="24"/>
          <w:lang w:val="sv-SE"/>
        </w:rPr>
        <w:t>a slutgiltiga</w:t>
      </w:r>
      <w:r w:rsidRPr="009E0B85">
        <w:rPr>
          <w:rFonts w:eastAsia="Times New Roman"/>
          <w:szCs w:val="24"/>
          <w:lang w:val="sv-SE"/>
        </w:rPr>
        <w:t xml:space="preserve"> och verkställbara i nationell lag. </w:t>
      </w:r>
    </w:p>
    <w:p w:rsidRPr="00781D24" w:rsidR="00475015" w:rsidP="00475015">
      <w:pPr>
        <w:pStyle w:val="OpiPara"/>
        <w:rPr>
          <w:rFonts w:eastAsia="Times New Roman"/>
          <w:szCs w:val="24"/>
          <w:lang w:val="sv-SE"/>
        </w:rPr>
      </w:pPr>
      <w:r w:rsidRPr="00781D24">
        <w:rPr>
          <w:rFonts w:eastAsia="Times New Roman"/>
          <w:szCs w:val="24"/>
          <w:lang w:val="sv-SE"/>
        </w:rPr>
        <w:t>I</w:t>
      </w:r>
      <w:r w:rsidRPr="009E0B85">
        <w:rPr>
          <w:szCs w:val="24"/>
          <w:lang w:val="sv-SE"/>
        </w:rPr>
        <w:t xml:space="preserve"> punk</w:t>
      </w:r>
      <w:r>
        <w:rPr>
          <w:szCs w:val="24"/>
          <w:lang w:val="sv-SE"/>
        </w:rPr>
        <w:t>t 47, noterar majoriteten vidare att Domstolen även</w:t>
      </w:r>
      <w:r w:rsidRPr="009E0B85">
        <w:rPr>
          <w:szCs w:val="24"/>
          <w:lang w:val="sv-SE"/>
        </w:rPr>
        <w:t xml:space="preserve"> har funnit att artikel 6 är tillämpli</w:t>
      </w:r>
      <w:r>
        <w:rPr>
          <w:szCs w:val="24"/>
          <w:lang w:val="sv-SE"/>
        </w:rPr>
        <w:t>g på förfaranden som anses likna</w:t>
      </w:r>
      <w:r w:rsidRPr="009E0B85">
        <w:rPr>
          <w:szCs w:val="24"/>
          <w:lang w:val="sv-SE"/>
        </w:rPr>
        <w:t xml:space="preserve"> vanliga överklagandeförfarande.</w:t>
      </w:r>
      <w:r w:rsidRPr="00781D24">
        <w:rPr>
          <w:szCs w:val="24"/>
          <w:lang w:val="sv-SE"/>
        </w:rPr>
        <w:t xml:space="preserve"> </w:t>
      </w:r>
      <w:r>
        <w:rPr>
          <w:szCs w:val="24"/>
          <w:lang w:val="sv-SE"/>
        </w:rPr>
        <w:t>I</w:t>
      </w:r>
      <w:r w:rsidRPr="009E0B85">
        <w:rPr>
          <w:szCs w:val="24"/>
          <w:lang w:val="sv-SE"/>
        </w:rPr>
        <w:t xml:space="preserve"> punkt 48, som förmodligen illustrerar detta argument, noterar Domstolen </w:t>
      </w:r>
      <w:r>
        <w:rPr>
          <w:szCs w:val="24"/>
          <w:lang w:val="sv-SE"/>
        </w:rPr>
        <w:t xml:space="preserve">samtidigt </w:t>
      </w:r>
      <w:r w:rsidRPr="009E0B85">
        <w:rPr>
          <w:szCs w:val="24"/>
          <w:lang w:val="sv-SE"/>
        </w:rPr>
        <w:t xml:space="preserve">att </w:t>
      </w:r>
      <w:r w:rsidRPr="009E0B85">
        <w:rPr>
          <w:i/>
          <w:szCs w:val="24"/>
          <w:lang w:val="sv-SE"/>
        </w:rPr>
        <w:t>San Leonard Band Club</w:t>
      </w:r>
      <w:r>
        <w:rPr>
          <w:szCs w:val="24"/>
          <w:lang w:val="sv-SE"/>
        </w:rPr>
        <w:t>-domen underströk att en ”</w:t>
      </w:r>
      <w:r w:rsidRPr="009E0B85">
        <w:rPr>
          <w:szCs w:val="24"/>
          <w:lang w:val="sv-SE"/>
        </w:rPr>
        <w:t>begäran om ny rättegång” i maltesisk lag liknande ett överklagande avseende rättsliga frågor i kassationsdomstol.</w:t>
      </w:r>
      <w:r w:rsidRPr="00781D24">
        <w:rPr>
          <w:szCs w:val="24"/>
          <w:lang w:val="sv-SE"/>
        </w:rPr>
        <w:t xml:space="preserve"> </w:t>
      </w:r>
      <w:r w:rsidRPr="009E0B85">
        <w:rPr>
          <w:rFonts w:eastAsia="Times New Roman"/>
          <w:szCs w:val="24"/>
          <w:lang w:val="sv-SE"/>
        </w:rPr>
        <w:t>Men ett vanligt överklagande och ett kassat</w:t>
      </w:r>
      <w:r>
        <w:rPr>
          <w:rFonts w:eastAsia="Times New Roman"/>
          <w:szCs w:val="24"/>
          <w:lang w:val="sv-SE"/>
        </w:rPr>
        <w:t>i</w:t>
      </w:r>
      <w:r w:rsidRPr="009E0B85">
        <w:rPr>
          <w:rFonts w:eastAsia="Times New Roman"/>
          <w:szCs w:val="24"/>
          <w:lang w:val="sv-SE"/>
        </w:rPr>
        <w:t>onsöverklagande är två helt skilda rättsmedel.</w:t>
      </w:r>
    </w:p>
    <w:p w:rsidRPr="00781D24" w:rsidR="00475015" w:rsidP="00475015">
      <w:pPr>
        <w:pStyle w:val="OpiPara"/>
        <w:rPr>
          <w:rFonts w:eastAsia="Times New Roman"/>
          <w:szCs w:val="24"/>
          <w:lang w:val="sv-SE"/>
        </w:rPr>
      </w:pPr>
      <w:r w:rsidRPr="009E0B85">
        <w:rPr>
          <w:szCs w:val="24"/>
          <w:lang w:val="sv-SE"/>
        </w:rPr>
        <w:t>5.  Artikel 6 i Konventionen kräver att tvister rörande civila rättigheter och skyldigheter ska avgöras inom rimlig tid av en oberoende och opartisk domstol som upprättats enligt lag.</w:t>
      </w:r>
      <w:r w:rsidRPr="00781D24">
        <w:rPr>
          <w:szCs w:val="24"/>
          <w:lang w:val="sv-SE"/>
        </w:rPr>
        <w:t xml:space="preserve"> </w:t>
      </w:r>
      <w:r w:rsidRPr="009E0B85">
        <w:rPr>
          <w:szCs w:val="24"/>
          <w:lang w:val="sv-SE"/>
        </w:rPr>
        <w:t>Ordalydelsen i denna bestämmelse utesluter inte tillämplighet på extraordinära överklaganden mot domstolsbeslut som har fastställt parternas civila rättigheter och skyldigheter med slutlig verkan (i enlighet med nationell lag).</w:t>
      </w:r>
      <w:r w:rsidRPr="00781D24">
        <w:rPr>
          <w:szCs w:val="24"/>
          <w:lang w:val="sv-SE"/>
        </w:rPr>
        <w:t xml:space="preserve"> </w:t>
      </w:r>
      <w:r w:rsidRPr="009E0B85">
        <w:rPr>
          <w:szCs w:val="24"/>
          <w:lang w:val="sv-SE"/>
        </w:rPr>
        <w:t xml:space="preserve">Vidare är artikel 6 avsedd att garantera effektivt skydd </w:t>
      </w:r>
      <w:r w:rsidR="0052399A">
        <w:rPr>
          <w:szCs w:val="24"/>
          <w:lang w:val="sv-SE"/>
        </w:rPr>
        <w:t xml:space="preserve">mot processuell orättvisa </w:t>
      </w:r>
      <w:r w:rsidRPr="009E0B85">
        <w:rPr>
          <w:szCs w:val="24"/>
          <w:lang w:val="sv-SE"/>
        </w:rPr>
        <w:t>för personer som är involverade i civilmåls- och brottmålsfö</w:t>
      </w:r>
      <w:r w:rsidR="007C2BC5">
        <w:rPr>
          <w:szCs w:val="24"/>
          <w:lang w:val="sv-SE"/>
        </w:rPr>
        <w:t>rfa</w:t>
      </w:r>
      <w:r w:rsidR="0052399A">
        <w:rPr>
          <w:szCs w:val="24"/>
          <w:lang w:val="sv-SE"/>
        </w:rPr>
        <w:t>randen</w:t>
      </w:r>
      <w:r w:rsidRPr="009E0B85">
        <w:rPr>
          <w:szCs w:val="24"/>
          <w:lang w:val="sv-SE"/>
        </w:rPr>
        <w:t>.</w:t>
      </w:r>
      <w:r w:rsidRPr="00781D24">
        <w:rPr>
          <w:szCs w:val="24"/>
          <w:lang w:val="sv-SE"/>
        </w:rPr>
        <w:t xml:space="preserve"> </w:t>
      </w:r>
      <w:r w:rsidRPr="009E0B85">
        <w:rPr>
          <w:szCs w:val="24"/>
          <w:lang w:val="sv-SE"/>
        </w:rPr>
        <w:t>Det teleologiska argumentet talar därför till fördel för vidaste möjliga tillämpning av denna bestämmelse på vanliga och extraordinära överklaganden.</w:t>
      </w:r>
      <w:r w:rsidRPr="00781D24">
        <w:rPr>
          <w:szCs w:val="24"/>
          <w:lang w:val="sv-SE"/>
        </w:rPr>
        <w:t xml:space="preserve"> </w:t>
      </w:r>
      <w:r w:rsidRPr="009E0B85">
        <w:rPr>
          <w:szCs w:val="24"/>
          <w:lang w:val="sv-SE"/>
        </w:rPr>
        <w:t xml:space="preserve">Under dessa omständigheter förefaller det mer övertygande att anse att artikel 6 </w:t>
      </w:r>
      <w:r w:rsidR="00250FC5">
        <w:rPr>
          <w:szCs w:val="24"/>
          <w:lang w:val="sv-SE"/>
        </w:rPr>
        <w:t>– åtminstone i princip –</w:t>
      </w:r>
      <w:r w:rsidR="002963B8">
        <w:rPr>
          <w:szCs w:val="24"/>
          <w:lang w:val="sv-SE"/>
        </w:rPr>
        <w:t xml:space="preserve"> </w:t>
      </w:r>
      <w:r w:rsidRPr="009E0B85">
        <w:rPr>
          <w:szCs w:val="24"/>
          <w:lang w:val="sv-SE"/>
        </w:rPr>
        <w:t>är till</w:t>
      </w:r>
      <w:r w:rsidR="00250FC5">
        <w:rPr>
          <w:szCs w:val="24"/>
          <w:lang w:val="sv-SE"/>
        </w:rPr>
        <w:t>ämplig</w:t>
      </w:r>
      <w:r w:rsidRPr="009E0B85">
        <w:rPr>
          <w:szCs w:val="24"/>
          <w:lang w:val="sv-SE"/>
        </w:rPr>
        <w:t xml:space="preserve"> på alla extraordinära rättsmedel i domstolsförfaranden.</w:t>
      </w:r>
      <w:r w:rsidRPr="00781D24">
        <w:rPr>
          <w:szCs w:val="24"/>
          <w:lang w:val="sv-SE"/>
        </w:rPr>
        <w:t xml:space="preserve"> </w:t>
      </w:r>
      <w:r w:rsidRPr="009E0B85">
        <w:rPr>
          <w:rFonts w:eastAsia="Times New Roman"/>
          <w:szCs w:val="24"/>
          <w:lang w:val="sv-SE"/>
        </w:rPr>
        <w:t>Men om dess omfattning ska förbli begränsad till vissa typer av extraordinära rättsmedel, är det nödvändigt att definiera dessa baserat på exakta kriterier.</w:t>
      </w:r>
    </w:p>
    <w:p w:rsidRPr="00781D24" w:rsidR="00475015" w:rsidP="00475015">
      <w:pPr>
        <w:pStyle w:val="OpiPara"/>
        <w:rPr>
          <w:rFonts w:eastAsia="Times New Roman"/>
          <w:szCs w:val="24"/>
          <w:lang w:val="sv-SE"/>
        </w:rPr>
      </w:pPr>
      <w:r w:rsidRPr="009E0B85">
        <w:rPr>
          <w:szCs w:val="24"/>
          <w:lang w:val="sv-SE"/>
        </w:rPr>
        <w:t>Det bör betonas att dessa slutsatser rör domstolsförfaranden.</w:t>
      </w:r>
      <w:r w:rsidRPr="00781D24">
        <w:rPr>
          <w:szCs w:val="24"/>
          <w:lang w:val="sv-SE"/>
        </w:rPr>
        <w:t xml:space="preserve"> </w:t>
      </w:r>
      <w:r w:rsidRPr="009E0B85">
        <w:rPr>
          <w:rFonts w:eastAsia="Times New Roman"/>
          <w:szCs w:val="24"/>
          <w:lang w:val="sv-SE"/>
        </w:rPr>
        <w:t>Artikel 6 tillämplighet på extraordinära rättsmedel i förvaltningsförfaranden är en annan fråga som kräver separat prövning.</w:t>
      </w:r>
    </w:p>
    <w:p w:rsidRPr="00781D24" w:rsidR="001A590C" w:rsidP="001A590C">
      <w:pPr>
        <w:pStyle w:val="OpiPara"/>
        <w:rPr>
          <w:rFonts w:eastAsia="Times New Roman"/>
          <w:szCs w:val="24"/>
          <w:lang w:val="sv-SE"/>
        </w:rPr>
      </w:pPr>
      <w:r w:rsidRPr="009E0B85">
        <w:rPr>
          <w:szCs w:val="24"/>
          <w:lang w:val="sv-SE"/>
        </w:rPr>
        <w:t xml:space="preserve">6.  Det </w:t>
      </w:r>
      <w:r w:rsidR="002963B8">
        <w:rPr>
          <w:szCs w:val="24"/>
          <w:lang w:val="sv-SE"/>
        </w:rPr>
        <w:t xml:space="preserve">nu </w:t>
      </w:r>
      <w:r w:rsidRPr="009E0B85">
        <w:rPr>
          <w:szCs w:val="24"/>
          <w:lang w:val="sv-SE"/>
        </w:rPr>
        <w:t xml:space="preserve">aktuella målet rör också den mycket grannlaga frågan om effekterna av </w:t>
      </w:r>
      <w:r w:rsidR="002963B8">
        <w:rPr>
          <w:szCs w:val="24"/>
          <w:lang w:val="sv-SE"/>
        </w:rPr>
        <w:t>Domstolens domar som konstaterat</w:t>
      </w:r>
      <w:r w:rsidRPr="009E0B85">
        <w:rPr>
          <w:szCs w:val="24"/>
          <w:lang w:val="sv-SE"/>
        </w:rPr>
        <w:t xml:space="preserve"> en kränkning av Konventionen i civilprocesser eller härrör från domstolsbeslut i civilmål.</w:t>
      </w:r>
      <w:r w:rsidRPr="00781D24">
        <w:rPr>
          <w:szCs w:val="24"/>
          <w:lang w:val="sv-SE"/>
        </w:rPr>
        <w:t xml:space="preserve"> </w:t>
      </w:r>
      <w:r w:rsidRPr="009E0B85">
        <w:rPr>
          <w:szCs w:val="24"/>
          <w:lang w:val="sv-SE"/>
        </w:rPr>
        <w:t>Domstolsbeslut i civilmål syftar ofta till att avgöra tvister mellan parter med motsatta intressen.</w:t>
      </w:r>
      <w:r w:rsidRPr="00781D24">
        <w:rPr>
          <w:szCs w:val="24"/>
          <w:lang w:val="sv-SE"/>
        </w:rPr>
        <w:t xml:space="preserve"> </w:t>
      </w:r>
      <w:r w:rsidRPr="009E0B85">
        <w:rPr>
          <w:szCs w:val="24"/>
          <w:lang w:val="sv-SE"/>
        </w:rPr>
        <w:t>När en av parterna i Domstolen invänder mot ett förfarande eller beslut baserat på förenligheten med Konventionen, påverkar resultatet av förfarandet i Domstolen de andra parternas rättigheter och intressen.</w:t>
      </w:r>
      <w:r w:rsidRPr="00781D24">
        <w:rPr>
          <w:szCs w:val="24"/>
          <w:lang w:val="sv-SE"/>
        </w:rPr>
        <w:t xml:space="preserve"> </w:t>
      </w:r>
      <w:r w:rsidRPr="009E0B85">
        <w:rPr>
          <w:szCs w:val="24"/>
          <w:lang w:val="sv-SE"/>
        </w:rPr>
        <w:t>Även om Domstolen prövar det vertikala förhållandet (det vill säga, förhållandet mellan sökanden oc</w:t>
      </w:r>
      <w:r w:rsidR="002963B8">
        <w:rPr>
          <w:szCs w:val="24"/>
          <w:lang w:val="sv-SE"/>
        </w:rPr>
        <w:t xml:space="preserve">h staten) </w:t>
      </w:r>
      <w:r w:rsidRPr="007C2BC5" w:rsidR="007C2BC5">
        <w:rPr>
          <w:szCs w:val="24"/>
          <w:lang w:val="sv-SE"/>
        </w:rPr>
        <w:t xml:space="preserve">och </w:t>
      </w:r>
      <w:r w:rsidR="007C2BC5">
        <w:rPr>
          <w:szCs w:val="24"/>
          <w:lang w:val="sv-SE"/>
        </w:rPr>
        <w:t>avgör frågan om</w:t>
      </w:r>
      <w:r w:rsidRPr="009E0B85">
        <w:rPr>
          <w:szCs w:val="24"/>
          <w:lang w:val="sv-SE"/>
        </w:rPr>
        <w:t xml:space="preserve"> överträdelser mot Konventionen hänförliga till statens myndigheter, kommer en dom som fastställer en kränkning av sökandens rättigheter på grund av ett civilmål eller ett domstolsbeslut i ett civilmål ha betydelse för det skydd som ges de övriga parterna i förfarandet och har därför en horisontell dimension, det vill säga, </w:t>
      </w:r>
      <w:r w:rsidR="002963B8">
        <w:rPr>
          <w:szCs w:val="24"/>
          <w:lang w:val="sv-SE"/>
        </w:rPr>
        <w:t xml:space="preserve">det </w:t>
      </w:r>
      <w:r w:rsidRPr="009E0B85">
        <w:rPr>
          <w:szCs w:val="24"/>
          <w:lang w:val="sv-SE"/>
        </w:rPr>
        <w:t>rör förhållanden mellan privata parter.</w:t>
      </w:r>
      <w:r w:rsidRPr="00781D24">
        <w:rPr>
          <w:szCs w:val="24"/>
          <w:lang w:val="sv-SE"/>
        </w:rPr>
        <w:t xml:space="preserve"> </w:t>
      </w:r>
      <w:r w:rsidRPr="009E0B85">
        <w:rPr>
          <w:szCs w:val="24"/>
          <w:lang w:val="sv-SE"/>
        </w:rPr>
        <w:t xml:space="preserve">Den kontinuerliga utvidgningen av rättspraxis för tillämpningen av Konventionsrättigheter på förhållande mellan enskilda (på tyska: </w:t>
      </w:r>
      <w:r w:rsidRPr="009E0B85">
        <w:rPr>
          <w:rFonts w:eastAsia="Times New Roman"/>
          <w:i/>
          <w:szCs w:val="24"/>
          <w:lang w:val="sv-SE"/>
        </w:rPr>
        <w:t>Drittwirkung</w:t>
      </w:r>
      <w:r w:rsidRPr="009E0B85">
        <w:rPr>
          <w:rFonts w:eastAsia="Times New Roman"/>
          <w:szCs w:val="24"/>
          <w:lang w:val="sv-SE"/>
        </w:rPr>
        <w:t>, tredjepartsverkan) belyser denna tendens.</w:t>
      </w:r>
    </w:p>
    <w:p w:rsidRPr="00781D24" w:rsidR="001A590C" w:rsidP="001A590C">
      <w:pPr>
        <w:pStyle w:val="OpiPara"/>
        <w:rPr>
          <w:rFonts w:eastAsia="Times New Roman"/>
          <w:szCs w:val="24"/>
          <w:lang w:val="sv-SE"/>
        </w:rPr>
      </w:pPr>
      <w:r w:rsidRPr="009E0B85">
        <w:rPr>
          <w:szCs w:val="24"/>
          <w:lang w:val="sv-SE"/>
        </w:rPr>
        <w:t xml:space="preserve">Denna påverkan från Domstolens domar skulle vara ännu mer djupgående om en Konventionskränkning som fastställts i civilprocesser eller uppkommer </w:t>
      </w:r>
      <w:r w:rsidRPr="007C2BC5">
        <w:rPr>
          <w:szCs w:val="24"/>
          <w:lang w:val="sv-SE"/>
        </w:rPr>
        <w:t>genom ett domstolsbeslut i ett civilmål skulle le</w:t>
      </w:r>
      <w:r w:rsidRPr="007C2BC5" w:rsidR="002963B8">
        <w:rPr>
          <w:szCs w:val="24"/>
          <w:lang w:val="sv-SE"/>
        </w:rPr>
        <w:t>da till att förfarandet återupptogs</w:t>
      </w:r>
      <w:r w:rsidRPr="007C2BC5">
        <w:rPr>
          <w:szCs w:val="24"/>
          <w:lang w:val="sv-SE"/>
        </w:rPr>
        <w:t>.</w:t>
      </w:r>
      <w:r w:rsidRPr="00781D24">
        <w:rPr>
          <w:szCs w:val="24"/>
          <w:lang w:val="sv-SE"/>
        </w:rPr>
        <w:t xml:space="preserve"> </w:t>
      </w:r>
      <w:r w:rsidRPr="007C2BC5">
        <w:rPr>
          <w:szCs w:val="24"/>
          <w:lang w:val="sv-SE"/>
        </w:rPr>
        <w:t>I domskälen</w:t>
      </w:r>
      <w:r w:rsidRPr="009E0B85">
        <w:rPr>
          <w:szCs w:val="24"/>
          <w:lang w:val="sv-SE"/>
        </w:rPr>
        <w:t xml:space="preserve"> i det </w:t>
      </w:r>
      <w:r w:rsidR="002963B8">
        <w:rPr>
          <w:szCs w:val="24"/>
          <w:lang w:val="sv-SE"/>
        </w:rPr>
        <w:t xml:space="preserve">nu </w:t>
      </w:r>
      <w:r w:rsidRPr="009E0B85">
        <w:rPr>
          <w:szCs w:val="24"/>
          <w:lang w:val="sv-SE"/>
        </w:rPr>
        <w:t xml:space="preserve">aktuella målet konstateras mycket </w:t>
      </w:r>
      <w:r w:rsidR="002963B8">
        <w:rPr>
          <w:szCs w:val="24"/>
          <w:lang w:val="sv-SE"/>
        </w:rPr>
        <w:t xml:space="preserve">riktigt </w:t>
      </w:r>
      <w:r w:rsidRPr="009E0B85">
        <w:rPr>
          <w:szCs w:val="24"/>
          <w:lang w:val="sv-SE"/>
        </w:rPr>
        <w:t>att det saknas konsensus mellan de höga fördragsslutande parterna på detta område (se punkt 57 i domen).</w:t>
      </w:r>
      <w:r w:rsidRPr="00781D24">
        <w:rPr>
          <w:szCs w:val="24"/>
          <w:lang w:val="sv-SE"/>
        </w:rPr>
        <w:t xml:space="preserve"> </w:t>
      </w:r>
      <w:r w:rsidRPr="009E0B85">
        <w:rPr>
          <w:szCs w:val="24"/>
          <w:lang w:val="sv-SE"/>
        </w:rPr>
        <w:t>Domstolen konstaterar oc</w:t>
      </w:r>
      <w:r w:rsidR="00250FC5">
        <w:rPr>
          <w:szCs w:val="24"/>
          <w:lang w:val="sv-SE"/>
        </w:rPr>
        <w:t xml:space="preserve">kså, mycket relevant, </w:t>
      </w:r>
      <w:r w:rsidR="002963B8">
        <w:rPr>
          <w:szCs w:val="24"/>
          <w:lang w:val="sv-SE"/>
        </w:rPr>
        <w:t>tänkbara</w:t>
      </w:r>
      <w:r w:rsidR="00250FC5">
        <w:rPr>
          <w:szCs w:val="24"/>
          <w:lang w:val="sv-SE"/>
        </w:rPr>
        <w:t xml:space="preserve"> följder</w:t>
      </w:r>
      <w:r w:rsidRPr="009E0B85">
        <w:rPr>
          <w:szCs w:val="24"/>
          <w:lang w:val="sv-SE"/>
        </w:rPr>
        <w:t xml:space="preserve"> av </w:t>
      </w:r>
      <w:r w:rsidR="00250FC5">
        <w:rPr>
          <w:szCs w:val="24"/>
          <w:lang w:val="sv-SE"/>
        </w:rPr>
        <w:t xml:space="preserve">en </w:t>
      </w:r>
      <w:r w:rsidRPr="009E0B85">
        <w:rPr>
          <w:szCs w:val="24"/>
          <w:lang w:val="sv-SE"/>
        </w:rPr>
        <w:t>omprövning av sökandens må</w:t>
      </w:r>
      <w:r w:rsidR="00250FC5">
        <w:rPr>
          <w:szCs w:val="24"/>
          <w:lang w:val="sv-SE"/>
        </w:rPr>
        <w:t>l ”för</w:t>
      </w:r>
      <w:r w:rsidRPr="009E0B85">
        <w:rPr>
          <w:i/>
          <w:szCs w:val="24"/>
          <w:lang w:val="sv-SE"/>
        </w:rPr>
        <w:t xml:space="preserve"> </w:t>
      </w:r>
      <w:r w:rsidR="00250FC5">
        <w:rPr>
          <w:i/>
          <w:szCs w:val="24"/>
          <w:lang w:val="sv-SE"/>
        </w:rPr>
        <w:t xml:space="preserve">res </w:t>
      </w:r>
      <w:r w:rsidRPr="009E0B85">
        <w:rPr>
          <w:i/>
          <w:szCs w:val="24"/>
          <w:lang w:val="sv-SE"/>
        </w:rPr>
        <w:t>iudicata</w:t>
      </w:r>
      <w:r w:rsidR="00250FC5">
        <w:rPr>
          <w:szCs w:val="24"/>
          <w:lang w:val="sv-SE"/>
        </w:rPr>
        <w:t>-principen</w:t>
      </w:r>
      <w:r w:rsidRPr="009E0B85">
        <w:rPr>
          <w:szCs w:val="24"/>
          <w:lang w:val="sv-SE"/>
        </w:rPr>
        <w:t xml:space="preserve"> och rättsäkerheten i det avslutade civilmålet och för tredje parts legitima intressen” (punkt 72).</w:t>
      </w:r>
      <w:r w:rsidRPr="00781D24">
        <w:rPr>
          <w:szCs w:val="24"/>
          <w:lang w:val="sv-SE"/>
        </w:rPr>
        <w:t xml:space="preserve"> </w:t>
      </w:r>
      <w:r w:rsidRPr="009E0B85">
        <w:rPr>
          <w:szCs w:val="24"/>
          <w:lang w:val="sv-SE"/>
        </w:rPr>
        <w:t>Men resonemanget i beslutet verkar ge uttryck åt en viss preferens fö</w:t>
      </w:r>
      <w:r w:rsidR="002963B8">
        <w:rPr>
          <w:szCs w:val="24"/>
          <w:lang w:val="sv-SE"/>
        </w:rPr>
        <w:t xml:space="preserve">r att garantera att det </w:t>
      </w:r>
      <w:r w:rsidRPr="009E0B85">
        <w:rPr>
          <w:szCs w:val="24"/>
          <w:lang w:val="sv-SE"/>
        </w:rPr>
        <w:t xml:space="preserve">finns </w:t>
      </w:r>
      <w:r w:rsidR="002963B8">
        <w:rPr>
          <w:szCs w:val="24"/>
          <w:lang w:val="sv-SE"/>
        </w:rPr>
        <w:t xml:space="preserve">möjlighet </w:t>
      </w:r>
      <w:r w:rsidRPr="009E0B85">
        <w:rPr>
          <w:szCs w:val="24"/>
          <w:lang w:val="sv-SE"/>
        </w:rPr>
        <w:t>att återuppta civilmålsförfaranden för att underlätta verkställighet av Domstolens domar (punkt 58).</w:t>
      </w:r>
      <w:r w:rsidRPr="00781D24">
        <w:rPr>
          <w:szCs w:val="24"/>
          <w:lang w:val="sv-SE"/>
        </w:rPr>
        <w:t xml:space="preserve"> </w:t>
      </w:r>
      <w:r w:rsidRPr="009E0B85">
        <w:rPr>
          <w:rFonts w:eastAsia="Times New Roman"/>
          <w:szCs w:val="24"/>
          <w:lang w:val="sv-SE"/>
        </w:rPr>
        <w:t>Personligen hade jag för</w:t>
      </w:r>
      <w:r w:rsidR="002963B8">
        <w:rPr>
          <w:rFonts w:eastAsia="Times New Roman"/>
          <w:szCs w:val="24"/>
          <w:lang w:val="sv-SE"/>
        </w:rPr>
        <w:t xml:space="preserve">edragit om </w:t>
      </w:r>
      <w:r w:rsidRPr="009E0B85">
        <w:rPr>
          <w:rFonts w:eastAsia="Times New Roman"/>
          <w:szCs w:val="24"/>
          <w:lang w:val="sv-SE"/>
        </w:rPr>
        <w:t xml:space="preserve">Domstolens </w:t>
      </w:r>
      <w:r w:rsidRPr="007C2BC5">
        <w:rPr>
          <w:rFonts w:eastAsia="Times New Roman"/>
          <w:szCs w:val="24"/>
          <w:lang w:val="sv-SE"/>
        </w:rPr>
        <w:t>resonemang</w:t>
      </w:r>
      <w:r w:rsidRPr="007C2BC5" w:rsidR="007C2BC5">
        <w:rPr>
          <w:rFonts w:eastAsia="Times New Roman"/>
          <w:szCs w:val="24"/>
          <w:lang w:val="sv-SE"/>
        </w:rPr>
        <w:t xml:space="preserve"> hade inkluderat vissa krav</w:t>
      </w:r>
      <w:r w:rsidRPr="007C2BC5">
        <w:rPr>
          <w:rFonts w:eastAsia="Times New Roman"/>
          <w:szCs w:val="24"/>
          <w:lang w:val="sv-SE"/>
        </w:rPr>
        <w:t>.</w:t>
      </w:r>
    </w:p>
    <w:p w:rsidR="001D4F72" w:rsidP="0052399A">
      <w:pPr>
        <w:pStyle w:val="OpiPara"/>
        <w:rPr>
          <w:rFonts w:eastAsia="Times New Roman"/>
          <w:szCs w:val="24"/>
          <w:lang w:val="sv-SE"/>
        </w:rPr>
      </w:pPr>
      <w:r w:rsidRPr="009E0B85">
        <w:rPr>
          <w:szCs w:val="24"/>
          <w:lang w:val="sv-SE"/>
        </w:rPr>
        <w:t>Varje part i en civilprocess h</w:t>
      </w:r>
      <w:r w:rsidR="002963B8">
        <w:rPr>
          <w:szCs w:val="24"/>
          <w:lang w:val="sv-SE"/>
        </w:rPr>
        <w:t>ar rätt till ett säkert slutligt</w:t>
      </w:r>
      <w:r w:rsidRPr="009E0B85">
        <w:rPr>
          <w:szCs w:val="24"/>
          <w:lang w:val="sv-SE"/>
        </w:rPr>
        <w:t xml:space="preserve"> beslut som avkunnas i rimlig tid.</w:t>
      </w:r>
      <w:r w:rsidRPr="00781D24">
        <w:rPr>
          <w:szCs w:val="24"/>
          <w:lang w:val="sv-SE"/>
        </w:rPr>
        <w:t xml:space="preserve"> </w:t>
      </w:r>
      <w:r w:rsidRPr="009E0B85">
        <w:rPr>
          <w:szCs w:val="24"/>
          <w:lang w:val="sv-SE"/>
        </w:rPr>
        <w:t xml:space="preserve">Ett slutligt beslut, även ett som är felaktigt ur Konventionens perspektiv, skapar legitima förväntningar beträffande dess beständighet, </w:t>
      </w:r>
      <w:r>
        <w:rPr>
          <w:szCs w:val="24"/>
          <w:lang w:val="sv-SE"/>
        </w:rPr>
        <w:t>i synnerhet om motparten agerat</w:t>
      </w:r>
      <w:r w:rsidRPr="009E0B85">
        <w:rPr>
          <w:szCs w:val="24"/>
          <w:lang w:val="sv-SE"/>
        </w:rPr>
        <w:t xml:space="preserve"> i god tro i en situation där Konve</w:t>
      </w:r>
      <w:r>
        <w:rPr>
          <w:szCs w:val="24"/>
          <w:lang w:val="sv-SE"/>
        </w:rPr>
        <w:t>ntionskränkningarna inte var</w:t>
      </w:r>
      <w:r w:rsidRPr="009E0B85">
        <w:rPr>
          <w:szCs w:val="24"/>
          <w:lang w:val="sv-SE"/>
        </w:rPr>
        <w:t xml:space="preserve"> uppenbara baserat på Domstolens befintliga rättspraxis.</w:t>
      </w:r>
      <w:r w:rsidRPr="00781D24">
        <w:rPr>
          <w:szCs w:val="24"/>
          <w:lang w:val="sv-SE"/>
        </w:rPr>
        <w:t xml:space="preserve"> </w:t>
      </w:r>
      <w:r w:rsidRPr="009E0B85">
        <w:rPr>
          <w:szCs w:val="24"/>
          <w:lang w:val="sv-SE"/>
        </w:rPr>
        <w:t>Behovet att trygga beständigheten i slutliga domstolsbeslut i mål som rör enskilda parte</w:t>
      </w:r>
      <w:r>
        <w:rPr>
          <w:szCs w:val="24"/>
          <w:lang w:val="sv-SE"/>
        </w:rPr>
        <w:t>r och</w:t>
      </w:r>
      <w:r w:rsidRPr="009E0B85">
        <w:rPr>
          <w:szCs w:val="24"/>
          <w:lang w:val="sv-SE"/>
        </w:rPr>
        <w:t xml:space="preserve"> alla parter</w:t>
      </w:r>
      <w:r>
        <w:rPr>
          <w:szCs w:val="24"/>
          <w:lang w:val="sv-SE"/>
        </w:rPr>
        <w:t xml:space="preserve">s legitima intressen </w:t>
      </w:r>
      <w:r w:rsidRPr="009E0B85">
        <w:rPr>
          <w:szCs w:val="24"/>
          <w:lang w:val="sv-SE"/>
        </w:rPr>
        <w:t>utgör ett starkt argument mot att återuppta ett civilmålsförfarande efter en dom där Domstolen fastställt Konventionskränkning.</w:t>
      </w:r>
      <w:r w:rsidRPr="00781D24">
        <w:rPr>
          <w:szCs w:val="24"/>
          <w:lang w:val="sv-SE"/>
        </w:rPr>
        <w:t xml:space="preserve"> </w:t>
      </w:r>
      <w:r w:rsidRPr="009E0B85">
        <w:rPr>
          <w:szCs w:val="24"/>
          <w:lang w:val="sv-SE"/>
        </w:rPr>
        <w:t>Återupptagande av sådana förfaranden kan även le</w:t>
      </w:r>
      <w:r w:rsidR="0052399A">
        <w:rPr>
          <w:szCs w:val="24"/>
          <w:lang w:val="sv-SE"/>
        </w:rPr>
        <w:t>da till en kränkning av de övriga</w:t>
      </w:r>
      <w:r w:rsidRPr="009E0B85">
        <w:rPr>
          <w:szCs w:val="24"/>
          <w:lang w:val="sv-SE"/>
        </w:rPr>
        <w:t xml:space="preserve"> parternas rättigheter som skyddas av Konventionen.</w:t>
      </w:r>
      <w:r w:rsidRPr="00781D24">
        <w:rPr>
          <w:szCs w:val="24"/>
          <w:lang w:val="sv-SE"/>
        </w:rPr>
        <w:t xml:space="preserve"> </w:t>
      </w:r>
      <w:r w:rsidRPr="009E0B85">
        <w:rPr>
          <w:szCs w:val="24"/>
          <w:lang w:val="sv-SE"/>
        </w:rPr>
        <w:t xml:space="preserve">Icke desto mindre kan det inte uteslutas att ett slutligt beslut i en nationell civilmålsdomstol i vissa situationer kommer att skapa en så skriande orättvisa i förhållandet mellan enskilda parter att den endast kan </w:t>
      </w:r>
      <w:r w:rsidR="0052399A">
        <w:rPr>
          <w:szCs w:val="24"/>
          <w:lang w:val="sv-SE"/>
        </w:rPr>
        <w:t>gottgöras genom att det meddelade</w:t>
      </w:r>
      <w:r w:rsidRPr="009E0B85">
        <w:rPr>
          <w:szCs w:val="24"/>
          <w:lang w:val="sv-SE"/>
        </w:rPr>
        <w:t xml:space="preserve"> beslutet upphävs eller ändras.</w:t>
      </w:r>
      <w:r w:rsidRPr="00781D24">
        <w:rPr>
          <w:szCs w:val="24"/>
          <w:lang w:val="sv-SE"/>
        </w:rPr>
        <w:t xml:space="preserve"> </w:t>
      </w:r>
      <w:r w:rsidRPr="009E0B85">
        <w:rPr>
          <w:rFonts w:eastAsia="Times New Roman"/>
          <w:szCs w:val="24"/>
          <w:lang w:val="sv-SE"/>
        </w:rPr>
        <w:t xml:space="preserve">I de flesta </w:t>
      </w:r>
      <w:r>
        <w:rPr>
          <w:rFonts w:eastAsia="Times New Roman"/>
          <w:szCs w:val="24"/>
          <w:lang w:val="sv-SE"/>
        </w:rPr>
        <w:br w:type="page"/>
      </w:r>
    </w:p>
    <w:p w:rsidRPr="0052399A" w:rsidR="00D10751" w:rsidP="0052399A">
      <w:pPr>
        <w:pStyle w:val="OpiPara"/>
        <w:ind w:firstLine="0"/>
        <w:rPr>
          <w:rFonts w:eastAsia="Times New Roman"/>
          <w:szCs w:val="24"/>
          <w:lang w:val="sv-SE"/>
        </w:rPr>
      </w:pPr>
      <w:r w:rsidRPr="009E0B85">
        <w:rPr>
          <w:rFonts w:eastAsia="Times New Roman"/>
          <w:szCs w:val="24"/>
          <w:lang w:val="sv-SE"/>
        </w:rPr>
        <w:t xml:space="preserve">situationer som övervägs här </w:t>
      </w:r>
      <w:r w:rsidRPr="009E0B85">
        <w:rPr>
          <w:rFonts w:eastAsia="Times New Roman"/>
          <w:szCs w:val="24"/>
          <w:lang w:val="sv-SE"/>
        </w:rPr>
        <w:t>kommer dock den skälig</w:t>
      </w:r>
      <w:r w:rsidR="001D4F72">
        <w:rPr>
          <w:rFonts w:eastAsia="Times New Roman"/>
          <w:szCs w:val="24"/>
          <w:lang w:val="sv-SE"/>
        </w:rPr>
        <w:t>a</w:t>
      </w:r>
      <w:r w:rsidRPr="009E0B85">
        <w:rPr>
          <w:rFonts w:eastAsia="Times New Roman"/>
          <w:szCs w:val="24"/>
          <w:lang w:val="sv-SE"/>
        </w:rPr>
        <w:t xml:space="preserve"> gottgörelsen för det mesta att bestå av kompensation från staten.</w:t>
      </w:r>
    </w:p>
    <w:p w:rsidRPr="00781D24" w:rsidR="00D10751" w:rsidP="00D10751">
      <w:pPr>
        <w:pStyle w:val="OpiPara"/>
        <w:rPr>
          <w:rFonts w:eastAsia="Times New Roman"/>
          <w:szCs w:val="24"/>
          <w:lang w:val="sv-SE"/>
        </w:rPr>
      </w:pPr>
      <w:r w:rsidRPr="009E0B85">
        <w:rPr>
          <w:szCs w:val="24"/>
          <w:lang w:val="sv-SE"/>
        </w:rPr>
        <w:t>7.  Frågan rörande effekterna av Do</w:t>
      </w:r>
      <w:r w:rsidR="001D4F72">
        <w:rPr>
          <w:szCs w:val="24"/>
          <w:lang w:val="sv-SE"/>
        </w:rPr>
        <w:t>mstolens domar är i sig kopplad</w:t>
      </w:r>
      <w:r w:rsidRPr="009E0B85">
        <w:rPr>
          <w:szCs w:val="24"/>
          <w:lang w:val="sv-SE"/>
        </w:rPr>
        <w:t xml:space="preserve"> till frågan om Domstolsförfarandet.</w:t>
      </w:r>
      <w:r w:rsidRPr="00781D24">
        <w:rPr>
          <w:szCs w:val="24"/>
          <w:lang w:val="sv-SE"/>
        </w:rPr>
        <w:t xml:space="preserve"> </w:t>
      </w:r>
      <w:r w:rsidRPr="009E0B85">
        <w:rPr>
          <w:szCs w:val="24"/>
          <w:lang w:val="sv-SE"/>
        </w:rPr>
        <w:t xml:space="preserve">Alla processuella regler måste vara lämpade för </w:t>
      </w:r>
      <w:r w:rsidR="001D4F72">
        <w:rPr>
          <w:szCs w:val="24"/>
          <w:lang w:val="sv-SE"/>
        </w:rPr>
        <w:t xml:space="preserve">förfarandets syfte och målsättning </w:t>
      </w:r>
      <w:r w:rsidRPr="009E0B85">
        <w:rPr>
          <w:szCs w:val="24"/>
          <w:lang w:val="sv-SE"/>
        </w:rPr>
        <w:t>och måste trygga att alla berörda parters legitima intressen är effektivt skyddade.</w:t>
      </w:r>
      <w:r w:rsidRPr="00781D24">
        <w:rPr>
          <w:szCs w:val="24"/>
          <w:lang w:val="sv-SE"/>
        </w:rPr>
        <w:t xml:space="preserve"> </w:t>
      </w:r>
      <w:r w:rsidRPr="009E0B85">
        <w:rPr>
          <w:rFonts w:eastAsia="Times New Roman"/>
          <w:szCs w:val="24"/>
          <w:lang w:val="sv-SE"/>
        </w:rPr>
        <w:t xml:space="preserve">Vidare måste de </w:t>
      </w:r>
      <w:r w:rsidRPr="007C2BC5">
        <w:rPr>
          <w:rFonts w:eastAsia="Times New Roman"/>
          <w:szCs w:val="24"/>
          <w:lang w:val="sv-SE"/>
        </w:rPr>
        <w:t xml:space="preserve">garantera </w:t>
      </w:r>
      <w:r w:rsidRPr="007C2BC5" w:rsidR="007C2BC5">
        <w:rPr>
          <w:rFonts w:eastAsia="Times New Roman"/>
          <w:szCs w:val="24"/>
          <w:lang w:val="sv-SE"/>
        </w:rPr>
        <w:t>de meddelade</w:t>
      </w:r>
      <w:r w:rsidRPr="007C2BC5" w:rsidR="001D4F72">
        <w:rPr>
          <w:rFonts w:eastAsia="Times New Roman"/>
          <w:szCs w:val="24"/>
          <w:lang w:val="sv-SE"/>
        </w:rPr>
        <w:t xml:space="preserve"> beslutens </w:t>
      </w:r>
      <w:r w:rsidRPr="007C2BC5">
        <w:rPr>
          <w:rFonts w:eastAsia="Times New Roman"/>
          <w:szCs w:val="24"/>
          <w:lang w:val="sv-SE"/>
        </w:rPr>
        <w:t>ostridig</w:t>
      </w:r>
      <w:r w:rsidRPr="007C2BC5" w:rsidR="001D4F72">
        <w:rPr>
          <w:rFonts w:eastAsia="Times New Roman"/>
          <w:szCs w:val="24"/>
          <w:lang w:val="sv-SE"/>
        </w:rPr>
        <w:t>a</w:t>
      </w:r>
      <w:r w:rsidRPr="007C2BC5">
        <w:rPr>
          <w:rFonts w:eastAsia="Times New Roman"/>
          <w:szCs w:val="24"/>
          <w:lang w:val="sv-SE"/>
        </w:rPr>
        <w:t xml:space="preserve"> processuell</w:t>
      </w:r>
      <w:r w:rsidRPr="007C2BC5" w:rsidR="001D4F72">
        <w:rPr>
          <w:rFonts w:eastAsia="Times New Roman"/>
          <w:szCs w:val="24"/>
          <w:lang w:val="sv-SE"/>
        </w:rPr>
        <w:t>a</w:t>
      </w:r>
      <w:r w:rsidRPr="007C2BC5">
        <w:rPr>
          <w:rFonts w:eastAsia="Times New Roman"/>
          <w:szCs w:val="24"/>
          <w:lang w:val="sv-SE"/>
        </w:rPr>
        <w:t xml:space="preserve"> legitimitet.</w:t>
      </w:r>
    </w:p>
    <w:p w:rsidRPr="00781D24" w:rsidR="00D10751" w:rsidP="00D10751">
      <w:pPr>
        <w:pStyle w:val="OpiPara"/>
        <w:rPr>
          <w:rFonts w:eastAsia="Times New Roman"/>
          <w:szCs w:val="24"/>
          <w:lang w:val="sv-SE"/>
        </w:rPr>
      </w:pPr>
      <w:r w:rsidRPr="009E0B85">
        <w:rPr>
          <w:szCs w:val="24"/>
          <w:lang w:val="sv-SE"/>
        </w:rPr>
        <w:t xml:space="preserve">Processuell rättvisa kräver i synnerhet att alla personer som </w:t>
      </w:r>
      <w:r w:rsidR="001D4F72">
        <w:rPr>
          <w:szCs w:val="24"/>
          <w:lang w:val="sv-SE"/>
        </w:rPr>
        <w:t>berörs av förfarandets resultat</w:t>
      </w:r>
      <w:r w:rsidRPr="009E0B85">
        <w:rPr>
          <w:szCs w:val="24"/>
          <w:lang w:val="sv-SE"/>
        </w:rPr>
        <w:t xml:space="preserve"> garanteras rätten att bli hörda.</w:t>
      </w:r>
      <w:r w:rsidRPr="00781D24">
        <w:rPr>
          <w:szCs w:val="24"/>
          <w:lang w:val="sv-SE"/>
        </w:rPr>
        <w:t xml:space="preserve"> </w:t>
      </w:r>
      <w:r w:rsidRPr="009E0B85">
        <w:rPr>
          <w:szCs w:val="24"/>
          <w:lang w:val="sv-SE"/>
        </w:rPr>
        <w:t xml:space="preserve">Som Seneca konstaterade i </w:t>
      </w:r>
      <w:r w:rsidRPr="009E0B85">
        <w:rPr>
          <w:i/>
          <w:szCs w:val="24"/>
          <w:lang w:val="sv-SE"/>
        </w:rPr>
        <w:t>Medea</w:t>
      </w:r>
      <w:r w:rsidRPr="009E0B85">
        <w:rPr>
          <w:szCs w:val="24"/>
          <w:lang w:val="sv-SE"/>
        </w:rPr>
        <w:t>:</w:t>
      </w:r>
      <w:r w:rsidRPr="00781D24">
        <w:rPr>
          <w:i/>
          <w:szCs w:val="24"/>
          <w:lang w:val="sv-SE"/>
        </w:rPr>
        <w:t xml:space="preserve"> </w:t>
      </w:r>
      <w:r w:rsidRPr="009E0B85">
        <w:rPr>
          <w:i/>
          <w:szCs w:val="24"/>
          <w:lang w:val="sv-SE"/>
        </w:rPr>
        <w:t>Qui statuit aliquid parte inaudita altera, aequum licet statuerit, haud aequus fuit</w:t>
      </w:r>
      <w:r w:rsidRPr="009E0B85">
        <w:rPr>
          <w:szCs w:val="24"/>
          <w:lang w:val="sv-SE"/>
        </w:rPr>
        <w:t xml:space="preserve">. </w:t>
      </w:r>
      <w:r w:rsidR="001D4F72">
        <w:rPr>
          <w:szCs w:val="24"/>
          <w:lang w:val="sv-SE"/>
        </w:rPr>
        <w:t>(</w:t>
      </w:r>
      <w:r w:rsidRPr="009E0B85">
        <w:rPr>
          <w:szCs w:val="24"/>
          <w:lang w:val="sv-SE"/>
        </w:rPr>
        <w:t>Den som låter dom falla utan ha hört den ena parten är inte rättvis, även om domen är rättvis.</w:t>
      </w:r>
      <w:r w:rsidR="001D4F72">
        <w:rPr>
          <w:szCs w:val="24"/>
          <w:lang w:val="sv-SE"/>
        </w:rPr>
        <w:t>)</w:t>
      </w:r>
      <w:r w:rsidRPr="00781D24">
        <w:rPr>
          <w:szCs w:val="24"/>
          <w:lang w:val="sv-SE"/>
        </w:rPr>
        <w:t xml:space="preserve"> </w:t>
      </w:r>
      <w:r w:rsidRPr="009E0B85">
        <w:rPr>
          <w:szCs w:val="24"/>
          <w:lang w:val="sv-SE"/>
        </w:rPr>
        <w:t>Ju mer långtgående effekterna av Domstolens domar är desto viktigare är det att säkra att alla berörda parter får rätt att höras.</w:t>
      </w:r>
      <w:r w:rsidRPr="00781D24">
        <w:rPr>
          <w:szCs w:val="24"/>
          <w:lang w:val="sv-SE"/>
        </w:rPr>
        <w:t xml:space="preserve"> </w:t>
      </w:r>
      <w:r w:rsidRPr="009E0B85">
        <w:rPr>
          <w:rFonts w:eastAsia="Times New Roman"/>
          <w:szCs w:val="24"/>
          <w:lang w:val="sv-SE"/>
        </w:rPr>
        <w:t>Utveckling av rättspraxis och tillämpning avseende effekterna och verkställigheten av Domstolens domar kan kräva att justeringar görs beträffande tillämpliga processuella regler.</w:t>
      </w:r>
    </w:p>
    <w:p w:rsidRPr="00781D24" w:rsidR="00D10751" w:rsidP="00D10751">
      <w:pPr>
        <w:pStyle w:val="OpiPara"/>
        <w:rPr>
          <w:rFonts w:eastAsia="Times New Roman"/>
          <w:szCs w:val="24"/>
          <w:lang w:val="sv-SE"/>
        </w:rPr>
      </w:pPr>
      <w:r w:rsidRPr="009E0B85">
        <w:rPr>
          <w:szCs w:val="24"/>
          <w:lang w:val="sv-SE"/>
        </w:rPr>
        <w:t xml:space="preserve">8.  Vid prövning </w:t>
      </w:r>
      <w:r w:rsidR="001D4F72">
        <w:rPr>
          <w:szCs w:val="24"/>
          <w:lang w:val="sv-SE"/>
        </w:rPr>
        <w:t>av ansökningar avseende påstådd</w:t>
      </w:r>
      <w:r w:rsidRPr="009E0B85">
        <w:rPr>
          <w:szCs w:val="24"/>
          <w:lang w:val="sv-SE"/>
        </w:rPr>
        <w:t xml:space="preserve"> kränkning av mänskliga rättigheter</w:t>
      </w:r>
      <w:r w:rsidR="001D4F72">
        <w:rPr>
          <w:szCs w:val="24"/>
          <w:lang w:val="sv-SE"/>
        </w:rPr>
        <w:t xml:space="preserve"> i civilmål eller som </w:t>
      </w:r>
      <w:r w:rsidRPr="009E0B85">
        <w:rPr>
          <w:szCs w:val="24"/>
          <w:lang w:val="sv-SE"/>
        </w:rPr>
        <w:t>genom domstolsbeslut i civilmål avseende tvister mellan enskilda eller juridiska personer reglerade i privaträtt, får man aldrig bortse från de rättigheter som tillkommer sökandens motpart.</w:t>
      </w:r>
      <w:r w:rsidRPr="00781D24">
        <w:rPr>
          <w:szCs w:val="24"/>
          <w:lang w:val="sv-SE"/>
        </w:rPr>
        <w:t xml:space="preserve"> </w:t>
      </w:r>
      <w:r w:rsidRPr="009E0B85">
        <w:rPr>
          <w:szCs w:val="24"/>
          <w:lang w:val="sv-SE"/>
        </w:rPr>
        <w:t>Detta beror på att när Domstolen fastställt en Konventionskränkning i ett domstolsbeslut i ett civilmål kan det få praktiska oc</w:t>
      </w:r>
      <w:r w:rsidR="001D4F72">
        <w:rPr>
          <w:szCs w:val="24"/>
          <w:lang w:val="sv-SE"/>
        </w:rPr>
        <w:t>h rättsliga konsekvenser för övriga parter</w:t>
      </w:r>
      <w:r w:rsidRPr="009E0B85">
        <w:rPr>
          <w:szCs w:val="24"/>
          <w:lang w:val="sv-SE"/>
        </w:rPr>
        <w:t xml:space="preserve"> i civilprocessen och för implementeringen av deras rättigheter.</w:t>
      </w:r>
      <w:r w:rsidRPr="00781D24">
        <w:rPr>
          <w:szCs w:val="24"/>
          <w:lang w:val="sv-SE"/>
        </w:rPr>
        <w:t xml:space="preserve"> </w:t>
      </w:r>
      <w:r w:rsidRPr="009E0B85">
        <w:rPr>
          <w:rFonts w:eastAsia="Times New Roman"/>
          <w:szCs w:val="24"/>
          <w:lang w:val="sv-SE"/>
        </w:rPr>
        <w:t xml:space="preserve">Detta problem är särskilt stort när det gäller ansökningar mot stater vars rättssystem (som det i </w:t>
      </w:r>
      <w:r w:rsidR="001D4F72">
        <w:rPr>
          <w:rFonts w:eastAsia="Times New Roman"/>
          <w:szCs w:val="24"/>
          <w:lang w:val="sv-SE"/>
        </w:rPr>
        <w:t>Ukraina) tillåter återupptagande</w:t>
      </w:r>
      <w:r w:rsidRPr="009E0B85">
        <w:rPr>
          <w:rFonts w:eastAsia="Times New Roman"/>
          <w:szCs w:val="24"/>
          <w:lang w:val="sv-SE"/>
        </w:rPr>
        <w:t xml:space="preserve"> av civilmål efter en dom i Domstolen.</w:t>
      </w:r>
    </w:p>
    <w:p w:rsidRPr="00781D24" w:rsidR="00035E14" w:rsidP="00035E14">
      <w:pPr>
        <w:pStyle w:val="OpiPara"/>
        <w:rPr>
          <w:rFonts w:eastAsia="Times New Roman"/>
          <w:szCs w:val="24"/>
          <w:lang w:val="sv-SE"/>
        </w:rPr>
      </w:pPr>
      <w:r w:rsidRPr="009E0B85">
        <w:rPr>
          <w:szCs w:val="24"/>
          <w:lang w:val="sv-SE"/>
        </w:rPr>
        <w:t>De</w:t>
      </w:r>
      <w:r w:rsidR="00250FC5">
        <w:rPr>
          <w:szCs w:val="24"/>
          <w:lang w:val="sv-SE"/>
        </w:rPr>
        <w:t>t</w:t>
      </w:r>
      <w:r w:rsidRPr="009E0B85">
        <w:rPr>
          <w:szCs w:val="24"/>
          <w:lang w:val="sv-SE"/>
        </w:rPr>
        <w:t xml:space="preserve"> bör noteras här att Domstolen i sin dom i </w:t>
      </w:r>
      <w:r w:rsidRPr="009E0B85">
        <w:rPr>
          <w:i/>
          <w:szCs w:val="24"/>
          <w:lang w:val="sv-SE"/>
        </w:rPr>
        <w:t>Ruiz-Mateos v. Spain</w:t>
      </w:r>
      <w:r w:rsidRPr="009E0B85">
        <w:rPr>
          <w:szCs w:val="24"/>
          <w:lang w:val="sv-SE"/>
        </w:rPr>
        <w:t xml:space="preserve"> (23 juni 1993, serie A nr 262), prövade de berörda personernas rätt att bli hörda i ett </w:t>
      </w:r>
      <w:r w:rsidRPr="007C2BC5">
        <w:rPr>
          <w:szCs w:val="24"/>
          <w:lang w:val="sv-SE"/>
        </w:rPr>
        <w:t>konstitutionellt omprövningsförfarande.</w:t>
      </w:r>
      <w:r w:rsidRPr="00781D24">
        <w:rPr>
          <w:szCs w:val="24"/>
          <w:lang w:val="sv-SE"/>
        </w:rPr>
        <w:t xml:space="preserve"> </w:t>
      </w:r>
      <w:r w:rsidRPr="007C2BC5" w:rsidR="001D4F72">
        <w:rPr>
          <w:szCs w:val="24"/>
          <w:lang w:val="sv-SE"/>
        </w:rPr>
        <w:t>Frågan hade</w:t>
      </w:r>
      <w:r w:rsidRPr="007C2BC5">
        <w:rPr>
          <w:szCs w:val="24"/>
          <w:lang w:val="sv-SE"/>
        </w:rPr>
        <w:t xml:space="preserve"> uppkommit i samband med förhållandet mellan civilprocesser och konstitutionella omprövningsförfaranden.</w:t>
      </w:r>
      <w:r w:rsidRPr="00781D24">
        <w:rPr>
          <w:szCs w:val="24"/>
          <w:lang w:val="sv-SE"/>
        </w:rPr>
        <w:t xml:space="preserve"> </w:t>
      </w:r>
      <w:r w:rsidRPr="007C2BC5" w:rsidR="001D4F72">
        <w:rPr>
          <w:szCs w:val="24"/>
          <w:lang w:val="sv-SE"/>
        </w:rPr>
        <w:t>I det målet hade</w:t>
      </w:r>
      <w:r w:rsidR="001D4F72">
        <w:rPr>
          <w:szCs w:val="24"/>
          <w:lang w:val="sv-SE"/>
        </w:rPr>
        <w:t xml:space="preserve"> </w:t>
      </w:r>
      <w:r w:rsidRPr="009E0B85">
        <w:rPr>
          <w:szCs w:val="24"/>
          <w:lang w:val="sv-SE"/>
        </w:rPr>
        <w:t>en spansk domstol under en civilrättslig tvi</w:t>
      </w:r>
      <w:r w:rsidR="001D4F72">
        <w:rPr>
          <w:szCs w:val="24"/>
          <w:lang w:val="sv-SE"/>
        </w:rPr>
        <w:t>st hänvisat en preliminär fråga</w:t>
      </w:r>
      <w:r w:rsidRPr="009E0B85">
        <w:rPr>
          <w:szCs w:val="24"/>
          <w:lang w:val="sv-SE"/>
        </w:rPr>
        <w:t xml:space="preserve"> beträffande författningsenligheten hos den lagstiftning som var tillämplig i målet</w:t>
      </w:r>
      <w:r w:rsidR="001D4F72">
        <w:rPr>
          <w:szCs w:val="24"/>
          <w:lang w:val="sv-SE"/>
        </w:rPr>
        <w:t xml:space="preserve"> </w:t>
      </w:r>
      <w:r w:rsidRPr="009E0B85" w:rsidR="001D4F72">
        <w:rPr>
          <w:szCs w:val="24"/>
          <w:lang w:val="sv-SE"/>
        </w:rPr>
        <w:t>till förf</w:t>
      </w:r>
      <w:r w:rsidR="001D4F72">
        <w:rPr>
          <w:szCs w:val="24"/>
          <w:lang w:val="sv-SE"/>
        </w:rPr>
        <w:t>attningsdomstolen</w:t>
      </w:r>
      <w:r w:rsidRPr="009E0B85">
        <w:rPr>
          <w:szCs w:val="24"/>
          <w:lang w:val="sv-SE"/>
        </w:rPr>
        <w:t>.</w:t>
      </w:r>
      <w:r w:rsidRPr="00781D24">
        <w:rPr>
          <w:szCs w:val="24"/>
          <w:lang w:val="sv-SE"/>
        </w:rPr>
        <w:t xml:space="preserve"> </w:t>
      </w:r>
      <w:r w:rsidRPr="009E0B85">
        <w:rPr>
          <w:rFonts w:eastAsia="Times New Roman"/>
          <w:szCs w:val="24"/>
          <w:lang w:val="sv-SE"/>
        </w:rPr>
        <w:t>Domstolen fastställde en Kon</w:t>
      </w:r>
      <w:r w:rsidR="001D4F72">
        <w:rPr>
          <w:rFonts w:eastAsia="Times New Roman"/>
          <w:szCs w:val="24"/>
          <w:lang w:val="sv-SE"/>
        </w:rPr>
        <w:t>venti</w:t>
      </w:r>
      <w:r w:rsidR="00250FC5">
        <w:rPr>
          <w:rFonts w:eastAsia="Times New Roman"/>
          <w:szCs w:val="24"/>
          <w:lang w:val="sv-SE"/>
        </w:rPr>
        <w:t>onskränkning eftersom de spanska myndigheterna</w:t>
      </w:r>
      <w:r w:rsidR="001D4F72">
        <w:rPr>
          <w:rFonts w:eastAsia="Times New Roman"/>
          <w:szCs w:val="24"/>
          <w:lang w:val="sv-SE"/>
        </w:rPr>
        <w:t>,</w:t>
      </w:r>
      <w:r w:rsidRPr="009E0B85">
        <w:rPr>
          <w:rFonts w:eastAsia="Times New Roman"/>
          <w:szCs w:val="24"/>
          <w:lang w:val="sv-SE"/>
        </w:rPr>
        <w:t xml:space="preserve"> i förfarandet för konkret omprövning av lagstiftningen i författningsdomstol</w:t>
      </w:r>
      <w:r w:rsidR="001D4F72">
        <w:rPr>
          <w:rFonts w:eastAsia="Times New Roman"/>
          <w:szCs w:val="24"/>
          <w:lang w:val="sv-SE"/>
        </w:rPr>
        <w:t>en</w:t>
      </w:r>
      <w:r w:rsidR="008665F9">
        <w:rPr>
          <w:rFonts w:eastAsia="Times New Roman"/>
          <w:szCs w:val="24"/>
          <w:lang w:val="sv-SE"/>
        </w:rPr>
        <w:t>,</w:t>
      </w:r>
      <w:r w:rsidR="00250FC5">
        <w:rPr>
          <w:rFonts w:eastAsia="Times New Roman"/>
          <w:szCs w:val="24"/>
          <w:lang w:val="sv-SE"/>
        </w:rPr>
        <w:t xml:space="preserve"> </w:t>
      </w:r>
      <w:r w:rsidRPr="009E0B85">
        <w:rPr>
          <w:rFonts w:eastAsia="Times New Roman"/>
          <w:szCs w:val="24"/>
          <w:lang w:val="sv-SE"/>
        </w:rPr>
        <w:t xml:space="preserve">inte </w:t>
      </w:r>
      <w:r w:rsidR="008665F9">
        <w:rPr>
          <w:rFonts w:eastAsia="Times New Roman"/>
          <w:szCs w:val="24"/>
          <w:lang w:val="sv-SE"/>
        </w:rPr>
        <w:t>hade säkerställt att en av</w:t>
      </w:r>
      <w:r w:rsidRPr="009E0B85">
        <w:rPr>
          <w:rFonts w:eastAsia="Times New Roman"/>
          <w:szCs w:val="24"/>
          <w:lang w:val="sv-SE"/>
        </w:rPr>
        <w:t xml:space="preserve"> </w:t>
      </w:r>
      <w:r w:rsidR="008665F9">
        <w:rPr>
          <w:rFonts w:eastAsia="Times New Roman"/>
          <w:szCs w:val="24"/>
          <w:lang w:val="sv-SE"/>
        </w:rPr>
        <w:t>parterna i civilprocessen fick rätt</w:t>
      </w:r>
      <w:r w:rsidRPr="009E0B85">
        <w:rPr>
          <w:rFonts w:eastAsia="Times New Roman"/>
          <w:szCs w:val="24"/>
          <w:lang w:val="sv-SE"/>
        </w:rPr>
        <w:t xml:space="preserve"> att yttra sig angående motpartens ställning i frågan om en lags författningsenlighet (§ 67).</w:t>
      </w:r>
    </w:p>
    <w:p w:rsidR="0052399A" w:rsidP="0052399A">
      <w:pPr>
        <w:pStyle w:val="OpiPara"/>
        <w:rPr>
          <w:szCs w:val="24"/>
          <w:lang w:val="sv-SE"/>
        </w:rPr>
      </w:pPr>
      <w:r w:rsidRPr="009E0B85">
        <w:rPr>
          <w:szCs w:val="24"/>
          <w:lang w:val="sv-SE"/>
        </w:rPr>
        <w:t>9.  Det är obestridligt att det förfarande genom vilket Domstolen prövar enskilda ansökningar har många specifika egenskaper som särskiljer det</w:t>
      </w:r>
      <w:r>
        <w:rPr>
          <w:szCs w:val="24"/>
          <w:lang w:val="sv-SE"/>
        </w:rPr>
        <w:t xml:space="preserve"> från förfaranden i</w:t>
      </w:r>
      <w:r w:rsidR="00FF2557">
        <w:rPr>
          <w:szCs w:val="24"/>
          <w:lang w:val="sv-SE"/>
        </w:rPr>
        <w:t xml:space="preserve"> diverse</w:t>
      </w:r>
      <w:r w:rsidRPr="009E0B85">
        <w:rPr>
          <w:szCs w:val="24"/>
          <w:lang w:val="sv-SE"/>
        </w:rPr>
        <w:t xml:space="preserve"> nationella överdomstolar. </w:t>
      </w:r>
      <w:r w:rsidR="00FF2557">
        <w:rPr>
          <w:szCs w:val="24"/>
          <w:lang w:val="sv-SE"/>
        </w:rPr>
        <w:t>E</w:t>
      </w:r>
      <w:r w:rsidRPr="009E0B85">
        <w:rPr>
          <w:szCs w:val="24"/>
          <w:lang w:val="sv-SE"/>
        </w:rPr>
        <w:t xml:space="preserve">n dom i Domstolen kan vara viktig </w:t>
      </w:r>
      <w:r w:rsidR="00FF2557">
        <w:rPr>
          <w:szCs w:val="24"/>
          <w:lang w:val="sv-SE"/>
        </w:rPr>
        <w:t>vad gäller implementering av övriga parters</w:t>
      </w:r>
      <w:r w:rsidRPr="009E0B85">
        <w:rPr>
          <w:szCs w:val="24"/>
          <w:lang w:val="sv-SE"/>
        </w:rPr>
        <w:t xml:space="preserve"> rättigheter i det </w:t>
      </w:r>
    </w:p>
    <w:p w:rsidR="0052399A">
      <w:pPr>
        <w:jc w:val="left"/>
        <w:rPr>
          <w:szCs w:val="24"/>
          <w:lang w:val="sv-SE"/>
        </w:rPr>
      </w:pPr>
      <w:r>
        <w:rPr>
          <w:szCs w:val="24"/>
          <w:lang w:val="sv-SE"/>
        </w:rPr>
        <w:br w:type="page"/>
      </w:r>
    </w:p>
    <w:p w:rsidRPr="0052399A" w:rsidR="00035E14" w:rsidP="0052399A">
      <w:pPr>
        <w:pStyle w:val="OpiPara"/>
        <w:ind w:firstLine="0"/>
        <w:rPr>
          <w:szCs w:val="24"/>
          <w:lang w:val="sv-SE"/>
        </w:rPr>
      </w:pPr>
      <w:r w:rsidRPr="009E0B85">
        <w:rPr>
          <w:szCs w:val="24"/>
          <w:lang w:val="sv-SE"/>
        </w:rPr>
        <w:t xml:space="preserve">nationella förfarandet, </w:t>
      </w:r>
      <w:r w:rsidR="00FF2557">
        <w:rPr>
          <w:szCs w:val="24"/>
          <w:lang w:val="sv-SE"/>
        </w:rPr>
        <w:t xml:space="preserve">men den </w:t>
      </w:r>
      <w:r w:rsidR="008665F9">
        <w:rPr>
          <w:szCs w:val="24"/>
          <w:lang w:val="sv-SE"/>
        </w:rPr>
        <w:t>fastställer</w:t>
      </w:r>
      <w:r w:rsidRPr="009E0B85">
        <w:rPr>
          <w:szCs w:val="24"/>
          <w:lang w:val="sv-SE"/>
        </w:rPr>
        <w:t xml:space="preserve"> inga rättigheter eller skyldigheter för dem med direkt inverkan på fördragsparterna.</w:t>
      </w:r>
      <w:r w:rsidRPr="00781D24">
        <w:rPr>
          <w:szCs w:val="24"/>
          <w:lang w:val="sv-SE"/>
        </w:rPr>
        <w:t xml:space="preserve"> </w:t>
      </w:r>
      <w:r w:rsidRPr="009E0B85">
        <w:rPr>
          <w:rFonts w:eastAsia="Times New Roman"/>
          <w:szCs w:val="24"/>
          <w:lang w:val="sv-SE"/>
        </w:rPr>
        <w:t xml:space="preserve">Men med tanke på att tredje part ofta påverkas av resultatet av Domstolens förfarande, gäller synsättet i målet </w:t>
      </w:r>
      <w:r w:rsidRPr="009E0B85">
        <w:rPr>
          <w:rFonts w:eastAsia="Times New Roman"/>
          <w:i/>
          <w:szCs w:val="24"/>
          <w:lang w:val="sv-SE"/>
        </w:rPr>
        <w:t>Ruiz-Mateos</w:t>
      </w:r>
      <w:r w:rsidR="0052399A">
        <w:rPr>
          <w:rFonts w:eastAsia="Times New Roman"/>
          <w:szCs w:val="24"/>
          <w:lang w:val="sv-SE"/>
        </w:rPr>
        <w:t xml:space="preserve"> avseende</w:t>
      </w:r>
      <w:r w:rsidRPr="009E0B85">
        <w:rPr>
          <w:rFonts w:eastAsia="Times New Roman"/>
          <w:szCs w:val="24"/>
          <w:lang w:val="sv-SE"/>
        </w:rPr>
        <w:t xml:space="preserve"> förhållandet mellan civilprocesser och förfaranden för att </w:t>
      </w:r>
      <w:r w:rsidR="00FF2557">
        <w:rPr>
          <w:rFonts w:eastAsia="Times New Roman"/>
          <w:szCs w:val="24"/>
          <w:lang w:val="sv-SE"/>
        </w:rPr>
        <w:t>pröva lagstiftning även</w:t>
      </w:r>
      <w:r w:rsidRPr="009E0B85">
        <w:rPr>
          <w:rFonts w:eastAsia="Times New Roman"/>
          <w:szCs w:val="24"/>
          <w:lang w:val="sv-SE"/>
        </w:rPr>
        <w:t xml:space="preserve"> förhållandet mellan nationella civilprocesser och förfaranden inför Europeiska domstolen för de mänskliga rättigheterna.</w:t>
      </w:r>
    </w:p>
    <w:p w:rsidRPr="00781D24" w:rsidR="00035E14" w:rsidP="00035E14">
      <w:pPr>
        <w:pStyle w:val="OpiPara"/>
        <w:rPr>
          <w:rFonts w:eastAsia="Times New Roman"/>
          <w:szCs w:val="24"/>
          <w:lang w:val="sv-SE"/>
        </w:rPr>
      </w:pPr>
      <w:r w:rsidRPr="009E0B85">
        <w:rPr>
          <w:szCs w:val="24"/>
          <w:lang w:val="sv-SE"/>
        </w:rPr>
        <w:t>Konventionen garanterar inte övriga parter i nationell</w:t>
      </w:r>
      <w:r w:rsidR="00FF2557">
        <w:rPr>
          <w:szCs w:val="24"/>
          <w:lang w:val="sv-SE"/>
        </w:rPr>
        <w:t>a förfaranden som berörs av ett kritiserat domstolsbeslut</w:t>
      </w:r>
      <w:r w:rsidRPr="009E0B85">
        <w:rPr>
          <w:szCs w:val="24"/>
          <w:lang w:val="sv-SE"/>
        </w:rPr>
        <w:t xml:space="preserve"> rätten att höras av Domstolen.</w:t>
      </w:r>
      <w:r w:rsidRPr="00781D24">
        <w:rPr>
          <w:szCs w:val="24"/>
          <w:lang w:val="sv-SE"/>
        </w:rPr>
        <w:t xml:space="preserve"> </w:t>
      </w:r>
      <w:r w:rsidR="00FF2557">
        <w:rPr>
          <w:szCs w:val="24"/>
          <w:lang w:val="sv-SE"/>
        </w:rPr>
        <w:t>Det stämmer</w:t>
      </w:r>
      <w:r w:rsidRPr="009E0B85">
        <w:rPr>
          <w:szCs w:val="24"/>
          <w:lang w:val="sv-SE"/>
        </w:rPr>
        <w:t xml:space="preserve"> att </w:t>
      </w:r>
      <w:r w:rsidR="00FF2557">
        <w:rPr>
          <w:szCs w:val="24"/>
          <w:lang w:val="sv-SE"/>
        </w:rPr>
        <w:t xml:space="preserve">Kammarens ordförande </w:t>
      </w:r>
      <w:r w:rsidRPr="009E0B85">
        <w:rPr>
          <w:szCs w:val="24"/>
          <w:lang w:val="sv-SE"/>
        </w:rPr>
        <w:t>enligt artikel 36 § 2 i Konventionen, kompletterat av regel 44 § 4 i Domstolens arbetso</w:t>
      </w:r>
      <w:r w:rsidR="00FF2557">
        <w:rPr>
          <w:szCs w:val="24"/>
          <w:lang w:val="sv-SE"/>
        </w:rPr>
        <w:t>rdning</w:t>
      </w:r>
      <w:r w:rsidRPr="009E0B85">
        <w:rPr>
          <w:szCs w:val="24"/>
          <w:lang w:val="sv-SE"/>
        </w:rPr>
        <w:t xml:space="preserve">, i den korrekta rättskipningens intresse, </w:t>
      </w:r>
      <w:r w:rsidR="00FF2557">
        <w:rPr>
          <w:szCs w:val="24"/>
          <w:lang w:val="sv-SE"/>
        </w:rPr>
        <w:t xml:space="preserve">kan </w:t>
      </w:r>
      <w:r w:rsidRPr="009E0B85">
        <w:rPr>
          <w:szCs w:val="24"/>
          <w:lang w:val="sv-SE"/>
        </w:rPr>
        <w:t>bemyndiga eller bjuda in en berörd person som inte är sökande att inge skriftliga yttranden eller, under exceptionella omständigheter, delta i förhandlingen.</w:t>
      </w:r>
      <w:r w:rsidRPr="00781D24">
        <w:rPr>
          <w:szCs w:val="24"/>
          <w:lang w:val="sv-SE"/>
        </w:rPr>
        <w:t xml:space="preserve"> </w:t>
      </w:r>
      <w:r w:rsidRPr="009E0B85">
        <w:rPr>
          <w:szCs w:val="24"/>
          <w:lang w:val="sv-SE"/>
        </w:rPr>
        <w:t>Ibland använder sig Domstolen av denna möjlighet, i synnerhet i mål som rör familjerätt.</w:t>
      </w:r>
      <w:r w:rsidRPr="00781D24">
        <w:rPr>
          <w:szCs w:val="24"/>
          <w:lang w:val="sv-SE"/>
        </w:rPr>
        <w:t xml:space="preserve"> </w:t>
      </w:r>
      <w:r w:rsidR="00FF2557">
        <w:rPr>
          <w:szCs w:val="24"/>
          <w:lang w:val="sv-SE"/>
        </w:rPr>
        <w:t xml:space="preserve">Den </w:t>
      </w:r>
      <w:r w:rsidRPr="009E0B85">
        <w:rPr>
          <w:szCs w:val="24"/>
          <w:lang w:val="sv-SE"/>
        </w:rPr>
        <w:t xml:space="preserve">metoden förefaller mig inadekvat eftersom valmöjligheten, som överlämnas åt kammarens ordförandes gottfinnande, att höra </w:t>
      </w:r>
      <w:r w:rsidR="00FF2557">
        <w:rPr>
          <w:szCs w:val="24"/>
          <w:lang w:val="sv-SE"/>
        </w:rPr>
        <w:t xml:space="preserve">en berörd persons synpunkter inte är likställt med </w:t>
      </w:r>
      <w:r w:rsidRPr="009E0B85">
        <w:rPr>
          <w:szCs w:val="24"/>
          <w:lang w:val="sv-SE"/>
        </w:rPr>
        <w:t>rätt</w:t>
      </w:r>
      <w:r w:rsidR="00FF2557">
        <w:rPr>
          <w:szCs w:val="24"/>
          <w:lang w:val="sv-SE"/>
        </w:rPr>
        <w:t>en</w:t>
      </w:r>
      <w:r w:rsidRPr="009E0B85">
        <w:rPr>
          <w:szCs w:val="24"/>
          <w:lang w:val="sv-SE"/>
        </w:rPr>
        <w:t xml:space="preserve"> att bli hörd.</w:t>
      </w:r>
      <w:r w:rsidRPr="00781D24">
        <w:rPr>
          <w:szCs w:val="24"/>
          <w:lang w:val="sv-SE"/>
        </w:rPr>
        <w:t xml:space="preserve"> </w:t>
      </w:r>
      <w:r w:rsidR="00FF2557">
        <w:rPr>
          <w:rFonts w:eastAsia="Times New Roman"/>
          <w:szCs w:val="24"/>
          <w:lang w:val="sv-SE"/>
        </w:rPr>
        <w:t>Metoden</w:t>
      </w:r>
      <w:r w:rsidRPr="009E0B85">
        <w:rPr>
          <w:rFonts w:eastAsia="Times New Roman"/>
          <w:szCs w:val="24"/>
          <w:lang w:val="sv-SE"/>
        </w:rPr>
        <w:t xml:space="preserve"> används inte alltid när tredje parts rättigheter är berörda.</w:t>
      </w:r>
    </w:p>
    <w:p w:rsidRPr="00781D24" w:rsidR="00035E14" w:rsidP="00035E14">
      <w:pPr>
        <w:pStyle w:val="OpiPara"/>
        <w:rPr>
          <w:lang w:val="sv-SE"/>
        </w:rPr>
      </w:pPr>
      <w:r w:rsidRPr="009E0B85">
        <w:rPr>
          <w:szCs w:val="24"/>
          <w:lang w:val="sv-SE"/>
        </w:rPr>
        <w:t>När jag sitter i mål som behandlar Konventionskränkningar i ci</w:t>
      </w:r>
      <w:r w:rsidR="00FF2557">
        <w:rPr>
          <w:szCs w:val="24"/>
          <w:lang w:val="sv-SE"/>
        </w:rPr>
        <w:t>vilprocesser eller som uppkommit</w:t>
      </w:r>
      <w:r w:rsidRPr="009E0B85">
        <w:rPr>
          <w:szCs w:val="24"/>
          <w:lang w:val="sv-SE"/>
        </w:rPr>
        <w:t xml:space="preserve"> genom domstolsbeslut i civilmål, funderar jag alltid över om övriga berörda parter borde garanteras rätten att yttra sig i Domstolen.</w:t>
      </w:r>
      <w:r w:rsidRPr="00781D24">
        <w:rPr>
          <w:szCs w:val="24"/>
          <w:lang w:val="sv-SE"/>
        </w:rPr>
        <w:t xml:space="preserve"> </w:t>
      </w:r>
      <w:r w:rsidR="00FF2557">
        <w:rPr>
          <w:szCs w:val="24"/>
          <w:lang w:val="sv-SE"/>
        </w:rPr>
        <w:t xml:space="preserve">Är det rätt att fatta </w:t>
      </w:r>
      <w:r w:rsidRPr="009E0B85">
        <w:rPr>
          <w:szCs w:val="24"/>
          <w:lang w:val="sv-SE"/>
        </w:rPr>
        <w:t>beslut utan att höra de övriga berörda parterna?</w:t>
      </w:r>
      <w:r w:rsidRPr="00781D24">
        <w:rPr>
          <w:szCs w:val="24"/>
          <w:lang w:val="sv-SE"/>
        </w:rPr>
        <w:t xml:space="preserve"> </w:t>
      </w:r>
      <w:r w:rsidRPr="009E0B85">
        <w:rPr>
          <w:szCs w:val="24"/>
          <w:lang w:val="sv-SE"/>
        </w:rPr>
        <w:t>Att garantera dem rätten att bli hörda skulle inte bara ge principen om rättvis rättegång större effekt, det skulle i många fall även ge ökad insikt i de prövade frågorna.</w:t>
      </w:r>
      <w:r w:rsidR="00FF2557">
        <w:rPr>
          <w:szCs w:val="24"/>
          <w:lang w:val="sv-SE"/>
        </w:rPr>
        <w:t xml:space="preserve"> </w:t>
      </w:r>
      <w:r w:rsidRPr="009E0B85">
        <w:rPr>
          <w:szCs w:val="24"/>
          <w:lang w:val="sv-SE"/>
        </w:rPr>
        <w:t>Med tanke på rättspraxis utveckling som nämndes ovan, ger i</w:t>
      </w:r>
      <w:r w:rsidR="00FF2557">
        <w:rPr>
          <w:szCs w:val="24"/>
          <w:lang w:val="sv-SE"/>
        </w:rPr>
        <w:t>nte de regler som är tillämpliga</w:t>
      </w:r>
      <w:r w:rsidRPr="009E0B85">
        <w:rPr>
          <w:szCs w:val="24"/>
          <w:lang w:val="sv-SE"/>
        </w:rPr>
        <w:t xml:space="preserve"> på Domstolens förfarande v</w:t>
      </w:r>
      <w:r w:rsidR="007C2BC5">
        <w:rPr>
          <w:szCs w:val="24"/>
          <w:lang w:val="sv-SE"/>
        </w:rPr>
        <w:t xml:space="preserve">id prövning av ansökningar </w:t>
      </w:r>
      <w:r w:rsidRPr="009E0B85">
        <w:rPr>
          <w:szCs w:val="24"/>
          <w:lang w:val="sv-SE"/>
        </w:rPr>
        <w:t>de fattade besluten tillräcklig processuell legitimitet.</w:t>
      </w:r>
      <w:r w:rsidRPr="00781D24">
        <w:rPr>
          <w:szCs w:val="24"/>
          <w:lang w:val="sv-SE"/>
        </w:rPr>
        <w:t xml:space="preserve"> </w:t>
      </w:r>
      <w:r w:rsidRPr="009E0B85">
        <w:rPr>
          <w:rFonts w:eastAsia="Times New Roman"/>
          <w:szCs w:val="24"/>
          <w:lang w:val="sv-SE"/>
        </w:rPr>
        <w:t>Mot bakgrund av detta är det dags att förnya Domstolsförfarandet för att anpassa det bättre till kraven på processuell rättvisa.</w:t>
      </w:r>
    </w:p>
    <w:sectPr w:rsidSect="00BC78CC">
      <w:headerReference w:type="even" r:id="rId14"/>
      <w:headerReference w:type="default" r:id="rId15"/>
      <w:footnotePr>
        <w:numRestart w:val="eachPage"/>
      </w:footnotePr>
      <w:pgSz w:w="11906" w:h="16838" w:code="9"/>
      <w:pgMar w:top="2274" w:right="2274" w:bottom="2274" w:left="2274" w:header="1701"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451" w:rsidRPr="00150BFA" w:rsidP="001B4C2E">
    <w:pPr>
      <w:jc w:val="center"/>
      <w:rPr>
        <w:sz w:val="4"/>
        <w:szCs w:val="4"/>
      </w:rPr>
    </w:pPr>
  </w:p>
  <w:p w:rsidR="00696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451" w:rsidRPr="00150BFA" w:rsidP="001B4C2E">
    <w:pPr>
      <w:jc w:val="center"/>
    </w:pPr>
  </w:p>
  <w:p w:rsidR="00696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C5BD6" w:rsidP="00014566">
      <w:r>
        <w:separator/>
      </w:r>
    </w:p>
  </w:footnote>
  <w:footnote w:type="continuationSeparator" w:id="1">
    <w:p w:rsidR="003C5BD6" w:rsidP="00014566">
      <w:r>
        <w:continuationSeparator/>
      </w:r>
    </w:p>
  </w:footnote>
  <w:footnote w:id="2">
    <w:p w:rsidR="00696451" w:rsidP="00503150">
      <w:pPr>
        <w:pStyle w:val="FootnoteText"/>
        <w:rPr>
          <w:rFonts w:ascii="MS Mincho"/>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451" w:rsidRPr="00A366F9" w:rsidP="00A8515B">
    <w:pPr>
      <w:pStyle w:val="Kopflinks"/>
      <w:rPr>
        <w:lang w:val="en-US"/>
      </w:rPr>
    </w:pPr>
    <w:r>
      <w:tab/>
    </w:r>
    <w:r>
      <w:rPr>
        <w:sz w:val="20"/>
        <w:lang w:val="en-US"/>
      </w:rPr>
      <w:t xml:space="preserve">BOCHAN </w:t>
    </w:r>
    <w:r>
      <w:rPr>
        <w:caps w:val="0"/>
        <w:sz w:val="20"/>
        <w:lang w:val="en-US"/>
      </w:rPr>
      <w:t>v</w:t>
    </w:r>
    <w:r>
      <w:rPr>
        <w:sz w:val="20"/>
        <w:lang w:val="en-US"/>
      </w:rPr>
      <w:t xml:space="preserve">. </w:t>
    </w:r>
    <w:r w:rsidRPr="00C302FE">
      <w:rPr>
        <w:sz w:val="20"/>
        <w:lang w:val="en-US"/>
      </w:rPr>
      <w:t>UKRAINE (</w:t>
    </w:r>
    <w:r w:rsidRPr="00C302FE">
      <w:rPr>
        <w:caps w:val="0"/>
        <w:sz w:val="20"/>
        <w:lang w:val="en-US"/>
      </w:rPr>
      <w:t>no</w:t>
    </w:r>
    <w:r w:rsidRPr="00C302FE">
      <w:rPr>
        <w:sz w:val="20"/>
        <w:lang w:val="en-US"/>
      </w:rPr>
      <w:t>. 2) JUDGMENT</w:t>
    </w:r>
    <w:r w:rsidRPr="00A366F9">
      <w:rPr>
        <w:lang w:val="en-US"/>
      </w:rPr>
      <w:tab/>
    </w:r>
    <w:r>
      <w:fldChar w:fldCharType="begin"/>
    </w:r>
    <w:r w:rsidRPr="00A366F9">
      <w:rPr>
        <w:lang w:val="en-US"/>
      </w:rPr>
      <w:instrText xml:space="preserve"> PAGE  \* MERGEFORMAT </w:instrText>
    </w:r>
    <w:r>
      <w:fldChar w:fldCharType="separate"/>
    </w:r>
    <w:r w:rsidR="009C422E">
      <w:rPr>
        <w:noProof/>
        <w:lang w:val="en-US"/>
      </w:rPr>
      <w:t>25</w:t>
    </w:r>
    <w:r>
      <w:fldChar w:fldCharType="end"/>
    </w:r>
  </w:p>
  <w:p w:rsidR="00696451" w:rsidP="00E3356A">
    <w:pPr>
      <w:pStyle w:val="ECHRHeader"/>
      <w:tabs>
        <w:tab w:val="center" w:pos="3648"/>
        <w:tab w:val="clear" w:pos="3686"/>
      </w:tabs>
      <w:ind w:right="103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D24" w:rsidRPr="005A40F5" w:rsidP="00781D24">
    <w:pPr>
      <w:jc w:val="center"/>
      <w:rPr>
        <w:rFonts w:ascii="Times New Roman" w:hAnsi="Times New Roman" w:cs="Times New Roman"/>
        <w:noProof/>
        <w:sz w:val="20"/>
        <w:szCs w:val="20"/>
        <w:lang w:eastAsia="de-DE"/>
      </w:rPr>
    </w:pPr>
    <w:r w:rsidRPr="005A40F5">
      <w:rPr>
        <w:rFonts w:ascii="Times New Roman" w:hAnsi="Times New Roman" w:cs="Calibri"/>
        <w:noProof/>
        <w:sz w:val="20"/>
        <w:szCs w:val="20"/>
        <w:lang w:eastAsia="de-DE"/>
      </w:rPr>
      <w:t>©</w:t>
    </w:r>
    <w:r w:rsidRPr="005A40F5">
      <w:rPr>
        <w:rFonts w:ascii="Times New Roman" w:hAnsi="Times New Roman" w:cs="Times New Roman"/>
        <w:noProof/>
        <w:sz w:val="20"/>
        <w:szCs w:val="20"/>
        <w:lang w:eastAsia="de-DE"/>
      </w:rPr>
      <w:t xml:space="preserve"> The Swedish National Courts Adminitration</w:t>
    </w:r>
  </w:p>
  <w:p w:rsidR="00781D24" w:rsidP="00781D24">
    <w:pPr>
      <w:jc w:val="center"/>
      <w:rPr>
        <w:rFonts w:ascii="Times New Roman" w:hAnsi="Times New Roman" w:cs="Times New Roman"/>
        <w:noProof/>
        <w:sz w:val="20"/>
        <w:szCs w:val="20"/>
        <w:lang w:eastAsia="de-DE"/>
      </w:rPr>
    </w:pPr>
    <w:hyperlink r:id="rId1" w:history="1">
      <w:r w:rsidRPr="00E04A1B">
        <w:rPr>
          <w:rFonts w:ascii="Times New Roman" w:hAnsi="Times New Roman" w:cs="Times New Roman"/>
          <w:noProof/>
          <w:color w:val="0072BC" w:themeColor="hyperlink"/>
          <w:sz w:val="20"/>
          <w:szCs w:val="20"/>
          <w:u w:val="single"/>
          <w:lang w:eastAsia="de-DE"/>
        </w:rPr>
        <w:t>www.domstol.se/Courts-Administration</w:t>
      </w:r>
    </w:hyperlink>
    <w:r w:rsidRPr="00E04A1B">
      <w:rPr>
        <w:rFonts w:ascii="Times New Roman" w:hAnsi="Times New Roman" w:cs="Times New Roman"/>
        <w:noProof/>
        <w:sz w:val="20"/>
        <w:szCs w:val="20"/>
        <w:lang w:eastAsia="de-DE"/>
      </w:rPr>
      <w:t xml:space="preserve"> </w:t>
    </w:r>
  </w:p>
  <w:p w:rsidR="00696451" w:rsidRPr="00A45145" w:rsidP="001B4C2E">
    <w:pPr>
      <w:jc w:val="center"/>
    </w:pPr>
  </w:p>
  <w:p w:rsidR="00696451" w:rsidRPr="00D31801">
    <w:pPr>
      <w:pStyle w:val="Header"/>
      <w:ind w:left="-142"/>
      <w:jc w:val="center"/>
      <w:rPr>
        <w:sz w:val="4"/>
        <w:szCs w:val="4"/>
      </w:rPr>
    </w:pPr>
  </w:p>
  <w:p w:rsidR="00696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451" w:rsidRPr="00FF2306" w:rsidP="00EE1DA9">
    <w:pPr>
      <w:pStyle w:val="ECHRHead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9C422E">
      <w:rPr>
        <w:rStyle w:val="PageNumber"/>
        <w:noProof/>
        <w:szCs w:val="18"/>
        <w:lang w:val="en-GB"/>
      </w:rPr>
      <w:t>26</w:t>
    </w:r>
    <w:r>
      <w:rPr>
        <w:rStyle w:val="PageNumber"/>
        <w:szCs w:val="18"/>
        <w:lang w:val="en-GB"/>
      </w:rPr>
      <w:fldChar w:fldCharType="end"/>
    </w:r>
    <w:r w:rsidRPr="00FF2306">
      <w:rPr>
        <w:lang w:val="en-GB"/>
      </w:rPr>
      <w:tab/>
    </w:r>
    <w:r>
      <w:rPr>
        <w:sz w:val="20"/>
      </w:rPr>
      <w:t>BOCHAN</w:t>
    </w:r>
    <w:r w:rsidRPr="00A8515B">
      <w:rPr>
        <w:sz w:val="20"/>
      </w:rPr>
      <w:t xml:space="preserve"> </w:t>
    </w:r>
    <w:r>
      <w:rPr>
        <w:sz w:val="20"/>
      </w:rPr>
      <w:t xml:space="preserve">v. </w:t>
    </w:r>
    <w:r w:rsidRPr="00C302FE">
      <w:rPr>
        <w:sz w:val="20"/>
      </w:rPr>
      <w:t xml:space="preserve">UKRAINE </w:t>
    </w:r>
    <w:r>
      <w:rPr>
        <w:sz w:val="20"/>
      </w:rPr>
      <w:t>(no. 2)</w:t>
    </w:r>
    <w:r w:rsidRPr="00C302FE">
      <w:rPr>
        <w:sz w:val="20"/>
      </w:rPr>
      <w:t xml:space="preserve"> JUDGMENT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451" w:rsidRPr="00FF2306" w:rsidP="00FA17DA">
    <w:pPr>
      <w:pStyle w:val="ECHRHeader"/>
      <w:jc w:val="center"/>
      <w:rPr>
        <w:lang w:val="en-GB"/>
      </w:rPr>
    </w:pPr>
    <w:r>
      <w:rPr>
        <w:rStyle w:val="PageNumber"/>
        <w:szCs w:val="18"/>
        <w:lang w:val="en-GB"/>
      </w:rPr>
      <w:fldChar w:fldCharType="begin"/>
    </w:r>
    <w:r>
      <w:rPr>
        <w:rStyle w:val="PageNumber"/>
        <w:szCs w:val="18"/>
        <w:lang w:val="en-GB"/>
      </w:rPr>
      <w:instrText xml:space="preserve"> PAGE </w:instrText>
    </w:r>
    <w:r>
      <w:rPr>
        <w:rStyle w:val="PageNumber"/>
        <w:szCs w:val="18"/>
        <w:lang w:val="en-GB"/>
      </w:rPr>
      <w:fldChar w:fldCharType="separate"/>
    </w:r>
    <w:r w:rsidR="009C422E">
      <w:rPr>
        <w:rStyle w:val="PageNumber"/>
        <w:noProof/>
        <w:szCs w:val="18"/>
        <w:lang w:val="en-GB"/>
      </w:rPr>
      <w:t>34</w:t>
    </w:r>
    <w:r>
      <w:rPr>
        <w:rStyle w:val="PageNumber"/>
        <w:szCs w:val="18"/>
        <w:lang w:val="en-GB"/>
      </w:rPr>
      <w:fldChar w:fldCharType="end"/>
    </w:r>
    <w:r w:rsidRPr="00FF2306">
      <w:rPr>
        <w:lang w:val="en-GB"/>
      </w:rPr>
      <w:tab/>
    </w:r>
    <w:r>
      <w:rPr>
        <w:sz w:val="20"/>
      </w:rPr>
      <w:t xml:space="preserve">BOCHAN v. </w:t>
    </w:r>
    <w:r w:rsidRPr="00C302FE">
      <w:rPr>
        <w:sz w:val="20"/>
      </w:rPr>
      <w:t>UKRAINE (no. 2) JUDGMENT</w:t>
    </w:r>
    <w:r>
      <w:rPr>
        <w:sz w:val="20"/>
      </w:rPr>
      <w:t xml:space="preserve"> – </w:t>
    </w:r>
    <w:r w:rsidRPr="00A366F9">
      <w:tab/>
    </w:r>
    <w:r>
      <w:rPr>
        <w:sz w:val="20"/>
      </w:rPr>
      <w:br/>
      <w:t>SEPARATE OPINIONS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6451" w:rsidRPr="00A366F9" w:rsidP="00057D75">
    <w:pPr>
      <w:pStyle w:val="Kopflinks"/>
      <w:jc w:val="center"/>
      <w:rPr>
        <w:lang w:val="en-US"/>
      </w:rPr>
    </w:pPr>
    <w:r>
      <w:rPr>
        <w:sz w:val="20"/>
        <w:lang w:val="en-US"/>
      </w:rPr>
      <w:tab/>
    </w:r>
    <w:r w:rsidRPr="00C302FE">
      <w:rPr>
        <w:sz w:val="20"/>
        <w:lang w:val="en-US"/>
      </w:rPr>
      <w:t xml:space="preserve">BOCHAN </w:t>
    </w:r>
    <w:r w:rsidRPr="00C302FE">
      <w:rPr>
        <w:caps w:val="0"/>
        <w:sz w:val="20"/>
        <w:lang w:val="en-US"/>
      </w:rPr>
      <w:t>v</w:t>
    </w:r>
    <w:r w:rsidRPr="00C302FE">
      <w:rPr>
        <w:sz w:val="20"/>
        <w:lang w:val="en-US"/>
      </w:rPr>
      <w:t>. UKRAINE (</w:t>
    </w:r>
    <w:r w:rsidRPr="00C302FE">
      <w:rPr>
        <w:caps w:val="0"/>
        <w:sz w:val="20"/>
        <w:lang w:val="en-US"/>
      </w:rPr>
      <w:t>no</w:t>
    </w:r>
    <w:r w:rsidRPr="00C302FE">
      <w:rPr>
        <w:sz w:val="20"/>
        <w:lang w:val="en-US"/>
      </w:rPr>
      <w:t>. 2) JUDGMENT</w:t>
    </w:r>
    <w:r>
      <w:rPr>
        <w:sz w:val="20"/>
        <w:lang w:val="en-US"/>
      </w:rPr>
      <w:t xml:space="preserve"> – </w:t>
    </w:r>
    <w:r w:rsidRPr="00A366F9">
      <w:rPr>
        <w:lang w:val="en-US"/>
      </w:rPr>
      <w:tab/>
    </w:r>
    <w:r>
      <w:fldChar w:fldCharType="begin"/>
    </w:r>
    <w:r w:rsidRPr="00A366F9">
      <w:rPr>
        <w:lang w:val="en-US"/>
      </w:rPr>
      <w:instrText xml:space="preserve"> PAGE  \* MERGEFORMAT </w:instrText>
    </w:r>
    <w:r>
      <w:fldChar w:fldCharType="separate"/>
    </w:r>
    <w:r w:rsidR="009C422E">
      <w:rPr>
        <w:noProof/>
        <w:lang w:val="en-US"/>
      </w:rPr>
      <w:t>35</w:t>
    </w:r>
    <w:r>
      <w:fldChar w:fldCharType="end"/>
    </w:r>
    <w:r>
      <w:rPr>
        <w:sz w:val="20"/>
        <w:lang w:val="en-US"/>
      </w:rPr>
      <w:br/>
      <w:t>seParate opinions</w:t>
    </w:r>
  </w:p>
  <w:p w:rsidR="00696451" w:rsidP="00E3356A">
    <w:pPr>
      <w:pStyle w:val="ECHRHeader"/>
      <w:tabs>
        <w:tab w:val="center" w:pos="3648"/>
        <w:tab w:val="clear" w:pos="3686"/>
      </w:tabs>
      <w:ind w:right="103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F7039A"/>
    <w:multiLevelType w:val="multilevel"/>
    <w:tmpl w:val="9B34AC6C"/>
    <w:lvl w:ilvl="0">
      <w:start w:val="1"/>
      <w:numFmt w:val="decimal"/>
      <w:lvlText w:val="%1."/>
      <w:lvlJc w:val="left"/>
      <w:pPr>
        <w:tabs>
          <w:tab w:val="num" w:pos="964"/>
        </w:tabs>
        <w:ind w:left="964" w:hanging="397"/>
      </w:pPr>
      <w:rPr>
        <w:rFonts w:hint="default"/>
      </w:rPr>
    </w:lvl>
    <w:lvl w:ilvl="1">
      <w:start w:val="1"/>
      <w:numFmt w:val="lowerLetter"/>
      <w:lvlText w:val="%2."/>
      <w:lvlJc w:val="left"/>
      <w:pPr>
        <w:tabs>
          <w:tab w:val="num" w:pos="1361"/>
        </w:tabs>
        <w:ind w:left="1361" w:hanging="397"/>
      </w:pPr>
      <w:rPr>
        <w:rFonts w:hint="default"/>
      </w:rPr>
    </w:lvl>
    <w:lvl w:ilvl="2">
      <w:start w:val="1"/>
      <w:numFmt w:val="lowerRoman"/>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2">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92F51A1"/>
    <w:multiLevelType w:val="multilevel"/>
    <w:tmpl w:val="F842BC8C"/>
    <w:lvl w:ilvl="0">
      <w:start w:val="1"/>
      <w:numFmt w:val="bullet"/>
      <w:lvlText w:val=""/>
      <w:lvlJc w:val="left"/>
      <w:pPr>
        <w:tabs>
          <w:tab w:val="num" w:pos="851"/>
        </w:tabs>
        <w:ind w:left="851" w:hanging="284"/>
      </w:pPr>
      <w:rPr>
        <w:rFonts w:ascii="Wingdings" w:hAnsi="Wingdings" w:hint="default"/>
        <w:color w:val="0072BC" w:themeColor="background1"/>
      </w:rPr>
    </w:lvl>
    <w:lvl w:ilvl="1">
      <w:start w:val="1"/>
      <w:numFmt w:val="bullet"/>
      <w:lvlText w:val=""/>
      <w:lvlJc w:val="left"/>
      <w:pPr>
        <w:tabs>
          <w:tab w:val="num" w:pos="1134"/>
        </w:tabs>
        <w:ind w:left="1135" w:hanging="284"/>
      </w:pPr>
      <w:rPr>
        <w:rFonts w:ascii="Wingdings" w:hAnsi="Wingdings" w:hint="default"/>
        <w:color w:val="0072BC" w:themeColor="background1"/>
      </w:rPr>
    </w:lvl>
    <w:lvl w:ilvl="2">
      <w:start w:val="1"/>
      <w:numFmt w:val="bullet"/>
      <w:lvlText w:val=""/>
      <w:lvlJc w:val="left"/>
      <w:pPr>
        <w:tabs>
          <w:tab w:val="num" w:pos="1418"/>
        </w:tabs>
        <w:ind w:left="1419" w:hanging="284"/>
      </w:pPr>
      <w:rPr>
        <w:rFonts w:ascii="Wingdings" w:hAnsi="Wingdings" w:hint="default"/>
        <w:color w:val="7F7F7F" w:themeColor="text1" w:themeTint="80"/>
      </w:rPr>
    </w:lvl>
    <w:lvl w:ilvl="3">
      <w:start w:val="1"/>
      <w:numFmt w:val="bullet"/>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4">
    <w:nsid w:val="61315A73"/>
    <w:multiLevelType w:val="hybridMultilevel"/>
    <w:tmpl w:val="BB7AA608"/>
    <w:lvl w:ilvl="0">
      <w:start w:val="1"/>
      <w:numFmt w:val="upperLetter"/>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5">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6">
    <w:nsid w:val="76903243"/>
    <w:multiLevelType w:val="multilevel"/>
    <w:tmpl w:val="E884A92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737461D"/>
    <w:multiLevelType w:val="multilevel"/>
    <w:tmpl w:val="040C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3"/>
  </w:num>
  <w:num w:numId="7">
    <w:abstractNumId w:val="11"/>
  </w:num>
  <w:num w:numId="8">
    <w:abstractNumId w:val="15"/>
  </w:num>
  <w:num w:numId="9">
    <w:abstractNumId w:val="10"/>
  </w:num>
  <w:num w:numId="10">
    <w:abstractNumId w:val="9"/>
  </w:num>
  <w:num w:numId="11">
    <w:abstractNumId w:val="17"/>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720"/>
  <w:hyphenationZone w:val="425"/>
  <w:evenAndOddHeaders/>
  <w:drawingGridHorizontalSpacing w:val="110"/>
  <w:displayHorizontalDrawingGridEvery w:val="2"/>
  <w:displayVerticalDrawingGridEvery w:val="2"/>
  <w:characterSpacingControl w:val="doNotCompress"/>
  <w:footnotePr>
    <w:numRestart w:val="eachPage"/>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C4"/>
    <w:rsid w:val="0000106B"/>
    <w:rsid w:val="0000110F"/>
    <w:rsid w:val="000041F8"/>
    <w:rsid w:val="000042A8"/>
    <w:rsid w:val="00004308"/>
    <w:rsid w:val="000056F4"/>
    <w:rsid w:val="00005BF0"/>
    <w:rsid w:val="00005D41"/>
    <w:rsid w:val="0000602B"/>
    <w:rsid w:val="00006E47"/>
    <w:rsid w:val="00007154"/>
    <w:rsid w:val="00007EAE"/>
    <w:rsid w:val="000103AE"/>
    <w:rsid w:val="00010B57"/>
    <w:rsid w:val="00011D69"/>
    <w:rsid w:val="00012AD3"/>
    <w:rsid w:val="00014566"/>
    <w:rsid w:val="0001547E"/>
    <w:rsid w:val="00015C2D"/>
    <w:rsid w:val="00015F00"/>
    <w:rsid w:val="00016841"/>
    <w:rsid w:val="00022747"/>
    <w:rsid w:val="00022C1D"/>
    <w:rsid w:val="00023EFF"/>
    <w:rsid w:val="000241FA"/>
    <w:rsid w:val="0002426D"/>
    <w:rsid w:val="000257E3"/>
    <w:rsid w:val="000268F1"/>
    <w:rsid w:val="00027BFB"/>
    <w:rsid w:val="00034987"/>
    <w:rsid w:val="00035269"/>
    <w:rsid w:val="00035E14"/>
    <w:rsid w:val="00037731"/>
    <w:rsid w:val="00040FA6"/>
    <w:rsid w:val="00041BBF"/>
    <w:rsid w:val="00041FC8"/>
    <w:rsid w:val="00045901"/>
    <w:rsid w:val="0004725A"/>
    <w:rsid w:val="00052EC6"/>
    <w:rsid w:val="00054AB9"/>
    <w:rsid w:val="00056117"/>
    <w:rsid w:val="00056CEE"/>
    <w:rsid w:val="00057D75"/>
    <w:rsid w:val="000602DF"/>
    <w:rsid w:val="00061B05"/>
    <w:rsid w:val="00061C6F"/>
    <w:rsid w:val="000632D5"/>
    <w:rsid w:val="000636E8"/>
    <w:rsid w:val="000644EE"/>
    <w:rsid w:val="00065E07"/>
    <w:rsid w:val="00066284"/>
    <w:rsid w:val="00071BA4"/>
    <w:rsid w:val="00071C0C"/>
    <w:rsid w:val="000731FE"/>
    <w:rsid w:val="00075025"/>
    <w:rsid w:val="000750BE"/>
    <w:rsid w:val="0007543E"/>
    <w:rsid w:val="00076AE6"/>
    <w:rsid w:val="00077219"/>
    <w:rsid w:val="00080B80"/>
    <w:rsid w:val="00080C30"/>
    <w:rsid w:val="000831DA"/>
    <w:rsid w:val="000904C6"/>
    <w:rsid w:val="000923FA"/>
    <w:rsid w:val="000925AD"/>
    <w:rsid w:val="0009336B"/>
    <w:rsid w:val="00093BAC"/>
    <w:rsid w:val="00095B4F"/>
    <w:rsid w:val="000A24EB"/>
    <w:rsid w:val="000A395E"/>
    <w:rsid w:val="000A3FBB"/>
    <w:rsid w:val="000A42D3"/>
    <w:rsid w:val="000A531B"/>
    <w:rsid w:val="000A5AF2"/>
    <w:rsid w:val="000A5CAF"/>
    <w:rsid w:val="000A6794"/>
    <w:rsid w:val="000A7AD7"/>
    <w:rsid w:val="000B545A"/>
    <w:rsid w:val="000B5A6A"/>
    <w:rsid w:val="000B5AE2"/>
    <w:rsid w:val="000B6923"/>
    <w:rsid w:val="000B6EC9"/>
    <w:rsid w:val="000C07FA"/>
    <w:rsid w:val="000C0A7F"/>
    <w:rsid w:val="000C148F"/>
    <w:rsid w:val="000C1537"/>
    <w:rsid w:val="000C412F"/>
    <w:rsid w:val="000C513A"/>
    <w:rsid w:val="000C5221"/>
    <w:rsid w:val="000C5F3C"/>
    <w:rsid w:val="000C6DCC"/>
    <w:rsid w:val="000C7A97"/>
    <w:rsid w:val="000C7B9F"/>
    <w:rsid w:val="000D1CA0"/>
    <w:rsid w:val="000D47AA"/>
    <w:rsid w:val="000D49BB"/>
    <w:rsid w:val="000D52A6"/>
    <w:rsid w:val="000D54F2"/>
    <w:rsid w:val="000D721F"/>
    <w:rsid w:val="000D790F"/>
    <w:rsid w:val="000D7D71"/>
    <w:rsid w:val="000E069B"/>
    <w:rsid w:val="000E0E82"/>
    <w:rsid w:val="000E1176"/>
    <w:rsid w:val="000E1CF6"/>
    <w:rsid w:val="000E1DC5"/>
    <w:rsid w:val="000E223F"/>
    <w:rsid w:val="000E2373"/>
    <w:rsid w:val="000E3FB6"/>
    <w:rsid w:val="000E4284"/>
    <w:rsid w:val="000E5139"/>
    <w:rsid w:val="000E5390"/>
    <w:rsid w:val="000E7D45"/>
    <w:rsid w:val="000F2921"/>
    <w:rsid w:val="000F7851"/>
    <w:rsid w:val="0010043D"/>
    <w:rsid w:val="00102EDE"/>
    <w:rsid w:val="00104E23"/>
    <w:rsid w:val="00104EA8"/>
    <w:rsid w:val="00111A06"/>
    <w:rsid w:val="00111B0C"/>
    <w:rsid w:val="001151C3"/>
    <w:rsid w:val="00115F0B"/>
    <w:rsid w:val="0011603B"/>
    <w:rsid w:val="0011784F"/>
    <w:rsid w:val="001207F0"/>
    <w:rsid w:val="00120D6C"/>
    <w:rsid w:val="001210E8"/>
    <w:rsid w:val="001244BA"/>
    <w:rsid w:val="001257EC"/>
    <w:rsid w:val="00133747"/>
    <w:rsid w:val="00133D33"/>
    <w:rsid w:val="00134D64"/>
    <w:rsid w:val="00135A30"/>
    <w:rsid w:val="00135B29"/>
    <w:rsid w:val="0013612C"/>
    <w:rsid w:val="00137FF6"/>
    <w:rsid w:val="001408AD"/>
    <w:rsid w:val="00140FF0"/>
    <w:rsid w:val="00141650"/>
    <w:rsid w:val="0014189F"/>
    <w:rsid w:val="00141FF0"/>
    <w:rsid w:val="0014229B"/>
    <w:rsid w:val="00145340"/>
    <w:rsid w:val="001455FC"/>
    <w:rsid w:val="001466B1"/>
    <w:rsid w:val="00147C48"/>
    <w:rsid w:val="00150BFA"/>
    <w:rsid w:val="0015219B"/>
    <w:rsid w:val="001522CB"/>
    <w:rsid w:val="00152DD9"/>
    <w:rsid w:val="001537C3"/>
    <w:rsid w:val="001540B4"/>
    <w:rsid w:val="00155FDE"/>
    <w:rsid w:val="00157AAF"/>
    <w:rsid w:val="00162580"/>
    <w:rsid w:val="00162A12"/>
    <w:rsid w:val="001641BA"/>
    <w:rsid w:val="00164FCD"/>
    <w:rsid w:val="001663FE"/>
    <w:rsid w:val="00166530"/>
    <w:rsid w:val="001710E0"/>
    <w:rsid w:val="00171276"/>
    <w:rsid w:val="00174911"/>
    <w:rsid w:val="001757EE"/>
    <w:rsid w:val="001779AA"/>
    <w:rsid w:val="0018108E"/>
    <w:rsid w:val="001813BF"/>
    <w:rsid w:val="00182918"/>
    <w:rsid w:val="00182E52"/>
    <w:rsid w:val="001832BD"/>
    <w:rsid w:val="00184223"/>
    <w:rsid w:val="0018428B"/>
    <w:rsid w:val="001855D6"/>
    <w:rsid w:val="00185734"/>
    <w:rsid w:val="00185DFB"/>
    <w:rsid w:val="001900EB"/>
    <w:rsid w:val="00191576"/>
    <w:rsid w:val="001922A7"/>
    <w:rsid w:val="001943B5"/>
    <w:rsid w:val="00195134"/>
    <w:rsid w:val="001A145B"/>
    <w:rsid w:val="001A29FE"/>
    <w:rsid w:val="001A38D2"/>
    <w:rsid w:val="001A5297"/>
    <w:rsid w:val="001A57B0"/>
    <w:rsid w:val="001A590C"/>
    <w:rsid w:val="001A59A1"/>
    <w:rsid w:val="001A5EF3"/>
    <w:rsid w:val="001A674C"/>
    <w:rsid w:val="001A6813"/>
    <w:rsid w:val="001A69C7"/>
    <w:rsid w:val="001A6B8C"/>
    <w:rsid w:val="001B06BF"/>
    <w:rsid w:val="001B090A"/>
    <w:rsid w:val="001B0DCF"/>
    <w:rsid w:val="001B3B24"/>
    <w:rsid w:val="001B3F15"/>
    <w:rsid w:val="001B4C2E"/>
    <w:rsid w:val="001B4FE2"/>
    <w:rsid w:val="001B6CA2"/>
    <w:rsid w:val="001B7DAC"/>
    <w:rsid w:val="001C01F0"/>
    <w:rsid w:val="001C0F98"/>
    <w:rsid w:val="001C2A42"/>
    <w:rsid w:val="001C428C"/>
    <w:rsid w:val="001C4491"/>
    <w:rsid w:val="001C4F9B"/>
    <w:rsid w:val="001D1847"/>
    <w:rsid w:val="001D2044"/>
    <w:rsid w:val="001D4F72"/>
    <w:rsid w:val="001D63ED"/>
    <w:rsid w:val="001D7348"/>
    <w:rsid w:val="001E035B"/>
    <w:rsid w:val="001E0961"/>
    <w:rsid w:val="001E18DF"/>
    <w:rsid w:val="001E31EE"/>
    <w:rsid w:val="001E35E4"/>
    <w:rsid w:val="001E3EAE"/>
    <w:rsid w:val="001E49F7"/>
    <w:rsid w:val="001E4B3C"/>
    <w:rsid w:val="001E6F32"/>
    <w:rsid w:val="001E74F4"/>
    <w:rsid w:val="001F2145"/>
    <w:rsid w:val="001F3E63"/>
    <w:rsid w:val="001F47E9"/>
    <w:rsid w:val="001F4A20"/>
    <w:rsid w:val="001F6262"/>
    <w:rsid w:val="001F6295"/>
    <w:rsid w:val="001F67B0"/>
    <w:rsid w:val="001F7B3D"/>
    <w:rsid w:val="002005CE"/>
    <w:rsid w:val="002014DA"/>
    <w:rsid w:val="00202507"/>
    <w:rsid w:val="00202CA2"/>
    <w:rsid w:val="002035C6"/>
    <w:rsid w:val="00205F9F"/>
    <w:rsid w:val="0020636F"/>
    <w:rsid w:val="00206F50"/>
    <w:rsid w:val="00210338"/>
    <w:rsid w:val="002115FC"/>
    <w:rsid w:val="00212EA2"/>
    <w:rsid w:val="002138F0"/>
    <w:rsid w:val="0021423C"/>
    <w:rsid w:val="00214547"/>
    <w:rsid w:val="00215FAB"/>
    <w:rsid w:val="00220C32"/>
    <w:rsid w:val="00223F63"/>
    <w:rsid w:val="00226518"/>
    <w:rsid w:val="00226640"/>
    <w:rsid w:val="00230D00"/>
    <w:rsid w:val="00231081"/>
    <w:rsid w:val="00231DF7"/>
    <w:rsid w:val="00231FD1"/>
    <w:rsid w:val="002339E0"/>
    <w:rsid w:val="00233CF8"/>
    <w:rsid w:val="00233EA1"/>
    <w:rsid w:val="00233F29"/>
    <w:rsid w:val="00234006"/>
    <w:rsid w:val="002347A7"/>
    <w:rsid w:val="0023575D"/>
    <w:rsid w:val="00235D81"/>
    <w:rsid w:val="00236119"/>
    <w:rsid w:val="0023660B"/>
    <w:rsid w:val="00237148"/>
    <w:rsid w:val="00237A61"/>
    <w:rsid w:val="0024222D"/>
    <w:rsid w:val="0024265D"/>
    <w:rsid w:val="00242A9B"/>
    <w:rsid w:val="00242B9C"/>
    <w:rsid w:val="00243207"/>
    <w:rsid w:val="00243C3C"/>
    <w:rsid w:val="00244972"/>
    <w:rsid w:val="00244B0E"/>
    <w:rsid w:val="00244F6C"/>
    <w:rsid w:val="00245B44"/>
    <w:rsid w:val="0024689D"/>
    <w:rsid w:val="00250FC5"/>
    <w:rsid w:val="002532C5"/>
    <w:rsid w:val="00253555"/>
    <w:rsid w:val="00254589"/>
    <w:rsid w:val="00254802"/>
    <w:rsid w:val="00256575"/>
    <w:rsid w:val="00260C03"/>
    <w:rsid w:val="0026229F"/>
    <w:rsid w:val="00262501"/>
    <w:rsid w:val="002637EA"/>
    <w:rsid w:val="0026434D"/>
    <w:rsid w:val="0026529F"/>
    <w:rsid w:val="0026540E"/>
    <w:rsid w:val="0026619E"/>
    <w:rsid w:val="002670B7"/>
    <w:rsid w:val="0027139B"/>
    <w:rsid w:val="00272251"/>
    <w:rsid w:val="00272D25"/>
    <w:rsid w:val="00275123"/>
    <w:rsid w:val="002779C7"/>
    <w:rsid w:val="00281E6F"/>
    <w:rsid w:val="00282240"/>
    <w:rsid w:val="00283650"/>
    <w:rsid w:val="00283A06"/>
    <w:rsid w:val="002850C2"/>
    <w:rsid w:val="002863CA"/>
    <w:rsid w:val="002874C7"/>
    <w:rsid w:val="00287AFA"/>
    <w:rsid w:val="00287CCF"/>
    <w:rsid w:val="0029057E"/>
    <w:rsid w:val="0029069C"/>
    <w:rsid w:val="00290AD6"/>
    <w:rsid w:val="00294011"/>
    <w:rsid w:val="002948AD"/>
    <w:rsid w:val="00294C92"/>
    <w:rsid w:val="0029590D"/>
    <w:rsid w:val="002963B8"/>
    <w:rsid w:val="00296D23"/>
    <w:rsid w:val="0029792E"/>
    <w:rsid w:val="002A01CC"/>
    <w:rsid w:val="002A11E1"/>
    <w:rsid w:val="002A1319"/>
    <w:rsid w:val="002A61B1"/>
    <w:rsid w:val="002A663C"/>
    <w:rsid w:val="002B154C"/>
    <w:rsid w:val="002B17B8"/>
    <w:rsid w:val="002B1DF1"/>
    <w:rsid w:val="002B3E7D"/>
    <w:rsid w:val="002B40F4"/>
    <w:rsid w:val="002B444B"/>
    <w:rsid w:val="002B4BD9"/>
    <w:rsid w:val="002B5887"/>
    <w:rsid w:val="002B5BC3"/>
    <w:rsid w:val="002B7D68"/>
    <w:rsid w:val="002C00A8"/>
    <w:rsid w:val="002C0692"/>
    <w:rsid w:val="002C085E"/>
    <w:rsid w:val="002C0E27"/>
    <w:rsid w:val="002C11F2"/>
    <w:rsid w:val="002C131F"/>
    <w:rsid w:val="002C1E0F"/>
    <w:rsid w:val="002C3040"/>
    <w:rsid w:val="002C3F8E"/>
    <w:rsid w:val="002C4482"/>
    <w:rsid w:val="002C58DA"/>
    <w:rsid w:val="002C712A"/>
    <w:rsid w:val="002D022D"/>
    <w:rsid w:val="002D24BB"/>
    <w:rsid w:val="002D28F7"/>
    <w:rsid w:val="002D2C3E"/>
    <w:rsid w:val="002D43EA"/>
    <w:rsid w:val="002D4E18"/>
    <w:rsid w:val="002E05C1"/>
    <w:rsid w:val="002E2B36"/>
    <w:rsid w:val="002E454B"/>
    <w:rsid w:val="002E5052"/>
    <w:rsid w:val="002E66C1"/>
    <w:rsid w:val="002F2130"/>
    <w:rsid w:val="002F2AF7"/>
    <w:rsid w:val="002F7E1C"/>
    <w:rsid w:val="0030160B"/>
    <w:rsid w:val="003019B7"/>
    <w:rsid w:val="00301A75"/>
    <w:rsid w:val="00302C37"/>
    <w:rsid w:val="00302F70"/>
    <w:rsid w:val="0030336F"/>
    <w:rsid w:val="0030375E"/>
    <w:rsid w:val="00304E6F"/>
    <w:rsid w:val="00312052"/>
    <w:rsid w:val="00312A30"/>
    <w:rsid w:val="00312E73"/>
    <w:rsid w:val="0031300B"/>
    <w:rsid w:val="003169E4"/>
    <w:rsid w:val="0031709D"/>
    <w:rsid w:val="00320EC7"/>
    <w:rsid w:val="00320F72"/>
    <w:rsid w:val="00321CC1"/>
    <w:rsid w:val="00323B89"/>
    <w:rsid w:val="0032463E"/>
    <w:rsid w:val="00324852"/>
    <w:rsid w:val="00325C1D"/>
    <w:rsid w:val="00325EF6"/>
    <w:rsid w:val="00326224"/>
    <w:rsid w:val="0032676B"/>
    <w:rsid w:val="00331E2C"/>
    <w:rsid w:val="003344FB"/>
    <w:rsid w:val="00334CD4"/>
    <w:rsid w:val="00335B05"/>
    <w:rsid w:val="00337EE4"/>
    <w:rsid w:val="00340FFD"/>
    <w:rsid w:val="00341809"/>
    <w:rsid w:val="00341A6D"/>
    <w:rsid w:val="003422A4"/>
    <w:rsid w:val="00344555"/>
    <w:rsid w:val="00344661"/>
    <w:rsid w:val="00344C37"/>
    <w:rsid w:val="00345342"/>
    <w:rsid w:val="003466F3"/>
    <w:rsid w:val="003506B1"/>
    <w:rsid w:val="0035124D"/>
    <w:rsid w:val="0035194D"/>
    <w:rsid w:val="0035206A"/>
    <w:rsid w:val="003529EF"/>
    <w:rsid w:val="00352A17"/>
    <w:rsid w:val="003540EF"/>
    <w:rsid w:val="003542FA"/>
    <w:rsid w:val="0035647C"/>
    <w:rsid w:val="00356AC7"/>
    <w:rsid w:val="003573BB"/>
    <w:rsid w:val="00357B73"/>
    <w:rsid w:val="003609FA"/>
    <w:rsid w:val="00360CD9"/>
    <w:rsid w:val="00361A44"/>
    <w:rsid w:val="00362E93"/>
    <w:rsid w:val="00365869"/>
    <w:rsid w:val="00365A04"/>
    <w:rsid w:val="00365F81"/>
    <w:rsid w:val="003702E2"/>
    <w:rsid w:val="003710C8"/>
    <w:rsid w:val="00371296"/>
    <w:rsid w:val="003750BE"/>
    <w:rsid w:val="003751A6"/>
    <w:rsid w:val="00375CA9"/>
    <w:rsid w:val="003767A0"/>
    <w:rsid w:val="0038097B"/>
    <w:rsid w:val="003824B5"/>
    <w:rsid w:val="003832FA"/>
    <w:rsid w:val="003840CF"/>
    <w:rsid w:val="00385ABB"/>
    <w:rsid w:val="00387B9D"/>
    <w:rsid w:val="003906E8"/>
    <w:rsid w:val="00390AD0"/>
    <w:rsid w:val="0039364F"/>
    <w:rsid w:val="0039393F"/>
    <w:rsid w:val="00394C16"/>
    <w:rsid w:val="00394EC4"/>
    <w:rsid w:val="00396686"/>
    <w:rsid w:val="0039778E"/>
    <w:rsid w:val="003A0C92"/>
    <w:rsid w:val="003A14C1"/>
    <w:rsid w:val="003A17F2"/>
    <w:rsid w:val="003A27B5"/>
    <w:rsid w:val="003A4A80"/>
    <w:rsid w:val="003B0C1D"/>
    <w:rsid w:val="003B222B"/>
    <w:rsid w:val="003B380D"/>
    <w:rsid w:val="003B3F29"/>
    <w:rsid w:val="003B4347"/>
    <w:rsid w:val="003B45D5"/>
    <w:rsid w:val="003B4941"/>
    <w:rsid w:val="003B6017"/>
    <w:rsid w:val="003B70C5"/>
    <w:rsid w:val="003C31B1"/>
    <w:rsid w:val="003C426B"/>
    <w:rsid w:val="003C5714"/>
    <w:rsid w:val="003C5BD6"/>
    <w:rsid w:val="003C6B9F"/>
    <w:rsid w:val="003C6E2A"/>
    <w:rsid w:val="003D0089"/>
    <w:rsid w:val="003D0299"/>
    <w:rsid w:val="003D3ABF"/>
    <w:rsid w:val="003D3E9D"/>
    <w:rsid w:val="003D41C5"/>
    <w:rsid w:val="003D6133"/>
    <w:rsid w:val="003D67E9"/>
    <w:rsid w:val="003D71BB"/>
    <w:rsid w:val="003E063A"/>
    <w:rsid w:val="003E214C"/>
    <w:rsid w:val="003E3F32"/>
    <w:rsid w:val="003E463C"/>
    <w:rsid w:val="003E646B"/>
    <w:rsid w:val="003E6D80"/>
    <w:rsid w:val="003F05FA"/>
    <w:rsid w:val="003F1BFA"/>
    <w:rsid w:val="003F1F19"/>
    <w:rsid w:val="003F2153"/>
    <w:rsid w:val="003F244A"/>
    <w:rsid w:val="003F290E"/>
    <w:rsid w:val="003F2B38"/>
    <w:rsid w:val="003F30B8"/>
    <w:rsid w:val="003F3501"/>
    <w:rsid w:val="003F49BD"/>
    <w:rsid w:val="003F4C45"/>
    <w:rsid w:val="003F5F7B"/>
    <w:rsid w:val="003F721C"/>
    <w:rsid w:val="003F7D64"/>
    <w:rsid w:val="00401BA4"/>
    <w:rsid w:val="00402359"/>
    <w:rsid w:val="00402409"/>
    <w:rsid w:val="00405351"/>
    <w:rsid w:val="00405717"/>
    <w:rsid w:val="004072FD"/>
    <w:rsid w:val="004113B1"/>
    <w:rsid w:val="004114F6"/>
    <w:rsid w:val="00411FEF"/>
    <w:rsid w:val="00412D11"/>
    <w:rsid w:val="00414300"/>
    <w:rsid w:val="004148D5"/>
    <w:rsid w:val="00416F78"/>
    <w:rsid w:val="004179C2"/>
    <w:rsid w:val="0042255E"/>
    <w:rsid w:val="0042362F"/>
    <w:rsid w:val="00423AEA"/>
    <w:rsid w:val="00424654"/>
    <w:rsid w:val="00425C67"/>
    <w:rsid w:val="004268A7"/>
    <w:rsid w:val="00427E7A"/>
    <w:rsid w:val="004321DB"/>
    <w:rsid w:val="00432F37"/>
    <w:rsid w:val="00436307"/>
    <w:rsid w:val="00436C49"/>
    <w:rsid w:val="0044055B"/>
    <w:rsid w:val="00440BC1"/>
    <w:rsid w:val="00441136"/>
    <w:rsid w:val="004416FA"/>
    <w:rsid w:val="004423BF"/>
    <w:rsid w:val="00442D86"/>
    <w:rsid w:val="0044302B"/>
    <w:rsid w:val="004446BE"/>
    <w:rsid w:val="00445366"/>
    <w:rsid w:val="004463A3"/>
    <w:rsid w:val="00447B0D"/>
    <w:rsid w:val="00447F5B"/>
    <w:rsid w:val="00452CEA"/>
    <w:rsid w:val="00454330"/>
    <w:rsid w:val="004550D8"/>
    <w:rsid w:val="0045651E"/>
    <w:rsid w:val="00457092"/>
    <w:rsid w:val="00460A37"/>
    <w:rsid w:val="0046174C"/>
    <w:rsid w:val="00461A42"/>
    <w:rsid w:val="00461DB0"/>
    <w:rsid w:val="004630F6"/>
    <w:rsid w:val="00463926"/>
    <w:rsid w:val="004641EE"/>
    <w:rsid w:val="004646E0"/>
    <w:rsid w:val="00464C9A"/>
    <w:rsid w:val="00464DB3"/>
    <w:rsid w:val="00465533"/>
    <w:rsid w:val="00467320"/>
    <w:rsid w:val="004714A6"/>
    <w:rsid w:val="00471AB3"/>
    <w:rsid w:val="00472E8F"/>
    <w:rsid w:val="0047355A"/>
    <w:rsid w:val="004735C4"/>
    <w:rsid w:val="00474C4E"/>
    <w:rsid w:val="00474F3D"/>
    <w:rsid w:val="00475015"/>
    <w:rsid w:val="004775EE"/>
    <w:rsid w:val="004778CD"/>
    <w:rsid w:val="00477E3A"/>
    <w:rsid w:val="00477EBC"/>
    <w:rsid w:val="00480E3A"/>
    <w:rsid w:val="0048260F"/>
    <w:rsid w:val="00482A7F"/>
    <w:rsid w:val="00483C68"/>
    <w:rsid w:val="00483E5F"/>
    <w:rsid w:val="00485FF9"/>
    <w:rsid w:val="00486331"/>
    <w:rsid w:val="00487540"/>
    <w:rsid w:val="00490380"/>
    <w:rsid w:val="004907F0"/>
    <w:rsid w:val="0049140B"/>
    <w:rsid w:val="004915E8"/>
    <w:rsid w:val="004923A5"/>
    <w:rsid w:val="004924D6"/>
    <w:rsid w:val="00493A15"/>
    <w:rsid w:val="0049407E"/>
    <w:rsid w:val="0049418F"/>
    <w:rsid w:val="004945C6"/>
    <w:rsid w:val="004947B6"/>
    <w:rsid w:val="00494C95"/>
    <w:rsid w:val="00496AA3"/>
    <w:rsid w:val="00496BFB"/>
    <w:rsid w:val="00497D08"/>
    <w:rsid w:val="004A01A2"/>
    <w:rsid w:val="004A15C7"/>
    <w:rsid w:val="004A1A06"/>
    <w:rsid w:val="004A1CAD"/>
    <w:rsid w:val="004B00A9"/>
    <w:rsid w:val="004B013B"/>
    <w:rsid w:val="004B112B"/>
    <w:rsid w:val="004B1991"/>
    <w:rsid w:val="004B2A9B"/>
    <w:rsid w:val="004B3229"/>
    <w:rsid w:val="004B335D"/>
    <w:rsid w:val="004B7BFF"/>
    <w:rsid w:val="004C01E4"/>
    <w:rsid w:val="004C086C"/>
    <w:rsid w:val="004C1784"/>
    <w:rsid w:val="004C1F56"/>
    <w:rsid w:val="004C234C"/>
    <w:rsid w:val="004C27BC"/>
    <w:rsid w:val="004C340B"/>
    <w:rsid w:val="004C6C94"/>
    <w:rsid w:val="004D0213"/>
    <w:rsid w:val="004D15F3"/>
    <w:rsid w:val="004D1F85"/>
    <w:rsid w:val="004D5311"/>
    <w:rsid w:val="004D5DCC"/>
    <w:rsid w:val="004E2A11"/>
    <w:rsid w:val="004E2F3F"/>
    <w:rsid w:val="004F10AF"/>
    <w:rsid w:val="004F11A4"/>
    <w:rsid w:val="004F2389"/>
    <w:rsid w:val="004F304D"/>
    <w:rsid w:val="004F5A68"/>
    <w:rsid w:val="004F61BE"/>
    <w:rsid w:val="004F63E4"/>
    <w:rsid w:val="004F66B1"/>
    <w:rsid w:val="005005FC"/>
    <w:rsid w:val="0050111C"/>
    <w:rsid w:val="00503150"/>
    <w:rsid w:val="005045CD"/>
    <w:rsid w:val="0050584A"/>
    <w:rsid w:val="00506668"/>
    <w:rsid w:val="00506E6B"/>
    <w:rsid w:val="00511C07"/>
    <w:rsid w:val="00512E75"/>
    <w:rsid w:val="005141FA"/>
    <w:rsid w:val="00514D97"/>
    <w:rsid w:val="005173A6"/>
    <w:rsid w:val="0051786E"/>
    <w:rsid w:val="00520BAA"/>
    <w:rsid w:val="00520C5F"/>
    <w:rsid w:val="00522747"/>
    <w:rsid w:val="00522C5B"/>
    <w:rsid w:val="005234E7"/>
    <w:rsid w:val="0052399A"/>
    <w:rsid w:val="00524B9D"/>
    <w:rsid w:val="00525208"/>
    <w:rsid w:val="005257A5"/>
    <w:rsid w:val="00525A5F"/>
    <w:rsid w:val="005264C0"/>
    <w:rsid w:val="00526A8A"/>
    <w:rsid w:val="00530FC9"/>
    <w:rsid w:val="00531DF2"/>
    <w:rsid w:val="005329E9"/>
    <w:rsid w:val="00536C6D"/>
    <w:rsid w:val="00540063"/>
    <w:rsid w:val="005404DB"/>
    <w:rsid w:val="005407D7"/>
    <w:rsid w:val="00540BD9"/>
    <w:rsid w:val="00542848"/>
    <w:rsid w:val="00542861"/>
    <w:rsid w:val="00544231"/>
    <w:rsid w:val="005442EE"/>
    <w:rsid w:val="0054676E"/>
    <w:rsid w:val="0054698A"/>
    <w:rsid w:val="00546A47"/>
    <w:rsid w:val="00547353"/>
    <w:rsid w:val="005474E7"/>
    <w:rsid w:val="00547E9A"/>
    <w:rsid w:val="00550C13"/>
    <w:rsid w:val="005512A3"/>
    <w:rsid w:val="00551579"/>
    <w:rsid w:val="00553469"/>
    <w:rsid w:val="00553847"/>
    <w:rsid w:val="00557875"/>
    <w:rsid w:val="005578CE"/>
    <w:rsid w:val="005611CC"/>
    <w:rsid w:val="00561A67"/>
    <w:rsid w:val="00562781"/>
    <w:rsid w:val="00564D05"/>
    <w:rsid w:val="005706E6"/>
    <w:rsid w:val="00571B77"/>
    <w:rsid w:val="0057271C"/>
    <w:rsid w:val="00572845"/>
    <w:rsid w:val="00573468"/>
    <w:rsid w:val="00575803"/>
    <w:rsid w:val="00577C18"/>
    <w:rsid w:val="00580A0A"/>
    <w:rsid w:val="00580D24"/>
    <w:rsid w:val="00581CBD"/>
    <w:rsid w:val="00581E35"/>
    <w:rsid w:val="0058606A"/>
    <w:rsid w:val="00587E9C"/>
    <w:rsid w:val="0059047B"/>
    <w:rsid w:val="00591716"/>
    <w:rsid w:val="00592772"/>
    <w:rsid w:val="00592DF5"/>
    <w:rsid w:val="00592EB5"/>
    <w:rsid w:val="00593461"/>
    <w:rsid w:val="0059574A"/>
    <w:rsid w:val="0059689E"/>
    <w:rsid w:val="0059749C"/>
    <w:rsid w:val="005A1B9B"/>
    <w:rsid w:val="005A2542"/>
    <w:rsid w:val="005A2914"/>
    <w:rsid w:val="005A2CA5"/>
    <w:rsid w:val="005A3429"/>
    <w:rsid w:val="005A40F5"/>
    <w:rsid w:val="005A4203"/>
    <w:rsid w:val="005A4E6A"/>
    <w:rsid w:val="005A6751"/>
    <w:rsid w:val="005A6D1E"/>
    <w:rsid w:val="005B00E5"/>
    <w:rsid w:val="005B092E"/>
    <w:rsid w:val="005B152C"/>
    <w:rsid w:val="005B1EE0"/>
    <w:rsid w:val="005B2B24"/>
    <w:rsid w:val="005B4425"/>
    <w:rsid w:val="005B48F3"/>
    <w:rsid w:val="005B4B94"/>
    <w:rsid w:val="005B5D72"/>
    <w:rsid w:val="005B7A6A"/>
    <w:rsid w:val="005C11CB"/>
    <w:rsid w:val="005C203B"/>
    <w:rsid w:val="005C2D32"/>
    <w:rsid w:val="005C3EE8"/>
    <w:rsid w:val="005C514F"/>
    <w:rsid w:val="005D34F9"/>
    <w:rsid w:val="005D4190"/>
    <w:rsid w:val="005D5327"/>
    <w:rsid w:val="005D67A3"/>
    <w:rsid w:val="005D7294"/>
    <w:rsid w:val="005D7E73"/>
    <w:rsid w:val="005E0EE4"/>
    <w:rsid w:val="005E0FF4"/>
    <w:rsid w:val="005E1BB9"/>
    <w:rsid w:val="005E21F2"/>
    <w:rsid w:val="005E2988"/>
    <w:rsid w:val="005E2A43"/>
    <w:rsid w:val="005E3085"/>
    <w:rsid w:val="005E3AE9"/>
    <w:rsid w:val="005E5413"/>
    <w:rsid w:val="005E5DBC"/>
    <w:rsid w:val="005E5E62"/>
    <w:rsid w:val="005E6B89"/>
    <w:rsid w:val="005F1CA0"/>
    <w:rsid w:val="005F496F"/>
    <w:rsid w:val="005F51E1"/>
    <w:rsid w:val="00601720"/>
    <w:rsid w:val="0060265E"/>
    <w:rsid w:val="0060445B"/>
    <w:rsid w:val="00605BC9"/>
    <w:rsid w:val="0060757E"/>
    <w:rsid w:val="00611C80"/>
    <w:rsid w:val="00612556"/>
    <w:rsid w:val="00613392"/>
    <w:rsid w:val="0061516F"/>
    <w:rsid w:val="00620692"/>
    <w:rsid w:val="00621354"/>
    <w:rsid w:val="0062363B"/>
    <w:rsid w:val="0062403B"/>
    <w:rsid w:val="006242CA"/>
    <w:rsid w:val="00624389"/>
    <w:rsid w:val="00625564"/>
    <w:rsid w:val="00627507"/>
    <w:rsid w:val="00630A6A"/>
    <w:rsid w:val="00633717"/>
    <w:rsid w:val="006344E1"/>
    <w:rsid w:val="00634632"/>
    <w:rsid w:val="00634C7B"/>
    <w:rsid w:val="00635FBB"/>
    <w:rsid w:val="00636626"/>
    <w:rsid w:val="0063680A"/>
    <w:rsid w:val="006369C5"/>
    <w:rsid w:val="006377B3"/>
    <w:rsid w:val="00641406"/>
    <w:rsid w:val="006418FB"/>
    <w:rsid w:val="00643B4B"/>
    <w:rsid w:val="00644BF1"/>
    <w:rsid w:val="00644EF6"/>
    <w:rsid w:val="00647498"/>
    <w:rsid w:val="006545C4"/>
    <w:rsid w:val="00655879"/>
    <w:rsid w:val="006564D0"/>
    <w:rsid w:val="00657C1E"/>
    <w:rsid w:val="00660C4E"/>
    <w:rsid w:val="00661971"/>
    <w:rsid w:val="00661CE8"/>
    <w:rsid w:val="00661F7B"/>
    <w:rsid w:val="006623D9"/>
    <w:rsid w:val="00664368"/>
    <w:rsid w:val="00664667"/>
    <w:rsid w:val="0066550C"/>
    <w:rsid w:val="00665A1E"/>
    <w:rsid w:val="00665C97"/>
    <w:rsid w:val="006716F2"/>
    <w:rsid w:val="00680461"/>
    <w:rsid w:val="006806BF"/>
    <w:rsid w:val="00680C33"/>
    <w:rsid w:val="00682BF2"/>
    <w:rsid w:val="00683C4C"/>
    <w:rsid w:val="006859CE"/>
    <w:rsid w:val="006876B8"/>
    <w:rsid w:val="00691270"/>
    <w:rsid w:val="00693101"/>
    <w:rsid w:val="00694BA8"/>
    <w:rsid w:val="00695D5A"/>
    <w:rsid w:val="00695EB7"/>
    <w:rsid w:val="00696451"/>
    <w:rsid w:val="00697E4F"/>
    <w:rsid w:val="006A037C"/>
    <w:rsid w:val="006A2534"/>
    <w:rsid w:val="006A36F4"/>
    <w:rsid w:val="006A37A8"/>
    <w:rsid w:val="006A406F"/>
    <w:rsid w:val="006A5D3A"/>
    <w:rsid w:val="006B01E4"/>
    <w:rsid w:val="006B141E"/>
    <w:rsid w:val="006B7763"/>
    <w:rsid w:val="006B7FF1"/>
    <w:rsid w:val="006C132F"/>
    <w:rsid w:val="006C23D4"/>
    <w:rsid w:val="006C2ECD"/>
    <w:rsid w:val="006C3831"/>
    <w:rsid w:val="006C5E8D"/>
    <w:rsid w:val="006C61AD"/>
    <w:rsid w:val="006C6CC5"/>
    <w:rsid w:val="006C7BB0"/>
    <w:rsid w:val="006D1433"/>
    <w:rsid w:val="006D3156"/>
    <w:rsid w:val="006D3237"/>
    <w:rsid w:val="006D3EA9"/>
    <w:rsid w:val="006D5D98"/>
    <w:rsid w:val="006D7F08"/>
    <w:rsid w:val="006E2562"/>
    <w:rsid w:val="006E2E37"/>
    <w:rsid w:val="006E3CF1"/>
    <w:rsid w:val="006E3F0A"/>
    <w:rsid w:val="006E4165"/>
    <w:rsid w:val="006E66DF"/>
    <w:rsid w:val="006E7A22"/>
    <w:rsid w:val="006E7E80"/>
    <w:rsid w:val="006F0A55"/>
    <w:rsid w:val="006F225C"/>
    <w:rsid w:val="006F344E"/>
    <w:rsid w:val="006F48CA"/>
    <w:rsid w:val="006F64DD"/>
    <w:rsid w:val="006F7920"/>
    <w:rsid w:val="00701922"/>
    <w:rsid w:val="00705D04"/>
    <w:rsid w:val="00705E39"/>
    <w:rsid w:val="007070E6"/>
    <w:rsid w:val="0070783D"/>
    <w:rsid w:val="00710579"/>
    <w:rsid w:val="00711781"/>
    <w:rsid w:val="00711BD5"/>
    <w:rsid w:val="00713E53"/>
    <w:rsid w:val="00714622"/>
    <w:rsid w:val="00715127"/>
    <w:rsid w:val="00715B9F"/>
    <w:rsid w:val="00715E8E"/>
    <w:rsid w:val="007164BD"/>
    <w:rsid w:val="0071695F"/>
    <w:rsid w:val="00720E50"/>
    <w:rsid w:val="007214D8"/>
    <w:rsid w:val="00721590"/>
    <w:rsid w:val="00721596"/>
    <w:rsid w:val="00723126"/>
    <w:rsid w:val="00723580"/>
    <w:rsid w:val="00723755"/>
    <w:rsid w:val="00724923"/>
    <w:rsid w:val="00726EAC"/>
    <w:rsid w:val="00730199"/>
    <w:rsid w:val="0073052D"/>
    <w:rsid w:val="00731041"/>
    <w:rsid w:val="0073136C"/>
    <w:rsid w:val="0073198B"/>
    <w:rsid w:val="00731F0F"/>
    <w:rsid w:val="0073214E"/>
    <w:rsid w:val="00732432"/>
    <w:rsid w:val="00732D40"/>
    <w:rsid w:val="00733250"/>
    <w:rsid w:val="00734EFF"/>
    <w:rsid w:val="00735315"/>
    <w:rsid w:val="00736ABA"/>
    <w:rsid w:val="00740D97"/>
    <w:rsid w:val="00741404"/>
    <w:rsid w:val="00742117"/>
    <w:rsid w:val="007426FD"/>
    <w:rsid w:val="00743F7F"/>
    <w:rsid w:val="007441B9"/>
    <w:rsid w:val="007449E5"/>
    <w:rsid w:val="00746C5A"/>
    <w:rsid w:val="00747FF0"/>
    <w:rsid w:val="0075183E"/>
    <w:rsid w:val="00752EC2"/>
    <w:rsid w:val="0075329B"/>
    <w:rsid w:val="00755F31"/>
    <w:rsid w:val="0076171A"/>
    <w:rsid w:val="00764D4E"/>
    <w:rsid w:val="00765A1F"/>
    <w:rsid w:val="00765F84"/>
    <w:rsid w:val="00771504"/>
    <w:rsid w:val="0077237D"/>
    <w:rsid w:val="00773B52"/>
    <w:rsid w:val="00774203"/>
    <w:rsid w:val="00774B88"/>
    <w:rsid w:val="00775B6D"/>
    <w:rsid w:val="00776C2D"/>
    <w:rsid w:val="00776D68"/>
    <w:rsid w:val="00777302"/>
    <w:rsid w:val="00780312"/>
    <w:rsid w:val="00781C63"/>
    <w:rsid w:val="00781D24"/>
    <w:rsid w:val="00781F8A"/>
    <w:rsid w:val="00783BA3"/>
    <w:rsid w:val="007850EE"/>
    <w:rsid w:val="00785B95"/>
    <w:rsid w:val="00785EF6"/>
    <w:rsid w:val="0079005D"/>
    <w:rsid w:val="0079066A"/>
    <w:rsid w:val="00790726"/>
    <w:rsid w:val="00790BC6"/>
    <w:rsid w:val="00790E96"/>
    <w:rsid w:val="00793366"/>
    <w:rsid w:val="00793B16"/>
    <w:rsid w:val="007963D0"/>
    <w:rsid w:val="00796995"/>
    <w:rsid w:val="00796CA9"/>
    <w:rsid w:val="007978E7"/>
    <w:rsid w:val="007A010C"/>
    <w:rsid w:val="007A1579"/>
    <w:rsid w:val="007A56D2"/>
    <w:rsid w:val="007A716F"/>
    <w:rsid w:val="007B04F3"/>
    <w:rsid w:val="007B270A"/>
    <w:rsid w:val="007B29C7"/>
    <w:rsid w:val="007B3E79"/>
    <w:rsid w:val="007B5FE4"/>
    <w:rsid w:val="007B6169"/>
    <w:rsid w:val="007B7119"/>
    <w:rsid w:val="007C023D"/>
    <w:rsid w:val="007C0695"/>
    <w:rsid w:val="007C088A"/>
    <w:rsid w:val="007C145F"/>
    <w:rsid w:val="007C15E9"/>
    <w:rsid w:val="007C1AAB"/>
    <w:rsid w:val="007C20D9"/>
    <w:rsid w:val="007C2BC5"/>
    <w:rsid w:val="007C3EA8"/>
    <w:rsid w:val="007C419A"/>
    <w:rsid w:val="007C4CC8"/>
    <w:rsid w:val="007C5426"/>
    <w:rsid w:val="007C5798"/>
    <w:rsid w:val="007D11B9"/>
    <w:rsid w:val="007D166A"/>
    <w:rsid w:val="007D3269"/>
    <w:rsid w:val="007D4832"/>
    <w:rsid w:val="007D5E37"/>
    <w:rsid w:val="007E21B2"/>
    <w:rsid w:val="007E2C4E"/>
    <w:rsid w:val="007F04C0"/>
    <w:rsid w:val="007F0E45"/>
    <w:rsid w:val="007F1905"/>
    <w:rsid w:val="007F49CD"/>
    <w:rsid w:val="007F4BB7"/>
    <w:rsid w:val="007F5A59"/>
    <w:rsid w:val="007F6805"/>
    <w:rsid w:val="007F6CCD"/>
    <w:rsid w:val="007F7513"/>
    <w:rsid w:val="007F760A"/>
    <w:rsid w:val="00801300"/>
    <w:rsid w:val="00802C11"/>
    <w:rsid w:val="00802C64"/>
    <w:rsid w:val="00805E52"/>
    <w:rsid w:val="00805EA7"/>
    <w:rsid w:val="008061D0"/>
    <w:rsid w:val="00806419"/>
    <w:rsid w:val="00806F77"/>
    <w:rsid w:val="00810B38"/>
    <w:rsid w:val="00813AD6"/>
    <w:rsid w:val="008140E5"/>
    <w:rsid w:val="0081528F"/>
    <w:rsid w:val="008174E8"/>
    <w:rsid w:val="008204C7"/>
    <w:rsid w:val="00820645"/>
    <w:rsid w:val="00820992"/>
    <w:rsid w:val="008211CA"/>
    <w:rsid w:val="00822A07"/>
    <w:rsid w:val="00823602"/>
    <w:rsid w:val="00824BFD"/>
    <w:rsid w:val="008255B4"/>
    <w:rsid w:val="008255F5"/>
    <w:rsid w:val="00826694"/>
    <w:rsid w:val="00826825"/>
    <w:rsid w:val="0083014E"/>
    <w:rsid w:val="008307F8"/>
    <w:rsid w:val="0083214A"/>
    <w:rsid w:val="00832896"/>
    <w:rsid w:val="008334D5"/>
    <w:rsid w:val="00834220"/>
    <w:rsid w:val="008359FC"/>
    <w:rsid w:val="0083715E"/>
    <w:rsid w:val="00837E5C"/>
    <w:rsid w:val="008407E4"/>
    <w:rsid w:val="008437A3"/>
    <w:rsid w:val="00845723"/>
    <w:rsid w:val="00845A15"/>
    <w:rsid w:val="00846426"/>
    <w:rsid w:val="00851EF9"/>
    <w:rsid w:val="008577FD"/>
    <w:rsid w:val="00860B03"/>
    <w:rsid w:val="00863EB8"/>
    <w:rsid w:val="00863F38"/>
    <w:rsid w:val="0086497A"/>
    <w:rsid w:val="0086529F"/>
    <w:rsid w:val="008665F9"/>
    <w:rsid w:val="00870B93"/>
    <w:rsid w:val="008712A4"/>
    <w:rsid w:val="008713A1"/>
    <w:rsid w:val="008715E0"/>
    <w:rsid w:val="00872E5D"/>
    <w:rsid w:val="008754AB"/>
    <w:rsid w:val="00875D96"/>
    <w:rsid w:val="008768E5"/>
    <w:rsid w:val="0088060C"/>
    <w:rsid w:val="00884008"/>
    <w:rsid w:val="008847BC"/>
    <w:rsid w:val="0088596C"/>
    <w:rsid w:val="008860FD"/>
    <w:rsid w:val="008917B7"/>
    <w:rsid w:val="00892250"/>
    <w:rsid w:val="00892307"/>
    <w:rsid w:val="00893576"/>
    <w:rsid w:val="00893E73"/>
    <w:rsid w:val="00895814"/>
    <w:rsid w:val="00895EC4"/>
    <w:rsid w:val="00896E77"/>
    <w:rsid w:val="008A1DC3"/>
    <w:rsid w:val="008A37EC"/>
    <w:rsid w:val="008A3832"/>
    <w:rsid w:val="008A3A1F"/>
    <w:rsid w:val="008A6E18"/>
    <w:rsid w:val="008B02DC"/>
    <w:rsid w:val="008B164F"/>
    <w:rsid w:val="008B21C4"/>
    <w:rsid w:val="008B290B"/>
    <w:rsid w:val="008B438D"/>
    <w:rsid w:val="008B4C6A"/>
    <w:rsid w:val="008B57CE"/>
    <w:rsid w:val="008B690C"/>
    <w:rsid w:val="008B71E4"/>
    <w:rsid w:val="008C0686"/>
    <w:rsid w:val="008C26DE"/>
    <w:rsid w:val="008C3AE9"/>
    <w:rsid w:val="008C415C"/>
    <w:rsid w:val="008D01E9"/>
    <w:rsid w:val="008D1953"/>
    <w:rsid w:val="008D2225"/>
    <w:rsid w:val="008D22E4"/>
    <w:rsid w:val="008D3205"/>
    <w:rsid w:val="008D3844"/>
    <w:rsid w:val="008D38D2"/>
    <w:rsid w:val="008D4752"/>
    <w:rsid w:val="008D4E49"/>
    <w:rsid w:val="008D5D24"/>
    <w:rsid w:val="008D6D5A"/>
    <w:rsid w:val="008D6F2B"/>
    <w:rsid w:val="008D7752"/>
    <w:rsid w:val="008E271C"/>
    <w:rsid w:val="008E418E"/>
    <w:rsid w:val="008E42D9"/>
    <w:rsid w:val="008E584B"/>
    <w:rsid w:val="008E5BC6"/>
    <w:rsid w:val="008E5C05"/>
    <w:rsid w:val="008E6A25"/>
    <w:rsid w:val="008F109B"/>
    <w:rsid w:val="008F166E"/>
    <w:rsid w:val="008F265A"/>
    <w:rsid w:val="008F2EAA"/>
    <w:rsid w:val="008F365E"/>
    <w:rsid w:val="008F5193"/>
    <w:rsid w:val="008F5B16"/>
    <w:rsid w:val="008F5D26"/>
    <w:rsid w:val="00900ABE"/>
    <w:rsid w:val="009013A7"/>
    <w:rsid w:val="009017FB"/>
    <w:rsid w:val="009017FC"/>
    <w:rsid w:val="009031FC"/>
    <w:rsid w:val="00903AB8"/>
    <w:rsid w:val="00904C9F"/>
    <w:rsid w:val="0090506B"/>
    <w:rsid w:val="009050C9"/>
    <w:rsid w:val="0090565E"/>
    <w:rsid w:val="009066FC"/>
    <w:rsid w:val="0091404A"/>
    <w:rsid w:val="009140A3"/>
    <w:rsid w:val="009144A2"/>
    <w:rsid w:val="0091510C"/>
    <w:rsid w:val="00915CA6"/>
    <w:rsid w:val="00916024"/>
    <w:rsid w:val="00920CAD"/>
    <w:rsid w:val="009215CF"/>
    <w:rsid w:val="0092287D"/>
    <w:rsid w:val="00923A02"/>
    <w:rsid w:val="009259AC"/>
    <w:rsid w:val="00926F38"/>
    <w:rsid w:val="009270B7"/>
    <w:rsid w:val="00927EB8"/>
    <w:rsid w:val="00932028"/>
    <w:rsid w:val="00933055"/>
    <w:rsid w:val="00934301"/>
    <w:rsid w:val="009343E3"/>
    <w:rsid w:val="009349A2"/>
    <w:rsid w:val="009353A5"/>
    <w:rsid w:val="00936636"/>
    <w:rsid w:val="0093675F"/>
    <w:rsid w:val="00936CD1"/>
    <w:rsid w:val="009376A1"/>
    <w:rsid w:val="00940F25"/>
    <w:rsid w:val="009411BF"/>
    <w:rsid w:val="009412B1"/>
    <w:rsid w:val="00941747"/>
    <w:rsid w:val="00941EFB"/>
    <w:rsid w:val="00944A31"/>
    <w:rsid w:val="00946345"/>
    <w:rsid w:val="0094660F"/>
    <w:rsid w:val="00947AFB"/>
    <w:rsid w:val="00950076"/>
    <w:rsid w:val="00950411"/>
    <w:rsid w:val="00950618"/>
    <w:rsid w:val="00950D6A"/>
    <w:rsid w:val="00951D7D"/>
    <w:rsid w:val="009549EA"/>
    <w:rsid w:val="00955C14"/>
    <w:rsid w:val="0096042D"/>
    <w:rsid w:val="00960BCC"/>
    <w:rsid w:val="009619E4"/>
    <w:rsid w:val="009630C7"/>
    <w:rsid w:val="00963DF4"/>
    <w:rsid w:val="009656A4"/>
    <w:rsid w:val="009660B9"/>
    <w:rsid w:val="00966758"/>
    <w:rsid w:val="0096750F"/>
    <w:rsid w:val="00967C21"/>
    <w:rsid w:val="00972B55"/>
    <w:rsid w:val="0097330C"/>
    <w:rsid w:val="00973316"/>
    <w:rsid w:val="009743B7"/>
    <w:rsid w:val="00974790"/>
    <w:rsid w:val="009815AA"/>
    <w:rsid w:val="00981724"/>
    <w:rsid w:val="00981A50"/>
    <w:rsid w:val="0098228B"/>
    <w:rsid w:val="009828DA"/>
    <w:rsid w:val="00983DF4"/>
    <w:rsid w:val="00984515"/>
    <w:rsid w:val="00985B2E"/>
    <w:rsid w:val="00985BAB"/>
    <w:rsid w:val="00986001"/>
    <w:rsid w:val="00990137"/>
    <w:rsid w:val="009912A8"/>
    <w:rsid w:val="0099568E"/>
    <w:rsid w:val="00995FD6"/>
    <w:rsid w:val="009A42F0"/>
    <w:rsid w:val="009A5E1A"/>
    <w:rsid w:val="009B04CD"/>
    <w:rsid w:val="009B1B5F"/>
    <w:rsid w:val="009B309A"/>
    <w:rsid w:val="009B37A1"/>
    <w:rsid w:val="009B3E8F"/>
    <w:rsid w:val="009B42D0"/>
    <w:rsid w:val="009B4B04"/>
    <w:rsid w:val="009B5465"/>
    <w:rsid w:val="009B6673"/>
    <w:rsid w:val="009B707C"/>
    <w:rsid w:val="009C1042"/>
    <w:rsid w:val="009C106E"/>
    <w:rsid w:val="009C191B"/>
    <w:rsid w:val="009C20BC"/>
    <w:rsid w:val="009C2BD6"/>
    <w:rsid w:val="009C3826"/>
    <w:rsid w:val="009C422E"/>
    <w:rsid w:val="009C5EBA"/>
    <w:rsid w:val="009D09BB"/>
    <w:rsid w:val="009D0D35"/>
    <w:rsid w:val="009D2ECF"/>
    <w:rsid w:val="009D6ABD"/>
    <w:rsid w:val="009E0B85"/>
    <w:rsid w:val="009E17C8"/>
    <w:rsid w:val="009E1F32"/>
    <w:rsid w:val="009E28A1"/>
    <w:rsid w:val="009E51DF"/>
    <w:rsid w:val="009E6222"/>
    <w:rsid w:val="009E65CB"/>
    <w:rsid w:val="009E776C"/>
    <w:rsid w:val="009E7B33"/>
    <w:rsid w:val="009F3DFE"/>
    <w:rsid w:val="009F6EB6"/>
    <w:rsid w:val="009F75FE"/>
    <w:rsid w:val="009F7640"/>
    <w:rsid w:val="00A002A7"/>
    <w:rsid w:val="00A016C2"/>
    <w:rsid w:val="00A11961"/>
    <w:rsid w:val="00A14938"/>
    <w:rsid w:val="00A14E5D"/>
    <w:rsid w:val="00A153C5"/>
    <w:rsid w:val="00A153E9"/>
    <w:rsid w:val="00A156D1"/>
    <w:rsid w:val="00A1628D"/>
    <w:rsid w:val="00A17248"/>
    <w:rsid w:val="00A1726E"/>
    <w:rsid w:val="00A17BAB"/>
    <w:rsid w:val="00A204CF"/>
    <w:rsid w:val="00A23B0D"/>
    <w:rsid w:val="00A23D49"/>
    <w:rsid w:val="00A27004"/>
    <w:rsid w:val="00A30936"/>
    <w:rsid w:val="00A30C29"/>
    <w:rsid w:val="00A315F6"/>
    <w:rsid w:val="00A319DA"/>
    <w:rsid w:val="00A33D72"/>
    <w:rsid w:val="00A34303"/>
    <w:rsid w:val="00A34DD6"/>
    <w:rsid w:val="00A366F9"/>
    <w:rsid w:val="00A36819"/>
    <w:rsid w:val="00A36989"/>
    <w:rsid w:val="00A37C27"/>
    <w:rsid w:val="00A408A0"/>
    <w:rsid w:val="00A413C6"/>
    <w:rsid w:val="00A41C39"/>
    <w:rsid w:val="00A41F6B"/>
    <w:rsid w:val="00A43628"/>
    <w:rsid w:val="00A45145"/>
    <w:rsid w:val="00A47831"/>
    <w:rsid w:val="00A51932"/>
    <w:rsid w:val="00A5328B"/>
    <w:rsid w:val="00A53750"/>
    <w:rsid w:val="00A53C0D"/>
    <w:rsid w:val="00A54192"/>
    <w:rsid w:val="00A5451A"/>
    <w:rsid w:val="00A54B10"/>
    <w:rsid w:val="00A564AA"/>
    <w:rsid w:val="00A568A7"/>
    <w:rsid w:val="00A57C3B"/>
    <w:rsid w:val="00A6035E"/>
    <w:rsid w:val="00A60573"/>
    <w:rsid w:val="00A6144C"/>
    <w:rsid w:val="00A61A46"/>
    <w:rsid w:val="00A63ACD"/>
    <w:rsid w:val="00A6486D"/>
    <w:rsid w:val="00A66617"/>
    <w:rsid w:val="00A67071"/>
    <w:rsid w:val="00A671F8"/>
    <w:rsid w:val="00A673A4"/>
    <w:rsid w:val="00A67B39"/>
    <w:rsid w:val="00A7216C"/>
    <w:rsid w:val="00A724AE"/>
    <w:rsid w:val="00A73329"/>
    <w:rsid w:val="00A7380B"/>
    <w:rsid w:val="00A75DAA"/>
    <w:rsid w:val="00A76D77"/>
    <w:rsid w:val="00A774D8"/>
    <w:rsid w:val="00A77747"/>
    <w:rsid w:val="00A82359"/>
    <w:rsid w:val="00A83432"/>
    <w:rsid w:val="00A83CC8"/>
    <w:rsid w:val="00A8515B"/>
    <w:rsid w:val="00A86125"/>
    <w:rsid w:val="00A86154"/>
    <w:rsid w:val="00A865D2"/>
    <w:rsid w:val="00A86D09"/>
    <w:rsid w:val="00A87D63"/>
    <w:rsid w:val="00A91829"/>
    <w:rsid w:val="00A9223B"/>
    <w:rsid w:val="00A93690"/>
    <w:rsid w:val="00A94C20"/>
    <w:rsid w:val="00A951BB"/>
    <w:rsid w:val="00A96048"/>
    <w:rsid w:val="00AA21F4"/>
    <w:rsid w:val="00AA227F"/>
    <w:rsid w:val="00AA3BC7"/>
    <w:rsid w:val="00AA41B0"/>
    <w:rsid w:val="00AA49EF"/>
    <w:rsid w:val="00AA4FD4"/>
    <w:rsid w:val="00AA754A"/>
    <w:rsid w:val="00AA7A26"/>
    <w:rsid w:val="00AB0304"/>
    <w:rsid w:val="00AB099E"/>
    <w:rsid w:val="00AB3E3A"/>
    <w:rsid w:val="00AB4328"/>
    <w:rsid w:val="00AB6062"/>
    <w:rsid w:val="00AB65FA"/>
    <w:rsid w:val="00AB6EBA"/>
    <w:rsid w:val="00AB78CA"/>
    <w:rsid w:val="00AC0EBD"/>
    <w:rsid w:val="00AC137C"/>
    <w:rsid w:val="00AC5309"/>
    <w:rsid w:val="00AD025E"/>
    <w:rsid w:val="00AD28FC"/>
    <w:rsid w:val="00AD6E32"/>
    <w:rsid w:val="00AD79F8"/>
    <w:rsid w:val="00AE0A2E"/>
    <w:rsid w:val="00AE180A"/>
    <w:rsid w:val="00AE354C"/>
    <w:rsid w:val="00AF1260"/>
    <w:rsid w:val="00AF1CCC"/>
    <w:rsid w:val="00AF227F"/>
    <w:rsid w:val="00AF30D4"/>
    <w:rsid w:val="00AF3EA4"/>
    <w:rsid w:val="00AF4B07"/>
    <w:rsid w:val="00AF6186"/>
    <w:rsid w:val="00AF7A3A"/>
    <w:rsid w:val="00B0114B"/>
    <w:rsid w:val="00B02403"/>
    <w:rsid w:val="00B03BD0"/>
    <w:rsid w:val="00B06525"/>
    <w:rsid w:val="00B06829"/>
    <w:rsid w:val="00B10719"/>
    <w:rsid w:val="00B126D5"/>
    <w:rsid w:val="00B13F30"/>
    <w:rsid w:val="00B160DB"/>
    <w:rsid w:val="00B1617A"/>
    <w:rsid w:val="00B1727B"/>
    <w:rsid w:val="00B20836"/>
    <w:rsid w:val="00B219A3"/>
    <w:rsid w:val="00B22DE0"/>
    <w:rsid w:val="00B235BB"/>
    <w:rsid w:val="00B244E6"/>
    <w:rsid w:val="00B25C7F"/>
    <w:rsid w:val="00B25DDF"/>
    <w:rsid w:val="00B2772A"/>
    <w:rsid w:val="00B27A44"/>
    <w:rsid w:val="00B27DC8"/>
    <w:rsid w:val="00B30139"/>
    <w:rsid w:val="00B3092D"/>
    <w:rsid w:val="00B30BBF"/>
    <w:rsid w:val="00B30C6A"/>
    <w:rsid w:val="00B33C03"/>
    <w:rsid w:val="00B341FF"/>
    <w:rsid w:val="00B44E56"/>
    <w:rsid w:val="00B46543"/>
    <w:rsid w:val="00B47D33"/>
    <w:rsid w:val="00B509CE"/>
    <w:rsid w:val="00B52BE0"/>
    <w:rsid w:val="00B54133"/>
    <w:rsid w:val="00B54169"/>
    <w:rsid w:val="00B54C82"/>
    <w:rsid w:val="00B5643C"/>
    <w:rsid w:val="00B64EDE"/>
    <w:rsid w:val="00B65A3E"/>
    <w:rsid w:val="00B66AA0"/>
    <w:rsid w:val="00B67F6E"/>
    <w:rsid w:val="00B701ED"/>
    <w:rsid w:val="00B71FFB"/>
    <w:rsid w:val="00B73130"/>
    <w:rsid w:val="00B74DE2"/>
    <w:rsid w:val="00B7539A"/>
    <w:rsid w:val="00B75683"/>
    <w:rsid w:val="00B75BBD"/>
    <w:rsid w:val="00B7694D"/>
    <w:rsid w:val="00B7720B"/>
    <w:rsid w:val="00B8086C"/>
    <w:rsid w:val="00B824E1"/>
    <w:rsid w:val="00B82EC6"/>
    <w:rsid w:val="00B830D0"/>
    <w:rsid w:val="00B83FFA"/>
    <w:rsid w:val="00B84AE6"/>
    <w:rsid w:val="00B850AB"/>
    <w:rsid w:val="00B861B4"/>
    <w:rsid w:val="00B86DFE"/>
    <w:rsid w:val="00B90990"/>
    <w:rsid w:val="00B90C24"/>
    <w:rsid w:val="00B91B15"/>
    <w:rsid w:val="00B922FF"/>
    <w:rsid w:val="00B92307"/>
    <w:rsid w:val="00B92609"/>
    <w:rsid w:val="00B9281E"/>
    <w:rsid w:val="00B93925"/>
    <w:rsid w:val="00B95187"/>
    <w:rsid w:val="00B95C29"/>
    <w:rsid w:val="00B96F32"/>
    <w:rsid w:val="00BA163F"/>
    <w:rsid w:val="00BA1D38"/>
    <w:rsid w:val="00BA20B1"/>
    <w:rsid w:val="00BA2D55"/>
    <w:rsid w:val="00BA33A7"/>
    <w:rsid w:val="00BA4AA7"/>
    <w:rsid w:val="00BA61EB"/>
    <w:rsid w:val="00BA71B1"/>
    <w:rsid w:val="00BA7CF6"/>
    <w:rsid w:val="00BB0637"/>
    <w:rsid w:val="00BB2632"/>
    <w:rsid w:val="00BB26E0"/>
    <w:rsid w:val="00BB345F"/>
    <w:rsid w:val="00BB42FF"/>
    <w:rsid w:val="00BB524E"/>
    <w:rsid w:val="00BB68EA"/>
    <w:rsid w:val="00BB7CF5"/>
    <w:rsid w:val="00BC0911"/>
    <w:rsid w:val="00BC1A90"/>
    <w:rsid w:val="00BC1C27"/>
    <w:rsid w:val="00BC43AC"/>
    <w:rsid w:val="00BC4943"/>
    <w:rsid w:val="00BC4F91"/>
    <w:rsid w:val="00BC6BBF"/>
    <w:rsid w:val="00BC78CC"/>
    <w:rsid w:val="00BC7AA3"/>
    <w:rsid w:val="00BD00C6"/>
    <w:rsid w:val="00BD1572"/>
    <w:rsid w:val="00BD1839"/>
    <w:rsid w:val="00BD32AB"/>
    <w:rsid w:val="00BD5AE9"/>
    <w:rsid w:val="00BD66A4"/>
    <w:rsid w:val="00BE101C"/>
    <w:rsid w:val="00BE14E3"/>
    <w:rsid w:val="00BE1DA7"/>
    <w:rsid w:val="00BE3774"/>
    <w:rsid w:val="00BE41E5"/>
    <w:rsid w:val="00BE4E85"/>
    <w:rsid w:val="00BE5EAC"/>
    <w:rsid w:val="00BE6C8A"/>
    <w:rsid w:val="00BF247D"/>
    <w:rsid w:val="00BF252D"/>
    <w:rsid w:val="00BF2D3D"/>
    <w:rsid w:val="00BF31E2"/>
    <w:rsid w:val="00BF37BA"/>
    <w:rsid w:val="00BF4109"/>
    <w:rsid w:val="00BF4812"/>
    <w:rsid w:val="00BF4CC3"/>
    <w:rsid w:val="00C014AB"/>
    <w:rsid w:val="00C01A67"/>
    <w:rsid w:val="00C054C7"/>
    <w:rsid w:val="00C057B5"/>
    <w:rsid w:val="00C06D12"/>
    <w:rsid w:val="00C07AB9"/>
    <w:rsid w:val="00C11509"/>
    <w:rsid w:val="00C12A62"/>
    <w:rsid w:val="00C142B0"/>
    <w:rsid w:val="00C143E1"/>
    <w:rsid w:val="00C144B8"/>
    <w:rsid w:val="00C15B39"/>
    <w:rsid w:val="00C16482"/>
    <w:rsid w:val="00C225BE"/>
    <w:rsid w:val="00C22687"/>
    <w:rsid w:val="00C24299"/>
    <w:rsid w:val="00C25F96"/>
    <w:rsid w:val="00C264B2"/>
    <w:rsid w:val="00C264C5"/>
    <w:rsid w:val="00C302FE"/>
    <w:rsid w:val="00C315B9"/>
    <w:rsid w:val="00C32E4D"/>
    <w:rsid w:val="00C3339A"/>
    <w:rsid w:val="00C333A0"/>
    <w:rsid w:val="00C358F9"/>
    <w:rsid w:val="00C36A81"/>
    <w:rsid w:val="00C379BC"/>
    <w:rsid w:val="00C41974"/>
    <w:rsid w:val="00C41D7B"/>
    <w:rsid w:val="00C426B6"/>
    <w:rsid w:val="00C4747C"/>
    <w:rsid w:val="00C520AB"/>
    <w:rsid w:val="00C52643"/>
    <w:rsid w:val="00C52854"/>
    <w:rsid w:val="00C536A6"/>
    <w:rsid w:val="00C53F4A"/>
    <w:rsid w:val="00C54125"/>
    <w:rsid w:val="00C55B54"/>
    <w:rsid w:val="00C57073"/>
    <w:rsid w:val="00C6098E"/>
    <w:rsid w:val="00C6152C"/>
    <w:rsid w:val="00C621C0"/>
    <w:rsid w:val="00C621C2"/>
    <w:rsid w:val="00C6476C"/>
    <w:rsid w:val="00C675AE"/>
    <w:rsid w:val="00C70E74"/>
    <w:rsid w:val="00C720DD"/>
    <w:rsid w:val="00C74810"/>
    <w:rsid w:val="00C75C3B"/>
    <w:rsid w:val="00C802DB"/>
    <w:rsid w:val="00C816BE"/>
    <w:rsid w:val="00C8179A"/>
    <w:rsid w:val="00C834DA"/>
    <w:rsid w:val="00C85B22"/>
    <w:rsid w:val="00C8795F"/>
    <w:rsid w:val="00C90D68"/>
    <w:rsid w:val="00C923FE"/>
    <w:rsid w:val="00C939FE"/>
    <w:rsid w:val="00C93F56"/>
    <w:rsid w:val="00C94EDB"/>
    <w:rsid w:val="00CA0771"/>
    <w:rsid w:val="00CA2A9F"/>
    <w:rsid w:val="00CA483B"/>
    <w:rsid w:val="00CA4BDA"/>
    <w:rsid w:val="00CA6A86"/>
    <w:rsid w:val="00CA6AC6"/>
    <w:rsid w:val="00CA78C3"/>
    <w:rsid w:val="00CB1F66"/>
    <w:rsid w:val="00CB21EA"/>
    <w:rsid w:val="00CB2951"/>
    <w:rsid w:val="00CB45EE"/>
    <w:rsid w:val="00CB74FA"/>
    <w:rsid w:val="00CB7DCA"/>
    <w:rsid w:val="00CC0B52"/>
    <w:rsid w:val="00CC0EE0"/>
    <w:rsid w:val="00CC49B2"/>
    <w:rsid w:val="00CC6809"/>
    <w:rsid w:val="00CC7A52"/>
    <w:rsid w:val="00CD1AFB"/>
    <w:rsid w:val="00CD1BC6"/>
    <w:rsid w:val="00CD282B"/>
    <w:rsid w:val="00CD4C35"/>
    <w:rsid w:val="00CD72C7"/>
    <w:rsid w:val="00CD7369"/>
    <w:rsid w:val="00CD78E4"/>
    <w:rsid w:val="00CE0B0E"/>
    <w:rsid w:val="00CE2B0D"/>
    <w:rsid w:val="00CE2CA5"/>
    <w:rsid w:val="00CE3831"/>
    <w:rsid w:val="00CE385B"/>
    <w:rsid w:val="00CE42F4"/>
    <w:rsid w:val="00CE4ED8"/>
    <w:rsid w:val="00CE5237"/>
    <w:rsid w:val="00CE5DFF"/>
    <w:rsid w:val="00CE738A"/>
    <w:rsid w:val="00CE79B1"/>
    <w:rsid w:val="00CF0A6D"/>
    <w:rsid w:val="00CF0E25"/>
    <w:rsid w:val="00CF4C06"/>
    <w:rsid w:val="00CF7705"/>
    <w:rsid w:val="00CF7EB3"/>
    <w:rsid w:val="00D00ABB"/>
    <w:rsid w:val="00D01166"/>
    <w:rsid w:val="00D0127D"/>
    <w:rsid w:val="00D023D0"/>
    <w:rsid w:val="00D02EEC"/>
    <w:rsid w:val="00D03551"/>
    <w:rsid w:val="00D04291"/>
    <w:rsid w:val="00D0636F"/>
    <w:rsid w:val="00D065F7"/>
    <w:rsid w:val="00D06A63"/>
    <w:rsid w:val="00D070B7"/>
    <w:rsid w:val="00D07E0E"/>
    <w:rsid w:val="00D10751"/>
    <w:rsid w:val="00D107DA"/>
    <w:rsid w:val="00D11478"/>
    <w:rsid w:val="00D12434"/>
    <w:rsid w:val="00D13590"/>
    <w:rsid w:val="00D143AC"/>
    <w:rsid w:val="00D154F4"/>
    <w:rsid w:val="00D15ED0"/>
    <w:rsid w:val="00D20450"/>
    <w:rsid w:val="00D21B3E"/>
    <w:rsid w:val="00D21FED"/>
    <w:rsid w:val="00D23BCA"/>
    <w:rsid w:val="00D23EA1"/>
    <w:rsid w:val="00D24251"/>
    <w:rsid w:val="00D257F9"/>
    <w:rsid w:val="00D26141"/>
    <w:rsid w:val="00D27416"/>
    <w:rsid w:val="00D31801"/>
    <w:rsid w:val="00D320F2"/>
    <w:rsid w:val="00D32B3D"/>
    <w:rsid w:val="00D343E2"/>
    <w:rsid w:val="00D357DA"/>
    <w:rsid w:val="00D361A2"/>
    <w:rsid w:val="00D366E8"/>
    <w:rsid w:val="00D406D0"/>
    <w:rsid w:val="00D419F1"/>
    <w:rsid w:val="00D43CAA"/>
    <w:rsid w:val="00D44188"/>
    <w:rsid w:val="00D44C2E"/>
    <w:rsid w:val="00D45414"/>
    <w:rsid w:val="00D45454"/>
    <w:rsid w:val="00D45E09"/>
    <w:rsid w:val="00D45E27"/>
    <w:rsid w:val="00D47E44"/>
    <w:rsid w:val="00D501E3"/>
    <w:rsid w:val="00D5123F"/>
    <w:rsid w:val="00D51DD1"/>
    <w:rsid w:val="00D52507"/>
    <w:rsid w:val="00D53B44"/>
    <w:rsid w:val="00D53DBD"/>
    <w:rsid w:val="00D54204"/>
    <w:rsid w:val="00D5454C"/>
    <w:rsid w:val="00D566BD"/>
    <w:rsid w:val="00D57A4D"/>
    <w:rsid w:val="00D60AA7"/>
    <w:rsid w:val="00D60D87"/>
    <w:rsid w:val="00D61894"/>
    <w:rsid w:val="00D62CE1"/>
    <w:rsid w:val="00D63A43"/>
    <w:rsid w:val="00D641DC"/>
    <w:rsid w:val="00D6435F"/>
    <w:rsid w:val="00D657A4"/>
    <w:rsid w:val="00D67A9B"/>
    <w:rsid w:val="00D67B59"/>
    <w:rsid w:val="00D67F37"/>
    <w:rsid w:val="00D71D8B"/>
    <w:rsid w:val="00D72206"/>
    <w:rsid w:val="00D73AE5"/>
    <w:rsid w:val="00D74B34"/>
    <w:rsid w:val="00D75E28"/>
    <w:rsid w:val="00D772C2"/>
    <w:rsid w:val="00D8008E"/>
    <w:rsid w:val="00D800C7"/>
    <w:rsid w:val="00D80CAC"/>
    <w:rsid w:val="00D810CC"/>
    <w:rsid w:val="00D820D6"/>
    <w:rsid w:val="00D82C45"/>
    <w:rsid w:val="00D83FF5"/>
    <w:rsid w:val="00D902FB"/>
    <w:rsid w:val="00D908A8"/>
    <w:rsid w:val="00D913BF"/>
    <w:rsid w:val="00D915A5"/>
    <w:rsid w:val="00D939A1"/>
    <w:rsid w:val="00D96895"/>
    <w:rsid w:val="00D97419"/>
    <w:rsid w:val="00D977B6"/>
    <w:rsid w:val="00DA1E59"/>
    <w:rsid w:val="00DA25DE"/>
    <w:rsid w:val="00DA2E6B"/>
    <w:rsid w:val="00DA4A31"/>
    <w:rsid w:val="00DA585F"/>
    <w:rsid w:val="00DA6BC0"/>
    <w:rsid w:val="00DA7613"/>
    <w:rsid w:val="00DA7B04"/>
    <w:rsid w:val="00DB1A83"/>
    <w:rsid w:val="00DB1D2C"/>
    <w:rsid w:val="00DB23C4"/>
    <w:rsid w:val="00DB3363"/>
    <w:rsid w:val="00DB367D"/>
    <w:rsid w:val="00DB36C2"/>
    <w:rsid w:val="00DB6E30"/>
    <w:rsid w:val="00DB7C2C"/>
    <w:rsid w:val="00DC169B"/>
    <w:rsid w:val="00DC2AB9"/>
    <w:rsid w:val="00DC35F9"/>
    <w:rsid w:val="00DC4974"/>
    <w:rsid w:val="00DC561C"/>
    <w:rsid w:val="00DC63F0"/>
    <w:rsid w:val="00DC765C"/>
    <w:rsid w:val="00DD0390"/>
    <w:rsid w:val="00DD66BE"/>
    <w:rsid w:val="00DD6EE5"/>
    <w:rsid w:val="00DD7A5E"/>
    <w:rsid w:val="00DE3700"/>
    <w:rsid w:val="00DE386C"/>
    <w:rsid w:val="00DE3CC4"/>
    <w:rsid w:val="00DE4669"/>
    <w:rsid w:val="00DE492C"/>
    <w:rsid w:val="00DE4D35"/>
    <w:rsid w:val="00DE518D"/>
    <w:rsid w:val="00DE5572"/>
    <w:rsid w:val="00DE6C5A"/>
    <w:rsid w:val="00DF0549"/>
    <w:rsid w:val="00DF098B"/>
    <w:rsid w:val="00DF11C4"/>
    <w:rsid w:val="00DF210C"/>
    <w:rsid w:val="00DF4050"/>
    <w:rsid w:val="00DF4B6A"/>
    <w:rsid w:val="00E02C09"/>
    <w:rsid w:val="00E04167"/>
    <w:rsid w:val="00E04A1B"/>
    <w:rsid w:val="00E04D59"/>
    <w:rsid w:val="00E06A20"/>
    <w:rsid w:val="00E07224"/>
    <w:rsid w:val="00E07DA1"/>
    <w:rsid w:val="00E123CB"/>
    <w:rsid w:val="00E12CDC"/>
    <w:rsid w:val="00E13087"/>
    <w:rsid w:val="00E13151"/>
    <w:rsid w:val="00E13D8D"/>
    <w:rsid w:val="00E15C77"/>
    <w:rsid w:val="00E16C1E"/>
    <w:rsid w:val="00E20E13"/>
    <w:rsid w:val="00E20E48"/>
    <w:rsid w:val="00E2102F"/>
    <w:rsid w:val="00E21DBC"/>
    <w:rsid w:val="00E22525"/>
    <w:rsid w:val="00E24964"/>
    <w:rsid w:val="00E26DA2"/>
    <w:rsid w:val="00E275D7"/>
    <w:rsid w:val="00E27DBE"/>
    <w:rsid w:val="00E27F7B"/>
    <w:rsid w:val="00E30E19"/>
    <w:rsid w:val="00E31C82"/>
    <w:rsid w:val="00E32276"/>
    <w:rsid w:val="00E323AB"/>
    <w:rsid w:val="00E32581"/>
    <w:rsid w:val="00E32AB1"/>
    <w:rsid w:val="00E3356A"/>
    <w:rsid w:val="00E34BEB"/>
    <w:rsid w:val="00E354A7"/>
    <w:rsid w:val="00E36C71"/>
    <w:rsid w:val="00E374B9"/>
    <w:rsid w:val="00E37577"/>
    <w:rsid w:val="00E40404"/>
    <w:rsid w:val="00E41777"/>
    <w:rsid w:val="00E41DA1"/>
    <w:rsid w:val="00E4399D"/>
    <w:rsid w:val="00E43DD6"/>
    <w:rsid w:val="00E44B1E"/>
    <w:rsid w:val="00E459C6"/>
    <w:rsid w:val="00E464C3"/>
    <w:rsid w:val="00E47589"/>
    <w:rsid w:val="00E50E44"/>
    <w:rsid w:val="00E515A1"/>
    <w:rsid w:val="00E5165F"/>
    <w:rsid w:val="00E52210"/>
    <w:rsid w:val="00E52218"/>
    <w:rsid w:val="00E538E8"/>
    <w:rsid w:val="00E54197"/>
    <w:rsid w:val="00E62CDA"/>
    <w:rsid w:val="00E63D77"/>
    <w:rsid w:val="00E64915"/>
    <w:rsid w:val="00E661D4"/>
    <w:rsid w:val="00E70091"/>
    <w:rsid w:val="00E7067B"/>
    <w:rsid w:val="00E720F5"/>
    <w:rsid w:val="00E727F9"/>
    <w:rsid w:val="00E7383B"/>
    <w:rsid w:val="00E75C51"/>
    <w:rsid w:val="00E76D47"/>
    <w:rsid w:val="00E849F7"/>
    <w:rsid w:val="00E84E78"/>
    <w:rsid w:val="00E8689C"/>
    <w:rsid w:val="00E8698D"/>
    <w:rsid w:val="00E87C52"/>
    <w:rsid w:val="00E90302"/>
    <w:rsid w:val="00E933AB"/>
    <w:rsid w:val="00E93EC3"/>
    <w:rsid w:val="00E94868"/>
    <w:rsid w:val="00E957E4"/>
    <w:rsid w:val="00E967B2"/>
    <w:rsid w:val="00E97396"/>
    <w:rsid w:val="00E97B48"/>
    <w:rsid w:val="00EA0C94"/>
    <w:rsid w:val="00EA14F6"/>
    <w:rsid w:val="00EA185E"/>
    <w:rsid w:val="00EA1EA9"/>
    <w:rsid w:val="00EA2CE3"/>
    <w:rsid w:val="00EA592A"/>
    <w:rsid w:val="00EA5A65"/>
    <w:rsid w:val="00EA5D5C"/>
    <w:rsid w:val="00EA654E"/>
    <w:rsid w:val="00EA7152"/>
    <w:rsid w:val="00EB0672"/>
    <w:rsid w:val="00EB119B"/>
    <w:rsid w:val="00EB13E9"/>
    <w:rsid w:val="00EB14E4"/>
    <w:rsid w:val="00EB27EE"/>
    <w:rsid w:val="00EB32A5"/>
    <w:rsid w:val="00EB34ED"/>
    <w:rsid w:val="00EB43AC"/>
    <w:rsid w:val="00EB4AA9"/>
    <w:rsid w:val="00EB4CA6"/>
    <w:rsid w:val="00EB5358"/>
    <w:rsid w:val="00EB67B2"/>
    <w:rsid w:val="00EB6F71"/>
    <w:rsid w:val="00EB7BE0"/>
    <w:rsid w:val="00EC018D"/>
    <w:rsid w:val="00EC03DD"/>
    <w:rsid w:val="00EC0927"/>
    <w:rsid w:val="00EC2807"/>
    <w:rsid w:val="00EC315E"/>
    <w:rsid w:val="00EC43FF"/>
    <w:rsid w:val="00EC448B"/>
    <w:rsid w:val="00EC5146"/>
    <w:rsid w:val="00EC6684"/>
    <w:rsid w:val="00ED0008"/>
    <w:rsid w:val="00ED077C"/>
    <w:rsid w:val="00ED1190"/>
    <w:rsid w:val="00ED33E2"/>
    <w:rsid w:val="00ED47F5"/>
    <w:rsid w:val="00ED5FB9"/>
    <w:rsid w:val="00ED6544"/>
    <w:rsid w:val="00EE0277"/>
    <w:rsid w:val="00EE0AF7"/>
    <w:rsid w:val="00EE1DA9"/>
    <w:rsid w:val="00EE24ED"/>
    <w:rsid w:val="00EE3E00"/>
    <w:rsid w:val="00EE5DD2"/>
    <w:rsid w:val="00EF03A7"/>
    <w:rsid w:val="00EF711C"/>
    <w:rsid w:val="00EF77E3"/>
    <w:rsid w:val="00EF7E12"/>
    <w:rsid w:val="00EF7F28"/>
    <w:rsid w:val="00F00A79"/>
    <w:rsid w:val="00F00E86"/>
    <w:rsid w:val="00F056A0"/>
    <w:rsid w:val="00F07C1E"/>
    <w:rsid w:val="00F105AA"/>
    <w:rsid w:val="00F105DB"/>
    <w:rsid w:val="00F106DA"/>
    <w:rsid w:val="00F132BC"/>
    <w:rsid w:val="00F138DD"/>
    <w:rsid w:val="00F13C31"/>
    <w:rsid w:val="00F13D80"/>
    <w:rsid w:val="00F15B44"/>
    <w:rsid w:val="00F16AAA"/>
    <w:rsid w:val="00F17FD6"/>
    <w:rsid w:val="00F203B0"/>
    <w:rsid w:val="00F21161"/>
    <w:rsid w:val="00F218EF"/>
    <w:rsid w:val="00F21BC7"/>
    <w:rsid w:val="00F241A2"/>
    <w:rsid w:val="00F24A3A"/>
    <w:rsid w:val="00F266A2"/>
    <w:rsid w:val="00F30110"/>
    <w:rsid w:val="00F315B1"/>
    <w:rsid w:val="00F32269"/>
    <w:rsid w:val="00F33B9E"/>
    <w:rsid w:val="00F34770"/>
    <w:rsid w:val="00F35F89"/>
    <w:rsid w:val="00F36354"/>
    <w:rsid w:val="00F37C1E"/>
    <w:rsid w:val="00F40648"/>
    <w:rsid w:val="00F416C9"/>
    <w:rsid w:val="00F42150"/>
    <w:rsid w:val="00F42916"/>
    <w:rsid w:val="00F431D2"/>
    <w:rsid w:val="00F4432D"/>
    <w:rsid w:val="00F45D24"/>
    <w:rsid w:val="00F47DF2"/>
    <w:rsid w:val="00F51B99"/>
    <w:rsid w:val="00F531EE"/>
    <w:rsid w:val="00F554EA"/>
    <w:rsid w:val="00F5575F"/>
    <w:rsid w:val="00F55E36"/>
    <w:rsid w:val="00F56A6F"/>
    <w:rsid w:val="00F5709C"/>
    <w:rsid w:val="00F60409"/>
    <w:rsid w:val="00F6066F"/>
    <w:rsid w:val="00F60B11"/>
    <w:rsid w:val="00F62DA2"/>
    <w:rsid w:val="00F632A4"/>
    <w:rsid w:val="00F63DF3"/>
    <w:rsid w:val="00F64EF1"/>
    <w:rsid w:val="00F67354"/>
    <w:rsid w:val="00F6783C"/>
    <w:rsid w:val="00F679CB"/>
    <w:rsid w:val="00F71E74"/>
    <w:rsid w:val="00F728E6"/>
    <w:rsid w:val="00F775F6"/>
    <w:rsid w:val="00F81B10"/>
    <w:rsid w:val="00F847F2"/>
    <w:rsid w:val="00F84F34"/>
    <w:rsid w:val="00F8765F"/>
    <w:rsid w:val="00F90767"/>
    <w:rsid w:val="00F9445B"/>
    <w:rsid w:val="00F9454C"/>
    <w:rsid w:val="00F94EDD"/>
    <w:rsid w:val="00F95154"/>
    <w:rsid w:val="00F956A2"/>
    <w:rsid w:val="00F95BF7"/>
    <w:rsid w:val="00F96829"/>
    <w:rsid w:val="00F9739A"/>
    <w:rsid w:val="00FA0794"/>
    <w:rsid w:val="00FA0971"/>
    <w:rsid w:val="00FA0A50"/>
    <w:rsid w:val="00FA17DA"/>
    <w:rsid w:val="00FA2077"/>
    <w:rsid w:val="00FA5BA9"/>
    <w:rsid w:val="00FA660E"/>
    <w:rsid w:val="00FA685B"/>
    <w:rsid w:val="00FA6864"/>
    <w:rsid w:val="00FA793D"/>
    <w:rsid w:val="00FB0C01"/>
    <w:rsid w:val="00FB0FE4"/>
    <w:rsid w:val="00FB26F5"/>
    <w:rsid w:val="00FB6F26"/>
    <w:rsid w:val="00FB7AD6"/>
    <w:rsid w:val="00FC0D8C"/>
    <w:rsid w:val="00FC18F2"/>
    <w:rsid w:val="00FC2BD7"/>
    <w:rsid w:val="00FC39E5"/>
    <w:rsid w:val="00FC3A78"/>
    <w:rsid w:val="00FC4DBF"/>
    <w:rsid w:val="00FC6819"/>
    <w:rsid w:val="00FC6A61"/>
    <w:rsid w:val="00FD0B91"/>
    <w:rsid w:val="00FD1005"/>
    <w:rsid w:val="00FD36B1"/>
    <w:rsid w:val="00FD4929"/>
    <w:rsid w:val="00FD6C75"/>
    <w:rsid w:val="00FD7EE3"/>
    <w:rsid w:val="00FE043C"/>
    <w:rsid w:val="00FE0A85"/>
    <w:rsid w:val="00FE1E59"/>
    <w:rsid w:val="00FE2FD2"/>
    <w:rsid w:val="00FE3B42"/>
    <w:rsid w:val="00FE5907"/>
    <w:rsid w:val="00FE71B3"/>
    <w:rsid w:val="00FF2306"/>
    <w:rsid w:val="00FF2557"/>
    <w:rsid w:val="00FF42C5"/>
  </w:rsids>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48"/>
    <w:lsdException w:name="footer" w:uiPriority="57"/>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rsid w:val="001B4C2E"/>
    <w:pPr>
      <w:jc w:val="both"/>
    </w:pPr>
    <w:rPr>
      <w:rFonts w:eastAsiaTheme="minorEastAsia"/>
      <w:sz w:val="24"/>
    </w:rPr>
  </w:style>
  <w:style w:type="paragraph" w:styleId="Heading1">
    <w:name w:val="heading 1"/>
    <w:basedOn w:val="Normal"/>
    <w:next w:val="Normal"/>
    <w:link w:val="Heading1Char"/>
    <w:uiPriority w:val="99"/>
    <w:semiHidden/>
    <w:rsid w:val="00941747"/>
    <w:pPr>
      <w:numPr>
        <w:numId w:val="11"/>
      </w:numPr>
      <w:spacing w:before="480"/>
      <w:contextualSpacing/>
      <w:jc w:val="left"/>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941747"/>
    <w:pPr>
      <w:numPr>
        <w:ilvl w:val="1"/>
        <w:numId w:val="11"/>
      </w:numPr>
      <w:spacing w:before="200"/>
      <w:jc w:val="left"/>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941747"/>
    <w:pPr>
      <w:numPr>
        <w:ilvl w:val="2"/>
        <w:numId w:val="11"/>
      </w:numPr>
      <w:spacing w:before="200" w:line="271" w:lineRule="auto"/>
      <w:jc w:val="left"/>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941747"/>
    <w:pPr>
      <w:numPr>
        <w:ilvl w:val="3"/>
        <w:numId w:val="11"/>
      </w:numPr>
      <w:spacing w:before="200"/>
      <w:jc w:val="left"/>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1B4C2E"/>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941747"/>
    <w:pPr>
      <w:numPr>
        <w:ilvl w:val="5"/>
        <w:numId w:val="11"/>
      </w:numPr>
      <w:spacing w:line="271" w:lineRule="auto"/>
      <w:jc w:val="left"/>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1B4C2E"/>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1B4C2E"/>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1B4C2E"/>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41747"/>
    <w:rPr>
      <w:rFonts w:ascii="Tahoma" w:hAnsi="Tahoma" w:cs="Tahoma"/>
      <w:sz w:val="16"/>
      <w:szCs w:val="16"/>
    </w:rPr>
  </w:style>
  <w:style w:type="character" w:customStyle="1" w:styleId="BalloonTextChar">
    <w:name w:val="Balloon Text Char"/>
    <w:basedOn w:val="DefaultParagraphFont"/>
    <w:link w:val="BalloonText"/>
    <w:uiPriority w:val="99"/>
    <w:semiHidden/>
    <w:rsid w:val="00A671F8"/>
    <w:rPr>
      <w:rFonts w:ascii="Tahoma" w:hAnsi="Tahoma" w:eastAsiaTheme="minorEastAsia" w:cs="Tahoma"/>
      <w:sz w:val="16"/>
      <w:szCs w:val="16"/>
    </w:rPr>
  </w:style>
  <w:style w:type="character" w:styleId="BookTitle">
    <w:name w:val="Book Title"/>
    <w:uiPriority w:val="99"/>
    <w:semiHidden/>
    <w:qFormat/>
    <w:rsid w:val="001B4C2E"/>
    <w:rPr>
      <w:i/>
      <w:iCs/>
      <w:smallCaps/>
      <w:spacing w:val="5"/>
    </w:rPr>
  </w:style>
  <w:style w:type="paragraph" w:customStyle="1" w:styleId="ECHRHeader">
    <w:name w:val="ECHR_Header"/>
    <w:aliases w:val="Ju_Header"/>
    <w:basedOn w:val="Header"/>
    <w:uiPriority w:val="4"/>
    <w:qFormat/>
    <w:rsid w:val="001B4C2E"/>
    <w:pPr>
      <w:tabs>
        <w:tab w:val="center" w:pos="3686"/>
        <w:tab w:val="clear" w:pos="4536"/>
        <w:tab w:val="right" w:pos="7371"/>
        <w:tab w:val="clear" w:pos="9696"/>
      </w:tabs>
      <w:ind w:left="0" w:right="0"/>
      <w:jc w:val="left"/>
    </w:pPr>
    <w:rPr>
      <w:rFonts w:eastAsiaTheme="minorHAnsi"/>
      <w:sz w:val="18"/>
    </w:rPr>
  </w:style>
  <w:style w:type="paragraph" w:customStyle="1" w:styleId="OpiPara">
    <w:name w:val="Opi_Para"/>
    <w:basedOn w:val="ECHRPara"/>
    <w:uiPriority w:val="46"/>
    <w:qFormat/>
    <w:rsid w:val="001B4C2E"/>
  </w:style>
  <w:style w:type="character" w:styleId="Strong">
    <w:name w:val="Strong"/>
    <w:uiPriority w:val="99"/>
    <w:semiHidden/>
    <w:qFormat/>
    <w:rsid w:val="001B4C2E"/>
    <w:rPr>
      <w:b/>
      <w:bCs/>
    </w:rPr>
  </w:style>
  <w:style w:type="paragraph" w:styleId="NoSpacing">
    <w:name w:val="No Spacing"/>
    <w:basedOn w:val="Normal"/>
    <w:link w:val="NoSpacingChar"/>
    <w:semiHidden/>
    <w:qFormat/>
    <w:rsid w:val="001B4C2E"/>
    <w:rPr>
      <w:sz w:val="22"/>
    </w:rPr>
  </w:style>
  <w:style w:type="character" w:customStyle="1" w:styleId="NoSpacingChar">
    <w:name w:val="No Spacing Char"/>
    <w:basedOn w:val="DefaultParagraphFont"/>
    <w:link w:val="NoSpacing"/>
    <w:semiHidden/>
    <w:rsid w:val="001B4C2E"/>
    <w:rPr>
      <w:rFonts w:eastAsiaTheme="minorEastAsia"/>
    </w:rPr>
  </w:style>
  <w:style w:type="paragraph" w:customStyle="1" w:styleId="JuParaSub">
    <w:name w:val="Ju_Para_Sub"/>
    <w:basedOn w:val="ECHRPara"/>
    <w:uiPriority w:val="13"/>
    <w:qFormat/>
    <w:rsid w:val="001B4C2E"/>
    <w:pPr>
      <w:ind w:left="284"/>
    </w:pPr>
  </w:style>
  <w:style w:type="paragraph" w:customStyle="1" w:styleId="OpiParaSub">
    <w:name w:val="Opi_Para_Sub"/>
    <w:basedOn w:val="JuParaSub"/>
    <w:uiPriority w:val="47"/>
    <w:qFormat/>
    <w:rsid w:val="001B4C2E"/>
  </w:style>
  <w:style w:type="paragraph" w:customStyle="1" w:styleId="OpiQuot">
    <w:name w:val="Opi_Quot"/>
    <w:basedOn w:val="ECHRParaQuote"/>
    <w:uiPriority w:val="48"/>
    <w:qFormat/>
    <w:rsid w:val="001B4C2E"/>
  </w:style>
  <w:style w:type="paragraph" w:customStyle="1" w:styleId="OpiQuotSub">
    <w:name w:val="Opi_Quot_Sub"/>
    <w:basedOn w:val="JuQuotSub"/>
    <w:uiPriority w:val="49"/>
    <w:qFormat/>
    <w:rsid w:val="001B4C2E"/>
  </w:style>
  <w:style w:type="paragraph" w:customStyle="1" w:styleId="ECHRTitleCentre3">
    <w:name w:val="ECHR_Title_Centre_3"/>
    <w:aliases w:val="Ju_H_Article"/>
    <w:basedOn w:val="Normal"/>
    <w:next w:val="ECHRParaQuote"/>
    <w:uiPriority w:val="27"/>
    <w:qFormat/>
    <w:rsid w:val="001B4C2E"/>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1B4C2E"/>
    <w:pPr>
      <w:keepNext/>
      <w:keepLines/>
      <w:spacing w:after="240"/>
      <w:jc w:val="center"/>
      <w:outlineLvl w:val="0"/>
    </w:pPr>
    <w:rPr>
      <w:rFonts w:asciiTheme="majorHAnsi" w:hAnsiTheme="majorHAnsi"/>
      <w:sz w:val="28"/>
    </w:rPr>
  </w:style>
  <w:style w:type="paragraph" w:customStyle="1" w:styleId="JuQuotSub">
    <w:name w:val="Ju_Quot_Sub"/>
    <w:basedOn w:val="ECHRParaQuote"/>
    <w:uiPriority w:val="15"/>
    <w:qFormat/>
    <w:rsid w:val="001B4C2E"/>
    <w:pPr>
      <w:ind w:left="567"/>
    </w:pPr>
  </w:style>
  <w:style w:type="paragraph" w:customStyle="1" w:styleId="JuInitialled">
    <w:name w:val="Ju_Initialled"/>
    <w:basedOn w:val="Normal"/>
    <w:uiPriority w:val="31"/>
    <w:qFormat/>
    <w:rsid w:val="001B4C2E"/>
    <w:pPr>
      <w:tabs>
        <w:tab w:val="center" w:pos="6407"/>
      </w:tabs>
      <w:spacing w:before="720"/>
      <w:jc w:val="right"/>
    </w:pPr>
  </w:style>
  <w:style w:type="paragraph" w:customStyle="1" w:styleId="OpiHA">
    <w:name w:val="Opi_H_A"/>
    <w:basedOn w:val="ECHRHeading1"/>
    <w:next w:val="OpiPara"/>
    <w:uiPriority w:val="41"/>
    <w:qFormat/>
    <w:rsid w:val="001B4C2E"/>
    <w:pPr>
      <w:tabs>
        <w:tab w:val="clear" w:pos="357"/>
      </w:tabs>
      <w:outlineLvl w:val="1"/>
    </w:pPr>
    <w:rPr>
      <w:b/>
    </w:rPr>
  </w:style>
  <w:style w:type="character" w:customStyle="1" w:styleId="JUNAMES">
    <w:name w:val="JU_NAMES"/>
    <w:uiPriority w:val="17"/>
    <w:qFormat/>
    <w:rsid w:val="001B4C2E"/>
    <w:rPr>
      <w:caps w:val="0"/>
      <w:smallCaps/>
    </w:rPr>
  </w:style>
  <w:style w:type="paragraph" w:customStyle="1" w:styleId="OpiTranslation">
    <w:name w:val="Opi_Translation"/>
    <w:basedOn w:val="Normal"/>
    <w:next w:val="OpiPara"/>
    <w:uiPriority w:val="40"/>
    <w:qFormat/>
    <w:rsid w:val="001B4C2E"/>
    <w:pPr>
      <w:jc w:val="center"/>
      <w:outlineLvl w:val="0"/>
    </w:pPr>
    <w:rPr>
      <w:i/>
    </w:rPr>
  </w:style>
  <w:style w:type="paragraph" w:styleId="Title">
    <w:name w:val="Title"/>
    <w:basedOn w:val="Normal"/>
    <w:next w:val="Normal"/>
    <w:link w:val="TitleChar"/>
    <w:uiPriority w:val="99"/>
    <w:semiHidden/>
    <w:qFormat/>
    <w:rsid w:val="001B4C2E"/>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1B4C2E"/>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1B4C2E"/>
    <w:pPr>
      <w:keepNext/>
      <w:keepLines/>
      <w:numPr>
        <w:ilvl w:val="0"/>
        <w:numId w:val="0"/>
      </w:numPr>
      <w:tabs>
        <w:tab w:val="left" w:pos="731"/>
      </w:tabs>
      <w:spacing w:before="240" w:after="120" w:line="240" w:lineRule="auto"/>
      <w:ind w:left="732" w:hanging="301"/>
      <w:jc w:val="both"/>
    </w:pPr>
    <w:rPr>
      <w:b w:val="0"/>
      <w:i/>
      <w:color w:val="auto"/>
    </w:rPr>
  </w:style>
  <w:style w:type="paragraph" w:customStyle="1" w:styleId="ECHRHeading4">
    <w:name w:val="ECHR_Heading_4"/>
    <w:aliases w:val="Ju_H_a"/>
    <w:basedOn w:val="Heading4"/>
    <w:next w:val="ECHRPara"/>
    <w:uiPriority w:val="22"/>
    <w:qFormat/>
    <w:rsid w:val="001B4C2E"/>
    <w:pPr>
      <w:keepNext/>
      <w:keepLines/>
      <w:numPr>
        <w:ilvl w:val="0"/>
        <w:numId w:val="0"/>
      </w:numPr>
      <w:tabs>
        <w:tab w:val="left" w:pos="975"/>
      </w:tabs>
      <w:spacing w:before="240" w:after="120"/>
      <w:ind w:left="975" w:hanging="340"/>
      <w:jc w:val="both"/>
    </w:pPr>
    <w:rPr>
      <w:i w:val="0"/>
      <w:color w:val="auto"/>
      <w:sz w:val="20"/>
    </w:rPr>
  </w:style>
  <w:style w:type="paragraph" w:customStyle="1" w:styleId="ECHRHeading5">
    <w:name w:val="ECHR_Heading_5"/>
    <w:aliases w:val="Ju_H_i"/>
    <w:basedOn w:val="Heading5"/>
    <w:next w:val="ECHRPara"/>
    <w:uiPriority w:val="23"/>
    <w:qFormat/>
    <w:rsid w:val="001B4C2E"/>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1B4C2E"/>
    <w:pPr>
      <w:keepNext/>
      <w:keepLines/>
      <w:numPr>
        <w:ilvl w:val="0"/>
        <w:numId w:val="0"/>
      </w:numPr>
      <w:tabs>
        <w:tab w:val="left" w:pos="1372"/>
      </w:tabs>
      <w:spacing w:before="240" w:after="120" w:line="240" w:lineRule="auto"/>
      <w:ind w:left="1373" w:hanging="335"/>
      <w:jc w:val="both"/>
    </w:pPr>
    <w:rPr>
      <w:b w:val="0"/>
      <w:color w:val="auto"/>
      <w:sz w:val="20"/>
    </w:rPr>
  </w:style>
  <w:style w:type="paragraph" w:customStyle="1" w:styleId="ECHRHeading7">
    <w:name w:val="ECHR_Heading_7"/>
    <w:aliases w:val="Ju_H_–"/>
    <w:basedOn w:val="Heading7"/>
    <w:next w:val="ECHRPara"/>
    <w:uiPriority w:val="25"/>
    <w:qFormat/>
    <w:rsid w:val="001B4C2E"/>
    <w:pPr>
      <w:keepNext/>
      <w:keepLines/>
      <w:spacing w:before="240" w:after="120"/>
      <w:ind w:left="1236"/>
    </w:pPr>
    <w:rPr>
      <w:sz w:val="20"/>
    </w:rPr>
  </w:style>
  <w:style w:type="paragraph" w:customStyle="1" w:styleId="OpiH1">
    <w:name w:val="Opi_H_1"/>
    <w:basedOn w:val="ECHRHeading2"/>
    <w:uiPriority w:val="42"/>
    <w:qFormat/>
    <w:rsid w:val="001B4C2E"/>
    <w:pPr>
      <w:ind w:left="635" w:hanging="357"/>
      <w:outlineLvl w:val="2"/>
    </w:pPr>
  </w:style>
  <w:style w:type="paragraph" w:customStyle="1" w:styleId="OpiHa0">
    <w:name w:val="Opi_H_a"/>
    <w:basedOn w:val="ECHRHeading3"/>
    <w:uiPriority w:val="43"/>
    <w:qFormat/>
    <w:rsid w:val="001B4C2E"/>
    <w:pPr>
      <w:ind w:left="833" w:hanging="357"/>
      <w:outlineLvl w:val="3"/>
    </w:pPr>
    <w:rPr>
      <w:b/>
      <w:i w:val="0"/>
      <w:sz w:val="20"/>
    </w:rPr>
  </w:style>
  <w:style w:type="paragraph" w:customStyle="1" w:styleId="OpiHi">
    <w:name w:val="Opi_H_i"/>
    <w:basedOn w:val="ECHRHeading4"/>
    <w:uiPriority w:val="44"/>
    <w:qFormat/>
    <w:rsid w:val="001B4C2E"/>
    <w:pPr>
      <w:ind w:left="1037" w:hanging="357"/>
      <w:outlineLvl w:val="4"/>
    </w:pPr>
    <w:rPr>
      <w:b w:val="0"/>
      <w:i/>
    </w:rPr>
  </w:style>
  <w:style w:type="paragraph" w:styleId="Header">
    <w:name w:val="header"/>
    <w:basedOn w:val="Normal"/>
    <w:link w:val="HeaderChar"/>
    <w:uiPriority w:val="48"/>
    <w:rsid w:val="00941747"/>
    <w:pPr>
      <w:tabs>
        <w:tab w:val="center" w:pos="4536"/>
        <w:tab w:val="right" w:pos="9696"/>
      </w:tabs>
      <w:ind w:left="-680" w:right="-680"/>
    </w:pPr>
  </w:style>
  <w:style w:type="character" w:customStyle="1" w:styleId="HeaderChar">
    <w:name w:val="Header Char"/>
    <w:basedOn w:val="DefaultParagraphFont"/>
    <w:link w:val="Header"/>
    <w:uiPriority w:val="48"/>
    <w:rsid w:val="008D4752"/>
  </w:style>
  <w:style w:type="character" w:customStyle="1" w:styleId="Heading1Char">
    <w:name w:val="Heading 1 Char"/>
    <w:basedOn w:val="DefaultParagraphFont"/>
    <w:link w:val="Heading1"/>
    <w:uiPriority w:val="99"/>
    <w:semiHidden/>
    <w:rsid w:val="00A671F8"/>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1B4C2E"/>
    <w:pPr>
      <w:keepNext/>
      <w:keepLines/>
      <w:numPr>
        <w:numId w:val="0"/>
      </w:numPr>
      <w:tabs>
        <w:tab w:val="left" w:pos="357"/>
      </w:tabs>
      <w:spacing w:before="360" w:after="240"/>
      <w:ind w:left="357" w:hanging="357"/>
      <w:contextualSpacing w:val="0"/>
      <w:jc w:val="both"/>
    </w:pPr>
    <w:rPr>
      <w:b w:val="0"/>
      <w:color w:val="auto"/>
      <w:sz w:val="24"/>
    </w:rPr>
  </w:style>
  <w:style w:type="paragraph" w:customStyle="1" w:styleId="ECHRHeading2">
    <w:name w:val="ECHR_Heading_2"/>
    <w:aliases w:val="Ju_H_A"/>
    <w:basedOn w:val="Heading2"/>
    <w:next w:val="ECHRPara"/>
    <w:uiPriority w:val="20"/>
    <w:qFormat/>
    <w:rsid w:val="001B4C2E"/>
    <w:pPr>
      <w:keepNext/>
      <w:keepLines/>
      <w:numPr>
        <w:ilvl w:val="0"/>
        <w:numId w:val="0"/>
      </w:numPr>
      <w:tabs>
        <w:tab w:val="left" w:pos="584"/>
      </w:tabs>
      <w:spacing w:before="360" w:after="240"/>
      <w:ind w:left="584" w:hanging="352"/>
      <w:jc w:val="both"/>
    </w:pPr>
    <w:rPr>
      <w:color w:val="auto"/>
      <w:sz w:val="24"/>
    </w:rPr>
  </w:style>
  <w:style w:type="character" w:customStyle="1" w:styleId="Heading2Char">
    <w:name w:val="Heading 2 Char"/>
    <w:basedOn w:val="DefaultParagraphFont"/>
    <w:link w:val="Heading2"/>
    <w:uiPriority w:val="99"/>
    <w:semiHidden/>
    <w:rsid w:val="00A671F8"/>
    <w:rPr>
      <w:rFonts w:asciiTheme="majorHAnsi" w:eastAsiaTheme="majorEastAsia" w:hAnsiTheme="majorHAnsi" w:cstheme="majorBidi"/>
      <w:b/>
      <w:bCs/>
      <w:color w:val="4D4D4D"/>
      <w:sz w:val="26"/>
      <w:szCs w:val="26"/>
    </w:rPr>
  </w:style>
  <w:style w:type="paragraph" w:customStyle="1" w:styleId="DummyStyle">
    <w:name w:val="Dummy_Style"/>
    <w:basedOn w:val="Normal"/>
    <w:semiHidden/>
    <w:qFormat/>
    <w:rsid w:val="001B4C2E"/>
    <w:rPr>
      <w:color w:val="00B050"/>
    </w:rPr>
  </w:style>
  <w:style w:type="paragraph" w:customStyle="1" w:styleId="JuCase">
    <w:name w:val="Ju_Case"/>
    <w:basedOn w:val="Normal"/>
    <w:next w:val="Normal"/>
    <w:uiPriority w:val="10"/>
    <w:rsid w:val="00D60D87"/>
    <w:pPr>
      <w:ind w:firstLine="284"/>
    </w:pPr>
    <w:rPr>
      <w:b/>
    </w:rPr>
  </w:style>
  <w:style w:type="character" w:customStyle="1" w:styleId="Heading3Char">
    <w:name w:val="Heading 3 Char"/>
    <w:basedOn w:val="DefaultParagraphFont"/>
    <w:link w:val="Heading3"/>
    <w:uiPriority w:val="99"/>
    <w:semiHidden/>
    <w:rsid w:val="00A671F8"/>
    <w:rPr>
      <w:rFonts w:asciiTheme="majorHAnsi" w:eastAsiaTheme="majorEastAsia" w:hAnsiTheme="majorHAnsi" w:cstheme="majorBidi"/>
      <w:b/>
      <w:bCs/>
      <w:color w:val="5F5F5F"/>
    </w:rPr>
  </w:style>
  <w:style w:type="character" w:customStyle="1" w:styleId="Heading4Char">
    <w:name w:val="Heading 4 Char"/>
    <w:basedOn w:val="DefaultParagraphFont"/>
    <w:link w:val="Heading4"/>
    <w:uiPriority w:val="99"/>
    <w:semiHidden/>
    <w:rsid w:val="00A671F8"/>
    <w:rPr>
      <w:rFonts w:asciiTheme="majorHAnsi" w:eastAsiaTheme="majorEastAsia" w:hAnsiTheme="majorHAnsi" w:cstheme="majorBidi"/>
      <w:b/>
      <w:bCs/>
      <w:i/>
      <w:iCs/>
      <w:color w:val="777777"/>
    </w:rPr>
  </w:style>
  <w:style w:type="character" w:customStyle="1" w:styleId="Heading5Char">
    <w:name w:val="Heading 5 Char"/>
    <w:basedOn w:val="DefaultParagraphFont"/>
    <w:link w:val="Heading5"/>
    <w:uiPriority w:val="99"/>
    <w:semiHidden/>
    <w:rsid w:val="001B4C2E"/>
    <w:rPr>
      <w:rFonts w:asciiTheme="majorHAnsi" w:eastAsiaTheme="majorEastAsia" w:hAnsiTheme="majorHAnsi" w:cstheme="majorBidi"/>
      <w:b/>
      <w:bCs/>
      <w:color w:val="808080"/>
    </w:rPr>
  </w:style>
  <w:style w:type="character" w:styleId="SubtleEmphasis">
    <w:name w:val="Subtle Emphasis"/>
    <w:uiPriority w:val="99"/>
    <w:semiHidden/>
    <w:qFormat/>
    <w:rsid w:val="001B4C2E"/>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1B4C2E"/>
    <w:pPr>
      <w:keepNext/>
      <w:keepLines/>
      <w:spacing w:before="720" w:after="240"/>
      <w:outlineLvl w:val="0"/>
    </w:pPr>
    <w:rPr>
      <w:rFonts w:asciiTheme="majorHAnsi" w:hAnsiTheme="majorHAnsi"/>
      <w:sz w:val="28"/>
    </w:rPr>
  </w:style>
  <w:style w:type="character" w:styleId="Emphasis">
    <w:name w:val="Emphasis"/>
    <w:uiPriority w:val="99"/>
    <w:semiHidden/>
    <w:qFormat/>
    <w:rsid w:val="001B4C2E"/>
    <w:rPr>
      <w:b/>
      <w:bCs/>
      <w:i/>
      <w:iCs/>
      <w:spacing w:val="10"/>
      <w:bdr w:val="none" w:sz="0" w:space="0" w:color="auto"/>
      <w:shd w:val="clear" w:color="auto" w:fill="auto"/>
    </w:rPr>
  </w:style>
  <w:style w:type="paragraph" w:styleId="Footer">
    <w:name w:val="footer"/>
    <w:basedOn w:val="Normal"/>
    <w:link w:val="FooterChar"/>
    <w:uiPriority w:val="57"/>
    <w:semiHidden/>
    <w:rsid w:val="00941747"/>
    <w:pPr>
      <w:tabs>
        <w:tab w:val="center" w:pos="4536"/>
        <w:tab w:val="right" w:pos="9696"/>
      </w:tabs>
      <w:ind w:left="-680" w:right="-680"/>
    </w:pPr>
  </w:style>
  <w:style w:type="character" w:customStyle="1" w:styleId="FooterChar">
    <w:name w:val="Footer Char"/>
    <w:basedOn w:val="DefaultParagraphFont"/>
    <w:link w:val="Footer"/>
    <w:uiPriority w:val="57"/>
    <w:semiHidden/>
    <w:rsid w:val="008D4752"/>
  </w:style>
  <w:style w:type="character" w:styleId="FootnoteReference">
    <w:name w:val="footnote reference"/>
    <w:basedOn w:val="DefaultParagraphFont"/>
    <w:uiPriority w:val="99"/>
    <w:semiHidden/>
    <w:rsid w:val="00941747"/>
    <w:rPr>
      <w:vertAlign w:val="superscript"/>
    </w:rPr>
  </w:style>
  <w:style w:type="paragraph" w:styleId="FootnoteText">
    <w:name w:val="footnote text"/>
    <w:basedOn w:val="Normal"/>
    <w:link w:val="FootnoteTextChar"/>
    <w:uiPriority w:val="99"/>
    <w:semiHidden/>
    <w:rsid w:val="00941747"/>
    <w:rPr>
      <w:sz w:val="20"/>
      <w:szCs w:val="20"/>
    </w:rPr>
  </w:style>
  <w:style w:type="character" w:customStyle="1" w:styleId="FootnoteTextChar">
    <w:name w:val="Footnote Text Char"/>
    <w:basedOn w:val="DefaultParagraphFont"/>
    <w:link w:val="FootnoteText"/>
    <w:uiPriority w:val="99"/>
    <w:semiHidden/>
    <w:rsid w:val="00A671F8"/>
    <w:rPr>
      <w:rFonts w:eastAsiaTheme="minorEastAsia"/>
      <w:sz w:val="20"/>
      <w:szCs w:val="20"/>
    </w:rPr>
  </w:style>
  <w:style w:type="character" w:customStyle="1" w:styleId="Heading6Char">
    <w:name w:val="Heading 6 Char"/>
    <w:basedOn w:val="DefaultParagraphFont"/>
    <w:link w:val="Heading6"/>
    <w:uiPriority w:val="99"/>
    <w:semiHidden/>
    <w:rsid w:val="00A671F8"/>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9"/>
    <w:semiHidden/>
    <w:rsid w:val="001B4C2E"/>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1B4C2E"/>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1B4C2E"/>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941747"/>
    <w:rPr>
      <w:color w:val="0072BC" w:themeColor="hyperlink"/>
      <w:u w:val="single"/>
    </w:rPr>
  </w:style>
  <w:style w:type="character" w:styleId="IntenseEmphasis">
    <w:name w:val="Intense Emphasis"/>
    <w:uiPriority w:val="99"/>
    <w:semiHidden/>
    <w:qFormat/>
    <w:rsid w:val="001B4C2E"/>
    <w:rPr>
      <w:b/>
      <w:bCs/>
    </w:rPr>
  </w:style>
  <w:style w:type="paragraph" w:styleId="IntenseQuote">
    <w:name w:val="Intense Quote"/>
    <w:basedOn w:val="Normal"/>
    <w:next w:val="Normal"/>
    <w:link w:val="IntenseQuoteChar"/>
    <w:uiPriority w:val="99"/>
    <w:semiHidden/>
    <w:qFormat/>
    <w:rsid w:val="001B4C2E"/>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1B4C2E"/>
    <w:rPr>
      <w:rFonts w:eastAsiaTheme="minorEastAsia"/>
      <w:b/>
      <w:bCs/>
      <w:i/>
      <w:iCs/>
      <w:lang w:bidi="en-US"/>
    </w:rPr>
  </w:style>
  <w:style w:type="character" w:styleId="IntenseReference">
    <w:name w:val="Intense Reference"/>
    <w:uiPriority w:val="99"/>
    <w:semiHidden/>
    <w:qFormat/>
    <w:rsid w:val="001B4C2E"/>
    <w:rPr>
      <w:smallCaps/>
      <w:spacing w:val="5"/>
      <w:u w:val="single"/>
    </w:rPr>
  </w:style>
  <w:style w:type="paragraph" w:styleId="ListParagraph">
    <w:name w:val="List Paragraph"/>
    <w:basedOn w:val="Normal"/>
    <w:uiPriority w:val="99"/>
    <w:semiHidden/>
    <w:qFormat/>
    <w:rsid w:val="001B4C2E"/>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1B4C2E"/>
    <w:pPr>
      <w:spacing w:before="200"/>
      <w:ind w:left="360" w:right="360"/>
    </w:pPr>
    <w:rPr>
      <w:i/>
      <w:iCs/>
      <w:sz w:val="22"/>
      <w:lang w:bidi="en-US"/>
    </w:rPr>
  </w:style>
  <w:style w:type="character" w:customStyle="1" w:styleId="QuoteChar">
    <w:name w:val="Quote Char"/>
    <w:basedOn w:val="DefaultParagraphFont"/>
    <w:link w:val="Quote"/>
    <w:uiPriority w:val="99"/>
    <w:semiHidden/>
    <w:rsid w:val="001B4C2E"/>
    <w:rPr>
      <w:rFonts w:eastAsiaTheme="minorEastAsia"/>
      <w:i/>
      <w:iCs/>
      <w:lang w:bidi="en-US"/>
    </w:rPr>
  </w:style>
  <w:style w:type="character" w:styleId="SubtleReference">
    <w:name w:val="Subtle Reference"/>
    <w:uiPriority w:val="99"/>
    <w:semiHidden/>
    <w:qFormat/>
    <w:rsid w:val="001B4C2E"/>
    <w:rPr>
      <w:smallCaps/>
    </w:rPr>
  </w:style>
  <w:style w:type="table" w:styleId="TableGrid">
    <w:name w:val="Table Grid"/>
    <w:basedOn w:val="TableNormal"/>
    <w:uiPriority w:val="59"/>
    <w:semiHidden/>
    <w:rsid w:val="00941747"/>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EA185E"/>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EA185E"/>
    <w:pPr>
      <w:spacing w:after="60"/>
      <w:ind w:left="680" w:right="340" w:hanging="340"/>
    </w:pPr>
  </w:style>
  <w:style w:type="paragraph" w:styleId="TOC3">
    <w:name w:val="toc 3"/>
    <w:basedOn w:val="Normal"/>
    <w:next w:val="Normal"/>
    <w:autoRedefine/>
    <w:uiPriority w:val="99"/>
    <w:semiHidden/>
    <w:rsid w:val="00EA185E"/>
    <w:pPr>
      <w:spacing w:after="60"/>
      <w:ind w:left="1020" w:right="340" w:hanging="340"/>
    </w:pPr>
  </w:style>
  <w:style w:type="paragraph" w:styleId="TOC4">
    <w:name w:val="toc 4"/>
    <w:basedOn w:val="Normal"/>
    <w:next w:val="Normal"/>
    <w:autoRedefine/>
    <w:uiPriority w:val="99"/>
    <w:semiHidden/>
    <w:rsid w:val="00EA185E"/>
    <w:pPr>
      <w:tabs>
        <w:tab w:val="right" w:leader="dot" w:pos="9017"/>
      </w:tabs>
      <w:spacing w:after="60"/>
      <w:ind w:left="1361" w:right="340" w:hanging="340"/>
    </w:pPr>
  </w:style>
  <w:style w:type="paragraph" w:styleId="TOC5">
    <w:name w:val="toc 5"/>
    <w:basedOn w:val="Normal"/>
    <w:next w:val="Normal"/>
    <w:autoRedefine/>
    <w:uiPriority w:val="99"/>
    <w:semiHidden/>
    <w:rsid w:val="00B46543"/>
    <w:pPr>
      <w:spacing w:after="60"/>
      <w:ind w:left="1701" w:right="340" w:hanging="340"/>
    </w:pPr>
  </w:style>
  <w:style w:type="paragraph" w:styleId="TOCHeading">
    <w:name w:val="TOC Heading"/>
    <w:basedOn w:val="Heading1"/>
    <w:next w:val="Normal"/>
    <w:uiPriority w:val="99"/>
    <w:semiHidden/>
    <w:qFormat/>
    <w:rsid w:val="001B4C2E"/>
    <w:pPr>
      <w:numPr>
        <w:numId w:val="0"/>
      </w:numPr>
      <w:jc w:val="both"/>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120" w:beforeLines="0" w:beforeAutospacing="0" w:after="12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0" w:leftChars="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C333A0"/>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1B4C2E"/>
    <w:pPr>
      <w:spacing w:before="120" w:after="120"/>
      <w:ind w:left="425" w:firstLine="142"/>
    </w:pPr>
    <w:rPr>
      <w:sz w:val="20"/>
    </w:rPr>
  </w:style>
  <w:style w:type="paragraph" w:customStyle="1" w:styleId="ECHRPara">
    <w:name w:val="ECHR_Para"/>
    <w:aliases w:val="First line:  0 cm,Ju_Para,Left"/>
    <w:basedOn w:val="Normal"/>
    <w:link w:val="JuParaCar"/>
    <w:uiPriority w:val="12"/>
    <w:qFormat/>
    <w:rsid w:val="001B4C2E"/>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20BAA"/>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1B4C2E"/>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1B4C2E"/>
    <w:pPr>
      <w:ind w:left="340" w:hanging="340"/>
    </w:pPr>
  </w:style>
  <w:style w:type="paragraph" w:customStyle="1" w:styleId="JuSigned">
    <w:name w:val="Ju_Signed"/>
    <w:basedOn w:val="Normal"/>
    <w:next w:val="JuParaLast"/>
    <w:uiPriority w:val="32"/>
    <w:qFormat/>
    <w:rsid w:val="001B4C2E"/>
    <w:pPr>
      <w:tabs>
        <w:tab w:val="center" w:pos="851"/>
        <w:tab w:val="center" w:pos="6407"/>
      </w:tabs>
      <w:spacing w:before="720"/>
      <w:jc w:val="left"/>
    </w:pPr>
  </w:style>
  <w:style w:type="paragraph" w:customStyle="1" w:styleId="JuParaLast">
    <w:name w:val="Ju_Para_Last"/>
    <w:basedOn w:val="Normal"/>
    <w:next w:val="ECHRPara"/>
    <w:uiPriority w:val="30"/>
    <w:qFormat/>
    <w:rsid w:val="001B4C2E"/>
    <w:pPr>
      <w:keepNext/>
      <w:keepLines/>
      <w:spacing w:before="240"/>
      <w:ind w:firstLine="284"/>
    </w:pPr>
  </w:style>
  <w:style w:type="paragraph" w:customStyle="1" w:styleId="JuCourt">
    <w:name w:val="Ju_Court"/>
    <w:basedOn w:val="Normal"/>
    <w:next w:val="Normal"/>
    <w:uiPriority w:val="16"/>
    <w:qFormat/>
    <w:rsid w:val="001B4C2E"/>
    <w:pPr>
      <w:tabs>
        <w:tab w:val="left" w:pos="907"/>
        <w:tab w:val="left" w:pos="1701"/>
        <w:tab w:val="right" w:pos="7371"/>
      </w:tabs>
      <w:spacing w:before="240"/>
      <w:ind w:left="397" w:hanging="397"/>
      <w:jc w:val="left"/>
    </w:pPr>
    <w:rPr>
      <w:lang w:bidi="en-US"/>
    </w:rPr>
  </w:style>
  <w:style w:type="character" w:styleId="PageNumber">
    <w:name w:val="page number"/>
    <w:semiHidden/>
    <w:rsid w:val="00014566"/>
    <w:rPr>
      <w:sz w:val="18"/>
    </w:rPr>
  </w:style>
  <w:style w:type="paragraph" w:customStyle="1" w:styleId="JuLista">
    <w:name w:val="Ju_List_a"/>
    <w:basedOn w:val="JuList"/>
    <w:uiPriority w:val="28"/>
    <w:qFormat/>
    <w:rsid w:val="001B4C2E"/>
    <w:pPr>
      <w:ind w:left="346" w:firstLine="0"/>
    </w:pPr>
  </w:style>
  <w:style w:type="paragraph" w:customStyle="1" w:styleId="JuListi">
    <w:name w:val="Ju_List_i"/>
    <w:basedOn w:val="Normal"/>
    <w:next w:val="JuLista"/>
    <w:uiPriority w:val="28"/>
    <w:qFormat/>
    <w:rsid w:val="001B4C2E"/>
    <w:pPr>
      <w:ind w:left="794"/>
    </w:p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uiPriority w:val="99"/>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hAnsi="Tahoma" w:eastAsiaTheme="minorEastAsia" w:cs="Tahoma"/>
      <w:sz w:val="20"/>
      <w:shd w:val="clear" w:color="auto" w:fill="000080"/>
    </w:rPr>
  </w:style>
  <w:style w:type="character" w:customStyle="1" w:styleId="JuNames0">
    <w:name w:val="Ju_Names"/>
    <w:rsid w:val="00014566"/>
    <w:rPr>
      <w:smallCaps/>
    </w:rPr>
  </w:style>
  <w:style w:type="paragraph" w:styleId="ListBullet">
    <w:name w:val="List Bullet"/>
    <w:basedOn w:val="Normal"/>
    <w:uiPriority w:val="99"/>
    <w:semiHidden/>
    <w:rsid w:val="00014566"/>
    <w:pPr>
      <w:numPr>
        <w:numId w:val="8"/>
      </w:numPr>
    </w:pPr>
  </w:style>
  <w:style w:type="character" w:customStyle="1" w:styleId="JuITMark">
    <w:name w:val="Ju_ITMark"/>
    <w:basedOn w:val="DefaultParagraphFont"/>
    <w:uiPriority w:val="38"/>
    <w:qFormat/>
    <w:rsid w:val="001B4C2E"/>
    <w:rPr>
      <w:vanish w:val="0"/>
      <w:color w:val="auto"/>
      <w:sz w:val="14"/>
    </w:rPr>
  </w:style>
  <w:style w:type="paragraph" w:styleId="Subtitle">
    <w:name w:val="Subtitle"/>
    <w:basedOn w:val="Normal"/>
    <w:next w:val="Normal"/>
    <w:link w:val="SubtitleChar"/>
    <w:uiPriority w:val="99"/>
    <w:semiHidden/>
    <w:qFormat/>
    <w:rsid w:val="001B4C2E"/>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1B4C2E"/>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9"/>
      </w:numPr>
    </w:pPr>
  </w:style>
  <w:style w:type="numbering" w:styleId="1ai">
    <w:name w:val="Outline List 1"/>
    <w:basedOn w:val="NoList"/>
    <w:uiPriority w:val="99"/>
    <w:semiHidden/>
    <w:rsid w:val="00014566"/>
    <w:pPr>
      <w:numPr>
        <w:numId w:val="10"/>
      </w:numPr>
    </w:pPr>
  </w:style>
  <w:style w:type="numbering" w:styleId="ArticleSection">
    <w:name w:val="Outline List 3"/>
    <w:basedOn w:val="NoList"/>
    <w:uiPriority w:val="99"/>
    <w:semiHidden/>
    <w:rsid w:val="00014566"/>
    <w:pPr>
      <w:numPr>
        <w:numId w:val="11"/>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hAnsi="Consolas" w:eastAsiaTheme="minorEastAsia"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12"/>
      </w:numPr>
      <w:contextualSpacing/>
    </w:pPr>
  </w:style>
  <w:style w:type="paragraph" w:styleId="ListBullet3">
    <w:name w:val="List Bullet 3"/>
    <w:basedOn w:val="Normal"/>
    <w:uiPriority w:val="99"/>
    <w:semiHidden/>
    <w:rsid w:val="00014566"/>
    <w:pPr>
      <w:numPr>
        <w:numId w:val="13"/>
      </w:numPr>
      <w:contextualSpacing/>
    </w:pPr>
  </w:style>
  <w:style w:type="paragraph" w:styleId="ListBullet4">
    <w:name w:val="List Bullet 4"/>
    <w:basedOn w:val="Normal"/>
    <w:uiPriority w:val="99"/>
    <w:semiHidden/>
    <w:rsid w:val="00014566"/>
    <w:pPr>
      <w:numPr>
        <w:numId w:val="14"/>
      </w:numPr>
      <w:contextualSpacing/>
    </w:pPr>
  </w:style>
  <w:style w:type="paragraph" w:styleId="ListBullet5">
    <w:name w:val="List Bullet 5"/>
    <w:basedOn w:val="Normal"/>
    <w:uiPriority w:val="99"/>
    <w:semiHidden/>
    <w:rsid w:val="00014566"/>
    <w:pPr>
      <w:numPr>
        <w:numId w:val="15"/>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16"/>
      </w:numPr>
      <w:contextualSpacing/>
    </w:pPr>
  </w:style>
  <w:style w:type="paragraph" w:styleId="ListNumber2">
    <w:name w:val="List Number 2"/>
    <w:basedOn w:val="Normal"/>
    <w:uiPriority w:val="99"/>
    <w:semiHidden/>
    <w:rsid w:val="00014566"/>
    <w:pPr>
      <w:numPr>
        <w:numId w:val="17"/>
      </w:numPr>
      <w:contextualSpacing/>
    </w:pPr>
  </w:style>
  <w:style w:type="paragraph" w:styleId="ListNumber3">
    <w:name w:val="List Number 3"/>
    <w:basedOn w:val="Normal"/>
    <w:uiPriority w:val="99"/>
    <w:semiHidden/>
    <w:rsid w:val="00014566"/>
    <w:pPr>
      <w:numPr>
        <w:numId w:val="18"/>
      </w:numPr>
      <w:contextualSpacing/>
    </w:pPr>
  </w:style>
  <w:style w:type="paragraph" w:styleId="ListNumber4">
    <w:name w:val="List Number 4"/>
    <w:basedOn w:val="Normal"/>
    <w:uiPriority w:val="99"/>
    <w:semiHidden/>
    <w:rsid w:val="00014566"/>
    <w:pPr>
      <w:numPr>
        <w:numId w:val="19"/>
      </w:numPr>
      <w:contextualSpacing/>
    </w:pPr>
  </w:style>
  <w:style w:type="paragraph" w:styleId="ListNumber5">
    <w:name w:val="List Number 5"/>
    <w:basedOn w:val="Normal"/>
    <w:uiPriority w:val="99"/>
    <w:semiHidden/>
    <w:rsid w:val="00014566"/>
    <w:pPr>
      <w:numPr>
        <w:numId w:val="20"/>
      </w:numPr>
      <w:contextualSpacing/>
    </w:pPr>
  </w:style>
  <w:style w:type="paragraph" w:styleId="Macro">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MacroTextChar">
    <w:name w:val="Macro Text Char"/>
    <w:basedOn w:val="DefaultParagraphFont"/>
    <w:link w:val="Macro"/>
    <w:uiPriority w:val="99"/>
    <w:semiHidden/>
    <w:rsid w:val="00014566"/>
    <w:rPr>
      <w:rFonts w:ascii="Consolas" w:hAnsi="Consolas" w:cs="Consolas"/>
      <w:sz w:val="20"/>
      <w:szCs w:val="20"/>
      <w:lang w:val="en-GB" w:eastAsia="fr-FR"/>
    </w:rPr>
  </w:style>
  <w:style w:type="table" w:styleId="MediumGrid1">
    <w:name w:val="Medium Grid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hAnsi="Consolas" w:eastAsiaTheme="minorEastAsia"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JuParaCar">
    <w:name w:val="Ju_Para Car"/>
    <w:link w:val="ECHRPara"/>
    <w:uiPriority w:val="12"/>
    <w:rsid w:val="00946345"/>
    <w:rPr>
      <w:rFonts w:eastAsiaTheme="minorEastAsia"/>
      <w:sz w:val="24"/>
    </w:rPr>
  </w:style>
  <w:style w:type="character" w:customStyle="1" w:styleId="JuParaChar">
    <w:name w:val="Ju_Para Char"/>
    <w:aliases w:val="ECHR_Para Char"/>
    <w:uiPriority w:val="12"/>
    <w:rsid w:val="008F109B"/>
    <w:rPr>
      <w:rFonts w:eastAsiaTheme="minorEastAsia"/>
      <w:sz w:val="24"/>
      <w:lang w:val="en-US" w:eastAsia="en-US"/>
    </w:rPr>
  </w:style>
  <w:style w:type="paragraph" w:styleId="Revision">
    <w:name w:val="Revision"/>
    <w:hidden/>
    <w:uiPriority w:val="99"/>
    <w:semiHidden/>
    <w:rsid w:val="002C00A8"/>
    <w:rPr>
      <w:rFonts w:eastAsiaTheme="minorEastAsia"/>
      <w:sz w:val="24"/>
    </w:rPr>
  </w:style>
  <w:style w:type="paragraph" w:customStyle="1" w:styleId="Kopflinks">
    <w:name w:val="Kopf_links"/>
    <w:basedOn w:val="Normal"/>
    <w:rsid w:val="00A8515B"/>
    <w:pPr>
      <w:tabs>
        <w:tab w:val="center" w:pos="3686"/>
        <w:tab w:val="right" w:pos="7371"/>
      </w:tabs>
      <w:suppressAutoHyphens/>
      <w:jc w:val="left"/>
    </w:pPr>
    <w:rPr>
      <w:rFonts w:ascii="Times New Roman" w:eastAsia="Times New Roman" w:hAnsi="Times New Roman" w:cs="Times New Roman"/>
      <w:caps/>
      <w:sz w:val="18"/>
      <w:szCs w:val="20"/>
      <w:lang w:val="fr-FR"/>
    </w:rPr>
  </w:style>
  <w:style w:type="character" w:customStyle="1" w:styleId="tw4winMark">
    <w:name w:val="tw4winMark"/>
    <w:uiPriority w:val="99"/>
    <w:rsid w:val="00641406"/>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hyperlink" Target="http://www.domstol.se/Courts-Administration" TargetMode="External" /></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215B5-B926-445C-A2FF-703E334C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9B8880-D856-4E0B-BC42-A89F4CC500CE}">
  <ds:schemaRefs>
    <ds:schemaRef ds:uri="http://schemas.microsoft.com/sharepoint/v3/contenttype/forms"/>
  </ds:schemaRefs>
</ds:datastoreItem>
</file>

<file path=customXml/itemProps3.xml><?xml version="1.0" encoding="utf-8"?>
<ds:datastoreItem xmlns:ds="http://schemas.openxmlformats.org/officeDocument/2006/customXml" ds:itemID="{65D3CD2E-AA65-4E16-96BB-4F5C603C1E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CF0016-A96C-44E3-AB2D-AA58C27C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15533</Words>
  <Characters>77048</Characters>
  <Application>Microsoft Office Word</Application>
  <DocSecurity>0</DocSecurity>
  <Lines>1674</Lines>
  <Paragraphs>585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ECHR</vt:lpstr>
      <vt:lpstr>ECHR</vt:lpstr>
    </vt:vector>
  </TitlesOfParts>
  <Company/>
  <LinksUpToDate>false</LinksUpToDate>
  <CharactersWithSpaces>91996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cp:revision>1</cp:revision>
  <dcterms:created xsi:type="dcterms:W3CDTF">2016-08-16T09:36:00Z</dcterms:created>
  <dcterms:modified xsi:type="dcterms:W3CDTF">2016-08-16T09:36:00Z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