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170" w:rsidP="00EC5260" w:rsidRDefault="00944170">
      <w:pPr>
        <w:jc w:val="center"/>
      </w:pPr>
    </w:p>
    <w:p w:rsidR="00944170" w:rsidP="00EC5260" w:rsidRDefault="00944170">
      <w:pPr>
        <w:jc w:val="center"/>
      </w:pPr>
    </w:p>
    <w:p w:rsidR="00944170" w:rsidP="00EC5260" w:rsidRDefault="00944170">
      <w:pPr>
        <w:jc w:val="center"/>
      </w:pPr>
    </w:p>
    <w:p w:rsidR="00944170" w:rsidP="00EC5260" w:rsidRDefault="00C1757B">
      <w:pPr>
        <w:jc w:val="center"/>
      </w:pPr>
      <w:r>
        <w:t>GRAND CHAMBER</w:t>
      </w:r>
    </w:p>
    <w:p w:rsidR="00944170" w:rsidP="00EC5260" w:rsidRDefault="00944170">
      <w:pPr>
        <w:jc w:val="center"/>
      </w:pPr>
    </w:p>
    <w:p w:rsidR="00944170" w:rsidP="00EC5260" w:rsidRDefault="00944170">
      <w:pPr>
        <w:jc w:val="center"/>
      </w:pPr>
    </w:p>
    <w:p w:rsidR="00944170" w:rsidP="00EC5260" w:rsidRDefault="00944170">
      <w:pPr>
        <w:jc w:val="center"/>
      </w:pPr>
      <w:bookmarkStart w:name="_GoBack" w:id="0"/>
      <w:bookmarkEnd w:id="0"/>
    </w:p>
    <w:p w:rsidR="00944170" w:rsidP="00EC5260" w:rsidRDefault="00944170">
      <w:pPr>
        <w:jc w:val="center"/>
      </w:pPr>
    </w:p>
    <w:p w:rsidRPr="00DC1F02" w:rsidR="00EC5260" w:rsidP="00EC5260" w:rsidRDefault="00EC5260">
      <w:pPr>
        <w:jc w:val="center"/>
      </w:pPr>
    </w:p>
    <w:p w:rsidRPr="00DC1F02" w:rsidR="00EC5260" w:rsidP="00EC5260" w:rsidRDefault="00EC5260">
      <w:pPr>
        <w:jc w:val="center"/>
        <w:rPr>
          <w:b/>
        </w:rPr>
      </w:pPr>
      <w:bookmarkStart w:name="To" w:id="1"/>
      <w:r w:rsidRPr="00DC1F02">
        <w:rPr>
          <w:b/>
        </w:rPr>
        <w:t xml:space="preserve">CASE OF </w:t>
      </w:r>
      <w:bookmarkEnd w:id="1"/>
      <w:r w:rsidR="00171496">
        <w:rPr>
          <w:b/>
        </w:rPr>
        <w:t>ANHEUSER-BUSCH INC. v</w:t>
      </w:r>
      <w:r w:rsidRPr="00DC1F02">
        <w:rPr>
          <w:b/>
        </w:rPr>
        <w:t xml:space="preserve">. </w:t>
      </w:r>
      <w:smartTag w:uri="urn:schemas-microsoft-com:office:smarttags" w:element="place">
        <w:smartTag w:uri="urn:schemas-microsoft-com:office:smarttags" w:element="country-region">
          <w:r w:rsidRPr="00DC1F02">
            <w:rPr>
              <w:b/>
            </w:rPr>
            <w:t>PORTUGAL</w:t>
          </w:r>
        </w:smartTag>
      </w:smartTag>
    </w:p>
    <w:p w:rsidRPr="00DC1F02" w:rsidR="00EC5260" w:rsidP="00EC5260" w:rsidRDefault="00EC5260">
      <w:pPr>
        <w:jc w:val="center"/>
      </w:pPr>
    </w:p>
    <w:p w:rsidR="00944170" w:rsidP="00944170" w:rsidRDefault="00EC5260">
      <w:pPr>
        <w:jc w:val="center"/>
        <w:rPr>
          <w:i/>
        </w:rPr>
      </w:pPr>
      <w:r w:rsidRPr="00DC1F02">
        <w:rPr>
          <w:i/>
        </w:rPr>
        <w:t>(Application no. 73049/01)</w:t>
      </w:r>
    </w:p>
    <w:p w:rsidR="00944170" w:rsidP="00944170" w:rsidRDefault="00944170">
      <w:pPr>
        <w:jc w:val="center"/>
        <w:rPr>
          <w:i/>
        </w:rPr>
      </w:pPr>
    </w:p>
    <w:p w:rsidR="00944170" w:rsidP="00944170" w:rsidRDefault="00944170">
      <w:pPr>
        <w:jc w:val="center"/>
        <w:rPr>
          <w:i/>
        </w:rPr>
      </w:pPr>
    </w:p>
    <w:p w:rsidR="00944170" w:rsidP="00944170" w:rsidRDefault="00944170">
      <w:pPr>
        <w:jc w:val="center"/>
        <w:rPr>
          <w:i/>
        </w:rPr>
      </w:pPr>
    </w:p>
    <w:p w:rsidR="00944170" w:rsidP="00944170" w:rsidRDefault="00944170">
      <w:pPr>
        <w:jc w:val="center"/>
        <w:rPr>
          <w:i/>
        </w:rPr>
      </w:pPr>
    </w:p>
    <w:p w:rsidR="00944170" w:rsidP="00944170" w:rsidRDefault="00944170">
      <w:pPr>
        <w:jc w:val="center"/>
        <w:rPr>
          <w:i/>
        </w:rPr>
      </w:pPr>
    </w:p>
    <w:p w:rsidR="00944170" w:rsidP="00944170" w:rsidRDefault="00944170">
      <w:pPr>
        <w:jc w:val="center"/>
        <w:rPr>
          <w:i/>
        </w:rPr>
      </w:pPr>
    </w:p>
    <w:p w:rsidR="00944170" w:rsidP="00944170" w:rsidRDefault="00944170">
      <w:pPr>
        <w:jc w:val="center"/>
        <w:rPr>
          <w:i/>
        </w:rPr>
      </w:pPr>
    </w:p>
    <w:p w:rsidR="00944170" w:rsidP="00944170" w:rsidRDefault="00944170">
      <w:pPr>
        <w:jc w:val="center"/>
        <w:rPr>
          <w:i/>
        </w:rPr>
      </w:pPr>
    </w:p>
    <w:p w:rsidR="00944170" w:rsidP="00944170" w:rsidRDefault="00944170">
      <w:pPr>
        <w:jc w:val="center"/>
        <w:rPr>
          <w:i/>
        </w:rPr>
      </w:pPr>
    </w:p>
    <w:p w:rsidR="00944170" w:rsidP="00944170" w:rsidRDefault="00944170">
      <w:pPr>
        <w:jc w:val="center"/>
        <w:rPr>
          <w:i/>
        </w:rPr>
      </w:pPr>
    </w:p>
    <w:p w:rsidR="00944170" w:rsidP="00944170" w:rsidRDefault="00944170">
      <w:pPr>
        <w:jc w:val="center"/>
      </w:pPr>
      <w:r>
        <w:t>JUDGMENT</w:t>
      </w:r>
    </w:p>
    <w:p w:rsidR="00944170" w:rsidP="00944170" w:rsidRDefault="00944170">
      <w:pPr>
        <w:jc w:val="center"/>
      </w:pPr>
    </w:p>
    <w:p w:rsidR="00944170" w:rsidP="00944170" w:rsidRDefault="00944170">
      <w:pPr>
        <w:jc w:val="center"/>
      </w:pPr>
    </w:p>
    <w:p w:rsidR="00944170" w:rsidP="00944170" w:rsidRDefault="00944170">
      <w:pPr>
        <w:jc w:val="center"/>
      </w:pPr>
    </w:p>
    <w:p w:rsidR="00944170" w:rsidP="00944170" w:rsidRDefault="00944170">
      <w:pPr>
        <w:jc w:val="center"/>
      </w:pPr>
      <w:smartTag w:uri="urn:schemas-microsoft-com:office:smarttags" w:element="place">
        <w:smartTag w:uri="urn:schemas-microsoft-com:office:smarttags" w:element="City">
          <w:r>
            <w:t>STRASBOURG</w:t>
          </w:r>
        </w:smartTag>
      </w:smartTag>
    </w:p>
    <w:p w:rsidR="00944170" w:rsidP="00944170" w:rsidRDefault="00944170">
      <w:pPr>
        <w:jc w:val="center"/>
      </w:pPr>
    </w:p>
    <w:p w:rsidR="00944170" w:rsidP="00944170" w:rsidRDefault="00AE7E4B">
      <w:pPr>
        <w:jc w:val="center"/>
      </w:pPr>
      <w:r>
        <w:t>11 January 2007</w:t>
      </w:r>
    </w:p>
    <w:p w:rsidR="00944170" w:rsidP="00944170" w:rsidRDefault="00944170">
      <w:pPr>
        <w:jc w:val="center"/>
      </w:pPr>
    </w:p>
    <w:p w:rsidR="00944170" w:rsidP="00944170" w:rsidRDefault="00944170">
      <w:pPr>
        <w:jc w:val="center"/>
      </w:pPr>
    </w:p>
    <w:p w:rsidR="00033BB0" w:rsidRDefault="00033BB0">
      <w:pPr>
        <w:pStyle w:val="JuCase"/>
        <w:sectPr w:rsidR="00033BB0" w:rsidSect="00033BB0">
          <w:headerReference w:type="even" r:id="rId7"/>
          <w:headerReference w:type="first" r:id="rId8"/>
          <w:footnotePr>
            <w:numRestart w:val="eachPage"/>
          </w:footnotePr>
          <w:type w:val="evenPage"/>
          <w:pgSz w:w="11906" w:h="16838" w:code="9"/>
          <w:pgMar w:top="2274" w:right="2274" w:bottom="2274" w:left="2274" w:header="1701" w:footer="720" w:gutter="0"/>
          <w:cols w:space="720"/>
          <w:titlePg/>
          <w:docGrid w:linePitch="326"/>
        </w:sectPr>
      </w:pPr>
    </w:p>
    <w:p w:rsidRPr="00DC1F02" w:rsidR="00CD49A7" w:rsidRDefault="00944170">
      <w:pPr>
        <w:pStyle w:val="JuCase"/>
      </w:pPr>
      <w:r>
        <w:t xml:space="preserve">In </w:t>
      </w:r>
      <w:r w:rsidRPr="00DC1F02" w:rsidR="00CD49A7">
        <w:t xml:space="preserve">the case of </w:t>
      </w:r>
      <w:r w:rsidRPr="00DC1F02" w:rsidR="00E57E8B">
        <w:t xml:space="preserve">Anheuser-Busch Inc. v. </w:t>
      </w:r>
      <w:smartTag w:uri="urn:schemas-microsoft-com:office:smarttags" w:element="place">
        <w:smartTag w:uri="urn:schemas-microsoft-com:office:smarttags" w:element="country-region">
          <w:r w:rsidR="00E57E8B" w:rsidRPr="00DC1F02">
            <w:t>Portugal</w:t>
          </w:r>
        </w:smartTag>
      </w:smartTag>
      <w:r w:rsidRPr="00DC1F02" w:rsidR="00CD49A7">
        <w:t>,</w:t>
      </w:r>
    </w:p>
    <w:p w:rsidRPr="00DC1F02" w:rsidR="005803E1" w:rsidP="005803E1" w:rsidRDefault="00CD49A7">
      <w:pPr>
        <w:pStyle w:val="JuPara"/>
      </w:pPr>
      <w:r w:rsidRPr="00DC1F02">
        <w:t>Th</w:t>
      </w:r>
      <w:r w:rsidRPr="00DC1F02" w:rsidR="00D931F1">
        <w:t>e European Court of Human Rights</w:t>
      </w:r>
      <w:r w:rsidRPr="00DC1F02">
        <w:t xml:space="preserve">, sitting as a </w:t>
      </w:r>
      <w:r w:rsidRPr="00DC1F02" w:rsidR="00D931F1">
        <w:t xml:space="preserve">Grand </w:t>
      </w:r>
      <w:r w:rsidRPr="00DC1F02" w:rsidR="00E57E8B">
        <w:t>Chamber</w:t>
      </w:r>
      <w:r w:rsidRPr="00DC1F02">
        <w:t xml:space="preserve"> </w:t>
      </w:r>
      <w:r w:rsidRPr="00DC1F02" w:rsidR="005803E1">
        <w:t>composed of:</w:t>
      </w:r>
    </w:p>
    <w:p w:rsidRPr="00352BD6" w:rsidR="00CD49A7" w:rsidP="005803E1" w:rsidRDefault="00352BD6">
      <w:pPr>
        <w:pStyle w:val="JuJudges"/>
      </w:pPr>
      <w:r w:rsidRPr="00352BD6">
        <w:tab/>
      </w:r>
      <w:proofErr w:type="spellStart"/>
      <w:r w:rsidRPr="00352BD6">
        <w:t>Luzius</w:t>
      </w:r>
      <w:proofErr w:type="spellEnd"/>
      <w:r>
        <w:t xml:space="preserve"> </w:t>
      </w:r>
      <w:proofErr w:type="spellStart"/>
      <w:r w:rsidRPr="00352BD6">
        <w:t>Wildhaber</w:t>
      </w:r>
      <w:proofErr w:type="spellEnd"/>
      <w:r>
        <w:t>,</w:t>
      </w:r>
      <w:r w:rsidRPr="00352BD6">
        <w:rPr>
          <w:i/>
        </w:rPr>
        <w:t xml:space="preserve"> President</w:t>
      </w:r>
      <w:r w:rsidRPr="005D4B19">
        <w:t>,</w:t>
      </w:r>
      <w:r>
        <w:rPr>
          <w:i/>
        </w:rPr>
        <w:br/>
      </w:r>
      <w:r w:rsidRPr="00352BD6">
        <w:tab/>
        <w:t>Christos</w:t>
      </w:r>
      <w:r>
        <w:t xml:space="preserve"> </w:t>
      </w:r>
      <w:proofErr w:type="spellStart"/>
      <w:r w:rsidRPr="00352BD6">
        <w:t>Rozakis</w:t>
      </w:r>
      <w:proofErr w:type="spellEnd"/>
      <w:r>
        <w:t>,</w:t>
      </w:r>
      <w:r>
        <w:rPr>
          <w:i/>
        </w:rPr>
        <w:br/>
      </w:r>
      <w:r w:rsidRPr="00352BD6">
        <w:tab/>
        <w:t>Nicolas</w:t>
      </w:r>
      <w:r>
        <w:t xml:space="preserve"> </w:t>
      </w:r>
      <w:proofErr w:type="spellStart"/>
      <w:r w:rsidRPr="00352BD6">
        <w:t>Bratza</w:t>
      </w:r>
      <w:proofErr w:type="spellEnd"/>
      <w:r>
        <w:t>,</w:t>
      </w:r>
      <w:r w:rsidR="005D4B19">
        <w:br/>
      </w:r>
      <w:r w:rsidRPr="00352BD6">
        <w:tab/>
        <w:t>Peer</w:t>
      </w:r>
      <w:r>
        <w:t xml:space="preserve"> </w:t>
      </w:r>
      <w:proofErr w:type="spellStart"/>
      <w:r w:rsidRPr="00352BD6">
        <w:t>Lorenzen</w:t>
      </w:r>
      <w:proofErr w:type="spellEnd"/>
      <w:r>
        <w:t>,</w:t>
      </w:r>
      <w:r w:rsidR="005D4B19">
        <w:br/>
      </w:r>
      <w:r w:rsidR="005D4B19">
        <w:tab/>
        <w:t xml:space="preserve">Giovanni </w:t>
      </w:r>
      <w:proofErr w:type="spellStart"/>
      <w:r w:rsidR="005D4B19">
        <w:t>Bonello</w:t>
      </w:r>
      <w:proofErr w:type="spellEnd"/>
      <w:r w:rsidR="005D4B19">
        <w:t>,</w:t>
      </w:r>
      <w:r>
        <w:rPr>
          <w:i/>
        </w:rPr>
        <w:br/>
      </w:r>
      <w:r w:rsidRPr="00352BD6">
        <w:tab/>
      </w:r>
      <w:proofErr w:type="spellStart"/>
      <w:r w:rsidRPr="00352BD6">
        <w:t>Lucius</w:t>
      </w:r>
      <w:proofErr w:type="spellEnd"/>
      <w:r>
        <w:t xml:space="preserve"> </w:t>
      </w:r>
      <w:proofErr w:type="spellStart"/>
      <w:r w:rsidRPr="00352BD6">
        <w:t>Caflisch</w:t>
      </w:r>
      <w:proofErr w:type="spellEnd"/>
      <w:r>
        <w:t>,</w:t>
      </w:r>
      <w:r>
        <w:rPr>
          <w:i/>
        </w:rPr>
        <w:br/>
      </w:r>
      <w:r w:rsidRPr="00352BD6">
        <w:tab/>
      </w:r>
      <w:proofErr w:type="spellStart"/>
      <w:r w:rsidRPr="00352BD6">
        <w:t>Loukis</w:t>
      </w:r>
      <w:proofErr w:type="spellEnd"/>
      <w:r>
        <w:t xml:space="preserve"> </w:t>
      </w:r>
      <w:proofErr w:type="spellStart"/>
      <w:r w:rsidRPr="00352BD6">
        <w:t>Loucaides</w:t>
      </w:r>
      <w:proofErr w:type="spellEnd"/>
      <w:r>
        <w:t>,</w:t>
      </w:r>
      <w:r>
        <w:rPr>
          <w:i/>
        </w:rPr>
        <w:br/>
      </w:r>
      <w:r w:rsidRPr="00352BD6">
        <w:tab/>
      </w:r>
      <w:proofErr w:type="spellStart"/>
      <w:r w:rsidRPr="00352BD6">
        <w:t>Ireneu</w:t>
      </w:r>
      <w:proofErr w:type="spellEnd"/>
      <w:r>
        <w:t xml:space="preserve"> </w:t>
      </w:r>
      <w:r w:rsidRPr="00352BD6">
        <w:t xml:space="preserve">Cabral </w:t>
      </w:r>
      <w:proofErr w:type="spellStart"/>
      <w:r w:rsidRPr="00352BD6">
        <w:t>Barreto</w:t>
      </w:r>
      <w:proofErr w:type="spellEnd"/>
      <w:r>
        <w:t>,</w:t>
      </w:r>
      <w:r>
        <w:rPr>
          <w:i/>
        </w:rPr>
        <w:br/>
      </w:r>
      <w:r w:rsidRPr="00352BD6">
        <w:tab/>
      </w:r>
      <w:proofErr w:type="spellStart"/>
      <w:r w:rsidRPr="00352BD6">
        <w:t>Corneliu</w:t>
      </w:r>
      <w:proofErr w:type="spellEnd"/>
      <w:r>
        <w:t xml:space="preserve"> </w:t>
      </w:r>
      <w:proofErr w:type="spellStart"/>
      <w:r w:rsidRPr="00352BD6">
        <w:t>Bîrsan</w:t>
      </w:r>
      <w:proofErr w:type="spellEnd"/>
      <w:r>
        <w:t>,</w:t>
      </w:r>
      <w:r>
        <w:rPr>
          <w:i/>
        </w:rPr>
        <w:br/>
      </w:r>
      <w:r w:rsidRPr="00352BD6">
        <w:tab/>
      </w:r>
      <w:proofErr w:type="spellStart"/>
      <w:r w:rsidRPr="00352BD6">
        <w:t>Josep</w:t>
      </w:r>
      <w:proofErr w:type="spellEnd"/>
      <w:r>
        <w:t xml:space="preserve"> </w:t>
      </w:r>
      <w:proofErr w:type="spellStart"/>
      <w:r w:rsidRPr="00352BD6">
        <w:t>Casadevall</w:t>
      </w:r>
      <w:proofErr w:type="spellEnd"/>
      <w:r>
        <w:t>,</w:t>
      </w:r>
      <w:r>
        <w:rPr>
          <w:i/>
        </w:rPr>
        <w:br/>
      </w:r>
      <w:r w:rsidRPr="00352BD6">
        <w:tab/>
      </w:r>
      <w:proofErr w:type="spellStart"/>
      <w:r w:rsidRPr="00352BD6">
        <w:t>Rait</w:t>
      </w:r>
      <w:proofErr w:type="spellEnd"/>
      <w:r>
        <w:t xml:space="preserve"> </w:t>
      </w:r>
      <w:proofErr w:type="spellStart"/>
      <w:r w:rsidRPr="00352BD6">
        <w:t>Maruste</w:t>
      </w:r>
      <w:proofErr w:type="spellEnd"/>
      <w:r>
        <w:t>,</w:t>
      </w:r>
      <w:r>
        <w:rPr>
          <w:i/>
        </w:rPr>
        <w:br/>
      </w:r>
      <w:r w:rsidRPr="00352BD6">
        <w:tab/>
        <w:t>Elisabeth</w:t>
      </w:r>
      <w:r>
        <w:t xml:space="preserve"> </w:t>
      </w:r>
      <w:r w:rsidRPr="00352BD6">
        <w:t>Steiner</w:t>
      </w:r>
      <w:r>
        <w:t>,</w:t>
      </w:r>
      <w:r>
        <w:rPr>
          <w:i/>
        </w:rPr>
        <w:br/>
      </w:r>
      <w:r w:rsidRPr="00352BD6">
        <w:tab/>
      </w:r>
      <w:proofErr w:type="spellStart"/>
      <w:r w:rsidRPr="00352BD6">
        <w:t>Stanislav</w:t>
      </w:r>
      <w:proofErr w:type="spellEnd"/>
      <w:r>
        <w:t xml:space="preserve"> </w:t>
      </w:r>
      <w:proofErr w:type="spellStart"/>
      <w:r w:rsidRPr="00352BD6">
        <w:t>Pavlovschi</w:t>
      </w:r>
      <w:proofErr w:type="spellEnd"/>
      <w:r>
        <w:t>,</w:t>
      </w:r>
      <w:r>
        <w:rPr>
          <w:i/>
        </w:rPr>
        <w:br/>
      </w:r>
      <w:r w:rsidRPr="00352BD6">
        <w:tab/>
        <w:t>Lech</w:t>
      </w:r>
      <w:r>
        <w:t xml:space="preserve"> </w:t>
      </w:r>
      <w:proofErr w:type="spellStart"/>
      <w:r w:rsidRPr="00352BD6">
        <w:t>Garlicki</w:t>
      </w:r>
      <w:proofErr w:type="spellEnd"/>
      <w:r>
        <w:t>,</w:t>
      </w:r>
      <w:r>
        <w:rPr>
          <w:i/>
        </w:rPr>
        <w:br/>
      </w:r>
      <w:r w:rsidRPr="00352BD6">
        <w:tab/>
      </w:r>
      <w:proofErr w:type="spellStart"/>
      <w:r w:rsidRPr="00352BD6">
        <w:t>Khanlar</w:t>
      </w:r>
      <w:proofErr w:type="spellEnd"/>
      <w:r>
        <w:t xml:space="preserve"> </w:t>
      </w:r>
      <w:proofErr w:type="spellStart"/>
      <w:r w:rsidRPr="00352BD6">
        <w:t>Hajiyev</w:t>
      </w:r>
      <w:proofErr w:type="spellEnd"/>
      <w:r>
        <w:t>,</w:t>
      </w:r>
      <w:r>
        <w:rPr>
          <w:i/>
        </w:rPr>
        <w:br/>
      </w:r>
      <w:r w:rsidR="005D4B19">
        <w:tab/>
      </w:r>
      <w:proofErr w:type="spellStart"/>
      <w:r w:rsidR="005D4B19">
        <w:t>Daví</w:t>
      </w:r>
      <w:r w:rsidRPr="00352BD6">
        <w:t>d</w:t>
      </w:r>
      <w:proofErr w:type="spellEnd"/>
      <w:r w:rsidRPr="00352BD6">
        <w:t xml:space="preserve"> </w:t>
      </w:r>
      <w:proofErr w:type="spellStart"/>
      <w:r w:rsidRPr="00352BD6">
        <w:t>Thór</w:t>
      </w:r>
      <w:proofErr w:type="spellEnd"/>
      <w:r>
        <w:t xml:space="preserve"> </w:t>
      </w:r>
      <w:proofErr w:type="spellStart"/>
      <w:r w:rsidRPr="00352BD6">
        <w:t>Björgvinsson</w:t>
      </w:r>
      <w:proofErr w:type="spellEnd"/>
      <w:r>
        <w:t>,</w:t>
      </w:r>
      <w:r>
        <w:rPr>
          <w:i/>
        </w:rPr>
        <w:br/>
      </w:r>
      <w:r w:rsidRPr="00352BD6">
        <w:tab/>
      </w:r>
      <w:proofErr w:type="spellStart"/>
      <w:r w:rsidRPr="00352BD6">
        <w:t>Dragoljub</w:t>
      </w:r>
      <w:proofErr w:type="spellEnd"/>
      <w:r>
        <w:t xml:space="preserve"> </w:t>
      </w:r>
      <w:proofErr w:type="spellStart"/>
      <w:r w:rsidRPr="00352BD6">
        <w:t>Popović</w:t>
      </w:r>
      <w:proofErr w:type="spellEnd"/>
      <w:r>
        <w:t>,</w:t>
      </w:r>
      <w:r w:rsidRPr="00352BD6">
        <w:rPr>
          <w:i/>
        </w:rPr>
        <w:t xml:space="preserve"> judges</w:t>
      </w:r>
      <w:r w:rsidRPr="005D4B19">
        <w:t>,</w:t>
      </w:r>
      <w:r>
        <w:rPr>
          <w:i/>
        </w:rPr>
        <w:br/>
      </w:r>
      <w:r w:rsidRPr="00DC1F02" w:rsidR="00CD49A7">
        <w:t xml:space="preserve">and </w:t>
      </w:r>
      <w:r>
        <w:t xml:space="preserve">Erik </w:t>
      </w:r>
      <w:proofErr w:type="spellStart"/>
      <w:r>
        <w:t>Fribergh</w:t>
      </w:r>
      <w:proofErr w:type="spellEnd"/>
      <w:r w:rsidRPr="00DC1F02" w:rsidR="00CD49A7">
        <w:t xml:space="preserve">, </w:t>
      </w:r>
      <w:r w:rsidRPr="00DC1F02" w:rsidR="00E57E8B">
        <w:rPr>
          <w:i/>
        </w:rPr>
        <w:t>Registrar</w:t>
      </w:r>
      <w:r>
        <w:t>,</w:t>
      </w:r>
    </w:p>
    <w:p w:rsidRPr="00DC1F02" w:rsidR="00CD49A7" w:rsidRDefault="00CD49A7">
      <w:pPr>
        <w:pStyle w:val="JuPara"/>
      </w:pPr>
      <w:r w:rsidRPr="00DC1F02">
        <w:t xml:space="preserve">Having deliberated in private on </w:t>
      </w:r>
      <w:r w:rsidRPr="00DC1F02" w:rsidR="00D931F1">
        <w:t>28</w:t>
      </w:r>
      <w:r w:rsidRPr="00DC1F02" w:rsidR="00642EB9">
        <w:t xml:space="preserve"> J</w:t>
      </w:r>
      <w:r w:rsidRPr="00DC1F02" w:rsidR="00D931F1">
        <w:t>une</w:t>
      </w:r>
      <w:r w:rsidRPr="00DC1F02" w:rsidR="00642EB9">
        <w:t xml:space="preserve"> </w:t>
      </w:r>
      <w:r w:rsidRPr="00DC1F02">
        <w:t xml:space="preserve">and </w:t>
      </w:r>
      <w:r w:rsidR="00AE7E4B">
        <w:t>29 November 2006</w:t>
      </w:r>
      <w:r w:rsidRPr="00DC1F02">
        <w:t>,</w:t>
      </w:r>
    </w:p>
    <w:p w:rsidRPr="00DC1F02" w:rsidR="00CD49A7" w:rsidRDefault="00CD49A7">
      <w:pPr>
        <w:pStyle w:val="JuPara"/>
      </w:pPr>
      <w:r w:rsidRPr="00DC1F02">
        <w:t>Delivers the following judgment</w:t>
      </w:r>
      <w:r w:rsidR="00033BB0">
        <w:t>, which was adopted on the last-</w:t>
      </w:r>
      <w:r w:rsidRPr="00DC1F02">
        <w:t>mentioned date:</w:t>
      </w:r>
    </w:p>
    <w:p w:rsidRPr="00DC1F02" w:rsidR="00CD49A7" w:rsidRDefault="00CD49A7">
      <w:pPr>
        <w:pStyle w:val="JuHHead"/>
      </w:pPr>
      <w:r w:rsidRPr="00DC1F02">
        <w:t>PROCEDURE</w:t>
      </w:r>
    </w:p>
    <w:p w:rsidRPr="00DC1F02" w:rsidR="002B2821" w:rsidP="00085109" w:rsidRDefault="00E57E8B">
      <w:pPr>
        <w:pStyle w:val="JuPara"/>
      </w:pPr>
      <w:r w:rsidRPr="00DC1F02">
        <w:fldChar w:fldCharType="begin"/>
      </w:r>
      <w:r w:rsidRPr="00DC1F02">
        <w:instrText xml:space="preserve"> SEQ level0 \*arabic </w:instrText>
      </w:r>
      <w:r w:rsidRPr="00DC1F02">
        <w:fldChar w:fldCharType="separate"/>
      </w:r>
      <w:r w:rsidR="00CF6F43">
        <w:rPr>
          <w:noProof/>
        </w:rPr>
        <w:t>1</w:t>
      </w:r>
      <w:r w:rsidRPr="00DC1F02">
        <w:fldChar w:fldCharType="end"/>
      </w:r>
      <w:r w:rsidRPr="00DC1F02" w:rsidR="00CD49A7">
        <w:t xml:space="preserve">.  The case originated in </w:t>
      </w:r>
      <w:r w:rsidRPr="00DC1F02">
        <w:t>an application (no. 73049/01)</w:t>
      </w:r>
      <w:r w:rsidRPr="00DC1F02" w:rsidR="00CD49A7">
        <w:t xml:space="preserve"> against </w:t>
      </w:r>
      <w:r w:rsidRPr="00DC1F02">
        <w:t xml:space="preserve">the </w:t>
      </w:r>
      <w:smartTag w:uri="urn:schemas-microsoft-com:office:smarttags" w:element="place">
        <w:smartTag w:uri="urn:schemas-microsoft-com:office:smarttags" w:element="PlaceName">
          <w:r w:rsidRPr="00DC1F02">
            <w:t>Portuguese</w:t>
          </w:r>
        </w:smartTag>
        <w:r w:rsidRPr="00DC1F02">
          <w:t xml:space="preserve"> </w:t>
        </w:r>
        <w:smartTag w:uri="urn:schemas-microsoft-com:office:smarttags" w:element="PlaceType">
          <w:r w:rsidRPr="00DC1F02">
            <w:t>Republic</w:t>
          </w:r>
        </w:smartTag>
      </w:smartTag>
      <w:r w:rsidRPr="00DC1F02" w:rsidR="00CD49A7">
        <w:t xml:space="preserve"> lodged with the </w:t>
      </w:r>
      <w:r w:rsidRPr="00DC1F02">
        <w:t>Court under Article 34</w:t>
      </w:r>
      <w:r w:rsidRPr="00DC1F02" w:rsidR="00CD49A7">
        <w:t xml:space="preserve"> of the Convention for the Protection of Human Rights and Fundamental Freedoms (“the Convention”) by </w:t>
      </w:r>
      <w:r w:rsidRPr="00DC1F02">
        <w:t xml:space="preserve">an </w:t>
      </w:r>
      <w:r w:rsidRPr="00DC1F02" w:rsidR="00642EB9">
        <w:t>American company</w:t>
      </w:r>
      <w:r w:rsidRPr="00DC1F02">
        <w:t>, Anheuser-Busch Inc. (“the applicant</w:t>
      </w:r>
      <w:r w:rsidRPr="00DC1F02" w:rsidR="00642EB9">
        <w:t xml:space="preserve"> company</w:t>
      </w:r>
      <w:r w:rsidRPr="00DC1F02">
        <w:t>”), on 23 July 2001</w:t>
      </w:r>
      <w:r w:rsidRPr="00DC1F02" w:rsidR="00CD49A7">
        <w:t>.</w:t>
      </w:r>
    </w:p>
    <w:p w:rsidRPr="00DC1F02" w:rsidR="00CD49A7" w:rsidRDefault="00E57E8B">
      <w:pPr>
        <w:pStyle w:val="JuPara"/>
      </w:pPr>
      <w:r w:rsidRPr="00DC1F02">
        <w:fldChar w:fldCharType="begin"/>
      </w:r>
      <w:r w:rsidRPr="00DC1F02">
        <w:instrText xml:space="preserve"> SEQ level0 \*arabic </w:instrText>
      </w:r>
      <w:r w:rsidRPr="00DC1F02">
        <w:fldChar w:fldCharType="separate"/>
      </w:r>
      <w:r w:rsidR="00CF6F43">
        <w:rPr>
          <w:noProof/>
        </w:rPr>
        <w:t>2</w:t>
      </w:r>
      <w:r w:rsidRPr="00DC1F02">
        <w:fldChar w:fldCharType="end"/>
      </w:r>
      <w:r w:rsidRPr="00DC1F02" w:rsidR="00CD49A7">
        <w:t>.  </w:t>
      </w:r>
      <w:r w:rsidRPr="00DC1F02">
        <w:t xml:space="preserve">The applicant </w:t>
      </w:r>
      <w:r w:rsidRPr="00DC1F02" w:rsidR="00B95490">
        <w:t xml:space="preserve">company </w:t>
      </w:r>
      <w:r w:rsidRPr="00DC1F02">
        <w:t xml:space="preserve">was represented by Mr </w:t>
      </w:r>
      <w:r w:rsidRPr="00DC1F02" w:rsidR="00B95490">
        <w:t xml:space="preserve">D. </w:t>
      </w:r>
      <w:proofErr w:type="spellStart"/>
      <w:r w:rsidRPr="00DC1F02" w:rsidR="00B95490">
        <w:t>Ohlgart</w:t>
      </w:r>
      <w:proofErr w:type="spellEnd"/>
      <w:r w:rsidRPr="00DC1F02" w:rsidR="00B95490">
        <w:t xml:space="preserve"> and Mr</w:t>
      </w:r>
      <w:r w:rsidRPr="00DC1F02" w:rsidR="00677A1B">
        <w:t> </w:t>
      </w:r>
      <w:r w:rsidRPr="00DC1F02" w:rsidR="00B95490">
        <w:t>B.</w:t>
      </w:r>
      <w:r w:rsidRPr="00DC1F02" w:rsidR="00677A1B">
        <w:t> </w:t>
      </w:r>
      <w:r w:rsidRPr="00DC1F02" w:rsidR="00B95490">
        <w:t xml:space="preserve">Goebel </w:t>
      </w:r>
      <w:r w:rsidRPr="00DC1F02" w:rsidR="00F578E8">
        <w:t>of</w:t>
      </w:r>
      <w:r w:rsidRPr="00DC1F02" w:rsidR="00D931F1">
        <w:t xml:space="preserve"> </w:t>
      </w:r>
      <w:proofErr w:type="spellStart"/>
      <w:r w:rsidRPr="00DC1F02" w:rsidR="00D931F1">
        <w:t>Lovells</w:t>
      </w:r>
      <w:proofErr w:type="spellEnd"/>
      <w:r w:rsidRPr="00DC1F02" w:rsidR="00D931F1">
        <w:t xml:space="preserve"> </w:t>
      </w:r>
      <w:r w:rsidRPr="00DC1F02" w:rsidR="00F578E8">
        <w:t>International Law O</w:t>
      </w:r>
      <w:r w:rsidR="00254A78">
        <w:t>f</w:t>
      </w:r>
      <w:r w:rsidRPr="00DC1F02" w:rsidR="00F578E8">
        <w:t>fice,</w:t>
      </w:r>
      <w:r w:rsidRPr="00DC1F02" w:rsidR="00D931F1">
        <w:t xml:space="preserve"> </w:t>
      </w:r>
      <w:smartTag w:uri="urn:schemas-microsoft-com:office:smarttags" w:element="State">
        <w:r w:rsidR="00D931F1" w:rsidRPr="00DC1F02">
          <w:t>Madrid</w:t>
        </w:r>
      </w:smartTag>
      <w:r w:rsidRPr="00DC1F02" w:rsidR="00D931F1">
        <w:t xml:space="preserve"> (</w:t>
      </w:r>
      <w:smartTag w:uri="urn:schemas-microsoft-com:office:smarttags" w:element="place">
        <w:smartTag w:uri="urn:schemas-microsoft-com:office:smarttags" w:element="country-region">
          <w:r w:rsidR="00D931F1" w:rsidRPr="00DC1F02">
            <w:t>Spain</w:t>
          </w:r>
        </w:smartTag>
      </w:smartTag>
      <w:r w:rsidRPr="00DC1F02" w:rsidR="00D931F1">
        <w:t>)</w:t>
      </w:r>
      <w:r w:rsidRPr="00DC1F02">
        <w:t xml:space="preserve">. </w:t>
      </w:r>
      <w:r w:rsidRPr="00DC1F02" w:rsidR="00CD49A7">
        <w:t xml:space="preserve">The </w:t>
      </w:r>
      <w:r w:rsidRPr="00DC1F02">
        <w:t>Portuguese</w:t>
      </w:r>
      <w:r w:rsidRPr="00DC1F02" w:rsidR="00CD49A7">
        <w:t xml:space="preserve"> Government (“the Government”) were represented by their Agent, Mr</w:t>
      </w:r>
      <w:r w:rsidR="00E021AF">
        <w:t xml:space="preserve"> </w:t>
      </w:r>
      <w:r w:rsidRPr="00DC1F02" w:rsidR="00B95490">
        <w:t>J.</w:t>
      </w:r>
      <w:r w:rsidR="00E021AF">
        <w:t xml:space="preserve"> </w:t>
      </w:r>
      <w:r w:rsidRPr="00DC1F02" w:rsidR="00B95490">
        <w:t>Miguel, Deputy Attorney-General</w:t>
      </w:r>
      <w:r w:rsidRPr="00DC1F02" w:rsidR="00CD49A7">
        <w:t>.</w:t>
      </w:r>
    </w:p>
    <w:p w:rsidR="00033BB0" w:rsidP="00B354BB" w:rsidRDefault="00E57E8B">
      <w:pPr>
        <w:pStyle w:val="JuPara"/>
      </w:pPr>
      <w:r w:rsidRPr="00DC1F02">
        <w:fldChar w:fldCharType="begin"/>
      </w:r>
      <w:r w:rsidRPr="00DC1F02">
        <w:instrText xml:space="preserve"> SEQ level0 \*arabic </w:instrText>
      </w:r>
      <w:r w:rsidRPr="00DC1F02">
        <w:fldChar w:fldCharType="separate"/>
      </w:r>
      <w:r w:rsidR="00CF6F43">
        <w:rPr>
          <w:noProof/>
        </w:rPr>
        <w:t>3</w:t>
      </w:r>
      <w:r w:rsidRPr="00DC1F02">
        <w:fldChar w:fldCharType="end"/>
      </w:r>
      <w:r w:rsidRPr="00DC1F02" w:rsidR="00CD49A7">
        <w:t>.  </w:t>
      </w:r>
      <w:r w:rsidRPr="00DC1F02" w:rsidR="00532CCE">
        <w:t xml:space="preserve">In its application, the </w:t>
      </w:r>
      <w:r w:rsidRPr="00DC1F02">
        <w:t>applicant</w:t>
      </w:r>
      <w:r w:rsidRPr="00DC1F02" w:rsidR="00CD49A7">
        <w:t xml:space="preserve"> </w:t>
      </w:r>
      <w:r w:rsidRPr="00DC1F02" w:rsidR="009B6707">
        <w:t xml:space="preserve">company alleged </w:t>
      </w:r>
      <w:r w:rsidRPr="00DC1F02" w:rsidR="00677A1B">
        <w:t>a violation</w:t>
      </w:r>
      <w:r w:rsidRPr="00DC1F02" w:rsidR="009B6707">
        <w:t xml:space="preserve"> of its right to the peaceful enjoyment of its possessions as a result of being deprived of the right to use a </w:t>
      </w:r>
      <w:r w:rsidRPr="00DC1F02" w:rsidR="007B120E">
        <w:t>trade mark</w:t>
      </w:r>
      <w:r w:rsidRPr="00DC1F02" w:rsidR="009B6707">
        <w:t>.</w:t>
      </w:r>
    </w:p>
    <w:p w:rsidRPr="00DC1F02" w:rsidR="002B2821" w:rsidP="00B354BB" w:rsidRDefault="00E57E8B">
      <w:pPr>
        <w:pStyle w:val="JuPara"/>
      </w:pPr>
      <w:r w:rsidRPr="00DC1F02">
        <w:fldChar w:fldCharType="begin"/>
      </w:r>
      <w:r w:rsidRPr="00DC1F02">
        <w:instrText xml:space="preserve"> SEQ level0 \*arabic </w:instrText>
      </w:r>
      <w:r w:rsidRPr="00DC1F02">
        <w:fldChar w:fldCharType="separate"/>
      </w:r>
      <w:r w:rsidR="00CF6F43">
        <w:rPr>
          <w:noProof/>
        </w:rPr>
        <w:t>4</w:t>
      </w:r>
      <w:r w:rsidRPr="00DC1F02">
        <w:fldChar w:fldCharType="end"/>
      </w:r>
      <w:r w:rsidRPr="00DC1F02" w:rsidR="00CD49A7">
        <w:t xml:space="preserve">.  The </w:t>
      </w:r>
      <w:r w:rsidRPr="00DC1F02">
        <w:t>application was</w:t>
      </w:r>
      <w:r w:rsidRPr="00DC1F02" w:rsidR="00CD49A7">
        <w:t xml:space="preserve"> allocated to the </w:t>
      </w:r>
      <w:r w:rsidRPr="00DC1F02" w:rsidR="006C5078">
        <w:t>Third</w:t>
      </w:r>
      <w:r w:rsidRPr="00DC1F02">
        <w:t xml:space="preserve"> Section</w:t>
      </w:r>
      <w:r w:rsidR="00E021AF">
        <w:t xml:space="preserve"> of the Court (Rule 52 § </w:t>
      </w:r>
      <w:r w:rsidRPr="00DC1F02" w:rsidR="00CD49A7">
        <w:t xml:space="preserve">1 of the Rules of Court). </w:t>
      </w:r>
      <w:r w:rsidRPr="00DC1F02">
        <w:t>Within that Section, the Chamber that</w:t>
      </w:r>
      <w:r w:rsidR="00D27DE3">
        <w:t xml:space="preserve"> </w:t>
      </w:r>
      <w:r w:rsidRPr="00DC1F02">
        <w:t>would consider the case (Article 27 § 1 of the Convention) was constituted as provided in Rule 26 § 1.</w:t>
      </w:r>
    </w:p>
    <w:p w:rsidRPr="00DC1F02" w:rsidR="006C5078" w:rsidRDefault="00E57E8B">
      <w:pPr>
        <w:pStyle w:val="JuPara"/>
      </w:pPr>
      <w:r w:rsidRPr="00DC1F02">
        <w:fldChar w:fldCharType="begin"/>
      </w:r>
      <w:r w:rsidRPr="00DC1F02">
        <w:instrText xml:space="preserve"> SEQ level0 \*arabic </w:instrText>
      </w:r>
      <w:r w:rsidRPr="00DC1F02">
        <w:fldChar w:fldCharType="separate"/>
      </w:r>
      <w:r w:rsidR="00CF6F43">
        <w:rPr>
          <w:noProof/>
        </w:rPr>
        <w:t>5</w:t>
      </w:r>
      <w:r w:rsidRPr="00DC1F02">
        <w:fldChar w:fldCharType="end"/>
      </w:r>
      <w:r w:rsidRPr="00DC1F02" w:rsidR="00CD49A7">
        <w:t>.  </w:t>
      </w:r>
      <w:r w:rsidRPr="00DC1F02" w:rsidR="006C5078">
        <w:t>On 1 November 2004 the Court changed the compositio</w:t>
      </w:r>
      <w:r w:rsidRPr="00DC1F02" w:rsidR="00677A1B">
        <w:t>n of its Sections (Rule 25 § 1)</w:t>
      </w:r>
      <w:r w:rsidRPr="00DC1F02" w:rsidR="006C5078">
        <w:t>. This case was assigned to the newly composed Second Section (Rule 52 § 1).</w:t>
      </w:r>
    </w:p>
    <w:p w:rsidRPr="00DC1F02" w:rsidR="002B2821" w:rsidP="002B2821" w:rsidRDefault="00E57E8B">
      <w:pPr>
        <w:pStyle w:val="JuPara"/>
      </w:pPr>
      <w:r w:rsidRPr="00DC1F02">
        <w:fldChar w:fldCharType="begin"/>
      </w:r>
      <w:r w:rsidRPr="00DC1F02">
        <w:instrText xml:space="preserve"> SEQ level0 \*arabic </w:instrText>
      </w:r>
      <w:r w:rsidRPr="00DC1F02">
        <w:fldChar w:fldCharType="separate"/>
      </w:r>
      <w:r w:rsidR="00CF6F43">
        <w:rPr>
          <w:noProof/>
        </w:rPr>
        <w:t>6</w:t>
      </w:r>
      <w:r w:rsidRPr="00DC1F02">
        <w:fldChar w:fldCharType="end"/>
      </w:r>
      <w:r w:rsidRPr="00DC1F02">
        <w:t>.  </w:t>
      </w:r>
      <w:r w:rsidRPr="00DC1F02" w:rsidR="00BB7666">
        <w:t>On 11 January</w:t>
      </w:r>
      <w:r w:rsidRPr="00DC1F02" w:rsidR="002B2821">
        <w:t xml:space="preserve"> 2005, </w:t>
      </w:r>
      <w:r w:rsidRPr="00DC1F02" w:rsidR="00BB7666">
        <w:t xml:space="preserve">after a hearing dealing with both the question of admissibility and the merits </w:t>
      </w:r>
      <w:r w:rsidRPr="00DC1F02" w:rsidR="002B2821">
        <w:t>(</w:t>
      </w:r>
      <w:r w:rsidRPr="00DC1F02" w:rsidR="00BB7666">
        <w:t xml:space="preserve">Rule </w:t>
      </w:r>
      <w:r w:rsidRPr="00DC1F02" w:rsidR="002B2821">
        <w:t xml:space="preserve">54 § 3), </w:t>
      </w:r>
      <w:r w:rsidRPr="00DC1F02" w:rsidR="00BB7666">
        <w:t>the application was declared admissible by a Chamber of that Section</w:t>
      </w:r>
      <w:r w:rsidRPr="00DC1F02" w:rsidR="002B2821">
        <w:t>.</w:t>
      </w:r>
    </w:p>
    <w:p w:rsidRPr="00DC1F02" w:rsidR="002B2821" w:rsidP="002B2821" w:rsidRDefault="002B2821">
      <w:pPr>
        <w:pStyle w:val="JuPara"/>
      </w:pPr>
      <w:r w:rsidRPr="00DC1F02">
        <w:fldChar w:fldCharType="begin"/>
      </w:r>
      <w:r w:rsidRPr="00DC1F02">
        <w:instrText xml:space="preserve"> SEQ level0 \*arabic </w:instrText>
      </w:r>
      <w:r w:rsidRPr="00DC1F02">
        <w:fldChar w:fldCharType="separate"/>
      </w:r>
      <w:r w:rsidR="00CF6F43">
        <w:rPr>
          <w:noProof/>
        </w:rPr>
        <w:t>7</w:t>
      </w:r>
      <w:r w:rsidRPr="00DC1F02">
        <w:fldChar w:fldCharType="end"/>
      </w:r>
      <w:r w:rsidRPr="00DC1F02">
        <w:t>.  </w:t>
      </w:r>
      <w:r w:rsidRPr="00DC1F02" w:rsidR="00BB7666">
        <w:t xml:space="preserve">On 11 October </w:t>
      </w:r>
      <w:r w:rsidRPr="00DC1F02">
        <w:t xml:space="preserve">2005 </w:t>
      </w:r>
      <w:r w:rsidRPr="00DC1F02" w:rsidR="00BB7666">
        <w:t>a Chamber of that Section composed of</w:t>
      </w:r>
      <w:r w:rsidRPr="00DC1F02">
        <w:t xml:space="preserve"> </w:t>
      </w:r>
      <w:r w:rsidR="00D27DE3">
        <w:t>Jean-Paul</w:t>
      </w:r>
      <w:r w:rsidRPr="00DC1F02">
        <w:t xml:space="preserve"> Costa, </w:t>
      </w:r>
      <w:r w:rsidRPr="00D27DE3" w:rsidR="00BB7666">
        <w:t>President</w:t>
      </w:r>
      <w:r w:rsidRPr="00DC1F02">
        <w:t xml:space="preserve">, </w:t>
      </w:r>
      <w:proofErr w:type="spellStart"/>
      <w:r w:rsidR="00D27DE3">
        <w:t>András</w:t>
      </w:r>
      <w:proofErr w:type="spellEnd"/>
      <w:r w:rsidRPr="0035425E" w:rsidR="00D27DE3">
        <w:t xml:space="preserve"> </w:t>
      </w:r>
      <w:proofErr w:type="spellStart"/>
      <w:r w:rsidRPr="00DC1F02">
        <w:t>Baka</w:t>
      </w:r>
      <w:proofErr w:type="spellEnd"/>
      <w:r w:rsidRPr="00DC1F02">
        <w:t xml:space="preserve">, </w:t>
      </w:r>
      <w:proofErr w:type="spellStart"/>
      <w:r w:rsidR="00D27DE3">
        <w:t>Ireneu</w:t>
      </w:r>
      <w:proofErr w:type="spellEnd"/>
      <w:r w:rsidR="00D27DE3">
        <w:t xml:space="preserve"> </w:t>
      </w:r>
      <w:r w:rsidRPr="00DC1F02">
        <w:t xml:space="preserve">Cabral </w:t>
      </w:r>
      <w:proofErr w:type="spellStart"/>
      <w:r w:rsidRPr="00DC1F02">
        <w:t>Barreto</w:t>
      </w:r>
      <w:proofErr w:type="spellEnd"/>
      <w:r w:rsidRPr="00DC1F02">
        <w:t xml:space="preserve">, </w:t>
      </w:r>
      <w:proofErr w:type="spellStart"/>
      <w:r w:rsidR="00165859">
        <w:t>Karel</w:t>
      </w:r>
      <w:proofErr w:type="spellEnd"/>
      <w:r w:rsidR="00165859">
        <w:t xml:space="preserve"> </w:t>
      </w:r>
      <w:proofErr w:type="spellStart"/>
      <w:r w:rsidRPr="00DC1F02">
        <w:t>Jungwiert</w:t>
      </w:r>
      <w:proofErr w:type="spellEnd"/>
      <w:r w:rsidRPr="00DC1F02">
        <w:t xml:space="preserve">, </w:t>
      </w:r>
      <w:proofErr w:type="spellStart"/>
      <w:r w:rsidRPr="00412410" w:rsidR="00165859">
        <w:t>Volodymyr</w:t>
      </w:r>
      <w:proofErr w:type="spellEnd"/>
      <w:r w:rsidRPr="00DC1F02">
        <w:t xml:space="preserve"> </w:t>
      </w:r>
      <w:proofErr w:type="spellStart"/>
      <w:r w:rsidRPr="00DC1F02">
        <w:t>Butkevych</w:t>
      </w:r>
      <w:proofErr w:type="spellEnd"/>
      <w:r w:rsidRPr="00DC1F02">
        <w:t xml:space="preserve">, </w:t>
      </w:r>
      <w:proofErr w:type="spellStart"/>
      <w:r w:rsidR="00165859">
        <w:t>Antonella</w:t>
      </w:r>
      <w:proofErr w:type="spellEnd"/>
      <w:r w:rsidRPr="00DC1F02">
        <w:t xml:space="preserve"> </w:t>
      </w:r>
      <w:proofErr w:type="spellStart"/>
      <w:r w:rsidRPr="00DC1F02">
        <w:t>Mularoni</w:t>
      </w:r>
      <w:proofErr w:type="spellEnd"/>
      <w:r w:rsidRPr="00DC1F02">
        <w:t xml:space="preserve"> </w:t>
      </w:r>
      <w:r w:rsidRPr="00DC1F02" w:rsidR="00E1150E">
        <w:t>and</w:t>
      </w:r>
      <w:r w:rsidRPr="00DC1F02">
        <w:t xml:space="preserve"> </w:t>
      </w:r>
      <w:proofErr w:type="spellStart"/>
      <w:r w:rsidRPr="009A0B5E" w:rsidR="00165859">
        <w:rPr>
          <w:rFonts w:ascii="Times New (W1)" w:hAnsi="Times New (W1)"/>
        </w:rPr>
        <w:t>Danutė</w:t>
      </w:r>
      <w:proofErr w:type="spellEnd"/>
      <w:r w:rsidRPr="00DC1F02">
        <w:t xml:space="preserve"> </w:t>
      </w:r>
      <w:proofErr w:type="spellStart"/>
      <w:r w:rsidRPr="00DC1F02">
        <w:rPr>
          <w:rStyle w:val="JupChar"/>
          <w:lang w:val="en-GB"/>
        </w:rPr>
        <w:t>Jočienė</w:t>
      </w:r>
      <w:proofErr w:type="spellEnd"/>
      <w:r w:rsidRPr="00DC1F02">
        <w:t>, ju</w:t>
      </w:r>
      <w:r w:rsidRPr="00DC1F02" w:rsidR="00BB7666">
        <w:t>d</w:t>
      </w:r>
      <w:r w:rsidRPr="00DC1F02">
        <w:t xml:space="preserve">ges, </w:t>
      </w:r>
      <w:r w:rsidRPr="00DC1F02" w:rsidR="00BB7666">
        <w:t>and</w:t>
      </w:r>
      <w:r w:rsidRPr="00DC1F02">
        <w:t xml:space="preserve"> </w:t>
      </w:r>
      <w:r w:rsidR="00165859">
        <w:t xml:space="preserve">Stanley </w:t>
      </w:r>
      <w:r w:rsidRPr="00DC1F02">
        <w:t xml:space="preserve">Naismith, </w:t>
      </w:r>
      <w:r w:rsidR="00165859">
        <w:t>D</w:t>
      </w:r>
      <w:r w:rsidRPr="00DC1F02" w:rsidR="00BB7666">
        <w:t xml:space="preserve">eputy </w:t>
      </w:r>
      <w:r w:rsidR="00165859">
        <w:t>S</w:t>
      </w:r>
      <w:r w:rsidRPr="00DC1F02" w:rsidR="00BB7666">
        <w:t xml:space="preserve">ection </w:t>
      </w:r>
      <w:r w:rsidR="00165859">
        <w:t>R</w:t>
      </w:r>
      <w:r w:rsidRPr="00DC1F02" w:rsidR="00BB7666">
        <w:t>egistrar</w:t>
      </w:r>
      <w:r w:rsidRPr="00DC1F02">
        <w:t xml:space="preserve">, </w:t>
      </w:r>
      <w:r w:rsidRPr="00DC1F02" w:rsidR="00BB7666">
        <w:t xml:space="preserve">delivered </w:t>
      </w:r>
      <w:r w:rsidR="00C16682">
        <w:t>a</w:t>
      </w:r>
      <w:r w:rsidRPr="00DC1F02" w:rsidR="00BB7666">
        <w:t xml:space="preserve"> judgment in which it held by five votes to two that there h</w:t>
      </w:r>
      <w:r w:rsidR="00165859">
        <w:t>ad been no violation of Article </w:t>
      </w:r>
      <w:r w:rsidRPr="00DC1F02" w:rsidR="00BB7666">
        <w:t xml:space="preserve">1 of Protocol No. </w:t>
      </w:r>
      <w:r w:rsidRPr="00DC1F02">
        <w:t xml:space="preserve">1. </w:t>
      </w:r>
      <w:r w:rsidR="00C16682">
        <w:t>A</w:t>
      </w:r>
      <w:r w:rsidRPr="00DC1F02" w:rsidR="00BB7666">
        <w:t xml:space="preserve"> joint dissenting opinion </w:t>
      </w:r>
      <w:r w:rsidR="00C16682">
        <w:t>by</w:t>
      </w:r>
      <w:r w:rsidRPr="00DC1F02" w:rsidR="00BB7666">
        <w:t xml:space="preserve"> </w:t>
      </w:r>
      <w:r w:rsidR="00165859">
        <w:t>Judges</w:t>
      </w:r>
      <w:r w:rsidRPr="00DC1F02">
        <w:t xml:space="preserve"> Costa </w:t>
      </w:r>
      <w:r w:rsidRPr="00DC1F02" w:rsidR="00E1150E">
        <w:t xml:space="preserve">and </w:t>
      </w:r>
      <w:r w:rsidRPr="00DC1F02">
        <w:t xml:space="preserve">Cabral </w:t>
      </w:r>
      <w:proofErr w:type="spellStart"/>
      <w:r w:rsidRPr="00DC1F02">
        <w:t>Barreto</w:t>
      </w:r>
      <w:proofErr w:type="spellEnd"/>
      <w:r w:rsidRPr="00DC1F02">
        <w:t xml:space="preserve"> </w:t>
      </w:r>
      <w:r w:rsidRPr="00DC1F02" w:rsidR="00BB7666">
        <w:t>was appended to the judgment</w:t>
      </w:r>
      <w:r w:rsidRPr="00DC1F02">
        <w:t>.</w:t>
      </w:r>
    </w:p>
    <w:p w:rsidRPr="00DC1F02" w:rsidR="002B2821" w:rsidP="002B2821" w:rsidRDefault="002B2821">
      <w:pPr>
        <w:pStyle w:val="JuPara"/>
      </w:pPr>
      <w:r w:rsidRPr="00DC1F02">
        <w:fldChar w:fldCharType="begin"/>
      </w:r>
      <w:r w:rsidRPr="00DC1F02">
        <w:instrText xml:space="preserve"> SEQ level0 \*arabic </w:instrText>
      </w:r>
      <w:r w:rsidRPr="00DC1F02">
        <w:fldChar w:fldCharType="separate"/>
      </w:r>
      <w:r w:rsidR="00CF6F43">
        <w:rPr>
          <w:noProof/>
        </w:rPr>
        <w:t>8</w:t>
      </w:r>
      <w:r w:rsidRPr="00DC1F02">
        <w:fldChar w:fldCharType="end"/>
      </w:r>
      <w:r w:rsidRPr="00DC1F02">
        <w:t>.  </w:t>
      </w:r>
      <w:r w:rsidRPr="00DC1F02" w:rsidR="00BB7666">
        <w:t>On 11 January 2006</w:t>
      </w:r>
      <w:r w:rsidRPr="00DC1F02" w:rsidR="00853668">
        <w:t xml:space="preserve"> the applicant company requested the </w:t>
      </w:r>
      <w:r w:rsidR="00C16682">
        <w:t>referral</w:t>
      </w:r>
      <w:r w:rsidRPr="00DC1F02" w:rsidR="00853668">
        <w:t xml:space="preserve"> of the case to the Grand Chamber in accordance with Article 43 of the </w:t>
      </w:r>
      <w:r w:rsidRPr="00DC1F02">
        <w:t xml:space="preserve">Convention. </w:t>
      </w:r>
      <w:r w:rsidRPr="00DC1F02" w:rsidR="00853668">
        <w:t>A panel of the Grand Chamber granted that request on 15 February 2006</w:t>
      </w:r>
      <w:r w:rsidRPr="00DC1F02">
        <w:t>.</w:t>
      </w:r>
    </w:p>
    <w:p w:rsidRPr="00DC1F02" w:rsidR="002B2821" w:rsidP="002B2821" w:rsidRDefault="002B2821">
      <w:pPr>
        <w:pStyle w:val="JuPara"/>
      </w:pPr>
      <w:r w:rsidRPr="00DC1F02">
        <w:fldChar w:fldCharType="begin"/>
      </w:r>
      <w:r w:rsidRPr="00DC1F02">
        <w:instrText xml:space="preserve"> SEQ level0 \*arabic </w:instrText>
      </w:r>
      <w:r w:rsidRPr="00DC1F02">
        <w:fldChar w:fldCharType="separate"/>
      </w:r>
      <w:r w:rsidR="00CF6F43">
        <w:rPr>
          <w:noProof/>
        </w:rPr>
        <w:t>9</w:t>
      </w:r>
      <w:r w:rsidRPr="00DC1F02">
        <w:fldChar w:fldCharType="end"/>
      </w:r>
      <w:r w:rsidRPr="00DC1F02">
        <w:t>.  </w:t>
      </w:r>
      <w:r w:rsidRPr="00DC1F02" w:rsidR="00853668">
        <w:t xml:space="preserve">The composition of the Grand Chamber was determined according to the provisions of Article </w:t>
      </w:r>
      <w:r w:rsidRPr="00DC1F02">
        <w:t xml:space="preserve">27 §§ 2 </w:t>
      </w:r>
      <w:r w:rsidRPr="00DC1F02" w:rsidR="00853668">
        <w:t>and</w:t>
      </w:r>
      <w:r w:rsidRPr="00DC1F02">
        <w:t xml:space="preserve"> 3</w:t>
      </w:r>
      <w:r w:rsidRPr="00DC1F02" w:rsidR="00853668">
        <w:t xml:space="preserve"> of the </w:t>
      </w:r>
      <w:r w:rsidRPr="00DC1F02">
        <w:t>Convention</w:t>
      </w:r>
      <w:r w:rsidRPr="00DC1F02" w:rsidR="00853668">
        <w:t xml:space="preserve"> and Rule </w:t>
      </w:r>
      <w:r w:rsidRPr="00DC1F02">
        <w:t xml:space="preserve">24. </w:t>
      </w:r>
      <w:r w:rsidRPr="00DC1F02" w:rsidR="00853668">
        <w:t xml:space="preserve">At the final deliberations </w:t>
      </w:r>
      <w:r w:rsidR="00165859">
        <w:t>Giovanni</w:t>
      </w:r>
      <w:r w:rsidR="00B354BB">
        <w:t xml:space="preserve"> </w:t>
      </w:r>
      <w:proofErr w:type="spellStart"/>
      <w:r w:rsidR="00B354BB">
        <w:t>Bonello</w:t>
      </w:r>
      <w:proofErr w:type="spellEnd"/>
      <w:r w:rsidR="00B354BB">
        <w:t xml:space="preserve"> and </w:t>
      </w:r>
      <w:proofErr w:type="spellStart"/>
      <w:r w:rsidR="00165859">
        <w:t>Dragol</w:t>
      </w:r>
      <w:r w:rsidR="004F57BD">
        <w:t>j</w:t>
      </w:r>
      <w:r w:rsidR="00165859">
        <w:t>ub</w:t>
      </w:r>
      <w:proofErr w:type="spellEnd"/>
      <w:r w:rsidRPr="00DC1F02" w:rsidR="008462BB">
        <w:t xml:space="preserve"> </w:t>
      </w:r>
      <w:proofErr w:type="spellStart"/>
      <w:r w:rsidRPr="00DC1F02" w:rsidR="008462BB">
        <w:rPr>
          <w:szCs w:val="24"/>
        </w:rPr>
        <w:t>Popović</w:t>
      </w:r>
      <w:proofErr w:type="spellEnd"/>
      <w:r w:rsidRPr="00DC1F02" w:rsidR="008462BB">
        <w:t>, substitute judge</w:t>
      </w:r>
      <w:r w:rsidR="00B354BB">
        <w:t>s</w:t>
      </w:r>
      <w:r w:rsidRPr="00DC1F02" w:rsidR="008462BB">
        <w:t xml:space="preserve">, replaced </w:t>
      </w:r>
      <w:r w:rsidR="00165859">
        <w:t>Jean-Paul</w:t>
      </w:r>
      <w:r w:rsidRPr="00DC1F02" w:rsidR="00853668">
        <w:t xml:space="preserve"> Costa</w:t>
      </w:r>
      <w:r w:rsidR="00B354BB">
        <w:t xml:space="preserve"> and </w:t>
      </w:r>
      <w:proofErr w:type="spellStart"/>
      <w:r w:rsidRPr="00666D76" w:rsidR="00165859">
        <w:t>Boštjan</w:t>
      </w:r>
      <w:proofErr w:type="spellEnd"/>
      <w:r w:rsidR="00B354BB">
        <w:t xml:space="preserve"> </w:t>
      </w:r>
      <w:r w:rsidR="00165859">
        <w:t xml:space="preserve">M. </w:t>
      </w:r>
      <w:proofErr w:type="spellStart"/>
      <w:r w:rsidR="00B354BB">
        <w:t>Zupančič</w:t>
      </w:r>
      <w:proofErr w:type="spellEnd"/>
      <w:r w:rsidRPr="00DC1F02" w:rsidR="00853668">
        <w:t>, who w</w:t>
      </w:r>
      <w:r w:rsidR="00B354BB">
        <w:t>ere</w:t>
      </w:r>
      <w:r w:rsidRPr="00DC1F02" w:rsidR="00853668">
        <w:t xml:space="preserve"> unable to take </w:t>
      </w:r>
      <w:r w:rsidRPr="00DC1F02" w:rsidR="008462BB">
        <w:t xml:space="preserve">part </w:t>
      </w:r>
      <w:r w:rsidRPr="00DC1F02" w:rsidR="00853668">
        <w:t xml:space="preserve">in the </w:t>
      </w:r>
      <w:r w:rsidRPr="00DC1F02" w:rsidR="008462BB">
        <w:t xml:space="preserve">further </w:t>
      </w:r>
      <w:r w:rsidRPr="00DC1F02" w:rsidR="00853668">
        <w:t xml:space="preserve">consideration of the case </w:t>
      </w:r>
      <w:r w:rsidRPr="00DC1F02">
        <w:t>(</w:t>
      </w:r>
      <w:r w:rsidRPr="00DC1F02" w:rsidR="00853668">
        <w:t xml:space="preserve">Rule </w:t>
      </w:r>
      <w:r w:rsidRPr="00DC1F02">
        <w:t xml:space="preserve">24 § 3). </w:t>
      </w:r>
      <w:proofErr w:type="spellStart"/>
      <w:r w:rsidR="00165859">
        <w:t>Lucius</w:t>
      </w:r>
      <w:proofErr w:type="spellEnd"/>
      <w:r w:rsidRPr="00DC1F02">
        <w:t xml:space="preserve"> </w:t>
      </w:r>
      <w:proofErr w:type="spellStart"/>
      <w:r w:rsidRPr="00DC1F02">
        <w:t>Caflisch</w:t>
      </w:r>
      <w:proofErr w:type="spellEnd"/>
      <w:r w:rsidRPr="00DC1F02">
        <w:t xml:space="preserve"> </w:t>
      </w:r>
      <w:r w:rsidRPr="00DC1F02" w:rsidR="00853668">
        <w:t>continue</w:t>
      </w:r>
      <w:r w:rsidRPr="00DC1F02" w:rsidR="005C1E8D">
        <w:t>d</w:t>
      </w:r>
      <w:r w:rsidRPr="00DC1F02" w:rsidR="00853668">
        <w:t xml:space="preserve"> to sit following the expiration of his term in office</w:t>
      </w:r>
      <w:r w:rsidRPr="00DC1F02">
        <w:t xml:space="preserve">, </w:t>
      </w:r>
      <w:r w:rsidRPr="00DC1F02" w:rsidR="00853668">
        <w:t>in accordance with Article</w:t>
      </w:r>
      <w:r w:rsidRPr="00DC1F02">
        <w:t xml:space="preserve"> 23 § 7</w:t>
      </w:r>
      <w:r w:rsidRPr="00DC1F02" w:rsidR="00853668">
        <w:t xml:space="preserve"> of the </w:t>
      </w:r>
      <w:r w:rsidRPr="00DC1F02">
        <w:t>Convention</w:t>
      </w:r>
      <w:r w:rsidRPr="00DC1F02" w:rsidR="00853668">
        <w:t xml:space="preserve"> and Rule </w:t>
      </w:r>
      <w:r w:rsidRPr="00DC1F02">
        <w:t>24 § 4.</w:t>
      </w:r>
    </w:p>
    <w:p w:rsidRPr="00DC1F02" w:rsidR="002B2821" w:rsidP="002B2821" w:rsidRDefault="002B2821">
      <w:pPr>
        <w:pStyle w:val="JuPara"/>
      </w:pPr>
      <w:r w:rsidRPr="00DC1F02">
        <w:fldChar w:fldCharType="begin"/>
      </w:r>
      <w:r w:rsidRPr="00DC1F02">
        <w:instrText xml:space="preserve"> SEQ level0 \*arabic </w:instrText>
      </w:r>
      <w:r w:rsidRPr="00DC1F02">
        <w:fldChar w:fldCharType="separate"/>
      </w:r>
      <w:r w:rsidR="00CF6F43">
        <w:rPr>
          <w:noProof/>
        </w:rPr>
        <w:t>10</w:t>
      </w:r>
      <w:r w:rsidRPr="00DC1F02">
        <w:fldChar w:fldCharType="end"/>
      </w:r>
      <w:r w:rsidRPr="00DC1F02">
        <w:t>.  </w:t>
      </w:r>
      <w:r w:rsidRPr="00DC1F02" w:rsidR="00853668">
        <w:t>The applicant company and the Government each filed submissions on the merits</w:t>
      </w:r>
      <w:r w:rsidRPr="00DC1F02">
        <w:t>.</w:t>
      </w:r>
    </w:p>
    <w:p w:rsidRPr="00DC1F02" w:rsidR="00CD49A7" w:rsidRDefault="002B2821">
      <w:pPr>
        <w:pStyle w:val="JuPara"/>
      </w:pPr>
      <w:r w:rsidRPr="00DC1F02">
        <w:fldChar w:fldCharType="begin"/>
      </w:r>
      <w:r w:rsidRPr="00DC1F02">
        <w:instrText xml:space="preserve"> SEQ level0 \*arabic </w:instrText>
      </w:r>
      <w:r w:rsidRPr="00DC1F02">
        <w:fldChar w:fldCharType="separate"/>
      </w:r>
      <w:r w:rsidR="00CF6F43">
        <w:rPr>
          <w:noProof/>
        </w:rPr>
        <w:t>11</w:t>
      </w:r>
      <w:r w:rsidRPr="00DC1F02">
        <w:fldChar w:fldCharType="end"/>
      </w:r>
      <w:r w:rsidRPr="00DC1F02">
        <w:t>.  </w:t>
      </w:r>
      <w:r w:rsidRPr="00DC1F02" w:rsidR="00CD49A7">
        <w:t xml:space="preserve">A hearing took place in public in the </w:t>
      </w:r>
      <w:smartTag w:uri="urn:schemas-microsoft-com:office:smarttags" w:element="PlaceName">
        <w:r w:rsidR="00CD49A7" w:rsidRPr="00DC1F02">
          <w:t>Human</w:t>
        </w:r>
      </w:smartTag>
      <w:r w:rsidRPr="00DC1F02" w:rsidR="00CD49A7">
        <w:t xml:space="preserve"> </w:t>
      </w:r>
      <w:smartTag w:uri="urn:schemas-microsoft-com:office:smarttags" w:element="PlaceName">
        <w:r w:rsidR="00CD49A7" w:rsidRPr="00DC1F02">
          <w:t>Rights</w:t>
        </w:r>
      </w:smartTag>
      <w:r w:rsidRPr="00DC1F02" w:rsidR="00CD49A7">
        <w:t xml:space="preserve"> </w:t>
      </w:r>
      <w:smartTag w:uri="urn:schemas-microsoft-com:office:smarttags" w:element="PlaceType">
        <w:r w:rsidR="00CD49A7" w:rsidRPr="00DC1F02">
          <w:t>Building</w:t>
        </w:r>
      </w:smartTag>
      <w:r w:rsidRPr="00DC1F02" w:rsidR="00CD49A7">
        <w:t xml:space="preserve">, </w:t>
      </w:r>
      <w:smartTag w:uri="urn:schemas-microsoft-com:office:smarttags" w:element="place">
        <w:smartTag w:uri="urn:schemas-microsoft-com:office:smarttags" w:element="City">
          <w:r w:rsidR="00CD49A7" w:rsidRPr="00DC1F02">
            <w:t>Strasbourg</w:t>
          </w:r>
        </w:smartTag>
      </w:smartTag>
      <w:r w:rsidRPr="00DC1F02" w:rsidR="00CD49A7">
        <w:t xml:space="preserve">, on </w:t>
      </w:r>
      <w:r w:rsidR="00A56B4B">
        <w:t>28</w:t>
      </w:r>
      <w:r w:rsidRPr="00DC1F02" w:rsidR="00E4118D">
        <w:t xml:space="preserve"> J</w:t>
      </w:r>
      <w:r w:rsidR="00A56B4B">
        <w:t>une</w:t>
      </w:r>
      <w:r w:rsidRPr="00DC1F02" w:rsidR="00E4118D">
        <w:t xml:space="preserve"> 200</w:t>
      </w:r>
      <w:r w:rsidR="00A56B4B">
        <w:t>6</w:t>
      </w:r>
      <w:r w:rsidRPr="00DC1F02" w:rsidR="00CD49A7">
        <w:t xml:space="preserve"> (Rule 59 § 3).</w:t>
      </w:r>
    </w:p>
    <w:p w:rsidRPr="00DC1F02" w:rsidR="00CD49A7" w:rsidRDefault="00CD49A7">
      <w:pPr>
        <w:pStyle w:val="JuPara"/>
      </w:pPr>
    </w:p>
    <w:p w:rsidRPr="00DC1F02" w:rsidR="00CD49A7" w:rsidP="00F92A55" w:rsidRDefault="00CD49A7">
      <w:pPr>
        <w:pStyle w:val="JuPara"/>
        <w:keepNext/>
        <w:keepLines/>
      </w:pPr>
      <w:r w:rsidRPr="00DC1F02">
        <w:t>There appeared before the Court:</w:t>
      </w:r>
    </w:p>
    <w:p w:rsidRPr="00DC1F02" w:rsidR="00CD49A7" w:rsidP="00F92A55" w:rsidRDefault="00CD49A7">
      <w:pPr>
        <w:pStyle w:val="JuCourt"/>
        <w:keepLines/>
      </w:pPr>
      <w:r w:rsidRPr="00DC1F02">
        <w:t>(a)  </w:t>
      </w:r>
      <w:r w:rsidRPr="00DC1F02">
        <w:rPr>
          <w:i/>
        </w:rPr>
        <w:t>for the Government</w:t>
      </w:r>
      <w:r w:rsidRPr="00DC1F02">
        <w:br/>
      </w:r>
      <w:r w:rsidRPr="00DC1F02" w:rsidR="00BC4B7A">
        <w:t>Mr</w:t>
      </w:r>
      <w:r w:rsidRPr="00DC1F02" w:rsidR="00BC4B7A">
        <w:tab/>
      </w:r>
      <w:r w:rsidRPr="00DC1F02" w:rsidR="00BC4B7A">
        <w:rPr>
          <w:rStyle w:val="JuNames"/>
        </w:rPr>
        <w:t>J. Miguel</w:t>
      </w:r>
      <w:r w:rsidRPr="00DC1F02" w:rsidR="00BC4B7A">
        <w:t>, Deputy Attorney-General</w:t>
      </w:r>
      <w:r w:rsidRPr="00DC1F02">
        <w:t xml:space="preserve">, </w:t>
      </w:r>
      <w:r w:rsidRPr="00DC1F02" w:rsidR="00BC4B7A">
        <w:tab/>
      </w:r>
      <w:r w:rsidRPr="00DC1F02">
        <w:rPr>
          <w:i/>
        </w:rPr>
        <w:t>Agent</w:t>
      </w:r>
      <w:r w:rsidRPr="00DC1F02">
        <w:t>,</w:t>
      </w:r>
      <w:r w:rsidRPr="00DC1F02">
        <w:br/>
        <w:t>M</w:t>
      </w:r>
      <w:r w:rsidRPr="00DC1F02" w:rsidR="00BC4B7A">
        <w:t>r</w:t>
      </w:r>
      <w:r w:rsidRPr="00DC1F02">
        <w:tab/>
      </w:r>
      <w:r w:rsidRPr="00DC1F02" w:rsidR="00BC4B7A">
        <w:rPr>
          <w:rStyle w:val="JuNames"/>
        </w:rPr>
        <w:t xml:space="preserve">A. </w:t>
      </w:r>
      <w:proofErr w:type="spellStart"/>
      <w:r w:rsidRPr="00DC1F02" w:rsidR="00BC4B7A">
        <w:rPr>
          <w:rStyle w:val="JuNames"/>
        </w:rPr>
        <w:t>Campinos</w:t>
      </w:r>
      <w:proofErr w:type="spellEnd"/>
      <w:r w:rsidRPr="00DC1F02">
        <w:t xml:space="preserve">, </w:t>
      </w:r>
      <w:r w:rsidRPr="00DC1F02" w:rsidR="00587722">
        <w:t>Director of the National Institute</w:t>
      </w:r>
      <w:r w:rsidRPr="00DC1F02">
        <w:tab/>
      </w:r>
      <w:r w:rsidR="00165859">
        <w:br/>
      </w:r>
      <w:r w:rsidRPr="00DC1F02" w:rsidR="00587722">
        <w:tab/>
      </w:r>
      <w:r w:rsidRPr="00DC1F02" w:rsidR="00587722">
        <w:tab/>
        <w:t>of Industrial Property,</w:t>
      </w:r>
      <w:r w:rsidRPr="00DC1F02" w:rsidR="00587722">
        <w:tab/>
      </w:r>
      <w:r w:rsidRPr="00DC1F02">
        <w:rPr>
          <w:i/>
        </w:rPr>
        <w:t>Counsel</w:t>
      </w:r>
      <w:r w:rsidRPr="00DC1F02">
        <w:t>;</w:t>
      </w:r>
      <w:r w:rsidRPr="00DC1F02">
        <w:br/>
      </w:r>
    </w:p>
    <w:p w:rsidRPr="00DC1F02" w:rsidR="00CD49A7" w:rsidP="00F92A55" w:rsidRDefault="00CD49A7">
      <w:pPr>
        <w:pStyle w:val="JuCourt"/>
        <w:keepLines/>
      </w:pPr>
      <w:r w:rsidRPr="00DC1F02">
        <w:t>(b)  </w:t>
      </w:r>
      <w:r w:rsidRPr="00DC1F02">
        <w:rPr>
          <w:i/>
        </w:rPr>
        <w:t xml:space="preserve">for the </w:t>
      </w:r>
      <w:r w:rsidRPr="00DC1F02" w:rsidR="00E57E8B">
        <w:rPr>
          <w:i/>
        </w:rPr>
        <w:t>applicant</w:t>
      </w:r>
      <w:r w:rsidRPr="00DC1F02" w:rsidR="00E73435">
        <w:rPr>
          <w:i/>
        </w:rPr>
        <w:t xml:space="preserve"> company</w:t>
      </w:r>
      <w:r w:rsidRPr="00DC1F02">
        <w:br/>
        <w:t>Mr</w:t>
      </w:r>
      <w:r w:rsidRPr="00DC1F02">
        <w:tab/>
      </w:r>
      <w:r w:rsidRPr="00DC1F02" w:rsidR="00CC55DB">
        <w:rPr>
          <w:rStyle w:val="JuNames"/>
        </w:rPr>
        <w:t>B. Goebel</w:t>
      </w:r>
      <w:r w:rsidRPr="00DC1F02">
        <w:t>,</w:t>
      </w:r>
      <w:r w:rsidRPr="00DC1F02">
        <w:tab/>
      </w:r>
      <w:r w:rsidRPr="00DC1F02" w:rsidR="00D95900">
        <w:br/>
      </w:r>
      <w:r w:rsidRPr="00DC1F02">
        <w:t>M</w:t>
      </w:r>
      <w:r w:rsidRPr="00DC1F02" w:rsidR="00D95900">
        <w:t>r</w:t>
      </w:r>
      <w:r w:rsidRPr="00DC1F02">
        <w:tab/>
      </w:r>
      <w:r w:rsidRPr="00DC1F02" w:rsidR="00CC55DB">
        <w:rPr>
          <w:rStyle w:val="JuNames"/>
        </w:rPr>
        <w:t xml:space="preserve">D. </w:t>
      </w:r>
      <w:proofErr w:type="spellStart"/>
      <w:r w:rsidRPr="00DC1F02" w:rsidR="00CC55DB">
        <w:rPr>
          <w:rStyle w:val="JuNames"/>
        </w:rPr>
        <w:t>Ohlgart</w:t>
      </w:r>
      <w:proofErr w:type="spellEnd"/>
      <w:r w:rsidRPr="00DC1F02">
        <w:t>,</w:t>
      </w:r>
      <w:r w:rsidRPr="00DC1F02" w:rsidR="00D95900">
        <w:tab/>
      </w:r>
      <w:r w:rsidRPr="00DC1F02" w:rsidR="00CC55DB">
        <w:br/>
        <w:t>Ms</w:t>
      </w:r>
      <w:r w:rsidRPr="00DC1F02" w:rsidR="00CC55DB">
        <w:tab/>
      </w:r>
      <w:r w:rsidRPr="00DC1F02" w:rsidR="00CC55DB">
        <w:rPr>
          <w:rStyle w:val="JuNames"/>
        </w:rPr>
        <w:t>C. Schulte</w:t>
      </w:r>
      <w:r w:rsidRPr="00DC1F02" w:rsidR="00CC55DB">
        <w:t>,</w:t>
      </w:r>
      <w:r w:rsidR="00FA4ABD">
        <w:t xml:space="preserve"> lawyers</w:t>
      </w:r>
      <w:r w:rsidR="004F47D2">
        <w:t>,</w:t>
      </w:r>
      <w:r w:rsidRPr="00DC1F02" w:rsidR="00CC55DB">
        <w:tab/>
      </w:r>
      <w:r w:rsidRPr="00DC1F02" w:rsidR="00D95900">
        <w:rPr>
          <w:i/>
        </w:rPr>
        <w:t>Counsel</w:t>
      </w:r>
      <w:r w:rsidRPr="00DC1F02" w:rsidR="00D95900">
        <w:t>,</w:t>
      </w:r>
      <w:r w:rsidRPr="00DC1F02" w:rsidR="00953A8C">
        <w:br/>
        <w:t>Mr</w:t>
      </w:r>
      <w:r w:rsidRPr="00DC1F02" w:rsidR="00953A8C">
        <w:tab/>
      </w:r>
      <w:r w:rsidRPr="00DC1F02" w:rsidR="00953A8C">
        <w:rPr>
          <w:rStyle w:val="JuNames"/>
        </w:rPr>
        <w:t xml:space="preserve">J. </w:t>
      </w:r>
      <w:proofErr w:type="spellStart"/>
      <w:r w:rsidRPr="00DC1F02" w:rsidR="00953A8C">
        <w:rPr>
          <w:rStyle w:val="JuNames"/>
        </w:rPr>
        <w:t>Pimenta</w:t>
      </w:r>
      <w:proofErr w:type="spellEnd"/>
      <w:r w:rsidRPr="00DC1F02" w:rsidR="00953A8C">
        <w:t>, lawyer,</w:t>
      </w:r>
      <w:r w:rsidRPr="00DC1F02" w:rsidR="00953A8C">
        <w:tab/>
      </w:r>
      <w:r w:rsidRPr="00DC1F02" w:rsidR="00D95900">
        <w:br/>
      </w:r>
      <w:r w:rsidRPr="00DC1F02">
        <w:t>M</w:t>
      </w:r>
      <w:r w:rsidRPr="00DC1F02" w:rsidR="00D95900">
        <w:t>r</w:t>
      </w:r>
      <w:r w:rsidRPr="00DC1F02">
        <w:tab/>
      </w:r>
      <w:r w:rsidRPr="00DC1F02" w:rsidR="00953A8C">
        <w:rPr>
          <w:rStyle w:val="JuNames"/>
        </w:rPr>
        <w:t>F.Z.</w:t>
      </w:r>
      <w:r w:rsidRPr="00DC1F02" w:rsidR="00D95900">
        <w:rPr>
          <w:rStyle w:val="JuNames"/>
        </w:rPr>
        <w:t xml:space="preserve"> </w:t>
      </w:r>
      <w:proofErr w:type="spellStart"/>
      <w:r w:rsidRPr="00DC1F02" w:rsidR="00953A8C">
        <w:rPr>
          <w:rStyle w:val="JuNames"/>
        </w:rPr>
        <w:t>Hellwig</w:t>
      </w:r>
      <w:proofErr w:type="spellEnd"/>
      <w:r w:rsidRPr="00DC1F02">
        <w:t xml:space="preserve">, </w:t>
      </w:r>
      <w:r w:rsidR="00165859">
        <w:t>S</w:t>
      </w:r>
      <w:r w:rsidRPr="00DC1F02" w:rsidR="00953A8C">
        <w:t xml:space="preserve">enior </w:t>
      </w:r>
      <w:r w:rsidRPr="00DC1F02" w:rsidR="00E73435">
        <w:t xml:space="preserve">in-house </w:t>
      </w:r>
      <w:r w:rsidR="00165859">
        <w:t>C</w:t>
      </w:r>
      <w:r w:rsidRPr="00DC1F02" w:rsidR="00953A8C">
        <w:t>ounsel</w:t>
      </w:r>
      <w:r w:rsidRPr="00DC1F02" w:rsidR="009F51A4">
        <w:t>,</w:t>
      </w:r>
      <w:r w:rsidRPr="00DC1F02" w:rsidR="00953A8C">
        <w:t xml:space="preserve"> </w:t>
      </w:r>
      <w:r w:rsidR="00165859">
        <w:br/>
      </w:r>
      <w:r w:rsidRPr="00DC1F02" w:rsidR="00E73435">
        <w:tab/>
      </w:r>
      <w:r w:rsidRPr="00DC1F02" w:rsidR="00E73435">
        <w:tab/>
      </w:r>
      <w:r w:rsidRPr="00DC1F02" w:rsidR="00953A8C">
        <w:t>Anheuser-Busch I</w:t>
      </w:r>
      <w:r w:rsidRPr="00DC1F02" w:rsidR="009F51A4">
        <w:t>nc</w:t>
      </w:r>
      <w:r w:rsidRPr="00DC1F02" w:rsidR="00953A8C">
        <w:t>.</w:t>
      </w:r>
      <w:r w:rsidRPr="00DC1F02">
        <w:t>,</w:t>
      </w:r>
      <w:r w:rsidRPr="00DC1F02">
        <w:tab/>
      </w:r>
      <w:r w:rsidRPr="00DC1F02">
        <w:rPr>
          <w:i/>
        </w:rPr>
        <w:t>Adviser</w:t>
      </w:r>
      <w:r w:rsidRPr="00DC1F02" w:rsidR="00953A8C">
        <w:rPr>
          <w:i/>
        </w:rPr>
        <w:t>s</w:t>
      </w:r>
      <w:r w:rsidRPr="00DC1F02">
        <w:t>.</w:t>
      </w:r>
    </w:p>
    <w:p w:rsidRPr="00DC1F02" w:rsidR="00CD49A7" w:rsidRDefault="00CD49A7">
      <w:pPr>
        <w:pStyle w:val="JuPara"/>
      </w:pPr>
    </w:p>
    <w:p w:rsidRPr="00DC1F02" w:rsidR="00CD49A7" w:rsidRDefault="00CD49A7">
      <w:pPr>
        <w:pStyle w:val="JuPara"/>
      </w:pPr>
      <w:r w:rsidRPr="00DC1F02">
        <w:t xml:space="preserve">The Court heard addresses by </w:t>
      </w:r>
      <w:r w:rsidRPr="00DC1F02" w:rsidR="00551DAB">
        <w:t>Mr Goebel and Mr Miguel and their replies to questions</w:t>
      </w:r>
      <w:r w:rsidRPr="00DC1F02">
        <w:t>.</w:t>
      </w:r>
    </w:p>
    <w:p w:rsidRPr="00DC1F02" w:rsidR="00CD49A7" w:rsidP="00F92A55" w:rsidRDefault="00CD49A7">
      <w:pPr>
        <w:pStyle w:val="JuHHead"/>
      </w:pPr>
      <w:r w:rsidRPr="00DC1F02">
        <w:t>THE FACTS</w:t>
      </w:r>
    </w:p>
    <w:p w:rsidRPr="00DC1F02" w:rsidR="00CD49A7" w:rsidP="00F92A55" w:rsidRDefault="00CD49A7">
      <w:pPr>
        <w:pStyle w:val="JuHIRoman"/>
      </w:pPr>
      <w:r w:rsidRPr="00DC1F02">
        <w:t>I.  THE CIRCUMSTANCES OF THE CASE</w:t>
      </w:r>
    </w:p>
    <w:p w:rsidRPr="00DC1F02" w:rsidR="00A66D56" w:rsidP="00A66D56" w:rsidRDefault="00E57E8B">
      <w:pPr>
        <w:pStyle w:val="JuPara"/>
        <w:rPr>
          <w:noProof/>
        </w:rPr>
      </w:pPr>
      <w:r w:rsidRPr="00DC1F02">
        <w:fldChar w:fldCharType="begin"/>
      </w:r>
      <w:r w:rsidRPr="00DC1F02">
        <w:instrText xml:space="preserve"> SEQ level0 \*arabic </w:instrText>
      </w:r>
      <w:r w:rsidRPr="00DC1F02">
        <w:fldChar w:fldCharType="separate"/>
      </w:r>
      <w:r w:rsidR="00CF6F43">
        <w:rPr>
          <w:noProof/>
        </w:rPr>
        <w:t>12</w:t>
      </w:r>
      <w:r w:rsidRPr="00DC1F02">
        <w:fldChar w:fldCharType="end"/>
      </w:r>
      <w:r w:rsidRPr="00DC1F02" w:rsidR="00CD49A7">
        <w:t>.  </w:t>
      </w:r>
      <w:r w:rsidRPr="00DC1F02" w:rsidR="00A66D56">
        <w:rPr>
          <w:noProof/>
        </w:rPr>
        <w:t xml:space="preserve">The applicant is an American public company whose registered office is in </w:t>
      </w:r>
      <w:smartTag w:uri="urn:schemas-microsoft-com:office:smarttags" w:element="City">
        <w:r w:rsidR="00A66D56" w:rsidRPr="00DC1F02">
          <w:rPr>
            <w:noProof/>
          </w:rPr>
          <w:t>Saint Louis</w:t>
        </w:r>
      </w:smartTag>
      <w:r w:rsidRPr="00DC1F02" w:rsidR="00A66D56">
        <w:rPr>
          <w:noProof/>
        </w:rPr>
        <w:t xml:space="preserve">, </w:t>
      </w:r>
      <w:smartTag w:uri="urn:schemas-microsoft-com:office:smarttags" w:element="State">
        <w:r w:rsidR="00A66D56" w:rsidRPr="00DC1F02">
          <w:rPr>
            <w:noProof/>
          </w:rPr>
          <w:t>Missouri</w:t>
        </w:r>
      </w:smartTag>
      <w:r w:rsidRPr="00DC1F02" w:rsidR="00A66D56">
        <w:rPr>
          <w:noProof/>
        </w:rPr>
        <w:t xml:space="preserve"> (</w:t>
      </w:r>
      <w:smartTag w:uri="urn:schemas-microsoft-com:office:smarttags" w:element="place">
        <w:smartTag w:uri="urn:schemas-microsoft-com:office:smarttags" w:element="country-region">
          <w:r w:rsidR="00A66D56" w:rsidRPr="00DC1F02">
            <w:rPr>
              <w:noProof/>
            </w:rPr>
            <w:t>United States of America</w:t>
          </w:r>
        </w:smartTag>
      </w:smartTag>
      <w:r w:rsidRPr="00DC1F02" w:rsidR="00A66D56">
        <w:rPr>
          <w:noProof/>
        </w:rPr>
        <w:t>).</w:t>
      </w:r>
      <w:r w:rsidRPr="00DC1F02" w:rsidR="00A66D56">
        <w:t xml:space="preserve"> It produces and sells </w:t>
      </w:r>
      <w:r w:rsidRPr="00DC1F02" w:rsidR="00FE0123">
        <w:t xml:space="preserve">beer </w:t>
      </w:r>
      <w:r w:rsidRPr="00DC1F02" w:rsidR="00A66D56">
        <w:t xml:space="preserve">under the brand name </w:t>
      </w:r>
      <w:r w:rsidRPr="00DC1F02" w:rsidR="00CF7895">
        <w:t>“</w:t>
      </w:r>
      <w:r w:rsidRPr="00DC1F02" w:rsidR="00A66D56">
        <w:rPr>
          <w:iCs/>
          <w:noProof/>
        </w:rPr>
        <w:t>Budweiser</w:t>
      </w:r>
      <w:r w:rsidRPr="00DC1F02" w:rsidR="00CF7895">
        <w:rPr>
          <w:iCs/>
          <w:noProof/>
        </w:rPr>
        <w:t>”</w:t>
      </w:r>
      <w:r w:rsidRPr="00DC1F02" w:rsidR="00A66D56">
        <w:rPr>
          <w:iCs/>
          <w:noProof/>
        </w:rPr>
        <w:t xml:space="preserve"> in a number of countries around the world</w:t>
      </w:r>
      <w:r w:rsidRPr="00DC1F02" w:rsidR="00A66D56">
        <w:rPr>
          <w:noProof/>
        </w:rPr>
        <w:t>.</w:t>
      </w:r>
    </w:p>
    <w:p w:rsidRPr="00DC1F02" w:rsidR="003357F6" w:rsidP="003357F6" w:rsidRDefault="003357F6">
      <w:pPr>
        <w:pStyle w:val="JuHA"/>
      </w:pPr>
      <w:r w:rsidRPr="00DC1F02">
        <w:t>A.  Background to the case</w:t>
      </w:r>
    </w:p>
    <w:p w:rsidRPr="00DC1F02" w:rsidR="00E71F84" w:rsidP="0034600E" w:rsidRDefault="00A66D56">
      <w:pPr>
        <w:pStyle w:val="JuPara"/>
      </w:pPr>
      <w:r w:rsidRPr="00DC1F02">
        <w:fldChar w:fldCharType="begin"/>
      </w:r>
      <w:r w:rsidRPr="00DC1F02">
        <w:instrText xml:space="preserve"> SEQ level0 \*arabic </w:instrText>
      </w:r>
      <w:r w:rsidRPr="00DC1F02">
        <w:fldChar w:fldCharType="separate"/>
      </w:r>
      <w:r w:rsidR="00CF6F43">
        <w:rPr>
          <w:noProof/>
        </w:rPr>
        <w:t>13</w:t>
      </w:r>
      <w:r w:rsidRPr="00DC1F02">
        <w:fldChar w:fldCharType="end"/>
      </w:r>
      <w:r w:rsidRPr="00DC1F02">
        <w:rPr>
          <w:noProof/>
        </w:rPr>
        <w:t>.  </w:t>
      </w:r>
      <w:r w:rsidRPr="00DC1F02" w:rsidR="00E1150E">
        <w:rPr>
          <w:noProof/>
        </w:rPr>
        <w:t xml:space="preserve">The applicant company has sold beer in the </w:t>
      </w:r>
      <w:smartTag w:uri="urn:schemas-microsoft-com:office:smarttags" w:element="place">
        <w:smartTag w:uri="urn:schemas-microsoft-com:office:smarttags" w:element="country-region">
          <w:r w:rsidR="00E1150E" w:rsidRPr="00DC1F02">
            <w:rPr>
              <w:noProof/>
            </w:rPr>
            <w:t>United States</w:t>
          </w:r>
        </w:smartTag>
      </w:smartTag>
      <w:r w:rsidRPr="00DC1F02" w:rsidR="00E1150E">
        <w:rPr>
          <w:noProof/>
        </w:rPr>
        <w:t xml:space="preserve"> under the “</w:t>
      </w:r>
      <w:r w:rsidRPr="00DC1F02" w:rsidR="00E1150E">
        <w:t xml:space="preserve">Budweiser” </w:t>
      </w:r>
      <w:r w:rsidRPr="00DC1F02" w:rsidR="00E1150E">
        <w:rPr>
          <w:noProof/>
        </w:rPr>
        <w:t>mark</w:t>
      </w:r>
      <w:r w:rsidRPr="00DC1F02" w:rsidR="0034600E">
        <w:t xml:space="preserve"> </w:t>
      </w:r>
      <w:r w:rsidRPr="00DC1F02" w:rsidR="00E1150E">
        <w:t>since at least</w:t>
      </w:r>
      <w:r w:rsidRPr="00DC1F02" w:rsidR="0034600E">
        <w:t xml:space="preserve"> 1876. </w:t>
      </w:r>
      <w:r w:rsidRPr="00DC1F02" w:rsidR="00C16682">
        <w:t xml:space="preserve">It </w:t>
      </w:r>
      <w:r w:rsidR="00C16682">
        <w:t>broke into</w:t>
      </w:r>
      <w:r w:rsidRPr="00DC1F02" w:rsidR="00532CCE">
        <w:t xml:space="preserve"> the European markets</w:t>
      </w:r>
      <w:r w:rsidRPr="00C16682" w:rsidR="00C16682">
        <w:t xml:space="preserve"> </w:t>
      </w:r>
      <w:r w:rsidRPr="00DC1F02" w:rsidR="00C16682">
        <w:t>in the 1980s</w:t>
      </w:r>
      <w:r w:rsidR="00C16682">
        <w:t xml:space="preserve"> and</w:t>
      </w:r>
      <w:r w:rsidRPr="00DC1F02" w:rsidR="00513B3E">
        <w:t xml:space="preserve"> says that it began to sell “Budweiser” beer in </w:t>
      </w:r>
      <w:smartTag w:uri="urn:schemas-microsoft-com:office:smarttags" w:element="place">
        <w:smartTag w:uri="urn:schemas-microsoft-com:office:smarttags" w:element="country-region">
          <w:r w:rsidR="00513B3E" w:rsidRPr="00DC1F02">
            <w:t>Portugal</w:t>
          </w:r>
        </w:smartTag>
      </w:smartTag>
      <w:r w:rsidRPr="00DC1F02" w:rsidR="00513B3E">
        <w:t xml:space="preserve"> in July </w:t>
      </w:r>
      <w:r w:rsidRPr="00DC1F02" w:rsidR="0034600E">
        <w:t>1986.</w:t>
      </w:r>
    </w:p>
    <w:p w:rsidRPr="00DC1F02" w:rsidR="00E71F84" w:rsidP="0034600E" w:rsidRDefault="0034600E">
      <w:pPr>
        <w:pStyle w:val="JuPara"/>
      </w:pPr>
      <w:r w:rsidRPr="00DC1F02">
        <w:fldChar w:fldCharType="begin"/>
      </w:r>
      <w:r w:rsidRPr="00DC1F02">
        <w:instrText xml:space="preserve"> SEQ level0 \*arabic </w:instrText>
      </w:r>
      <w:r w:rsidRPr="00DC1F02">
        <w:fldChar w:fldCharType="separate"/>
      </w:r>
      <w:r w:rsidR="00CF6F43">
        <w:rPr>
          <w:noProof/>
        </w:rPr>
        <w:t>14</w:t>
      </w:r>
      <w:r w:rsidRPr="00DC1F02">
        <w:fldChar w:fldCharType="end"/>
      </w:r>
      <w:r w:rsidRPr="00DC1F02">
        <w:t>.  </w:t>
      </w:r>
      <w:r w:rsidRPr="00DC1F02" w:rsidR="001A02A0">
        <w:t>The applicant company</w:t>
      </w:r>
      <w:r w:rsidR="008B5D8B">
        <w:t>’</w:t>
      </w:r>
      <w:r w:rsidRPr="00DC1F02" w:rsidR="001A02A0">
        <w:t xml:space="preserve">s decision to extend the sale of its beers to </w:t>
      </w:r>
      <w:smartTag w:uri="urn:schemas-microsoft-com:office:smarttags" w:element="place">
        <w:r w:rsidR="001A02A0" w:rsidRPr="00DC1F02">
          <w:t>Europe</w:t>
        </w:r>
      </w:smartTag>
      <w:r w:rsidRPr="00DC1F02" w:rsidR="001A02A0">
        <w:t xml:space="preserve"> led to </w:t>
      </w:r>
      <w:r w:rsidRPr="00DC1F02" w:rsidR="000D578B">
        <w:t xml:space="preserve">a </w:t>
      </w:r>
      <w:r w:rsidRPr="00DC1F02" w:rsidR="001A02A0">
        <w:t xml:space="preserve">dispute </w:t>
      </w:r>
      <w:r w:rsidRPr="00DC1F02" w:rsidR="000D578B">
        <w:t>with</w:t>
      </w:r>
      <w:r w:rsidRPr="00DC1F02" w:rsidR="001A02A0">
        <w:t xml:space="preserve"> a Czechoslovak</w:t>
      </w:r>
      <w:r w:rsidR="001A513C">
        <w:t xml:space="preserve"> </w:t>
      </w:r>
      <w:r w:rsidRPr="00DC1F02" w:rsidR="000E361C">
        <w:t>–</w:t>
      </w:r>
      <w:r w:rsidRPr="00DC1F02" w:rsidR="000D578B">
        <w:t xml:space="preserve"> </w:t>
      </w:r>
      <w:r w:rsidR="00C16682">
        <w:t xml:space="preserve">now </w:t>
      </w:r>
      <w:r w:rsidRPr="00DC1F02" w:rsidR="001A02A0">
        <w:t>Czech</w:t>
      </w:r>
      <w:r w:rsidR="001A513C">
        <w:t xml:space="preserve"> </w:t>
      </w:r>
      <w:r w:rsidRPr="00DC1F02" w:rsidR="000E361C">
        <w:t>–</w:t>
      </w:r>
      <w:r w:rsidRPr="00DC1F02">
        <w:t xml:space="preserve"> </w:t>
      </w:r>
      <w:r w:rsidRPr="00DC1F02" w:rsidR="001A513C">
        <w:t xml:space="preserve">company </w:t>
      </w:r>
      <w:r w:rsidRPr="00DC1F02" w:rsidR="000D578B">
        <w:t xml:space="preserve">called </w:t>
      </w:r>
      <w:proofErr w:type="spellStart"/>
      <w:r w:rsidRPr="00DC1F02">
        <w:t>Bud</w:t>
      </w:r>
      <w:r w:rsidR="00FB04B5">
        <w:t>ě</w:t>
      </w:r>
      <w:r w:rsidRPr="00DC1F02">
        <w:t>jovick</w:t>
      </w:r>
      <w:r w:rsidR="00FB04B5">
        <w:t>ý</w:t>
      </w:r>
      <w:proofErr w:type="spellEnd"/>
      <w:r w:rsidRPr="00DC1F02">
        <w:t xml:space="preserve"> </w:t>
      </w:r>
      <w:proofErr w:type="spellStart"/>
      <w:r w:rsidRPr="00DC1F02">
        <w:t>Budvar</w:t>
      </w:r>
      <w:proofErr w:type="spellEnd"/>
      <w:r w:rsidRPr="00DC1F02">
        <w:t xml:space="preserve">. </w:t>
      </w:r>
      <w:proofErr w:type="spellStart"/>
      <w:r w:rsidRPr="00DC1F02" w:rsidR="006A1EDD">
        <w:t>Bud</w:t>
      </w:r>
      <w:r w:rsidR="00FB04B5">
        <w:t>ě</w:t>
      </w:r>
      <w:r w:rsidRPr="00DC1F02" w:rsidR="006A1EDD">
        <w:t>jovick</w:t>
      </w:r>
      <w:r w:rsidR="00FB04B5">
        <w:t>ý</w:t>
      </w:r>
      <w:proofErr w:type="spellEnd"/>
      <w:r w:rsidRPr="00DC1F02" w:rsidR="006A1EDD">
        <w:t xml:space="preserve"> </w:t>
      </w:r>
      <w:proofErr w:type="spellStart"/>
      <w:r w:rsidRPr="00DC1F02" w:rsidR="006A1EDD">
        <w:t>Budvar</w:t>
      </w:r>
      <w:proofErr w:type="spellEnd"/>
      <w:r w:rsidRPr="00DC1F02" w:rsidR="006A1EDD">
        <w:t xml:space="preserve"> produces a beer in the town of </w:t>
      </w:r>
      <w:proofErr w:type="spellStart"/>
      <w:r w:rsidRPr="00DC1F02">
        <w:t>České</w:t>
      </w:r>
      <w:proofErr w:type="spellEnd"/>
      <w:r w:rsidRPr="00DC1F02">
        <w:t xml:space="preserve"> </w:t>
      </w:r>
      <w:proofErr w:type="spellStart"/>
      <w:r w:rsidRPr="00DC1F02">
        <w:t>Budějovice</w:t>
      </w:r>
      <w:proofErr w:type="spellEnd"/>
      <w:r w:rsidRPr="00DC1F02" w:rsidR="006A1EDD">
        <w:t xml:space="preserve"> in </w:t>
      </w:r>
      <w:smartTag w:uri="urn:schemas-microsoft-com:office:smarttags" w:element="State">
        <w:r w:rsidR="006A1EDD" w:rsidRPr="00DC1F02">
          <w:t>Bohemia</w:t>
        </w:r>
      </w:smartTag>
      <w:r w:rsidRPr="00DC1F02">
        <w:t xml:space="preserve"> (</w:t>
      </w:r>
      <w:smartTag w:uri="urn:schemas-microsoft-com:office:smarttags" w:element="place">
        <w:smartTag w:uri="urn:schemas-microsoft-com:office:smarttags" w:element="PlaceName">
          <w:r w:rsidR="006A1EDD" w:rsidRPr="00DC1F02">
            <w:t>Czech</w:t>
          </w:r>
        </w:smartTag>
        <w:r w:rsidR="006A1EDD" w:rsidRPr="00DC1F02">
          <w:t xml:space="preserve"> </w:t>
        </w:r>
        <w:smartTag w:uri="urn:schemas-microsoft-com:office:smarttags" w:element="PlaceType">
          <w:r w:rsidR="006A1EDD" w:rsidRPr="00DC1F02">
            <w:t>Republic</w:t>
          </w:r>
        </w:smartTag>
      </w:smartTag>
      <w:r w:rsidRPr="00DC1F02">
        <w:t>)</w:t>
      </w:r>
      <w:r w:rsidRPr="00DC1F02" w:rsidR="006A1EDD">
        <w:t xml:space="preserve"> which is also called “</w:t>
      </w:r>
      <w:r w:rsidRPr="00DC1F02">
        <w:t>Budweiser</w:t>
      </w:r>
      <w:r w:rsidRPr="00DC1F02" w:rsidR="006A1EDD">
        <w:t>”</w:t>
      </w:r>
      <w:r w:rsidRPr="00DC1F02">
        <w:t xml:space="preserve">. </w:t>
      </w:r>
      <w:r w:rsidRPr="00DC1F02" w:rsidR="00532CCE">
        <w:t>The</w:t>
      </w:r>
      <w:r w:rsidRPr="00DC1F02" w:rsidR="00046E75">
        <w:t xml:space="preserve"> </w:t>
      </w:r>
      <w:r w:rsidR="00C16682">
        <w:t>term</w:t>
      </w:r>
      <w:r w:rsidRPr="00DC1F02" w:rsidR="00046E75">
        <w:t xml:space="preserve"> comes from </w:t>
      </w:r>
      <w:proofErr w:type="spellStart"/>
      <w:r w:rsidRPr="00DC1F02" w:rsidR="000E361C">
        <w:t>Budweis</w:t>
      </w:r>
      <w:proofErr w:type="spellEnd"/>
      <w:r w:rsidRPr="00DC1F02" w:rsidR="000E361C">
        <w:t xml:space="preserve">, </w:t>
      </w:r>
      <w:r w:rsidRPr="00DC1F02" w:rsidR="00046E75">
        <w:t xml:space="preserve">the </w:t>
      </w:r>
      <w:r w:rsidRPr="00DC1F02" w:rsidR="00C16682">
        <w:t xml:space="preserve">German </w:t>
      </w:r>
      <w:r w:rsidR="00C16682">
        <w:t xml:space="preserve">name for the </w:t>
      </w:r>
      <w:r w:rsidRPr="00DC1F02" w:rsidR="000E361C">
        <w:t>town</w:t>
      </w:r>
      <w:r w:rsidRPr="00DC1F02">
        <w:t xml:space="preserve">. </w:t>
      </w:r>
      <w:r w:rsidRPr="00DC1F02" w:rsidR="002A2D7F">
        <w:t xml:space="preserve">The applicant company alleges that </w:t>
      </w:r>
      <w:proofErr w:type="spellStart"/>
      <w:r w:rsidRPr="00DC1F02" w:rsidR="002A2D7F">
        <w:t>Bud</w:t>
      </w:r>
      <w:r w:rsidR="00FB04B5">
        <w:t>ě</w:t>
      </w:r>
      <w:r w:rsidRPr="00DC1F02" w:rsidR="002A2D7F">
        <w:t>jovick</w:t>
      </w:r>
      <w:r w:rsidR="00FB04B5">
        <w:t>ý</w:t>
      </w:r>
      <w:proofErr w:type="spellEnd"/>
      <w:r w:rsidRPr="00DC1F02" w:rsidR="002A2D7F">
        <w:t xml:space="preserve"> </w:t>
      </w:r>
      <w:proofErr w:type="spellStart"/>
      <w:r w:rsidRPr="00DC1F02" w:rsidR="002A2D7F">
        <w:t>Budvar</w:t>
      </w:r>
      <w:proofErr w:type="spellEnd"/>
      <w:r w:rsidRPr="00DC1F02" w:rsidR="002A2D7F">
        <w:t xml:space="preserve"> has only been</w:t>
      </w:r>
      <w:r w:rsidRPr="00DC1F02" w:rsidR="000E361C">
        <w:t xml:space="preserve"> marketing beer under the “Budweiser” name</w:t>
      </w:r>
      <w:r w:rsidRPr="00DC1F02" w:rsidR="002A2D7F">
        <w:t xml:space="preserve"> since</w:t>
      </w:r>
      <w:r w:rsidRPr="00DC1F02">
        <w:t xml:space="preserve"> 1895, </w:t>
      </w:r>
      <w:r w:rsidRPr="00DC1F02" w:rsidR="002A2D7F">
        <w:t xml:space="preserve">whereas </w:t>
      </w:r>
      <w:proofErr w:type="spellStart"/>
      <w:r w:rsidRPr="00DC1F02" w:rsidR="00C16682">
        <w:t>Bud</w:t>
      </w:r>
      <w:r w:rsidR="00FB04B5">
        <w:t>ě</w:t>
      </w:r>
      <w:r w:rsidRPr="00DC1F02" w:rsidR="00C16682">
        <w:t>jovick</w:t>
      </w:r>
      <w:r w:rsidR="00FB04B5">
        <w:t>ý</w:t>
      </w:r>
      <w:proofErr w:type="spellEnd"/>
      <w:r w:rsidRPr="00DC1F02" w:rsidR="00C16682">
        <w:t xml:space="preserve"> </w:t>
      </w:r>
      <w:proofErr w:type="spellStart"/>
      <w:r w:rsidRPr="00DC1F02" w:rsidR="00C16682">
        <w:t>Budvar</w:t>
      </w:r>
      <w:proofErr w:type="spellEnd"/>
      <w:r w:rsidRPr="00DC1F02" w:rsidR="002A2D7F">
        <w:t xml:space="preserve"> </w:t>
      </w:r>
      <w:r w:rsidRPr="00DC1F02" w:rsidR="000E361C">
        <w:t>says</w:t>
      </w:r>
      <w:r w:rsidRPr="00DC1F02" w:rsidR="002A2D7F">
        <w:t xml:space="preserve"> that </w:t>
      </w:r>
      <w:r w:rsidRPr="00DC1F02" w:rsidR="000E361C">
        <w:t>it has been entitled</w:t>
      </w:r>
      <w:r w:rsidRPr="00DC1F02" w:rsidR="002A2D7F">
        <w:t xml:space="preserve"> to use that appellation </w:t>
      </w:r>
      <w:r w:rsidRPr="00DC1F02" w:rsidR="000E361C">
        <w:t>since</w:t>
      </w:r>
      <w:r w:rsidRPr="00DC1F02" w:rsidR="002A2D7F">
        <w:t xml:space="preserve"> 1265</w:t>
      </w:r>
      <w:r w:rsidRPr="00DC1F02" w:rsidR="000E361C">
        <w:t>,</w:t>
      </w:r>
      <w:r w:rsidRPr="00DC1F02" w:rsidR="002A2D7F">
        <w:t xml:space="preserve"> when King </w:t>
      </w:r>
      <w:proofErr w:type="spellStart"/>
      <w:r w:rsidRPr="00DC1F02">
        <w:t>O</w:t>
      </w:r>
      <w:r w:rsidRPr="00DC1F02" w:rsidR="002A2D7F">
        <w:t>t</w:t>
      </w:r>
      <w:r w:rsidRPr="00DC1F02">
        <w:t>takar</w:t>
      </w:r>
      <w:proofErr w:type="spellEnd"/>
      <w:r w:rsidRPr="00DC1F02">
        <w:t xml:space="preserve"> II </w:t>
      </w:r>
      <w:r w:rsidRPr="00DC1F02" w:rsidR="002A2D7F">
        <w:t xml:space="preserve">of </w:t>
      </w:r>
      <w:smartTag w:uri="urn:schemas-microsoft-com:office:smarttags" w:element="place">
        <w:smartTag w:uri="urn:schemas-microsoft-com:office:smarttags" w:element="State">
          <w:r w:rsidR="002A2D7F" w:rsidRPr="00DC1F02">
            <w:t>Bohemia</w:t>
          </w:r>
        </w:smartTag>
      </w:smartTag>
      <w:r w:rsidRPr="00DC1F02" w:rsidR="002A2D7F">
        <w:t xml:space="preserve"> conferred the right to produce the beer on a number of independent brewers in </w:t>
      </w:r>
      <w:proofErr w:type="spellStart"/>
      <w:r w:rsidRPr="00DC1F02">
        <w:t>České</w:t>
      </w:r>
      <w:proofErr w:type="spellEnd"/>
      <w:r w:rsidRPr="00DC1F02">
        <w:t xml:space="preserve"> </w:t>
      </w:r>
      <w:proofErr w:type="spellStart"/>
      <w:r w:rsidRPr="00DC1F02">
        <w:t>Budějovice</w:t>
      </w:r>
      <w:proofErr w:type="spellEnd"/>
      <w:r w:rsidRPr="00DC1F02">
        <w:t xml:space="preserve"> (</w:t>
      </w:r>
      <w:proofErr w:type="spellStart"/>
      <w:r w:rsidRPr="00DC1F02">
        <w:t>Budweis</w:t>
      </w:r>
      <w:proofErr w:type="spellEnd"/>
      <w:r w:rsidRPr="00DC1F02" w:rsidR="002A2D7F">
        <w:t xml:space="preserve"> in German</w:t>
      </w:r>
      <w:r w:rsidRPr="00DC1F02">
        <w:t xml:space="preserve">). </w:t>
      </w:r>
      <w:r w:rsidRPr="00DC1F02" w:rsidR="002A2D7F">
        <w:t xml:space="preserve">The brewers used a special </w:t>
      </w:r>
      <w:r w:rsidRPr="00DC1F02" w:rsidR="00532CCE">
        <w:t>technique</w:t>
      </w:r>
      <w:r w:rsidRPr="00DC1F02" w:rsidR="002A2D7F">
        <w:t xml:space="preserve"> and beers produced by this me</w:t>
      </w:r>
      <w:r w:rsidRPr="00DC1F02" w:rsidR="00532CCE">
        <w:t>thod</w:t>
      </w:r>
      <w:r w:rsidRPr="00DC1F02" w:rsidR="002A2D7F">
        <w:t xml:space="preserve"> became known by the </w:t>
      </w:r>
      <w:r w:rsidRPr="00DC1F02" w:rsidR="000E361C">
        <w:t>term</w:t>
      </w:r>
      <w:r w:rsidRPr="00DC1F02" w:rsidR="002A2D7F">
        <w:t xml:space="preserve"> “</w:t>
      </w:r>
      <w:r w:rsidRPr="00DC1F02">
        <w:t>Budweiser</w:t>
      </w:r>
      <w:r w:rsidRPr="00DC1F02" w:rsidR="002A2D7F">
        <w:t>”</w:t>
      </w:r>
      <w:r w:rsidRPr="00DC1F02">
        <w:t xml:space="preserve">, </w:t>
      </w:r>
      <w:r w:rsidRPr="00DC1F02" w:rsidR="002A2D7F">
        <w:t>just as beers produced using the methods of another Czech town</w:t>
      </w:r>
      <w:r w:rsidRPr="00DC1F02">
        <w:t xml:space="preserve">, </w:t>
      </w:r>
      <w:proofErr w:type="spellStart"/>
      <w:r w:rsidRPr="00DC1F02">
        <w:t>Plzeň</w:t>
      </w:r>
      <w:proofErr w:type="spellEnd"/>
      <w:r w:rsidRPr="00DC1F02">
        <w:t xml:space="preserve"> (</w:t>
      </w:r>
      <w:proofErr w:type="spellStart"/>
      <w:r w:rsidRPr="00DC1F02">
        <w:t>Pilsen</w:t>
      </w:r>
      <w:proofErr w:type="spellEnd"/>
      <w:r w:rsidRPr="00DC1F02" w:rsidR="002A2D7F">
        <w:t xml:space="preserve"> in German</w:t>
      </w:r>
      <w:r w:rsidRPr="00DC1F02">
        <w:t xml:space="preserve">), </w:t>
      </w:r>
      <w:r w:rsidRPr="00DC1F02" w:rsidR="002A2D7F">
        <w:t>became known as</w:t>
      </w:r>
      <w:r w:rsidRPr="00DC1F02">
        <w:t xml:space="preserve"> </w:t>
      </w:r>
      <w:r w:rsidRPr="00DC1F02" w:rsidR="002A2D7F">
        <w:t>“</w:t>
      </w:r>
      <w:r w:rsidRPr="00DC1F02">
        <w:t>Pilsner</w:t>
      </w:r>
      <w:r w:rsidRPr="00DC1F02" w:rsidR="002A2D7F">
        <w:t>”</w:t>
      </w:r>
      <w:r w:rsidRPr="00DC1F02">
        <w:t>.</w:t>
      </w:r>
    </w:p>
    <w:p w:rsidRPr="00DC1F02" w:rsidR="00A457F5" w:rsidP="0034600E" w:rsidRDefault="0034600E">
      <w:pPr>
        <w:pStyle w:val="JuPara"/>
      </w:pPr>
      <w:r w:rsidRPr="00DC1F02">
        <w:fldChar w:fldCharType="begin"/>
      </w:r>
      <w:r w:rsidRPr="00DC1F02">
        <w:instrText xml:space="preserve"> SEQ level0 \*arabic </w:instrText>
      </w:r>
      <w:r w:rsidRPr="00DC1F02">
        <w:fldChar w:fldCharType="separate"/>
      </w:r>
      <w:r w:rsidR="00CF6F43">
        <w:rPr>
          <w:noProof/>
        </w:rPr>
        <w:t>15</w:t>
      </w:r>
      <w:r w:rsidRPr="00DC1F02">
        <w:fldChar w:fldCharType="end"/>
      </w:r>
      <w:r w:rsidRPr="00DC1F02">
        <w:t>.  </w:t>
      </w:r>
      <w:r w:rsidRPr="00DC1F02" w:rsidR="00A837AF">
        <w:t xml:space="preserve">According to </w:t>
      </w:r>
      <w:r w:rsidRPr="00DC1F02" w:rsidR="000E361C">
        <w:t xml:space="preserve">the </w:t>
      </w:r>
      <w:r w:rsidRPr="00DC1F02" w:rsidR="00532CCE">
        <w:t>information</w:t>
      </w:r>
      <w:r w:rsidRPr="00DC1F02" w:rsidR="000E361C">
        <w:t xml:space="preserve"> before</w:t>
      </w:r>
      <w:r w:rsidRPr="00DC1F02" w:rsidR="00A837AF">
        <w:t xml:space="preserve"> the Court</w:t>
      </w:r>
      <w:r w:rsidRPr="00DC1F02" w:rsidR="000E361C">
        <w:t>,</w:t>
      </w:r>
      <w:r w:rsidRPr="00DC1F02" w:rsidR="00A837AF">
        <w:t xml:space="preserve"> the applicant company concluded two agreements in 1911 and 1939 with </w:t>
      </w:r>
      <w:proofErr w:type="spellStart"/>
      <w:r w:rsidRPr="00DC1F02" w:rsidR="00A837AF">
        <w:t>Bud</w:t>
      </w:r>
      <w:r w:rsidR="00FB04B5">
        <w:t>ě</w:t>
      </w:r>
      <w:r w:rsidRPr="00DC1F02" w:rsidR="00A837AF">
        <w:t>jovick</w:t>
      </w:r>
      <w:r w:rsidR="00FB04B5">
        <w:t>ý</w:t>
      </w:r>
      <w:proofErr w:type="spellEnd"/>
      <w:r w:rsidR="00FB04B5">
        <w:t xml:space="preserve"> </w:t>
      </w:r>
      <w:proofErr w:type="spellStart"/>
      <w:r w:rsidRPr="00DC1F02" w:rsidR="00A837AF">
        <w:t>Budvar</w:t>
      </w:r>
      <w:proofErr w:type="spellEnd"/>
      <w:r w:rsidRPr="00DC1F02" w:rsidR="00A837AF">
        <w:t xml:space="preserve"> concerning the distribution and sale of “Budweiser” beer in the </w:t>
      </w:r>
      <w:smartTag w:uri="urn:schemas-microsoft-com:office:smarttags" w:element="place">
        <w:smartTag w:uri="urn:schemas-microsoft-com:office:smarttags" w:element="country-region">
          <w:r w:rsidR="00A837AF" w:rsidRPr="00DC1F02">
            <w:t>United States</w:t>
          </w:r>
        </w:smartTag>
      </w:smartTag>
      <w:r w:rsidRPr="00DC1F02" w:rsidR="00A837AF">
        <w:t>.</w:t>
      </w:r>
      <w:r w:rsidRPr="00DC1F02" w:rsidR="00A457F5">
        <w:t xml:space="preserve"> However, these agreements did not deal with the question of the right to use the</w:t>
      </w:r>
      <w:r w:rsidRPr="00DC1F02" w:rsidR="00A837AF">
        <w:t xml:space="preserve"> </w:t>
      </w:r>
      <w:r w:rsidRPr="00DC1F02" w:rsidR="00A457F5">
        <w:t>“</w:t>
      </w:r>
      <w:r w:rsidRPr="00DC1F02">
        <w:t>Budweiser</w:t>
      </w:r>
      <w:r w:rsidRPr="00DC1F02" w:rsidR="00A457F5">
        <w:t>”</w:t>
      </w:r>
      <w:r w:rsidRPr="00DC1F02">
        <w:t xml:space="preserve"> </w:t>
      </w:r>
      <w:r w:rsidRPr="00DC1F02" w:rsidR="00A457F5">
        <w:t xml:space="preserve">name in </w:t>
      </w:r>
      <w:smartTag w:uri="urn:schemas-microsoft-com:office:smarttags" w:element="place">
        <w:r w:rsidR="00A457F5" w:rsidRPr="00DC1F02">
          <w:t>Europe</w:t>
        </w:r>
      </w:smartTag>
      <w:r w:rsidRPr="00DC1F02" w:rsidR="00A457F5">
        <w:t>. As a result, the two companies became embroiled in a seri</w:t>
      </w:r>
      <w:r w:rsidRPr="00DC1F02" w:rsidR="000E361C">
        <w:t>es</w:t>
      </w:r>
      <w:r w:rsidRPr="00DC1F02" w:rsidR="00A457F5">
        <w:t xml:space="preserve"> of legal proceedings over the right to use the </w:t>
      </w:r>
      <w:r w:rsidRPr="00DC1F02" w:rsidR="00B85FD6">
        <w:t xml:space="preserve">term </w:t>
      </w:r>
      <w:r w:rsidRPr="00DC1F02" w:rsidR="00A457F5">
        <w:t>“</w:t>
      </w:r>
      <w:r w:rsidRPr="00DC1F02">
        <w:t>Budweiser</w:t>
      </w:r>
      <w:r w:rsidRPr="00DC1F02" w:rsidR="00A457F5">
        <w:t>”</w:t>
      </w:r>
      <w:r w:rsidRPr="00DC1F02">
        <w:t xml:space="preserve"> </w:t>
      </w:r>
      <w:r w:rsidRPr="00DC1F02" w:rsidR="00A457F5">
        <w:t xml:space="preserve">in various European </w:t>
      </w:r>
      <w:r w:rsidR="00C1286A">
        <w:t>countries</w:t>
      </w:r>
      <w:r w:rsidRPr="00DC1F02" w:rsidR="00A457F5">
        <w:t xml:space="preserve">, including </w:t>
      </w:r>
      <w:smartTag w:uri="urn:schemas-microsoft-com:office:smarttags" w:element="place">
        <w:smartTag w:uri="urn:schemas-microsoft-com:office:smarttags" w:element="country-region">
          <w:r w:rsidR="00A457F5" w:rsidRPr="00DC1F02">
            <w:t>Portugal</w:t>
          </w:r>
        </w:smartTag>
      </w:smartTag>
      <w:r w:rsidRPr="00DC1F02" w:rsidR="00A457F5">
        <w:t>.</w:t>
      </w:r>
    </w:p>
    <w:p w:rsidRPr="00DC1F02" w:rsidR="0034600E" w:rsidP="0034600E" w:rsidRDefault="0034600E">
      <w:pPr>
        <w:pStyle w:val="JuHA"/>
      </w:pPr>
      <w:r w:rsidRPr="00DC1F02">
        <w:t xml:space="preserve">B.  Application for registration of the </w:t>
      </w:r>
      <w:r w:rsidR="00165859">
        <w:t xml:space="preserve">trade </w:t>
      </w:r>
      <w:r w:rsidRPr="00DC1F02">
        <w:t xml:space="preserve">mark in </w:t>
      </w:r>
      <w:smartTag w:uri="urn:schemas-microsoft-com:office:smarttags" w:element="place">
        <w:smartTag w:uri="urn:schemas-microsoft-com:office:smarttags" w:element="country-region">
          <w:r w:rsidRPr="00DC1F02">
            <w:t>Portugal</w:t>
          </w:r>
        </w:smartTag>
      </w:smartTag>
    </w:p>
    <w:p w:rsidRPr="00DC1F02" w:rsidR="00E71F84" w:rsidP="00F06838" w:rsidRDefault="0034600E">
      <w:pPr>
        <w:pStyle w:val="JuParaChar"/>
        <w:rPr>
          <w:lang w:val="en-GB"/>
        </w:rPr>
      </w:pPr>
      <w:r w:rsidRPr="00DC1F02">
        <w:rPr>
          <w:noProof/>
          <w:lang w:val="en-GB"/>
        </w:rPr>
        <w:fldChar w:fldCharType="begin"/>
      </w:r>
      <w:r w:rsidRPr="00DC1F02">
        <w:rPr>
          <w:noProof/>
          <w:lang w:val="en-GB"/>
        </w:rPr>
        <w:instrText xml:space="preserve"> SEQ level0 \*arabic </w:instrText>
      </w:r>
      <w:r w:rsidRPr="00DC1F02">
        <w:rPr>
          <w:noProof/>
          <w:lang w:val="en-GB"/>
        </w:rPr>
        <w:fldChar w:fldCharType="separate"/>
      </w:r>
      <w:r w:rsidR="00CF6F43">
        <w:rPr>
          <w:noProof/>
          <w:lang w:val="en-GB"/>
        </w:rPr>
        <w:t>16</w:t>
      </w:r>
      <w:r w:rsidRPr="00DC1F02">
        <w:rPr>
          <w:noProof/>
          <w:lang w:val="en-GB"/>
        </w:rPr>
        <w:fldChar w:fldCharType="end"/>
      </w:r>
      <w:r w:rsidRPr="00DC1F02">
        <w:rPr>
          <w:noProof/>
          <w:lang w:val="en-GB"/>
        </w:rPr>
        <w:t>.  </w:t>
      </w:r>
      <w:r w:rsidRPr="00DC1F02" w:rsidR="00A66D56">
        <w:rPr>
          <w:noProof/>
          <w:lang w:val="en-GB"/>
        </w:rPr>
        <w:t>On 19 May 1981 the applicant company applied to the National Institute for Industrial Property (</w:t>
      </w:r>
      <w:r w:rsidRPr="00DC1F02" w:rsidR="007B120E">
        <w:rPr>
          <w:noProof/>
          <w:lang w:val="en-GB"/>
        </w:rPr>
        <w:t>NIIP</w:t>
      </w:r>
      <w:r w:rsidRPr="00DC1F02" w:rsidR="00A66D56">
        <w:rPr>
          <w:noProof/>
          <w:lang w:val="en-GB"/>
        </w:rPr>
        <w:t xml:space="preserve">) to register </w:t>
      </w:r>
      <w:r w:rsidRPr="00DC1F02" w:rsidR="00CF7895">
        <w:rPr>
          <w:noProof/>
          <w:lang w:val="en-GB"/>
        </w:rPr>
        <w:t>“</w:t>
      </w:r>
      <w:r w:rsidRPr="00DC1F02" w:rsidR="00A66D56">
        <w:rPr>
          <w:iCs/>
          <w:noProof/>
          <w:lang w:val="en-GB"/>
        </w:rPr>
        <w:t>Budweiser</w:t>
      </w:r>
      <w:r w:rsidRPr="00DC1F02" w:rsidR="00CF7895">
        <w:rPr>
          <w:iCs/>
          <w:noProof/>
          <w:lang w:val="en-GB"/>
        </w:rPr>
        <w:t>”</w:t>
      </w:r>
      <w:r w:rsidRPr="00DC1F02" w:rsidR="00A66D56">
        <w:rPr>
          <w:noProof/>
          <w:lang w:val="en-GB"/>
        </w:rPr>
        <w:t xml:space="preserve"> as a trade</w:t>
      </w:r>
      <w:r w:rsidRPr="00DC1F02" w:rsidR="00CF7895">
        <w:rPr>
          <w:noProof/>
          <w:lang w:val="en-GB"/>
        </w:rPr>
        <w:t xml:space="preserve"> </w:t>
      </w:r>
      <w:r w:rsidRPr="00DC1F02" w:rsidR="00A66D56">
        <w:rPr>
          <w:noProof/>
          <w:lang w:val="en-GB"/>
        </w:rPr>
        <w:t xml:space="preserve">mark on the </w:t>
      </w:r>
      <w:r w:rsidRPr="00DC1F02" w:rsidR="00CF7895">
        <w:rPr>
          <w:noProof/>
          <w:lang w:val="en-GB"/>
        </w:rPr>
        <w:t xml:space="preserve">industrial-property </w:t>
      </w:r>
      <w:r w:rsidRPr="00DC1F02" w:rsidR="00A66D56">
        <w:rPr>
          <w:noProof/>
          <w:lang w:val="en-GB"/>
        </w:rPr>
        <w:t>register.</w:t>
      </w:r>
      <w:r w:rsidRPr="00DC1F02" w:rsidR="00A66D56">
        <w:rPr>
          <w:lang w:val="en-GB"/>
        </w:rPr>
        <w:t xml:space="preserve"> </w:t>
      </w:r>
      <w:r w:rsidRPr="00DC1F02" w:rsidR="00A66D56">
        <w:rPr>
          <w:noProof/>
          <w:lang w:val="en-GB"/>
        </w:rPr>
        <w:t xml:space="preserve">The </w:t>
      </w:r>
      <w:r w:rsidRPr="00DC1F02" w:rsidR="007B120E">
        <w:rPr>
          <w:noProof/>
          <w:lang w:val="en-GB"/>
        </w:rPr>
        <w:t>NIIP</w:t>
      </w:r>
      <w:r w:rsidRPr="00DC1F02" w:rsidR="00A66D56">
        <w:rPr>
          <w:noProof/>
          <w:lang w:val="en-GB"/>
        </w:rPr>
        <w:t xml:space="preserve"> did not grant the application immediately because </w:t>
      </w:r>
      <w:r w:rsidRPr="00DC1F02" w:rsidR="007B120E">
        <w:rPr>
          <w:noProof/>
          <w:lang w:val="en-GB"/>
        </w:rPr>
        <w:t xml:space="preserve">it was opposed by </w:t>
      </w:r>
      <w:r w:rsidRPr="00DC1F02" w:rsidR="00A66D56">
        <w:rPr>
          <w:noProof/>
          <w:lang w:val="en-GB"/>
        </w:rPr>
        <w:t>Bud</w:t>
      </w:r>
      <w:r w:rsidR="00FB04B5">
        <w:rPr>
          <w:noProof/>
          <w:lang w:val="en-GB"/>
        </w:rPr>
        <w:t>ě</w:t>
      </w:r>
      <w:r w:rsidRPr="00DC1F02" w:rsidR="00A66D56">
        <w:rPr>
          <w:noProof/>
          <w:lang w:val="en-GB"/>
        </w:rPr>
        <w:t>jovick</w:t>
      </w:r>
      <w:r w:rsidR="00FB04B5">
        <w:rPr>
          <w:noProof/>
          <w:lang w:val="en-GB"/>
        </w:rPr>
        <w:t>ý</w:t>
      </w:r>
      <w:r w:rsidRPr="00DC1F02" w:rsidR="00A66D56">
        <w:rPr>
          <w:noProof/>
          <w:lang w:val="en-GB"/>
        </w:rPr>
        <w:t xml:space="preserve"> Budvar, </w:t>
      </w:r>
      <w:r w:rsidRPr="00DC1F02" w:rsidR="007B120E">
        <w:rPr>
          <w:noProof/>
          <w:lang w:val="en-GB"/>
        </w:rPr>
        <w:t>which</w:t>
      </w:r>
      <w:r w:rsidRPr="00DC1F02" w:rsidR="00CF7895">
        <w:rPr>
          <w:noProof/>
          <w:lang w:val="en-GB"/>
        </w:rPr>
        <w:t xml:space="preserve"> </w:t>
      </w:r>
      <w:r w:rsidRPr="00DC1F02" w:rsidR="004F18AE">
        <w:rPr>
          <w:noProof/>
          <w:lang w:val="en-GB"/>
        </w:rPr>
        <w:t xml:space="preserve">alleged that </w:t>
      </w:r>
      <w:r w:rsidRPr="00DC1F02" w:rsidR="003B0A62">
        <w:rPr>
          <w:noProof/>
          <w:lang w:val="en-GB"/>
        </w:rPr>
        <w:t>“</w:t>
      </w:r>
      <w:r w:rsidRPr="00DC1F02" w:rsidR="003B0A62">
        <w:rPr>
          <w:iCs/>
          <w:noProof/>
          <w:lang w:val="en-GB"/>
        </w:rPr>
        <w:t>Budweiser Bier”</w:t>
      </w:r>
      <w:r w:rsidRPr="00DC1F02" w:rsidR="003B0A62">
        <w:rPr>
          <w:noProof/>
          <w:lang w:val="en-GB"/>
        </w:rPr>
        <w:t xml:space="preserve"> had been registered in its name as an appellation of origin since 1968.</w:t>
      </w:r>
      <w:r w:rsidRPr="00DC1F02" w:rsidR="007414BE">
        <w:rPr>
          <w:noProof/>
          <w:lang w:val="en-GB"/>
        </w:rPr>
        <w:t xml:space="preserve"> </w:t>
      </w:r>
      <w:proofErr w:type="spellStart"/>
      <w:r w:rsidRPr="00DC1F02" w:rsidR="00F06838">
        <w:rPr>
          <w:lang w:val="en-GB"/>
        </w:rPr>
        <w:t>Bud</w:t>
      </w:r>
      <w:r w:rsidR="00FB04B5">
        <w:rPr>
          <w:lang w:val="en-GB"/>
        </w:rPr>
        <w:t>ě</w:t>
      </w:r>
      <w:r w:rsidRPr="00DC1F02" w:rsidR="00F06838">
        <w:rPr>
          <w:lang w:val="en-GB"/>
        </w:rPr>
        <w:t>jovick</w:t>
      </w:r>
      <w:r w:rsidR="00FB04B5">
        <w:rPr>
          <w:lang w:val="en-GB"/>
        </w:rPr>
        <w:t>ý</w:t>
      </w:r>
      <w:proofErr w:type="spellEnd"/>
      <w:r w:rsidRPr="00DC1F02" w:rsidR="00F06838">
        <w:rPr>
          <w:lang w:val="en-GB"/>
        </w:rPr>
        <w:t xml:space="preserve"> </w:t>
      </w:r>
      <w:proofErr w:type="spellStart"/>
      <w:r w:rsidRPr="00DC1F02" w:rsidR="00F06838">
        <w:rPr>
          <w:lang w:val="en-GB"/>
        </w:rPr>
        <w:t>Budvar</w:t>
      </w:r>
      <w:proofErr w:type="spellEnd"/>
      <w:r w:rsidRPr="00DC1F02" w:rsidR="00F06838">
        <w:rPr>
          <w:lang w:val="en-GB"/>
        </w:rPr>
        <w:t xml:space="preserve"> </w:t>
      </w:r>
      <w:r w:rsidRPr="00DC1F02" w:rsidR="009E3C56">
        <w:rPr>
          <w:lang w:val="en-GB"/>
        </w:rPr>
        <w:t xml:space="preserve">had </w:t>
      </w:r>
      <w:r w:rsidRPr="00DC1F02" w:rsidR="00F06838">
        <w:rPr>
          <w:lang w:val="en-GB"/>
        </w:rPr>
        <w:t xml:space="preserve">effected the registration </w:t>
      </w:r>
      <w:r w:rsidRPr="00DC1F02" w:rsidR="009E3C56">
        <w:rPr>
          <w:lang w:val="en-GB"/>
        </w:rPr>
        <w:t>u</w:t>
      </w:r>
      <w:r w:rsidRPr="00DC1F02" w:rsidR="00F06838">
        <w:rPr>
          <w:lang w:val="en-GB"/>
        </w:rPr>
        <w:t>nd</w:t>
      </w:r>
      <w:r w:rsidRPr="00DC1F02" w:rsidR="009E3C56">
        <w:rPr>
          <w:lang w:val="en-GB"/>
        </w:rPr>
        <w:t>er</w:t>
      </w:r>
      <w:r w:rsidRPr="00DC1F02" w:rsidR="00F06838">
        <w:rPr>
          <w:lang w:val="en-GB"/>
        </w:rPr>
        <w:t xml:space="preserve"> the terms of the Lisbon Agreement </w:t>
      </w:r>
      <w:r w:rsidRPr="00DC1F02" w:rsidR="008653ED">
        <w:rPr>
          <w:lang w:val="en-GB"/>
        </w:rPr>
        <w:t>of 31 October 1958</w:t>
      </w:r>
      <w:r w:rsidR="008653ED">
        <w:rPr>
          <w:lang w:val="en-GB"/>
        </w:rPr>
        <w:t xml:space="preserve"> </w:t>
      </w:r>
      <w:r w:rsidRPr="00DC1F02" w:rsidR="00F06838">
        <w:rPr>
          <w:lang w:val="en-GB"/>
        </w:rPr>
        <w:t xml:space="preserve">for the Protection of Appellations of Origin and their International Registration </w:t>
      </w:r>
      <w:r w:rsidRPr="00DC1F02" w:rsidR="007414BE">
        <w:rPr>
          <w:lang w:val="en-GB"/>
        </w:rPr>
        <w:t>(</w:t>
      </w:r>
      <w:r w:rsidRPr="00DC1F02" w:rsidR="00F06838">
        <w:rPr>
          <w:lang w:val="en-GB"/>
        </w:rPr>
        <w:t>see paragraph</w:t>
      </w:r>
      <w:r w:rsidRPr="00DC1F02" w:rsidR="007414BE">
        <w:rPr>
          <w:lang w:val="en-GB"/>
        </w:rPr>
        <w:t xml:space="preserve"> 33</w:t>
      </w:r>
      <w:r w:rsidRPr="00DC1F02" w:rsidR="00F06838">
        <w:rPr>
          <w:lang w:val="en-GB"/>
        </w:rPr>
        <w:t xml:space="preserve"> below</w:t>
      </w:r>
      <w:r w:rsidRPr="00DC1F02" w:rsidR="007414BE">
        <w:rPr>
          <w:lang w:val="en-GB"/>
        </w:rPr>
        <w:t>).</w:t>
      </w:r>
    </w:p>
    <w:p w:rsidRPr="00DC1F02" w:rsidR="0050052B" w:rsidP="007414BE" w:rsidRDefault="007414BE">
      <w:pPr>
        <w:pStyle w:val="Jup"/>
        <w:rPr>
          <w:lang w:val="en-GB"/>
        </w:rPr>
      </w:pPr>
      <w:r w:rsidRPr="00DC1F02">
        <w:rPr>
          <w:lang w:val="en-GB"/>
        </w:rPr>
        <w:fldChar w:fldCharType="begin"/>
      </w:r>
      <w:r w:rsidRPr="00DC1F02">
        <w:rPr>
          <w:lang w:val="en-GB"/>
        </w:rPr>
        <w:instrText xml:space="preserve"> SEQ level0 \*arabic </w:instrText>
      </w:r>
      <w:r w:rsidRPr="00DC1F02">
        <w:rPr>
          <w:lang w:val="en-GB"/>
        </w:rPr>
        <w:fldChar w:fldCharType="separate"/>
      </w:r>
      <w:r w:rsidR="00CF6F43">
        <w:rPr>
          <w:noProof/>
          <w:lang w:val="en-GB"/>
        </w:rPr>
        <w:t>17</w:t>
      </w:r>
      <w:r w:rsidRPr="00DC1F02">
        <w:rPr>
          <w:lang w:val="en-GB"/>
        </w:rPr>
        <w:fldChar w:fldCharType="end"/>
      </w:r>
      <w:r w:rsidRPr="00DC1F02">
        <w:rPr>
          <w:lang w:val="en-GB"/>
        </w:rPr>
        <w:t>.  </w:t>
      </w:r>
      <w:r w:rsidRPr="00DC1F02" w:rsidR="0050052B">
        <w:rPr>
          <w:lang w:val="en-GB"/>
        </w:rPr>
        <w:t xml:space="preserve">Negotiations took place throughout the 1980s with a view to resolving the dispute between the applicant company and </w:t>
      </w:r>
      <w:proofErr w:type="spellStart"/>
      <w:r w:rsidRPr="00DC1F02" w:rsidR="0050052B">
        <w:rPr>
          <w:lang w:val="en-GB"/>
        </w:rPr>
        <w:t>Bud</w:t>
      </w:r>
      <w:r w:rsidR="00FB04B5">
        <w:rPr>
          <w:lang w:val="en-GB"/>
        </w:rPr>
        <w:t>ě</w:t>
      </w:r>
      <w:r w:rsidRPr="00DC1F02" w:rsidR="0050052B">
        <w:rPr>
          <w:lang w:val="en-GB"/>
        </w:rPr>
        <w:t>jovick</w:t>
      </w:r>
      <w:r w:rsidR="00FB04B5">
        <w:rPr>
          <w:lang w:val="en-GB"/>
        </w:rPr>
        <w:t>ý</w:t>
      </w:r>
      <w:proofErr w:type="spellEnd"/>
      <w:r w:rsidRPr="00DC1F02" w:rsidR="0050052B">
        <w:rPr>
          <w:lang w:val="en-GB"/>
        </w:rPr>
        <w:t xml:space="preserve"> </w:t>
      </w:r>
      <w:proofErr w:type="spellStart"/>
      <w:r w:rsidRPr="00DC1F02" w:rsidR="0050052B">
        <w:rPr>
          <w:lang w:val="en-GB"/>
        </w:rPr>
        <w:t>Budvar</w:t>
      </w:r>
      <w:proofErr w:type="spellEnd"/>
      <w:r w:rsidRPr="00DC1F02" w:rsidR="0050052B">
        <w:rPr>
          <w:lang w:val="en-GB"/>
        </w:rPr>
        <w:t>. According to the applicant company, in 1982 the negotiations even led to an agreement being drawn up concerning the use of the “</w:t>
      </w:r>
      <w:r w:rsidRPr="00DC1F02">
        <w:rPr>
          <w:lang w:val="en-GB"/>
        </w:rPr>
        <w:t>Budweiser</w:t>
      </w:r>
      <w:r w:rsidRPr="00DC1F02" w:rsidR="0050052B">
        <w:rPr>
          <w:lang w:val="en-GB"/>
        </w:rPr>
        <w:t>”</w:t>
      </w:r>
      <w:r w:rsidRPr="00DC1F02">
        <w:rPr>
          <w:lang w:val="en-GB"/>
        </w:rPr>
        <w:t xml:space="preserve"> </w:t>
      </w:r>
      <w:r w:rsidRPr="00DC1F02" w:rsidR="0050052B">
        <w:rPr>
          <w:lang w:val="en-GB"/>
        </w:rPr>
        <w:t>trade</w:t>
      </w:r>
      <w:r w:rsidR="00171496">
        <w:rPr>
          <w:lang w:val="en-GB"/>
        </w:rPr>
        <w:t xml:space="preserve"> </w:t>
      </w:r>
      <w:r w:rsidRPr="00DC1F02" w:rsidR="0050052B">
        <w:rPr>
          <w:lang w:val="en-GB"/>
        </w:rPr>
        <w:t>mark in</w:t>
      </w:r>
      <w:r w:rsidRPr="00DC1F02">
        <w:rPr>
          <w:lang w:val="en-GB"/>
        </w:rPr>
        <w:t xml:space="preserve"> </w:t>
      </w:r>
      <w:smartTag w:uri="urn:schemas-microsoft-com:office:smarttags" w:element="country-region">
        <w:smartTag w:uri="urn:schemas-microsoft-com:office:smarttags" w:element="place">
          <w:r w:rsidRPr="00DC1F02">
            <w:rPr>
              <w:lang w:val="en-GB"/>
            </w:rPr>
            <w:t>Portugal</w:t>
          </w:r>
        </w:smartTag>
      </w:smartTag>
      <w:r w:rsidRPr="00DC1F02" w:rsidR="0050052B">
        <w:rPr>
          <w:lang w:val="en-GB"/>
        </w:rPr>
        <w:t xml:space="preserve"> and other European countries. However, the</w:t>
      </w:r>
      <w:r w:rsidR="00B51759">
        <w:rPr>
          <w:lang w:val="en-GB"/>
        </w:rPr>
        <w:t xml:space="preserve"> talks</w:t>
      </w:r>
      <w:r w:rsidRPr="00DC1F02" w:rsidR="0050052B">
        <w:rPr>
          <w:lang w:val="en-GB"/>
        </w:rPr>
        <w:t xml:space="preserve"> eventually broke down and in June 1989 the applicant company instructed lawyers in </w:t>
      </w:r>
      <w:smartTag w:uri="urn:schemas-microsoft-com:office:smarttags" w:element="place">
        <w:smartTag w:uri="urn:schemas-microsoft-com:office:smarttags" w:element="country-region">
          <w:r w:rsidR="0050052B" w:rsidRPr="00DC1F02">
            <w:rPr>
              <w:lang w:val="en-GB"/>
            </w:rPr>
            <w:t>Portugal</w:t>
          </w:r>
        </w:smartTag>
      </w:smartTag>
      <w:r w:rsidRPr="00DC1F02" w:rsidR="0050052B">
        <w:rPr>
          <w:lang w:val="en-GB"/>
        </w:rPr>
        <w:t xml:space="preserve"> to commence court proceedings.</w:t>
      </w:r>
    </w:p>
    <w:p w:rsidRPr="00DC1F02" w:rsidR="00A66D56" w:rsidP="00A66D56" w:rsidRDefault="00F104C9">
      <w:pPr>
        <w:pStyle w:val="JuParaChar"/>
        <w:rPr>
          <w:noProof/>
          <w:lang w:val="en-GB"/>
        </w:rPr>
      </w:pPr>
      <w:r w:rsidRPr="00DC1F02">
        <w:rPr>
          <w:noProof/>
          <w:lang w:val="en-GB"/>
        </w:rPr>
        <w:fldChar w:fldCharType="begin"/>
      </w:r>
      <w:r w:rsidRPr="00DC1F02">
        <w:rPr>
          <w:noProof/>
          <w:lang w:val="en-GB"/>
        </w:rPr>
        <w:instrText xml:space="preserve"> SEQ level0 \*arabic </w:instrText>
      </w:r>
      <w:r w:rsidRPr="00DC1F02">
        <w:rPr>
          <w:noProof/>
          <w:lang w:val="en-GB"/>
        </w:rPr>
        <w:fldChar w:fldCharType="separate"/>
      </w:r>
      <w:r w:rsidR="00CF6F43">
        <w:rPr>
          <w:noProof/>
          <w:lang w:val="en-GB"/>
        </w:rPr>
        <w:t>18</w:t>
      </w:r>
      <w:r w:rsidRPr="00DC1F02">
        <w:rPr>
          <w:noProof/>
          <w:lang w:val="en-GB"/>
        </w:rPr>
        <w:fldChar w:fldCharType="end"/>
      </w:r>
      <w:r w:rsidRPr="00DC1F02">
        <w:rPr>
          <w:noProof/>
          <w:lang w:val="en-GB"/>
        </w:rPr>
        <w:t>.  </w:t>
      </w:r>
      <w:r w:rsidRPr="00DC1F02">
        <w:rPr>
          <w:lang w:val="en-GB"/>
        </w:rPr>
        <w:t xml:space="preserve">The </w:t>
      </w:r>
      <w:r w:rsidRPr="00DC1F02" w:rsidR="00A66D56">
        <w:rPr>
          <w:lang w:val="en-GB"/>
        </w:rPr>
        <w:t xml:space="preserve">applicant company </w:t>
      </w:r>
      <w:r w:rsidRPr="00DC1F02">
        <w:rPr>
          <w:lang w:val="en-GB"/>
        </w:rPr>
        <w:t xml:space="preserve">then </w:t>
      </w:r>
      <w:r w:rsidRPr="00DC1F02" w:rsidR="00A66D56">
        <w:rPr>
          <w:lang w:val="en-GB"/>
        </w:rPr>
        <w:t>appli</w:t>
      </w:r>
      <w:r w:rsidRPr="00DC1F02" w:rsidR="00CF7895">
        <w:rPr>
          <w:lang w:val="en-GB"/>
        </w:rPr>
        <w:t>ed to</w:t>
      </w:r>
      <w:r w:rsidRPr="00DC1F02" w:rsidR="00A66D56">
        <w:rPr>
          <w:lang w:val="en-GB"/>
        </w:rPr>
        <w:t xml:space="preserve"> the Lisbon Court of First Instance </w:t>
      </w:r>
      <w:r w:rsidRPr="00DC1F02" w:rsidR="00A66D56">
        <w:rPr>
          <w:noProof/>
          <w:lang w:val="en-GB"/>
        </w:rPr>
        <w:t xml:space="preserve">on 10 November 1989 for an order cancelling </w:t>
      </w:r>
      <w:r w:rsidRPr="00DC1F02" w:rsidR="00CF7895">
        <w:rPr>
          <w:noProof/>
          <w:lang w:val="en-GB"/>
        </w:rPr>
        <w:t>Bud</w:t>
      </w:r>
      <w:r w:rsidR="00FB04B5">
        <w:rPr>
          <w:noProof/>
          <w:lang w:val="en-GB"/>
        </w:rPr>
        <w:t>ě</w:t>
      </w:r>
      <w:r w:rsidRPr="00DC1F02" w:rsidR="00CF7895">
        <w:rPr>
          <w:noProof/>
          <w:lang w:val="en-GB"/>
        </w:rPr>
        <w:t>jovick</w:t>
      </w:r>
      <w:r w:rsidR="00FB04B5">
        <w:rPr>
          <w:noProof/>
          <w:lang w:val="en-GB"/>
        </w:rPr>
        <w:t>ý</w:t>
      </w:r>
      <w:r w:rsidRPr="00DC1F02" w:rsidR="00CF7895">
        <w:rPr>
          <w:noProof/>
          <w:lang w:val="en-GB"/>
        </w:rPr>
        <w:t xml:space="preserve"> Budvar</w:t>
      </w:r>
      <w:r w:rsidR="008B5D8B">
        <w:rPr>
          <w:noProof/>
          <w:lang w:val="en-GB"/>
        </w:rPr>
        <w:t>’</w:t>
      </w:r>
      <w:r w:rsidRPr="00DC1F02" w:rsidR="00CF7895">
        <w:rPr>
          <w:noProof/>
          <w:lang w:val="en-GB"/>
        </w:rPr>
        <w:t>s</w:t>
      </w:r>
      <w:r w:rsidRPr="00DC1F02" w:rsidR="00A66D56">
        <w:rPr>
          <w:noProof/>
          <w:lang w:val="en-GB"/>
        </w:rPr>
        <w:t xml:space="preserve"> registration. </w:t>
      </w:r>
      <w:r w:rsidRPr="00DC1F02">
        <w:rPr>
          <w:noProof/>
          <w:lang w:val="en-GB"/>
        </w:rPr>
        <w:t>A summons was served on Bud</w:t>
      </w:r>
      <w:r w:rsidR="00FB04B5">
        <w:rPr>
          <w:noProof/>
          <w:lang w:val="en-GB"/>
        </w:rPr>
        <w:t>ě</w:t>
      </w:r>
      <w:r w:rsidRPr="00DC1F02">
        <w:rPr>
          <w:noProof/>
          <w:lang w:val="en-GB"/>
        </w:rPr>
        <w:t>jovick</w:t>
      </w:r>
      <w:r w:rsidR="00FB04B5">
        <w:rPr>
          <w:noProof/>
          <w:lang w:val="en-GB"/>
        </w:rPr>
        <w:t xml:space="preserve">ý </w:t>
      </w:r>
      <w:r w:rsidRPr="00DC1F02">
        <w:rPr>
          <w:noProof/>
          <w:lang w:val="en-GB"/>
        </w:rPr>
        <w:t xml:space="preserve">Budvar, but it did not file a defence. </w:t>
      </w:r>
      <w:r w:rsidRPr="00DC1F02" w:rsidR="00A66D56">
        <w:rPr>
          <w:noProof/>
          <w:lang w:val="en-GB"/>
        </w:rPr>
        <w:t xml:space="preserve">In a judgment of 8 March 1995 </w:t>
      </w:r>
      <w:r w:rsidR="00131951">
        <w:rPr>
          <w:noProof/>
          <w:lang w:val="en-GB"/>
        </w:rPr>
        <w:t>(</w:t>
      </w:r>
      <w:r w:rsidRPr="00DC1F02" w:rsidR="00A66D56">
        <w:rPr>
          <w:noProof/>
          <w:lang w:val="en-GB"/>
        </w:rPr>
        <w:t>which</w:t>
      </w:r>
      <w:r w:rsidRPr="00DC1F02" w:rsidR="00B85FD6">
        <w:rPr>
          <w:noProof/>
          <w:lang w:val="en-GB"/>
        </w:rPr>
        <w:t>,</w:t>
      </w:r>
      <w:r w:rsidRPr="00DC1F02" w:rsidR="00A66D56">
        <w:rPr>
          <w:noProof/>
          <w:lang w:val="en-GB"/>
        </w:rPr>
        <w:t xml:space="preserve"> </w:t>
      </w:r>
      <w:r w:rsidRPr="00DC1F02" w:rsidR="00B85FD6">
        <w:rPr>
          <w:noProof/>
          <w:lang w:val="en-GB"/>
        </w:rPr>
        <w:t xml:space="preserve">in the absence of an appeal, became </w:t>
      </w:r>
      <w:r w:rsidRPr="00DC1F02" w:rsidR="00A66D56">
        <w:rPr>
          <w:noProof/>
          <w:lang w:val="en-GB"/>
        </w:rPr>
        <w:t>final</w:t>
      </w:r>
      <w:r w:rsidR="00131951">
        <w:rPr>
          <w:noProof/>
          <w:lang w:val="en-GB"/>
        </w:rPr>
        <w:t>)</w:t>
      </w:r>
      <w:r w:rsidR="00165859">
        <w:rPr>
          <w:noProof/>
          <w:lang w:val="en-GB"/>
        </w:rPr>
        <w:t>,</w:t>
      </w:r>
      <w:r w:rsidRPr="00DC1F02" w:rsidR="00A66D56">
        <w:rPr>
          <w:noProof/>
          <w:lang w:val="en-GB"/>
        </w:rPr>
        <w:t xml:space="preserve"> the Lisbon Court of First Instance granted th</w:t>
      </w:r>
      <w:r w:rsidRPr="00DC1F02" w:rsidR="00562B05">
        <w:rPr>
          <w:noProof/>
          <w:lang w:val="en-GB"/>
        </w:rPr>
        <w:t>e applicant company</w:t>
      </w:r>
      <w:r w:rsidR="008B5D8B">
        <w:rPr>
          <w:noProof/>
          <w:lang w:val="en-GB"/>
        </w:rPr>
        <w:t>’</w:t>
      </w:r>
      <w:r w:rsidRPr="00DC1F02" w:rsidR="00562B05">
        <w:rPr>
          <w:noProof/>
          <w:lang w:val="en-GB"/>
        </w:rPr>
        <w:t>s</w:t>
      </w:r>
      <w:r w:rsidRPr="00DC1F02" w:rsidR="00A66D56">
        <w:rPr>
          <w:noProof/>
          <w:lang w:val="en-GB"/>
        </w:rPr>
        <w:t xml:space="preserve"> application on the ground that the product to which the registration referred, namely the beer known as </w:t>
      </w:r>
      <w:r w:rsidRPr="00DC1F02" w:rsidR="00CF7895">
        <w:rPr>
          <w:noProof/>
          <w:lang w:val="en-GB"/>
        </w:rPr>
        <w:t>“</w:t>
      </w:r>
      <w:r w:rsidRPr="00DC1F02" w:rsidR="00A66D56">
        <w:rPr>
          <w:iCs/>
          <w:noProof/>
          <w:lang w:val="en-GB"/>
        </w:rPr>
        <w:t>Budweiser Bier</w:t>
      </w:r>
      <w:r w:rsidRPr="00DC1F02" w:rsidR="00CF7895">
        <w:rPr>
          <w:iCs/>
          <w:noProof/>
          <w:lang w:val="en-GB"/>
        </w:rPr>
        <w:t>”</w:t>
      </w:r>
      <w:r w:rsidRPr="00DC1F02" w:rsidR="00A66D56">
        <w:rPr>
          <w:noProof/>
          <w:lang w:val="en-GB"/>
        </w:rPr>
        <w:t xml:space="preserve">, </w:t>
      </w:r>
      <w:r w:rsidRPr="00DC1F02" w:rsidR="00B85FD6">
        <w:rPr>
          <w:noProof/>
          <w:lang w:val="en-GB"/>
        </w:rPr>
        <w:t>was</w:t>
      </w:r>
      <w:r w:rsidRPr="00DC1F02" w:rsidR="00A66D56">
        <w:rPr>
          <w:noProof/>
          <w:lang w:val="en-GB"/>
        </w:rPr>
        <w:t xml:space="preserve"> not a</w:t>
      </w:r>
      <w:r w:rsidRPr="00DC1F02" w:rsidR="00CF7895">
        <w:rPr>
          <w:noProof/>
          <w:lang w:val="en-GB"/>
        </w:rPr>
        <w:t>n appellation</w:t>
      </w:r>
      <w:r w:rsidRPr="00DC1F02" w:rsidR="00A66D56">
        <w:rPr>
          <w:noProof/>
          <w:lang w:val="en-GB"/>
        </w:rPr>
        <w:t xml:space="preserve"> of origin or indication of source. </w:t>
      </w:r>
      <w:r w:rsidRPr="00DC1F02" w:rsidR="003C79DD">
        <w:rPr>
          <w:noProof/>
          <w:lang w:val="en-GB"/>
        </w:rPr>
        <w:t>The Court of First Instance noted that under the terms of the Lisbon Agreement of 31</w:t>
      </w:r>
      <w:r w:rsidR="00944537">
        <w:rPr>
          <w:noProof/>
          <w:lang w:val="en-GB"/>
        </w:rPr>
        <w:t> </w:t>
      </w:r>
      <w:r w:rsidRPr="00DC1F02" w:rsidR="003C79DD">
        <w:rPr>
          <w:noProof/>
          <w:lang w:val="en-GB"/>
        </w:rPr>
        <w:t xml:space="preserve">October </w:t>
      </w:r>
      <w:r w:rsidR="00165859">
        <w:rPr>
          <w:lang w:val="en-GB"/>
        </w:rPr>
        <w:t>1958</w:t>
      </w:r>
      <w:r w:rsidRPr="00DC1F02">
        <w:rPr>
          <w:lang w:val="en-GB"/>
        </w:rPr>
        <w:t xml:space="preserve"> </w:t>
      </w:r>
      <w:r w:rsidRPr="00DC1F02" w:rsidR="003C79DD">
        <w:rPr>
          <w:lang w:val="en-GB"/>
        </w:rPr>
        <w:t>such</w:t>
      </w:r>
      <w:r w:rsidRPr="00DC1F02">
        <w:rPr>
          <w:lang w:val="en-GB"/>
        </w:rPr>
        <w:t xml:space="preserve"> protection</w:t>
      </w:r>
      <w:r w:rsidRPr="00DC1F02" w:rsidR="003C79DD">
        <w:rPr>
          <w:lang w:val="en-GB"/>
        </w:rPr>
        <w:t xml:space="preserve"> wa</w:t>
      </w:r>
      <w:r w:rsidRPr="00DC1F02">
        <w:rPr>
          <w:lang w:val="en-GB"/>
        </w:rPr>
        <w:t>s r</w:t>
      </w:r>
      <w:r w:rsidRPr="00DC1F02" w:rsidR="003C79DD">
        <w:rPr>
          <w:lang w:val="en-GB"/>
        </w:rPr>
        <w:t>e</w:t>
      </w:r>
      <w:r w:rsidRPr="00DC1F02">
        <w:rPr>
          <w:lang w:val="en-GB"/>
        </w:rPr>
        <w:t>serv</w:t>
      </w:r>
      <w:r w:rsidRPr="00DC1F02" w:rsidR="003C79DD">
        <w:rPr>
          <w:lang w:val="en-GB"/>
        </w:rPr>
        <w:t>ed to</w:t>
      </w:r>
      <w:r w:rsidRPr="00DC1F02">
        <w:rPr>
          <w:lang w:val="en-GB"/>
        </w:rPr>
        <w:t xml:space="preserve"> </w:t>
      </w:r>
      <w:r w:rsidRPr="00DB5A0C" w:rsidR="003C79DD">
        <w:rPr>
          <w:noProof/>
          <w:lang w:val="en-GB"/>
        </w:rPr>
        <w:t>the geographical name of a country, region, or locality, which served to designate a product originating therein, the quality and characteristics of which were due exclusively or essentially to the geographical environment, including natural and human factors</w:t>
      </w:r>
      <w:r w:rsidRPr="00DC1F02">
        <w:rPr>
          <w:lang w:val="en-GB"/>
        </w:rPr>
        <w:t xml:space="preserve">. </w:t>
      </w:r>
      <w:r w:rsidRPr="00DC1F02" w:rsidR="000E68C4">
        <w:rPr>
          <w:lang w:val="en-GB"/>
        </w:rPr>
        <w:t>“</w:t>
      </w:r>
      <w:r w:rsidRPr="00DC1F02">
        <w:rPr>
          <w:lang w:val="en-GB"/>
        </w:rPr>
        <w:t>Budweiser</w:t>
      </w:r>
      <w:r w:rsidRPr="00DC1F02" w:rsidR="000E68C4">
        <w:rPr>
          <w:lang w:val="en-GB"/>
        </w:rPr>
        <w:t>”</w:t>
      </w:r>
      <w:r w:rsidRPr="00DC1F02" w:rsidR="00562B05">
        <w:rPr>
          <w:lang w:val="en-GB"/>
        </w:rPr>
        <w:t xml:space="preserve"> </w:t>
      </w:r>
      <w:r w:rsidRPr="00DC1F02" w:rsidR="000E68C4">
        <w:rPr>
          <w:lang w:val="en-GB"/>
        </w:rPr>
        <w:t>did not come within this category</w:t>
      </w:r>
      <w:r w:rsidRPr="00DC1F02">
        <w:rPr>
          <w:lang w:val="en-GB"/>
        </w:rPr>
        <w:t xml:space="preserve">. </w:t>
      </w:r>
      <w:r w:rsidRPr="00DC1F02" w:rsidR="00A66D56">
        <w:rPr>
          <w:noProof/>
          <w:lang w:val="en-GB"/>
        </w:rPr>
        <w:t>The registration was therefore cancelled.</w:t>
      </w:r>
    </w:p>
    <w:p w:rsidRPr="00DC1F02" w:rsidR="00233948" w:rsidP="00A66D56" w:rsidRDefault="00A66D56">
      <w:pPr>
        <w:pStyle w:val="JuParaChar"/>
        <w:rPr>
          <w:noProof/>
          <w:lang w:val="en-GB"/>
        </w:rPr>
      </w:pPr>
      <w:r w:rsidRPr="00DC1F02">
        <w:rPr>
          <w:lang w:val="en-GB"/>
        </w:rPr>
        <w:fldChar w:fldCharType="begin"/>
      </w:r>
      <w:r w:rsidRPr="00DC1F02">
        <w:rPr>
          <w:lang w:val="en-GB"/>
        </w:rPr>
        <w:instrText xml:space="preserve"> SEQ level0 \*arabic </w:instrText>
      </w:r>
      <w:r w:rsidRPr="00DC1F02">
        <w:rPr>
          <w:lang w:val="en-GB"/>
        </w:rPr>
        <w:fldChar w:fldCharType="separate"/>
      </w:r>
      <w:r w:rsidR="00CF6F43">
        <w:rPr>
          <w:noProof/>
          <w:lang w:val="en-GB"/>
        </w:rPr>
        <w:t>19</w:t>
      </w:r>
      <w:r w:rsidRPr="00DC1F02">
        <w:rPr>
          <w:lang w:val="en-GB"/>
        </w:rPr>
        <w:fldChar w:fldCharType="end"/>
      </w:r>
      <w:r w:rsidRPr="00DC1F02">
        <w:rPr>
          <w:noProof/>
          <w:lang w:val="en-GB"/>
        </w:rPr>
        <w:t>.  </w:t>
      </w:r>
      <w:r w:rsidRPr="00DC1F02" w:rsidR="00F7439E">
        <w:rPr>
          <w:noProof/>
          <w:lang w:val="en-GB"/>
        </w:rPr>
        <w:t>Following</w:t>
      </w:r>
      <w:r w:rsidR="00DB5A0C">
        <w:rPr>
          <w:noProof/>
          <w:lang w:val="en-GB"/>
        </w:rPr>
        <w:t xml:space="preserve"> the cancellation of the appellation of origin</w:t>
      </w:r>
      <w:r w:rsidR="00165859">
        <w:rPr>
          <w:noProof/>
          <w:lang w:val="en-GB"/>
        </w:rPr>
        <w:t>,</w:t>
      </w:r>
      <w:r w:rsidR="00DB5A0C">
        <w:rPr>
          <w:noProof/>
          <w:lang w:val="en-GB"/>
        </w:rPr>
        <w:t xml:space="preserve"> </w:t>
      </w:r>
      <w:r w:rsidRPr="00DC1F02" w:rsidR="0045091A">
        <w:rPr>
          <w:noProof/>
          <w:lang w:val="en-GB"/>
        </w:rPr>
        <w:t xml:space="preserve">and </w:t>
      </w:r>
      <w:r w:rsidRPr="00DC1F02" w:rsidR="0045091A">
        <w:rPr>
          <w:iCs/>
          <w:noProof/>
          <w:lang w:val="en-GB"/>
        </w:rPr>
        <w:t xml:space="preserve">despite the fact that </w:t>
      </w:r>
      <w:r w:rsidRPr="00DC1F02" w:rsidR="0045091A">
        <w:rPr>
          <w:noProof/>
          <w:lang w:val="en-GB"/>
        </w:rPr>
        <w:t>Bud</w:t>
      </w:r>
      <w:r w:rsidR="00FB04B5">
        <w:rPr>
          <w:noProof/>
          <w:lang w:val="en-GB"/>
        </w:rPr>
        <w:t>ě</w:t>
      </w:r>
      <w:r w:rsidRPr="00DC1F02" w:rsidR="0045091A">
        <w:rPr>
          <w:noProof/>
          <w:lang w:val="en-GB"/>
        </w:rPr>
        <w:t>jovick</w:t>
      </w:r>
      <w:r w:rsidR="00FB04B5">
        <w:rPr>
          <w:noProof/>
          <w:lang w:val="en-GB"/>
        </w:rPr>
        <w:t>ý</w:t>
      </w:r>
      <w:r w:rsidRPr="00DC1F02" w:rsidR="0045091A">
        <w:rPr>
          <w:noProof/>
          <w:lang w:val="en-GB"/>
        </w:rPr>
        <w:t xml:space="preserve"> Budvar</w:t>
      </w:r>
      <w:r w:rsidRPr="00DC1F02" w:rsidR="0045091A">
        <w:rPr>
          <w:iCs/>
          <w:noProof/>
          <w:lang w:val="en-GB"/>
        </w:rPr>
        <w:t xml:space="preserve"> </w:t>
      </w:r>
      <w:r w:rsidRPr="00DC1F02" w:rsidR="00233948">
        <w:rPr>
          <w:iCs/>
          <w:noProof/>
          <w:lang w:val="en-GB"/>
        </w:rPr>
        <w:t>had challenged the application for registration under the opposition procedure</w:t>
      </w:r>
      <w:r w:rsidRPr="00DC1F02" w:rsidR="0045091A">
        <w:rPr>
          <w:iCs/>
          <w:noProof/>
          <w:lang w:val="en-GB"/>
        </w:rPr>
        <w:t xml:space="preserve">, </w:t>
      </w:r>
      <w:r w:rsidRPr="00DC1F02" w:rsidR="0045091A">
        <w:rPr>
          <w:noProof/>
          <w:lang w:val="en-GB"/>
        </w:rPr>
        <w:t>the NIIP registered the “</w:t>
      </w:r>
      <w:r w:rsidRPr="00DC1F02" w:rsidR="0045091A">
        <w:rPr>
          <w:iCs/>
          <w:noProof/>
          <w:lang w:val="en-GB"/>
        </w:rPr>
        <w:t>Budweiser” trade mark in the applicant company</w:t>
      </w:r>
      <w:r w:rsidR="008B5D8B">
        <w:rPr>
          <w:iCs/>
          <w:noProof/>
          <w:lang w:val="en-GB"/>
        </w:rPr>
        <w:t>’</w:t>
      </w:r>
      <w:r w:rsidRPr="00DC1F02" w:rsidR="0045091A">
        <w:rPr>
          <w:iCs/>
          <w:noProof/>
          <w:lang w:val="en-GB"/>
        </w:rPr>
        <w:t xml:space="preserve">s name </w:t>
      </w:r>
      <w:r w:rsidRPr="00DC1F02" w:rsidR="0045091A">
        <w:rPr>
          <w:noProof/>
          <w:lang w:val="en-GB"/>
        </w:rPr>
        <w:t xml:space="preserve">on 20 June 1995 in </w:t>
      </w:r>
      <w:r w:rsidRPr="00DC1F02">
        <w:rPr>
          <w:noProof/>
          <w:lang w:val="en-GB"/>
        </w:rPr>
        <w:t xml:space="preserve">a decision </w:t>
      </w:r>
      <w:r w:rsidRPr="00DC1F02" w:rsidR="00B85FD6">
        <w:rPr>
          <w:noProof/>
          <w:lang w:val="en-GB"/>
        </w:rPr>
        <w:t xml:space="preserve">that was </w:t>
      </w:r>
      <w:r w:rsidRPr="00DC1F02">
        <w:rPr>
          <w:noProof/>
          <w:lang w:val="en-GB"/>
        </w:rPr>
        <w:t>published on 8 November 1995.</w:t>
      </w:r>
    </w:p>
    <w:p w:rsidRPr="00DC1F02" w:rsidR="00233948" w:rsidP="00233948" w:rsidRDefault="00233948">
      <w:pPr>
        <w:pStyle w:val="JuHA"/>
      </w:pPr>
      <w:r w:rsidRPr="00DC1F02">
        <w:t>C.  The proceedings in the Portuguese courts</w:t>
      </w:r>
    </w:p>
    <w:p w:rsidRPr="00DC1F02" w:rsidR="00A66D56" w:rsidP="00A66D56" w:rsidRDefault="00AD155F">
      <w:pPr>
        <w:pStyle w:val="JuParaChar"/>
        <w:rPr>
          <w:lang w:val="en-GB"/>
        </w:rPr>
      </w:pPr>
      <w:r w:rsidRPr="00DC1F02">
        <w:rPr>
          <w:noProof/>
          <w:lang w:val="en-GB"/>
        </w:rPr>
        <w:fldChar w:fldCharType="begin"/>
      </w:r>
      <w:r w:rsidRPr="00DC1F02">
        <w:rPr>
          <w:noProof/>
          <w:lang w:val="en-GB"/>
        </w:rPr>
        <w:instrText xml:space="preserve"> SEQ level0 \*arabic </w:instrText>
      </w:r>
      <w:r w:rsidRPr="00DC1F02">
        <w:rPr>
          <w:noProof/>
          <w:lang w:val="en-GB"/>
        </w:rPr>
        <w:fldChar w:fldCharType="separate"/>
      </w:r>
      <w:r w:rsidR="00CF6F43">
        <w:rPr>
          <w:noProof/>
          <w:lang w:val="en-GB"/>
        </w:rPr>
        <w:t>20</w:t>
      </w:r>
      <w:r w:rsidRPr="00DC1F02">
        <w:rPr>
          <w:noProof/>
          <w:lang w:val="en-GB"/>
        </w:rPr>
        <w:fldChar w:fldCharType="end"/>
      </w:r>
      <w:r w:rsidRPr="00DC1F02">
        <w:rPr>
          <w:noProof/>
          <w:lang w:val="en-GB"/>
        </w:rPr>
        <w:t>.  </w:t>
      </w:r>
      <w:r w:rsidRPr="00DC1F02" w:rsidR="00A66D56">
        <w:rPr>
          <w:noProof/>
          <w:lang w:val="en-GB"/>
        </w:rPr>
        <w:t xml:space="preserve">On 8 February 1996 </w:t>
      </w:r>
      <w:r w:rsidRPr="00DC1F02" w:rsidR="00212C51">
        <w:rPr>
          <w:noProof/>
          <w:lang w:val="en-GB"/>
        </w:rPr>
        <w:t>Bud</w:t>
      </w:r>
      <w:r w:rsidR="00FB04B5">
        <w:rPr>
          <w:noProof/>
          <w:lang w:val="en-GB"/>
        </w:rPr>
        <w:t>ě</w:t>
      </w:r>
      <w:r w:rsidRPr="00DC1F02" w:rsidR="00212C51">
        <w:rPr>
          <w:noProof/>
          <w:lang w:val="en-GB"/>
        </w:rPr>
        <w:t>jovick</w:t>
      </w:r>
      <w:r w:rsidR="00FB04B5">
        <w:rPr>
          <w:noProof/>
          <w:lang w:val="en-GB"/>
        </w:rPr>
        <w:t>ý</w:t>
      </w:r>
      <w:r w:rsidRPr="00DC1F02" w:rsidR="00212C51">
        <w:rPr>
          <w:noProof/>
          <w:lang w:val="en-GB"/>
        </w:rPr>
        <w:t xml:space="preserve"> Budvar appealed</w:t>
      </w:r>
      <w:r w:rsidRPr="00DC1F02" w:rsidR="00A66D56">
        <w:rPr>
          <w:noProof/>
          <w:lang w:val="en-GB"/>
        </w:rPr>
        <w:t xml:space="preserve"> </w:t>
      </w:r>
      <w:r w:rsidRPr="00DC1F02" w:rsidR="00212C51">
        <w:rPr>
          <w:noProof/>
          <w:lang w:val="en-GB"/>
        </w:rPr>
        <w:t xml:space="preserve">to the Lisbon Court of First Instance against </w:t>
      </w:r>
      <w:r w:rsidRPr="00DC1F02" w:rsidR="00A66D56">
        <w:rPr>
          <w:noProof/>
          <w:lang w:val="en-GB"/>
        </w:rPr>
        <w:t xml:space="preserve">the </w:t>
      </w:r>
      <w:r w:rsidRPr="00DC1F02" w:rsidR="007B120E">
        <w:rPr>
          <w:noProof/>
          <w:lang w:val="en-GB"/>
        </w:rPr>
        <w:t>NIIP</w:t>
      </w:r>
      <w:r w:rsidR="008B5D8B">
        <w:rPr>
          <w:noProof/>
          <w:lang w:val="en-GB"/>
        </w:rPr>
        <w:t>’</w:t>
      </w:r>
      <w:r w:rsidRPr="00DC1F02" w:rsidR="00A66D56">
        <w:rPr>
          <w:noProof/>
          <w:lang w:val="en-GB"/>
        </w:rPr>
        <w:t>s decision</w:t>
      </w:r>
      <w:r w:rsidRPr="00DC1F02" w:rsidR="00212C51">
        <w:rPr>
          <w:noProof/>
          <w:lang w:val="en-GB"/>
        </w:rPr>
        <w:t xml:space="preserve"> on the strength</w:t>
      </w:r>
      <w:r w:rsidRPr="00DC1F02" w:rsidR="00A66D56">
        <w:rPr>
          <w:noProof/>
          <w:lang w:val="en-GB"/>
        </w:rPr>
        <w:t xml:space="preserve"> of </w:t>
      </w:r>
      <w:r w:rsidRPr="00DC1F02" w:rsidR="00212C51">
        <w:rPr>
          <w:noProof/>
          <w:lang w:val="en-GB"/>
        </w:rPr>
        <w:t>an</w:t>
      </w:r>
      <w:r w:rsidRPr="00DC1F02" w:rsidR="00A66D56">
        <w:rPr>
          <w:noProof/>
          <w:lang w:val="en-GB"/>
        </w:rPr>
        <w:t xml:space="preserve"> </w:t>
      </w:r>
      <w:r w:rsidRPr="00DC1F02" w:rsidR="00212C51">
        <w:rPr>
          <w:noProof/>
          <w:lang w:val="en-GB"/>
        </w:rPr>
        <w:t xml:space="preserve">agreement </w:t>
      </w:r>
      <w:r w:rsidR="00165859">
        <w:rPr>
          <w:noProof/>
          <w:lang w:val="en-GB"/>
        </w:rPr>
        <w:t>between the g</w:t>
      </w:r>
      <w:r w:rsidRPr="00DC1F02" w:rsidR="00A66D56">
        <w:rPr>
          <w:noProof/>
          <w:lang w:val="en-GB"/>
        </w:rPr>
        <w:t>overnment</w:t>
      </w:r>
      <w:r w:rsidRPr="00DC1F02" w:rsidR="00212C51">
        <w:rPr>
          <w:noProof/>
          <w:lang w:val="en-GB"/>
        </w:rPr>
        <w:t>s</w:t>
      </w:r>
      <w:r w:rsidRPr="00DC1F02" w:rsidR="00A66D56">
        <w:rPr>
          <w:noProof/>
          <w:lang w:val="en-GB"/>
        </w:rPr>
        <w:t xml:space="preserve"> of the Portuguese Republic and the Czechoslovak Socialist Republic </w:t>
      </w:r>
      <w:r w:rsidR="004F47D2">
        <w:rPr>
          <w:noProof/>
          <w:lang w:val="en-GB"/>
        </w:rPr>
        <w:t>on</w:t>
      </w:r>
      <w:r w:rsidRPr="00DC1F02" w:rsidR="00A66D56">
        <w:rPr>
          <w:noProof/>
          <w:lang w:val="en-GB"/>
        </w:rPr>
        <w:t xml:space="preserve"> the </w:t>
      </w:r>
      <w:r w:rsidR="004F47D2">
        <w:rPr>
          <w:noProof/>
          <w:lang w:val="en-GB"/>
        </w:rPr>
        <w:t>P</w:t>
      </w:r>
      <w:r w:rsidRPr="00DC1F02" w:rsidR="00A66D56">
        <w:rPr>
          <w:noProof/>
          <w:lang w:val="en-GB"/>
        </w:rPr>
        <w:t xml:space="preserve">rotection of </w:t>
      </w:r>
      <w:r w:rsidR="004F47D2">
        <w:rPr>
          <w:noProof/>
          <w:lang w:val="en-GB"/>
        </w:rPr>
        <w:t>I</w:t>
      </w:r>
      <w:r w:rsidRPr="00DC1F02" w:rsidR="00A66D56">
        <w:rPr>
          <w:noProof/>
          <w:lang w:val="en-GB"/>
        </w:rPr>
        <w:t xml:space="preserve">ndications of </w:t>
      </w:r>
      <w:r w:rsidR="004F47D2">
        <w:rPr>
          <w:noProof/>
          <w:lang w:val="en-GB"/>
        </w:rPr>
        <w:t>S</w:t>
      </w:r>
      <w:r w:rsidRPr="00DC1F02" w:rsidR="00A66D56">
        <w:rPr>
          <w:noProof/>
          <w:lang w:val="en-GB"/>
        </w:rPr>
        <w:t xml:space="preserve">ource, </w:t>
      </w:r>
      <w:r w:rsidR="004F47D2">
        <w:rPr>
          <w:noProof/>
          <w:lang w:val="en-GB"/>
        </w:rPr>
        <w:t>A</w:t>
      </w:r>
      <w:r w:rsidRPr="00DC1F02" w:rsidR="00A66D56">
        <w:rPr>
          <w:noProof/>
          <w:lang w:val="en-GB"/>
        </w:rPr>
        <w:t xml:space="preserve">ppellations of </w:t>
      </w:r>
      <w:r w:rsidR="004F47D2">
        <w:rPr>
          <w:noProof/>
          <w:lang w:val="en-GB"/>
        </w:rPr>
        <w:t>O</w:t>
      </w:r>
      <w:r w:rsidRPr="00DC1F02" w:rsidR="00A66D56">
        <w:rPr>
          <w:noProof/>
          <w:lang w:val="en-GB"/>
        </w:rPr>
        <w:t xml:space="preserve">rigin and </w:t>
      </w:r>
      <w:r w:rsidR="004F47D2">
        <w:rPr>
          <w:noProof/>
          <w:lang w:val="en-GB"/>
        </w:rPr>
        <w:t>O</w:t>
      </w:r>
      <w:r w:rsidRPr="00DC1F02" w:rsidR="00A66D56">
        <w:rPr>
          <w:noProof/>
          <w:lang w:val="en-GB"/>
        </w:rPr>
        <w:t xml:space="preserve">ther </w:t>
      </w:r>
      <w:r w:rsidR="004F47D2">
        <w:rPr>
          <w:noProof/>
          <w:lang w:val="en-GB"/>
        </w:rPr>
        <w:t>G</w:t>
      </w:r>
      <w:r w:rsidRPr="00DC1F02" w:rsidR="00A66D56">
        <w:rPr>
          <w:noProof/>
          <w:lang w:val="en-GB"/>
        </w:rPr>
        <w:t xml:space="preserve">eographical and </w:t>
      </w:r>
      <w:r w:rsidR="004F47D2">
        <w:rPr>
          <w:noProof/>
          <w:lang w:val="en-GB"/>
        </w:rPr>
        <w:t>S</w:t>
      </w:r>
      <w:r w:rsidRPr="00DC1F02" w:rsidR="00A66D56">
        <w:rPr>
          <w:noProof/>
          <w:lang w:val="en-GB"/>
        </w:rPr>
        <w:t xml:space="preserve">imilar </w:t>
      </w:r>
      <w:r w:rsidR="004F47D2">
        <w:rPr>
          <w:noProof/>
          <w:lang w:val="en-GB"/>
        </w:rPr>
        <w:t>D</w:t>
      </w:r>
      <w:r w:rsidRPr="00DC1F02" w:rsidR="006C7F61">
        <w:rPr>
          <w:noProof/>
          <w:lang w:val="en-GB"/>
        </w:rPr>
        <w:t>esignations</w:t>
      </w:r>
      <w:r w:rsidRPr="00DC1F02" w:rsidR="00A66D56">
        <w:rPr>
          <w:noProof/>
          <w:lang w:val="en-GB"/>
        </w:rPr>
        <w:t xml:space="preserve"> (“the </w:t>
      </w:r>
      <w:r w:rsidRPr="00DC1F02">
        <w:rPr>
          <w:noProof/>
          <w:lang w:val="en-GB"/>
        </w:rPr>
        <w:t>Bilateral</w:t>
      </w:r>
      <w:r w:rsidRPr="00DC1F02" w:rsidR="00A66D56">
        <w:rPr>
          <w:noProof/>
          <w:lang w:val="en-GB"/>
        </w:rPr>
        <w:t xml:space="preserve"> Agreement”), which was signed in Lisbon on 10 January 1986 and </w:t>
      </w:r>
      <w:r w:rsidR="00165859">
        <w:rPr>
          <w:noProof/>
          <w:lang w:val="en-GB"/>
        </w:rPr>
        <w:t>which came</w:t>
      </w:r>
      <w:r w:rsidRPr="00DC1F02" w:rsidR="00A66D56">
        <w:rPr>
          <w:noProof/>
          <w:lang w:val="en-GB"/>
        </w:rPr>
        <w:t xml:space="preserve"> into force on 7 March 1987</w:t>
      </w:r>
      <w:r w:rsidR="00944537">
        <w:rPr>
          <w:noProof/>
          <w:lang w:val="en-GB"/>
        </w:rPr>
        <w:t>,</w:t>
      </w:r>
      <w:r w:rsidRPr="00DC1F02" w:rsidR="00A66D56">
        <w:rPr>
          <w:noProof/>
          <w:lang w:val="en-GB"/>
        </w:rPr>
        <w:t xml:space="preserve"> </w:t>
      </w:r>
      <w:r w:rsidRPr="00DC1F02" w:rsidR="00212C51">
        <w:rPr>
          <w:noProof/>
          <w:lang w:val="en-GB"/>
        </w:rPr>
        <w:t>after</w:t>
      </w:r>
      <w:r w:rsidRPr="00DC1F02" w:rsidR="00A66D56">
        <w:rPr>
          <w:noProof/>
          <w:lang w:val="en-GB"/>
        </w:rPr>
        <w:t xml:space="preserve"> publication in the Official Gazette.</w:t>
      </w:r>
      <w:r w:rsidR="00165859">
        <w:rPr>
          <w:lang w:val="en-GB"/>
        </w:rPr>
        <w:t xml:space="preserve"> </w:t>
      </w:r>
      <w:r w:rsidR="00DB5A0C">
        <w:rPr>
          <w:lang w:val="en-GB"/>
        </w:rPr>
        <w:t xml:space="preserve">As required by </w:t>
      </w:r>
      <w:r w:rsidRPr="00DC1F02" w:rsidR="00A66D56">
        <w:rPr>
          <w:lang w:val="en-GB"/>
        </w:rPr>
        <w:t>law, the applicant company was invited by the court to take part in the proceedings as an interested party.</w:t>
      </w:r>
      <w:r w:rsidRPr="00DC1F02" w:rsidR="00325F44">
        <w:rPr>
          <w:lang w:val="en-GB"/>
        </w:rPr>
        <w:t xml:space="preserve"> In June 1996 </w:t>
      </w:r>
      <w:r w:rsidRPr="00DC1F02" w:rsidR="00EA2E59">
        <w:rPr>
          <w:lang w:val="en-GB"/>
        </w:rPr>
        <w:t xml:space="preserve">it was served with </w:t>
      </w:r>
      <w:r w:rsidRPr="00DC1F02" w:rsidR="00325F44">
        <w:rPr>
          <w:lang w:val="en-GB"/>
        </w:rPr>
        <w:t xml:space="preserve">the originating summons </w:t>
      </w:r>
      <w:r w:rsidRPr="00DC1F02" w:rsidR="00EA2E59">
        <w:rPr>
          <w:lang w:val="en-GB"/>
        </w:rPr>
        <w:t xml:space="preserve">that had been </w:t>
      </w:r>
      <w:r w:rsidRPr="00DC1F02" w:rsidR="00325F44">
        <w:rPr>
          <w:lang w:val="en-GB"/>
        </w:rPr>
        <w:t xml:space="preserve">lodged by </w:t>
      </w:r>
      <w:r w:rsidRPr="00DC1F02" w:rsidR="00325F44">
        <w:rPr>
          <w:noProof/>
          <w:lang w:val="en-GB"/>
        </w:rPr>
        <w:t>Bud</w:t>
      </w:r>
      <w:r w:rsidR="00FB04B5">
        <w:rPr>
          <w:noProof/>
          <w:lang w:val="en-GB"/>
        </w:rPr>
        <w:t>ě</w:t>
      </w:r>
      <w:r w:rsidRPr="00DC1F02" w:rsidR="00325F44">
        <w:rPr>
          <w:noProof/>
          <w:lang w:val="en-GB"/>
        </w:rPr>
        <w:t>jovick</w:t>
      </w:r>
      <w:r w:rsidR="00FB04B5">
        <w:rPr>
          <w:noProof/>
          <w:lang w:val="en-GB"/>
        </w:rPr>
        <w:t>ý</w:t>
      </w:r>
      <w:r w:rsidRPr="00DC1F02" w:rsidR="00325F44">
        <w:rPr>
          <w:noProof/>
          <w:lang w:val="en-GB"/>
        </w:rPr>
        <w:t xml:space="preserve"> Budvar</w:t>
      </w:r>
      <w:r w:rsidRPr="00DC1F02" w:rsidR="00325F44">
        <w:rPr>
          <w:lang w:val="en-GB"/>
        </w:rPr>
        <w:t>.</w:t>
      </w:r>
    </w:p>
    <w:p w:rsidRPr="00DC1F02" w:rsidR="00A66D56" w:rsidP="00A66D56" w:rsidRDefault="00A66D56">
      <w:pPr>
        <w:pStyle w:val="JuPara"/>
      </w:pPr>
      <w:r w:rsidRPr="00DC1F02">
        <w:fldChar w:fldCharType="begin"/>
      </w:r>
      <w:r w:rsidRPr="00DC1F02">
        <w:instrText xml:space="preserve"> SEQ level0 \*arabic </w:instrText>
      </w:r>
      <w:r w:rsidRPr="00DC1F02">
        <w:fldChar w:fldCharType="separate"/>
      </w:r>
      <w:r w:rsidR="00CF6F43">
        <w:rPr>
          <w:noProof/>
        </w:rPr>
        <w:t>21</w:t>
      </w:r>
      <w:r w:rsidRPr="00DC1F02">
        <w:fldChar w:fldCharType="end"/>
      </w:r>
      <w:r w:rsidRPr="00DC1F02">
        <w:rPr>
          <w:noProof/>
        </w:rPr>
        <w:t>.  In a judgment of 18 July 1998, the Lisbon Court of First Instance dismissed the app</w:t>
      </w:r>
      <w:r w:rsidRPr="00DC1F02" w:rsidR="00EA2E59">
        <w:rPr>
          <w:noProof/>
        </w:rPr>
        <w:t>eal</w:t>
      </w:r>
      <w:r w:rsidRPr="00DC1F02">
        <w:rPr>
          <w:noProof/>
        </w:rPr>
        <w:t>. It found that the only intellectual property</w:t>
      </w:r>
      <w:r w:rsidRPr="00DC1F02" w:rsidR="004A002C">
        <w:rPr>
          <w:noProof/>
        </w:rPr>
        <w:t xml:space="preserve"> eligible for </w:t>
      </w:r>
      <w:r w:rsidRPr="00DC1F02">
        <w:rPr>
          <w:noProof/>
        </w:rPr>
        <w:t>protect</w:t>
      </w:r>
      <w:r w:rsidRPr="00DC1F02" w:rsidR="004A002C">
        <w:rPr>
          <w:noProof/>
        </w:rPr>
        <w:t>ion</w:t>
      </w:r>
      <w:r w:rsidRPr="00DC1F02">
        <w:rPr>
          <w:noProof/>
        </w:rPr>
        <w:t xml:space="preserve"> </w:t>
      </w:r>
      <w:r w:rsidRPr="00DC1F02" w:rsidR="004A002C">
        <w:rPr>
          <w:noProof/>
        </w:rPr>
        <w:t>under</w:t>
      </w:r>
      <w:r w:rsidRPr="00DC1F02">
        <w:rPr>
          <w:noProof/>
        </w:rPr>
        <w:t xml:space="preserve"> Portuguese law </w:t>
      </w:r>
      <w:r w:rsidRPr="00DC1F02" w:rsidR="004000F8">
        <w:rPr>
          <w:noProof/>
        </w:rPr>
        <w:t xml:space="preserve">and the Bilateral Agreement (which, according to the court was no longer in force, owing to the disappearance of one of the contracting parties, </w:t>
      </w:r>
      <w:smartTag w:uri="urn:schemas-microsoft-com:office:smarttags" w:element="place">
        <w:smartTag w:uri="urn:schemas-microsoft-com:office:smarttags" w:element="country-region">
          <w:r w:rsidR="004000F8" w:rsidRPr="00DC1F02">
            <w:rPr>
              <w:noProof/>
            </w:rPr>
            <w:t>Czechoslovakia</w:t>
          </w:r>
        </w:smartTag>
      </w:smartTag>
      <w:r w:rsidRPr="00DC1F02" w:rsidR="004000F8">
        <w:rPr>
          <w:noProof/>
        </w:rPr>
        <w:t xml:space="preserve">) </w:t>
      </w:r>
      <w:r w:rsidRPr="00DC1F02">
        <w:rPr>
          <w:noProof/>
        </w:rPr>
        <w:t xml:space="preserve">was the </w:t>
      </w:r>
      <w:r w:rsidRPr="00DC1F02" w:rsidR="00EA2E59">
        <w:rPr>
          <w:noProof/>
        </w:rPr>
        <w:t>“</w:t>
      </w:r>
      <w:r w:rsidR="00FB04B5">
        <w:rPr>
          <w:iCs/>
          <w:noProof/>
        </w:rPr>
        <w:t>Česko</w:t>
      </w:r>
      <w:r w:rsidRPr="00DC1F02" w:rsidR="00EA2E59">
        <w:rPr>
          <w:iCs/>
          <w:noProof/>
        </w:rPr>
        <w:t>bud</w:t>
      </w:r>
      <w:r w:rsidR="00FB04B5">
        <w:rPr>
          <w:iCs/>
          <w:noProof/>
        </w:rPr>
        <w:t>ě</w:t>
      </w:r>
      <w:r w:rsidRPr="00DC1F02" w:rsidR="00EA2E59">
        <w:rPr>
          <w:iCs/>
          <w:noProof/>
        </w:rPr>
        <w:t>jovick</w:t>
      </w:r>
      <w:r w:rsidR="00FB04B5">
        <w:rPr>
          <w:iCs/>
          <w:noProof/>
        </w:rPr>
        <w:t>ý</w:t>
      </w:r>
      <w:r w:rsidRPr="00DC1F02" w:rsidR="00EA2E59">
        <w:rPr>
          <w:iCs/>
          <w:noProof/>
        </w:rPr>
        <w:t xml:space="preserve"> Budvar” </w:t>
      </w:r>
      <w:r w:rsidRPr="00DC1F02">
        <w:rPr>
          <w:noProof/>
        </w:rPr>
        <w:t>appellation of origin</w:t>
      </w:r>
      <w:r w:rsidRPr="00DC1F02">
        <w:rPr>
          <w:iCs/>
          <w:noProof/>
        </w:rPr>
        <w:t xml:space="preserve">, not the </w:t>
      </w:r>
      <w:r w:rsidRPr="00DC1F02" w:rsidR="00EA2E59">
        <w:rPr>
          <w:noProof/>
        </w:rPr>
        <w:t>“</w:t>
      </w:r>
      <w:r w:rsidRPr="00DC1F02" w:rsidR="00EA2E59">
        <w:rPr>
          <w:iCs/>
          <w:noProof/>
        </w:rPr>
        <w:t xml:space="preserve">Budweiser” </w:t>
      </w:r>
      <w:r w:rsidRPr="00DC1F02">
        <w:rPr>
          <w:iCs/>
          <w:noProof/>
        </w:rPr>
        <w:t>trade</w:t>
      </w:r>
      <w:r w:rsidRPr="00DC1F02" w:rsidR="004A002C">
        <w:rPr>
          <w:iCs/>
          <w:noProof/>
        </w:rPr>
        <w:t xml:space="preserve"> </w:t>
      </w:r>
      <w:r w:rsidRPr="00DC1F02">
        <w:rPr>
          <w:iCs/>
          <w:noProof/>
        </w:rPr>
        <w:t>mark</w:t>
      </w:r>
      <w:r w:rsidRPr="00DC1F02">
        <w:rPr>
          <w:noProof/>
        </w:rPr>
        <w:t>.</w:t>
      </w:r>
      <w:r w:rsidRPr="00DC1F02">
        <w:t xml:space="preserve"> In addition, it found that there was no risk of confusion between th</w:t>
      </w:r>
      <w:r w:rsidRPr="00DC1F02" w:rsidR="00C10DB6">
        <w:t>e</w:t>
      </w:r>
      <w:r w:rsidRPr="00DC1F02">
        <w:t xml:space="preserve"> appellation of origin and the applicant company</w:t>
      </w:r>
      <w:r w:rsidR="008B5D8B">
        <w:t>’</w:t>
      </w:r>
      <w:r w:rsidRPr="00DC1F02">
        <w:t>s trade</w:t>
      </w:r>
      <w:r w:rsidRPr="00DC1F02" w:rsidR="004A002C">
        <w:t xml:space="preserve"> </w:t>
      </w:r>
      <w:r w:rsidRPr="00DC1F02">
        <w:t xml:space="preserve">mark, which </w:t>
      </w:r>
      <w:r w:rsidRPr="00DC1F02" w:rsidR="004A002C">
        <w:t xml:space="preserve">the vast majority of consumers </w:t>
      </w:r>
      <w:r w:rsidRPr="00DC1F02">
        <w:t>tended to</w:t>
      </w:r>
      <w:r w:rsidR="00DB5A0C">
        <w:t xml:space="preserve"> think of </w:t>
      </w:r>
      <w:r w:rsidRPr="00DC1F02">
        <w:t>as an American beer.</w:t>
      </w:r>
    </w:p>
    <w:p w:rsidRPr="00DC1F02" w:rsidR="00094A9F" w:rsidP="00A66D56" w:rsidRDefault="00A66D56">
      <w:pPr>
        <w:pStyle w:val="JuPara"/>
        <w:rPr>
          <w:noProof/>
        </w:rPr>
      </w:pPr>
      <w:r w:rsidRPr="00DC1F02">
        <w:fldChar w:fldCharType="begin"/>
      </w:r>
      <w:r w:rsidRPr="00DC1F02">
        <w:instrText xml:space="preserve"> SEQ level0 \*arabic </w:instrText>
      </w:r>
      <w:r w:rsidRPr="00DC1F02">
        <w:fldChar w:fldCharType="separate"/>
      </w:r>
      <w:r w:rsidR="00CF6F43">
        <w:rPr>
          <w:noProof/>
        </w:rPr>
        <w:t>22</w:t>
      </w:r>
      <w:r w:rsidRPr="00DC1F02">
        <w:fldChar w:fldCharType="end"/>
      </w:r>
      <w:r w:rsidRPr="00DC1F02">
        <w:rPr>
          <w:noProof/>
        </w:rPr>
        <w:t>.  Bud</w:t>
      </w:r>
      <w:r w:rsidR="00FB04B5">
        <w:rPr>
          <w:noProof/>
        </w:rPr>
        <w:t>ě</w:t>
      </w:r>
      <w:r w:rsidRPr="00DC1F02">
        <w:rPr>
          <w:noProof/>
        </w:rPr>
        <w:t>jovick</w:t>
      </w:r>
      <w:r w:rsidR="00FB04B5">
        <w:rPr>
          <w:noProof/>
        </w:rPr>
        <w:t>ý</w:t>
      </w:r>
      <w:r w:rsidRPr="00DC1F02">
        <w:rPr>
          <w:noProof/>
        </w:rPr>
        <w:t xml:space="preserve"> Budvar appealed against that decision to the Lisbon Court of Appeal</w:t>
      </w:r>
      <w:r w:rsidRPr="00DC1F02" w:rsidR="00AC3706">
        <w:rPr>
          <w:noProof/>
        </w:rPr>
        <w:t xml:space="preserve">, alleging, </w:t>
      </w:r>
      <w:r w:rsidRPr="00DC1F02" w:rsidR="00AC3706">
        <w:rPr>
          <w:i/>
          <w:noProof/>
        </w:rPr>
        <w:t>inter alia</w:t>
      </w:r>
      <w:r w:rsidRPr="00DC1F02" w:rsidR="00AC3706">
        <w:rPr>
          <w:noProof/>
        </w:rPr>
        <w:t xml:space="preserve">, a breach of Article 189 § 1, </w:t>
      </w:r>
      <w:r w:rsidR="00165859">
        <w:rPr>
          <w:noProof/>
        </w:rPr>
        <w:t>sub-</w:t>
      </w:r>
      <w:r w:rsidRPr="00DC1F02" w:rsidR="00AC3706">
        <w:rPr>
          <w:noProof/>
        </w:rPr>
        <w:t>paragraphs (</w:t>
      </w:r>
      <w:r w:rsidRPr="00DC1F02" w:rsidR="00094A9F">
        <w:rPr>
          <w:noProof/>
        </w:rPr>
        <w:t>l</w:t>
      </w:r>
      <w:r w:rsidRPr="00DC1F02" w:rsidR="00AC3706">
        <w:rPr>
          <w:noProof/>
        </w:rPr>
        <w:t>) and (j), of the Code of Industrial Property</w:t>
      </w:r>
      <w:r w:rsidRPr="00DC1F02">
        <w:rPr>
          <w:noProof/>
        </w:rPr>
        <w:t xml:space="preserve">. In a judgment of 21 October 1999, the Lisbon Court of Appeal overturned the impugned judgment and ordered the </w:t>
      </w:r>
      <w:r w:rsidRPr="00DC1F02" w:rsidR="007B120E">
        <w:rPr>
          <w:noProof/>
        </w:rPr>
        <w:t>NIIP</w:t>
      </w:r>
      <w:r w:rsidRPr="00DC1F02">
        <w:rPr>
          <w:noProof/>
        </w:rPr>
        <w:t xml:space="preserve"> to refuse to register </w:t>
      </w:r>
      <w:r w:rsidRPr="00DC1F02" w:rsidR="004A002C">
        <w:rPr>
          <w:noProof/>
        </w:rPr>
        <w:t>“</w:t>
      </w:r>
      <w:r w:rsidRPr="00DC1F02">
        <w:rPr>
          <w:iCs/>
          <w:noProof/>
        </w:rPr>
        <w:t>Budweiser</w:t>
      </w:r>
      <w:r w:rsidRPr="00DC1F02" w:rsidR="004A002C">
        <w:rPr>
          <w:iCs/>
          <w:noProof/>
        </w:rPr>
        <w:t>”</w:t>
      </w:r>
      <w:r w:rsidRPr="00DC1F02">
        <w:rPr>
          <w:iCs/>
          <w:noProof/>
        </w:rPr>
        <w:t xml:space="preserve"> as a trade</w:t>
      </w:r>
      <w:r w:rsidRPr="00DC1F02" w:rsidR="004A002C">
        <w:rPr>
          <w:iCs/>
          <w:noProof/>
        </w:rPr>
        <w:t xml:space="preserve"> </w:t>
      </w:r>
      <w:r w:rsidRPr="00DC1F02">
        <w:rPr>
          <w:iCs/>
          <w:noProof/>
        </w:rPr>
        <w:t>mark</w:t>
      </w:r>
      <w:r w:rsidRPr="00DC1F02" w:rsidR="00AC3706">
        <w:rPr>
          <w:iCs/>
          <w:noProof/>
        </w:rPr>
        <w:t>.</w:t>
      </w:r>
      <w:r w:rsidRPr="00DC1F02">
        <w:rPr>
          <w:iCs/>
          <w:noProof/>
        </w:rPr>
        <w:t xml:space="preserve"> </w:t>
      </w:r>
      <w:r w:rsidRPr="00DC1F02" w:rsidR="00AC3706">
        <w:rPr>
          <w:iCs/>
          <w:noProof/>
        </w:rPr>
        <w:t xml:space="preserve">The Court of Appeal did not consider that there had been a breach of </w:t>
      </w:r>
      <w:r w:rsidRPr="00DC1F02" w:rsidR="00AC3706">
        <w:rPr>
          <w:noProof/>
        </w:rPr>
        <w:t>Article</w:t>
      </w:r>
      <w:r w:rsidRPr="00DC1F02" w:rsidR="00094A9F">
        <w:rPr>
          <w:noProof/>
        </w:rPr>
        <w:t> </w:t>
      </w:r>
      <w:r w:rsidRPr="00DC1F02" w:rsidR="00AC3706">
        <w:rPr>
          <w:noProof/>
        </w:rPr>
        <w:t>189 § 1 (</w:t>
      </w:r>
      <w:r w:rsidRPr="00DC1F02" w:rsidR="00094A9F">
        <w:rPr>
          <w:noProof/>
        </w:rPr>
        <w:t>l</w:t>
      </w:r>
      <w:r w:rsidRPr="00DC1F02" w:rsidR="00AC3706">
        <w:rPr>
          <w:noProof/>
        </w:rPr>
        <w:t>) of the Code of Industrial Property</w:t>
      </w:r>
      <w:r w:rsidRPr="00DC1F02" w:rsidR="00AC3706">
        <w:rPr>
          <w:iCs/>
          <w:noProof/>
        </w:rPr>
        <w:t xml:space="preserve">, as the expression “Budweiser” was </w:t>
      </w:r>
      <w:r w:rsidRPr="00DC1F02" w:rsidR="00B33AD0">
        <w:rPr>
          <w:iCs/>
          <w:noProof/>
        </w:rPr>
        <w:t>in</w:t>
      </w:r>
      <w:r w:rsidR="00944537">
        <w:rPr>
          <w:iCs/>
          <w:noProof/>
        </w:rPr>
        <w:t>capable of misleading the Portu</w:t>
      </w:r>
      <w:r w:rsidRPr="00DC1F02" w:rsidR="00AC3706">
        <w:rPr>
          <w:iCs/>
          <w:noProof/>
        </w:rPr>
        <w:t>guese public as to the origin of the beer concerned. However, it found</w:t>
      </w:r>
      <w:r w:rsidRPr="00DC1F02">
        <w:rPr>
          <w:iCs/>
          <w:noProof/>
        </w:rPr>
        <w:t xml:space="preserve"> that such a registration w</w:t>
      </w:r>
      <w:r w:rsidRPr="00DC1F02" w:rsidR="004A002C">
        <w:rPr>
          <w:iCs/>
          <w:noProof/>
        </w:rPr>
        <w:t>ould</w:t>
      </w:r>
      <w:r w:rsidRPr="00DC1F02">
        <w:rPr>
          <w:iCs/>
          <w:noProof/>
        </w:rPr>
        <w:t xml:space="preserve"> infringe the </w:t>
      </w:r>
      <w:r w:rsidR="00165859">
        <w:rPr>
          <w:iCs/>
          <w:noProof/>
        </w:rPr>
        <w:t>Bilateral</w:t>
      </w:r>
      <w:r w:rsidRPr="00DC1F02">
        <w:rPr>
          <w:iCs/>
          <w:noProof/>
        </w:rPr>
        <w:t xml:space="preserve"> Agreement and, consequently, Article</w:t>
      </w:r>
      <w:r w:rsidRPr="00DC1F02" w:rsidR="00094A9F">
        <w:t xml:space="preserve"> </w:t>
      </w:r>
      <w:r w:rsidRPr="00DC1F02">
        <w:rPr>
          <w:noProof/>
        </w:rPr>
        <w:t>189</w:t>
      </w:r>
      <w:r w:rsidRPr="00DC1F02" w:rsidR="00094A9F">
        <w:rPr>
          <w:noProof/>
        </w:rPr>
        <w:t xml:space="preserve"> </w:t>
      </w:r>
      <w:r w:rsidRPr="00DC1F02">
        <w:rPr>
          <w:noProof/>
        </w:rPr>
        <w:t>§</w:t>
      </w:r>
      <w:r w:rsidR="00165859">
        <w:rPr>
          <w:noProof/>
        </w:rPr>
        <w:t> </w:t>
      </w:r>
      <w:r w:rsidRPr="00DC1F02">
        <w:rPr>
          <w:noProof/>
        </w:rPr>
        <w:t>1</w:t>
      </w:r>
      <w:r w:rsidR="00165859">
        <w:rPr>
          <w:noProof/>
        </w:rPr>
        <w:t> </w:t>
      </w:r>
      <w:r w:rsidRPr="00DC1F02">
        <w:rPr>
          <w:noProof/>
        </w:rPr>
        <w:t xml:space="preserve">(j) of the </w:t>
      </w:r>
      <w:r w:rsidRPr="00DC1F02" w:rsidR="00C10DB6">
        <w:rPr>
          <w:noProof/>
        </w:rPr>
        <w:t xml:space="preserve">Code of </w:t>
      </w:r>
      <w:r w:rsidRPr="00DC1F02">
        <w:rPr>
          <w:noProof/>
        </w:rPr>
        <w:t>Industrial</w:t>
      </w:r>
      <w:r w:rsidRPr="00DC1F02" w:rsidR="00C10DB6">
        <w:rPr>
          <w:noProof/>
        </w:rPr>
        <w:t xml:space="preserve"> </w:t>
      </w:r>
      <w:r w:rsidRPr="00DC1F02">
        <w:rPr>
          <w:noProof/>
        </w:rPr>
        <w:t>Property.</w:t>
      </w:r>
      <w:r w:rsidRPr="00DC1F02" w:rsidR="00AC3706">
        <w:rPr>
          <w:noProof/>
        </w:rPr>
        <w:t xml:space="preserve"> </w:t>
      </w:r>
      <w:r w:rsidRPr="00DC1F02" w:rsidR="00094A9F">
        <w:rPr>
          <w:noProof/>
        </w:rPr>
        <w:t xml:space="preserve">In that connection, it noted that the Bilateral Agreement </w:t>
      </w:r>
      <w:r w:rsidR="00944537">
        <w:rPr>
          <w:noProof/>
        </w:rPr>
        <w:t>had remained</w:t>
      </w:r>
      <w:r w:rsidRPr="00DC1F02" w:rsidR="009D3696">
        <w:rPr>
          <w:noProof/>
        </w:rPr>
        <w:t xml:space="preserve"> in force</w:t>
      </w:r>
      <w:r w:rsidRPr="00DC1F02" w:rsidR="00094A9F">
        <w:rPr>
          <w:noProof/>
        </w:rPr>
        <w:t xml:space="preserve">, following an exchange of notes between the Czech and Portuguese </w:t>
      </w:r>
      <w:r w:rsidR="00165859">
        <w:rPr>
          <w:noProof/>
        </w:rPr>
        <w:t>g</w:t>
      </w:r>
      <w:r w:rsidRPr="00DC1F02" w:rsidR="00FA53F7">
        <w:rPr>
          <w:noProof/>
        </w:rPr>
        <w:t xml:space="preserve">overnments </w:t>
      </w:r>
      <w:r w:rsidRPr="00DC1F02" w:rsidR="00094A9F">
        <w:rPr>
          <w:noProof/>
        </w:rPr>
        <w:t>(see paragraph 25 below) and had been incorporated into domestic law by virtue of Article 8 of the Constitution, which contain</w:t>
      </w:r>
      <w:r w:rsidRPr="00DC1F02" w:rsidR="009D3696">
        <w:rPr>
          <w:noProof/>
        </w:rPr>
        <w:t>ed</w:t>
      </w:r>
      <w:r w:rsidRPr="00DC1F02" w:rsidR="00094A9F">
        <w:rPr>
          <w:noProof/>
        </w:rPr>
        <w:t xml:space="preserve"> a clause providing for international law to take effect in the Portuguese legal system.</w:t>
      </w:r>
    </w:p>
    <w:p w:rsidRPr="00DC1F02" w:rsidR="00A66D56" w:rsidP="00A66D56" w:rsidRDefault="00A66D56">
      <w:pPr>
        <w:pStyle w:val="JuParaChar"/>
        <w:rPr>
          <w:lang w:val="en-GB"/>
        </w:rPr>
      </w:pPr>
      <w:r w:rsidRPr="00DC1F02">
        <w:rPr>
          <w:lang w:val="en-GB"/>
        </w:rPr>
        <w:fldChar w:fldCharType="begin"/>
      </w:r>
      <w:r w:rsidRPr="00DC1F02">
        <w:rPr>
          <w:lang w:val="en-GB"/>
        </w:rPr>
        <w:instrText xml:space="preserve"> SEQ level0 \*arabic </w:instrText>
      </w:r>
      <w:r w:rsidRPr="00DC1F02">
        <w:rPr>
          <w:lang w:val="en-GB"/>
        </w:rPr>
        <w:fldChar w:fldCharType="separate"/>
      </w:r>
      <w:r w:rsidR="00CF6F43">
        <w:rPr>
          <w:noProof/>
          <w:lang w:val="en-GB"/>
        </w:rPr>
        <w:t>23</w:t>
      </w:r>
      <w:r w:rsidRPr="00DC1F02">
        <w:rPr>
          <w:lang w:val="en-GB"/>
        </w:rPr>
        <w:fldChar w:fldCharType="end"/>
      </w:r>
      <w:r w:rsidRPr="00DC1F02">
        <w:rPr>
          <w:noProof/>
          <w:lang w:val="en-GB"/>
        </w:rPr>
        <w:t>.  The applicant company appealed on poi</w:t>
      </w:r>
      <w:r w:rsidR="00165859">
        <w:rPr>
          <w:noProof/>
          <w:lang w:val="en-GB"/>
        </w:rPr>
        <w:t>nts of law to the Supreme Court</w:t>
      </w:r>
      <w:r w:rsidRPr="00DC1F02">
        <w:rPr>
          <w:noProof/>
          <w:lang w:val="en-GB"/>
        </w:rPr>
        <w:t xml:space="preserve"> alleging</w:t>
      </w:r>
      <w:r w:rsidR="00165859">
        <w:rPr>
          <w:noProof/>
          <w:lang w:val="en-GB"/>
        </w:rPr>
        <w:t>,</w:t>
      </w:r>
      <w:r w:rsidRPr="00DC1F02">
        <w:rPr>
          <w:noProof/>
          <w:lang w:val="en-GB"/>
        </w:rPr>
        <w:t xml:space="preserve"> </w:t>
      </w:r>
      <w:r w:rsidRPr="00DC1F02">
        <w:rPr>
          <w:i/>
          <w:noProof/>
          <w:lang w:val="en-GB"/>
        </w:rPr>
        <w:t>inter alia</w:t>
      </w:r>
      <w:r w:rsidR="00165859">
        <w:rPr>
          <w:noProof/>
          <w:lang w:val="en-GB"/>
        </w:rPr>
        <w:t>,</w:t>
      </w:r>
      <w:r w:rsidRPr="00DC1F02">
        <w:rPr>
          <w:noProof/>
          <w:lang w:val="en-GB"/>
        </w:rPr>
        <w:t xml:space="preserve"> that the impugned decision contravened the </w:t>
      </w:r>
      <w:r w:rsidRPr="00DC1F02" w:rsidR="009517A4">
        <w:rPr>
          <w:noProof/>
          <w:lang w:val="en-GB"/>
        </w:rPr>
        <w:t xml:space="preserve">Agreement </w:t>
      </w:r>
      <w:r w:rsidRPr="00DC1F02">
        <w:rPr>
          <w:noProof/>
          <w:lang w:val="en-GB"/>
        </w:rPr>
        <w:t>of 15 April 1994 on the Trade-Related Aspects of Intellectual Property Rights (“</w:t>
      </w:r>
      <w:r w:rsidRPr="00DC1F02" w:rsidR="006C7F61">
        <w:rPr>
          <w:noProof/>
          <w:lang w:val="en-GB"/>
        </w:rPr>
        <w:t xml:space="preserve">the </w:t>
      </w:r>
      <w:r w:rsidRPr="00DC1F02">
        <w:rPr>
          <w:noProof/>
          <w:lang w:val="en-GB"/>
        </w:rPr>
        <w:t>TRIP</w:t>
      </w:r>
      <w:r w:rsidRPr="00DC1F02" w:rsidR="0047286F">
        <w:rPr>
          <w:noProof/>
          <w:lang w:val="en-GB"/>
        </w:rPr>
        <w:t>s</w:t>
      </w:r>
      <w:r w:rsidRPr="00DC1F02" w:rsidR="006C7F61">
        <w:rPr>
          <w:noProof/>
          <w:lang w:val="en-GB"/>
        </w:rPr>
        <w:t xml:space="preserve"> Agreement</w:t>
      </w:r>
      <w:r w:rsidRPr="00DC1F02">
        <w:rPr>
          <w:noProof/>
          <w:lang w:val="en-GB"/>
        </w:rPr>
        <w:t xml:space="preserve">”), which establishes the rule that registration confers priority, and in particular </w:t>
      </w:r>
      <w:r w:rsidR="00165859">
        <w:rPr>
          <w:noProof/>
          <w:lang w:val="en-GB"/>
        </w:rPr>
        <w:t xml:space="preserve">its </w:t>
      </w:r>
      <w:r w:rsidRPr="00DC1F02">
        <w:rPr>
          <w:noProof/>
          <w:lang w:val="en-GB"/>
        </w:rPr>
        <w:t>Articles 2 and 24 § 5.</w:t>
      </w:r>
      <w:r w:rsidRPr="00DC1F02">
        <w:rPr>
          <w:lang w:val="en-GB"/>
        </w:rPr>
        <w:t xml:space="preserve"> The applicant company also alleged that</w:t>
      </w:r>
      <w:r w:rsidRPr="00DC1F02" w:rsidR="006C7F61">
        <w:rPr>
          <w:lang w:val="en-GB"/>
        </w:rPr>
        <w:t>,</w:t>
      </w:r>
      <w:r w:rsidRPr="00DC1F02">
        <w:rPr>
          <w:lang w:val="en-GB"/>
        </w:rPr>
        <w:t xml:space="preserve"> in any event</w:t>
      </w:r>
      <w:r w:rsidRPr="00DC1F02" w:rsidR="006C7F61">
        <w:rPr>
          <w:lang w:val="en-GB"/>
        </w:rPr>
        <w:t>,</w:t>
      </w:r>
      <w:r w:rsidRPr="00DC1F02">
        <w:rPr>
          <w:lang w:val="en-GB"/>
        </w:rPr>
        <w:t xml:space="preserve"> the protected appellation of origin </w:t>
      </w:r>
      <w:r w:rsidRPr="00DC1F02" w:rsidR="00CA278A">
        <w:rPr>
          <w:lang w:val="en-GB"/>
        </w:rPr>
        <w:t>“</w:t>
      </w:r>
      <w:r w:rsidR="00FB04B5">
        <w:rPr>
          <w:iCs/>
          <w:noProof/>
          <w:lang w:val="en-GB"/>
        </w:rPr>
        <w:t>Č</w:t>
      </w:r>
      <w:r w:rsidRPr="00DC1F02">
        <w:rPr>
          <w:iCs/>
          <w:noProof/>
          <w:lang w:val="en-GB"/>
        </w:rPr>
        <w:t>esk</w:t>
      </w:r>
      <w:r w:rsidR="00FB04B5">
        <w:rPr>
          <w:iCs/>
          <w:noProof/>
          <w:lang w:val="en-GB"/>
        </w:rPr>
        <w:t>o</w:t>
      </w:r>
      <w:r w:rsidRPr="00DC1F02">
        <w:rPr>
          <w:iCs/>
          <w:noProof/>
          <w:lang w:val="en-GB"/>
        </w:rPr>
        <w:t>bud</w:t>
      </w:r>
      <w:r w:rsidR="00FB04B5">
        <w:rPr>
          <w:iCs/>
          <w:noProof/>
          <w:lang w:val="en-GB"/>
        </w:rPr>
        <w:t>ě</w:t>
      </w:r>
      <w:r w:rsidRPr="00DC1F02">
        <w:rPr>
          <w:iCs/>
          <w:noProof/>
          <w:lang w:val="en-GB"/>
        </w:rPr>
        <w:t>jovick</w:t>
      </w:r>
      <w:r w:rsidR="00FB04B5">
        <w:rPr>
          <w:iCs/>
          <w:noProof/>
          <w:lang w:val="en-GB"/>
        </w:rPr>
        <w:t>ý</w:t>
      </w:r>
      <w:r w:rsidRPr="00DC1F02">
        <w:rPr>
          <w:iCs/>
          <w:noProof/>
          <w:lang w:val="en-GB"/>
        </w:rPr>
        <w:t xml:space="preserve"> Budvar</w:t>
      </w:r>
      <w:r w:rsidRPr="00DC1F02" w:rsidR="00CA278A">
        <w:rPr>
          <w:iCs/>
          <w:noProof/>
          <w:lang w:val="en-GB"/>
        </w:rPr>
        <w:t>”</w:t>
      </w:r>
      <w:r w:rsidRPr="00DC1F02">
        <w:rPr>
          <w:noProof/>
          <w:lang w:val="en-GB"/>
        </w:rPr>
        <w:t xml:space="preserve"> did not correspond to the German expression </w:t>
      </w:r>
      <w:r w:rsidRPr="00DC1F02" w:rsidR="00CA278A">
        <w:rPr>
          <w:noProof/>
          <w:lang w:val="en-GB"/>
        </w:rPr>
        <w:t>“</w:t>
      </w:r>
      <w:r w:rsidRPr="00DC1F02">
        <w:rPr>
          <w:iCs/>
          <w:noProof/>
          <w:lang w:val="en-GB"/>
        </w:rPr>
        <w:t>Budweiser</w:t>
      </w:r>
      <w:r w:rsidRPr="00DC1F02" w:rsidR="00CA278A">
        <w:rPr>
          <w:iCs/>
          <w:noProof/>
          <w:lang w:val="en-GB"/>
        </w:rPr>
        <w:t>”</w:t>
      </w:r>
      <w:r w:rsidRPr="00DC1F02">
        <w:rPr>
          <w:noProof/>
          <w:lang w:val="en-GB"/>
        </w:rPr>
        <w:t xml:space="preserve">, so that the </w:t>
      </w:r>
      <w:r w:rsidR="00165859">
        <w:rPr>
          <w:noProof/>
          <w:lang w:val="en-GB"/>
        </w:rPr>
        <w:t>Bilateral</w:t>
      </w:r>
      <w:r w:rsidRPr="00DC1F02">
        <w:rPr>
          <w:noProof/>
          <w:lang w:val="en-GB"/>
        </w:rPr>
        <w:t xml:space="preserve"> Agreement could not be used to challenge </w:t>
      </w:r>
      <w:r w:rsidRPr="00DC1F02" w:rsidR="00CA278A">
        <w:rPr>
          <w:noProof/>
          <w:lang w:val="en-GB"/>
        </w:rPr>
        <w:t>its application for</w:t>
      </w:r>
      <w:r w:rsidRPr="00DC1F02">
        <w:rPr>
          <w:noProof/>
          <w:lang w:val="en-GB"/>
        </w:rPr>
        <w:t xml:space="preserve"> registration. </w:t>
      </w:r>
      <w:r w:rsidRPr="00DC1F02" w:rsidR="00DB5A0C">
        <w:rPr>
          <w:noProof/>
          <w:lang w:val="en-GB"/>
        </w:rPr>
        <w:t>The applicant company argued that</w:t>
      </w:r>
      <w:r w:rsidR="00DB5A0C">
        <w:rPr>
          <w:noProof/>
          <w:lang w:val="en-GB"/>
        </w:rPr>
        <w:t>,</w:t>
      </w:r>
      <w:r w:rsidRPr="00DC1F02" w:rsidR="00DB5A0C">
        <w:rPr>
          <w:noProof/>
          <w:lang w:val="en-GB"/>
        </w:rPr>
        <w:t xml:space="preserve"> even </w:t>
      </w:r>
      <w:r w:rsidRPr="00DC1F02">
        <w:rPr>
          <w:noProof/>
          <w:lang w:val="en-GB"/>
        </w:rPr>
        <w:t xml:space="preserve">supposing that the German expression </w:t>
      </w:r>
      <w:r w:rsidRPr="00DC1F02" w:rsidR="00CA278A">
        <w:rPr>
          <w:noProof/>
          <w:lang w:val="en-GB"/>
        </w:rPr>
        <w:t>“</w:t>
      </w:r>
      <w:r w:rsidRPr="00DC1F02">
        <w:rPr>
          <w:iCs/>
          <w:noProof/>
          <w:lang w:val="en-GB"/>
        </w:rPr>
        <w:t>Budweiser</w:t>
      </w:r>
      <w:r w:rsidRPr="00DC1F02" w:rsidR="00CA278A">
        <w:rPr>
          <w:iCs/>
          <w:noProof/>
          <w:lang w:val="en-GB"/>
        </w:rPr>
        <w:t>”</w:t>
      </w:r>
      <w:r w:rsidRPr="00DC1F02">
        <w:rPr>
          <w:noProof/>
          <w:lang w:val="en-GB"/>
        </w:rPr>
        <w:t xml:space="preserve"> w</w:t>
      </w:r>
      <w:r w:rsidR="00417D6C">
        <w:rPr>
          <w:noProof/>
          <w:lang w:val="en-GB"/>
        </w:rPr>
        <w:t>as</w:t>
      </w:r>
      <w:r w:rsidRPr="00DC1F02">
        <w:rPr>
          <w:noProof/>
          <w:lang w:val="en-GB"/>
        </w:rPr>
        <w:t xml:space="preserve"> an accurate translation of the Czech appellation of origin, the </w:t>
      </w:r>
      <w:r w:rsidR="00165859">
        <w:rPr>
          <w:noProof/>
          <w:lang w:val="en-GB"/>
        </w:rPr>
        <w:t>Bilateral</w:t>
      </w:r>
      <w:r w:rsidRPr="00DC1F02">
        <w:rPr>
          <w:noProof/>
          <w:lang w:val="en-GB"/>
        </w:rPr>
        <w:t xml:space="preserve"> Agreement applied only to translations between Portuguese and Czech, not </w:t>
      </w:r>
      <w:r w:rsidR="00FA53F7">
        <w:rPr>
          <w:noProof/>
          <w:lang w:val="en-GB"/>
        </w:rPr>
        <w:t xml:space="preserve">to </w:t>
      </w:r>
      <w:r w:rsidRPr="00DC1F02" w:rsidR="009517A4">
        <w:rPr>
          <w:noProof/>
          <w:lang w:val="en-GB"/>
        </w:rPr>
        <w:t xml:space="preserve">translations </w:t>
      </w:r>
      <w:r w:rsidRPr="00DC1F02">
        <w:rPr>
          <w:noProof/>
          <w:lang w:val="en-GB"/>
        </w:rPr>
        <w:t xml:space="preserve">into other languages. </w:t>
      </w:r>
      <w:r w:rsidRPr="00DC1F02" w:rsidR="00CA278A">
        <w:rPr>
          <w:noProof/>
          <w:lang w:val="en-GB"/>
        </w:rPr>
        <w:t>It</w:t>
      </w:r>
      <w:r w:rsidRPr="00DC1F02">
        <w:rPr>
          <w:noProof/>
          <w:lang w:val="en-GB"/>
        </w:rPr>
        <w:t xml:space="preserve"> submitted, lastly, that </w:t>
      </w:r>
      <w:r w:rsidRPr="00DC1F02" w:rsidR="009517A4">
        <w:rPr>
          <w:noProof/>
          <w:lang w:val="en-GB"/>
        </w:rPr>
        <w:t xml:space="preserve">the </w:t>
      </w:r>
      <w:r w:rsidR="00165859">
        <w:rPr>
          <w:noProof/>
          <w:lang w:val="en-GB"/>
        </w:rPr>
        <w:t>Bilateral</w:t>
      </w:r>
      <w:r w:rsidRPr="00DC1F02" w:rsidR="009517A4">
        <w:rPr>
          <w:noProof/>
          <w:lang w:val="en-GB"/>
        </w:rPr>
        <w:t xml:space="preserve"> Agreement was unconstitutional owing to a</w:t>
      </w:r>
      <w:r w:rsidRPr="00DC1F02">
        <w:rPr>
          <w:noProof/>
          <w:lang w:val="en-GB"/>
        </w:rPr>
        <w:t xml:space="preserve"> formal defect in</w:t>
      </w:r>
      <w:r w:rsidRPr="00DC1F02" w:rsidR="009517A4">
        <w:rPr>
          <w:noProof/>
          <w:lang w:val="en-GB"/>
        </w:rPr>
        <w:t xml:space="preserve"> that</w:t>
      </w:r>
      <w:r w:rsidRPr="00DC1F02">
        <w:rPr>
          <w:noProof/>
          <w:lang w:val="en-GB"/>
        </w:rPr>
        <w:t xml:space="preserve"> it had been adopted by </w:t>
      </w:r>
      <w:r w:rsidR="00165859">
        <w:rPr>
          <w:noProof/>
          <w:lang w:val="en-GB"/>
        </w:rPr>
        <w:t>the g</w:t>
      </w:r>
      <w:r w:rsidRPr="00DC1F02" w:rsidR="00542F56">
        <w:rPr>
          <w:noProof/>
          <w:lang w:val="en-GB"/>
        </w:rPr>
        <w:t>overnment</w:t>
      </w:r>
      <w:r w:rsidRPr="00DC1F02">
        <w:rPr>
          <w:noProof/>
          <w:lang w:val="en-GB"/>
        </w:rPr>
        <w:t xml:space="preserve">, not </w:t>
      </w:r>
      <w:r w:rsidRPr="00DC1F02" w:rsidR="00542F56">
        <w:rPr>
          <w:noProof/>
          <w:lang w:val="en-GB"/>
        </w:rPr>
        <w:t>Parliament</w:t>
      </w:r>
      <w:r w:rsidRPr="00DC1F02">
        <w:rPr>
          <w:noProof/>
          <w:lang w:val="en-GB"/>
        </w:rPr>
        <w:t xml:space="preserve">, in breach of Articles 161 and 165 of the Constitution </w:t>
      </w:r>
      <w:r w:rsidRPr="00DC1F02" w:rsidR="00542F56">
        <w:rPr>
          <w:noProof/>
          <w:lang w:val="en-GB"/>
        </w:rPr>
        <w:t>governing</w:t>
      </w:r>
      <w:r w:rsidRPr="00DC1F02">
        <w:rPr>
          <w:noProof/>
          <w:lang w:val="en-GB"/>
        </w:rPr>
        <w:t xml:space="preserve"> parliamentary sovereignty.</w:t>
      </w:r>
    </w:p>
    <w:p w:rsidRPr="00DC1F02" w:rsidR="00A66D56" w:rsidP="00A66D56" w:rsidRDefault="00B33AD0">
      <w:pPr>
        <w:pStyle w:val="JuPara"/>
      </w:pPr>
      <w:r w:rsidRPr="00DC1F02">
        <w:rPr>
          <w:noProof/>
        </w:rPr>
        <w:fldChar w:fldCharType="begin"/>
      </w:r>
      <w:r w:rsidRPr="00DC1F02">
        <w:rPr>
          <w:noProof/>
        </w:rPr>
        <w:instrText xml:space="preserve"> SEQ level0 \*arabic </w:instrText>
      </w:r>
      <w:r w:rsidRPr="00DC1F02">
        <w:rPr>
          <w:noProof/>
        </w:rPr>
        <w:fldChar w:fldCharType="separate"/>
      </w:r>
      <w:r w:rsidR="00CF6F43">
        <w:rPr>
          <w:noProof/>
        </w:rPr>
        <w:t>24</w:t>
      </w:r>
      <w:r w:rsidRPr="00DC1F02">
        <w:rPr>
          <w:noProof/>
        </w:rPr>
        <w:fldChar w:fldCharType="end"/>
      </w:r>
      <w:r w:rsidRPr="00DC1F02">
        <w:rPr>
          <w:noProof/>
        </w:rPr>
        <w:t>.  </w:t>
      </w:r>
      <w:r w:rsidRPr="00DC1F02" w:rsidR="00A04619">
        <w:rPr>
          <w:noProof/>
        </w:rPr>
        <w:t xml:space="preserve">The Supreme Court dismissed the appeal on points of law in </w:t>
      </w:r>
      <w:r w:rsidRPr="00DC1F02" w:rsidR="00A66D56">
        <w:rPr>
          <w:noProof/>
        </w:rPr>
        <w:t>a judgment of 23 January 2001, which came to the applicant company</w:t>
      </w:r>
      <w:r w:rsidR="008B5D8B">
        <w:rPr>
          <w:noProof/>
        </w:rPr>
        <w:t>’</w:t>
      </w:r>
      <w:r w:rsidRPr="00DC1F02" w:rsidR="00A66D56">
        <w:rPr>
          <w:noProof/>
        </w:rPr>
        <w:t xml:space="preserve">s </w:t>
      </w:r>
      <w:r w:rsidRPr="00DC1F02" w:rsidR="00A04619">
        <w:rPr>
          <w:noProof/>
        </w:rPr>
        <w:t>attention</w:t>
      </w:r>
      <w:r w:rsidRPr="00DC1F02" w:rsidR="00A66D56">
        <w:rPr>
          <w:noProof/>
        </w:rPr>
        <w:t xml:space="preserve"> on 30 January 2001.</w:t>
      </w:r>
    </w:p>
    <w:p w:rsidRPr="00DC1F02" w:rsidR="00A66D56" w:rsidP="00A66D56" w:rsidRDefault="00A66D56">
      <w:pPr>
        <w:pStyle w:val="JuPara"/>
        <w:rPr>
          <w:noProof/>
        </w:rPr>
      </w:pPr>
      <w:r w:rsidRPr="00DC1F02">
        <w:rPr>
          <w:noProof/>
        </w:rPr>
        <w:t>With regard to the TRIP</w:t>
      </w:r>
      <w:r w:rsidRPr="00DC1F02" w:rsidR="0047286F">
        <w:rPr>
          <w:noProof/>
        </w:rPr>
        <w:t>s</w:t>
      </w:r>
      <w:r w:rsidRPr="00DC1F02">
        <w:rPr>
          <w:noProof/>
        </w:rPr>
        <w:t xml:space="preserve"> </w:t>
      </w:r>
      <w:r w:rsidRPr="00DC1F02" w:rsidR="0047286F">
        <w:rPr>
          <w:noProof/>
        </w:rPr>
        <w:t>Agreement</w:t>
      </w:r>
      <w:r w:rsidRPr="00DC1F02">
        <w:rPr>
          <w:noProof/>
        </w:rPr>
        <w:t xml:space="preserve">, the Supreme Court began by noting that the provision on </w:t>
      </w:r>
      <w:r w:rsidRPr="00DC1F02" w:rsidR="007C2FBA">
        <w:rPr>
          <w:noProof/>
        </w:rPr>
        <w:t>which</w:t>
      </w:r>
      <w:r w:rsidRPr="00DC1F02">
        <w:rPr>
          <w:noProof/>
        </w:rPr>
        <w:t xml:space="preserve"> the applicant company </w:t>
      </w:r>
      <w:r w:rsidRPr="00DC1F02" w:rsidR="007C2FBA">
        <w:rPr>
          <w:noProof/>
        </w:rPr>
        <w:t xml:space="preserve">relied </w:t>
      </w:r>
      <w:r w:rsidRPr="00DC1F02" w:rsidR="001C32E8">
        <w:rPr>
          <w:noProof/>
        </w:rPr>
        <w:t>required it</w:t>
      </w:r>
      <w:r w:rsidRPr="00DC1F02">
        <w:rPr>
          <w:noProof/>
        </w:rPr>
        <w:t xml:space="preserve"> to </w:t>
      </w:r>
      <w:r w:rsidRPr="00DC1F02" w:rsidR="0035144C">
        <w:rPr>
          <w:noProof/>
        </w:rPr>
        <w:t>have</w:t>
      </w:r>
      <w:r w:rsidRPr="00DC1F02">
        <w:rPr>
          <w:noProof/>
        </w:rPr>
        <w:t xml:space="preserve"> act</w:t>
      </w:r>
      <w:r w:rsidRPr="00DC1F02" w:rsidR="0035144C">
        <w:rPr>
          <w:noProof/>
        </w:rPr>
        <w:t>ed</w:t>
      </w:r>
      <w:r w:rsidRPr="00DC1F02">
        <w:rPr>
          <w:noProof/>
        </w:rPr>
        <w:t xml:space="preserve"> in good faith</w:t>
      </w:r>
      <w:r w:rsidRPr="00DC1F02" w:rsidR="007C2FBA">
        <w:rPr>
          <w:noProof/>
        </w:rPr>
        <w:t xml:space="preserve"> before going on to say that</w:t>
      </w:r>
      <w:r w:rsidRPr="00DC1F02">
        <w:rPr>
          <w:noProof/>
        </w:rPr>
        <w:t xml:space="preserve"> the applicant company had not</w:t>
      </w:r>
      <w:r w:rsidR="00DB5A0C">
        <w:rPr>
          <w:noProof/>
        </w:rPr>
        <w:t xml:space="preserve"> referred </w:t>
      </w:r>
      <w:r w:rsidRPr="00DC1F02">
        <w:rPr>
          <w:noProof/>
        </w:rPr>
        <w:t xml:space="preserve">in its application for registration </w:t>
      </w:r>
      <w:r w:rsidR="00DB5A0C">
        <w:rPr>
          <w:noProof/>
        </w:rPr>
        <w:t xml:space="preserve">to </w:t>
      </w:r>
      <w:r w:rsidRPr="00DC1F02">
        <w:rPr>
          <w:noProof/>
        </w:rPr>
        <w:t xml:space="preserve">any factual </w:t>
      </w:r>
      <w:r w:rsidR="00FA53F7">
        <w:rPr>
          <w:noProof/>
        </w:rPr>
        <w:t>information</w:t>
      </w:r>
      <w:r w:rsidRPr="00DC1F02">
        <w:rPr>
          <w:noProof/>
        </w:rPr>
        <w:t xml:space="preserve"> that demonstrated its good faith. In any event, </w:t>
      </w:r>
      <w:r w:rsidR="00FA53F7">
        <w:rPr>
          <w:noProof/>
        </w:rPr>
        <w:t xml:space="preserve">the effect of </w:t>
      </w:r>
      <w:r w:rsidRPr="00DC1F02">
        <w:rPr>
          <w:noProof/>
        </w:rPr>
        <w:t>Article 65 of the TRIP</w:t>
      </w:r>
      <w:r w:rsidRPr="00DC1F02" w:rsidR="0047286F">
        <w:rPr>
          <w:noProof/>
        </w:rPr>
        <w:t>s</w:t>
      </w:r>
      <w:r w:rsidRPr="00DC1F02">
        <w:rPr>
          <w:noProof/>
        </w:rPr>
        <w:t xml:space="preserve"> Agreement</w:t>
      </w:r>
      <w:r w:rsidR="00FA53F7">
        <w:rPr>
          <w:noProof/>
        </w:rPr>
        <w:t xml:space="preserve"> was that</w:t>
      </w:r>
      <w:r w:rsidRPr="00DC1F02">
        <w:rPr>
          <w:noProof/>
        </w:rPr>
        <w:t xml:space="preserve"> it </w:t>
      </w:r>
      <w:r w:rsidRPr="00DC1F02" w:rsidR="001C32E8">
        <w:rPr>
          <w:noProof/>
        </w:rPr>
        <w:t>had</w:t>
      </w:r>
      <w:r w:rsidRPr="00DC1F02">
        <w:rPr>
          <w:noProof/>
        </w:rPr>
        <w:t xml:space="preserve"> not become binding </w:t>
      </w:r>
      <w:r w:rsidRPr="00DC1F02" w:rsidR="001C32E8">
        <w:rPr>
          <w:noProof/>
        </w:rPr>
        <w:t>under</w:t>
      </w:r>
      <w:r w:rsidRPr="00DC1F02">
        <w:rPr>
          <w:noProof/>
        </w:rPr>
        <w:t xml:space="preserve"> Portuguese law until 1 January 1996, that is to say after the </w:t>
      </w:r>
      <w:r w:rsidRPr="00DC1F02" w:rsidR="007C2FBA">
        <w:rPr>
          <w:noProof/>
        </w:rPr>
        <w:t xml:space="preserve">entry into force of the </w:t>
      </w:r>
      <w:r w:rsidRPr="00DC1F02">
        <w:rPr>
          <w:noProof/>
        </w:rPr>
        <w:t xml:space="preserve">1986 </w:t>
      </w:r>
      <w:r w:rsidR="00165859">
        <w:rPr>
          <w:noProof/>
        </w:rPr>
        <w:t xml:space="preserve">Bilateral </w:t>
      </w:r>
      <w:r w:rsidRPr="00DC1F02">
        <w:rPr>
          <w:noProof/>
        </w:rPr>
        <w:t xml:space="preserve">Agreement. The </w:t>
      </w:r>
      <w:r w:rsidRPr="00DC1F02" w:rsidR="007C2FBA">
        <w:rPr>
          <w:noProof/>
        </w:rPr>
        <w:t xml:space="preserve">Supreme Court therefore found that the </w:t>
      </w:r>
      <w:r w:rsidRPr="00DC1F02">
        <w:rPr>
          <w:noProof/>
        </w:rPr>
        <w:t>TRIP</w:t>
      </w:r>
      <w:r w:rsidRPr="00DC1F02" w:rsidR="0047286F">
        <w:rPr>
          <w:noProof/>
        </w:rPr>
        <w:t>s</w:t>
      </w:r>
      <w:r w:rsidRPr="00DC1F02">
        <w:rPr>
          <w:noProof/>
        </w:rPr>
        <w:t xml:space="preserve"> Agreement could not take precedence over the </w:t>
      </w:r>
      <w:r w:rsidR="00165859">
        <w:rPr>
          <w:noProof/>
        </w:rPr>
        <w:t>Bilateral</w:t>
      </w:r>
      <w:r w:rsidRPr="00DC1F02">
        <w:rPr>
          <w:noProof/>
        </w:rPr>
        <w:t xml:space="preserve"> Agreement.</w:t>
      </w:r>
    </w:p>
    <w:p w:rsidRPr="00DC1F02" w:rsidR="00A66D56" w:rsidP="00A66D56" w:rsidRDefault="00A66D56">
      <w:pPr>
        <w:pStyle w:val="JuPara"/>
        <w:rPr>
          <w:noProof/>
        </w:rPr>
      </w:pPr>
      <w:r w:rsidRPr="00DC1F02">
        <w:rPr>
          <w:noProof/>
        </w:rPr>
        <w:t xml:space="preserve">As regards the interpretation of the </w:t>
      </w:r>
      <w:r w:rsidR="00165859">
        <w:rPr>
          <w:noProof/>
        </w:rPr>
        <w:t>Bilateral</w:t>
      </w:r>
      <w:r w:rsidRPr="00DC1F02">
        <w:rPr>
          <w:noProof/>
        </w:rPr>
        <w:t xml:space="preserve"> Agreement, the Supreme Court considered that </w:t>
      </w:r>
      <w:r w:rsidRPr="00DC1F02" w:rsidR="0080469C">
        <w:rPr>
          <w:noProof/>
        </w:rPr>
        <w:t xml:space="preserve">the intention of the </w:t>
      </w:r>
      <w:r w:rsidRPr="00DC1F02">
        <w:rPr>
          <w:noProof/>
        </w:rPr>
        <w:t>two contracting States</w:t>
      </w:r>
      <w:r w:rsidRPr="00DC1F02" w:rsidR="0080469C">
        <w:rPr>
          <w:noProof/>
        </w:rPr>
        <w:t xml:space="preserve"> in </w:t>
      </w:r>
      <w:r w:rsidRPr="00DC1F02" w:rsidR="007615F8">
        <w:rPr>
          <w:noProof/>
        </w:rPr>
        <w:t>enter</w:t>
      </w:r>
      <w:r w:rsidRPr="00DC1F02" w:rsidR="0080469C">
        <w:rPr>
          <w:noProof/>
        </w:rPr>
        <w:t>ing</w:t>
      </w:r>
      <w:r w:rsidRPr="00DC1F02" w:rsidR="007615F8">
        <w:rPr>
          <w:noProof/>
        </w:rPr>
        <w:t xml:space="preserve"> into </w:t>
      </w:r>
      <w:r w:rsidR="00165859">
        <w:rPr>
          <w:noProof/>
        </w:rPr>
        <w:t>it</w:t>
      </w:r>
      <w:r w:rsidRPr="00DC1F02" w:rsidR="0080469C">
        <w:rPr>
          <w:noProof/>
        </w:rPr>
        <w:t xml:space="preserve"> had incontestably been</w:t>
      </w:r>
      <w:r w:rsidRPr="00DC1F02">
        <w:rPr>
          <w:noProof/>
        </w:rPr>
        <w:t xml:space="preserve"> to protect </w:t>
      </w:r>
      <w:r w:rsidRPr="00DC1F02" w:rsidR="0035144C">
        <w:rPr>
          <w:noProof/>
        </w:rPr>
        <w:t>through</w:t>
      </w:r>
      <w:r w:rsidRPr="00DC1F02">
        <w:rPr>
          <w:noProof/>
        </w:rPr>
        <w:t xml:space="preserve"> reciprocal arrangements the</w:t>
      </w:r>
      <w:r w:rsidRPr="00DC1F02" w:rsidR="001C32E8">
        <w:rPr>
          <w:noProof/>
        </w:rPr>
        <w:t>ir</w:t>
      </w:r>
      <w:r w:rsidRPr="00DC1F02">
        <w:rPr>
          <w:noProof/>
        </w:rPr>
        <w:t xml:space="preserve"> respective national products, including </w:t>
      </w:r>
      <w:r w:rsidR="00FA53F7">
        <w:rPr>
          <w:noProof/>
        </w:rPr>
        <w:t>when</w:t>
      </w:r>
      <w:r w:rsidRPr="00DC1F02">
        <w:rPr>
          <w:noProof/>
        </w:rPr>
        <w:t xml:space="preserve"> translation</w:t>
      </w:r>
      <w:r w:rsidR="00FA53F7">
        <w:rPr>
          <w:noProof/>
        </w:rPr>
        <w:t>s</w:t>
      </w:r>
      <w:r w:rsidRPr="00DC1F02">
        <w:rPr>
          <w:noProof/>
        </w:rPr>
        <w:t xml:space="preserve"> of </w:t>
      </w:r>
      <w:r w:rsidR="00FA53F7">
        <w:rPr>
          <w:noProof/>
        </w:rPr>
        <w:t>a</w:t>
      </w:r>
      <w:r w:rsidRPr="00DC1F02">
        <w:rPr>
          <w:noProof/>
        </w:rPr>
        <w:t xml:space="preserve"> name</w:t>
      </w:r>
      <w:r w:rsidR="00FA53F7">
        <w:rPr>
          <w:noProof/>
        </w:rPr>
        <w:t xml:space="preserve"> were</w:t>
      </w:r>
      <w:r w:rsidRPr="00DC1F02">
        <w:rPr>
          <w:noProof/>
        </w:rPr>
        <w:t xml:space="preserve"> used. The appellation of origin </w:t>
      </w:r>
      <w:r w:rsidRPr="00DC1F02" w:rsidR="001C32E8">
        <w:rPr>
          <w:noProof/>
        </w:rPr>
        <w:t>“</w:t>
      </w:r>
      <w:r w:rsidR="00FB04B5">
        <w:rPr>
          <w:iCs/>
          <w:noProof/>
        </w:rPr>
        <w:t>Č</w:t>
      </w:r>
      <w:r w:rsidRPr="00DC1F02">
        <w:rPr>
          <w:iCs/>
          <w:noProof/>
        </w:rPr>
        <w:t>esk</w:t>
      </w:r>
      <w:r w:rsidR="00FB04B5">
        <w:rPr>
          <w:iCs/>
          <w:noProof/>
        </w:rPr>
        <w:t>o</w:t>
      </w:r>
      <w:r w:rsidRPr="00DC1F02">
        <w:rPr>
          <w:iCs/>
          <w:noProof/>
        </w:rPr>
        <w:t>bud</w:t>
      </w:r>
      <w:r w:rsidR="00FB04B5">
        <w:rPr>
          <w:iCs/>
          <w:noProof/>
        </w:rPr>
        <w:t>ěj</w:t>
      </w:r>
      <w:r w:rsidRPr="00DC1F02">
        <w:rPr>
          <w:iCs/>
          <w:noProof/>
        </w:rPr>
        <w:t>ovick</w:t>
      </w:r>
      <w:r w:rsidR="00FB04B5">
        <w:rPr>
          <w:iCs/>
          <w:noProof/>
        </w:rPr>
        <w:t>ý</w:t>
      </w:r>
      <w:r w:rsidRPr="00DC1F02">
        <w:rPr>
          <w:iCs/>
          <w:noProof/>
        </w:rPr>
        <w:t xml:space="preserve"> Budvar</w:t>
      </w:r>
      <w:r w:rsidRPr="00DC1F02" w:rsidR="001C32E8">
        <w:rPr>
          <w:iCs/>
          <w:noProof/>
        </w:rPr>
        <w:t>”</w:t>
      </w:r>
      <w:r w:rsidRPr="00DC1F02">
        <w:rPr>
          <w:iCs/>
          <w:noProof/>
        </w:rPr>
        <w:t xml:space="preserve">, which </w:t>
      </w:r>
      <w:r w:rsidRPr="00DC1F02" w:rsidR="0080469C">
        <w:rPr>
          <w:iCs/>
          <w:noProof/>
        </w:rPr>
        <w:t>became</w:t>
      </w:r>
      <w:r w:rsidRPr="00DC1F02">
        <w:rPr>
          <w:iCs/>
          <w:noProof/>
        </w:rPr>
        <w:t xml:space="preserve"> </w:t>
      </w:r>
      <w:r w:rsidRPr="00DC1F02" w:rsidR="001C32E8">
        <w:rPr>
          <w:iCs/>
          <w:noProof/>
        </w:rPr>
        <w:t>“</w:t>
      </w:r>
      <w:r w:rsidRPr="00DC1F02">
        <w:rPr>
          <w:iCs/>
          <w:noProof/>
        </w:rPr>
        <w:t>Budweis</w:t>
      </w:r>
      <w:r w:rsidRPr="00DC1F02" w:rsidR="001C32E8">
        <w:rPr>
          <w:iCs/>
          <w:noProof/>
        </w:rPr>
        <w:t>”</w:t>
      </w:r>
      <w:r w:rsidRPr="00DC1F02">
        <w:rPr>
          <w:noProof/>
        </w:rPr>
        <w:t xml:space="preserve"> or </w:t>
      </w:r>
      <w:r w:rsidRPr="00DC1F02" w:rsidR="001C32E8">
        <w:rPr>
          <w:noProof/>
        </w:rPr>
        <w:t>“</w:t>
      </w:r>
      <w:r w:rsidRPr="00DC1F02">
        <w:rPr>
          <w:iCs/>
          <w:noProof/>
        </w:rPr>
        <w:t>Budweiss</w:t>
      </w:r>
      <w:r w:rsidRPr="00DC1F02" w:rsidR="001C32E8">
        <w:rPr>
          <w:iCs/>
          <w:noProof/>
        </w:rPr>
        <w:t>”</w:t>
      </w:r>
      <w:r w:rsidRPr="00DC1F02" w:rsidR="0080469C">
        <w:rPr>
          <w:iCs/>
          <w:noProof/>
        </w:rPr>
        <w:t xml:space="preserve"> in</w:t>
      </w:r>
      <w:r w:rsidRPr="00DC1F02">
        <w:rPr>
          <w:noProof/>
        </w:rPr>
        <w:t xml:space="preserve"> </w:t>
      </w:r>
      <w:r w:rsidRPr="00DC1F02" w:rsidR="0080469C">
        <w:rPr>
          <w:iCs/>
          <w:noProof/>
        </w:rPr>
        <w:t xml:space="preserve">German, </w:t>
      </w:r>
      <w:r w:rsidRPr="00DC1F02">
        <w:rPr>
          <w:noProof/>
        </w:rPr>
        <w:t xml:space="preserve">indicated a product from the České Budějovice region in </w:t>
      </w:r>
      <w:smartTag w:uri="urn:schemas-microsoft-com:office:smarttags" w:element="place">
        <w:smartTag w:uri="urn:schemas-microsoft-com:office:smarttags" w:element="State">
          <w:r w:rsidRPr="00DC1F02">
            <w:rPr>
              <w:noProof/>
            </w:rPr>
            <w:t>Bohemia</w:t>
          </w:r>
        </w:smartTag>
      </w:smartTag>
      <w:r w:rsidRPr="00DC1F02">
        <w:rPr>
          <w:noProof/>
        </w:rPr>
        <w:t xml:space="preserve">. It was therefore protected by the </w:t>
      </w:r>
      <w:r w:rsidR="00165859">
        <w:rPr>
          <w:noProof/>
        </w:rPr>
        <w:t>Bilateral</w:t>
      </w:r>
      <w:r w:rsidRPr="00DC1F02">
        <w:rPr>
          <w:noProof/>
        </w:rPr>
        <w:t xml:space="preserve"> Agreement.</w:t>
      </w:r>
    </w:p>
    <w:p w:rsidRPr="00DC1F02" w:rsidR="00A66D56" w:rsidP="00A66D56" w:rsidRDefault="00A66D56">
      <w:pPr>
        <w:pStyle w:val="JuPara"/>
        <w:rPr>
          <w:noProof/>
        </w:rPr>
      </w:pPr>
      <w:r w:rsidRPr="00DC1F02">
        <w:rPr>
          <w:noProof/>
        </w:rPr>
        <w:t xml:space="preserve">Lastly, the </w:t>
      </w:r>
      <w:r w:rsidRPr="00DC1F02" w:rsidR="00542F56">
        <w:rPr>
          <w:noProof/>
        </w:rPr>
        <w:t xml:space="preserve">procedure whereby the Agreement had been </w:t>
      </w:r>
      <w:r w:rsidRPr="00DC1F02">
        <w:rPr>
          <w:noProof/>
        </w:rPr>
        <w:t>adopt</w:t>
      </w:r>
      <w:r w:rsidRPr="00DC1F02" w:rsidR="00542F56">
        <w:rPr>
          <w:noProof/>
        </w:rPr>
        <w:t>ed</w:t>
      </w:r>
      <w:r w:rsidRPr="00DC1F02" w:rsidR="005C043F">
        <w:rPr>
          <w:noProof/>
        </w:rPr>
        <w:t xml:space="preserve"> did not contravene</w:t>
      </w:r>
      <w:r w:rsidRPr="00DC1F02">
        <w:rPr>
          <w:noProof/>
        </w:rPr>
        <w:t xml:space="preserve"> Articles 161 and 165 of the Constitution, since it </w:t>
      </w:r>
      <w:r w:rsidRPr="00DC1F02" w:rsidR="00542F56">
        <w:rPr>
          <w:noProof/>
        </w:rPr>
        <w:t>did</w:t>
      </w:r>
      <w:r w:rsidRPr="00DC1F02">
        <w:rPr>
          <w:noProof/>
        </w:rPr>
        <w:t xml:space="preserve"> not </w:t>
      </w:r>
      <w:r w:rsidRPr="00DC1F02" w:rsidR="00542F56">
        <w:rPr>
          <w:noProof/>
        </w:rPr>
        <w:t xml:space="preserve">concern </w:t>
      </w:r>
      <w:r w:rsidRPr="00DC1F02">
        <w:rPr>
          <w:noProof/>
        </w:rPr>
        <w:t xml:space="preserve">a sphere </w:t>
      </w:r>
      <w:r w:rsidRPr="00DC1F02" w:rsidR="0080469C">
        <w:rPr>
          <w:noProof/>
        </w:rPr>
        <w:t>for which Parliament had</w:t>
      </w:r>
      <w:r w:rsidRPr="00DC1F02">
        <w:rPr>
          <w:noProof/>
        </w:rPr>
        <w:t xml:space="preserve"> exclusive competence.</w:t>
      </w:r>
    </w:p>
    <w:p w:rsidRPr="00DC1F02" w:rsidR="00A66D56" w:rsidP="00A66D56" w:rsidRDefault="00A66D56">
      <w:pPr>
        <w:pStyle w:val="JuHIRoman"/>
      </w:pPr>
      <w:r w:rsidRPr="00DC1F02">
        <w:t>II.  </w:t>
      </w:r>
      <w:r w:rsidRPr="00DC1F02">
        <w:rPr>
          <w:noProof/>
        </w:rPr>
        <w:t>RELEVANT DOMESTIC AND INTERNATIONAL LAW AND PRACTICE</w:t>
      </w:r>
    </w:p>
    <w:p w:rsidR="00D212E7" w:rsidP="00D212E7" w:rsidRDefault="00D212E7">
      <w:pPr>
        <w:pStyle w:val="JuHA"/>
        <w:rPr>
          <w:noProof/>
        </w:rPr>
      </w:pPr>
      <w:r>
        <w:rPr>
          <w:noProof/>
        </w:rPr>
        <w:t>A.  International law</w:t>
      </w:r>
    </w:p>
    <w:p w:rsidRPr="00DC1F02" w:rsidR="00A66D56" w:rsidP="003405BB" w:rsidRDefault="003405BB">
      <w:pPr>
        <w:pStyle w:val="JuH1"/>
      </w:pPr>
      <w:r w:rsidRPr="00DC1F02">
        <w:rPr>
          <w:noProof/>
        </w:rPr>
        <w:t>1</w:t>
      </w:r>
      <w:r w:rsidRPr="00DC1F02" w:rsidR="00A66D56">
        <w:rPr>
          <w:noProof/>
        </w:rPr>
        <w:t>.  </w:t>
      </w:r>
      <w:r w:rsidRPr="00DC1F02">
        <w:rPr>
          <w:noProof/>
        </w:rPr>
        <w:t xml:space="preserve">Bilateral </w:t>
      </w:r>
      <w:r w:rsidR="00D212E7">
        <w:rPr>
          <w:noProof/>
        </w:rPr>
        <w:t>A</w:t>
      </w:r>
      <w:r w:rsidRPr="00DC1F02" w:rsidR="00A66D56">
        <w:rPr>
          <w:noProof/>
        </w:rPr>
        <w:t>greement</w:t>
      </w:r>
      <w:r w:rsidRPr="00DC1F02" w:rsidR="00EB6C88">
        <w:rPr>
          <w:noProof/>
        </w:rPr>
        <w:t xml:space="preserve"> of 1986</w:t>
      </w:r>
    </w:p>
    <w:p w:rsidRPr="00DC1F02" w:rsidR="00A66D56" w:rsidP="00A66D56" w:rsidRDefault="00A66D56">
      <w:pPr>
        <w:pStyle w:val="JuPara"/>
      </w:pPr>
      <w:r w:rsidRPr="00DC1F02">
        <w:fldChar w:fldCharType="begin"/>
      </w:r>
      <w:r w:rsidRPr="00DC1F02">
        <w:instrText xml:space="preserve"> SEQ level0 \*arabic </w:instrText>
      </w:r>
      <w:r w:rsidRPr="00DC1F02">
        <w:fldChar w:fldCharType="separate"/>
      </w:r>
      <w:r w:rsidR="00CF6F43">
        <w:rPr>
          <w:noProof/>
        </w:rPr>
        <w:t>25</w:t>
      </w:r>
      <w:r w:rsidRPr="00DC1F02">
        <w:fldChar w:fldCharType="end"/>
      </w:r>
      <w:r w:rsidRPr="00DC1F02">
        <w:rPr>
          <w:noProof/>
        </w:rPr>
        <w:t>.  Th</w:t>
      </w:r>
      <w:r w:rsidRPr="00DC1F02" w:rsidR="0035144C">
        <w:rPr>
          <w:noProof/>
        </w:rPr>
        <w:t>e</w:t>
      </w:r>
      <w:r w:rsidRPr="00DC1F02">
        <w:rPr>
          <w:noProof/>
        </w:rPr>
        <w:t xml:space="preserve"> </w:t>
      </w:r>
      <w:r w:rsidRPr="00DC1F02" w:rsidR="00DC4292">
        <w:rPr>
          <w:noProof/>
        </w:rPr>
        <w:t xml:space="preserve">Agreement </w:t>
      </w:r>
      <w:r w:rsidR="00D212E7">
        <w:rPr>
          <w:noProof/>
        </w:rPr>
        <w:t>between the g</w:t>
      </w:r>
      <w:r w:rsidRPr="00DC1F02" w:rsidR="003405BB">
        <w:rPr>
          <w:noProof/>
        </w:rPr>
        <w:t>overnment</w:t>
      </w:r>
      <w:r w:rsidR="00D212E7">
        <w:rPr>
          <w:noProof/>
        </w:rPr>
        <w:t>s</w:t>
      </w:r>
      <w:r w:rsidRPr="00DC1F02" w:rsidR="003405BB">
        <w:rPr>
          <w:noProof/>
        </w:rPr>
        <w:t xml:space="preserve"> of the </w:t>
      </w:r>
      <w:smartTag w:uri="urn:schemas-microsoft-com:office:smarttags" w:element="PlaceName">
        <w:r w:rsidR="003405BB" w:rsidRPr="00DC1F02">
          <w:rPr>
            <w:noProof/>
          </w:rPr>
          <w:t>Portuguese</w:t>
        </w:r>
      </w:smartTag>
      <w:r w:rsidRPr="00DC1F02" w:rsidR="003405BB">
        <w:rPr>
          <w:noProof/>
        </w:rPr>
        <w:t xml:space="preserve"> </w:t>
      </w:r>
      <w:smartTag w:uri="urn:schemas-microsoft-com:office:smarttags" w:element="PlaceType">
        <w:r w:rsidR="003405BB" w:rsidRPr="00DC1F02">
          <w:rPr>
            <w:noProof/>
          </w:rPr>
          <w:t>Republic</w:t>
        </w:r>
      </w:smartTag>
      <w:r w:rsidRPr="00DC1F02" w:rsidR="003405BB">
        <w:rPr>
          <w:noProof/>
        </w:rPr>
        <w:t xml:space="preserve"> and the </w:t>
      </w:r>
      <w:smartTag w:uri="urn:schemas-microsoft-com:office:smarttags" w:element="PlaceName">
        <w:r w:rsidR="003405BB" w:rsidRPr="00DC1F02">
          <w:rPr>
            <w:noProof/>
          </w:rPr>
          <w:t>Czechoslovak</w:t>
        </w:r>
      </w:smartTag>
      <w:r w:rsidRPr="00DC1F02" w:rsidR="003405BB">
        <w:rPr>
          <w:noProof/>
        </w:rPr>
        <w:t xml:space="preserve"> </w:t>
      </w:r>
      <w:smartTag w:uri="urn:schemas-microsoft-com:office:smarttags" w:element="PlaceName">
        <w:r w:rsidR="003405BB" w:rsidRPr="00DC1F02">
          <w:rPr>
            <w:noProof/>
          </w:rPr>
          <w:t>Socialist</w:t>
        </w:r>
      </w:smartTag>
      <w:r w:rsidRPr="00DC1F02" w:rsidR="003405BB">
        <w:rPr>
          <w:noProof/>
        </w:rPr>
        <w:t xml:space="preserve"> </w:t>
      </w:r>
      <w:smartTag w:uri="urn:schemas-microsoft-com:office:smarttags" w:element="PlaceType">
        <w:r w:rsidR="003405BB" w:rsidRPr="00DC1F02">
          <w:rPr>
            <w:noProof/>
          </w:rPr>
          <w:t>Republic</w:t>
        </w:r>
      </w:smartTag>
      <w:r w:rsidRPr="00DC1F02" w:rsidR="003405BB">
        <w:rPr>
          <w:noProof/>
        </w:rPr>
        <w:t xml:space="preserve"> on the Protection of Indications of Source, Appel</w:t>
      </w:r>
      <w:r w:rsidR="00C86549">
        <w:rPr>
          <w:noProof/>
        </w:rPr>
        <w:t>l</w:t>
      </w:r>
      <w:r w:rsidRPr="00DC1F02" w:rsidR="003405BB">
        <w:rPr>
          <w:noProof/>
        </w:rPr>
        <w:t xml:space="preserve">ations of Origin and Other Geographical and Similar </w:t>
      </w:r>
      <w:r w:rsidRPr="00DC1F02" w:rsidR="009151AC">
        <w:rPr>
          <w:noProof/>
        </w:rPr>
        <w:t>Designations</w:t>
      </w:r>
      <w:r w:rsidRPr="00DC1F02" w:rsidR="003405BB">
        <w:rPr>
          <w:noProof/>
        </w:rPr>
        <w:t xml:space="preserve"> </w:t>
      </w:r>
      <w:r w:rsidRPr="00DC1F02">
        <w:rPr>
          <w:noProof/>
        </w:rPr>
        <w:t xml:space="preserve">was signed in </w:t>
      </w:r>
      <w:smartTag w:uri="urn:schemas-microsoft-com:office:smarttags" w:element="place">
        <w:smartTag w:uri="urn:schemas-microsoft-com:office:smarttags" w:element="City">
          <w:r w:rsidRPr="00DC1F02">
            <w:rPr>
              <w:noProof/>
            </w:rPr>
            <w:t>Lisbon</w:t>
          </w:r>
        </w:smartTag>
      </w:smartTag>
      <w:r w:rsidRPr="00DC1F02">
        <w:rPr>
          <w:noProof/>
        </w:rPr>
        <w:t xml:space="preserve"> in 1986 and came into force on 7 March 1987.</w:t>
      </w:r>
      <w:r w:rsidRPr="00DC1F02">
        <w:t xml:space="preserve"> In a </w:t>
      </w:r>
      <w:r w:rsidRPr="0057622F">
        <w:rPr>
          <w:i/>
        </w:rPr>
        <w:t xml:space="preserve">note </w:t>
      </w:r>
      <w:proofErr w:type="spellStart"/>
      <w:r w:rsidRPr="0057622F" w:rsidR="003405BB">
        <w:rPr>
          <w:i/>
        </w:rPr>
        <w:t>verbale</w:t>
      </w:r>
      <w:proofErr w:type="spellEnd"/>
      <w:r w:rsidRPr="00DC1F02" w:rsidR="003405BB">
        <w:t xml:space="preserve"> </w:t>
      </w:r>
      <w:r w:rsidRPr="00DC1F02">
        <w:t xml:space="preserve">dated </w:t>
      </w:r>
      <w:r w:rsidRPr="00DC1F02">
        <w:rPr>
          <w:noProof/>
        </w:rPr>
        <w:t xml:space="preserve">21 March 1994, the </w:t>
      </w:r>
      <w:r w:rsidRPr="00DC1F02" w:rsidR="009D4B38">
        <w:rPr>
          <w:noProof/>
        </w:rPr>
        <w:t xml:space="preserve">Czech </w:t>
      </w:r>
      <w:r w:rsidRPr="00DC1F02">
        <w:rPr>
          <w:noProof/>
        </w:rPr>
        <w:t xml:space="preserve">Minister </w:t>
      </w:r>
      <w:r w:rsidR="0057622F">
        <w:rPr>
          <w:noProof/>
        </w:rPr>
        <w:t>for</w:t>
      </w:r>
      <w:r w:rsidRPr="00DC1F02">
        <w:rPr>
          <w:noProof/>
        </w:rPr>
        <w:t xml:space="preserve"> Foreign Affairs indicated </w:t>
      </w:r>
      <w:r w:rsidRPr="00DC1F02" w:rsidR="009D4B38">
        <w:rPr>
          <w:noProof/>
        </w:rPr>
        <w:t xml:space="preserve">that the </w:t>
      </w:r>
      <w:smartTag w:uri="urn:schemas-microsoft-com:office:smarttags" w:element="PlaceName">
        <w:r w:rsidR="009D4B38" w:rsidRPr="00DC1F02">
          <w:rPr>
            <w:noProof/>
          </w:rPr>
          <w:t>Czech</w:t>
        </w:r>
      </w:smartTag>
      <w:r w:rsidRPr="00DC1F02" w:rsidR="009D4B38">
        <w:rPr>
          <w:noProof/>
        </w:rPr>
        <w:t xml:space="preserve"> </w:t>
      </w:r>
      <w:smartTag w:uri="urn:schemas-microsoft-com:office:smarttags" w:element="PlaceType">
        <w:r w:rsidR="009D4B38" w:rsidRPr="00DC1F02">
          <w:rPr>
            <w:noProof/>
          </w:rPr>
          <w:t>Republic</w:t>
        </w:r>
      </w:smartTag>
      <w:r w:rsidRPr="00DC1F02" w:rsidR="009D4B38">
        <w:rPr>
          <w:noProof/>
        </w:rPr>
        <w:t xml:space="preserve"> would </w:t>
      </w:r>
      <w:r w:rsidRPr="00DC1F02">
        <w:rPr>
          <w:noProof/>
        </w:rPr>
        <w:t xml:space="preserve">succeed </w:t>
      </w:r>
      <w:smartTag w:uri="urn:schemas-microsoft-com:office:smarttags" w:element="place">
        <w:smartTag w:uri="urn:schemas-microsoft-com:office:smarttags" w:element="country-region">
          <w:r w:rsidRPr="00DC1F02">
            <w:rPr>
              <w:noProof/>
            </w:rPr>
            <w:t>Czechoslovakia</w:t>
          </w:r>
        </w:smartTag>
      </w:smartTag>
      <w:r w:rsidRPr="00DC1F02">
        <w:rPr>
          <w:noProof/>
        </w:rPr>
        <w:t xml:space="preserve"> as a contracting party to the Agreement.</w:t>
      </w:r>
      <w:r w:rsidRPr="00DC1F02">
        <w:t xml:space="preserve"> The Portuguese Minister </w:t>
      </w:r>
      <w:r w:rsidR="0057622F">
        <w:t>for</w:t>
      </w:r>
      <w:r w:rsidRPr="00DC1F02">
        <w:t xml:space="preserve"> Foreign Affairs agreed thereto on behalf of the </w:t>
      </w:r>
      <w:smartTag w:uri="urn:schemas-microsoft-com:office:smarttags" w:element="place">
        <w:smartTag w:uri="urn:schemas-microsoft-com:office:smarttags" w:element="PlaceName">
          <w:r w:rsidRPr="00DC1F02">
            <w:t>Portuguese</w:t>
          </w:r>
        </w:smartTag>
        <w:r w:rsidRPr="00DC1F02">
          <w:t xml:space="preserve"> </w:t>
        </w:r>
        <w:smartTag w:uri="urn:schemas-microsoft-com:office:smarttags" w:element="PlaceType">
          <w:r w:rsidRPr="00DC1F02">
            <w:t>Republic</w:t>
          </w:r>
        </w:smartTag>
      </w:smartTag>
      <w:r w:rsidRPr="00DC1F02">
        <w:t xml:space="preserve"> in a </w:t>
      </w:r>
      <w:r w:rsidRPr="0057622F">
        <w:rPr>
          <w:i/>
        </w:rPr>
        <w:t xml:space="preserve">note </w:t>
      </w:r>
      <w:proofErr w:type="spellStart"/>
      <w:r w:rsidRPr="0057622F" w:rsidR="003405BB">
        <w:rPr>
          <w:i/>
        </w:rPr>
        <w:t>verbale</w:t>
      </w:r>
      <w:proofErr w:type="spellEnd"/>
      <w:r w:rsidRPr="00DC1F02" w:rsidR="003405BB">
        <w:t xml:space="preserve"> </w:t>
      </w:r>
      <w:r w:rsidRPr="00DC1F02">
        <w:t xml:space="preserve">dated </w:t>
      </w:r>
      <w:r w:rsidRPr="00DC1F02">
        <w:rPr>
          <w:noProof/>
        </w:rPr>
        <w:t>23 May 1994.</w:t>
      </w:r>
    </w:p>
    <w:p w:rsidRPr="00DC1F02" w:rsidR="00A66D56" w:rsidP="00A66D56" w:rsidRDefault="00A66D56">
      <w:pPr>
        <w:pStyle w:val="JuPara"/>
        <w:rPr>
          <w:noProof/>
        </w:rPr>
      </w:pPr>
      <w:r w:rsidRPr="00DC1F02">
        <w:fldChar w:fldCharType="begin"/>
      </w:r>
      <w:r w:rsidRPr="00DC1F02">
        <w:instrText xml:space="preserve"> SEQ level0 \*arabic </w:instrText>
      </w:r>
      <w:r w:rsidRPr="00DC1F02">
        <w:fldChar w:fldCharType="separate"/>
      </w:r>
      <w:r w:rsidR="00CF6F43">
        <w:rPr>
          <w:noProof/>
        </w:rPr>
        <w:t>26</w:t>
      </w:r>
      <w:r w:rsidRPr="00DC1F02">
        <w:fldChar w:fldCharType="end"/>
      </w:r>
      <w:r w:rsidRPr="00DC1F02">
        <w:rPr>
          <w:noProof/>
        </w:rPr>
        <w:t xml:space="preserve">.  Article 5 of the 1986 Agreement provides, </w:t>
      </w:r>
      <w:r w:rsidRPr="00DC1F02">
        <w:rPr>
          <w:i/>
          <w:noProof/>
        </w:rPr>
        <w:t>inter alia</w:t>
      </w:r>
      <w:r w:rsidRPr="00DC1F02">
        <w:rPr>
          <w:noProof/>
        </w:rPr>
        <w:t>:</w:t>
      </w:r>
    </w:p>
    <w:p w:rsidRPr="00DC1F02" w:rsidR="00A66D56" w:rsidP="00A66D56" w:rsidRDefault="00A66D56">
      <w:pPr>
        <w:pStyle w:val="JuQuot"/>
        <w:rPr>
          <w:noProof/>
        </w:rPr>
      </w:pPr>
      <w:r w:rsidRPr="00DC1F02">
        <w:rPr>
          <w:noProof/>
        </w:rPr>
        <w:t xml:space="preserve">“1.  If </w:t>
      </w:r>
      <w:r w:rsidRPr="00DC1F02" w:rsidR="00AC7350">
        <w:rPr>
          <w:noProof/>
        </w:rPr>
        <w:t xml:space="preserve">a </w:t>
      </w:r>
      <w:r w:rsidRPr="00DC1F02">
        <w:rPr>
          <w:noProof/>
        </w:rPr>
        <w:t xml:space="preserve">name or designation protected under this Agreement </w:t>
      </w:r>
      <w:r w:rsidRPr="00DC1F02" w:rsidR="00AC7350">
        <w:rPr>
          <w:noProof/>
        </w:rPr>
        <w:t>is</w:t>
      </w:r>
      <w:r w:rsidRPr="00DC1F02">
        <w:rPr>
          <w:noProof/>
        </w:rPr>
        <w:t xml:space="preserve"> used in commercial or industrial activities in breach of </w:t>
      </w:r>
      <w:r w:rsidRPr="00DC1F02" w:rsidR="00AC7350">
        <w:rPr>
          <w:noProof/>
        </w:rPr>
        <w:t>the</w:t>
      </w:r>
      <w:r w:rsidRPr="00DC1F02">
        <w:rPr>
          <w:noProof/>
        </w:rPr>
        <w:t xml:space="preserve"> provisions </w:t>
      </w:r>
      <w:r w:rsidRPr="00DC1F02" w:rsidR="00AC7350">
        <w:rPr>
          <w:noProof/>
        </w:rPr>
        <w:t xml:space="preserve">of this Agreement </w:t>
      </w:r>
      <w:r w:rsidRPr="00DC1F02">
        <w:rPr>
          <w:noProof/>
        </w:rPr>
        <w:t xml:space="preserve">for products ... </w:t>
      </w:r>
      <w:r w:rsidRPr="00DC1F02" w:rsidR="00AC7350">
        <w:rPr>
          <w:noProof/>
        </w:rPr>
        <w:t xml:space="preserve">all judicial or administrative remedies available under the legislation of the Contracting State in which protection is sought to prevent unfair competition or the use of unlawful designations </w:t>
      </w:r>
      <w:r w:rsidRPr="00DC1F02">
        <w:rPr>
          <w:noProof/>
        </w:rPr>
        <w:t>shall</w:t>
      </w:r>
      <w:r w:rsidRPr="00DC1F02" w:rsidR="00AC7350">
        <w:rPr>
          <w:noProof/>
        </w:rPr>
        <w:t>,</w:t>
      </w:r>
      <w:r w:rsidRPr="00DC1F02">
        <w:rPr>
          <w:noProof/>
        </w:rPr>
        <w:t xml:space="preserve"> </w:t>
      </w:r>
      <w:r w:rsidRPr="00DC1F02" w:rsidR="00AC7350">
        <w:rPr>
          <w:noProof/>
        </w:rPr>
        <w:t xml:space="preserve">by virtue of the Agreement, </w:t>
      </w:r>
      <w:r w:rsidRPr="00DC1F02">
        <w:rPr>
          <w:noProof/>
        </w:rPr>
        <w:t xml:space="preserve">be </w:t>
      </w:r>
      <w:r w:rsidRPr="00DC1F02" w:rsidR="00AC7350">
        <w:rPr>
          <w:noProof/>
        </w:rPr>
        <w:t>deployed to restrain such use</w:t>
      </w:r>
      <w:r w:rsidRPr="00DC1F02">
        <w:rPr>
          <w:noProof/>
        </w:rPr>
        <w:t>.</w:t>
      </w:r>
    </w:p>
    <w:p w:rsidRPr="00DC1F02" w:rsidR="00A66D56" w:rsidP="00A66D56" w:rsidRDefault="00A66D56">
      <w:pPr>
        <w:pStyle w:val="JuQuot"/>
      </w:pPr>
      <w:r w:rsidRPr="00DC1F02">
        <w:rPr>
          <w:noProof/>
        </w:rPr>
        <w:t xml:space="preserve">2.  The provisions of this Article shall apply even when </w:t>
      </w:r>
      <w:r w:rsidRPr="00DC1F02" w:rsidR="00AC7350">
        <w:rPr>
          <w:noProof/>
        </w:rPr>
        <w:t xml:space="preserve">translations of </w:t>
      </w:r>
      <w:r w:rsidRPr="00DC1F02">
        <w:rPr>
          <w:noProof/>
        </w:rPr>
        <w:t>the said nam</w:t>
      </w:r>
      <w:r w:rsidRPr="00DC1F02" w:rsidR="00AC7350">
        <w:rPr>
          <w:noProof/>
        </w:rPr>
        <w:t>es or designations are used</w:t>
      </w:r>
      <w:r w:rsidR="0057622F">
        <w:rPr>
          <w:noProof/>
        </w:rPr>
        <w:t xml:space="preserve"> </w:t>
      </w:r>
      <w:r w:rsidRPr="00DC1F02" w:rsidR="00AC7350">
        <w:rPr>
          <w:noProof/>
        </w:rPr>
        <w:t>...”</w:t>
      </w:r>
    </w:p>
    <w:p w:rsidRPr="00DC1F02" w:rsidR="00A66D56" w:rsidP="00A66D56" w:rsidRDefault="00A66D56">
      <w:pPr>
        <w:pStyle w:val="JuPara"/>
        <w:rPr>
          <w:noProof/>
        </w:rPr>
      </w:pPr>
      <w:r w:rsidRPr="00DC1F02">
        <w:rPr>
          <w:noProof/>
        </w:rPr>
        <w:t xml:space="preserve">Appendix A to the Agreement lists </w:t>
      </w:r>
      <w:r w:rsidRPr="00DC1F02" w:rsidR="00AC7350">
        <w:rPr>
          <w:noProof/>
        </w:rPr>
        <w:t>the designations “</w:t>
      </w:r>
      <w:r w:rsidR="0064104C">
        <w:rPr>
          <w:iCs/>
          <w:noProof/>
        </w:rPr>
        <w:t>Č</w:t>
      </w:r>
      <w:r w:rsidRPr="00DC1F02">
        <w:rPr>
          <w:iCs/>
          <w:noProof/>
        </w:rPr>
        <w:t>eskobud</w:t>
      </w:r>
      <w:r w:rsidR="0064104C">
        <w:rPr>
          <w:iCs/>
          <w:noProof/>
        </w:rPr>
        <w:t>ě</w:t>
      </w:r>
      <w:r w:rsidRPr="00DC1F02">
        <w:rPr>
          <w:iCs/>
          <w:noProof/>
        </w:rPr>
        <w:t>jovické</w:t>
      </w:r>
      <w:r w:rsidRPr="00DC1F02">
        <w:rPr>
          <w:i/>
          <w:iCs/>
          <w:noProof/>
        </w:rPr>
        <w:t xml:space="preserve"> </w:t>
      </w:r>
      <w:r w:rsidRPr="00DC1F02">
        <w:rPr>
          <w:iCs/>
          <w:noProof/>
        </w:rPr>
        <w:t>pivo</w:t>
      </w:r>
      <w:r w:rsidRPr="00DC1F02" w:rsidR="00AC7350">
        <w:rPr>
          <w:iCs/>
          <w:noProof/>
        </w:rPr>
        <w:t>”</w:t>
      </w:r>
      <w:r w:rsidRPr="00DC1F02">
        <w:rPr>
          <w:noProof/>
        </w:rPr>
        <w:t xml:space="preserve"> and </w:t>
      </w:r>
      <w:r w:rsidRPr="00DC1F02" w:rsidR="00AE3C2C">
        <w:rPr>
          <w:noProof/>
        </w:rPr>
        <w:t>“</w:t>
      </w:r>
      <w:r w:rsidR="0064104C">
        <w:rPr>
          <w:iCs/>
          <w:noProof/>
        </w:rPr>
        <w:t>Č</w:t>
      </w:r>
      <w:r w:rsidRPr="00DC1F02">
        <w:rPr>
          <w:iCs/>
          <w:noProof/>
        </w:rPr>
        <w:t>esk</w:t>
      </w:r>
      <w:r w:rsidR="0064104C">
        <w:rPr>
          <w:iCs/>
          <w:noProof/>
        </w:rPr>
        <w:t>o</w:t>
      </w:r>
      <w:r w:rsidRPr="00DC1F02">
        <w:rPr>
          <w:iCs/>
          <w:noProof/>
        </w:rPr>
        <w:t>bud</w:t>
      </w:r>
      <w:r w:rsidR="0064104C">
        <w:rPr>
          <w:iCs/>
          <w:noProof/>
        </w:rPr>
        <w:t>ě</w:t>
      </w:r>
      <w:r w:rsidRPr="00DC1F02">
        <w:rPr>
          <w:iCs/>
          <w:noProof/>
        </w:rPr>
        <w:t>jovick</w:t>
      </w:r>
      <w:r w:rsidR="0064104C">
        <w:rPr>
          <w:iCs/>
          <w:noProof/>
        </w:rPr>
        <w:t>ý</w:t>
      </w:r>
      <w:r w:rsidRPr="00DC1F02">
        <w:rPr>
          <w:i/>
          <w:iCs/>
          <w:noProof/>
        </w:rPr>
        <w:t xml:space="preserve"> </w:t>
      </w:r>
      <w:r w:rsidRPr="00DC1F02">
        <w:rPr>
          <w:iCs/>
          <w:noProof/>
        </w:rPr>
        <w:t>Budvar</w:t>
      </w:r>
      <w:r w:rsidRPr="00DC1F02" w:rsidR="00AE3C2C">
        <w:rPr>
          <w:noProof/>
        </w:rPr>
        <w:t>”</w:t>
      </w:r>
      <w:r w:rsidRPr="00DC1F02">
        <w:rPr>
          <w:noProof/>
        </w:rPr>
        <w:t xml:space="preserve"> among the protected appellations of origin.</w:t>
      </w:r>
    </w:p>
    <w:p w:rsidRPr="00DC1F02" w:rsidR="004A69F6" w:rsidP="00A66D56" w:rsidRDefault="009151AC">
      <w:pPr>
        <w:pStyle w:val="JuPara"/>
        <w:rPr>
          <w:noProof/>
        </w:rPr>
      </w:pPr>
      <w:r w:rsidRPr="00DC1F02">
        <w:rPr>
          <w:noProof/>
        </w:rPr>
        <w:fldChar w:fldCharType="begin"/>
      </w:r>
      <w:r w:rsidRPr="00DC1F02">
        <w:rPr>
          <w:noProof/>
        </w:rPr>
        <w:instrText xml:space="preserve"> SEQ level0 \*arabic </w:instrText>
      </w:r>
      <w:r w:rsidRPr="00DC1F02">
        <w:rPr>
          <w:noProof/>
        </w:rPr>
        <w:fldChar w:fldCharType="separate"/>
      </w:r>
      <w:r w:rsidR="00CF6F43">
        <w:rPr>
          <w:noProof/>
        </w:rPr>
        <w:t>27</w:t>
      </w:r>
      <w:r w:rsidRPr="00DC1F02">
        <w:rPr>
          <w:noProof/>
        </w:rPr>
        <w:fldChar w:fldCharType="end"/>
      </w:r>
      <w:r w:rsidRPr="00DC1F02">
        <w:rPr>
          <w:noProof/>
        </w:rPr>
        <w:t>.  </w:t>
      </w:r>
      <w:r w:rsidRPr="00DC1F02" w:rsidR="00935C00">
        <w:rPr>
          <w:noProof/>
        </w:rPr>
        <w:t xml:space="preserve">According </w:t>
      </w:r>
      <w:r w:rsidRPr="00DC1F02" w:rsidR="004A69F6">
        <w:rPr>
          <w:noProof/>
        </w:rPr>
        <w:t xml:space="preserve">to the applicant company, </w:t>
      </w:r>
      <w:smartTag w:uri="urn:schemas-microsoft-com:office:smarttags" w:element="country-region">
        <w:r w:rsidR="004A69F6" w:rsidRPr="00DC1F02">
          <w:rPr>
            <w:noProof/>
          </w:rPr>
          <w:t>Czechoslovakia</w:t>
        </w:r>
      </w:smartTag>
      <w:r w:rsidRPr="00DC1F02" w:rsidR="004A69F6">
        <w:rPr>
          <w:noProof/>
        </w:rPr>
        <w:t xml:space="preserve"> entered into similar agreements with two other member States of the Council of Europe</w:t>
      </w:r>
      <w:r w:rsidRPr="00DC1F02" w:rsidR="00952B55">
        <w:rPr>
          <w:noProof/>
        </w:rPr>
        <w:t>, these being</w:t>
      </w:r>
      <w:r w:rsidRPr="00DC1F02" w:rsidR="004A69F6">
        <w:rPr>
          <w:noProof/>
        </w:rPr>
        <w:t xml:space="preserve"> </w:t>
      </w:r>
      <w:smartTag w:uri="urn:schemas-microsoft-com:office:smarttags" w:element="country-region">
        <w:r w:rsidR="004A69F6" w:rsidRPr="00DC1F02">
          <w:rPr>
            <w:noProof/>
          </w:rPr>
          <w:t>Austria</w:t>
        </w:r>
      </w:smartTag>
      <w:r w:rsidRPr="00DC1F02" w:rsidR="004A69F6">
        <w:rPr>
          <w:noProof/>
        </w:rPr>
        <w:t xml:space="preserve"> and </w:t>
      </w:r>
      <w:smartTag w:uri="urn:schemas-microsoft-com:office:smarttags" w:element="place">
        <w:smartTag w:uri="urn:schemas-microsoft-com:office:smarttags" w:element="country-region">
          <w:r w:rsidR="004A69F6" w:rsidRPr="00DC1F02">
            <w:rPr>
              <w:noProof/>
            </w:rPr>
            <w:t>Switzerland</w:t>
          </w:r>
        </w:smartTag>
      </w:smartTag>
      <w:r w:rsidRPr="00DC1F02" w:rsidR="004A69F6">
        <w:rPr>
          <w:noProof/>
        </w:rPr>
        <w:t xml:space="preserve">. The agreement between </w:t>
      </w:r>
      <w:smartTag w:uri="urn:schemas-microsoft-com:office:smarttags" w:element="country-region">
        <w:r w:rsidR="004A69F6" w:rsidRPr="00DC1F02">
          <w:rPr>
            <w:noProof/>
          </w:rPr>
          <w:t>Czechoslovakia</w:t>
        </w:r>
      </w:smartTag>
      <w:r w:rsidRPr="00DC1F02" w:rsidR="004A69F6">
        <w:rPr>
          <w:noProof/>
        </w:rPr>
        <w:t xml:space="preserve"> and </w:t>
      </w:r>
      <w:smartTag w:uri="urn:schemas-microsoft-com:office:smarttags" w:element="place">
        <w:smartTag w:uri="urn:schemas-microsoft-com:office:smarttags" w:element="country-region">
          <w:r w:rsidR="004A69F6" w:rsidRPr="00DC1F02">
            <w:rPr>
              <w:noProof/>
            </w:rPr>
            <w:t>Switzerland</w:t>
          </w:r>
        </w:smartTag>
      </w:smartTag>
      <w:r w:rsidRPr="00DC1F02" w:rsidR="004A69F6">
        <w:rPr>
          <w:noProof/>
        </w:rPr>
        <w:t xml:space="preserve"> was signed on 16 Nov</w:t>
      </w:r>
      <w:r w:rsidRPr="00DC1F02" w:rsidR="00935C00">
        <w:rPr>
          <w:noProof/>
        </w:rPr>
        <w:t>ember</w:t>
      </w:r>
      <w:r w:rsidRPr="00DC1F02" w:rsidR="004A69F6">
        <w:rPr>
          <w:noProof/>
        </w:rPr>
        <w:t xml:space="preserve"> 1973 and </w:t>
      </w:r>
      <w:r w:rsidR="0057622F">
        <w:rPr>
          <w:noProof/>
        </w:rPr>
        <w:t>came</w:t>
      </w:r>
      <w:r w:rsidRPr="00DC1F02" w:rsidR="004A69F6">
        <w:rPr>
          <w:noProof/>
        </w:rPr>
        <w:t xml:space="preserve"> into force on 14</w:t>
      </w:r>
      <w:r w:rsidR="0057622F">
        <w:rPr>
          <w:noProof/>
        </w:rPr>
        <w:t xml:space="preserve"> </w:t>
      </w:r>
      <w:r w:rsidRPr="00DC1F02" w:rsidR="004A69F6">
        <w:rPr>
          <w:noProof/>
        </w:rPr>
        <w:t xml:space="preserve">January 1976. The agreement between </w:t>
      </w:r>
      <w:smartTag w:uri="urn:schemas-microsoft-com:office:smarttags" w:element="country-region">
        <w:r w:rsidR="004A69F6" w:rsidRPr="00DC1F02">
          <w:rPr>
            <w:noProof/>
          </w:rPr>
          <w:t>Czechoslovakia</w:t>
        </w:r>
      </w:smartTag>
      <w:r w:rsidRPr="00DC1F02" w:rsidR="004A69F6">
        <w:rPr>
          <w:noProof/>
        </w:rPr>
        <w:t xml:space="preserve"> and </w:t>
      </w:r>
      <w:smartTag w:uri="urn:schemas-microsoft-com:office:smarttags" w:element="place">
        <w:smartTag w:uri="urn:schemas-microsoft-com:office:smarttags" w:element="country-region">
          <w:r w:rsidR="004A69F6" w:rsidRPr="00DC1F02">
            <w:rPr>
              <w:noProof/>
            </w:rPr>
            <w:t>Austria</w:t>
          </w:r>
        </w:smartTag>
      </w:smartTag>
      <w:r w:rsidRPr="00DC1F02" w:rsidR="004A69F6">
        <w:rPr>
          <w:noProof/>
        </w:rPr>
        <w:t xml:space="preserve"> was signed on 11 Jun</w:t>
      </w:r>
      <w:r w:rsidRPr="00DC1F02" w:rsidR="00935C00">
        <w:rPr>
          <w:noProof/>
        </w:rPr>
        <w:t>e</w:t>
      </w:r>
      <w:r w:rsidRPr="00DC1F02" w:rsidR="004A69F6">
        <w:rPr>
          <w:noProof/>
        </w:rPr>
        <w:t xml:space="preserve"> 1976 and </w:t>
      </w:r>
      <w:r w:rsidR="0057622F">
        <w:rPr>
          <w:noProof/>
        </w:rPr>
        <w:t>came</w:t>
      </w:r>
      <w:r w:rsidRPr="00DC1F02" w:rsidR="004A69F6">
        <w:rPr>
          <w:noProof/>
        </w:rPr>
        <w:t xml:space="preserve"> into force on 26 Feb</w:t>
      </w:r>
      <w:r w:rsidRPr="00DC1F02" w:rsidR="00935C00">
        <w:rPr>
          <w:noProof/>
        </w:rPr>
        <w:t>ruary</w:t>
      </w:r>
      <w:r w:rsidRPr="00DC1F02" w:rsidR="004A69F6">
        <w:rPr>
          <w:noProof/>
        </w:rPr>
        <w:t xml:space="preserve"> 1981.</w:t>
      </w:r>
    </w:p>
    <w:p w:rsidRPr="00DC1F02" w:rsidR="00A66D56" w:rsidP="00A66D56" w:rsidRDefault="009151AC">
      <w:pPr>
        <w:pStyle w:val="JuH1"/>
        <w:rPr>
          <w:noProof/>
        </w:rPr>
      </w:pPr>
      <w:r w:rsidRPr="00DC1F02">
        <w:rPr>
          <w:noProof/>
        </w:rPr>
        <w:t>2</w:t>
      </w:r>
      <w:r w:rsidRPr="00DC1F02" w:rsidR="00A66D56">
        <w:rPr>
          <w:noProof/>
        </w:rPr>
        <w:t xml:space="preserve">.  The </w:t>
      </w:r>
      <w:smartTag w:uri="urn:schemas-microsoft-com:office:smarttags" w:element="place">
        <w:smartTag w:uri="urn:schemas-microsoft-com:office:smarttags" w:element="City">
          <w:r w:rsidR="00A66D56" w:rsidRPr="00DC1F02">
            <w:rPr>
              <w:noProof/>
            </w:rPr>
            <w:t>Paris</w:t>
          </w:r>
        </w:smartTag>
      </w:smartTag>
      <w:r w:rsidRPr="00DC1F02" w:rsidR="00A66D56">
        <w:rPr>
          <w:noProof/>
        </w:rPr>
        <w:t xml:space="preserve"> Convention</w:t>
      </w:r>
    </w:p>
    <w:p w:rsidRPr="00DC1F02" w:rsidR="00A66D56" w:rsidP="00A66D56" w:rsidRDefault="00A66D56">
      <w:pPr>
        <w:pStyle w:val="JuPara"/>
      </w:pPr>
      <w:r w:rsidRPr="00DC1F02">
        <w:fldChar w:fldCharType="begin"/>
      </w:r>
      <w:r w:rsidRPr="00DC1F02">
        <w:instrText xml:space="preserve"> SEQ level0 \*arabic </w:instrText>
      </w:r>
      <w:r w:rsidRPr="00DC1F02">
        <w:fldChar w:fldCharType="separate"/>
      </w:r>
      <w:r w:rsidR="00CF6F43">
        <w:rPr>
          <w:noProof/>
        </w:rPr>
        <w:t>28</w:t>
      </w:r>
      <w:r w:rsidRPr="00DC1F02">
        <w:fldChar w:fldCharType="end"/>
      </w:r>
      <w:r w:rsidRPr="00DC1F02">
        <w:rPr>
          <w:noProof/>
        </w:rPr>
        <w:t xml:space="preserve">.  The Paris Convention of 20 March 1883 for the </w:t>
      </w:r>
      <w:r w:rsidRPr="00DC1F02" w:rsidR="00967B02">
        <w:rPr>
          <w:noProof/>
        </w:rPr>
        <w:t xml:space="preserve">Protection </w:t>
      </w:r>
      <w:r w:rsidRPr="00DC1F02">
        <w:rPr>
          <w:noProof/>
        </w:rPr>
        <w:t xml:space="preserve">of </w:t>
      </w:r>
      <w:r w:rsidRPr="00DC1F02" w:rsidR="00967B02">
        <w:rPr>
          <w:noProof/>
        </w:rPr>
        <w:t>Industrial Property</w:t>
      </w:r>
      <w:r w:rsidRPr="00DC1F02">
        <w:rPr>
          <w:noProof/>
        </w:rPr>
        <w:t>, as subsequently revised on numerous occasions (</w:t>
      </w:r>
      <w:r w:rsidR="00DB5A0C">
        <w:rPr>
          <w:noProof/>
        </w:rPr>
        <w:t xml:space="preserve">the most recent being </w:t>
      </w:r>
      <w:r w:rsidRPr="00DC1F02">
        <w:rPr>
          <w:noProof/>
        </w:rPr>
        <w:t>in Stockholm on 14 July 1967, United Nations Treaty Series</w:t>
      </w:r>
      <w:r w:rsidR="0057622F">
        <w:rPr>
          <w:noProof/>
        </w:rPr>
        <w:t xml:space="preserve"> </w:t>
      </w:r>
      <w:r w:rsidRPr="00DC1F02" w:rsidR="0057622F">
        <w:rPr>
          <w:noProof/>
        </w:rPr>
        <w:t>1972</w:t>
      </w:r>
      <w:r w:rsidRPr="00DC1F02">
        <w:rPr>
          <w:noProof/>
        </w:rPr>
        <w:t xml:space="preserve">, </w:t>
      </w:r>
      <w:r w:rsidR="0057622F">
        <w:rPr>
          <w:noProof/>
        </w:rPr>
        <w:t xml:space="preserve">vol. 828, </w:t>
      </w:r>
      <w:r w:rsidRPr="00DC1F02">
        <w:rPr>
          <w:noProof/>
        </w:rPr>
        <w:t xml:space="preserve">pp. 305 et seq.), sets up a Union for the protection of industrial property, </w:t>
      </w:r>
      <w:r w:rsidRPr="00DC1F02" w:rsidR="00AE3C2C">
        <w:rPr>
          <w:noProof/>
        </w:rPr>
        <w:t xml:space="preserve">an </w:t>
      </w:r>
      <w:r w:rsidRPr="00DC1F02">
        <w:rPr>
          <w:noProof/>
        </w:rPr>
        <w:t xml:space="preserve">expression </w:t>
      </w:r>
      <w:r w:rsidR="00C53609">
        <w:rPr>
          <w:noProof/>
        </w:rPr>
        <w:t xml:space="preserve">that </w:t>
      </w:r>
      <w:r w:rsidRPr="00DC1F02" w:rsidR="005D7DF4">
        <w:rPr>
          <w:noProof/>
        </w:rPr>
        <w:t>encompass</w:t>
      </w:r>
      <w:r w:rsidR="00C53609">
        <w:rPr>
          <w:noProof/>
        </w:rPr>
        <w:t>e</w:t>
      </w:r>
      <w:r w:rsidR="00DB5A0C">
        <w:rPr>
          <w:noProof/>
        </w:rPr>
        <w:t>s</w:t>
      </w:r>
      <w:r w:rsidRPr="00DC1F02">
        <w:rPr>
          <w:noProof/>
        </w:rPr>
        <w:t xml:space="preserve"> industrial designs, trade marks, appellations of origin and indications of source. The </w:t>
      </w:r>
      <w:r w:rsidRPr="00DC1F02" w:rsidR="00AE3C2C">
        <w:rPr>
          <w:noProof/>
        </w:rPr>
        <w:t xml:space="preserve">purpose of the </w:t>
      </w:r>
      <w:r w:rsidRPr="00DC1F02">
        <w:rPr>
          <w:noProof/>
        </w:rPr>
        <w:t xml:space="preserve">Paris Convention is to prevent discrimination against non-nationals and </w:t>
      </w:r>
      <w:r w:rsidRPr="00DC1F02" w:rsidR="00AE3C2C">
        <w:rPr>
          <w:noProof/>
        </w:rPr>
        <w:t xml:space="preserve">it </w:t>
      </w:r>
      <w:r w:rsidRPr="00DC1F02">
        <w:rPr>
          <w:noProof/>
        </w:rPr>
        <w:t>lays down a number of</w:t>
      </w:r>
      <w:r w:rsidR="00DB5A0C">
        <w:rPr>
          <w:noProof/>
        </w:rPr>
        <w:t xml:space="preserve"> rules </w:t>
      </w:r>
      <w:r w:rsidRPr="00DC1F02" w:rsidR="00AE3C2C">
        <w:rPr>
          <w:noProof/>
        </w:rPr>
        <w:t>of a very general nature dealing with the</w:t>
      </w:r>
      <w:r w:rsidRPr="00DC1F02">
        <w:rPr>
          <w:noProof/>
        </w:rPr>
        <w:t xml:space="preserve"> procedural and substantive </w:t>
      </w:r>
      <w:r w:rsidRPr="00DC1F02" w:rsidR="00AE3C2C">
        <w:rPr>
          <w:noProof/>
        </w:rPr>
        <w:t xml:space="preserve">aspects of </w:t>
      </w:r>
      <w:r w:rsidRPr="00DC1F02">
        <w:rPr>
          <w:noProof/>
        </w:rPr>
        <w:t>industrial</w:t>
      </w:r>
      <w:r w:rsidRPr="00DC1F02" w:rsidR="00B95FF8">
        <w:rPr>
          <w:noProof/>
        </w:rPr>
        <w:t xml:space="preserve"> </w:t>
      </w:r>
      <w:r w:rsidRPr="00DC1F02">
        <w:rPr>
          <w:noProof/>
        </w:rPr>
        <w:t>property law.</w:t>
      </w:r>
      <w:r w:rsidRPr="00DC1F02">
        <w:t xml:space="preserve"> </w:t>
      </w:r>
      <w:r w:rsidR="0057622F">
        <w:t>It</w:t>
      </w:r>
      <w:r w:rsidRPr="00DC1F02">
        <w:t xml:space="preserve"> enables </w:t>
      </w:r>
      <w:r w:rsidRPr="00DC1F02" w:rsidR="00AE3C2C">
        <w:t>owners</w:t>
      </w:r>
      <w:r w:rsidRPr="00DC1F02">
        <w:t xml:space="preserve"> of marks to obtain protection in </w:t>
      </w:r>
      <w:r w:rsidRPr="00DC1F02" w:rsidR="00AE3C2C">
        <w:t>various</w:t>
      </w:r>
      <w:r w:rsidRPr="00DC1F02">
        <w:t xml:space="preserve"> member </w:t>
      </w:r>
      <w:r w:rsidRPr="00DC1F02" w:rsidR="0035144C">
        <w:t xml:space="preserve">States </w:t>
      </w:r>
      <w:r w:rsidRPr="00DC1F02">
        <w:t xml:space="preserve">of the </w:t>
      </w:r>
      <w:smartTag w:uri="urn:schemas-microsoft-com:office:smarttags" w:element="place">
        <w:r w:rsidRPr="00DC1F02">
          <w:t>Union</w:t>
        </w:r>
      </w:smartTag>
      <w:r w:rsidRPr="00DC1F02">
        <w:t xml:space="preserve"> through a single registration</w:t>
      </w:r>
      <w:r w:rsidRPr="00DC1F02">
        <w:rPr>
          <w:noProof/>
        </w:rPr>
        <w:t>.</w:t>
      </w:r>
      <w:r w:rsidRPr="00DC1F02" w:rsidR="00C90D98">
        <w:rPr>
          <w:noProof/>
        </w:rPr>
        <w:t xml:space="preserve"> </w:t>
      </w:r>
      <w:r w:rsidRPr="00DC1F02" w:rsidR="009F1092">
        <w:rPr>
          <w:noProof/>
        </w:rPr>
        <w:t xml:space="preserve">It also establishes the priority rule, which grants, for a set period, a right of priority to an application for protection of an </w:t>
      </w:r>
      <w:r w:rsidRPr="00DC1F02" w:rsidR="00B95FF8">
        <w:rPr>
          <w:noProof/>
        </w:rPr>
        <w:t>intellectual property right</w:t>
      </w:r>
      <w:r w:rsidRPr="00DC1F02" w:rsidR="009F1092">
        <w:rPr>
          <w:noProof/>
        </w:rPr>
        <w:t xml:space="preserve"> in one of the Contracting States over applications lodged subsequently in another </w:t>
      </w:r>
      <w:smartTag w:uri="urn:schemas-microsoft-com:office:smarttags" w:element="place">
        <w:smartTag w:uri="urn:schemas-microsoft-com:office:smarttags" w:element="PlaceName">
          <w:r w:rsidR="009F1092" w:rsidRPr="00DC1F02">
            <w:rPr>
              <w:noProof/>
            </w:rPr>
            <w:t>Contracting</w:t>
          </w:r>
        </w:smartTag>
        <w:r w:rsidR="009F1092" w:rsidRPr="00DC1F02">
          <w:rPr>
            <w:noProof/>
          </w:rPr>
          <w:t xml:space="preserve"> </w:t>
        </w:r>
        <w:smartTag w:uri="urn:schemas-microsoft-com:office:smarttags" w:element="PlaceType">
          <w:r w:rsidR="009F1092" w:rsidRPr="00DC1F02">
            <w:rPr>
              <w:noProof/>
            </w:rPr>
            <w:t>State</w:t>
          </w:r>
        </w:smartTag>
      </w:smartTag>
      <w:r w:rsidRPr="00DC1F02" w:rsidR="009F1092">
        <w:rPr>
          <w:noProof/>
        </w:rPr>
        <w:t>. The system int</w:t>
      </w:r>
      <w:r w:rsidR="0057622F">
        <w:rPr>
          <w:noProof/>
        </w:rPr>
        <w:t>roduced by this c</w:t>
      </w:r>
      <w:r w:rsidRPr="00DC1F02" w:rsidR="009F1092">
        <w:rPr>
          <w:noProof/>
        </w:rPr>
        <w:t xml:space="preserve">onvention is administered by the </w:t>
      </w:r>
      <w:r w:rsidRPr="00DC1F02" w:rsidR="00F17804">
        <w:t>Wor</w:t>
      </w:r>
      <w:r w:rsidR="00F55FD5">
        <w:t>ld Intellectual Property Organis</w:t>
      </w:r>
      <w:r w:rsidRPr="00DC1F02" w:rsidR="00F17804">
        <w:t xml:space="preserve">ation (WIPO) based in </w:t>
      </w:r>
      <w:smartTag w:uri="urn:schemas-microsoft-com:office:smarttags" w:element="City">
        <w:r w:rsidR="00C90D98" w:rsidRPr="00DC1F02">
          <w:t>Gen</w:t>
        </w:r>
        <w:r w:rsidR="00F17804" w:rsidRPr="00DC1F02">
          <w:t>e</w:t>
        </w:r>
        <w:r w:rsidR="00C90D98" w:rsidRPr="00DC1F02">
          <w:t>v</w:t>
        </w:r>
        <w:r w:rsidR="00F17804" w:rsidRPr="00DC1F02">
          <w:t>a</w:t>
        </w:r>
      </w:smartTag>
      <w:r w:rsidRPr="00DC1F02" w:rsidR="00C90D98">
        <w:t xml:space="preserve"> (</w:t>
      </w:r>
      <w:smartTag w:uri="urn:schemas-microsoft-com:office:smarttags" w:element="country-region">
        <w:smartTag w:uri="urn:schemas-microsoft-com:office:smarttags" w:element="place">
          <w:r w:rsidR="00F17804" w:rsidRPr="00DC1F02">
            <w:t>Switzerland</w:t>
          </w:r>
        </w:smartTag>
      </w:smartTag>
      <w:r w:rsidRPr="00DC1F02" w:rsidR="00C90D98">
        <w:t>).</w:t>
      </w:r>
    </w:p>
    <w:p w:rsidRPr="00DC1F02" w:rsidR="00A66D56" w:rsidP="00A66D56" w:rsidRDefault="00A66D56">
      <w:pPr>
        <w:pStyle w:val="JuPara"/>
        <w:rPr>
          <w:noProof/>
        </w:rPr>
      </w:pPr>
      <w:r w:rsidRPr="00DC1F02">
        <w:fldChar w:fldCharType="begin"/>
      </w:r>
      <w:r w:rsidRPr="00DC1F02">
        <w:instrText xml:space="preserve"> SEQ level0 \*arabic </w:instrText>
      </w:r>
      <w:r w:rsidRPr="00DC1F02">
        <w:fldChar w:fldCharType="separate"/>
      </w:r>
      <w:r w:rsidR="00CF6F43">
        <w:rPr>
          <w:noProof/>
        </w:rPr>
        <w:t>29</w:t>
      </w:r>
      <w:r w:rsidRPr="00DC1F02">
        <w:fldChar w:fldCharType="end"/>
      </w:r>
      <w:r w:rsidRPr="00DC1F02">
        <w:t>.  </w:t>
      </w:r>
      <w:r w:rsidRPr="00DC1F02" w:rsidR="00AE3C2C">
        <w:t xml:space="preserve">The </w:t>
      </w:r>
      <w:r w:rsidRPr="00DC1F02" w:rsidR="000C0DE3">
        <w:t>following provisions</w:t>
      </w:r>
      <w:r w:rsidRPr="00DC1F02" w:rsidR="00AE3C2C">
        <w:t xml:space="preserve"> of </w:t>
      </w:r>
      <w:r w:rsidRPr="00DC1F02">
        <w:rPr>
          <w:noProof/>
        </w:rPr>
        <w:t xml:space="preserve">the Paris Convention </w:t>
      </w:r>
      <w:r w:rsidRPr="00DC1F02" w:rsidR="000C0DE3">
        <w:rPr>
          <w:noProof/>
        </w:rPr>
        <w:t xml:space="preserve">are of </w:t>
      </w:r>
      <w:r w:rsidR="00C86549">
        <w:rPr>
          <w:noProof/>
        </w:rPr>
        <w:t>relevance</w:t>
      </w:r>
      <w:r w:rsidRPr="00DC1F02" w:rsidR="00C86549">
        <w:rPr>
          <w:noProof/>
        </w:rPr>
        <w:t xml:space="preserve"> </w:t>
      </w:r>
      <w:r w:rsidRPr="00DC1F02" w:rsidR="000C0DE3">
        <w:rPr>
          <w:noProof/>
        </w:rPr>
        <w:t>to the present case</w:t>
      </w:r>
      <w:r w:rsidRPr="00DC1F02">
        <w:rPr>
          <w:noProof/>
        </w:rPr>
        <w:t>:</w:t>
      </w:r>
    </w:p>
    <w:p w:rsidRPr="00DC1F02" w:rsidR="000C0DE3" w:rsidP="000C0DE3" w:rsidRDefault="000C0DE3">
      <w:pPr>
        <w:pStyle w:val="JuHArticle"/>
      </w:pPr>
      <w:r w:rsidRPr="00DC1F02">
        <w:t>Article 4</w:t>
      </w:r>
    </w:p>
    <w:p w:rsidRPr="00DC1F02" w:rsidR="00A66D56" w:rsidP="00A66D56" w:rsidRDefault="00A66D56">
      <w:pPr>
        <w:pStyle w:val="JuQuot"/>
        <w:rPr>
          <w:noProof/>
        </w:rPr>
      </w:pPr>
      <w:r w:rsidRPr="00DC1F02">
        <w:rPr>
          <w:noProof/>
        </w:rPr>
        <w:t>“A.  (1)</w:t>
      </w:r>
      <w:r w:rsidR="00A94E4B">
        <w:rPr>
          <w:noProof/>
        </w:rPr>
        <w:t xml:space="preserve"> </w:t>
      </w:r>
      <w:r w:rsidRPr="00DC1F02">
        <w:rPr>
          <w:noProof/>
        </w:rPr>
        <w:t>Any person who has duly filed an application for ... the registration of ... an industrial design, or of a trademark, in one of the countries of the Union, or his successor in title, shall enjoy, for the purpose of filing in the other countries, a right of priority during the periods hereinafter fixed.</w:t>
      </w:r>
    </w:p>
    <w:p w:rsidRPr="00DC1F02" w:rsidR="00A66D56" w:rsidP="00A66D56" w:rsidRDefault="00A66D56">
      <w:pPr>
        <w:pStyle w:val="JuQuot"/>
        <w:rPr>
          <w:noProof/>
        </w:rPr>
      </w:pPr>
      <w:r w:rsidRPr="00DC1F02">
        <w:rPr>
          <w:noProof/>
        </w:rPr>
        <w:t>(2)</w:t>
      </w:r>
      <w:r w:rsidRPr="00DC1F02" w:rsidR="00AE3C2C">
        <w:rPr>
          <w:noProof/>
        </w:rPr>
        <w:t>  </w:t>
      </w:r>
      <w:r w:rsidRPr="00DC1F02">
        <w:rPr>
          <w:noProof/>
        </w:rPr>
        <w:t xml:space="preserve">Any filing that is equivalent to a regular national filing under the domestic legislation of any country of the Union or under bilateral or multilateral treaties concluded between countries of the </w:t>
      </w:r>
      <w:smartTag w:uri="urn:schemas-microsoft-com:office:smarttags" w:element="place">
        <w:r w:rsidRPr="00DC1F02">
          <w:rPr>
            <w:noProof/>
          </w:rPr>
          <w:t>Union</w:t>
        </w:r>
      </w:smartTag>
      <w:r w:rsidRPr="00DC1F02">
        <w:rPr>
          <w:noProof/>
        </w:rPr>
        <w:t xml:space="preserve"> shall be recognized as giving rise to the right of priority.</w:t>
      </w:r>
    </w:p>
    <w:p w:rsidRPr="00DC1F02" w:rsidR="00A66D56" w:rsidP="00A66D56" w:rsidRDefault="00A66D56">
      <w:pPr>
        <w:pStyle w:val="JuQuot"/>
        <w:rPr>
          <w:noProof/>
        </w:rPr>
      </w:pPr>
      <w:r w:rsidRPr="00DC1F02">
        <w:rPr>
          <w:noProof/>
        </w:rPr>
        <w:t>(3)</w:t>
      </w:r>
      <w:r w:rsidRPr="00DC1F02" w:rsidR="00AE3C2C">
        <w:rPr>
          <w:noProof/>
        </w:rPr>
        <w:t>  </w:t>
      </w:r>
      <w:r w:rsidRPr="00DC1F02">
        <w:rPr>
          <w:noProof/>
        </w:rPr>
        <w:t>By a regular national filing is meant any filing that is adequate to establish the date on which the application was filed in the country concerned, whatever may be the subsequent fate of the application.</w:t>
      </w:r>
    </w:p>
    <w:p w:rsidRPr="00DC1F02" w:rsidR="00A66D56" w:rsidP="00A66D56" w:rsidRDefault="00A66D56">
      <w:pPr>
        <w:pStyle w:val="JuQuot"/>
        <w:rPr>
          <w:noProof/>
        </w:rPr>
      </w:pPr>
      <w:r w:rsidRPr="00DC1F02">
        <w:rPr>
          <w:noProof/>
        </w:rPr>
        <w:t>B.</w:t>
      </w:r>
      <w:r w:rsidRPr="00DC1F02" w:rsidR="00AE3C2C">
        <w:rPr>
          <w:noProof/>
        </w:rPr>
        <w:t>  </w:t>
      </w:r>
      <w:r w:rsidRPr="00DC1F02">
        <w:rPr>
          <w:noProof/>
        </w:rPr>
        <w:t>Consequently, any subsequent filing in any of the other countries of the Union before the expiration of the periods referred to above shall not be invalidated by reason of any acts accomplished in the interval, in particular, another filing, ... the use of the mark, and such acts cannot give rise to any third</w:t>
      </w:r>
      <w:r w:rsidRPr="00DC1F02" w:rsidR="00AE3C2C">
        <w:rPr>
          <w:noProof/>
        </w:rPr>
        <w:t>-</w:t>
      </w:r>
      <w:r w:rsidRPr="00DC1F02">
        <w:rPr>
          <w:noProof/>
        </w:rPr>
        <w:t xml:space="preserve">party right or any right of personal possession. Rights acquired by third parties before the date of the first application that serves as the basis for the right of priority are reserved in accordance with the domestic legislation of each country of the </w:t>
      </w:r>
      <w:smartTag w:uri="urn:schemas-microsoft-com:office:smarttags" w:element="place">
        <w:r w:rsidRPr="00DC1F02">
          <w:rPr>
            <w:noProof/>
          </w:rPr>
          <w:t>Union</w:t>
        </w:r>
      </w:smartTag>
    </w:p>
    <w:p w:rsidRPr="00DC1F02" w:rsidR="00A66D56" w:rsidP="00A66D56" w:rsidRDefault="00A66D56">
      <w:pPr>
        <w:pStyle w:val="JuQuot"/>
        <w:rPr>
          <w:noProof/>
        </w:rPr>
      </w:pPr>
      <w:r w:rsidRPr="00DC1F02">
        <w:rPr>
          <w:noProof/>
        </w:rPr>
        <w:t>C.</w:t>
      </w:r>
      <w:r w:rsidRPr="00DC1F02" w:rsidR="00AE3C2C">
        <w:rPr>
          <w:noProof/>
        </w:rPr>
        <w:t>  </w:t>
      </w:r>
      <w:r w:rsidRPr="00DC1F02">
        <w:rPr>
          <w:noProof/>
        </w:rPr>
        <w:t>(1)</w:t>
      </w:r>
      <w:r w:rsidR="00A94E4B">
        <w:rPr>
          <w:noProof/>
        </w:rPr>
        <w:t xml:space="preserve"> </w:t>
      </w:r>
      <w:r w:rsidRPr="00DC1F02">
        <w:rPr>
          <w:noProof/>
        </w:rPr>
        <w:t>The periods of priority referred to above shall be ... six months for industrial designs and trademarks.</w:t>
      </w:r>
    </w:p>
    <w:p w:rsidRPr="00DC1F02" w:rsidR="00A66D56" w:rsidP="00A66D56" w:rsidRDefault="00A66D56">
      <w:pPr>
        <w:pStyle w:val="JuQuot"/>
        <w:rPr>
          <w:noProof/>
        </w:rPr>
      </w:pPr>
      <w:r w:rsidRPr="00DC1F02">
        <w:rPr>
          <w:noProof/>
        </w:rPr>
        <w:t>...”</w:t>
      </w:r>
    </w:p>
    <w:p w:rsidRPr="00DC1F02" w:rsidR="000C0DE3" w:rsidP="000C0DE3" w:rsidRDefault="000C0DE3">
      <w:pPr>
        <w:pStyle w:val="JuHArticle"/>
        <w:rPr>
          <w:i/>
          <w:noProof/>
        </w:rPr>
      </w:pPr>
      <w:r w:rsidRPr="00DC1F02">
        <w:rPr>
          <w:noProof/>
        </w:rPr>
        <w:t>Art</w:t>
      </w:r>
      <w:r w:rsidRPr="00DC1F02" w:rsidR="00BF49DB">
        <w:rPr>
          <w:noProof/>
        </w:rPr>
        <w:t>icl</w:t>
      </w:r>
      <w:r w:rsidRPr="00DC1F02">
        <w:rPr>
          <w:noProof/>
        </w:rPr>
        <w:t>e 6</w:t>
      </w:r>
      <w:r w:rsidR="00706AFD">
        <w:rPr>
          <w:noProof/>
        </w:rPr>
        <w:t xml:space="preserve"> </w:t>
      </w:r>
      <w:r w:rsidRPr="00DC1F02">
        <w:rPr>
          <w:i/>
          <w:noProof/>
        </w:rPr>
        <w:t>bis</w:t>
      </w:r>
    </w:p>
    <w:p w:rsidRPr="00DC1F02" w:rsidR="000C0DE3" w:rsidP="000C0DE3" w:rsidRDefault="00BF49DB">
      <w:pPr>
        <w:pStyle w:val="JuQuot"/>
      </w:pPr>
      <w:r w:rsidRPr="00DC1F02">
        <w:t xml:space="preserve">“(1)  The countries of the Union undertake, </w:t>
      </w:r>
      <w:r w:rsidRPr="0057622F">
        <w:rPr>
          <w:i/>
        </w:rPr>
        <w:t>ex officio</w:t>
      </w:r>
      <w:r w:rsidRPr="00DC1F02">
        <w:t xml:space="preserve"> if their legislation so permits, or at the request of an interested party, to refuse or to cancel the registration, and to prohibit the use, of a trademark which constitutes a reproduction, an imitation, or a translation, liable to create confusion, of a mark considered by the competent authority of the country of registration or use to be well known in that country as being already the mark of a person entitled to the benefits of this Convention and used for identical or similar goods. These provisions shall also apply when the essential part of the mark constitutes </w:t>
      </w:r>
      <w:r w:rsidR="0057622F">
        <w:t>a reproduction of any such well-</w:t>
      </w:r>
      <w:r w:rsidRPr="00DC1F02">
        <w:t>known mark or an imitation liable to create confusion therewith.</w:t>
      </w:r>
    </w:p>
    <w:p w:rsidRPr="00DC1F02" w:rsidR="00BF49DB" w:rsidP="000C0DE3" w:rsidRDefault="00E71F84">
      <w:pPr>
        <w:pStyle w:val="JuQuot"/>
      </w:pPr>
      <w:r w:rsidRPr="00DC1F02">
        <w:t>...</w:t>
      </w:r>
      <w:r w:rsidRPr="00DC1F02" w:rsidR="00BF49DB">
        <w:t>”</w:t>
      </w:r>
    </w:p>
    <w:p w:rsidRPr="00DC1F02" w:rsidR="00CB3538" w:rsidP="00B776CD" w:rsidRDefault="00B776CD">
      <w:pPr>
        <w:pStyle w:val="JuPara"/>
      </w:pPr>
      <w:r w:rsidRPr="00DC1F02">
        <w:fldChar w:fldCharType="begin"/>
      </w:r>
      <w:r w:rsidRPr="00DC1F02">
        <w:instrText xml:space="preserve"> SEQ level0 \*arabic </w:instrText>
      </w:r>
      <w:r w:rsidRPr="00DC1F02">
        <w:fldChar w:fldCharType="separate"/>
      </w:r>
      <w:r w:rsidR="00CF6F43">
        <w:rPr>
          <w:noProof/>
        </w:rPr>
        <w:t>30</w:t>
      </w:r>
      <w:r w:rsidRPr="00DC1F02">
        <w:fldChar w:fldCharType="end"/>
      </w:r>
      <w:r w:rsidRPr="00DC1F02">
        <w:t>.  </w:t>
      </w:r>
      <w:smartTag w:uri="urn:schemas-microsoft-com:office:smarttags" w:element="country-region">
        <w:r w:rsidR="00CB3538" w:rsidRPr="00DC1F02">
          <w:t>Portugal</w:t>
        </w:r>
      </w:smartTag>
      <w:r w:rsidRPr="00DC1F02" w:rsidR="00CB3538">
        <w:t xml:space="preserve">, </w:t>
      </w:r>
      <w:smartTag w:uri="urn:schemas-microsoft-com:office:smarttags" w:element="country-region">
        <w:r w:rsidR="00CB3538" w:rsidRPr="00DC1F02">
          <w:t>Czechoslovakia</w:t>
        </w:r>
      </w:smartTag>
      <w:r w:rsidRPr="00DC1F02">
        <w:t xml:space="preserve"> (</w:t>
      </w:r>
      <w:r w:rsidRPr="00DC1F02" w:rsidR="004D0248">
        <w:t>succeeded by</w:t>
      </w:r>
      <w:r w:rsidRPr="00DC1F02" w:rsidR="00CB3538">
        <w:t xml:space="preserve"> the </w:t>
      </w:r>
      <w:smartTag w:uri="urn:schemas-microsoft-com:office:smarttags" w:element="PlaceName">
        <w:r w:rsidR="00CB3538" w:rsidRPr="00DC1F02">
          <w:t>Czech</w:t>
        </w:r>
      </w:smartTag>
      <w:r w:rsidRPr="00DC1F02" w:rsidR="00CB3538">
        <w:t xml:space="preserve"> </w:t>
      </w:r>
      <w:smartTag w:uri="urn:schemas-microsoft-com:office:smarttags" w:element="PlaceType">
        <w:r w:rsidR="00CB3538" w:rsidRPr="00DC1F02">
          <w:t>Republic</w:t>
        </w:r>
      </w:smartTag>
      <w:r w:rsidRPr="00DC1F02">
        <w:t xml:space="preserve">) </w:t>
      </w:r>
      <w:r w:rsidRPr="00DC1F02" w:rsidR="00CB3538">
        <w:t xml:space="preserve">and the </w:t>
      </w:r>
      <w:smartTag w:uri="urn:schemas-microsoft-com:office:smarttags" w:element="place">
        <w:smartTag w:uri="urn:schemas-microsoft-com:office:smarttags" w:element="country-region">
          <w:r w:rsidR="00CB3538" w:rsidRPr="00DC1F02">
            <w:t>United States of America</w:t>
          </w:r>
        </w:smartTag>
      </w:smartTag>
      <w:r w:rsidRPr="00DC1F02" w:rsidR="00CB3538">
        <w:t xml:space="preserve"> were all Contracting Parties to the Paris Convention at the material time.</w:t>
      </w:r>
    </w:p>
    <w:p w:rsidRPr="00DC1F02" w:rsidR="00A66D56" w:rsidP="00A66D56" w:rsidRDefault="00B776CD">
      <w:pPr>
        <w:pStyle w:val="JuH1"/>
      </w:pPr>
      <w:r w:rsidRPr="00DC1F02">
        <w:rPr>
          <w:noProof/>
        </w:rPr>
        <w:t>3</w:t>
      </w:r>
      <w:r w:rsidRPr="00DC1F02" w:rsidR="00A66D56">
        <w:rPr>
          <w:noProof/>
        </w:rPr>
        <w:t xml:space="preserve">.  The </w:t>
      </w:r>
      <w:smartTag w:uri="urn:schemas-microsoft-com:office:smarttags" w:element="place">
        <w:smartTag w:uri="urn:schemas-microsoft-com:office:smarttags" w:element="State">
          <w:r w:rsidR="00A66D56" w:rsidRPr="00DC1F02">
            <w:rPr>
              <w:noProof/>
            </w:rPr>
            <w:t>Madrid</w:t>
          </w:r>
        </w:smartTag>
      </w:smartTag>
      <w:r w:rsidRPr="00DC1F02" w:rsidR="00A66D56">
        <w:rPr>
          <w:noProof/>
        </w:rPr>
        <w:t xml:space="preserve"> Agreement and Protocol</w:t>
      </w:r>
    </w:p>
    <w:p w:rsidRPr="00DC1F02" w:rsidR="00A66D56" w:rsidP="00A66D56" w:rsidRDefault="00A66D56">
      <w:pPr>
        <w:pStyle w:val="JuPara"/>
      </w:pPr>
      <w:r w:rsidRPr="00DC1F02">
        <w:fldChar w:fldCharType="begin"/>
      </w:r>
      <w:r w:rsidRPr="00DC1F02">
        <w:instrText xml:space="preserve"> SEQ level0 \*arabic </w:instrText>
      </w:r>
      <w:r w:rsidRPr="00DC1F02">
        <w:fldChar w:fldCharType="separate"/>
      </w:r>
      <w:r w:rsidR="00CF6F43">
        <w:rPr>
          <w:noProof/>
        </w:rPr>
        <w:t>31</w:t>
      </w:r>
      <w:r w:rsidRPr="00DC1F02">
        <w:fldChar w:fldCharType="end"/>
      </w:r>
      <w:r w:rsidRPr="00DC1F02">
        <w:rPr>
          <w:noProof/>
        </w:rPr>
        <w:t>.  </w:t>
      </w:r>
      <w:r w:rsidRPr="00DC1F02">
        <w:t>The Madrid Agreement of 1891 Concerning the International Registration of Marks and the Madrid Protocol of 27 June 1989 establish and govern a system for the international registration of marks</w:t>
      </w:r>
      <w:r w:rsidRPr="00DC1F02" w:rsidR="00AE3C2C">
        <w:t xml:space="preserve"> that is</w:t>
      </w:r>
      <w:r w:rsidRPr="00DC1F02">
        <w:t xml:space="preserve"> administered by the </w:t>
      </w:r>
      <w:r w:rsidRPr="00DC1F02" w:rsidR="00AD58F4">
        <w:t>International Bureau</w:t>
      </w:r>
      <w:r w:rsidRPr="00DC1F02" w:rsidR="00CB3538">
        <w:t xml:space="preserve"> of the WIPO</w:t>
      </w:r>
      <w:r w:rsidRPr="00DC1F02">
        <w:t xml:space="preserve">. The Madrid Agreement was revised in </w:t>
      </w:r>
      <w:smartTag w:uri="urn:schemas-microsoft-com:office:smarttags" w:element="City">
        <w:r w:rsidRPr="00DC1F02">
          <w:t>Brussels</w:t>
        </w:r>
      </w:smartTag>
      <w:r w:rsidRPr="00DC1F02">
        <w:t xml:space="preserve"> (1900), </w:t>
      </w:r>
      <w:smartTag w:uri="urn:schemas-microsoft-com:office:smarttags" w:element="State">
        <w:r w:rsidRPr="00DC1F02">
          <w:t>Washington</w:t>
        </w:r>
      </w:smartTag>
      <w:r w:rsidRPr="00DC1F02">
        <w:t xml:space="preserve"> (1911), </w:t>
      </w:r>
      <w:smartTag w:uri="urn:schemas-microsoft-com:office:smarttags" w:element="City">
        <w:r w:rsidRPr="00DC1F02">
          <w:t>The Hague</w:t>
        </w:r>
      </w:smartTag>
      <w:r w:rsidRPr="00DC1F02">
        <w:t xml:space="preserve"> (1925), </w:t>
      </w:r>
      <w:smartTag w:uri="urn:schemas-microsoft-com:office:smarttags" w:element="City">
        <w:r w:rsidRPr="00DC1F02">
          <w:t>London</w:t>
        </w:r>
      </w:smartTag>
      <w:r w:rsidRPr="00DC1F02">
        <w:t xml:space="preserve"> (1934), Nice (1957) and </w:t>
      </w:r>
      <w:smartTag w:uri="urn:schemas-microsoft-com:office:smarttags" w:element="place">
        <w:smartTag w:uri="urn:schemas-microsoft-com:office:smarttags" w:element="City">
          <w:r w:rsidRPr="00DC1F02">
            <w:t>Stockholm</w:t>
          </w:r>
        </w:smartTag>
      </w:smartTag>
      <w:r w:rsidRPr="00DC1F02">
        <w:t xml:space="preserve"> (1967). The 1989 Madrid Protocol established the “Madrid Union” composed of the States </w:t>
      </w:r>
      <w:r w:rsidR="0057622F">
        <w:t>P</w:t>
      </w:r>
      <w:r w:rsidRPr="00DC1F02">
        <w:t xml:space="preserve">arties to the </w:t>
      </w:r>
      <w:r w:rsidRPr="00DC1F02" w:rsidR="00AE3C2C">
        <w:t xml:space="preserve">Madrid </w:t>
      </w:r>
      <w:r w:rsidR="0057622F">
        <w:t>Agreement and the C</w:t>
      </w:r>
      <w:r w:rsidRPr="00DC1F02">
        <w:t xml:space="preserve">ontracting </w:t>
      </w:r>
      <w:r w:rsidR="0057622F">
        <w:t>P</w:t>
      </w:r>
      <w:r w:rsidRPr="00DC1F02">
        <w:t xml:space="preserve">arties to the Protocol. </w:t>
      </w:r>
      <w:smartTag w:uri="urn:schemas-microsoft-com:office:smarttags" w:element="place">
        <w:smartTag w:uri="urn:schemas-microsoft-com:office:smarttags" w:element="country-region">
          <w:r w:rsidRPr="00DC1F02">
            <w:t>Portugal</w:t>
          </w:r>
        </w:smartTag>
      </w:smartTag>
      <w:r w:rsidRPr="00DC1F02">
        <w:t xml:space="preserve"> became a party to the Agreement on 31 October 1893. The </w:t>
      </w:r>
      <w:smartTag w:uri="urn:schemas-microsoft-com:office:smarttags" w:element="place">
        <w:smartTag w:uri="urn:schemas-microsoft-com:office:smarttags" w:element="country-region">
          <w:r w:rsidRPr="00DC1F02">
            <w:t>United States</w:t>
          </w:r>
        </w:smartTag>
      </w:smartTag>
      <w:r w:rsidRPr="00DC1F02">
        <w:t xml:space="preserve"> ha</w:t>
      </w:r>
      <w:r w:rsidR="00EE1A1E">
        <w:t>s</w:t>
      </w:r>
      <w:r w:rsidRPr="00DC1F02">
        <w:t xml:space="preserve"> not ratified the Agreement. </w:t>
      </w:r>
      <w:r w:rsidR="00EE1A1E">
        <w:t>It</w:t>
      </w:r>
      <w:r w:rsidRPr="00DC1F02">
        <w:t xml:space="preserve"> ratified the Protocol on 2</w:t>
      </w:r>
      <w:r w:rsidR="0057622F">
        <w:t xml:space="preserve"> </w:t>
      </w:r>
      <w:r w:rsidRPr="00DC1F02">
        <w:t>November 2003.</w:t>
      </w:r>
    </w:p>
    <w:p w:rsidRPr="00DC1F02" w:rsidR="00A66D56" w:rsidP="00A66D56" w:rsidRDefault="00A66D56">
      <w:pPr>
        <w:pStyle w:val="JuParaChar"/>
        <w:rPr>
          <w:lang w:val="en-GB"/>
        </w:rPr>
      </w:pPr>
      <w:r w:rsidRPr="00DC1F02">
        <w:rPr>
          <w:lang w:val="en-GB"/>
        </w:rPr>
        <w:fldChar w:fldCharType="begin"/>
      </w:r>
      <w:r w:rsidRPr="00DC1F02">
        <w:rPr>
          <w:lang w:val="en-GB"/>
        </w:rPr>
        <w:instrText xml:space="preserve"> SEQ level0 \*arabic </w:instrText>
      </w:r>
      <w:r w:rsidRPr="00DC1F02">
        <w:rPr>
          <w:lang w:val="en-GB"/>
        </w:rPr>
        <w:fldChar w:fldCharType="separate"/>
      </w:r>
      <w:r w:rsidR="00CF6F43">
        <w:rPr>
          <w:noProof/>
          <w:lang w:val="en-GB"/>
        </w:rPr>
        <w:t>32</w:t>
      </w:r>
      <w:r w:rsidRPr="00DC1F02">
        <w:rPr>
          <w:lang w:val="en-GB"/>
        </w:rPr>
        <w:fldChar w:fldCharType="end"/>
      </w:r>
      <w:r w:rsidRPr="00DC1F02">
        <w:rPr>
          <w:noProof/>
          <w:lang w:val="en-GB"/>
        </w:rPr>
        <w:t xml:space="preserve">.  The system set up by the Madrid Agreement is applicable to the members of the Madrid Union and affords </w:t>
      </w:r>
      <w:r w:rsidRPr="00DC1F02" w:rsidR="00AE3C2C">
        <w:rPr>
          <w:noProof/>
          <w:lang w:val="en-GB"/>
        </w:rPr>
        <w:t>owners</w:t>
      </w:r>
      <w:r w:rsidRPr="00DC1F02">
        <w:rPr>
          <w:noProof/>
          <w:lang w:val="en-GB"/>
        </w:rPr>
        <w:t xml:space="preserve"> of a mark a means of </w:t>
      </w:r>
      <w:r w:rsidRPr="00DC1F02" w:rsidR="00AE3C2C">
        <w:rPr>
          <w:noProof/>
          <w:lang w:val="en-GB"/>
        </w:rPr>
        <w:t>securing protection</w:t>
      </w:r>
      <w:r w:rsidRPr="00DC1F02">
        <w:rPr>
          <w:noProof/>
          <w:lang w:val="en-GB"/>
        </w:rPr>
        <w:t xml:space="preserve"> in various countries through a single application for registration in </w:t>
      </w:r>
      <w:r w:rsidR="00772C1C">
        <w:rPr>
          <w:noProof/>
          <w:lang w:val="en-GB"/>
        </w:rPr>
        <w:t>a</w:t>
      </w:r>
      <w:r w:rsidRPr="00DC1F02">
        <w:rPr>
          <w:noProof/>
          <w:lang w:val="en-GB"/>
        </w:rPr>
        <w:t xml:space="preserve"> national or regional registry. </w:t>
      </w:r>
      <w:r w:rsidRPr="00DC1F02" w:rsidR="00AE3C2C">
        <w:rPr>
          <w:noProof/>
          <w:lang w:val="en-GB"/>
        </w:rPr>
        <w:t>Under the system</w:t>
      </w:r>
      <w:r w:rsidR="0057622F">
        <w:rPr>
          <w:noProof/>
          <w:lang w:val="en-GB"/>
        </w:rPr>
        <w:t>,</w:t>
      </w:r>
      <w:r w:rsidRPr="00DC1F02" w:rsidR="00AE3C2C">
        <w:rPr>
          <w:noProof/>
          <w:lang w:val="en-GB"/>
        </w:rPr>
        <w:t xml:space="preserve"> the </w:t>
      </w:r>
      <w:r w:rsidRPr="00DC1F02">
        <w:rPr>
          <w:noProof/>
          <w:lang w:val="en-GB"/>
        </w:rPr>
        <w:t xml:space="preserve">registration of an international mark has the same effect in the countries concerned as an application to register the mark or registration of the mark by the </w:t>
      </w:r>
      <w:r w:rsidRPr="00DC1F02" w:rsidR="00AE3C2C">
        <w:rPr>
          <w:noProof/>
          <w:lang w:val="en-GB"/>
        </w:rPr>
        <w:t>owner</w:t>
      </w:r>
      <w:r w:rsidRPr="00DC1F02">
        <w:rPr>
          <w:noProof/>
          <w:lang w:val="en-GB"/>
        </w:rPr>
        <w:t xml:space="preserve"> directly in each </w:t>
      </w:r>
      <w:r w:rsidRPr="00DC1F02" w:rsidR="00AE3C2C">
        <w:rPr>
          <w:noProof/>
          <w:lang w:val="en-GB"/>
        </w:rPr>
        <w:t xml:space="preserve">individual </w:t>
      </w:r>
      <w:r w:rsidRPr="00DC1F02">
        <w:rPr>
          <w:noProof/>
          <w:lang w:val="en-GB"/>
        </w:rPr>
        <w:t>countr</w:t>
      </w:r>
      <w:r w:rsidRPr="00DC1F02" w:rsidR="00AE3C2C">
        <w:rPr>
          <w:noProof/>
          <w:lang w:val="en-GB"/>
        </w:rPr>
        <w:t>y</w:t>
      </w:r>
      <w:r w:rsidRPr="00DC1F02">
        <w:rPr>
          <w:noProof/>
          <w:lang w:val="en-GB"/>
        </w:rPr>
        <w:t xml:space="preserve">. If </w:t>
      </w:r>
      <w:r w:rsidRPr="00DC1F02" w:rsidR="00AE3C2C">
        <w:rPr>
          <w:noProof/>
          <w:lang w:val="en-GB"/>
        </w:rPr>
        <w:t xml:space="preserve">the trade-mark registry of a </w:t>
      </w:r>
      <w:smartTag w:uri="urn:schemas-microsoft-com:office:smarttags" w:element="place">
        <w:smartTag w:uri="urn:schemas-microsoft-com:office:smarttags" w:element="PlaceName">
          <w:r w:rsidR="00AE3C2C" w:rsidRPr="00DC1F02">
            <w:rPr>
              <w:noProof/>
              <w:lang w:val="en-GB"/>
            </w:rPr>
            <w:t>member</w:t>
          </w:r>
        </w:smartTag>
        <w:r w:rsidR="00AE3C2C" w:rsidRPr="00DC1F02">
          <w:rPr>
            <w:noProof/>
            <w:lang w:val="en-GB"/>
          </w:rPr>
          <w:t xml:space="preserve"> </w:t>
        </w:r>
        <w:smartTag w:uri="urn:schemas-microsoft-com:office:smarttags" w:element="PlaceType">
          <w:r w:rsidR="00AE3C2C" w:rsidRPr="00DC1F02">
            <w:rPr>
              <w:noProof/>
              <w:lang w:val="en-GB"/>
            </w:rPr>
            <w:t>State</w:t>
          </w:r>
        </w:smartTag>
      </w:smartTag>
      <w:r w:rsidRPr="00DC1F02" w:rsidR="00AE3C2C">
        <w:rPr>
          <w:noProof/>
          <w:lang w:val="en-GB"/>
        </w:rPr>
        <w:t xml:space="preserve"> does not refuse </w:t>
      </w:r>
      <w:r w:rsidRPr="00DC1F02">
        <w:rPr>
          <w:noProof/>
          <w:lang w:val="en-GB"/>
        </w:rPr>
        <w:t xml:space="preserve">protection within a </w:t>
      </w:r>
      <w:r w:rsidRPr="00DC1F02" w:rsidR="004D0248">
        <w:rPr>
          <w:noProof/>
          <w:lang w:val="en-GB"/>
        </w:rPr>
        <w:t>fixed</w:t>
      </w:r>
      <w:r w:rsidRPr="00DC1F02">
        <w:rPr>
          <w:noProof/>
          <w:lang w:val="en-GB"/>
        </w:rPr>
        <w:t xml:space="preserve"> period, the mark enjoys the same protection as if it had been registered directly by that registry.</w:t>
      </w:r>
    </w:p>
    <w:p w:rsidRPr="00DC1F02" w:rsidR="00127366" w:rsidP="00A66D56" w:rsidRDefault="00127366">
      <w:pPr>
        <w:pStyle w:val="JuH1"/>
        <w:rPr>
          <w:noProof/>
        </w:rPr>
      </w:pPr>
      <w:r w:rsidRPr="00DC1F02">
        <w:rPr>
          <w:noProof/>
        </w:rPr>
        <w:t>4.  </w:t>
      </w:r>
      <w:smartTag w:uri="urn:schemas-microsoft-com:office:smarttags" w:element="place">
        <w:smartTag w:uri="urn:schemas-microsoft-com:office:smarttags" w:element="City">
          <w:r w:rsidRPr="00DC1F02">
            <w:rPr>
              <w:noProof/>
            </w:rPr>
            <w:t>Lisbon</w:t>
          </w:r>
        </w:smartTag>
      </w:smartTag>
      <w:r w:rsidRPr="00DC1F02" w:rsidR="00086070">
        <w:rPr>
          <w:noProof/>
        </w:rPr>
        <w:t xml:space="preserve"> </w:t>
      </w:r>
      <w:r w:rsidRPr="00DC1F02" w:rsidR="00086070">
        <w:t xml:space="preserve">Agreement </w:t>
      </w:r>
      <w:r w:rsidRPr="00DC1F02">
        <w:rPr>
          <w:noProof/>
        </w:rPr>
        <w:t>of 31 October 1958</w:t>
      </w:r>
    </w:p>
    <w:p w:rsidRPr="00DC1F02" w:rsidR="00127366" w:rsidP="00086070" w:rsidRDefault="00127366">
      <w:pPr>
        <w:pStyle w:val="JuPara"/>
      </w:pPr>
      <w:r w:rsidRPr="00DC1F02">
        <w:fldChar w:fldCharType="begin"/>
      </w:r>
      <w:r w:rsidRPr="00DC1F02">
        <w:instrText xml:space="preserve"> SEQ level0 \*arabic </w:instrText>
      </w:r>
      <w:r w:rsidRPr="00DC1F02">
        <w:fldChar w:fldCharType="separate"/>
      </w:r>
      <w:r w:rsidR="00CF6F43">
        <w:rPr>
          <w:noProof/>
        </w:rPr>
        <w:t>33</w:t>
      </w:r>
      <w:r w:rsidRPr="00DC1F02">
        <w:fldChar w:fldCharType="end"/>
      </w:r>
      <w:r w:rsidRPr="00DC1F02">
        <w:t>.  </w:t>
      </w:r>
      <w:r w:rsidRPr="00DC1F02" w:rsidR="00086070">
        <w:t>The Lisbon Agreement for the Protection of Appellations of Origin and their International Registration was</w:t>
      </w:r>
      <w:r w:rsidRPr="00DC1F02">
        <w:t xml:space="preserve"> sign</w:t>
      </w:r>
      <w:r w:rsidRPr="00DC1F02" w:rsidR="00086070">
        <w:t>ed</w:t>
      </w:r>
      <w:r w:rsidRPr="00DC1F02">
        <w:t xml:space="preserve"> </w:t>
      </w:r>
      <w:r w:rsidRPr="00DC1F02" w:rsidR="00086070">
        <w:t>in</w:t>
      </w:r>
      <w:r w:rsidRPr="00DC1F02">
        <w:t xml:space="preserve"> </w:t>
      </w:r>
      <w:smartTag w:uri="urn:schemas-microsoft-com:office:smarttags" w:element="City">
        <w:r w:rsidRPr="00DC1F02">
          <w:t>Lisbon</w:t>
        </w:r>
      </w:smartTag>
      <w:r w:rsidRPr="00DC1F02" w:rsidR="00086070">
        <w:t xml:space="preserve"> on</w:t>
      </w:r>
      <w:r w:rsidRPr="00DC1F02">
        <w:t xml:space="preserve"> 31 </w:t>
      </w:r>
      <w:r w:rsidRPr="00DC1F02" w:rsidR="00086070">
        <w:t xml:space="preserve">October </w:t>
      </w:r>
      <w:r w:rsidRPr="00DC1F02">
        <w:t>1958, r</w:t>
      </w:r>
      <w:r w:rsidRPr="00DC1F02" w:rsidR="00086070">
        <w:t>e</w:t>
      </w:r>
      <w:r w:rsidRPr="00DC1F02">
        <w:t>vis</w:t>
      </w:r>
      <w:r w:rsidRPr="00DC1F02" w:rsidR="00086070">
        <w:t>ed in</w:t>
      </w:r>
      <w:r w:rsidRPr="00DC1F02">
        <w:rPr>
          <w:bCs/>
        </w:rPr>
        <w:t xml:space="preserve"> </w:t>
      </w:r>
      <w:smartTag w:uri="urn:schemas-microsoft-com:office:smarttags" w:element="place">
        <w:smartTag w:uri="urn:schemas-microsoft-com:office:smarttags" w:element="City">
          <w:r w:rsidRPr="00DC1F02">
            <w:rPr>
              <w:bCs/>
            </w:rPr>
            <w:t>Stockholm</w:t>
          </w:r>
        </w:smartTag>
      </w:smartTag>
      <w:r w:rsidRPr="00DC1F02">
        <w:rPr>
          <w:bCs/>
        </w:rPr>
        <w:t xml:space="preserve"> </w:t>
      </w:r>
      <w:r w:rsidRPr="00DC1F02" w:rsidR="00086070">
        <w:rPr>
          <w:bCs/>
        </w:rPr>
        <w:t>on</w:t>
      </w:r>
      <w:r w:rsidRPr="00DC1F02">
        <w:rPr>
          <w:bCs/>
        </w:rPr>
        <w:t xml:space="preserve"> 14 </w:t>
      </w:r>
      <w:r w:rsidRPr="00DC1F02" w:rsidR="00086070">
        <w:rPr>
          <w:bCs/>
        </w:rPr>
        <w:t xml:space="preserve">July </w:t>
      </w:r>
      <w:r w:rsidRPr="00DC1F02">
        <w:rPr>
          <w:bCs/>
        </w:rPr>
        <w:t xml:space="preserve">1967 </w:t>
      </w:r>
      <w:r w:rsidRPr="00DC1F02" w:rsidR="00086070">
        <w:rPr>
          <w:bCs/>
        </w:rPr>
        <w:t>and amended on</w:t>
      </w:r>
      <w:r w:rsidRPr="00DC1F02">
        <w:rPr>
          <w:bCs/>
        </w:rPr>
        <w:t xml:space="preserve"> 28 </w:t>
      </w:r>
      <w:r w:rsidRPr="00DC1F02" w:rsidR="00086070">
        <w:rPr>
          <w:bCs/>
        </w:rPr>
        <w:t xml:space="preserve">September </w:t>
      </w:r>
      <w:r w:rsidRPr="00DC1F02">
        <w:rPr>
          <w:bCs/>
        </w:rPr>
        <w:t>1979. I</w:t>
      </w:r>
      <w:r w:rsidRPr="00DC1F02" w:rsidR="00454AA9">
        <w:rPr>
          <w:bCs/>
        </w:rPr>
        <w:t xml:space="preserve">t enables Contracting States to </w:t>
      </w:r>
      <w:r w:rsidRPr="00DC1F02" w:rsidR="004D0248">
        <w:rPr>
          <w:bCs/>
        </w:rPr>
        <w:t>request</w:t>
      </w:r>
      <w:r w:rsidRPr="00DC1F02" w:rsidR="00454AA9">
        <w:rPr>
          <w:bCs/>
        </w:rPr>
        <w:t xml:space="preserve"> other Contracting States to protect </w:t>
      </w:r>
      <w:r w:rsidRPr="00DC1F02">
        <w:rPr>
          <w:bCs/>
        </w:rPr>
        <w:t xml:space="preserve">appellations </w:t>
      </w:r>
      <w:r w:rsidRPr="00DC1F02" w:rsidR="00454AA9">
        <w:rPr>
          <w:bCs/>
        </w:rPr>
        <w:t xml:space="preserve">of </w:t>
      </w:r>
      <w:r w:rsidRPr="00DC1F02">
        <w:rPr>
          <w:bCs/>
        </w:rPr>
        <w:t>origin</w:t>
      </w:r>
      <w:r w:rsidRPr="00DC1F02" w:rsidR="00454AA9">
        <w:rPr>
          <w:bCs/>
        </w:rPr>
        <w:t xml:space="preserve"> of</w:t>
      </w:r>
      <w:r w:rsidRPr="00DC1F02">
        <w:rPr>
          <w:bCs/>
        </w:rPr>
        <w:t xml:space="preserve"> </w:t>
      </w:r>
      <w:r w:rsidRPr="00DC1F02" w:rsidR="005A65C4">
        <w:rPr>
          <w:bCs/>
        </w:rPr>
        <w:t>certain</w:t>
      </w:r>
      <w:r w:rsidRPr="00DC1F02">
        <w:rPr>
          <w:bCs/>
        </w:rPr>
        <w:t xml:space="preserve"> produ</w:t>
      </w:r>
      <w:r w:rsidRPr="00DC1F02" w:rsidR="00454AA9">
        <w:rPr>
          <w:bCs/>
        </w:rPr>
        <w:t>c</w:t>
      </w:r>
      <w:r w:rsidRPr="00DC1F02">
        <w:rPr>
          <w:bCs/>
        </w:rPr>
        <w:t xml:space="preserve">ts, </w:t>
      </w:r>
      <w:r w:rsidRPr="00DC1F02" w:rsidR="00454AA9">
        <w:rPr>
          <w:bCs/>
        </w:rPr>
        <w:t xml:space="preserve">if they are recognised and protected as such in the country of origin and registered at the </w:t>
      </w:r>
      <w:r w:rsidRPr="00DC1F02" w:rsidR="00EC371F">
        <w:t xml:space="preserve">International Bureau of </w:t>
      </w:r>
      <w:r w:rsidRPr="00DC1F02" w:rsidR="00CB3538">
        <w:t xml:space="preserve">the </w:t>
      </w:r>
      <w:r w:rsidRPr="00DC1F02" w:rsidR="00EC371F">
        <w:t>WIPO</w:t>
      </w:r>
      <w:r w:rsidRPr="00DC1F02">
        <w:rPr>
          <w:bCs/>
        </w:rPr>
        <w:t xml:space="preserve">. </w:t>
      </w:r>
      <w:r w:rsidRPr="00DC1F02" w:rsidR="00454AA9">
        <w:rPr>
          <w:bCs/>
        </w:rPr>
        <w:t xml:space="preserve">Both </w:t>
      </w:r>
      <w:smartTag w:uri="urn:schemas-microsoft-com:office:smarttags" w:element="country-region">
        <w:r w:rsidRPr="00DC1F02">
          <w:rPr>
            <w:bCs/>
          </w:rPr>
          <w:t>Portugal</w:t>
        </w:r>
      </w:smartTag>
      <w:r w:rsidRPr="00DC1F02">
        <w:rPr>
          <w:bCs/>
        </w:rPr>
        <w:t xml:space="preserve"> </w:t>
      </w:r>
      <w:r w:rsidRPr="00DC1F02" w:rsidR="00EC371F">
        <w:rPr>
          <w:bCs/>
        </w:rPr>
        <w:t xml:space="preserve">and </w:t>
      </w:r>
      <w:r w:rsidRPr="00DC1F02" w:rsidR="004D0248">
        <w:rPr>
          <w:bCs/>
        </w:rPr>
        <w:t xml:space="preserve">the </w:t>
      </w:r>
      <w:smartTag w:uri="urn:schemas-microsoft-com:office:smarttags" w:element="PlaceName">
        <w:r w:rsidR="004D0248" w:rsidRPr="00DC1F02">
          <w:rPr>
            <w:bCs/>
          </w:rPr>
          <w:t>Czech</w:t>
        </w:r>
      </w:smartTag>
      <w:r w:rsidRPr="00DC1F02" w:rsidR="004D0248">
        <w:rPr>
          <w:bCs/>
        </w:rPr>
        <w:t xml:space="preserve"> </w:t>
      </w:r>
      <w:smartTag w:uri="urn:schemas-microsoft-com:office:smarttags" w:element="PlaceType">
        <w:r w:rsidR="004D0248" w:rsidRPr="00DC1F02">
          <w:rPr>
            <w:bCs/>
          </w:rPr>
          <w:t>Republic</w:t>
        </w:r>
      </w:smartTag>
      <w:r w:rsidRPr="00DC1F02" w:rsidR="004D0248">
        <w:rPr>
          <w:bCs/>
        </w:rPr>
        <w:t xml:space="preserve">, as a successor to </w:t>
      </w:r>
      <w:smartTag w:uri="urn:schemas-microsoft-com:office:smarttags" w:element="place">
        <w:smartTag w:uri="urn:schemas-microsoft-com:office:smarttags" w:element="country-region">
          <w:r w:rsidR="00EC371F" w:rsidRPr="00DC1F02">
            <w:rPr>
              <w:bCs/>
            </w:rPr>
            <w:t>Czechoslovakia</w:t>
          </w:r>
        </w:smartTag>
      </w:smartTag>
      <w:r w:rsidRPr="00DC1F02">
        <w:rPr>
          <w:bCs/>
        </w:rPr>
        <w:t xml:space="preserve">, </w:t>
      </w:r>
      <w:r w:rsidRPr="00DC1F02" w:rsidR="00454AA9">
        <w:rPr>
          <w:bCs/>
        </w:rPr>
        <w:t>are</w:t>
      </w:r>
      <w:r w:rsidRPr="00DC1F02">
        <w:rPr>
          <w:bCs/>
        </w:rPr>
        <w:t xml:space="preserve"> parties </w:t>
      </w:r>
      <w:r w:rsidRPr="00DC1F02" w:rsidR="00EC371F">
        <w:rPr>
          <w:bCs/>
        </w:rPr>
        <w:t>to</w:t>
      </w:r>
      <w:r w:rsidRPr="00DC1F02">
        <w:rPr>
          <w:bCs/>
        </w:rPr>
        <w:t xml:space="preserve"> </w:t>
      </w:r>
      <w:r w:rsidRPr="00DC1F02" w:rsidR="00EC371F">
        <w:rPr>
          <w:bCs/>
        </w:rPr>
        <w:t>this Agreement</w:t>
      </w:r>
      <w:r w:rsidRPr="00DC1F02">
        <w:rPr>
          <w:bCs/>
        </w:rPr>
        <w:t>.</w:t>
      </w:r>
    </w:p>
    <w:p w:rsidRPr="00DC1F02" w:rsidR="00A66D56" w:rsidP="00A66D56" w:rsidRDefault="00706AFD">
      <w:pPr>
        <w:pStyle w:val="JuH1"/>
      </w:pPr>
      <w:r>
        <w:rPr>
          <w:noProof/>
        </w:rPr>
        <w:t>5</w:t>
      </w:r>
      <w:r w:rsidRPr="00DC1F02" w:rsidR="00A66D56">
        <w:rPr>
          <w:noProof/>
        </w:rPr>
        <w:t>.  TRIPs</w:t>
      </w:r>
    </w:p>
    <w:p w:rsidR="00627C6A" w:rsidP="00A66D56" w:rsidRDefault="00A66D56">
      <w:pPr>
        <w:pStyle w:val="JuPara"/>
      </w:pPr>
      <w:r w:rsidRPr="00DC1F02">
        <w:fldChar w:fldCharType="begin"/>
      </w:r>
      <w:r w:rsidRPr="00DC1F02">
        <w:instrText xml:space="preserve"> SEQ level0 \*arabic </w:instrText>
      </w:r>
      <w:r w:rsidRPr="00DC1F02">
        <w:fldChar w:fldCharType="separate"/>
      </w:r>
      <w:r w:rsidR="00CF6F43">
        <w:rPr>
          <w:noProof/>
        </w:rPr>
        <w:t>34</w:t>
      </w:r>
      <w:r w:rsidRPr="00DC1F02">
        <w:fldChar w:fldCharType="end"/>
      </w:r>
      <w:r w:rsidRPr="00DC1F02">
        <w:rPr>
          <w:noProof/>
        </w:rPr>
        <w:t xml:space="preserve">.  The Agreement on Trade-Related Aspects of Intellectual Property Rights was </w:t>
      </w:r>
      <w:r w:rsidRPr="00DC1F02" w:rsidR="00AE3C2C">
        <w:rPr>
          <w:noProof/>
        </w:rPr>
        <w:t>concluded</w:t>
      </w:r>
      <w:r w:rsidRPr="00DC1F02">
        <w:rPr>
          <w:noProof/>
        </w:rPr>
        <w:t xml:space="preserve"> in the Uruguay Round of </w:t>
      </w:r>
      <w:r w:rsidRPr="00DC1F02" w:rsidR="00AE3C2C">
        <w:rPr>
          <w:noProof/>
        </w:rPr>
        <w:t xml:space="preserve">the </w:t>
      </w:r>
      <w:r w:rsidRPr="00DC1F02">
        <w:rPr>
          <w:noProof/>
        </w:rPr>
        <w:t>negotiations that resulted in the signature in April 1994 of the World Trade Organi</w:t>
      </w:r>
      <w:r w:rsidR="00A16383">
        <w:rPr>
          <w:noProof/>
        </w:rPr>
        <w:t>s</w:t>
      </w:r>
      <w:r w:rsidRPr="00DC1F02">
        <w:rPr>
          <w:noProof/>
        </w:rPr>
        <w:t xml:space="preserve">ation </w:t>
      </w:r>
      <w:r w:rsidRPr="00DC1F02" w:rsidR="004D0248">
        <w:rPr>
          <w:noProof/>
        </w:rPr>
        <w:t xml:space="preserve">(WTO) </w:t>
      </w:r>
      <w:r w:rsidRPr="00DC1F02" w:rsidR="00AE3C2C">
        <w:rPr>
          <w:noProof/>
        </w:rPr>
        <w:t xml:space="preserve">Agreements </w:t>
      </w:r>
      <w:r w:rsidRPr="00DC1F02">
        <w:rPr>
          <w:noProof/>
        </w:rPr>
        <w:t xml:space="preserve">in </w:t>
      </w:r>
      <w:smartTag w:uri="urn:schemas-microsoft-com:office:smarttags" w:element="City">
        <w:smartTag w:uri="urn:schemas-microsoft-com:office:smarttags" w:element="place">
          <w:r w:rsidRPr="00DC1F02">
            <w:rPr>
              <w:noProof/>
            </w:rPr>
            <w:t>Marrakesh</w:t>
          </w:r>
        </w:smartTag>
      </w:smartTag>
      <w:r w:rsidRPr="00DC1F02">
        <w:rPr>
          <w:noProof/>
        </w:rPr>
        <w:t>, which came into effect on 1</w:t>
      </w:r>
      <w:r w:rsidR="00E021AF">
        <w:rPr>
          <w:noProof/>
        </w:rPr>
        <w:t xml:space="preserve"> </w:t>
      </w:r>
      <w:r w:rsidRPr="00DC1F02">
        <w:rPr>
          <w:noProof/>
        </w:rPr>
        <w:t>January 1995.</w:t>
      </w:r>
      <w:r w:rsidRPr="00DC1F02" w:rsidR="00111434">
        <w:rPr>
          <w:noProof/>
        </w:rPr>
        <w:t xml:space="preserve"> </w:t>
      </w:r>
      <w:r w:rsidRPr="00DC1F02" w:rsidR="00772C1C">
        <w:rPr>
          <w:noProof/>
        </w:rPr>
        <w:t xml:space="preserve">The </w:t>
      </w:r>
      <w:r w:rsidRPr="00DC1F02" w:rsidR="004D0248">
        <w:rPr>
          <w:noProof/>
        </w:rPr>
        <w:t>aim of this Agreement is to integrate the system of intellectual</w:t>
      </w:r>
      <w:r w:rsidR="002C5328">
        <w:rPr>
          <w:noProof/>
        </w:rPr>
        <w:t>-</w:t>
      </w:r>
      <w:r w:rsidRPr="00DC1F02" w:rsidR="004D0248">
        <w:rPr>
          <w:noProof/>
        </w:rPr>
        <w:t xml:space="preserve">property protection into the system </w:t>
      </w:r>
      <w:r w:rsidR="00772C1C">
        <w:rPr>
          <w:noProof/>
        </w:rPr>
        <w:t xml:space="preserve">of </w:t>
      </w:r>
      <w:r w:rsidRPr="00DC1F02" w:rsidR="00772C1C">
        <w:rPr>
          <w:noProof/>
        </w:rPr>
        <w:t>world</w:t>
      </w:r>
      <w:r w:rsidR="002C5328">
        <w:rPr>
          <w:noProof/>
        </w:rPr>
        <w:t>-</w:t>
      </w:r>
      <w:r w:rsidRPr="00DC1F02" w:rsidR="00772C1C">
        <w:rPr>
          <w:noProof/>
        </w:rPr>
        <w:t>trade regulati</w:t>
      </w:r>
      <w:r w:rsidR="00772C1C">
        <w:rPr>
          <w:noProof/>
        </w:rPr>
        <w:t>o</w:t>
      </w:r>
      <w:r w:rsidRPr="00DC1F02" w:rsidR="00772C1C">
        <w:rPr>
          <w:noProof/>
        </w:rPr>
        <w:t xml:space="preserve">n </w:t>
      </w:r>
      <w:r w:rsidRPr="00DC1F02" w:rsidR="004D0248">
        <w:rPr>
          <w:noProof/>
        </w:rPr>
        <w:t>administered by the WTO</w:t>
      </w:r>
      <w:r w:rsidRPr="00DC1F02" w:rsidR="00390D9E">
        <w:t xml:space="preserve">. </w:t>
      </w:r>
      <w:r w:rsidRPr="00DC1F02" w:rsidR="004D0248">
        <w:t>The member States of the WTO undertake to comply with the substantive provisions of the Paris Agreement.</w:t>
      </w:r>
    </w:p>
    <w:p w:rsidRPr="00DC1F02" w:rsidR="00A66D56" w:rsidP="00A66D56" w:rsidRDefault="00A66D56">
      <w:pPr>
        <w:pStyle w:val="JuPara"/>
      </w:pPr>
      <w:r w:rsidRPr="00DC1F02">
        <w:fldChar w:fldCharType="begin"/>
      </w:r>
      <w:r w:rsidRPr="00DC1F02">
        <w:instrText xml:space="preserve"> SEQ level0 \*arabic </w:instrText>
      </w:r>
      <w:r w:rsidRPr="00DC1F02">
        <w:fldChar w:fldCharType="separate"/>
      </w:r>
      <w:r w:rsidR="00CF6F43">
        <w:rPr>
          <w:noProof/>
        </w:rPr>
        <w:t>35</w:t>
      </w:r>
      <w:r w:rsidRPr="00DC1F02">
        <w:fldChar w:fldCharType="end"/>
      </w:r>
      <w:r w:rsidRPr="00DC1F02">
        <w:rPr>
          <w:noProof/>
        </w:rPr>
        <w:t xml:space="preserve">.  The provisions of </w:t>
      </w:r>
      <w:r w:rsidRPr="00DC1F02" w:rsidR="00E20B61">
        <w:rPr>
          <w:noProof/>
        </w:rPr>
        <w:t xml:space="preserve">the </w:t>
      </w:r>
      <w:r w:rsidRPr="00DC1F02">
        <w:rPr>
          <w:noProof/>
        </w:rPr>
        <w:t>TRIP</w:t>
      </w:r>
      <w:r w:rsidRPr="00DC1F02" w:rsidR="0047286F">
        <w:rPr>
          <w:noProof/>
        </w:rPr>
        <w:t>s</w:t>
      </w:r>
      <w:r w:rsidRPr="00DC1F02">
        <w:rPr>
          <w:noProof/>
        </w:rPr>
        <w:t xml:space="preserve"> </w:t>
      </w:r>
      <w:r w:rsidRPr="00DC1F02" w:rsidR="00E20B61">
        <w:rPr>
          <w:noProof/>
        </w:rPr>
        <w:t xml:space="preserve">Agreement </w:t>
      </w:r>
      <w:r w:rsidRPr="00DC1F02">
        <w:rPr>
          <w:noProof/>
        </w:rPr>
        <w:t>of relevance to the present case are as follows:</w:t>
      </w:r>
    </w:p>
    <w:p w:rsidRPr="00DC1F02" w:rsidR="00A66D56" w:rsidP="00A66D56" w:rsidRDefault="00A66D56">
      <w:pPr>
        <w:pStyle w:val="JuHArticle"/>
      </w:pPr>
      <w:r w:rsidRPr="00DC1F02">
        <w:rPr>
          <w:noProof/>
        </w:rPr>
        <w:t xml:space="preserve">Article 2 </w:t>
      </w:r>
      <w:r w:rsidRPr="00DC1F02">
        <w:rPr>
          <w:noProof/>
        </w:rPr>
        <w:br/>
        <w:t>(Intellectual Property Conventions)</w:t>
      </w:r>
    </w:p>
    <w:p w:rsidRPr="00DC1F02" w:rsidR="00A66D56" w:rsidP="00A66D56" w:rsidRDefault="0057622F">
      <w:pPr>
        <w:pStyle w:val="JuQuot"/>
        <w:rPr>
          <w:noProof/>
        </w:rPr>
      </w:pPr>
      <w:r>
        <w:rPr>
          <w:noProof/>
        </w:rPr>
        <w:t>“1.  In respect of Parts II [S</w:t>
      </w:r>
      <w:r w:rsidRPr="00DC1F02" w:rsidR="00A66D56">
        <w:rPr>
          <w:noProof/>
        </w:rPr>
        <w:t xml:space="preserve">tandards </w:t>
      </w:r>
      <w:r>
        <w:rPr>
          <w:noProof/>
        </w:rPr>
        <w:t>C</w:t>
      </w:r>
      <w:r w:rsidRPr="00DC1F02" w:rsidR="00A66D56">
        <w:rPr>
          <w:noProof/>
        </w:rPr>
        <w:t xml:space="preserve">oncerning the </w:t>
      </w:r>
      <w:r>
        <w:rPr>
          <w:noProof/>
        </w:rPr>
        <w:t>A</w:t>
      </w:r>
      <w:r w:rsidRPr="00DC1F02" w:rsidR="00A66D56">
        <w:rPr>
          <w:noProof/>
        </w:rPr>
        <w:t xml:space="preserve">vailability, </w:t>
      </w:r>
      <w:r>
        <w:rPr>
          <w:noProof/>
        </w:rPr>
        <w:t>S</w:t>
      </w:r>
      <w:r w:rsidRPr="00DC1F02" w:rsidR="00A66D56">
        <w:rPr>
          <w:noProof/>
        </w:rPr>
        <w:t xml:space="preserve">cope and </w:t>
      </w:r>
      <w:r>
        <w:rPr>
          <w:noProof/>
        </w:rPr>
        <w:t>U</w:t>
      </w:r>
      <w:r w:rsidRPr="00DC1F02" w:rsidR="00A66D56">
        <w:rPr>
          <w:noProof/>
        </w:rPr>
        <w:t xml:space="preserve">se of </w:t>
      </w:r>
      <w:r>
        <w:rPr>
          <w:noProof/>
        </w:rPr>
        <w:t>I</w:t>
      </w:r>
      <w:r w:rsidRPr="00DC1F02" w:rsidR="00A66D56">
        <w:rPr>
          <w:noProof/>
        </w:rPr>
        <w:t xml:space="preserve">ntellectual </w:t>
      </w:r>
      <w:r>
        <w:rPr>
          <w:noProof/>
        </w:rPr>
        <w:t>P</w:t>
      </w:r>
      <w:r w:rsidRPr="00DC1F02" w:rsidR="00A66D56">
        <w:rPr>
          <w:noProof/>
        </w:rPr>
        <w:t xml:space="preserve">roperty </w:t>
      </w:r>
      <w:r>
        <w:rPr>
          <w:noProof/>
        </w:rPr>
        <w:t>R</w:t>
      </w:r>
      <w:r w:rsidRPr="00DC1F02" w:rsidR="00A66D56">
        <w:rPr>
          <w:noProof/>
        </w:rPr>
        <w:t>ights], III [</w:t>
      </w:r>
      <w:r>
        <w:rPr>
          <w:noProof/>
        </w:rPr>
        <w:t>E</w:t>
      </w:r>
      <w:r w:rsidRPr="00DC1F02" w:rsidR="00A66D56">
        <w:rPr>
          <w:noProof/>
        </w:rPr>
        <w:t xml:space="preserve">nforcement of </w:t>
      </w:r>
      <w:r>
        <w:rPr>
          <w:noProof/>
        </w:rPr>
        <w:t>I</w:t>
      </w:r>
      <w:r w:rsidRPr="00DC1F02" w:rsidR="00A66D56">
        <w:rPr>
          <w:noProof/>
        </w:rPr>
        <w:t xml:space="preserve">ntellectual </w:t>
      </w:r>
      <w:r>
        <w:rPr>
          <w:noProof/>
        </w:rPr>
        <w:t>P</w:t>
      </w:r>
      <w:r w:rsidRPr="00DC1F02" w:rsidR="00A66D56">
        <w:rPr>
          <w:noProof/>
        </w:rPr>
        <w:t xml:space="preserve">roperty </w:t>
      </w:r>
      <w:r>
        <w:rPr>
          <w:noProof/>
        </w:rPr>
        <w:t>R</w:t>
      </w:r>
      <w:r w:rsidRPr="00DC1F02" w:rsidR="00A66D56">
        <w:rPr>
          <w:noProof/>
        </w:rPr>
        <w:t>ights] and IV [</w:t>
      </w:r>
      <w:r>
        <w:rPr>
          <w:noProof/>
        </w:rPr>
        <w:t>A</w:t>
      </w:r>
      <w:r w:rsidRPr="00DC1F02" w:rsidR="00A66D56">
        <w:rPr>
          <w:noProof/>
        </w:rPr>
        <w:t xml:space="preserve">cquisition and </w:t>
      </w:r>
      <w:r>
        <w:rPr>
          <w:noProof/>
        </w:rPr>
        <w:t>M</w:t>
      </w:r>
      <w:r w:rsidRPr="00DC1F02" w:rsidR="00A66D56">
        <w:rPr>
          <w:noProof/>
        </w:rPr>
        <w:t xml:space="preserve">aintenance of </w:t>
      </w:r>
      <w:r>
        <w:rPr>
          <w:noProof/>
        </w:rPr>
        <w:t>I</w:t>
      </w:r>
      <w:r w:rsidRPr="00DC1F02" w:rsidR="00A66D56">
        <w:rPr>
          <w:noProof/>
        </w:rPr>
        <w:t xml:space="preserve">ntellectual </w:t>
      </w:r>
      <w:r>
        <w:rPr>
          <w:noProof/>
        </w:rPr>
        <w:t>P</w:t>
      </w:r>
      <w:r w:rsidRPr="00DC1F02" w:rsidR="00A66D56">
        <w:rPr>
          <w:noProof/>
        </w:rPr>
        <w:t xml:space="preserve">roperty </w:t>
      </w:r>
      <w:r>
        <w:rPr>
          <w:noProof/>
        </w:rPr>
        <w:t>R</w:t>
      </w:r>
      <w:r w:rsidRPr="00DC1F02" w:rsidR="00A66D56">
        <w:rPr>
          <w:noProof/>
        </w:rPr>
        <w:t xml:space="preserve">ights and </w:t>
      </w:r>
      <w:r>
        <w:rPr>
          <w:noProof/>
        </w:rPr>
        <w:t>R</w:t>
      </w:r>
      <w:r w:rsidRPr="00DC1F02" w:rsidR="00A66D56">
        <w:rPr>
          <w:noProof/>
        </w:rPr>
        <w:t xml:space="preserve">elated </w:t>
      </w:r>
      <w:r w:rsidRPr="00706AFD">
        <w:rPr>
          <w:i/>
          <w:noProof/>
        </w:rPr>
        <w:t>I</w:t>
      </w:r>
      <w:r w:rsidRPr="00DC1F02" w:rsidR="00A66D56">
        <w:rPr>
          <w:i/>
          <w:noProof/>
        </w:rPr>
        <w:t>nter-</w:t>
      </w:r>
      <w:r>
        <w:rPr>
          <w:i/>
          <w:noProof/>
        </w:rPr>
        <w:t>P</w:t>
      </w:r>
      <w:r w:rsidRPr="00DC1F02" w:rsidR="00A66D56">
        <w:rPr>
          <w:i/>
          <w:noProof/>
        </w:rPr>
        <w:t>artes</w:t>
      </w:r>
      <w:r w:rsidRPr="00DC1F02" w:rsidR="00A66D56">
        <w:rPr>
          <w:noProof/>
        </w:rPr>
        <w:t xml:space="preserve"> </w:t>
      </w:r>
      <w:r>
        <w:rPr>
          <w:noProof/>
        </w:rPr>
        <w:t>P</w:t>
      </w:r>
      <w:r w:rsidRPr="00DC1F02" w:rsidR="00A66D56">
        <w:rPr>
          <w:noProof/>
        </w:rPr>
        <w:t>rocedures] of this Agreement, Members shall comply with Articles 1 through 12, and Article 19, of the Paris Convention (1967).</w:t>
      </w:r>
    </w:p>
    <w:p w:rsidRPr="00DC1F02" w:rsidR="00614024" w:rsidP="00A66D56" w:rsidRDefault="00E71F84">
      <w:pPr>
        <w:pStyle w:val="JuQuot"/>
        <w:rPr>
          <w:noProof/>
        </w:rPr>
      </w:pPr>
      <w:r w:rsidRPr="00DC1F02">
        <w:rPr>
          <w:noProof/>
        </w:rPr>
        <w:t>...</w:t>
      </w:r>
      <w:r w:rsidRPr="00DC1F02" w:rsidR="00614024">
        <w:rPr>
          <w:noProof/>
        </w:rPr>
        <w:t>”</w:t>
      </w:r>
    </w:p>
    <w:p w:rsidRPr="00DC1F02" w:rsidR="00614024" w:rsidP="00614024" w:rsidRDefault="00614024">
      <w:pPr>
        <w:pStyle w:val="JuHArticle"/>
        <w:rPr>
          <w:noProof/>
        </w:rPr>
      </w:pPr>
      <w:r w:rsidRPr="00DC1F02">
        <w:rPr>
          <w:noProof/>
        </w:rPr>
        <w:t>Article 16</w:t>
      </w:r>
      <w:r w:rsidRPr="00DC1F02">
        <w:rPr>
          <w:noProof/>
        </w:rPr>
        <w:br/>
      </w:r>
      <w:r w:rsidRPr="00DC1F02" w:rsidR="009B541E">
        <w:rPr>
          <w:noProof/>
        </w:rPr>
        <w:t>(Rights Conferred)</w:t>
      </w:r>
    </w:p>
    <w:p w:rsidRPr="00DC1F02" w:rsidR="00614024" w:rsidP="00614024" w:rsidRDefault="001B5133">
      <w:pPr>
        <w:pStyle w:val="JuQuot"/>
      </w:pPr>
      <w:r w:rsidRPr="00DC1F02">
        <w:t>“</w:t>
      </w:r>
      <w:r w:rsidR="0057622F">
        <w:t>1.  </w:t>
      </w:r>
      <w:r w:rsidRPr="00DC1F02">
        <w:t>The owner of a registered trademark shall have the exclusive right to prevent all third parties not having the owner</w:t>
      </w:r>
      <w:r w:rsidR="008B5D8B">
        <w:t>’</w:t>
      </w:r>
      <w:r w:rsidRPr="00DC1F02">
        <w:t>s consent from using in the course of trade identical or similar signs for goods or services which are identical or similar to those in respect of which the trademark is registered where such use would result in a likelihood of confusion.</w:t>
      </w:r>
      <w:r w:rsidRPr="00DC1F02" w:rsidR="00E71F84">
        <w:t xml:space="preserve"> </w:t>
      </w:r>
      <w:r w:rsidRPr="00DC1F02">
        <w:t>In case of the use of an identical sign for identical goods or services, a likelihood of confusion shall be presumed.</w:t>
      </w:r>
      <w:r w:rsidRPr="00DC1F02" w:rsidR="00E71F84">
        <w:t xml:space="preserve"> </w:t>
      </w:r>
      <w:r w:rsidRPr="00DC1F02">
        <w:t>The rights described above shall not prejudice any existing prior rights, nor shall they affect the possibility of Members making rights available on the basis of use.</w:t>
      </w:r>
    </w:p>
    <w:p w:rsidRPr="00DC1F02" w:rsidR="00A66D56" w:rsidP="00A66D56" w:rsidRDefault="00A66D56">
      <w:pPr>
        <w:pStyle w:val="JuQuot"/>
        <w:rPr>
          <w:noProof/>
        </w:rPr>
      </w:pPr>
      <w:r w:rsidRPr="00DC1F02">
        <w:rPr>
          <w:noProof/>
        </w:rPr>
        <w:t>...”</w:t>
      </w:r>
    </w:p>
    <w:p w:rsidRPr="00DC1F02" w:rsidR="00614024" w:rsidP="00614024" w:rsidRDefault="00614024">
      <w:pPr>
        <w:pStyle w:val="JuHArticle"/>
        <w:rPr>
          <w:noProof/>
        </w:rPr>
      </w:pPr>
      <w:r w:rsidRPr="00DC1F02">
        <w:rPr>
          <w:noProof/>
        </w:rPr>
        <w:t>Article 17</w:t>
      </w:r>
      <w:r w:rsidRPr="00DC1F02">
        <w:rPr>
          <w:noProof/>
        </w:rPr>
        <w:br/>
      </w:r>
      <w:r w:rsidRPr="00DC1F02" w:rsidR="00063A33">
        <w:rPr>
          <w:noProof/>
        </w:rPr>
        <w:t>(Exceptions)</w:t>
      </w:r>
    </w:p>
    <w:p w:rsidRPr="00DC1F02" w:rsidR="00614024" w:rsidP="00614024" w:rsidRDefault="00063A33">
      <w:pPr>
        <w:pStyle w:val="JuQuot"/>
      </w:pPr>
      <w:r w:rsidRPr="00DC1F02">
        <w:t>“Members may provide limited exceptions to the rights conferred by a trademark, such as fair use of descriptive terms, provided that such exceptions take account of the legitimate interests of the owner of the trademark and of third parties.”</w:t>
      </w:r>
    </w:p>
    <w:p w:rsidRPr="00DC1F02" w:rsidR="00A66D56" w:rsidP="00A66D56" w:rsidRDefault="00A66D56">
      <w:pPr>
        <w:pStyle w:val="JuHArticle"/>
      </w:pPr>
      <w:r w:rsidRPr="00DC1F02">
        <w:rPr>
          <w:noProof/>
        </w:rPr>
        <w:t>Article 24 § 5</w:t>
      </w:r>
      <w:r w:rsidRPr="00DC1F02">
        <w:rPr>
          <w:noProof/>
        </w:rPr>
        <w:br/>
        <w:t>(International Negotiations; Exceptions)</w:t>
      </w:r>
    </w:p>
    <w:p w:rsidRPr="00DC1F02" w:rsidR="00A66D56" w:rsidP="00A66D56" w:rsidRDefault="00A66D56">
      <w:pPr>
        <w:pStyle w:val="JuQuot"/>
        <w:rPr>
          <w:noProof/>
        </w:rPr>
      </w:pPr>
      <w:r w:rsidRPr="00DC1F02">
        <w:rPr>
          <w:noProof/>
        </w:rPr>
        <w:t>“Where a trademark has been applied for or registered in good faith, or where rights to a trademark have been acquired through use in good faith either:</w:t>
      </w:r>
    </w:p>
    <w:p w:rsidRPr="00DC1F02" w:rsidR="00A66D56" w:rsidP="00A66D56" w:rsidRDefault="00A66D56">
      <w:pPr>
        <w:pStyle w:val="JuQuot"/>
        <w:rPr>
          <w:noProof/>
        </w:rPr>
      </w:pPr>
      <w:r w:rsidRPr="00DC1F02">
        <w:rPr>
          <w:noProof/>
        </w:rPr>
        <w:t>(a)</w:t>
      </w:r>
      <w:r w:rsidRPr="00DC1F02" w:rsidR="00AE3C2C">
        <w:rPr>
          <w:noProof/>
        </w:rPr>
        <w:t>  </w:t>
      </w:r>
      <w:r w:rsidRPr="00DC1F02">
        <w:rPr>
          <w:noProof/>
        </w:rPr>
        <w:t>before the date of application of these provisions in that Member as defined in Part VI; or</w:t>
      </w:r>
    </w:p>
    <w:p w:rsidRPr="00DC1F02" w:rsidR="00A66D56" w:rsidP="00A66D56" w:rsidRDefault="00A66D56">
      <w:pPr>
        <w:pStyle w:val="JuQuot"/>
        <w:rPr>
          <w:noProof/>
        </w:rPr>
      </w:pPr>
      <w:r w:rsidRPr="00DC1F02">
        <w:rPr>
          <w:noProof/>
        </w:rPr>
        <w:t>(b)</w:t>
      </w:r>
      <w:r w:rsidRPr="00DC1F02" w:rsidR="00AE3C2C">
        <w:rPr>
          <w:noProof/>
        </w:rPr>
        <w:t>  </w:t>
      </w:r>
      <w:r w:rsidRPr="00DC1F02">
        <w:rPr>
          <w:noProof/>
        </w:rPr>
        <w:t>before the geographical indication is protected in its country of origin;</w:t>
      </w:r>
    </w:p>
    <w:p w:rsidRPr="00DC1F02" w:rsidR="00A66D56" w:rsidP="001C7965" w:rsidRDefault="00A66D56">
      <w:pPr>
        <w:pStyle w:val="JuQuot"/>
        <w:ind w:firstLine="55"/>
        <w:rPr>
          <w:noProof/>
        </w:rPr>
      </w:pPr>
      <w:r w:rsidRPr="00DC1F02">
        <w:rPr>
          <w:noProof/>
        </w:rPr>
        <w:t>measures adopted to implement this Section shall not prejudice eligibility for or the validity of the registration of a trademark ... on the basis that such a trademark is identical with, or similar to, a geographical indication.”</w:t>
      </w:r>
    </w:p>
    <w:p w:rsidRPr="00DC1F02" w:rsidR="00A66D56" w:rsidP="00A66D56" w:rsidRDefault="00A66D56">
      <w:pPr>
        <w:pStyle w:val="JuHArticle"/>
      </w:pPr>
      <w:r w:rsidRPr="00DC1F02">
        <w:rPr>
          <w:noProof/>
        </w:rPr>
        <w:t>Article 65</w:t>
      </w:r>
      <w:r w:rsidR="0057622F">
        <w:rPr>
          <w:noProof/>
        </w:rPr>
        <w:t xml:space="preserve"> </w:t>
      </w:r>
      <w:r w:rsidRPr="00DC1F02" w:rsidR="0057622F">
        <w:rPr>
          <w:noProof/>
        </w:rPr>
        <w:t>§</w:t>
      </w:r>
      <w:r w:rsidR="0057622F">
        <w:rPr>
          <w:noProof/>
        </w:rPr>
        <w:t xml:space="preserve"> 1</w:t>
      </w:r>
      <w:r w:rsidRPr="00DC1F02">
        <w:rPr>
          <w:noProof/>
        </w:rPr>
        <w:br/>
        <w:t>(Transitional Arrangements)</w:t>
      </w:r>
    </w:p>
    <w:p w:rsidRPr="00DC1F02" w:rsidR="00A66D56" w:rsidP="00A66D56" w:rsidRDefault="00A66D56">
      <w:pPr>
        <w:pStyle w:val="JuQuot"/>
        <w:rPr>
          <w:noProof/>
        </w:rPr>
      </w:pPr>
      <w:r w:rsidRPr="00DC1F02">
        <w:rPr>
          <w:noProof/>
        </w:rPr>
        <w:t>“Subject to the provisions of paragraphs 2, 3 and 4</w:t>
      </w:r>
      <w:r w:rsidR="0057622F">
        <w:rPr>
          <w:noProof/>
        </w:rPr>
        <w:t xml:space="preserve"> </w:t>
      </w:r>
      <w:r w:rsidRPr="00DC1F02">
        <w:rPr>
          <w:noProof/>
        </w:rPr>
        <w:t>[which provide for longer periods], no Member shall be obliged to apply the provisions of this Agreement before the expiry of a general period of one year following the date of entry into force of the WTO Agreement.”</w:t>
      </w:r>
    </w:p>
    <w:p w:rsidRPr="00DC1F02" w:rsidR="00FC1382" w:rsidP="00A66D56" w:rsidRDefault="00FC1382">
      <w:pPr>
        <w:pStyle w:val="JuHA"/>
        <w:rPr>
          <w:noProof/>
        </w:rPr>
      </w:pPr>
      <w:r w:rsidRPr="00DC1F02">
        <w:rPr>
          <w:noProof/>
        </w:rPr>
        <w:t>B.  Community law</w:t>
      </w:r>
    </w:p>
    <w:p w:rsidRPr="00DC1F02" w:rsidR="00FC1382" w:rsidP="00FC1382" w:rsidRDefault="00FC1382">
      <w:pPr>
        <w:pStyle w:val="JuPara"/>
      </w:pPr>
      <w:r w:rsidRPr="00DC1F02">
        <w:fldChar w:fldCharType="begin"/>
      </w:r>
      <w:r w:rsidRPr="00DC1F02">
        <w:instrText xml:space="preserve"> SEQ level0 \*arabic </w:instrText>
      </w:r>
      <w:r w:rsidRPr="00DC1F02">
        <w:fldChar w:fldCharType="separate"/>
      </w:r>
      <w:r w:rsidR="00CF6F43">
        <w:rPr>
          <w:noProof/>
        </w:rPr>
        <w:t>36</w:t>
      </w:r>
      <w:r w:rsidRPr="00DC1F02">
        <w:fldChar w:fldCharType="end"/>
      </w:r>
      <w:r w:rsidRPr="00DC1F02">
        <w:t>.  </w:t>
      </w:r>
      <w:r w:rsidRPr="00DC1F02" w:rsidR="00C72EC2">
        <w:t>European Union l</w:t>
      </w:r>
      <w:r w:rsidRPr="00DC1F02" w:rsidR="009A23BF">
        <w:t>aw contains</w:t>
      </w:r>
      <w:r w:rsidRPr="00DC1F02" w:rsidR="00C72EC2">
        <w:t xml:space="preserve"> various instruments </w:t>
      </w:r>
      <w:r w:rsidR="002C5328">
        <w:t>designed to</w:t>
      </w:r>
      <w:r w:rsidRPr="00DC1F02" w:rsidR="00C72EC2">
        <w:t xml:space="preserve"> regulate and protect intellectual property, including trade</w:t>
      </w:r>
      <w:r w:rsidR="00772C1C">
        <w:t xml:space="preserve"> </w:t>
      </w:r>
      <w:r w:rsidRPr="00DC1F02" w:rsidR="00C72EC2">
        <w:t>marks. Th</w:t>
      </w:r>
      <w:r w:rsidRPr="00DC1F02" w:rsidR="009861BB">
        <w:t>e instrument</w:t>
      </w:r>
      <w:r w:rsidRPr="00DC1F02" w:rsidR="00C72EC2">
        <w:t xml:space="preserve"> of </w:t>
      </w:r>
      <w:r w:rsidRPr="00DC1F02" w:rsidR="00617D5F">
        <w:t>most</w:t>
      </w:r>
      <w:r w:rsidRPr="00DC1F02" w:rsidR="00C72EC2">
        <w:t xml:space="preserve"> </w:t>
      </w:r>
      <w:r w:rsidRPr="00DC1F02" w:rsidR="009A23BF">
        <w:t>relevance</w:t>
      </w:r>
      <w:r w:rsidRPr="00DC1F02" w:rsidR="00C72EC2">
        <w:t xml:space="preserve"> to the present case is Council Regulation (EC) No. 40/941 of 20</w:t>
      </w:r>
      <w:r w:rsidR="0057622F">
        <w:t xml:space="preserve"> December 1993 on the Community t</w:t>
      </w:r>
      <w:r w:rsidRPr="00DC1F02" w:rsidR="00C72EC2">
        <w:t xml:space="preserve">rade </w:t>
      </w:r>
      <w:r w:rsidR="0057622F">
        <w:t>m</w:t>
      </w:r>
      <w:r w:rsidRPr="00DC1F02" w:rsidR="00C72EC2">
        <w:t>ark</w:t>
      </w:r>
      <w:r w:rsidRPr="00DC1F02">
        <w:t xml:space="preserve">, </w:t>
      </w:r>
      <w:r w:rsidRPr="00DC1F02" w:rsidR="00E10A8C">
        <w:t xml:space="preserve">which establishes a right to a </w:t>
      </w:r>
      <w:r w:rsidRPr="00DC1F02" w:rsidR="0022373E">
        <w:t xml:space="preserve">Community trade </w:t>
      </w:r>
      <w:r w:rsidRPr="00DC1F02" w:rsidR="00E10A8C">
        <w:t>mark and conf</w:t>
      </w:r>
      <w:r w:rsidRPr="00DC1F02" w:rsidR="0022373E">
        <w:t>e</w:t>
      </w:r>
      <w:r w:rsidRPr="00DC1F02" w:rsidR="00E10A8C">
        <w:t xml:space="preserve">rs certain rights on applicants for registration. Its aim is to promote the development, expansion and proper functioning of the internal market by enabling </w:t>
      </w:r>
      <w:r w:rsidRPr="00DC1F02" w:rsidR="0022373E">
        <w:t xml:space="preserve">Community </w:t>
      </w:r>
      <w:r w:rsidRPr="00DC1F02" w:rsidR="00E10A8C">
        <w:t xml:space="preserve">undertakings to identify their products or services in a uniform manner throughout the </w:t>
      </w:r>
      <w:smartTag w:uri="urn:schemas-microsoft-com:office:smarttags" w:element="place">
        <w:r w:rsidR="00310FE1" w:rsidRPr="00DC1F02">
          <w:t>Union</w:t>
        </w:r>
      </w:smartTag>
      <w:r w:rsidRPr="00DC1F02" w:rsidR="00E10A8C">
        <w:t xml:space="preserve">. To that end, </w:t>
      </w:r>
      <w:r w:rsidR="0057622F">
        <w:t>the</w:t>
      </w:r>
      <w:r w:rsidRPr="00DC1F02" w:rsidR="00E10A8C">
        <w:t xml:space="preserve"> </w:t>
      </w:r>
      <w:r w:rsidRPr="00DC1F02" w:rsidR="0022373E">
        <w:t xml:space="preserve">Office </w:t>
      </w:r>
      <w:r w:rsidR="0057622F">
        <w:t>of</w:t>
      </w:r>
      <w:r w:rsidRPr="00DC1F02" w:rsidR="0022373E">
        <w:t xml:space="preserve"> </w:t>
      </w:r>
      <w:r w:rsidRPr="00DC1F02" w:rsidR="00E10A8C">
        <w:t xml:space="preserve">Harmonisation </w:t>
      </w:r>
      <w:r w:rsidR="0057622F">
        <w:t>for</w:t>
      </w:r>
      <w:r w:rsidRPr="00DC1F02" w:rsidR="0022373E">
        <w:t xml:space="preserve"> the Internal Market </w:t>
      </w:r>
      <w:r w:rsidRPr="00DC1F02" w:rsidR="00617D5F">
        <w:t xml:space="preserve">(OHIM) </w:t>
      </w:r>
      <w:r w:rsidRPr="00DC1F02" w:rsidR="00E10A8C">
        <w:t xml:space="preserve">has been </w:t>
      </w:r>
      <w:r w:rsidRPr="00DC1F02" w:rsidR="0022373E">
        <w:t>established</w:t>
      </w:r>
      <w:r w:rsidRPr="00DC1F02" w:rsidR="00E10A8C">
        <w:t xml:space="preserve"> (for </w:t>
      </w:r>
      <w:r w:rsidRPr="00DC1F02" w:rsidR="0022373E">
        <w:t xml:space="preserve">trade </w:t>
      </w:r>
      <w:r w:rsidRPr="00DC1F02" w:rsidR="00E10A8C">
        <w:t>marks</w:t>
      </w:r>
      <w:r w:rsidRPr="00DC1F02" w:rsidR="0022373E">
        <w:t xml:space="preserve"> and</w:t>
      </w:r>
      <w:r w:rsidRPr="00DC1F02" w:rsidR="00E10A8C">
        <w:t xml:space="preserve"> designs </w:t>
      </w:r>
      <w:r w:rsidRPr="00DC1F02" w:rsidR="00617D5F">
        <w:t xml:space="preserve">– </w:t>
      </w:r>
      <w:r w:rsidRPr="00DC1F02" w:rsidR="00E10A8C">
        <w:t xml:space="preserve">Article 2). </w:t>
      </w:r>
      <w:r w:rsidRPr="00DC1F02" w:rsidR="0022373E">
        <w:t xml:space="preserve">It is based in </w:t>
      </w:r>
      <w:smartTag w:uri="urn:schemas-microsoft-com:office:smarttags" w:element="City">
        <w:r w:rsidR="0022373E" w:rsidRPr="00DC1F02">
          <w:t>Alicante</w:t>
        </w:r>
      </w:smartTag>
      <w:r w:rsidRPr="00DC1F02" w:rsidR="0022373E">
        <w:t xml:space="preserve"> (</w:t>
      </w:r>
      <w:smartTag w:uri="urn:schemas-microsoft-com:office:smarttags" w:element="place">
        <w:smartTag w:uri="urn:schemas-microsoft-com:office:smarttags" w:element="country-region">
          <w:r w:rsidR="0022373E" w:rsidRPr="00DC1F02">
            <w:t>Spain</w:t>
          </w:r>
        </w:smartTag>
      </w:smartTag>
      <w:r w:rsidRPr="00DC1F02" w:rsidR="0022373E">
        <w:t xml:space="preserve">). </w:t>
      </w:r>
      <w:r w:rsidRPr="00DC1F02" w:rsidR="00E10A8C">
        <w:t xml:space="preserve">Applications for registration of </w:t>
      </w:r>
      <w:r w:rsidRPr="00DC1F02" w:rsidR="000A42E4">
        <w:t>a</w:t>
      </w:r>
      <w:r w:rsidRPr="00DC1F02" w:rsidR="00E10A8C">
        <w:t xml:space="preserve"> </w:t>
      </w:r>
      <w:r w:rsidRPr="00DC1F02" w:rsidR="000A42E4">
        <w:t xml:space="preserve">Community trade </w:t>
      </w:r>
      <w:r w:rsidRPr="00DC1F02" w:rsidR="00E10A8C">
        <w:t xml:space="preserve">mark are sent to </w:t>
      </w:r>
      <w:r w:rsidRPr="00DC1F02" w:rsidR="000A42E4">
        <w:t>th</w:t>
      </w:r>
      <w:r w:rsidRPr="00DC1F02" w:rsidR="00E10A8C">
        <w:t xml:space="preserve">e </w:t>
      </w:r>
      <w:r w:rsidRPr="00DC1F02" w:rsidR="000A42E4">
        <w:t>O</w:t>
      </w:r>
      <w:r w:rsidRPr="00DC1F02" w:rsidR="00617D5F">
        <w:t>HIM</w:t>
      </w:r>
      <w:r w:rsidRPr="00DC1F02" w:rsidR="000A42E4">
        <w:t xml:space="preserve">, </w:t>
      </w:r>
      <w:r w:rsidRPr="00DC1F02" w:rsidR="00E10A8C">
        <w:t xml:space="preserve">which decides whether to grant or reject them. An appeal </w:t>
      </w:r>
      <w:r w:rsidRPr="00DC1F02" w:rsidR="000A42E4">
        <w:t xml:space="preserve">lies </w:t>
      </w:r>
      <w:r w:rsidRPr="00DC1F02" w:rsidR="00E10A8C">
        <w:t xml:space="preserve">against its decisions to the </w:t>
      </w:r>
      <w:proofErr w:type="spellStart"/>
      <w:r w:rsidR="0057622F">
        <w:t>OHIM</w:t>
      </w:r>
      <w:r w:rsidR="008B5D8B">
        <w:t>’</w:t>
      </w:r>
      <w:r w:rsidR="0057622F">
        <w:t>s</w:t>
      </w:r>
      <w:proofErr w:type="spellEnd"/>
      <w:r w:rsidR="0057622F">
        <w:t xml:space="preserve"> </w:t>
      </w:r>
      <w:r w:rsidRPr="00DC1F02" w:rsidR="000A42E4">
        <w:t>Board of Appeal</w:t>
      </w:r>
      <w:r w:rsidRPr="00DC1F02">
        <w:t xml:space="preserve">, </w:t>
      </w:r>
      <w:r w:rsidRPr="00DC1F02" w:rsidR="00E10A8C">
        <w:t xml:space="preserve">and from </w:t>
      </w:r>
      <w:r w:rsidR="00772C1C">
        <w:t>there</w:t>
      </w:r>
      <w:r w:rsidRPr="00DC1F02" w:rsidR="00E10A8C">
        <w:t xml:space="preserve"> to the </w:t>
      </w:r>
      <w:r w:rsidRPr="00DC1F02" w:rsidR="000A42E4">
        <w:t>Court</w:t>
      </w:r>
      <w:r w:rsidRPr="00DC1F02" w:rsidR="00E10A8C">
        <w:t xml:space="preserve"> of First Instance of the European </w:t>
      </w:r>
      <w:r w:rsidRPr="00DC1F02" w:rsidR="000A42E4">
        <w:t xml:space="preserve">Communities </w:t>
      </w:r>
      <w:r w:rsidRPr="00DC1F02">
        <w:t>(</w:t>
      </w:r>
      <w:r w:rsidRPr="00DC1F02" w:rsidR="00E10A8C">
        <w:t>Articles</w:t>
      </w:r>
      <w:r w:rsidR="0057622F">
        <w:t xml:space="preserve"> </w:t>
      </w:r>
      <w:r w:rsidRPr="00DC1F02">
        <w:t>57</w:t>
      </w:r>
      <w:r w:rsidR="0057622F">
        <w:t>-</w:t>
      </w:r>
      <w:r w:rsidRPr="00DC1F02">
        <w:t>63).</w:t>
      </w:r>
    </w:p>
    <w:p w:rsidRPr="00DC1F02" w:rsidR="00E71F84" w:rsidP="00FC1382" w:rsidRDefault="00FC1382">
      <w:pPr>
        <w:pStyle w:val="JuPara"/>
      </w:pPr>
      <w:r w:rsidRPr="00DC1F02">
        <w:fldChar w:fldCharType="begin"/>
      </w:r>
      <w:r w:rsidRPr="00DC1F02">
        <w:instrText xml:space="preserve"> SEQ level0 \*arabic </w:instrText>
      </w:r>
      <w:r w:rsidRPr="00DC1F02">
        <w:fldChar w:fldCharType="separate"/>
      </w:r>
      <w:r w:rsidR="00CF6F43">
        <w:rPr>
          <w:noProof/>
        </w:rPr>
        <w:t>37</w:t>
      </w:r>
      <w:r w:rsidRPr="00DC1F02">
        <w:fldChar w:fldCharType="end"/>
      </w:r>
      <w:r w:rsidRPr="00DC1F02">
        <w:t>.  </w:t>
      </w:r>
      <w:r w:rsidRPr="00DC1F02" w:rsidR="00E526BE">
        <w:t>Article</w:t>
      </w:r>
      <w:r w:rsidRPr="00DC1F02">
        <w:t xml:space="preserve"> 24</w:t>
      </w:r>
      <w:r w:rsidRPr="00DC1F02" w:rsidR="00825EA2">
        <w:t xml:space="preserve"> of the Regulation</w:t>
      </w:r>
      <w:r w:rsidRPr="00DC1F02">
        <w:t xml:space="preserve">, </w:t>
      </w:r>
      <w:r w:rsidRPr="00DC1F02" w:rsidR="00E526BE">
        <w:t>which is entitled</w:t>
      </w:r>
      <w:r w:rsidRPr="00DC1F02">
        <w:t xml:space="preserve"> </w:t>
      </w:r>
      <w:r w:rsidRPr="00DC1F02" w:rsidR="00825EA2">
        <w:t>“The application for a Community trade mark as an object of property”</w:t>
      </w:r>
      <w:r w:rsidRPr="00DC1F02">
        <w:t xml:space="preserve">, </w:t>
      </w:r>
      <w:r w:rsidRPr="00DC1F02" w:rsidR="00825EA2">
        <w:t xml:space="preserve">lays down that </w:t>
      </w:r>
      <w:r w:rsidRPr="00DC1F02" w:rsidR="00E526BE">
        <w:t xml:space="preserve">the provisions relating to </w:t>
      </w:r>
      <w:r w:rsidRPr="00DC1F02" w:rsidR="00825EA2">
        <w:t xml:space="preserve">Community </w:t>
      </w:r>
      <w:r w:rsidRPr="00DC1F02" w:rsidR="00E526BE">
        <w:t>trade</w:t>
      </w:r>
      <w:r w:rsidRPr="00DC1F02" w:rsidR="00825EA2">
        <w:t xml:space="preserve"> </w:t>
      </w:r>
      <w:r w:rsidRPr="00DC1F02" w:rsidR="00E526BE">
        <w:t>mark</w:t>
      </w:r>
      <w:r w:rsidRPr="00DC1F02" w:rsidR="00825EA2">
        <w:t>s</w:t>
      </w:r>
      <w:r w:rsidRPr="00DC1F02" w:rsidR="00E526BE">
        <w:t xml:space="preserve"> also apply to applications for registration. These </w:t>
      </w:r>
      <w:r w:rsidRPr="00DC1F02" w:rsidR="00825EA2">
        <w:t xml:space="preserve">provisions </w:t>
      </w:r>
      <w:r w:rsidRPr="00DC1F02" w:rsidR="00E526BE">
        <w:t xml:space="preserve">include </w:t>
      </w:r>
      <w:r w:rsidRPr="00DC1F02" w:rsidR="00825EA2">
        <w:t xml:space="preserve">Article 17 </w:t>
      </w:r>
      <w:r w:rsidRPr="00DC1F02">
        <w:t>(</w:t>
      </w:r>
      <w:r w:rsidR="0057622F">
        <w:t>Transfer</w:t>
      </w:r>
      <w:r w:rsidRPr="00DC1F02">
        <w:t xml:space="preserve">), </w:t>
      </w:r>
      <w:r w:rsidRPr="00DC1F02" w:rsidR="00825EA2">
        <w:t>Article 19 (</w:t>
      </w:r>
      <w:r w:rsidR="0057622F">
        <w:t>R</w:t>
      </w:r>
      <w:r w:rsidRPr="00DC1F02" w:rsidR="00825EA2">
        <w:t xml:space="preserve">ights </w:t>
      </w:r>
      <w:r w:rsidRPr="00DC1F02" w:rsidR="00825EA2">
        <w:rPr>
          <w:i/>
        </w:rPr>
        <w:t xml:space="preserve">in </w:t>
      </w:r>
      <w:proofErr w:type="spellStart"/>
      <w:r w:rsidRPr="00DC1F02" w:rsidR="00825EA2">
        <w:rPr>
          <w:i/>
        </w:rPr>
        <w:t>rem</w:t>
      </w:r>
      <w:proofErr w:type="spellEnd"/>
      <w:r w:rsidR="0057622F">
        <w:t>), Article 20 (L</w:t>
      </w:r>
      <w:r w:rsidRPr="00DC1F02" w:rsidR="00825EA2">
        <w:t xml:space="preserve">evy of </w:t>
      </w:r>
      <w:r w:rsidRPr="00DC1F02">
        <w:t>ex</w:t>
      </w:r>
      <w:r w:rsidRPr="00DC1F02" w:rsidR="00825EA2">
        <w:t>e</w:t>
      </w:r>
      <w:r w:rsidRPr="00DC1F02">
        <w:t>cution</w:t>
      </w:r>
      <w:r w:rsidRPr="00DC1F02" w:rsidR="00825EA2">
        <w:t>)</w:t>
      </w:r>
      <w:r w:rsidRPr="00DC1F02">
        <w:t xml:space="preserve"> </w:t>
      </w:r>
      <w:r w:rsidRPr="00DC1F02" w:rsidR="00825EA2">
        <w:t>and</w:t>
      </w:r>
      <w:r w:rsidRPr="00DC1F02">
        <w:t xml:space="preserve"> </w:t>
      </w:r>
      <w:r w:rsidRPr="00DC1F02" w:rsidR="00825EA2">
        <w:t xml:space="preserve">Article </w:t>
      </w:r>
      <w:r w:rsidRPr="00DC1F02">
        <w:t>22</w:t>
      </w:r>
      <w:r w:rsidR="0057622F">
        <w:t xml:space="preserve"> (L</w:t>
      </w:r>
      <w:r w:rsidRPr="00DC1F02" w:rsidR="00825EA2">
        <w:t>icensing</w:t>
      </w:r>
      <w:r w:rsidRPr="00DC1F02">
        <w:t xml:space="preserve">). </w:t>
      </w:r>
      <w:r w:rsidRPr="00DC1F02" w:rsidR="00825EA2">
        <w:t xml:space="preserve">By virtue of Article 9 § 3, an </w:t>
      </w:r>
      <w:r w:rsidRPr="00DC1F02" w:rsidR="00E526BE">
        <w:t>application for registration may also found a</w:t>
      </w:r>
      <w:r w:rsidRPr="00DC1F02" w:rsidR="00825EA2">
        <w:t xml:space="preserve"> claim</w:t>
      </w:r>
      <w:r w:rsidRPr="00DC1F02" w:rsidR="00E526BE">
        <w:t xml:space="preserve"> for compensation</w:t>
      </w:r>
      <w:r w:rsidRPr="00DC1F02">
        <w:t>.</w:t>
      </w:r>
    </w:p>
    <w:p w:rsidRPr="00DC1F02" w:rsidR="00FC1382" w:rsidP="00FC1382" w:rsidRDefault="00FC1382">
      <w:pPr>
        <w:pStyle w:val="JuPara"/>
      </w:pPr>
      <w:r w:rsidRPr="00DC1F02">
        <w:fldChar w:fldCharType="begin"/>
      </w:r>
      <w:r w:rsidRPr="00DC1F02">
        <w:instrText xml:space="preserve"> SEQ level0 \*arabic </w:instrText>
      </w:r>
      <w:r w:rsidRPr="00DC1F02">
        <w:fldChar w:fldCharType="separate"/>
      </w:r>
      <w:r w:rsidR="00CF6F43">
        <w:rPr>
          <w:noProof/>
        </w:rPr>
        <w:t>38</w:t>
      </w:r>
      <w:r w:rsidRPr="00DC1F02">
        <w:fldChar w:fldCharType="end"/>
      </w:r>
      <w:r w:rsidRPr="00DC1F02">
        <w:t>.  </w:t>
      </w:r>
      <w:r w:rsidRPr="00DC1F02" w:rsidR="00310FE1">
        <w:t>Final</w:t>
      </w:r>
      <w:r w:rsidRPr="00DC1F02" w:rsidR="000D6A2E">
        <w:t>ly</w:t>
      </w:r>
      <w:r w:rsidRPr="00DC1F02" w:rsidR="007B753F">
        <w:t>, Article</w:t>
      </w:r>
      <w:r w:rsidRPr="00DC1F02">
        <w:t xml:space="preserve"> 17 § 2 </w:t>
      </w:r>
      <w:r w:rsidRPr="00DC1F02" w:rsidR="007B753F">
        <w:t>of the</w:t>
      </w:r>
      <w:r w:rsidRPr="00DC1F02">
        <w:t xml:space="preserve"> </w:t>
      </w:r>
      <w:r w:rsidRPr="00DC1F02" w:rsidR="001015CC">
        <w:t xml:space="preserve">Charter of Fundamental Rights </w:t>
      </w:r>
      <w:r w:rsidRPr="00DC1F02">
        <w:t>(</w:t>
      </w:r>
      <w:r w:rsidRPr="00DC1F02" w:rsidR="001015CC">
        <w:t>Article </w:t>
      </w:r>
      <w:r w:rsidRPr="00DC1F02">
        <w:t xml:space="preserve">II-77 </w:t>
      </w:r>
      <w:r w:rsidRPr="00DC1F02" w:rsidR="001015CC">
        <w:t xml:space="preserve">of the draft </w:t>
      </w:r>
      <w:r w:rsidRPr="00DC1F02" w:rsidR="005A65C4">
        <w:t>Treaty</w:t>
      </w:r>
      <w:r w:rsidRPr="00DC1F02" w:rsidR="001015CC">
        <w:t xml:space="preserve"> es</w:t>
      </w:r>
      <w:r w:rsidRPr="00DC1F02">
        <w:t>tablis</w:t>
      </w:r>
      <w:r w:rsidRPr="00DC1F02" w:rsidR="001015CC">
        <w:t xml:space="preserve">hing a </w:t>
      </w:r>
      <w:r w:rsidRPr="00DC1F02">
        <w:t xml:space="preserve">Constitution </w:t>
      </w:r>
      <w:r w:rsidRPr="00DC1F02" w:rsidR="001015CC">
        <w:t xml:space="preserve">for </w:t>
      </w:r>
      <w:r w:rsidRPr="00DC1F02">
        <w:t>Europe, sign</w:t>
      </w:r>
      <w:r w:rsidRPr="00DC1F02" w:rsidR="001015CC">
        <w:t>ed</w:t>
      </w:r>
      <w:r w:rsidRPr="00DC1F02">
        <w:t xml:space="preserve"> </w:t>
      </w:r>
      <w:r w:rsidRPr="00DC1F02" w:rsidR="001015CC">
        <w:t>on</w:t>
      </w:r>
      <w:r w:rsidRPr="00DC1F02">
        <w:t xml:space="preserve"> 29 </w:t>
      </w:r>
      <w:r w:rsidRPr="00DC1F02" w:rsidR="001015CC">
        <w:t xml:space="preserve">October </w:t>
      </w:r>
      <w:r w:rsidRPr="00DC1F02">
        <w:t xml:space="preserve">2004, </w:t>
      </w:r>
      <w:r w:rsidRPr="00DC1F02" w:rsidR="001015CC">
        <w:t>but not yet in force</w:t>
      </w:r>
      <w:r w:rsidRPr="00DC1F02">
        <w:t xml:space="preserve">), </w:t>
      </w:r>
      <w:r w:rsidRPr="00DC1F02" w:rsidR="007B753F">
        <w:t xml:space="preserve">which guarantees the right </w:t>
      </w:r>
      <w:r w:rsidR="0057622F">
        <w:t>to</w:t>
      </w:r>
      <w:r w:rsidRPr="00DC1F02" w:rsidR="007B753F">
        <w:t xml:space="preserve"> property, provides:</w:t>
      </w:r>
      <w:r w:rsidRPr="00DC1F02">
        <w:t xml:space="preserve"> </w:t>
      </w:r>
      <w:r w:rsidRPr="00DC1F02" w:rsidR="007B753F">
        <w:t>“</w:t>
      </w:r>
      <w:r w:rsidRPr="00DC1F02" w:rsidR="001015CC">
        <w:t>Intellectual property shall be protected</w:t>
      </w:r>
      <w:r w:rsidR="0057622F">
        <w:t>.</w:t>
      </w:r>
      <w:r w:rsidRPr="00DC1F02" w:rsidR="007B753F">
        <w:t>”</w:t>
      </w:r>
    </w:p>
    <w:p w:rsidRPr="00DC1F02" w:rsidR="00A66D56" w:rsidP="00A66D56" w:rsidRDefault="00A66D56">
      <w:pPr>
        <w:pStyle w:val="JuHA"/>
      </w:pPr>
      <w:r w:rsidRPr="00DC1F02">
        <w:rPr>
          <w:noProof/>
        </w:rPr>
        <w:t>C.  Comparative law</w:t>
      </w:r>
    </w:p>
    <w:p w:rsidRPr="00DC1F02" w:rsidR="00A66D56" w:rsidP="00A66D56" w:rsidRDefault="00A66D56">
      <w:pPr>
        <w:pStyle w:val="JuParaChar"/>
        <w:rPr>
          <w:noProof/>
          <w:lang w:val="en-GB"/>
        </w:rPr>
      </w:pPr>
      <w:r w:rsidRPr="00DC1F02">
        <w:rPr>
          <w:lang w:val="en-GB"/>
        </w:rPr>
        <w:fldChar w:fldCharType="begin"/>
      </w:r>
      <w:r w:rsidRPr="00DC1F02">
        <w:rPr>
          <w:lang w:val="en-GB"/>
        </w:rPr>
        <w:instrText xml:space="preserve"> SEQ level0 \*arabic </w:instrText>
      </w:r>
      <w:r w:rsidRPr="00DC1F02">
        <w:rPr>
          <w:lang w:val="en-GB"/>
        </w:rPr>
        <w:fldChar w:fldCharType="separate"/>
      </w:r>
      <w:r w:rsidR="00CF6F43">
        <w:rPr>
          <w:noProof/>
          <w:lang w:val="en-GB"/>
        </w:rPr>
        <w:t>39</w:t>
      </w:r>
      <w:r w:rsidRPr="00DC1F02">
        <w:rPr>
          <w:lang w:val="en-GB"/>
        </w:rPr>
        <w:fldChar w:fldCharType="end"/>
      </w:r>
      <w:r w:rsidRPr="00DC1F02">
        <w:rPr>
          <w:noProof/>
          <w:lang w:val="en-GB"/>
        </w:rPr>
        <w:t xml:space="preserve">.  In accordance with </w:t>
      </w:r>
      <w:r w:rsidRPr="00DC1F02" w:rsidR="00E20B61">
        <w:rPr>
          <w:noProof/>
          <w:lang w:val="en-GB"/>
        </w:rPr>
        <w:t xml:space="preserve">the relevant </w:t>
      </w:r>
      <w:r w:rsidRPr="00DC1F02">
        <w:rPr>
          <w:noProof/>
          <w:lang w:val="en-GB"/>
        </w:rPr>
        <w:t xml:space="preserve">international instruments, the legislation of most of the member States of the Council </w:t>
      </w:r>
      <w:r w:rsidRPr="00DC1F02" w:rsidR="00770F44">
        <w:rPr>
          <w:noProof/>
          <w:lang w:val="en-GB"/>
        </w:rPr>
        <w:t xml:space="preserve">of </w:t>
      </w:r>
      <w:r w:rsidRPr="00DC1F02">
        <w:rPr>
          <w:noProof/>
          <w:lang w:val="en-GB"/>
        </w:rPr>
        <w:t xml:space="preserve">Europe regards registration as </w:t>
      </w:r>
      <w:r w:rsidRPr="00DC1F02" w:rsidR="00770F44">
        <w:rPr>
          <w:noProof/>
          <w:lang w:val="en-GB"/>
        </w:rPr>
        <w:t>a</w:t>
      </w:r>
      <w:r w:rsidRPr="00DC1F02">
        <w:rPr>
          <w:noProof/>
          <w:lang w:val="en-GB"/>
        </w:rPr>
        <w:t xml:space="preserve"> corollary to the acquisition of the right to the mark. However, the vast majority of the</w:t>
      </w:r>
      <w:r w:rsidRPr="00DC1F02" w:rsidR="00AE3C2C">
        <w:rPr>
          <w:noProof/>
          <w:lang w:val="en-GB"/>
        </w:rPr>
        <w:t xml:space="preserve"> States</w:t>
      </w:r>
      <w:r w:rsidRPr="00DC1F02">
        <w:rPr>
          <w:noProof/>
          <w:lang w:val="en-GB"/>
        </w:rPr>
        <w:t xml:space="preserve"> also regard the application for registration of the mark as conferring certain rights. In most cases, </w:t>
      </w:r>
      <w:r w:rsidRPr="00DC1F02" w:rsidR="00027ED5">
        <w:rPr>
          <w:noProof/>
          <w:lang w:val="en-GB"/>
        </w:rPr>
        <w:t xml:space="preserve">once registered the mark is deemed to have been valid since </w:t>
      </w:r>
      <w:r w:rsidRPr="00DC1F02">
        <w:rPr>
          <w:noProof/>
          <w:lang w:val="en-GB"/>
        </w:rPr>
        <w:t xml:space="preserve">the date </w:t>
      </w:r>
      <w:r w:rsidRPr="00DC1F02" w:rsidR="00027ED5">
        <w:rPr>
          <w:noProof/>
          <w:lang w:val="en-GB"/>
        </w:rPr>
        <w:t xml:space="preserve">the application for registration was </w:t>
      </w:r>
      <w:r w:rsidRPr="00DC1F02">
        <w:rPr>
          <w:noProof/>
          <w:lang w:val="en-GB"/>
        </w:rPr>
        <w:t>fil</w:t>
      </w:r>
      <w:r w:rsidRPr="00DC1F02" w:rsidR="00027ED5">
        <w:rPr>
          <w:noProof/>
          <w:lang w:val="en-GB"/>
        </w:rPr>
        <w:t>ed</w:t>
      </w:r>
      <w:r w:rsidRPr="00DC1F02">
        <w:rPr>
          <w:noProof/>
          <w:lang w:val="en-GB"/>
        </w:rPr>
        <w:t xml:space="preserve"> (</w:t>
      </w:r>
      <w:r w:rsidRPr="00DC1F02" w:rsidR="00027ED5">
        <w:rPr>
          <w:noProof/>
          <w:lang w:val="en-GB"/>
        </w:rPr>
        <w:t xml:space="preserve">system of </w:t>
      </w:r>
      <w:r w:rsidRPr="00DC1F02">
        <w:rPr>
          <w:noProof/>
          <w:lang w:val="en-GB"/>
        </w:rPr>
        <w:t xml:space="preserve">retrospective protection through registration). </w:t>
      </w:r>
      <w:r w:rsidRPr="00DC1F02" w:rsidR="00AE3C2C">
        <w:rPr>
          <w:noProof/>
          <w:lang w:val="en-GB"/>
        </w:rPr>
        <w:t xml:space="preserve">The </w:t>
      </w:r>
      <w:r w:rsidRPr="00DC1F02">
        <w:rPr>
          <w:noProof/>
          <w:lang w:val="en-GB"/>
        </w:rPr>
        <w:t xml:space="preserve">date of filing </w:t>
      </w:r>
      <w:r w:rsidRPr="00DC1F02" w:rsidR="00AE3C2C">
        <w:rPr>
          <w:noProof/>
          <w:lang w:val="en-GB"/>
        </w:rPr>
        <w:t xml:space="preserve">also </w:t>
      </w:r>
      <w:r w:rsidRPr="00DC1F02">
        <w:rPr>
          <w:noProof/>
          <w:lang w:val="en-GB"/>
        </w:rPr>
        <w:t xml:space="preserve">determines priority in the system of international marks. Lastly, in some countries, </w:t>
      </w:r>
      <w:r w:rsidRPr="00DC1F02" w:rsidR="00AE3C2C">
        <w:rPr>
          <w:noProof/>
          <w:lang w:val="en-GB"/>
        </w:rPr>
        <w:t>an</w:t>
      </w:r>
      <w:r w:rsidRPr="00DC1F02">
        <w:rPr>
          <w:noProof/>
          <w:lang w:val="en-GB"/>
        </w:rPr>
        <w:t xml:space="preserve"> application to register a mark may </w:t>
      </w:r>
      <w:r w:rsidRPr="00DC1F02" w:rsidR="00AE3C2C">
        <w:rPr>
          <w:noProof/>
          <w:lang w:val="en-GB"/>
        </w:rPr>
        <w:t xml:space="preserve">itself </w:t>
      </w:r>
      <w:r w:rsidRPr="00DC1F02">
        <w:rPr>
          <w:noProof/>
          <w:lang w:val="en-GB"/>
        </w:rPr>
        <w:t>be the subject of provisional registration</w:t>
      </w:r>
      <w:r w:rsidRPr="00DC1F02" w:rsidR="00E20B61">
        <w:rPr>
          <w:noProof/>
          <w:lang w:val="en-GB"/>
        </w:rPr>
        <w:t>,</w:t>
      </w:r>
      <w:r w:rsidRPr="00DC1F02">
        <w:rPr>
          <w:noProof/>
          <w:lang w:val="en-GB"/>
        </w:rPr>
        <w:t xml:space="preserve"> </w:t>
      </w:r>
      <w:r w:rsidRPr="00DC1F02" w:rsidR="00AE3C2C">
        <w:rPr>
          <w:noProof/>
          <w:lang w:val="en-GB"/>
        </w:rPr>
        <w:t>while</w:t>
      </w:r>
      <w:r w:rsidRPr="00DC1F02">
        <w:rPr>
          <w:noProof/>
          <w:lang w:val="en-GB"/>
        </w:rPr>
        <w:t xml:space="preserve"> in others </w:t>
      </w:r>
      <w:r w:rsidRPr="00DC1F02" w:rsidR="00AE3C2C">
        <w:rPr>
          <w:noProof/>
          <w:lang w:val="en-GB"/>
        </w:rPr>
        <w:t xml:space="preserve">it </w:t>
      </w:r>
      <w:r w:rsidRPr="00DC1F02">
        <w:rPr>
          <w:noProof/>
          <w:lang w:val="en-GB"/>
        </w:rPr>
        <w:t xml:space="preserve">may be the subject of </w:t>
      </w:r>
      <w:r w:rsidRPr="00DC1F02" w:rsidR="00AE3C2C">
        <w:rPr>
          <w:noProof/>
          <w:lang w:val="en-GB"/>
        </w:rPr>
        <w:t xml:space="preserve">an </w:t>
      </w:r>
      <w:r w:rsidRPr="00DC1F02">
        <w:rPr>
          <w:noProof/>
          <w:lang w:val="en-GB"/>
        </w:rPr>
        <w:t xml:space="preserve">assignment, security assignment or licence and </w:t>
      </w:r>
      <w:r w:rsidRPr="00DC1F02" w:rsidR="00AE3C2C">
        <w:rPr>
          <w:noProof/>
          <w:lang w:val="en-GB"/>
        </w:rPr>
        <w:t>(provided the mark is subsequently registered) create an entitlement</w:t>
      </w:r>
      <w:r w:rsidRPr="00DC1F02">
        <w:rPr>
          <w:noProof/>
          <w:lang w:val="en-GB"/>
        </w:rPr>
        <w:t xml:space="preserve"> to compensation in the event of fraudulent use by a third party.</w:t>
      </w:r>
    </w:p>
    <w:p w:rsidRPr="00DC1F02" w:rsidR="00A66D56" w:rsidP="00A66D56" w:rsidRDefault="00A66D56">
      <w:pPr>
        <w:pStyle w:val="JuParaChar"/>
        <w:rPr>
          <w:noProof/>
          <w:lang w:val="en-GB"/>
        </w:rPr>
      </w:pPr>
      <w:r w:rsidRPr="00DC1F02">
        <w:rPr>
          <w:lang w:val="en-GB"/>
        </w:rPr>
        <w:fldChar w:fldCharType="begin"/>
      </w:r>
      <w:r w:rsidRPr="00DC1F02">
        <w:rPr>
          <w:lang w:val="en-GB"/>
        </w:rPr>
        <w:instrText xml:space="preserve"> SEQ level0 \*arabic </w:instrText>
      </w:r>
      <w:r w:rsidRPr="00DC1F02">
        <w:rPr>
          <w:lang w:val="en-GB"/>
        </w:rPr>
        <w:fldChar w:fldCharType="separate"/>
      </w:r>
      <w:r w:rsidR="00CF6F43">
        <w:rPr>
          <w:noProof/>
          <w:lang w:val="en-GB"/>
        </w:rPr>
        <w:t>40</w:t>
      </w:r>
      <w:r w:rsidRPr="00DC1F02">
        <w:rPr>
          <w:lang w:val="en-GB"/>
        </w:rPr>
        <w:fldChar w:fldCharType="end"/>
      </w:r>
      <w:r w:rsidRPr="00DC1F02">
        <w:rPr>
          <w:noProof/>
          <w:lang w:val="en-GB"/>
        </w:rPr>
        <w:t xml:space="preserve">.  In most countries, registration is preceded by </w:t>
      </w:r>
      <w:r w:rsidRPr="00DC1F02" w:rsidR="00AE3C2C">
        <w:rPr>
          <w:noProof/>
          <w:lang w:val="en-GB"/>
        </w:rPr>
        <w:t xml:space="preserve">publication of notice of the application and </w:t>
      </w:r>
      <w:r w:rsidRPr="00DC1F02">
        <w:rPr>
          <w:noProof/>
          <w:lang w:val="en-GB"/>
        </w:rPr>
        <w:t xml:space="preserve">a procedure </w:t>
      </w:r>
      <w:r w:rsidRPr="00DC1F02" w:rsidR="00AE3C2C">
        <w:rPr>
          <w:noProof/>
          <w:lang w:val="en-GB"/>
        </w:rPr>
        <w:t>whereby interested parties can oppose registration</w:t>
      </w:r>
      <w:r w:rsidRPr="00DC1F02">
        <w:rPr>
          <w:noProof/>
          <w:lang w:val="en-GB"/>
        </w:rPr>
        <w:t xml:space="preserve"> in adversarial proceedings. </w:t>
      </w:r>
      <w:r w:rsidRPr="00DC1F02" w:rsidR="00AE3C2C">
        <w:rPr>
          <w:noProof/>
          <w:lang w:val="en-GB"/>
        </w:rPr>
        <w:t>However</w:t>
      </w:r>
      <w:r w:rsidRPr="00DC1F02">
        <w:rPr>
          <w:noProof/>
          <w:lang w:val="en-GB"/>
        </w:rPr>
        <w:t xml:space="preserve">, in some countries, </w:t>
      </w:r>
      <w:r w:rsidRPr="00DC1F02" w:rsidR="00AE3C2C">
        <w:rPr>
          <w:noProof/>
          <w:lang w:val="en-GB"/>
        </w:rPr>
        <w:t xml:space="preserve">registration is automatic if </w:t>
      </w:r>
      <w:r w:rsidRPr="00DC1F02">
        <w:rPr>
          <w:noProof/>
          <w:lang w:val="en-GB"/>
        </w:rPr>
        <w:t xml:space="preserve">the competent authority </w:t>
      </w:r>
      <w:r w:rsidRPr="00DC1F02" w:rsidR="00AE3C2C">
        <w:rPr>
          <w:noProof/>
          <w:lang w:val="en-GB"/>
        </w:rPr>
        <w:t xml:space="preserve">is satisfied that the application satisfies </w:t>
      </w:r>
      <w:r w:rsidRPr="00DC1F02">
        <w:rPr>
          <w:noProof/>
          <w:lang w:val="en-GB"/>
        </w:rPr>
        <w:t>the formal and su</w:t>
      </w:r>
      <w:r w:rsidRPr="00DC1F02" w:rsidR="00AE3C2C">
        <w:rPr>
          <w:noProof/>
          <w:lang w:val="en-GB"/>
        </w:rPr>
        <w:t xml:space="preserve">bstantive </w:t>
      </w:r>
      <w:r w:rsidRPr="00DC1F02">
        <w:rPr>
          <w:noProof/>
          <w:lang w:val="en-GB"/>
        </w:rPr>
        <w:t xml:space="preserve">requirements. In both cases, in accordance with the </w:t>
      </w:r>
      <w:r w:rsidRPr="00DC1F02" w:rsidR="00AE3C2C">
        <w:rPr>
          <w:noProof/>
          <w:lang w:val="en-GB"/>
        </w:rPr>
        <w:t xml:space="preserve">applicable </w:t>
      </w:r>
      <w:r w:rsidRPr="00DC1F02">
        <w:rPr>
          <w:noProof/>
          <w:lang w:val="en-GB"/>
        </w:rPr>
        <w:t xml:space="preserve">international rules, an action </w:t>
      </w:r>
      <w:r w:rsidRPr="00DC1F02" w:rsidR="00AE3C2C">
        <w:rPr>
          <w:noProof/>
          <w:lang w:val="en-GB"/>
        </w:rPr>
        <w:t xml:space="preserve">to have a </w:t>
      </w:r>
      <w:r w:rsidRPr="00DC1F02">
        <w:rPr>
          <w:noProof/>
          <w:lang w:val="en-GB"/>
        </w:rPr>
        <w:t xml:space="preserve">mark </w:t>
      </w:r>
      <w:r w:rsidRPr="00DC1F02" w:rsidR="00AE3C2C">
        <w:rPr>
          <w:noProof/>
          <w:lang w:val="en-GB"/>
        </w:rPr>
        <w:t>revoked or declared invalid</w:t>
      </w:r>
      <w:r w:rsidRPr="00DC1F02">
        <w:rPr>
          <w:noProof/>
          <w:lang w:val="en-GB"/>
        </w:rPr>
        <w:t xml:space="preserve"> may be brought within a set period. Such actions may be based on grounds </w:t>
      </w:r>
      <w:r w:rsidRPr="00DC1F02" w:rsidR="00AE3C2C">
        <w:rPr>
          <w:noProof/>
          <w:lang w:val="en-GB"/>
        </w:rPr>
        <w:t xml:space="preserve">such </w:t>
      </w:r>
      <w:r w:rsidRPr="00DC1F02">
        <w:rPr>
          <w:noProof/>
          <w:lang w:val="en-GB"/>
        </w:rPr>
        <w:t>as valid prior title, prior application, right to international priority or a failure to use the mark for a certain period.</w:t>
      </w:r>
    </w:p>
    <w:p w:rsidRPr="00DC1F02" w:rsidR="00A66D56" w:rsidP="00A66D56" w:rsidRDefault="0057622F">
      <w:pPr>
        <w:pStyle w:val="JuHA"/>
      </w:pPr>
      <w:r>
        <w:rPr>
          <w:noProof/>
        </w:rPr>
        <w:t>D.  </w:t>
      </w:r>
      <w:r w:rsidRPr="00DC1F02" w:rsidR="00A66D56">
        <w:rPr>
          <w:noProof/>
        </w:rPr>
        <w:t>Domestic law</w:t>
      </w:r>
    </w:p>
    <w:p w:rsidRPr="00DC1F02" w:rsidR="00A66D56" w:rsidP="00A66D56" w:rsidRDefault="00A66D56">
      <w:pPr>
        <w:pStyle w:val="JuPara"/>
      </w:pPr>
      <w:r w:rsidRPr="00DC1F02">
        <w:fldChar w:fldCharType="begin"/>
      </w:r>
      <w:r w:rsidRPr="00DC1F02">
        <w:instrText xml:space="preserve"> SEQ level0 \*arabic </w:instrText>
      </w:r>
      <w:r w:rsidRPr="00DC1F02">
        <w:fldChar w:fldCharType="separate"/>
      </w:r>
      <w:r w:rsidR="00CF6F43">
        <w:rPr>
          <w:noProof/>
        </w:rPr>
        <w:t>41</w:t>
      </w:r>
      <w:r w:rsidRPr="00DC1F02">
        <w:fldChar w:fldCharType="end"/>
      </w:r>
      <w:r w:rsidRPr="00DC1F02">
        <w:rPr>
          <w:noProof/>
        </w:rPr>
        <w:t xml:space="preserve">.  The substantive and procedural law of industrial property </w:t>
      </w:r>
      <w:r w:rsidRPr="00DC1F02" w:rsidR="00AE3C2C">
        <w:rPr>
          <w:noProof/>
        </w:rPr>
        <w:t xml:space="preserve">at the material time </w:t>
      </w:r>
      <w:r w:rsidRPr="00DC1F02">
        <w:rPr>
          <w:noProof/>
        </w:rPr>
        <w:t xml:space="preserve">was </w:t>
      </w:r>
      <w:r w:rsidRPr="00DC1F02" w:rsidR="00AE3C2C">
        <w:rPr>
          <w:noProof/>
        </w:rPr>
        <w:t>contained</w:t>
      </w:r>
      <w:r w:rsidRPr="00DC1F02">
        <w:rPr>
          <w:noProof/>
        </w:rPr>
        <w:t xml:space="preserve"> in two successive Codes of Industrial Property, the first </w:t>
      </w:r>
      <w:r w:rsidRPr="00DC1F02" w:rsidR="00AE3C2C">
        <w:rPr>
          <w:noProof/>
        </w:rPr>
        <w:t>introduced</w:t>
      </w:r>
      <w:r w:rsidRPr="00DC1F02">
        <w:rPr>
          <w:noProof/>
        </w:rPr>
        <w:t xml:space="preserve"> by </w:t>
      </w:r>
      <w:r w:rsidRPr="00DC1F02" w:rsidR="001D5F98">
        <w:rPr>
          <w:noProof/>
        </w:rPr>
        <w:t xml:space="preserve">Legislative-Decree </w:t>
      </w:r>
      <w:r w:rsidRPr="00DC1F02">
        <w:rPr>
          <w:noProof/>
        </w:rPr>
        <w:t xml:space="preserve">no. 30679 of 24 August 1940 and the second by </w:t>
      </w:r>
      <w:r w:rsidRPr="00DC1F02" w:rsidR="001D5F98">
        <w:rPr>
          <w:noProof/>
        </w:rPr>
        <w:t xml:space="preserve">Legislative-Decree </w:t>
      </w:r>
      <w:r w:rsidRPr="00DC1F02">
        <w:rPr>
          <w:noProof/>
        </w:rPr>
        <w:t>no. 16/95 of 24 January 1995.</w:t>
      </w:r>
      <w:r w:rsidRPr="00DC1F02">
        <w:t xml:space="preserve"> It was the</w:t>
      </w:r>
      <w:r w:rsidR="00772C1C">
        <w:t xml:space="preserve"> latter</w:t>
      </w:r>
      <w:r w:rsidRPr="00DC1F02" w:rsidR="00AE3C2C">
        <w:t xml:space="preserve"> </w:t>
      </w:r>
      <w:r w:rsidRPr="00DC1F02" w:rsidR="00B359C6">
        <w:t xml:space="preserve">Code </w:t>
      </w:r>
      <w:r w:rsidRPr="00DC1F02">
        <w:t xml:space="preserve">which the domestic courts </w:t>
      </w:r>
      <w:r w:rsidRPr="00DC1F02" w:rsidR="00772C1C">
        <w:t xml:space="preserve">applied </w:t>
      </w:r>
      <w:r w:rsidRPr="00DC1F02">
        <w:t>in the instant case.</w:t>
      </w:r>
    </w:p>
    <w:p w:rsidRPr="00DC1F02" w:rsidR="00A66D56" w:rsidP="00A66D56" w:rsidRDefault="00A66D56">
      <w:pPr>
        <w:pStyle w:val="JuPara"/>
      </w:pPr>
      <w:r w:rsidRPr="00DC1F02">
        <w:fldChar w:fldCharType="begin"/>
      </w:r>
      <w:r w:rsidRPr="00DC1F02">
        <w:instrText xml:space="preserve"> SEQ level0 \*arabic </w:instrText>
      </w:r>
      <w:r w:rsidRPr="00DC1F02">
        <w:fldChar w:fldCharType="separate"/>
      </w:r>
      <w:r w:rsidR="00CF6F43">
        <w:rPr>
          <w:noProof/>
        </w:rPr>
        <w:t>42</w:t>
      </w:r>
      <w:r w:rsidRPr="00DC1F02">
        <w:fldChar w:fldCharType="end"/>
      </w:r>
      <w:r w:rsidRPr="00DC1F02">
        <w:rPr>
          <w:noProof/>
        </w:rPr>
        <w:t xml:space="preserve">.  The </w:t>
      </w:r>
      <w:r w:rsidRPr="00DC1F02" w:rsidR="00467081">
        <w:rPr>
          <w:noProof/>
        </w:rPr>
        <w:t xml:space="preserve">1995 </w:t>
      </w:r>
      <w:r w:rsidRPr="00DC1F02">
        <w:rPr>
          <w:noProof/>
        </w:rPr>
        <w:t xml:space="preserve">Code </w:t>
      </w:r>
      <w:r w:rsidRPr="00DC1F02" w:rsidR="00B359C6">
        <w:rPr>
          <w:noProof/>
        </w:rPr>
        <w:t>provided a</w:t>
      </w:r>
      <w:r w:rsidRPr="00DC1F02">
        <w:rPr>
          <w:noProof/>
        </w:rPr>
        <w:t xml:space="preserve"> right of priority </w:t>
      </w:r>
      <w:r w:rsidRPr="00DC1F02" w:rsidR="00B359C6">
        <w:rPr>
          <w:noProof/>
        </w:rPr>
        <w:t xml:space="preserve">identical </w:t>
      </w:r>
      <w:r w:rsidRPr="00DC1F02" w:rsidR="00AE3C2C">
        <w:rPr>
          <w:noProof/>
        </w:rPr>
        <w:t>to</w:t>
      </w:r>
      <w:r w:rsidRPr="00DC1F02">
        <w:rPr>
          <w:noProof/>
        </w:rPr>
        <w:t xml:space="preserve"> th</w:t>
      </w:r>
      <w:r w:rsidRPr="00DC1F02" w:rsidR="00AE3C2C">
        <w:rPr>
          <w:noProof/>
        </w:rPr>
        <w:t>at</w:t>
      </w:r>
      <w:r w:rsidRPr="00DC1F02">
        <w:rPr>
          <w:noProof/>
        </w:rPr>
        <w:t xml:space="preserve"> set out in the Paris Convention (Article 170).</w:t>
      </w:r>
      <w:r w:rsidRPr="00DC1F02">
        <w:t xml:space="preserve"> Priority was determined by reference to the date the application for registration was filed </w:t>
      </w:r>
      <w:r w:rsidRPr="00DC1F02">
        <w:rPr>
          <w:noProof/>
        </w:rPr>
        <w:t>(Article 11).</w:t>
      </w:r>
      <w:r w:rsidRPr="00DC1F02">
        <w:t xml:space="preserve"> By virtue of Articles 29 and 30, </w:t>
      </w:r>
      <w:r w:rsidRPr="00DC1F02" w:rsidR="00AE3C2C">
        <w:t>the</w:t>
      </w:r>
      <w:r w:rsidRPr="00DC1F02">
        <w:t xml:space="preserve"> application for registration </w:t>
      </w:r>
      <w:r w:rsidRPr="00DC1F02" w:rsidR="00AE3C2C">
        <w:t xml:space="preserve">itself </w:t>
      </w:r>
      <w:r w:rsidRPr="00DC1F02">
        <w:t xml:space="preserve">could be the subject of </w:t>
      </w:r>
      <w:r w:rsidRPr="00DC1F02" w:rsidR="00AE3C2C">
        <w:t xml:space="preserve">an </w:t>
      </w:r>
      <w:r w:rsidRPr="00DC1F02">
        <w:t>assignment, with or without consideration, or a licence.</w:t>
      </w:r>
    </w:p>
    <w:p w:rsidRPr="00DC1F02" w:rsidR="005D4E23" w:rsidP="00467081" w:rsidRDefault="00467081">
      <w:pPr>
        <w:pStyle w:val="JuPara"/>
      </w:pPr>
      <w:r w:rsidRPr="00DC1F02">
        <w:fldChar w:fldCharType="begin"/>
      </w:r>
      <w:r w:rsidRPr="00DC1F02">
        <w:instrText xml:space="preserve"> SEQ level0 \*arabic </w:instrText>
      </w:r>
      <w:r w:rsidRPr="00DC1F02">
        <w:fldChar w:fldCharType="separate"/>
      </w:r>
      <w:r w:rsidR="00CF6F43">
        <w:rPr>
          <w:noProof/>
        </w:rPr>
        <w:t>43</w:t>
      </w:r>
      <w:r w:rsidRPr="00DC1F02">
        <w:fldChar w:fldCharType="end"/>
      </w:r>
      <w:r w:rsidRPr="00DC1F02">
        <w:t>.  </w:t>
      </w:r>
      <w:r w:rsidRPr="00DC1F02" w:rsidR="005D4E23">
        <w:t xml:space="preserve">The other provisions of the Code of relevance to </w:t>
      </w:r>
      <w:r w:rsidR="002C5328">
        <w:t>th</w:t>
      </w:r>
      <w:r w:rsidR="0057622F">
        <w:t>e present case read as follows.</w:t>
      </w:r>
    </w:p>
    <w:p w:rsidRPr="00DC1F02" w:rsidR="00467081" w:rsidP="00467081" w:rsidRDefault="00467081">
      <w:pPr>
        <w:pStyle w:val="JuHArticle"/>
      </w:pPr>
      <w:r w:rsidRPr="00DC1F02">
        <w:t>Article 7</w:t>
      </w:r>
    </w:p>
    <w:p w:rsidRPr="00DC1F02" w:rsidR="00BD2F63" w:rsidP="00467081" w:rsidRDefault="00467081">
      <w:pPr>
        <w:pStyle w:val="JuQuot"/>
      </w:pPr>
      <w:r w:rsidRPr="00DC1F02">
        <w:t>“1.  </w:t>
      </w:r>
      <w:r w:rsidRPr="00DC1F02" w:rsidR="00654C70">
        <w:t>The</w:t>
      </w:r>
      <w:r w:rsidRPr="00DC1F02" w:rsidR="00BD2F63">
        <w:t xml:space="preserve"> certificate of re</w:t>
      </w:r>
      <w:r w:rsidRPr="00DC1F02" w:rsidR="00C87A61">
        <w:t>gistration</w:t>
      </w:r>
      <w:r w:rsidRPr="00DC1F02" w:rsidR="00BD2F63">
        <w:t xml:space="preserve"> shall be </w:t>
      </w:r>
      <w:r w:rsidRPr="00DC1F02" w:rsidR="00B359C6">
        <w:t>issu</w:t>
      </w:r>
      <w:r w:rsidRPr="00DC1F02" w:rsidR="00BD2F63">
        <w:t>ed to the interested part</w:t>
      </w:r>
      <w:r w:rsidRPr="00DC1F02" w:rsidR="00654C70">
        <w:t>y</w:t>
      </w:r>
      <w:r w:rsidRPr="00DC1F02" w:rsidR="00BD2F63">
        <w:t xml:space="preserve"> one month after the time-limit for appealing has expired or, if an appeal has been lodged, once the final judicial decision has been delivered.</w:t>
      </w:r>
    </w:p>
    <w:p w:rsidRPr="00DC1F02" w:rsidR="00467081" w:rsidP="00467081" w:rsidRDefault="00467081">
      <w:pPr>
        <w:pStyle w:val="JuQuot"/>
      </w:pPr>
      <w:r w:rsidRPr="00DC1F02">
        <w:t>2.  </w:t>
      </w:r>
      <w:r w:rsidRPr="00DC1F02" w:rsidR="00BD2F63">
        <w:t xml:space="preserve">The certificate shall be </w:t>
      </w:r>
      <w:r w:rsidRPr="00DC1F02" w:rsidR="00B359C6">
        <w:t xml:space="preserve">issued </w:t>
      </w:r>
      <w:r w:rsidRPr="00DC1F02" w:rsidR="00BD2F63">
        <w:t>to the holder or to his or her representative upon presentation of a receip</w:t>
      </w:r>
      <w:r w:rsidRPr="00DC1F02" w:rsidR="003B1C76">
        <w:t>t</w:t>
      </w:r>
      <w:r w:rsidRPr="00DC1F02">
        <w:t>.”</w:t>
      </w:r>
    </w:p>
    <w:p w:rsidRPr="00DC1F02" w:rsidR="00467081" w:rsidP="00467081" w:rsidRDefault="00467081">
      <w:pPr>
        <w:pStyle w:val="JuHArticle"/>
      </w:pPr>
      <w:r w:rsidRPr="00DC1F02">
        <w:t>Article 38</w:t>
      </w:r>
    </w:p>
    <w:p w:rsidRPr="00DC1F02" w:rsidR="00467081" w:rsidP="00467081" w:rsidRDefault="00467081">
      <w:pPr>
        <w:pStyle w:val="JuQuot"/>
      </w:pPr>
      <w:r w:rsidRPr="00DC1F02">
        <w:t>“</w:t>
      </w:r>
      <w:r w:rsidRPr="00DC1F02" w:rsidR="00B359C6">
        <w:t>An appeal against a decision of the National Institute of Industrial Property may be lodged by</w:t>
      </w:r>
      <w:r w:rsidRPr="00DC1F02" w:rsidR="0069419B">
        <w:t xml:space="preserve"> </w:t>
      </w:r>
      <w:r w:rsidRPr="00DC1F02" w:rsidR="0001289C">
        <w:t xml:space="preserve">the applicant, a person who has </w:t>
      </w:r>
      <w:r w:rsidRPr="00DC1F02" w:rsidR="00B359C6">
        <w:t>filed</w:t>
      </w:r>
      <w:r w:rsidRPr="00DC1F02" w:rsidR="0001289C">
        <w:t xml:space="preserve"> an opposition </w:t>
      </w:r>
      <w:r w:rsidRPr="00DC1F02" w:rsidR="00B359C6">
        <w:t>or</w:t>
      </w:r>
      <w:r w:rsidRPr="00DC1F02" w:rsidR="0001289C">
        <w:t xml:space="preserve"> any other person who might be directly affected by the decision</w:t>
      </w:r>
      <w:r w:rsidRPr="00DC1F02">
        <w:t>.”</w:t>
      </w:r>
    </w:p>
    <w:p w:rsidRPr="00DC1F02" w:rsidR="00467081" w:rsidP="00467081" w:rsidRDefault="00467081">
      <w:pPr>
        <w:pStyle w:val="JuHArticle"/>
      </w:pPr>
      <w:r w:rsidRPr="00DC1F02">
        <w:t>Article 39</w:t>
      </w:r>
    </w:p>
    <w:p w:rsidRPr="00DC1F02" w:rsidR="00467081" w:rsidP="00467081" w:rsidRDefault="00467081">
      <w:pPr>
        <w:pStyle w:val="JuQuot"/>
      </w:pPr>
      <w:r w:rsidRPr="00DC1F02">
        <w:t>“</w:t>
      </w:r>
      <w:r w:rsidRPr="00DC1F02" w:rsidR="00C810FF">
        <w:t xml:space="preserve">Appeals </w:t>
      </w:r>
      <w:r w:rsidRPr="00DC1F02" w:rsidR="00717E34">
        <w:t>must be l</w:t>
      </w:r>
      <w:r w:rsidRPr="00DC1F02" w:rsidR="00C40584">
        <w:t>odg</w:t>
      </w:r>
      <w:r w:rsidRPr="00DC1F02" w:rsidR="00717E34">
        <w:t>ed within three months after the date of publication of the decision in the Industrial Property Bulletin or</w:t>
      </w:r>
      <w:r w:rsidRPr="00DC1F02" w:rsidR="00C810FF">
        <w:t>,</w:t>
      </w:r>
      <w:r w:rsidRPr="00DC1F02" w:rsidR="00717E34">
        <w:t xml:space="preserve"> </w:t>
      </w:r>
      <w:r w:rsidRPr="00DC1F02" w:rsidR="00C810FF">
        <w:t xml:space="preserve">if earlier, </w:t>
      </w:r>
      <w:r w:rsidRPr="00DC1F02" w:rsidR="00717E34">
        <w:t>the date a certified conform</w:t>
      </w:r>
      <w:r w:rsidR="0057622F">
        <w:t>ed</w:t>
      </w:r>
      <w:r w:rsidRPr="00DC1F02" w:rsidR="00717E34">
        <w:t xml:space="preserve"> copy of the decision </w:t>
      </w:r>
      <w:r w:rsidRPr="00DC1F02" w:rsidR="00B359C6">
        <w:t>i</w:t>
      </w:r>
      <w:r w:rsidRPr="00DC1F02" w:rsidR="00717E34">
        <w:t>s obtained</w:t>
      </w:r>
      <w:r w:rsidRPr="00DC1F02">
        <w:t>.”</w:t>
      </w:r>
    </w:p>
    <w:p w:rsidRPr="00DC1F02" w:rsidR="00467081" w:rsidP="00467081" w:rsidRDefault="00467081">
      <w:pPr>
        <w:pStyle w:val="JuHArticle"/>
      </w:pPr>
      <w:r w:rsidRPr="00DC1F02">
        <w:t>Article 189</w:t>
      </w:r>
    </w:p>
    <w:p w:rsidRPr="00DC1F02" w:rsidR="00C40584" w:rsidP="00467081" w:rsidRDefault="00467081">
      <w:pPr>
        <w:pStyle w:val="JuQuot"/>
      </w:pPr>
      <w:r w:rsidRPr="00DC1F02">
        <w:t>“1.  </w:t>
      </w:r>
      <w:r w:rsidRPr="00DC1F02" w:rsidR="00C40584">
        <w:t xml:space="preserve">Registration shall also be refused of a mark </w:t>
      </w:r>
      <w:r w:rsidRPr="00DC1F02" w:rsidR="00E71F84">
        <w:t>...</w:t>
      </w:r>
      <w:r w:rsidRPr="00DC1F02">
        <w:t xml:space="preserve"> </w:t>
      </w:r>
      <w:r w:rsidRPr="00DC1F02" w:rsidR="00C40584">
        <w:t>contain</w:t>
      </w:r>
      <w:r w:rsidRPr="00DC1F02" w:rsidR="00C810FF">
        <w:t>ing</w:t>
      </w:r>
      <w:r w:rsidRPr="00DC1F02" w:rsidR="00C40584">
        <w:t xml:space="preserve"> one or all of the following:</w:t>
      </w:r>
    </w:p>
    <w:p w:rsidRPr="00DC1F02" w:rsidR="00467081" w:rsidP="00467081" w:rsidRDefault="00E71F84">
      <w:pPr>
        <w:pStyle w:val="JuQuot"/>
      </w:pPr>
      <w:r w:rsidRPr="00DC1F02">
        <w:t>...</w:t>
      </w:r>
    </w:p>
    <w:p w:rsidRPr="00DC1F02" w:rsidR="00467081" w:rsidP="00467081" w:rsidRDefault="00467081">
      <w:pPr>
        <w:pStyle w:val="JuQuot"/>
      </w:pPr>
      <w:r w:rsidRPr="00DC1F02">
        <w:t>(j)  </w:t>
      </w:r>
      <w:r w:rsidRPr="00DC1F02" w:rsidR="00C40584">
        <w:t xml:space="preserve">expressions </w:t>
      </w:r>
      <w:r w:rsidRPr="00DC1F02" w:rsidR="00C810FF">
        <w:t>or</w:t>
      </w:r>
      <w:r w:rsidRPr="00DC1F02" w:rsidR="00C40584">
        <w:t xml:space="preserve"> forms that are contrary to morals, domestic or Community legislation</w:t>
      </w:r>
      <w:r w:rsidRPr="00DC1F02" w:rsidR="00B359C6">
        <w:t>,</w:t>
      </w:r>
      <w:r w:rsidRPr="00DC1F02" w:rsidR="00C40584">
        <w:t xml:space="preserve"> or public order</w:t>
      </w:r>
      <w:r w:rsidRPr="00DC1F02">
        <w:t>;</w:t>
      </w:r>
    </w:p>
    <w:p w:rsidRPr="00DC1F02" w:rsidR="00467081" w:rsidP="00467081" w:rsidRDefault="00467081">
      <w:pPr>
        <w:pStyle w:val="JuQuot"/>
      </w:pPr>
      <w:r w:rsidRPr="00DC1F02">
        <w:t>(l)  </w:t>
      </w:r>
      <w:r w:rsidRPr="00DC1F02" w:rsidR="00C810FF">
        <w:t>signs</w:t>
      </w:r>
      <w:r w:rsidRPr="00DC1F02" w:rsidR="00C40584">
        <w:t xml:space="preserve"> liable to mislead the public, in particular as </w:t>
      </w:r>
      <w:r w:rsidRPr="00DC1F02" w:rsidR="00C810FF">
        <w:t>to</w:t>
      </w:r>
      <w:r w:rsidRPr="00DC1F02" w:rsidR="00C40584">
        <w:t xml:space="preserve"> the nature, quality, use or geographical source of the product or service to which the mark relate</w:t>
      </w:r>
      <w:r w:rsidRPr="00DC1F02" w:rsidR="00C810FF">
        <w:t>s</w:t>
      </w:r>
      <w:r w:rsidRPr="00DC1F02">
        <w:t>;</w:t>
      </w:r>
    </w:p>
    <w:p w:rsidRPr="00DC1F02" w:rsidR="00467081" w:rsidP="00467081" w:rsidRDefault="00E71F84">
      <w:pPr>
        <w:pStyle w:val="JuQuot"/>
      </w:pPr>
      <w:r w:rsidRPr="00DC1F02">
        <w:t>...</w:t>
      </w:r>
      <w:r w:rsidRPr="00DC1F02" w:rsidR="00467081">
        <w:t>”</w:t>
      </w:r>
    </w:p>
    <w:p w:rsidRPr="00DC1F02" w:rsidR="00A66D56" w:rsidP="00A66D56" w:rsidRDefault="00A67EBC">
      <w:pPr>
        <w:pStyle w:val="JuPara"/>
      </w:pPr>
      <w:r w:rsidRPr="00DC1F02">
        <w:rPr>
          <w:noProof/>
        </w:rPr>
        <w:fldChar w:fldCharType="begin"/>
      </w:r>
      <w:r w:rsidRPr="00DC1F02">
        <w:rPr>
          <w:noProof/>
        </w:rPr>
        <w:instrText xml:space="preserve"> SEQ level0 \*arabic </w:instrText>
      </w:r>
      <w:r w:rsidRPr="00DC1F02">
        <w:rPr>
          <w:noProof/>
        </w:rPr>
        <w:fldChar w:fldCharType="separate"/>
      </w:r>
      <w:r w:rsidR="00CF6F43">
        <w:rPr>
          <w:noProof/>
        </w:rPr>
        <w:t>44</w:t>
      </w:r>
      <w:r w:rsidRPr="00DC1F02">
        <w:rPr>
          <w:noProof/>
        </w:rPr>
        <w:fldChar w:fldCharType="end"/>
      </w:r>
      <w:r w:rsidRPr="00DC1F02">
        <w:rPr>
          <w:noProof/>
        </w:rPr>
        <w:t>.  Appeals against a decision by the NIIP to register a mark h</w:t>
      </w:r>
      <w:r w:rsidRPr="00DC1F02" w:rsidR="00A66D56">
        <w:t>ad to be lod</w:t>
      </w:r>
      <w:r w:rsidRPr="00DC1F02">
        <w:t xml:space="preserve">ged with the </w:t>
      </w:r>
      <w:smartTag w:uri="urn:schemas-microsoft-com:office:smarttags" w:element="Street">
        <w:smartTag w:uri="urn:schemas-microsoft-com:office:smarttags" w:element="address">
          <w:r w:rsidRPr="00DC1F02">
            <w:t>Lisbon Civil Court</w:t>
          </w:r>
        </w:smartTag>
      </w:smartTag>
      <w:r w:rsidR="0057622F">
        <w:t xml:space="preserve"> (Article 2 of Legislative-Decree no. 16/95)</w:t>
      </w:r>
      <w:r w:rsidRPr="00DC1F02" w:rsidR="00A66D56">
        <w:rPr>
          <w:noProof/>
        </w:rPr>
        <w:t>.</w:t>
      </w:r>
      <w:r w:rsidRPr="00DC1F02" w:rsidR="00A66D56">
        <w:t xml:space="preserve"> The Code did not </w:t>
      </w:r>
      <w:r w:rsidR="001930C6">
        <w:t>indicate</w:t>
      </w:r>
      <w:r w:rsidRPr="00DC1F02" w:rsidR="00A66D56">
        <w:t xml:space="preserve"> whether </w:t>
      </w:r>
      <w:r w:rsidRPr="00DC1F02" w:rsidR="00A27654">
        <w:t>they</w:t>
      </w:r>
      <w:r w:rsidRPr="00DC1F02" w:rsidR="00A66D56">
        <w:t xml:space="preserve"> had </w:t>
      </w:r>
      <w:proofErr w:type="spellStart"/>
      <w:r w:rsidRPr="00DC1F02" w:rsidR="00A66D56">
        <w:t>suspens</w:t>
      </w:r>
      <w:r w:rsidRPr="00DC1F02" w:rsidR="00AE3C2C">
        <w:t>ive</w:t>
      </w:r>
      <w:proofErr w:type="spellEnd"/>
      <w:r w:rsidRPr="00DC1F02" w:rsidR="00A66D56">
        <w:t xml:space="preserve"> effect.</w:t>
      </w:r>
    </w:p>
    <w:p w:rsidRPr="00DC1F02" w:rsidR="00A66D56" w:rsidP="00A66D56" w:rsidRDefault="00A66D56">
      <w:pPr>
        <w:pStyle w:val="JuPara"/>
        <w:rPr>
          <w:noProof/>
        </w:rPr>
      </w:pPr>
      <w:r w:rsidRPr="00DC1F02">
        <w:fldChar w:fldCharType="begin"/>
      </w:r>
      <w:r w:rsidRPr="00DC1F02">
        <w:instrText xml:space="preserve"> SEQ level0 \*arabic </w:instrText>
      </w:r>
      <w:r w:rsidRPr="00DC1F02">
        <w:fldChar w:fldCharType="separate"/>
      </w:r>
      <w:r w:rsidR="00CF6F43">
        <w:rPr>
          <w:noProof/>
        </w:rPr>
        <w:t>45</w:t>
      </w:r>
      <w:r w:rsidRPr="00DC1F02">
        <w:fldChar w:fldCharType="end"/>
      </w:r>
      <w:r w:rsidRPr="00DC1F02">
        <w:rPr>
          <w:noProof/>
        </w:rPr>
        <w:t xml:space="preserve">.  In </w:t>
      </w:r>
      <w:r w:rsidRPr="00DC1F02" w:rsidR="00AE3C2C">
        <w:rPr>
          <w:noProof/>
        </w:rPr>
        <w:t>a</w:t>
      </w:r>
      <w:r w:rsidRPr="00DC1F02">
        <w:rPr>
          <w:noProof/>
        </w:rPr>
        <w:t xml:space="preserve"> judgment of 10 May 2001 (</w:t>
      </w:r>
      <w:r w:rsidRPr="00DC1F02">
        <w:rPr>
          <w:i/>
          <w:iCs/>
          <w:noProof/>
        </w:rPr>
        <w:t>Colectânea de Jurisprudência</w:t>
      </w:r>
      <w:r w:rsidRPr="00DC1F02" w:rsidR="009D1636">
        <w:rPr>
          <w:iCs/>
          <w:noProof/>
        </w:rPr>
        <w:t xml:space="preserve"> [Case-law </w:t>
      </w:r>
      <w:r w:rsidR="001930C6">
        <w:rPr>
          <w:iCs/>
          <w:noProof/>
        </w:rPr>
        <w:t>c</w:t>
      </w:r>
      <w:r w:rsidRPr="00DC1F02" w:rsidR="009D1636">
        <w:rPr>
          <w:iCs/>
          <w:noProof/>
        </w:rPr>
        <w:t>ollection]</w:t>
      </w:r>
      <w:r w:rsidRPr="0057622F" w:rsidR="009D1636">
        <w:rPr>
          <w:iCs/>
          <w:noProof/>
        </w:rPr>
        <w:t>,</w:t>
      </w:r>
      <w:r w:rsidRPr="00DC1F02" w:rsidR="009D1636">
        <w:rPr>
          <w:i/>
          <w:iCs/>
          <w:noProof/>
        </w:rPr>
        <w:t xml:space="preserve"> </w:t>
      </w:r>
      <w:r w:rsidRPr="00DC1F02">
        <w:rPr>
          <w:iCs/>
          <w:noProof/>
        </w:rPr>
        <w:t>2001, vol. III, p. 85</w:t>
      </w:r>
      <w:r w:rsidRPr="00DC1F02">
        <w:rPr>
          <w:noProof/>
        </w:rPr>
        <w:t>), the Lisbon Court of Appeal held that the mere filing of an application for registration conferred on the applicant a “legal expectation” (</w:t>
      </w:r>
      <w:r w:rsidRPr="00DC1F02">
        <w:rPr>
          <w:i/>
          <w:iCs/>
          <w:noProof/>
        </w:rPr>
        <w:t>expectativa jurídica</w:t>
      </w:r>
      <w:r w:rsidRPr="00DC1F02">
        <w:rPr>
          <w:noProof/>
        </w:rPr>
        <w:t xml:space="preserve">) that </w:t>
      </w:r>
      <w:r w:rsidR="001930C6">
        <w:rPr>
          <w:noProof/>
        </w:rPr>
        <w:t>justifi</w:t>
      </w:r>
      <w:r w:rsidRPr="00DC1F02">
        <w:rPr>
          <w:noProof/>
        </w:rPr>
        <w:t xml:space="preserve">ed </w:t>
      </w:r>
      <w:r w:rsidRPr="00DC1F02" w:rsidR="00AE3C2C">
        <w:rPr>
          <w:noProof/>
        </w:rPr>
        <w:t>the</w:t>
      </w:r>
      <w:r w:rsidRPr="00DC1F02">
        <w:rPr>
          <w:noProof/>
        </w:rPr>
        <w:t xml:space="preserve"> protectio</w:t>
      </w:r>
      <w:r w:rsidR="0057622F">
        <w:rPr>
          <w:noProof/>
        </w:rPr>
        <w:t>n of the law. Article 5 of the n</w:t>
      </w:r>
      <w:r w:rsidRPr="00DC1F02">
        <w:rPr>
          <w:noProof/>
        </w:rPr>
        <w:t xml:space="preserve">ew Code of Industrial Property, which was </w:t>
      </w:r>
      <w:r w:rsidRPr="00DC1F02" w:rsidR="00AE3C2C">
        <w:rPr>
          <w:noProof/>
        </w:rPr>
        <w:t>introduced</w:t>
      </w:r>
      <w:r w:rsidRPr="00DC1F02">
        <w:rPr>
          <w:noProof/>
        </w:rPr>
        <w:t xml:space="preserve"> by </w:t>
      </w:r>
      <w:r w:rsidRPr="00DC1F02" w:rsidR="00A27654">
        <w:rPr>
          <w:noProof/>
        </w:rPr>
        <w:t xml:space="preserve">Legislative-Decree </w:t>
      </w:r>
      <w:r w:rsidRPr="00DC1F02">
        <w:rPr>
          <w:noProof/>
        </w:rPr>
        <w:t>n</w:t>
      </w:r>
      <w:r w:rsidRPr="00DC1F02" w:rsidR="00E20B61">
        <w:rPr>
          <w:noProof/>
        </w:rPr>
        <w:t xml:space="preserve">o. </w:t>
      </w:r>
      <w:r w:rsidRPr="00DC1F02">
        <w:rPr>
          <w:noProof/>
        </w:rPr>
        <w:t xml:space="preserve">36/2003 of 5 March 2003 and came into force on 1 July 2003, provides “provisional protection” of the mark even prior to registration and </w:t>
      </w:r>
      <w:r w:rsidRPr="00DC1F02" w:rsidR="001930C6">
        <w:rPr>
          <w:noProof/>
        </w:rPr>
        <w:t>entitle</w:t>
      </w:r>
      <w:r w:rsidR="001930C6">
        <w:rPr>
          <w:noProof/>
        </w:rPr>
        <w:t>s</w:t>
      </w:r>
      <w:r w:rsidRPr="00DC1F02" w:rsidR="001930C6">
        <w:rPr>
          <w:noProof/>
        </w:rPr>
        <w:t xml:space="preserve"> </w:t>
      </w:r>
      <w:r w:rsidRPr="00DC1F02">
        <w:rPr>
          <w:noProof/>
        </w:rPr>
        <w:t xml:space="preserve">the applicant to bring an action in damages on the basis </w:t>
      </w:r>
      <w:r w:rsidRPr="00DC1F02" w:rsidR="00A27654">
        <w:rPr>
          <w:noProof/>
        </w:rPr>
        <w:t>there</w:t>
      </w:r>
      <w:r w:rsidRPr="00DC1F02">
        <w:rPr>
          <w:noProof/>
        </w:rPr>
        <w:t>of.</w:t>
      </w:r>
    </w:p>
    <w:p w:rsidRPr="00DC1F02" w:rsidR="00A66D56" w:rsidP="00A66D56" w:rsidRDefault="00A66D56">
      <w:pPr>
        <w:pStyle w:val="JuHHead"/>
      </w:pPr>
      <w:r w:rsidRPr="00DC1F02">
        <w:rPr>
          <w:noProof/>
        </w:rPr>
        <w:t>THE LAW</w:t>
      </w:r>
    </w:p>
    <w:p w:rsidR="00627C6A" w:rsidP="00A66D56" w:rsidRDefault="00A66D56">
      <w:pPr>
        <w:pStyle w:val="JuHIRoman"/>
        <w:tabs>
          <w:tab w:val="clear" w:pos="357"/>
          <w:tab w:val="left" w:pos="284"/>
        </w:tabs>
        <w:ind w:left="284" w:hanging="284"/>
        <w:rPr>
          <w:noProof/>
        </w:rPr>
      </w:pPr>
      <w:r w:rsidRPr="00DC1F02">
        <w:rPr>
          <w:noProof/>
        </w:rPr>
        <w:t xml:space="preserve">ALLEGED VIOLATION OF ARTICLE 1 OF PROTOCOL </w:t>
      </w:r>
      <w:r w:rsidR="009D0F48">
        <w:rPr>
          <w:noProof/>
        </w:rPr>
        <w:t>No</w:t>
      </w:r>
      <w:r w:rsidRPr="00DC1F02">
        <w:rPr>
          <w:noProof/>
        </w:rPr>
        <w:t>. 1</w:t>
      </w:r>
    </w:p>
    <w:p w:rsidRPr="00DC1F02" w:rsidR="00A66D56" w:rsidP="00A66D56" w:rsidRDefault="00A66D56">
      <w:pPr>
        <w:pStyle w:val="JuPara"/>
        <w:rPr>
          <w:noProof/>
        </w:rPr>
      </w:pPr>
      <w:r w:rsidRPr="00DC1F02">
        <w:fldChar w:fldCharType="begin"/>
      </w:r>
      <w:r w:rsidRPr="00DC1F02">
        <w:instrText xml:space="preserve"> SEQ level0 \*arabic </w:instrText>
      </w:r>
      <w:r w:rsidRPr="00DC1F02">
        <w:fldChar w:fldCharType="separate"/>
      </w:r>
      <w:r w:rsidR="00CF6F43">
        <w:rPr>
          <w:noProof/>
        </w:rPr>
        <w:t>46</w:t>
      </w:r>
      <w:r w:rsidRPr="00DC1F02">
        <w:fldChar w:fldCharType="end"/>
      </w:r>
      <w:r w:rsidRPr="00DC1F02">
        <w:rPr>
          <w:noProof/>
        </w:rPr>
        <w:t>.  The applicant company complained of an infringement of its right to the peaceful enjoyment of its possessions.</w:t>
      </w:r>
      <w:r w:rsidRPr="00DC1F02">
        <w:t xml:space="preserve"> </w:t>
      </w:r>
      <w:r w:rsidRPr="00DC1F02" w:rsidR="00690681">
        <w:t>Not</w:t>
      </w:r>
      <w:r w:rsidR="00690681">
        <w:t>ing</w:t>
      </w:r>
      <w:r w:rsidRPr="00DC1F02" w:rsidR="00690681">
        <w:t xml:space="preserve"> </w:t>
      </w:r>
      <w:r w:rsidRPr="00DC1F02">
        <w:t>that</w:t>
      </w:r>
      <w:r w:rsidRPr="00DC1F02">
        <w:rPr>
          <w:noProof/>
        </w:rPr>
        <w:t xml:space="preserve"> a trade mark constituted</w:t>
      </w:r>
      <w:r w:rsidR="0057622F">
        <w:rPr>
          <w:noProof/>
        </w:rPr>
        <w:t xml:space="preserve"> a “possession</w:t>
      </w:r>
      <w:r w:rsidRPr="00DC1F02">
        <w:rPr>
          <w:noProof/>
        </w:rPr>
        <w:t>” within the meani</w:t>
      </w:r>
      <w:r w:rsidR="00E021AF">
        <w:rPr>
          <w:noProof/>
        </w:rPr>
        <w:t>ng of Article 1 of Protocol No. </w:t>
      </w:r>
      <w:r w:rsidRPr="00DC1F02">
        <w:rPr>
          <w:noProof/>
        </w:rPr>
        <w:t>1</w:t>
      </w:r>
      <w:r w:rsidR="00690681">
        <w:rPr>
          <w:noProof/>
        </w:rPr>
        <w:t>, it said that</w:t>
      </w:r>
      <w:r w:rsidRPr="00DC1F02">
        <w:rPr>
          <w:noProof/>
        </w:rPr>
        <w:t xml:space="preserve"> it had been deprived of that possession by the application of a bilateral treaty that had </w:t>
      </w:r>
      <w:r w:rsidR="00E107C0">
        <w:rPr>
          <w:noProof/>
        </w:rPr>
        <w:t>come into force</w:t>
      </w:r>
      <w:r w:rsidRPr="00DC1F02">
        <w:rPr>
          <w:noProof/>
        </w:rPr>
        <w:t xml:space="preserve"> after it had </w:t>
      </w:r>
      <w:r w:rsidRPr="00DC1F02" w:rsidR="00427E39">
        <w:rPr>
          <w:noProof/>
        </w:rPr>
        <w:t xml:space="preserve">filed its </w:t>
      </w:r>
      <w:r w:rsidRPr="00DC1F02">
        <w:rPr>
          <w:noProof/>
        </w:rPr>
        <w:t>appli</w:t>
      </w:r>
      <w:r w:rsidRPr="00DC1F02" w:rsidR="00427E39">
        <w:rPr>
          <w:noProof/>
        </w:rPr>
        <w:t>cation</w:t>
      </w:r>
      <w:r w:rsidRPr="00DC1F02">
        <w:rPr>
          <w:noProof/>
        </w:rPr>
        <w:t xml:space="preserve"> to register </w:t>
      </w:r>
      <w:r w:rsidRPr="00DC1F02" w:rsidR="00AE4833">
        <w:rPr>
          <w:noProof/>
        </w:rPr>
        <w:t>the</w:t>
      </w:r>
      <w:r w:rsidRPr="00DC1F02">
        <w:rPr>
          <w:noProof/>
        </w:rPr>
        <w:t xml:space="preserve"> mark. I</w:t>
      </w:r>
      <w:r w:rsidRPr="00DC1F02" w:rsidR="00427E39">
        <w:rPr>
          <w:noProof/>
        </w:rPr>
        <w:t xml:space="preserve">t argued that </w:t>
      </w:r>
      <w:r w:rsidRPr="00DC1F02">
        <w:rPr>
          <w:noProof/>
        </w:rPr>
        <w:t>the Supreme Court</w:t>
      </w:r>
      <w:r w:rsidR="008B5D8B">
        <w:rPr>
          <w:noProof/>
        </w:rPr>
        <w:t>’</w:t>
      </w:r>
      <w:r w:rsidRPr="00DC1F02">
        <w:rPr>
          <w:noProof/>
        </w:rPr>
        <w:t>s decision had to be regarded as an expropriation</w:t>
      </w:r>
      <w:r w:rsidRPr="00DC1F02" w:rsidR="00427E39">
        <w:rPr>
          <w:noProof/>
        </w:rPr>
        <w:t xml:space="preserve"> (as</w:t>
      </w:r>
      <w:r w:rsidRPr="00DC1F02">
        <w:rPr>
          <w:noProof/>
        </w:rPr>
        <w:t xml:space="preserve"> it </w:t>
      </w:r>
      <w:r w:rsidRPr="00DC1F02" w:rsidR="00AE4833">
        <w:rPr>
          <w:noProof/>
        </w:rPr>
        <w:t xml:space="preserve">had </w:t>
      </w:r>
      <w:r w:rsidRPr="00DC1F02">
        <w:rPr>
          <w:noProof/>
        </w:rPr>
        <w:t xml:space="preserve">prevented </w:t>
      </w:r>
      <w:r w:rsidRPr="00DC1F02" w:rsidR="00427E39">
        <w:rPr>
          <w:noProof/>
        </w:rPr>
        <w:t>the applicant company</w:t>
      </w:r>
      <w:r w:rsidRPr="00DC1F02">
        <w:rPr>
          <w:noProof/>
        </w:rPr>
        <w:t xml:space="preserve"> from </w:t>
      </w:r>
      <w:r w:rsidRPr="00DC1F02" w:rsidR="00427E39">
        <w:rPr>
          <w:noProof/>
        </w:rPr>
        <w:t>enjoy</w:t>
      </w:r>
      <w:r w:rsidRPr="00DC1F02">
        <w:rPr>
          <w:noProof/>
        </w:rPr>
        <w:t>ing the protection of its intellectual property right</w:t>
      </w:r>
      <w:r w:rsidRPr="00DC1F02" w:rsidR="00427E39">
        <w:rPr>
          <w:noProof/>
        </w:rPr>
        <w:t xml:space="preserve">), but </w:t>
      </w:r>
      <w:r w:rsidR="00E107C0">
        <w:rPr>
          <w:noProof/>
        </w:rPr>
        <w:t>had</w:t>
      </w:r>
      <w:r w:rsidRPr="00DC1F02" w:rsidR="00427E39">
        <w:rPr>
          <w:noProof/>
        </w:rPr>
        <w:t xml:space="preserve"> not </w:t>
      </w:r>
      <w:r w:rsidR="00E107C0">
        <w:rPr>
          <w:noProof/>
        </w:rPr>
        <w:t xml:space="preserve">been </w:t>
      </w:r>
      <w:r w:rsidRPr="00DC1F02" w:rsidR="00427E39">
        <w:rPr>
          <w:noProof/>
        </w:rPr>
        <w:t>effected in the general</w:t>
      </w:r>
      <w:r w:rsidRPr="00DC1F02">
        <w:rPr>
          <w:noProof/>
        </w:rPr>
        <w:t xml:space="preserve"> interest. Article 1 of Protocol No. 1 reads as follows:</w:t>
      </w:r>
    </w:p>
    <w:p w:rsidRPr="00DC1F02" w:rsidR="00A66D56" w:rsidP="00A66D56" w:rsidRDefault="00A66D56">
      <w:pPr>
        <w:pStyle w:val="JuQuot"/>
      </w:pPr>
      <w:r w:rsidRPr="00DC1F02">
        <w:rPr>
          <w:noProof/>
        </w:rPr>
        <w:t>“Every natural or legal person is entitled to the peaceful enjoyment of his possessions.</w:t>
      </w:r>
      <w:r w:rsidRPr="00DC1F02">
        <w:t xml:space="preserve"> </w:t>
      </w:r>
      <w:r w:rsidRPr="00DC1F02">
        <w:rPr>
          <w:noProof/>
        </w:rPr>
        <w:t>No one shall be deprived of his possessions except in the public interest and subject to the conditions provided for by law and by the general principles of international law.</w:t>
      </w:r>
    </w:p>
    <w:p w:rsidRPr="00DC1F02" w:rsidR="00A66D56" w:rsidP="00A66D56" w:rsidRDefault="00A66D56">
      <w:pPr>
        <w:pStyle w:val="JuQuot"/>
      </w:pPr>
      <w:r w:rsidRPr="00DC1F02">
        <w:rPr>
          <w:noProof/>
        </w:rP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DC1F02" w:rsidR="009A77FC" w:rsidP="00A66D56" w:rsidRDefault="00A66D56">
      <w:pPr>
        <w:pStyle w:val="JuHA"/>
        <w:rPr>
          <w:noProof/>
        </w:rPr>
      </w:pPr>
      <w:r w:rsidRPr="00DC1F02">
        <w:rPr>
          <w:noProof/>
        </w:rPr>
        <w:t>A.  </w:t>
      </w:r>
      <w:r w:rsidRPr="00DC1F02" w:rsidR="009A77FC">
        <w:rPr>
          <w:noProof/>
        </w:rPr>
        <w:t>The Chamber judgment</w:t>
      </w:r>
    </w:p>
    <w:p w:rsidRPr="00DC1F02" w:rsidR="00FA2109" w:rsidP="009A77FC" w:rsidRDefault="009A77FC">
      <w:pPr>
        <w:pStyle w:val="JuPara"/>
      </w:pPr>
      <w:r w:rsidRPr="00DC1F02">
        <w:fldChar w:fldCharType="begin"/>
      </w:r>
      <w:r w:rsidRPr="00DC1F02">
        <w:instrText xml:space="preserve"> SEQ level0 \*arabic </w:instrText>
      </w:r>
      <w:r w:rsidRPr="00DC1F02">
        <w:fldChar w:fldCharType="separate"/>
      </w:r>
      <w:r w:rsidR="00CF6F43">
        <w:rPr>
          <w:noProof/>
        </w:rPr>
        <w:t>47</w:t>
      </w:r>
      <w:r w:rsidRPr="00DC1F02">
        <w:fldChar w:fldCharType="end"/>
      </w:r>
      <w:r w:rsidRPr="00DC1F02">
        <w:t>.  </w:t>
      </w:r>
      <w:r w:rsidRPr="00DC1F02" w:rsidR="00FA2109">
        <w:t xml:space="preserve">The Chamber held that there had been no violation of Article 1 of Protocol No. 1. It began by noting that, while intellectual property as such incontestably enjoyed the protection of that provision, an issue arose as to whether a mere application for registration of a trade mark was also covered by Article 1 </w:t>
      </w:r>
      <w:r w:rsidRPr="00DC1F02" w:rsidR="007553E9">
        <w:t xml:space="preserve">of </w:t>
      </w:r>
      <w:r w:rsidRPr="00DC1F02" w:rsidR="00FA2109">
        <w:t>Protocol No. 1. In that connection, it acknowledged that the legal position of an applicant for the registration of a trade mark in</w:t>
      </w:r>
      <w:r w:rsidRPr="00DC1F02" w:rsidR="00D518EB">
        <w:t>contest</w:t>
      </w:r>
      <w:r w:rsidRPr="00DC1F02" w:rsidR="00FA2109">
        <w:t xml:space="preserve">ably </w:t>
      </w:r>
      <w:r w:rsidRPr="00DC1F02" w:rsidR="00D518EB">
        <w:t xml:space="preserve">gave rise to </w:t>
      </w:r>
      <w:r w:rsidRPr="00DC1F02" w:rsidR="00FA2109">
        <w:t xml:space="preserve">financial </w:t>
      </w:r>
      <w:r w:rsidRPr="00DC1F02" w:rsidR="00D518EB">
        <w:t>interests</w:t>
      </w:r>
      <w:r w:rsidRPr="00DC1F02" w:rsidR="00FA2109">
        <w:t xml:space="preserve">, including a right of priority over subsequent applications. </w:t>
      </w:r>
      <w:r w:rsidRPr="00DC1F02" w:rsidR="00300195">
        <w:t>An application for registration</w:t>
      </w:r>
      <w:r w:rsidRPr="00DC1F02" w:rsidR="00FA2109">
        <w:t xml:space="preserve"> constituted a pecuniary interest that benefited from a degree of legal protection (see paragraphs 43 and 45-48 of the Chamber judgment).</w:t>
      </w:r>
    </w:p>
    <w:p w:rsidRPr="00DC1F02" w:rsidR="003524A3" w:rsidP="009A77FC" w:rsidRDefault="009A77FC">
      <w:pPr>
        <w:pStyle w:val="JuPara"/>
      </w:pPr>
      <w:r w:rsidRPr="00DC1F02">
        <w:fldChar w:fldCharType="begin"/>
      </w:r>
      <w:r w:rsidRPr="00DC1F02">
        <w:instrText xml:space="preserve"> SEQ level0 \*arabic </w:instrText>
      </w:r>
      <w:r w:rsidRPr="00DC1F02">
        <w:fldChar w:fldCharType="separate"/>
      </w:r>
      <w:r w:rsidR="00CF6F43">
        <w:rPr>
          <w:noProof/>
        </w:rPr>
        <w:t>48</w:t>
      </w:r>
      <w:r w:rsidRPr="00DC1F02">
        <w:fldChar w:fldCharType="end"/>
      </w:r>
      <w:r w:rsidRPr="00DC1F02">
        <w:t>.  </w:t>
      </w:r>
      <w:r w:rsidRPr="00DC1F02" w:rsidR="003524A3">
        <w:t>The Chamber reiterated, however, that Article 1 of Protocol No. 1 applied only to a person</w:t>
      </w:r>
      <w:r w:rsidR="008B5D8B">
        <w:t>’</w:t>
      </w:r>
      <w:r w:rsidRPr="00DC1F02" w:rsidR="003524A3">
        <w:t>s existing possessions. Thus, for instance, the hope that a long-extinguished property right might be revived could not be regarded as a “possession” and the same applied to a conditional claim which had lapsed as a result of a failure to fulfil the condition (</w:t>
      </w:r>
      <w:r w:rsidRPr="00DC1F02" w:rsidR="00A658BB">
        <w:t>see paragraph</w:t>
      </w:r>
      <w:r w:rsidRPr="00DC1F02" w:rsidR="003524A3">
        <w:t xml:space="preserve"> 49 of the Chamber judgment).</w:t>
      </w:r>
    </w:p>
    <w:p w:rsidRPr="00DC1F02" w:rsidR="0040325A" w:rsidP="009A77FC" w:rsidRDefault="009A77FC">
      <w:pPr>
        <w:pStyle w:val="JuPara"/>
      </w:pPr>
      <w:r w:rsidRPr="00DC1F02">
        <w:fldChar w:fldCharType="begin"/>
      </w:r>
      <w:r w:rsidRPr="00DC1F02">
        <w:instrText xml:space="preserve"> SEQ level0 \*arabic </w:instrText>
      </w:r>
      <w:r w:rsidRPr="00DC1F02">
        <w:fldChar w:fldCharType="separate"/>
      </w:r>
      <w:r w:rsidR="00CF6F43">
        <w:rPr>
          <w:noProof/>
        </w:rPr>
        <w:t>49</w:t>
      </w:r>
      <w:r w:rsidRPr="00DC1F02">
        <w:fldChar w:fldCharType="end"/>
      </w:r>
      <w:r w:rsidRPr="00DC1F02">
        <w:t>.  </w:t>
      </w:r>
      <w:r w:rsidRPr="00DC1F02" w:rsidR="0040325A">
        <w:t xml:space="preserve">With regard to the instant case, the Chamber noted that the applicant company could not be sure of being the owner of the trade mark in question until after final registration and then only on condition that no </w:t>
      </w:r>
      <w:r w:rsidRPr="00DC1F02" w:rsidR="00D518EB">
        <w:t xml:space="preserve">third party </w:t>
      </w:r>
      <w:r w:rsidR="007B7A94">
        <w:t xml:space="preserve">had </w:t>
      </w:r>
      <w:r w:rsidRPr="00DC1F02" w:rsidR="005043C8">
        <w:t xml:space="preserve">raised an objection, as </w:t>
      </w:r>
      <w:r w:rsidRPr="00DC1F02" w:rsidR="00D518EB">
        <w:t>the applicable legislation</w:t>
      </w:r>
      <w:r w:rsidRPr="00DC1F02" w:rsidR="0040325A">
        <w:t xml:space="preserve"> permitted. In other words, the applicant company had a conditional right, which however was extinguished retrospectively for failure to satisfy the condition, namely that it did not infringe third-party rights. The Chamber therefore concluded that while it was clear that a trade mark constituted a “possession” within the meaning of </w:t>
      </w:r>
      <w:r w:rsidRPr="00DC1F02" w:rsidR="00414CBF">
        <w:t xml:space="preserve">Article </w:t>
      </w:r>
      <w:r w:rsidRPr="00DC1F02" w:rsidR="0040325A">
        <w:t>1 of Protocol No</w:t>
      </w:r>
      <w:r w:rsidRPr="00DC1F02" w:rsidR="00414CBF">
        <w:t>.</w:t>
      </w:r>
      <w:r w:rsidRPr="00DC1F02" w:rsidR="0040325A">
        <w:t xml:space="preserve"> 1, this was </w:t>
      </w:r>
      <w:r w:rsidRPr="00DC1F02" w:rsidR="00414CBF">
        <w:t xml:space="preserve">so </w:t>
      </w:r>
      <w:r w:rsidRPr="00DC1F02" w:rsidR="0040325A">
        <w:t>only after final registration of the mark, in accordance with the rules in force in the State concerned. Prior to s</w:t>
      </w:r>
      <w:r w:rsidRPr="00DC1F02" w:rsidR="00414CBF">
        <w:t>u</w:t>
      </w:r>
      <w:r w:rsidRPr="00DC1F02" w:rsidR="0040325A">
        <w:t>ch registration, the applicant d</w:t>
      </w:r>
      <w:r w:rsidRPr="00DC1F02" w:rsidR="00414CBF">
        <w:t>id</w:t>
      </w:r>
      <w:r w:rsidRPr="00DC1F02" w:rsidR="0040325A">
        <w:t xml:space="preserve">, of course, have a hope of acquiring such a “possession”, </w:t>
      </w:r>
      <w:r w:rsidRPr="00DC1F02" w:rsidR="00414CBF">
        <w:t>bu</w:t>
      </w:r>
      <w:r w:rsidR="007B7A94">
        <w:t xml:space="preserve">t not a legally </w:t>
      </w:r>
      <w:r w:rsidRPr="00DC1F02" w:rsidR="0040325A">
        <w:t xml:space="preserve">protected legitimate expectation. </w:t>
      </w:r>
      <w:r w:rsidRPr="00DC1F02" w:rsidR="005043C8">
        <w:t>Accordingly,</w:t>
      </w:r>
      <w:r w:rsidRPr="00DC1F02" w:rsidR="0040325A">
        <w:t xml:space="preserve"> </w:t>
      </w:r>
      <w:r w:rsidRPr="00DC1F02" w:rsidR="00414CBF">
        <w:t>when the</w:t>
      </w:r>
      <w:r w:rsidRPr="00DC1F02" w:rsidR="0040325A">
        <w:t xml:space="preserve"> Bilateral Agreement </w:t>
      </w:r>
      <w:r w:rsidR="007B7A94">
        <w:t>came</w:t>
      </w:r>
      <w:r w:rsidRPr="00DC1F02" w:rsidR="0040325A">
        <w:t xml:space="preserve"> into force on </w:t>
      </w:r>
      <w:r w:rsidRPr="00DC1F02" w:rsidR="00414CBF">
        <w:t>7</w:t>
      </w:r>
      <w:r w:rsidRPr="00DC1F02" w:rsidR="0040325A">
        <w:t xml:space="preserve"> March 1987</w:t>
      </w:r>
      <w:r w:rsidR="00690681">
        <w:t xml:space="preserve"> </w:t>
      </w:r>
      <w:r w:rsidRPr="00DC1F02" w:rsidR="0040325A">
        <w:t xml:space="preserve">the applicant company did not have </w:t>
      </w:r>
      <w:r w:rsidRPr="00DC1F02" w:rsidR="00414CBF">
        <w:t xml:space="preserve">a </w:t>
      </w:r>
      <w:r w:rsidRPr="00DC1F02" w:rsidR="0040325A">
        <w:t xml:space="preserve">“possession”. The manner in which the Bilateral Agreement </w:t>
      </w:r>
      <w:r w:rsidR="00E107C0">
        <w:t>had been</w:t>
      </w:r>
      <w:r w:rsidRPr="00DC1F02" w:rsidR="005043C8">
        <w:t xml:space="preserve"> applied by the Portuguese courts </w:t>
      </w:r>
      <w:r w:rsidRPr="00DC1F02" w:rsidR="0040325A">
        <w:t>could not, therefore</w:t>
      </w:r>
      <w:r w:rsidRPr="00DC1F02" w:rsidR="005043C8">
        <w:t>,</w:t>
      </w:r>
      <w:r w:rsidRPr="00DC1F02" w:rsidR="0040325A">
        <w:t xml:space="preserve"> constitute interference with a right of the applicant company (</w:t>
      </w:r>
      <w:r w:rsidRPr="00DC1F02" w:rsidR="00A658BB">
        <w:t>see paragraphs</w:t>
      </w:r>
      <w:r w:rsidRPr="00DC1F02" w:rsidR="0040325A">
        <w:t xml:space="preserve"> 50-52 of the Chamber </w:t>
      </w:r>
      <w:r w:rsidRPr="00DC1F02" w:rsidR="009B0735">
        <w:t>judgment</w:t>
      </w:r>
      <w:r w:rsidRPr="00DC1F02" w:rsidR="0040325A">
        <w:t>).</w:t>
      </w:r>
    </w:p>
    <w:p w:rsidRPr="00DC1F02" w:rsidR="00A66D56" w:rsidP="00A66D56" w:rsidRDefault="00F350CF">
      <w:pPr>
        <w:pStyle w:val="JuHA"/>
        <w:rPr>
          <w:noProof/>
        </w:rPr>
      </w:pPr>
      <w:r>
        <w:rPr>
          <w:noProof/>
        </w:rPr>
        <w:t>B.  </w:t>
      </w:r>
      <w:r w:rsidRPr="00DC1F02" w:rsidR="00A66D56">
        <w:rPr>
          <w:noProof/>
        </w:rPr>
        <w:t>The parties</w:t>
      </w:r>
      <w:r w:rsidR="008B5D8B">
        <w:rPr>
          <w:noProof/>
        </w:rPr>
        <w:t>’</w:t>
      </w:r>
      <w:r w:rsidRPr="00DC1F02" w:rsidR="00A66D56">
        <w:rPr>
          <w:noProof/>
        </w:rPr>
        <w:t xml:space="preserve"> submissions</w:t>
      </w:r>
    </w:p>
    <w:p w:rsidRPr="00DC1F02" w:rsidR="00A66D56" w:rsidP="00A66D56" w:rsidRDefault="00A66D56">
      <w:pPr>
        <w:pStyle w:val="JuH1"/>
      </w:pPr>
      <w:r w:rsidRPr="00DC1F02">
        <w:rPr>
          <w:noProof/>
        </w:rPr>
        <w:t>1.  The applicant company</w:t>
      </w:r>
    </w:p>
    <w:p w:rsidR="00627C6A" w:rsidP="009A77FC" w:rsidRDefault="00A66D56">
      <w:pPr>
        <w:pStyle w:val="JuPara"/>
        <w:rPr>
          <w:noProof/>
        </w:rPr>
      </w:pPr>
      <w:r w:rsidRPr="00DC1F02">
        <w:fldChar w:fldCharType="begin"/>
      </w:r>
      <w:r w:rsidRPr="00DC1F02">
        <w:instrText xml:space="preserve"> SEQ level0 \*arabic </w:instrText>
      </w:r>
      <w:r w:rsidRPr="00DC1F02">
        <w:fldChar w:fldCharType="separate"/>
      </w:r>
      <w:r w:rsidR="00CF6F43">
        <w:rPr>
          <w:noProof/>
        </w:rPr>
        <w:t>50</w:t>
      </w:r>
      <w:r w:rsidRPr="00DC1F02">
        <w:fldChar w:fldCharType="end"/>
      </w:r>
      <w:r w:rsidRPr="00DC1F02">
        <w:rPr>
          <w:noProof/>
        </w:rPr>
        <w:t>.  </w:t>
      </w:r>
      <w:r w:rsidRPr="00DC1F02" w:rsidR="00933875">
        <w:rPr>
          <w:noProof/>
        </w:rPr>
        <w:t>The applicant company contested the Chamber</w:t>
      </w:r>
      <w:r w:rsidR="008B5D8B">
        <w:rPr>
          <w:noProof/>
        </w:rPr>
        <w:t>’</w:t>
      </w:r>
      <w:r w:rsidRPr="00DC1F02" w:rsidR="00933875">
        <w:rPr>
          <w:noProof/>
        </w:rPr>
        <w:t>s finding</w:t>
      </w:r>
      <w:r w:rsidRPr="00DC1F02" w:rsidR="0011341B">
        <w:rPr>
          <w:noProof/>
        </w:rPr>
        <w:t>s</w:t>
      </w:r>
      <w:r w:rsidRPr="00DC1F02" w:rsidR="00933875">
        <w:rPr>
          <w:noProof/>
        </w:rPr>
        <w:t>, though it agreed th</w:t>
      </w:r>
      <w:r w:rsidRPr="00DC1F02" w:rsidR="0018204A">
        <w:rPr>
          <w:noProof/>
        </w:rPr>
        <w:t>at</w:t>
      </w:r>
      <w:r w:rsidRPr="00DC1F02" w:rsidR="00933875">
        <w:rPr>
          <w:noProof/>
        </w:rPr>
        <w:t xml:space="preserve"> Article 1 of Protocol No. 1 </w:t>
      </w:r>
      <w:r w:rsidRPr="00DC1F02" w:rsidR="0018204A">
        <w:rPr>
          <w:noProof/>
        </w:rPr>
        <w:t xml:space="preserve">was applicable </w:t>
      </w:r>
      <w:r w:rsidRPr="00DC1F02" w:rsidR="00933875">
        <w:rPr>
          <w:noProof/>
        </w:rPr>
        <w:t xml:space="preserve">to intellectual property in general and </w:t>
      </w:r>
      <w:r w:rsidRPr="00DC1F02" w:rsidR="0011341B">
        <w:rPr>
          <w:noProof/>
        </w:rPr>
        <w:t xml:space="preserve">to </w:t>
      </w:r>
      <w:r w:rsidRPr="00DC1F02" w:rsidR="00933875">
        <w:rPr>
          <w:noProof/>
        </w:rPr>
        <w:t xml:space="preserve">marks in particular. </w:t>
      </w:r>
      <w:r w:rsidRPr="00DC1F02" w:rsidR="0018204A">
        <w:rPr>
          <w:noProof/>
        </w:rPr>
        <w:t>It</w:t>
      </w:r>
      <w:r w:rsidRPr="00DC1F02" w:rsidR="00933875">
        <w:rPr>
          <w:noProof/>
        </w:rPr>
        <w:t xml:space="preserve"> </w:t>
      </w:r>
      <w:r w:rsidRPr="00DC1F02" w:rsidR="0011341B">
        <w:rPr>
          <w:noProof/>
        </w:rPr>
        <w:t>sub</w:t>
      </w:r>
      <w:r w:rsidRPr="00DC1F02" w:rsidR="00933875">
        <w:rPr>
          <w:noProof/>
        </w:rPr>
        <w:t>mitted that the Chamber had, however, fail</w:t>
      </w:r>
      <w:r w:rsidRPr="00DC1F02" w:rsidR="0011341B">
        <w:rPr>
          <w:noProof/>
        </w:rPr>
        <w:t>ed</w:t>
      </w:r>
      <w:r w:rsidRPr="00DC1F02" w:rsidR="00933875">
        <w:rPr>
          <w:noProof/>
        </w:rPr>
        <w:t xml:space="preserve"> to draw the logical conclusions from its reasoning relating to the financial interests at stake in an application for registration. </w:t>
      </w:r>
      <w:r w:rsidRPr="00DC1F02" w:rsidR="0011341B">
        <w:rPr>
          <w:noProof/>
        </w:rPr>
        <w:t>It argued that</w:t>
      </w:r>
      <w:r w:rsidRPr="00DC1F02" w:rsidR="00933875">
        <w:rPr>
          <w:noProof/>
        </w:rPr>
        <w:t xml:space="preserve"> an application for registration had a pecuniary value and was therefore a “possession” within the meaning of Article 1 of Protocol No</w:t>
      </w:r>
      <w:r w:rsidRPr="00DC1F02" w:rsidR="0011341B">
        <w:rPr>
          <w:noProof/>
        </w:rPr>
        <w:t>.</w:t>
      </w:r>
      <w:r w:rsidRPr="00DC1F02" w:rsidR="00933875">
        <w:rPr>
          <w:noProof/>
        </w:rPr>
        <w:t xml:space="preserve"> 1, as, under the </w:t>
      </w:r>
      <w:r w:rsidRPr="00DC1F02" w:rsidR="0011341B">
        <w:rPr>
          <w:noProof/>
        </w:rPr>
        <w:t>Court</w:t>
      </w:r>
      <w:r w:rsidR="008B5D8B">
        <w:rPr>
          <w:noProof/>
        </w:rPr>
        <w:t>’</w:t>
      </w:r>
      <w:r w:rsidRPr="00DC1F02" w:rsidR="0011341B">
        <w:rPr>
          <w:noProof/>
        </w:rPr>
        <w:t>s case</w:t>
      </w:r>
      <w:r w:rsidRPr="00DC1F02" w:rsidR="00933875">
        <w:rPr>
          <w:noProof/>
        </w:rPr>
        <w:t xml:space="preserve">-law, the </w:t>
      </w:r>
      <w:r w:rsidRPr="00DC1F02" w:rsidR="0011341B">
        <w:rPr>
          <w:noProof/>
        </w:rPr>
        <w:t>concept</w:t>
      </w:r>
      <w:r w:rsidRPr="00DC1F02" w:rsidR="00933875">
        <w:rPr>
          <w:noProof/>
        </w:rPr>
        <w:t xml:space="preserve"> of “possessions”, which</w:t>
      </w:r>
      <w:r w:rsidRPr="00DC1F02" w:rsidR="0011341B">
        <w:rPr>
          <w:noProof/>
        </w:rPr>
        <w:t xml:space="preserve"> had an autonomous meaning</w:t>
      </w:r>
      <w:r w:rsidRPr="00DC1F02" w:rsidR="00933875">
        <w:rPr>
          <w:noProof/>
        </w:rPr>
        <w:t xml:space="preserve">, </w:t>
      </w:r>
      <w:r w:rsidRPr="00DC1F02" w:rsidR="0011341B">
        <w:rPr>
          <w:noProof/>
        </w:rPr>
        <w:t xml:space="preserve">was not </w:t>
      </w:r>
      <w:r w:rsidRPr="00DC1F02" w:rsidR="00E755C2">
        <w:rPr>
          <w:noProof/>
        </w:rPr>
        <w:t>limited</w:t>
      </w:r>
      <w:r w:rsidRPr="00DC1F02" w:rsidR="0011341B">
        <w:rPr>
          <w:noProof/>
        </w:rPr>
        <w:t xml:space="preserve"> to the ownership of </w:t>
      </w:r>
      <w:r w:rsidRPr="00DC1F02" w:rsidR="00E755C2">
        <w:rPr>
          <w:noProof/>
        </w:rPr>
        <w:t>physical</w:t>
      </w:r>
      <w:r w:rsidRPr="00DC1F02" w:rsidR="0011341B">
        <w:rPr>
          <w:noProof/>
        </w:rPr>
        <w:t xml:space="preserve"> </w:t>
      </w:r>
      <w:r w:rsidRPr="00DC1F02" w:rsidR="00E755C2">
        <w:rPr>
          <w:noProof/>
        </w:rPr>
        <w:t>goods</w:t>
      </w:r>
      <w:r w:rsidRPr="00DC1F02" w:rsidR="0011341B">
        <w:rPr>
          <w:noProof/>
        </w:rPr>
        <w:t xml:space="preserve"> but included certain other rights and interests that constituted assets.</w:t>
      </w:r>
    </w:p>
    <w:p w:rsidRPr="00DC1F02" w:rsidR="00E71F84" w:rsidP="009A77FC" w:rsidRDefault="009A77FC">
      <w:pPr>
        <w:pStyle w:val="JuPara"/>
        <w:rPr>
          <w:lang w:eastAsia="en-US"/>
        </w:rPr>
      </w:pPr>
      <w:r w:rsidRPr="00DC1F02">
        <w:fldChar w:fldCharType="begin"/>
      </w:r>
      <w:r w:rsidRPr="00DC1F02">
        <w:instrText xml:space="preserve"> SEQ level0 \*arabic </w:instrText>
      </w:r>
      <w:r w:rsidRPr="00DC1F02">
        <w:fldChar w:fldCharType="separate"/>
      </w:r>
      <w:r w:rsidR="00CF6F43">
        <w:rPr>
          <w:noProof/>
        </w:rPr>
        <w:t>51</w:t>
      </w:r>
      <w:r w:rsidRPr="00DC1F02">
        <w:fldChar w:fldCharType="end"/>
      </w:r>
      <w:r w:rsidRPr="00DC1F02">
        <w:t>.  </w:t>
      </w:r>
      <w:r w:rsidRPr="00DC1F02" w:rsidR="0011341B">
        <w:t xml:space="preserve">The applicant company pointed out that </w:t>
      </w:r>
      <w:r w:rsidRPr="00DC1F02" w:rsidR="00401442">
        <w:t xml:space="preserve">the </w:t>
      </w:r>
      <w:r w:rsidRPr="00DC1F02" w:rsidR="0018204A">
        <w:t xml:space="preserve">essential </w:t>
      </w:r>
      <w:r w:rsidRPr="00DC1F02" w:rsidR="00140CAF">
        <w:t>characteristics</w:t>
      </w:r>
      <w:r w:rsidRPr="00DC1F02" w:rsidR="0011341B">
        <w:t xml:space="preserve"> of the concept of property, such as </w:t>
      </w:r>
      <w:proofErr w:type="spellStart"/>
      <w:r w:rsidR="00034429">
        <w:t>assigna</w:t>
      </w:r>
      <w:r w:rsidRPr="00DC1F02" w:rsidR="00034429">
        <w:t>bility</w:t>
      </w:r>
      <w:proofErr w:type="spellEnd"/>
      <w:r w:rsidRPr="00DC1F02" w:rsidR="00034429">
        <w:t xml:space="preserve"> </w:t>
      </w:r>
      <w:r w:rsidRPr="00DC1F02" w:rsidR="0018204A">
        <w:t>and</w:t>
      </w:r>
      <w:r w:rsidRPr="00034429" w:rsidR="00034429">
        <w:t xml:space="preserve"> </w:t>
      </w:r>
      <w:r w:rsidRPr="00DC1F02" w:rsidR="00034429">
        <w:t>transferability</w:t>
      </w:r>
      <w:r w:rsidRPr="00DC1F02" w:rsidR="00D06D76">
        <w:t xml:space="preserve">, were present in the instant case and </w:t>
      </w:r>
      <w:r w:rsidRPr="00DC1F02" w:rsidR="00140CAF">
        <w:t>in</w:t>
      </w:r>
      <w:r w:rsidRPr="00DC1F02" w:rsidR="00D06D76">
        <w:t xml:space="preserve"> application</w:t>
      </w:r>
      <w:r w:rsidRPr="00DC1F02" w:rsidR="00E755C2">
        <w:t>s</w:t>
      </w:r>
      <w:r w:rsidRPr="00DC1F02" w:rsidR="00D06D76">
        <w:t xml:space="preserve"> for </w:t>
      </w:r>
      <w:r w:rsidRPr="00DC1F02" w:rsidR="00140CAF">
        <w:t xml:space="preserve">the </w:t>
      </w:r>
      <w:r w:rsidRPr="00DC1F02" w:rsidR="00D06D76">
        <w:t xml:space="preserve">registration of a mark. In addition, the mark concerned was well-known to consumers, which in itself meant that it was an asset protected by Article 1 of </w:t>
      </w:r>
      <w:r w:rsidRPr="00DC1F02" w:rsidR="00E755C2">
        <w:t xml:space="preserve">Protocol </w:t>
      </w:r>
      <w:r w:rsidRPr="00DC1F02" w:rsidR="00D06D76">
        <w:t>No</w:t>
      </w:r>
      <w:r w:rsidRPr="00DC1F02" w:rsidR="00E755C2">
        <w:t>.</w:t>
      </w:r>
      <w:r w:rsidRPr="00DC1F02" w:rsidR="00D06D76">
        <w:t xml:space="preserve"> 1. The applicant company referred in that connection to </w:t>
      </w:r>
      <w:proofErr w:type="spellStart"/>
      <w:r w:rsidRPr="00DC1F02">
        <w:rPr>
          <w:i/>
        </w:rPr>
        <w:t>Iatridis</w:t>
      </w:r>
      <w:proofErr w:type="spellEnd"/>
      <w:r w:rsidRPr="00DC1F02">
        <w:rPr>
          <w:i/>
        </w:rPr>
        <w:t xml:space="preserve"> </w:t>
      </w:r>
      <w:r w:rsidRPr="00DC1F02" w:rsidR="00E755C2">
        <w:rPr>
          <w:i/>
        </w:rPr>
        <w:t>v</w:t>
      </w:r>
      <w:r w:rsidRPr="00DC1F02">
        <w:rPr>
          <w:i/>
        </w:rPr>
        <w:t>. Gr</w:t>
      </w:r>
      <w:r w:rsidRPr="00DC1F02" w:rsidR="00E755C2">
        <w:rPr>
          <w:i/>
        </w:rPr>
        <w:t>ee</w:t>
      </w:r>
      <w:r w:rsidRPr="00DC1F02">
        <w:rPr>
          <w:i/>
        </w:rPr>
        <w:t>ce</w:t>
      </w:r>
      <w:r w:rsidRPr="00DC1F02">
        <w:rPr>
          <w:lang w:eastAsia="en-US"/>
        </w:rPr>
        <w:t xml:space="preserve">, </w:t>
      </w:r>
      <w:r w:rsidRPr="00DC1F02" w:rsidR="00D06D76">
        <w:rPr>
          <w:lang w:eastAsia="en-US"/>
        </w:rPr>
        <w:t xml:space="preserve">in which the Court found that the </w:t>
      </w:r>
      <w:r w:rsidRPr="00DC1F02" w:rsidR="00C868E0">
        <w:rPr>
          <w:lang w:eastAsia="en-US"/>
        </w:rPr>
        <w:t>clientele of</w:t>
      </w:r>
      <w:r w:rsidRPr="00DC1F02" w:rsidR="00D06D76">
        <w:rPr>
          <w:lang w:eastAsia="en-US"/>
        </w:rPr>
        <w:t xml:space="preserve"> an open</w:t>
      </w:r>
      <w:r w:rsidRPr="00DC1F02" w:rsidR="00C868E0">
        <w:rPr>
          <w:lang w:eastAsia="en-US"/>
        </w:rPr>
        <w:t>-</w:t>
      </w:r>
      <w:r w:rsidRPr="00DC1F02" w:rsidR="00D06D76">
        <w:rPr>
          <w:lang w:eastAsia="en-US"/>
        </w:rPr>
        <w:t xml:space="preserve">air cinema </w:t>
      </w:r>
      <w:r w:rsidRPr="00DC1F02" w:rsidR="00C868E0">
        <w:rPr>
          <w:lang w:eastAsia="en-US"/>
        </w:rPr>
        <w:t xml:space="preserve">constituted an asset protected by </w:t>
      </w:r>
      <w:r w:rsidRPr="00DC1F02" w:rsidR="00C868E0">
        <w:t xml:space="preserve">Article 1 of Protocol No. 1 </w:t>
      </w:r>
      <w:r w:rsidRPr="00DC1F02">
        <w:rPr>
          <w:lang w:eastAsia="en-US"/>
        </w:rPr>
        <w:t>(</w:t>
      </w:r>
      <w:r w:rsidR="007B7A94">
        <w:rPr>
          <w:lang w:eastAsia="en-US"/>
        </w:rPr>
        <w:t xml:space="preserve">see </w:t>
      </w:r>
      <w:proofErr w:type="spellStart"/>
      <w:r w:rsidRPr="00DC1F02">
        <w:rPr>
          <w:i/>
        </w:rPr>
        <w:t>Iatridis</w:t>
      </w:r>
      <w:proofErr w:type="spellEnd"/>
      <w:r w:rsidRPr="00DC1F02">
        <w:rPr>
          <w:i/>
        </w:rPr>
        <w:t xml:space="preserve"> </w:t>
      </w:r>
      <w:r w:rsidRPr="00DC1F02" w:rsidR="0011341B">
        <w:rPr>
          <w:i/>
        </w:rPr>
        <w:t>v</w:t>
      </w:r>
      <w:r w:rsidRPr="00DC1F02">
        <w:rPr>
          <w:i/>
        </w:rPr>
        <w:t>. Gr</w:t>
      </w:r>
      <w:r w:rsidRPr="00DC1F02" w:rsidR="0011341B">
        <w:rPr>
          <w:i/>
        </w:rPr>
        <w:t>ee</w:t>
      </w:r>
      <w:r w:rsidRPr="00DC1F02">
        <w:rPr>
          <w:i/>
        </w:rPr>
        <w:t xml:space="preserve">ce </w:t>
      </w:r>
      <w:r w:rsidRPr="00DC1F02">
        <w:rPr>
          <w:lang w:eastAsia="en-US"/>
        </w:rPr>
        <w:t>[GC], n</w:t>
      </w:r>
      <w:r w:rsidRPr="00DC1F02" w:rsidR="0011341B">
        <w:rPr>
          <w:lang w:eastAsia="en-US"/>
        </w:rPr>
        <w:t>o.</w:t>
      </w:r>
      <w:r w:rsidR="007B7A94">
        <w:rPr>
          <w:lang w:eastAsia="en-US"/>
        </w:rPr>
        <w:t xml:space="preserve"> </w:t>
      </w:r>
      <w:r w:rsidRPr="00DC1F02">
        <w:rPr>
          <w:lang w:eastAsia="en-US"/>
        </w:rPr>
        <w:t>31107/96, § 54, E</w:t>
      </w:r>
      <w:r w:rsidRPr="00DC1F02" w:rsidR="0011341B">
        <w:rPr>
          <w:lang w:eastAsia="en-US"/>
        </w:rPr>
        <w:t>C</w:t>
      </w:r>
      <w:r w:rsidRPr="00DC1F02">
        <w:rPr>
          <w:lang w:eastAsia="en-US"/>
        </w:rPr>
        <w:t>H</w:t>
      </w:r>
      <w:r w:rsidRPr="00DC1F02" w:rsidR="0011341B">
        <w:rPr>
          <w:lang w:eastAsia="en-US"/>
        </w:rPr>
        <w:t>R</w:t>
      </w:r>
      <w:r w:rsidRPr="00DC1F02">
        <w:rPr>
          <w:lang w:eastAsia="en-US"/>
        </w:rPr>
        <w:t xml:space="preserve"> 1999</w:t>
      </w:r>
      <w:r w:rsidRPr="00DC1F02">
        <w:rPr>
          <w:lang w:eastAsia="en-US"/>
        </w:rPr>
        <w:noBreakHyphen/>
        <w:t>II).</w:t>
      </w:r>
    </w:p>
    <w:p w:rsidRPr="00DC1F02" w:rsidR="00E71F84" w:rsidP="009A77FC" w:rsidRDefault="009A77FC">
      <w:pPr>
        <w:pStyle w:val="JuPara"/>
        <w:rPr>
          <w:lang w:eastAsia="en-US"/>
        </w:rPr>
      </w:pPr>
      <w:r w:rsidRPr="00DC1F02">
        <w:rPr>
          <w:lang w:eastAsia="en-US"/>
        </w:rPr>
        <w:fldChar w:fldCharType="begin"/>
      </w:r>
      <w:r w:rsidRPr="00DC1F02">
        <w:rPr>
          <w:lang w:eastAsia="en-US"/>
        </w:rPr>
        <w:instrText xml:space="preserve"> SEQ level0 \*arabic </w:instrText>
      </w:r>
      <w:r w:rsidRPr="00DC1F02">
        <w:rPr>
          <w:lang w:eastAsia="en-US"/>
        </w:rPr>
        <w:fldChar w:fldCharType="separate"/>
      </w:r>
      <w:r w:rsidR="00CF6F43">
        <w:rPr>
          <w:noProof/>
          <w:lang w:eastAsia="en-US"/>
        </w:rPr>
        <w:t>52</w:t>
      </w:r>
      <w:r w:rsidRPr="00DC1F02">
        <w:rPr>
          <w:lang w:eastAsia="en-US"/>
        </w:rPr>
        <w:fldChar w:fldCharType="end"/>
      </w:r>
      <w:r w:rsidRPr="00DC1F02">
        <w:rPr>
          <w:lang w:eastAsia="en-US"/>
        </w:rPr>
        <w:t>.  </w:t>
      </w:r>
      <w:r w:rsidRPr="00DC1F02" w:rsidR="003B2B05">
        <w:rPr>
          <w:lang w:eastAsia="en-US"/>
        </w:rPr>
        <w:t>An application for registration also conferred on the applicant, from the dat</w:t>
      </w:r>
      <w:r w:rsidRPr="00DC1F02" w:rsidR="003A06AB">
        <w:rPr>
          <w:lang w:eastAsia="en-US"/>
        </w:rPr>
        <w:t>e the application was lodged, a vested</w:t>
      </w:r>
      <w:r w:rsidRPr="00DC1F02" w:rsidR="003B2B05">
        <w:rPr>
          <w:lang w:eastAsia="en-US"/>
        </w:rPr>
        <w:t xml:space="preserve"> right to exclusive protection. If, as </w:t>
      </w:r>
      <w:r w:rsidRPr="00DC1F02" w:rsidR="00140CAF">
        <w:rPr>
          <w:lang w:eastAsia="en-US"/>
        </w:rPr>
        <w:t>in</w:t>
      </w:r>
      <w:r w:rsidRPr="00DC1F02" w:rsidR="003B2B05">
        <w:rPr>
          <w:lang w:eastAsia="en-US"/>
        </w:rPr>
        <w:t xml:space="preserve"> the applicant company</w:t>
      </w:r>
      <w:r w:rsidR="008B5D8B">
        <w:rPr>
          <w:lang w:eastAsia="en-US"/>
        </w:rPr>
        <w:t>’</w:t>
      </w:r>
      <w:r w:rsidRPr="00DC1F02" w:rsidR="003B2B05">
        <w:rPr>
          <w:lang w:eastAsia="en-US"/>
        </w:rPr>
        <w:t xml:space="preserve">s </w:t>
      </w:r>
      <w:r w:rsidRPr="00DC1F02" w:rsidR="00140CAF">
        <w:rPr>
          <w:lang w:eastAsia="en-US"/>
        </w:rPr>
        <w:t>case</w:t>
      </w:r>
      <w:r w:rsidRPr="00DC1F02" w:rsidR="003B2B05">
        <w:rPr>
          <w:lang w:eastAsia="en-US"/>
        </w:rPr>
        <w:t>, the application satisfied all the statutory conditions, in particular as regards the lack of conflicting pre</w:t>
      </w:r>
      <w:r w:rsidRPr="00DC1F02" w:rsidR="00140CAF">
        <w:rPr>
          <w:lang w:eastAsia="en-US"/>
        </w:rPr>
        <w:t>-existing</w:t>
      </w:r>
      <w:r w:rsidRPr="00DC1F02" w:rsidR="003B2B05">
        <w:rPr>
          <w:lang w:eastAsia="en-US"/>
        </w:rPr>
        <w:t xml:space="preserve"> rights, the NIIP, as the competent national authority, was </w:t>
      </w:r>
      <w:r w:rsidRPr="00DC1F02" w:rsidR="003A06AB">
        <w:rPr>
          <w:lang w:eastAsia="en-US"/>
        </w:rPr>
        <w:t>under a</w:t>
      </w:r>
      <w:r w:rsidRPr="00DC1F02" w:rsidR="003B2B05">
        <w:rPr>
          <w:lang w:eastAsia="en-US"/>
        </w:rPr>
        <w:t xml:space="preserve"> duty to register the mark and had no discretion in the matter. </w:t>
      </w:r>
      <w:r w:rsidRPr="00DC1F02" w:rsidR="003A06AB">
        <w:rPr>
          <w:lang w:eastAsia="en-US"/>
        </w:rPr>
        <w:t xml:space="preserve">In accordance with the priority rule, one </w:t>
      </w:r>
      <w:r w:rsidRPr="00DC1F02" w:rsidR="003B2B05">
        <w:rPr>
          <w:lang w:eastAsia="en-US"/>
        </w:rPr>
        <w:t>of the characteristic features of the property</w:t>
      </w:r>
      <w:r w:rsidRPr="00DC1F02" w:rsidR="006B1B60">
        <w:rPr>
          <w:lang w:eastAsia="en-US"/>
        </w:rPr>
        <w:t xml:space="preserve"> </w:t>
      </w:r>
      <w:r w:rsidRPr="00DC1F02" w:rsidR="00DF77DA">
        <w:rPr>
          <w:lang w:eastAsia="en-US"/>
        </w:rPr>
        <w:t xml:space="preserve">rights bound up </w:t>
      </w:r>
      <w:r w:rsidRPr="00DC1F02" w:rsidR="006B1B60">
        <w:rPr>
          <w:lang w:eastAsia="en-US"/>
        </w:rPr>
        <w:t xml:space="preserve">in an application for registration of </w:t>
      </w:r>
      <w:r w:rsidRPr="00DC1F02" w:rsidR="003A06AB">
        <w:rPr>
          <w:lang w:eastAsia="en-US"/>
        </w:rPr>
        <w:t>a</w:t>
      </w:r>
      <w:r w:rsidRPr="00DC1F02" w:rsidR="006B1B60">
        <w:rPr>
          <w:lang w:eastAsia="en-US"/>
        </w:rPr>
        <w:t xml:space="preserve"> trade mark </w:t>
      </w:r>
      <w:r w:rsidRPr="00DC1F02" w:rsidR="003A06AB">
        <w:rPr>
          <w:lang w:eastAsia="en-US"/>
        </w:rPr>
        <w:t>wa</w:t>
      </w:r>
      <w:r w:rsidRPr="00DC1F02" w:rsidR="006B1B60">
        <w:rPr>
          <w:lang w:eastAsia="en-US"/>
        </w:rPr>
        <w:t xml:space="preserve">s </w:t>
      </w:r>
      <w:r w:rsidRPr="00DC1F02" w:rsidR="003A06AB">
        <w:rPr>
          <w:lang w:eastAsia="en-US"/>
        </w:rPr>
        <w:t>a</w:t>
      </w:r>
      <w:r w:rsidRPr="00DC1F02" w:rsidR="006B1B60">
        <w:rPr>
          <w:lang w:eastAsia="en-US"/>
        </w:rPr>
        <w:t xml:space="preserve"> legitimate expectation that the application w</w:t>
      </w:r>
      <w:r w:rsidRPr="00DC1F02" w:rsidR="003A06AB">
        <w:rPr>
          <w:lang w:eastAsia="en-US"/>
        </w:rPr>
        <w:t>ould</w:t>
      </w:r>
      <w:r w:rsidRPr="00DC1F02" w:rsidR="006B1B60">
        <w:rPr>
          <w:lang w:eastAsia="en-US"/>
        </w:rPr>
        <w:t xml:space="preserve"> not be defeated by </w:t>
      </w:r>
      <w:r w:rsidRPr="00DC1F02" w:rsidR="003A06AB">
        <w:rPr>
          <w:lang w:eastAsia="en-US"/>
        </w:rPr>
        <w:t>a</w:t>
      </w:r>
      <w:r w:rsidRPr="00DC1F02" w:rsidR="006B1B60">
        <w:rPr>
          <w:lang w:eastAsia="en-US"/>
        </w:rPr>
        <w:t xml:space="preserve"> third</w:t>
      </w:r>
      <w:r w:rsidRPr="00DC1F02" w:rsidR="003A06AB">
        <w:rPr>
          <w:lang w:eastAsia="en-US"/>
        </w:rPr>
        <w:t>-</w:t>
      </w:r>
      <w:r w:rsidRPr="00DC1F02" w:rsidR="006B1B60">
        <w:rPr>
          <w:lang w:eastAsia="en-US"/>
        </w:rPr>
        <w:t>party intellectual property right that ar</w:t>
      </w:r>
      <w:r w:rsidRPr="00DC1F02" w:rsidR="00140CAF">
        <w:rPr>
          <w:lang w:eastAsia="en-US"/>
        </w:rPr>
        <w:t>o</w:t>
      </w:r>
      <w:r w:rsidRPr="00DC1F02" w:rsidR="006B1B60">
        <w:rPr>
          <w:lang w:eastAsia="en-US"/>
        </w:rPr>
        <w:t xml:space="preserve">se after </w:t>
      </w:r>
      <w:r w:rsidRPr="00DC1F02" w:rsidR="003A06AB">
        <w:rPr>
          <w:lang w:eastAsia="en-US"/>
        </w:rPr>
        <w:t>the application</w:t>
      </w:r>
      <w:r w:rsidRPr="00DC1F02" w:rsidR="006B1B60">
        <w:rPr>
          <w:lang w:eastAsia="en-US"/>
        </w:rPr>
        <w:t xml:space="preserve"> </w:t>
      </w:r>
      <w:r w:rsidRPr="00DC1F02" w:rsidR="00140CAF">
        <w:rPr>
          <w:lang w:eastAsia="en-US"/>
        </w:rPr>
        <w:t>for registration was</w:t>
      </w:r>
      <w:r w:rsidRPr="00DC1F02" w:rsidR="006B1B60">
        <w:rPr>
          <w:lang w:eastAsia="en-US"/>
        </w:rPr>
        <w:t xml:space="preserve"> </w:t>
      </w:r>
      <w:r w:rsidRPr="00DC1F02" w:rsidR="00140CAF">
        <w:rPr>
          <w:lang w:eastAsia="en-US"/>
        </w:rPr>
        <w:t>fil</w:t>
      </w:r>
      <w:r w:rsidRPr="00DC1F02" w:rsidR="006B1B60">
        <w:rPr>
          <w:lang w:eastAsia="en-US"/>
        </w:rPr>
        <w:t xml:space="preserve">ed. The applicant company possessed such a legitimate expectation, as indeed the dissenting judges </w:t>
      </w:r>
      <w:r w:rsidRPr="00DC1F02" w:rsidR="003A06AB">
        <w:rPr>
          <w:lang w:eastAsia="en-US"/>
        </w:rPr>
        <w:t xml:space="preserve">had </w:t>
      </w:r>
      <w:r w:rsidRPr="00DC1F02" w:rsidR="006B1B60">
        <w:rPr>
          <w:lang w:eastAsia="en-US"/>
        </w:rPr>
        <w:t>acknowledged in their opinion appended to the Chamber judgment. The Chamber</w:t>
      </w:r>
      <w:r w:rsidR="008B5D8B">
        <w:rPr>
          <w:lang w:eastAsia="en-US"/>
        </w:rPr>
        <w:t>’</w:t>
      </w:r>
      <w:r w:rsidRPr="00DC1F02" w:rsidR="006B1B60">
        <w:rPr>
          <w:lang w:eastAsia="en-US"/>
        </w:rPr>
        <w:t>s findings w</w:t>
      </w:r>
      <w:r w:rsidRPr="00DC1F02" w:rsidR="003A06AB">
        <w:rPr>
          <w:lang w:eastAsia="en-US"/>
        </w:rPr>
        <w:t>ere</w:t>
      </w:r>
      <w:r w:rsidRPr="00DC1F02" w:rsidR="006B1B60">
        <w:rPr>
          <w:lang w:eastAsia="en-US"/>
        </w:rPr>
        <w:t xml:space="preserve"> also incompatible with the </w:t>
      </w:r>
      <w:r w:rsidRPr="00DC1F02" w:rsidR="007023ED">
        <w:rPr>
          <w:lang w:eastAsia="en-US"/>
        </w:rPr>
        <w:t>Court</w:t>
      </w:r>
      <w:r w:rsidR="008B5D8B">
        <w:rPr>
          <w:lang w:eastAsia="en-US"/>
        </w:rPr>
        <w:t>’</w:t>
      </w:r>
      <w:r w:rsidRPr="00DC1F02" w:rsidR="007023ED">
        <w:rPr>
          <w:lang w:eastAsia="en-US"/>
        </w:rPr>
        <w:t xml:space="preserve">s </w:t>
      </w:r>
      <w:r w:rsidRPr="00DC1F02" w:rsidR="006B1B60">
        <w:rPr>
          <w:lang w:eastAsia="en-US"/>
        </w:rPr>
        <w:t xml:space="preserve">previous case-law on the concept of legitimate expectation, as </w:t>
      </w:r>
      <w:r w:rsidRPr="00DC1F02" w:rsidR="007023ED">
        <w:rPr>
          <w:lang w:eastAsia="en-US"/>
        </w:rPr>
        <w:t xml:space="preserve">had </w:t>
      </w:r>
      <w:r w:rsidRPr="00DC1F02" w:rsidR="00140CAF">
        <w:rPr>
          <w:lang w:eastAsia="en-US"/>
        </w:rPr>
        <w:t xml:space="preserve">been expounded </w:t>
      </w:r>
      <w:r w:rsidRPr="00DC1F02" w:rsidR="006B1B60">
        <w:rPr>
          <w:lang w:eastAsia="en-US"/>
        </w:rPr>
        <w:t xml:space="preserve">for instance in </w:t>
      </w:r>
      <w:r w:rsidRPr="00DC1F02">
        <w:rPr>
          <w:i/>
          <w:lang w:eastAsia="en-US"/>
        </w:rPr>
        <w:t xml:space="preserve">Pine Valley Developments Ltd </w:t>
      </w:r>
      <w:r w:rsidRPr="00DC1F02" w:rsidR="009A75ED">
        <w:rPr>
          <w:i/>
          <w:lang w:eastAsia="en-US"/>
        </w:rPr>
        <w:t>and Others</w:t>
      </w:r>
      <w:r w:rsidRPr="00DC1F02">
        <w:rPr>
          <w:i/>
          <w:lang w:eastAsia="en-US"/>
        </w:rPr>
        <w:t xml:space="preserve"> </w:t>
      </w:r>
      <w:r w:rsidRPr="00DC1F02" w:rsidR="009A75ED">
        <w:rPr>
          <w:i/>
          <w:lang w:eastAsia="en-US"/>
        </w:rPr>
        <w:t>v</w:t>
      </w:r>
      <w:r w:rsidRPr="00DC1F02">
        <w:rPr>
          <w:i/>
          <w:lang w:eastAsia="en-US"/>
        </w:rPr>
        <w:t>. Ir</w:t>
      </w:r>
      <w:r w:rsidRPr="00DC1F02" w:rsidR="009A75ED">
        <w:rPr>
          <w:i/>
          <w:lang w:eastAsia="en-US"/>
        </w:rPr>
        <w:t>e</w:t>
      </w:r>
      <w:r w:rsidRPr="00DC1F02">
        <w:rPr>
          <w:i/>
          <w:lang w:eastAsia="en-US"/>
        </w:rPr>
        <w:t>land</w:t>
      </w:r>
      <w:r w:rsidR="004E0C7A">
        <w:rPr>
          <w:lang w:eastAsia="en-US"/>
        </w:rPr>
        <w:t xml:space="preserve"> </w:t>
      </w:r>
      <w:r w:rsidR="007B7A94">
        <w:rPr>
          <w:lang w:eastAsia="en-US"/>
        </w:rPr>
        <w:t>(</w:t>
      </w:r>
      <w:r w:rsidR="004E0C7A">
        <w:rPr>
          <w:lang w:eastAsia="en-US"/>
        </w:rPr>
        <w:t xml:space="preserve">29 </w:t>
      </w:r>
      <w:r w:rsidRPr="00DC1F02" w:rsidR="009A75ED">
        <w:rPr>
          <w:lang w:eastAsia="en-US"/>
        </w:rPr>
        <w:t>November</w:t>
      </w:r>
      <w:r w:rsidRPr="00DC1F02">
        <w:rPr>
          <w:lang w:eastAsia="en-US"/>
        </w:rPr>
        <w:t xml:space="preserve"> 1991, </w:t>
      </w:r>
      <w:r w:rsidRPr="00DC1F02" w:rsidR="009A75ED">
        <w:rPr>
          <w:lang w:eastAsia="en-US"/>
        </w:rPr>
        <w:t>Se</w:t>
      </w:r>
      <w:r w:rsidRPr="00DC1F02">
        <w:rPr>
          <w:lang w:eastAsia="en-US"/>
        </w:rPr>
        <w:t>rie</w:t>
      </w:r>
      <w:r w:rsidRPr="00DC1F02" w:rsidR="009A75ED">
        <w:rPr>
          <w:lang w:eastAsia="en-US"/>
        </w:rPr>
        <w:t>s</w:t>
      </w:r>
      <w:r w:rsidRPr="00DC1F02">
        <w:rPr>
          <w:lang w:eastAsia="en-US"/>
        </w:rPr>
        <w:t xml:space="preserve"> A n</w:t>
      </w:r>
      <w:r w:rsidRPr="00DC1F02" w:rsidR="009A75ED">
        <w:rPr>
          <w:lang w:eastAsia="en-US"/>
        </w:rPr>
        <w:t>o.</w:t>
      </w:r>
      <w:r w:rsidR="007B7A94">
        <w:rPr>
          <w:lang w:eastAsia="en-US"/>
        </w:rPr>
        <w:t xml:space="preserve"> </w:t>
      </w:r>
      <w:r w:rsidR="004E0C7A">
        <w:rPr>
          <w:lang w:eastAsia="en-US"/>
        </w:rPr>
        <w:t>222</w:t>
      </w:r>
      <w:r w:rsidR="007B7A94">
        <w:rPr>
          <w:lang w:eastAsia="en-US"/>
        </w:rPr>
        <w:t>)</w:t>
      </w:r>
      <w:r w:rsidRPr="00DC1F02">
        <w:rPr>
          <w:lang w:eastAsia="en-US"/>
        </w:rPr>
        <w:t xml:space="preserve"> </w:t>
      </w:r>
      <w:r w:rsidRPr="00DC1F02" w:rsidR="009A75ED">
        <w:rPr>
          <w:lang w:eastAsia="en-US"/>
        </w:rPr>
        <w:t>and</w:t>
      </w:r>
      <w:r w:rsidRPr="00DC1F02">
        <w:rPr>
          <w:lang w:eastAsia="en-US"/>
        </w:rPr>
        <w:t xml:space="preserve"> </w:t>
      </w:r>
      <w:proofErr w:type="spellStart"/>
      <w:r w:rsidRPr="00DC1F02">
        <w:rPr>
          <w:i/>
          <w:lang w:eastAsia="en-US"/>
        </w:rPr>
        <w:t>Beyeler</w:t>
      </w:r>
      <w:proofErr w:type="spellEnd"/>
      <w:r w:rsidRPr="00DC1F02">
        <w:rPr>
          <w:i/>
          <w:lang w:eastAsia="en-US"/>
        </w:rPr>
        <w:t xml:space="preserve"> </w:t>
      </w:r>
      <w:r w:rsidRPr="00DC1F02" w:rsidR="009A75ED">
        <w:rPr>
          <w:i/>
          <w:lang w:eastAsia="en-US"/>
        </w:rPr>
        <w:t>v</w:t>
      </w:r>
      <w:r w:rsidRPr="00DC1F02">
        <w:rPr>
          <w:i/>
          <w:lang w:eastAsia="en-US"/>
        </w:rPr>
        <w:t>. Ital</w:t>
      </w:r>
      <w:r w:rsidRPr="00DC1F02" w:rsidR="009A75ED">
        <w:rPr>
          <w:i/>
          <w:lang w:eastAsia="en-US"/>
        </w:rPr>
        <w:t>y</w:t>
      </w:r>
      <w:r w:rsidR="004E0C7A">
        <w:rPr>
          <w:lang w:eastAsia="en-US"/>
        </w:rPr>
        <w:t xml:space="preserve"> </w:t>
      </w:r>
      <w:r w:rsidR="007B7A94">
        <w:rPr>
          <w:lang w:eastAsia="en-US"/>
        </w:rPr>
        <w:t>(</w:t>
      </w:r>
      <w:r w:rsidRPr="00DC1F02">
        <w:rPr>
          <w:lang w:eastAsia="en-US"/>
        </w:rPr>
        <w:t>[GC], n</w:t>
      </w:r>
      <w:r w:rsidRPr="00DC1F02" w:rsidR="009A75ED">
        <w:rPr>
          <w:lang w:eastAsia="en-US"/>
        </w:rPr>
        <w:t>o.</w:t>
      </w:r>
      <w:r w:rsidRPr="00DC1F02">
        <w:rPr>
          <w:lang w:eastAsia="en-US"/>
        </w:rPr>
        <w:t xml:space="preserve"> 33202/96, E</w:t>
      </w:r>
      <w:r w:rsidRPr="00DC1F02" w:rsidR="009A75ED">
        <w:rPr>
          <w:lang w:eastAsia="en-US"/>
        </w:rPr>
        <w:t>C</w:t>
      </w:r>
      <w:r w:rsidRPr="00DC1F02">
        <w:rPr>
          <w:lang w:eastAsia="en-US"/>
        </w:rPr>
        <w:t>H</w:t>
      </w:r>
      <w:r w:rsidRPr="00DC1F02" w:rsidR="009A75ED">
        <w:rPr>
          <w:lang w:eastAsia="en-US"/>
        </w:rPr>
        <w:t>R</w:t>
      </w:r>
      <w:r w:rsidR="004E0C7A">
        <w:rPr>
          <w:lang w:eastAsia="en-US"/>
        </w:rPr>
        <w:t xml:space="preserve"> 2000-I</w:t>
      </w:r>
      <w:r w:rsidR="007B7A94">
        <w:rPr>
          <w:lang w:eastAsia="en-US"/>
        </w:rPr>
        <w:t>)</w:t>
      </w:r>
      <w:r w:rsidRPr="00DC1F02">
        <w:rPr>
          <w:lang w:eastAsia="en-US"/>
        </w:rPr>
        <w:t>.</w:t>
      </w:r>
    </w:p>
    <w:p w:rsidRPr="00DC1F02" w:rsidR="00830FC4" w:rsidP="009A77FC" w:rsidRDefault="009A77FC">
      <w:pPr>
        <w:pStyle w:val="JuPara"/>
      </w:pPr>
      <w:r w:rsidRPr="00DC1F02">
        <w:fldChar w:fldCharType="begin"/>
      </w:r>
      <w:r w:rsidRPr="00DC1F02">
        <w:instrText xml:space="preserve"> SEQ level0 \*arabic </w:instrText>
      </w:r>
      <w:r w:rsidRPr="00DC1F02">
        <w:fldChar w:fldCharType="separate"/>
      </w:r>
      <w:r w:rsidR="00CF6F43">
        <w:rPr>
          <w:noProof/>
        </w:rPr>
        <w:t>53</w:t>
      </w:r>
      <w:r w:rsidRPr="00DC1F02">
        <w:fldChar w:fldCharType="end"/>
      </w:r>
      <w:r w:rsidRPr="00DC1F02">
        <w:t>.  </w:t>
      </w:r>
      <w:r w:rsidRPr="00DC1F02" w:rsidR="00F505F3">
        <w:t>In its written submissions to the Grand Chamber, the applicant company further noted that the Chamber had neglected an important issue</w:t>
      </w:r>
      <w:r w:rsidRPr="00DC1F02" w:rsidR="001C3AAC">
        <w:t>, namely the fact that</w:t>
      </w:r>
      <w:r w:rsidRPr="00DC1F02" w:rsidR="00F505F3">
        <w:t xml:space="preserve"> its “</w:t>
      </w:r>
      <w:r w:rsidRPr="00DC1F02">
        <w:t>Budweiser</w:t>
      </w:r>
      <w:r w:rsidRPr="00DC1F02" w:rsidR="00F505F3">
        <w:t>”</w:t>
      </w:r>
      <w:r w:rsidRPr="00DC1F02">
        <w:t xml:space="preserve"> </w:t>
      </w:r>
      <w:r w:rsidRPr="00DC1F02" w:rsidR="00F505F3">
        <w:t xml:space="preserve">mark </w:t>
      </w:r>
      <w:r w:rsidRPr="00DC1F02" w:rsidR="001C3AAC">
        <w:t>had</w:t>
      </w:r>
      <w:r w:rsidRPr="00DC1F02" w:rsidR="00F505F3">
        <w:t xml:space="preserve"> already </w:t>
      </w:r>
      <w:r w:rsidRPr="00DC1F02" w:rsidR="001C3AAC">
        <w:t>reached</w:t>
      </w:r>
      <w:r w:rsidRPr="00DC1F02" w:rsidR="00F505F3">
        <w:t xml:space="preserve"> the registration stage when it was cancelled by the Supreme Court</w:t>
      </w:r>
      <w:r w:rsidRPr="00DC1F02" w:rsidR="001C3AAC">
        <w:t xml:space="preserve">. The </w:t>
      </w:r>
      <w:r w:rsidRPr="00DC1F02" w:rsidR="005A65C4">
        <w:t>applicant</w:t>
      </w:r>
      <w:r w:rsidRPr="00DC1F02" w:rsidR="001C3AAC">
        <w:t xml:space="preserve"> company explained that</w:t>
      </w:r>
      <w:r w:rsidRPr="00DC1F02" w:rsidR="00F505F3">
        <w:t xml:space="preserve"> it had been issued with a registration certificate by the </w:t>
      </w:r>
      <w:r w:rsidRPr="00DC1F02" w:rsidR="0026074E">
        <w:t>N</w:t>
      </w:r>
      <w:r w:rsidRPr="00DC1F02" w:rsidR="00F505F3">
        <w:t>IIP on 20 Jun</w:t>
      </w:r>
      <w:r w:rsidRPr="00DC1F02" w:rsidR="0026074E">
        <w:t>e</w:t>
      </w:r>
      <w:r w:rsidRPr="00DC1F02" w:rsidR="00F505F3">
        <w:t xml:space="preserve"> 1995</w:t>
      </w:r>
      <w:r w:rsidR="00B818EB">
        <w:t xml:space="preserve">, which </w:t>
      </w:r>
      <w:r w:rsidRPr="00DC1F02" w:rsidR="00400C6F">
        <w:t>prov</w:t>
      </w:r>
      <w:r w:rsidR="00B818EB">
        <w:t>ed</w:t>
      </w:r>
      <w:r w:rsidRPr="00DC1F02" w:rsidR="00400C6F">
        <w:t xml:space="preserve"> </w:t>
      </w:r>
      <w:r w:rsidRPr="00DC1F02" w:rsidR="0026074E">
        <w:t>that it was the</w:t>
      </w:r>
      <w:r w:rsidRPr="00DC1F02" w:rsidR="00830FC4">
        <w:t xml:space="preserve"> owner of the mark under Portuguese law.</w:t>
      </w:r>
    </w:p>
    <w:p w:rsidRPr="00DC1F02" w:rsidR="00C02BB4" w:rsidP="009A77FC" w:rsidRDefault="009A77FC">
      <w:pPr>
        <w:pStyle w:val="JuPara"/>
      </w:pPr>
      <w:r w:rsidRPr="00DC1F02">
        <w:fldChar w:fldCharType="begin"/>
      </w:r>
      <w:r w:rsidRPr="00DC1F02">
        <w:instrText xml:space="preserve"> SEQ level0 \*arabic </w:instrText>
      </w:r>
      <w:r w:rsidRPr="00DC1F02">
        <w:fldChar w:fldCharType="separate"/>
      </w:r>
      <w:r w:rsidR="00CF6F43">
        <w:rPr>
          <w:noProof/>
        </w:rPr>
        <w:t>54</w:t>
      </w:r>
      <w:r w:rsidRPr="00DC1F02">
        <w:fldChar w:fldCharType="end"/>
      </w:r>
      <w:r w:rsidRPr="00DC1F02">
        <w:t>.  </w:t>
      </w:r>
      <w:r w:rsidRPr="00DC1F02" w:rsidR="00400C6F">
        <w:t>Since the applicant company had been entitled to the protection of Article 1 of Protocol No</w:t>
      </w:r>
      <w:r w:rsidRPr="00DC1F02" w:rsidR="00606DAD">
        <w:t>.</w:t>
      </w:r>
      <w:r w:rsidRPr="00DC1F02" w:rsidR="00400C6F">
        <w:t xml:space="preserve"> 1 from the moment it lodged its application for registration of the mark, the effect of the Supreme Court</w:t>
      </w:r>
      <w:r w:rsidR="008B5D8B">
        <w:t>’</w:t>
      </w:r>
      <w:r w:rsidRPr="00DC1F02" w:rsidR="00400C6F">
        <w:t>s decision of 23</w:t>
      </w:r>
      <w:r w:rsidRPr="00DC1F02" w:rsidR="00606DAD">
        <w:t> </w:t>
      </w:r>
      <w:r w:rsidRPr="00DC1F02" w:rsidR="00400C6F">
        <w:t>January 2001 had been to deprive it of its property. Th</w:t>
      </w:r>
      <w:r w:rsidRPr="00DC1F02" w:rsidR="00606DAD">
        <w:t>at</w:t>
      </w:r>
      <w:r w:rsidRPr="00DC1F02" w:rsidR="00400C6F">
        <w:t xml:space="preserve"> interference with its rights was not provided for by law, since the Supreme Court</w:t>
      </w:r>
      <w:r w:rsidR="008B5D8B">
        <w:t>’</w:t>
      </w:r>
      <w:r w:rsidRPr="00DC1F02" w:rsidR="00400C6F">
        <w:t xml:space="preserve">s interpretation of the Bilateral Agreement was erroneous and contrary to the general principles of international law. The Portuguese courts had wrongly ruled that the Bilateral Agreement afforded protection of the appellations of origin referred to in Appendix A against translations of the names concerned into </w:t>
      </w:r>
      <w:r w:rsidRPr="00DC1F02" w:rsidR="00606DAD">
        <w:t xml:space="preserve">any </w:t>
      </w:r>
      <w:r w:rsidRPr="00DC1F02" w:rsidR="00400C6F">
        <w:t xml:space="preserve">other language, when in fact the Agreement only covered translations into Portuguese and Czech. </w:t>
      </w:r>
      <w:r w:rsidRPr="00DC1F02" w:rsidR="00C02BB4">
        <w:t xml:space="preserve">The applicant company further pointed out that, under the principles of international law, </w:t>
      </w:r>
      <w:r w:rsidRPr="00DC1F02" w:rsidR="00D2445B">
        <w:t>assets</w:t>
      </w:r>
      <w:r w:rsidRPr="00DC1F02" w:rsidR="00C02BB4">
        <w:t xml:space="preserve"> belonging to non-nationals could be expropriated </w:t>
      </w:r>
      <w:r w:rsidRPr="00DC1F02" w:rsidR="00D2445B">
        <w:t xml:space="preserve">only </w:t>
      </w:r>
      <w:r w:rsidRPr="00DC1F02" w:rsidR="00C02BB4">
        <w:t>in exchange for compensation.</w:t>
      </w:r>
    </w:p>
    <w:p w:rsidRPr="00DC1F02" w:rsidR="00F11D94" w:rsidP="00F11D94" w:rsidRDefault="009A77FC">
      <w:pPr>
        <w:pStyle w:val="JuParaChar"/>
        <w:rPr>
          <w:noProof/>
          <w:lang w:val="en-GB"/>
        </w:rPr>
      </w:pPr>
      <w:r w:rsidRPr="00DC1F02">
        <w:rPr>
          <w:lang w:val="en-GB"/>
        </w:rPr>
        <w:fldChar w:fldCharType="begin"/>
      </w:r>
      <w:r w:rsidRPr="00DC1F02">
        <w:rPr>
          <w:lang w:val="en-GB"/>
        </w:rPr>
        <w:instrText xml:space="preserve"> SEQ level0 \*arabic </w:instrText>
      </w:r>
      <w:r w:rsidRPr="00DC1F02">
        <w:rPr>
          <w:lang w:val="en-GB"/>
        </w:rPr>
        <w:fldChar w:fldCharType="separate"/>
      </w:r>
      <w:r w:rsidR="00CF6F43">
        <w:rPr>
          <w:noProof/>
          <w:lang w:val="en-GB"/>
        </w:rPr>
        <w:t>55</w:t>
      </w:r>
      <w:r w:rsidRPr="00DC1F02">
        <w:rPr>
          <w:lang w:val="en-GB"/>
        </w:rPr>
        <w:fldChar w:fldCharType="end"/>
      </w:r>
      <w:r w:rsidRPr="00DC1F02">
        <w:rPr>
          <w:lang w:val="en-GB"/>
        </w:rPr>
        <w:t>.  </w:t>
      </w:r>
      <w:r w:rsidRPr="00DC1F02" w:rsidR="00F11D94">
        <w:rPr>
          <w:noProof/>
          <w:lang w:val="en-GB"/>
        </w:rPr>
        <w:t xml:space="preserve">It added that, even supposing that the interference had been provided for by law, it </w:t>
      </w:r>
      <w:r w:rsidRPr="00DC1F02" w:rsidR="00D2445B">
        <w:rPr>
          <w:noProof/>
          <w:lang w:val="en-GB"/>
        </w:rPr>
        <w:t>ha</w:t>
      </w:r>
      <w:r w:rsidRPr="00DC1F02" w:rsidR="00F11D94">
        <w:rPr>
          <w:noProof/>
          <w:lang w:val="en-GB"/>
        </w:rPr>
        <w:t>d not pursue</w:t>
      </w:r>
      <w:r w:rsidRPr="00DC1F02" w:rsidR="00D2445B">
        <w:rPr>
          <w:noProof/>
          <w:lang w:val="en-GB"/>
        </w:rPr>
        <w:t>d</w:t>
      </w:r>
      <w:r w:rsidRPr="00DC1F02" w:rsidR="00F11D94">
        <w:rPr>
          <w:noProof/>
          <w:lang w:val="en-GB"/>
        </w:rPr>
        <w:t xml:space="preserve"> a legitimate aim. </w:t>
      </w:r>
      <w:r w:rsidRPr="00DC1F02" w:rsidR="00D2445B">
        <w:rPr>
          <w:noProof/>
          <w:lang w:val="en-GB"/>
        </w:rPr>
        <w:t xml:space="preserve">The </w:t>
      </w:r>
      <w:r w:rsidRPr="00DC1F02" w:rsidR="00F11D94">
        <w:rPr>
          <w:noProof/>
          <w:lang w:val="en-GB"/>
        </w:rPr>
        <w:t>domestic courts had not cited the risk of confu</w:t>
      </w:r>
      <w:r w:rsidR="00E44CB4">
        <w:rPr>
          <w:noProof/>
          <w:lang w:val="en-GB"/>
        </w:rPr>
        <w:t>sion alleged by the Portuguese G</w:t>
      </w:r>
      <w:r w:rsidRPr="00DC1F02" w:rsidR="00F11D94">
        <w:rPr>
          <w:noProof/>
          <w:lang w:val="en-GB"/>
        </w:rPr>
        <w:t>overnment between the “</w:t>
      </w:r>
      <w:r w:rsidRPr="00DC1F02" w:rsidR="00F11D94">
        <w:rPr>
          <w:iCs/>
          <w:noProof/>
          <w:lang w:val="en-GB"/>
        </w:rPr>
        <w:t>Budweiser”</w:t>
      </w:r>
      <w:r w:rsidRPr="00DC1F02" w:rsidR="00F11D94">
        <w:rPr>
          <w:noProof/>
          <w:lang w:val="en-GB"/>
        </w:rPr>
        <w:t xml:space="preserve"> mark and the relevant appellations of origin, but had relied instead solely on Article 189 § 1 </w:t>
      </w:r>
      <w:r w:rsidR="007B7A94">
        <w:rPr>
          <w:noProof/>
          <w:lang w:val="en-GB"/>
        </w:rPr>
        <w:t>(</w:t>
      </w:r>
      <w:r w:rsidRPr="00DC1F02" w:rsidR="007B7A94">
        <w:rPr>
          <w:noProof/>
          <w:lang w:val="en-GB"/>
        </w:rPr>
        <w:t xml:space="preserve">j) </w:t>
      </w:r>
      <w:r w:rsidRPr="00DC1F02" w:rsidR="00F11D94">
        <w:rPr>
          <w:noProof/>
          <w:lang w:val="en-GB"/>
        </w:rPr>
        <w:t xml:space="preserve">of the Code of Industrial Property. Furthermore, the interference was disproportionate as it had failed to strike the requisite fair balance between the general interest and the right of individuals. It also pointed out in that connection that it had not received any compensation for the loss of the use of its mark, despite the fact that there were no exceptional circumstances to justify the lack of </w:t>
      </w:r>
      <w:r w:rsidRPr="00DC1F02" w:rsidR="005E4A13">
        <w:rPr>
          <w:noProof/>
          <w:lang w:val="en-GB"/>
        </w:rPr>
        <w:t>payment</w:t>
      </w:r>
      <w:r w:rsidRPr="00DC1F02" w:rsidR="00F11D94">
        <w:rPr>
          <w:noProof/>
          <w:lang w:val="en-GB"/>
        </w:rPr>
        <w:t>. Furthermore, conflicts between trade marks and indications of source were now commonplace and the means were available under international law to resolve them satisfactorily. The Supreme Court</w:t>
      </w:r>
      <w:r w:rsidR="008B5D8B">
        <w:rPr>
          <w:noProof/>
          <w:lang w:val="en-GB"/>
        </w:rPr>
        <w:t>’</w:t>
      </w:r>
      <w:r w:rsidRPr="00DC1F02" w:rsidR="00F11D94">
        <w:rPr>
          <w:noProof/>
          <w:lang w:val="en-GB"/>
        </w:rPr>
        <w:t xml:space="preserve">s decision to give the 1986 </w:t>
      </w:r>
      <w:r w:rsidR="007B7A94">
        <w:rPr>
          <w:noProof/>
          <w:lang w:val="en-GB"/>
        </w:rPr>
        <w:t xml:space="preserve">Bilateral </w:t>
      </w:r>
      <w:r w:rsidRPr="00DC1F02" w:rsidR="00F11D94">
        <w:rPr>
          <w:noProof/>
          <w:lang w:val="en-GB"/>
        </w:rPr>
        <w:t>Agreement precedence over the prior application to register the “</w:t>
      </w:r>
      <w:r w:rsidRPr="00DC1F02" w:rsidR="00F11D94">
        <w:rPr>
          <w:iCs/>
          <w:noProof/>
          <w:lang w:val="en-GB"/>
        </w:rPr>
        <w:t>Budweiser” mark</w:t>
      </w:r>
      <w:r w:rsidRPr="00DC1F02" w:rsidR="00F11D94">
        <w:rPr>
          <w:noProof/>
          <w:lang w:val="en-GB"/>
        </w:rPr>
        <w:t xml:space="preserve"> was contrary to international law, in particular the TRIPs Agreement and the relevant Community directives.</w:t>
      </w:r>
    </w:p>
    <w:p w:rsidRPr="00DC1F02" w:rsidR="00A66D56" w:rsidP="00A66D56" w:rsidRDefault="00A66D56">
      <w:pPr>
        <w:pStyle w:val="JuH1"/>
      </w:pPr>
      <w:r w:rsidRPr="00DC1F02">
        <w:rPr>
          <w:noProof/>
        </w:rPr>
        <w:t>2.  The Government</w:t>
      </w:r>
    </w:p>
    <w:p w:rsidRPr="00DC1F02" w:rsidR="008B5B92"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56</w:t>
      </w:r>
      <w:r w:rsidRPr="00DC1F02">
        <w:fldChar w:fldCharType="end"/>
      </w:r>
      <w:r w:rsidRPr="00DC1F02">
        <w:t>.  </w:t>
      </w:r>
      <w:r w:rsidRPr="00DC1F02" w:rsidR="008B5B92">
        <w:t xml:space="preserve">The Government invited the Grand Chamber to endorse the </w:t>
      </w:r>
      <w:r w:rsidRPr="00DC1F02" w:rsidR="00BE3796">
        <w:t>Chamber</w:t>
      </w:r>
      <w:r w:rsidR="008B5D8B">
        <w:t>’</w:t>
      </w:r>
      <w:r w:rsidRPr="00DC1F02" w:rsidR="00BE3796">
        <w:t xml:space="preserve">s </w:t>
      </w:r>
      <w:r w:rsidRPr="00DC1F02" w:rsidR="008B5B92">
        <w:t>judgment and to hold that there had been no violation of Article</w:t>
      </w:r>
      <w:r w:rsidRPr="00DC1F02" w:rsidR="00BE3796">
        <w:t> </w:t>
      </w:r>
      <w:r w:rsidRPr="00DC1F02" w:rsidR="008B5B92">
        <w:t xml:space="preserve">1 </w:t>
      </w:r>
      <w:r w:rsidRPr="00DC1F02" w:rsidR="00510C79">
        <w:t xml:space="preserve">of </w:t>
      </w:r>
      <w:r w:rsidRPr="00DC1F02" w:rsidR="008B5B92">
        <w:t>Protocol No</w:t>
      </w:r>
      <w:r w:rsidRPr="00DC1F02" w:rsidR="00BE3796">
        <w:t>.</w:t>
      </w:r>
      <w:r w:rsidRPr="00DC1F02" w:rsidR="008B5B92">
        <w:t xml:space="preserve"> 1. They reiterated that that provision </w:t>
      </w:r>
      <w:r w:rsidRPr="00DC1F02" w:rsidR="00510C79">
        <w:t>did</w:t>
      </w:r>
      <w:r w:rsidRPr="00DC1F02" w:rsidR="008B5B92">
        <w:t xml:space="preserve"> not appl</w:t>
      </w:r>
      <w:r w:rsidRPr="00DC1F02" w:rsidR="00510C79">
        <w:t>y</w:t>
      </w:r>
      <w:r w:rsidRPr="00DC1F02" w:rsidR="008B5B92">
        <w:t xml:space="preserve"> to the applicant company</w:t>
      </w:r>
      <w:r w:rsidR="008B5D8B">
        <w:t>’</w:t>
      </w:r>
      <w:r w:rsidRPr="00DC1F02" w:rsidR="008B5B92">
        <w:t xml:space="preserve">s legal position as an applicant for the registration of a trade mark. In their submission, under the applicable </w:t>
      </w:r>
      <w:r w:rsidRPr="00DC1F02" w:rsidR="00BE3796">
        <w:t>law</w:t>
      </w:r>
      <w:r w:rsidRPr="00DC1F02" w:rsidR="008B5B92">
        <w:t xml:space="preserve">, </w:t>
      </w:r>
      <w:r w:rsidRPr="00DC1F02" w:rsidR="00BE3796">
        <w:t>a mark became a “possession” within the meaning of Article 1 of Protocol No. 1</w:t>
      </w:r>
      <w:r w:rsidRPr="00DC1F02" w:rsidR="008B5B92">
        <w:t xml:space="preserve"> only </w:t>
      </w:r>
      <w:r w:rsidRPr="00DC1F02" w:rsidR="00510C79">
        <w:t>upon</w:t>
      </w:r>
      <w:r w:rsidRPr="00DC1F02" w:rsidR="008B5B92">
        <w:t xml:space="preserve"> final registration. Prior </w:t>
      </w:r>
      <w:r w:rsidRPr="00DC1F02" w:rsidR="00BE3796">
        <w:t>there</w:t>
      </w:r>
      <w:r w:rsidRPr="00DC1F02" w:rsidR="008B5B92">
        <w:t xml:space="preserve">to, </w:t>
      </w:r>
      <w:r w:rsidRPr="00DC1F02" w:rsidR="00510C79">
        <w:t xml:space="preserve">an applicant for </w:t>
      </w:r>
      <w:r w:rsidRPr="00DC1F02" w:rsidR="00BE3796">
        <w:t xml:space="preserve">registration </w:t>
      </w:r>
      <w:r w:rsidRPr="00DC1F02" w:rsidR="008B5B92">
        <w:t xml:space="preserve">did not even possess a legitimate expectation. The Government referred in that connection to the </w:t>
      </w:r>
      <w:r w:rsidRPr="00DC1F02" w:rsidR="00BE3796">
        <w:t>Court</w:t>
      </w:r>
      <w:r w:rsidR="008B5D8B">
        <w:t>’</w:t>
      </w:r>
      <w:r w:rsidRPr="00DC1F02" w:rsidR="00BE3796">
        <w:t>s case-law holding that</w:t>
      </w:r>
      <w:r w:rsidRPr="00DC1F02" w:rsidR="008B5B92">
        <w:t xml:space="preserve"> Article 1 of Protocol No</w:t>
      </w:r>
      <w:r w:rsidRPr="00DC1F02" w:rsidR="00BE3796">
        <w:t>.</w:t>
      </w:r>
      <w:r w:rsidRPr="00DC1F02" w:rsidR="008B5B92">
        <w:t xml:space="preserve"> 1 only protected “existing” possessions.</w:t>
      </w:r>
    </w:p>
    <w:p w:rsidRPr="00DC1F02" w:rsidR="008D0FE7"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57</w:t>
      </w:r>
      <w:r w:rsidRPr="00DC1F02">
        <w:fldChar w:fldCharType="end"/>
      </w:r>
      <w:r w:rsidRPr="00DC1F02">
        <w:t>.  </w:t>
      </w:r>
      <w:r w:rsidRPr="00DC1F02" w:rsidR="008D0FE7">
        <w:t>The Government added that the applicant company</w:t>
      </w:r>
      <w:r w:rsidR="008B5D8B">
        <w:t>’</w:t>
      </w:r>
      <w:r w:rsidRPr="00DC1F02" w:rsidR="008D0FE7">
        <w:t xml:space="preserve">s right to use of the mark had always been uncertain and </w:t>
      </w:r>
      <w:r w:rsidRPr="00DC1F02" w:rsidR="00D9768C">
        <w:t>a point of contention</w:t>
      </w:r>
      <w:r w:rsidRPr="00DC1F02" w:rsidR="008D0FE7">
        <w:t>. W</w:t>
      </w:r>
      <w:r w:rsidRPr="00DC1F02" w:rsidR="00D9768C">
        <w:t>hen the</w:t>
      </w:r>
      <w:r w:rsidRPr="00DC1F02" w:rsidR="008D0FE7">
        <w:t xml:space="preserve"> application for registration was lodged on 19 May 1981 the right to use the term </w:t>
      </w:r>
      <w:r w:rsidR="00874975">
        <w:t>“</w:t>
      </w:r>
      <w:r w:rsidRPr="00874975">
        <w:t>Budweiser</w:t>
      </w:r>
      <w:r w:rsidR="00874975">
        <w:t>”</w:t>
      </w:r>
      <w:r w:rsidRPr="00DC1F02">
        <w:t xml:space="preserve"> </w:t>
      </w:r>
      <w:r w:rsidRPr="00DC1F02" w:rsidR="008D0FE7">
        <w:t xml:space="preserve">had already been registered by </w:t>
      </w:r>
      <w:proofErr w:type="spellStart"/>
      <w:r w:rsidRPr="00DC1F02" w:rsidR="00EA3C92">
        <w:t>Bud</w:t>
      </w:r>
      <w:r w:rsidR="00EA3C92">
        <w:t>ě</w:t>
      </w:r>
      <w:r w:rsidRPr="00DC1F02" w:rsidR="00EA3C92">
        <w:t>jovick</w:t>
      </w:r>
      <w:r w:rsidR="00EA3C92">
        <w:t>ý</w:t>
      </w:r>
      <w:proofErr w:type="spellEnd"/>
      <w:r w:rsidRPr="00DC1F02" w:rsidR="00EA3C92">
        <w:t xml:space="preserve"> </w:t>
      </w:r>
      <w:proofErr w:type="spellStart"/>
      <w:r w:rsidRPr="00DC1F02" w:rsidR="00510C79">
        <w:t>Budvar</w:t>
      </w:r>
      <w:proofErr w:type="spellEnd"/>
      <w:r w:rsidRPr="00DC1F02">
        <w:t xml:space="preserve">, </w:t>
      </w:r>
      <w:r w:rsidRPr="00DC1F02" w:rsidR="008D0FE7">
        <w:t xml:space="preserve">which </w:t>
      </w:r>
      <w:r w:rsidRPr="00DC1F02" w:rsidR="005A65C4">
        <w:t>explained</w:t>
      </w:r>
      <w:r w:rsidRPr="00DC1F02" w:rsidR="008D0FE7">
        <w:t xml:space="preserve"> why the NIIP had not immediately processed the application. In that connection</w:t>
      </w:r>
      <w:r w:rsidRPr="00DC1F02" w:rsidR="00D9768C">
        <w:t>,</w:t>
      </w:r>
      <w:r w:rsidRPr="00DC1F02" w:rsidR="008D0FE7">
        <w:t xml:space="preserve"> the Government </w:t>
      </w:r>
      <w:r w:rsidRPr="00DC1F02" w:rsidR="00D9768C">
        <w:t>st</w:t>
      </w:r>
      <w:r w:rsidRPr="00DC1F02" w:rsidR="008D0FE7">
        <w:t xml:space="preserve">ressed that when the Bilateral Agreement between Portugal and </w:t>
      </w:r>
      <w:r w:rsidRPr="00DC1F02" w:rsidR="00D9768C">
        <w:t xml:space="preserve">the </w:t>
      </w:r>
      <w:r w:rsidRPr="00DC1F02" w:rsidR="008D0FE7">
        <w:t xml:space="preserve">Czech </w:t>
      </w:r>
      <w:r w:rsidRPr="00DC1F02" w:rsidR="00D9768C">
        <w:t xml:space="preserve">Republic </w:t>
      </w:r>
      <w:r w:rsidRPr="00DC1F02" w:rsidR="008D0FE7">
        <w:t xml:space="preserve">was signed in 1986, only </w:t>
      </w:r>
      <w:proofErr w:type="spellStart"/>
      <w:r w:rsidRPr="00DC1F02" w:rsidR="00EA3C92">
        <w:t>Bud</w:t>
      </w:r>
      <w:r w:rsidR="00EA3C92">
        <w:t>ě</w:t>
      </w:r>
      <w:r w:rsidRPr="00DC1F02" w:rsidR="00EA3C92">
        <w:t>jovick</w:t>
      </w:r>
      <w:r w:rsidR="00EA3C92">
        <w:t>ý</w:t>
      </w:r>
      <w:proofErr w:type="spellEnd"/>
      <w:r w:rsidRPr="00DC1F02" w:rsidR="00EA3C92">
        <w:t xml:space="preserve"> </w:t>
      </w:r>
      <w:proofErr w:type="spellStart"/>
      <w:r w:rsidRPr="00DC1F02" w:rsidR="00510C79">
        <w:t>Budvar</w:t>
      </w:r>
      <w:proofErr w:type="spellEnd"/>
      <w:r w:rsidRPr="00DC1F02" w:rsidR="00510C79">
        <w:t xml:space="preserve"> </w:t>
      </w:r>
      <w:r w:rsidRPr="00DC1F02" w:rsidR="008D0FE7">
        <w:t xml:space="preserve">was entitled to use the term </w:t>
      </w:r>
      <w:r w:rsidR="00874975">
        <w:t>“</w:t>
      </w:r>
      <w:r w:rsidRPr="00874975">
        <w:t>Budweiser</w:t>
      </w:r>
      <w:r w:rsidR="00874975">
        <w:t>”</w:t>
      </w:r>
      <w:r w:rsidRPr="00DC1F02">
        <w:t xml:space="preserve"> </w:t>
      </w:r>
      <w:r w:rsidRPr="00DC1F02" w:rsidR="003F78BE">
        <w:t>(</w:t>
      </w:r>
      <w:r w:rsidRPr="00DC1F02" w:rsidR="008D0FE7">
        <w:t>a</w:t>
      </w:r>
      <w:r w:rsidRPr="00DC1F02" w:rsidR="00D9768C">
        <w:t>s</w:t>
      </w:r>
      <w:r w:rsidRPr="00DC1F02" w:rsidR="008D0FE7">
        <w:t xml:space="preserve"> </w:t>
      </w:r>
      <w:r w:rsidRPr="00DC1F02" w:rsidR="003F78BE">
        <w:t>an</w:t>
      </w:r>
      <w:r w:rsidRPr="00DC1F02" w:rsidR="008D0FE7">
        <w:t xml:space="preserve"> appellation of origin</w:t>
      </w:r>
      <w:r w:rsidRPr="00DC1F02" w:rsidR="003F78BE">
        <w:t>)</w:t>
      </w:r>
      <w:r w:rsidRPr="00DC1F02" w:rsidR="008D0FE7">
        <w:t xml:space="preserve">. </w:t>
      </w:r>
      <w:proofErr w:type="spellStart"/>
      <w:r w:rsidRPr="00DC1F02" w:rsidR="00EA3C92">
        <w:t>Bud</w:t>
      </w:r>
      <w:r w:rsidR="00EA3C92">
        <w:t>ě</w:t>
      </w:r>
      <w:r w:rsidRPr="00DC1F02" w:rsidR="00EA3C92">
        <w:t>jovick</w:t>
      </w:r>
      <w:r w:rsidR="00EA3C92">
        <w:t>ý</w:t>
      </w:r>
      <w:proofErr w:type="spellEnd"/>
      <w:r w:rsidRPr="00DC1F02" w:rsidR="00EA3C92">
        <w:t xml:space="preserve"> </w:t>
      </w:r>
      <w:proofErr w:type="spellStart"/>
      <w:r w:rsidRPr="00DC1F02" w:rsidR="00510C79">
        <w:t>Budvar</w:t>
      </w:r>
      <w:proofErr w:type="spellEnd"/>
      <w:r w:rsidRPr="00DC1F02" w:rsidR="00510C79">
        <w:t xml:space="preserve"> </w:t>
      </w:r>
      <w:r w:rsidRPr="00DC1F02" w:rsidR="003F78BE">
        <w:t>ha</w:t>
      </w:r>
      <w:r w:rsidRPr="00DC1F02" w:rsidR="008D0FE7">
        <w:t xml:space="preserve">d, moreover, immediately contested the </w:t>
      </w:r>
      <w:proofErr w:type="spellStart"/>
      <w:r w:rsidRPr="00DC1F02" w:rsidR="008D0FE7">
        <w:t>NIIP</w:t>
      </w:r>
      <w:r w:rsidR="008B5D8B">
        <w:t>’</w:t>
      </w:r>
      <w:r w:rsidRPr="00DC1F02" w:rsidR="008D0FE7">
        <w:t>s</w:t>
      </w:r>
      <w:proofErr w:type="spellEnd"/>
      <w:r w:rsidRPr="00DC1F02" w:rsidR="008D0FE7">
        <w:t xml:space="preserve"> decision in 1995 to register the mark and </w:t>
      </w:r>
      <w:r w:rsidRPr="00DC1F02" w:rsidR="00510C79">
        <w:t>had gone on to win</w:t>
      </w:r>
      <w:r w:rsidRPr="00DC1F02" w:rsidR="008D0FE7">
        <w:t xml:space="preserve"> the proceedings. The Government therefore argued that the applicant company had at no stage during that period be</w:t>
      </w:r>
      <w:r w:rsidRPr="00DC1F02" w:rsidR="003F78BE">
        <w:t>en</w:t>
      </w:r>
      <w:r w:rsidRPr="00DC1F02" w:rsidR="008D0FE7">
        <w:t xml:space="preserve"> able to claim any “legitimate expectation” that would have entitled it to the protection of Article 1 of Protocol No</w:t>
      </w:r>
      <w:r w:rsidRPr="00DC1F02" w:rsidR="003F78BE">
        <w:t>.</w:t>
      </w:r>
      <w:r w:rsidRPr="00DC1F02" w:rsidR="008D0FE7">
        <w:t xml:space="preserve"> 1.</w:t>
      </w:r>
    </w:p>
    <w:p w:rsidRPr="00DC1F02" w:rsidR="007A4D6F"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58</w:t>
      </w:r>
      <w:r w:rsidRPr="00DC1F02">
        <w:fldChar w:fldCharType="end"/>
      </w:r>
      <w:r w:rsidRPr="00DC1F02">
        <w:t>.  </w:t>
      </w:r>
      <w:r w:rsidRPr="00DC1F02" w:rsidR="00094672">
        <w:t>With</w:t>
      </w:r>
      <w:r w:rsidRPr="00DC1F02" w:rsidR="007A4D6F">
        <w:t xml:space="preserve"> regard </w:t>
      </w:r>
      <w:r w:rsidRPr="00DC1F02" w:rsidR="00FE2FB2">
        <w:t xml:space="preserve">to </w:t>
      </w:r>
      <w:r w:rsidRPr="00DC1F02" w:rsidR="007A4D6F">
        <w:t xml:space="preserve">the question of </w:t>
      </w:r>
      <w:proofErr w:type="spellStart"/>
      <w:r w:rsidR="00580360">
        <w:t>assignability</w:t>
      </w:r>
      <w:proofErr w:type="spellEnd"/>
      <w:r w:rsidR="00580360">
        <w:t xml:space="preserve"> </w:t>
      </w:r>
      <w:r w:rsidRPr="00DC1F02" w:rsidR="007A4D6F">
        <w:t>and</w:t>
      </w:r>
      <w:r w:rsidRPr="00DC1F02" w:rsidR="006A4BBC">
        <w:t xml:space="preserve"> </w:t>
      </w:r>
      <w:r w:rsidRPr="00DC1F02" w:rsidR="00580360">
        <w:t>transferability</w:t>
      </w:r>
      <w:r w:rsidRPr="00DC1F02" w:rsidR="007A4D6F">
        <w:t xml:space="preserve">, the Government said that even </w:t>
      </w:r>
      <w:r w:rsidRPr="00DC1F02" w:rsidR="00094672">
        <w:t>though</w:t>
      </w:r>
      <w:r w:rsidRPr="00DC1F02" w:rsidR="007A4D6F">
        <w:t xml:space="preserve"> it had been possible to </w:t>
      </w:r>
      <w:r w:rsidR="00D65E34">
        <w:t>assign</w:t>
      </w:r>
      <w:r w:rsidRPr="00DC1F02" w:rsidR="00D65E34">
        <w:t xml:space="preserve"> </w:t>
      </w:r>
      <w:r w:rsidRPr="00DC1F02" w:rsidR="00FE2FB2">
        <w:t>and</w:t>
      </w:r>
      <w:r w:rsidRPr="00DC1F02" w:rsidR="007A4D6F">
        <w:t xml:space="preserve"> </w:t>
      </w:r>
      <w:r w:rsidR="00580360">
        <w:t>transfer</w:t>
      </w:r>
      <w:r w:rsidRPr="00DC1F02" w:rsidR="007A4D6F">
        <w:t xml:space="preserve"> applications</w:t>
      </w:r>
      <w:r w:rsidRPr="00DC1F02" w:rsidR="00094672">
        <w:t xml:space="preserve"> </w:t>
      </w:r>
      <w:r w:rsidRPr="00DC1F02" w:rsidR="007A4D6F">
        <w:t xml:space="preserve">for the registration of a trade mark since the </w:t>
      </w:r>
      <w:r w:rsidRPr="00DC1F02" w:rsidR="00FE2FB2">
        <w:t xml:space="preserve">entry into force of the </w:t>
      </w:r>
      <w:r w:rsidRPr="00DC1F02" w:rsidR="007A4D6F">
        <w:t xml:space="preserve">Code of </w:t>
      </w:r>
      <w:r w:rsidRPr="00DC1F02" w:rsidR="00D65E34">
        <w:t xml:space="preserve">Industrial </w:t>
      </w:r>
      <w:r w:rsidRPr="00DC1F02" w:rsidR="007A4D6F">
        <w:t>Property of 1995</w:t>
      </w:r>
      <w:r w:rsidR="00580360">
        <w:t xml:space="preserve"> </w:t>
      </w:r>
      <w:r w:rsidRPr="00DC1F02" w:rsidR="007A4D6F">
        <w:t>–</w:t>
      </w:r>
      <w:r w:rsidRPr="00DC1F02" w:rsidR="00094672">
        <w:t xml:space="preserve"> </w:t>
      </w:r>
      <w:r w:rsidRPr="00DC1F02" w:rsidR="007A4D6F">
        <w:t>though not previously –</w:t>
      </w:r>
      <w:r w:rsidRPr="00DC1F02" w:rsidR="00094672">
        <w:t xml:space="preserve"> </w:t>
      </w:r>
      <w:r w:rsidRPr="00DC1F02" w:rsidR="007A4D6F">
        <w:t>the process was in practice of negligible</w:t>
      </w:r>
      <w:r w:rsidRPr="00DC1F02" w:rsidR="00094672">
        <w:t>,</w:t>
      </w:r>
      <w:r w:rsidRPr="00DC1F02" w:rsidR="007A4D6F">
        <w:t xml:space="preserve"> even symbolic</w:t>
      </w:r>
      <w:r w:rsidRPr="00DC1F02" w:rsidR="00094672">
        <w:t>,</w:t>
      </w:r>
      <w:r w:rsidRPr="00DC1F02" w:rsidR="007A4D6F">
        <w:t xml:space="preserve"> economic value. </w:t>
      </w:r>
      <w:r w:rsidRPr="00DC1F02" w:rsidR="00094672">
        <w:t xml:space="preserve">In </w:t>
      </w:r>
      <w:r w:rsidR="00580360">
        <w:t>point of fact</w:t>
      </w:r>
      <w:r w:rsidRPr="00DC1F02" w:rsidR="00094672">
        <w:t>,</w:t>
      </w:r>
      <w:r w:rsidRPr="00DC1F02" w:rsidR="007A4D6F">
        <w:t xml:space="preserve"> such dealings </w:t>
      </w:r>
      <w:r w:rsidRPr="00DC1F02" w:rsidR="00094672">
        <w:t xml:space="preserve">were </w:t>
      </w:r>
      <w:r w:rsidRPr="00DC1F02" w:rsidR="007A4D6F">
        <w:t xml:space="preserve">generally </w:t>
      </w:r>
      <w:r w:rsidRPr="00DC1F02" w:rsidR="00094672">
        <w:t>the</w:t>
      </w:r>
      <w:r w:rsidRPr="00DC1F02" w:rsidR="007A4D6F">
        <w:t xml:space="preserve"> result of a dispute between two companies over an application to register a mark</w:t>
      </w:r>
      <w:r w:rsidR="00690681">
        <w:t xml:space="preserve"> with </w:t>
      </w:r>
      <w:r w:rsidRPr="00DC1F02" w:rsidR="007A4D6F">
        <w:t xml:space="preserve">the </w:t>
      </w:r>
      <w:r w:rsidR="00580360">
        <w:t>transfer</w:t>
      </w:r>
      <w:r w:rsidRPr="00DC1F02" w:rsidR="007A4D6F">
        <w:t xml:space="preserve"> of the application</w:t>
      </w:r>
      <w:r w:rsidR="00690681">
        <w:t xml:space="preserve"> serving </w:t>
      </w:r>
      <w:r w:rsidRPr="00DC1F02" w:rsidR="007A4D6F">
        <w:t>to settle the dispute. In the Government</w:t>
      </w:r>
      <w:r w:rsidR="008B5D8B">
        <w:t>’</w:t>
      </w:r>
      <w:r w:rsidRPr="00DC1F02" w:rsidR="007A4D6F">
        <w:t>s submission, th</w:t>
      </w:r>
      <w:r w:rsidRPr="00DC1F02" w:rsidR="00094672">
        <w:t>at</w:t>
      </w:r>
      <w:r w:rsidRPr="00DC1F02" w:rsidR="007A4D6F">
        <w:t xml:space="preserve"> practice tended to support the view that Article 1</w:t>
      </w:r>
      <w:r w:rsidRPr="00DC1F02" w:rsidR="00FE2FB2">
        <w:t xml:space="preserve"> of</w:t>
      </w:r>
      <w:r w:rsidRPr="00DC1F02" w:rsidR="007A4D6F">
        <w:t xml:space="preserve"> Protocol No</w:t>
      </w:r>
      <w:r w:rsidRPr="00DC1F02" w:rsidR="00094672">
        <w:t>.</w:t>
      </w:r>
      <w:r w:rsidRPr="00DC1F02" w:rsidR="007A4D6F">
        <w:t xml:space="preserve"> 1 was </w:t>
      </w:r>
      <w:r w:rsidRPr="00DC1F02" w:rsidR="00094672">
        <w:t>not</w:t>
      </w:r>
      <w:r w:rsidRPr="00DC1F02" w:rsidR="007A4D6F">
        <w:t xml:space="preserve"> applicable to such applications.</w:t>
      </w:r>
    </w:p>
    <w:p w:rsidRPr="00DC1F02" w:rsidR="00DC55AB"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59</w:t>
      </w:r>
      <w:r w:rsidRPr="00DC1F02">
        <w:fldChar w:fldCharType="end"/>
      </w:r>
      <w:r w:rsidRPr="00DC1F02">
        <w:t>.  </w:t>
      </w:r>
      <w:r w:rsidRPr="00DC1F02" w:rsidR="00860360">
        <w:t>With reference to the applicant company</w:t>
      </w:r>
      <w:r w:rsidR="008B5D8B">
        <w:t>’</w:t>
      </w:r>
      <w:r w:rsidRPr="00DC1F02" w:rsidR="00860360">
        <w:t xml:space="preserve">s assertion in its written submissions to the Grand Chamber that the NIIP had issued a registration certificate, the Government stated that, as a matter of law, </w:t>
      </w:r>
      <w:r w:rsidRPr="00DC1F02" w:rsidR="006C5FC5">
        <w:t>the mere issue of a certificate</w:t>
      </w:r>
      <w:r w:rsidRPr="00DC1F02" w:rsidR="00860360">
        <w:t xml:space="preserve"> did not assist the applicant company</w:t>
      </w:r>
      <w:r w:rsidR="008B5D8B">
        <w:t>’</w:t>
      </w:r>
      <w:r w:rsidRPr="00DC1F02" w:rsidR="00860360">
        <w:t xml:space="preserve">s position. They noted that the relevant provisions, in particular Article 7 § 1 of the Code of Industrial Property, made it clear that the competent authorities could only issue such a certificate when the judicial decision </w:t>
      </w:r>
      <w:r w:rsidRPr="00DC1F02" w:rsidR="006C5FC5">
        <w:t>on</w:t>
      </w:r>
      <w:r w:rsidRPr="00DC1F02" w:rsidR="00860360">
        <w:t xml:space="preserve"> the application for registration </w:t>
      </w:r>
      <w:r w:rsidRPr="00DC1F02" w:rsidR="006C5FC5">
        <w:t xml:space="preserve">had </w:t>
      </w:r>
      <w:r w:rsidRPr="00DC1F02" w:rsidR="00860360">
        <w:t>bec</w:t>
      </w:r>
      <w:r w:rsidRPr="00DC1F02" w:rsidR="006C5FC5">
        <w:t>o</w:t>
      </w:r>
      <w:r w:rsidRPr="00DC1F02" w:rsidR="00860360">
        <w:t>me final. Although</w:t>
      </w:r>
      <w:r w:rsidRPr="00DC1F02" w:rsidR="006C5FC5">
        <w:t xml:space="preserve">, despite this, the applicant company had inadvertently been </w:t>
      </w:r>
      <w:r w:rsidRPr="00DC1F02" w:rsidR="005A65C4">
        <w:t>issued</w:t>
      </w:r>
      <w:r w:rsidRPr="00DC1F02" w:rsidR="006C5FC5">
        <w:t xml:space="preserve"> with</w:t>
      </w:r>
      <w:r w:rsidRPr="00DC1F02" w:rsidR="00860360">
        <w:t xml:space="preserve"> a certificate by the competent authorities, </w:t>
      </w:r>
      <w:r w:rsidRPr="00DC1F02" w:rsidR="006C5FC5">
        <w:t>it was aware</w:t>
      </w:r>
      <w:r w:rsidRPr="00DC1F02" w:rsidR="00860360">
        <w:t xml:space="preserve"> that it had no value in law and</w:t>
      </w:r>
      <w:r w:rsidRPr="00DC1F02" w:rsidR="006C5FC5">
        <w:t>, furthermore,</w:t>
      </w:r>
      <w:r w:rsidRPr="00DC1F02" w:rsidR="00860360">
        <w:t xml:space="preserve"> that its use in </w:t>
      </w:r>
      <w:smartTag w:uri="urn:schemas-microsoft-com:office:smarttags" w:element="place">
        <w:smartTag w:uri="urn:schemas-microsoft-com:office:smarttags" w:element="country-region">
          <w:r w:rsidR="00860360" w:rsidRPr="00DC1F02">
            <w:t>Portugal</w:t>
          </w:r>
        </w:smartTag>
      </w:smartTag>
      <w:r w:rsidRPr="00DC1F02" w:rsidR="00860360">
        <w:t xml:space="preserve"> was</w:t>
      </w:r>
      <w:r w:rsidRPr="00DC1F02" w:rsidR="006C5FC5">
        <w:t xml:space="preserve"> an</w:t>
      </w:r>
      <w:r w:rsidRPr="00DC1F02" w:rsidR="00860360">
        <w:t xml:space="preserve"> administrative offence </w:t>
      </w:r>
      <w:r w:rsidRPr="00DC1F02" w:rsidR="006C5FC5">
        <w:t xml:space="preserve">which carried the same penalties </w:t>
      </w:r>
      <w:r w:rsidRPr="00DC1F02" w:rsidR="00860360">
        <w:t xml:space="preserve">as a minor offence under the </w:t>
      </w:r>
      <w:r w:rsidRPr="00DC1F02" w:rsidR="006C5FC5">
        <w:t>provisions of</w:t>
      </w:r>
      <w:r w:rsidRPr="00DC1F02" w:rsidR="00860360">
        <w:t xml:space="preserve"> domestic</w:t>
      </w:r>
      <w:r w:rsidRPr="00DC1F02" w:rsidR="00DC55AB">
        <w:t xml:space="preserve"> law.</w:t>
      </w:r>
    </w:p>
    <w:p w:rsidR="00627C6A"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60</w:t>
      </w:r>
      <w:r w:rsidRPr="00DC1F02">
        <w:fldChar w:fldCharType="end"/>
      </w:r>
      <w:r w:rsidRPr="00DC1F02">
        <w:t>.  </w:t>
      </w:r>
      <w:r w:rsidRPr="00DC1F02" w:rsidR="00614451">
        <w:t>The Government argued that the Supreme Court</w:t>
      </w:r>
      <w:r w:rsidR="008B5D8B">
        <w:t>’</w:t>
      </w:r>
      <w:r w:rsidRPr="00DC1F02" w:rsidR="00614451">
        <w:t xml:space="preserve">s decision could not have </w:t>
      </w:r>
      <w:r w:rsidRPr="00DC1F02" w:rsidR="00AE6D87">
        <w:t xml:space="preserve">operated </w:t>
      </w:r>
      <w:r w:rsidRPr="00DC1F02" w:rsidR="00614451">
        <w:t xml:space="preserve">to deprive the applicant company of a “possession” within the meaning of Article 1 </w:t>
      </w:r>
      <w:r w:rsidRPr="00DC1F02" w:rsidR="004C365C">
        <w:t xml:space="preserve">of </w:t>
      </w:r>
      <w:r w:rsidRPr="00DC1F02" w:rsidR="00614451">
        <w:t>Protocol No</w:t>
      </w:r>
      <w:r w:rsidRPr="00DC1F02" w:rsidR="00AE6D87">
        <w:t>.</w:t>
      </w:r>
      <w:r w:rsidRPr="00DC1F02" w:rsidR="00614451">
        <w:t xml:space="preserve"> 1. The domestic courts</w:t>
      </w:r>
      <w:r w:rsidR="008B5D8B">
        <w:t>’</w:t>
      </w:r>
      <w:r w:rsidRPr="00DC1F02" w:rsidR="00614451">
        <w:t xml:space="preserve"> interpretation of the Bilateral Agreement could not be overrule</w:t>
      </w:r>
      <w:r w:rsidRPr="00DC1F02" w:rsidR="00AE6D87">
        <w:t>d by</w:t>
      </w:r>
      <w:r w:rsidRPr="00DC1F02" w:rsidR="00614451">
        <w:t xml:space="preserve"> the Court without it becoming a </w:t>
      </w:r>
      <w:r w:rsidRPr="00DC1F02" w:rsidR="00AE6D87">
        <w:t xml:space="preserve">court </w:t>
      </w:r>
      <w:r w:rsidRPr="00DC1F02" w:rsidR="00614451">
        <w:t>of fourth instance, contrary to the aim and spirit of the Convention.</w:t>
      </w:r>
    </w:p>
    <w:p w:rsidRPr="00DC1F02" w:rsidR="00847C3B" w:rsidP="00A25BB2" w:rsidRDefault="00A25BB2">
      <w:pPr>
        <w:pStyle w:val="JuParaChar"/>
        <w:rPr>
          <w:noProof/>
          <w:lang w:val="en-GB"/>
        </w:rPr>
      </w:pPr>
      <w:r w:rsidRPr="00DC1F02">
        <w:rPr>
          <w:lang w:val="en-GB"/>
        </w:rPr>
        <w:fldChar w:fldCharType="begin"/>
      </w:r>
      <w:r w:rsidRPr="00DC1F02">
        <w:rPr>
          <w:lang w:val="en-GB"/>
        </w:rPr>
        <w:instrText xml:space="preserve"> SEQ level0 \*arabic </w:instrText>
      </w:r>
      <w:r w:rsidRPr="00DC1F02">
        <w:rPr>
          <w:lang w:val="en-GB"/>
        </w:rPr>
        <w:fldChar w:fldCharType="separate"/>
      </w:r>
      <w:r w:rsidR="00CF6F43">
        <w:rPr>
          <w:noProof/>
          <w:lang w:val="en-GB"/>
        </w:rPr>
        <w:t>61</w:t>
      </w:r>
      <w:r w:rsidRPr="00DC1F02">
        <w:rPr>
          <w:lang w:val="en-GB"/>
        </w:rPr>
        <w:fldChar w:fldCharType="end"/>
      </w:r>
      <w:r w:rsidRPr="00DC1F02">
        <w:rPr>
          <w:lang w:val="en-GB"/>
        </w:rPr>
        <w:t>.  </w:t>
      </w:r>
      <w:r w:rsidRPr="00DC1F02" w:rsidR="00365206">
        <w:rPr>
          <w:noProof/>
          <w:lang w:val="en-GB"/>
        </w:rPr>
        <w:t>Even supposing that there had been interference with a right of the applicant company, such interference amounted, in the Government</w:t>
      </w:r>
      <w:r w:rsidR="008B5D8B">
        <w:rPr>
          <w:noProof/>
          <w:lang w:val="en-GB"/>
        </w:rPr>
        <w:t>’</w:t>
      </w:r>
      <w:r w:rsidRPr="00DC1F02" w:rsidR="00365206">
        <w:rPr>
          <w:noProof/>
          <w:lang w:val="en-GB"/>
        </w:rPr>
        <w:t>s submission, to control of the use of property, not deprivation of possessions. In any event, the interference was provided for by law, namely the Bilateral Agreement of 1986, which formed part of Portuguese domestic law. It also pursued a legitimate aim: the Portuguese courts</w:t>
      </w:r>
      <w:r w:rsidR="008B5D8B">
        <w:rPr>
          <w:noProof/>
          <w:lang w:val="en-GB"/>
        </w:rPr>
        <w:t>’</w:t>
      </w:r>
      <w:r w:rsidRPr="00DC1F02" w:rsidR="00365206">
        <w:rPr>
          <w:noProof/>
          <w:lang w:val="en-GB"/>
        </w:rPr>
        <w:t xml:space="preserve"> decision under the </w:t>
      </w:r>
      <w:r w:rsidRPr="00DC1F02" w:rsidR="00B32222">
        <w:rPr>
          <w:noProof/>
          <w:lang w:val="en-GB"/>
        </w:rPr>
        <w:t xml:space="preserve">Bilateral </w:t>
      </w:r>
      <w:r w:rsidRPr="00DC1F02" w:rsidR="00365206">
        <w:rPr>
          <w:noProof/>
          <w:lang w:val="en-GB"/>
        </w:rPr>
        <w:t>Agreement was pri</w:t>
      </w:r>
      <w:r w:rsidR="00034429">
        <w:rPr>
          <w:noProof/>
          <w:lang w:val="en-GB"/>
        </w:rPr>
        <w:t>marily</w:t>
      </w:r>
      <w:r w:rsidRPr="00DC1F02" w:rsidR="00365206">
        <w:rPr>
          <w:noProof/>
          <w:lang w:val="en-GB"/>
        </w:rPr>
        <w:t xml:space="preserve"> intended to ensure compliance with domestic law, particularly as it concerned the </w:t>
      </w:r>
      <w:smartTag w:uri="urn:schemas-microsoft-com:office:smarttags" w:element="place">
        <w:smartTag w:uri="urn:schemas-microsoft-com:office:smarttags" w:element="PlaceName">
          <w:r w:rsidR="00365206" w:rsidRPr="00DC1F02">
            <w:rPr>
              <w:noProof/>
              <w:lang w:val="en-GB"/>
            </w:rPr>
            <w:t>Portuguese</w:t>
          </w:r>
        </w:smartTag>
        <w:r w:rsidR="00365206" w:rsidRPr="00DC1F02">
          <w:rPr>
            <w:noProof/>
            <w:lang w:val="en-GB"/>
          </w:rPr>
          <w:t xml:space="preserve"> </w:t>
        </w:r>
        <w:smartTag w:uri="urn:schemas-microsoft-com:office:smarttags" w:element="PlaceType">
          <w:r w:rsidR="00365206" w:rsidRPr="00DC1F02">
            <w:rPr>
              <w:noProof/>
              <w:lang w:val="en-GB"/>
            </w:rPr>
            <w:t>State</w:t>
          </w:r>
        </w:smartTag>
      </w:smartTag>
      <w:r w:rsidR="008B5D8B">
        <w:rPr>
          <w:noProof/>
          <w:lang w:val="en-GB"/>
        </w:rPr>
        <w:t>’</w:t>
      </w:r>
      <w:r w:rsidRPr="00DC1F02" w:rsidR="00365206">
        <w:rPr>
          <w:noProof/>
          <w:lang w:val="en-GB"/>
        </w:rPr>
        <w:t xml:space="preserve">s international obligations, but also to avoid risks of confusion over </w:t>
      </w:r>
      <w:r w:rsidRPr="00DC1F02" w:rsidR="00451843">
        <w:rPr>
          <w:noProof/>
          <w:lang w:val="en-GB"/>
        </w:rPr>
        <w:t>a</w:t>
      </w:r>
      <w:r w:rsidRPr="00DC1F02" w:rsidR="00365206">
        <w:rPr>
          <w:noProof/>
          <w:lang w:val="en-GB"/>
        </w:rPr>
        <w:t xml:space="preserve"> product</w:t>
      </w:r>
      <w:r w:rsidR="008B5D8B">
        <w:rPr>
          <w:noProof/>
          <w:lang w:val="en-GB"/>
        </w:rPr>
        <w:t>’</w:t>
      </w:r>
      <w:r w:rsidRPr="00DC1F02" w:rsidR="00365206">
        <w:rPr>
          <w:noProof/>
          <w:lang w:val="en-GB"/>
        </w:rPr>
        <w:t>s source. The Government observed in that connection that, although the Portuguese c</w:t>
      </w:r>
      <w:r w:rsidR="00E021AF">
        <w:rPr>
          <w:noProof/>
          <w:lang w:val="en-GB"/>
        </w:rPr>
        <w:t xml:space="preserve">ourts had not relied on Article </w:t>
      </w:r>
      <w:r w:rsidRPr="00DC1F02" w:rsidR="00365206">
        <w:rPr>
          <w:noProof/>
          <w:lang w:val="en-GB"/>
        </w:rPr>
        <w:t>189 § 1 (l) of the Code of Industrial Property as a basis for refusing registration of the mark, it was apparent from the Supreme Court</w:t>
      </w:r>
      <w:r w:rsidR="008B5D8B">
        <w:rPr>
          <w:noProof/>
          <w:lang w:val="en-GB"/>
        </w:rPr>
        <w:t>’</w:t>
      </w:r>
      <w:r w:rsidRPr="00DC1F02" w:rsidR="00365206">
        <w:rPr>
          <w:noProof/>
          <w:lang w:val="en-GB"/>
        </w:rPr>
        <w:t>s judgment that it had also taken into account in its reasoning the risk of confusion with the Czech appellation of origin.</w:t>
      </w:r>
      <w:r w:rsidRPr="00DC1F02" w:rsidR="00B32222">
        <w:rPr>
          <w:noProof/>
          <w:lang w:val="en-GB"/>
        </w:rPr>
        <w:t xml:space="preserve"> </w:t>
      </w:r>
      <w:r w:rsidRPr="00DC1F02" w:rsidR="00847C3B">
        <w:rPr>
          <w:noProof/>
          <w:lang w:val="en-GB"/>
        </w:rPr>
        <w:t>The Government added that any interference there may have been had been entirely proportionate. Noting that the State enjoyed a wide margin of appreciation when it came to defining the public interest, the Government observed that the State was entitled to determine the conditions under which a trade mark would be eligible for registration. In particular, it was at liberty to decide that third-party interests should be protected, under a procedure provided for by law. In the present case, the domestic courts had merely interpreted and applied the relevant domestic legislation. The applicant company could not lay any claim to compensation by way of reparation for losses which, the Government emphasised, it had at no stage alleged</w:t>
      </w:r>
      <w:r w:rsidR="00EC4FA8">
        <w:rPr>
          <w:noProof/>
          <w:lang w:val="en-GB"/>
        </w:rPr>
        <w:t xml:space="preserve"> in the domestic proceedings</w:t>
      </w:r>
      <w:r w:rsidRPr="00DC1F02" w:rsidR="00847C3B">
        <w:rPr>
          <w:noProof/>
          <w:lang w:val="en-GB"/>
        </w:rPr>
        <w:t>.</w:t>
      </w:r>
    </w:p>
    <w:p w:rsidRPr="00DC1F02" w:rsidR="00A66D56" w:rsidP="00A66D56" w:rsidRDefault="00F350CF">
      <w:pPr>
        <w:pStyle w:val="JuHA"/>
        <w:rPr>
          <w:noProof/>
        </w:rPr>
      </w:pPr>
      <w:bookmarkStart w:name="HIT1" w:id="2"/>
      <w:r>
        <w:rPr>
          <w:noProof/>
        </w:rPr>
        <w:t>C</w:t>
      </w:r>
      <w:r w:rsidRPr="00DC1F02" w:rsidR="00A66D56">
        <w:rPr>
          <w:noProof/>
        </w:rPr>
        <w:t>.  The Court</w:t>
      </w:r>
      <w:r w:rsidR="008B5D8B">
        <w:rPr>
          <w:noProof/>
        </w:rPr>
        <w:t>’</w:t>
      </w:r>
      <w:r w:rsidRPr="00DC1F02" w:rsidR="00A66D56">
        <w:rPr>
          <w:noProof/>
        </w:rPr>
        <w:t>s assessment</w:t>
      </w:r>
    </w:p>
    <w:p w:rsidRPr="00DC1F02" w:rsidR="00A25BB2" w:rsidP="00A25BB2" w:rsidRDefault="00A25BB2">
      <w:pPr>
        <w:pStyle w:val="JuH1"/>
      </w:pPr>
      <w:r w:rsidRPr="00DC1F02">
        <w:t>1.  The general principles</w:t>
      </w:r>
    </w:p>
    <w:p w:rsidRPr="00DC1F02" w:rsidR="00E71F84"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62</w:t>
      </w:r>
      <w:r w:rsidRPr="00DC1F02">
        <w:fldChar w:fldCharType="end"/>
      </w:r>
      <w:r w:rsidRPr="00DC1F02">
        <w:t>.  </w:t>
      </w:r>
      <w:r w:rsidRPr="00DC1F02" w:rsidR="00BF7D73">
        <w:t xml:space="preserve">Article </w:t>
      </w:r>
      <w:r w:rsidRPr="00DC1F02">
        <w:t xml:space="preserve">1 </w:t>
      </w:r>
      <w:r w:rsidRPr="00DC1F02" w:rsidR="00BF7D73">
        <w:t>of</w:t>
      </w:r>
      <w:r w:rsidRPr="00DC1F02">
        <w:t xml:space="preserve"> Protocol </w:t>
      </w:r>
      <w:r w:rsidRPr="00DC1F02" w:rsidR="00BF7D73">
        <w:t xml:space="preserve">No. </w:t>
      </w:r>
      <w:r w:rsidRPr="00DC1F02">
        <w:t xml:space="preserve">1, </w:t>
      </w:r>
      <w:r w:rsidRPr="00DC1F02" w:rsidR="00BF7D73">
        <w:t>which</w:t>
      </w:r>
      <w:r w:rsidRPr="00DC1F02">
        <w:t xml:space="preserve"> g</w:t>
      </w:r>
      <w:r w:rsidRPr="00DC1F02" w:rsidR="00BF7D73">
        <w:t>u</w:t>
      </w:r>
      <w:r w:rsidRPr="00DC1F02">
        <w:t>arant</w:t>
      </w:r>
      <w:r w:rsidRPr="00DC1F02" w:rsidR="00BF7D73">
        <w:t>ees the right to the protection of</w:t>
      </w:r>
      <w:r w:rsidRPr="00DC1F02">
        <w:t xml:space="preserve"> prop</w:t>
      </w:r>
      <w:r w:rsidRPr="00DC1F02" w:rsidR="00BF7D73">
        <w:t>erty</w:t>
      </w:r>
      <w:r w:rsidRPr="00DC1F02">
        <w:t>, cont</w:t>
      </w:r>
      <w:r w:rsidRPr="00DC1F02" w:rsidR="00BF7D73">
        <w:t xml:space="preserve">ains three distinct rules: </w:t>
      </w:r>
      <w:r w:rsidR="0063046B">
        <w:t>“</w:t>
      </w:r>
      <w:r w:rsidRPr="00DC1F02" w:rsidR="00BF7D73">
        <w:t>the first rule, set out in the first sentence of the first paragraph, is of a general nature and enunciates the principle of the peaceful enjoyment of property; the second rule, contained in the second sentence of the first paragraph, covers deprivation of possessions and subjects it to certain conditions; the third rule, stated in the second paragraph, recognises that the Contracting States are entitled, amongst other things, to control the use of property in accordance with the general interest</w:t>
      </w:r>
      <w:r w:rsidR="007B7A94">
        <w:t xml:space="preserve"> </w:t>
      </w:r>
      <w:r w:rsidR="00944170">
        <w:t>...</w:t>
      </w:r>
      <w:r w:rsidRPr="00DC1F02" w:rsidR="00BF7D73">
        <w:t xml:space="preserve"> The three rules are not, however, </w:t>
      </w:r>
      <w:r w:rsidR="008B5D8B">
        <w:t>‘</w:t>
      </w:r>
      <w:r w:rsidRPr="00DC1F02" w:rsidR="00BF7D73">
        <w:t>distinct</w:t>
      </w:r>
      <w:r w:rsidR="008B5D8B">
        <w:t>’</w:t>
      </w:r>
      <w:r w:rsidRPr="00DC1F02" w:rsidR="00BF7D73">
        <w:t xml:space="preserve"> in the sense of being unconnected. The second and third rules are concerned with particular instances of interference with the right to peaceful enjoyment of property and should therefore be construed in the light of the general principle enunciated in the first rule</w:t>
      </w:r>
      <w:r w:rsidR="0063046B">
        <w:t>”</w:t>
      </w:r>
      <w:r w:rsidRPr="00DC1F02" w:rsidR="00BF7D73">
        <w:t xml:space="preserve"> </w:t>
      </w:r>
      <w:r w:rsidRPr="00DC1F02">
        <w:t>(</w:t>
      </w:r>
      <w:r w:rsidRPr="00DC1F02" w:rsidR="0036125A">
        <w:t>see</w:t>
      </w:r>
      <w:r w:rsidRPr="00DC1F02">
        <w:t xml:space="preserve">, </w:t>
      </w:r>
      <w:r w:rsidRPr="00DC1F02" w:rsidR="0036125A">
        <w:t>among other authorities</w:t>
      </w:r>
      <w:r w:rsidRPr="00DC1F02">
        <w:t xml:space="preserve">, </w:t>
      </w:r>
      <w:r w:rsidRPr="00DC1F02">
        <w:rPr>
          <w:i/>
        </w:rPr>
        <w:t xml:space="preserve">James </w:t>
      </w:r>
      <w:r w:rsidRPr="00DC1F02" w:rsidR="0036125A">
        <w:rPr>
          <w:i/>
        </w:rPr>
        <w:t>and Others</w:t>
      </w:r>
      <w:r w:rsidRPr="00DC1F02">
        <w:rPr>
          <w:i/>
        </w:rPr>
        <w:t xml:space="preserve"> </w:t>
      </w:r>
      <w:r w:rsidRPr="00DC1F02" w:rsidR="0036125A">
        <w:rPr>
          <w:i/>
        </w:rPr>
        <w:t>v</w:t>
      </w:r>
      <w:r w:rsidR="007B7A94">
        <w:rPr>
          <w:i/>
        </w:rPr>
        <w:t xml:space="preserve">. </w:t>
      </w:r>
      <w:r w:rsidRPr="00DC1F02" w:rsidR="0036125A">
        <w:rPr>
          <w:i/>
        </w:rPr>
        <w:t>the United Kingdom</w:t>
      </w:r>
      <w:r w:rsidRPr="00DC1F02">
        <w:t xml:space="preserve">, </w:t>
      </w:r>
      <w:r w:rsidR="00AB6613">
        <w:t xml:space="preserve">21 </w:t>
      </w:r>
      <w:r w:rsidRPr="00DC1F02" w:rsidR="0036125A">
        <w:t>February</w:t>
      </w:r>
      <w:r w:rsidRPr="00DC1F02">
        <w:t xml:space="preserve"> 1986, </w:t>
      </w:r>
      <w:r w:rsidRPr="00DC1F02" w:rsidR="00AB6613">
        <w:t xml:space="preserve">§ 37, </w:t>
      </w:r>
      <w:r w:rsidRPr="00DC1F02" w:rsidR="0036125A">
        <w:t xml:space="preserve">Series </w:t>
      </w:r>
      <w:r w:rsidRPr="00DC1F02">
        <w:t>A n</w:t>
      </w:r>
      <w:r w:rsidRPr="00DC1F02" w:rsidR="0036125A">
        <w:t>o.</w:t>
      </w:r>
      <w:r w:rsidRPr="00DC1F02">
        <w:t xml:space="preserve"> 98, </w:t>
      </w:r>
      <w:r w:rsidRPr="00DC1F02" w:rsidR="00480C7C">
        <w:t xml:space="preserve">in which the Court reaffirmed some of the principles it had established in its judgment in </w:t>
      </w:r>
      <w:proofErr w:type="spellStart"/>
      <w:r w:rsidRPr="00DC1F02">
        <w:rPr>
          <w:i/>
        </w:rPr>
        <w:t>Sporrong</w:t>
      </w:r>
      <w:proofErr w:type="spellEnd"/>
      <w:r w:rsidRPr="00DC1F02">
        <w:rPr>
          <w:i/>
        </w:rPr>
        <w:t xml:space="preserve"> </w:t>
      </w:r>
      <w:r w:rsidRPr="00DC1F02" w:rsidR="0036125A">
        <w:rPr>
          <w:i/>
        </w:rPr>
        <w:t>and</w:t>
      </w:r>
      <w:r w:rsidRPr="00DC1F02">
        <w:rPr>
          <w:i/>
        </w:rPr>
        <w:t xml:space="preserve"> </w:t>
      </w:r>
      <w:proofErr w:type="spellStart"/>
      <w:r w:rsidRPr="00DC1F02">
        <w:rPr>
          <w:i/>
        </w:rPr>
        <w:t>Lönnroth</w:t>
      </w:r>
      <w:proofErr w:type="spellEnd"/>
      <w:r w:rsidRPr="00DC1F02">
        <w:rPr>
          <w:i/>
        </w:rPr>
        <w:t xml:space="preserve"> </w:t>
      </w:r>
      <w:r w:rsidRPr="00DC1F02" w:rsidR="0036125A">
        <w:rPr>
          <w:i/>
        </w:rPr>
        <w:t>v</w:t>
      </w:r>
      <w:r w:rsidRPr="00DC1F02">
        <w:rPr>
          <w:i/>
        </w:rPr>
        <w:t>. S</w:t>
      </w:r>
      <w:r w:rsidRPr="00DC1F02" w:rsidR="0036125A">
        <w:rPr>
          <w:i/>
        </w:rPr>
        <w:t>weden</w:t>
      </w:r>
      <w:r w:rsidRPr="00DC1F02" w:rsidR="0036125A">
        <w:t>,</w:t>
      </w:r>
      <w:r w:rsidRPr="00DC1F02">
        <w:t xml:space="preserve"> 23 </w:t>
      </w:r>
      <w:r w:rsidRPr="00DC1F02" w:rsidR="0036125A">
        <w:t xml:space="preserve">September </w:t>
      </w:r>
      <w:r w:rsidRPr="00DC1F02">
        <w:t xml:space="preserve">1982, </w:t>
      </w:r>
      <w:r w:rsidRPr="00DC1F02" w:rsidR="00AB6613">
        <w:t>§ 61</w:t>
      </w:r>
      <w:r w:rsidR="00AB6613">
        <w:t>, Series A no. 52</w:t>
      </w:r>
      <w:r w:rsidRPr="00DC1F02">
        <w:t xml:space="preserve">; </w:t>
      </w:r>
      <w:r w:rsidRPr="00DC1F02" w:rsidR="0036125A">
        <w:t xml:space="preserve">see also </w:t>
      </w:r>
      <w:proofErr w:type="spellStart"/>
      <w:r w:rsidRPr="00DC1F02">
        <w:rPr>
          <w:rStyle w:val="ju-005fpara--char"/>
          <w:i/>
          <w:iCs/>
        </w:rPr>
        <w:t>Beyeler</w:t>
      </w:r>
      <w:proofErr w:type="spellEnd"/>
      <w:r w:rsidR="007B7A94">
        <w:rPr>
          <w:rStyle w:val="ju-005fpara--char"/>
          <w:iCs/>
        </w:rPr>
        <w:t>,</w:t>
      </w:r>
      <w:r w:rsidRPr="00DC1F02">
        <w:rPr>
          <w:rStyle w:val="ju-005fpara--char"/>
          <w:i/>
          <w:iCs/>
        </w:rPr>
        <w:t xml:space="preserve"> </w:t>
      </w:r>
      <w:r w:rsidRPr="00DC1F02" w:rsidR="0036125A">
        <w:t>cited above</w:t>
      </w:r>
      <w:r w:rsidR="007B7A94">
        <w:t xml:space="preserve">, § </w:t>
      </w:r>
      <w:r w:rsidRPr="00DC1F02">
        <w:t>98).</w:t>
      </w:r>
    </w:p>
    <w:p w:rsidRPr="00DC1F02" w:rsidR="00F61C68" w:rsidP="00A25BB2" w:rsidRDefault="00A25BB2">
      <w:pPr>
        <w:pStyle w:val="JuPara"/>
        <w:rPr>
          <w:noProof/>
        </w:rPr>
      </w:pPr>
      <w:r w:rsidRPr="00DC1F02">
        <w:fldChar w:fldCharType="begin"/>
      </w:r>
      <w:r w:rsidRPr="00DC1F02">
        <w:instrText xml:space="preserve"> SEQ level0 \*arabic </w:instrText>
      </w:r>
      <w:r w:rsidRPr="00DC1F02">
        <w:fldChar w:fldCharType="separate"/>
      </w:r>
      <w:r w:rsidR="00CF6F43">
        <w:rPr>
          <w:noProof/>
        </w:rPr>
        <w:t>63</w:t>
      </w:r>
      <w:r w:rsidRPr="00DC1F02">
        <w:fldChar w:fldCharType="end"/>
      </w:r>
      <w:r w:rsidRPr="00DC1F02">
        <w:t>.  </w:t>
      </w:r>
      <w:r w:rsidRPr="00DC1F02" w:rsidR="00F61C68">
        <w:rPr>
          <w:noProof/>
        </w:rPr>
        <w:t>The concept of “possessions” referred to in the first part of Article 1 of Protocol No. 1 has an autonomous meaning which is not limited to ownership of physical goods and is independent from the formal classification in domestic law: certain other rights and interests constituting assets can also be regarded as “property rights”, and thus as “possessions” for the purposes of this provision.</w:t>
      </w:r>
      <w:r w:rsidRPr="00DC1F02" w:rsidR="00F61C68">
        <w:t xml:space="preserve"> </w:t>
      </w:r>
      <w:r w:rsidRPr="00DC1F02" w:rsidR="00F61C68">
        <w:rPr>
          <w:noProof/>
        </w:rPr>
        <w:t xml:space="preserve">The issue that needs to be examined in each case is whether the circumstances of the case, considered as a whole, conferred on the applicant title to a substantive interest protected by Article 1 of Protocol No. 1 (see </w:t>
      </w:r>
      <w:r w:rsidRPr="00DC1F02" w:rsidR="00AB0413">
        <w:rPr>
          <w:i/>
          <w:noProof/>
        </w:rPr>
        <w:t>Iatridis</w:t>
      </w:r>
      <w:r w:rsidR="00AB6613">
        <w:rPr>
          <w:noProof/>
        </w:rPr>
        <w:t>, § 54,</w:t>
      </w:r>
      <w:r w:rsidRPr="00DC1F02" w:rsidR="00F61C68">
        <w:rPr>
          <w:noProof/>
        </w:rPr>
        <w:t xml:space="preserve"> </w:t>
      </w:r>
      <w:r w:rsidR="00AB6613">
        <w:rPr>
          <w:i/>
          <w:iCs/>
          <w:noProof/>
        </w:rPr>
        <w:t>Beyeler</w:t>
      </w:r>
      <w:r w:rsidRPr="00DC1F02" w:rsidR="00F61C68">
        <w:rPr>
          <w:noProof/>
        </w:rPr>
        <w:t xml:space="preserve">, § 100, </w:t>
      </w:r>
      <w:r w:rsidR="004F47D2">
        <w:rPr>
          <w:noProof/>
        </w:rPr>
        <w:t xml:space="preserve">both </w:t>
      </w:r>
      <w:r w:rsidRPr="00DC1F02" w:rsidR="00AB6613">
        <w:rPr>
          <w:noProof/>
        </w:rPr>
        <w:t>cited above</w:t>
      </w:r>
      <w:r w:rsidR="007B7A94">
        <w:rPr>
          <w:noProof/>
        </w:rPr>
        <w:t>,</w:t>
      </w:r>
      <w:r w:rsidRPr="00DC1F02" w:rsidR="00AB6613">
        <w:rPr>
          <w:noProof/>
        </w:rPr>
        <w:t xml:space="preserve"> </w:t>
      </w:r>
      <w:r w:rsidRPr="00DC1F02" w:rsidR="00F61C68">
        <w:rPr>
          <w:noProof/>
        </w:rPr>
        <w:t xml:space="preserve">and </w:t>
      </w:r>
      <w:r w:rsidRPr="00DC1F02" w:rsidR="00F61C68">
        <w:rPr>
          <w:i/>
          <w:iCs/>
          <w:noProof/>
        </w:rPr>
        <w:t>Broniowski v. Poland</w:t>
      </w:r>
      <w:r w:rsidRPr="00DC1F02" w:rsidR="00F61C68">
        <w:rPr>
          <w:noProof/>
        </w:rPr>
        <w:t xml:space="preserve"> [GC], no. 31443/96, § 129, ECH</w:t>
      </w:r>
      <w:r w:rsidR="004F47D2">
        <w:rPr>
          <w:noProof/>
        </w:rPr>
        <w:t>R 2004</w:t>
      </w:r>
      <w:r w:rsidR="004F47D2">
        <w:rPr>
          <w:noProof/>
        </w:rPr>
        <w:noBreakHyphen/>
      </w:r>
      <w:r w:rsidRPr="00DC1F02" w:rsidR="00451843">
        <w:rPr>
          <w:noProof/>
        </w:rPr>
        <w:t>V</w:t>
      </w:r>
      <w:r w:rsidRPr="00DC1F02" w:rsidR="00F61C68">
        <w:rPr>
          <w:noProof/>
        </w:rPr>
        <w:t>).</w:t>
      </w:r>
    </w:p>
    <w:p w:rsidRPr="00DC1F02" w:rsidR="00E71F84"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64</w:t>
      </w:r>
      <w:r w:rsidRPr="00DC1F02">
        <w:fldChar w:fldCharType="end"/>
      </w:r>
      <w:r w:rsidRPr="00DC1F02">
        <w:t>.  </w:t>
      </w:r>
      <w:r w:rsidR="007B7A94">
        <w:rPr>
          <w:noProof/>
        </w:rPr>
        <w:t xml:space="preserve">Article </w:t>
      </w:r>
      <w:r w:rsidRPr="00DC1F02" w:rsidR="00CC3CA8">
        <w:rPr>
          <w:noProof/>
        </w:rPr>
        <w:t>1 of Protocol No. 1 applies only to a person</w:t>
      </w:r>
      <w:r w:rsidR="008B5D8B">
        <w:rPr>
          <w:noProof/>
        </w:rPr>
        <w:t>’</w:t>
      </w:r>
      <w:r w:rsidRPr="00DC1F02" w:rsidR="00CC3CA8">
        <w:rPr>
          <w:noProof/>
        </w:rPr>
        <w:t>s existing possessions. Thus, future income cannot be considered to constitute “possessions” unless it has already been earned or is definitely payable. Further, the hope that a long-extinguished property right may be revived cannot be regarded as a “possession”; nor can a conditional claim which has lapsed as a result of a failure to fulfil the condition (</w:t>
      </w:r>
      <w:r w:rsidR="007B7A94">
        <w:rPr>
          <w:noProof/>
        </w:rPr>
        <w:t xml:space="preserve">see </w:t>
      </w:r>
      <w:r w:rsidRPr="00DC1F02" w:rsidR="00CC3CA8">
        <w:rPr>
          <w:i/>
          <w:iCs/>
          <w:noProof/>
        </w:rPr>
        <w:t xml:space="preserve">Gratzinger and Gratzingerova v. the Czech Republic </w:t>
      </w:r>
      <w:r w:rsidRPr="00DC1F02" w:rsidR="00CC3CA8">
        <w:rPr>
          <w:noProof/>
        </w:rPr>
        <w:t>(dec.) [GC], no. 39794/98, § 69, ECHR 2002-VII).</w:t>
      </w:r>
    </w:p>
    <w:p w:rsidRPr="00DC1F02" w:rsidR="00E71F84"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65</w:t>
      </w:r>
      <w:r w:rsidRPr="00DC1F02">
        <w:fldChar w:fldCharType="end"/>
      </w:r>
      <w:r w:rsidRPr="00DC1F02">
        <w:t>.  </w:t>
      </w:r>
      <w:r w:rsidRPr="00DC1F02" w:rsidR="003A06B4">
        <w:t xml:space="preserve">However, in certain circumstances, </w:t>
      </w:r>
      <w:r w:rsidRPr="00DC1F02" w:rsidR="00FD0C44">
        <w:t>a</w:t>
      </w:r>
      <w:r w:rsidRPr="00DC1F02" w:rsidR="003A06B4">
        <w:t xml:space="preserve"> “legitimate expectation” </w:t>
      </w:r>
      <w:r w:rsidRPr="00DC1F02" w:rsidR="00FD0C44">
        <w:t>of</w:t>
      </w:r>
      <w:r w:rsidRPr="00DC1F02" w:rsidR="003A06B4">
        <w:t xml:space="preserve"> obtain</w:t>
      </w:r>
      <w:r w:rsidRPr="00DC1F02" w:rsidR="00FD0C44">
        <w:t>ing</w:t>
      </w:r>
      <w:r w:rsidRPr="00DC1F02" w:rsidR="003A06B4">
        <w:t xml:space="preserve"> a</w:t>
      </w:r>
      <w:r w:rsidRPr="00DC1F02" w:rsidR="00297E24">
        <w:t>n “asset”</w:t>
      </w:r>
      <w:r w:rsidRPr="00DC1F02" w:rsidR="003A06B4">
        <w:t xml:space="preserve"> may also enjoy the protection of Article 1 of </w:t>
      </w:r>
      <w:r w:rsidRPr="00DC1F02" w:rsidR="00FD0C44">
        <w:t xml:space="preserve">Protocol </w:t>
      </w:r>
      <w:r w:rsidRPr="00DC1F02" w:rsidR="003A06B4">
        <w:t>No</w:t>
      </w:r>
      <w:r w:rsidRPr="00DC1F02" w:rsidR="00FD0C44">
        <w:t>.</w:t>
      </w:r>
      <w:r w:rsidRPr="00DC1F02" w:rsidR="00297E24">
        <w:t xml:space="preserve"> 1.</w:t>
      </w:r>
      <w:r w:rsidRPr="00DC1F02">
        <w:t xml:space="preserve"> </w:t>
      </w:r>
      <w:r w:rsidRPr="00DC1F02" w:rsidR="000F1AE4">
        <w:t xml:space="preserve">Thus, where </w:t>
      </w:r>
      <w:r w:rsidRPr="00DC1F02" w:rsidR="005B708A">
        <w:t>a</w:t>
      </w:r>
      <w:r w:rsidRPr="00DC1F02" w:rsidR="000F1AE4">
        <w:t xml:space="preserve"> proprietary interest is in the nature of a claim</w:t>
      </w:r>
      <w:r w:rsidRPr="00DC1F02" w:rsidR="005B708A">
        <w:t>, the person in whom it is vested</w:t>
      </w:r>
      <w:r w:rsidRPr="00DC1F02" w:rsidR="000F1AE4">
        <w:t xml:space="preserve"> may be regarded as</w:t>
      </w:r>
      <w:r w:rsidRPr="00DC1F02" w:rsidR="005B708A">
        <w:t xml:space="preserve"> having </w:t>
      </w:r>
      <w:r w:rsidRPr="00DC1F02" w:rsidR="000F1AE4">
        <w:t xml:space="preserve">a </w:t>
      </w:r>
      <w:r w:rsidRPr="00DC1F02" w:rsidR="00297E24">
        <w:t>“</w:t>
      </w:r>
      <w:r w:rsidRPr="00DC1F02" w:rsidR="005B708A">
        <w:t>legitimate expectation</w:t>
      </w:r>
      <w:r w:rsidRPr="00DC1F02" w:rsidR="00297E24">
        <w:t>”</w:t>
      </w:r>
      <w:r w:rsidRPr="00DC1F02" w:rsidR="000F1AE4">
        <w:t xml:space="preserve"> </w:t>
      </w:r>
      <w:r w:rsidRPr="00DC1F02" w:rsidR="005B708A">
        <w:t>if th</w:t>
      </w:r>
      <w:r w:rsidRPr="00DC1F02" w:rsidR="000F1AE4">
        <w:t>ere i</w:t>
      </w:r>
      <w:r w:rsidRPr="00DC1F02" w:rsidR="005B708A">
        <w:t>s</w:t>
      </w:r>
      <w:r w:rsidRPr="00DC1F02" w:rsidR="000F1AE4">
        <w:t xml:space="preserve"> a sufficient basis </w:t>
      </w:r>
      <w:r w:rsidRPr="00DC1F02" w:rsidR="005B708A">
        <w:t xml:space="preserve">for the interest </w:t>
      </w:r>
      <w:r w:rsidRPr="00DC1F02" w:rsidR="000F1AE4">
        <w:t>in national law, for example where there is settled case-law of the domestic courts confirming it</w:t>
      </w:r>
      <w:r w:rsidR="005E7826">
        <w:t>s existence</w:t>
      </w:r>
      <w:r w:rsidRPr="00DC1F02" w:rsidR="000F1AE4">
        <w:t xml:space="preserve"> </w:t>
      </w:r>
      <w:r w:rsidRPr="00DC1F02">
        <w:t>(</w:t>
      </w:r>
      <w:r w:rsidR="007B7A94">
        <w:t xml:space="preserve">see </w:t>
      </w:r>
      <w:proofErr w:type="spellStart"/>
      <w:r w:rsidRPr="00DC1F02" w:rsidR="003C5662">
        <w:rPr>
          <w:i/>
        </w:rPr>
        <w:t>Kopecký</w:t>
      </w:r>
      <w:proofErr w:type="spellEnd"/>
      <w:r w:rsidRPr="00DC1F02" w:rsidR="003C5662">
        <w:rPr>
          <w:i/>
        </w:rPr>
        <w:t xml:space="preserve"> v. Slovakia</w:t>
      </w:r>
      <w:r w:rsidRPr="00DC1F02">
        <w:t xml:space="preserve"> [GC], n</w:t>
      </w:r>
      <w:r w:rsidRPr="00DC1F02" w:rsidR="003C5662">
        <w:t>o.</w:t>
      </w:r>
      <w:r w:rsidRPr="00DC1F02">
        <w:t xml:space="preserve"> 44912/98, § 52, E</w:t>
      </w:r>
      <w:r w:rsidRPr="00DC1F02" w:rsidR="003C5662">
        <w:t>C</w:t>
      </w:r>
      <w:r w:rsidRPr="00DC1F02">
        <w:t>H</w:t>
      </w:r>
      <w:r w:rsidRPr="00DC1F02" w:rsidR="003C5662">
        <w:t>R</w:t>
      </w:r>
      <w:r w:rsidRPr="00DC1F02">
        <w:t xml:space="preserve"> 2004-IX). </w:t>
      </w:r>
      <w:r w:rsidRPr="00DC1F02" w:rsidR="003A06B4">
        <w:t>However, no legitimate expectation can be said to arise where there is a dispute as to the correct interpretation and application of domestic law and the applicant</w:t>
      </w:r>
      <w:r w:rsidR="008B5D8B">
        <w:t>’</w:t>
      </w:r>
      <w:r w:rsidRPr="00DC1F02" w:rsidR="003A06B4">
        <w:t xml:space="preserve">s submissions are subsequently rejected by the national courts </w:t>
      </w:r>
      <w:r w:rsidRPr="00DC1F02">
        <w:t>(</w:t>
      </w:r>
      <w:r w:rsidR="007B7A94">
        <w:t xml:space="preserve">see </w:t>
      </w:r>
      <w:proofErr w:type="spellStart"/>
      <w:r w:rsidRPr="00DC1F02">
        <w:rPr>
          <w:i/>
        </w:rPr>
        <w:t>Kopecký</w:t>
      </w:r>
      <w:proofErr w:type="spellEnd"/>
      <w:r w:rsidRPr="00DC1F02" w:rsidR="003C5662">
        <w:t>, cited above</w:t>
      </w:r>
      <w:r w:rsidRPr="00DC1F02">
        <w:t>, § 50).</w:t>
      </w:r>
    </w:p>
    <w:p w:rsidRPr="00DC1F02" w:rsidR="00A25BB2" w:rsidP="00A25BB2" w:rsidRDefault="00A25BB2">
      <w:pPr>
        <w:pStyle w:val="JuH1"/>
      </w:pPr>
      <w:r w:rsidRPr="00DC1F02">
        <w:t xml:space="preserve">2.  Application </w:t>
      </w:r>
      <w:r w:rsidRPr="00DC1F02" w:rsidR="00451843">
        <w:t>of these principles to the instant case</w:t>
      </w:r>
    </w:p>
    <w:p w:rsidRPr="00DC1F02" w:rsidR="00A25BB2" w:rsidP="00A25BB2" w:rsidRDefault="008B5400">
      <w:pPr>
        <w:pStyle w:val="JuHa0"/>
      </w:pPr>
      <w:r w:rsidRPr="00DC1F02">
        <w:t>(</w:t>
      </w:r>
      <w:r w:rsidRPr="00DC1F02" w:rsidR="00A25BB2">
        <w:t>a)  </w:t>
      </w:r>
      <w:r w:rsidRPr="00DC1F02">
        <w:t>Whether Article 1 of Protocol No. 1 was applicable</w:t>
      </w:r>
    </w:p>
    <w:p w:rsidR="00627C6A" w:rsidP="00A25BB2" w:rsidRDefault="007B7A94">
      <w:pPr>
        <w:pStyle w:val="JuHi"/>
      </w:pPr>
      <w:r>
        <w:t>(</w:t>
      </w:r>
      <w:proofErr w:type="spellStart"/>
      <w:r w:rsidRPr="00DC1F02" w:rsidR="008B5400">
        <w:t>i</w:t>
      </w:r>
      <w:proofErr w:type="spellEnd"/>
      <w:r>
        <w:t>) </w:t>
      </w:r>
      <w:r w:rsidRPr="00DC1F02" w:rsidR="008B5400">
        <w:t> </w:t>
      </w:r>
      <w:r>
        <w:t>I</w:t>
      </w:r>
      <w:r w:rsidRPr="00DC1F02" w:rsidR="008B5400">
        <w:t xml:space="preserve">ntellectual property </w:t>
      </w:r>
      <w:r>
        <w:t>in general</w:t>
      </w:r>
    </w:p>
    <w:p w:rsidRPr="00DC1F02" w:rsidR="00E71F84"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66</w:t>
      </w:r>
      <w:r w:rsidRPr="00DC1F02">
        <w:fldChar w:fldCharType="end"/>
      </w:r>
      <w:r w:rsidRPr="00DC1F02">
        <w:t>.  </w:t>
      </w:r>
      <w:r w:rsidRPr="00DC1F02" w:rsidR="00796D65">
        <w:t xml:space="preserve">The first issue which arises with regard to the question </w:t>
      </w:r>
      <w:r w:rsidR="007B7A94">
        <w:t xml:space="preserve">of the applicability of Article </w:t>
      </w:r>
      <w:r w:rsidRPr="00DC1F02" w:rsidR="00796D65">
        <w:t xml:space="preserve">1 of Protocol No. 1 in the instant case is whether that provision applies to intellectual property as such. </w:t>
      </w:r>
      <w:r w:rsidRPr="00DC1F02" w:rsidR="00451843">
        <w:t xml:space="preserve">In deciding that it does (see paragraph 43 of the Chamber judgment), the </w:t>
      </w:r>
      <w:r w:rsidRPr="00DC1F02" w:rsidR="00796D65">
        <w:t xml:space="preserve">Chamber referred to the case-law of the European Commission of Human Rights </w:t>
      </w:r>
      <w:r w:rsidRPr="00DC1F02">
        <w:t>(</w:t>
      </w:r>
      <w:r w:rsidR="007B7A94">
        <w:t xml:space="preserve">see </w:t>
      </w:r>
      <w:r w:rsidRPr="00DC1F02">
        <w:rPr>
          <w:i/>
          <w:iCs/>
        </w:rPr>
        <w:t xml:space="preserve">Smith Kline </w:t>
      </w:r>
      <w:r w:rsidRPr="00DC1F02" w:rsidR="00FA6385">
        <w:rPr>
          <w:i/>
          <w:iCs/>
        </w:rPr>
        <w:t>and</w:t>
      </w:r>
      <w:r w:rsidRPr="00DC1F02">
        <w:rPr>
          <w:i/>
          <w:iCs/>
        </w:rPr>
        <w:t xml:space="preserve"> French Laboratories Ltd </w:t>
      </w:r>
      <w:r w:rsidRPr="00DC1F02" w:rsidR="00FA6385">
        <w:rPr>
          <w:i/>
          <w:iCs/>
        </w:rPr>
        <w:t>v</w:t>
      </w:r>
      <w:r w:rsidRPr="00DC1F02">
        <w:rPr>
          <w:i/>
          <w:iCs/>
        </w:rPr>
        <w:t xml:space="preserve">. </w:t>
      </w:r>
      <w:r w:rsidRPr="00DC1F02" w:rsidR="00FA6385">
        <w:rPr>
          <w:i/>
          <w:iCs/>
        </w:rPr>
        <w:t>the Netherlands</w:t>
      </w:r>
      <w:r w:rsidRPr="00DC1F02" w:rsidR="00FA6385">
        <w:t xml:space="preserve">, no. </w:t>
      </w:r>
      <w:r w:rsidRPr="00DC1F02">
        <w:t xml:space="preserve">12633/87, </w:t>
      </w:r>
      <w:r w:rsidR="007B7A94">
        <w:t xml:space="preserve">Commission </w:t>
      </w:r>
      <w:r w:rsidRPr="00DC1F02">
        <w:t>d</w:t>
      </w:r>
      <w:r w:rsidRPr="00DC1F02" w:rsidR="00FA6385">
        <w:t>e</w:t>
      </w:r>
      <w:r w:rsidRPr="00DC1F02">
        <w:t xml:space="preserve">cision </w:t>
      </w:r>
      <w:r w:rsidRPr="00DC1F02" w:rsidR="00FA6385">
        <w:t>of</w:t>
      </w:r>
      <w:r w:rsidRPr="00DC1F02">
        <w:t xml:space="preserve"> 4</w:t>
      </w:r>
      <w:r w:rsidR="007B7A94">
        <w:t xml:space="preserve"> </w:t>
      </w:r>
      <w:r w:rsidRPr="00DC1F02" w:rsidR="00FA6385">
        <w:t xml:space="preserve">October </w:t>
      </w:r>
      <w:r w:rsidRPr="00DC1F02">
        <w:t>1990, D</w:t>
      </w:r>
      <w:r w:rsidRPr="00DC1F02" w:rsidR="00FA6385">
        <w:t>e</w:t>
      </w:r>
      <w:r w:rsidRPr="00DC1F02">
        <w:t xml:space="preserve">cisions </w:t>
      </w:r>
      <w:r w:rsidRPr="00DC1F02" w:rsidR="00FA6385">
        <w:t>and</w:t>
      </w:r>
      <w:r w:rsidRPr="00DC1F02">
        <w:t xml:space="preserve"> </w:t>
      </w:r>
      <w:r w:rsidRPr="00DC1F02" w:rsidR="00FA6385">
        <w:t>Repor</w:t>
      </w:r>
      <w:r w:rsidR="00270316">
        <w:t xml:space="preserve">ts 66, p. </w:t>
      </w:r>
      <w:r w:rsidRPr="00DC1F02">
        <w:t>70).</w:t>
      </w:r>
    </w:p>
    <w:p w:rsidRPr="00DC1F02" w:rsidR="00A25BB2"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67</w:t>
      </w:r>
      <w:r w:rsidRPr="00DC1F02">
        <w:fldChar w:fldCharType="end"/>
      </w:r>
      <w:r w:rsidRPr="00DC1F02">
        <w:t>.  </w:t>
      </w:r>
      <w:r w:rsidRPr="00DC1F02" w:rsidR="00652E54">
        <w:t>The Court notes that the Convention institutions have been called upon to rule on questions of intellectual property</w:t>
      </w:r>
      <w:r w:rsidRPr="00DC1F02" w:rsidR="00162A83">
        <w:t xml:space="preserve"> only very rarely</w:t>
      </w:r>
      <w:r w:rsidR="00706AFD">
        <w:t>. In the abov</w:t>
      </w:r>
      <w:r w:rsidRPr="00DC1F02" w:rsidR="00652E54">
        <w:t>e</w:t>
      </w:r>
      <w:r w:rsidR="00706AFD">
        <w:t>-</w:t>
      </w:r>
      <w:r w:rsidRPr="00DC1F02" w:rsidR="00652E54">
        <w:t xml:space="preserve">mentioned case of </w:t>
      </w:r>
      <w:r w:rsidRPr="00DC1F02" w:rsidR="00652E54">
        <w:rPr>
          <w:i/>
        </w:rPr>
        <w:t>S</w:t>
      </w:r>
      <w:r w:rsidRPr="00DC1F02">
        <w:rPr>
          <w:i/>
        </w:rPr>
        <w:t>mith Kline</w:t>
      </w:r>
      <w:r w:rsidR="007B7A94">
        <w:rPr>
          <w:i/>
        </w:rPr>
        <w:t xml:space="preserve"> and French Laboratories Ltd</w:t>
      </w:r>
      <w:r w:rsidRPr="00DC1F02" w:rsidR="00652E54">
        <w:t>, the Commission stated as follows</w:t>
      </w:r>
      <w:r w:rsidRPr="00DC1F02">
        <w:t>:</w:t>
      </w:r>
    </w:p>
    <w:p w:rsidRPr="00DC1F02" w:rsidR="00796D65" w:rsidP="00A25BB2" w:rsidRDefault="00796D65">
      <w:pPr>
        <w:pStyle w:val="JuQuot"/>
      </w:pPr>
      <w:r w:rsidRPr="00DC1F02">
        <w:t>“The Commission notes that under Dutch law the holder of a patent is referred to as the proprietor of a patent and that patent</w:t>
      </w:r>
      <w:r w:rsidRPr="00DC1F02" w:rsidR="00162A83">
        <w:t>s</w:t>
      </w:r>
      <w:r w:rsidRPr="00DC1F02">
        <w:t xml:space="preserve"> are deemed, subject to the provisions of the Patent Act, to be personal property which is transferable and assignable. The Commission finds that a patent accordingly falls within the scope of the term </w:t>
      </w:r>
      <w:r w:rsidR="008B5D8B">
        <w:t>‘</w:t>
      </w:r>
      <w:r w:rsidRPr="00DC1F02">
        <w:t>possessions</w:t>
      </w:r>
      <w:r w:rsidR="008B5D8B">
        <w:t>’</w:t>
      </w:r>
      <w:r w:rsidRPr="00DC1F02">
        <w:t xml:space="preserve"> in Article 1 of Protocol No. 1.”</w:t>
      </w:r>
    </w:p>
    <w:p w:rsidRPr="00DC1F02" w:rsidR="00E71F84"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68</w:t>
      </w:r>
      <w:r w:rsidRPr="00DC1F02">
        <w:fldChar w:fldCharType="end"/>
      </w:r>
      <w:r w:rsidRPr="00DC1F02">
        <w:t>.  </w:t>
      </w:r>
      <w:r w:rsidRPr="00DC1F02" w:rsidR="0022264B">
        <w:t xml:space="preserve">The Commission followed this decision in </w:t>
      </w:r>
      <w:proofErr w:type="spellStart"/>
      <w:r w:rsidRPr="00DC1F02">
        <w:rPr>
          <w:i/>
        </w:rPr>
        <w:t>Lenzing</w:t>
      </w:r>
      <w:proofErr w:type="spellEnd"/>
      <w:r w:rsidRPr="00DC1F02">
        <w:rPr>
          <w:i/>
        </w:rPr>
        <w:t xml:space="preserve"> AG </w:t>
      </w:r>
      <w:r w:rsidRPr="00DC1F02" w:rsidR="0022264B">
        <w:rPr>
          <w:i/>
        </w:rPr>
        <w:t>v</w:t>
      </w:r>
      <w:r w:rsidRPr="00DC1F02">
        <w:rPr>
          <w:i/>
        </w:rPr>
        <w:t>.</w:t>
      </w:r>
      <w:r w:rsidRPr="00DC1F02" w:rsidR="0022264B">
        <w:rPr>
          <w:i/>
        </w:rPr>
        <w:t xml:space="preserve"> the United Kingdom </w:t>
      </w:r>
      <w:r w:rsidRPr="00DC1F02">
        <w:t>(n</w:t>
      </w:r>
      <w:r w:rsidRPr="00DC1F02" w:rsidR="0022264B">
        <w:t>o.</w:t>
      </w:r>
      <w:r w:rsidRPr="00DC1F02">
        <w:t xml:space="preserve"> 38817/97, </w:t>
      </w:r>
      <w:r w:rsidR="007B7A94">
        <w:t xml:space="preserve">Commission </w:t>
      </w:r>
      <w:r w:rsidRPr="00DC1F02">
        <w:t>d</w:t>
      </w:r>
      <w:r w:rsidRPr="00DC1F02" w:rsidR="0022264B">
        <w:t>e</w:t>
      </w:r>
      <w:r w:rsidRPr="00DC1F02">
        <w:t>cision</w:t>
      </w:r>
      <w:r w:rsidRPr="00DC1F02" w:rsidR="0022264B">
        <w:t xml:space="preserve"> of </w:t>
      </w:r>
      <w:r w:rsidRPr="00DC1F02">
        <w:t xml:space="preserve">9 </w:t>
      </w:r>
      <w:r w:rsidRPr="00DC1F02" w:rsidR="0022264B">
        <w:t xml:space="preserve">September </w:t>
      </w:r>
      <w:r w:rsidRPr="00DC1F02">
        <w:t xml:space="preserve">1998, </w:t>
      </w:r>
      <w:r w:rsidRPr="00DC1F02" w:rsidR="0022264B">
        <w:t>unreported</w:t>
      </w:r>
      <w:r w:rsidRPr="00DC1F02">
        <w:t xml:space="preserve">), </w:t>
      </w:r>
      <w:r w:rsidRPr="00DC1F02" w:rsidR="0022264B">
        <w:t xml:space="preserve">which also concerned a patent. However, it explained in that case that the “possession” was not the patent as such, but the applications made by the applicant company in civil proceedings in which it had sought to bring about changes to the British system for registering patents. The Commission </w:t>
      </w:r>
      <w:r w:rsidRPr="00DC1F02" w:rsidR="001A7654">
        <w:t>noted</w:t>
      </w:r>
      <w:r w:rsidRPr="00DC1F02" w:rsidR="0022264B">
        <w:t xml:space="preserve"> in conclusion that there had been no interference with the applicant company</w:t>
      </w:r>
      <w:r w:rsidR="008B5D8B">
        <w:t>’</w:t>
      </w:r>
      <w:r w:rsidRPr="00DC1F02" w:rsidR="0022264B">
        <w:t xml:space="preserve">s right to </w:t>
      </w:r>
      <w:r w:rsidRPr="00DC1F02" w:rsidR="001A7654">
        <w:t xml:space="preserve">the </w:t>
      </w:r>
      <w:r w:rsidRPr="00DC1F02" w:rsidR="0022264B">
        <w:t xml:space="preserve">peaceful enjoyment of its possessions, as it had been given an opportunity to set out its claims concerning the patent to a </w:t>
      </w:r>
      <w:r w:rsidRPr="00DC1F02" w:rsidR="001A7654">
        <w:t>court with</w:t>
      </w:r>
      <w:r w:rsidRPr="00DC1F02" w:rsidR="0022264B">
        <w:t xml:space="preserve"> full jurisdiction</w:t>
      </w:r>
      <w:r w:rsidRPr="00DC1F02">
        <w:t>.</w:t>
      </w:r>
    </w:p>
    <w:p w:rsidRPr="00DC1F02" w:rsidR="00B5637F" w:rsidP="00B5637F" w:rsidRDefault="00A25BB2">
      <w:pPr>
        <w:pStyle w:val="JuParaChar"/>
        <w:rPr>
          <w:lang w:val="en-GB"/>
        </w:rPr>
      </w:pPr>
      <w:r w:rsidRPr="00DC1F02">
        <w:rPr>
          <w:lang w:val="en-GB"/>
        </w:rPr>
        <w:fldChar w:fldCharType="begin"/>
      </w:r>
      <w:r w:rsidRPr="00DC1F02">
        <w:rPr>
          <w:lang w:val="en-GB"/>
        </w:rPr>
        <w:instrText xml:space="preserve"> SEQ level0 \*arabic </w:instrText>
      </w:r>
      <w:r w:rsidRPr="00DC1F02">
        <w:rPr>
          <w:lang w:val="en-GB"/>
        </w:rPr>
        <w:fldChar w:fldCharType="separate"/>
      </w:r>
      <w:r w:rsidR="00CF6F43">
        <w:rPr>
          <w:noProof/>
          <w:lang w:val="en-GB"/>
        </w:rPr>
        <w:t>69</w:t>
      </w:r>
      <w:r w:rsidRPr="00DC1F02">
        <w:rPr>
          <w:lang w:val="en-GB"/>
        </w:rPr>
        <w:fldChar w:fldCharType="end"/>
      </w:r>
      <w:r w:rsidRPr="00DC1F02">
        <w:rPr>
          <w:lang w:val="en-GB"/>
        </w:rPr>
        <w:t>.  </w:t>
      </w:r>
      <w:r w:rsidRPr="00DC1F02" w:rsidR="00B5637F">
        <w:rPr>
          <w:lang w:val="en-GB"/>
        </w:rPr>
        <w:t xml:space="preserve">In </w:t>
      </w:r>
      <w:r w:rsidRPr="00DC1F02" w:rsidR="00B5637F">
        <w:rPr>
          <w:i/>
          <w:iCs/>
          <w:noProof/>
          <w:lang w:val="en-GB"/>
        </w:rPr>
        <w:t>British-American Tobacco Company Ltd</w:t>
      </w:r>
      <w:r w:rsidRPr="00DC1F02" w:rsidR="00B5637F">
        <w:rPr>
          <w:noProof/>
          <w:lang w:val="en-GB"/>
        </w:rPr>
        <w:t xml:space="preserve"> </w:t>
      </w:r>
      <w:r w:rsidRPr="00DC1F02" w:rsidR="00B5637F">
        <w:rPr>
          <w:i/>
          <w:noProof/>
          <w:lang w:val="en-GB"/>
        </w:rPr>
        <w:t>v. the Netherlands</w:t>
      </w:r>
      <w:r w:rsidRPr="00DC1F02" w:rsidR="00B5637F">
        <w:rPr>
          <w:noProof/>
          <w:lang w:val="en-GB"/>
        </w:rPr>
        <w:t>, the Commission expressed the opinion that</w:t>
      </w:r>
      <w:r w:rsidRPr="00DC1F02" w:rsidR="00B5637F">
        <w:rPr>
          <w:lang w:val="en-GB"/>
        </w:rPr>
        <w:t xml:space="preserve"> Article</w:t>
      </w:r>
      <w:r w:rsidR="007B7A94">
        <w:rPr>
          <w:lang w:val="en-GB"/>
        </w:rPr>
        <w:t xml:space="preserve"> </w:t>
      </w:r>
      <w:r w:rsidRPr="00DC1F02" w:rsidR="00B5637F">
        <w:rPr>
          <w:lang w:val="en-GB"/>
        </w:rPr>
        <w:t xml:space="preserve">1 of Protocol No. 1 </w:t>
      </w:r>
      <w:r w:rsidRPr="00DC1F02" w:rsidR="006138E0">
        <w:rPr>
          <w:lang w:val="en-GB"/>
        </w:rPr>
        <w:t>did not apply to</w:t>
      </w:r>
      <w:r w:rsidRPr="00DC1F02" w:rsidR="00B5637F">
        <w:rPr>
          <w:noProof/>
          <w:lang w:val="en-GB"/>
        </w:rPr>
        <w:t xml:space="preserve"> an application for a patent that had been rejected by the competent national authority. It stated:</w:t>
      </w:r>
    </w:p>
    <w:p w:rsidRPr="00DC1F02" w:rsidR="00B5637F" w:rsidP="00B5637F" w:rsidRDefault="00B5637F">
      <w:pPr>
        <w:pStyle w:val="JuQuot"/>
      </w:pPr>
      <w:r w:rsidRPr="00DC1F02">
        <w:rPr>
          <w:noProof/>
        </w:rPr>
        <w:t>“... the applicant company did not succeed in obtaining an effective protection for their invention by means of a patent. Consequently, the company were denied a protected intellectual property right but were not deprived of their existing property</w:t>
      </w:r>
      <w:r w:rsidR="008C63CD">
        <w:rPr>
          <w:noProof/>
        </w:rPr>
        <w:t>.</w:t>
      </w:r>
      <w:r w:rsidRPr="00DC1F02">
        <w:rPr>
          <w:noProof/>
        </w:rPr>
        <w:t>” (</w:t>
      </w:r>
      <w:r w:rsidR="007B7A94">
        <w:rPr>
          <w:noProof/>
        </w:rPr>
        <w:t xml:space="preserve">see </w:t>
      </w:r>
      <w:r w:rsidRPr="00DC1F02">
        <w:rPr>
          <w:i/>
          <w:iCs/>
          <w:noProof/>
        </w:rPr>
        <w:t>British-American Tobacco Company Ltd v. the Netherlands</w:t>
      </w:r>
      <w:r w:rsidRPr="00DC1F02">
        <w:rPr>
          <w:noProof/>
        </w:rPr>
        <w:t xml:space="preserve">, </w:t>
      </w:r>
      <w:r w:rsidR="007B7A94">
        <w:rPr>
          <w:noProof/>
        </w:rPr>
        <w:t xml:space="preserve">20 </w:t>
      </w:r>
      <w:r w:rsidRPr="00DC1F02">
        <w:rPr>
          <w:noProof/>
        </w:rPr>
        <w:t>November 1995, opinion of the Commission, §§ 71-72</w:t>
      </w:r>
      <w:r w:rsidRPr="00DC1F02" w:rsidR="007B7A94">
        <w:rPr>
          <w:noProof/>
        </w:rPr>
        <w:t>, Series A no. 331</w:t>
      </w:r>
      <w:r w:rsidRPr="00DC1F02">
        <w:rPr>
          <w:noProof/>
        </w:rPr>
        <w:t>)</w:t>
      </w:r>
    </w:p>
    <w:p w:rsidRPr="00DC1F02" w:rsidR="00E71F84" w:rsidP="00A25BB2" w:rsidRDefault="00B5425E">
      <w:pPr>
        <w:pStyle w:val="JuPara"/>
      </w:pPr>
      <w:r w:rsidRPr="00DC1F02">
        <w:t xml:space="preserve">As </w:t>
      </w:r>
      <w:r w:rsidRPr="00DC1F02" w:rsidR="00042CA9">
        <w:t>the Chamber noted in its judgment</w:t>
      </w:r>
      <w:r w:rsidRPr="00DC1F02" w:rsidR="006C0B0E">
        <w:t>,</w:t>
      </w:r>
      <w:r w:rsidRPr="00DC1F02" w:rsidR="00042CA9">
        <w:t xml:space="preserve"> </w:t>
      </w:r>
      <w:r w:rsidRPr="00DC1F02" w:rsidR="006C0B0E">
        <w:t xml:space="preserve">the Court decided in </w:t>
      </w:r>
      <w:r w:rsidRPr="00DC1F02" w:rsidR="00A25BB2">
        <w:rPr>
          <w:i/>
        </w:rPr>
        <w:t>British-American Tobacco Company Ltd</w:t>
      </w:r>
      <w:r w:rsidRPr="00DC1F02" w:rsidR="006C0B0E">
        <w:t xml:space="preserve"> not to examine separately the issue whether </w:t>
      </w:r>
      <w:r w:rsidR="009E2325">
        <w:t>a</w:t>
      </w:r>
      <w:r w:rsidRPr="00DC1F02" w:rsidR="006C0B0E">
        <w:t xml:space="preserve"> patent application constituted a “possession” that came within the scope of the protection afforded by Article 1 of Protocol No. 1</w:t>
      </w:r>
      <w:r w:rsidRPr="00DC1F02" w:rsidR="00A25BB2">
        <w:t xml:space="preserve"> (</w:t>
      </w:r>
      <w:r w:rsidRPr="00DC1F02" w:rsidR="006C0B0E">
        <w:t>cited above</w:t>
      </w:r>
      <w:r w:rsidRPr="00DC1F02" w:rsidR="00A25BB2">
        <w:t>, § 91)</w:t>
      </w:r>
      <w:r w:rsidRPr="00DC1F02" w:rsidR="006C0B0E">
        <w:t xml:space="preserve">, as it had already examined the position with respect to Article </w:t>
      </w:r>
      <w:r w:rsidRPr="00DC1F02" w:rsidR="00A25BB2">
        <w:t xml:space="preserve">6 § 1 </w:t>
      </w:r>
      <w:r w:rsidRPr="00DC1F02" w:rsidR="006C0B0E">
        <w:t>of the</w:t>
      </w:r>
      <w:r w:rsidRPr="00DC1F02" w:rsidR="00A25BB2">
        <w:t xml:space="preserve"> Convention.</w:t>
      </w:r>
    </w:p>
    <w:p w:rsidRPr="00DC1F02" w:rsidR="00E71F84" w:rsidP="00A25BB2" w:rsidRDefault="00A25BB2">
      <w:pPr>
        <w:pStyle w:val="JuPara"/>
        <w:rPr>
          <w:lang w:eastAsia="en-US"/>
        </w:rPr>
      </w:pPr>
      <w:r w:rsidRPr="00DC1F02">
        <w:fldChar w:fldCharType="begin"/>
      </w:r>
      <w:r w:rsidRPr="00DC1F02">
        <w:instrText xml:space="preserve"> SEQ level0 \*arabic </w:instrText>
      </w:r>
      <w:r w:rsidRPr="00DC1F02">
        <w:fldChar w:fldCharType="separate"/>
      </w:r>
      <w:r w:rsidR="00CF6F43">
        <w:rPr>
          <w:noProof/>
        </w:rPr>
        <w:t>70</w:t>
      </w:r>
      <w:r w:rsidRPr="00DC1F02">
        <w:fldChar w:fldCharType="end"/>
      </w:r>
      <w:r w:rsidRPr="00DC1F02">
        <w:t>.  </w:t>
      </w:r>
      <w:r w:rsidRPr="00DC1F02" w:rsidR="006C0B0E">
        <w:t xml:space="preserve">In </w:t>
      </w:r>
      <w:proofErr w:type="spellStart"/>
      <w:r w:rsidRPr="00DC1F02">
        <w:rPr>
          <w:i/>
        </w:rPr>
        <w:t>Hiro</w:t>
      </w:r>
      <w:proofErr w:type="spellEnd"/>
      <w:r w:rsidRPr="00DC1F02">
        <w:rPr>
          <w:i/>
        </w:rPr>
        <w:t xml:space="preserve"> </w:t>
      </w:r>
      <w:proofErr w:type="spellStart"/>
      <w:r w:rsidRPr="00DC1F02">
        <w:rPr>
          <w:i/>
        </w:rPr>
        <w:t>Balani</w:t>
      </w:r>
      <w:proofErr w:type="spellEnd"/>
      <w:r w:rsidRPr="00DC1F02">
        <w:rPr>
          <w:i/>
        </w:rPr>
        <w:t xml:space="preserve"> </w:t>
      </w:r>
      <w:r w:rsidRPr="00DC1F02" w:rsidR="006C0B0E">
        <w:rPr>
          <w:i/>
        </w:rPr>
        <w:t>v</w:t>
      </w:r>
      <w:r w:rsidRPr="00DC1F02">
        <w:rPr>
          <w:i/>
        </w:rPr>
        <w:t>.</w:t>
      </w:r>
      <w:r w:rsidRPr="00DC1F02" w:rsidR="006C0B0E">
        <w:rPr>
          <w:i/>
        </w:rPr>
        <w:t xml:space="preserve"> Spain</w:t>
      </w:r>
      <w:r w:rsidRPr="00DC1F02">
        <w:t xml:space="preserve">, </w:t>
      </w:r>
      <w:r w:rsidRPr="00DC1F02" w:rsidR="006C0B0E">
        <w:t xml:space="preserve">the </w:t>
      </w:r>
      <w:r w:rsidRPr="00DC1F02" w:rsidR="00C75E9E">
        <w:t>question of the applicability of Article 1 of Protocol No. 1 to intellectual property was</w:t>
      </w:r>
      <w:r w:rsidRPr="00DC1F02" w:rsidR="006C0B0E">
        <w:t xml:space="preserve"> not examine</w:t>
      </w:r>
      <w:r w:rsidRPr="00DC1F02" w:rsidR="00C75E9E">
        <w:t>d</w:t>
      </w:r>
      <w:r w:rsidRPr="00DC1F02" w:rsidR="006C0B0E">
        <w:t xml:space="preserve">. </w:t>
      </w:r>
      <w:r w:rsidRPr="00DC1F02" w:rsidR="00C75E9E">
        <w:t>The Court</w:t>
      </w:r>
      <w:r w:rsidRPr="00DC1F02" w:rsidR="006C0B0E">
        <w:t xml:space="preserve"> did, however, find a violation of Article </w:t>
      </w:r>
      <w:r w:rsidRPr="00DC1F02">
        <w:t xml:space="preserve">6 § 1 </w:t>
      </w:r>
      <w:r w:rsidRPr="00DC1F02" w:rsidR="006C0B0E">
        <w:t xml:space="preserve">of the Convention </w:t>
      </w:r>
      <w:r w:rsidRPr="00DC1F02" w:rsidR="00C75E9E">
        <w:t>on account</w:t>
      </w:r>
      <w:r w:rsidRPr="00DC1F02" w:rsidR="006C0B0E">
        <w:t xml:space="preserve"> of the Spanish Supreme Court</w:t>
      </w:r>
      <w:r w:rsidR="008B5D8B">
        <w:t>’</w:t>
      </w:r>
      <w:r w:rsidRPr="00DC1F02" w:rsidR="006C0B0E">
        <w:t xml:space="preserve">s failure to examine a ground of appeal by the applicant company alleging non-compliance with the priority rule </w:t>
      </w:r>
      <w:r w:rsidRPr="00DC1F02">
        <w:t>(</w:t>
      </w:r>
      <w:r w:rsidR="007B7A94">
        <w:t xml:space="preserve">see </w:t>
      </w:r>
      <w:proofErr w:type="spellStart"/>
      <w:r w:rsidRPr="00DC1F02">
        <w:rPr>
          <w:i/>
          <w:lang w:eastAsia="en-US"/>
        </w:rPr>
        <w:t>Hiro</w:t>
      </w:r>
      <w:proofErr w:type="spellEnd"/>
      <w:r w:rsidRPr="00DC1F02">
        <w:rPr>
          <w:i/>
          <w:lang w:eastAsia="en-US"/>
        </w:rPr>
        <w:t xml:space="preserve"> </w:t>
      </w:r>
      <w:proofErr w:type="spellStart"/>
      <w:r w:rsidRPr="00DC1F02">
        <w:rPr>
          <w:i/>
          <w:lang w:eastAsia="en-US"/>
        </w:rPr>
        <w:t>Balani</w:t>
      </w:r>
      <w:proofErr w:type="spellEnd"/>
      <w:r w:rsidRPr="00DC1F02">
        <w:rPr>
          <w:i/>
          <w:lang w:eastAsia="en-US"/>
        </w:rPr>
        <w:t xml:space="preserve"> </w:t>
      </w:r>
      <w:r w:rsidRPr="00DC1F02" w:rsidR="00C75E9E">
        <w:rPr>
          <w:i/>
          <w:lang w:eastAsia="en-US"/>
        </w:rPr>
        <w:t>v</w:t>
      </w:r>
      <w:r w:rsidRPr="00DC1F02">
        <w:rPr>
          <w:i/>
          <w:lang w:eastAsia="en-US"/>
        </w:rPr>
        <w:t xml:space="preserve">. </w:t>
      </w:r>
      <w:r w:rsidRPr="00DC1F02" w:rsidR="00C75E9E">
        <w:rPr>
          <w:i/>
          <w:lang w:eastAsia="en-US"/>
        </w:rPr>
        <w:t>Spain</w:t>
      </w:r>
      <w:r w:rsidRPr="00DC1F02">
        <w:rPr>
          <w:lang w:eastAsia="en-US"/>
        </w:rPr>
        <w:t xml:space="preserve">, 9 </w:t>
      </w:r>
      <w:r w:rsidRPr="00DC1F02" w:rsidR="00C75E9E">
        <w:rPr>
          <w:lang w:eastAsia="en-US"/>
        </w:rPr>
        <w:t xml:space="preserve">December </w:t>
      </w:r>
      <w:r w:rsidRPr="00DC1F02">
        <w:rPr>
          <w:lang w:eastAsia="en-US"/>
        </w:rPr>
        <w:t xml:space="preserve">1994, </w:t>
      </w:r>
      <w:r w:rsidRPr="00DC1F02" w:rsidR="008E60D0">
        <w:rPr>
          <w:lang w:eastAsia="en-US"/>
        </w:rPr>
        <w:t>§ 28,</w:t>
      </w:r>
      <w:r w:rsidR="008E60D0">
        <w:rPr>
          <w:lang w:eastAsia="en-US"/>
        </w:rPr>
        <w:t xml:space="preserve"> </w:t>
      </w:r>
      <w:r w:rsidRPr="00DC1F02" w:rsidR="00C75E9E">
        <w:rPr>
          <w:lang w:eastAsia="en-US"/>
        </w:rPr>
        <w:t>Series A no.</w:t>
      </w:r>
      <w:r w:rsidR="008E60D0">
        <w:rPr>
          <w:lang w:eastAsia="en-US"/>
        </w:rPr>
        <w:t xml:space="preserve"> 303-</w:t>
      </w:r>
      <w:r w:rsidRPr="00DC1F02">
        <w:rPr>
          <w:lang w:eastAsia="en-US"/>
        </w:rPr>
        <w:t>B).</w:t>
      </w:r>
    </w:p>
    <w:p w:rsidRPr="00DC1F02" w:rsidR="00E71F84" w:rsidP="00A25BB2" w:rsidRDefault="00A25BB2">
      <w:pPr>
        <w:pStyle w:val="JuPara"/>
        <w:rPr>
          <w:lang w:eastAsia="en-US"/>
        </w:rPr>
      </w:pPr>
      <w:r w:rsidRPr="00DC1F02">
        <w:rPr>
          <w:lang w:eastAsia="en-US"/>
        </w:rPr>
        <w:fldChar w:fldCharType="begin"/>
      </w:r>
      <w:r w:rsidRPr="00DC1F02">
        <w:rPr>
          <w:lang w:eastAsia="en-US"/>
        </w:rPr>
        <w:instrText xml:space="preserve"> SEQ level0 \*arabic </w:instrText>
      </w:r>
      <w:r w:rsidRPr="00DC1F02">
        <w:rPr>
          <w:lang w:eastAsia="en-US"/>
        </w:rPr>
        <w:fldChar w:fldCharType="separate"/>
      </w:r>
      <w:r w:rsidR="00CF6F43">
        <w:rPr>
          <w:noProof/>
          <w:lang w:eastAsia="en-US"/>
        </w:rPr>
        <w:t>71</w:t>
      </w:r>
      <w:r w:rsidRPr="00DC1F02">
        <w:rPr>
          <w:lang w:eastAsia="en-US"/>
        </w:rPr>
        <w:fldChar w:fldCharType="end"/>
      </w:r>
      <w:r w:rsidRPr="00DC1F02">
        <w:rPr>
          <w:lang w:eastAsia="en-US"/>
        </w:rPr>
        <w:t>.  </w:t>
      </w:r>
      <w:r w:rsidRPr="00DC1F02" w:rsidR="00AD28DC">
        <w:rPr>
          <w:lang w:eastAsia="en-US"/>
        </w:rPr>
        <w:t xml:space="preserve">More recently, in </w:t>
      </w:r>
      <w:proofErr w:type="spellStart"/>
      <w:r w:rsidRPr="00DC1F02">
        <w:rPr>
          <w:i/>
          <w:lang w:eastAsia="en-US"/>
        </w:rPr>
        <w:t>Melnychuk</w:t>
      </w:r>
      <w:proofErr w:type="spellEnd"/>
      <w:r w:rsidRPr="00DC1F02">
        <w:rPr>
          <w:i/>
          <w:lang w:eastAsia="en-US"/>
        </w:rPr>
        <w:t xml:space="preserve"> </w:t>
      </w:r>
      <w:r w:rsidRPr="00DC1F02" w:rsidR="00AD28DC">
        <w:rPr>
          <w:i/>
          <w:lang w:eastAsia="en-US"/>
        </w:rPr>
        <w:t>v</w:t>
      </w:r>
      <w:r w:rsidRPr="00DC1F02">
        <w:rPr>
          <w:i/>
          <w:lang w:eastAsia="en-US"/>
        </w:rPr>
        <w:t>. Ukraine</w:t>
      </w:r>
      <w:r w:rsidRPr="00DC1F02">
        <w:rPr>
          <w:lang w:eastAsia="en-US"/>
        </w:rPr>
        <w:t xml:space="preserve">, </w:t>
      </w:r>
      <w:r w:rsidRPr="00DC1F02" w:rsidR="00AD28DC">
        <w:rPr>
          <w:lang w:eastAsia="en-US"/>
        </w:rPr>
        <w:t>which concerned an alleged violation of the applicant</w:t>
      </w:r>
      <w:r w:rsidR="008B5D8B">
        <w:rPr>
          <w:lang w:eastAsia="en-US"/>
        </w:rPr>
        <w:t>’</w:t>
      </w:r>
      <w:r w:rsidRPr="00DC1F02" w:rsidR="009A5CE0">
        <w:rPr>
          <w:lang w:eastAsia="en-US"/>
        </w:rPr>
        <w:t xml:space="preserve">s </w:t>
      </w:r>
      <w:r w:rsidRPr="00DC1F02" w:rsidR="00AD28DC">
        <w:rPr>
          <w:lang w:eastAsia="en-US"/>
        </w:rPr>
        <w:t xml:space="preserve">copyright, the </w:t>
      </w:r>
      <w:r w:rsidRPr="00DC1F02" w:rsidR="009A5CE0">
        <w:rPr>
          <w:lang w:eastAsia="en-US"/>
        </w:rPr>
        <w:t xml:space="preserve">Court </w:t>
      </w:r>
      <w:r w:rsidRPr="00DC1F02" w:rsidR="00AD28DC">
        <w:rPr>
          <w:lang w:eastAsia="en-US"/>
        </w:rPr>
        <w:t>reiterated that Article 1 of Protocol No</w:t>
      </w:r>
      <w:r w:rsidR="00706AFD">
        <w:rPr>
          <w:lang w:eastAsia="en-US"/>
        </w:rPr>
        <w:t>.</w:t>
      </w:r>
      <w:r w:rsidRPr="00DC1F02" w:rsidR="00AD28DC">
        <w:rPr>
          <w:lang w:eastAsia="en-US"/>
        </w:rPr>
        <w:t xml:space="preserve"> 1 was applicable to intellectual property</w:t>
      </w:r>
      <w:r w:rsidRPr="00DC1F02" w:rsidR="009A5CE0">
        <w:rPr>
          <w:lang w:eastAsia="en-US"/>
        </w:rPr>
        <w:t>. It observed, however, that the fact that the State, through its judicial system, had provided a forum for the determination of the applicant</w:t>
      </w:r>
      <w:r w:rsidR="008B5D8B">
        <w:rPr>
          <w:lang w:eastAsia="en-US"/>
        </w:rPr>
        <w:t>’</w:t>
      </w:r>
      <w:r w:rsidRPr="00DC1F02" w:rsidR="009A5CE0">
        <w:rPr>
          <w:lang w:eastAsia="en-US"/>
        </w:rPr>
        <w:t>s rights and obligations did not automatically engage its responsibility under that provision, even if, in exceptional circumstances, the State might be held responsible for losses caused by arbitrary determinations. The Court noted that th</w:t>
      </w:r>
      <w:r w:rsidR="009E2325">
        <w:rPr>
          <w:lang w:eastAsia="en-US"/>
        </w:rPr>
        <w:t>is</w:t>
      </w:r>
      <w:r w:rsidRPr="00DC1F02" w:rsidR="009A5CE0">
        <w:rPr>
          <w:lang w:eastAsia="en-US"/>
        </w:rPr>
        <w:t xml:space="preserve"> was not the position in the case before it, as the national courts had </w:t>
      </w:r>
      <w:r w:rsidR="009E2325">
        <w:rPr>
          <w:lang w:eastAsia="en-US"/>
        </w:rPr>
        <w:t>act</w:t>
      </w:r>
      <w:r w:rsidRPr="00DC1F02" w:rsidR="009A5CE0">
        <w:rPr>
          <w:lang w:eastAsia="en-US"/>
        </w:rPr>
        <w:t xml:space="preserve">ed in accordance with domestic law, giving full reasons for their decisions. Thus, their assessment was not flawed by arbitrariness or manifest unreasonableness contrary to Article 1 of Protocol No. 1 </w:t>
      </w:r>
      <w:r w:rsidRPr="00DC1F02">
        <w:rPr>
          <w:lang w:eastAsia="en-US"/>
        </w:rPr>
        <w:t>(</w:t>
      </w:r>
      <w:r w:rsidR="004F47D2">
        <w:rPr>
          <w:lang w:eastAsia="en-US"/>
        </w:rPr>
        <w:t xml:space="preserve">see </w:t>
      </w:r>
      <w:proofErr w:type="spellStart"/>
      <w:r w:rsidRPr="00DC1F02">
        <w:rPr>
          <w:i/>
          <w:lang w:eastAsia="en-US"/>
        </w:rPr>
        <w:t>Melnychuk</w:t>
      </w:r>
      <w:proofErr w:type="spellEnd"/>
      <w:r w:rsidRPr="00DC1F02">
        <w:rPr>
          <w:i/>
          <w:lang w:eastAsia="en-US"/>
        </w:rPr>
        <w:t xml:space="preserve"> </w:t>
      </w:r>
      <w:r w:rsidRPr="00DC1F02" w:rsidR="00AD28DC">
        <w:rPr>
          <w:i/>
          <w:lang w:eastAsia="en-US"/>
        </w:rPr>
        <w:t>v</w:t>
      </w:r>
      <w:r w:rsidRPr="00DC1F02">
        <w:rPr>
          <w:i/>
          <w:lang w:eastAsia="en-US"/>
        </w:rPr>
        <w:t>. Ukraine</w:t>
      </w:r>
      <w:r w:rsidRPr="00DC1F02">
        <w:rPr>
          <w:lang w:eastAsia="en-US"/>
        </w:rPr>
        <w:t xml:space="preserve"> (</w:t>
      </w:r>
      <w:proofErr w:type="spellStart"/>
      <w:r w:rsidRPr="00DC1F02">
        <w:rPr>
          <w:lang w:eastAsia="en-US"/>
        </w:rPr>
        <w:t>d</w:t>
      </w:r>
      <w:r w:rsidRPr="00DC1F02" w:rsidR="00AD28DC">
        <w:rPr>
          <w:lang w:eastAsia="en-US"/>
        </w:rPr>
        <w:t>e</w:t>
      </w:r>
      <w:r w:rsidRPr="00DC1F02">
        <w:rPr>
          <w:lang w:eastAsia="en-US"/>
        </w:rPr>
        <w:t>c</w:t>
      </w:r>
      <w:proofErr w:type="spellEnd"/>
      <w:r w:rsidRPr="00DC1F02">
        <w:rPr>
          <w:lang w:eastAsia="en-US"/>
        </w:rPr>
        <w:t>.), n</w:t>
      </w:r>
      <w:r w:rsidRPr="00DC1F02" w:rsidR="00AD28DC">
        <w:rPr>
          <w:lang w:eastAsia="en-US"/>
        </w:rPr>
        <w:t>o.</w:t>
      </w:r>
      <w:r w:rsidRPr="00DC1F02" w:rsidR="009A5CE0">
        <w:rPr>
          <w:lang w:eastAsia="en-US"/>
        </w:rPr>
        <w:t> </w:t>
      </w:r>
      <w:r w:rsidRPr="00DC1F02">
        <w:rPr>
          <w:lang w:eastAsia="en-US"/>
        </w:rPr>
        <w:t>28743/03,</w:t>
      </w:r>
      <w:r w:rsidRPr="00DC1F02">
        <w:rPr>
          <w:i/>
          <w:lang w:eastAsia="en-US"/>
        </w:rPr>
        <w:t xml:space="preserve"> </w:t>
      </w:r>
      <w:r w:rsidRPr="00DC1F02">
        <w:rPr>
          <w:lang w:eastAsia="en-US"/>
        </w:rPr>
        <w:t>E</w:t>
      </w:r>
      <w:r w:rsidRPr="00DC1F02" w:rsidR="00AD28DC">
        <w:rPr>
          <w:lang w:eastAsia="en-US"/>
        </w:rPr>
        <w:t>C</w:t>
      </w:r>
      <w:r w:rsidRPr="00DC1F02">
        <w:rPr>
          <w:lang w:eastAsia="en-US"/>
        </w:rPr>
        <w:t>H</w:t>
      </w:r>
      <w:r w:rsidRPr="00DC1F02" w:rsidR="00AD28DC">
        <w:rPr>
          <w:lang w:eastAsia="en-US"/>
        </w:rPr>
        <w:t>R</w:t>
      </w:r>
      <w:r w:rsidRPr="00DC1F02">
        <w:rPr>
          <w:lang w:eastAsia="en-US"/>
        </w:rPr>
        <w:t xml:space="preserve"> 2005</w:t>
      </w:r>
      <w:r w:rsidRPr="00DC1F02">
        <w:rPr>
          <w:lang w:eastAsia="en-US"/>
        </w:rPr>
        <w:noBreakHyphen/>
        <w:t>IX;</w:t>
      </w:r>
      <w:r w:rsidRPr="00DC1F02" w:rsidR="00AD28DC">
        <w:rPr>
          <w:lang w:eastAsia="en-US"/>
        </w:rPr>
        <w:t xml:space="preserve"> see also, </w:t>
      </w:r>
      <w:proofErr w:type="spellStart"/>
      <w:r w:rsidRPr="00BC1B17">
        <w:rPr>
          <w:rStyle w:val="ju-005fpara--char"/>
          <w:bCs/>
          <w:i/>
          <w:iCs/>
        </w:rPr>
        <w:t>Breierova</w:t>
      </w:r>
      <w:proofErr w:type="spellEnd"/>
      <w:r w:rsidRPr="00BC1B17" w:rsidR="00AD28DC">
        <w:rPr>
          <w:rStyle w:val="ju-005fpara--char"/>
          <w:i/>
          <w:iCs/>
        </w:rPr>
        <w:t xml:space="preserve"> a</w:t>
      </w:r>
      <w:r w:rsidRPr="00DC1F02" w:rsidR="00AD28DC">
        <w:rPr>
          <w:rStyle w:val="ju-005fpara--char"/>
          <w:i/>
          <w:iCs/>
        </w:rPr>
        <w:t>nd Others v</w:t>
      </w:r>
      <w:r w:rsidRPr="00DC1F02">
        <w:rPr>
          <w:rStyle w:val="ju-005fpara--char"/>
          <w:i/>
          <w:iCs/>
        </w:rPr>
        <w:t>.</w:t>
      </w:r>
      <w:r w:rsidRPr="00DC1F02" w:rsidR="00AD28DC">
        <w:rPr>
          <w:rStyle w:val="ju-005fpara--char"/>
          <w:i/>
          <w:iCs/>
        </w:rPr>
        <w:t xml:space="preserve"> </w:t>
      </w:r>
      <w:r w:rsidR="00BC1B17">
        <w:rPr>
          <w:rStyle w:val="ju-005fpara--char"/>
          <w:i/>
          <w:iCs/>
        </w:rPr>
        <w:t xml:space="preserve">the </w:t>
      </w:r>
      <w:r w:rsidRPr="00DC1F02" w:rsidR="00AD28DC">
        <w:rPr>
          <w:rStyle w:val="ju-005fpara--char"/>
          <w:i/>
          <w:iCs/>
        </w:rPr>
        <w:t xml:space="preserve">Czech Republic </w:t>
      </w:r>
      <w:r w:rsidRPr="00DC1F02">
        <w:t>(</w:t>
      </w:r>
      <w:proofErr w:type="spellStart"/>
      <w:r w:rsidRPr="00DC1F02">
        <w:t>d</w:t>
      </w:r>
      <w:r w:rsidRPr="00DC1F02" w:rsidR="00AD28DC">
        <w:t>e</w:t>
      </w:r>
      <w:r w:rsidRPr="00DC1F02">
        <w:t>c</w:t>
      </w:r>
      <w:proofErr w:type="spellEnd"/>
      <w:r w:rsidRPr="00DC1F02">
        <w:t>.), n</w:t>
      </w:r>
      <w:r w:rsidR="00BC1B17">
        <w:t xml:space="preserve">o. </w:t>
      </w:r>
      <w:r w:rsidRPr="00DC1F02">
        <w:t xml:space="preserve">57321/00, 8 </w:t>
      </w:r>
      <w:r w:rsidRPr="00DC1F02" w:rsidR="00AD28DC">
        <w:t xml:space="preserve">October </w:t>
      </w:r>
      <w:r w:rsidRPr="00DC1F02">
        <w:t>2002</w:t>
      </w:r>
      <w:r w:rsidRPr="00DC1F02">
        <w:rPr>
          <w:lang w:eastAsia="en-US"/>
        </w:rPr>
        <w:t>).</w:t>
      </w:r>
    </w:p>
    <w:p w:rsidRPr="00DC1F02" w:rsidR="00AA0725" w:rsidP="00A25BB2" w:rsidRDefault="00A25BB2">
      <w:pPr>
        <w:pStyle w:val="JuPara"/>
        <w:rPr>
          <w:lang w:eastAsia="en-US"/>
        </w:rPr>
      </w:pPr>
      <w:r w:rsidRPr="00DC1F02">
        <w:rPr>
          <w:lang w:eastAsia="en-US"/>
        </w:rPr>
        <w:fldChar w:fldCharType="begin"/>
      </w:r>
      <w:r w:rsidRPr="00DC1F02">
        <w:rPr>
          <w:lang w:eastAsia="en-US"/>
        </w:rPr>
        <w:instrText xml:space="preserve"> SEQ level0 \*arabic </w:instrText>
      </w:r>
      <w:r w:rsidRPr="00DC1F02">
        <w:rPr>
          <w:lang w:eastAsia="en-US"/>
        </w:rPr>
        <w:fldChar w:fldCharType="separate"/>
      </w:r>
      <w:r w:rsidR="00CF6F43">
        <w:rPr>
          <w:noProof/>
          <w:lang w:eastAsia="en-US"/>
        </w:rPr>
        <w:t>72</w:t>
      </w:r>
      <w:r w:rsidRPr="00DC1F02">
        <w:rPr>
          <w:lang w:eastAsia="en-US"/>
        </w:rPr>
        <w:fldChar w:fldCharType="end"/>
      </w:r>
      <w:r w:rsidRPr="00DC1F02">
        <w:rPr>
          <w:lang w:eastAsia="en-US"/>
        </w:rPr>
        <w:t>.  </w:t>
      </w:r>
      <w:r w:rsidRPr="00DC1F02" w:rsidR="00AA0725">
        <w:rPr>
          <w:lang w:eastAsia="en-US"/>
        </w:rPr>
        <w:t>In the light of the a</w:t>
      </w:r>
      <w:r w:rsidR="00706AFD">
        <w:rPr>
          <w:lang w:eastAsia="en-US"/>
        </w:rPr>
        <w:t>bov</w:t>
      </w:r>
      <w:r w:rsidRPr="00DC1F02" w:rsidR="00AA0725">
        <w:rPr>
          <w:lang w:eastAsia="en-US"/>
        </w:rPr>
        <w:t>e</w:t>
      </w:r>
      <w:r w:rsidR="00706AFD">
        <w:rPr>
          <w:lang w:eastAsia="en-US"/>
        </w:rPr>
        <w:t>-</w:t>
      </w:r>
      <w:r w:rsidRPr="00DC1F02" w:rsidR="00AA0725">
        <w:rPr>
          <w:lang w:eastAsia="en-US"/>
        </w:rPr>
        <w:t xml:space="preserve">mentioned </w:t>
      </w:r>
      <w:r w:rsidRPr="00DC1F02" w:rsidR="008216E4">
        <w:rPr>
          <w:lang w:eastAsia="en-US"/>
        </w:rPr>
        <w:t>decisions</w:t>
      </w:r>
      <w:r w:rsidRPr="00DC1F02" w:rsidR="00AA0725">
        <w:rPr>
          <w:lang w:eastAsia="en-US"/>
        </w:rPr>
        <w:t>, the</w:t>
      </w:r>
      <w:r w:rsidR="00690681">
        <w:rPr>
          <w:lang w:eastAsia="en-US"/>
        </w:rPr>
        <w:t xml:space="preserve"> Grand Chamber </w:t>
      </w:r>
      <w:r w:rsidRPr="00DC1F02" w:rsidR="00194615">
        <w:rPr>
          <w:lang w:eastAsia="en-US"/>
        </w:rPr>
        <w:t>agrees with</w:t>
      </w:r>
      <w:r w:rsidRPr="00DC1F02" w:rsidR="00AA0725">
        <w:rPr>
          <w:lang w:eastAsia="en-US"/>
        </w:rPr>
        <w:t xml:space="preserve"> the Chamber</w:t>
      </w:r>
      <w:r w:rsidR="008B5D8B">
        <w:rPr>
          <w:lang w:eastAsia="en-US"/>
        </w:rPr>
        <w:t>’</w:t>
      </w:r>
      <w:r w:rsidRPr="00DC1F02" w:rsidR="00AA0725">
        <w:rPr>
          <w:lang w:eastAsia="en-US"/>
        </w:rPr>
        <w:t>s conclusion that Article 1 of Protocol No</w:t>
      </w:r>
      <w:r w:rsidRPr="00DC1F02" w:rsidR="00194615">
        <w:rPr>
          <w:lang w:eastAsia="en-US"/>
        </w:rPr>
        <w:t>.</w:t>
      </w:r>
      <w:r w:rsidRPr="00DC1F02" w:rsidR="00AA0725">
        <w:rPr>
          <w:lang w:eastAsia="en-US"/>
        </w:rPr>
        <w:t xml:space="preserve"> 1 is applicable to intellectual property as such. It must now examine whether </w:t>
      </w:r>
      <w:r w:rsidRPr="00DC1F02" w:rsidR="00194615">
        <w:rPr>
          <w:lang w:eastAsia="en-US"/>
        </w:rPr>
        <w:t>this</w:t>
      </w:r>
      <w:r w:rsidRPr="00DC1F02" w:rsidR="00AA0725">
        <w:rPr>
          <w:lang w:eastAsia="en-US"/>
        </w:rPr>
        <w:t xml:space="preserve"> conclusion also applies to mere application</w:t>
      </w:r>
      <w:r w:rsidR="009E2325">
        <w:rPr>
          <w:lang w:eastAsia="en-US"/>
        </w:rPr>
        <w:t>s</w:t>
      </w:r>
      <w:r w:rsidRPr="00DC1F02" w:rsidR="00AA0725">
        <w:rPr>
          <w:lang w:eastAsia="en-US"/>
        </w:rPr>
        <w:t xml:space="preserve"> for </w:t>
      </w:r>
      <w:r w:rsidRPr="00DC1F02" w:rsidR="00194615">
        <w:rPr>
          <w:lang w:eastAsia="en-US"/>
        </w:rPr>
        <w:t xml:space="preserve">the </w:t>
      </w:r>
      <w:r w:rsidRPr="00DC1F02" w:rsidR="00AA0725">
        <w:rPr>
          <w:lang w:eastAsia="en-US"/>
        </w:rPr>
        <w:t>registration of a trade</w:t>
      </w:r>
      <w:r w:rsidRPr="00DC1F02" w:rsidR="00194615">
        <w:rPr>
          <w:lang w:eastAsia="en-US"/>
        </w:rPr>
        <w:t xml:space="preserve"> </w:t>
      </w:r>
      <w:r w:rsidRPr="00DC1F02" w:rsidR="00AA0725">
        <w:rPr>
          <w:lang w:eastAsia="en-US"/>
        </w:rPr>
        <w:t>mark.</w:t>
      </w:r>
    </w:p>
    <w:p w:rsidRPr="00DC1F02" w:rsidR="00A25BB2" w:rsidP="00A25BB2" w:rsidRDefault="00194615">
      <w:pPr>
        <w:pStyle w:val="JuHi"/>
      </w:pPr>
      <w:r w:rsidRPr="00DC1F02">
        <w:t>(</w:t>
      </w:r>
      <w:r w:rsidRPr="00DC1F02" w:rsidR="00A25BB2">
        <w:t>ii</w:t>
      </w:r>
      <w:r w:rsidRPr="00DC1F02">
        <w:t>)</w:t>
      </w:r>
      <w:r w:rsidRPr="00DC1F02" w:rsidR="00A25BB2">
        <w:t>  </w:t>
      </w:r>
      <w:r w:rsidR="007B7A94">
        <w:t>A</w:t>
      </w:r>
      <w:r w:rsidRPr="00DC1F02">
        <w:t>pplication</w:t>
      </w:r>
      <w:r w:rsidR="007B7A94">
        <w:t>s</w:t>
      </w:r>
      <w:r w:rsidRPr="00DC1F02">
        <w:t xml:space="preserve"> for registration</w:t>
      </w:r>
    </w:p>
    <w:p w:rsidRPr="00DC1F02" w:rsidR="00A25BB2"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73</w:t>
      </w:r>
      <w:r w:rsidRPr="00DC1F02">
        <w:fldChar w:fldCharType="end"/>
      </w:r>
      <w:r w:rsidRPr="00DC1F02">
        <w:t>.  </w:t>
      </w:r>
      <w:r w:rsidRPr="00DC1F02" w:rsidR="00EF2B4F">
        <w:t>Largely in line with the Government</w:t>
      </w:r>
      <w:r w:rsidR="008B5D8B">
        <w:t>’</w:t>
      </w:r>
      <w:r w:rsidRPr="00DC1F02" w:rsidR="00EF2B4F">
        <w:t>s submissions, the Chamber stated in its judgment:</w:t>
      </w:r>
    </w:p>
    <w:p w:rsidRPr="00DC1F02" w:rsidR="00A25BB2" w:rsidP="00A25BB2" w:rsidRDefault="00EF2B4F">
      <w:pPr>
        <w:pStyle w:val="JuQuot"/>
      </w:pPr>
      <w:r w:rsidRPr="00DC1F02">
        <w:t>“</w:t>
      </w:r>
      <w:r w:rsidR="00944170">
        <w:t>...</w:t>
      </w:r>
      <w:r w:rsidR="007B7A94">
        <w:t xml:space="preserve"> </w:t>
      </w:r>
      <w:r w:rsidRPr="00DC1F02">
        <w:t xml:space="preserve">while it is clear that a trade mark constitutes a </w:t>
      </w:r>
      <w:r w:rsidR="008B5D8B">
        <w:t>‘</w:t>
      </w:r>
      <w:r w:rsidRPr="00DC1F02">
        <w:t>possession</w:t>
      </w:r>
      <w:r w:rsidR="008B5D8B">
        <w:t>’</w:t>
      </w:r>
      <w:r w:rsidRPr="00DC1F02">
        <w:t xml:space="preserve"> within the meaning of Article 1 of Protocol No. 1, this is only so after final registration of the mark, in accordance with the rules in force in the State concerned. Prior to such registration, the applicant does, of course, have a hope of acquiring such a </w:t>
      </w:r>
      <w:r w:rsidR="008B5D8B">
        <w:t>‘</w:t>
      </w:r>
      <w:r w:rsidRPr="00DC1F02">
        <w:t>possession</w:t>
      </w:r>
      <w:r w:rsidR="008B5D8B">
        <w:t>’</w:t>
      </w:r>
      <w:r w:rsidR="007B7A94">
        <w:t xml:space="preserve">, but not a legally </w:t>
      </w:r>
      <w:r w:rsidRPr="00DC1F02">
        <w:t>protected legitimate expectation.”</w:t>
      </w:r>
      <w:r w:rsidRPr="00DC1F02" w:rsidR="00A25BB2">
        <w:t xml:space="preserve"> (</w:t>
      </w:r>
      <w:r w:rsidR="007E7A20">
        <w:t>§</w:t>
      </w:r>
      <w:r w:rsidRPr="00DC1F02" w:rsidR="00A25BB2">
        <w:t xml:space="preserve"> 52)</w:t>
      </w:r>
    </w:p>
    <w:p w:rsidRPr="00DC1F02" w:rsidR="00236BB2"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74</w:t>
      </w:r>
      <w:r w:rsidRPr="00DC1F02">
        <w:fldChar w:fldCharType="end"/>
      </w:r>
      <w:r w:rsidRPr="00DC1F02">
        <w:t>.  </w:t>
      </w:r>
      <w:r w:rsidRPr="00DC1F02" w:rsidR="00236BB2">
        <w:t xml:space="preserve">The Chamber accepted that the legal position of </w:t>
      </w:r>
      <w:r w:rsidRPr="00DC1F02" w:rsidR="00805A7A">
        <w:t>an</w:t>
      </w:r>
      <w:r w:rsidRPr="00DC1F02" w:rsidR="00236BB2">
        <w:t xml:space="preserve"> applicant for the registration of a trade mark </w:t>
      </w:r>
      <w:r w:rsidRPr="00DC1F02" w:rsidR="007F0FA8">
        <w:t>had</w:t>
      </w:r>
      <w:r w:rsidRPr="00DC1F02" w:rsidR="00236BB2">
        <w:t xml:space="preserve"> certain financial i</w:t>
      </w:r>
      <w:r w:rsidRPr="00DC1F02" w:rsidR="007F0FA8">
        <w:t xml:space="preserve">mplications, </w:t>
      </w:r>
      <w:r w:rsidRPr="00DC1F02" w:rsidR="00357C0E">
        <w:t xml:space="preserve">including those attendant on </w:t>
      </w:r>
      <w:r w:rsidRPr="00DC1F02" w:rsidR="00236BB2">
        <w:t>an assignment</w:t>
      </w:r>
      <w:r w:rsidRPr="00DC1F02" w:rsidR="00357C0E">
        <w:t xml:space="preserve"> (possibly for consideration)</w:t>
      </w:r>
      <w:r w:rsidRPr="00DC1F02" w:rsidR="007F0FA8">
        <w:t xml:space="preserve"> or</w:t>
      </w:r>
      <w:r w:rsidRPr="00DC1F02" w:rsidR="00236BB2">
        <w:t xml:space="preserve"> a licence </w:t>
      </w:r>
      <w:r w:rsidRPr="00DC1F02" w:rsidR="007F0FA8">
        <w:t>and</w:t>
      </w:r>
      <w:r w:rsidRPr="00DC1F02" w:rsidR="00236BB2">
        <w:t xml:space="preserve"> </w:t>
      </w:r>
      <w:r w:rsidRPr="00DC1F02" w:rsidR="00766C4E">
        <w:t xml:space="preserve">those </w:t>
      </w:r>
      <w:r w:rsidRPr="00DC1F02" w:rsidR="00357C0E">
        <w:t>arising out of</w:t>
      </w:r>
      <w:r w:rsidRPr="00DC1F02" w:rsidR="007F0FA8">
        <w:t xml:space="preserve"> the</w:t>
      </w:r>
      <w:r w:rsidRPr="00DC1F02" w:rsidR="00236BB2">
        <w:t xml:space="preserve"> priority </w:t>
      </w:r>
      <w:r w:rsidRPr="00DC1F02" w:rsidR="00766C4E">
        <w:t>an application for registration</w:t>
      </w:r>
      <w:r w:rsidRPr="00DC1F02" w:rsidR="00357C0E">
        <w:t xml:space="preserve"> afforded </w:t>
      </w:r>
      <w:r w:rsidRPr="00DC1F02" w:rsidR="00236BB2">
        <w:t>over subsequent applications. However, referring to the a</w:t>
      </w:r>
      <w:r w:rsidR="00706AFD">
        <w:t>bov</w:t>
      </w:r>
      <w:r w:rsidRPr="00DC1F02" w:rsidR="00236BB2">
        <w:t>e</w:t>
      </w:r>
      <w:r w:rsidR="00706AFD">
        <w:t>-</w:t>
      </w:r>
      <w:r w:rsidRPr="00DC1F02" w:rsidR="00236BB2">
        <w:t xml:space="preserve">mentioned judgment in </w:t>
      </w:r>
      <w:proofErr w:type="spellStart"/>
      <w:r w:rsidRPr="00DC1F02">
        <w:rPr>
          <w:i/>
        </w:rPr>
        <w:t>Gratzinger</w:t>
      </w:r>
      <w:proofErr w:type="spellEnd"/>
      <w:r w:rsidRPr="00DC1F02">
        <w:rPr>
          <w:i/>
        </w:rPr>
        <w:t xml:space="preserve"> </w:t>
      </w:r>
      <w:r w:rsidRPr="00DC1F02" w:rsidR="00236BB2">
        <w:rPr>
          <w:i/>
        </w:rPr>
        <w:t>and</w:t>
      </w:r>
      <w:r w:rsidRPr="00DC1F02">
        <w:rPr>
          <w:i/>
        </w:rPr>
        <w:t xml:space="preserve"> </w:t>
      </w:r>
      <w:proofErr w:type="spellStart"/>
      <w:r w:rsidRPr="00DC1F02">
        <w:rPr>
          <w:i/>
        </w:rPr>
        <w:t>Gratzingerova</w:t>
      </w:r>
      <w:proofErr w:type="spellEnd"/>
      <w:r w:rsidRPr="00DC1F02" w:rsidR="00236BB2">
        <w:t>, the Chamber found as follows:</w:t>
      </w:r>
    </w:p>
    <w:p w:rsidRPr="00DC1F02" w:rsidR="00EF2B4F" w:rsidP="00A25BB2" w:rsidRDefault="00EF2B4F">
      <w:pPr>
        <w:pStyle w:val="JuQuot"/>
      </w:pPr>
      <w:r w:rsidRPr="00DC1F02">
        <w:t>“</w:t>
      </w:r>
      <w:r w:rsidR="00944170">
        <w:t>...</w:t>
      </w:r>
      <w:r w:rsidR="007B7A94">
        <w:t xml:space="preserve"> </w:t>
      </w:r>
      <w:r w:rsidRPr="00DC1F02">
        <w:t>the applicant company could not be sure of being the owner of the trade mark in question until after final registration and then only on condition that no objection was raised by a third party, as the relevant legislation permitted. In other words, the applicant company had a conditional right, which was extinguished retrospectively for failure to satisfy the condition, namely that it did not infringe third-party rights.”</w:t>
      </w:r>
      <w:r w:rsidR="007E7A20">
        <w:t xml:space="preserve"> (§ 50)</w:t>
      </w:r>
    </w:p>
    <w:p w:rsidRPr="00A56B4B" w:rsidR="001A1697"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75</w:t>
      </w:r>
      <w:r w:rsidRPr="00DC1F02">
        <w:fldChar w:fldCharType="end"/>
      </w:r>
      <w:r w:rsidRPr="00DC1F02">
        <w:t>.  </w:t>
      </w:r>
      <w:r w:rsidRPr="00A56B4B" w:rsidR="00A56B4B">
        <w:t>The Court considers it appropriate to examine whether the circumstances of the case, considered as a whole, conferred on the applicant title to a substantive interest protected by Article 1 of Protocol No. 1. In that connection, it notes at the outset that the question whether the applicant company became the owner of the “Budweiser” mark on 20 June 1995 when it was issued with a registration certificate by the NIIP – a point that was argued in detail by the parties at the hearing before the Grand Chamber – is ultimately of secondary importance, the reason being that the issue of the certificate to the applicant company was in breach of the provisions of Article 7 of the Code of Industrial Property (see paragraph 43 above) and therefore cannot alter the nature of the “possession” to which the applicant company lays claim or the reality of its overall legal position for the purposes of Article 1 of Protocol No. 1.</w:t>
      </w:r>
    </w:p>
    <w:p w:rsidRPr="00DC1F02" w:rsidR="004570D4"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76</w:t>
      </w:r>
      <w:r w:rsidRPr="00DC1F02">
        <w:fldChar w:fldCharType="end"/>
      </w:r>
      <w:r w:rsidRPr="00DC1F02">
        <w:t>.  </w:t>
      </w:r>
      <w:r w:rsidRPr="00DC1F02" w:rsidR="00656708">
        <w:t xml:space="preserve">With this in mind, the Court takes </w:t>
      </w:r>
      <w:r w:rsidRPr="00DC1F02" w:rsidR="005A30F4">
        <w:t xml:space="preserve">due </w:t>
      </w:r>
      <w:r w:rsidRPr="00DC1F02" w:rsidR="004570D4">
        <w:t>note</w:t>
      </w:r>
      <w:r w:rsidRPr="00DC1F02" w:rsidR="00656708">
        <w:t xml:space="preserve"> </w:t>
      </w:r>
      <w:r w:rsidRPr="00DC1F02" w:rsidR="00C40616">
        <w:t xml:space="preserve">of </w:t>
      </w:r>
      <w:r w:rsidRPr="00DC1F02" w:rsidR="005A30F4">
        <w:t>the</w:t>
      </w:r>
      <w:r w:rsidR="00690681">
        <w:t xml:space="preserve"> bundle </w:t>
      </w:r>
      <w:r w:rsidRPr="00DC1F02" w:rsidR="005A30F4">
        <w:t>of</w:t>
      </w:r>
      <w:r w:rsidRPr="00DC1F02" w:rsidR="00C40616">
        <w:t xml:space="preserve"> </w:t>
      </w:r>
      <w:r w:rsidRPr="00DC1F02" w:rsidR="005A30F4">
        <w:t>financial</w:t>
      </w:r>
      <w:r w:rsidRPr="00DC1F02" w:rsidR="00C40616">
        <w:t xml:space="preserve"> rights and interests that arise upon an application for </w:t>
      </w:r>
      <w:r w:rsidRPr="00DC1F02" w:rsidR="004570D4">
        <w:t xml:space="preserve">the </w:t>
      </w:r>
      <w:r w:rsidRPr="00DC1F02" w:rsidR="00C40616">
        <w:t xml:space="preserve">registration of </w:t>
      </w:r>
      <w:r w:rsidR="00CD590A">
        <w:t xml:space="preserve">a </w:t>
      </w:r>
      <w:r w:rsidRPr="00DC1F02" w:rsidR="00C40616">
        <w:t>trade mark.</w:t>
      </w:r>
      <w:r w:rsidRPr="00DC1F02" w:rsidR="004570D4">
        <w:t xml:space="preserve"> It agrees with the Chamber that such applications may give rise to</w:t>
      </w:r>
      <w:r w:rsidR="00690681">
        <w:t xml:space="preserve"> a variety of </w:t>
      </w:r>
      <w:r w:rsidRPr="00DC1F02" w:rsidR="004570D4">
        <w:t>legal transactions, such as a sale or licence agreement for consideration</w:t>
      </w:r>
      <w:r w:rsidRPr="00DC1F02" w:rsidR="00FC6F49">
        <w:t>,</w:t>
      </w:r>
      <w:r w:rsidRPr="00DC1F02" w:rsidR="004570D4">
        <w:t xml:space="preserve"> and possess – or are capable of possessing –</w:t>
      </w:r>
      <w:r w:rsidRPr="00DC1F02" w:rsidR="00FC6F49">
        <w:t xml:space="preserve"> </w:t>
      </w:r>
      <w:r w:rsidRPr="00DC1F02" w:rsidR="004570D4">
        <w:t>a substantial financial value. With regard to the Government</w:t>
      </w:r>
      <w:r w:rsidR="008B5D8B">
        <w:t>’</w:t>
      </w:r>
      <w:r w:rsidRPr="00DC1F02" w:rsidR="004570D4">
        <w:t xml:space="preserve">s submission that dealings in respect of applications for the registration of a mark are of negligible or symbolic value only, </w:t>
      </w:r>
      <w:r w:rsidRPr="00DC1F02" w:rsidR="00FC6F49">
        <w:t>it is noted</w:t>
      </w:r>
      <w:r w:rsidRPr="00DC1F02" w:rsidR="004570D4">
        <w:t xml:space="preserve"> that in a market economy, value depend</w:t>
      </w:r>
      <w:r w:rsidRPr="00DC1F02" w:rsidR="00FC6F49">
        <w:t>s</w:t>
      </w:r>
      <w:r w:rsidRPr="00DC1F02" w:rsidR="004570D4">
        <w:t xml:space="preserve"> on a</w:t>
      </w:r>
      <w:r w:rsidR="00690681">
        <w:t xml:space="preserve"> number </w:t>
      </w:r>
      <w:r w:rsidRPr="00DC1F02" w:rsidR="004570D4">
        <w:t>of factors</w:t>
      </w:r>
      <w:r w:rsidRPr="00DC1F02" w:rsidR="00FC6F49">
        <w:t xml:space="preserve"> and</w:t>
      </w:r>
      <w:r w:rsidRPr="00DC1F02" w:rsidR="004570D4">
        <w:t xml:space="preserve"> it is impossible to assert at the outset that the assignment of an application for the registration of </w:t>
      </w:r>
      <w:r w:rsidRPr="00DC1F02" w:rsidR="0041737B">
        <w:t xml:space="preserve">a </w:t>
      </w:r>
      <w:r w:rsidRPr="00DC1F02" w:rsidR="004570D4">
        <w:t xml:space="preserve">trade mark will have no </w:t>
      </w:r>
      <w:r w:rsidRPr="00DC1F02" w:rsidR="004959E1">
        <w:t>financial</w:t>
      </w:r>
      <w:r w:rsidRPr="00DC1F02" w:rsidR="004570D4">
        <w:t xml:space="preserve"> value. In the instant case, as the applicant company </w:t>
      </w:r>
      <w:r w:rsidR="007B7A94">
        <w:t>did</w:t>
      </w:r>
      <w:r w:rsidRPr="00DC1F02" w:rsidR="004959E1">
        <w:t xml:space="preserve"> </w:t>
      </w:r>
      <w:r w:rsidR="00CD590A">
        <w:t xml:space="preserve">not </w:t>
      </w:r>
      <w:r w:rsidR="007B7A94">
        <w:t>fail</w:t>
      </w:r>
      <w:r w:rsidRPr="00DC1F02" w:rsidR="0041737B">
        <w:t xml:space="preserve"> to point out</w:t>
      </w:r>
      <w:r w:rsidRPr="00DC1F02" w:rsidR="004570D4">
        <w:t xml:space="preserve">, the mark in question possessed a definite </w:t>
      </w:r>
      <w:r w:rsidRPr="00DC1F02" w:rsidR="004959E1">
        <w:t>financial</w:t>
      </w:r>
      <w:r w:rsidRPr="00DC1F02" w:rsidR="004570D4">
        <w:t xml:space="preserve"> value on account of its international renown.</w:t>
      </w:r>
    </w:p>
    <w:p w:rsidRPr="00DC1F02" w:rsidR="00D02ADF"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77</w:t>
      </w:r>
      <w:r w:rsidRPr="00DC1F02">
        <w:fldChar w:fldCharType="end"/>
      </w:r>
      <w:r w:rsidRPr="00DC1F02">
        <w:t>.</w:t>
      </w:r>
      <w:r w:rsidRPr="00DC1F02" w:rsidR="00D02ADF">
        <w:t>  The parties disagreed about whether</w:t>
      </w:r>
      <w:r w:rsidRPr="00DC1F02" w:rsidR="004959E1">
        <w:t>,</w:t>
      </w:r>
      <w:r w:rsidRPr="00DC1F02" w:rsidR="00D02ADF">
        <w:t xml:space="preserve"> </w:t>
      </w:r>
      <w:r w:rsidRPr="00DC1F02" w:rsidR="004959E1">
        <w:t xml:space="preserve">prior </w:t>
      </w:r>
      <w:r w:rsidR="007B7A94">
        <w:t>to the entry into force of the n</w:t>
      </w:r>
      <w:r w:rsidRPr="00DC1F02" w:rsidR="004959E1">
        <w:t>ew Code of Industrial Property</w:t>
      </w:r>
      <w:r w:rsidR="005D6004">
        <w:t xml:space="preserve"> of 2003</w:t>
      </w:r>
      <w:r w:rsidRPr="00DC1F02" w:rsidR="004959E1">
        <w:t xml:space="preserve">, </w:t>
      </w:r>
      <w:r w:rsidRPr="00DC1F02" w:rsidR="00D02ADF">
        <w:t xml:space="preserve">it </w:t>
      </w:r>
      <w:r w:rsidRPr="00DC1F02" w:rsidR="004959E1">
        <w:t>had been</w:t>
      </w:r>
      <w:r w:rsidRPr="00DC1F02" w:rsidR="00D02ADF">
        <w:t xml:space="preserve"> possible under Portuguese law to obtain compensation for the illegal or fraudulent use by a third party of a mark in respect of which an application for registration</w:t>
      </w:r>
      <w:r w:rsidR="00F93B0F">
        <w:t xml:space="preserve"> was pending</w:t>
      </w:r>
      <w:r w:rsidRPr="00DC1F02" w:rsidR="00D02ADF">
        <w:t>. For its part, the Court considers that, in the light of the Lisbon Court of Appeal</w:t>
      </w:r>
      <w:r w:rsidR="008B5D8B">
        <w:t>’</w:t>
      </w:r>
      <w:r w:rsidRPr="00DC1F02" w:rsidR="00D02ADF">
        <w:t>s decision of 10 May 2001, such a possibility cannot be wholly ruled out.</w:t>
      </w:r>
    </w:p>
    <w:p w:rsidRPr="00DC1F02" w:rsidR="003F2F17"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78</w:t>
      </w:r>
      <w:r w:rsidRPr="00DC1F02">
        <w:fldChar w:fldCharType="end"/>
      </w:r>
      <w:r w:rsidRPr="00DC1F02">
        <w:t>.  </w:t>
      </w:r>
      <w:r w:rsidRPr="00DC1F02" w:rsidR="00A442B3">
        <w:t>These elements taken as a whole suggest that the applicant company</w:t>
      </w:r>
      <w:r w:rsidR="008B5D8B">
        <w:t>’</w:t>
      </w:r>
      <w:r w:rsidRPr="00DC1F02" w:rsidR="00A442B3">
        <w:t xml:space="preserve">s legal position as an applicant for the registration of a trade mark </w:t>
      </w:r>
      <w:r w:rsidRPr="00DC1F02" w:rsidR="004959E1">
        <w:t>came</w:t>
      </w:r>
      <w:r w:rsidRPr="00DC1F02" w:rsidR="00A442B3">
        <w:t xml:space="preserve"> within Article </w:t>
      </w:r>
      <w:r w:rsidRPr="00DC1F02" w:rsidR="003F2F17">
        <w:t>1 of</w:t>
      </w:r>
      <w:r w:rsidRPr="00DC1F02" w:rsidR="00A442B3">
        <w:t xml:space="preserve"> Protocol No</w:t>
      </w:r>
      <w:r w:rsidRPr="00DC1F02" w:rsidR="003F2F17">
        <w:t>.</w:t>
      </w:r>
      <w:r w:rsidRPr="00DC1F02" w:rsidR="00A442B3">
        <w:t xml:space="preserve"> 1, as it </w:t>
      </w:r>
      <w:r w:rsidR="00F93B0F">
        <w:t>gave rise to</w:t>
      </w:r>
      <w:r w:rsidRPr="00DC1F02" w:rsidR="00A442B3">
        <w:t xml:space="preserve"> interests of a</w:t>
      </w:r>
      <w:r w:rsidRPr="00DC1F02" w:rsidR="003F2F17">
        <w:t xml:space="preserve"> proprietary</w:t>
      </w:r>
      <w:r w:rsidRPr="00DC1F02" w:rsidR="00A442B3">
        <w:t xml:space="preserve"> nature. It is true that the registration </w:t>
      </w:r>
      <w:r w:rsidR="00F93B0F">
        <w:t xml:space="preserve">of the mark – and the greater </w:t>
      </w:r>
      <w:r w:rsidRPr="00DC1F02" w:rsidR="00A442B3">
        <w:t xml:space="preserve">protection </w:t>
      </w:r>
      <w:r w:rsidR="00F93B0F">
        <w:t>it afforded –</w:t>
      </w:r>
      <w:r w:rsidRPr="00DC1F02" w:rsidR="00A442B3">
        <w:t xml:space="preserve"> </w:t>
      </w:r>
      <w:r w:rsidRPr="00DC1F02" w:rsidR="003F2F17">
        <w:t xml:space="preserve">would </w:t>
      </w:r>
      <w:r w:rsidRPr="00DC1F02" w:rsidR="00A442B3">
        <w:t>only be</w:t>
      </w:r>
      <w:r w:rsidRPr="00DC1F02" w:rsidR="003F2F17">
        <w:t>co</w:t>
      </w:r>
      <w:r w:rsidRPr="00DC1F02" w:rsidR="00A442B3">
        <w:t>me final i</w:t>
      </w:r>
      <w:r w:rsidRPr="00DC1F02" w:rsidR="004959E1">
        <w:t>f</w:t>
      </w:r>
      <w:r w:rsidRPr="00DC1F02" w:rsidR="00A442B3">
        <w:t xml:space="preserve"> the </w:t>
      </w:r>
      <w:r w:rsidRPr="00DC1F02" w:rsidR="004959E1">
        <w:t>mark did not</w:t>
      </w:r>
      <w:r w:rsidRPr="00DC1F02" w:rsidR="00A442B3">
        <w:t xml:space="preserve"> infringe legitimate third</w:t>
      </w:r>
      <w:r w:rsidRPr="00DC1F02" w:rsidR="003F2F17">
        <w:t>-</w:t>
      </w:r>
      <w:r w:rsidRPr="00DC1F02" w:rsidR="00A442B3">
        <w:t xml:space="preserve">party rights, so that, in that sense, the rights attached to </w:t>
      </w:r>
      <w:r w:rsidRPr="00DC1F02" w:rsidR="004959E1">
        <w:t>an</w:t>
      </w:r>
      <w:r w:rsidRPr="00DC1F02" w:rsidR="00A442B3">
        <w:t xml:space="preserve"> application for registration were conditional. </w:t>
      </w:r>
      <w:r w:rsidRPr="00DC1F02" w:rsidR="004E3B9A">
        <w:t>Nevertheless</w:t>
      </w:r>
      <w:r w:rsidRPr="00DC1F02" w:rsidR="00A442B3">
        <w:t>, when it</w:t>
      </w:r>
      <w:r w:rsidRPr="00DC1F02" w:rsidR="004E3B9A">
        <w:t xml:space="preserve"> </w:t>
      </w:r>
      <w:r w:rsidRPr="00DC1F02" w:rsidR="004959E1">
        <w:t>fil</w:t>
      </w:r>
      <w:r w:rsidRPr="00DC1F02" w:rsidR="004E3B9A">
        <w:t xml:space="preserve">ed </w:t>
      </w:r>
      <w:r w:rsidRPr="00DC1F02" w:rsidR="00A442B3">
        <w:t>its application for registration, the applicant company was entitled to expect that it would be examine</w:t>
      </w:r>
      <w:r w:rsidRPr="00DC1F02" w:rsidR="004E3B9A">
        <w:t>d</w:t>
      </w:r>
      <w:r w:rsidRPr="00DC1F02" w:rsidR="00A442B3">
        <w:t xml:space="preserve"> under the applicable legislation if it satisfied the other </w:t>
      </w:r>
      <w:r w:rsidRPr="00DC1F02" w:rsidR="004E3B9A">
        <w:t xml:space="preserve">relevant </w:t>
      </w:r>
      <w:r w:rsidRPr="00DC1F02" w:rsidR="00A442B3">
        <w:t xml:space="preserve">substantive and procedural conditions. </w:t>
      </w:r>
      <w:r w:rsidRPr="00DC1F02" w:rsidR="009B2675">
        <w:t xml:space="preserve">The </w:t>
      </w:r>
      <w:r w:rsidRPr="00DC1F02" w:rsidR="003F2F17">
        <w:t xml:space="preserve">applicant company </w:t>
      </w:r>
      <w:r w:rsidR="009B2675">
        <w:t xml:space="preserve">therefore </w:t>
      </w:r>
      <w:r w:rsidRPr="00DC1F02" w:rsidR="003F2F17">
        <w:t>owne</w:t>
      </w:r>
      <w:r w:rsidRPr="00DC1F02" w:rsidR="004959E1">
        <w:t>d</w:t>
      </w:r>
      <w:r w:rsidRPr="00DC1F02" w:rsidR="003F2F17">
        <w:t xml:space="preserve"> a </w:t>
      </w:r>
      <w:r w:rsidRPr="00DC1F02" w:rsidR="001C44DF">
        <w:t>set</w:t>
      </w:r>
      <w:r w:rsidRPr="00DC1F02" w:rsidR="003F2F17">
        <w:t xml:space="preserve"> of proprietary rights –</w:t>
      </w:r>
      <w:r w:rsidRPr="00DC1F02" w:rsidR="004959E1">
        <w:t xml:space="preserve"> </w:t>
      </w:r>
      <w:r w:rsidRPr="00DC1F02" w:rsidR="003F2F17">
        <w:t xml:space="preserve">linked to its application for the registration of </w:t>
      </w:r>
      <w:r w:rsidR="00690681">
        <w:t xml:space="preserve">a </w:t>
      </w:r>
      <w:r w:rsidRPr="00DC1F02" w:rsidR="003F2F17">
        <w:t xml:space="preserve">trade mark – that were recognised under Portuguese law, even though they could be revoked under certain conditions. This </w:t>
      </w:r>
      <w:r w:rsidRPr="00DC1F02" w:rsidR="004E3B9A">
        <w:t>suffic</w:t>
      </w:r>
      <w:r w:rsidRPr="00DC1F02" w:rsidR="00210401">
        <w:t>es</w:t>
      </w:r>
      <w:r w:rsidRPr="00DC1F02" w:rsidR="004E3B9A">
        <w:t xml:space="preserve"> to make </w:t>
      </w:r>
      <w:r w:rsidRPr="00DC1F02" w:rsidR="003F2F17">
        <w:t>Article 1 of Protocol No</w:t>
      </w:r>
      <w:r w:rsidR="007B7A94">
        <w:t>.</w:t>
      </w:r>
      <w:r w:rsidRPr="00DC1F02" w:rsidR="003F2F17">
        <w:t xml:space="preserve"> 1 applicable in the instant case and to make it unnecessary for the Court to examine whether the applicant company could claim to have had a “legitimate expectation”.</w:t>
      </w:r>
    </w:p>
    <w:p w:rsidRPr="00DC1F02" w:rsidR="00A25BB2" w:rsidP="00A25BB2" w:rsidRDefault="004E3B9A">
      <w:pPr>
        <w:pStyle w:val="JuHa0"/>
      </w:pPr>
      <w:r w:rsidRPr="00DC1F02">
        <w:t>(</w:t>
      </w:r>
      <w:r w:rsidRPr="00DC1F02" w:rsidR="00A25BB2">
        <w:t>b)  </w:t>
      </w:r>
      <w:r w:rsidRPr="00DC1F02">
        <w:t>Whether there has been interference</w:t>
      </w:r>
    </w:p>
    <w:p w:rsidR="00627C6A"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79</w:t>
      </w:r>
      <w:r w:rsidRPr="00DC1F02">
        <w:fldChar w:fldCharType="end"/>
      </w:r>
      <w:r w:rsidRPr="00DC1F02">
        <w:t>.  </w:t>
      </w:r>
      <w:r w:rsidRPr="00DC1F02" w:rsidR="004E3B9A">
        <w:t>The Court has found that Article 1 of Protocol No. 1 is applicable</w:t>
      </w:r>
      <w:r w:rsidR="00690681">
        <w:t xml:space="preserve"> in this case</w:t>
      </w:r>
      <w:r w:rsidRPr="00DC1F02" w:rsidR="004E3B9A">
        <w:t>. It must now examine whether there has been interference with the applicant company</w:t>
      </w:r>
      <w:r w:rsidR="008B5D8B">
        <w:t>’</w:t>
      </w:r>
      <w:r w:rsidRPr="00DC1F02" w:rsidR="004E3B9A">
        <w:t>s rights to the peaceful enjoyment of its possessions.</w:t>
      </w:r>
    </w:p>
    <w:p w:rsidRPr="00DC1F02" w:rsidR="00A74193"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80</w:t>
      </w:r>
      <w:r w:rsidRPr="00DC1F02">
        <w:fldChar w:fldCharType="end"/>
      </w:r>
      <w:r w:rsidRPr="00DC1F02">
        <w:t>.  </w:t>
      </w:r>
      <w:r w:rsidRPr="00DC1F02" w:rsidR="00773F66">
        <w:t>The applicant company submitted that the interference stem</w:t>
      </w:r>
      <w:r w:rsidRPr="00DC1F02" w:rsidR="00F25938">
        <w:t>med</w:t>
      </w:r>
      <w:r w:rsidRPr="00DC1F02" w:rsidR="00773F66">
        <w:t xml:space="preserve"> from the Supreme Court</w:t>
      </w:r>
      <w:r w:rsidR="008B5D8B">
        <w:t>’</w:t>
      </w:r>
      <w:r w:rsidRPr="00DC1F02" w:rsidR="00F25938">
        <w:t>s</w:t>
      </w:r>
      <w:r w:rsidRPr="00DC1F02" w:rsidR="00773F66">
        <w:t xml:space="preserve"> judgment of 23 January 2001</w:t>
      </w:r>
      <w:r w:rsidRPr="00DC1F02" w:rsidR="00210401">
        <w:t>,</w:t>
      </w:r>
      <w:r w:rsidRPr="00DC1F02" w:rsidR="00773F66">
        <w:t xml:space="preserve"> which </w:t>
      </w:r>
      <w:r w:rsidRPr="00DC1F02" w:rsidR="00210401">
        <w:t xml:space="preserve">had </w:t>
      </w:r>
      <w:r w:rsidRPr="00DC1F02" w:rsidR="00773F66">
        <w:t xml:space="preserve">attached greater weight to the Bilateral Agreement of 1986 than to the chronologically earlier application for registration of the </w:t>
      </w:r>
      <w:r w:rsidR="00874975">
        <w:t>“</w:t>
      </w:r>
      <w:r w:rsidRPr="00874975">
        <w:t>Budweiser</w:t>
      </w:r>
      <w:r w:rsidR="00874975">
        <w:t>”</w:t>
      </w:r>
      <w:r w:rsidRPr="00DC1F02" w:rsidR="00773F66">
        <w:t xml:space="preserve"> mark. It was that judgment which had effectively deprived </w:t>
      </w:r>
      <w:r w:rsidRPr="00DC1F02" w:rsidR="00F25938">
        <w:t xml:space="preserve">the applicant company </w:t>
      </w:r>
      <w:r w:rsidRPr="00DC1F02" w:rsidR="00773F66">
        <w:t xml:space="preserve">of its right of property </w:t>
      </w:r>
      <w:r w:rsidR="007B7A94">
        <w:t>of</w:t>
      </w:r>
      <w:r w:rsidRPr="00DC1F02" w:rsidR="00773F66">
        <w:t xml:space="preserve"> the mark in</w:t>
      </w:r>
      <w:r w:rsidRPr="00DC1F02" w:rsidR="00A74193">
        <w:t xml:space="preserve"> c</w:t>
      </w:r>
      <w:r w:rsidRPr="00DC1F02" w:rsidR="00304A2B">
        <w:t>ircumstances</w:t>
      </w:r>
      <w:r w:rsidRPr="00DC1F02" w:rsidR="00A74193">
        <w:t xml:space="preserve"> which, in</w:t>
      </w:r>
      <w:r w:rsidRPr="00DC1F02" w:rsidR="00F25938">
        <w:t xml:space="preserve"> it</w:t>
      </w:r>
      <w:r w:rsidRPr="00DC1F02" w:rsidR="00A74193">
        <w:t xml:space="preserve">s submission, </w:t>
      </w:r>
      <w:r w:rsidRPr="00DC1F02" w:rsidR="00304A2B">
        <w:t>infringed</w:t>
      </w:r>
      <w:r w:rsidRPr="00DC1F02" w:rsidR="00A74193">
        <w:t xml:space="preserve"> the relevant international instruments and Article 1 of Protocol No</w:t>
      </w:r>
      <w:r w:rsidRPr="00DC1F02" w:rsidR="00F25938">
        <w:t>.</w:t>
      </w:r>
      <w:r w:rsidRPr="00DC1F02" w:rsidR="00A74193">
        <w:t xml:space="preserve"> 1 </w:t>
      </w:r>
      <w:r w:rsidR="00F93B0F">
        <w:t>for</w:t>
      </w:r>
      <w:r w:rsidRPr="00DC1F02" w:rsidR="00A74193">
        <w:t xml:space="preserve"> fail</w:t>
      </w:r>
      <w:r w:rsidR="00F93B0F">
        <w:t>ure</w:t>
      </w:r>
      <w:r w:rsidRPr="00DC1F02" w:rsidR="00A74193">
        <w:t xml:space="preserve"> to comply with the priority rule. Had the Bilateral Agreement not be</w:t>
      </w:r>
      <w:r w:rsidR="00F93B0F">
        <w:t>en</w:t>
      </w:r>
      <w:r w:rsidRPr="00DC1F02" w:rsidR="00A74193">
        <w:t xml:space="preserve"> applied, the applicant company</w:t>
      </w:r>
      <w:r w:rsidR="008B5D8B">
        <w:t>’</w:t>
      </w:r>
      <w:r w:rsidRPr="00DC1F02" w:rsidR="00A74193">
        <w:t xml:space="preserve">s application for registration would </w:t>
      </w:r>
      <w:r w:rsidRPr="00DC1F02" w:rsidR="00304A2B">
        <w:t>necessarily</w:t>
      </w:r>
      <w:r w:rsidRPr="00DC1F02" w:rsidR="00A74193">
        <w:t xml:space="preserve"> have been accepted</w:t>
      </w:r>
      <w:r w:rsidRPr="00DC1F02" w:rsidR="00304A2B">
        <w:t>,</w:t>
      </w:r>
      <w:r w:rsidRPr="00DC1F02" w:rsidR="00A74193">
        <w:t xml:space="preserve"> since it </w:t>
      </w:r>
      <w:r w:rsidR="00F93B0F">
        <w:t>satisf</w:t>
      </w:r>
      <w:r w:rsidRPr="00DC1F02" w:rsidR="00A74193">
        <w:t>ied all the other applicable statutory conditions.</w:t>
      </w:r>
    </w:p>
    <w:p w:rsidRPr="00DC1F02" w:rsidR="00E4200F" w:rsidP="00A25BB2" w:rsidRDefault="00A25BB2">
      <w:pPr>
        <w:pStyle w:val="JuPara"/>
      </w:pPr>
      <w:r w:rsidRPr="00DC1F02">
        <w:fldChar w:fldCharType="begin"/>
      </w:r>
      <w:r w:rsidRPr="00DC1F02">
        <w:instrText xml:space="preserve"> SEQ level0 \*arabic </w:instrText>
      </w:r>
      <w:r w:rsidRPr="00DC1F02">
        <w:fldChar w:fldCharType="separate"/>
      </w:r>
      <w:r w:rsidR="00CF6F43">
        <w:rPr>
          <w:noProof/>
        </w:rPr>
        <w:t>81</w:t>
      </w:r>
      <w:r w:rsidRPr="00DC1F02">
        <w:fldChar w:fldCharType="end"/>
      </w:r>
      <w:r w:rsidRPr="00DC1F02">
        <w:t>.  </w:t>
      </w:r>
      <w:r w:rsidRPr="00DC1F02" w:rsidR="00E4200F">
        <w:t xml:space="preserve">The </w:t>
      </w:r>
      <w:r w:rsidRPr="00DC1F02" w:rsidR="00F93B0F">
        <w:t xml:space="preserve">question </w:t>
      </w:r>
      <w:r w:rsidR="00F93B0F">
        <w:t xml:space="preserve">before the </w:t>
      </w:r>
      <w:r w:rsidRPr="00DC1F02" w:rsidR="00E4200F">
        <w:t>Court</w:t>
      </w:r>
      <w:r w:rsidR="00F93B0F">
        <w:t>, therefore,</w:t>
      </w:r>
      <w:r w:rsidRPr="00DC1F02" w:rsidR="00E4200F">
        <w:t xml:space="preserve"> is whether </w:t>
      </w:r>
      <w:r w:rsidR="00F93B0F">
        <w:t>the decision to apply the</w:t>
      </w:r>
      <w:r w:rsidRPr="00DC1F02" w:rsidR="00E4200F">
        <w:t xml:space="preserve"> provisions of the Bilateral Agreement of 1986 to an application for registration </w:t>
      </w:r>
      <w:r w:rsidRPr="00DC1F02" w:rsidR="00304A2B">
        <w:t>fil</w:t>
      </w:r>
      <w:r w:rsidRPr="00DC1F02" w:rsidR="00E4200F">
        <w:t xml:space="preserve">ed in 1981 </w:t>
      </w:r>
      <w:r w:rsidR="00F93B0F">
        <w:t>could amount to</w:t>
      </w:r>
      <w:r w:rsidRPr="00DC1F02" w:rsidR="00E4200F">
        <w:t xml:space="preserve"> interference with the applicant company</w:t>
      </w:r>
      <w:r w:rsidR="008B5D8B">
        <w:t>’</w:t>
      </w:r>
      <w:r w:rsidRPr="00DC1F02" w:rsidR="00E4200F">
        <w:t>s right to the peaceful enjoyment of its possessions.</w:t>
      </w:r>
    </w:p>
    <w:p w:rsidR="00E9721D" w:rsidP="00A25BB2" w:rsidRDefault="00A25BB2">
      <w:pPr>
        <w:pStyle w:val="JuPara"/>
        <w:rPr>
          <w:szCs w:val="24"/>
          <w:lang w:eastAsia="en-US"/>
        </w:rPr>
      </w:pPr>
      <w:r w:rsidRPr="00DC1F02">
        <w:fldChar w:fldCharType="begin"/>
      </w:r>
      <w:r w:rsidRPr="00DC1F02">
        <w:instrText xml:space="preserve"> SEQ level0 \*arabic </w:instrText>
      </w:r>
      <w:r w:rsidRPr="00DC1F02">
        <w:fldChar w:fldCharType="separate"/>
      </w:r>
      <w:r w:rsidR="00CF6F43">
        <w:rPr>
          <w:noProof/>
        </w:rPr>
        <w:t>82</w:t>
      </w:r>
      <w:r w:rsidRPr="00DC1F02">
        <w:fldChar w:fldCharType="end"/>
      </w:r>
      <w:r w:rsidRPr="00DC1F02">
        <w:t>.  </w:t>
      </w:r>
      <w:r w:rsidRPr="00DC1F02" w:rsidR="00AF7B52">
        <w:t xml:space="preserve">In that connection it reiterates that, in certain circumstances, the retrospective application of legislation whose effect is to deprive </w:t>
      </w:r>
      <w:r w:rsidRPr="00DC1F02" w:rsidR="00555B69">
        <w:t>someone</w:t>
      </w:r>
      <w:r w:rsidRPr="00DC1F02" w:rsidR="00AF7B52">
        <w:t xml:space="preserve"> of a pre-existing </w:t>
      </w:r>
      <w:r w:rsidRPr="00DC1F02" w:rsidR="00555B69">
        <w:t>“asset”</w:t>
      </w:r>
      <w:r w:rsidRPr="00DC1F02" w:rsidR="00AF7B52">
        <w:t xml:space="preserve"> that </w:t>
      </w:r>
      <w:r w:rsidRPr="00DC1F02" w:rsidR="00555B69">
        <w:t>was</w:t>
      </w:r>
      <w:r w:rsidRPr="00DC1F02" w:rsidR="00AF7B52">
        <w:t xml:space="preserve"> part of his or her </w:t>
      </w:r>
      <w:r w:rsidR="00690681">
        <w:t>“</w:t>
      </w:r>
      <w:r w:rsidRPr="00DC1F02" w:rsidR="00AF7B52">
        <w:t xml:space="preserve">possessions” may constitute interference </w:t>
      </w:r>
      <w:r w:rsidR="00F512F3">
        <w:t xml:space="preserve">that is </w:t>
      </w:r>
      <w:r w:rsidRPr="00DC1F02" w:rsidR="00AF7B52">
        <w:t xml:space="preserve">liable to upset the fair balance that has to be </w:t>
      </w:r>
      <w:r w:rsidRPr="00DC1F02" w:rsidR="00B63D0D">
        <w:t>maintained</w:t>
      </w:r>
      <w:r w:rsidRPr="00DC1F02" w:rsidR="00AF7B52">
        <w:t xml:space="preserve"> between the </w:t>
      </w:r>
      <w:r w:rsidRPr="00DC1F02" w:rsidR="00B63D0D">
        <w:t>demands</w:t>
      </w:r>
      <w:r w:rsidRPr="00DC1F02" w:rsidR="00AF7B52">
        <w:t xml:space="preserve"> of the general interest </w:t>
      </w:r>
      <w:r w:rsidRPr="00DC1F02" w:rsidR="00B63D0D">
        <w:t xml:space="preserve">on the one hand </w:t>
      </w:r>
      <w:r w:rsidRPr="00DC1F02" w:rsidR="00AF7B52">
        <w:t xml:space="preserve">and </w:t>
      </w:r>
      <w:r w:rsidR="00F512F3">
        <w:t xml:space="preserve">the </w:t>
      </w:r>
      <w:r w:rsidRPr="00DC1F02" w:rsidR="00AF7B52">
        <w:t xml:space="preserve">protection of the right to peaceful enjoyment of possessions </w:t>
      </w:r>
      <w:r w:rsidRPr="00DC1F02" w:rsidR="00B63D0D">
        <w:t xml:space="preserve">on the other </w:t>
      </w:r>
      <w:r w:rsidRPr="00DC1F02">
        <w:t>(</w:t>
      </w:r>
      <w:r w:rsidRPr="00DC1F02" w:rsidR="00AF7B52">
        <w:t>see, among other authorities</w:t>
      </w:r>
      <w:r w:rsidRPr="00DC1F02">
        <w:t xml:space="preserve">, </w:t>
      </w:r>
      <w:r w:rsidRPr="00DC1F02">
        <w:rPr>
          <w:i/>
          <w:szCs w:val="24"/>
          <w:lang w:eastAsia="en-US"/>
        </w:rPr>
        <w:t xml:space="preserve">Maurice </w:t>
      </w:r>
      <w:r w:rsidRPr="00DC1F02" w:rsidR="00874E53">
        <w:rPr>
          <w:i/>
          <w:szCs w:val="24"/>
          <w:lang w:eastAsia="en-US"/>
        </w:rPr>
        <w:t>v</w:t>
      </w:r>
      <w:r w:rsidRPr="00DC1F02">
        <w:rPr>
          <w:i/>
          <w:szCs w:val="24"/>
          <w:lang w:eastAsia="en-US"/>
        </w:rPr>
        <w:t xml:space="preserve">. France </w:t>
      </w:r>
      <w:r w:rsidRPr="00DC1F02">
        <w:rPr>
          <w:szCs w:val="24"/>
          <w:lang w:eastAsia="en-US"/>
        </w:rPr>
        <w:t>[GC], n</w:t>
      </w:r>
      <w:r w:rsidRPr="00DC1F02" w:rsidR="00874E53">
        <w:rPr>
          <w:szCs w:val="24"/>
          <w:lang w:eastAsia="en-US"/>
        </w:rPr>
        <w:t>o.</w:t>
      </w:r>
      <w:r w:rsidRPr="00DC1F02">
        <w:rPr>
          <w:szCs w:val="24"/>
          <w:lang w:eastAsia="en-US"/>
        </w:rPr>
        <w:t xml:space="preserve"> 11810/03, §§ 90 </w:t>
      </w:r>
      <w:r w:rsidRPr="00DC1F02" w:rsidR="00874E53">
        <w:rPr>
          <w:szCs w:val="24"/>
          <w:lang w:eastAsia="en-US"/>
        </w:rPr>
        <w:t>and</w:t>
      </w:r>
      <w:r w:rsidRPr="00DC1F02">
        <w:rPr>
          <w:szCs w:val="24"/>
          <w:lang w:eastAsia="en-US"/>
        </w:rPr>
        <w:t xml:space="preserve"> 93, E</w:t>
      </w:r>
      <w:r w:rsidRPr="00DC1F02" w:rsidR="00874E53">
        <w:rPr>
          <w:szCs w:val="24"/>
          <w:lang w:eastAsia="en-US"/>
        </w:rPr>
        <w:t>C</w:t>
      </w:r>
      <w:r w:rsidRPr="00DC1F02">
        <w:rPr>
          <w:szCs w:val="24"/>
          <w:lang w:eastAsia="en-US"/>
        </w:rPr>
        <w:t>H</w:t>
      </w:r>
      <w:r w:rsidRPr="00DC1F02" w:rsidR="00874E53">
        <w:rPr>
          <w:szCs w:val="24"/>
          <w:lang w:eastAsia="en-US"/>
        </w:rPr>
        <w:t>R</w:t>
      </w:r>
      <w:r w:rsidR="002B6DFC">
        <w:rPr>
          <w:szCs w:val="24"/>
          <w:lang w:eastAsia="en-US"/>
        </w:rPr>
        <w:t xml:space="preserve"> 2005-</w:t>
      </w:r>
      <w:r w:rsidRPr="00DC1F02">
        <w:rPr>
          <w:szCs w:val="24"/>
          <w:lang w:eastAsia="en-US"/>
        </w:rPr>
        <w:t>IX)</w:t>
      </w:r>
      <w:r w:rsidRPr="00DC1F02" w:rsidR="00AF7B52">
        <w:rPr>
          <w:szCs w:val="24"/>
          <w:lang w:eastAsia="en-US"/>
        </w:rPr>
        <w:t xml:space="preserve">. This </w:t>
      </w:r>
      <w:r w:rsidRPr="00DC1F02" w:rsidR="00555B69">
        <w:rPr>
          <w:szCs w:val="24"/>
          <w:lang w:eastAsia="en-US"/>
        </w:rPr>
        <w:t xml:space="preserve">also </w:t>
      </w:r>
      <w:r w:rsidRPr="00DC1F02" w:rsidR="000F059C">
        <w:rPr>
          <w:szCs w:val="24"/>
          <w:lang w:eastAsia="en-US"/>
        </w:rPr>
        <w:t>appl</w:t>
      </w:r>
      <w:r w:rsidRPr="00DC1F02" w:rsidR="00555B69">
        <w:rPr>
          <w:szCs w:val="24"/>
          <w:lang w:eastAsia="en-US"/>
        </w:rPr>
        <w:t>ies</w:t>
      </w:r>
      <w:r w:rsidRPr="00DC1F02" w:rsidR="000F059C">
        <w:rPr>
          <w:szCs w:val="24"/>
          <w:lang w:eastAsia="en-US"/>
        </w:rPr>
        <w:t xml:space="preserve"> to</w:t>
      </w:r>
      <w:r w:rsidRPr="00DC1F02" w:rsidR="00AF7B52">
        <w:rPr>
          <w:szCs w:val="24"/>
          <w:lang w:eastAsia="en-US"/>
        </w:rPr>
        <w:t xml:space="preserve"> cases in which </w:t>
      </w:r>
      <w:r w:rsidRPr="00DC1F02" w:rsidR="00555B69">
        <w:rPr>
          <w:szCs w:val="24"/>
          <w:lang w:eastAsia="en-US"/>
        </w:rPr>
        <w:t xml:space="preserve">the dispute is between private individuals and </w:t>
      </w:r>
      <w:r w:rsidRPr="00DC1F02" w:rsidR="00AF7B52">
        <w:rPr>
          <w:szCs w:val="24"/>
          <w:lang w:eastAsia="en-US"/>
        </w:rPr>
        <w:t>the State is not itself a party to the proceedings</w:t>
      </w:r>
      <w:r w:rsidRPr="00DC1F02" w:rsidR="00555B69">
        <w:rPr>
          <w:szCs w:val="24"/>
          <w:lang w:eastAsia="en-US"/>
        </w:rPr>
        <w:t xml:space="preserve"> </w:t>
      </w:r>
      <w:r w:rsidRPr="00DC1F02">
        <w:rPr>
          <w:szCs w:val="24"/>
          <w:lang w:eastAsia="en-US"/>
        </w:rPr>
        <w:t>(</w:t>
      </w:r>
      <w:r w:rsidR="007B7A94">
        <w:rPr>
          <w:szCs w:val="24"/>
          <w:lang w:eastAsia="en-US"/>
        </w:rPr>
        <w:t xml:space="preserve">see </w:t>
      </w:r>
      <w:proofErr w:type="spellStart"/>
      <w:r w:rsidRPr="00DC1F02">
        <w:rPr>
          <w:i/>
          <w:szCs w:val="24"/>
          <w:lang w:eastAsia="en-US"/>
        </w:rPr>
        <w:t>Lecarpentier</w:t>
      </w:r>
      <w:proofErr w:type="spellEnd"/>
      <w:r w:rsidRPr="00DC1F02">
        <w:rPr>
          <w:i/>
          <w:szCs w:val="24"/>
          <w:lang w:eastAsia="en-US"/>
        </w:rPr>
        <w:t xml:space="preserve"> </w:t>
      </w:r>
      <w:r w:rsidRPr="00DC1F02" w:rsidR="00874E53">
        <w:rPr>
          <w:i/>
          <w:szCs w:val="24"/>
          <w:lang w:eastAsia="en-US"/>
        </w:rPr>
        <w:t>v</w:t>
      </w:r>
      <w:r w:rsidRPr="00DC1F02">
        <w:rPr>
          <w:i/>
          <w:szCs w:val="24"/>
          <w:lang w:eastAsia="en-US"/>
        </w:rPr>
        <w:t>. France</w:t>
      </w:r>
      <w:r w:rsidRPr="00DC1F02">
        <w:rPr>
          <w:szCs w:val="24"/>
          <w:lang w:eastAsia="en-US"/>
        </w:rPr>
        <w:t>, n</w:t>
      </w:r>
      <w:r w:rsidRPr="00DC1F02" w:rsidR="00874E53">
        <w:rPr>
          <w:szCs w:val="24"/>
          <w:lang w:eastAsia="en-US"/>
        </w:rPr>
        <w:t>o.</w:t>
      </w:r>
      <w:r w:rsidRPr="00DC1F02">
        <w:rPr>
          <w:szCs w:val="24"/>
          <w:lang w:eastAsia="en-US"/>
        </w:rPr>
        <w:t xml:space="preserve"> 67847/01, §§</w:t>
      </w:r>
      <w:r w:rsidRPr="00DC1F02" w:rsidR="00874E53">
        <w:rPr>
          <w:szCs w:val="24"/>
          <w:lang w:eastAsia="en-US"/>
        </w:rPr>
        <w:t xml:space="preserve"> </w:t>
      </w:r>
      <w:r w:rsidRPr="00DC1F02">
        <w:rPr>
          <w:szCs w:val="24"/>
          <w:lang w:eastAsia="en-US"/>
        </w:rPr>
        <w:t xml:space="preserve">48, 51 </w:t>
      </w:r>
      <w:r w:rsidRPr="00DC1F02" w:rsidR="00874E53">
        <w:rPr>
          <w:szCs w:val="24"/>
          <w:lang w:eastAsia="en-US"/>
        </w:rPr>
        <w:t>and</w:t>
      </w:r>
      <w:r w:rsidR="002B6DFC">
        <w:rPr>
          <w:szCs w:val="24"/>
          <w:lang w:eastAsia="en-US"/>
        </w:rPr>
        <w:t xml:space="preserve"> 52, 14 </w:t>
      </w:r>
      <w:r w:rsidRPr="00DC1F02" w:rsidR="00874E53">
        <w:rPr>
          <w:szCs w:val="24"/>
          <w:lang w:eastAsia="en-US"/>
        </w:rPr>
        <w:t>February</w:t>
      </w:r>
      <w:r w:rsidRPr="00DC1F02">
        <w:rPr>
          <w:szCs w:val="24"/>
          <w:lang w:eastAsia="en-US"/>
        </w:rPr>
        <w:t xml:space="preserve"> 2006; </w:t>
      </w:r>
      <w:r w:rsidRPr="00DC1F02" w:rsidR="00874E53">
        <w:rPr>
          <w:szCs w:val="24"/>
          <w:lang w:eastAsia="en-US"/>
        </w:rPr>
        <w:t xml:space="preserve">see also, in connection with Article </w:t>
      </w:r>
      <w:r w:rsidRPr="00DC1F02">
        <w:rPr>
          <w:szCs w:val="24"/>
          <w:lang w:eastAsia="en-US"/>
        </w:rPr>
        <w:t xml:space="preserve">6 </w:t>
      </w:r>
      <w:r w:rsidRPr="00DC1F02" w:rsidR="00874E53">
        <w:rPr>
          <w:szCs w:val="24"/>
          <w:lang w:eastAsia="en-US"/>
        </w:rPr>
        <w:t>of the</w:t>
      </w:r>
      <w:r w:rsidRPr="00DC1F02">
        <w:rPr>
          <w:szCs w:val="24"/>
          <w:lang w:eastAsia="en-US"/>
        </w:rPr>
        <w:t xml:space="preserve"> Convention, </w:t>
      </w:r>
      <w:proofErr w:type="spellStart"/>
      <w:r w:rsidRPr="00DC1F02">
        <w:rPr>
          <w:i/>
          <w:szCs w:val="24"/>
          <w:lang w:eastAsia="en-US"/>
        </w:rPr>
        <w:t>Cabourdin</w:t>
      </w:r>
      <w:proofErr w:type="spellEnd"/>
      <w:r w:rsidRPr="00DC1F02">
        <w:rPr>
          <w:i/>
          <w:szCs w:val="24"/>
          <w:lang w:eastAsia="en-US"/>
        </w:rPr>
        <w:t xml:space="preserve"> </w:t>
      </w:r>
      <w:r w:rsidRPr="00DC1F02" w:rsidR="00874E53">
        <w:rPr>
          <w:i/>
          <w:szCs w:val="24"/>
          <w:lang w:eastAsia="en-US"/>
        </w:rPr>
        <w:t>v</w:t>
      </w:r>
      <w:r w:rsidRPr="00DC1F02">
        <w:rPr>
          <w:i/>
          <w:szCs w:val="24"/>
          <w:lang w:eastAsia="en-US"/>
        </w:rPr>
        <w:t>. France</w:t>
      </w:r>
      <w:r w:rsidRPr="00DC1F02">
        <w:rPr>
          <w:szCs w:val="24"/>
          <w:lang w:eastAsia="en-US"/>
        </w:rPr>
        <w:t>, n</w:t>
      </w:r>
      <w:r w:rsidRPr="00DC1F02" w:rsidR="00874E53">
        <w:rPr>
          <w:szCs w:val="24"/>
          <w:lang w:eastAsia="en-US"/>
        </w:rPr>
        <w:t>o.</w:t>
      </w:r>
      <w:r w:rsidR="002B6DFC">
        <w:rPr>
          <w:szCs w:val="24"/>
          <w:lang w:eastAsia="en-US"/>
        </w:rPr>
        <w:t xml:space="preserve"> 60796/00, §§ </w:t>
      </w:r>
      <w:r w:rsidRPr="00DC1F02">
        <w:rPr>
          <w:szCs w:val="24"/>
          <w:lang w:eastAsia="en-US"/>
        </w:rPr>
        <w:t xml:space="preserve">28-30, 11 </w:t>
      </w:r>
      <w:r w:rsidRPr="00DC1F02" w:rsidR="00874E53">
        <w:rPr>
          <w:szCs w:val="24"/>
          <w:lang w:eastAsia="en-US"/>
        </w:rPr>
        <w:t xml:space="preserve">April </w:t>
      </w:r>
      <w:r w:rsidRPr="00DC1F02">
        <w:rPr>
          <w:szCs w:val="24"/>
          <w:lang w:eastAsia="en-US"/>
        </w:rPr>
        <w:t>2006).</w:t>
      </w:r>
    </w:p>
    <w:p w:rsidRPr="00DC1F02" w:rsidR="00E71F84" w:rsidP="00A25BB2" w:rsidRDefault="00E9721D">
      <w:pPr>
        <w:pStyle w:val="JuPara"/>
        <w:rPr>
          <w:lang w:eastAsia="en-US"/>
        </w:rPr>
      </w:pPr>
      <w:r>
        <w:rPr>
          <w:szCs w:val="24"/>
          <w:lang w:eastAsia="en-US"/>
        </w:rPr>
        <w:fldChar w:fldCharType="begin"/>
      </w:r>
      <w:r>
        <w:rPr>
          <w:szCs w:val="24"/>
          <w:lang w:eastAsia="en-US"/>
        </w:rPr>
        <w:instrText xml:space="preserve"> SEQ level0 \*arabic </w:instrText>
      </w:r>
      <w:r>
        <w:rPr>
          <w:szCs w:val="24"/>
          <w:lang w:eastAsia="en-US"/>
        </w:rPr>
        <w:fldChar w:fldCharType="separate"/>
      </w:r>
      <w:r w:rsidR="00CF6F43">
        <w:rPr>
          <w:noProof/>
          <w:szCs w:val="24"/>
          <w:lang w:eastAsia="en-US"/>
        </w:rPr>
        <w:t>83</w:t>
      </w:r>
      <w:r>
        <w:rPr>
          <w:szCs w:val="24"/>
          <w:lang w:eastAsia="en-US"/>
        </w:rPr>
        <w:fldChar w:fldCharType="end"/>
      </w:r>
      <w:r>
        <w:rPr>
          <w:szCs w:val="24"/>
          <w:lang w:eastAsia="en-US"/>
        </w:rPr>
        <w:t>.  </w:t>
      </w:r>
      <w:r w:rsidRPr="004961A8" w:rsidR="004961A8">
        <w:rPr>
          <w:szCs w:val="24"/>
          <w:lang w:eastAsia="en-US"/>
        </w:rPr>
        <w:t>However, the Court notes that in the present case the applicant company complain</w:t>
      </w:r>
      <w:r w:rsidR="00D82588">
        <w:rPr>
          <w:szCs w:val="24"/>
          <w:lang w:eastAsia="en-US"/>
        </w:rPr>
        <w:t>ed</w:t>
      </w:r>
      <w:r w:rsidRPr="004961A8" w:rsidR="004961A8">
        <w:rPr>
          <w:szCs w:val="24"/>
          <w:lang w:eastAsia="en-US"/>
        </w:rPr>
        <w:t xml:space="preserve"> mainly </w:t>
      </w:r>
      <w:r w:rsidR="00D82588">
        <w:rPr>
          <w:szCs w:val="24"/>
          <w:lang w:eastAsia="en-US"/>
        </w:rPr>
        <w:t>of</w:t>
      </w:r>
      <w:r w:rsidRPr="004961A8" w:rsidR="004961A8">
        <w:rPr>
          <w:szCs w:val="24"/>
          <w:lang w:eastAsia="en-US"/>
        </w:rPr>
        <w:t xml:space="preserve"> the manner in which the national courts interpreted and applied domestic law in proceedings between two rival claimants to the same name, it being contended in particular that the courts wrongly gave retrospective effect to the Bilateral Agreement, rather than </w:t>
      </w:r>
      <w:r w:rsidR="00D82588">
        <w:rPr>
          <w:szCs w:val="24"/>
          <w:lang w:eastAsia="en-US"/>
        </w:rPr>
        <w:t>of</w:t>
      </w:r>
      <w:r w:rsidRPr="004961A8" w:rsidR="004961A8">
        <w:rPr>
          <w:szCs w:val="24"/>
          <w:lang w:eastAsia="en-US"/>
        </w:rPr>
        <w:t xml:space="preserve"> the </w:t>
      </w:r>
      <w:r w:rsidRPr="004961A8" w:rsidR="007B7A94">
        <w:rPr>
          <w:szCs w:val="24"/>
          <w:lang w:eastAsia="en-US"/>
        </w:rPr>
        <w:t xml:space="preserve">retrospective </w:t>
      </w:r>
      <w:r w:rsidRPr="004961A8" w:rsidR="004961A8">
        <w:rPr>
          <w:szCs w:val="24"/>
          <w:lang w:eastAsia="en-US"/>
        </w:rPr>
        <w:t>application of a law which deprive</w:t>
      </w:r>
      <w:r w:rsidR="007B7A94">
        <w:rPr>
          <w:szCs w:val="24"/>
          <w:lang w:eastAsia="en-US"/>
        </w:rPr>
        <w:t>d</w:t>
      </w:r>
      <w:r w:rsidRPr="004961A8" w:rsidR="004961A8">
        <w:rPr>
          <w:szCs w:val="24"/>
          <w:lang w:eastAsia="en-US"/>
        </w:rPr>
        <w:t xml:space="preserve"> them of their pre-existing possessions. The Court observes that, even in cases involving litigation between individuals and companies, the obligations of the State under Article</w:t>
      </w:r>
      <w:r w:rsidR="00E10840">
        <w:rPr>
          <w:szCs w:val="24"/>
          <w:lang w:eastAsia="en-US"/>
        </w:rPr>
        <w:t xml:space="preserve"> </w:t>
      </w:r>
      <w:r w:rsidRPr="004961A8" w:rsidR="004961A8">
        <w:rPr>
          <w:szCs w:val="24"/>
          <w:lang w:eastAsia="en-US"/>
        </w:rPr>
        <w:t>1 of Protocol No.</w:t>
      </w:r>
      <w:r w:rsidR="00E10840">
        <w:rPr>
          <w:szCs w:val="24"/>
          <w:lang w:eastAsia="en-US"/>
        </w:rPr>
        <w:t xml:space="preserve"> </w:t>
      </w:r>
      <w:r w:rsidRPr="004961A8" w:rsidR="004961A8">
        <w:rPr>
          <w:szCs w:val="24"/>
          <w:lang w:eastAsia="en-US"/>
        </w:rPr>
        <w:t xml:space="preserve">1 entail the taking of measures necessary to protect the right of property. In particular, the State is under an obligation to afford the parties to the dispute judicial procedures which offer the necessary procedural guarantees and therefore enable the domestic courts and tribunals to adjudicate effectively and fairly in the light of the applicable law. However, the Court reiterates that its jurisdiction to verify that domestic law has been correctly interpreted and applied is limited and that it is not its function to take the place of the national courts, its role being rather to ensure that the decisions of those courts are not flawed by arbitrariness or otherwise manifestly unreasonable. </w:t>
      </w:r>
      <w:r w:rsidRPr="00DC1F02" w:rsidR="00F46DED">
        <w:rPr>
          <w:szCs w:val="24"/>
          <w:lang w:eastAsia="en-US"/>
        </w:rPr>
        <w:t>This</w:t>
      </w:r>
      <w:r w:rsidRPr="00DC1F02" w:rsidR="00D454BB">
        <w:rPr>
          <w:szCs w:val="24"/>
          <w:lang w:eastAsia="en-US"/>
        </w:rPr>
        <w:t xml:space="preserve"> is particularly </w:t>
      </w:r>
      <w:r w:rsidRPr="00DC1F02" w:rsidR="00F46DED">
        <w:rPr>
          <w:szCs w:val="24"/>
          <w:lang w:eastAsia="en-US"/>
        </w:rPr>
        <w:t xml:space="preserve">true when, as </w:t>
      </w:r>
      <w:r w:rsidR="00F512F3">
        <w:rPr>
          <w:szCs w:val="24"/>
          <w:lang w:eastAsia="en-US"/>
        </w:rPr>
        <w:t>in this instance</w:t>
      </w:r>
      <w:r w:rsidRPr="00DC1F02" w:rsidR="00F46DED">
        <w:rPr>
          <w:szCs w:val="24"/>
          <w:lang w:eastAsia="en-US"/>
        </w:rPr>
        <w:t>, the case</w:t>
      </w:r>
      <w:r w:rsidRPr="00DC1F02" w:rsidR="00D454BB">
        <w:rPr>
          <w:szCs w:val="24"/>
          <w:lang w:eastAsia="en-US"/>
        </w:rPr>
        <w:t xml:space="preserve"> turns </w:t>
      </w:r>
      <w:r w:rsidRPr="00DC1F02" w:rsidR="00F46DED">
        <w:rPr>
          <w:szCs w:val="24"/>
          <w:lang w:eastAsia="en-US"/>
        </w:rPr>
        <w:t xml:space="preserve">upon difficult questions of interpretation of domestic law. </w:t>
      </w:r>
      <w:r w:rsidRPr="00DC1F02" w:rsidR="00F64B5A">
        <w:rPr>
          <w:szCs w:val="24"/>
          <w:lang w:eastAsia="en-US"/>
        </w:rPr>
        <w:t xml:space="preserve">The Court reiterates its settled case-law that, according to Article 19 of the Convention, its duty is to ensure the observance of the engagements undertaken by the Contracting Parties to the Convention. In particular, it is not its function to deal with errors of fact or law allegedly committed by a national court unless and in so far as they may have infringed rights and freedoms protected by the Convention </w:t>
      </w:r>
      <w:r w:rsidRPr="00DC1F02" w:rsidR="00A25BB2">
        <w:rPr>
          <w:szCs w:val="24"/>
          <w:lang w:eastAsia="en-US"/>
        </w:rPr>
        <w:t>(</w:t>
      </w:r>
      <w:r w:rsidR="00D82588">
        <w:rPr>
          <w:szCs w:val="24"/>
          <w:lang w:eastAsia="en-US"/>
        </w:rPr>
        <w:t xml:space="preserve">see </w:t>
      </w:r>
      <w:proofErr w:type="spellStart"/>
      <w:r w:rsidRPr="00DC1F02" w:rsidR="00A25BB2">
        <w:rPr>
          <w:i/>
          <w:lang w:eastAsia="en-US"/>
        </w:rPr>
        <w:t>García</w:t>
      </w:r>
      <w:proofErr w:type="spellEnd"/>
      <w:r w:rsidRPr="00DC1F02" w:rsidR="00A25BB2">
        <w:rPr>
          <w:i/>
          <w:lang w:eastAsia="en-US"/>
        </w:rPr>
        <w:t xml:space="preserve"> Ruiz </w:t>
      </w:r>
      <w:r w:rsidRPr="00DC1F02" w:rsidR="00874E53">
        <w:rPr>
          <w:i/>
          <w:lang w:eastAsia="en-US"/>
        </w:rPr>
        <w:t>v</w:t>
      </w:r>
      <w:r w:rsidRPr="00DC1F02" w:rsidR="00A25BB2">
        <w:rPr>
          <w:i/>
          <w:lang w:eastAsia="en-US"/>
        </w:rPr>
        <w:t xml:space="preserve">. </w:t>
      </w:r>
      <w:r w:rsidR="005A65C4">
        <w:rPr>
          <w:i/>
          <w:lang w:eastAsia="en-US"/>
        </w:rPr>
        <w:t>Spain</w:t>
      </w:r>
      <w:r w:rsidRPr="00DC1F02" w:rsidR="00A25BB2">
        <w:rPr>
          <w:lang w:eastAsia="en-US"/>
        </w:rPr>
        <w:t xml:space="preserve"> [GC], n</w:t>
      </w:r>
      <w:r w:rsidRPr="00DC1F02" w:rsidR="00874E53">
        <w:rPr>
          <w:lang w:eastAsia="en-US"/>
        </w:rPr>
        <w:t>o.</w:t>
      </w:r>
      <w:r w:rsidR="00D26391">
        <w:rPr>
          <w:lang w:eastAsia="en-US"/>
        </w:rPr>
        <w:t xml:space="preserve"> 30544/96, § </w:t>
      </w:r>
      <w:r w:rsidRPr="00DC1F02" w:rsidR="00A25BB2">
        <w:rPr>
          <w:lang w:eastAsia="en-US"/>
        </w:rPr>
        <w:t>28, E</w:t>
      </w:r>
      <w:r w:rsidRPr="00DC1F02" w:rsidR="00874E53">
        <w:rPr>
          <w:lang w:eastAsia="en-US"/>
        </w:rPr>
        <w:t>C</w:t>
      </w:r>
      <w:r w:rsidRPr="00DC1F02" w:rsidR="00A25BB2">
        <w:rPr>
          <w:lang w:eastAsia="en-US"/>
        </w:rPr>
        <w:t>H</w:t>
      </w:r>
      <w:r w:rsidRPr="00DC1F02" w:rsidR="00874E53">
        <w:rPr>
          <w:lang w:eastAsia="en-US"/>
        </w:rPr>
        <w:t>R</w:t>
      </w:r>
      <w:r w:rsidR="00D26391">
        <w:rPr>
          <w:lang w:eastAsia="en-US"/>
        </w:rPr>
        <w:t xml:space="preserve"> 1999-</w:t>
      </w:r>
      <w:r w:rsidRPr="00DC1F02" w:rsidR="00A25BB2">
        <w:rPr>
          <w:lang w:eastAsia="en-US"/>
        </w:rPr>
        <w:t>I).</w:t>
      </w:r>
    </w:p>
    <w:p w:rsidRPr="00DC1F02" w:rsidR="00A52151" w:rsidP="00A25BB2" w:rsidRDefault="00A25BB2">
      <w:pPr>
        <w:pStyle w:val="JuPara"/>
        <w:rPr>
          <w:lang w:eastAsia="en-US"/>
        </w:rPr>
      </w:pPr>
      <w:r w:rsidRPr="00DC1F02">
        <w:fldChar w:fldCharType="begin"/>
      </w:r>
      <w:r w:rsidRPr="00DC1F02">
        <w:instrText xml:space="preserve"> SEQ level0 \*arabic </w:instrText>
      </w:r>
      <w:r w:rsidRPr="00DC1F02">
        <w:fldChar w:fldCharType="separate"/>
      </w:r>
      <w:r w:rsidR="00CF6F43">
        <w:rPr>
          <w:noProof/>
        </w:rPr>
        <w:t>84</w:t>
      </w:r>
      <w:r w:rsidRPr="00DC1F02">
        <w:fldChar w:fldCharType="end"/>
      </w:r>
      <w:r w:rsidRPr="00DC1F02">
        <w:t>.  </w:t>
      </w:r>
      <w:r w:rsidR="00FE3FF1">
        <w:t>The Court</w:t>
      </w:r>
      <w:r w:rsidRPr="00DC1F02" w:rsidR="001B4042">
        <w:t xml:space="preserve"> notes, firstly, that the instant case is distinguishable from the cases in which it found that there had been retrospective </w:t>
      </w:r>
      <w:r w:rsidRPr="00DC1F02" w:rsidR="00C30333">
        <w:t xml:space="preserve">intervention by the </w:t>
      </w:r>
      <w:r w:rsidRPr="00DC1F02" w:rsidR="001B4042">
        <w:t>legislat</w:t>
      </w:r>
      <w:r w:rsidRPr="00DC1F02" w:rsidR="00C30333">
        <w:t>ure</w:t>
      </w:r>
      <w:r w:rsidRPr="00DC1F02" w:rsidR="001B4042">
        <w:t xml:space="preserve"> </w:t>
      </w:r>
      <w:r w:rsidRPr="00DC1F02" w:rsidR="00C30333">
        <w:t>in relation to</w:t>
      </w:r>
      <w:r w:rsidRPr="00DC1F02" w:rsidR="00FF757A">
        <w:t xml:space="preserve"> a party</w:t>
      </w:r>
      <w:r w:rsidR="008B5D8B">
        <w:t>’</w:t>
      </w:r>
      <w:r w:rsidRPr="00DC1F02" w:rsidR="00FF757A">
        <w:t xml:space="preserve">s proprietary right </w:t>
      </w:r>
      <w:r w:rsidRPr="00DC1F02">
        <w:t>(</w:t>
      </w:r>
      <w:r w:rsidRPr="00DC1F02" w:rsidR="00FF757A">
        <w:t>see</w:t>
      </w:r>
      <w:r w:rsidRPr="00DC1F02">
        <w:t xml:space="preserve">, </w:t>
      </w:r>
      <w:r w:rsidRPr="00DC1F02" w:rsidR="00FF757A">
        <w:t>as the most recent authorities</w:t>
      </w:r>
      <w:r w:rsidRPr="00DC1F02">
        <w:t xml:space="preserve">, </w:t>
      </w:r>
      <w:r w:rsidRPr="00DC1F02">
        <w:rPr>
          <w:i/>
        </w:rPr>
        <w:t>Maurice</w:t>
      </w:r>
      <w:r w:rsidRPr="00DC1F02">
        <w:t xml:space="preserve"> </w:t>
      </w:r>
      <w:r w:rsidRPr="00DC1F02" w:rsidR="00FF757A">
        <w:t>and</w:t>
      </w:r>
      <w:r w:rsidRPr="00DC1F02">
        <w:t xml:space="preserve"> </w:t>
      </w:r>
      <w:proofErr w:type="spellStart"/>
      <w:r w:rsidRPr="00DC1F02">
        <w:rPr>
          <w:i/>
        </w:rPr>
        <w:t>Lecarpentier</w:t>
      </w:r>
      <w:proofErr w:type="spellEnd"/>
      <w:r w:rsidR="00D82588">
        <w:t>,</w:t>
      </w:r>
      <w:r w:rsidRPr="00DC1F02" w:rsidR="00FF757A">
        <w:t xml:space="preserve"> cited above</w:t>
      </w:r>
      <w:r w:rsidRPr="00DC1F02">
        <w:t xml:space="preserve">; </w:t>
      </w:r>
      <w:r w:rsidRPr="00DC1F02" w:rsidR="00FF757A">
        <w:t>see also</w:t>
      </w:r>
      <w:r w:rsidRPr="00DC1F02">
        <w:t xml:space="preserve"> </w:t>
      </w:r>
      <w:proofErr w:type="spellStart"/>
      <w:r w:rsidRPr="00DC1F02">
        <w:rPr>
          <w:i/>
          <w:lang w:eastAsia="en-US"/>
        </w:rPr>
        <w:t>Pressos</w:t>
      </w:r>
      <w:proofErr w:type="spellEnd"/>
      <w:r w:rsidRPr="00DC1F02">
        <w:rPr>
          <w:i/>
          <w:lang w:eastAsia="en-US"/>
        </w:rPr>
        <w:t xml:space="preserve"> </w:t>
      </w:r>
      <w:proofErr w:type="spellStart"/>
      <w:r w:rsidRPr="00DC1F02">
        <w:rPr>
          <w:i/>
          <w:lang w:eastAsia="en-US"/>
        </w:rPr>
        <w:t>Compania</w:t>
      </w:r>
      <w:proofErr w:type="spellEnd"/>
      <w:r w:rsidRPr="00DC1F02">
        <w:rPr>
          <w:i/>
          <w:lang w:eastAsia="en-US"/>
        </w:rPr>
        <w:t xml:space="preserve"> </w:t>
      </w:r>
      <w:proofErr w:type="spellStart"/>
      <w:r w:rsidRPr="00DC1F02">
        <w:rPr>
          <w:i/>
          <w:lang w:eastAsia="en-US"/>
        </w:rPr>
        <w:t>Naviera</w:t>
      </w:r>
      <w:proofErr w:type="spellEnd"/>
      <w:r w:rsidRPr="00DC1F02">
        <w:rPr>
          <w:i/>
          <w:lang w:eastAsia="en-US"/>
        </w:rPr>
        <w:t xml:space="preserve"> S.A.</w:t>
      </w:r>
      <w:r w:rsidRPr="00DC1F02" w:rsidR="00FF757A">
        <w:rPr>
          <w:i/>
          <w:lang w:eastAsia="en-US"/>
        </w:rPr>
        <w:t xml:space="preserve"> and Others v</w:t>
      </w:r>
      <w:r w:rsidRPr="00DC1F02">
        <w:rPr>
          <w:i/>
          <w:lang w:eastAsia="en-US"/>
        </w:rPr>
        <w:t>. Belgi</w:t>
      </w:r>
      <w:r w:rsidRPr="00DC1F02" w:rsidR="00FF757A">
        <w:rPr>
          <w:i/>
          <w:lang w:eastAsia="en-US"/>
        </w:rPr>
        <w:t>um</w:t>
      </w:r>
      <w:r w:rsidRPr="00DC1F02">
        <w:rPr>
          <w:lang w:eastAsia="en-US"/>
        </w:rPr>
        <w:t>,</w:t>
      </w:r>
      <w:r w:rsidRPr="00DC1F02" w:rsidR="00FF757A">
        <w:rPr>
          <w:lang w:eastAsia="en-US"/>
        </w:rPr>
        <w:t xml:space="preserve"> </w:t>
      </w:r>
      <w:r w:rsidRPr="00DC1F02">
        <w:rPr>
          <w:lang w:eastAsia="en-US"/>
        </w:rPr>
        <w:t>20</w:t>
      </w:r>
      <w:r w:rsidR="00EE18A8">
        <w:rPr>
          <w:lang w:eastAsia="en-US"/>
        </w:rPr>
        <w:t xml:space="preserve"> </w:t>
      </w:r>
      <w:r w:rsidRPr="00DC1F02" w:rsidR="00FF757A">
        <w:rPr>
          <w:lang w:eastAsia="en-US"/>
        </w:rPr>
        <w:t xml:space="preserve">November </w:t>
      </w:r>
      <w:r w:rsidRPr="00DC1F02">
        <w:rPr>
          <w:lang w:eastAsia="en-US"/>
        </w:rPr>
        <w:t xml:space="preserve">1995, </w:t>
      </w:r>
      <w:r w:rsidR="00E021AF">
        <w:rPr>
          <w:lang w:eastAsia="en-US"/>
        </w:rPr>
        <w:t>Series </w:t>
      </w:r>
      <w:r w:rsidRPr="00DC1F02" w:rsidR="00FF757A">
        <w:rPr>
          <w:lang w:eastAsia="en-US"/>
        </w:rPr>
        <w:t>A no.</w:t>
      </w:r>
      <w:r w:rsidRPr="00DC1F02">
        <w:rPr>
          <w:lang w:eastAsia="en-US"/>
        </w:rPr>
        <w:t xml:space="preserve"> 332)</w:t>
      </w:r>
      <w:r w:rsidRPr="00DC1F02" w:rsidR="00277253">
        <w:rPr>
          <w:lang w:eastAsia="en-US"/>
        </w:rPr>
        <w:t>. The reason for this is that</w:t>
      </w:r>
      <w:r w:rsidRPr="00DC1F02" w:rsidR="00C30333">
        <w:rPr>
          <w:lang w:eastAsia="en-US"/>
        </w:rPr>
        <w:t xml:space="preserve"> </w:t>
      </w:r>
      <w:r w:rsidRPr="00DC1F02" w:rsidR="00FF757A">
        <w:rPr>
          <w:lang w:eastAsia="en-US"/>
        </w:rPr>
        <w:t>in th</w:t>
      </w:r>
      <w:r w:rsidRPr="00DC1F02" w:rsidR="00C30333">
        <w:rPr>
          <w:lang w:eastAsia="en-US"/>
        </w:rPr>
        <w:t>e present case</w:t>
      </w:r>
      <w:r w:rsidRPr="00DC1F02" w:rsidR="00FF757A">
        <w:rPr>
          <w:lang w:eastAsia="en-US"/>
        </w:rPr>
        <w:t xml:space="preserve"> the very </w:t>
      </w:r>
      <w:r w:rsidRPr="00DC1F02" w:rsidR="00277253">
        <w:rPr>
          <w:lang w:eastAsia="en-US"/>
        </w:rPr>
        <w:t>question</w:t>
      </w:r>
      <w:r w:rsidRPr="00DC1F02" w:rsidR="00FF757A">
        <w:rPr>
          <w:lang w:eastAsia="en-US"/>
        </w:rPr>
        <w:t xml:space="preserve"> whether </w:t>
      </w:r>
      <w:r w:rsidRPr="00DC1F02" w:rsidR="00C30333">
        <w:rPr>
          <w:lang w:eastAsia="en-US"/>
        </w:rPr>
        <w:t>the legislation w</w:t>
      </w:r>
      <w:r w:rsidRPr="00DC1F02" w:rsidR="00FF757A">
        <w:rPr>
          <w:lang w:eastAsia="en-US"/>
        </w:rPr>
        <w:t xml:space="preserve">as </w:t>
      </w:r>
      <w:r w:rsidRPr="00DC1F02" w:rsidR="00C30333">
        <w:rPr>
          <w:lang w:eastAsia="en-US"/>
        </w:rPr>
        <w:t>r</w:t>
      </w:r>
      <w:r w:rsidRPr="00DC1F02" w:rsidR="00FF757A">
        <w:rPr>
          <w:lang w:eastAsia="en-US"/>
        </w:rPr>
        <w:t>etrospective</w:t>
      </w:r>
      <w:r w:rsidRPr="00DC1F02" w:rsidR="00C30333">
        <w:rPr>
          <w:lang w:eastAsia="en-US"/>
        </w:rPr>
        <w:t>ly</w:t>
      </w:r>
      <w:r w:rsidRPr="00DC1F02" w:rsidR="00FF757A">
        <w:rPr>
          <w:lang w:eastAsia="en-US"/>
        </w:rPr>
        <w:t xml:space="preserve"> appli</w:t>
      </w:r>
      <w:r w:rsidRPr="00DC1F02" w:rsidR="00C30333">
        <w:rPr>
          <w:lang w:eastAsia="en-US"/>
        </w:rPr>
        <w:t>ed</w:t>
      </w:r>
      <w:r w:rsidRPr="00DC1F02" w:rsidR="00FF757A">
        <w:rPr>
          <w:lang w:eastAsia="en-US"/>
        </w:rPr>
        <w:t xml:space="preserve"> is in </w:t>
      </w:r>
      <w:r w:rsidRPr="00DC1F02" w:rsidR="00C30333">
        <w:rPr>
          <w:lang w:eastAsia="en-US"/>
        </w:rPr>
        <w:t xml:space="preserve">itself </w:t>
      </w:r>
      <w:r w:rsidRPr="00DC1F02" w:rsidR="00277253">
        <w:rPr>
          <w:lang w:eastAsia="en-US"/>
        </w:rPr>
        <w:t>in issue</w:t>
      </w:r>
      <w:r w:rsidRPr="00DC1F02" w:rsidR="00FF757A">
        <w:rPr>
          <w:lang w:eastAsia="en-US"/>
        </w:rPr>
        <w:t xml:space="preserve"> whereas</w:t>
      </w:r>
      <w:r w:rsidRPr="00DC1F02" w:rsidR="00C30333">
        <w:rPr>
          <w:lang w:eastAsia="en-US"/>
        </w:rPr>
        <w:t>,</w:t>
      </w:r>
      <w:r w:rsidRPr="00DC1F02" w:rsidR="00FF757A">
        <w:rPr>
          <w:lang w:eastAsia="en-US"/>
        </w:rPr>
        <w:t xml:space="preserve"> in the a</w:t>
      </w:r>
      <w:r w:rsidR="002C5B21">
        <w:rPr>
          <w:lang w:eastAsia="en-US"/>
        </w:rPr>
        <w:t>bov</w:t>
      </w:r>
      <w:r w:rsidRPr="00DC1F02" w:rsidR="00FF757A">
        <w:rPr>
          <w:lang w:eastAsia="en-US"/>
        </w:rPr>
        <w:t>e</w:t>
      </w:r>
      <w:r w:rsidR="002C5B21">
        <w:rPr>
          <w:lang w:eastAsia="en-US"/>
        </w:rPr>
        <w:t>-</w:t>
      </w:r>
      <w:r w:rsidRPr="00DC1F02" w:rsidR="00FF757A">
        <w:rPr>
          <w:lang w:eastAsia="en-US"/>
        </w:rPr>
        <w:t xml:space="preserve">mentioned cases, not only was </w:t>
      </w:r>
      <w:r w:rsidRPr="00DC1F02" w:rsidR="00C30333">
        <w:rPr>
          <w:lang w:eastAsia="en-US"/>
        </w:rPr>
        <w:t>th</w:t>
      </w:r>
      <w:r w:rsidRPr="00DC1F02" w:rsidR="00FF757A">
        <w:rPr>
          <w:lang w:eastAsia="en-US"/>
        </w:rPr>
        <w:t>e retrospective effect</w:t>
      </w:r>
      <w:r w:rsidRPr="00DC1F02" w:rsidR="00C30333">
        <w:rPr>
          <w:lang w:eastAsia="en-US"/>
        </w:rPr>
        <w:t xml:space="preserve"> of the legislation</w:t>
      </w:r>
      <w:r w:rsidRPr="00DC1F02" w:rsidR="00FF757A">
        <w:rPr>
          <w:lang w:eastAsia="en-US"/>
        </w:rPr>
        <w:t xml:space="preserve"> indisputable, it was also inten</w:t>
      </w:r>
      <w:r w:rsidR="00A412BB">
        <w:rPr>
          <w:lang w:eastAsia="en-US"/>
        </w:rPr>
        <w:t>tional</w:t>
      </w:r>
      <w:r w:rsidRPr="00DC1F02" w:rsidR="00FF757A">
        <w:rPr>
          <w:lang w:eastAsia="en-US"/>
        </w:rPr>
        <w:t xml:space="preserve">. </w:t>
      </w:r>
      <w:r w:rsidRPr="00DC1F02" w:rsidR="00C30333">
        <w:rPr>
          <w:lang w:eastAsia="en-US"/>
        </w:rPr>
        <w:t>I</w:t>
      </w:r>
      <w:r w:rsidR="00D82588">
        <w:rPr>
          <w:lang w:eastAsia="en-US"/>
        </w:rPr>
        <w:t>ndeed, it</w:t>
      </w:r>
      <w:r w:rsidRPr="00DC1F02" w:rsidR="00C30333">
        <w:rPr>
          <w:lang w:eastAsia="en-US"/>
        </w:rPr>
        <w:t xml:space="preserve"> has</w:t>
      </w:r>
      <w:r w:rsidRPr="00DC1F02" w:rsidR="00FF757A">
        <w:rPr>
          <w:lang w:eastAsia="en-US"/>
        </w:rPr>
        <w:t xml:space="preserve"> not been established that the applicant company had a right of priority </w:t>
      </w:r>
      <w:r w:rsidRPr="00DC1F02" w:rsidR="00C30333">
        <w:rPr>
          <w:lang w:eastAsia="en-US"/>
        </w:rPr>
        <w:t>in</w:t>
      </w:r>
      <w:r w:rsidRPr="00DC1F02" w:rsidR="00FF757A">
        <w:rPr>
          <w:lang w:eastAsia="en-US"/>
        </w:rPr>
        <w:t xml:space="preserve"> respect </w:t>
      </w:r>
      <w:r w:rsidRPr="00DC1F02" w:rsidR="00C30333">
        <w:rPr>
          <w:lang w:eastAsia="en-US"/>
        </w:rPr>
        <w:t>of</w:t>
      </w:r>
      <w:r w:rsidRPr="00DC1F02" w:rsidR="00FF757A">
        <w:rPr>
          <w:lang w:eastAsia="en-US"/>
        </w:rPr>
        <w:t xml:space="preserve"> the </w:t>
      </w:r>
      <w:r w:rsidR="00874975">
        <w:rPr>
          <w:lang w:eastAsia="en-US"/>
        </w:rPr>
        <w:t>“</w:t>
      </w:r>
      <w:r w:rsidRPr="00874975">
        <w:rPr>
          <w:lang w:eastAsia="en-US"/>
        </w:rPr>
        <w:t>Budweiser</w:t>
      </w:r>
      <w:r w:rsidR="00874975">
        <w:rPr>
          <w:lang w:eastAsia="en-US"/>
        </w:rPr>
        <w:t>”</w:t>
      </w:r>
      <w:r w:rsidRPr="00DC1F02">
        <w:rPr>
          <w:lang w:eastAsia="en-US"/>
        </w:rPr>
        <w:t xml:space="preserve"> </w:t>
      </w:r>
      <w:r w:rsidRPr="00DC1F02" w:rsidR="00FF757A">
        <w:rPr>
          <w:lang w:eastAsia="en-US"/>
        </w:rPr>
        <w:t xml:space="preserve">mark when the Bilateral Agreement, which is alleged to have been applied retrospectively, </w:t>
      </w:r>
      <w:r w:rsidR="00A412BB">
        <w:rPr>
          <w:lang w:eastAsia="en-US"/>
        </w:rPr>
        <w:t>came</w:t>
      </w:r>
      <w:r w:rsidRPr="00DC1F02" w:rsidR="00FF757A">
        <w:rPr>
          <w:lang w:eastAsia="en-US"/>
        </w:rPr>
        <w:t xml:space="preserve"> into force. </w:t>
      </w:r>
      <w:r w:rsidRPr="00DC1F02" w:rsidR="00C30333">
        <w:rPr>
          <w:lang w:eastAsia="en-US"/>
        </w:rPr>
        <w:t xml:space="preserve">In this connection, the </w:t>
      </w:r>
      <w:r w:rsidRPr="00DC1F02" w:rsidR="00FF757A">
        <w:rPr>
          <w:lang w:eastAsia="en-US"/>
        </w:rPr>
        <w:t xml:space="preserve">Court points out that </w:t>
      </w:r>
      <w:r w:rsidRPr="00DC1F02" w:rsidR="00C30333">
        <w:rPr>
          <w:lang w:eastAsia="en-US"/>
        </w:rPr>
        <w:t xml:space="preserve">the only effective registration </w:t>
      </w:r>
      <w:r w:rsidRPr="00DC1F02" w:rsidR="00277253">
        <w:rPr>
          <w:lang w:eastAsia="en-US"/>
        </w:rPr>
        <w:t>in</w:t>
      </w:r>
      <w:r w:rsidRPr="00DC1F02" w:rsidR="00C30333">
        <w:rPr>
          <w:lang w:eastAsia="en-US"/>
        </w:rPr>
        <w:t xml:space="preserve"> existe</w:t>
      </w:r>
      <w:r w:rsidRPr="00DC1F02" w:rsidR="00277253">
        <w:rPr>
          <w:lang w:eastAsia="en-US"/>
        </w:rPr>
        <w:t>nce</w:t>
      </w:r>
      <w:r w:rsidRPr="00DC1F02" w:rsidR="00C30333">
        <w:rPr>
          <w:lang w:eastAsia="en-US"/>
        </w:rPr>
        <w:t xml:space="preserve"> when</w:t>
      </w:r>
      <w:r w:rsidRPr="00DC1F02" w:rsidR="00FF757A">
        <w:rPr>
          <w:lang w:eastAsia="en-US"/>
        </w:rPr>
        <w:t xml:space="preserve"> the </w:t>
      </w:r>
      <w:r w:rsidRPr="00DC1F02" w:rsidR="00C30333">
        <w:rPr>
          <w:lang w:eastAsia="en-US"/>
        </w:rPr>
        <w:t xml:space="preserve">Bilateral Agreement took effect on </w:t>
      </w:r>
      <w:r w:rsidRPr="00DC1F02" w:rsidR="00FF757A">
        <w:rPr>
          <w:lang w:eastAsia="en-US"/>
        </w:rPr>
        <w:t>7</w:t>
      </w:r>
      <w:r w:rsidR="00D82588">
        <w:rPr>
          <w:lang w:eastAsia="en-US"/>
        </w:rPr>
        <w:t xml:space="preserve"> </w:t>
      </w:r>
      <w:r w:rsidRPr="00DC1F02" w:rsidR="00FF757A">
        <w:rPr>
          <w:lang w:eastAsia="en-US"/>
        </w:rPr>
        <w:t>Mar</w:t>
      </w:r>
      <w:r w:rsidRPr="00DC1F02" w:rsidR="00C30333">
        <w:rPr>
          <w:lang w:eastAsia="en-US"/>
        </w:rPr>
        <w:t>ch 1987</w:t>
      </w:r>
      <w:r w:rsidRPr="00DC1F02" w:rsidR="00FF757A">
        <w:rPr>
          <w:lang w:eastAsia="en-US"/>
        </w:rPr>
        <w:t xml:space="preserve"> w</w:t>
      </w:r>
      <w:r w:rsidR="00690681">
        <w:rPr>
          <w:lang w:eastAsia="en-US"/>
        </w:rPr>
        <w:t>as</w:t>
      </w:r>
      <w:r w:rsidRPr="00DC1F02" w:rsidR="00FF757A">
        <w:rPr>
          <w:lang w:eastAsia="en-US"/>
        </w:rPr>
        <w:t xml:space="preserve"> </w:t>
      </w:r>
      <w:r w:rsidRPr="00DC1F02" w:rsidR="00C30333">
        <w:rPr>
          <w:lang w:eastAsia="en-US"/>
        </w:rPr>
        <w:t>of the</w:t>
      </w:r>
      <w:r w:rsidRPr="00DC1F02" w:rsidR="00FF757A">
        <w:rPr>
          <w:lang w:eastAsia="en-US"/>
        </w:rPr>
        <w:t xml:space="preserve"> appellations of origin that had been registered in </w:t>
      </w:r>
      <w:proofErr w:type="spellStart"/>
      <w:r w:rsidRPr="00DC1F02" w:rsidR="00A92917">
        <w:t>Bud</w:t>
      </w:r>
      <w:r w:rsidR="00A92917">
        <w:t>ě</w:t>
      </w:r>
      <w:r w:rsidRPr="00DC1F02" w:rsidR="00A92917">
        <w:t>jovick</w:t>
      </w:r>
      <w:r w:rsidR="00A92917">
        <w:t>ý</w:t>
      </w:r>
      <w:proofErr w:type="spellEnd"/>
      <w:r w:rsidRPr="00DC1F02" w:rsidR="00A92917">
        <w:t xml:space="preserve"> </w:t>
      </w:r>
      <w:proofErr w:type="spellStart"/>
      <w:r w:rsidRPr="00DC1F02" w:rsidR="00277253">
        <w:rPr>
          <w:lang w:eastAsia="en-US"/>
        </w:rPr>
        <w:t>Budvar</w:t>
      </w:r>
      <w:r w:rsidR="008B5D8B">
        <w:rPr>
          <w:lang w:eastAsia="en-US"/>
        </w:rPr>
        <w:t>’</w:t>
      </w:r>
      <w:r w:rsidRPr="00DC1F02" w:rsidR="00277253">
        <w:rPr>
          <w:lang w:eastAsia="en-US"/>
        </w:rPr>
        <w:t>s</w:t>
      </w:r>
      <w:proofErr w:type="spellEnd"/>
      <w:r w:rsidRPr="00DC1F02" w:rsidR="00277253">
        <w:rPr>
          <w:lang w:eastAsia="en-US"/>
        </w:rPr>
        <w:t xml:space="preserve"> </w:t>
      </w:r>
      <w:r w:rsidRPr="00DC1F02" w:rsidR="00FF757A">
        <w:rPr>
          <w:lang w:eastAsia="en-US"/>
        </w:rPr>
        <w:t xml:space="preserve">name under the </w:t>
      </w:r>
      <w:r w:rsidRPr="00DC1F02" w:rsidR="00874975">
        <w:rPr>
          <w:lang w:eastAsia="en-US"/>
        </w:rPr>
        <w:t>Lisbon</w:t>
      </w:r>
      <w:r w:rsidRPr="00DC1F02" w:rsidR="00FF757A">
        <w:rPr>
          <w:lang w:eastAsia="en-US"/>
        </w:rPr>
        <w:t xml:space="preserve"> Agreement of </w:t>
      </w:r>
      <w:r w:rsidRPr="00DC1F02" w:rsidR="00C30333">
        <w:rPr>
          <w:lang w:eastAsia="en-US"/>
        </w:rPr>
        <w:t>31 October 1</w:t>
      </w:r>
      <w:r w:rsidRPr="00DC1F02" w:rsidR="00FF757A">
        <w:rPr>
          <w:lang w:eastAsia="en-US"/>
        </w:rPr>
        <w:t>958. While it is true that that registration was subsequently cancelled (see paragraph 18 above)</w:t>
      </w:r>
      <w:r w:rsidR="00D82588">
        <w:rPr>
          <w:lang w:eastAsia="en-US"/>
        </w:rPr>
        <w:t>,</w:t>
      </w:r>
      <w:r w:rsidRPr="00DC1F02" w:rsidR="00FF757A">
        <w:rPr>
          <w:lang w:eastAsia="en-US"/>
        </w:rPr>
        <w:t xml:space="preserve"> the Court </w:t>
      </w:r>
      <w:r w:rsidR="00001CBE">
        <w:rPr>
          <w:lang w:eastAsia="en-US"/>
        </w:rPr>
        <w:t xml:space="preserve">cannot </w:t>
      </w:r>
      <w:r w:rsidRPr="00DC1F02" w:rsidR="00A52151">
        <w:rPr>
          <w:lang w:eastAsia="en-US"/>
        </w:rPr>
        <w:t>exa</w:t>
      </w:r>
      <w:r w:rsidRPr="00DC1F02" w:rsidR="00C30333">
        <w:rPr>
          <w:lang w:eastAsia="en-US"/>
        </w:rPr>
        <w:t xml:space="preserve">mine </w:t>
      </w:r>
      <w:r w:rsidRPr="00DC1F02" w:rsidR="00277253">
        <w:rPr>
          <w:lang w:eastAsia="en-US"/>
        </w:rPr>
        <w:t>what</w:t>
      </w:r>
      <w:r w:rsidRPr="00DC1F02" w:rsidR="00C30333">
        <w:rPr>
          <w:lang w:eastAsia="en-US"/>
        </w:rPr>
        <w:t xml:space="preserve"> consequences </w:t>
      </w:r>
      <w:r w:rsidRPr="00DC1F02" w:rsidR="00A52151">
        <w:rPr>
          <w:lang w:eastAsia="en-US"/>
        </w:rPr>
        <w:t xml:space="preserve">the cancellation </w:t>
      </w:r>
      <w:r w:rsidRPr="00DC1F02" w:rsidR="00277253">
        <w:rPr>
          <w:lang w:eastAsia="en-US"/>
        </w:rPr>
        <w:t xml:space="preserve">of the registration had </w:t>
      </w:r>
      <w:r w:rsidRPr="00DC1F02" w:rsidR="00A52151">
        <w:rPr>
          <w:lang w:eastAsia="en-US"/>
        </w:rPr>
        <w:t xml:space="preserve">on the right of priority </w:t>
      </w:r>
      <w:r w:rsidRPr="00DC1F02" w:rsidR="00277253">
        <w:rPr>
          <w:lang w:eastAsia="en-US"/>
        </w:rPr>
        <w:t>attached to</w:t>
      </w:r>
      <w:r w:rsidRPr="00DC1F02" w:rsidR="00A52151">
        <w:rPr>
          <w:lang w:eastAsia="en-US"/>
        </w:rPr>
        <w:t xml:space="preserve"> the mark.</w:t>
      </w:r>
    </w:p>
    <w:p w:rsidRPr="00DC1F02" w:rsidR="00E71F84" w:rsidP="00A25BB2" w:rsidRDefault="004A6E02">
      <w:pPr>
        <w:pStyle w:val="JuPara"/>
        <w:rPr>
          <w:lang w:eastAsia="en-US"/>
        </w:rPr>
      </w:pPr>
      <w:r>
        <w:rPr>
          <w:lang w:eastAsia="en-US"/>
        </w:rPr>
        <w:fldChar w:fldCharType="begin"/>
      </w:r>
      <w:r>
        <w:rPr>
          <w:lang w:eastAsia="en-US"/>
        </w:rPr>
        <w:instrText xml:space="preserve"> SEQ level0 \*arabic </w:instrText>
      </w:r>
      <w:r>
        <w:rPr>
          <w:lang w:eastAsia="en-US"/>
        </w:rPr>
        <w:fldChar w:fldCharType="separate"/>
      </w:r>
      <w:r w:rsidR="00CF6F43">
        <w:rPr>
          <w:noProof/>
          <w:lang w:eastAsia="en-US"/>
        </w:rPr>
        <w:t>85</w:t>
      </w:r>
      <w:r>
        <w:rPr>
          <w:lang w:eastAsia="en-US"/>
        </w:rPr>
        <w:fldChar w:fldCharType="end"/>
      </w:r>
      <w:r>
        <w:rPr>
          <w:lang w:eastAsia="en-US"/>
        </w:rPr>
        <w:t>.  </w:t>
      </w:r>
      <w:r w:rsidRPr="00DC1F02" w:rsidR="00661E25">
        <w:rPr>
          <w:lang w:eastAsia="en-US"/>
        </w:rPr>
        <w:t>These are questions wh</w:t>
      </w:r>
      <w:r w:rsidRPr="00DC1F02" w:rsidR="001426DC">
        <w:rPr>
          <w:lang w:eastAsia="en-US"/>
        </w:rPr>
        <w:t xml:space="preserve">ose rightful place was before </w:t>
      </w:r>
      <w:r w:rsidRPr="00DC1F02" w:rsidR="00661E25">
        <w:rPr>
          <w:lang w:eastAsia="en-US"/>
        </w:rPr>
        <w:t>the domestic courts. The Supreme Court decided in its judgment of 23 January 2001 to reject the applicant company</w:t>
      </w:r>
      <w:r w:rsidR="008B5D8B">
        <w:rPr>
          <w:lang w:eastAsia="en-US"/>
        </w:rPr>
        <w:t>’</w:t>
      </w:r>
      <w:r w:rsidRPr="00DC1F02" w:rsidR="00661E25">
        <w:rPr>
          <w:lang w:eastAsia="en-US"/>
        </w:rPr>
        <w:t>s argument based on an alleged violation of the priority rule. In the absence of any arbitrariness or</w:t>
      </w:r>
      <w:r w:rsidRPr="00DC1F02" w:rsidR="00A25BB2">
        <w:rPr>
          <w:lang w:eastAsia="en-US"/>
        </w:rPr>
        <w:t xml:space="preserve"> </w:t>
      </w:r>
      <w:r w:rsidRPr="00DC1F02" w:rsidR="00277253">
        <w:rPr>
          <w:lang w:eastAsia="en-US"/>
        </w:rPr>
        <w:t>manifest unreasonableness</w:t>
      </w:r>
      <w:r w:rsidRPr="00DC1F02" w:rsidR="00661E25">
        <w:rPr>
          <w:lang w:eastAsia="en-US"/>
        </w:rPr>
        <w:t xml:space="preserve">, the Court cannot </w:t>
      </w:r>
      <w:r w:rsidR="00A56B4B">
        <w:rPr>
          <w:lang w:eastAsia="en-US"/>
        </w:rPr>
        <w:t>call into question</w:t>
      </w:r>
      <w:r w:rsidRPr="00DC1F02" w:rsidR="00661E25">
        <w:rPr>
          <w:lang w:eastAsia="en-US"/>
        </w:rPr>
        <w:t xml:space="preserve"> the findings of the Supreme </w:t>
      </w:r>
      <w:r w:rsidRPr="00DC1F02" w:rsidR="00277253">
        <w:rPr>
          <w:lang w:eastAsia="en-US"/>
        </w:rPr>
        <w:t xml:space="preserve">Court </w:t>
      </w:r>
      <w:r w:rsidRPr="00DC1F02" w:rsidR="00661E25">
        <w:rPr>
          <w:lang w:eastAsia="en-US"/>
        </w:rPr>
        <w:t>on this point</w:t>
      </w:r>
      <w:r w:rsidRPr="00DC1F02" w:rsidR="00A25BB2">
        <w:rPr>
          <w:lang w:eastAsia="en-US"/>
        </w:rPr>
        <w:t>.</w:t>
      </w:r>
    </w:p>
    <w:p w:rsidRPr="00E10840" w:rsidR="00102D33" w:rsidP="00A25BB2" w:rsidRDefault="00A25BB2">
      <w:pPr>
        <w:pStyle w:val="JuPara"/>
        <w:rPr>
          <w:lang w:eastAsia="en-US"/>
        </w:rPr>
      </w:pPr>
      <w:r w:rsidRPr="00DC1F02">
        <w:rPr>
          <w:lang w:eastAsia="en-US"/>
        </w:rPr>
        <w:fldChar w:fldCharType="begin"/>
      </w:r>
      <w:r w:rsidRPr="00DC1F02">
        <w:rPr>
          <w:lang w:eastAsia="en-US"/>
        </w:rPr>
        <w:instrText xml:space="preserve"> SEQ level0 \*arabic </w:instrText>
      </w:r>
      <w:r w:rsidRPr="00DC1F02">
        <w:rPr>
          <w:lang w:eastAsia="en-US"/>
        </w:rPr>
        <w:fldChar w:fldCharType="separate"/>
      </w:r>
      <w:r w:rsidR="00CF6F43">
        <w:rPr>
          <w:noProof/>
          <w:lang w:eastAsia="en-US"/>
        </w:rPr>
        <w:t>86</w:t>
      </w:r>
      <w:r w:rsidRPr="00DC1F02">
        <w:rPr>
          <w:lang w:eastAsia="en-US"/>
        </w:rPr>
        <w:fldChar w:fldCharType="end"/>
      </w:r>
      <w:r w:rsidRPr="00DC1F02">
        <w:rPr>
          <w:lang w:eastAsia="en-US"/>
        </w:rPr>
        <w:t>.  </w:t>
      </w:r>
      <w:r w:rsidRPr="00DC1F02" w:rsidR="00DF4846">
        <w:rPr>
          <w:lang w:eastAsia="en-US"/>
        </w:rPr>
        <w:t xml:space="preserve">Nor </w:t>
      </w:r>
      <w:r w:rsidR="00001CBE">
        <w:rPr>
          <w:lang w:eastAsia="en-US"/>
        </w:rPr>
        <w:t xml:space="preserve">is it </w:t>
      </w:r>
      <w:r w:rsidR="000434CB">
        <w:rPr>
          <w:lang w:eastAsia="en-US"/>
        </w:rPr>
        <w:t xml:space="preserve">for </w:t>
      </w:r>
      <w:r w:rsidR="00001CBE">
        <w:rPr>
          <w:lang w:eastAsia="en-US"/>
        </w:rPr>
        <w:t>the</w:t>
      </w:r>
      <w:r w:rsidRPr="00DC1F02" w:rsidR="00DF4846">
        <w:rPr>
          <w:lang w:eastAsia="en-US"/>
        </w:rPr>
        <w:t xml:space="preserve"> Court to </w:t>
      </w:r>
      <w:r w:rsidRPr="00DC1F02" w:rsidR="00832DF5">
        <w:rPr>
          <w:lang w:eastAsia="en-US"/>
        </w:rPr>
        <w:t>review</w:t>
      </w:r>
      <w:r w:rsidRPr="00DC1F02" w:rsidR="00DF4846">
        <w:rPr>
          <w:lang w:eastAsia="en-US"/>
        </w:rPr>
        <w:t xml:space="preserve"> the Supreme Court</w:t>
      </w:r>
      <w:r w:rsidR="008B5D8B">
        <w:rPr>
          <w:lang w:eastAsia="en-US"/>
        </w:rPr>
        <w:t>’</w:t>
      </w:r>
      <w:r w:rsidRPr="00DC1F02" w:rsidR="00DF4846">
        <w:rPr>
          <w:lang w:eastAsia="en-US"/>
        </w:rPr>
        <w:t xml:space="preserve">s interpretation of the Bilateral Agreement, which was contested by the applicant company. </w:t>
      </w:r>
      <w:r w:rsidRPr="00DC1F02" w:rsidR="00277253">
        <w:rPr>
          <w:lang w:eastAsia="en-US"/>
        </w:rPr>
        <w:t xml:space="preserve">It </w:t>
      </w:r>
      <w:r w:rsidRPr="00DC1F02" w:rsidR="00DF4846">
        <w:rPr>
          <w:lang w:eastAsia="en-US"/>
        </w:rPr>
        <w:t xml:space="preserve">would merely note </w:t>
      </w:r>
      <w:r w:rsidRPr="00DC1F02" w:rsidR="00277253">
        <w:rPr>
          <w:lang w:eastAsia="en-US"/>
        </w:rPr>
        <w:t xml:space="preserve">here </w:t>
      </w:r>
      <w:r w:rsidRPr="00DC1F02" w:rsidR="00DF4846">
        <w:rPr>
          <w:lang w:eastAsia="en-US"/>
        </w:rPr>
        <w:t xml:space="preserve">that the applicant company was afforded the opportunity, throughout the proceedings in the Portuguese courts, to </w:t>
      </w:r>
      <w:r w:rsidR="00A412BB">
        <w:rPr>
          <w:lang w:eastAsia="en-US"/>
        </w:rPr>
        <w:t>indicate</w:t>
      </w:r>
      <w:r w:rsidRPr="00DC1F02" w:rsidR="00DF4846">
        <w:rPr>
          <w:lang w:eastAsia="en-US"/>
        </w:rPr>
        <w:t xml:space="preserve"> </w:t>
      </w:r>
      <w:r w:rsidR="00A412BB">
        <w:rPr>
          <w:lang w:eastAsia="en-US"/>
        </w:rPr>
        <w:t xml:space="preserve">how </w:t>
      </w:r>
      <w:r w:rsidRPr="00DC1F02" w:rsidR="00DF4846">
        <w:rPr>
          <w:lang w:eastAsia="en-US"/>
        </w:rPr>
        <w:t>it interpret</w:t>
      </w:r>
      <w:r w:rsidR="00A412BB">
        <w:rPr>
          <w:lang w:eastAsia="en-US"/>
        </w:rPr>
        <w:t>ed</w:t>
      </w:r>
      <w:r w:rsidRPr="00DC1F02" w:rsidR="00DF4846">
        <w:rPr>
          <w:lang w:eastAsia="en-US"/>
        </w:rPr>
        <w:t xml:space="preserve"> </w:t>
      </w:r>
      <w:r w:rsidR="00A412BB">
        <w:rPr>
          <w:lang w:eastAsia="en-US"/>
        </w:rPr>
        <w:t xml:space="preserve">both </w:t>
      </w:r>
      <w:r w:rsidRPr="00DC1F02" w:rsidR="00DF4846">
        <w:rPr>
          <w:lang w:eastAsia="en-US"/>
        </w:rPr>
        <w:t xml:space="preserve">that </w:t>
      </w:r>
      <w:r w:rsidR="004F47D2">
        <w:rPr>
          <w:lang w:eastAsia="en-US"/>
        </w:rPr>
        <w:t>A</w:t>
      </w:r>
      <w:r w:rsidRPr="00DC1F02" w:rsidR="00DF4846">
        <w:rPr>
          <w:lang w:eastAsia="en-US"/>
        </w:rPr>
        <w:t xml:space="preserve">greement and the other legislation it considered applicable to its case and to </w:t>
      </w:r>
      <w:r w:rsidRPr="00DC1F02" w:rsidR="003318AA">
        <w:rPr>
          <w:lang w:eastAsia="en-US"/>
        </w:rPr>
        <w:t>inform</w:t>
      </w:r>
      <w:r w:rsidRPr="00DC1F02" w:rsidR="00DF4846">
        <w:rPr>
          <w:lang w:eastAsia="en-US"/>
        </w:rPr>
        <w:t xml:space="preserve"> the Portuguese courts </w:t>
      </w:r>
      <w:r w:rsidRPr="00DC1F02" w:rsidR="003318AA">
        <w:rPr>
          <w:lang w:eastAsia="en-US"/>
        </w:rPr>
        <w:t>of the solution</w:t>
      </w:r>
      <w:r w:rsidRPr="00DC1F02" w:rsidR="00DF4846">
        <w:rPr>
          <w:lang w:eastAsia="en-US"/>
        </w:rPr>
        <w:t xml:space="preserve"> it considered </w:t>
      </w:r>
      <w:r w:rsidRPr="00DC1F02" w:rsidR="003318AA">
        <w:rPr>
          <w:lang w:eastAsia="en-US"/>
        </w:rPr>
        <w:t>best adapted</w:t>
      </w:r>
      <w:r w:rsidRPr="00DC1F02" w:rsidR="00DF4846">
        <w:rPr>
          <w:lang w:eastAsia="en-US"/>
        </w:rPr>
        <w:t xml:space="preserve"> to </w:t>
      </w:r>
      <w:r w:rsidRPr="00DC1F02" w:rsidR="003318AA">
        <w:rPr>
          <w:lang w:eastAsia="en-US"/>
        </w:rPr>
        <w:t>th</w:t>
      </w:r>
      <w:r w:rsidRPr="00DC1F02" w:rsidR="00DF4846">
        <w:rPr>
          <w:lang w:eastAsia="en-US"/>
        </w:rPr>
        <w:t xml:space="preserve">e legal issue raised </w:t>
      </w:r>
      <w:r w:rsidRPr="00DC1F02" w:rsidR="00832DF5">
        <w:rPr>
          <w:lang w:eastAsia="en-US"/>
        </w:rPr>
        <w:t>by</w:t>
      </w:r>
      <w:r w:rsidRPr="00DC1F02" w:rsidR="00DF4846">
        <w:rPr>
          <w:lang w:eastAsia="en-US"/>
        </w:rPr>
        <w:t xml:space="preserve"> the case. </w:t>
      </w:r>
      <w:r w:rsidRPr="00DC1F02" w:rsidR="00102D33">
        <w:rPr>
          <w:lang w:eastAsia="en-US"/>
        </w:rPr>
        <w:t xml:space="preserve">Confronted with </w:t>
      </w:r>
      <w:r w:rsidRPr="00DC1F02" w:rsidR="003318AA">
        <w:rPr>
          <w:lang w:eastAsia="en-US"/>
        </w:rPr>
        <w:t>the</w:t>
      </w:r>
      <w:r w:rsidRPr="00DC1F02" w:rsidR="00102D33">
        <w:rPr>
          <w:lang w:eastAsia="en-US"/>
        </w:rPr>
        <w:t xml:space="preserve"> conflicting </w:t>
      </w:r>
      <w:r w:rsidRPr="00DC1F02" w:rsidR="003318AA">
        <w:rPr>
          <w:lang w:eastAsia="en-US"/>
        </w:rPr>
        <w:t>arguments</w:t>
      </w:r>
      <w:r w:rsidRPr="00DC1F02" w:rsidR="00102D33">
        <w:rPr>
          <w:lang w:eastAsia="en-US"/>
        </w:rPr>
        <w:t xml:space="preserve"> </w:t>
      </w:r>
      <w:r w:rsidRPr="00DC1F02" w:rsidR="003318AA">
        <w:rPr>
          <w:lang w:eastAsia="en-US"/>
        </w:rPr>
        <w:t>of</w:t>
      </w:r>
      <w:r w:rsidRPr="00DC1F02" w:rsidR="00102D33">
        <w:rPr>
          <w:lang w:eastAsia="en-US"/>
        </w:rPr>
        <w:t xml:space="preserve"> two private parties </w:t>
      </w:r>
      <w:r w:rsidR="00001CBE">
        <w:rPr>
          <w:lang w:eastAsia="en-US"/>
        </w:rPr>
        <w:t xml:space="preserve">concerning the right to use the </w:t>
      </w:r>
      <w:r w:rsidR="00A043AA">
        <w:rPr>
          <w:lang w:eastAsia="en-US"/>
        </w:rPr>
        <w:t xml:space="preserve">name </w:t>
      </w:r>
      <w:r w:rsidR="00001CBE">
        <w:rPr>
          <w:lang w:eastAsia="en-US"/>
        </w:rPr>
        <w:t>“Budweiser” as a trade mark</w:t>
      </w:r>
      <w:r w:rsidR="00E10840">
        <w:rPr>
          <w:lang w:eastAsia="en-US"/>
        </w:rPr>
        <w:t xml:space="preserve"> or appellation of origin</w:t>
      </w:r>
      <w:r w:rsidRPr="00DC1F02" w:rsidR="00102D33">
        <w:rPr>
          <w:lang w:eastAsia="en-US"/>
        </w:rPr>
        <w:t>,</w:t>
      </w:r>
      <w:r w:rsidRPr="00DC1F02" w:rsidR="00DF4846">
        <w:rPr>
          <w:lang w:eastAsia="en-US"/>
        </w:rPr>
        <w:t xml:space="preserve"> </w:t>
      </w:r>
      <w:r w:rsidRPr="00DC1F02" w:rsidR="00832DF5">
        <w:rPr>
          <w:lang w:eastAsia="en-US"/>
        </w:rPr>
        <w:t xml:space="preserve">the </w:t>
      </w:r>
      <w:r w:rsidRPr="00DC1F02" w:rsidR="00DF4846">
        <w:rPr>
          <w:lang w:eastAsia="en-US"/>
        </w:rPr>
        <w:t xml:space="preserve">Supreme Court </w:t>
      </w:r>
      <w:r w:rsidRPr="00DC1F02" w:rsidR="00102D33">
        <w:rPr>
          <w:lang w:eastAsia="en-US"/>
        </w:rPr>
        <w:t xml:space="preserve">reached its decision </w:t>
      </w:r>
      <w:r w:rsidRPr="00DC1F02" w:rsidR="00832DF5">
        <w:rPr>
          <w:lang w:eastAsia="en-US"/>
        </w:rPr>
        <w:t xml:space="preserve">on the basis of the material it considered </w:t>
      </w:r>
      <w:r w:rsidRPr="00DC1F02" w:rsidR="008B2534">
        <w:rPr>
          <w:lang w:eastAsia="en-US"/>
        </w:rPr>
        <w:t>relevant and sufficient</w:t>
      </w:r>
      <w:r w:rsidRPr="00DC1F02" w:rsidR="00832DF5">
        <w:rPr>
          <w:lang w:eastAsia="en-US"/>
        </w:rPr>
        <w:t xml:space="preserve"> for the resolution of the dispute, </w:t>
      </w:r>
      <w:r w:rsidRPr="00DC1F02" w:rsidR="00102D33">
        <w:rPr>
          <w:lang w:eastAsia="en-US"/>
        </w:rPr>
        <w:t xml:space="preserve">after hearing representations from the </w:t>
      </w:r>
      <w:r w:rsidR="00001CBE">
        <w:rPr>
          <w:lang w:eastAsia="en-US"/>
        </w:rPr>
        <w:t xml:space="preserve">interested </w:t>
      </w:r>
      <w:r w:rsidRPr="00DC1F02" w:rsidR="00102D33">
        <w:rPr>
          <w:lang w:eastAsia="en-US"/>
        </w:rPr>
        <w:t>parties.</w:t>
      </w:r>
      <w:r w:rsidR="00E10840">
        <w:rPr>
          <w:lang w:eastAsia="en-US"/>
        </w:rPr>
        <w:t xml:space="preserve"> </w:t>
      </w:r>
      <w:r w:rsidRPr="00E10840" w:rsidR="00E10840">
        <w:rPr>
          <w:lang w:eastAsia="en-US"/>
        </w:rPr>
        <w:t>The Court finds no basis on which to conclude that the decision of the Supreme Court was affected by any element of arbitrariness or that it was otherwise manifestly unreasonable</w:t>
      </w:r>
      <w:r w:rsidR="00E10840">
        <w:rPr>
          <w:lang w:eastAsia="en-US"/>
        </w:rPr>
        <w:t>.</w:t>
      </w:r>
    </w:p>
    <w:p w:rsidRPr="00DC1F02" w:rsidR="00E71F84" w:rsidP="00A25BB2" w:rsidRDefault="00A25BB2">
      <w:pPr>
        <w:pStyle w:val="JuPara"/>
        <w:rPr>
          <w:lang w:eastAsia="en-US"/>
        </w:rPr>
      </w:pPr>
      <w:r w:rsidRPr="00DC1F02">
        <w:rPr>
          <w:lang w:eastAsia="en-US"/>
        </w:rPr>
        <w:fldChar w:fldCharType="begin"/>
      </w:r>
      <w:r w:rsidRPr="00DC1F02">
        <w:rPr>
          <w:lang w:eastAsia="en-US"/>
        </w:rPr>
        <w:instrText xml:space="preserve"> SEQ level0 \*arabic </w:instrText>
      </w:r>
      <w:r w:rsidRPr="00DC1F02">
        <w:rPr>
          <w:lang w:eastAsia="en-US"/>
        </w:rPr>
        <w:fldChar w:fldCharType="separate"/>
      </w:r>
      <w:r w:rsidR="00CF6F43">
        <w:rPr>
          <w:noProof/>
          <w:lang w:eastAsia="en-US"/>
        </w:rPr>
        <w:t>87</w:t>
      </w:r>
      <w:r w:rsidRPr="00DC1F02">
        <w:rPr>
          <w:lang w:eastAsia="en-US"/>
        </w:rPr>
        <w:fldChar w:fldCharType="end"/>
      </w:r>
      <w:r w:rsidRPr="00DC1F02">
        <w:rPr>
          <w:lang w:eastAsia="en-US"/>
        </w:rPr>
        <w:t>.  </w:t>
      </w:r>
      <w:r w:rsidRPr="00DC1F02" w:rsidR="00972168">
        <w:rPr>
          <w:lang w:eastAsia="en-US"/>
        </w:rPr>
        <w:t>In the light of the foregoing, the Court therefore concludes that the Supreme Court</w:t>
      </w:r>
      <w:r w:rsidR="008B5D8B">
        <w:rPr>
          <w:lang w:eastAsia="en-US"/>
        </w:rPr>
        <w:t>’</w:t>
      </w:r>
      <w:r w:rsidRPr="00DC1F02" w:rsidR="00972168">
        <w:rPr>
          <w:lang w:eastAsia="en-US"/>
        </w:rPr>
        <w:t xml:space="preserve">s judgment in the instant case </w:t>
      </w:r>
      <w:r w:rsidR="00001CBE">
        <w:rPr>
          <w:lang w:eastAsia="en-US"/>
        </w:rPr>
        <w:t>did</w:t>
      </w:r>
      <w:r w:rsidRPr="00DC1F02" w:rsidR="00001CBE">
        <w:rPr>
          <w:lang w:eastAsia="en-US"/>
        </w:rPr>
        <w:t xml:space="preserve"> </w:t>
      </w:r>
      <w:r w:rsidRPr="00DC1F02" w:rsidR="00972168">
        <w:rPr>
          <w:lang w:eastAsia="en-US"/>
        </w:rPr>
        <w:t>not constitute interference with the applicant company</w:t>
      </w:r>
      <w:r w:rsidR="008B5D8B">
        <w:rPr>
          <w:lang w:eastAsia="en-US"/>
        </w:rPr>
        <w:t>’</w:t>
      </w:r>
      <w:r w:rsidRPr="00DC1F02" w:rsidR="00972168">
        <w:rPr>
          <w:lang w:eastAsia="en-US"/>
        </w:rPr>
        <w:t>s right to the peaceful enjoyment of its possessions. There has, therefore, been no violation of Article 1 of Protocol No. 1</w:t>
      </w:r>
      <w:r w:rsidRPr="00DC1F02">
        <w:rPr>
          <w:lang w:eastAsia="en-US"/>
        </w:rPr>
        <w:t>.</w:t>
      </w:r>
    </w:p>
    <w:bookmarkEnd w:id="2"/>
    <w:p w:rsidRPr="00DC1F02" w:rsidR="00A66D56" w:rsidP="00A66D56" w:rsidRDefault="00A66D56">
      <w:pPr>
        <w:pStyle w:val="JuHHead"/>
      </w:pPr>
      <w:r w:rsidRPr="00DC1F02">
        <w:rPr>
          <w:noProof/>
        </w:rPr>
        <w:t>FOR THESE REASONS, THE COURT</w:t>
      </w:r>
    </w:p>
    <w:p w:rsidRPr="00DC1F02" w:rsidR="00A66D56" w:rsidP="000D5717" w:rsidRDefault="00A66D56">
      <w:pPr>
        <w:pStyle w:val="JuList"/>
        <w:ind w:left="285" w:firstLine="0"/>
      </w:pPr>
      <w:r w:rsidRPr="00DC1F02">
        <w:rPr>
          <w:i/>
          <w:iCs/>
          <w:noProof/>
        </w:rPr>
        <w:t>Holds</w:t>
      </w:r>
      <w:r w:rsidRPr="00DC1F02">
        <w:rPr>
          <w:noProof/>
        </w:rPr>
        <w:t xml:space="preserve"> by </w:t>
      </w:r>
      <w:r w:rsidR="00A56B4B">
        <w:rPr>
          <w:noProof/>
        </w:rPr>
        <w:t>fifteen</w:t>
      </w:r>
      <w:r w:rsidRPr="00DC1F02">
        <w:rPr>
          <w:noProof/>
        </w:rPr>
        <w:t xml:space="preserve"> votes to </w:t>
      </w:r>
      <w:r w:rsidR="00A56B4B">
        <w:rPr>
          <w:noProof/>
        </w:rPr>
        <w:t>two</w:t>
      </w:r>
      <w:r w:rsidRPr="00DC1F02">
        <w:rPr>
          <w:noProof/>
        </w:rPr>
        <w:t xml:space="preserve"> that there has been no violation of Article 1 of Protocol No. 1</w:t>
      </w:r>
      <w:r w:rsidR="00690681">
        <w:rPr>
          <w:noProof/>
        </w:rPr>
        <w:t>.</w:t>
      </w:r>
    </w:p>
    <w:p w:rsidRPr="00DC1F02" w:rsidR="00E71F84" w:rsidP="00E71F84" w:rsidRDefault="00217024">
      <w:pPr>
        <w:pStyle w:val="JuParaLast"/>
      </w:pPr>
      <w:r w:rsidRPr="00DC1F02">
        <w:rPr>
          <w:noProof/>
        </w:rPr>
        <w:t xml:space="preserve">Done in </w:t>
      </w:r>
      <w:r w:rsidRPr="00DC1F02" w:rsidR="003729A9">
        <w:rPr>
          <w:noProof/>
        </w:rPr>
        <w:t xml:space="preserve">English </w:t>
      </w:r>
      <w:r w:rsidRPr="00DC1F02">
        <w:rPr>
          <w:noProof/>
        </w:rPr>
        <w:t>and in</w:t>
      </w:r>
      <w:r w:rsidRPr="00DC1F02" w:rsidR="003729A9">
        <w:rPr>
          <w:noProof/>
        </w:rPr>
        <w:t xml:space="preserve"> French</w:t>
      </w:r>
      <w:r w:rsidRPr="00DC1F02" w:rsidR="00E71F84">
        <w:t xml:space="preserve">, </w:t>
      </w:r>
      <w:r w:rsidRPr="00DC1F02" w:rsidR="003729A9">
        <w:t>and delivered at a public hearing in the</w:t>
      </w:r>
      <w:r w:rsidRPr="00DC1F02" w:rsidR="00E71F84">
        <w:t xml:space="preserve"> </w:t>
      </w:r>
      <w:r w:rsidRPr="00DC1F02">
        <w:t>Human Rights Building</w:t>
      </w:r>
      <w:r w:rsidRPr="00DC1F02" w:rsidR="00E71F84">
        <w:t xml:space="preserve">, </w:t>
      </w:r>
      <w:smartTag w:uri="urn:schemas-microsoft-com:office:smarttags" w:element="place">
        <w:smartTag w:uri="urn:schemas-microsoft-com:office:smarttags" w:element="City">
          <w:r w:rsidR="00E71F84" w:rsidRPr="00DC1F02">
            <w:t>Strasbourg</w:t>
          </w:r>
        </w:smartTag>
      </w:smartTag>
      <w:r w:rsidRPr="00DC1F02" w:rsidR="00E71F84">
        <w:t xml:space="preserve">, </w:t>
      </w:r>
      <w:r w:rsidRPr="00DC1F02" w:rsidR="003729A9">
        <w:t>on</w:t>
      </w:r>
      <w:r w:rsidRPr="00DC1F02" w:rsidR="00E71F84">
        <w:t xml:space="preserve"> </w:t>
      </w:r>
      <w:r w:rsidR="00E431D5">
        <w:t>11 January 2007</w:t>
      </w:r>
      <w:r w:rsidRPr="00DC1F02" w:rsidR="00E71F84">
        <w:t>.</w:t>
      </w:r>
    </w:p>
    <w:p w:rsidRPr="004E0C7A" w:rsidR="00E71F84" w:rsidP="00E71F84" w:rsidRDefault="00E71F84">
      <w:pPr>
        <w:pStyle w:val="JuSigned"/>
        <w:keepNext/>
        <w:keepLines/>
        <w:rPr>
          <w:rStyle w:val="JuNames"/>
          <w:lang w:val="de-DE"/>
        </w:rPr>
      </w:pPr>
      <w:r w:rsidRPr="00DC1F02">
        <w:rPr>
          <w:rStyle w:val="JuNames"/>
        </w:rPr>
        <w:tab/>
      </w:r>
      <w:r w:rsidRPr="00DC1F02">
        <w:t xml:space="preserve"> </w:t>
      </w:r>
      <w:r w:rsidRPr="004E0C7A">
        <w:rPr>
          <w:lang w:val="de-DE"/>
        </w:rPr>
        <w:t xml:space="preserve">Erik </w:t>
      </w:r>
      <w:proofErr w:type="spellStart"/>
      <w:r w:rsidRPr="004E0C7A">
        <w:rPr>
          <w:lang w:val="de-DE"/>
        </w:rPr>
        <w:t>F</w:t>
      </w:r>
      <w:r w:rsidRPr="00D82588">
        <w:rPr>
          <w:rStyle w:val="JuNames"/>
          <w:smallCaps w:val="0"/>
          <w:lang w:val="de-DE"/>
        </w:rPr>
        <w:t>ribergh</w:t>
      </w:r>
      <w:proofErr w:type="spellEnd"/>
      <w:r w:rsidRPr="004E0C7A">
        <w:rPr>
          <w:rStyle w:val="JuNames"/>
          <w:lang w:val="de-DE"/>
        </w:rPr>
        <w:tab/>
      </w:r>
      <w:r w:rsidRPr="004E0C7A">
        <w:rPr>
          <w:lang w:val="de-DE"/>
        </w:rPr>
        <w:t xml:space="preserve">Luzius </w:t>
      </w:r>
      <w:proofErr w:type="spellStart"/>
      <w:r w:rsidRPr="004E0C7A">
        <w:rPr>
          <w:rStyle w:val="JuNames"/>
          <w:lang w:val="de-DE"/>
        </w:rPr>
        <w:t>W</w:t>
      </w:r>
      <w:r w:rsidRPr="00D82588">
        <w:rPr>
          <w:rStyle w:val="JuNames"/>
          <w:smallCaps w:val="0"/>
          <w:lang w:val="de-DE"/>
        </w:rPr>
        <w:t>ildhaber</w:t>
      </w:r>
      <w:proofErr w:type="spellEnd"/>
      <w:r w:rsidRPr="004E0C7A">
        <w:rPr>
          <w:rStyle w:val="JuNames"/>
          <w:lang w:val="de-DE"/>
        </w:rPr>
        <w:br/>
      </w:r>
      <w:r w:rsidRPr="004E0C7A">
        <w:rPr>
          <w:rStyle w:val="JuNames"/>
          <w:lang w:val="de-DE"/>
        </w:rPr>
        <w:tab/>
      </w:r>
      <w:proofErr w:type="spellStart"/>
      <w:r w:rsidRPr="004E0C7A">
        <w:rPr>
          <w:lang w:val="de-DE"/>
        </w:rPr>
        <w:t>Registrar</w:t>
      </w:r>
      <w:proofErr w:type="spellEnd"/>
      <w:r w:rsidRPr="004E0C7A">
        <w:rPr>
          <w:rStyle w:val="JuNames"/>
          <w:lang w:val="de-DE"/>
        </w:rPr>
        <w:tab/>
      </w:r>
      <w:proofErr w:type="spellStart"/>
      <w:r w:rsidRPr="004E0C7A">
        <w:rPr>
          <w:lang w:val="de-DE"/>
        </w:rPr>
        <w:t>President</w:t>
      </w:r>
      <w:proofErr w:type="spellEnd"/>
      <w:r w:rsidRPr="004E0C7A">
        <w:rPr>
          <w:rStyle w:val="JuNames"/>
          <w:lang w:val="de-DE"/>
        </w:rPr>
        <w:br/>
      </w:r>
    </w:p>
    <w:p w:rsidRPr="00EB160F" w:rsidR="00F21B99" w:rsidP="00F21B99" w:rsidRDefault="00F21B99">
      <w:pPr>
        <w:pStyle w:val="JuParaLast"/>
      </w:pPr>
      <w:r w:rsidRPr="00EB160F">
        <w:t>In accordance with Article 45 § 2 of the Convention and Rule 74 § 2 of the Rules of Court, the following separate opinions are annexed to this judgment:</w:t>
      </w:r>
    </w:p>
    <w:p w:rsidRPr="00EB160F" w:rsidR="00F21B99" w:rsidP="00F21B99" w:rsidRDefault="00F21B99">
      <w:pPr>
        <w:pStyle w:val="JuPara"/>
      </w:pPr>
      <w:r w:rsidRPr="00EB160F">
        <w:t>(a)  </w:t>
      </w:r>
      <w:r w:rsidR="00A56B4B">
        <w:t>joint concurring</w:t>
      </w:r>
      <w:r w:rsidRPr="00EB160F">
        <w:t xml:space="preserve"> opinion of </w:t>
      </w:r>
      <w:r w:rsidR="00D82588">
        <w:t>Judges</w:t>
      </w:r>
      <w:r w:rsidRPr="00EB160F">
        <w:t xml:space="preserve"> </w:t>
      </w:r>
      <w:r w:rsidR="00A56B4B">
        <w:t xml:space="preserve">Steiner and </w:t>
      </w:r>
      <w:proofErr w:type="spellStart"/>
      <w:r w:rsidR="00A56B4B">
        <w:t>Hajiyev</w:t>
      </w:r>
      <w:proofErr w:type="spellEnd"/>
      <w:r w:rsidRPr="00EB160F">
        <w:t>;</w:t>
      </w:r>
    </w:p>
    <w:p w:rsidRPr="00EB160F" w:rsidR="00F21B99" w:rsidP="00F21B99" w:rsidRDefault="00F21B99">
      <w:pPr>
        <w:pStyle w:val="JuPara"/>
      </w:pPr>
      <w:r w:rsidRPr="00EB160F">
        <w:t>(b)  </w:t>
      </w:r>
      <w:r w:rsidR="00A56B4B">
        <w:t>joint dissenting</w:t>
      </w:r>
      <w:r w:rsidRPr="00EB160F">
        <w:t xml:space="preserve"> opinion of </w:t>
      </w:r>
      <w:r w:rsidR="00D82588">
        <w:t>Judges</w:t>
      </w:r>
      <w:r w:rsidRPr="00EB160F">
        <w:t xml:space="preserve"> </w:t>
      </w:r>
      <w:proofErr w:type="spellStart"/>
      <w:r w:rsidR="008270A3">
        <w:t>Caflisch</w:t>
      </w:r>
      <w:proofErr w:type="spellEnd"/>
      <w:r w:rsidR="008270A3">
        <w:t xml:space="preserve"> and Cabral </w:t>
      </w:r>
      <w:proofErr w:type="spellStart"/>
      <w:r w:rsidR="008270A3">
        <w:t>Barreto</w:t>
      </w:r>
      <w:proofErr w:type="spellEnd"/>
      <w:r w:rsidR="00A56B4B">
        <w:t>.</w:t>
      </w:r>
    </w:p>
    <w:p w:rsidR="00F21B99" w:rsidP="00F21B99" w:rsidRDefault="00F21B99">
      <w:pPr>
        <w:pStyle w:val="JuInitialled"/>
      </w:pPr>
      <w:r w:rsidRPr="00EB160F">
        <w:t>L.</w:t>
      </w:r>
      <w:r>
        <w:t>W</w:t>
      </w:r>
      <w:r w:rsidRPr="00EB160F">
        <w:t>.</w:t>
      </w:r>
      <w:r w:rsidRPr="00EB160F">
        <w:br/>
        <w:t>E.</w:t>
      </w:r>
      <w:r>
        <w:t>F</w:t>
      </w:r>
      <w:r w:rsidRPr="00EB160F">
        <w:t>.</w:t>
      </w:r>
    </w:p>
    <w:p w:rsidRPr="00EB160F" w:rsidR="00D27DE3" w:rsidP="00F21B99" w:rsidRDefault="00D27DE3">
      <w:pPr>
        <w:pStyle w:val="JuInitialled"/>
      </w:pPr>
    </w:p>
    <w:p w:rsidR="00D27DE3" w:rsidP="00972CB2" w:rsidRDefault="00D27DE3">
      <w:pPr>
        <w:pStyle w:val="OpiHHead"/>
        <w:sectPr w:rsidR="00D27DE3" w:rsidSect="00033BB0">
          <w:headerReference w:type="even" r:id="rId9"/>
          <w:headerReference w:type="default" r:id="rId10"/>
          <w:footnotePr>
            <w:numRestart w:val="eachPage"/>
          </w:footnotePr>
          <w:type w:val="oddPage"/>
          <w:pgSz w:w="11906" w:h="16838" w:code="9"/>
          <w:pgMar w:top="2274" w:right="2274" w:bottom="2274" w:left="2274" w:header="1701" w:footer="720" w:gutter="0"/>
          <w:cols w:space="720"/>
          <w:docGrid w:linePitch="326"/>
        </w:sectPr>
      </w:pPr>
    </w:p>
    <w:p w:rsidRPr="0026275F" w:rsidR="00972CB2" w:rsidP="00972CB2" w:rsidRDefault="00972CB2">
      <w:pPr>
        <w:pStyle w:val="OpiHHead"/>
      </w:pPr>
      <w:r>
        <w:t>JOINT CONCURRING</w:t>
      </w:r>
      <w:r w:rsidRPr="0026275F">
        <w:t xml:space="preserve"> OPINION </w:t>
      </w:r>
      <w:r w:rsidR="00D82588">
        <w:br/>
      </w:r>
      <w:r w:rsidRPr="0026275F">
        <w:t>OF JUDGE</w:t>
      </w:r>
      <w:r>
        <w:t>S</w:t>
      </w:r>
      <w:r w:rsidRPr="0026275F">
        <w:t xml:space="preserve"> </w:t>
      </w:r>
      <w:r>
        <w:t>STEINER</w:t>
      </w:r>
      <w:r w:rsidR="00D82588">
        <w:t xml:space="preserve"> </w:t>
      </w:r>
      <w:r>
        <w:t>AND HAJIYEV</w:t>
      </w:r>
    </w:p>
    <w:p w:rsidR="00627C6A" w:rsidP="00972CB2" w:rsidRDefault="00A6491D">
      <w:pPr>
        <w:pStyle w:val="OpiPara"/>
      </w:pPr>
      <w:r>
        <w:t>1</w:t>
      </w:r>
      <w:r w:rsidR="00972CB2">
        <w:t>.  We agreed with the majority that there has been no violation of Article 1 of Protocol No. 1</w:t>
      </w:r>
      <w:r w:rsidR="00D82588">
        <w:t>,</w:t>
      </w:r>
      <w:r w:rsidR="00972CB2">
        <w:t xml:space="preserve"> but on other grounds. In our view, Article 1 of Protocol No. 1 does apply, in general, to intellectual property. This was accepted by both the parties but there has never been any clear statement of this principle by the Court in the past.</w:t>
      </w:r>
    </w:p>
    <w:p w:rsidR="00627C6A" w:rsidP="00972CB2" w:rsidRDefault="00A6491D">
      <w:pPr>
        <w:pStyle w:val="OpiPara"/>
      </w:pPr>
      <w:r>
        <w:t>2</w:t>
      </w:r>
      <w:r w:rsidR="00972CB2">
        <w:t>.  We therefore agree</w:t>
      </w:r>
      <w:r w:rsidR="00E021AF">
        <w:t xml:space="preserve"> that Article 1 of Protocol No. </w:t>
      </w:r>
      <w:r w:rsidR="00972CB2">
        <w:t>1 is applicable to intellectual property in general and to a duly registered trade mark.</w:t>
      </w:r>
    </w:p>
    <w:p w:rsidR="00972CB2" w:rsidP="00972CB2" w:rsidRDefault="00A6491D">
      <w:pPr>
        <w:pStyle w:val="OpiPara"/>
      </w:pPr>
      <w:r>
        <w:t>3</w:t>
      </w:r>
      <w:r w:rsidR="00972CB2">
        <w:t>.  But does this also hold true for a simple trade mark application? The next step for us was to decide if the applicant for the registration of a trade mark had a “possession” within the meaning of Article 1 of Protocol No. 1. To benefit from the protection of Article 1 of Protocol No. 1, the applicant should have a claim in respect of which he can argue that he had at least a “legitimate expectation” that it would be realised. This expectation should be more concrete than a mere hope and be based on a legal provision or a legal act such as a judicial decision.</w:t>
      </w:r>
    </w:p>
    <w:p w:rsidR="00627C6A" w:rsidP="00972CB2" w:rsidRDefault="00A6491D">
      <w:pPr>
        <w:pStyle w:val="OpiPara"/>
      </w:pPr>
      <w:r>
        <w:t>4</w:t>
      </w:r>
      <w:r w:rsidR="00972CB2">
        <w:t xml:space="preserve">.  In the present case, as the Chamber judgment correctly pointed out, there were strong economic interests attached to the trade mark application. To give an example from </w:t>
      </w:r>
      <w:r w:rsidR="00D82588">
        <w:t>Community</w:t>
      </w:r>
      <w:r w:rsidR="00972CB2">
        <w:t xml:space="preserve"> law, </w:t>
      </w:r>
      <w:r w:rsidRPr="000C44F4" w:rsidR="00972CB2">
        <w:t xml:space="preserve">Regulation </w:t>
      </w:r>
      <w:r w:rsidR="00D82588">
        <w:t xml:space="preserve">No. </w:t>
      </w:r>
      <w:r w:rsidRPr="000C44F4" w:rsidR="00972CB2">
        <w:t>40/94</w:t>
      </w:r>
      <w:r w:rsidR="00D82588">
        <w:t>1</w:t>
      </w:r>
      <w:r w:rsidR="0057622F">
        <w:t xml:space="preserve"> on the Community t</w:t>
      </w:r>
      <w:r w:rsidR="00972CB2">
        <w:t xml:space="preserve">rade </w:t>
      </w:r>
      <w:r w:rsidR="0057622F">
        <w:t>m</w:t>
      </w:r>
      <w:r w:rsidR="00972CB2">
        <w:t xml:space="preserve">ark states that a trade mark application has to be considered as “object property”. Such an object can, under the domestic legislation of most States (including </w:t>
      </w:r>
      <w:smartTag w:uri="urn:schemas-microsoft-com:office:smarttags" w:element="place">
        <w:smartTag w:uri="urn:schemas-microsoft-com:office:smarttags" w:element="country-region">
          <w:r w:rsidR="00972CB2">
            <w:t>Portugal</w:t>
          </w:r>
        </w:smartTag>
      </w:smartTag>
      <w:r w:rsidR="00972CB2">
        <w:t>), be transferred, given as security, licensed and so on. This means that a trade mark application has some commercial value despite the fact that the application for registration may not be successful. In such a transaction the application will be bought and sold with the attendant commercial risk. The purchaser buys in the knowledge that the mark may not be registered. He or she assumes the commercial risk of such a transaction. The application</w:t>
      </w:r>
      <w:r w:rsidR="008B5D8B">
        <w:t>’</w:t>
      </w:r>
      <w:r w:rsidR="00972CB2">
        <w:t>s commercial value will depend on the commercial risk in the individual case, and more specifically on the</w:t>
      </w:r>
      <w:r w:rsidRPr="000C44F4" w:rsidR="00972CB2">
        <w:t xml:space="preserve"> </w:t>
      </w:r>
      <w:r w:rsidR="00972CB2">
        <w:t xml:space="preserve">chances of the mark being </w:t>
      </w:r>
      <w:r w:rsidRPr="000C44F4" w:rsidR="00972CB2">
        <w:t>registered.</w:t>
      </w:r>
    </w:p>
    <w:p w:rsidR="00972CB2" w:rsidP="00972CB2" w:rsidRDefault="00A6491D">
      <w:pPr>
        <w:pStyle w:val="OpiPara"/>
      </w:pPr>
      <w:r>
        <w:t>5</w:t>
      </w:r>
      <w:r w:rsidR="00972CB2">
        <w:t>.  Are these elements sufficient to give a trade mark application the status of a “legitimate expectation”?</w:t>
      </w:r>
    </w:p>
    <w:p w:rsidR="00972CB2" w:rsidP="00972CB2" w:rsidRDefault="00A6491D">
      <w:pPr>
        <w:pStyle w:val="OpiPara"/>
      </w:pPr>
      <w:r>
        <w:t>6</w:t>
      </w:r>
      <w:r w:rsidR="00972CB2">
        <w:t xml:space="preserve">.  In our view, they are not, for </w:t>
      </w:r>
      <w:r w:rsidRPr="000B1E2C" w:rsidR="00972CB2">
        <w:t>four</w:t>
      </w:r>
      <w:r w:rsidR="00972CB2">
        <w:t xml:space="preserve"> main reasons. Firstly, the right claimed by the applicant company was a conditional one. As the Chamber </w:t>
      </w:r>
      <w:r w:rsidR="00D82588">
        <w:t>emphasised</w:t>
      </w:r>
      <w:r w:rsidR="004F47D2">
        <w:t xml:space="preserve"> in its judgment:</w:t>
      </w:r>
    </w:p>
    <w:p w:rsidR="00627C6A" w:rsidP="00972CB2" w:rsidRDefault="0013506C">
      <w:pPr>
        <w:pStyle w:val="JuQuot"/>
        <w:rPr>
          <w:noProof/>
        </w:rPr>
      </w:pPr>
      <w:r>
        <w:t>“...</w:t>
      </w:r>
      <w:r w:rsidR="00972CB2">
        <w:t xml:space="preserve"> [</w:t>
      </w:r>
      <w:r w:rsidRPr="00FB0EA1" w:rsidR="00972CB2">
        <w:rPr>
          <w:noProof/>
        </w:rPr>
        <w:t>T</w:t>
      </w:r>
      <w:r w:rsidR="00972CB2">
        <w:rPr>
          <w:noProof/>
        </w:rPr>
        <w:t>]</w:t>
      </w:r>
      <w:r w:rsidRPr="00FB0EA1" w:rsidR="00972CB2">
        <w:rPr>
          <w:noProof/>
        </w:rPr>
        <w:t xml:space="preserve">he applicant company could not be sure of being the </w:t>
      </w:r>
      <w:r w:rsidR="00972CB2">
        <w:rPr>
          <w:noProof/>
        </w:rPr>
        <w:t>owner</w:t>
      </w:r>
      <w:r w:rsidRPr="00FB0EA1" w:rsidR="00972CB2">
        <w:rPr>
          <w:noProof/>
        </w:rPr>
        <w:t xml:space="preserve"> of the trade mark in question until after </w:t>
      </w:r>
      <w:r w:rsidR="00972CB2">
        <w:rPr>
          <w:noProof/>
        </w:rPr>
        <w:t>final</w:t>
      </w:r>
      <w:r w:rsidRPr="00FB0EA1" w:rsidR="00972CB2">
        <w:rPr>
          <w:noProof/>
        </w:rPr>
        <w:t xml:space="preserve"> regist</w:t>
      </w:r>
      <w:r w:rsidR="00972CB2">
        <w:rPr>
          <w:noProof/>
        </w:rPr>
        <w:t>ration</w:t>
      </w:r>
      <w:r w:rsidRPr="00FB0EA1" w:rsidR="00972CB2">
        <w:rPr>
          <w:noProof/>
        </w:rPr>
        <w:t xml:space="preserve"> and then only on condition that no objection was raised by a third party</w:t>
      </w:r>
      <w:r w:rsidR="00972CB2">
        <w:rPr>
          <w:noProof/>
        </w:rPr>
        <w:t>.”</w:t>
      </w:r>
    </w:p>
    <w:p w:rsidR="00627C6A" w:rsidP="00D27DE3" w:rsidRDefault="00972CB2">
      <w:pPr>
        <w:pStyle w:val="OpiPara"/>
        <w:rPr>
          <w:noProof/>
        </w:rPr>
      </w:pPr>
      <w:r>
        <w:rPr>
          <w:noProof/>
        </w:rPr>
        <w:t>In other words, the applicant company had a conditional right, which was extinguished retrospectively for failure to satisfy the condition, namely that it did no</w:t>
      </w:r>
      <w:r w:rsidR="00D82588">
        <w:rPr>
          <w:noProof/>
        </w:rPr>
        <w:t>t infringe third-party rights (paragraph</w:t>
      </w:r>
      <w:r>
        <w:rPr>
          <w:noProof/>
        </w:rPr>
        <w:t xml:space="preserve"> 50 of the Chamber judgment). Our</w:t>
      </w:r>
      <w:r w:rsidR="00D27DE3">
        <w:rPr>
          <w:noProof/>
        </w:rPr>
        <w:t xml:space="preserve"> </w:t>
      </w:r>
      <w:r>
        <w:rPr>
          <w:noProof/>
        </w:rPr>
        <w:t xml:space="preserve">settled case-law denies the quality of “possession” to a conditional claim which has </w:t>
      </w:r>
      <w:r w:rsidRPr="000C44F4">
        <w:rPr>
          <w:noProof/>
        </w:rPr>
        <w:t>lapsed</w:t>
      </w:r>
      <w:r>
        <w:rPr>
          <w:noProof/>
        </w:rPr>
        <w:t xml:space="preserve"> as a result of a failure to fulfil the condition. It should be pointed out that not every application for </w:t>
      </w:r>
      <w:r w:rsidR="002127C6">
        <w:rPr>
          <w:noProof/>
        </w:rPr>
        <w:t xml:space="preserve">a </w:t>
      </w:r>
      <w:r>
        <w:rPr>
          <w:noProof/>
        </w:rPr>
        <w:t>trade</w:t>
      </w:r>
      <w:r w:rsidR="0013506C">
        <w:rPr>
          <w:noProof/>
        </w:rPr>
        <w:t xml:space="preserve"> </w:t>
      </w:r>
      <w:r>
        <w:rPr>
          <w:noProof/>
        </w:rPr>
        <w:t>mark results in registration and many applications are never likely to be registered. In other words, an application for the registration of a trade mark is quite clearly a conditional right: the condition being that it meets the conditions for registration.</w:t>
      </w:r>
    </w:p>
    <w:p w:rsidR="00627C6A" w:rsidP="00972CB2" w:rsidRDefault="00A6491D">
      <w:pPr>
        <w:pStyle w:val="OpiPara"/>
        <w:rPr>
          <w:noProof/>
        </w:rPr>
      </w:pPr>
      <w:r>
        <w:rPr>
          <w:noProof/>
        </w:rPr>
        <w:t>7</w:t>
      </w:r>
      <w:r w:rsidR="00972CB2">
        <w:rPr>
          <w:noProof/>
        </w:rPr>
        <w:t>.  Secondly, Anheuser-Busch knew, when filing its trade</w:t>
      </w:r>
      <w:r w:rsidR="0013506C">
        <w:rPr>
          <w:noProof/>
        </w:rPr>
        <w:t xml:space="preserve"> </w:t>
      </w:r>
      <w:r w:rsidR="00972CB2">
        <w:rPr>
          <w:noProof/>
        </w:rPr>
        <w:t>mark application, that the application was likely to be opposed by</w:t>
      </w:r>
      <w:r w:rsidRPr="00A97D44" w:rsidR="00972CB2">
        <w:rPr>
          <w:noProof/>
        </w:rPr>
        <w:t xml:space="preserve"> </w:t>
      </w:r>
      <w:proofErr w:type="spellStart"/>
      <w:r w:rsidRPr="00DC1F02" w:rsidR="002127C6">
        <w:t>Bud</w:t>
      </w:r>
      <w:r w:rsidR="002127C6">
        <w:t>ě</w:t>
      </w:r>
      <w:r w:rsidRPr="00DC1F02" w:rsidR="002127C6">
        <w:t>jovick</w:t>
      </w:r>
      <w:r w:rsidR="002127C6">
        <w:t>ý</w:t>
      </w:r>
      <w:proofErr w:type="spellEnd"/>
      <w:r w:rsidRPr="00DC1F02" w:rsidR="002127C6">
        <w:t xml:space="preserve"> </w:t>
      </w:r>
      <w:r w:rsidRPr="00FB0EA1" w:rsidR="00972CB2">
        <w:rPr>
          <w:noProof/>
        </w:rPr>
        <w:t>Budvar</w:t>
      </w:r>
      <w:r w:rsidR="00972CB2">
        <w:rPr>
          <w:noProof/>
        </w:rPr>
        <w:t xml:space="preserve">, even without the intervention of a later event such as the 1986 Agreement between </w:t>
      </w:r>
      <w:smartTag w:uri="urn:schemas-microsoft-com:office:smarttags" w:element="country-region">
        <w:r w:rsidR="00972CB2">
          <w:rPr>
            <w:noProof/>
          </w:rPr>
          <w:t>Portugal</w:t>
        </w:r>
      </w:smartTag>
      <w:r w:rsidR="00972CB2">
        <w:rPr>
          <w:noProof/>
        </w:rPr>
        <w:t xml:space="preserve"> and </w:t>
      </w:r>
      <w:smartTag w:uri="urn:schemas-microsoft-com:office:smarttags" w:element="place">
        <w:smartTag w:uri="urn:schemas-microsoft-com:office:smarttags" w:element="country-region">
          <w:r w:rsidR="00972CB2" w:rsidRPr="00FB0EA1">
            <w:rPr>
              <w:noProof/>
            </w:rPr>
            <w:t>Czechoslovakia</w:t>
          </w:r>
        </w:smartTag>
      </w:smartTag>
      <w:r w:rsidR="00972CB2">
        <w:rPr>
          <w:noProof/>
        </w:rPr>
        <w:t>. At the time the application to register the trade mark was made in 1981</w:t>
      </w:r>
      <w:r w:rsidR="0013506C">
        <w:rPr>
          <w:noProof/>
        </w:rPr>
        <w:t>,</w:t>
      </w:r>
      <w:r w:rsidR="00972CB2">
        <w:rPr>
          <w:noProof/>
        </w:rPr>
        <w:t xml:space="preserve"> the right to use the Budweiser trade mark was already being discussed globally between the applicant company and</w:t>
      </w:r>
      <w:r w:rsidRPr="001240AA" w:rsidR="00972CB2">
        <w:rPr>
          <w:noProof/>
        </w:rPr>
        <w:t xml:space="preserve"> </w:t>
      </w:r>
      <w:proofErr w:type="spellStart"/>
      <w:r w:rsidRPr="00DC1F02" w:rsidR="002127C6">
        <w:t>Bud</w:t>
      </w:r>
      <w:r w:rsidR="002127C6">
        <w:t>ě</w:t>
      </w:r>
      <w:r w:rsidRPr="00DC1F02" w:rsidR="002127C6">
        <w:t>jovick</w:t>
      </w:r>
      <w:r w:rsidR="002127C6">
        <w:t>ý</w:t>
      </w:r>
      <w:proofErr w:type="spellEnd"/>
      <w:r w:rsidRPr="00DC1F02" w:rsidR="002127C6">
        <w:t xml:space="preserve"> </w:t>
      </w:r>
      <w:r w:rsidRPr="00FB0EA1" w:rsidR="00972CB2">
        <w:rPr>
          <w:noProof/>
        </w:rPr>
        <w:t>Budvar</w:t>
      </w:r>
      <w:r w:rsidR="00972CB2">
        <w:rPr>
          <w:noProof/>
        </w:rPr>
        <w:t xml:space="preserve">. As stated above, litigation was already pending in courts throughout </w:t>
      </w:r>
      <w:smartTag w:uri="urn:schemas-microsoft-com:office:smarttags" w:element="place">
        <w:r w:rsidR="00972CB2">
          <w:rPr>
            <w:noProof/>
          </w:rPr>
          <w:t>Europe</w:t>
        </w:r>
      </w:smartTag>
      <w:r w:rsidR="00972CB2">
        <w:rPr>
          <w:noProof/>
        </w:rPr>
        <w:t xml:space="preserve">. As the applicant company itself recognised, negotiations were under way between Anheuser-Busch and </w:t>
      </w:r>
      <w:proofErr w:type="spellStart"/>
      <w:r w:rsidRPr="00DC1F02" w:rsidR="002127C6">
        <w:t>Bud</w:t>
      </w:r>
      <w:r w:rsidR="002127C6">
        <w:t>ě</w:t>
      </w:r>
      <w:r w:rsidRPr="00DC1F02" w:rsidR="002127C6">
        <w:t>jovick</w:t>
      </w:r>
      <w:r w:rsidR="002127C6">
        <w:t>ý</w:t>
      </w:r>
      <w:proofErr w:type="spellEnd"/>
      <w:r w:rsidRPr="00DC1F02" w:rsidR="002127C6">
        <w:t xml:space="preserve"> </w:t>
      </w:r>
      <w:r w:rsidRPr="00D72B6A" w:rsidR="00972CB2">
        <w:rPr>
          <w:noProof/>
        </w:rPr>
        <w:t>Budvar</w:t>
      </w:r>
      <w:r w:rsidR="00972CB2">
        <w:rPr>
          <w:noProof/>
        </w:rPr>
        <w:t xml:space="preserve"> with a view to reaching an agreement concerning the use of the Budweiser trade mark. In such circumstances, one could reasonably argue that the applicant company</w:t>
      </w:r>
      <w:r w:rsidR="008B5D8B">
        <w:rPr>
          <w:noProof/>
        </w:rPr>
        <w:t>’</w:t>
      </w:r>
      <w:r w:rsidR="00972CB2">
        <w:rPr>
          <w:noProof/>
        </w:rPr>
        <w:t xml:space="preserve">s claim was far from constituting an </w:t>
      </w:r>
      <w:r w:rsidRPr="00FE7023" w:rsidR="00972CB2">
        <w:rPr>
          <w:noProof/>
        </w:rPr>
        <w:t>asset</w:t>
      </w:r>
      <w:r w:rsidR="00972CB2">
        <w:rPr>
          <w:noProof/>
        </w:rPr>
        <w:t xml:space="preserve"> in respect of which it could claim to have a “legitimate expectation” that it would be realised. </w:t>
      </w:r>
      <w:r w:rsidRPr="00FE7023" w:rsidR="00972CB2">
        <w:rPr>
          <w:noProof/>
        </w:rPr>
        <w:t xml:space="preserve">And that situation, </w:t>
      </w:r>
      <w:r w:rsidR="00972CB2">
        <w:rPr>
          <w:noProof/>
        </w:rPr>
        <w:t>we</w:t>
      </w:r>
      <w:r w:rsidRPr="00FE7023" w:rsidR="00972CB2">
        <w:rPr>
          <w:noProof/>
        </w:rPr>
        <w:t xml:space="preserve"> </w:t>
      </w:r>
      <w:r w:rsidR="00972CB2">
        <w:rPr>
          <w:noProof/>
        </w:rPr>
        <w:t>w</w:t>
      </w:r>
      <w:r w:rsidRPr="00FE7023" w:rsidR="00972CB2">
        <w:rPr>
          <w:noProof/>
        </w:rPr>
        <w:t>ould point out, already existed before th</w:t>
      </w:r>
      <w:r w:rsidR="00D82588">
        <w:rPr>
          <w:noProof/>
        </w:rPr>
        <w:t>e entry into force of the 1986 B</w:t>
      </w:r>
      <w:r w:rsidRPr="00FE7023" w:rsidR="00972CB2">
        <w:rPr>
          <w:noProof/>
        </w:rPr>
        <w:t>ilateral Agreement.</w:t>
      </w:r>
    </w:p>
    <w:p w:rsidR="00627C6A" w:rsidP="00972CB2" w:rsidRDefault="00A6491D">
      <w:pPr>
        <w:pStyle w:val="OpiPara"/>
      </w:pPr>
      <w:r>
        <w:rPr>
          <w:noProof/>
        </w:rPr>
        <w:t>8</w:t>
      </w:r>
      <w:r w:rsidR="00972CB2">
        <w:rPr>
          <w:noProof/>
        </w:rPr>
        <w:t xml:space="preserve">.  Thirdly, there may have been a problem if, as in </w:t>
      </w:r>
      <w:r w:rsidRPr="00141BD8" w:rsidR="00972CB2">
        <w:rPr>
          <w:i/>
          <w:noProof/>
        </w:rPr>
        <w:t>Beyeler v. Italy</w:t>
      </w:r>
      <w:r w:rsidR="00972CB2">
        <w:rPr>
          <w:noProof/>
        </w:rPr>
        <w:t xml:space="preserve"> </w:t>
      </w:r>
      <w:r w:rsidR="008B70D3">
        <w:rPr>
          <w:noProof/>
        </w:rPr>
        <w:t>([GC], no. 33202/96, ECHR 2000-I)</w:t>
      </w:r>
      <w:r w:rsidR="00972CB2">
        <w:rPr>
          <w:noProof/>
        </w:rPr>
        <w:t>, the applicable provision of domestic law was not sufficiently accessible, precise and foreseeable. In that case</w:t>
      </w:r>
      <w:r w:rsidRPr="00FE7023" w:rsidR="00972CB2">
        <w:rPr>
          <w:noProof/>
        </w:rPr>
        <w:t xml:space="preserve"> the Court examined whether the fact </w:t>
      </w:r>
      <w:r w:rsidR="00972CB2">
        <w:rPr>
          <w:noProof/>
        </w:rPr>
        <w:t>that</w:t>
      </w:r>
      <w:r w:rsidRPr="00FE7023" w:rsidR="00972CB2">
        <w:rPr>
          <w:noProof/>
        </w:rPr>
        <w:t xml:space="preserve"> the domestic </w:t>
      </w:r>
      <w:r w:rsidR="00972CB2">
        <w:rPr>
          <w:noProof/>
        </w:rPr>
        <w:t>law</w:t>
      </w:r>
      <w:r w:rsidRPr="00FE7023" w:rsidR="00972CB2">
        <w:rPr>
          <w:noProof/>
        </w:rPr>
        <w:t xml:space="preserve"> left open </w:t>
      </w:r>
      <w:r w:rsidR="00972CB2">
        <w:rPr>
          <w:noProof/>
        </w:rPr>
        <w:t xml:space="preserve">the </w:t>
      </w:r>
      <w:r w:rsidRPr="00FE7023" w:rsidR="00972CB2">
        <w:rPr>
          <w:noProof/>
        </w:rPr>
        <w:t xml:space="preserve">time-limit for the exercise of a right of pre-emption by the State in the event of an incomplete declaration without, however, indicating how such an omission could subsequently be rectified could amount to a violation of </w:t>
      </w:r>
      <w:r w:rsidRPr="00FE7023" w:rsidR="00972CB2">
        <w:t>Article 1 of Protocol No. 1.</w:t>
      </w:r>
      <w:r w:rsidR="00972CB2">
        <w:t xml:space="preserve"> Such a situation could indeed lead to the conclusion that an interference with the right to the peaceful enjoyment of one</w:t>
      </w:r>
      <w:r w:rsidR="008B5D8B">
        <w:t>’</w:t>
      </w:r>
      <w:r w:rsidR="00972CB2">
        <w:t>s possession would be unforeseeable or arbitrary and therefore incompatible with the principle of lawfulness. In the instant case</w:t>
      </w:r>
      <w:r w:rsidRPr="00FE7023" w:rsidR="00972CB2">
        <w:t xml:space="preserve"> </w:t>
      </w:r>
      <w:r w:rsidR="00972CB2">
        <w:t>we</w:t>
      </w:r>
      <w:r w:rsidRPr="00FE7023" w:rsidR="00972CB2">
        <w:t xml:space="preserve"> have in mind</w:t>
      </w:r>
      <w:r w:rsidR="00972CB2">
        <w:t xml:space="preserve"> a situation in which the trade mark application filed by Anheuser-Busch could be challenged for an indefinite period of time. However, this was not the case. As the Chamber judgment </w:t>
      </w:r>
      <w:r w:rsidR="00D82588">
        <w:t>pointed out</w:t>
      </w:r>
      <w:r w:rsidR="00972CB2">
        <w:t>, the relevant Portuguese legislation was clear, precise and reasonable, in that it provided a clear time-limit of three months in which third parties could object to the registration of a trade mark. Therefore there has been no violation of Article 1 of Protocol No. 1 on account of a possible procedural problem.</w:t>
      </w:r>
    </w:p>
    <w:p w:rsidRPr="00AE5CB4" w:rsidR="00972CB2" w:rsidP="00D27DE3" w:rsidRDefault="00A6491D">
      <w:pPr>
        <w:pStyle w:val="OpiPara"/>
      </w:pPr>
      <w:r>
        <w:t>9</w:t>
      </w:r>
      <w:r w:rsidR="00972CB2">
        <w:t xml:space="preserve">.  Fourthly, it may also be said that, conversely, the registration criteria relied on by Anheuser-Busch were not clear. </w:t>
      </w:r>
      <w:r w:rsidRPr="00FE7023" w:rsidR="00972CB2">
        <w:t>The doubts as to the proper interpretation of the registra</w:t>
      </w:r>
      <w:r w:rsidR="00972CB2">
        <w:t>tion criteria and the complexities</w:t>
      </w:r>
      <w:r w:rsidRPr="00FE7023" w:rsidR="00972CB2">
        <w:t xml:space="preserve"> of having to </w:t>
      </w:r>
      <w:r w:rsidR="00972CB2">
        <w:t>analyse</w:t>
      </w:r>
      <w:r w:rsidRPr="00FE7023" w:rsidR="00972CB2">
        <w:t xml:space="preserve"> the various international instruments in question </w:t>
      </w:r>
      <w:r w:rsidR="00972CB2">
        <w:t>meant</w:t>
      </w:r>
      <w:r w:rsidRPr="00FE7023" w:rsidR="00972CB2">
        <w:t xml:space="preserve"> that it was</w:t>
      </w:r>
      <w:r w:rsidR="00D27DE3">
        <w:t xml:space="preserve"> </w:t>
      </w:r>
      <w:r w:rsidRPr="00FE7023" w:rsidR="00972CB2">
        <w:t>ne</w:t>
      </w:r>
      <w:r w:rsidR="00972CB2">
        <w:t>ver a foregone conclusion that Anheuser-Busch</w:t>
      </w:r>
      <w:r w:rsidR="008B5D8B">
        <w:t>’</w:t>
      </w:r>
      <w:r w:rsidR="00972CB2">
        <w:t>s trade</w:t>
      </w:r>
      <w:r w:rsidR="0013506C">
        <w:t xml:space="preserve"> </w:t>
      </w:r>
      <w:r w:rsidRPr="00FE7023" w:rsidR="00972CB2">
        <w:t>mark application would be registered</w:t>
      </w:r>
      <w:r w:rsidR="00972CB2">
        <w:t xml:space="preserve">, in other words, there was no justified reliance on a legal act which had a sound legal basis (see, in this respect, </w:t>
      </w:r>
      <w:r w:rsidR="00972CB2">
        <w:rPr>
          <w:i/>
        </w:rPr>
        <w:t>Pine Valley</w:t>
      </w:r>
      <w:r w:rsidRPr="000B1E2C" w:rsidR="00972CB2">
        <w:rPr>
          <w:i/>
          <w:lang w:eastAsia="en-US"/>
        </w:rPr>
        <w:t xml:space="preserve"> </w:t>
      </w:r>
      <w:r w:rsidRPr="00DC1F02" w:rsidR="00972CB2">
        <w:rPr>
          <w:i/>
          <w:lang w:eastAsia="en-US"/>
        </w:rPr>
        <w:t>Developments Ltd and Others v. Ireland</w:t>
      </w:r>
      <w:r w:rsidR="00610E14">
        <w:rPr>
          <w:lang w:eastAsia="en-US"/>
        </w:rPr>
        <w:t xml:space="preserve">, 29 November </w:t>
      </w:r>
      <w:r w:rsidR="008B70D3">
        <w:rPr>
          <w:lang w:eastAsia="en-US"/>
        </w:rPr>
        <w:t>1991, Series A no. 222</w:t>
      </w:r>
      <w:r w:rsidR="00972CB2">
        <w:t>).</w:t>
      </w:r>
    </w:p>
    <w:p w:rsidRPr="0026275F" w:rsidR="00972CB2" w:rsidP="00972CB2" w:rsidRDefault="00A6491D">
      <w:pPr>
        <w:pStyle w:val="OpiPara"/>
      </w:pPr>
      <w:r>
        <w:t>10</w:t>
      </w:r>
      <w:r w:rsidR="00972CB2">
        <w:t>.  The four above-mentioned reasons lead us to the conclusion that there was no sufficient basis in the national legislation, or in the settled case-law of the domestic courts, to allow the applicant company to claim that it had a “legitimate expectation” that was protected under Article 1 of Protocol No. 1</w:t>
      </w:r>
      <w:r w:rsidRPr="00FE7023" w:rsidR="00972CB2">
        <w:t xml:space="preserve">. As the Court </w:t>
      </w:r>
      <w:r w:rsidR="00D82588">
        <w:t>stated</w:t>
      </w:r>
      <w:r w:rsidRPr="00FE7023" w:rsidR="00972CB2">
        <w:t xml:space="preserve"> in </w:t>
      </w:r>
      <w:proofErr w:type="spellStart"/>
      <w:r w:rsidRPr="00FE7023" w:rsidR="00972CB2">
        <w:rPr>
          <w:i/>
        </w:rPr>
        <w:t>Kopeck</w:t>
      </w:r>
      <w:r w:rsidRPr="00EF550A" w:rsidR="00972CB2">
        <w:rPr>
          <w:i/>
        </w:rPr>
        <w:t>ý</w:t>
      </w:r>
      <w:proofErr w:type="spellEnd"/>
      <w:r w:rsidR="00D82588">
        <w:rPr>
          <w:i/>
        </w:rPr>
        <w:t xml:space="preserve"> v. Slovakia</w:t>
      </w:r>
      <w:r w:rsidR="00D82588">
        <w:t xml:space="preserve"> ([GC], no. 44912/98, § 52, ECHR 2004-IX)</w:t>
      </w:r>
      <w:r w:rsidR="00972CB2">
        <w:t>:</w:t>
      </w:r>
      <w:r w:rsidRPr="00FE7023" w:rsidR="00972CB2">
        <w:t xml:space="preserve"> “</w:t>
      </w:r>
      <w:r w:rsidR="0013506C">
        <w:t>...</w:t>
      </w:r>
      <w:r w:rsidR="00972CB2">
        <w:t xml:space="preserve"> </w:t>
      </w:r>
      <w:r w:rsidRPr="00FE7023" w:rsidR="00972CB2">
        <w:t xml:space="preserve">where the </w:t>
      </w:r>
      <w:r w:rsidR="00972CB2">
        <w:t>proprietary</w:t>
      </w:r>
      <w:r w:rsidRPr="00FE7023" w:rsidR="00972CB2">
        <w:t xml:space="preserve"> interest is in the nature of the claim it may be regarded as an </w:t>
      </w:r>
      <w:r w:rsidR="008B5D8B">
        <w:t>‘</w:t>
      </w:r>
      <w:r w:rsidRPr="00FE7023" w:rsidR="00972CB2">
        <w:t>asset</w:t>
      </w:r>
      <w:r w:rsidR="008B5D8B">
        <w:t>’</w:t>
      </w:r>
      <w:r w:rsidRPr="00FE7023" w:rsidR="00972CB2">
        <w:t xml:space="preserve"> only where it ha</w:t>
      </w:r>
      <w:r w:rsidR="00972CB2">
        <w:t>s</w:t>
      </w:r>
      <w:r w:rsidRPr="00FE7023" w:rsidR="00972CB2">
        <w:t xml:space="preserve"> a sufficient basis in national law, for exam</w:t>
      </w:r>
      <w:r w:rsidR="00D82588">
        <w:t>ple where there is settled case-</w:t>
      </w:r>
      <w:r w:rsidRPr="00FE7023" w:rsidR="00972CB2">
        <w:t>law of the domestic courts confirming it</w:t>
      </w:r>
      <w:r w:rsidR="004F47D2">
        <w:t>.</w:t>
      </w:r>
      <w:r w:rsidRPr="00FE7023" w:rsidR="00972CB2">
        <w:t>”</w:t>
      </w:r>
    </w:p>
    <w:p w:rsidRPr="00011B3D" w:rsidR="00972CB2" w:rsidP="00F21B99" w:rsidRDefault="00972CB2">
      <w:pPr>
        <w:pStyle w:val="JuPara"/>
        <w:sectPr w:rsidRPr="00011B3D" w:rsidR="00972CB2" w:rsidSect="00D27DE3">
          <w:headerReference w:type="even" r:id="rId11"/>
          <w:headerReference w:type="default" r:id="rId12"/>
          <w:headerReference w:type="first" r:id="rId13"/>
          <w:footnotePr>
            <w:numRestart w:val="eachPage"/>
          </w:footnotePr>
          <w:type w:val="oddPage"/>
          <w:pgSz w:w="11906" w:h="16838" w:code="9"/>
          <w:pgMar w:top="2274" w:right="2274" w:bottom="2274" w:left="2274" w:header="1701" w:footer="720" w:gutter="0"/>
          <w:cols w:space="720"/>
          <w:titlePg/>
          <w:docGrid w:linePitch="326"/>
        </w:sectPr>
      </w:pPr>
    </w:p>
    <w:p w:rsidR="00354CEA" w:rsidP="00354CEA" w:rsidRDefault="00354CEA">
      <w:pPr>
        <w:pStyle w:val="OpiHHead"/>
      </w:pPr>
      <w:r>
        <w:t xml:space="preserve">JOINT </w:t>
      </w:r>
      <w:r w:rsidRPr="008173F5">
        <w:t>DISSENTING OPINION OF JUDGES CAFLISCH</w:t>
      </w:r>
      <w:r>
        <w:br/>
      </w:r>
      <w:r w:rsidRPr="008173F5">
        <w:t>AND CABRAL BARRETO</w:t>
      </w:r>
    </w:p>
    <w:p w:rsidRPr="008173F5" w:rsidR="00354CEA" w:rsidP="00354CEA" w:rsidRDefault="00354CEA">
      <w:pPr>
        <w:pStyle w:val="OpiPara"/>
      </w:pPr>
      <w:r>
        <w:t>1.  </w:t>
      </w:r>
      <w:r w:rsidRPr="008173F5">
        <w:t>We concur with the finding of the judges of the majority that Article 1 of Protoc</w:t>
      </w:r>
      <w:r>
        <w:t xml:space="preserve">ol No. 1 applies in this case. </w:t>
      </w:r>
      <w:r w:rsidRPr="008173F5">
        <w:t>But we would have preferred an approach based on the premise that the applicants, at the relevant time, enjoyed a “legitimate expectation” as defined by the Court (</w:t>
      </w:r>
      <w:r w:rsidR="00D82588">
        <w:t xml:space="preserve">see </w:t>
      </w:r>
      <w:r w:rsidRPr="008173F5">
        <w:rPr>
          <w:i/>
        </w:rPr>
        <w:t>Pin</w:t>
      </w:r>
      <w:r>
        <w:rPr>
          <w:i/>
        </w:rPr>
        <w:t xml:space="preserve">e Valley Developments Ltd and </w:t>
      </w:r>
      <w:r w:rsidRPr="008173F5">
        <w:rPr>
          <w:i/>
        </w:rPr>
        <w:t>Others</w:t>
      </w:r>
      <w:r w:rsidRPr="008173F5">
        <w:t xml:space="preserve"> </w:t>
      </w:r>
      <w:r w:rsidRPr="00CB785E">
        <w:rPr>
          <w:i/>
        </w:rPr>
        <w:t>v.</w:t>
      </w:r>
      <w:r w:rsidRPr="008173F5">
        <w:t xml:space="preserve"> </w:t>
      </w:r>
      <w:r w:rsidRPr="008173F5">
        <w:rPr>
          <w:i/>
        </w:rPr>
        <w:t>Ireland</w:t>
      </w:r>
      <w:r w:rsidRPr="008173F5">
        <w:t xml:space="preserve">, </w:t>
      </w:r>
      <w:r w:rsidR="00F80D28">
        <w:t>29 November 1991, Series A no. </w:t>
      </w:r>
      <w:r w:rsidRPr="008173F5">
        <w:t>222).</w:t>
      </w:r>
    </w:p>
    <w:p w:rsidRPr="008173F5" w:rsidR="00354CEA" w:rsidP="00354CEA" w:rsidRDefault="00354CEA">
      <w:pPr>
        <w:pStyle w:val="OpiPara"/>
      </w:pPr>
      <w:r>
        <w:t>2.  </w:t>
      </w:r>
      <w:r w:rsidRPr="008173F5">
        <w:t>Indeed various treaties and domestic laws grant provisional protection to trade mark</w:t>
      </w:r>
      <w:r>
        <w:t>s</w:t>
      </w:r>
      <w:r w:rsidRPr="008173F5">
        <w:t xml:space="preserve"> from the date of their </w:t>
      </w:r>
      <w:r>
        <w:t>filing</w:t>
      </w:r>
      <w:r w:rsidRPr="008173F5">
        <w:t xml:space="preserve"> with the competent authority, the National Institute for Industrial Proper</w:t>
      </w:r>
      <w:r>
        <w:t xml:space="preserve">ty (NIIP) in the present case. </w:t>
      </w:r>
      <w:r w:rsidRPr="008173F5">
        <w:t xml:space="preserve">The </w:t>
      </w:r>
      <w:r>
        <w:t>filing</w:t>
      </w:r>
      <w:r w:rsidRPr="008173F5">
        <w:t xml:space="preserve"> </w:t>
      </w:r>
      <w:r>
        <w:t>affords</w:t>
      </w:r>
      <w:r w:rsidRPr="008173F5">
        <w:t xml:space="preserve"> some degree of priority and pro</w:t>
      </w:r>
      <w:r>
        <w:t>te</w:t>
      </w:r>
      <w:r w:rsidRPr="008173F5">
        <w:t>ction for the trade mark until its definitive registration, which may take some time.</w:t>
      </w:r>
      <w:r>
        <w:t xml:space="preserve"> </w:t>
      </w:r>
      <w:r w:rsidRPr="008173F5">
        <w:t>In the present case, registration was finally refused on the basis of the relevant legislation</w:t>
      </w:r>
      <w:r>
        <w:t>, namely,</w:t>
      </w:r>
      <w:r w:rsidRPr="008173F5">
        <w:t xml:space="preserve"> the Portuguese Code of </w:t>
      </w:r>
      <w:r>
        <w:t>Industrial Property</w:t>
      </w:r>
      <w:r w:rsidRPr="008173F5">
        <w:t xml:space="preserve"> in i</w:t>
      </w:r>
      <w:r w:rsidR="00F33667">
        <w:t>ts version of 24 </w:t>
      </w:r>
      <w:r>
        <w:t xml:space="preserve">January 1995. </w:t>
      </w:r>
      <w:r w:rsidRPr="008173F5">
        <w:t>Article 1</w:t>
      </w:r>
      <w:r>
        <w:t>89 of that Code provides that “[r]</w:t>
      </w:r>
      <w:proofErr w:type="spellStart"/>
      <w:r>
        <w:t>egistr</w:t>
      </w:r>
      <w:r w:rsidRPr="008173F5">
        <w:t>ation</w:t>
      </w:r>
      <w:proofErr w:type="spellEnd"/>
      <w:r w:rsidRPr="008173F5">
        <w:t xml:space="preserve"> shall also be refused of a mark</w:t>
      </w:r>
      <w:r>
        <w:t xml:space="preserve"> ... </w:t>
      </w:r>
      <w:r w:rsidRPr="008173F5">
        <w:t>containing</w:t>
      </w:r>
      <w:r>
        <w:t xml:space="preserve"> ...</w:t>
      </w:r>
      <w:r w:rsidRPr="008173F5">
        <w:t xml:space="preserve"> expressions </w:t>
      </w:r>
      <w:r w:rsidR="00D82588">
        <w:t xml:space="preserve">... </w:t>
      </w:r>
      <w:r w:rsidRPr="008173F5">
        <w:t>that are contrary to</w:t>
      </w:r>
      <w:r>
        <w:t xml:space="preserve"> ... </w:t>
      </w:r>
      <w:r w:rsidRPr="008173F5">
        <w:t>domestic</w:t>
      </w:r>
      <w:r>
        <w:t xml:space="preserve"> ...</w:t>
      </w:r>
      <w:r w:rsidRPr="008173F5">
        <w:t xml:space="preserve"> legislation”, </w:t>
      </w:r>
      <w:r>
        <w:t xml:space="preserve">and </w:t>
      </w:r>
      <w:r w:rsidRPr="008173F5">
        <w:t>that legislation</w:t>
      </w:r>
      <w:r>
        <w:t xml:space="preserve"> included </w:t>
      </w:r>
      <w:r w:rsidR="00D82588">
        <w:t>the 1986 B</w:t>
      </w:r>
      <w:r w:rsidRPr="008173F5">
        <w:t xml:space="preserve">ilateral Agreement between </w:t>
      </w:r>
      <w:smartTag w:uri="urn:schemas-microsoft-com:office:smarttags" w:element="country-region">
        <w:r w:rsidRPr="008173F5">
          <w:t>Czechoslovakia</w:t>
        </w:r>
      </w:smartTag>
      <w:r w:rsidRPr="008173F5">
        <w:t xml:space="preserve"> and </w:t>
      </w:r>
      <w:smartTag w:uri="urn:schemas-microsoft-com:office:smarttags" w:element="place">
        <w:smartTag w:uri="urn:schemas-microsoft-com:office:smarttags" w:element="country-region">
          <w:r w:rsidRPr="008173F5">
            <w:t>Portugal</w:t>
          </w:r>
        </w:smartTag>
      </w:smartTag>
      <w:r w:rsidR="00717DF3">
        <w:t xml:space="preserve">, which had become </w:t>
      </w:r>
      <w:r>
        <w:t>Portuguese law</w:t>
      </w:r>
      <w:r w:rsidRPr="008173F5">
        <w:t>.</w:t>
      </w:r>
    </w:p>
    <w:p w:rsidRPr="008173F5" w:rsidR="00354CEA" w:rsidP="00354CEA" w:rsidRDefault="00354CEA">
      <w:pPr>
        <w:pStyle w:val="OpiPara"/>
      </w:pPr>
      <w:r>
        <w:t>3.  </w:t>
      </w:r>
      <w:r w:rsidRPr="008173F5">
        <w:t>Items such as clientele, reputation and urbanisation certificates are</w:t>
      </w:r>
      <w:r>
        <w:t xml:space="preserve"> intangible </w:t>
      </w:r>
      <w:r w:rsidRPr="008173F5">
        <w:t>in character; they</w:t>
      </w:r>
      <w:r w:rsidR="00D82588">
        <w:t xml:space="preserve"> are nevertheless “rights”, that is to say,</w:t>
      </w:r>
      <w:r w:rsidRPr="008173F5">
        <w:t xml:space="preserve"> “interests protected by law”, as has</w:t>
      </w:r>
      <w:r>
        <w:t xml:space="preserve"> been recognised by the Court. </w:t>
      </w:r>
      <w:r w:rsidRPr="008173F5">
        <w:t>In the present judgment the Court extends its recognition to</w:t>
      </w:r>
      <w:r>
        <w:t xml:space="preserve"> applications for the registration of a </w:t>
      </w:r>
      <w:r w:rsidRPr="008173F5">
        <w:t>trade mark, which therefore enjoy the status of “possessions” within the meaning of Article 1 of Protocol No</w:t>
      </w:r>
      <w:r>
        <w:t xml:space="preserve">. 1. </w:t>
      </w:r>
      <w:r w:rsidRPr="008173F5">
        <w:t>We agree with the Court but would prefer to hold that the</w:t>
      </w:r>
      <w:r>
        <w:t xml:space="preserve"> filing </w:t>
      </w:r>
      <w:r w:rsidRPr="008173F5">
        <w:t xml:space="preserve">of </w:t>
      </w:r>
      <w:r>
        <w:t xml:space="preserve">an application for registration of </w:t>
      </w:r>
      <w:r w:rsidRPr="008173F5">
        <w:t>a trade mark crea</w:t>
      </w:r>
      <w:r>
        <w:t xml:space="preserve">tes a “legitimate expectation” in the sense of </w:t>
      </w:r>
      <w:r w:rsidRPr="008173F5">
        <w:t>the case-law on Article 1.</w:t>
      </w:r>
    </w:p>
    <w:p w:rsidRPr="008173F5" w:rsidR="00354CEA" w:rsidP="00354CEA" w:rsidRDefault="00354CEA">
      <w:pPr>
        <w:pStyle w:val="OpiPara"/>
      </w:pPr>
      <w:r>
        <w:t>4.  </w:t>
      </w:r>
      <w:r w:rsidRPr="008173F5">
        <w:t>Our view is essentially based on the following</w:t>
      </w:r>
      <w:r>
        <w:t xml:space="preserve"> elements</w:t>
      </w:r>
      <w:r w:rsidRPr="008173F5">
        <w:t>:</w:t>
      </w:r>
    </w:p>
    <w:p w:rsidRPr="008173F5" w:rsidR="00354CEA" w:rsidP="00354CEA" w:rsidRDefault="00FA2428">
      <w:pPr>
        <w:pStyle w:val="OpiPara"/>
      </w:pPr>
      <w:r>
        <w:t>(</w:t>
      </w:r>
      <w:proofErr w:type="spellStart"/>
      <w:r>
        <w:t>i</w:t>
      </w:r>
      <w:proofErr w:type="spellEnd"/>
      <w:r>
        <w:t>)  </w:t>
      </w:r>
      <w:r w:rsidR="00354CEA">
        <w:t>The Portuguese cour</w:t>
      </w:r>
      <w:r w:rsidRPr="008173F5" w:rsidR="00354CEA">
        <w:t>ts themselves have held that the</w:t>
      </w:r>
      <w:r w:rsidR="00354CEA">
        <w:t xml:space="preserve"> filing </w:t>
      </w:r>
      <w:r w:rsidRPr="008173F5" w:rsidR="00354CEA">
        <w:t xml:space="preserve">of </w:t>
      </w:r>
      <w:r w:rsidR="00354CEA">
        <w:t xml:space="preserve">an application for the registration of </w:t>
      </w:r>
      <w:r w:rsidRPr="008173F5" w:rsidR="00354CEA">
        <w:t>a trade mark creates an “</w:t>
      </w:r>
      <w:proofErr w:type="spellStart"/>
      <w:r w:rsidRPr="002B5EE7" w:rsidR="00354CEA">
        <w:rPr>
          <w:i/>
        </w:rPr>
        <w:t>expectativa</w:t>
      </w:r>
      <w:proofErr w:type="spellEnd"/>
      <w:r w:rsidRPr="002B5EE7" w:rsidR="00354CEA">
        <w:rPr>
          <w:i/>
        </w:rPr>
        <w:t xml:space="preserve"> </w:t>
      </w:r>
      <w:proofErr w:type="spellStart"/>
      <w:r w:rsidRPr="002B5EE7" w:rsidR="00354CEA">
        <w:rPr>
          <w:i/>
        </w:rPr>
        <w:t>jur</w:t>
      </w:r>
      <w:r w:rsidR="00354CEA">
        <w:rPr>
          <w:i/>
        </w:rPr>
        <w:t>í</w:t>
      </w:r>
      <w:r w:rsidRPr="002B5EE7" w:rsidR="00354CEA">
        <w:rPr>
          <w:i/>
        </w:rPr>
        <w:t>dica</w:t>
      </w:r>
      <w:proofErr w:type="spellEnd"/>
      <w:r w:rsidRPr="008173F5" w:rsidR="00354CEA">
        <w:t>”, a concept practically cotermin</w:t>
      </w:r>
      <w:r w:rsidR="00354CEA">
        <w:t>o</w:t>
      </w:r>
      <w:r w:rsidRPr="008173F5" w:rsidR="00354CEA">
        <w:t>us with that of “legitimate expectation”.</w:t>
      </w:r>
    </w:p>
    <w:p w:rsidRPr="008173F5" w:rsidR="00354CEA" w:rsidP="00354CEA" w:rsidRDefault="00FA2428">
      <w:pPr>
        <w:pStyle w:val="OpiPara"/>
      </w:pPr>
      <w:r>
        <w:t>(ii)  </w:t>
      </w:r>
      <w:r w:rsidRPr="008173F5" w:rsidR="00354CEA">
        <w:t>Requests for registration can be transferred or</w:t>
      </w:r>
      <w:r w:rsidR="00354CEA">
        <w:t xml:space="preserve"> form </w:t>
      </w:r>
      <w:r w:rsidRPr="008173F5" w:rsidR="00354CEA">
        <w:t xml:space="preserve">the </w:t>
      </w:r>
      <w:r w:rsidR="00354CEA">
        <w:t>ob</w:t>
      </w:r>
      <w:r>
        <w:t xml:space="preserve">ject of </w:t>
      </w:r>
      <w:r w:rsidRPr="008173F5" w:rsidR="00354CEA">
        <w:t>licensing agreements.</w:t>
      </w:r>
    </w:p>
    <w:p w:rsidR="00E00E40" w:rsidP="00354CEA" w:rsidRDefault="00FA2428">
      <w:pPr>
        <w:pStyle w:val="OpiPara"/>
      </w:pPr>
      <w:r>
        <w:t>(iii)  </w:t>
      </w:r>
      <w:r w:rsidRPr="008173F5" w:rsidR="00354CEA">
        <w:t xml:space="preserve">On account of </w:t>
      </w:r>
      <w:r w:rsidR="00354CEA">
        <w:t>the application for registration, t</w:t>
      </w:r>
      <w:r w:rsidRPr="008173F5" w:rsidR="00354CEA">
        <w:t>he trade mark</w:t>
      </w:r>
      <w:r w:rsidR="00354CEA">
        <w:t xml:space="preserve"> acquires</w:t>
      </w:r>
      <w:r w:rsidRPr="008173F5" w:rsidR="00354CEA">
        <w:t xml:space="preserve"> an economic value</w:t>
      </w:r>
      <w:r w:rsidR="00354CEA">
        <w:t xml:space="preserve"> at both </w:t>
      </w:r>
      <w:r w:rsidR="00D82588">
        <w:t xml:space="preserve">the national and international </w:t>
      </w:r>
      <w:r w:rsidRPr="008173F5" w:rsidR="00354CEA">
        <w:t>levels.</w:t>
      </w:r>
      <w:r w:rsidR="00354CEA">
        <w:t xml:space="preserve"> </w:t>
      </w:r>
      <w:r w:rsidRPr="008173F5" w:rsidR="00354CEA">
        <w:t>It is protected from interference by third parties</w:t>
      </w:r>
      <w:r w:rsidR="00354CEA">
        <w:t>,</w:t>
      </w:r>
      <w:r w:rsidRPr="008173F5" w:rsidR="00354CEA">
        <w:t xml:space="preserve"> </w:t>
      </w:r>
      <w:r w:rsidR="00354CEA">
        <w:t xml:space="preserve">any </w:t>
      </w:r>
      <w:r w:rsidRPr="008173F5" w:rsidR="00354CEA">
        <w:t>interference entail</w:t>
      </w:r>
      <w:r w:rsidR="00354CEA">
        <w:t>ing</w:t>
      </w:r>
      <w:r w:rsidRPr="008173F5" w:rsidR="00354CEA">
        <w:t xml:space="preserve"> a duty of reparation</w:t>
      </w:r>
      <w:r w:rsidR="00354CEA">
        <w:t>,</w:t>
      </w:r>
      <w:r w:rsidRPr="008173F5" w:rsidR="00354CEA">
        <w:t xml:space="preserve"> and enjoys priority over </w:t>
      </w:r>
      <w:r w:rsidR="00354CEA">
        <w:tab/>
      </w:r>
      <w:r w:rsidRPr="008173F5" w:rsidR="00354CEA">
        <w:t>subsequent requests by third parties, that</w:t>
      </w:r>
      <w:r w:rsidR="00354CEA">
        <w:t xml:space="preserve"> </w:t>
      </w:r>
      <w:r w:rsidRPr="008173F5" w:rsidR="00354CEA">
        <w:t>is</w:t>
      </w:r>
      <w:r w:rsidR="00354CEA">
        <w:t>,</w:t>
      </w:r>
      <w:r w:rsidRPr="008173F5" w:rsidR="00354CEA">
        <w:t xml:space="preserve"> an expectation </w:t>
      </w:r>
      <w:r>
        <w:t xml:space="preserve">that the </w:t>
      </w:r>
      <w:r w:rsidR="00354CEA">
        <w:t xml:space="preserve">applicant will </w:t>
      </w:r>
      <w:r w:rsidRPr="008173F5" w:rsidR="00354CEA">
        <w:t>not be deprived of the trade mark by</w:t>
      </w:r>
      <w:r>
        <w:t xml:space="preserve"> subsequent </w:t>
      </w:r>
      <w:r w:rsidR="00354CEA">
        <w:t>applications for registration</w:t>
      </w:r>
      <w:r w:rsidRPr="008173F5" w:rsidR="00354CEA">
        <w:t>.</w:t>
      </w:r>
    </w:p>
    <w:p w:rsidRPr="008173F5" w:rsidR="00354CEA" w:rsidP="00354CEA" w:rsidRDefault="00354CEA">
      <w:pPr>
        <w:pStyle w:val="OpiPara"/>
      </w:pPr>
      <w:r w:rsidRPr="008173F5">
        <w:t>(</w:t>
      </w:r>
      <w:r>
        <w:t>i</w:t>
      </w:r>
      <w:r w:rsidR="00FA2428">
        <w:t>v)  </w:t>
      </w:r>
      <w:r w:rsidRPr="008173F5">
        <w:t>The NIIP has no discretion to grant or refuse registration when the legal conditions existing at the time of the</w:t>
      </w:r>
      <w:r>
        <w:t xml:space="preserve"> filing </w:t>
      </w:r>
      <w:r w:rsidRPr="008173F5">
        <w:t>are met</w:t>
      </w:r>
      <w:r>
        <w:t>,</w:t>
      </w:r>
      <w:r w:rsidR="00D82588">
        <w:t xml:space="preserve"> as they were until the 1986 B</w:t>
      </w:r>
      <w:r w:rsidRPr="008173F5">
        <w:t xml:space="preserve">ilateral </w:t>
      </w:r>
      <w:r>
        <w:t>A</w:t>
      </w:r>
      <w:r w:rsidRPr="008173F5">
        <w:t>greement intervened.</w:t>
      </w:r>
      <w:r>
        <w:t xml:space="preserve"> </w:t>
      </w:r>
      <w:r w:rsidRPr="008173F5">
        <w:t>Indeed, the priority attaching to the</w:t>
      </w:r>
      <w:r>
        <w:t xml:space="preserve"> filed </w:t>
      </w:r>
      <w:r w:rsidRPr="008173F5">
        <w:t xml:space="preserve">(but not yet registered) trade mark </w:t>
      </w:r>
      <w:r>
        <w:tab/>
      </w:r>
      <w:r w:rsidRPr="008173F5">
        <w:t>would become an empty shell if it could be nullified at any time by</w:t>
      </w:r>
      <w:r>
        <w:t xml:space="preserve"> the introduction of </w:t>
      </w:r>
      <w:r w:rsidRPr="008173F5">
        <w:t>new</w:t>
      </w:r>
      <w:r>
        <w:t xml:space="preserve"> legislation</w:t>
      </w:r>
      <w:r w:rsidRPr="008173F5">
        <w:t>.</w:t>
      </w:r>
    </w:p>
    <w:p w:rsidRPr="008173F5" w:rsidR="00354CEA" w:rsidP="00354CEA" w:rsidRDefault="00354CEA">
      <w:pPr>
        <w:pStyle w:val="OpiPara"/>
      </w:pPr>
      <w:r>
        <w:t>5.  T</w:t>
      </w:r>
      <w:r w:rsidRPr="008173F5">
        <w:t>he above</w:t>
      </w:r>
      <w:r>
        <w:t xml:space="preserve"> elements </w:t>
      </w:r>
      <w:r w:rsidRPr="008173F5">
        <w:t>prompt the conclusion that the</w:t>
      </w:r>
      <w:r>
        <w:t xml:space="preserve"> filing of an application for the registration </w:t>
      </w:r>
      <w:r w:rsidRPr="008173F5">
        <w:t>of a trade mark, as distinguished from registration</w:t>
      </w:r>
      <w:r>
        <w:t xml:space="preserve"> itself</w:t>
      </w:r>
      <w:r w:rsidRPr="008173F5">
        <w:t>, creates rights in favour of the</w:t>
      </w:r>
      <w:r>
        <w:t xml:space="preserve"> applicant</w:t>
      </w:r>
      <w:r w:rsidRPr="008173F5">
        <w:t>,</w:t>
      </w:r>
      <w:r w:rsidR="00D82588">
        <w:t xml:space="preserve"> in particular</w:t>
      </w:r>
      <w:r>
        <w:t xml:space="preserve"> </w:t>
      </w:r>
      <w:r w:rsidRPr="008173F5">
        <w:t>a right to have the trade mark registered.</w:t>
      </w:r>
      <w:r>
        <w:t xml:space="preserve"> </w:t>
      </w:r>
      <w:r w:rsidRPr="008173F5">
        <w:t>That right is</w:t>
      </w:r>
      <w:r>
        <w:t xml:space="preserve"> of</w:t>
      </w:r>
      <w:r w:rsidRPr="008173F5">
        <w:t xml:space="preserve"> a </w:t>
      </w:r>
      <w:r w:rsidRPr="00FA2428">
        <w:rPr>
          <w:i/>
        </w:rPr>
        <w:t>conditional</w:t>
      </w:r>
      <w:r w:rsidRPr="00A9047E">
        <w:t xml:space="preserve"> </w:t>
      </w:r>
      <w:r w:rsidRPr="008173F5">
        <w:t>nature</w:t>
      </w:r>
      <w:r>
        <w:t>;</w:t>
      </w:r>
      <w:r w:rsidRPr="008173F5">
        <w:t xml:space="preserve"> it depends on the fulfilment of the</w:t>
      </w:r>
      <w:r>
        <w:t xml:space="preserve"> statutory </w:t>
      </w:r>
      <w:r w:rsidRPr="008173F5">
        <w:t>conditions for registration existing at the time of</w:t>
      </w:r>
      <w:r>
        <w:t xml:space="preserve"> the filing</w:t>
      </w:r>
      <w:r w:rsidRPr="008173F5">
        <w:t>.</w:t>
      </w:r>
      <w:r>
        <w:t xml:space="preserve"> </w:t>
      </w:r>
      <w:r w:rsidRPr="008173F5">
        <w:t xml:space="preserve">We are, in other words, in </w:t>
      </w:r>
      <w:r>
        <w:t xml:space="preserve">the </w:t>
      </w:r>
      <w:r w:rsidRPr="008173F5">
        <w:t>presence of a “legitimate expectation” rather than a “possession” (“</w:t>
      </w:r>
      <w:proofErr w:type="spellStart"/>
      <w:r w:rsidRPr="00CE64A5">
        <w:rPr>
          <w:i/>
        </w:rPr>
        <w:t>bien</w:t>
      </w:r>
      <w:proofErr w:type="spellEnd"/>
      <w:r w:rsidRPr="008173F5">
        <w:t>”) in the se</w:t>
      </w:r>
      <w:r>
        <w:t>nse of Article 1 of Protocol No.</w:t>
      </w:r>
      <w:r w:rsidRPr="008173F5">
        <w:t xml:space="preserve"> </w:t>
      </w:r>
      <w:r>
        <w:t>1</w:t>
      </w:r>
      <w:r w:rsidRPr="008173F5">
        <w:t>.</w:t>
      </w:r>
      <w:r>
        <w:t xml:space="preserve"> Under the Court</w:t>
      </w:r>
      <w:r w:rsidR="008B5D8B">
        <w:t>’</w:t>
      </w:r>
      <w:r>
        <w:t>s case-law that expectation</w:t>
      </w:r>
      <w:r w:rsidRPr="008173F5">
        <w:t xml:space="preserve"> cannot</w:t>
      </w:r>
      <w:r>
        <w:t>,</w:t>
      </w:r>
      <w:r w:rsidRPr="008173F5">
        <w:t xml:space="preserve"> however, be cancelled by subsequent national legislation, even if the latter is based on treaty law.</w:t>
      </w:r>
    </w:p>
    <w:p w:rsidRPr="008173F5" w:rsidR="00354CEA" w:rsidP="00354CEA" w:rsidRDefault="00354CEA">
      <w:pPr>
        <w:pStyle w:val="OpiPara"/>
      </w:pPr>
      <w:r>
        <w:t>6.  </w:t>
      </w:r>
      <w:r w:rsidRPr="008173F5">
        <w:t>Having established (</w:t>
      </w:r>
      <w:proofErr w:type="spellStart"/>
      <w:r w:rsidRPr="008173F5">
        <w:t>i</w:t>
      </w:r>
      <w:proofErr w:type="spellEnd"/>
      <w:r w:rsidRPr="008173F5">
        <w:t xml:space="preserve">) that the applicant </w:t>
      </w:r>
      <w:r>
        <w:t xml:space="preserve">company </w:t>
      </w:r>
      <w:r w:rsidRPr="008173F5">
        <w:t xml:space="preserve">was the beneficiary of a “legitimate expectation” </w:t>
      </w:r>
      <w:r>
        <w:t xml:space="preserve">and </w:t>
      </w:r>
      <w:r w:rsidRPr="008173F5">
        <w:t xml:space="preserve">(ii) was protected by Article 1 of Protocol No. </w:t>
      </w:r>
      <w:r>
        <w:t>1</w:t>
      </w:r>
      <w:r w:rsidRPr="008173F5">
        <w:t xml:space="preserve">, it remains to be seen whether </w:t>
      </w:r>
      <w:r>
        <w:t>it</w:t>
      </w:r>
      <w:r w:rsidRPr="008173F5">
        <w:t xml:space="preserve"> was deprived of that expectation by</w:t>
      </w:r>
      <w:r>
        <w:t xml:space="preserve"> conduct </w:t>
      </w:r>
      <w:r w:rsidRPr="008173F5">
        <w:t xml:space="preserve">of </w:t>
      </w:r>
      <w:smartTag w:uri="urn:schemas-microsoft-com:office:smarttags" w:element="place">
        <w:smartTag w:uri="urn:schemas-microsoft-com:office:smarttags" w:element="PlaceName">
          <w:r w:rsidRPr="008173F5">
            <w:t>Portuguese</w:t>
          </w:r>
        </w:smartTag>
        <w:r w:rsidRPr="008173F5">
          <w:t xml:space="preserve"> </w:t>
        </w:r>
        <w:smartTag w:uri="urn:schemas-microsoft-com:office:smarttags" w:element="PlaceType">
          <w:r w:rsidRPr="008173F5">
            <w:t>State</w:t>
          </w:r>
        </w:smartTag>
      </w:smartTag>
      <w:r w:rsidRPr="008173F5">
        <w:t xml:space="preserve"> organs </w:t>
      </w:r>
      <w:r>
        <w:t xml:space="preserve">that was </w:t>
      </w:r>
      <w:r w:rsidRPr="008173F5">
        <w:t>contrary to Article 1.</w:t>
      </w:r>
    </w:p>
    <w:p w:rsidRPr="008173F5" w:rsidR="00354CEA" w:rsidP="00354CEA" w:rsidRDefault="00354CEA">
      <w:pPr>
        <w:pStyle w:val="OpiPara"/>
        <w:rPr>
          <w:rFonts w:ascii="Times New (W1)" w:hAnsi="Times New (W1)"/>
        </w:rPr>
      </w:pPr>
      <w:r>
        <w:t>7.  </w:t>
      </w:r>
      <w:r w:rsidRPr="008173F5">
        <w:t>For the majority of the Court (</w:t>
      </w:r>
      <w:r>
        <w:t xml:space="preserve">see paragraph 83 of the </w:t>
      </w:r>
      <w:r w:rsidRPr="008173F5">
        <w:t xml:space="preserve">judgment), the present case was “mainly </w:t>
      </w:r>
      <w:r w:rsidR="00C5119F">
        <w:t>[</w:t>
      </w:r>
      <w:r w:rsidRPr="008173F5">
        <w:t>about</w:t>
      </w:r>
      <w:r w:rsidR="00C5119F">
        <w:t>]</w:t>
      </w:r>
      <w:r w:rsidRPr="008173F5">
        <w:t xml:space="preserve"> the manner in which the national courts interpreted and applied domestic law in proceedings between two rival claimants”, and had therefore to be distinguished (</w:t>
      </w:r>
      <w:r>
        <w:t xml:space="preserve">paragraph </w:t>
      </w:r>
      <w:r w:rsidRPr="008173F5">
        <w:t xml:space="preserve">82) from cases such as </w:t>
      </w:r>
      <w:r w:rsidRPr="008173F5">
        <w:rPr>
          <w:i/>
        </w:rPr>
        <w:t>Maurice</w:t>
      </w:r>
      <w:r w:rsidRPr="008173F5">
        <w:t xml:space="preserve"> </w:t>
      </w:r>
      <w:r w:rsidRPr="007F5E2D">
        <w:rPr>
          <w:i/>
        </w:rPr>
        <w:t>v.</w:t>
      </w:r>
      <w:r w:rsidRPr="008173F5">
        <w:t xml:space="preserve"> </w:t>
      </w:r>
      <w:r w:rsidRPr="008173F5">
        <w:rPr>
          <w:i/>
        </w:rPr>
        <w:t>France</w:t>
      </w:r>
      <w:r w:rsidRPr="008173F5">
        <w:t xml:space="preserve"> </w:t>
      </w:r>
      <w:r>
        <w:t>(</w:t>
      </w:r>
      <w:r w:rsidRPr="008173F5">
        <w:t>[GC], n</w:t>
      </w:r>
      <w:r>
        <w:t>o.</w:t>
      </w:r>
      <w:r w:rsidRPr="008173F5">
        <w:rPr>
          <w:rFonts w:ascii="Times New (W1)" w:hAnsi="Times New (W1)"/>
          <w:vertAlign w:val="superscript"/>
        </w:rPr>
        <w:t xml:space="preserve"> </w:t>
      </w:r>
      <w:r w:rsidRPr="008173F5">
        <w:rPr>
          <w:rFonts w:ascii="Times New (W1)" w:hAnsi="Times New (W1)"/>
        </w:rPr>
        <w:t>11810/03</w:t>
      </w:r>
      <w:r w:rsidR="00933D13">
        <w:rPr>
          <w:rFonts w:ascii="Times New (W1)" w:hAnsi="Times New (W1)"/>
        </w:rPr>
        <w:t>, ECHR 2005-IX</w:t>
      </w:r>
      <w:r>
        <w:rPr>
          <w:rFonts w:ascii="Times New (W1)" w:hAnsi="Times New (W1)"/>
        </w:rPr>
        <w:t>)</w:t>
      </w:r>
      <w:r w:rsidRPr="008173F5">
        <w:rPr>
          <w:rFonts w:ascii="Times New (W1)" w:hAnsi="Times New (W1)"/>
        </w:rPr>
        <w:t xml:space="preserve">, and </w:t>
      </w:r>
      <w:proofErr w:type="spellStart"/>
      <w:r w:rsidRPr="008173F5">
        <w:rPr>
          <w:rFonts w:ascii="Times New (W1)" w:hAnsi="Times New (W1)"/>
          <w:i/>
        </w:rPr>
        <w:t>Lecarpentier</w:t>
      </w:r>
      <w:proofErr w:type="spellEnd"/>
      <w:r w:rsidRPr="008173F5">
        <w:rPr>
          <w:rFonts w:ascii="Times New (W1)" w:hAnsi="Times New (W1)"/>
          <w:i/>
        </w:rPr>
        <w:t xml:space="preserve"> </w:t>
      </w:r>
      <w:r w:rsidRPr="00933D13">
        <w:rPr>
          <w:rFonts w:ascii="Times New (W1)" w:hAnsi="Times New (W1)"/>
          <w:i/>
        </w:rPr>
        <w:t>v.</w:t>
      </w:r>
      <w:r w:rsidRPr="008173F5">
        <w:rPr>
          <w:rFonts w:ascii="Times New (W1)" w:hAnsi="Times New (W1)"/>
        </w:rPr>
        <w:t xml:space="preserve"> </w:t>
      </w:r>
      <w:r w:rsidRPr="008173F5">
        <w:rPr>
          <w:rFonts w:ascii="Times New (W1)" w:hAnsi="Times New (W1)"/>
          <w:i/>
        </w:rPr>
        <w:t>France</w:t>
      </w:r>
      <w:r w:rsidRPr="008173F5">
        <w:rPr>
          <w:rFonts w:ascii="Times New (W1)" w:hAnsi="Times New (W1)"/>
        </w:rPr>
        <w:t xml:space="preserve"> </w:t>
      </w:r>
      <w:r>
        <w:rPr>
          <w:rFonts w:ascii="Times New (W1)" w:hAnsi="Times New (W1)"/>
        </w:rPr>
        <w:t>(</w:t>
      </w:r>
      <w:r w:rsidRPr="008173F5">
        <w:rPr>
          <w:rFonts w:ascii="Times New (W1)" w:hAnsi="Times New (W1)"/>
        </w:rPr>
        <w:t>n</w:t>
      </w:r>
      <w:r>
        <w:rPr>
          <w:rFonts w:ascii="Times New (W1)" w:hAnsi="Times New (W1)"/>
        </w:rPr>
        <w:t>o.</w:t>
      </w:r>
      <w:r w:rsidRPr="008173F5">
        <w:rPr>
          <w:rFonts w:ascii="Times New (W1)" w:hAnsi="Times New (W1)"/>
          <w:vertAlign w:val="superscript"/>
        </w:rPr>
        <w:t xml:space="preserve"> </w:t>
      </w:r>
      <w:r>
        <w:rPr>
          <w:rFonts w:ascii="Times New (W1)" w:hAnsi="Times New (W1)"/>
        </w:rPr>
        <w:t>67847/01</w:t>
      </w:r>
      <w:r w:rsidR="00933D13">
        <w:rPr>
          <w:rFonts w:ascii="Times New (W1)" w:hAnsi="Times New (W1)"/>
        </w:rPr>
        <w:t>, 14 February 2006</w:t>
      </w:r>
      <w:r>
        <w:rPr>
          <w:rFonts w:ascii="Times New (W1)" w:hAnsi="Times New (W1)"/>
        </w:rPr>
        <w:t>).</w:t>
      </w:r>
      <w:r w:rsidRPr="008173F5">
        <w:rPr>
          <w:rFonts w:ascii="Times New (W1)" w:hAnsi="Times New (W1)"/>
        </w:rPr>
        <w:t xml:space="preserve"> For the majority, the present dispute is basically one between private parties, rather than between an individual and a State,</w:t>
      </w:r>
      <w:r>
        <w:rPr>
          <w:rFonts w:ascii="Times New (W1)" w:hAnsi="Times New (W1)"/>
        </w:rPr>
        <w:t xml:space="preserve"> in other words </w:t>
      </w:r>
      <w:r w:rsidRPr="008173F5">
        <w:rPr>
          <w:rFonts w:ascii="Times New (W1)" w:hAnsi="Times New (W1)"/>
        </w:rPr>
        <w:t>a situation which</w:t>
      </w:r>
      <w:r>
        <w:rPr>
          <w:rFonts w:ascii="Times New (W1)" w:hAnsi="Times New (W1)"/>
        </w:rPr>
        <w:t xml:space="preserve"> –</w:t>
      </w:r>
      <w:r w:rsidRPr="008173F5">
        <w:rPr>
          <w:rFonts w:ascii="Times New (W1)" w:hAnsi="Times New (W1)"/>
        </w:rPr>
        <w:t xml:space="preserve"> although the majority does not expressly say so</w:t>
      </w:r>
      <w:r>
        <w:rPr>
          <w:rFonts w:ascii="Times New (W1)" w:hAnsi="Times New (W1)"/>
        </w:rPr>
        <w:t xml:space="preserve"> – </w:t>
      </w:r>
      <w:r w:rsidRPr="008173F5">
        <w:rPr>
          <w:rFonts w:ascii="Times New (W1)" w:hAnsi="Times New (W1)"/>
        </w:rPr>
        <w:t>comes close to one</w:t>
      </w:r>
      <w:r>
        <w:rPr>
          <w:rFonts w:ascii="Times New (W1)" w:hAnsi="Times New (W1)"/>
        </w:rPr>
        <w:t xml:space="preserve"> that should </w:t>
      </w:r>
      <w:r w:rsidRPr="008173F5">
        <w:rPr>
          <w:rFonts w:ascii="Times New (W1)" w:hAnsi="Times New (W1)"/>
        </w:rPr>
        <w:t>be viewed under Article 6: the only point that matters (</w:t>
      </w:r>
      <w:r w:rsidR="00D82588">
        <w:rPr>
          <w:rFonts w:ascii="Times New (W1)" w:hAnsi="Times New (W1)"/>
        </w:rPr>
        <w:t>see paragraph </w:t>
      </w:r>
      <w:r>
        <w:rPr>
          <w:rFonts w:ascii="Times New (W1)" w:hAnsi="Times New (W1)"/>
        </w:rPr>
        <w:t xml:space="preserve">85 of the </w:t>
      </w:r>
      <w:r w:rsidRPr="008173F5">
        <w:rPr>
          <w:rFonts w:ascii="Times New (W1)" w:hAnsi="Times New (W1)"/>
        </w:rPr>
        <w:t>judgment) is whether there has been “any arbitrariness or manifest unreasonableness” on the part of the organs of the Portuguese State.</w:t>
      </w:r>
      <w:r>
        <w:rPr>
          <w:rFonts w:ascii="Times New (W1)" w:hAnsi="Times New (W1)"/>
        </w:rPr>
        <w:t xml:space="preserve"> </w:t>
      </w:r>
      <w:r w:rsidRPr="008173F5">
        <w:rPr>
          <w:rFonts w:ascii="Times New (W1)" w:hAnsi="Times New (W1)"/>
        </w:rPr>
        <w:t>The majority reaches the conclusion that there has not.</w:t>
      </w:r>
    </w:p>
    <w:p w:rsidR="00E00E40" w:rsidP="00354CEA" w:rsidRDefault="00354CEA">
      <w:pPr>
        <w:pStyle w:val="OpiPara"/>
        <w:rPr>
          <w:rFonts w:ascii="Times New (W1)" w:hAnsi="Times New (W1)"/>
        </w:rPr>
      </w:pPr>
      <w:r>
        <w:rPr>
          <w:rFonts w:ascii="Times New (W1)" w:hAnsi="Times New (W1)"/>
        </w:rPr>
        <w:t>8.  </w:t>
      </w:r>
      <w:r w:rsidRPr="008173F5">
        <w:rPr>
          <w:rFonts w:ascii="Times New (W1)" w:hAnsi="Times New (W1)"/>
        </w:rPr>
        <w:t>In our view, the Court</w:t>
      </w:r>
      <w:r w:rsidR="008B5D8B">
        <w:rPr>
          <w:rFonts w:ascii="Times New (W1)" w:hAnsi="Times New (W1)"/>
        </w:rPr>
        <w:t>’</w:t>
      </w:r>
      <w:r w:rsidRPr="008173F5">
        <w:rPr>
          <w:rFonts w:ascii="Times New (W1)" w:hAnsi="Times New (W1)"/>
        </w:rPr>
        <w:t>s reasoning is both</w:t>
      </w:r>
      <w:r>
        <w:rPr>
          <w:rFonts w:ascii="Times New (W1)" w:hAnsi="Times New (W1)"/>
        </w:rPr>
        <w:t xml:space="preserve"> debatable and contradictory. </w:t>
      </w:r>
      <w:r w:rsidRPr="008173F5">
        <w:rPr>
          <w:rFonts w:ascii="Times New (W1)" w:hAnsi="Times New (W1)"/>
        </w:rPr>
        <w:t>The case opposes an individual applicant</w:t>
      </w:r>
      <w:r>
        <w:rPr>
          <w:rFonts w:ascii="Times New (W1)" w:hAnsi="Times New (W1)"/>
        </w:rPr>
        <w:t xml:space="preserve"> against </w:t>
      </w:r>
      <w:r w:rsidRPr="008173F5">
        <w:rPr>
          <w:rFonts w:ascii="Times New (W1)" w:hAnsi="Times New (W1)"/>
        </w:rPr>
        <w:t>a State; the applicant</w:t>
      </w:r>
      <w:r>
        <w:rPr>
          <w:rFonts w:ascii="Times New (W1)" w:hAnsi="Times New (W1)"/>
        </w:rPr>
        <w:t xml:space="preserve"> company</w:t>
      </w:r>
      <w:r w:rsidR="008B5D8B">
        <w:rPr>
          <w:rFonts w:ascii="Times New (W1)" w:hAnsi="Times New (W1)"/>
        </w:rPr>
        <w:t>’</w:t>
      </w:r>
      <w:r w:rsidRPr="008173F5">
        <w:rPr>
          <w:rFonts w:ascii="Times New (W1)" w:hAnsi="Times New (W1)"/>
        </w:rPr>
        <w:t>s grievance is that i</w:t>
      </w:r>
      <w:r>
        <w:rPr>
          <w:rFonts w:ascii="Times New (W1)" w:hAnsi="Times New (W1)"/>
        </w:rPr>
        <w:t>t</w:t>
      </w:r>
      <w:r w:rsidRPr="008173F5">
        <w:rPr>
          <w:rFonts w:ascii="Times New (W1)" w:hAnsi="Times New (W1)"/>
        </w:rPr>
        <w:t xml:space="preserve"> has been deprived of a “possession” or “legitimate expectation” by the Portuguese courts.</w:t>
      </w:r>
      <w:r>
        <w:rPr>
          <w:rFonts w:ascii="Times New (W1)" w:hAnsi="Times New (W1)"/>
        </w:rPr>
        <w:t xml:space="preserve"> </w:t>
      </w:r>
      <w:r w:rsidRPr="008173F5">
        <w:rPr>
          <w:rFonts w:ascii="Times New (W1)" w:hAnsi="Times New (W1)"/>
        </w:rPr>
        <w:t>Accordingly,</w:t>
      </w:r>
      <w:r>
        <w:rPr>
          <w:rFonts w:ascii="Times New (W1)" w:hAnsi="Times New (W1)"/>
        </w:rPr>
        <w:t xml:space="preserve"> the case </w:t>
      </w:r>
      <w:r w:rsidRPr="008173F5">
        <w:rPr>
          <w:rFonts w:ascii="Times New (W1)" w:hAnsi="Times New (W1)"/>
        </w:rPr>
        <w:t xml:space="preserve">does </w:t>
      </w:r>
      <w:r w:rsidRPr="00FD5502">
        <w:rPr>
          <w:rFonts w:ascii="Times New (W1)" w:hAnsi="Times New (W1)"/>
          <w:i/>
        </w:rPr>
        <w:t>not</w:t>
      </w:r>
      <w:r>
        <w:rPr>
          <w:rFonts w:ascii="Times New (W1)" w:hAnsi="Times New (W1)"/>
        </w:rPr>
        <w:t xml:space="preserve"> </w:t>
      </w:r>
      <w:r w:rsidRPr="008173F5">
        <w:rPr>
          <w:rFonts w:ascii="Times New (W1)" w:hAnsi="Times New (W1)"/>
        </w:rPr>
        <w:t>pertain to a “private” conflict between private comp</w:t>
      </w:r>
      <w:r>
        <w:rPr>
          <w:rFonts w:ascii="Times New (W1)" w:hAnsi="Times New (W1)"/>
        </w:rPr>
        <w:t>anies. The majority is wrong in</w:t>
      </w:r>
      <w:r w:rsidRPr="008173F5">
        <w:rPr>
          <w:rFonts w:ascii="Times New (W1)" w:hAnsi="Times New (W1)"/>
        </w:rPr>
        <w:t xml:space="preserve"> think</w:t>
      </w:r>
      <w:r>
        <w:rPr>
          <w:rFonts w:ascii="Times New (W1)" w:hAnsi="Times New (W1)"/>
        </w:rPr>
        <w:t>ing</w:t>
      </w:r>
      <w:r w:rsidRPr="008173F5">
        <w:rPr>
          <w:rFonts w:ascii="Times New (W1)" w:hAnsi="Times New (W1)"/>
        </w:rPr>
        <w:t xml:space="preserve"> the contrary and, in </w:t>
      </w:r>
      <w:r>
        <w:rPr>
          <w:rFonts w:ascii="Times New (W1)" w:hAnsi="Times New (W1)"/>
        </w:rPr>
        <w:t>fact, in</w:t>
      </w:r>
      <w:r w:rsidRPr="008173F5">
        <w:rPr>
          <w:rFonts w:ascii="Times New (W1)" w:hAnsi="Times New (W1)"/>
        </w:rPr>
        <w:t xml:space="preserve"> view</w:t>
      </w:r>
      <w:r>
        <w:rPr>
          <w:rFonts w:ascii="Times New (W1)" w:hAnsi="Times New (W1)"/>
        </w:rPr>
        <w:t>ing</w:t>
      </w:r>
      <w:r w:rsidRPr="008173F5">
        <w:rPr>
          <w:rFonts w:ascii="Times New (W1)" w:hAnsi="Times New (W1)"/>
        </w:rPr>
        <w:t xml:space="preserve"> the issue as something akin to Article 6.</w:t>
      </w:r>
      <w:r>
        <w:rPr>
          <w:rFonts w:ascii="Times New (W1)" w:hAnsi="Times New (W1)"/>
        </w:rPr>
        <w:t xml:space="preserve"> </w:t>
      </w:r>
      <w:r w:rsidRPr="008173F5">
        <w:rPr>
          <w:rFonts w:ascii="Times New (W1)" w:hAnsi="Times New (W1)"/>
        </w:rPr>
        <w:t xml:space="preserve">And, </w:t>
      </w:r>
      <w:r>
        <w:rPr>
          <w:rFonts w:ascii="Times New (W1)" w:hAnsi="Times New (W1)"/>
        </w:rPr>
        <w:t>even if it were right</w:t>
      </w:r>
      <w:r w:rsidRPr="008173F5">
        <w:rPr>
          <w:rFonts w:ascii="Times New (W1)" w:hAnsi="Times New (W1)"/>
        </w:rPr>
        <w:t xml:space="preserve"> </w:t>
      </w:r>
      <w:r>
        <w:rPr>
          <w:rFonts w:ascii="Times New (W1)" w:hAnsi="Times New (W1)"/>
        </w:rPr>
        <w:t>–</w:t>
      </w:r>
      <w:r w:rsidRPr="008173F5">
        <w:rPr>
          <w:rFonts w:ascii="Times New (W1)" w:hAnsi="Times New (W1)"/>
        </w:rPr>
        <w:t xml:space="preserve"> herein lies the contradiction </w:t>
      </w:r>
      <w:r>
        <w:rPr>
          <w:rFonts w:ascii="Times New (W1)" w:hAnsi="Times New (W1)"/>
        </w:rPr>
        <w:t>–</w:t>
      </w:r>
      <w:r w:rsidRPr="008173F5">
        <w:rPr>
          <w:rFonts w:ascii="Times New (W1)" w:hAnsi="Times New (W1)"/>
        </w:rPr>
        <w:t xml:space="preserve"> why did </w:t>
      </w:r>
      <w:r>
        <w:rPr>
          <w:rFonts w:ascii="Times New (W1)" w:hAnsi="Times New (W1)"/>
        </w:rPr>
        <w:t>it</w:t>
      </w:r>
      <w:r w:rsidRPr="008173F5">
        <w:rPr>
          <w:rFonts w:ascii="Times New (W1)" w:hAnsi="Times New (W1)"/>
        </w:rPr>
        <w:t xml:space="preserve"> bother at all with a lengthy analysis </w:t>
      </w:r>
      <w:r>
        <w:rPr>
          <w:rFonts w:ascii="Times New (W1)" w:hAnsi="Times New (W1)"/>
        </w:rPr>
        <w:t xml:space="preserve">(see paragraphs 66-78 of the </w:t>
      </w:r>
      <w:r w:rsidRPr="008173F5">
        <w:rPr>
          <w:rFonts w:ascii="Times New (W1)" w:hAnsi="Times New (W1)"/>
        </w:rPr>
        <w:t>judgment) of the applicability</w:t>
      </w:r>
      <w:r>
        <w:rPr>
          <w:rFonts w:ascii="Times New (W1)" w:hAnsi="Times New (W1)"/>
        </w:rPr>
        <w:t xml:space="preserve"> of Article 1 of Protocol No. 1?</w:t>
      </w:r>
    </w:p>
    <w:p w:rsidRPr="008173F5" w:rsidR="00354CEA" w:rsidP="00354CEA" w:rsidRDefault="00354CEA">
      <w:pPr>
        <w:pStyle w:val="OpiPara"/>
        <w:rPr>
          <w:rFonts w:ascii="Times New (W1)" w:hAnsi="Times New (W1)"/>
        </w:rPr>
      </w:pPr>
      <w:r>
        <w:rPr>
          <w:rFonts w:ascii="Times New (W1)" w:hAnsi="Times New (W1)"/>
        </w:rPr>
        <w:t>9.  </w:t>
      </w:r>
      <w:r w:rsidRPr="008173F5">
        <w:rPr>
          <w:rFonts w:ascii="Times New (W1)" w:hAnsi="Times New (W1)"/>
        </w:rPr>
        <w:t>In examining whether there was an unlawful interference with the applicant</w:t>
      </w:r>
      <w:r>
        <w:rPr>
          <w:rFonts w:ascii="Times New (W1)" w:hAnsi="Times New (W1)"/>
        </w:rPr>
        <w:t xml:space="preserve"> company</w:t>
      </w:r>
      <w:r w:rsidR="008B5D8B">
        <w:rPr>
          <w:rFonts w:ascii="Times New (W1)" w:hAnsi="Times New (W1)"/>
        </w:rPr>
        <w:t>’</w:t>
      </w:r>
      <w:r w:rsidRPr="008173F5">
        <w:rPr>
          <w:rFonts w:ascii="Times New (W1)" w:hAnsi="Times New (W1)"/>
        </w:rPr>
        <w:t xml:space="preserve">s “legitimate expectation”, the following points should be </w:t>
      </w:r>
      <w:r>
        <w:rPr>
          <w:rFonts w:ascii="Times New (W1)" w:hAnsi="Times New (W1)"/>
        </w:rPr>
        <w:t>borne in mind</w:t>
      </w:r>
      <w:r w:rsidRPr="008173F5">
        <w:rPr>
          <w:rFonts w:ascii="Times New (W1)" w:hAnsi="Times New (W1)"/>
        </w:rPr>
        <w:t>:</w:t>
      </w:r>
    </w:p>
    <w:p w:rsidRPr="008173F5" w:rsidR="00354CEA" w:rsidP="00354CEA" w:rsidRDefault="00D82588">
      <w:pPr>
        <w:pStyle w:val="OpiPara"/>
        <w:rPr>
          <w:rFonts w:ascii="Times New (W1)" w:hAnsi="Times New (W1)"/>
        </w:rPr>
      </w:pPr>
      <w:r>
        <w:rPr>
          <w:rFonts w:ascii="Times New (W1)" w:hAnsi="Times New (W1)"/>
        </w:rPr>
        <w:t>–  </w:t>
      </w:r>
      <w:r w:rsidRPr="008173F5" w:rsidR="00354CEA">
        <w:rPr>
          <w:rFonts w:ascii="Times New (W1)" w:hAnsi="Times New (W1)"/>
        </w:rPr>
        <w:t>It appears doubtful</w:t>
      </w:r>
      <w:r w:rsidR="00354CEA">
        <w:rPr>
          <w:rFonts w:ascii="Times New (W1)" w:hAnsi="Times New (W1)"/>
        </w:rPr>
        <w:t xml:space="preserve"> that </w:t>
      </w:r>
      <w:r w:rsidRPr="008173F5" w:rsidR="00354CEA">
        <w:rPr>
          <w:rFonts w:ascii="Times New (W1)" w:hAnsi="Times New (W1)"/>
        </w:rPr>
        <w:t>the act of dispossession brought ab</w:t>
      </w:r>
      <w:r w:rsidR="00354CEA">
        <w:rPr>
          <w:rFonts w:ascii="Times New (W1)" w:hAnsi="Times New (W1)"/>
        </w:rPr>
        <w:t>out by the Portuguese Code of I</w:t>
      </w:r>
      <w:r w:rsidRPr="008173F5" w:rsidR="00354CEA">
        <w:rPr>
          <w:rFonts w:ascii="Times New (W1)" w:hAnsi="Times New (W1)"/>
        </w:rPr>
        <w:t xml:space="preserve">ndustrial Property, as a consequence of the </w:t>
      </w:r>
      <w:r>
        <w:rPr>
          <w:rFonts w:ascii="Times New (W1)" w:hAnsi="Times New (W1)"/>
        </w:rPr>
        <w:t>B</w:t>
      </w:r>
      <w:r w:rsidRPr="008173F5" w:rsidR="00354CEA">
        <w:rPr>
          <w:rFonts w:ascii="Times New (W1)" w:hAnsi="Times New (W1)"/>
        </w:rPr>
        <w:t>ilateral Agreement of 1986, was really performed in the public interest.</w:t>
      </w:r>
    </w:p>
    <w:p w:rsidRPr="008173F5" w:rsidR="00354CEA" w:rsidP="00354CEA" w:rsidRDefault="00D82588">
      <w:pPr>
        <w:pStyle w:val="OpiPara"/>
        <w:rPr>
          <w:rFonts w:ascii="Times New (W1)" w:hAnsi="Times New (W1)"/>
        </w:rPr>
      </w:pPr>
      <w:r>
        <w:rPr>
          <w:rFonts w:ascii="Times New (W1)" w:hAnsi="Times New (W1)"/>
        </w:rPr>
        <w:t>–  </w:t>
      </w:r>
      <w:r w:rsidR="00354CEA">
        <w:rPr>
          <w:rFonts w:ascii="Times New (W1)" w:hAnsi="Times New (W1)"/>
        </w:rPr>
        <w:t>If, like us, one assumes,</w:t>
      </w:r>
      <w:r w:rsidRPr="008173F5" w:rsidR="00354CEA">
        <w:rPr>
          <w:rFonts w:ascii="Times New (W1)" w:hAnsi="Times New (W1)"/>
        </w:rPr>
        <w:t xml:space="preserve"> that the</w:t>
      </w:r>
      <w:r w:rsidR="00354CEA">
        <w:rPr>
          <w:rFonts w:ascii="Times New (W1)" w:hAnsi="Times New (W1)"/>
        </w:rPr>
        <w:t xml:space="preserve"> applicant for the registration </w:t>
      </w:r>
      <w:r w:rsidRPr="008173F5" w:rsidR="00354CEA">
        <w:rPr>
          <w:rFonts w:ascii="Times New (W1)" w:hAnsi="Times New (W1)"/>
        </w:rPr>
        <w:t xml:space="preserve">of </w:t>
      </w:r>
      <w:r w:rsidR="00354CEA">
        <w:rPr>
          <w:rFonts w:ascii="Times New (W1)" w:hAnsi="Times New (W1)"/>
        </w:rPr>
        <w:t>a</w:t>
      </w:r>
      <w:r>
        <w:rPr>
          <w:rFonts w:ascii="Times New (W1)" w:hAnsi="Times New (W1)"/>
        </w:rPr>
        <w:t xml:space="preserve"> </w:t>
      </w:r>
      <w:r w:rsidRPr="008173F5" w:rsidR="00354CEA">
        <w:rPr>
          <w:rFonts w:ascii="Times New (W1)" w:hAnsi="Times New (W1)"/>
        </w:rPr>
        <w:t xml:space="preserve">trade </w:t>
      </w:r>
      <w:r w:rsidR="00354CEA">
        <w:rPr>
          <w:rFonts w:ascii="Times New (W1)" w:hAnsi="Times New (W1)"/>
        </w:rPr>
        <w:t>mark</w:t>
      </w:r>
      <w:r w:rsidRPr="008173F5" w:rsidR="00354CEA">
        <w:rPr>
          <w:rFonts w:ascii="Times New (W1)" w:hAnsi="Times New (W1)"/>
        </w:rPr>
        <w:t xml:space="preserve"> enjoys a “legitimate expectation”, protected</w:t>
      </w:r>
      <w:r>
        <w:rPr>
          <w:rFonts w:ascii="Times New (W1)" w:hAnsi="Times New (W1)"/>
        </w:rPr>
        <w:t xml:space="preserve"> by Article 1</w:t>
      </w:r>
      <w:r w:rsidR="00354CEA">
        <w:rPr>
          <w:rFonts w:ascii="Times New (W1)" w:hAnsi="Times New (W1)"/>
        </w:rPr>
        <w:t>of Protocol No. 1</w:t>
      </w:r>
      <w:r w:rsidRPr="008173F5" w:rsidR="00354CEA">
        <w:rPr>
          <w:rFonts w:ascii="Times New (W1)" w:hAnsi="Times New (W1)"/>
        </w:rPr>
        <w:t>, that expectation</w:t>
      </w:r>
      <w:r w:rsidR="00354CEA">
        <w:rPr>
          <w:rFonts w:ascii="Times New (W1)" w:hAnsi="Times New (W1)"/>
        </w:rPr>
        <w:t>,</w:t>
      </w:r>
      <w:r w:rsidRPr="008173F5" w:rsidR="00354CEA">
        <w:rPr>
          <w:rFonts w:ascii="Times New (W1)" w:hAnsi="Times New (W1)"/>
        </w:rPr>
        <w:t xml:space="preserve"> </w:t>
      </w:r>
      <w:r w:rsidR="00354CEA">
        <w:rPr>
          <w:rFonts w:ascii="Times New (W1)" w:hAnsi="Times New (W1)"/>
        </w:rPr>
        <w:t xml:space="preserve">and </w:t>
      </w:r>
      <w:r>
        <w:rPr>
          <w:rFonts w:ascii="Times New (W1)" w:hAnsi="Times New (W1)"/>
        </w:rPr>
        <w:t xml:space="preserve">in particular the priority </w:t>
      </w:r>
      <w:r w:rsidRPr="008173F5" w:rsidR="00354CEA">
        <w:rPr>
          <w:rFonts w:ascii="Times New (W1)" w:hAnsi="Times New (W1)"/>
        </w:rPr>
        <w:t xml:space="preserve">inherent </w:t>
      </w:r>
      <w:r w:rsidR="00354CEA">
        <w:rPr>
          <w:rFonts w:ascii="Times New (W1)" w:hAnsi="Times New (W1)"/>
        </w:rPr>
        <w:t>there</w:t>
      </w:r>
      <w:r w:rsidRPr="008173F5" w:rsidR="00354CEA">
        <w:rPr>
          <w:rFonts w:ascii="Times New (W1)" w:hAnsi="Times New (W1)"/>
        </w:rPr>
        <w:t>in</w:t>
      </w:r>
      <w:r w:rsidR="00354CEA">
        <w:rPr>
          <w:rFonts w:ascii="Times New (W1)" w:hAnsi="Times New (W1)"/>
        </w:rPr>
        <w:t>,</w:t>
      </w:r>
      <w:r w:rsidRPr="008173F5" w:rsidR="00354CEA">
        <w:rPr>
          <w:rFonts w:ascii="Times New (W1)" w:hAnsi="Times New (W1)"/>
        </w:rPr>
        <w:t xml:space="preserve"> </w:t>
      </w:r>
      <w:r w:rsidR="00354CEA">
        <w:rPr>
          <w:rFonts w:ascii="Times New (W1)" w:hAnsi="Times New (W1)"/>
        </w:rPr>
        <w:t>w</w:t>
      </w:r>
      <w:r w:rsidRPr="008173F5" w:rsidR="00354CEA">
        <w:rPr>
          <w:rFonts w:ascii="Times New (W1)" w:hAnsi="Times New (W1)"/>
        </w:rPr>
        <w:t>as destroyed through the retroactive application of the 1986 Agreement.</w:t>
      </w:r>
    </w:p>
    <w:p w:rsidRPr="008173F5" w:rsidR="00354CEA" w:rsidP="00354CEA" w:rsidRDefault="00D82588">
      <w:pPr>
        <w:pStyle w:val="OpiPara"/>
        <w:rPr>
          <w:rFonts w:ascii="Times New (W1)" w:hAnsi="Times New (W1)"/>
        </w:rPr>
      </w:pPr>
      <w:r>
        <w:rPr>
          <w:rFonts w:ascii="Times New (W1)" w:hAnsi="Times New (W1)"/>
        </w:rPr>
        <w:t>–  </w:t>
      </w:r>
      <w:r w:rsidRPr="008173F5" w:rsidR="00354CEA">
        <w:rPr>
          <w:rFonts w:ascii="Times New (W1)" w:hAnsi="Times New (W1)"/>
        </w:rPr>
        <w:t xml:space="preserve">As a company of foreign nationality, the applicant is protected by </w:t>
      </w:r>
      <w:r w:rsidR="00354CEA">
        <w:rPr>
          <w:rFonts w:ascii="Times New (W1)" w:hAnsi="Times New (W1)"/>
        </w:rPr>
        <w:t>the “general principles</w:t>
      </w:r>
      <w:r w:rsidRPr="008173F5" w:rsidR="00354CEA">
        <w:rPr>
          <w:rFonts w:ascii="Times New (W1)" w:hAnsi="Times New (W1)"/>
        </w:rPr>
        <w:t xml:space="preserve"> of international law” mentioned in the first paragraph of Protocol N</w:t>
      </w:r>
      <w:r w:rsidR="00354CEA">
        <w:rPr>
          <w:rFonts w:ascii="Times New (W1)" w:hAnsi="Times New (W1)"/>
        </w:rPr>
        <w:t>o.</w:t>
      </w:r>
      <w:r w:rsidRPr="008173F5" w:rsidR="00354CEA">
        <w:rPr>
          <w:rFonts w:ascii="Times New (W1)" w:hAnsi="Times New (W1)"/>
        </w:rPr>
        <w:t xml:space="preserve"> </w:t>
      </w:r>
      <w:r w:rsidR="00354CEA">
        <w:rPr>
          <w:rFonts w:ascii="Times New (W1)" w:hAnsi="Times New (W1)"/>
        </w:rPr>
        <w:t>1</w:t>
      </w:r>
      <w:r>
        <w:rPr>
          <w:rFonts w:ascii="Times New (W1)" w:hAnsi="Times New (W1)"/>
        </w:rPr>
        <w:t>, such as the principle of non-</w:t>
      </w:r>
      <w:r w:rsidRPr="008173F5" w:rsidR="00354CEA">
        <w:rPr>
          <w:rFonts w:ascii="Times New (W1)" w:hAnsi="Times New (W1)"/>
        </w:rPr>
        <w:t xml:space="preserve">discrimination and </w:t>
      </w:r>
      <w:r w:rsidR="00354CEA">
        <w:rPr>
          <w:rFonts w:ascii="Times New (W1)" w:hAnsi="Times New (W1)"/>
        </w:rPr>
        <w:t xml:space="preserve">the rule requiring </w:t>
      </w:r>
      <w:r w:rsidRPr="008173F5" w:rsidR="00354CEA">
        <w:rPr>
          <w:rFonts w:ascii="Times New (W1)" w:hAnsi="Times New (W1)"/>
        </w:rPr>
        <w:t>prompt, adequ</w:t>
      </w:r>
      <w:r w:rsidR="00354CEA">
        <w:rPr>
          <w:rFonts w:ascii="Times New (W1)" w:hAnsi="Times New (W1)"/>
        </w:rPr>
        <w:t>ate and ef</w:t>
      </w:r>
      <w:r>
        <w:rPr>
          <w:rFonts w:ascii="Times New (W1)" w:hAnsi="Times New (W1)"/>
        </w:rPr>
        <w:t xml:space="preserve">fective </w:t>
      </w:r>
      <w:r w:rsidR="00354CEA">
        <w:rPr>
          <w:rFonts w:ascii="Times New (W1)" w:hAnsi="Times New (W1)"/>
        </w:rPr>
        <w:t xml:space="preserve">compensation, </w:t>
      </w:r>
      <w:r w:rsidRPr="008173F5" w:rsidR="00354CEA">
        <w:rPr>
          <w:rFonts w:ascii="Times New (W1)" w:hAnsi="Times New (W1)"/>
        </w:rPr>
        <w:t>which has bee</w:t>
      </w:r>
      <w:r w:rsidR="00354CEA">
        <w:rPr>
          <w:rFonts w:ascii="Times New (W1)" w:hAnsi="Times New (W1)"/>
        </w:rPr>
        <w:t>n</w:t>
      </w:r>
      <w:r w:rsidRPr="008173F5" w:rsidR="00354CEA">
        <w:rPr>
          <w:rFonts w:ascii="Times New (W1)" w:hAnsi="Times New (W1)"/>
        </w:rPr>
        <w:t xml:space="preserve"> disregarded in the present case.</w:t>
      </w:r>
    </w:p>
    <w:p w:rsidR="00354CEA" w:rsidP="00354CEA" w:rsidRDefault="00354CEA">
      <w:pPr>
        <w:pStyle w:val="OpiPara"/>
        <w:rPr>
          <w:rFonts w:ascii="Times New (W1)" w:hAnsi="Times New (W1)"/>
        </w:rPr>
      </w:pPr>
      <w:r w:rsidRPr="008173F5">
        <w:rPr>
          <w:rFonts w:ascii="Times New (W1)" w:hAnsi="Times New (W1)"/>
        </w:rPr>
        <w:t>The above considerations lead us to the conclusion that there has bee</w:t>
      </w:r>
      <w:r>
        <w:rPr>
          <w:rFonts w:ascii="Times New (W1)" w:hAnsi="Times New (W1)"/>
        </w:rPr>
        <w:t>n</w:t>
      </w:r>
      <w:r w:rsidRPr="008173F5">
        <w:rPr>
          <w:rFonts w:ascii="Times New (W1)" w:hAnsi="Times New (W1)"/>
        </w:rPr>
        <w:t xml:space="preserve"> an unlawful interference with the applicant</w:t>
      </w:r>
      <w:r>
        <w:rPr>
          <w:rFonts w:ascii="Times New (W1)" w:hAnsi="Times New (W1)"/>
        </w:rPr>
        <w:t xml:space="preserve"> company</w:t>
      </w:r>
      <w:r w:rsidR="008B5D8B">
        <w:rPr>
          <w:rFonts w:ascii="Times New (W1)" w:hAnsi="Times New (W1)"/>
        </w:rPr>
        <w:t>’</w:t>
      </w:r>
      <w:r w:rsidRPr="008173F5">
        <w:rPr>
          <w:rFonts w:ascii="Times New (W1)" w:hAnsi="Times New (W1)"/>
        </w:rPr>
        <w:t>s “legi</w:t>
      </w:r>
      <w:r>
        <w:rPr>
          <w:rFonts w:ascii="Times New (W1)" w:hAnsi="Times New (W1)"/>
        </w:rPr>
        <w:t>ti</w:t>
      </w:r>
      <w:r w:rsidRPr="008173F5">
        <w:rPr>
          <w:rFonts w:ascii="Times New (W1)" w:hAnsi="Times New (W1)"/>
        </w:rPr>
        <w:t>mate expectation” and, accordingly</w:t>
      </w:r>
      <w:r>
        <w:rPr>
          <w:rFonts w:ascii="Times New (W1)" w:hAnsi="Times New (W1)"/>
        </w:rPr>
        <w:t xml:space="preserve">, a violation of Article 1 of </w:t>
      </w:r>
      <w:r w:rsidRPr="008173F5">
        <w:rPr>
          <w:rFonts w:ascii="Times New (W1)" w:hAnsi="Times New (W1)"/>
        </w:rPr>
        <w:t>Protocol N</w:t>
      </w:r>
      <w:r>
        <w:rPr>
          <w:rFonts w:ascii="Times New (W1)" w:hAnsi="Times New (W1)"/>
        </w:rPr>
        <w:t>o.</w:t>
      </w:r>
      <w:r w:rsidRPr="008173F5">
        <w:rPr>
          <w:rFonts w:ascii="Times New (W1)" w:hAnsi="Times New (W1)"/>
        </w:rPr>
        <w:t xml:space="preserve"> </w:t>
      </w:r>
      <w:r>
        <w:rPr>
          <w:rFonts w:ascii="Times New (W1)" w:hAnsi="Times New (W1)"/>
        </w:rPr>
        <w:t>1</w:t>
      </w:r>
      <w:r w:rsidRPr="008173F5">
        <w:rPr>
          <w:rFonts w:ascii="Times New (W1)" w:hAnsi="Times New (W1)"/>
        </w:rPr>
        <w:t>.</w:t>
      </w:r>
    </w:p>
    <w:p w:rsidRPr="008173F5" w:rsidR="00354CEA" w:rsidP="00354CEA" w:rsidRDefault="00354CEA">
      <w:pPr>
        <w:pStyle w:val="OpiPara"/>
        <w:rPr>
          <w:rFonts w:ascii="Times New (W1)" w:hAnsi="Times New (W1)"/>
        </w:rPr>
      </w:pPr>
      <w:r>
        <w:rPr>
          <w:rFonts w:ascii="Times New (W1)" w:hAnsi="Times New (W1)"/>
        </w:rPr>
        <w:t>10.  By</w:t>
      </w:r>
      <w:r w:rsidR="00D82588">
        <w:rPr>
          <w:rFonts w:ascii="Times New (W1)" w:hAnsi="Times New (W1)"/>
        </w:rPr>
        <w:t xml:space="preserve"> concluding the B</w:t>
      </w:r>
      <w:r w:rsidRPr="008173F5">
        <w:rPr>
          <w:rFonts w:ascii="Times New (W1)" w:hAnsi="Times New (W1)"/>
        </w:rPr>
        <w:t>ilateral Agreement of 1986 and applying it retroactively, the Portuguese authorities have objectively caused</w:t>
      </w:r>
      <w:r>
        <w:rPr>
          <w:rFonts w:ascii="Times New (W1)" w:hAnsi="Times New (W1)"/>
        </w:rPr>
        <w:t xml:space="preserve"> da</w:t>
      </w:r>
      <w:r w:rsidR="00D7498A">
        <w:rPr>
          <w:rFonts w:ascii="Times New (W1)" w:hAnsi="Times New (W1)"/>
        </w:rPr>
        <w:t xml:space="preserve">mage to the applicant company. </w:t>
      </w:r>
      <w:r w:rsidRPr="008173F5">
        <w:rPr>
          <w:rFonts w:ascii="Times New (W1)" w:hAnsi="Times New (W1)"/>
        </w:rPr>
        <w:t>Whether they</w:t>
      </w:r>
      <w:r>
        <w:rPr>
          <w:rFonts w:ascii="Times New (W1)" w:hAnsi="Times New (W1)"/>
        </w:rPr>
        <w:t xml:space="preserve"> did </w:t>
      </w:r>
      <w:r w:rsidRPr="008173F5">
        <w:rPr>
          <w:rFonts w:ascii="Times New (W1)" w:hAnsi="Times New (W1)"/>
        </w:rPr>
        <w:t>so deliberately or not might have</w:t>
      </w:r>
      <w:r>
        <w:rPr>
          <w:rFonts w:ascii="Times New (W1)" w:hAnsi="Times New (W1)"/>
        </w:rPr>
        <w:t xml:space="preserve"> affected </w:t>
      </w:r>
      <w:r w:rsidRPr="008173F5">
        <w:rPr>
          <w:rFonts w:ascii="Times New (W1)" w:hAnsi="Times New (W1)"/>
        </w:rPr>
        <w:t>the quantum of</w:t>
      </w:r>
      <w:r>
        <w:rPr>
          <w:rFonts w:ascii="Times New (W1)" w:hAnsi="Times New (W1)"/>
        </w:rPr>
        <w:t xml:space="preserve"> damages </w:t>
      </w:r>
      <w:r w:rsidRPr="008173F5">
        <w:rPr>
          <w:rFonts w:ascii="Times New (W1)" w:hAnsi="Times New (W1)"/>
        </w:rPr>
        <w:t>to be</w:t>
      </w:r>
      <w:r>
        <w:rPr>
          <w:rFonts w:ascii="Times New (W1)" w:hAnsi="Times New (W1)"/>
        </w:rPr>
        <w:t xml:space="preserve"> awarded</w:t>
      </w:r>
      <w:r w:rsidRPr="008173F5">
        <w:rPr>
          <w:rFonts w:ascii="Times New (W1)" w:hAnsi="Times New (W1)"/>
        </w:rPr>
        <w:t xml:space="preserve">, had </w:t>
      </w:r>
      <w:r>
        <w:rPr>
          <w:rFonts w:ascii="Times New (W1)" w:hAnsi="Times New (W1)"/>
        </w:rPr>
        <w:t xml:space="preserve">the Court found in the </w:t>
      </w:r>
      <w:r w:rsidRPr="008173F5">
        <w:rPr>
          <w:rFonts w:ascii="Times New (W1)" w:hAnsi="Times New (W1)"/>
        </w:rPr>
        <w:t>applicant</w:t>
      </w:r>
      <w:r>
        <w:rPr>
          <w:rFonts w:ascii="Times New (W1)" w:hAnsi="Times New (W1)"/>
        </w:rPr>
        <w:t xml:space="preserve"> company</w:t>
      </w:r>
      <w:r w:rsidR="008B5D8B">
        <w:rPr>
          <w:rFonts w:ascii="Times New (W1)" w:hAnsi="Times New (W1)"/>
        </w:rPr>
        <w:t>’</w:t>
      </w:r>
      <w:r>
        <w:rPr>
          <w:rFonts w:ascii="Times New (W1)" w:hAnsi="Times New (W1)"/>
        </w:rPr>
        <w:t xml:space="preserve">s favour. </w:t>
      </w:r>
      <w:r w:rsidRPr="008173F5">
        <w:rPr>
          <w:rFonts w:ascii="Times New (W1)" w:hAnsi="Times New (W1)"/>
        </w:rPr>
        <w:t>As it</w:t>
      </w:r>
      <w:r>
        <w:rPr>
          <w:rFonts w:ascii="Times New (W1)" w:hAnsi="Times New (W1)"/>
        </w:rPr>
        <w:t xml:space="preserve"> did </w:t>
      </w:r>
      <w:r w:rsidRPr="008173F5">
        <w:rPr>
          <w:rFonts w:ascii="Times New (W1)" w:hAnsi="Times New (W1)"/>
        </w:rPr>
        <w:t>not, the issue can remain undecided.</w:t>
      </w:r>
    </w:p>
    <w:sectPr w:rsidRPr="008173F5" w:rsidR="00354CEA" w:rsidSect="00D27DE3">
      <w:headerReference w:type="even" r:id="rId14"/>
      <w:headerReference w:type="default" r:id="rId15"/>
      <w:headerReference w:type="first" r:id="rId16"/>
      <w:footnotePr>
        <w:numRestart w:val="eachPage"/>
      </w:footnotePr>
      <w:type w:val="evenPage"/>
      <w:pgSz w:w="11906" w:h="16838"/>
      <w:pgMar w:top="2274" w:right="2274" w:bottom="2274" w:left="2274" w:header="170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899" w:rsidRDefault="00420899">
      <w:r>
        <w:separator/>
      </w:r>
    </w:p>
  </w:endnote>
  <w:endnote w:type="continuationSeparator" w:id="0">
    <w:p w:rsidR="00420899" w:rsidRDefault="0042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899" w:rsidRDefault="00420899">
      <w:r>
        <w:separator/>
      </w:r>
    </w:p>
  </w:footnote>
  <w:footnote w:type="continuationSeparator" w:id="0">
    <w:p w:rsidR="00420899" w:rsidRDefault="00420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99" w:rsidRPr="00011B3D" w:rsidRDefault="00420899">
    <w:pPr>
      <w:pStyle w:val="JuHeader"/>
      <w:rPr>
        <w:lang w:val="fr-FR"/>
      </w:rPr>
    </w:pPr>
    <w:r>
      <w:rPr>
        <w:rStyle w:val="PageNumber"/>
      </w:rPr>
      <w:fldChar w:fldCharType="begin"/>
    </w:r>
    <w:r w:rsidRPr="00011B3D">
      <w:rPr>
        <w:rStyle w:val="PageNumber"/>
        <w:lang w:val="fr-FR"/>
      </w:rPr>
      <w:instrText xml:space="preserve"> PAGE </w:instrText>
    </w:r>
    <w:r>
      <w:rPr>
        <w:rStyle w:val="PageNumber"/>
      </w:rPr>
      <w:fldChar w:fldCharType="separate"/>
    </w:r>
    <w:r>
      <w:rPr>
        <w:rStyle w:val="PageNumber"/>
        <w:noProof/>
        <w:lang w:val="fr-FR"/>
      </w:rPr>
      <w:t>4</w:t>
    </w:r>
    <w:r>
      <w:rPr>
        <w:rStyle w:val="PageNumber"/>
      </w:rPr>
      <w:fldChar w:fldCharType="end"/>
    </w:r>
    <w:r w:rsidRPr="00011B3D">
      <w:rPr>
        <w:lang w:val="fr-FR"/>
      </w:rPr>
      <w:tab/>
    </w:r>
    <w:r>
      <w:rPr>
        <w:lang w:val="fr-FR"/>
      </w:rPr>
      <w:t>ANHEUSER-BUSCH INC. v. PORTUGAL JUDGMENT</w:t>
    </w:r>
    <w:r>
      <w:rPr>
        <w:lang w:val="fr-FR"/>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99" w:rsidRDefault="00420899">
    <w:pPr>
      <w:pStyle w:val="Header"/>
    </w:pPr>
    <w:r>
      <w:rPr>
        <w:rStyle w:val="PageNumber"/>
      </w:rPr>
      <w:fldChar w:fldCharType="begin"/>
    </w:r>
    <w:r>
      <w:rPr>
        <w:rStyle w:val="PageNumber"/>
      </w:rPr>
      <w:instrText xml:space="preserve"> PAGE </w:instrText>
    </w:r>
    <w:r>
      <w:rPr>
        <w:rStyle w:val="PageNumber"/>
      </w:rPr>
      <w:fldChar w:fldCharType="separate"/>
    </w:r>
    <w:r w:rsidR="008B5D8B">
      <w:rPr>
        <w:rStyle w:val="PageNumber"/>
        <w:noProof/>
      </w:rPr>
      <w:t>32</w:t>
    </w:r>
    <w:r>
      <w:rPr>
        <w:rStyle w:val="PageNumber"/>
      </w:rPr>
      <w:fldChar w:fldCharType="end"/>
    </w:r>
    <w:r>
      <w:tab/>
      <w:t xml:space="preserve">ANHEUSER-BUSCH INC. v. </w:t>
    </w:r>
    <w:smartTag w:uri="urn:schemas-microsoft-com:office:smarttags" w:element="place">
      <w:smartTag w:uri="urn:schemas-microsoft-com:office:smarttags" w:element="country-region">
        <w:r>
          <w:t>PORTUGAL</w:t>
        </w:r>
      </w:smartTag>
    </w:smartTag>
    <w:r>
      <w:t xml:space="preserve"> JUDGMENT</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99" w:rsidRDefault="0042089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99" w:rsidRPr="00011B3D" w:rsidRDefault="00420899">
    <w:pPr>
      <w:pStyle w:val="JuHeader"/>
      <w:rPr>
        <w:lang w:val="fr-FR"/>
      </w:rPr>
    </w:pPr>
    <w:r>
      <w:rPr>
        <w:rStyle w:val="PageNumber"/>
      </w:rPr>
      <w:fldChar w:fldCharType="begin"/>
    </w:r>
    <w:r w:rsidRPr="00011B3D">
      <w:rPr>
        <w:rStyle w:val="PageNumber"/>
        <w:lang w:val="fr-FR"/>
      </w:rPr>
      <w:instrText xml:space="preserve"> PAGE </w:instrText>
    </w:r>
    <w:r>
      <w:rPr>
        <w:rStyle w:val="PageNumber"/>
      </w:rPr>
      <w:fldChar w:fldCharType="separate"/>
    </w:r>
    <w:r w:rsidR="008B5D8B">
      <w:rPr>
        <w:rStyle w:val="PageNumber"/>
        <w:noProof/>
        <w:lang w:val="fr-FR"/>
      </w:rPr>
      <w:t>28</w:t>
    </w:r>
    <w:r>
      <w:rPr>
        <w:rStyle w:val="PageNumber"/>
      </w:rPr>
      <w:fldChar w:fldCharType="end"/>
    </w:r>
    <w:r w:rsidRPr="00011B3D">
      <w:rPr>
        <w:lang w:val="fr-FR"/>
      </w:rPr>
      <w:tab/>
    </w:r>
    <w:r>
      <w:rPr>
        <w:lang w:val="fr-FR"/>
      </w:rPr>
      <w:t>ANHEUSER-BUSCH INC. v. PORTUGAL JUDGMENT</w:t>
    </w:r>
    <w:r>
      <w:rPr>
        <w:lang w:val="fr-FR"/>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99" w:rsidRDefault="00420899">
    <w:pPr>
      <w:pStyle w:val="Header"/>
    </w:pPr>
    <w:r>
      <w:tab/>
      <w:t xml:space="preserve">ANHEUSER-BUSCH INC. v. </w:t>
    </w:r>
    <w:smartTag w:uri="urn:schemas-microsoft-com:office:smarttags" w:element="place">
      <w:smartTag w:uri="urn:schemas-microsoft-com:office:smarttags" w:element="country-region">
        <w:r>
          <w:t>PORTUGAL</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8B5D8B">
      <w:rPr>
        <w:rStyle w:val="PageNumber"/>
        <w:noProof/>
      </w:rPr>
      <w:t>27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99" w:rsidRPr="00D27DE3" w:rsidRDefault="00420899">
    <w:pPr>
      <w:pStyle w:val="JuHeader"/>
    </w:pPr>
    <w:r>
      <w:rPr>
        <w:rStyle w:val="PageNumber"/>
      </w:rPr>
      <w:fldChar w:fldCharType="begin"/>
    </w:r>
    <w:r w:rsidRPr="00D27DE3">
      <w:rPr>
        <w:rStyle w:val="PageNumber"/>
      </w:rPr>
      <w:instrText xml:space="preserve"> PAGE </w:instrText>
    </w:r>
    <w:r>
      <w:rPr>
        <w:rStyle w:val="PageNumber"/>
      </w:rPr>
      <w:fldChar w:fldCharType="separate"/>
    </w:r>
    <w:r w:rsidR="008B5D8B">
      <w:rPr>
        <w:rStyle w:val="PageNumber"/>
        <w:noProof/>
      </w:rPr>
      <w:t>30</w:t>
    </w:r>
    <w:r>
      <w:rPr>
        <w:rStyle w:val="PageNumber"/>
      </w:rPr>
      <w:fldChar w:fldCharType="end"/>
    </w:r>
    <w:r w:rsidRPr="00D27DE3">
      <w:tab/>
      <w:t xml:space="preserve">ANHEUSER-BUSCH INC. v. </w:t>
    </w:r>
    <w:smartTag w:uri="urn:schemas-microsoft-com:office:smarttags" w:element="country-region">
      <w:smartTag w:uri="urn:schemas-microsoft-com:office:smarttags" w:element="place">
        <w:r w:rsidRPr="00D27DE3">
          <w:t>PORTUGAL</w:t>
        </w:r>
      </w:smartTag>
    </w:smartTag>
    <w:r w:rsidRPr="00D27DE3">
      <w:t xml:space="preserve"> JUDGMENT – </w:t>
    </w:r>
    <w:r w:rsidRPr="00D27DE3">
      <w:tab/>
    </w:r>
    <w:r w:rsidRPr="00D27DE3">
      <w:br/>
    </w:r>
    <w:r w:rsidRPr="00D27DE3">
      <w:tab/>
      <w:t>JOINT CONCURRING OPINION OF JUDGES STEINER AND HAJIYEV</w:t>
    </w:r>
    <w:r w:rsidRPr="00D27DE3">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99" w:rsidRPr="00011B3D" w:rsidRDefault="00420899">
    <w:pPr>
      <w:pStyle w:val="Header"/>
      <w:rPr>
        <w:rStyle w:val="PageNumber"/>
        <w:lang w:val="fr-FR"/>
      </w:rPr>
    </w:pPr>
    <w:r>
      <w:rPr>
        <w:lang w:val="fr-FR"/>
      </w:rPr>
      <w:tab/>
      <w:t>ANHEUSER-BUSCH INC. v. PORTUGAL JUDGMENT –</w:t>
    </w:r>
    <w:r>
      <w:rPr>
        <w:rStyle w:val="PageNumber"/>
        <w:lang w:val="fr-FR"/>
      </w:rPr>
      <w:t xml:space="preserve"> </w:t>
    </w:r>
    <w:r>
      <w:rPr>
        <w:lang w:val="fr-FR"/>
      </w:rPr>
      <w:tab/>
    </w:r>
    <w:r>
      <w:rPr>
        <w:rStyle w:val="PageNumber"/>
      </w:rPr>
      <w:fldChar w:fldCharType="begin"/>
    </w:r>
    <w:r w:rsidRPr="00011B3D">
      <w:rPr>
        <w:rStyle w:val="PageNumber"/>
        <w:lang w:val="fr-FR"/>
      </w:rPr>
      <w:instrText xml:space="preserve"> PAGE </w:instrText>
    </w:r>
    <w:r>
      <w:rPr>
        <w:rStyle w:val="PageNumber"/>
      </w:rPr>
      <w:fldChar w:fldCharType="separate"/>
    </w:r>
    <w:r w:rsidR="008B5D8B">
      <w:rPr>
        <w:rStyle w:val="PageNumber"/>
        <w:noProof/>
        <w:lang w:val="fr-FR"/>
      </w:rPr>
      <w:t>31</w:t>
    </w:r>
    <w:r>
      <w:rPr>
        <w:rStyle w:val="PageNumber"/>
      </w:rPr>
      <w:fldChar w:fldCharType="end"/>
    </w:r>
  </w:p>
  <w:p w:rsidR="00420899" w:rsidRDefault="00420899">
    <w:pPr>
      <w:pStyle w:val="Header"/>
    </w:pPr>
    <w:r w:rsidRPr="00011B3D">
      <w:rPr>
        <w:rStyle w:val="PageNumber"/>
        <w:lang w:val="fr-FR"/>
      </w:rPr>
      <w:tab/>
    </w:r>
    <w:r w:rsidRPr="00D27DE3">
      <w:rPr>
        <w:rStyle w:val="PageNumber"/>
      </w:rPr>
      <w:t>JOINT</w:t>
    </w:r>
    <w:r>
      <w:rPr>
        <w:rStyle w:val="PageNumber"/>
      </w:rPr>
      <w:t xml:space="preserve"> CONCURRING OPINION OF JUDGES STEINER AND HAJIYEV</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99" w:rsidRDefault="00420899">
    <w:pPr>
      <w:pStyle w:val="Header"/>
    </w:pPr>
    <w:r>
      <w:tab/>
      <w:t xml:space="preserve">ANHEUSER-BUSCH INC. v. </w:t>
    </w:r>
    <w:smartTag w:uri="urn:schemas-microsoft-com:office:smarttags" w:element="place">
      <w:smartTag w:uri="urn:schemas-microsoft-com:office:smarttags" w:element="country-region">
        <w:r>
          <w:t>PORTUGAL</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8B5D8B">
      <w:rPr>
        <w:rStyle w:val="PageNumber"/>
        <w:noProof/>
      </w:rPr>
      <w:t>29</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99" w:rsidRPr="00011B3D" w:rsidRDefault="00420899">
    <w:pPr>
      <w:pStyle w:val="JuHeader"/>
      <w:rPr>
        <w:lang w:val="fr-FR"/>
      </w:rPr>
    </w:pPr>
    <w:r>
      <w:rPr>
        <w:rStyle w:val="PageNumber"/>
      </w:rPr>
      <w:fldChar w:fldCharType="begin"/>
    </w:r>
    <w:r w:rsidRPr="00011B3D">
      <w:rPr>
        <w:rStyle w:val="PageNumber"/>
        <w:lang w:val="fr-FR"/>
      </w:rPr>
      <w:instrText xml:space="preserve"> PAGE </w:instrText>
    </w:r>
    <w:r>
      <w:rPr>
        <w:rStyle w:val="PageNumber"/>
      </w:rPr>
      <w:fldChar w:fldCharType="separate"/>
    </w:r>
    <w:r w:rsidR="008B5D8B">
      <w:rPr>
        <w:rStyle w:val="PageNumber"/>
        <w:noProof/>
        <w:lang w:val="fr-FR"/>
      </w:rPr>
      <w:t>34</w:t>
    </w:r>
    <w:r>
      <w:rPr>
        <w:rStyle w:val="PageNumber"/>
      </w:rPr>
      <w:fldChar w:fldCharType="end"/>
    </w:r>
    <w:r w:rsidRPr="00011B3D">
      <w:rPr>
        <w:lang w:val="fr-FR"/>
      </w:rPr>
      <w:tab/>
      <w:t>ANHEUSER-BUSCH INC. v. PORTUGAL JUDGMENT –</w:t>
    </w:r>
    <w:r w:rsidRPr="00011B3D">
      <w:rPr>
        <w:rStyle w:val="PageNumber"/>
        <w:lang w:val="fr-FR"/>
      </w:rPr>
      <w:t xml:space="preserve"> </w:t>
    </w:r>
    <w:r>
      <w:rPr>
        <w:rStyle w:val="PageNumber"/>
        <w:lang w:val="fr-FR"/>
      </w:rPr>
      <w:tab/>
    </w:r>
  </w:p>
  <w:p w:rsidR="00420899" w:rsidRDefault="00420899">
    <w:pPr>
      <w:pStyle w:val="JuHeader"/>
    </w:pPr>
    <w:r w:rsidRPr="00011B3D">
      <w:rPr>
        <w:lang w:val="fr-FR"/>
      </w:rPr>
      <w:tab/>
    </w:r>
    <w:r w:rsidRPr="00D27DE3">
      <w:rPr>
        <w:rStyle w:val="PageNumber"/>
      </w:rPr>
      <w:t>JOINT</w:t>
    </w:r>
    <w:r>
      <w:rPr>
        <w:rStyle w:val="PageNumber"/>
      </w:rPr>
      <w:t xml:space="preserve"> DISSENTING OPINION OF JUDGES CAFLISCH AND CABRAL BARRETO</w:t>
    </w:r>
    <w:r>
      <w:rPr>
        <w:rStyle w:val="PageNumber"/>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99" w:rsidRPr="00D27DE3" w:rsidRDefault="00420899">
    <w:pPr>
      <w:pStyle w:val="Header"/>
      <w:rPr>
        <w:rStyle w:val="PageNumber"/>
      </w:rPr>
    </w:pPr>
    <w:r>
      <w:rPr>
        <w:lang w:val="fr-FR"/>
      </w:rPr>
      <w:tab/>
    </w:r>
    <w:r w:rsidRPr="00D27DE3">
      <w:t xml:space="preserve">ANHEUSER-BUSCH INC. v. </w:t>
    </w:r>
    <w:smartTag w:uri="urn:schemas-microsoft-com:office:smarttags" w:element="country-region">
      <w:smartTag w:uri="urn:schemas-microsoft-com:office:smarttags" w:element="place">
        <w:r w:rsidRPr="00D27DE3">
          <w:t>PORTUGAL</w:t>
        </w:r>
      </w:smartTag>
    </w:smartTag>
    <w:r w:rsidRPr="00D27DE3">
      <w:t xml:space="preserve"> JUDGMENT –</w:t>
    </w:r>
    <w:r w:rsidRPr="00D27DE3">
      <w:rPr>
        <w:rStyle w:val="PageNumber"/>
      </w:rPr>
      <w:t xml:space="preserve"> </w:t>
    </w:r>
    <w:r w:rsidRPr="00D27DE3">
      <w:tab/>
    </w:r>
    <w:r>
      <w:rPr>
        <w:rStyle w:val="PageNumber"/>
      </w:rPr>
      <w:fldChar w:fldCharType="begin"/>
    </w:r>
    <w:r w:rsidRPr="00D27DE3">
      <w:rPr>
        <w:rStyle w:val="PageNumber"/>
      </w:rPr>
      <w:instrText xml:space="preserve"> PAGE </w:instrText>
    </w:r>
    <w:r>
      <w:rPr>
        <w:rStyle w:val="PageNumber"/>
      </w:rPr>
      <w:fldChar w:fldCharType="separate"/>
    </w:r>
    <w:r w:rsidR="008B5D8B">
      <w:rPr>
        <w:rStyle w:val="PageNumber"/>
        <w:noProof/>
      </w:rPr>
      <w:t>33</w:t>
    </w:r>
    <w:r>
      <w:rPr>
        <w:rStyle w:val="PageNumber"/>
      </w:rPr>
      <w:fldChar w:fldCharType="end"/>
    </w:r>
  </w:p>
  <w:p w:rsidR="00420899" w:rsidRDefault="00420899">
    <w:pPr>
      <w:pStyle w:val="Header"/>
    </w:pPr>
    <w:r w:rsidRPr="00D27DE3">
      <w:rPr>
        <w:rStyle w:val="PageNumber"/>
      </w:rPr>
      <w:tab/>
      <w:t>JOINT</w:t>
    </w:r>
    <w:r>
      <w:rPr>
        <w:rStyle w:val="PageNumber"/>
      </w:rPr>
      <w:t xml:space="preserve"> DISSENTING OPINION OF JUDGES CAFLISCH AND CABRAL BARRETO</w:t>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F8B"/>
    <w:rsid w:val="000012DA"/>
    <w:rsid w:val="00001CBE"/>
    <w:rsid w:val="00002952"/>
    <w:rsid w:val="00011786"/>
    <w:rsid w:val="00011B3D"/>
    <w:rsid w:val="0001289C"/>
    <w:rsid w:val="00014DFC"/>
    <w:rsid w:val="00025724"/>
    <w:rsid w:val="00027ED5"/>
    <w:rsid w:val="00032EB9"/>
    <w:rsid w:val="00033BB0"/>
    <w:rsid w:val="00034429"/>
    <w:rsid w:val="000419B5"/>
    <w:rsid w:val="00042CA9"/>
    <w:rsid w:val="000434CB"/>
    <w:rsid w:val="000463CB"/>
    <w:rsid w:val="00046E75"/>
    <w:rsid w:val="00051AAB"/>
    <w:rsid w:val="0005656F"/>
    <w:rsid w:val="00057743"/>
    <w:rsid w:val="00061A26"/>
    <w:rsid w:val="0006295E"/>
    <w:rsid w:val="00063251"/>
    <w:rsid w:val="00063A33"/>
    <w:rsid w:val="00084AB7"/>
    <w:rsid w:val="00085109"/>
    <w:rsid w:val="00086070"/>
    <w:rsid w:val="00092A7A"/>
    <w:rsid w:val="00094672"/>
    <w:rsid w:val="00094A9F"/>
    <w:rsid w:val="000A2F8D"/>
    <w:rsid w:val="000A42E4"/>
    <w:rsid w:val="000C0DE3"/>
    <w:rsid w:val="000C5228"/>
    <w:rsid w:val="000C5744"/>
    <w:rsid w:val="000D29EB"/>
    <w:rsid w:val="000D5717"/>
    <w:rsid w:val="000D578B"/>
    <w:rsid w:val="000D6A2E"/>
    <w:rsid w:val="000E336B"/>
    <w:rsid w:val="000E361C"/>
    <w:rsid w:val="000E68C4"/>
    <w:rsid w:val="000F059C"/>
    <w:rsid w:val="000F1AE4"/>
    <w:rsid w:val="000F5861"/>
    <w:rsid w:val="001015CC"/>
    <w:rsid w:val="00102D33"/>
    <w:rsid w:val="00111434"/>
    <w:rsid w:val="0011341B"/>
    <w:rsid w:val="00124DE8"/>
    <w:rsid w:val="00125305"/>
    <w:rsid w:val="00127366"/>
    <w:rsid w:val="00131951"/>
    <w:rsid w:val="0013506C"/>
    <w:rsid w:val="00136071"/>
    <w:rsid w:val="00140CAF"/>
    <w:rsid w:val="001414BB"/>
    <w:rsid w:val="001426DC"/>
    <w:rsid w:val="00144AB4"/>
    <w:rsid w:val="00157C7F"/>
    <w:rsid w:val="00162A83"/>
    <w:rsid w:val="00165859"/>
    <w:rsid w:val="00171496"/>
    <w:rsid w:val="0018204A"/>
    <w:rsid w:val="00186E0A"/>
    <w:rsid w:val="001930C6"/>
    <w:rsid w:val="001935C3"/>
    <w:rsid w:val="00194615"/>
    <w:rsid w:val="001A02A0"/>
    <w:rsid w:val="001A1697"/>
    <w:rsid w:val="001A17FE"/>
    <w:rsid w:val="001A32A2"/>
    <w:rsid w:val="001A513C"/>
    <w:rsid w:val="001A7654"/>
    <w:rsid w:val="001B32BD"/>
    <w:rsid w:val="001B34D2"/>
    <w:rsid w:val="001B4042"/>
    <w:rsid w:val="001B5133"/>
    <w:rsid w:val="001C163A"/>
    <w:rsid w:val="001C32E8"/>
    <w:rsid w:val="001C3AAC"/>
    <w:rsid w:val="001C44DF"/>
    <w:rsid w:val="001C6EEF"/>
    <w:rsid w:val="001C7965"/>
    <w:rsid w:val="001D0D67"/>
    <w:rsid w:val="001D5F98"/>
    <w:rsid w:val="001E1D47"/>
    <w:rsid w:val="001E44AA"/>
    <w:rsid w:val="001F361D"/>
    <w:rsid w:val="00200F06"/>
    <w:rsid w:val="00210401"/>
    <w:rsid w:val="002127C6"/>
    <w:rsid w:val="00212C51"/>
    <w:rsid w:val="0021532B"/>
    <w:rsid w:val="00217024"/>
    <w:rsid w:val="0022264B"/>
    <w:rsid w:val="0022373E"/>
    <w:rsid w:val="002307D6"/>
    <w:rsid w:val="002326E6"/>
    <w:rsid w:val="00233948"/>
    <w:rsid w:val="00236BB2"/>
    <w:rsid w:val="002409F7"/>
    <w:rsid w:val="00241852"/>
    <w:rsid w:val="00244408"/>
    <w:rsid w:val="00250556"/>
    <w:rsid w:val="00254A78"/>
    <w:rsid w:val="0026074E"/>
    <w:rsid w:val="00262552"/>
    <w:rsid w:val="00267BF8"/>
    <w:rsid w:val="00270316"/>
    <w:rsid w:val="00274A4C"/>
    <w:rsid w:val="00277253"/>
    <w:rsid w:val="00277C0B"/>
    <w:rsid w:val="00283F8B"/>
    <w:rsid w:val="00297E24"/>
    <w:rsid w:val="002A2D7F"/>
    <w:rsid w:val="002A3C23"/>
    <w:rsid w:val="002B0B17"/>
    <w:rsid w:val="002B2821"/>
    <w:rsid w:val="002B6DFC"/>
    <w:rsid w:val="002C02FA"/>
    <w:rsid w:val="002C1DE0"/>
    <w:rsid w:val="002C5328"/>
    <w:rsid w:val="002C5768"/>
    <w:rsid w:val="002C5B21"/>
    <w:rsid w:val="002C605E"/>
    <w:rsid w:val="002D5258"/>
    <w:rsid w:val="002E6614"/>
    <w:rsid w:val="00300195"/>
    <w:rsid w:val="00303086"/>
    <w:rsid w:val="00304A2B"/>
    <w:rsid w:val="00310041"/>
    <w:rsid w:val="00310A22"/>
    <w:rsid w:val="00310FE1"/>
    <w:rsid w:val="00315C82"/>
    <w:rsid w:val="0032554A"/>
    <w:rsid w:val="00325F44"/>
    <w:rsid w:val="00327DED"/>
    <w:rsid w:val="00330A08"/>
    <w:rsid w:val="003318AA"/>
    <w:rsid w:val="00334456"/>
    <w:rsid w:val="003357F6"/>
    <w:rsid w:val="003405BB"/>
    <w:rsid w:val="0034128A"/>
    <w:rsid w:val="00344C6A"/>
    <w:rsid w:val="0034600E"/>
    <w:rsid w:val="0035144C"/>
    <w:rsid w:val="00352356"/>
    <w:rsid w:val="003524A3"/>
    <w:rsid w:val="00352BD6"/>
    <w:rsid w:val="003536AC"/>
    <w:rsid w:val="00354CEA"/>
    <w:rsid w:val="00357C0E"/>
    <w:rsid w:val="0036125A"/>
    <w:rsid w:val="00363772"/>
    <w:rsid w:val="00365206"/>
    <w:rsid w:val="003729A9"/>
    <w:rsid w:val="0038408F"/>
    <w:rsid w:val="00390D9E"/>
    <w:rsid w:val="00390FB8"/>
    <w:rsid w:val="0039117A"/>
    <w:rsid w:val="00393EF3"/>
    <w:rsid w:val="003A06AB"/>
    <w:rsid w:val="003A06B4"/>
    <w:rsid w:val="003B0A62"/>
    <w:rsid w:val="003B1C76"/>
    <w:rsid w:val="003B2B05"/>
    <w:rsid w:val="003B35DA"/>
    <w:rsid w:val="003B52E1"/>
    <w:rsid w:val="003C5662"/>
    <w:rsid w:val="003C79DD"/>
    <w:rsid w:val="003D3E93"/>
    <w:rsid w:val="003E5B66"/>
    <w:rsid w:val="003F2F17"/>
    <w:rsid w:val="003F3D87"/>
    <w:rsid w:val="003F4C8D"/>
    <w:rsid w:val="003F59BE"/>
    <w:rsid w:val="003F7075"/>
    <w:rsid w:val="003F78BE"/>
    <w:rsid w:val="004000F8"/>
    <w:rsid w:val="00400C6F"/>
    <w:rsid w:val="00401442"/>
    <w:rsid w:val="0040325A"/>
    <w:rsid w:val="00406C9B"/>
    <w:rsid w:val="00414CBF"/>
    <w:rsid w:val="0041737B"/>
    <w:rsid w:val="00417D6C"/>
    <w:rsid w:val="00420899"/>
    <w:rsid w:val="00427E39"/>
    <w:rsid w:val="00437166"/>
    <w:rsid w:val="0045058E"/>
    <w:rsid w:val="0045091A"/>
    <w:rsid w:val="00451843"/>
    <w:rsid w:val="00453CED"/>
    <w:rsid w:val="00454AA9"/>
    <w:rsid w:val="004570D4"/>
    <w:rsid w:val="00467081"/>
    <w:rsid w:val="00467FAE"/>
    <w:rsid w:val="0047286F"/>
    <w:rsid w:val="0047789D"/>
    <w:rsid w:val="00480C7C"/>
    <w:rsid w:val="00491A47"/>
    <w:rsid w:val="004947D3"/>
    <w:rsid w:val="004959E1"/>
    <w:rsid w:val="004961A8"/>
    <w:rsid w:val="004A002C"/>
    <w:rsid w:val="004A31AB"/>
    <w:rsid w:val="004A69F6"/>
    <w:rsid w:val="004A6E02"/>
    <w:rsid w:val="004B0F29"/>
    <w:rsid w:val="004B44BE"/>
    <w:rsid w:val="004B54D0"/>
    <w:rsid w:val="004C365C"/>
    <w:rsid w:val="004D0248"/>
    <w:rsid w:val="004E0C7A"/>
    <w:rsid w:val="004E3B9A"/>
    <w:rsid w:val="004E7C0A"/>
    <w:rsid w:val="004F1150"/>
    <w:rsid w:val="004F18AE"/>
    <w:rsid w:val="004F1FB8"/>
    <w:rsid w:val="004F47D2"/>
    <w:rsid w:val="004F57BD"/>
    <w:rsid w:val="004F7D53"/>
    <w:rsid w:val="0050052B"/>
    <w:rsid w:val="005043C8"/>
    <w:rsid w:val="00510C79"/>
    <w:rsid w:val="00511C37"/>
    <w:rsid w:val="00513B3E"/>
    <w:rsid w:val="00522B87"/>
    <w:rsid w:val="00532CCE"/>
    <w:rsid w:val="00542F56"/>
    <w:rsid w:val="00551DAB"/>
    <w:rsid w:val="00553DBB"/>
    <w:rsid w:val="00555B69"/>
    <w:rsid w:val="005568EA"/>
    <w:rsid w:val="00557F6C"/>
    <w:rsid w:val="00562B05"/>
    <w:rsid w:val="00565F28"/>
    <w:rsid w:val="0057622F"/>
    <w:rsid w:val="00580360"/>
    <w:rsid w:val="005803E1"/>
    <w:rsid w:val="0058158C"/>
    <w:rsid w:val="00582FA9"/>
    <w:rsid w:val="00584E9F"/>
    <w:rsid w:val="00587536"/>
    <w:rsid w:val="00587722"/>
    <w:rsid w:val="005877BE"/>
    <w:rsid w:val="005A30F4"/>
    <w:rsid w:val="005A65C4"/>
    <w:rsid w:val="005B708A"/>
    <w:rsid w:val="005C043F"/>
    <w:rsid w:val="005C1E8D"/>
    <w:rsid w:val="005C50B9"/>
    <w:rsid w:val="005D4B19"/>
    <w:rsid w:val="005D4E23"/>
    <w:rsid w:val="005D6004"/>
    <w:rsid w:val="005D7DF4"/>
    <w:rsid w:val="005E377E"/>
    <w:rsid w:val="005E3AF5"/>
    <w:rsid w:val="005E4A13"/>
    <w:rsid w:val="005E7826"/>
    <w:rsid w:val="005F7E04"/>
    <w:rsid w:val="0060220C"/>
    <w:rsid w:val="00602749"/>
    <w:rsid w:val="00606DAD"/>
    <w:rsid w:val="00610E14"/>
    <w:rsid w:val="006138E0"/>
    <w:rsid w:val="00614024"/>
    <w:rsid w:val="00614451"/>
    <w:rsid w:val="00617D5F"/>
    <w:rsid w:val="00627C6A"/>
    <w:rsid w:val="0063046B"/>
    <w:rsid w:val="0064104C"/>
    <w:rsid w:val="00642EB9"/>
    <w:rsid w:val="00652E54"/>
    <w:rsid w:val="00654C70"/>
    <w:rsid w:val="00656708"/>
    <w:rsid w:val="006579E0"/>
    <w:rsid w:val="00661E25"/>
    <w:rsid w:val="00677A1B"/>
    <w:rsid w:val="00682202"/>
    <w:rsid w:val="00690681"/>
    <w:rsid w:val="0069419B"/>
    <w:rsid w:val="006A1EDD"/>
    <w:rsid w:val="006A4BBC"/>
    <w:rsid w:val="006A61D8"/>
    <w:rsid w:val="006B1B60"/>
    <w:rsid w:val="006B4FE9"/>
    <w:rsid w:val="006C0B0E"/>
    <w:rsid w:val="006C4288"/>
    <w:rsid w:val="006C47C9"/>
    <w:rsid w:val="006C5078"/>
    <w:rsid w:val="006C5FC5"/>
    <w:rsid w:val="006C7F61"/>
    <w:rsid w:val="006E41C3"/>
    <w:rsid w:val="006E5350"/>
    <w:rsid w:val="006E638B"/>
    <w:rsid w:val="006F4251"/>
    <w:rsid w:val="007023ED"/>
    <w:rsid w:val="00706AFD"/>
    <w:rsid w:val="00716079"/>
    <w:rsid w:val="00717954"/>
    <w:rsid w:val="00717DF3"/>
    <w:rsid w:val="00717E34"/>
    <w:rsid w:val="00722AB4"/>
    <w:rsid w:val="00725397"/>
    <w:rsid w:val="0072703B"/>
    <w:rsid w:val="00732028"/>
    <w:rsid w:val="007414BE"/>
    <w:rsid w:val="00743A40"/>
    <w:rsid w:val="00752AA4"/>
    <w:rsid w:val="007553E9"/>
    <w:rsid w:val="007615F8"/>
    <w:rsid w:val="00761BE3"/>
    <w:rsid w:val="0076293B"/>
    <w:rsid w:val="007663F7"/>
    <w:rsid w:val="00766C4E"/>
    <w:rsid w:val="00770F44"/>
    <w:rsid w:val="00772C1C"/>
    <w:rsid w:val="00773F66"/>
    <w:rsid w:val="007815D2"/>
    <w:rsid w:val="0079559F"/>
    <w:rsid w:val="00795FAF"/>
    <w:rsid w:val="00796D65"/>
    <w:rsid w:val="007A2D73"/>
    <w:rsid w:val="007A4D6F"/>
    <w:rsid w:val="007B120E"/>
    <w:rsid w:val="007B5600"/>
    <w:rsid w:val="007B753F"/>
    <w:rsid w:val="007B7A94"/>
    <w:rsid w:val="007C0019"/>
    <w:rsid w:val="007C2FBA"/>
    <w:rsid w:val="007D1102"/>
    <w:rsid w:val="007D11AD"/>
    <w:rsid w:val="007D1350"/>
    <w:rsid w:val="007D2983"/>
    <w:rsid w:val="007D3D2D"/>
    <w:rsid w:val="007E10F3"/>
    <w:rsid w:val="007E753F"/>
    <w:rsid w:val="007E77F4"/>
    <w:rsid w:val="007E7A20"/>
    <w:rsid w:val="007F0FA8"/>
    <w:rsid w:val="007F5E2D"/>
    <w:rsid w:val="00804042"/>
    <w:rsid w:val="0080469C"/>
    <w:rsid w:val="00805A7A"/>
    <w:rsid w:val="00807258"/>
    <w:rsid w:val="00813DBB"/>
    <w:rsid w:val="008216E4"/>
    <w:rsid w:val="008230A0"/>
    <w:rsid w:val="00823BFA"/>
    <w:rsid w:val="00825EA2"/>
    <w:rsid w:val="008270A3"/>
    <w:rsid w:val="00830FC4"/>
    <w:rsid w:val="00832DF5"/>
    <w:rsid w:val="008357FB"/>
    <w:rsid w:val="008379CA"/>
    <w:rsid w:val="00837B91"/>
    <w:rsid w:val="008462BB"/>
    <w:rsid w:val="00847C3B"/>
    <w:rsid w:val="00852AE6"/>
    <w:rsid w:val="00853668"/>
    <w:rsid w:val="00860360"/>
    <w:rsid w:val="008653ED"/>
    <w:rsid w:val="00870608"/>
    <w:rsid w:val="00874016"/>
    <w:rsid w:val="00874975"/>
    <w:rsid w:val="00874E53"/>
    <w:rsid w:val="008A3FF0"/>
    <w:rsid w:val="008B2534"/>
    <w:rsid w:val="008B403D"/>
    <w:rsid w:val="008B4BAB"/>
    <w:rsid w:val="008B5400"/>
    <w:rsid w:val="008B5667"/>
    <w:rsid w:val="008B5B92"/>
    <w:rsid w:val="008B5D8B"/>
    <w:rsid w:val="008B70D3"/>
    <w:rsid w:val="008C590F"/>
    <w:rsid w:val="008C63CD"/>
    <w:rsid w:val="008D0FE7"/>
    <w:rsid w:val="008D2758"/>
    <w:rsid w:val="008D673A"/>
    <w:rsid w:val="008D72C8"/>
    <w:rsid w:val="008E205D"/>
    <w:rsid w:val="008E36F2"/>
    <w:rsid w:val="008E60D0"/>
    <w:rsid w:val="008F10B9"/>
    <w:rsid w:val="00903086"/>
    <w:rsid w:val="009151AC"/>
    <w:rsid w:val="00933875"/>
    <w:rsid w:val="00933D13"/>
    <w:rsid w:val="00935C00"/>
    <w:rsid w:val="00944170"/>
    <w:rsid w:val="00944537"/>
    <w:rsid w:val="009517A4"/>
    <w:rsid w:val="00952B55"/>
    <w:rsid w:val="00953A8C"/>
    <w:rsid w:val="009561DE"/>
    <w:rsid w:val="009607CB"/>
    <w:rsid w:val="00967B02"/>
    <w:rsid w:val="00972168"/>
    <w:rsid w:val="00972CB2"/>
    <w:rsid w:val="00974FC3"/>
    <w:rsid w:val="0097796E"/>
    <w:rsid w:val="009861BB"/>
    <w:rsid w:val="00986C30"/>
    <w:rsid w:val="00990F5A"/>
    <w:rsid w:val="0099598E"/>
    <w:rsid w:val="00997AEB"/>
    <w:rsid w:val="009A0233"/>
    <w:rsid w:val="009A23BF"/>
    <w:rsid w:val="009A30AE"/>
    <w:rsid w:val="009A5B3A"/>
    <w:rsid w:val="009A5CE0"/>
    <w:rsid w:val="009A656B"/>
    <w:rsid w:val="009A75ED"/>
    <w:rsid w:val="009A77FC"/>
    <w:rsid w:val="009B0735"/>
    <w:rsid w:val="009B2675"/>
    <w:rsid w:val="009B32B8"/>
    <w:rsid w:val="009B541E"/>
    <w:rsid w:val="009B6707"/>
    <w:rsid w:val="009D0F48"/>
    <w:rsid w:val="009D1636"/>
    <w:rsid w:val="009D3696"/>
    <w:rsid w:val="009D4945"/>
    <w:rsid w:val="009D4B38"/>
    <w:rsid w:val="009E2325"/>
    <w:rsid w:val="009E3C56"/>
    <w:rsid w:val="009E74F1"/>
    <w:rsid w:val="009E793B"/>
    <w:rsid w:val="009F1092"/>
    <w:rsid w:val="009F51A4"/>
    <w:rsid w:val="00A043AA"/>
    <w:rsid w:val="00A04619"/>
    <w:rsid w:val="00A16383"/>
    <w:rsid w:val="00A16917"/>
    <w:rsid w:val="00A25BB2"/>
    <w:rsid w:val="00A27654"/>
    <w:rsid w:val="00A27D16"/>
    <w:rsid w:val="00A33FF4"/>
    <w:rsid w:val="00A412BB"/>
    <w:rsid w:val="00A442B3"/>
    <w:rsid w:val="00A457F5"/>
    <w:rsid w:val="00A52151"/>
    <w:rsid w:val="00A53A1D"/>
    <w:rsid w:val="00A54018"/>
    <w:rsid w:val="00A5569F"/>
    <w:rsid w:val="00A56B4B"/>
    <w:rsid w:val="00A6491D"/>
    <w:rsid w:val="00A658BB"/>
    <w:rsid w:val="00A66D56"/>
    <w:rsid w:val="00A67EBC"/>
    <w:rsid w:val="00A67F41"/>
    <w:rsid w:val="00A71641"/>
    <w:rsid w:val="00A74193"/>
    <w:rsid w:val="00A76F5E"/>
    <w:rsid w:val="00A812A6"/>
    <w:rsid w:val="00A837AF"/>
    <w:rsid w:val="00A8386C"/>
    <w:rsid w:val="00A85CDA"/>
    <w:rsid w:val="00A92917"/>
    <w:rsid w:val="00A940A3"/>
    <w:rsid w:val="00A94E4B"/>
    <w:rsid w:val="00AA0725"/>
    <w:rsid w:val="00AB0413"/>
    <w:rsid w:val="00AB193C"/>
    <w:rsid w:val="00AB343C"/>
    <w:rsid w:val="00AB6613"/>
    <w:rsid w:val="00AC3706"/>
    <w:rsid w:val="00AC7350"/>
    <w:rsid w:val="00AD155F"/>
    <w:rsid w:val="00AD28DC"/>
    <w:rsid w:val="00AD58F4"/>
    <w:rsid w:val="00AE3C2C"/>
    <w:rsid w:val="00AE4833"/>
    <w:rsid w:val="00AE6D87"/>
    <w:rsid w:val="00AE7E4B"/>
    <w:rsid w:val="00AF139E"/>
    <w:rsid w:val="00AF28D1"/>
    <w:rsid w:val="00AF7B52"/>
    <w:rsid w:val="00B01DDA"/>
    <w:rsid w:val="00B17EC7"/>
    <w:rsid w:val="00B32222"/>
    <w:rsid w:val="00B33AD0"/>
    <w:rsid w:val="00B342A2"/>
    <w:rsid w:val="00B354BB"/>
    <w:rsid w:val="00B359C6"/>
    <w:rsid w:val="00B42356"/>
    <w:rsid w:val="00B51759"/>
    <w:rsid w:val="00B5425E"/>
    <w:rsid w:val="00B5637F"/>
    <w:rsid w:val="00B63D0D"/>
    <w:rsid w:val="00B64520"/>
    <w:rsid w:val="00B714BC"/>
    <w:rsid w:val="00B71C55"/>
    <w:rsid w:val="00B77432"/>
    <w:rsid w:val="00B776CD"/>
    <w:rsid w:val="00B818EB"/>
    <w:rsid w:val="00B8310C"/>
    <w:rsid w:val="00B85FD6"/>
    <w:rsid w:val="00B95490"/>
    <w:rsid w:val="00B95FF8"/>
    <w:rsid w:val="00B966FE"/>
    <w:rsid w:val="00B97214"/>
    <w:rsid w:val="00BA30DB"/>
    <w:rsid w:val="00BA50ED"/>
    <w:rsid w:val="00BB084C"/>
    <w:rsid w:val="00BB7666"/>
    <w:rsid w:val="00BC1B17"/>
    <w:rsid w:val="00BC23D0"/>
    <w:rsid w:val="00BC4B7A"/>
    <w:rsid w:val="00BD2F63"/>
    <w:rsid w:val="00BE3796"/>
    <w:rsid w:val="00BF49DB"/>
    <w:rsid w:val="00BF7D73"/>
    <w:rsid w:val="00C004B5"/>
    <w:rsid w:val="00C02BB4"/>
    <w:rsid w:val="00C10DB6"/>
    <w:rsid w:val="00C10EDE"/>
    <w:rsid w:val="00C1286A"/>
    <w:rsid w:val="00C16682"/>
    <w:rsid w:val="00C1757B"/>
    <w:rsid w:val="00C25969"/>
    <w:rsid w:val="00C30333"/>
    <w:rsid w:val="00C31DE2"/>
    <w:rsid w:val="00C40584"/>
    <w:rsid w:val="00C40616"/>
    <w:rsid w:val="00C46F70"/>
    <w:rsid w:val="00C5119F"/>
    <w:rsid w:val="00C51932"/>
    <w:rsid w:val="00C53609"/>
    <w:rsid w:val="00C6661D"/>
    <w:rsid w:val="00C72EC2"/>
    <w:rsid w:val="00C75E9E"/>
    <w:rsid w:val="00C810FF"/>
    <w:rsid w:val="00C82831"/>
    <w:rsid w:val="00C83AA5"/>
    <w:rsid w:val="00C86549"/>
    <w:rsid w:val="00C868E0"/>
    <w:rsid w:val="00C87A61"/>
    <w:rsid w:val="00C90D98"/>
    <w:rsid w:val="00C96A0A"/>
    <w:rsid w:val="00CA01CD"/>
    <w:rsid w:val="00CA278A"/>
    <w:rsid w:val="00CA7C70"/>
    <w:rsid w:val="00CB1790"/>
    <w:rsid w:val="00CB3538"/>
    <w:rsid w:val="00CB42E4"/>
    <w:rsid w:val="00CB478B"/>
    <w:rsid w:val="00CB785E"/>
    <w:rsid w:val="00CC3CA8"/>
    <w:rsid w:val="00CC55DB"/>
    <w:rsid w:val="00CC5B5E"/>
    <w:rsid w:val="00CD49A7"/>
    <w:rsid w:val="00CD590A"/>
    <w:rsid w:val="00CE0465"/>
    <w:rsid w:val="00CE293A"/>
    <w:rsid w:val="00CF2AC0"/>
    <w:rsid w:val="00CF6F43"/>
    <w:rsid w:val="00CF7895"/>
    <w:rsid w:val="00D02611"/>
    <w:rsid w:val="00D02ADF"/>
    <w:rsid w:val="00D06D76"/>
    <w:rsid w:val="00D212E7"/>
    <w:rsid w:val="00D2445B"/>
    <w:rsid w:val="00D26391"/>
    <w:rsid w:val="00D27DE3"/>
    <w:rsid w:val="00D35E1B"/>
    <w:rsid w:val="00D454BB"/>
    <w:rsid w:val="00D518EB"/>
    <w:rsid w:val="00D65E34"/>
    <w:rsid w:val="00D71FB9"/>
    <w:rsid w:val="00D7498A"/>
    <w:rsid w:val="00D751F4"/>
    <w:rsid w:val="00D82588"/>
    <w:rsid w:val="00D84301"/>
    <w:rsid w:val="00D90F55"/>
    <w:rsid w:val="00D931F1"/>
    <w:rsid w:val="00D95900"/>
    <w:rsid w:val="00D9768C"/>
    <w:rsid w:val="00DB5A0C"/>
    <w:rsid w:val="00DC1F02"/>
    <w:rsid w:val="00DC20FF"/>
    <w:rsid w:val="00DC4292"/>
    <w:rsid w:val="00DC55AB"/>
    <w:rsid w:val="00DC70F0"/>
    <w:rsid w:val="00DE2A62"/>
    <w:rsid w:val="00DE5D14"/>
    <w:rsid w:val="00DF4846"/>
    <w:rsid w:val="00DF77DA"/>
    <w:rsid w:val="00E00599"/>
    <w:rsid w:val="00E00E40"/>
    <w:rsid w:val="00E021AF"/>
    <w:rsid w:val="00E107C0"/>
    <w:rsid w:val="00E10840"/>
    <w:rsid w:val="00E10A8C"/>
    <w:rsid w:val="00E1150E"/>
    <w:rsid w:val="00E14708"/>
    <w:rsid w:val="00E20B61"/>
    <w:rsid w:val="00E21EFE"/>
    <w:rsid w:val="00E3417B"/>
    <w:rsid w:val="00E4118D"/>
    <w:rsid w:val="00E4200F"/>
    <w:rsid w:val="00E431D5"/>
    <w:rsid w:val="00E44CB4"/>
    <w:rsid w:val="00E50E93"/>
    <w:rsid w:val="00E526BE"/>
    <w:rsid w:val="00E57E8B"/>
    <w:rsid w:val="00E65554"/>
    <w:rsid w:val="00E71F84"/>
    <w:rsid w:val="00E73435"/>
    <w:rsid w:val="00E755C2"/>
    <w:rsid w:val="00E829AB"/>
    <w:rsid w:val="00E9311D"/>
    <w:rsid w:val="00E95550"/>
    <w:rsid w:val="00E9721D"/>
    <w:rsid w:val="00EA2E59"/>
    <w:rsid w:val="00EA3C92"/>
    <w:rsid w:val="00EA57CA"/>
    <w:rsid w:val="00EA7E45"/>
    <w:rsid w:val="00EB6C88"/>
    <w:rsid w:val="00EB77E2"/>
    <w:rsid w:val="00EC045D"/>
    <w:rsid w:val="00EC371F"/>
    <w:rsid w:val="00EC4FA8"/>
    <w:rsid w:val="00EC5260"/>
    <w:rsid w:val="00EC7FD0"/>
    <w:rsid w:val="00ED1D39"/>
    <w:rsid w:val="00ED6FAE"/>
    <w:rsid w:val="00EE18A8"/>
    <w:rsid w:val="00EE1A1E"/>
    <w:rsid w:val="00EF2B4F"/>
    <w:rsid w:val="00EF550A"/>
    <w:rsid w:val="00F06838"/>
    <w:rsid w:val="00F104C9"/>
    <w:rsid w:val="00F11D94"/>
    <w:rsid w:val="00F12015"/>
    <w:rsid w:val="00F13BF1"/>
    <w:rsid w:val="00F176B2"/>
    <w:rsid w:val="00F17804"/>
    <w:rsid w:val="00F21B99"/>
    <w:rsid w:val="00F25938"/>
    <w:rsid w:val="00F33667"/>
    <w:rsid w:val="00F350CF"/>
    <w:rsid w:val="00F42695"/>
    <w:rsid w:val="00F43833"/>
    <w:rsid w:val="00F46DED"/>
    <w:rsid w:val="00F47869"/>
    <w:rsid w:val="00F505F3"/>
    <w:rsid w:val="00F512F3"/>
    <w:rsid w:val="00F55FD5"/>
    <w:rsid w:val="00F578E8"/>
    <w:rsid w:val="00F61C68"/>
    <w:rsid w:val="00F64B5A"/>
    <w:rsid w:val="00F74367"/>
    <w:rsid w:val="00F7439E"/>
    <w:rsid w:val="00F80D28"/>
    <w:rsid w:val="00F843B7"/>
    <w:rsid w:val="00F87F77"/>
    <w:rsid w:val="00F92A55"/>
    <w:rsid w:val="00F93B0F"/>
    <w:rsid w:val="00FA0F31"/>
    <w:rsid w:val="00FA2109"/>
    <w:rsid w:val="00FA2428"/>
    <w:rsid w:val="00FA439A"/>
    <w:rsid w:val="00FA4ABD"/>
    <w:rsid w:val="00FA53F7"/>
    <w:rsid w:val="00FA6385"/>
    <w:rsid w:val="00FA7B2F"/>
    <w:rsid w:val="00FB04B5"/>
    <w:rsid w:val="00FB0EA1"/>
    <w:rsid w:val="00FB45FF"/>
    <w:rsid w:val="00FB4A91"/>
    <w:rsid w:val="00FB6A21"/>
    <w:rsid w:val="00FC1382"/>
    <w:rsid w:val="00FC37D0"/>
    <w:rsid w:val="00FC6F49"/>
    <w:rsid w:val="00FD0C44"/>
    <w:rsid w:val="00FD5502"/>
    <w:rsid w:val="00FE0123"/>
    <w:rsid w:val="00FE2FB2"/>
    <w:rsid w:val="00FE3FF1"/>
    <w:rsid w:val="00FE405A"/>
    <w:rsid w:val="00FF7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7D2983"/>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7D2983"/>
  </w:style>
  <w:style w:type="paragraph" w:customStyle="1" w:styleId="JuPara">
    <w:name w:val="Ju_Para"/>
    <w:basedOn w:val="Normal"/>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rsid w:val="007D2983"/>
    <w:pPr>
      <w:spacing w:before="120" w:after="120"/>
      <w:ind w:left="425" w:firstLine="142"/>
    </w:pPr>
    <w:rPr>
      <w:sz w:val="20"/>
    </w:rPr>
  </w:style>
  <w:style w:type="paragraph" w:customStyle="1" w:styleId="JuSigned">
    <w:name w:val="Ju_Signed"/>
    <w:basedOn w:val="Normal"/>
    <w:next w:val="JuParaLast"/>
    <w:rsid w:val="00267BF8"/>
    <w:pPr>
      <w:tabs>
        <w:tab w:val="center" w:pos="1219"/>
        <w:tab w:val="center" w:pos="6379"/>
      </w:tabs>
      <w:spacing w:before="720"/>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7D2983"/>
    <w:rPr>
      <w:sz w:val="18"/>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i">
    <w:name w:val="Opi_H_i"/>
    <w:basedOn w:val="OpiHa0"/>
    <w:next w:val="OpiPara"/>
    <w:rsid w:val="007D2983"/>
    <w:pPr>
      <w:ind w:left="1038"/>
    </w:pPr>
    <w:rPr>
      <w:b w:val="0"/>
      <w:i/>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Keywords">
    <w:name w:val="Su_Keywords"/>
    <w:basedOn w:val="SuHHead"/>
    <w:rsid w:val="007D2983"/>
    <w:pPr>
      <w:spacing w:before="120"/>
    </w:pPr>
    <w:rPr>
      <w:b w:val="0"/>
      <w:i/>
    </w:rPr>
  </w:style>
  <w:style w:type="paragraph" w:customStyle="1" w:styleId="SuHHead">
    <w:name w:val="Su_H_Head"/>
    <w:basedOn w:val="SuSubject"/>
    <w:rsid w:val="007D2983"/>
    <w:pPr>
      <w:spacing w:after="120"/>
    </w:pPr>
  </w:style>
  <w:style w:type="paragraph" w:customStyle="1" w:styleId="SuSubject">
    <w:name w:val="Su_Subject"/>
    <w:basedOn w:val="SuSummary"/>
    <w:rsid w:val="007D2983"/>
    <w:pPr>
      <w:spacing w:before="360"/>
      <w:jc w:val="both"/>
    </w:pPr>
    <w:rPr>
      <w:b/>
      <w:sz w:val="22"/>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paragraph" w:customStyle="1" w:styleId="JuParaChar">
    <w:name w:val="Ju_Para Char"/>
    <w:basedOn w:val="Normal"/>
    <w:rsid w:val="00A66D56"/>
    <w:pPr>
      <w:ind w:firstLine="284"/>
      <w:jc w:val="both"/>
    </w:pPr>
    <w:rPr>
      <w:snapToGrid w:val="0"/>
      <w:szCs w:val="24"/>
      <w:lang w:val="fr-FR"/>
    </w:rPr>
  </w:style>
  <w:style w:type="paragraph" w:customStyle="1" w:styleId="Jup">
    <w:name w:val="Ju p"/>
    <w:basedOn w:val="JuPara"/>
    <w:link w:val="JupChar"/>
    <w:rsid w:val="002B2821"/>
    <w:rPr>
      <w:lang w:val="fr-FR"/>
    </w:rPr>
  </w:style>
  <w:style w:type="character" w:customStyle="1" w:styleId="JupChar">
    <w:name w:val="Ju p Char"/>
    <w:basedOn w:val="JuParaChar"/>
    <w:link w:val="Jup"/>
    <w:rsid w:val="002B2821"/>
    <w:rPr>
      <w:sz w:val="24"/>
      <w:lang w:val="fr-FR" w:eastAsia="fr-FR" w:bidi="ar-SA"/>
    </w:rPr>
  </w:style>
  <w:style w:type="paragraph" w:customStyle="1" w:styleId="JuQuotChar">
    <w:name w:val="Ju_Quot Char"/>
    <w:basedOn w:val="JuPara"/>
    <w:link w:val="JuQuotCharChar"/>
    <w:rsid w:val="00467081"/>
    <w:pPr>
      <w:spacing w:before="120" w:after="120"/>
      <w:ind w:left="425" w:firstLine="142"/>
    </w:pPr>
    <w:rPr>
      <w:sz w:val="20"/>
      <w:lang w:val="fr-FR"/>
    </w:rPr>
  </w:style>
  <w:style w:type="character" w:customStyle="1" w:styleId="JuQuotCharChar">
    <w:name w:val="Ju_Quot Char Char"/>
    <w:basedOn w:val="DefaultParagraphFont"/>
    <w:link w:val="JuQuotChar"/>
    <w:rsid w:val="00467081"/>
    <w:rPr>
      <w:lang w:val="fr-FR" w:eastAsia="fr-FR" w:bidi="ar-SA"/>
    </w:rPr>
  </w:style>
  <w:style w:type="character" w:customStyle="1" w:styleId="ju-005fpara--char">
    <w:name w:val="ju-005fpara--char"/>
    <w:basedOn w:val="DefaultParagraphFont"/>
    <w:rsid w:val="00A25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D63DD-65E3-4806-AECE-2A772C4888DB}"/>
</file>

<file path=customXml/itemProps2.xml><?xml version="1.0" encoding="utf-8"?>
<ds:datastoreItem xmlns:ds="http://schemas.openxmlformats.org/officeDocument/2006/customXml" ds:itemID="{13A88E86-8C86-4CE8-A341-93BFDBD60132}"/>
</file>

<file path=customXml/itemProps3.xml><?xml version="1.0" encoding="utf-8"?>
<ds:datastoreItem xmlns:ds="http://schemas.openxmlformats.org/officeDocument/2006/customXml" ds:itemID="{210E0BCF-A1E8-4CCD-8162-6B351A635309}"/>
</file>

<file path=docProps/app.xml><?xml version="1.0" encoding="utf-8"?>
<Properties xmlns="http://schemas.openxmlformats.org/officeDocument/2006/extended-properties" xmlns:vt="http://schemas.openxmlformats.org/officeDocument/2006/docPropsVTypes">
  <Template>Normal.dotm</Template>
  <TotalTime>2004</TotalTime>
  <Pages>1</Pages>
  <Words>12292</Words>
  <Characters>70065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82193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111</cp:revision>
  <cp:lastPrinted>2007-01-10T08:33:00Z</cp:lastPrinted>
  <dcterms:created xsi:type="dcterms:W3CDTF">2015-05-26T11:07:00Z</dcterms:created>
  <dcterms:modified xsi:type="dcterms:W3CDTF">2015-05-26T11:07:00Z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