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1590E" w:rsidR="00E70070" w:rsidP="0081590E" w:rsidRDefault="00E70070">
      <w:pPr>
        <w:pStyle w:val="NormalWeb"/>
        <w:ind w:right="403"/>
        <w:jc w:val="both"/>
        <w:rPr>
          <w:sz w:val="18"/>
          <w:szCs w:val="18"/>
          <w:lang w:val="bg-BG"/>
        </w:rPr>
      </w:pPr>
      <w:bookmarkStart w:name="_GoBack" w:id="0"/>
      <w:bookmarkEnd w:id="0"/>
      <w:r w:rsidRPr="0081590E">
        <w:rPr>
          <w:sz w:val="18"/>
          <w:szCs w:val="18"/>
          <w:lang w:val="bg-BG"/>
        </w:rPr>
        <w:t>©</w:t>
      </w:r>
      <w:r w:rsidRPr="0081590E" w:rsidR="00330D4E">
        <w:rPr>
          <w:sz w:val="18"/>
          <w:szCs w:val="18"/>
          <w:lang w:val="en-US"/>
        </w:rPr>
        <w:t xml:space="preserve"> </w:t>
      </w:r>
      <w:r w:rsidRPr="0081590E">
        <w:rPr>
          <w:sz w:val="18"/>
          <w:szCs w:val="18"/>
          <w:lang w:val="bg-BG"/>
        </w:rPr>
        <w:t>Съвет на Европа/Европейски съд по правата на човека, 2013 г. Този превод не обвързва Съда. За допълнителна информация моля вижте пълните указания за авторските права в края на документа.</w:t>
      </w:r>
    </w:p>
    <w:p w:rsidRPr="0081590E" w:rsidR="00E70070" w:rsidP="0081590E" w:rsidRDefault="00E70070">
      <w:pPr>
        <w:pStyle w:val="NormalWeb"/>
        <w:ind w:right="403"/>
        <w:jc w:val="both"/>
        <w:rPr>
          <w:sz w:val="18"/>
          <w:szCs w:val="18"/>
          <w:lang w:val="bg-BG"/>
        </w:rPr>
      </w:pPr>
    </w:p>
    <w:p w:rsidRPr="0081590E" w:rsidR="00E70070" w:rsidP="0081590E" w:rsidRDefault="00E70070">
      <w:pPr>
        <w:pStyle w:val="NormalWeb"/>
        <w:ind w:right="403"/>
        <w:jc w:val="both"/>
        <w:rPr>
          <w:sz w:val="18"/>
          <w:szCs w:val="18"/>
          <w:lang w:val="bg-BG"/>
        </w:rPr>
      </w:pPr>
      <w:r w:rsidRPr="0081590E">
        <w:rPr>
          <w:sz w:val="18"/>
          <w:szCs w:val="18"/>
          <w:lang w:val="bg-BG"/>
        </w:rPr>
        <w:t>© Council of Europe/European Court of Human Rights, 2013. This translation does not bind the Court. For further information see the full copyright indication at the end of this document.</w:t>
      </w:r>
    </w:p>
    <w:p w:rsidRPr="0081590E" w:rsidR="00E70070" w:rsidP="0081590E" w:rsidRDefault="00E70070">
      <w:pPr>
        <w:pStyle w:val="NormalWeb"/>
        <w:ind w:right="403"/>
        <w:jc w:val="both"/>
        <w:rPr>
          <w:sz w:val="18"/>
          <w:szCs w:val="18"/>
          <w:lang w:val="bg-BG"/>
        </w:rPr>
      </w:pPr>
    </w:p>
    <w:p w:rsidRPr="0081590E" w:rsidR="00E70070" w:rsidP="0081590E" w:rsidRDefault="00E70070">
      <w:pPr>
        <w:pStyle w:val="NormalWeb"/>
        <w:ind w:right="403"/>
        <w:jc w:val="both"/>
        <w:rPr>
          <w:sz w:val="18"/>
          <w:szCs w:val="18"/>
          <w:lang w:val="bg-BG"/>
        </w:rPr>
      </w:pPr>
      <w:r w:rsidRPr="0081590E">
        <w:rPr>
          <w:sz w:val="18"/>
          <w:szCs w:val="18"/>
          <w:lang w:val="bg-BG"/>
        </w:rPr>
        <w:t>© Conseil de l</w:t>
      </w:r>
      <w:r w:rsidR="0081590E">
        <w:rPr>
          <w:sz w:val="18"/>
          <w:szCs w:val="18"/>
          <w:lang w:val="bg-BG"/>
        </w:rPr>
        <w:t>’</w:t>
      </w:r>
      <w:r w:rsidRPr="0081590E">
        <w:rPr>
          <w:sz w:val="18"/>
          <w:szCs w:val="18"/>
          <w:lang w:val="bg-BG"/>
        </w:rPr>
        <w:t>Europe/Cour européenne des droits de l</w:t>
      </w:r>
      <w:r w:rsidR="0081590E">
        <w:rPr>
          <w:sz w:val="18"/>
          <w:szCs w:val="18"/>
          <w:lang w:val="bg-BG"/>
        </w:rPr>
        <w:t>’</w:t>
      </w:r>
      <w:r w:rsidRPr="0081590E">
        <w:rPr>
          <w:sz w:val="18"/>
          <w:szCs w:val="18"/>
          <w:lang w:val="bg-BG"/>
        </w:rPr>
        <w:t>homme, 2013. La présente traduction ne lie pas la Cour. Pour plus de renseignements veuillez lire l</w:t>
      </w:r>
      <w:r w:rsidR="0081590E">
        <w:rPr>
          <w:sz w:val="18"/>
          <w:szCs w:val="18"/>
          <w:lang w:val="bg-BG"/>
        </w:rPr>
        <w:t>’</w:t>
      </w:r>
      <w:r w:rsidRPr="0081590E">
        <w:rPr>
          <w:sz w:val="18"/>
          <w:szCs w:val="18"/>
          <w:lang w:val="bg-BG"/>
        </w:rPr>
        <w:t>indication de copyright/droits d</w:t>
      </w:r>
      <w:r w:rsidR="0081590E">
        <w:rPr>
          <w:sz w:val="18"/>
          <w:szCs w:val="18"/>
          <w:lang w:val="bg-BG"/>
        </w:rPr>
        <w:t>’</w:t>
      </w:r>
      <w:r w:rsidRPr="0081590E">
        <w:rPr>
          <w:sz w:val="18"/>
          <w:szCs w:val="18"/>
          <w:lang w:val="bg-BG"/>
        </w:rPr>
        <w:t>auteur à la fin du présent document.</w:t>
      </w:r>
    </w:p>
    <w:p w:rsidR="00E70070" w:rsidP="00E70070" w:rsidRDefault="00E70070">
      <w:pPr>
        <w:rPr>
          <w:lang w:val="fr-FR"/>
        </w:rPr>
      </w:pPr>
    </w:p>
    <w:p w:rsidRPr="0081590E" w:rsidR="0081590E" w:rsidP="00E70070" w:rsidRDefault="0081590E">
      <w:pPr>
        <w:rPr>
          <w:lang w:val="fr-FR"/>
        </w:rPr>
      </w:pPr>
    </w:p>
    <w:p w:rsidRPr="00DB77F7" w:rsidR="00F71A6A" w:rsidP="00042867" w:rsidRDefault="00F71A6A">
      <w:pPr>
        <w:jc w:val="center"/>
        <w:rPr>
          <w:lang w:val="bg-BG"/>
        </w:rPr>
      </w:pPr>
    </w:p>
    <w:p w:rsidRPr="00DB77F7" w:rsidR="00F71A6A" w:rsidP="00042867" w:rsidRDefault="0085398B">
      <w:pPr>
        <w:jc w:val="center"/>
        <w:rPr>
          <w:lang w:val="bg-BG"/>
        </w:rPr>
      </w:pPr>
      <w:r w:rsidRPr="00DB77F7">
        <w:rPr>
          <w:lang w:val="bg-BG"/>
        </w:rPr>
        <w:t>ВТОРА СЕКЦИЯ</w:t>
      </w:r>
    </w:p>
    <w:p w:rsidRPr="00DB77F7" w:rsidR="00DE1AFC" w:rsidP="00042867" w:rsidRDefault="00DE1AFC">
      <w:pPr>
        <w:jc w:val="center"/>
        <w:rPr>
          <w:lang w:val="bg-BG"/>
        </w:rPr>
      </w:pPr>
    </w:p>
    <w:p w:rsidRPr="00DB77F7" w:rsidR="00F71A6A" w:rsidP="00F46F7C" w:rsidRDefault="00F71A6A">
      <w:pPr>
        <w:rPr>
          <w:lang w:val="bg-BG"/>
        </w:rPr>
      </w:pPr>
    </w:p>
    <w:p w:rsidRPr="00DB77F7" w:rsidR="00F71A6A" w:rsidP="00042867" w:rsidRDefault="00BA4168">
      <w:pPr>
        <w:jc w:val="center"/>
        <w:rPr>
          <w:b/>
          <w:lang w:val="bg-BG"/>
        </w:rPr>
      </w:pPr>
      <w:bookmarkStart w:name="To" w:id="1"/>
      <w:r w:rsidRPr="00DB77F7">
        <w:rPr>
          <w:b/>
          <w:lang w:val="bg-BG"/>
        </w:rPr>
        <w:t>ДЕЛО</w:t>
      </w:r>
      <w:r w:rsidRPr="00DB77F7" w:rsidR="00F71A6A">
        <w:rPr>
          <w:b/>
          <w:lang w:val="bg-BG"/>
        </w:rPr>
        <w:t xml:space="preserve"> </w:t>
      </w:r>
      <w:bookmarkEnd w:id="1"/>
      <w:r w:rsidRPr="00DB77F7" w:rsidR="00DE1AFC">
        <w:rPr>
          <w:b/>
          <w:lang w:val="bg-BG"/>
        </w:rPr>
        <w:t xml:space="preserve">ÖZGÜRLÜK VE DAYANIŞMA PARTİSİ (ÖDP) </w:t>
      </w:r>
      <w:r w:rsidRPr="00DB77F7">
        <w:rPr>
          <w:b/>
          <w:lang w:val="bg-BG"/>
        </w:rPr>
        <w:t>СРЕЩУ ТУР</w:t>
      </w:r>
      <w:r w:rsidRPr="00DB77F7" w:rsidR="0085398B">
        <w:rPr>
          <w:b/>
          <w:lang w:val="bg-BG"/>
        </w:rPr>
        <w:t>ЦИЯ</w:t>
      </w:r>
    </w:p>
    <w:p w:rsidRPr="00DB77F7" w:rsidR="00F71A6A" w:rsidP="00042867" w:rsidRDefault="00F71A6A">
      <w:pPr>
        <w:jc w:val="center"/>
        <w:rPr>
          <w:lang w:val="bg-BG"/>
        </w:rPr>
      </w:pPr>
    </w:p>
    <w:p w:rsidRPr="00DB77F7" w:rsidR="00D960D8" w:rsidP="005906E6" w:rsidRDefault="00D960D8">
      <w:pPr>
        <w:rPr>
          <w:lang w:val="bg-BG"/>
        </w:rPr>
      </w:pPr>
    </w:p>
    <w:p w:rsidRPr="00DB77F7" w:rsidR="00F71A6A" w:rsidP="00042867" w:rsidRDefault="00F71A6A">
      <w:pPr>
        <w:jc w:val="center"/>
        <w:rPr>
          <w:i/>
          <w:lang w:val="bg-BG"/>
        </w:rPr>
      </w:pPr>
      <w:r w:rsidRPr="00DB77F7">
        <w:rPr>
          <w:i/>
          <w:lang w:val="bg-BG"/>
        </w:rPr>
        <w:t>(</w:t>
      </w:r>
      <w:r w:rsidRPr="00DB77F7" w:rsidR="0085398B">
        <w:rPr>
          <w:i/>
          <w:lang w:val="bg-BG"/>
        </w:rPr>
        <w:t>Жалба</w:t>
      </w:r>
      <w:r w:rsidRPr="00DB77F7" w:rsidR="00DE1AFC">
        <w:rPr>
          <w:i/>
          <w:lang w:val="bg-BG"/>
        </w:rPr>
        <w:t xml:space="preserve"> no. 7819/03</w:t>
      </w:r>
      <w:r w:rsidRPr="00DB77F7">
        <w:rPr>
          <w:i/>
          <w:lang w:val="bg-BG"/>
        </w:rPr>
        <w:t>)</w:t>
      </w:r>
    </w:p>
    <w:p w:rsidRPr="00DB77F7" w:rsidR="00F71A6A" w:rsidP="00042867" w:rsidRDefault="00F71A6A">
      <w:pPr>
        <w:jc w:val="center"/>
        <w:rPr>
          <w:lang w:val="bg-BG"/>
        </w:rPr>
      </w:pPr>
    </w:p>
    <w:p w:rsidRPr="00DB77F7" w:rsidR="00F71A6A" w:rsidP="00042867" w:rsidRDefault="00F71A6A">
      <w:pPr>
        <w:jc w:val="center"/>
        <w:rPr>
          <w:lang w:val="bg-BG"/>
        </w:rPr>
      </w:pPr>
    </w:p>
    <w:p w:rsidRPr="00DB77F7" w:rsidR="00F71A6A" w:rsidP="00042867" w:rsidRDefault="00F71A6A">
      <w:pPr>
        <w:jc w:val="center"/>
        <w:rPr>
          <w:lang w:val="bg-BG"/>
        </w:rPr>
      </w:pPr>
    </w:p>
    <w:p w:rsidRPr="00DB77F7" w:rsidR="00D73611" w:rsidP="00DE1AFC" w:rsidRDefault="0085398B">
      <w:pPr>
        <w:jc w:val="center"/>
        <w:rPr>
          <w:szCs w:val="24"/>
          <w:lang w:val="bg-BG"/>
        </w:rPr>
      </w:pPr>
      <w:r w:rsidRPr="00DB77F7">
        <w:rPr>
          <w:szCs w:val="24"/>
          <w:lang w:val="bg-BG"/>
        </w:rPr>
        <w:t>РЕШЕНИЕ</w:t>
      </w:r>
    </w:p>
    <w:p w:rsidRPr="00DB77F7" w:rsidR="00D54986" w:rsidP="00D54986" w:rsidRDefault="00D54986">
      <w:pPr>
        <w:pStyle w:val="JuPara"/>
        <w:rPr>
          <w:lang w:val="bg-BG"/>
        </w:rPr>
      </w:pPr>
    </w:p>
    <w:p w:rsidRPr="00DB77F7" w:rsidR="00D960D8" w:rsidP="00D54986" w:rsidRDefault="00D960D8">
      <w:pPr>
        <w:pStyle w:val="JuPara"/>
        <w:rPr>
          <w:lang w:val="bg-BG"/>
        </w:rPr>
      </w:pPr>
    </w:p>
    <w:p w:rsidRPr="00DB77F7" w:rsidR="00DE1AFC" w:rsidP="00DE1AFC" w:rsidRDefault="00DE1AFC">
      <w:pPr>
        <w:pStyle w:val="JuCase"/>
        <w:ind w:firstLine="0"/>
        <w:jc w:val="center"/>
        <w:rPr>
          <w:b w:val="0"/>
          <w:lang w:val="bg-BG"/>
        </w:rPr>
      </w:pPr>
    </w:p>
    <w:p w:rsidRPr="00DB77F7" w:rsidR="00DE1AFC" w:rsidP="00DE1AFC" w:rsidRDefault="0085398B">
      <w:pPr>
        <w:pStyle w:val="JuCase"/>
        <w:ind w:firstLine="0"/>
        <w:jc w:val="center"/>
        <w:rPr>
          <w:b w:val="0"/>
          <w:lang w:val="bg-BG"/>
        </w:rPr>
      </w:pPr>
      <w:r w:rsidRPr="00DB77F7">
        <w:rPr>
          <w:b w:val="0"/>
          <w:lang w:val="bg-BG"/>
        </w:rPr>
        <w:t>СТРАСБУРГ</w:t>
      </w:r>
    </w:p>
    <w:p w:rsidRPr="00DB77F7" w:rsidR="00DE1AFC" w:rsidP="00DE1AFC" w:rsidRDefault="00DE1AFC">
      <w:pPr>
        <w:pStyle w:val="JuCase"/>
        <w:ind w:firstLine="0"/>
        <w:jc w:val="center"/>
        <w:rPr>
          <w:b w:val="0"/>
          <w:lang w:val="bg-BG"/>
        </w:rPr>
      </w:pPr>
    </w:p>
    <w:p w:rsidRPr="00DB77F7" w:rsidR="00DE1AFC" w:rsidP="00DE1AFC" w:rsidRDefault="00967973">
      <w:pPr>
        <w:pStyle w:val="JuCase"/>
        <w:ind w:firstLine="0"/>
        <w:jc w:val="center"/>
        <w:rPr>
          <w:b w:val="0"/>
          <w:lang w:val="bg-BG"/>
        </w:rPr>
      </w:pPr>
      <w:r w:rsidRPr="00DB77F7">
        <w:rPr>
          <w:b w:val="0"/>
          <w:lang w:val="bg-BG"/>
        </w:rPr>
        <w:t xml:space="preserve">10 </w:t>
      </w:r>
      <w:r w:rsidRPr="00DB77F7" w:rsidR="0085398B">
        <w:rPr>
          <w:b w:val="0"/>
          <w:lang w:val="bg-BG"/>
        </w:rPr>
        <w:t>май</w:t>
      </w:r>
      <w:r w:rsidRPr="00DB77F7">
        <w:rPr>
          <w:b w:val="0"/>
          <w:lang w:val="bg-BG"/>
        </w:rPr>
        <w:t xml:space="preserve"> 2012</w:t>
      </w:r>
      <w:r w:rsidRPr="00DB77F7" w:rsidR="0085398B">
        <w:rPr>
          <w:b w:val="0"/>
          <w:lang w:val="bg-BG"/>
        </w:rPr>
        <w:t xml:space="preserve"> г.</w:t>
      </w:r>
    </w:p>
    <w:p w:rsidRPr="00DB77F7" w:rsidR="00DE1AFC" w:rsidP="00DE1AFC" w:rsidRDefault="00DE1AFC">
      <w:pPr>
        <w:pStyle w:val="JuCase"/>
        <w:ind w:firstLine="0"/>
        <w:jc w:val="center"/>
        <w:rPr>
          <w:b w:val="0"/>
          <w:lang w:val="bg-BG"/>
        </w:rPr>
      </w:pPr>
    </w:p>
    <w:p w:rsidR="00DE1AFC" w:rsidP="00DE1AFC" w:rsidRDefault="00DE1AFC">
      <w:pPr>
        <w:pStyle w:val="JuCase"/>
        <w:ind w:firstLine="0"/>
        <w:jc w:val="center"/>
        <w:rPr>
          <w:b w:val="0"/>
          <w:lang w:val="fr-FR"/>
        </w:rPr>
      </w:pPr>
    </w:p>
    <w:p w:rsidRPr="0081590E" w:rsidR="0081590E" w:rsidP="0081590E" w:rsidRDefault="0081590E">
      <w:pPr>
        <w:pStyle w:val="JuPara"/>
        <w:rPr>
          <w:lang w:val="fr-FR"/>
        </w:rPr>
      </w:pPr>
    </w:p>
    <w:p w:rsidR="00DE1AFC" w:rsidP="00DE1AFC" w:rsidRDefault="000F07E4">
      <w:pPr>
        <w:pStyle w:val="JuCase"/>
        <w:ind w:firstLine="0"/>
        <w:rPr>
          <w:b w:val="0"/>
          <w:i/>
          <w:sz w:val="22"/>
          <w:lang w:val="bg-BG"/>
        </w:rPr>
      </w:pPr>
      <w:r>
        <w:rPr>
          <w:b w:val="0"/>
          <w:i/>
          <w:sz w:val="22"/>
          <w:lang w:val="bg-BG"/>
        </w:rPr>
        <w:t>Това</w:t>
      </w:r>
      <w:r w:rsidRPr="00DB77F7" w:rsidR="0085398B">
        <w:rPr>
          <w:b w:val="0"/>
          <w:i/>
          <w:sz w:val="22"/>
          <w:lang w:val="bg-BG"/>
        </w:rPr>
        <w:t xml:space="preserve"> решение е окончателно, но може да претърпи редакционни промени</w:t>
      </w:r>
      <w:r w:rsidRPr="00DB77F7" w:rsidR="00DE1AFC">
        <w:rPr>
          <w:b w:val="0"/>
          <w:i/>
          <w:sz w:val="22"/>
          <w:lang w:val="bg-BG"/>
        </w:rPr>
        <w:t>.</w:t>
      </w:r>
    </w:p>
    <w:p w:rsidRPr="00A54921" w:rsidR="00A54921" w:rsidP="00A54921" w:rsidRDefault="00A54921">
      <w:pPr>
        <w:pStyle w:val="JuPara"/>
        <w:rPr>
          <w:lang w:val="bg-BG"/>
        </w:rPr>
      </w:pPr>
    </w:p>
    <w:p w:rsidRPr="00DB77F7" w:rsidR="00CC12E3" w:rsidP="00CC12E3" w:rsidRDefault="00CC12E3">
      <w:pPr>
        <w:pStyle w:val="JuPara"/>
        <w:rPr>
          <w:lang w:val="bg-BG"/>
        </w:rPr>
        <w:sectPr w:rsidRPr="00DB77F7" w:rsidR="00CC12E3" w:rsidSect="00DE1AFC">
          <w:headerReference w:type="default" r:id="rId7"/>
          <w:headerReference w:type="first" r:id="rId8"/>
          <w:footerReference w:type="first" r:id="rId9"/>
          <w:footnotePr>
            <w:numRestart w:val="eachPage"/>
          </w:footnotePr>
          <w:pgSz w:w="11906" w:h="16838" w:code="9"/>
          <w:pgMar w:top="2274" w:right="2274" w:bottom="2274" w:left="2274" w:header="1701" w:footer="720" w:gutter="0"/>
          <w:pgNumType w:start="1"/>
          <w:cols w:space="720"/>
          <w:titlePg/>
          <w:docGrid w:linePitch="326"/>
        </w:sectPr>
      </w:pPr>
    </w:p>
    <w:p w:rsidRPr="00DB77F7" w:rsidR="00B030BE" w:rsidP="00B030BE" w:rsidRDefault="00D960D8">
      <w:pPr>
        <w:pStyle w:val="JuCase"/>
        <w:rPr>
          <w:b w:val="0"/>
          <w:bCs/>
          <w:lang w:val="bg-BG"/>
        </w:rPr>
      </w:pPr>
      <w:r w:rsidRPr="00DB77F7">
        <w:rPr>
          <w:lang w:val="bg-BG"/>
        </w:rPr>
        <w:t>По делото</w:t>
      </w:r>
      <w:r w:rsidRPr="00DB77F7" w:rsidR="00B030BE">
        <w:rPr>
          <w:lang w:val="bg-BG"/>
        </w:rPr>
        <w:t xml:space="preserve"> </w:t>
      </w:r>
      <w:r w:rsidRPr="00DB77F7" w:rsidR="00DE1AFC">
        <w:rPr>
          <w:lang w:val="bg-BG"/>
        </w:rPr>
        <w:t>Özgürlük Ve Dayanişma Partisi (</w:t>
      </w:r>
      <w:r w:rsidRPr="00DB77F7" w:rsidR="00967973">
        <w:rPr>
          <w:lang w:val="bg-BG"/>
        </w:rPr>
        <w:t>ÖDP</w:t>
      </w:r>
      <w:r w:rsidRPr="00DB77F7" w:rsidR="00DE1AFC">
        <w:rPr>
          <w:lang w:val="bg-BG"/>
        </w:rPr>
        <w:t xml:space="preserve">) </w:t>
      </w:r>
      <w:r w:rsidRPr="00DB77F7">
        <w:rPr>
          <w:lang w:val="bg-BG"/>
        </w:rPr>
        <w:t>срещу Турция</w:t>
      </w:r>
      <w:r w:rsidRPr="00DB77F7" w:rsidR="00B030BE">
        <w:rPr>
          <w:lang w:val="bg-BG"/>
        </w:rPr>
        <w:t>,</w:t>
      </w:r>
    </w:p>
    <w:p w:rsidRPr="00DB77F7" w:rsidR="00730433" w:rsidP="00B030BE" w:rsidRDefault="00FF2278">
      <w:pPr>
        <w:pStyle w:val="JuCase"/>
        <w:rPr>
          <w:b w:val="0"/>
          <w:bCs/>
          <w:lang w:val="bg-BG"/>
        </w:rPr>
      </w:pPr>
      <w:r w:rsidRPr="00DB77F7">
        <w:rPr>
          <w:b w:val="0"/>
          <w:lang w:val="bg-BG"/>
        </w:rPr>
        <w:t>Европейският съд по правата на човека (втора секция), заседаващ като камара, в състав</w:t>
      </w:r>
      <w:r w:rsidRPr="00DB77F7" w:rsidR="00730433">
        <w:rPr>
          <w:b w:val="0"/>
          <w:bCs/>
          <w:lang w:val="bg-BG"/>
        </w:rPr>
        <w:t>:</w:t>
      </w:r>
    </w:p>
    <w:p w:rsidRPr="00DB77F7" w:rsidR="00F71A6A" w:rsidP="008824B9" w:rsidRDefault="00967973">
      <w:pPr>
        <w:pStyle w:val="JuJudges"/>
        <w:rPr>
          <w:lang w:val="bg-BG"/>
        </w:rPr>
      </w:pPr>
      <w:r w:rsidRPr="00DB77F7">
        <w:rPr>
          <w:lang w:val="bg-BG"/>
        </w:rPr>
        <w:tab/>
      </w:r>
      <w:r w:rsidRPr="00DB77F7" w:rsidR="00FF441B">
        <w:rPr>
          <w:lang w:val="bg-BG"/>
        </w:rPr>
        <w:t>Françoise Tulkens,</w:t>
      </w:r>
      <w:r w:rsidRPr="00DB77F7" w:rsidR="00FF441B">
        <w:rPr>
          <w:i/>
          <w:lang w:val="bg-BG"/>
        </w:rPr>
        <w:t xml:space="preserve"> председател,</w:t>
      </w:r>
      <w:r w:rsidRPr="00DB77F7" w:rsidR="00FF441B">
        <w:rPr>
          <w:i/>
          <w:lang w:val="bg-BG"/>
        </w:rPr>
        <w:br/>
      </w:r>
      <w:r w:rsidRPr="00DB77F7" w:rsidR="00FF441B">
        <w:rPr>
          <w:lang w:val="bg-BG"/>
        </w:rPr>
        <w:tab/>
        <w:t>Danutė Jočienė,</w:t>
      </w:r>
      <w:r w:rsidRPr="00DB77F7" w:rsidR="00FF441B">
        <w:rPr>
          <w:i/>
          <w:lang w:val="bg-BG"/>
        </w:rPr>
        <w:br/>
      </w:r>
      <w:r w:rsidRPr="00DB77F7" w:rsidR="00FF441B">
        <w:rPr>
          <w:lang w:val="bg-BG"/>
        </w:rPr>
        <w:tab/>
        <w:t>Dragoljub Popović,</w:t>
      </w:r>
      <w:r w:rsidRPr="00DB77F7" w:rsidR="00FF441B">
        <w:rPr>
          <w:i/>
          <w:lang w:val="bg-BG"/>
        </w:rPr>
        <w:br/>
      </w:r>
      <w:r w:rsidRPr="00DB77F7" w:rsidR="00FF441B">
        <w:rPr>
          <w:lang w:val="bg-BG"/>
        </w:rPr>
        <w:tab/>
        <w:t>András Sajó,</w:t>
      </w:r>
      <w:r w:rsidRPr="00DB77F7" w:rsidR="00FF441B">
        <w:rPr>
          <w:i/>
          <w:lang w:val="bg-BG"/>
        </w:rPr>
        <w:br/>
      </w:r>
      <w:r w:rsidRPr="00DB77F7" w:rsidR="00FF441B">
        <w:rPr>
          <w:lang w:val="bg-BG"/>
        </w:rPr>
        <w:tab/>
        <w:t>Işıl Karakaş,</w:t>
      </w:r>
      <w:r w:rsidRPr="00DB77F7" w:rsidR="00FF441B">
        <w:rPr>
          <w:i/>
          <w:lang w:val="bg-BG"/>
        </w:rPr>
        <w:br/>
      </w:r>
      <w:r w:rsidRPr="00DB77F7" w:rsidR="00FF441B">
        <w:rPr>
          <w:lang w:val="bg-BG"/>
        </w:rPr>
        <w:tab/>
        <w:t>Guido Raimondi,</w:t>
      </w:r>
      <w:r w:rsidRPr="00DB77F7" w:rsidR="00FF441B">
        <w:rPr>
          <w:i/>
          <w:lang w:val="bg-BG"/>
        </w:rPr>
        <w:br/>
      </w:r>
      <w:r w:rsidRPr="00DB77F7" w:rsidR="00FF441B">
        <w:rPr>
          <w:lang w:val="bg-BG"/>
        </w:rPr>
        <w:tab/>
        <w:t>Paulo Pinto de Albuquerque,</w:t>
      </w:r>
      <w:r w:rsidRPr="00DB77F7" w:rsidR="00FF441B">
        <w:rPr>
          <w:i/>
          <w:lang w:val="bg-BG"/>
        </w:rPr>
        <w:t xml:space="preserve"> съдии,</w:t>
      </w:r>
      <w:r w:rsidRPr="00DB77F7" w:rsidR="00FF441B">
        <w:rPr>
          <w:i/>
          <w:lang w:val="bg-BG"/>
        </w:rPr>
        <w:br/>
      </w:r>
      <w:r w:rsidRPr="00DB77F7" w:rsidR="00FF441B">
        <w:rPr>
          <w:lang w:val="bg-BG"/>
        </w:rPr>
        <w:t>и Stanley Naismith</w:t>
      </w:r>
      <w:r w:rsidRPr="00DB77F7" w:rsidR="009D4B87">
        <w:rPr>
          <w:rStyle w:val="JuJudgesChar"/>
          <w:lang w:val="bg-BG"/>
        </w:rPr>
        <w:t xml:space="preserve">, </w:t>
      </w:r>
      <w:r w:rsidRPr="00DB77F7" w:rsidR="00C753A1">
        <w:rPr>
          <w:i/>
          <w:lang w:val="bg-BG"/>
        </w:rPr>
        <w:t>секретар на секцията</w:t>
      </w:r>
      <w:r w:rsidRPr="00DB77F7" w:rsidR="00F71A6A">
        <w:rPr>
          <w:i/>
          <w:lang w:val="bg-BG"/>
        </w:rPr>
        <w:t>,</w:t>
      </w:r>
    </w:p>
    <w:p w:rsidRPr="00DB77F7" w:rsidR="005D3B08" w:rsidP="005D3B08" w:rsidRDefault="005D3B08">
      <w:pPr>
        <w:pStyle w:val="JuPara"/>
        <w:rPr>
          <w:lang w:val="bg-BG"/>
        </w:rPr>
      </w:pPr>
      <w:r w:rsidRPr="00DB77F7">
        <w:rPr>
          <w:lang w:val="bg-BG"/>
        </w:rPr>
        <w:t xml:space="preserve">след </w:t>
      </w:r>
      <w:r w:rsidRPr="00DB77F7" w:rsidR="00FF441B">
        <w:rPr>
          <w:lang w:val="bg-BG"/>
        </w:rPr>
        <w:t>проведени з</w:t>
      </w:r>
      <w:r w:rsidRPr="00DB77F7">
        <w:rPr>
          <w:lang w:val="bg-BG"/>
        </w:rPr>
        <w:t xml:space="preserve">акрити заседания на </w:t>
      </w:r>
      <w:r w:rsidRPr="00DB77F7" w:rsidR="00FB19A8">
        <w:rPr>
          <w:lang w:val="bg-BG"/>
        </w:rPr>
        <w:t xml:space="preserve">4 </w:t>
      </w:r>
      <w:r w:rsidRPr="00DB77F7" w:rsidR="00F8218E">
        <w:rPr>
          <w:lang w:val="bg-BG"/>
        </w:rPr>
        <w:t>октомври</w:t>
      </w:r>
      <w:r w:rsidRPr="00DB77F7" w:rsidR="00FB19A8">
        <w:rPr>
          <w:lang w:val="bg-BG"/>
        </w:rPr>
        <w:t xml:space="preserve"> 2011 г. и на 10 </w:t>
      </w:r>
      <w:r w:rsidRPr="00DB77F7">
        <w:rPr>
          <w:lang w:val="bg-BG"/>
        </w:rPr>
        <w:t>април 2012 г.,</w:t>
      </w:r>
    </w:p>
    <w:p w:rsidRPr="00DB77F7" w:rsidR="00F71A6A" w:rsidP="005D3B08" w:rsidRDefault="005D3B08">
      <w:pPr>
        <w:pStyle w:val="JuPara"/>
        <w:rPr>
          <w:lang w:val="bg-BG"/>
        </w:rPr>
      </w:pPr>
      <w:r w:rsidRPr="00DB77F7">
        <w:rPr>
          <w:lang w:val="bg-BG"/>
        </w:rPr>
        <w:t>постанови следното решение, прието на посочената по-късна дата</w:t>
      </w:r>
      <w:r w:rsidRPr="00DB77F7" w:rsidR="00F71A6A">
        <w:rPr>
          <w:lang w:val="bg-BG"/>
        </w:rPr>
        <w:t>:</w:t>
      </w:r>
    </w:p>
    <w:p w:rsidRPr="00DB77F7" w:rsidR="00F71A6A" w:rsidP="008824B9" w:rsidRDefault="006B0FD3">
      <w:pPr>
        <w:pStyle w:val="JuHHead"/>
        <w:rPr>
          <w:lang w:val="bg-BG"/>
        </w:rPr>
      </w:pPr>
      <w:r w:rsidRPr="00DB77F7">
        <w:rPr>
          <w:lang w:val="bg-BG"/>
        </w:rPr>
        <w:t>ПРОЦЕДУРА</w:t>
      </w:r>
    </w:p>
    <w:p w:rsidRPr="00DB77F7" w:rsidR="00CC12E3" w:rsidP="00893782" w:rsidRDefault="00DE1AFC">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1</w:t>
      </w:r>
      <w:r w:rsidRPr="00DB77F7">
        <w:rPr>
          <w:lang w:val="bg-BG"/>
        </w:rPr>
        <w:fldChar w:fldCharType="end"/>
      </w:r>
      <w:r w:rsidRPr="00DB77F7" w:rsidR="00F71A6A">
        <w:rPr>
          <w:lang w:val="bg-BG"/>
        </w:rPr>
        <w:t>.  </w:t>
      </w:r>
      <w:r w:rsidRPr="00DB77F7" w:rsidR="00360489">
        <w:rPr>
          <w:lang w:val="bg-BG"/>
        </w:rPr>
        <w:t xml:space="preserve">Делото е образувано по жалба </w:t>
      </w:r>
      <w:r w:rsidRPr="00DB77F7">
        <w:rPr>
          <w:lang w:val="bg-BG"/>
        </w:rPr>
        <w:t>(no. 7819/03)</w:t>
      </w:r>
      <w:r w:rsidRPr="00DB77F7" w:rsidR="00F71A6A">
        <w:rPr>
          <w:lang w:val="bg-BG"/>
        </w:rPr>
        <w:t xml:space="preserve"> </w:t>
      </w:r>
      <w:r w:rsidRPr="00DB77F7" w:rsidR="00360489">
        <w:rPr>
          <w:lang w:val="bg-BG"/>
        </w:rPr>
        <w:t>срещу Република Турция, подадена</w:t>
      </w:r>
      <w:r w:rsidRPr="00DB77F7" w:rsidR="00023135">
        <w:rPr>
          <w:lang w:val="bg-BG"/>
        </w:rPr>
        <w:t xml:space="preserve"> до Съда на основание член</w:t>
      </w:r>
      <w:r w:rsidRPr="00DB77F7" w:rsidR="00360489">
        <w:rPr>
          <w:lang w:val="bg-BG"/>
        </w:rPr>
        <w:t xml:space="preserve"> 34 от Конвенцията за защита правата на човека и основните свободи („Конвенцията“) от турска политическа партия</w:t>
      </w:r>
      <w:r w:rsidRPr="00DB77F7">
        <w:rPr>
          <w:lang w:val="bg-BG"/>
        </w:rPr>
        <w:t>, Özgürlük Ve Dayanişma Partisi (</w:t>
      </w:r>
      <w:r w:rsidRPr="00DB77F7" w:rsidR="00360489">
        <w:rPr>
          <w:lang w:val="bg-BG"/>
        </w:rPr>
        <w:t>„</w:t>
      </w:r>
      <w:r w:rsidRPr="00DB77F7" w:rsidR="00967973">
        <w:rPr>
          <w:lang w:val="bg-BG"/>
        </w:rPr>
        <w:t>ÖDP</w:t>
      </w:r>
      <w:r w:rsidRPr="00DB77F7" w:rsidR="00540B37">
        <w:rPr>
          <w:lang w:val="bg-BG"/>
        </w:rPr>
        <w:t>”</w:t>
      </w:r>
      <w:r w:rsidRPr="00DB77F7" w:rsidR="00967973">
        <w:rPr>
          <w:lang w:val="bg-BG"/>
        </w:rPr>
        <w:t xml:space="preserve">, </w:t>
      </w:r>
      <w:r w:rsidRPr="00DB77F7" w:rsidR="00360489">
        <w:rPr>
          <w:lang w:val="bg-BG"/>
        </w:rPr>
        <w:t>Партия на свободата и солидарността) („жалбоподателят“</w:t>
      </w:r>
      <w:r w:rsidRPr="00DB77F7">
        <w:rPr>
          <w:lang w:val="bg-BG"/>
        </w:rPr>
        <w:t xml:space="preserve">), </w:t>
      </w:r>
      <w:r w:rsidRPr="00DB77F7" w:rsidR="00360489">
        <w:rPr>
          <w:lang w:val="bg-BG"/>
        </w:rPr>
        <w:t>н</w:t>
      </w:r>
      <w:r w:rsidRPr="00DB77F7" w:rsidR="00664BB3">
        <w:rPr>
          <w:lang w:val="bg-BG"/>
        </w:rPr>
        <w:t>а 1 </w:t>
      </w:r>
      <w:r w:rsidRPr="00DB77F7" w:rsidR="00F8218E">
        <w:rPr>
          <w:lang w:val="bg-BG"/>
        </w:rPr>
        <w:t>октомври</w:t>
      </w:r>
      <w:r w:rsidRPr="00DB77F7" w:rsidR="00360489">
        <w:rPr>
          <w:lang w:val="bg-BG"/>
        </w:rPr>
        <w:t xml:space="preserve"> 2002 г</w:t>
      </w:r>
      <w:r w:rsidRPr="00DB77F7" w:rsidR="00F71A6A">
        <w:rPr>
          <w:lang w:val="bg-BG"/>
        </w:rPr>
        <w:t>.</w:t>
      </w:r>
    </w:p>
    <w:p w:rsidRPr="00DB77F7" w:rsidR="00DE1AFC" w:rsidP="002F4BCF" w:rsidRDefault="00DE1AFC">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2</w:t>
      </w:r>
      <w:r w:rsidRPr="00DB77F7">
        <w:rPr>
          <w:lang w:val="bg-BG"/>
        </w:rPr>
        <w:fldChar w:fldCharType="end"/>
      </w:r>
      <w:r w:rsidRPr="00DB77F7" w:rsidR="00F71A6A">
        <w:rPr>
          <w:lang w:val="bg-BG"/>
        </w:rPr>
        <w:t>.  </w:t>
      </w:r>
      <w:r w:rsidRPr="00DB77F7" w:rsidR="00E22B9D">
        <w:rPr>
          <w:lang w:val="bg-BG"/>
        </w:rPr>
        <w:t xml:space="preserve">Пред Съда жалбоподателят е представляван от </w:t>
      </w:r>
      <w:r w:rsidRPr="00DB77F7" w:rsidR="00FB19A8">
        <w:rPr>
          <w:lang w:val="bg-BG"/>
        </w:rPr>
        <w:t xml:space="preserve">г-н </w:t>
      </w:r>
      <w:r w:rsidRPr="00DB77F7" w:rsidR="00FF441B">
        <w:rPr>
          <w:lang w:val="bg-BG"/>
        </w:rPr>
        <w:t>M. Bektaş</w:t>
      </w:r>
      <w:r w:rsidRPr="00DB77F7" w:rsidR="00FB19A8">
        <w:rPr>
          <w:lang w:val="bg-BG"/>
        </w:rPr>
        <w:t>, адвокат с практи</w:t>
      </w:r>
      <w:r w:rsidRPr="00DB77F7" w:rsidR="00E22B9D">
        <w:rPr>
          <w:lang w:val="bg-BG"/>
        </w:rPr>
        <w:t>к</w:t>
      </w:r>
      <w:r w:rsidRPr="00DB77F7" w:rsidR="00713F67">
        <w:rPr>
          <w:lang w:val="bg-BG"/>
        </w:rPr>
        <w:t>а</w:t>
      </w:r>
      <w:r w:rsidRPr="00DB77F7" w:rsidR="00E22B9D">
        <w:rPr>
          <w:lang w:val="bg-BG"/>
        </w:rPr>
        <w:t xml:space="preserve"> в Анкара. </w:t>
      </w:r>
      <w:r w:rsidRPr="00DB77F7" w:rsidR="00713F67">
        <w:rPr>
          <w:lang w:val="bg-BG"/>
        </w:rPr>
        <w:t>Турското правителство („правителството“</w:t>
      </w:r>
      <w:r w:rsidRPr="00DB77F7" w:rsidR="00FB19A8">
        <w:rPr>
          <w:lang w:val="bg-BG"/>
        </w:rPr>
        <w:t>)</w:t>
      </w:r>
      <w:r w:rsidRPr="00DB77F7" w:rsidR="00713F67">
        <w:rPr>
          <w:lang w:val="bg-BG"/>
        </w:rPr>
        <w:t xml:space="preserve"> е представлявано от </w:t>
      </w:r>
      <w:r w:rsidRPr="00DB77F7" w:rsidR="00446BE0">
        <w:rPr>
          <w:lang w:val="bg-BG"/>
        </w:rPr>
        <w:t>своя</w:t>
      </w:r>
      <w:r w:rsidRPr="00DB77F7" w:rsidR="00713F67">
        <w:rPr>
          <w:lang w:val="bg-BG"/>
        </w:rPr>
        <w:t xml:space="preserve"> агент</w:t>
      </w:r>
      <w:r w:rsidRPr="00DB77F7" w:rsidR="00F71A6A">
        <w:rPr>
          <w:lang w:val="bg-BG"/>
        </w:rPr>
        <w:t>.</w:t>
      </w:r>
    </w:p>
    <w:p w:rsidRPr="00DB77F7" w:rsidR="00F71A6A" w:rsidP="00865450" w:rsidRDefault="00DE1AFC">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3</w:t>
      </w:r>
      <w:r w:rsidRPr="00DB77F7">
        <w:rPr>
          <w:lang w:val="bg-BG"/>
        </w:rPr>
        <w:fldChar w:fldCharType="end"/>
      </w:r>
      <w:r w:rsidRPr="00DB77F7">
        <w:rPr>
          <w:lang w:val="bg-BG"/>
        </w:rPr>
        <w:t>.  </w:t>
      </w:r>
      <w:r w:rsidRPr="00DB77F7" w:rsidR="00713F67">
        <w:rPr>
          <w:lang w:val="bg-BG"/>
        </w:rPr>
        <w:t>Партията-жалбоподател, на която е било дадено право да участва в предстоящите парламентарни избори, твърди, че е била дискриминирана, тъй като искането й за отпускане на финансова помощ за политически парти</w:t>
      </w:r>
      <w:r w:rsidRPr="00DB77F7" w:rsidR="00446BE0">
        <w:rPr>
          <w:lang w:val="bg-BG"/>
        </w:rPr>
        <w:t>и</w:t>
      </w:r>
      <w:r w:rsidRPr="00DB77F7" w:rsidR="00713F67">
        <w:rPr>
          <w:lang w:val="bg-BG"/>
        </w:rPr>
        <w:t>, предвидена в Конституцията, е било отхвърлено</w:t>
      </w:r>
      <w:r w:rsidRPr="00DB77F7">
        <w:rPr>
          <w:lang w:val="bg-BG"/>
        </w:rPr>
        <w:t>.</w:t>
      </w:r>
    </w:p>
    <w:p w:rsidRPr="00DB77F7" w:rsidR="006843AB" w:rsidP="00865450" w:rsidRDefault="00DE1AFC">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4</w:t>
      </w:r>
      <w:r w:rsidRPr="00DB77F7">
        <w:rPr>
          <w:lang w:val="bg-BG"/>
        </w:rPr>
        <w:fldChar w:fldCharType="end"/>
      </w:r>
      <w:r w:rsidRPr="00DB77F7" w:rsidR="00F71A6A">
        <w:rPr>
          <w:lang w:val="bg-BG"/>
        </w:rPr>
        <w:t>.  </w:t>
      </w:r>
      <w:r w:rsidRPr="00DB77F7" w:rsidR="006843AB">
        <w:rPr>
          <w:lang w:val="bg-BG"/>
        </w:rPr>
        <w:t>На 30 юли 2007</w:t>
      </w:r>
      <w:r w:rsidRPr="00DB77F7" w:rsidR="006843AB">
        <w:rPr>
          <w:szCs w:val="24"/>
          <w:lang w:val="bg-BG"/>
        </w:rPr>
        <w:t xml:space="preserve"> г. правителството е било уведомено за жалбата.</w:t>
      </w:r>
      <w:r w:rsidRPr="00DB77F7" w:rsidR="006843AB">
        <w:rPr>
          <w:lang w:val="bg-BG"/>
        </w:rPr>
        <w:t xml:space="preserve"> </w:t>
      </w:r>
      <w:r w:rsidRPr="00DB77F7" w:rsidR="00446BE0">
        <w:rPr>
          <w:lang w:val="bg-BG"/>
        </w:rPr>
        <w:t>В</w:t>
      </w:r>
      <w:r w:rsidRPr="00DB77F7" w:rsidR="006843AB">
        <w:rPr>
          <w:lang w:val="bg-BG"/>
        </w:rPr>
        <w:t>зето</w:t>
      </w:r>
      <w:r w:rsidRPr="00DB77F7" w:rsidR="00446BE0">
        <w:rPr>
          <w:lang w:val="bg-BG"/>
        </w:rPr>
        <w:t xml:space="preserve"> е било и</w:t>
      </w:r>
      <w:r w:rsidRPr="00DB77F7" w:rsidR="006843AB">
        <w:rPr>
          <w:lang w:val="bg-BG"/>
        </w:rPr>
        <w:t xml:space="preserve"> решение за едновременно произнасяне по допустимостта и основателността на жалбата.</w:t>
      </w:r>
    </w:p>
    <w:p w:rsidRPr="00DB77F7" w:rsidR="00360489" w:rsidP="006843AB" w:rsidRDefault="00360489">
      <w:pPr>
        <w:pStyle w:val="JuPara"/>
        <w:rPr>
          <w:szCs w:val="22"/>
          <w:lang w:val="bg-BG"/>
        </w:rPr>
      </w:pPr>
    </w:p>
    <w:p w:rsidRPr="00DB77F7" w:rsidR="003A64D3" w:rsidP="008C60EE" w:rsidRDefault="003A64D3">
      <w:pPr>
        <w:pStyle w:val="JuPara"/>
        <w:rPr>
          <w:lang w:val="bg-BG"/>
        </w:rPr>
      </w:pPr>
    </w:p>
    <w:p w:rsidRPr="00DB77F7" w:rsidR="00F71A6A" w:rsidP="008824B9" w:rsidRDefault="00F07ED2">
      <w:pPr>
        <w:pStyle w:val="JuHHead"/>
        <w:rPr>
          <w:lang w:val="bg-BG"/>
        </w:rPr>
      </w:pPr>
      <w:r w:rsidRPr="00DB77F7">
        <w:rPr>
          <w:lang w:val="bg-BG"/>
        </w:rPr>
        <w:t>ФАКТИТЕ</w:t>
      </w:r>
    </w:p>
    <w:p w:rsidRPr="00DB77F7" w:rsidR="00D353F4" w:rsidP="008824B9" w:rsidRDefault="007352DD">
      <w:pPr>
        <w:pStyle w:val="JuHIRoman"/>
        <w:outlineLvl w:val="0"/>
        <w:rPr>
          <w:lang w:val="bg-BG"/>
        </w:rPr>
      </w:pPr>
      <w:r w:rsidRPr="00DB77F7">
        <w:rPr>
          <w:lang w:val="bg-BG"/>
        </w:rPr>
        <w:t>I.  </w:t>
      </w:r>
      <w:r w:rsidRPr="00DB77F7" w:rsidR="00F07ED2">
        <w:rPr>
          <w:lang w:val="bg-BG"/>
        </w:rPr>
        <w:t>ОБСТОЯТЕЛСТВАТА ПО ДЕЛОТО</w:t>
      </w:r>
    </w:p>
    <w:p w:rsidRPr="00DB77F7" w:rsidR="00540B37" w:rsidP="00FB3690" w:rsidRDefault="00FB3690">
      <w:pPr>
        <w:pStyle w:val="JuPara"/>
        <w:keepNext/>
        <w:keepLines/>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5</w:t>
      </w:r>
      <w:r w:rsidRPr="00DB77F7">
        <w:rPr>
          <w:lang w:val="bg-BG"/>
        </w:rPr>
        <w:fldChar w:fldCharType="end"/>
      </w:r>
      <w:r w:rsidRPr="00DB77F7">
        <w:rPr>
          <w:lang w:val="bg-BG"/>
        </w:rPr>
        <w:t>.  </w:t>
      </w:r>
      <w:r w:rsidRPr="00DB77F7" w:rsidR="00B45728">
        <w:rPr>
          <w:lang w:val="bg-BG"/>
        </w:rPr>
        <w:t xml:space="preserve">Жалбоподателят, </w:t>
      </w:r>
      <w:r w:rsidRPr="00DB77F7" w:rsidR="00540B37">
        <w:rPr>
          <w:lang w:val="bg-BG"/>
        </w:rPr>
        <w:t xml:space="preserve">ÖDP, </w:t>
      </w:r>
      <w:r w:rsidRPr="00DB77F7" w:rsidR="00B45728">
        <w:rPr>
          <w:lang w:val="bg-BG"/>
        </w:rPr>
        <w:t>е турска политическа партия със седалище в Анкара</w:t>
      </w:r>
      <w:r w:rsidRPr="00DB77F7" w:rsidR="00540B37">
        <w:rPr>
          <w:lang w:val="bg-BG"/>
        </w:rPr>
        <w:t>.</w:t>
      </w:r>
    </w:p>
    <w:p w:rsidRPr="00DB77F7" w:rsidR="00540B37"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6</w:t>
      </w:r>
      <w:r w:rsidRPr="00DB77F7">
        <w:rPr>
          <w:lang w:val="bg-BG"/>
        </w:rPr>
        <w:fldChar w:fldCharType="end"/>
      </w:r>
      <w:r w:rsidRPr="00DB77F7">
        <w:rPr>
          <w:lang w:val="bg-BG"/>
        </w:rPr>
        <w:t>.  </w:t>
      </w:r>
      <w:r w:rsidRPr="00DB77F7" w:rsidR="00746135">
        <w:rPr>
          <w:lang w:val="bg-BG"/>
        </w:rPr>
        <w:t xml:space="preserve">С указ от 28 ноември 1998 г. Върховната избирателна комисия е публикувала списък от осемнадесет политически партии, на които е било разрешено да участват в парламентарните и общински избори, които </w:t>
      </w:r>
      <w:r w:rsidRPr="00DB77F7" w:rsidR="00E14D88">
        <w:rPr>
          <w:lang w:val="bg-BG"/>
        </w:rPr>
        <w:t>са щели</w:t>
      </w:r>
      <w:r w:rsidRPr="00DB77F7" w:rsidR="00746135">
        <w:rPr>
          <w:lang w:val="bg-BG"/>
        </w:rPr>
        <w:t xml:space="preserve"> да бъдат проведени на 18 април 1999 г. </w:t>
      </w:r>
      <w:r w:rsidRPr="00DB77F7" w:rsidR="00B54B98">
        <w:rPr>
          <w:lang w:val="bg-BG"/>
        </w:rPr>
        <w:t xml:space="preserve">ÖDP </w:t>
      </w:r>
      <w:r w:rsidRPr="00DB77F7" w:rsidR="00746135">
        <w:rPr>
          <w:lang w:val="bg-BG"/>
        </w:rPr>
        <w:t>е била в списъка</w:t>
      </w:r>
      <w:r w:rsidRPr="00DB77F7" w:rsidR="00B54B98">
        <w:rPr>
          <w:lang w:val="bg-BG"/>
        </w:rPr>
        <w:t>.</w:t>
      </w:r>
      <w:r w:rsidRPr="00DB77F7" w:rsidR="00746135">
        <w:rPr>
          <w:lang w:val="bg-BG"/>
        </w:rPr>
        <w:t xml:space="preserve"> За да могат да участват във въпросните избори, политическите партии е трябвало, в продължение на поне шест месеца преди изборите, </w:t>
      </w:r>
      <w:r w:rsidRPr="00DB77F7" w:rsidR="002D3A2E">
        <w:rPr>
          <w:lang w:val="bg-BG"/>
        </w:rPr>
        <w:t xml:space="preserve">да имат </w:t>
      </w:r>
      <w:r w:rsidRPr="00DB77F7" w:rsidR="00746135">
        <w:rPr>
          <w:lang w:val="bg-BG"/>
        </w:rPr>
        <w:t>клонове в най-малко половината от прови</w:t>
      </w:r>
      <w:r w:rsidRPr="00DB77F7" w:rsidR="00BE16C3">
        <w:rPr>
          <w:lang w:val="bg-BG"/>
        </w:rPr>
        <w:t>нциите в страната и вече да са о</w:t>
      </w:r>
      <w:r w:rsidRPr="00DB77F7" w:rsidR="00746135">
        <w:rPr>
          <w:lang w:val="bg-BG"/>
        </w:rPr>
        <w:t>рганизирали партийна конференция.</w:t>
      </w:r>
    </w:p>
    <w:p w:rsidRPr="00DB77F7" w:rsidR="00A328D2"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7</w:t>
      </w:r>
      <w:r w:rsidRPr="00DB77F7">
        <w:rPr>
          <w:lang w:val="bg-BG"/>
        </w:rPr>
        <w:fldChar w:fldCharType="end"/>
      </w:r>
      <w:r w:rsidRPr="00DB77F7">
        <w:rPr>
          <w:lang w:val="bg-BG"/>
        </w:rPr>
        <w:t>.  </w:t>
      </w:r>
      <w:r w:rsidRPr="00DB77F7" w:rsidR="007F7051">
        <w:rPr>
          <w:lang w:val="bg-BG"/>
        </w:rPr>
        <w:t>На 23 септемвр</w:t>
      </w:r>
      <w:r w:rsidRPr="00DB77F7" w:rsidR="002D3A2E">
        <w:rPr>
          <w:lang w:val="bg-BG"/>
        </w:rPr>
        <w:t xml:space="preserve">и 1998 г. </w:t>
      </w:r>
      <w:r w:rsidRPr="00DB77F7">
        <w:rPr>
          <w:lang w:val="bg-BG"/>
        </w:rPr>
        <w:t>ÖDP</w:t>
      </w:r>
      <w:r w:rsidRPr="00DB77F7" w:rsidR="002D3A2E">
        <w:rPr>
          <w:lang w:val="bg-BG"/>
        </w:rPr>
        <w:t xml:space="preserve"> е подал</w:t>
      </w:r>
      <w:r w:rsidRPr="00DB77F7" w:rsidR="0077418A">
        <w:rPr>
          <w:lang w:val="bg-BG"/>
        </w:rPr>
        <w:t>а</w:t>
      </w:r>
      <w:r w:rsidRPr="00DB77F7" w:rsidR="002D3A2E">
        <w:rPr>
          <w:lang w:val="bg-BG"/>
        </w:rPr>
        <w:t xml:space="preserve"> до Министерството на финансите искане за финансова помощ, </w:t>
      </w:r>
      <w:r w:rsidRPr="00DB77F7" w:rsidR="00F8218E">
        <w:rPr>
          <w:lang w:val="bg-BG"/>
        </w:rPr>
        <w:t>предоставяна</w:t>
      </w:r>
      <w:r w:rsidRPr="00DB77F7" w:rsidR="002D3A2E">
        <w:rPr>
          <w:lang w:val="bg-BG"/>
        </w:rPr>
        <w:t xml:space="preserve"> на политическите партии съгласно член 68 от Конституцията.</w:t>
      </w:r>
    </w:p>
    <w:p w:rsidRPr="00DB77F7" w:rsidR="006A02A4"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8</w:t>
      </w:r>
      <w:r w:rsidRPr="00DB77F7">
        <w:rPr>
          <w:lang w:val="bg-BG"/>
        </w:rPr>
        <w:fldChar w:fldCharType="end"/>
      </w:r>
      <w:r w:rsidRPr="00DB77F7">
        <w:rPr>
          <w:lang w:val="bg-BG"/>
        </w:rPr>
        <w:t>.  </w:t>
      </w:r>
      <w:r w:rsidRPr="00DB77F7" w:rsidR="00D334AA">
        <w:rPr>
          <w:lang w:val="bg-BG"/>
        </w:rPr>
        <w:t>В</w:t>
      </w:r>
      <w:r w:rsidRPr="00DB77F7" w:rsidR="002431D4">
        <w:rPr>
          <w:lang w:val="bg-BG"/>
        </w:rPr>
        <w:t xml:space="preserve"> решение от 23 ноември 1998 г. </w:t>
      </w:r>
      <w:r w:rsidRPr="00DB77F7" w:rsidR="00D334AA">
        <w:rPr>
          <w:lang w:val="bg-BG"/>
        </w:rPr>
        <w:t>Министерството на финансите е отхвърлило искането на основание, че само политическите партии, които отговарят на условията, предвидени в Закон №</w:t>
      </w:r>
      <w:r w:rsidRPr="00DB77F7" w:rsidR="006A02A4">
        <w:rPr>
          <w:lang w:val="bg-BG"/>
        </w:rPr>
        <w:t xml:space="preserve"> 2820 </w:t>
      </w:r>
      <w:r w:rsidRPr="00DB77F7" w:rsidR="00D334AA">
        <w:rPr>
          <w:lang w:val="bg-BG"/>
        </w:rPr>
        <w:t>за политическите партии, могат да получат държавно финансиране</w:t>
      </w:r>
      <w:r w:rsidRPr="00DB77F7" w:rsidR="006A02A4">
        <w:rPr>
          <w:lang w:val="bg-BG"/>
        </w:rPr>
        <w:t>.</w:t>
      </w:r>
    </w:p>
    <w:p w:rsidRPr="00DB77F7" w:rsidR="00036962" w:rsidP="00485584"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9</w:t>
      </w:r>
      <w:r w:rsidRPr="00DB77F7">
        <w:rPr>
          <w:lang w:val="bg-BG"/>
        </w:rPr>
        <w:fldChar w:fldCharType="end"/>
      </w:r>
      <w:r w:rsidRPr="00DB77F7">
        <w:rPr>
          <w:lang w:val="bg-BG"/>
        </w:rPr>
        <w:t>.  </w:t>
      </w:r>
      <w:r w:rsidRPr="00DB77F7" w:rsidR="007F7051">
        <w:rPr>
          <w:lang w:val="bg-BG"/>
        </w:rPr>
        <w:t xml:space="preserve">На 29 декември 1998 г. </w:t>
      </w:r>
      <w:r w:rsidRPr="00DB77F7" w:rsidR="00A328D2">
        <w:rPr>
          <w:lang w:val="bg-BG"/>
        </w:rPr>
        <w:t>ÖDP</w:t>
      </w:r>
      <w:r w:rsidRPr="00DB77F7">
        <w:rPr>
          <w:lang w:val="bg-BG"/>
        </w:rPr>
        <w:t xml:space="preserve"> </w:t>
      </w:r>
      <w:r w:rsidRPr="00DB77F7" w:rsidR="007F7051">
        <w:rPr>
          <w:lang w:val="bg-BG"/>
        </w:rPr>
        <w:t xml:space="preserve">е поискала от Административния съд в Анкара да отмени решението от 23 ноември 1998 г. </w:t>
      </w:r>
      <w:r w:rsidRPr="00DB77F7" w:rsidR="0089761E">
        <w:rPr>
          <w:lang w:val="bg-BG"/>
        </w:rPr>
        <w:t>Най-напред</w:t>
      </w:r>
      <w:r w:rsidRPr="00DB77F7">
        <w:rPr>
          <w:lang w:val="bg-BG"/>
        </w:rPr>
        <w:t xml:space="preserve"> </w:t>
      </w:r>
      <w:r w:rsidRPr="00DB77F7" w:rsidR="006A02A4">
        <w:rPr>
          <w:lang w:val="bg-BG"/>
        </w:rPr>
        <w:t xml:space="preserve">ÖDP </w:t>
      </w:r>
      <w:r w:rsidRPr="00DB77F7" w:rsidR="0089761E">
        <w:rPr>
          <w:lang w:val="bg-BG"/>
        </w:rPr>
        <w:t xml:space="preserve">е посочила, че самата Конституция предвижда, че „държавата гарантира на политическите партии достатъчно и </w:t>
      </w:r>
      <w:r w:rsidRPr="00DB77F7" w:rsidR="00F8218E">
        <w:rPr>
          <w:lang w:val="bg-BG"/>
        </w:rPr>
        <w:t>равностойно</w:t>
      </w:r>
      <w:r w:rsidRPr="00DB77F7" w:rsidR="0089761E">
        <w:rPr>
          <w:lang w:val="bg-BG"/>
        </w:rPr>
        <w:t xml:space="preserve"> финансиране“ и че „принципите, приложими к</w:t>
      </w:r>
      <w:r w:rsidRPr="00DB77F7" w:rsidR="00BE16C3">
        <w:rPr>
          <w:lang w:val="bg-BG"/>
        </w:rPr>
        <w:t>ъм партийното финансиране, член</w:t>
      </w:r>
      <w:r w:rsidRPr="00DB77F7" w:rsidR="0061628D">
        <w:rPr>
          <w:lang w:val="bg-BG"/>
        </w:rPr>
        <w:t>ския</w:t>
      </w:r>
      <w:r w:rsidRPr="00DB77F7" w:rsidR="0089761E">
        <w:rPr>
          <w:lang w:val="bg-BG"/>
        </w:rPr>
        <w:t xml:space="preserve"> внос и даренията, са определени в закона“. </w:t>
      </w:r>
      <w:r w:rsidRPr="00DB77F7" w:rsidR="00485584">
        <w:rPr>
          <w:lang w:val="bg-BG"/>
        </w:rPr>
        <w:t>По-</w:t>
      </w:r>
      <w:r w:rsidRPr="00DB77F7" w:rsidR="0061628D">
        <w:rPr>
          <w:lang w:val="bg-BG"/>
        </w:rPr>
        <w:t>специално партията-жалбоподател</w:t>
      </w:r>
      <w:r w:rsidRPr="00DB77F7" w:rsidR="00485584">
        <w:rPr>
          <w:lang w:val="bg-BG"/>
        </w:rPr>
        <w:t xml:space="preserve"> е отбелязала, че критериите, съдържащи се в Закона за политическите партии не дават право на партиите, които не са парламентарно представени да получават </w:t>
      </w:r>
      <w:r w:rsidRPr="00DB77F7" w:rsidR="00F8218E">
        <w:rPr>
          <w:lang w:val="bg-BG"/>
        </w:rPr>
        <w:t>държавни</w:t>
      </w:r>
      <w:r w:rsidRPr="00DB77F7" w:rsidR="00485584">
        <w:rPr>
          <w:lang w:val="bg-BG"/>
        </w:rPr>
        <w:t xml:space="preserve"> субсидии. Изтъквайки трудностите при провеждането на политическа </w:t>
      </w:r>
      <w:r w:rsidRPr="00DB77F7" w:rsidR="00F8218E">
        <w:rPr>
          <w:lang w:val="bg-BG"/>
        </w:rPr>
        <w:t>дейност</w:t>
      </w:r>
      <w:r w:rsidRPr="00DB77F7" w:rsidR="00485584">
        <w:rPr>
          <w:lang w:val="bg-BG"/>
        </w:rPr>
        <w:t xml:space="preserve"> и политическа кампания без необходимите средства, тя е твърдяла, че това законово изключение е противоконс</w:t>
      </w:r>
      <w:r w:rsidRPr="00DB77F7" w:rsidR="00F03DB7">
        <w:rPr>
          <w:lang w:val="bg-BG"/>
        </w:rPr>
        <w:t>т</w:t>
      </w:r>
      <w:r w:rsidRPr="00DB77F7" w:rsidR="00485584">
        <w:rPr>
          <w:lang w:val="bg-BG"/>
        </w:rPr>
        <w:t xml:space="preserve">итуционно и </w:t>
      </w:r>
      <w:r w:rsidRPr="00DB77F7" w:rsidR="00F8218E">
        <w:rPr>
          <w:lang w:val="bg-BG"/>
        </w:rPr>
        <w:t>противоречи</w:t>
      </w:r>
      <w:r w:rsidRPr="00DB77F7" w:rsidR="00485584">
        <w:rPr>
          <w:lang w:val="bg-BG"/>
        </w:rPr>
        <w:t xml:space="preserve"> на принципите на демократичната държава</w:t>
      </w:r>
      <w:r w:rsidRPr="00DB77F7" w:rsidR="00B61627">
        <w:rPr>
          <w:lang w:val="bg-BG"/>
        </w:rPr>
        <w:t>, на задължението на държавата да насърчава демократичните прав</w:t>
      </w:r>
      <w:r w:rsidR="00035069">
        <w:rPr>
          <w:lang w:val="bg-BG"/>
        </w:rPr>
        <w:t>а и свободи и на принципа за не</w:t>
      </w:r>
      <w:r w:rsidRPr="00DB77F7" w:rsidR="00B61627">
        <w:rPr>
          <w:lang w:val="bg-BG"/>
        </w:rPr>
        <w:t>дискриминация. Освен това, тези разпоредби нарушават международни инструменти за защита на правата на човека</w:t>
      </w:r>
      <w:r w:rsidRPr="00DB77F7" w:rsidR="00860809">
        <w:rPr>
          <w:lang w:val="bg-BG"/>
        </w:rPr>
        <w:t>.</w:t>
      </w:r>
    </w:p>
    <w:p w:rsidRPr="00DB77F7" w:rsidR="00243F91"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10</w:t>
      </w:r>
      <w:r w:rsidRPr="00DB77F7">
        <w:rPr>
          <w:lang w:val="bg-BG"/>
        </w:rPr>
        <w:fldChar w:fldCharType="end"/>
      </w:r>
      <w:r w:rsidRPr="00DB77F7">
        <w:rPr>
          <w:lang w:val="bg-BG"/>
        </w:rPr>
        <w:t>.  </w:t>
      </w:r>
      <w:r w:rsidRPr="00DB77F7" w:rsidR="00F03DB7">
        <w:rPr>
          <w:lang w:val="bg-BG"/>
        </w:rPr>
        <w:t>С</w:t>
      </w:r>
      <w:r w:rsidRPr="00DB77F7" w:rsidR="005C5E21">
        <w:rPr>
          <w:lang w:val="bg-BG"/>
        </w:rPr>
        <w:t xml:space="preserve"> решение от 29 септември 1999 г. Административният съд в Анкара е отхвърлил жалбата на </w:t>
      </w:r>
      <w:r w:rsidRPr="00DB77F7" w:rsidR="00A328D2">
        <w:rPr>
          <w:lang w:val="bg-BG"/>
        </w:rPr>
        <w:t>ÖDP</w:t>
      </w:r>
      <w:r w:rsidRPr="00DB77F7" w:rsidR="00225415">
        <w:rPr>
          <w:lang w:val="bg-BG"/>
        </w:rPr>
        <w:t xml:space="preserve"> на основани</w:t>
      </w:r>
      <w:r w:rsidRPr="00DB77F7" w:rsidR="00F03DB7">
        <w:rPr>
          <w:lang w:val="bg-BG"/>
        </w:rPr>
        <w:t>е</w:t>
      </w:r>
      <w:r w:rsidRPr="00DB77F7" w:rsidR="00225415">
        <w:rPr>
          <w:lang w:val="bg-BG"/>
        </w:rPr>
        <w:t xml:space="preserve">, че тази партия не отговаря на условията, предвидени в Закон № </w:t>
      </w:r>
      <w:r w:rsidRPr="00DB77F7" w:rsidR="00860809">
        <w:rPr>
          <w:lang w:val="bg-BG"/>
        </w:rPr>
        <w:t xml:space="preserve">2820 </w:t>
      </w:r>
      <w:r w:rsidRPr="00DB77F7" w:rsidR="00225415">
        <w:rPr>
          <w:lang w:val="bg-BG"/>
        </w:rPr>
        <w:t>за политическите партии</w:t>
      </w:r>
      <w:r w:rsidRPr="00DB77F7" w:rsidR="00860809">
        <w:rPr>
          <w:lang w:val="bg-BG"/>
        </w:rPr>
        <w:t xml:space="preserve">. </w:t>
      </w:r>
      <w:r w:rsidRPr="00DB77F7" w:rsidR="00243F91">
        <w:rPr>
          <w:lang w:val="bg-BG"/>
        </w:rPr>
        <w:t xml:space="preserve">Съдът не се е произнесъл по </w:t>
      </w:r>
      <w:r w:rsidRPr="00DB77F7" w:rsidR="00EB5002">
        <w:rPr>
          <w:lang w:val="bg-BG"/>
        </w:rPr>
        <w:t xml:space="preserve">възражението </w:t>
      </w:r>
      <w:r w:rsidRPr="00DB77F7" w:rsidR="00243F91">
        <w:rPr>
          <w:lang w:val="bg-BG"/>
        </w:rPr>
        <w:t xml:space="preserve">на ÖDP </w:t>
      </w:r>
      <w:r w:rsidRPr="00DB77F7" w:rsidR="00EB5002">
        <w:rPr>
          <w:lang w:val="bg-BG"/>
        </w:rPr>
        <w:t>за противоконституционност</w:t>
      </w:r>
      <w:r w:rsidRPr="00DB77F7" w:rsidR="00243F91">
        <w:rPr>
          <w:lang w:val="bg-BG"/>
        </w:rPr>
        <w:t xml:space="preserve"> на разпоредбата</w:t>
      </w:r>
      <w:r w:rsidRPr="00DB77F7" w:rsidR="00EB5002">
        <w:rPr>
          <w:lang w:val="bg-BG"/>
        </w:rPr>
        <w:t>.</w:t>
      </w:r>
    </w:p>
    <w:p w:rsidRPr="00DB77F7" w:rsidR="003756B1"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11</w:t>
      </w:r>
      <w:r w:rsidRPr="00DB77F7">
        <w:rPr>
          <w:lang w:val="bg-BG"/>
        </w:rPr>
        <w:fldChar w:fldCharType="end"/>
      </w:r>
      <w:r w:rsidRPr="00DB77F7" w:rsidR="003756B1">
        <w:rPr>
          <w:lang w:val="bg-BG"/>
        </w:rPr>
        <w:t>.  </w:t>
      </w:r>
      <w:r w:rsidRPr="00DB77F7" w:rsidR="00A328D2">
        <w:rPr>
          <w:lang w:val="bg-BG"/>
        </w:rPr>
        <w:t>ÖDP</w:t>
      </w:r>
      <w:r w:rsidRPr="00DB77F7" w:rsidR="003756B1">
        <w:rPr>
          <w:lang w:val="bg-BG"/>
        </w:rPr>
        <w:t xml:space="preserve"> е обжалвала решението от 29 септември 1999 г., като е повторила аргументите, посочени пред първоинстанционния съд.</w:t>
      </w:r>
    </w:p>
    <w:p w:rsidRPr="00DB77F7" w:rsidR="00860809"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12</w:t>
      </w:r>
      <w:r w:rsidRPr="00DB77F7">
        <w:rPr>
          <w:lang w:val="bg-BG"/>
        </w:rPr>
        <w:fldChar w:fldCharType="end"/>
      </w:r>
      <w:r w:rsidRPr="00DB77F7">
        <w:rPr>
          <w:lang w:val="bg-BG"/>
        </w:rPr>
        <w:t>.  </w:t>
      </w:r>
      <w:r w:rsidRPr="00DB77F7" w:rsidR="00615A15">
        <w:rPr>
          <w:lang w:val="bg-BG"/>
        </w:rPr>
        <w:t>С</w:t>
      </w:r>
      <w:r w:rsidRPr="00DB77F7" w:rsidR="003756B1">
        <w:rPr>
          <w:lang w:val="bg-BG"/>
        </w:rPr>
        <w:t xml:space="preserve"> решение от 25 април 2002 г., връчено на жалбоподателя на 10 юли 2002 г., Върховният административен съд е потвърдил обжалваното решение, намирайки, че то не противоречи на процесуалните правила и на закона</w:t>
      </w:r>
      <w:r w:rsidRPr="00DB77F7" w:rsidR="00860809">
        <w:rPr>
          <w:lang w:val="bg-BG"/>
        </w:rPr>
        <w:t>.</w:t>
      </w:r>
    </w:p>
    <w:p w:rsidRPr="00DB77F7" w:rsidR="00FB3690" w:rsidP="00FB3690" w:rsidRDefault="00FB3690">
      <w:pPr>
        <w:pStyle w:val="JuHIRoman"/>
        <w:outlineLvl w:val="0"/>
        <w:rPr>
          <w:lang w:val="bg-BG"/>
        </w:rPr>
      </w:pPr>
      <w:r w:rsidRPr="00DB77F7">
        <w:rPr>
          <w:lang w:val="bg-BG"/>
        </w:rPr>
        <w:t>II.  </w:t>
      </w:r>
      <w:r w:rsidRPr="00DB77F7" w:rsidR="001B1029">
        <w:rPr>
          <w:lang w:val="bg-BG"/>
        </w:rPr>
        <w:t>ПРИЛОЖИМО ПРАВО И ПРАКТИКА</w:t>
      </w:r>
    </w:p>
    <w:p w:rsidRPr="00DB77F7" w:rsidR="00FB3690" w:rsidP="00FB3690" w:rsidRDefault="00FB3690">
      <w:pPr>
        <w:pStyle w:val="JuHA"/>
        <w:rPr>
          <w:lang w:val="bg-BG"/>
        </w:rPr>
      </w:pPr>
      <w:r w:rsidRPr="00DB77F7">
        <w:rPr>
          <w:lang w:val="bg-BG"/>
        </w:rPr>
        <w:t>A.  </w:t>
      </w:r>
      <w:r w:rsidRPr="00DB77F7" w:rsidR="001B1029">
        <w:rPr>
          <w:lang w:val="bg-BG"/>
        </w:rPr>
        <w:t>В национален контекст</w:t>
      </w:r>
    </w:p>
    <w:p w:rsidRPr="00DB77F7" w:rsidR="00FB3690" w:rsidP="00FB3690" w:rsidRDefault="00FB3690">
      <w:pPr>
        <w:pStyle w:val="JuH1"/>
        <w:rPr>
          <w:lang w:val="bg-BG"/>
        </w:rPr>
      </w:pPr>
      <w:r w:rsidRPr="00DB77F7">
        <w:rPr>
          <w:lang w:val="bg-BG"/>
        </w:rPr>
        <w:t>1.  </w:t>
      </w:r>
      <w:r w:rsidRPr="00DB77F7" w:rsidR="001B1029">
        <w:rPr>
          <w:lang w:val="bg-BG"/>
        </w:rPr>
        <w:t>Конституция</w:t>
      </w:r>
    </w:p>
    <w:p w:rsidRPr="00DB77F7" w:rsidR="00860809"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13</w:t>
      </w:r>
      <w:r w:rsidRPr="00DB77F7">
        <w:rPr>
          <w:lang w:val="bg-BG"/>
        </w:rPr>
        <w:fldChar w:fldCharType="end"/>
      </w:r>
      <w:r w:rsidRPr="00DB77F7">
        <w:rPr>
          <w:lang w:val="bg-BG"/>
        </w:rPr>
        <w:t>.  </w:t>
      </w:r>
      <w:r w:rsidRPr="00DB77F7" w:rsidR="0063547F">
        <w:rPr>
          <w:lang w:val="bg-BG"/>
        </w:rPr>
        <w:t xml:space="preserve">Последният параграф на член 68 от Конституцията гласи, че „държавата гарантира на политическите партии достатъчно и </w:t>
      </w:r>
      <w:r w:rsidRPr="00DB77F7" w:rsidR="00F8218E">
        <w:rPr>
          <w:lang w:val="bg-BG"/>
        </w:rPr>
        <w:t>равностойно</w:t>
      </w:r>
      <w:r w:rsidRPr="00DB77F7" w:rsidR="0063547F">
        <w:rPr>
          <w:lang w:val="bg-BG"/>
        </w:rPr>
        <w:t xml:space="preserve"> финансиране“ и че „принципите, приложими к</w:t>
      </w:r>
      <w:r w:rsidRPr="00DB77F7" w:rsidR="00606636">
        <w:rPr>
          <w:lang w:val="bg-BG"/>
        </w:rPr>
        <w:t>ъм партийното финансиране, член</w:t>
      </w:r>
      <w:r w:rsidRPr="00DB77F7" w:rsidR="000B5DE9">
        <w:rPr>
          <w:lang w:val="bg-BG"/>
        </w:rPr>
        <w:t>ския</w:t>
      </w:r>
      <w:r w:rsidRPr="00DB77F7" w:rsidR="0063547F">
        <w:rPr>
          <w:lang w:val="bg-BG"/>
        </w:rPr>
        <w:t xml:space="preserve"> внос и даренията, са определени в закона</w:t>
      </w:r>
      <w:r w:rsidRPr="00DB77F7" w:rsidR="00CF2A54">
        <w:rPr>
          <w:lang w:val="bg-BG"/>
        </w:rPr>
        <w:t>”.</w:t>
      </w:r>
    </w:p>
    <w:p w:rsidRPr="00DB77F7" w:rsidR="00FB3690" w:rsidP="00FB3690" w:rsidRDefault="00FB3690">
      <w:pPr>
        <w:pStyle w:val="JuH1"/>
        <w:rPr>
          <w:lang w:val="bg-BG"/>
        </w:rPr>
      </w:pPr>
      <w:r w:rsidRPr="00DB77F7">
        <w:rPr>
          <w:lang w:val="bg-BG"/>
        </w:rPr>
        <w:t>2.  </w:t>
      </w:r>
      <w:r w:rsidRPr="00DB77F7" w:rsidR="001B1029">
        <w:rPr>
          <w:lang w:val="bg-BG"/>
        </w:rPr>
        <w:t>Закон за политическите партии</w:t>
      </w:r>
    </w:p>
    <w:p w:rsidRPr="00DB77F7" w:rsidR="00CE5CE5"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14</w:t>
      </w:r>
      <w:r w:rsidRPr="00DB77F7">
        <w:rPr>
          <w:lang w:val="bg-BG"/>
        </w:rPr>
        <w:fldChar w:fldCharType="end"/>
      </w:r>
      <w:r w:rsidRPr="00DB77F7">
        <w:rPr>
          <w:lang w:val="bg-BG"/>
        </w:rPr>
        <w:t>.  </w:t>
      </w:r>
      <w:r w:rsidRPr="00DB77F7" w:rsidR="00CE5CE5">
        <w:rPr>
          <w:lang w:val="bg-BG"/>
        </w:rPr>
        <w:t>Съгласно допълнения член 1 от Закон № 2820 за политическите партии държавата предоставя финансова помощ (</w:t>
      </w:r>
      <w:r w:rsidRPr="00DB77F7" w:rsidR="0046549B">
        <w:rPr>
          <w:lang w:val="bg-BG"/>
        </w:rPr>
        <w:t>целият размер на</w:t>
      </w:r>
      <w:r w:rsidRPr="00DB77F7" w:rsidR="00CE5CE5">
        <w:rPr>
          <w:lang w:val="bg-BG"/>
        </w:rPr>
        <w:t xml:space="preserve"> която </w:t>
      </w:r>
      <w:r w:rsidRPr="00DB77F7" w:rsidR="00606636">
        <w:rPr>
          <w:lang w:val="bg-BG"/>
        </w:rPr>
        <w:t>се равнява</w:t>
      </w:r>
      <w:r w:rsidRPr="00DB77F7" w:rsidR="0046549B">
        <w:rPr>
          <w:lang w:val="bg-BG"/>
        </w:rPr>
        <w:t xml:space="preserve"> на</w:t>
      </w:r>
      <w:r w:rsidRPr="00DB77F7" w:rsidR="00DF5FFC">
        <w:rPr>
          <w:lang w:val="bg-BG"/>
        </w:rPr>
        <w:t xml:space="preserve"> 2/50</w:t>
      </w:r>
      <w:r w:rsidRPr="00DB77F7" w:rsidR="00221BB6">
        <w:rPr>
          <w:lang w:val="bg-BG"/>
        </w:rPr>
        <w:t>0</w:t>
      </w:r>
      <w:r w:rsidRPr="00DB77F7" w:rsidR="00DF5FFC">
        <w:rPr>
          <w:lang w:val="bg-BG"/>
        </w:rPr>
        <w:t>0-</w:t>
      </w:r>
      <w:r w:rsidRPr="00DB77F7" w:rsidR="00CE5CE5">
        <w:rPr>
          <w:lang w:val="bg-BG"/>
        </w:rPr>
        <w:t>дни от държавния бюджет) на парламентарно представените политически партии, пропорционално на заетите парламентарни мандати. Политически партии, които не са парламентарно представени, също имат право на такава помощ, ако са получили 7% от гласовете на предходните избори. Партии, които</w:t>
      </w:r>
      <w:r w:rsidRPr="00DB77F7" w:rsidR="00606636">
        <w:rPr>
          <w:lang w:val="bg-BG"/>
        </w:rPr>
        <w:t xml:space="preserve"> имат най-малко три депутата в п</w:t>
      </w:r>
      <w:r w:rsidRPr="00DB77F7" w:rsidR="00CE5CE5">
        <w:rPr>
          <w:lang w:val="bg-BG"/>
        </w:rPr>
        <w:t>арламента също имат право на помощ, макар и да не са участ</w:t>
      </w:r>
      <w:r w:rsidRPr="00DB77F7" w:rsidR="00606636">
        <w:rPr>
          <w:lang w:val="bg-BG"/>
        </w:rPr>
        <w:t>вали в последните избори.</w:t>
      </w:r>
    </w:p>
    <w:p w:rsidRPr="00DB77F7" w:rsidR="00FB3690"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15</w:t>
      </w:r>
      <w:r w:rsidRPr="00DB77F7">
        <w:rPr>
          <w:lang w:val="bg-BG"/>
        </w:rPr>
        <w:fldChar w:fldCharType="end"/>
      </w:r>
      <w:r w:rsidRPr="00DB77F7">
        <w:rPr>
          <w:lang w:val="bg-BG"/>
        </w:rPr>
        <w:t>.  </w:t>
      </w:r>
      <w:r w:rsidRPr="00DB77F7" w:rsidR="00CE5CE5">
        <w:rPr>
          <w:lang w:val="bg-BG"/>
        </w:rPr>
        <w:t>Предоставеното на политическите партии финансиране се утроява в годината на парламентарни избори и удвоява</w:t>
      </w:r>
      <w:r w:rsidRPr="00DB77F7" w:rsidR="00606636">
        <w:rPr>
          <w:lang w:val="bg-BG"/>
        </w:rPr>
        <w:t xml:space="preserve"> в годината на общински избори.</w:t>
      </w:r>
    </w:p>
    <w:p w:rsidRPr="00DB77F7" w:rsidR="00FB3690" w:rsidP="00FB3690" w:rsidRDefault="00FB3690">
      <w:pPr>
        <w:pStyle w:val="JuH1"/>
        <w:rPr>
          <w:lang w:val="bg-BG"/>
        </w:rPr>
      </w:pPr>
      <w:r w:rsidRPr="00DB77F7">
        <w:rPr>
          <w:lang w:val="bg-BG"/>
        </w:rPr>
        <w:t>3.  </w:t>
      </w:r>
      <w:r w:rsidRPr="00DB77F7" w:rsidR="001B1029">
        <w:rPr>
          <w:lang w:val="bg-BG"/>
        </w:rPr>
        <w:t>Практика на Конституционния съд</w:t>
      </w:r>
    </w:p>
    <w:p w:rsidRPr="00DB77F7" w:rsidR="000B6C05"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16</w:t>
      </w:r>
      <w:r w:rsidRPr="00DB77F7">
        <w:rPr>
          <w:lang w:val="bg-BG"/>
        </w:rPr>
        <w:fldChar w:fldCharType="end"/>
      </w:r>
      <w:r w:rsidRPr="00DB77F7">
        <w:rPr>
          <w:lang w:val="bg-BG"/>
        </w:rPr>
        <w:t>.  </w:t>
      </w:r>
      <w:r w:rsidRPr="00DB77F7" w:rsidR="0046549B">
        <w:rPr>
          <w:lang w:val="bg-BG"/>
        </w:rPr>
        <w:t>С</w:t>
      </w:r>
      <w:r w:rsidRPr="00DB77F7" w:rsidR="00D12950">
        <w:rPr>
          <w:lang w:val="bg-BG"/>
        </w:rPr>
        <w:t xml:space="preserve"> решение от 20 ноември 2008 г. турският Конституционен съд е отхвърлил с мнозинство искане за установяване на противоконституционност, направено от Административния съд в Анкара, в което се е твърдяло, че законовият праг от 7%, наложен на политическите партии, за получаването на държавно финансиране е дискриминационен и следователно противоконституционен. В мотивите към това решение Конституционният </w:t>
      </w:r>
      <w:r w:rsidRPr="00DB77F7" w:rsidR="00A4428E">
        <w:rPr>
          <w:lang w:val="bg-BG"/>
        </w:rPr>
        <w:t>съд е счел, че една от целите н</w:t>
      </w:r>
      <w:r w:rsidRPr="00DB77F7" w:rsidR="00D12950">
        <w:rPr>
          <w:lang w:val="bg-BG"/>
        </w:rPr>
        <w:t>а</w:t>
      </w:r>
      <w:r w:rsidRPr="00DB77F7" w:rsidR="00A4428E">
        <w:rPr>
          <w:lang w:val="bg-BG"/>
        </w:rPr>
        <w:t xml:space="preserve"> </w:t>
      </w:r>
      <w:r w:rsidRPr="00DB77F7" w:rsidR="00D12950">
        <w:rPr>
          <w:lang w:val="bg-BG"/>
        </w:rPr>
        <w:t xml:space="preserve">политическите партии е да получат подкрепата на електората, за да могат да участват </w:t>
      </w:r>
      <w:r w:rsidRPr="00DB77F7" w:rsidR="0008214A">
        <w:rPr>
          <w:lang w:val="bg-BG"/>
        </w:rPr>
        <w:t>в правителството и следователно да допринесат за изразяването на мнение</w:t>
      </w:r>
      <w:r w:rsidRPr="00DB77F7" w:rsidR="00FC75B4">
        <w:rPr>
          <w:lang w:val="bg-BG"/>
        </w:rPr>
        <w:t>то на народа</w:t>
      </w:r>
      <w:r w:rsidRPr="00DB77F7" w:rsidR="0008214A">
        <w:rPr>
          <w:lang w:val="bg-BG"/>
        </w:rPr>
        <w:t xml:space="preserve">. </w:t>
      </w:r>
      <w:r w:rsidRPr="00DB77F7" w:rsidR="00A4428E">
        <w:rPr>
          <w:lang w:val="bg-BG"/>
        </w:rPr>
        <w:t xml:space="preserve">Поради това той е заключил, че партии, които не са получили достатъчно електорална подкрепа, не допринасят за изразяването на </w:t>
      </w:r>
      <w:r w:rsidRPr="00DB77F7" w:rsidR="00FC75B4">
        <w:rPr>
          <w:lang w:val="bg-BG"/>
        </w:rPr>
        <w:t>мнението на народа</w:t>
      </w:r>
      <w:r w:rsidRPr="00DB77F7" w:rsidR="00A4428E">
        <w:rPr>
          <w:lang w:val="bg-BG"/>
        </w:rPr>
        <w:t xml:space="preserve"> по същия начин, както политически партии с по-широка обществена подкрепа. Той е отхвърлил аргумента, че използването на степентта, в която партиите допринасят за демократичния политически живот, като критерии за предо</w:t>
      </w:r>
      <w:r w:rsidRPr="00DB77F7" w:rsidR="000B6669">
        <w:rPr>
          <w:lang w:val="bg-BG"/>
        </w:rPr>
        <w:t>ставяне на държавно финансиране</w:t>
      </w:r>
      <w:r w:rsidRPr="00DB77F7" w:rsidR="00A4428E">
        <w:rPr>
          <w:lang w:val="bg-BG"/>
        </w:rPr>
        <w:t xml:space="preserve"> </w:t>
      </w:r>
      <w:r w:rsidRPr="00DB77F7" w:rsidR="000B6669">
        <w:rPr>
          <w:lang w:val="bg-BG"/>
        </w:rPr>
        <w:t>не води до</w:t>
      </w:r>
      <w:r w:rsidRPr="00DB77F7" w:rsidR="00195500">
        <w:rPr>
          <w:lang w:val="bg-BG"/>
        </w:rPr>
        <w:t xml:space="preserve"> обек</w:t>
      </w:r>
      <w:r w:rsidRPr="00DB77F7" w:rsidR="000B6669">
        <w:rPr>
          <w:lang w:val="bg-BG"/>
        </w:rPr>
        <w:t>тив</w:t>
      </w:r>
      <w:r w:rsidRPr="00DB77F7" w:rsidR="00195500">
        <w:rPr>
          <w:lang w:val="bg-BG"/>
        </w:rPr>
        <w:t>но</w:t>
      </w:r>
      <w:r w:rsidRPr="00DB77F7" w:rsidR="000B6669">
        <w:rPr>
          <w:lang w:val="bg-BG"/>
        </w:rPr>
        <w:t>ст</w:t>
      </w:r>
      <w:r w:rsidRPr="00DB77F7" w:rsidR="00195500">
        <w:rPr>
          <w:lang w:val="bg-BG"/>
        </w:rPr>
        <w:t>, р</w:t>
      </w:r>
      <w:r w:rsidRPr="00DB77F7" w:rsidR="000B6669">
        <w:rPr>
          <w:lang w:val="bg-BG"/>
        </w:rPr>
        <w:t>авнопоставеност и пропорционалност.</w:t>
      </w:r>
    </w:p>
    <w:p w:rsidRPr="00DB77F7" w:rsidR="00A60DC6"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17</w:t>
      </w:r>
      <w:r w:rsidRPr="00DB77F7">
        <w:rPr>
          <w:lang w:val="bg-BG"/>
        </w:rPr>
        <w:fldChar w:fldCharType="end"/>
      </w:r>
      <w:r w:rsidRPr="00DB77F7">
        <w:rPr>
          <w:lang w:val="bg-BG"/>
        </w:rPr>
        <w:t>.  </w:t>
      </w:r>
      <w:r w:rsidRPr="00DB77F7" w:rsidR="00195500">
        <w:rPr>
          <w:lang w:val="bg-BG"/>
        </w:rPr>
        <w:t xml:space="preserve">Малцинство от съдиите в Конституционния съд са счели, че </w:t>
      </w:r>
      <w:r w:rsidRPr="00DB77F7" w:rsidR="002073EA">
        <w:rPr>
          <w:lang w:val="bg-BG"/>
        </w:rPr>
        <w:t>7 -</w:t>
      </w:r>
      <w:r w:rsidRPr="00DB77F7" w:rsidR="003408B8">
        <w:rPr>
          <w:lang w:val="bg-BG"/>
        </w:rPr>
        <w:t>процентният</w:t>
      </w:r>
      <w:r w:rsidRPr="00DB77F7" w:rsidR="00195500">
        <w:rPr>
          <w:lang w:val="bg-BG"/>
        </w:rPr>
        <w:t xml:space="preserve"> праг е прекалено висок (той се е равнявал на около три милиона гласа на референдума през 2007 г.), че предоставя несправедливо предимство на политическите партии, които са го достигнали</w:t>
      </w:r>
      <w:r w:rsidRPr="00DB77F7" w:rsidR="000B6669">
        <w:rPr>
          <w:lang w:val="bg-BG"/>
        </w:rPr>
        <w:t>,</w:t>
      </w:r>
      <w:r w:rsidRPr="00DB77F7" w:rsidR="00195500">
        <w:rPr>
          <w:lang w:val="bg-BG"/>
        </w:rPr>
        <w:t xml:space="preserve"> и че критерият, основан на „допринасяне за изразяването на </w:t>
      </w:r>
      <w:r w:rsidRPr="00DB77F7" w:rsidR="00914C38">
        <w:rPr>
          <w:lang w:val="bg-BG"/>
        </w:rPr>
        <w:t>мнението на народа</w:t>
      </w:r>
      <w:r w:rsidRPr="00DB77F7" w:rsidR="00195500">
        <w:rPr>
          <w:lang w:val="bg-BG"/>
        </w:rPr>
        <w:t>“ е субективен и нарушава принципа на върховенството на закона.</w:t>
      </w:r>
    </w:p>
    <w:p w:rsidRPr="00DB77F7" w:rsidR="00FB3690" w:rsidP="00FB3690" w:rsidRDefault="00FB3690">
      <w:pPr>
        <w:pStyle w:val="JuH1"/>
        <w:rPr>
          <w:lang w:val="bg-BG"/>
        </w:rPr>
      </w:pPr>
      <w:r w:rsidRPr="00DB77F7">
        <w:rPr>
          <w:lang w:val="bg-BG"/>
        </w:rPr>
        <w:t>4.  </w:t>
      </w:r>
      <w:r w:rsidRPr="00DB77F7" w:rsidR="00B860F4">
        <w:rPr>
          <w:lang w:val="bg-BG"/>
        </w:rPr>
        <w:t>Пряко финансиране</w:t>
      </w:r>
      <w:r w:rsidRPr="00DB77F7" w:rsidR="0089122D">
        <w:rPr>
          <w:lang w:val="bg-BG"/>
        </w:rPr>
        <w:t xml:space="preserve"> на политически пар</w:t>
      </w:r>
      <w:r w:rsidRPr="00DB77F7" w:rsidR="00EB5002">
        <w:rPr>
          <w:lang w:val="bg-BG"/>
        </w:rPr>
        <w:t>тии и кратък преглед н</w:t>
      </w:r>
      <w:r w:rsidRPr="00DB77F7" w:rsidR="0089122D">
        <w:rPr>
          <w:lang w:val="bg-BG"/>
        </w:rPr>
        <w:t>а</w:t>
      </w:r>
      <w:r w:rsidRPr="00DB77F7" w:rsidR="00EB5002">
        <w:rPr>
          <w:lang w:val="bg-BG"/>
        </w:rPr>
        <w:t xml:space="preserve"> </w:t>
      </w:r>
      <w:r w:rsidRPr="00DB77F7" w:rsidR="00B860F4">
        <w:rPr>
          <w:lang w:val="bg-BG"/>
        </w:rPr>
        <w:t>изборите в настоящия случай</w:t>
      </w:r>
    </w:p>
    <w:p w:rsidRPr="00DB77F7" w:rsidR="00FB3690"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18</w:t>
      </w:r>
      <w:r w:rsidRPr="00DB77F7">
        <w:rPr>
          <w:lang w:val="bg-BG"/>
        </w:rPr>
        <w:fldChar w:fldCharType="end"/>
      </w:r>
      <w:r w:rsidRPr="00DB77F7" w:rsidR="00E127FB">
        <w:rPr>
          <w:lang w:val="bg-BG"/>
        </w:rPr>
        <w:t>.  </w:t>
      </w:r>
      <w:r w:rsidRPr="00DB77F7" w:rsidR="00A328D2">
        <w:rPr>
          <w:lang w:val="bg-BG"/>
        </w:rPr>
        <w:t>ÖDP</w:t>
      </w:r>
      <w:r w:rsidRPr="00DB77F7">
        <w:rPr>
          <w:lang w:val="bg-BG"/>
        </w:rPr>
        <w:t xml:space="preserve"> </w:t>
      </w:r>
      <w:r w:rsidRPr="00DB77F7" w:rsidR="00E127FB">
        <w:rPr>
          <w:lang w:val="bg-BG"/>
        </w:rPr>
        <w:t>е получила</w:t>
      </w:r>
      <w:r w:rsidRPr="00DB77F7">
        <w:rPr>
          <w:lang w:val="bg-BG"/>
        </w:rPr>
        <w:t xml:space="preserve"> 0</w:t>
      </w:r>
      <w:r w:rsidRPr="00DB77F7" w:rsidR="00A60DC6">
        <w:rPr>
          <w:lang w:val="bg-BG"/>
        </w:rPr>
        <w:t>.</w:t>
      </w:r>
      <w:r w:rsidRPr="00DB77F7">
        <w:rPr>
          <w:lang w:val="bg-BG"/>
        </w:rPr>
        <w:t xml:space="preserve">8 % </w:t>
      </w:r>
      <w:r w:rsidRPr="00DB77F7" w:rsidR="00E127FB">
        <w:rPr>
          <w:lang w:val="bg-BG"/>
        </w:rPr>
        <w:t xml:space="preserve">от валидните гласове по време на парламентарните избори от 18 април 1999 г., </w:t>
      </w:r>
      <w:r w:rsidRPr="00DB77F7">
        <w:rPr>
          <w:lang w:val="bg-BG"/>
        </w:rPr>
        <w:t>0</w:t>
      </w:r>
      <w:r w:rsidRPr="00DB77F7" w:rsidR="00A60DC6">
        <w:rPr>
          <w:lang w:val="bg-BG"/>
        </w:rPr>
        <w:t>.</w:t>
      </w:r>
      <w:r w:rsidRPr="00DB77F7">
        <w:rPr>
          <w:lang w:val="bg-BG"/>
        </w:rPr>
        <w:t xml:space="preserve">34 % </w:t>
      </w:r>
      <w:r w:rsidRPr="00DB77F7" w:rsidR="00E127FB">
        <w:rPr>
          <w:lang w:val="bg-BG"/>
        </w:rPr>
        <w:t>от гласовете на изборите от 12 н</w:t>
      </w:r>
      <w:r w:rsidRPr="00DB77F7" w:rsidR="00B860F4">
        <w:rPr>
          <w:lang w:val="bg-BG"/>
        </w:rPr>
        <w:t>о</w:t>
      </w:r>
      <w:r w:rsidRPr="00DB77F7" w:rsidR="00E127FB">
        <w:rPr>
          <w:lang w:val="bg-BG"/>
        </w:rPr>
        <w:t xml:space="preserve">ември 2002 г. и </w:t>
      </w:r>
      <w:r w:rsidRPr="00DB77F7">
        <w:rPr>
          <w:lang w:val="bg-BG"/>
        </w:rPr>
        <w:t>0</w:t>
      </w:r>
      <w:r w:rsidRPr="00DB77F7" w:rsidR="00A60DC6">
        <w:rPr>
          <w:lang w:val="bg-BG"/>
        </w:rPr>
        <w:t>.</w:t>
      </w:r>
      <w:r w:rsidRPr="00DB77F7">
        <w:rPr>
          <w:lang w:val="bg-BG"/>
        </w:rPr>
        <w:t xml:space="preserve">15 % </w:t>
      </w:r>
      <w:r w:rsidRPr="00DB77F7" w:rsidR="00E127FB">
        <w:rPr>
          <w:lang w:val="bg-BG"/>
        </w:rPr>
        <w:t>от гласовете на изборите през 2007 г.</w:t>
      </w:r>
    </w:p>
    <w:p w:rsidRPr="00DB77F7" w:rsidR="006E081B"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19</w:t>
      </w:r>
      <w:r w:rsidRPr="00DB77F7">
        <w:rPr>
          <w:lang w:val="bg-BG"/>
        </w:rPr>
        <w:fldChar w:fldCharType="end"/>
      </w:r>
      <w:r w:rsidRPr="00DB77F7">
        <w:rPr>
          <w:lang w:val="bg-BG"/>
        </w:rPr>
        <w:t>.  </w:t>
      </w:r>
      <w:r w:rsidRPr="00DB77F7" w:rsidR="006E081B">
        <w:rPr>
          <w:lang w:val="bg-BG"/>
        </w:rPr>
        <w:t>Партиите, които са получили финансира</w:t>
      </w:r>
      <w:r w:rsidRPr="00DB77F7" w:rsidR="0046549B">
        <w:rPr>
          <w:lang w:val="bg-BG"/>
        </w:rPr>
        <w:t>не преди въпросните избори</w:t>
      </w:r>
      <w:r w:rsidRPr="00DB77F7" w:rsidR="006E081B">
        <w:rPr>
          <w:lang w:val="bg-BG"/>
        </w:rPr>
        <w:t xml:space="preserve"> или са спечелили мандати в Народното събрание, или са получили повече от 7% от ва</w:t>
      </w:r>
      <w:r w:rsidRPr="00DB77F7" w:rsidR="00D34356">
        <w:rPr>
          <w:lang w:val="bg-BG"/>
        </w:rPr>
        <w:t>лидните гласове на тези избори.</w:t>
      </w:r>
    </w:p>
    <w:p w:rsidRPr="00DB77F7" w:rsidR="00FB3690" w:rsidP="00FB3690" w:rsidRDefault="006E081B">
      <w:pPr>
        <w:pStyle w:val="JuPara"/>
        <w:rPr>
          <w:lang w:val="bg-BG"/>
        </w:rPr>
      </w:pPr>
      <w:r w:rsidRPr="00DB77F7">
        <w:rPr>
          <w:lang w:val="bg-BG"/>
        </w:rPr>
        <w:t xml:space="preserve">Преди общите избори през 1999 г. шест политически партии (включително една, която не е парламентарно представена) от </w:t>
      </w:r>
      <w:r w:rsidRPr="00DB77F7" w:rsidR="00270F93">
        <w:rPr>
          <w:lang w:val="bg-BG"/>
        </w:rPr>
        <w:t>двадесет и една партии, представили кандидати на изборите, са получили държавно финансиране</w:t>
      </w:r>
      <w:r w:rsidRPr="00DB77F7" w:rsidR="00A60DC6">
        <w:rPr>
          <w:lang w:val="bg-BG"/>
        </w:rPr>
        <w:t xml:space="preserve">. </w:t>
      </w:r>
      <w:r w:rsidRPr="00DB77F7" w:rsidR="00270F93">
        <w:rPr>
          <w:lang w:val="bg-BG"/>
        </w:rPr>
        <w:t>Преди общите избори през 2002 г. шест политически партии (включително една, която не е парламен</w:t>
      </w:r>
      <w:r w:rsidRPr="00DB77F7" w:rsidR="00850F55">
        <w:rPr>
          <w:lang w:val="bg-BG"/>
        </w:rPr>
        <w:t>тарно представена) от петнадесет</w:t>
      </w:r>
      <w:r w:rsidRPr="00DB77F7" w:rsidR="00270F93">
        <w:rPr>
          <w:lang w:val="bg-BG"/>
        </w:rPr>
        <w:t xml:space="preserve">те партии, </w:t>
      </w:r>
      <w:r w:rsidRPr="00DB77F7" w:rsidR="00850F55">
        <w:rPr>
          <w:lang w:val="bg-BG"/>
        </w:rPr>
        <w:t>участващи в</w:t>
      </w:r>
      <w:r w:rsidRPr="00DB77F7" w:rsidR="00270F93">
        <w:rPr>
          <w:lang w:val="bg-BG"/>
        </w:rPr>
        <w:t xml:space="preserve"> изборите, са получили държавно финансиране. Преди изборите от 2007 г. финансиране са получили пет от петнадесетте партии, представили кандидати; от тези пет партии три не с</w:t>
      </w:r>
      <w:r w:rsidRPr="00DB77F7" w:rsidR="00850F55">
        <w:rPr>
          <w:lang w:val="bg-BG"/>
        </w:rPr>
        <w:t xml:space="preserve">а парламентарно представени. </w:t>
      </w:r>
      <w:r w:rsidRPr="00DB77F7" w:rsidR="00A328D2">
        <w:rPr>
          <w:lang w:val="bg-BG"/>
        </w:rPr>
        <w:t>ÖDP</w:t>
      </w:r>
      <w:r w:rsidRPr="00DB77F7" w:rsidR="00FB3690">
        <w:rPr>
          <w:lang w:val="bg-BG"/>
        </w:rPr>
        <w:t xml:space="preserve"> </w:t>
      </w:r>
      <w:r w:rsidRPr="00DB77F7" w:rsidR="00270F93">
        <w:rPr>
          <w:lang w:val="bg-BG"/>
        </w:rPr>
        <w:t>никога не е получавала държавно финансиране</w:t>
      </w:r>
      <w:r w:rsidRPr="00DB77F7" w:rsidR="00FB3690">
        <w:rPr>
          <w:lang w:val="bg-BG"/>
        </w:rPr>
        <w:t>.</w:t>
      </w:r>
    </w:p>
    <w:p w:rsidRPr="00DB77F7" w:rsidR="00FB3690" w:rsidP="00FB3690" w:rsidRDefault="00FB3690">
      <w:pPr>
        <w:pStyle w:val="JuHA"/>
        <w:rPr>
          <w:lang w:val="bg-BG"/>
        </w:rPr>
      </w:pPr>
      <w:r w:rsidRPr="00DB77F7">
        <w:rPr>
          <w:lang w:val="bg-BG"/>
        </w:rPr>
        <w:t>B.  </w:t>
      </w:r>
      <w:r w:rsidRPr="00DB77F7" w:rsidR="000F1506">
        <w:rPr>
          <w:lang w:val="bg-BG"/>
        </w:rPr>
        <w:t>Международни инструменти</w:t>
      </w:r>
    </w:p>
    <w:p w:rsidRPr="00DB77F7" w:rsidR="00FB3690"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20</w:t>
      </w:r>
      <w:r w:rsidRPr="00DB77F7">
        <w:rPr>
          <w:lang w:val="bg-BG"/>
        </w:rPr>
        <w:fldChar w:fldCharType="end"/>
      </w:r>
      <w:r w:rsidRPr="00DB77F7">
        <w:rPr>
          <w:lang w:val="bg-BG"/>
        </w:rPr>
        <w:t>.  </w:t>
      </w:r>
      <w:r w:rsidRPr="00DB77F7" w:rsidR="00892FE0">
        <w:rPr>
          <w:lang w:val="bg-BG"/>
        </w:rPr>
        <w:t>Относимите пасажи от Насоките за уредбата на политическите партии, изготвен</w:t>
      </w:r>
      <w:r w:rsidRPr="00DB77F7" w:rsidR="00E86247">
        <w:rPr>
          <w:lang w:val="bg-BG"/>
        </w:rPr>
        <w:t>и</w:t>
      </w:r>
      <w:r w:rsidRPr="00DB77F7" w:rsidR="00892FE0">
        <w:rPr>
          <w:lang w:val="bg-BG"/>
        </w:rPr>
        <w:t xml:space="preserve"> от ОССЕ/ОДИПЧ</w:t>
      </w:r>
      <w:r w:rsidRPr="00DB77F7" w:rsidR="00791D34">
        <w:rPr>
          <w:lang w:val="bg-BG"/>
        </w:rPr>
        <w:t xml:space="preserve"> (Организация за сигурност и сътрудничество в Европа/Офис за демократични институции и човешки права (бел прев.)</w:t>
      </w:r>
      <w:r w:rsidRPr="00DB77F7" w:rsidR="00892FE0">
        <w:rPr>
          <w:lang w:val="bg-BG"/>
        </w:rPr>
        <w:t xml:space="preserve"> (OSCE/ODIHR</w:t>
      </w:r>
      <w:r w:rsidRPr="00DB77F7" w:rsidR="00791D34">
        <w:rPr>
          <w:lang w:val="bg-BG"/>
        </w:rPr>
        <w:t>)</w:t>
      </w:r>
      <w:r w:rsidRPr="00DB77F7" w:rsidR="00892FE0">
        <w:rPr>
          <w:lang w:val="bg-BG"/>
        </w:rPr>
        <w:t xml:space="preserve"> и Венецианската комисия (</w:t>
      </w:r>
      <w:r w:rsidRPr="00DB77F7" w:rsidR="00BE6CD8">
        <w:rPr>
          <w:lang w:val="bg-BG"/>
        </w:rPr>
        <w:t>the Venice Commission</w:t>
      </w:r>
      <w:r w:rsidRPr="00DB77F7" w:rsidR="00892FE0">
        <w:rPr>
          <w:lang w:val="bg-BG"/>
        </w:rPr>
        <w:t>)</w:t>
      </w:r>
      <w:r w:rsidRPr="00DB77F7" w:rsidR="00BE6CD8">
        <w:rPr>
          <w:lang w:val="bg-BG"/>
        </w:rPr>
        <w:t xml:space="preserve">, </w:t>
      </w:r>
      <w:r w:rsidRPr="00DB77F7" w:rsidR="00892FE0">
        <w:rPr>
          <w:lang w:val="bg-BG"/>
        </w:rPr>
        <w:t>приети от Венецианската комисия на 84-та й пленарна сесия</w:t>
      </w:r>
      <w:r w:rsidRPr="00DB77F7" w:rsidR="00BE6CD8">
        <w:rPr>
          <w:lang w:val="bg-BG"/>
        </w:rPr>
        <w:t xml:space="preserve"> (</w:t>
      </w:r>
      <w:r w:rsidRPr="00DB77F7" w:rsidR="00892FE0">
        <w:rPr>
          <w:lang w:val="bg-BG"/>
        </w:rPr>
        <w:t>Венеция</w:t>
      </w:r>
      <w:r w:rsidRPr="00DB77F7" w:rsidR="00BE6CD8">
        <w:rPr>
          <w:lang w:val="bg-BG"/>
        </w:rPr>
        <w:t>, 15</w:t>
      </w:r>
      <w:r w:rsidRPr="00DB77F7" w:rsidR="0010687E">
        <w:rPr>
          <w:lang w:val="bg-BG"/>
        </w:rPr>
        <w:noBreakHyphen/>
      </w:r>
      <w:r w:rsidRPr="00DB77F7" w:rsidR="00BE6CD8">
        <w:rPr>
          <w:lang w:val="bg-BG"/>
        </w:rPr>
        <w:t>16</w:t>
      </w:r>
      <w:r w:rsidRPr="00DB77F7" w:rsidR="0010687E">
        <w:rPr>
          <w:lang w:val="bg-BG"/>
        </w:rPr>
        <w:t> </w:t>
      </w:r>
      <w:r w:rsidRPr="00DB77F7" w:rsidR="00892FE0">
        <w:rPr>
          <w:lang w:val="bg-BG"/>
        </w:rPr>
        <w:t>октомври</w:t>
      </w:r>
      <w:r w:rsidRPr="00DB77F7" w:rsidR="00BE6CD8">
        <w:rPr>
          <w:lang w:val="bg-BG"/>
        </w:rPr>
        <w:t xml:space="preserve"> </w:t>
      </w:r>
      <w:r w:rsidRPr="00DB77F7">
        <w:rPr>
          <w:lang w:val="bg-BG"/>
        </w:rPr>
        <w:t>2010</w:t>
      </w:r>
      <w:r w:rsidRPr="00DB77F7" w:rsidR="00892FE0">
        <w:rPr>
          <w:lang w:val="bg-BG"/>
        </w:rPr>
        <w:t xml:space="preserve"> г.</w:t>
      </w:r>
      <w:r w:rsidRPr="00DB77F7">
        <w:rPr>
          <w:lang w:val="bg-BG"/>
        </w:rPr>
        <w:t>, CDL-AD(2010)024)</w:t>
      </w:r>
      <w:r w:rsidRPr="00DB77F7" w:rsidR="00892FE0">
        <w:rPr>
          <w:lang w:val="bg-BG"/>
        </w:rPr>
        <w:t>, гласят следното</w:t>
      </w:r>
      <w:r w:rsidRPr="00DB77F7">
        <w:rPr>
          <w:lang w:val="bg-BG"/>
        </w:rPr>
        <w:t>:</w:t>
      </w:r>
    </w:p>
    <w:p w:rsidRPr="00DB77F7" w:rsidR="001622E3" w:rsidP="00BE6CD8" w:rsidRDefault="00892FE0">
      <w:pPr>
        <w:pStyle w:val="JuQuot"/>
        <w:rPr>
          <w:b/>
          <w:lang w:val="bg-BG"/>
        </w:rPr>
      </w:pPr>
      <w:r w:rsidRPr="00DB77F7">
        <w:rPr>
          <w:lang w:val="bg-BG"/>
        </w:rPr>
        <w:t>„</w:t>
      </w:r>
      <w:r w:rsidRPr="00DB77F7" w:rsidR="001622E3">
        <w:rPr>
          <w:b/>
          <w:lang w:val="bg-BG"/>
        </w:rPr>
        <w:t>3.</w:t>
      </w:r>
      <w:r w:rsidRPr="00DB77F7" w:rsidR="00FD4952">
        <w:rPr>
          <w:b/>
          <w:lang w:val="bg-BG"/>
        </w:rPr>
        <w:t>  </w:t>
      </w:r>
      <w:r w:rsidRPr="00DB77F7">
        <w:rPr>
          <w:b/>
          <w:lang w:val="bg-BG"/>
        </w:rPr>
        <w:t>Обществено финансиране</w:t>
      </w:r>
    </w:p>
    <w:p w:rsidRPr="00DB77F7" w:rsidR="001622E3" w:rsidP="00BE6CD8" w:rsidRDefault="00FD4952">
      <w:pPr>
        <w:pStyle w:val="JuQuot"/>
        <w:rPr>
          <w:b/>
          <w:lang w:val="bg-BG"/>
        </w:rPr>
      </w:pPr>
      <w:r w:rsidRPr="00DB77F7">
        <w:rPr>
          <w:b/>
          <w:lang w:val="bg-BG"/>
        </w:rPr>
        <w:t>(a)  </w:t>
      </w:r>
      <w:r w:rsidRPr="00DB77F7" w:rsidR="00892FE0">
        <w:rPr>
          <w:b/>
          <w:lang w:val="bg-BG"/>
        </w:rPr>
        <w:t>Значимост на общественото финансиране</w:t>
      </w:r>
    </w:p>
    <w:p w:rsidRPr="00DB77F7" w:rsidR="00FC1820" w:rsidP="00BE6CD8" w:rsidRDefault="00FD4952">
      <w:pPr>
        <w:pStyle w:val="JuQuot"/>
        <w:rPr>
          <w:lang w:val="bg-BG"/>
        </w:rPr>
      </w:pPr>
      <w:r w:rsidRPr="00DB77F7">
        <w:rPr>
          <w:lang w:val="bg-BG"/>
        </w:rPr>
        <w:t>176.  </w:t>
      </w:r>
      <w:r w:rsidRPr="00DB77F7" w:rsidR="00892FE0">
        <w:rPr>
          <w:lang w:val="bg-BG"/>
        </w:rPr>
        <w:t xml:space="preserve">Общественото финансиране и съответната му уредба (включително тази </w:t>
      </w:r>
      <w:r w:rsidRPr="00DB77F7" w:rsidR="00F8218E">
        <w:rPr>
          <w:lang w:val="bg-BG"/>
        </w:rPr>
        <w:t>отнасяща</w:t>
      </w:r>
      <w:r w:rsidRPr="00DB77F7" w:rsidR="00892FE0">
        <w:rPr>
          <w:lang w:val="bg-BG"/>
        </w:rPr>
        <w:t xml:space="preserve"> се до таваните за изразходван</w:t>
      </w:r>
      <w:r w:rsidRPr="00DB77F7" w:rsidR="00791D34">
        <w:rPr>
          <w:lang w:val="bg-BG"/>
        </w:rPr>
        <w:t>е на средствата, разкриването н</w:t>
      </w:r>
      <w:r w:rsidRPr="00DB77F7" w:rsidR="00892FE0">
        <w:rPr>
          <w:lang w:val="bg-BG"/>
        </w:rPr>
        <w:t>а</w:t>
      </w:r>
      <w:r w:rsidRPr="00DB77F7" w:rsidR="00791D34">
        <w:rPr>
          <w:lang w:val="bg-BG"/>
        </w:rPr>
        <w:t xml:space="preserve"> </w:t>
      </w:r>
      <w:r w:rsidRPr="00DB77F7" w:rsidR="00892FE0">
        <w:rPr>
          <w:lang w:val="bg-BG"/>
        </w:rPr>
        <w:t>информация и безпристрастно</w:t>
      </w:r>
      <w:r w:rsidRPr="00DB77F7" w:rsidR="00D56617">
        <w:rPr>
          <w:lang w:val="bg-BG"/>
        </w:rPr>
        <w:t>то</w:t>
      </w:r>
      <w:r w:rsidRPr="00DB77F7" w:rsidR="00892FE0">
        <w:rPr>
          <w:lang w:val="bg-BG"/>
        </w:rPr>
        <w:t xml:space="preserve"> изпълнение) са създадени и приети в много държави като</w:t>
      </w:r>
      <w:r w:rsidRPr="00DB77F7" w:rsidR="00791D34">
        <w:rPr>
          <w:lang w:val="bg-BG"/>
        </w:rPr>
        <w:t xml:space="preserve"> </w:t>
      </w:r>
      <w:r w:rsidRPr="00DB77F7" w:rsidR="00F8218E">
        <w:rPr>
          <w:lang w:val="bg-BG"/>
        </w:rPr>
        <w:t>потенциално</w:t>
      </w:r>
      <w:r w:rsidRPr="00DB77F7" w:rsidR="00791D34">
        <w:rPr>
          <w:lang w:val="bg-BG"/>
        </w:rPr>
        <w:t xml:space="preserve"> </w:t>
      </w:r>
      <w:r w:rsidRPr="00DB77F7" w:rsidR="00892FE0">
        <w:rPr>
          <w:lang w:val="bg-BG"/>
        </w:rPr>
        <w:t xml:space="preserve">средство </w:t>
      </w:r>
      <w:r w:rsidRPr="00DB77F7" w:rsidR="006D333C">
        <w:rPr>
          <w:lang w:val="bg-BG"/>
        </w:rPr>
        <w:t>за предотврат</w:t>
      </w:r>
      <w:r w:rsidRPr="00DB77F7" w:rsidR="00791D34">
        <w:rPr>
          <w:lang w:val="bg-BG"/>
        </w:rPr>
        <w:t>яване на корупцията, подкрепа н</w:t>
      </w:r>
      <w:r w:rsidRPr="00DB77F7" w:rsidR="006D333C">
        <w:rPr>
          <w:lang w:val="bg-BG"/>
        </w:rPr>
        <w:t>а</w:t>
      </w:r>
      <w:r w:rsidRPr="00DB77F7" w:rsidR="00791D34">
        <w:rPr>
          <w:lang w:val="bg-BG"/>
        </w:rPr>
        <w:t xml:space="preserve"> </w:t>
      </w:r>
      <w:r w:rsidRPr="00DB77F7" w:rsidR="006D333C">
        <w:rPr>
          <w:lang w:val="bg-BG"/>
        </w:rPr>
        <w:t xml:space="preserve">политическите партии във важната роля, която </w:t>
      </w:r>
      <w:r w:rsidRPr="00DB77F7" w:rsidR="00791D34">
        <w:rPr>
          <w:lang w:val="bg-BG"/>
        </w:rPr>
        <w:t>те имат</w:t>
      </w:r>
      <w:r w:rsidRPr="00DB77F7" w:rsidR="006D333C">
        <w:rPr>
          <w:lang w:val="bg-BG"/>
        </w:rPr>
        <w:t xml:space="preserve"> и </w:t>
      </w:r>
      <w:r w:rsidRPr="00DB77F7" w:rsidR="00791D34">
        <w:rPr>
          <w:lang w:val="bg-BG"/>
        </w:rPr>
        <w:t>премахване</w:t>
      </w:r>
      <w:r w:rsidRPr="00DB77F7" w:rsidR="006D333C">
        <w:rPr>
          <w:lang w:val="bg-BG"/>
        </w:rPr>
        <w:t xml:space="preserve"> на </w:t>
      </w:r>
      <w:r w:rsidRPr="00DB77F7" w:rsidR="00791D34">
        <w:rPr>
          <w:lang w:val="bg-BG"/>
        </w:rPr>
        <w:t>неоправдана</w:t>
      </w:r>
      <w:r w:rsidRPr="00DB77F7" w:rsidR="006D333C">
        <w:rPr>
          <w:lang w:val="bg-BG"/>
        </w:rPr>
        <w:t xml:space="preserve"> зависимост от частни дарители. </w:t>
      </w:r>
      <w:r w:rsidRPr="00DB77F7" w:rsidR="00DB6AFE">
        <w:rPr>
          <w:lang w:val="bg-BG"/>
        </w:rPr>
        <w:t>Такива системи н</w:t>
      </w:r>
      <w:r w:rsidRPr="00DB77F7" w:rsidR="004B7C80">
        <w:rPr>
          <w:lang w:val="bg-BG"/>
        </w:rPr>
        <w:t>а</w:t>
      </w:r>
      <w:r w:rsidRPr="00DB77F7" w:rsidR="00DB6AFE">
        <w:rPr>
          <w:lang w:val="bg-BG"/>
        </w:rPr>
        <w:t xml:space="preserve"> </w:t>
      </w:r>
      <w:r w:rsidRPr="00DB77F7" w:rsidR="004B7C80">
        <w:rPr>
          <w:lang w:val="bg-BG"/>
        </w:rPr>
        <w:t xml:space="preserve">финансиране целят да гарантират, че </w:t>
      </w:r>
      <w:r w:rsidRPr="00DB77F7" w:rsidR="00BF32EC">
        <w:rPr>
          <w:lang w:val="bg-BG"/>
        </w:rPr>
        <w:t xml:space="preserve">всички партии ще могат да се състезават по време на избори в съответствие с принципите на равните възможности, като по този начин укрепват политическия плурализъм и допринасят за гарантирането на правилното функциониране на демократичните институции. Като цяло законодателството трябва да се старае да създаде баланс между общественото и частното участие като източници на финансиране на политическите партии. В никакъв случай отпускането на публично финансиране не трябва да </w:t>
      </w:r>
      <w:r w:rsidRPr="00DB77F7" w:rsidR="00F8218E">
        <w:rPr>
          <w:lang w:val="bg-BG"/>
        </w:rPr>
        <w:t>ограничава</w:t>
      </w:r>
      <w:r w:rsidRPr="00DB77F7" w:rsidR="00BF32EC">
        <w:rPr>
          <w:lang w:val="bg-BG"/>
        </w:rPr>
        <w:t xml:space="preserve"> или да се намесва в независимо</w:t>
      </w:r>
      <w:r w:rsidRPr="00DB77F7" w:rsidR="00FC1820">
        <w:rPr>
          <w:lang w:val="bg-BG"/>
        </w:rPr>
        <w:t xml:space="preserve">стта на една </w:t>
      </w:r>
      <w:r w:rsidRPr="00DB77F7" w:rsidR="00F8218E">
        <w:rPr>
          <w:lang w:val="bg-BG"/>
        </w:rPr>
        <w:t>политическа</w:t>
      </w:r>
      <w:r w:rsidRPr="00DB77F7" w:rsidR="00FC1820">
        <w:rPr>
          <w:lang w:val="bg-BG"/>
        </w:rPr>
        <w:t xml:space="preserve"> партия.</w:t>
      </w:r>
    </w:p>
    <w:p w:rsidRPr="00DB77F7" w:rsidR="00D26B80" w:rsidP="00BE6CD8" w:rsidRDefault="00914C38">
      <w:pPr>
        <w:pStyle w:val="JuQuot"/>
        <w:rPr>
          <w:lang w:val="bg-BG"/>
        </w:rPr>
      </w:pPr>
      <w:r w:rsidRPr="00DB77F7">
        <w:rPr>
          <w:lang w:val="bg-BG"/>
        </w:rPr>
        <w:t>177. </w:t>
      </w:r>
      <w:r w:rsidRPr="00DB77F7" w:rsidR="00FD4952">
        <w:rPr>
          <w:lang w:val="bg-BG"/>
        </w:rPr>
        <w:t> </w:t>
      </w:r>
      <w:r w:rsidRPr="00DB77F7">
        <w:rPr>
          <w:lang w:val="bg-BG"/>
        </w:rPr>
        <w:t xml:space="preserve">Размерът на публичното финансиране трябва да бъде определен внимателно, за да гарантира ползата от такова финансиране, без да </w:t>
      </w:r>
      <w:r w:rsidRPr="00DB77F7" w:rsidR="00F8218E">
        <w:rPr>
          <w:lang w:val="bg-BG"/>
        </w:rPr>
        <w:t>премахва</w:t>
      </w:r>
      <w:r w:rsidRPr="00DB77F7">
        <w:rPr>
          <w:lang w:val="bg-BG"/>
        </w:rPr>
        <w:t xml:space="preserve"> нуждата от частни вноски или да обезсмисля важността на индивидуалните дарения. </w:t>
      </w:r>
      <w:r w:rsidRPr="00DB77F7" w:rsidR="00EF1B37">
        <w:rPr>
          <w:lang w:val="bg-BG"/>
        </w:rPr>
        <w:t>Докато характерът на изборите и избирателните кампании в различните държави води до невъзможност за определяне на общо</w:t>
      </w:r>
      <w:r w:rsidRPr="00DB77F7" w:rsidR="00FC1820">
        <w:rPr>
          <w:lang w:val="bg-BG"/>
        </w:rPr>
        <w:t xml:space="preserve"> </w:t>
      </w:r>
      <w:r w:rsidRPr="00DB77F7" w:rsidR="00EF1B37">
        <w:rPr>
          <w:lang w:val="bg-BG"/>
        </w:rPr>
        <w:t xml:space="preserve">приложим размер на финансиране, законодателството трябва да предвижда </w:t>
      </w:r>
      <w:r w:rsidRPr="00DB77F7" w:rsidR="00B2488B">
        <w:rPr>
          <w:lang w:val="bg-BG"/>
        </w:rPr>
        <w:t xml:space="preserve">механизми за преразглеждане, които целят периодично да определят въздействието на </w:t>
      </w:r>
      <w:r w:rsidRPr="00DB77F7" w:rsidR="00F8218E">
        <w:rPr>
          <w:lang w:val="bg-BG"/>
        </w:rPr>
        <w:t>действащото</w:t>
      </w:r>
      <w:r w:rsidRPr="00DB77F7" w:rsidR="00B2488B">
        <w:rPr>
          <w:lang w:val="bg-BG"/>
        </w:rPr>
        <w:t xml:space="preserve"> общественото финансиране и, при нужда, да променят размера на отпус</w:t>
      </w:r>
      <w:r w:rsidRPr="00DB77F7" w:rsidR="00B07E83">
        <w:rPr>
          <w:lang w:val="bg-BG"/>
        </w:rPr>
        <w:t>каното</w:t>
      </w:r>
      <w:r w:rsidRPr="00DB77F7" w:rsidR="00B2488B">
        <w:rPr>
          <w:lang w:val="bg-BG"/>
        </w:rPr>
        <w:t xml:space="preserve"> финансиране. Като цяло размерът на субсидиите трябва да бъде разумен, за </w:t>
      </w:r>
      <w:r w:rsidRPr="00DB77F7" w:rsidR="00D26B80">
        <w:rPr>
          <w:lang w:val="bg-BG"/>
        </w:rPr>
        <w:t>да</w:t>
      </w:r>
      <w:r w:rsidRPr="00DB77F7" w:rsidR="00274A6B">
        <w:rPr>
          <w:lang w:val="bg-BG"/>
        </w:rPr>
        <w:t xml:space="preserve"> може да бъде постигната целта н</w:t>
      </w:r>
      <w:r w:rsidRPr="00DB77F7" w:rsidR="00D26B80">
        <w:rPr>
          <w:lang w:val="bg-BG"/>
        </w:rPr>
        <w:t>а предоставяне</w:t>
      </w:r>
      <w:r w:rsidRPr="00DB77F7" w:rsidR="00274A6B">
        <w:rPr>
          <w:lang w:val="bg-BG"/>
        </w:rPr>
        <w:t>то</w:t>
      </w:r>
      <w:r w:rsidRPr="00DB77F7" w:rsidR="00D26B80">
        <w:rPr>
          <w:lang w:val="bg-BG"/>
        </w:rPr>
        <w:t xml:space="preserve"> на помощ</w:t>
      </w:r>
      <w:r w:rsidRPr="00DB77F7" w:rsidR="00274A6B">
        <w:rPr>
          <w:lang w:val="bg-BG"/>
        </w:rPr>
        <w:t>та</w:t>
      </w:r>
      <w:r w:rsidRPr="00DB77F7" w:rsidR="00D26B80">
        <w:rPr>
          <w:lang w:val="bg-BG"/>
        </w:rPr>
        <w:t xml:space="preserve">, но не трябва да бъде единственият източник на приходи или да създава условия за </w:t>
      </w:r>
      <w:r w:rsidRPr="00DB77F7" w:rsidR="00F8218E">
        <w:rPr>
          <w:lang w:val="bg-BG"/>
        </w:rPr>
        <w:t>свръхзависимост</w:t>
      </w:r>
      <w:r w:rsidRPr="00DB77F7" w:rsidR="00274A6B">
        <w:rPr>
          <w:lang w:val="bg-BG"/>
        </w:rPr>
        <w:t xml:space="preserve"> от държавна помощ.</w:t>
      </w:r>
    </w:p>
    <w:p w:rsidRPr="00DB77F7" w:rsidR="00BE6CD8" w:rsidP="00BE6CD8" w:rsidRDefault="00FD4952">
      <w:pPr>
        <w:pStyle w:val="JuQuot"/>
        <w:rPr>
          <w:b/>
          <w:bCs/>
          <w:lang w:val="bg-BG"/>
        </w:rPr>
      </w:pPr>
      <w:r w:rsidRPr="00DB77F7">
        <w:rPr>
          <w:b/>
          <w:bCs/>
          <w:lang w:val="bg-BG"/>
        </w:rPr>
        <w:t>(b)  </w:t>
      </w:r>
      <w:r w:rsidRPr="00DB77F7" w:rsidR="00F8218E">
        <w:rPr>
          <w:b/>
          <w:bCs/>
          <w:lang w:val="bg-BG"/>
        </w:rPr>
        <w:t>Финансова</w:t>
      </w:r>
      <w:r w:rsidRPr="00DB77F7" w:rsidR="00D26B80">
        <w:rPr>
          <w:b/>
          <w:bCs/>
          <w:lang w:val="bg-BG"/>
        </w:rPr>
        <w:t xml:space="preserve"> помощ</w:t>
      </w:r>
    </w:p>
    <w:p w:rsidRPr="00DB77F7" w:rsidR="00B01CCC" w:rsidP="00BE6CD8" w:rsidRDefault="00FD4952">
      <w:pPr>
        <w:pStyle w:val="JuQuot"/>
        <w:rPr>
          <w:lang w:val="bg-BG"/>
        </w:rPr>
      </w:pPr>
      <w:r w:rsidRPr="00DB77F7">
        <w:rPr>
          <w:lang w:val="bg-BG"/>
        </w:rPr>
        <w:t>178.</w:t>
      </w:r>
      <w:r w:rsidRPr="00DB77F7" w:rsidR="00D26B80">
        <w:rPr>
          <w:lang w:val="bg-BG"/>
        </w:rPr>
        <w:t>  </w:t>
      </w:r>
      <w:r w:rsidRPr="00DB77F7" w:rsidR="009C12A2">
        <w:rPr>
          <w:lang w:val="bg-BG"/>
        </w:rPr>
        <w:t>Законодателството задължително трябва да предвижда предоставянето на финансова помощ от държавата за политическите партии. Предоставянето на обществени средства на политическите партии често се възприема като неразделна част от спазването на принципа за равни възможности на вси</w:t>
      </w:r>
      <w:r w:rsidRPr="00DB77F7" w:rsidR="00D56617">
        <w:rPr>
          <w:lang w:val="bg-BG"/>
        </w:rPr>
        <w:t>ч</w:t>
      </w:r>
      <w:r w:rsidRPr="00DB77F7" w:rsidR="009C12A2">
        <w:rPr>
          <w:lang w:val="bg-BG"/>
        </w:rPr>
        <w:t xml:space="preserve">ки кандидати, особено когато механизмите за финансиране съдържат специални разпоредби по отношение на жените и малцинствата. </w:t>
      </w:r>
      <w:r w:rsidRPr="00DB77F7" w:rsidR="00B01CCC">
        <w:rPr>
          <w:lang w:val="bg-BG"/>
        </w:rPr>
        <w:t>Когато се предоставя финансова помощ на партиите, съответното законодателство трябва да разработи</w:t>
      </w:r>
      <w:r w:rsidRPr="00DB77F7" w:rsidR="00BE6CD8">
        <w:rPr>
          <w:lang w:val="bg-BG"/>
        </w:rPr>
        <w:t xml:space="preserve"> </w:t>
      </w:r>
      <w:r w:rsidRPr="00DB77F7" w:rsidR="00B01CCC">
        <w:rPr>
          <w:lang w:val="bg-BG"/>
        </w:rPr>
        <w:t>ясни насоки за определянето на размера на това финансиране, което трябва да бъде предоставено по обект</w:t>
      </w:r>
      <w:r w:rsidRPr="00DB77F7" w:rsidR="00A271CC">
        <w:rPr>
          <w:lang w:val="bg-BG"/>
        </w:rPr>
        <w:t>ивен и безпристрастен начин.</w:t>
      </w:r>
    </w:p>
    <w:p w:rsidRPr="00DB77F7" w:rsidR="00BE6CD8" w:rsidP="00BE6CD8" w:rsidRDefault="00562DBB">
      <w:pPr>
        <w:pStyle w:val="JuQuot"/>
        <w:rPr>
          <w:b/>
          <w:bCs/>
          <w:lang w:val="bg-BG"/>
        </w:rPr>
      </w:pPr>
      <w:r w:rsidRPr="00DB77F7">
        <w:rPr>
          <w:b/>
          <w:bCs/>
          <w:lang w:val="bg-BG"/>
        </w:rPr>
        <w:t>(c</w:t>
      </w:r>
      <w:r w:rsidRPr="00DB77F7" w:rsidR="00FD4952">
        <w:rPr>
          <w:b/>
          <w:bCs/>
          <w:lang w:val="bg-BG"/>
        </w:rPr>
        <w:t>)  </w:t>
      </w:r>
      <w:r w:rsidRPr="00DB77F7" w:rsidR="00B01CCC">
        <w:rPr>
          <w:b/>
          <w:bCs/>
          <w:lang w:val="bg-BG"/>
        </w:rPr>
        <w:t>Други форми на обществена подкрепа</w:t>
      </w:r>
    </w:p>
    <w:p w:rsidRPr="00DB77F7" w:rsidR="00BE6CD8" w:rsidP="00BE6CD8" w:rsidRDefault="00FD4952">
      <w:pPr>
        <w:pStyle w:val="JuQuot"/>
        <w:rPr>
          <w:lang w:val="bg-BG"/>
        </w:rPr>
      </w:pPr>
      <w:r w:rsidRPr="00DB77F7">
        <w:rPr>
          <w:lang w:val="bg-BG"/>
        </w:rPr>
        <w:t>179.  Освен прякото финансиране държават</w:t>
      </w:r>
      <w:r w:rsidRPr="00DB77F7" w:rsidR="00A271CC">
        <w:rPr>
          <w:lang w:val="bg-BG"/>
        </w:rPr>
        <w:t>а</w:t>
      </w:r>
      <w:r w:rsidRPr="00DB77F7">
        <w:rPr>
          <w:lang w:val="bg-BG"/>
        </w:rPr>
        <w:t xml:space="preserve"> може да предоставя помощ на партиите по редица други начини, в това число данъчни облекчения за партийни дейности, достъп до безплатно ефирно време или безплатно използване на обществени зали за целите на предизборната им кампания. </w:t>
      </w:r>
      <w:r w:rsidRPr="00DB77F7" w:rsidR="004A5223">
        <w:rPr>
          <w:lang w:val="bg-BG"/>
        </w:rPr>
        <w:t xml:space="preserve">Във всички тези случаи както финансовата, така и не-финансовата подкрепа трябва да бъдат предоставяни на всички партии и кандидати (включително жени и малцинства) при спазване на принципа на равните възможности. </w:t>
      </w:r>
      <w:r w:rsidRPr="00DB77F7" w:rsidR="0039164B">
        <w:rPr>
          <w:lang w:val="bg-BG"/>
        </w:rPr>
        <w:t xml:space="preserve">Макар по своя характер „равенството“ да не може да бъде абсолютно, системата за определяне на пропорционалното (или </w:t>
      </w:r>
      <w:r w:rsidRPr="00DB77F7" w:rsidR="000F7FC6">
        <w:rPr>
          <w:lang w:val="bg-BG"/>
        </w:rPr>
        <w:t>по справедливост</w:t>
      </w:r>
      <w:r w:rsidRPr="00DB77F7" w:rsidR="0039164B">
        <w:rPr>
          <w:lang w:val="bg-BG"/>
        </w:rPr>
        <w:t>) разпределяне на държа</w:t>
      </w:r>
      <w:r w:rsidRPr="00DB77F7" w:rsidR="00B07E83">
        <w:rPr>
          <w:lang w:val="bg-BG"/>
        </w:rPr>
        <w:t>в</w:t>
      </w:r>
      <w:r w:rsidRPr="00DB77F7" w:rsidR="0039164B">
        <w:rPr>
          <w:lang w:val="bg-BG"/>
        </w:rPr>
        <w:t>ната помощ (финансова или не-финансова), трябва да бъде обективна, справедлива и разумна</w:t>
      </w:r>
      <w:r w:rsidRPr="00DB77F7" w:rsidR="00BE6CD8">
        <w:rPr>
          <w:lang w:val="bg-BG"/>
        </w:rPr>
        <w:t>.</w:t>
      </w:r>
    </w:p>
    <w:p w:rsidRPr="00DB77F7" w:rsidR="00BE6CD8" w:rsidP="00BE6CD8" w:rsidRDefault="00CC12E3">
      <w:pPr>
        <w:pStyle w:val="JuQuot"/>
        <w:rPr>
          <w:lang w:val="bg-BG"/>
        </w:rPr>
      </w:pPr>
      <w:r w:rsidRPr="00DB77F7">
        <w:rPr>
          <w:lang w:val="bg-BG"/>
        </w:rPr>
        <w:t>...</w:t>
      </w:r>
    </w:p>
    <w:p w:rsidRPr="00DB77F7" w:rsidR="00BE6CD8" w:rsidP="00BE6CD8" w:rsidRDefault="00562DBB">
      <w:pPr>
        <w:pStyle w:val="JuQuot"/>
        <w:rPr>
          <w:b/>
          <w:lang w:val="bg-BG"/>
        </w:rPr>
      </w:pPr>
      <w:r w:rsidRPr="00DB77F7">
        <w:rPr>
          <w:b/>
          <w:lang w:val="bg-BG"/>
        </w:rPr>
        <w:t>4.</w:t>
      </w:r>
      <w:r w:rsidRPr="00DB77F7" w:rsidR="00D90E7A">
        <w:rPr>
          <w:b/>
          <w:lang w:val="bg-BG"/>
        </w:rPr>
        <w:t>  Разпределяне на финансирането</w:t>
      </w:r>
    </w:p>
    <w:p w:rsidRPr="00DB77F7" w:rsidR="00BE6CD8" w:rsidP="00BE6CD8" w:rsidRDefault="00BE6CD8">
      <w:pPr>
        <w:pStyle w:val="JuQuot"/>
        <w:rPr>
          <w:lang w:val="bg-BG"/>
        </w:rPr>
      </w:pPr>
      <w:r w:rsidRPr="00DB77F7">
        <w:rPr>
          <w:lang w:val="bg-BG"/>
        </w:rPr>
        <w:t>1</w:t>
      </w:r>
      <w:r w:rsidRPr="00DB77F7" w:rsidR="00D90E7A">
        <w:rPr>
          <w:lang w:val="bg-BG"/>
        </w:rPr>
        <w:t>83.  </w:t>
      </w:r>
      <w:r w:rsidRPr="00DB77F7" w:rsidR="0063298B">
        <w:rPr>
          <w:lang w:val="bg-BG"/>
        </w:rPr>
        <w:t xml:space="preserve">Системата за разпределяне на обществената подкрепа за политическите партии трябва да бъде </w:t>
      </w:r>
      <w:r w:rsidRPr="00DB77F7" w:rsidR="00A271CC">
        <w:rPr>
          <w:lang w:val="bg-BG"/>
        </w:rPr>
        <w:t>уредена</w:t>
      </w:r>
      <w:r w:rsidRPr="00DB77F7" w:rsidR="0063298B">
        <w:rPr>
          <w:lang w:val="bg-BG"/>
        </w:rPr>
        <w:t xml:space="preserve"> в приложимото законодателство</w:t>
      </w:r>
      <w:r w:rsidRPr="00DB77F7">
        <w:rPr>
          <w:lang w:val="bg-BG"/>
        </w:rPr>
        <w:t>.</w:t>
      </w:r>
      <w:r w:rsidRPr="00DB77F7" w:rsidR="0063298B">
        <w:rPr>
          <w:lang w:val="bg-BG"/>
        </w:rPr>
        <w:t xml:space="preserve"> При някои системи разпределянето на средствата става преди избори въз основа на резултатите от предишните избори или на доказателства за минимално равнище на обществена подкрепа</w:t>
      </w:r>
      <w:r w:rsidRPr="00DB77F7">
        <w:rPr>
          <w:lang w:val="bg-BG"/>
        </w:rPr>
        <w:t>.</w:t>
      </w:r>
      <w:r w:rsidRPr="00DB77F7" w:rsidR="0063298B">
        <w:rPr>
          <w:lang w:val="bg-BG"/>
        </w:rPr>
        <w:t xml:space="preserve"> При други</w:t>
      </w:r>
      <w:r w:rsidRPr="00DB77F7" w:rsidR="009B281F">
        <w:rPr>
          <w:lang w:val="bg-BG"/>
        </w:rPr>
        <w:t xml:space="preserve">, </w:t>
      </w:r>
      <w:r w:rsidRPr="00DB77F7" w:rsidR="0063298B">
        <w:rPr>
          <w:lang w:val="bg-BG"/>
        </w:rPr>
        <w:t>средствата се предоставят след изборите въз основа на крайните резултати. Като цяло, предоставянето на средства</w:t>
      </w:r>
      <w:r w:rsidRPr="00DB77F7" w:rsidR="0068237A">
        <w:rPr>
          <w:lang w:val="bg-BG"/>
        </w:rPr>
        <w:t>та</w:t>
      </w:r>
      <w:r w:rsidRPr="00DB77F7" w:rsidR="0063298B">
        <w:rPr>
          <w:lang w:val="bg-BG"/>
        </w:rPr>
        <w:t xml:space="preserve"> преди изборите, или поне на някаква част от тези средства, най-добре гарантира възможността на партиите да се съревновават при равни възможности</w:t>
      </w:r>
      <w:r w:rsidRPr="00DB77F7">
        <w:rPr>
          <w:lang w:val="bg-BG"/>
        </w:rPr>
        <w:t>.</w:t>
      </w:r>
    </w:p>
    <w:p w:rsidRPr="00DB77F7" w:rsidR="00BE6CD8" w:rsidP="00BE6CD8" w:rsidRDefault="00CC12E3">
      <w:pPr>
        <w:pStyle w:val="JuQuot"/>
        <w:rPr>
          <w:lang w:val="bg-BG"/>
        </w:rPr>
      </w:pPr>
      <w:r w:rsidRPr="00DB77F7">
        <w:rPr>
          <w:lang w:val="bg-BG"/>
        </w:rPr>
        <w:t>...</w:t>
      </w:r>
    </w:p>
    <w:p w:rsidRPr="00DB77F7" w:rsidR="00BE6CD8" w:rsidP="00BE6CD8" w:rsidRDefault="00D90E7A">
      <w:pPr>
        <w:pStyle w:val="JuQuot"/>
        <w:rPr>
          <w:lang w:val="bg-BG"/>
        </w:rPr>
      </w:pPr>
      <w:r w:rsidRPr="00DB77F7">
        <w:rPr>
          <w:lang w:val="bg-BG"/>
        </w:rPr>
        <w:t>185.  </w:t>
      </w:r>
      <w:r w:rsidRPr="00DB77F7" w:rsidR="00172618">
        <w:rPr>
          <w:lang w:val="bg-BG"/>
        </w:rPr>
        <w:t>Разпределянето на финансирането може да бъде или напълно еднакво („абсолютн</w:t>
      </w:r>
      <w:r w:rsidRPr="00DB77F7" w:rsidR="00346E26">
        <w:rPr>
          <w:lang w:val="bg-BG"/>
        </w:rPr>
        <w:t>а</w:t>
      </w:r>
      <w:r w:rsidRPr="00DB77F7" w:rsidR="00172618">
        <w:rPr>
          <w:lang w:val="bg-BG"/>
        </w:rPr>
        <w:t xml:space="preserve"> рав</w:t>
      </w:r>
      <w:r w:rsidRPr="00DB77F7" w:rsidR="00346E26">
        <w:rPr>
          <w:lang w:val="bg-BG"/>
        </w:rPr>
        <w:t>нопоставеност</w:t>
      </w:r>
      <w:r w:rsidRPr="00DB77F7" w:rsidR="00172618">
        <w:rPr>
          <w:lang w:val="bg-BG"/>
        </w:rPr>
        <w:t xml:space="preserve">“) или да има пропорционален характер, базирайки се на резултатите на партията от изборите или на </w:t>
      </w:r>
      <w:r w:rsidRPr="00DB77F7" w:rsidR="00346E26">
        <w:rPr>
          <w:lang w:val="bg-BG"/>
        </w:rPr>
        <w:t>доказано ниво на обществена подкрепа („по справедливост</w:t>
      </w:r>
      <w:r w:rsidRPr="00DB77F7" w:rsidR="00BE6CD8">
        <w:rPr>
          <w:lang w:val="bg-BG"/>
        </w:rPr>
        <w:t xml:space="preserve">”). </w:t>
      </w:r>
      <w:r w:rsidRPr="00DB77F7" w:rsidR="00740F46">
        <w:rPr>
          <w:lang w:val="bg-BG"/>
        </w:rPr>
        <w:t xml:space="preserve">Няма общо препоръчителна система за определяне на разпределянето на общественото финансиране. </w:t>
      </w:r>
      <w:r w:rsidRPr="00DB77F7" w:rsidR="007750ED">
        <w:rPr>
          <w:lang w:val="bg-BG"/>
        </w:rPr>
        <w:t xml:space="preserve">Законодателно уреждане на общественото финансиране, което предвижда комбинация от методи на разпределяне при абсолютна равнопоставеност и по справедливост може да бъде най-ефективно за постигането на политически плурализъм и равни възможности. </w:t>
      </w:r>
      <w:r w:rsidRPr="00DB77F7" w:rsidR="002B3775">
        <w:rPr>
          <w:lang w:val="bg-BG"/>
        </w:rPr>
        <w:t xml:space="preserve">Когато за предоставянето на финансиране е необходимо наличието на минимален праг на обществена подкрепа, неразумно висок праг може </w:t>
      </w:r>
      <w:r w:rsidRPr="00DB77F7" w:rsidR="00E86247">
        <w:rPr>
          <w:lang w:val="bg-BG"/>
        </w:rPr>
        <w:t>да навреди на</w:t>
      </w:r>
      <w:r w:rsidRPr="00DB77F7" w:rsidR="002B3775">
        <w:rPr>
          <w:lang w:val="bg-BG"/>
        </w:rPr>
        <w:t xml:space="preserve"> политическия плурализъм и на възможностите на малките политически партии</w:t>
      </w:r>
      <w:r w:rsidRPr="00DB77F7" w:rsidR="00BE6CD8">
        <w:rPr>
          <w:lang w:val="bg-BG"/>
        </w:rPr>
        <w:t>.</w:t>
      </w:r>
      <w:r w:rsidRPr="00DB77F7" w:rsidR="002B3775">
        <w:rPr>
          <w:lang w:val="bg-BG"/>
        </w:rPr>
        <w:t xml:space="preserve"> В интерес на политическия плурализъм е доказването на обществена подкрепа да </w:t>
      </w:r>
      <w:r w:rsidRPr="00DB77F7" w:rsidR="00611BE0">
        <w:rPr>
          <w:lang w:val="bg-BG"/>
        </w:rPr>
        <w:t>става чрез</w:t>
      </w:r>
      <w:r w:rsidRPr="00DB77F7" w:rsidR="002B3775">
        <w:rPr>
          <w:lang w:val="bg-BG"/>
        </w:rPr>
        <w:t xml:space="preserve"> достигането на минимален праг</w:t>
      </w:r>
      <w:r w:rsidRPr="00DB77F7" w:rsidR="00611BE0">
        <w:rPr>
          <w:lang w:val="bg-BG"/>
        </w:rPr>
        <w:t>,</w:t>
      </w:r>
      <w:r w:rsidR="0081590E">
        <w:rPr>
          <w:lang w:val="bg-BG"/>
        </w:rPr>
        <w:t xml:space="preserve"> </w:t>
      </w:r>
      <w:r w:rsidRPr="00DB77F7" w:rsidR="002B3775">
        <w:rPr>
          <w:lang w:val="bg-BG"/>
        </w:rPr>
        <w:t>по-нисък от електоралния праг за предос</w:t>
      </w:r>
      <w:r w:rsidRPr="00DB77F7" w:rsidR="0068237A">
        <w:rPr>
          <w:lang w:val="bg-BG"/>
        </w:rPr>
        <w:t>тавяне на парламентарен мандат</w:t>
      </w:r>
      <w:r w:rsidRPr="00DB77F7" w:rsidR="00BE6CD8">
        <w:rPr>
          <w:lang w:val="bg-BG"/>
        </w:rPr>
        <w:t>.</w:t>
      </w:r>
    </w:p>
    <w:p w:rsidRPr="00DB77F7" w:rsidR="00BE6CD8" w:rsidP="00BE6CD8" w:rsidRDefault="00CC12E3">
      <w:pPr>
        <w:pStyle w:val="JuQuot"/>
        <w:rPr>
          <w:lang w:val="bg-BG"/>
        </w:rPr>
      </w:pPr>
      <w:r w:rsidRPr="00DB77F7">
        <w:rPr>
          <w:lang w:val="bg-BG"/>
        </w:rPr>
        <w:t>...</w:t>
      </w:r>
    </w:p>
    <w:p w:rsidRPr="00DB77F7" w:rsidR="00BE6CD8" w:rsidP="00BE6CD8" w:rsidRDefault="00D90E7A">
      <w:pPr>
        <w:pStyle w:val="JuQuot"/>
        <w:rPr>
          <w:lang w:val="bg-BG"/>
        </w:rPr>
      </w:pPr>
      <w:r w:rsidRPr="00DB77F7">
        <w:rPr>
          <w:lang w:val="bg-BG"/>
        </w:rPr>
        <w:t>187.  </w:t>
      </w:r>
      <w:r w:rsidRPr="00DB77F7" w:rsidR="00D22DE3">
        <w:rPr>
          <w:lang w:val="bg-BG"/>
        </w:rPr>
        <w:t xml:space="preserve">Законодателството трябва да гарантира, че </w:t>
      </w:r>
      <w:r w:rsidRPr="00DB77F7" w:rsidR="003A0B4B">
        <w:rPr>
          <w:lang w:val="bg-BG"/>
        </w:rPr>
        <w:t>начинът на</w:t>
      </w:r>
      <w:r w:rsidRPr="00DB77F7" w:rsidR="00D22DE3">
        <w:rPr>
          <w:lang w:val="bg-BG"/>
        </w:rPr>
        <w:t xml:space="preserve"> разпределяне на общественото финансиране не предоставя на една политическа партия монопол или непропорционален размер на финансиране. </w:t>
      </w:r>
      <w:r w:rsidRPr="00DB77F7" w:rsidR="003A0B4B">
        <w:rPr>
          <w:lang w:val="bg-BG"/>
        </w:rPr>
        <w:t>Начинът на</w:t>
      </w:r>
      <w:r w:rsidRPr="00DB77F7" w:rsidR="0073514C">
        <w:rPr>
          <w:lang w:val="bg-BG"/>
        </w:rPr>
        <w:t xml:space="preserve"> разпределяне на финансирането не трябва да позволява на двете най-големи политически партии да монополизират получаването на обществено финансиране.</w:t>
      </w:r>
    </w:p>
    <w:p w:rsidRPr="00DB77F7" w:rsidR="00BE6CD8" w:rsidP="00BE6CD8" w:rsidRDefault="000B591A">
      <w:pPr>
        <w:pStyle w:val="JuQuot"/>
        <w:rPr>
          <w:b/>
          <w:lang w:val="bg-BG"/>
        </w:rPr>
      </w:pPr>
      <w:r w:rsidRPr="00DB77F7">
        <w:rPr>
          <w:b/>
          <w:lang w:val="bg-BG"/>
        </w:rPr>
        <w:t>5.</w:t>
      </w:r>
      <w:r w:rsidRPr="00DB77F7" w:rsidR="00D90E7A">
        <w:rPr>
          <w:b/>
          <w:lang w:val="bg-BG"/>
        </w:rPr>
        <w:t>  </w:t>
      </w:r>
      <w:r w:rsidRPr="00DB77F7" w:rsidR="004F640D">
        <w:rPr>
          <w:b/>
          <w:lang w:val="bg-BG"/>
        </w:rPr>
        <w:t>Условия за получаването на обществено финансиране</w:t>
      </w:r>
    </w:p>
    <w:p w:rsidRPr="00DB77F7" w:rsidR="00BE6CD8" w:rsidP="00BE6CD8" w:rsidRDefault="00D90E7A">
      <w:pPr>
        <w:pStyle w:val="JuQuot"/>
        <w:rPr>
          <w:lang w:val="bg-BG"/>
        </w:rPr>
      </w:pPr>
      <w:r w:rsidRPr="00DB77F7">
        <w:rPr>
          <w:lang w:val="bg-BG"/>
        </w:rPr>
        <w:t>188.  </w:t>
      </w:r>
      <w:r w:rsidRPr="00DB77F7" w:rsidR="00F967D8">
        <w:rPr>
          <w:lang w:val="bg-BG"/>
        </w:rPr>
        <w:t>Н</w:t>
      </w:r>
      <w:r w:rsidRPr="00DB77F7" w:rsidR="00E06F68">
        <w:rPr>
          <w:lang w:val="bg-BG"/>
        </w:rPr>
        <w:t xml:space="preserve">якакво </w:t>
      </w:r>
      <w:r w:rsidRPr="00DB77F7" w:rsidR="00F967D8">
        <w:rPr>
          <w:lang w:val="bg-BG"/>
        </w:rPr>
        <w:t xml:space="preserve">минимално </w:t>
      </w:r>
      <w:r w:rsidRPr="00DB77F7" w:rsidR="00E06F68">
        <w:rPr>
          <w:lang w:val="bg-BG"/>
        </w:rPr>
        <w:t>обществено финансиране трябва да бъде предоставено на всички парламентарно п</w:t>
      </w:r>
      <w:r w:rsidRPr="00DB77F7" w:rsidR="00F967D8">
        <w:rPr>
          <w:lang w:val="bg-BG"/>
        </w:rPr>
        <w:t>р</w:t>
      </w:r>
      <w:r w:rsidRPr="00DB77F7" w:rsidR="00E06F68">
        <w:rPr>
          <w:lang w:val="bg-BG"/>
        </w:rPr>
        <w:t xml:space="preserve">едставени партии. За да бъде </w:t>
      </w:r>
      <w:r w:rsidRPr="00DB77F7" w:rsidR="003567D6">
        <w:rPr>
          <w:lang w:val="bg-BG"/>
        </w:rPr>
        <w:t>допринесено за политическия</w:t>
      </w:r>
      <w:r w:rsidRPr="00DB77F7" w:rsidR="00E06F68">
        <w:rPr>
          <w:lang w:val="bg-BG"/>
        </w:rPr>
        <w:t xml:space="preserve"> плурализъм обаче е необходимо общественото финансиране </w:t>
      </w:r>
      <w:r w:rsidRPr="00DB77F7" w:rsidR="00F8218E">
        <w:rPr>
          <w:lang w:val="bg-BG"/>
        </w:rPr>
        <w:t>да се разпростре отвъд парламен</w:t>
      </w:r>
      <w:r w:rsidRPr="00DB77F7" w:rsidR="00E06F68">
        <w:rPr>
          <w:lang w:val="bg-BG"/>
        </w:rPr>
        <w:t xml:space="preserve">тарно представените партии и да </w:t>
      </w:r>
      <w:r w:rsidRPr="00DB77F7" w:rsidR="009B0CB2">
        <w:rPr>
          <w:lang w:val="bg-BG"/>
        </w:rPr>
        <w:t>в</w:t>
      </w:r>
      <w:r w:rsidRPr="00DB77F7" w:rsidR="00E06F68">
        <w:rPr>
          <w:lang w:val="bg-BG"/>
        </w:rPr>
        <w:t>ключи всички партии, които представят кандидати в изборите и се радват на минимална гражданска подкрепа</w:t>
      </w:r>
      <w:r w:rsidRPr="00DB77F7" w:rsidR="00BE6CD8">
        <w:rPr>
          <w:lang w:val="bg-BG"/>
        </w:rPr>
        <w:t xml:space="preserve">. </w:t>
      </w:r>
      <w:r w:rsidRPr="00DB77F7" w:rsidR="00E06F68">
        <w:rPr>
          <w:lang w:val="bg-BG"/>
        </w:rPr>
        <w:t>Това е особено важно за новите партии, на които трябва да бъде предоставена справедлива възможност да се съревновават с вече съществуващи партии</w:t>
      </w:r>
      <w:r w:rsidRPr="00DB77F7" w:rsidR="00BE6CD8">
        <w:rPr>
          <w:lang w:val="bg-BG"/>
        </w:rPr>
        <w:t>.</w:t>
      </w:r>
    </w:p>
    <w:p w:rsidRPr="00DB77F7" w:rsidR="00BE6CD8" w:rsidP="00BE6CD8" w:rsidRDefault="00CC12E3">
      <w:pPr>
        <w:pStyle w:val="JuQuot"/>
        <w:rPr>
          <w:lang w:val="bg-BG"/>
        </w:rPr>
      </w:pPr>
      <w:r w:rsidRPr="00DB77F7">
        <w:rPr>
          <w:lang w:val="bg-BG"/>
        </w:rPr>
        <w:t>...</w:t>
      </w:r>
    </w:p>
    <w:p w:rsidRPr="00DB77F7" w:rsidR="00BE6CD8" w:rsidP="00BE6CD8" w:rsidRDefault="00D90E7A">
      <w:pPr>
        <w:pStyle w:val="JuQuot"/>
        <w:rPr>
          <w:lang w:val="bg-BG"/>
        </w:rPr>
      </w:pPr>
      <w:r w:rsidRPr="00DB77F7">
        <w:rPr>
          <w:lang w:val="bg-BG"/>
        </w:rPr>
        <w:t>190.  </w:t>
      </w:r>
      <w:r w:rsidRPr="00DB77F7" w:rsidR="004D6411">
        <w:rPr>
          <w:lang w:val="bg-BG"/>
        </w:rPr>
        <w:t xml:space="preserve">Общественото финансиране чрез предоставяне на </w:t>
      </w:r>
      <w:r w:rsidRPr="00DB77F7" w:rsidR="009B0CB2">
        <w:rPr>
          <w:lang w:val="bg-BG"/>
        </w:rPr>
        <w:t>повече</w:t>
      </w:r>
      <w:r w:rsidRPr="00DB77F7" w:rsidR="004D6411">
        <w:rPr>
          <w:lang w:val="bg-BG"/>
        </w:rPr>
        <w:t xml:space="preserve"> </w:t>
      </w:r>
      <w:r w:rsidRPr="00DB77F7" w:rsidR="005343A6">
        <w:rPr>
          <w:lang w:val="bg-BG"/>
        </w:rPr>
        <w:t>средства</w:t>
      </w:r>
      <w:r w:rsidRPr="00DB77F7" w:rsidR="004D6411">
        <w:rPr>
          <w:lang w:val="bg-BG"/>
        </w:rPr>
        <w:t xml:space="preserve"> на поли</w:t>
      </w:r>
      <w:r w:rsidRPr="00DB77F7" w:rsidR="005343A6">
        <w:rPr>
          <w:lang w:val="bg-BG"/>
        </w:rPr>
        <w:t>тическите партии може да доведе до увеличаване на плурализма.</w:t>
      </w:r>
      <w:r w:rsidRPr="00DB77F7" w:rsidR="004D6411">
        <w:rPr>
          <w:lang w:val="bg-BG"/>
        </w:rPr>
        <w:t xml:space="preserve"> </w:t>
      </w:r>
      <w:r w:rsidRPr="00DB77F7" w:rsidR="00B515A1">
        <w:rPr>
          <w:lang w:val="bg-BG"/>
        </w:rPr>
        <w:t>Поради това е разумно законодателството да изисква партията да представлява минимална част от електората преди да й бъде предоставено финансиране. Тъй като непредоставянето на обществено финансиране може да доведе до намаляване на плурализма</w:t>
      </w:r>
      <w:r w:rsidR="00B82159">
        <w:rPr>
          <w:lang w:val="bg-BG"/>
        </w:rPr>
        <w:t xml:space="preserve"> и на политическите алтернативи</w:t>
      </w:r>
      <w:r w:rsidRPr="00DB77F7" w:rsidR="00B515A1">
        <w:rPr>
          <w:lang w:val="bg-BG"/>
        </w:rPr>
        <w:t>, е доб</w:t>
      </w:r>
      <w:r w:rsidRPr="00DB77F7" w:rsidR="000C2904">
        <w:rPr>
          <w:lang w:val="bg-BG"/>
        </w:rPr>
        <w:t>ре да бъдат приети ясни правила</w:t>
      </w:r>
      <w:r w:rsidRPr="00DB77F7" w:rsidR="00B515A1">
        <w:rPr>
          <w:lang w:val="bg-BG"/>
        </w:rPr>
        <w:t xml:space="preserve"> за това как нови партии може да получат финансиране и публичното финансиране да обхваща и </w:t>
      </w:r>
      <w:r w:rsidRPr="00DB77F7" w:rsidR="008A62E6">
        <w:rPr>
          <w:lang w:val="bg-BG"/>
        </w:rPr>
        <w:t xml:space="preserve">партии, които не са парламентарно представени. </w:t>
      </w:r>
      <w:r w:rsidRPr="00DB77F7" w:rsidR="000C2904">
        <w:rPr>
          <w:lang w:val="bg-BG"/>
        </w:rPr>
        <w:t>С</w:t>
      </w:r>
      <w:r w:rsidRPr="00DB77F7" w:rsidR="00B4361C">
        <w:rPr>
          <w:lang w:val="bg-BG"/>
        </w:rPr>
        <w:t>истема</w:t>
      </w:r>
      <w:r w:rsidRPr="00DB77F7" w:rsidR="000C2904">
        <w:rPr>
          <w:lang w:val="bg-BG"/>
        </w:rPr>
        <w:t>та, даваща право</w:t>
      </w:r>
      <w:r w:rsidRPr="00DB77F7" w:rsidR="00B4361C">
        <w:rPr>
          <w:lang w:val="bg-BG"/>
        </w:rPr>
        <w:t xml:space="preserve"> да се получи финансиране, </w:t>
      </w:r>
      <w:r w:rsidRPr="00DB77F7" w:rsidR="000C2904">
        <w:rPr>
          <w:lang w:val="bg-BG"/>
        </w:rPr>
        <w:t xml:space="preserve">трябва да бъде щедра, </w:t>
      </w:r>
      <w:r w:rsidRPr="00DB77F7" w:rsidR="00B4361C">
        <w:rPr>
          <w:lang w:val="bg-BG"/>
        </w:rPr>
        <w:t>за да бъде гарантирано, че на гласоподавателите са предоставени политически алтернативи, необходими, за да могат те да направят реален избор.“</w:t>
      </w:r>
    </w:p>
    <w:p w:rsidRPr="00DB77F7" w:rsidR="00FB3690" w:rsidP="00FB3690" w:rsidRDefault="008549F9">
      <w:pPr>
        <w:pStyle w:val="JuHHead"/>
        <w:rPr>
          <w:lang w:val="bg-BG"/>
        </w:rPr>
      </w:pPr>
      <w:r w:rsidRPr="00DB77F7">
        <w:rPr>
          <w:lang w:val="bg-BG"/>
        </w:rPr>
        <w:t>ПРАВОТО</w:t>
      </w:r>
    </w:p>
    <w:p w:rsidRPr="00DB77F7" w:rsidR="00FB3690" w:rsidP="00FB3690" w:rsidRDefault="00FB3690">
      <w:pPr>
        <w:pStyle w:val="JuHIRoman"/>
        <w:rPr>
          <w:lang w:val="bg-BG"/>
        </w:rPr>
      </w:pPr>
      <w:r w:rsidRPr="00DB77F7">
        <w:rPr>
          <w:lang w:val="bg-BG"/>
        </w:rPr>
        <w:t>I.  </w:t>
      </w:r>
      <w:r w:rsidRPr="00DB77F7" w:rsidR="008549F9">
        <w:rPr>
          <w:lang w:val="bg-BG"/>
        </w:rPr>
        <w:t>ДОПУСТИМОСТ</w:t>
      </w:r>
    </w:p>
    <w:p w:rsidRPr="00DB77F7" w:rsidR="006E4E3A" w:rsidP="00CF1A16"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21</w:t>
      </w:r>
      <w:r w:rsidRPr="00DB77F7">
        <w:rPr>
          <w:lang w:val="bg-BG"/>
        </w:rPr>
        <w:fldChar w:fldCharType="end"/>
      </w:r>
      <w:r w:rsidRPr="00DB77F7">
        <w:rPr>
          <w:lang w:val="bg-BG"/>
        </w:rPr>
        <w:t>.  </w:t>
      </w:r>
      <w:r w:rsidRPr="00DB77F7" w:rsidR="00CF1A16">
        <w:rPr>
          <w:lang w:val="bg-BG"/>
        </w:rPr>
        <w:t>Съдът отбелязва, че жалбата не е явно необоснована</w:t>
      </w:r>
      <w:r w:rsidRPr="00DB77F7" w:rsidR="006E4E3A">
        <w:rPr>
          <w:lang w:val="bg-BG"/>
        </w:rPr>
        <w:t xml:space="preserve"> </w:t>
      </w:r>
      <w:r w:rsidRPr="00DB77F7" w:rsidR="00CF1A16">
        <w:rPr>
          <w:szCs w:val="24"/>
          <w:lang w:val="bg-BG"/>
        </w:rPr>
        <w:t>по смисъла на член 35 § 3 (a) от Конвенцията и не е недопустима на друго основание. Поради това тя трябва да бъде обявена за допустима.</w:t>
      </w:r>
    </w:p>
    <w:p w:rsidRPr="00DB77F7" w:rsidR="00FB3690" w:rsidP="00FB3690" w:rsidRDefault="00FB3690">
      <w:pPr>
        <w:pStyle w:val="JuHIRoman"/>
        <w:rPr>
          <w:lang w:val="bg-BG"/>
        </w:rPr>
      </w:pPr>
      <w:r w:rsidRPr="00DB77F7">
        <w:rPr>
          <w:lang w:val="bg-BG"/>
        </w:rPr>
        <w:t>II.   </w:t>
      </w:r>
      <w:r w:rsidRPr="00DB77F7" w:rsidR="008549F9">
        <w:rPr>
          <w:lang w:val="bg-BG"/>
        </w:rPr>
        <w:t>ТВЪРДЯНО НАРУШЕНИЕ НА ЧЛЕН 1</w:t>
      </w:r>
      <w:r w:rsidRPr="00DB77F7" w:rsidR="00BF7E59">
        <w:rPr>
          <w:lang w:val="bg-BG"/>
        </w:rPr>
        <w:t>4</w:t>
      </w:r>
      <w:r w:rsidRPr="00DB77F7" w:rsidR="008549F9">
        <w:rPr>
          <w:lang w:val="bg-BG"/>
        </w:rPr>
        <w:t xml:space="preserve"> ОТ КОНВЕНЦИЯТА ВЪВ ВРЪЗКА С ЧЛЕН 3 ОТ ПРОТОКОЛ № 1</w:t>
      </w:r>
    </w:p>
    <w:p w:rsidRPr="00DB77F7" w:rsidR="000E7925"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22</w:t>
      </w:r>
      <w:r w:rsidRPr="00DB77F7">
        <w:rPr>
          <w:lang w:val="bg-BG"/>
        </w:rPr>
        <w:fldChar w:fldCharType="end"/>
      </w:r>
      <w:r w:rsidRPr="00DB77F7">
        <w:rPr>
          <w:lang w:val="bg-BG"/>
        </w:rPr>
        <w:t>.  </w:t>
      </w:r>
      <w:r w:rsidRPr="00DB77F7" w:rsidR="00F8218E">
        <w:rPr>
          <w:lang w:val="bg-BG"/>
        </w:rPr>
        <w:t>Позовавайки</w:t>
      </w:r>
      <w:r w:rsidRPr="00DB77F7" w:rsidR="00CF1A16">
        <w:rPr>
          <w:lang w:val="bg-BG"/>
        </w:rPr>
        <w:t xml:space="preserve"> се на членове 9, 10, 1</w:t>
      </w:r>
      <w:r w:rsidRPr="00DB77F7" w:rsidR="00A940C5">
        <w:rPr>
          <w:lang w:val="bg-BG"/>
        </w:rPr>
        <w:t>1 и 14 от Конвенцията, партията-</w:t>
      </w:r>
      <w:r w:rsidRPr="00DB77F7" w:rsidR="00CF1A16">
        <w:rPr>
          <w:lang w:val="bg-BG"/>
        </w:rPr>
        <w:t xml:space="preserve">жалбоподател твърди, че отказвайки й обществено финансиране, което е било отпуснато на други партии, на основание, че е получила по-малко от 7% от гласовете на предходните парламентарни избори, държавата я е дискриминирала, </w:t>
      </w:r>
      <w:r w:rsidRPr="00DB77F7" w:rsidR="000C2904">
        <w:rPr>
          <w:lang w:val="bg-BG"/>
        </w:rPr>
        <w:t>като</w:t>
      </w:r>
      <w:r w:rsidRPr="00DB77F7" w:rsidR="00CF1A16">
        <w:rPr>
          <w:lang w:val="bg-BG"/>
        </w:rPr>
        <w:t xml:space="preserve"> я </w:t>
      </w:r>
      <w:r w:rsidRPr="00DB77F7" w:rsidR="000C2904">
        <w:rPr>
          <w:lang w:val="bg-BG"/>
        </w:rPr>
        <w:t xml:space="preserve">е поставила </w:t>
      </w:r>
      <w:r w:rsidRPr="00DB77F7" w:rsidR="00CF1A16">
        <w:rPr>
          <w:lang w:val="bg-BG"/>
        </w:rPr>
        <w:t xml:space="preserve">в неизгодно положение по време на </w:t>
      </w:r>
      <w:r w:rsidRPr="00DB77F7" w:rsidR="000C2904">
        <w:rPr>
          <w:lang w:val="bg-BG"/>
        </w:rPr>
        <w:t>предизборните</w:t>
      </w:r>
      <w:r w:rsidRPr="00DB77F7" w:rsidR="00CF1A16">
        <w:rPr>
          <w:lang w:val="bg-BG"/>
        </w:rPr>
        <w:t xml:space="preserve"> кампании през 1999</w:t>
      </w:r>
      <w:r w:rsidRPr="00DB77F7" w:rsidR="001268C9">
        <w:rPr>
          <w:lang w:val="bg-BG"/>
        </w:rPr>
        <w:t xml:space="preserve"> г.</w:t>
      </w:r>
      <w:r w:rsidRPr="00DB77F7" w:rsidR="00CF1A16">
        <w:rPr>
          <w:lang w:val="bg-BG"/>
        </w:rPr>
        <w:t>, 2002</w:t>
      </w:r>
      <w:r w:rsidRPr="00DB77F7" w:rsidR="001268C9">
        <w:rPr>
          <w:lang w:val="bg-BG"/>
        </w:rPr>
        <w:t xml:space="preserve"> г.</w:t>
      </w:r>
      <w:r w:rsidRPr="00DB77F7" w:rsidR="00CF1A16">
        <w:rPr>
          <w:lang w:val="bg-BG"/>
        </w:rPr>
        <w:t xml:space="preserve"> и 2007 г. Тя твърди, че по този начин държава</w:t>
      </w:r>
      <w:r w:rsidRPr="00DB77F7" w:rsidR="00677A5F">
        <w:rPr>
          <w:lang w:val="bg-BG"/>
        </w:rPr>
        <w:t>та</w:t>
      </w:r>
      <w:r w:rsidRPr="00DB77F7" w:rsidR="00CF1A16">
        <w:rPr>
          <w:lang w:val="bg-BG"/>
        </w:rPr>
        <w:t xml:space="preserve"> е нарушила свободното изразяване на мнение</w:t>
      </w:r>
      <w:r w:rsidRPr="00DB77F7" w:rsidR="000E7925">
        <w:rPr>
          <w:lang w:val="bg-BG"/>
        </w:rPr>
        <w:t xml:space="preserve">то на народа при </w:t>
      </w:r>
      <w:r w:rsidRPr="00DB77F7" w:rsidR="00B072A8">
        <w:rPr>
          <w:lang w:val="bg-BG"/>
        </w:rPr>
        <w:t>избиране на законодателно</w:t>
      </w:r>
      <w:r w:rsidRPr="00DB77F7" w:rsidR="00677A5F">
        <w:rPr>
          <w:lang w:val="bg-BG"/>
        </w:rPr>
        <w:t>то</w:t>
      </w:r>
      <w:r w:rsidRPr="00DB77F7" w:rsidR="00B072A8">
        <w:rPr>
          <w:lang w:val="bg-BG"/>
        </w:rPr>
        <w:t xml:space="preserve"> тяло.</w:t>
      </w:r>
    </w:p>
    <w:p w:rsidRPr="00DB77F7" w:rsidR="00062699"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23</w:t>
      </w:r>
      <w:r w:rsidRPr="00DB77F7">
        <w:rPr>
          <w:lang w:val="bg-BG"/>
        </w:rPr>
        <w:fldChar w:fldCharType="end"/>
      </w:r>
      <w:r w:rsidRPr="00DB77F7" w:rsidR="006E4E3A">
        <w:rPr>
          <w:lang w:val="bg-BG"/>
        </w:rPr>
        <w:t>.  </w:t>
      </w:r>
      <w:r w:rsidRPr="00DB77F7" w:rsidR="00062699">
        <w:rPr>
          <w:lang w:val="bg-BG"/>
        </w:rPr>
        <w:t>Съдът ще започне с разглеждането на оплакването през призмата на член 14 от Конвенцията във в</w:t>
      </w:r>
      <w:r w:rsidRPr="00DB77F7" w:rsidR="00C95DF7">
        <w:rPr>
          <w:lang w:val="bg-BG"/>
        </w:rPr>
        <w:t>ръзка с член 3 от Протокол</w:t>
      </w:r>
      <w:r w:rsidR="009414CD">
        <w:rPr>
          <w:lang w:val="bg-BG"/>
        </w:rPr>
        <w:t> </w:t>
      </w:r>
      <w:r w:rsidRPr="00DB77F7" w:rsidR="00C95DF7">
        <w:rPr>
          <w:lang w:val="bg-BG"/>
        </w:rPr>
        <w:t>№ 1.</w:t>
      </w:r>
    </w:p>
    <w:p w:rsidRPr="00DB77F7" w:rsidR="00FB3690" w:rsidP="00FB3690" w:rsidRDefault="00062699">
      <w:pPr>
        <w:pStyle w:val="JuPara"/>
        <w:rPr>
          <w:lang w:val="bg-BG"/>
        </w:rPr>
      </w:pPr>
      <w:r w:rsidRPr="00DB77F7">
        <w:rPr>
          <w:lang w:val="bg-BG"/>
        </w:rPr>
        <w:t>Член 14 от Конвенцията гласи следното</w:t>
      </w:r>
      <w:r w:rsidRPr="00DB77F7" w:rsidR="00FB3690">
        <w:rPr>
          <w:lang w:val="bg-BG"/>
        </w:rPr>
        <w:t>:</w:t>
      </w:r>
    </w:p>
    <w:p w:rsidRPr="00DB77F7" w:rsidR="000E7925" w:rsidP="000E7925" w:rsidRDefault="000E7925">
      <w:pPr>
        <w:pStyle w:val="JuQuot"/>
        <w:rPr>
          <w:lang w:val="bg-BG"/>
        </w:rPr>
      </w:pPr>
      <w:r w:rsidRPr="00DB77F7">
        <w:rPr>
          <w:lang w:val="bg-BG"/>
        </w:rPr>
        <w:t>„</w:t>
      </w:r>
      <w:r w:rsidRPr="00DB77F7">
        <w:rPr>
          <w:rFonts w:cs="Myriad Pro"/>
          <w:color w:val="000000"/>
          <w:lang w:val="bg-BG"/>
        </w:rPr>
        <w:t>Упражняването на правата и свободите, изложени в тази Конвенция, следва да бъде осигурено без всякаква дискриминация, основана на пол, раса, цвят на кожата, език, религия, политически и други убеждения, национален или социален произход, принадлежност към национално малцинство, имущество, рождение или друг някакъв признак.“</w:t>
      </w:r>
    </w:p>
    <w:p w:rsidRPr="00DB77F7" w:rsidR="00FB3690" w:rsidP="00FB3690" w:rsidRDefault="00062699">
      <w:pPr>
        <w:pStyle w:val="JuPara"/>
        <w:rPr>
          <w:lang w:val="bg-BG"/>
        </w:rPr>
      </w:pPr>
      <w:r w:rsidRPr="00DB77F7">
        <w:rPr>
          <w:lang w:val="bg-BG"/>
        </w:rPr>
        <w:t>Член 3 от Протокол № 1 към Конвенцията предвижда</w:t>
      </w:r>
      <w:r w:rsidRPr="00DB77F7" w:rsidR="00FB3690">
        <w:rPr>
          <w:rStyle w:val="JuParaChar"/>
          <w:lang w:val="bg-BG"/>
        </w:rPr>
        <w:t>:</w:t>
      </w:r>
    </w:p>
    <w:p w:rsidRPr="00DB77F7" w:rsidR="000E7925" w:rsidP="000E7925" w:rsidRDefault="000E7925">
      <w:pPr>
        <w:pStyle w:val="JuQuot"/>
        <w:rPr>
          <w:lang w:val="bg-BG"/>
        </w:rPr>
      </w:pPr>
      <w:r w:rsidRPr="00DB77F7">
        <w:rPr>
          <w:lang w:val="bg-BG"/>
        </w:rPr>
        <w:t>„</w:t>
      </w:r>
      <w:r w:rsidRPr="00DB77F7">
        <w:rPr>
          <w:rFonts w:cs="Myriad Pro"/>
          <w:color w:val="000000"/>
          <w:lang w:val="bg-BG"/>
        </w:rPr>
        <w:t>Βисокодоговарящите страни се задължават да провеждат свободни избори през разумни интервали от време, с тайно гласуване, и при условия, осигуряващи свободното изразяване на мнението на народа при избиране на законодателното тяло.“</w:t>
      </w:r>
    </w:p>
    <w:p w:rsidRPr="00DB77F7" w:rsidR="00FB3690" w:rsidP="00C5759E" w:rsidRDefault="00FB3690">
      <w:pPr>
        <w:pStyle w:val="JuHA"/>
        <w:rPr>
          <w:lang w:val="bg-BG"/>
        </w:rPr>
      </w:pPr>
      <w:r w:rsidRPr="00DB77F7">
        <w:rPr>
          <w:lang w:val="bg-BG"/>
        </w:rPr>
        <w:t>A.  </w:t>
      </w:r>
      <w:r w:rsidRPr="00DB77F7" w:rsidR="00BC1295">
        <w:rPr>
          <w:lang w:val="bg-BG"/>
        </w:rPr>
        <w:t>С</w:t>
      </w:r>
      <w:r w:rsidRPr="00DB77F7" w:rsidR="00A667BD">
        <w:rPr>
          <w:lang w:val="bg-BG"/>
        </w:rPr>
        <w:t>тановища</w:t>
      </w:r>
      <w:r w:rsidRPr="00DB77F7" w:rsidR="00BC1295">
        <w:rPr>
          <w:lang w:val="bg-BG"/>
        </w:rPr>
        <w:t xml:space="preserve"> на страните</w:t>
      </w:r>
    </w:p>
    <w:p w:rsidRPr="00DB77F7" w:rsidR="00AE04E8"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24</w:t>
      </w:r>
      <w:r w:rsidRPr="00DB77F7">
        <w:rPr>
          <w:lang w:val="bg-BG"/>
        </w:rPr>
        <w:fldChar w:fldCharType="end"/>
      </w:r>
      <w:r w:rsidRPr="00DB77F7">
        <w:rPr>
          <w:lang w:val="bg-BG"/>
        </w:rPr>
        <w:t>.  </w:t>
      </w:r>
      <w:r w:rsidRPr="00DB77F7" w:rsidR="00BC1295">
        <w:rPr>
          <w:lang w:val="bg-BG"/>
        </w:rPr>
        <w:t xml:space="preserve">Жалбоподателят твърди, че оспорваният отказ за предоставяне на обществено финансиране </w:t>
      </w:r>
      <w:r w:rsidRPr="00DB77F7" w:rsidR="004556DB">
        <w:rPr>
          <w:lang w:val="bg-BG"/>
        </w:rPr>
        <w:t>е</w:t>
      </w:r>
      <w:r w:rsidRPr="00DB77F7" w:rsidR="00BC1295">
        <w:rPr>
          <w:lang w:val="bg-BG"/>
        </w:rPr>
        <w:t xml:space="preserve"> довел до неравнопоставеност между различните политически партии, участващи в парламентарните избори, увеличавайки шансовете за успех на партиите, които вече са имали места в парламента или които са получили повече от 7% от гласовете на предходните избори. </w:t>
      </w:r>
      <w:r w:rsidRPr="00DB77F7" w:rsidR="00D9054F">
        <w:rPr>
          <w:lang w:val="bg-BG"/>
        </w:rPr>
        <w:t xml:space="preserve">Според жалбоподателя тези партии са имали достъп до значителен източник на финансиране, който им е </w:t>
      </w:r>
      <w:r w:rsidRPr="00DB77F7" w:rsidR="004556DB">
        <w:rPr>
          <w:lang w:val="bg-BG"/>
        </w:rPr>
        <w:t>дал</w:t>
      </w:r>
      <w:r w:rsidRPr="00DB77F7" w:rsidR="00D9054F">
        <w:rPr>
          <w:lang w:val="bg-BG"/>
        </w:rPr>
        <w:t xml:space="preserve"> несправедливо предимство (противно, по-специално, на разпоредбите на конституцията и на международни договори, забраняващи дискриминацията) </w:t>
      </w:r>
      <w:r w:rsidRPr="00DB77F7" w:rsidR="00AE04E8">
        <w:rPr>
          <w:lang w:val="bg-BG"/>
        </w:rPr>
        <w:t xml:space="preserve">в сравнение с нови партии, които участват в изборите, особено, когато става въпрос за </w:t>
      </w:r>
      <w:r w:rsidRPr="00DB77F7" w:rsidR="00F8218E">
        <w:rPr>
          <w:lang w:val="bg-BG"/>
        </w:rPr>
        <w:t>разпространяване</w:t>
      </w:r>
      <w:r w:rsidRPr="00DB77F7" w:rsidR="00AE04E8">
        <w:rPr>
          <w:lang w:val="bg-BG"/>
        </w:rPr>
        <w:t xml:space="preserve"> на </w:t>
      </w:r>
      <w:r w:rsidRPr="00DB77F7" w:rsidR="00F8218E">
        <w:rPr>
          <w:lang w:val="bg-BG"/>
        </w:rPr>
        <w:t>мнението</w:t>
      </w:r>
      <w:r w:rsidRPr="00DB77F7" w:rsidR="00AE04E8">
        <w:rPr>
          <w:lang w:val="bg-BG"/>
        </w:rPr>
        <w:t xml:space="preserve"> им – тъй като финансирането е увеличило възможността им за достъп до средствата за масова комуникация – и за организирането на различни събрания и социално-културни мероприятия на национално ниво.</w:t>
      </w:r>
    </w:p>
    <w:p w:rsidRPr="00DB77F7" w:rsidR="00BF7FDE"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25</w:t>
      </w:r>
      <w:r w:rsidRPr="00DB77F7">
        <w:rPr>
          <w:lang w:val="bg-BG"/>
        </w:rPr>
        <w:fldChar w:fldCharType="end"/>
      </w:r>
      <w:r w:rsidRPr="00DB77F7">
        <w:rPr>
          <w:lang w:val="bg-BG"/>
        </w:rPr>
        <w:t>.  </w:t>
      </w:r>
      <w:r w:rsidRPr="00DB77F7" w:rsidR="00A667BD">
        <w:rPr>
          <w:lang w:val="bg-BG"/>
        </w:rPr>
        <w:t xml:space="preserve">Правителството оспорва аргументите на жалбоподателя. То отбелязва, че разграничаването между политическите партии е било направено въз основа на резултатите от предходните избори </w:t>
      </w:r>
      <w:r w:rsidRPr="00DB77F7" w:rsidR="002B43B0">
        <w:rPr>
          <w:lang w:val="bg-BG"/>
        </w:rPr>
        <w:t>(вземайки броя на гласовете или спе</w:t>
      </w:r>
      <w:r w:rsidRPr="00DB77F7" w:rsidR="004556DB">
        <w:rPr>
          <w:lang w:val="bg-BG"/>
        </w:rPr>
        <w:t>челените парламентарни мандати</w:t>
      </w:r>
      <w:r w:rsidRPr="00DB77F7" w:rsidR="002B43B0">
        <w:rPr>
          <w:lang w:val="bg-BG"/>
        </w:rPr>
        <w:t xml:space="preserve"> на тези избори). С други думи, то е имало легитимни и обективни основания. Отказ за предоставяне на държавно финансиране може да бъде счетен за диск</w:t>
      </w:r>
      <w:r w:rsidRPr="00DB77F7" w:rsidR="004556DB">
        <w:rPr>
          <w:lang w:val="bg-BG"/>
        </w:rPr>
        <w:t>риминационен, ако се основава н</w:t>
      </w:r>
      <w:r w:rsidRPr="00DB77F7" w:rsidR="002B43B0">
        <w:rPr>
          <w:lang w:val="bg-BG"/>
        </w:rPr>
        <w:t>а</w:t>
      </w:r>
      <w:r w:rsidRPr="00DB77F7" w:rsidR="004556DB">
        <w:rPr>
          <w:lang w:val="bg-BG"/>
        </w:rPr>
        <w:t xml:space="preserve"> </w:t>
      </w:r>
      <w:r w:rsidRPr="00DB77F7" w:rsidR="002B43B0">
        <w:rPr>
          <w:lang w:val="bg-BG"/>
        </w:rPr>
        <w:t>възгледите на политическата партия, но това не е така в настоящия случай. Освен това на държавите е предоставена широка свобода на преценка при определянето на минималните изисквания, на които политическите партии трябва да отговарят, за да получат държавно финансиране, при условие че правото им на участие в политическия живот н</w:t>
      </w:r>
      <w:r w:rsidRPr="00DB77F7" w:rsidR="00AA0879">
        <w:rPr>
          <w:lang w:val="bg-BG"/>
        </w:rPr>
        <w:t>е е нарушено</w:t>
      </w:r>
      <w:r w:rsidRPr="00DB77F7" w:rsidR="00F22ACE">
        <w:rPr>
          <w:lang w:val="bg-BG"/>
        </w:rPr>
        <w:t>.</w:t>
      </w:r>
    </w:p>
    <w:p w:rsidRPr="00DB77F7" w:rsidR="00FB3690" w:rsidP="00FB3690" w:rsidRDefault="00FB3690">
      <w:pPr>
        <w:pStyle w:val="JuHA"/>
        <w:rPr>
          <w:lang w:val="bg-BG"/>
        </w:rPr>
      </w:pPr>
      <w:r w:rsidRPr="00DB77F7">
        <w:rPr>
          <w:lang w:val="bg-BG"/>
        </w:rPr>
        <w:t>B.  </w:t>
      </w:r>
      <w:r w:rsidRPr="00DB77F7" w:rsidR="00A61374">
        <w:rPr>
          <w:lang w:val="bg-BG"/>
        </w:rPr>
        <w:t>Критерии, използвани от Съда при приложението на член 14 от Конвенцията във връзка с член 3 от Протокол № 1</w:t>
      </w:r>
    </w:p>
    <w:p w:rsidRPr="00DB77F7" w:rsidR="00FB3690" w:rsidP="00FB3690" w:rsidRDefault="00FB3690">
      <w:pPr>
        <w:ind w:firstLine="284"/>
        <w:jc w:val="both"/>
        <w:rPr>
          <w:lang w:val="bg-BG" w:eastAsia="en-US"/>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26</w:t>
      </w:r>
      <w:r w:rsidRPr="00DB77F7">
        <w:rPr>
          <w:lang w:val="bg-BG"/>
        </w:rPr>
        <w:fldChar w:fldCharType="end"/>
      </w:r>
      <w:r w:rsidRPr="00DB77F7">
        <w:rPr>
          <w:lang w:val="bg-BG"/>
        </w:rPr>
        <w:t>.  </w:t>
      </w:r>
      <w:r w:rsidRPr="00DB77F7" w:rsidR="009A35E4">
        <w:rPr>
          <w:lang w:val="bg-BG"/>
        </w:rPr>
        <w:t>Съдът изтъ</w:t>
      </w:r>
      <w:r w:rsidRPr="00DB77F7" w:rsidR="00736E8E">
        <w:rPr>
          <w:lang w:val="bg-BG"/>
        </w:rPr>
        <w:t>ква, че дискриминация означава р</w:t>
      </w:r>
      <w:r w:rsidRPr="00DB77F7" w:rsidR="009A35E4">
        <w:rPr>
          <w:lang w:val="bg-BG"/>
        </w:rPr>
        <w:t>азлично третиране на лица в подобно пол</w:t>
      </w:r>
      <w:r w:rsidRPr="00DB77F7" w:rsidR="00736E8E">
        <w:rPr>
          <w:lang w:val="bg-BG"/>
        </w:rPr>
        <w:t>ожение, без обективно и разумно оправдание</w:t>
      </w:r>
      <w:r w:rsidRPr="00DB77F7" w:rsidR="009A35E4">
        <w:rPr>
          <w:lang w:val="bg-BG"/>
        </w:rPr>
        <w:t xml:space="preserve"> за това. </w:t>
      </w:r>
      <w:r w:rsidRPr="00DB77F7" w:rsidR="00F600F4">
        <w:rPr>
          <w:lang w:val="bg-BG"/>
        </w:rPr>
        <w:t xml:space="preserve">„Без обективно и разумно оправдание“ означава, че </w:t>
      </w:r>
      <w:r w:rsidRPr="00DB77F7" w:rsidR="00F8218E">
        <w:rPr>
          <w:lang w:val="bg-BG"/>
        </w:rPr>
        <w:t>въпросното</w:t>
      </w:r>
      <w:r w:rsidRPr="00DB77F7" w:rsidR="00F600F4">
        <w:rPr>
          <w:lang w:val="bg-BG"/>
        </w:rPr>
        <w:t xml:space="preserve"> различно третиране не преследва легитимна </w:t>
      </w:r>
      <w:r w:rsidRPr="00DB77F7" w:rsidR="00736E8E">
        <w:rPr>
          <w:lang w:val="bg-BG"/>
        </w:rPr>
        <w:t>ц</w:t>
      </w:r>
      <w:r w:rsidRPr="00DB77F7" w:rsidR="00F600F4">
        <w:rPr>
          <w:lang w:val="bg-BG"/>
        </w:rPr>
        <w:t xml:space="preserve">ел или няма „разумно съотношение на пропорционалност между използваните средства и </w:t>
      </w:r>
      <w:r w:rsidRPr="00DB77F7" w:rsidR="00736E8E">
        <w:rPr>
          <w:lang w:val="bg-BG"/>
        </w:rPr>
        <w:t>целта, чието постигане се търси</w:t>
      </w:r>
      <w:r w:rsidRPr="00DB77F7" w:rsidR="00F600F4">
        <w:rPr>
          <w:lang w:val="bg-BG"/>
        </w:rPr>
        <w:t xml:space="preserve">“ </w:t>
      </w:r>
      <w:r w:rsidRPr="00DB77F7" w:rsidR="00F22ACE">
        <w:rPr>
          <w:lang w:val="bg-BG"/>
        </w:rPr>
        <w:t>(</w:t>
      </w:r>
      <w:r w:rsidRPr="00DB77F7" w:rsidR="00F600F4">
        <w:rPr>
          <w:lang w:val="bg-BG"/>
        </w:rPr>
        <w:t>виж, наред с други източници</w:t>
      </w:r>
      <w:r w:rsidRPr="00DB77F7" w:rsidR="00F22ACE">
        <w:rPr>
          <w:lang w:val="bg-BG"/>
        </w:rPr>
        <w:t xml:space="preserve">, </w:t>
      </w:r>
      <w:r w:rsidRPr="00DB77F7">
        <w:rPr>
          <w:i/>
          <w:lang w:val="bg-BG" w:eastAsia="en-US"/>
        </w:rPr>
        <w:t xml:space="preserve">Sejdić </w:t>
      </w:r>
      <w:r w:rsidRPr="00DB77F7" w:rsidR="00F22ACE">
        <w:rPr>
          <w:i/>
          <w:lang w:val="bg-BG" w:eastAsia="en-US"/>
        </w:rPr>
        <w:t>and</w:t>
      </w:r>
      <w:r w:rsidRPr="00DB77F7">
        <w:rPr>
          <w:i/>
          <w:lang w:val="bg-BG" w:eastAsia="en-US"/>
        </w:rPr>
        <w:t xml:space="preserve"> Finci </w:t>
      </w:r>
      <w:r w:rsidRPr="00DB77F7" w:rsidR="00F600F4">
        <w:rPr>
          <w:i/>
          <w:lang w:val="bg-BG" w:eastAsia="en-US"/>
        </w:rPr>
        <w:t>срещу Босна и Херцеговина</w:t>
      </w:r>
      <w:r w:rsidRPr="00DB77F7">
        <w:rPr>
          <w:i/>
          <w:lang w:val="bg-BG" w:eastAsia="en-US"/>
        </w:rPr>
        <w:t xml:space="preserve"> </w:t>
      </w:r>
      <w:r w:rsidRPr="00DB77F7">
        <w:rPr>
          <w:lang w:val="bg-BG" w:eastAsia="en-US"/>
        </w:rPr>
        <w:t>[</w:t>
      </w:r>
      <w:r w:rsidRPr="00DB77F7" w:rsidR="00F600F4">
        <w:rPr>
          <w:lang w:val="bg-BG" w:eastAsia="en-US"/>
        </w:rPr>
        <w:t>ГК</w:t>
      </w:r>
      <w:r w:rsidRPr="00DB77F7">
        <w:rPr>
          <w:lang w:val="bg-BG" w:eastAsia="en-US"/>
        </w:rPr>
        <w:t xml:space="preserve">], </w:t>
      </w:r>
      <w:r w:rsidRPr="00DB77F7" w:rsidR="00F22ACE">
        <w:rPr>
          <w:lang w:val="bg-BG" w:eastAsia="en-US"/>
        </w:rPr>
        <w:t>nos.</w:t>
      </w:r>
      <w:r w:rsidRPr="00DB77F7">
        <w:rPr>
          <w:lang w:val="bg-BG" w:eastAsia="en-US"/>
        </w:rPr>
        <w:t xml:space="preserve"> 27996/06 </w:t>
      </w:r>
      <w:r w:rsidRPr="00DB77F7" w:rsidR="00C213C0">
        <w:rPr>
          <w:lang w:val="bg-BG" w:eastAsia="en-US"/>
        </w:rPr>
        <w:t>и 34836/06, § </w:t>
      </w:r>
      <w:r w:rsidRPr="00DB77F7">
        <w:rPr>
          <w:lang w:val="bg-BG" w:eastAsia="en-US"/>
        </w:rPr>
        <w:t xml:space="preserve">42, </w:t>
      </w:r>
      <w:r w:rsidRPr="00DB77F7" w:rsidR="00F22ACE">
        <w:rPr>
          <w:lang w:val="bg-BG" w:eastAsia="en-US"/>
        </w:rPr>
        <w:t>ECHR</w:t>
      </w:r>
      <w:r w:rsidRPr="00DB77F7">
        <w:rPr>
          <w:lang w:val="bg-BG" w:eastAsia="en-US"/>
        </w:rPr>
        <w:t xml:space="preserve"> 2009). </w:t>
      </w:r>
      <w:r w:rsidRPr="00DB77F7" w:rsidR="001A21B7">
        <w:rPr>
          <w:lang w:val="bg-BG"/>
        </w:rPr>
        <w:t xml:space="preserve">Обхватът на свободата на преценка на договарящата държава в тази област варира в зависимост от обстоятелствата, разглеждания въпрос и неговия контекст </w:t>
      </w:r>
      <w:r w:rsidRPr="00DB77F7">
        <w:rPr>
          <w:lang w:val="bg-BG" w:eastAsia="en-US"/>
        </w:rPr>
        <w:t>(</w:t>
      </w:r>
      <w:r w:rsidRPr="00DB77F7" w:rsidR="009A35E4">
        <w:rPr>
          <w:lang w:val="bg-BG" w:eastAsia="en-US"/>
        </w:rPr>
        <w:t>виж</w:t>
      </w:r>
      <w:r w:rsidRPr="00DB77F7" w:rsidR="00F22ACE">
        <w:rPr>
          <w:lang w:val="bg-BG" w:eastAsia="en-US"/>
        </w:rPr>
        <w:t xml:space="preserve"> </w:t>
      </w:r>
      <w:r w:rsidRPr="00DB77F7">
        <w:rPr>
          <w:i/>
          <w:lang w:val="bg-BG" w:eastAsia="en-US"/>
        </w:rPr>
        <w:t xml:space="preserve">Andrejeva </w:t>
      </w:r>
      <w:r w:rsidRPr="00DB77F7" w:rsidR="009A35E4">
        <w:rPr>
          <w:i/>
          <w:lang w:val="bg-BG" w:eastAsia="en-US"/>
        </w:rPr>
        <w:t>срещу Латвия</w:t>
      </w:r>
      <w:r w:rsidRPr="00DB77F7">
        <w:rPr>
          <w:lang w:val="bg-BG" w:eastAsia="en-US"/>
        </w:rPr>
        <w:t xml:space="preserve"> [</w:t>
      </w:r>
      <w:r w:rsidRPr="00DB77F7" w:rsidR="009A35E4">
        <w:rPr>
          <w:lang w:val="bg-BG" w:eastAsia="en-US"/>
        </w:rPr>
        <w:t>ГК</w:t>
      </w:r>
      <w:r w:rsidRPr="00DB77F7">
        <w:rPr>
          <w:lang w:val="bg-BG" w:eastAsia="en-US"/>
        </w:rPr>
        <w:t>]</w:t>
      </w:r>
      <w:smartTag w:uri="urn:schemas-microsoft-com:office:smarttags" w:element="PersonName">
        <w:r w:rsidRPr="00DB77F7">
          <w:rPr>
            <w:lang w:val="bg-BG" w:eastAsia="en-US"/>
          </w:rPr>
          <w:t>,</w:t>
        </w:r>
      </w:smartTag>
      <w:r w:rsidRPr="00DB77F7">
        <w:rPr>
          <w:lang w:val="bg-BG" w:eastAsia="en-US"/>
        </w:rPr>
        <w:t xml:space="preserve"> </w:t>
      </w:r>
      <w:r w:rsidRPr="00DB77F7" w:rsidR="00F22ACE">
        <w:rPr>
          <w:lang w:val="bg-BG" w:eastAsia="en-US"/>
        </w:rPr>
        <w:t>no.</w:t>
      </w:r>
      <w:r w:rsidRPr="00DB77F7" w:rsidR="00F31089">
        <w:rPr>
          <w:lang w:val="bg-BG" w:eastAsia="en-US"/>
        </w:rPr>
        <w:t> </w:t>
      </w:r>
      <w:r w:rsidRPr="00DB77F7">
        <w:rPr>
          <w:lang w:val="bg-BG" w:eastAsia="en-US"/>
        </w:rPr>
        <w:t>55707/00, § 82</w:t>
      </w:r>
      <w:smartTag w:uri="urn:schemas-microsoft-com:office:smarttags" w:element="PersonName">
        <w:r w:rsidRPr="00DB77F7">
          <w:rPr>
            <w:lang w:val="bg-BG" w:eastAsia="en-US"/>
          </w:rPr>
          <w:t>,</w:t>
        </w:r>
      </w:smartTag>
      <w:r w:rsidRPr="00DB77F7">
        <w:rPr>
          <w:lang w:val="bg-BG" w:eastAsia="en-US"/>
        </w:rPr>
        <w:t xml:space="preserve"> </w:t>
      </w:r>
      <w:r w:rsidRPr="00DB77F7" w:rsidR="00950AF3">
        <w:rPr>
          <w:lang w:val="bg-BG" w:eastAsia="en-US"/>
        </w:rPr>
        <w:t>ECHR </w:t>
      </w:r>
      <w:r w:rsidRPr="00DB77F7">
        <w:rPr>
          <w:lang w:val="bg-BG" w:eastAsia="en-US"/>
        </w:rPr>
        <w:t>2009).</w:t>
      </w:r>
    </w:p>
    <w:p w:rsidRPr="00DB77F7" w:rsidR="00950AF3"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27</w:t>
      </w:r>
      <w:r w:rsidRPr="00DB77F7">
        <w:rPr>
          <w:lang w:val="bg-BG"/>
        </w:rPr>
        <w:fldChar w:fldCharType="end"/>
      </w:r>
      <w:r w:rsidRPr="00DB77F7">
        <w:rPr>
          <w:lang w:val="bg-BG"/>
        </w:rPr>
        <w:t>.  </w:t>
      </w:r>
      <w:r w:rsidRPr="00DB77F7" w:rsidR="00AE1C67">
        <w:rPr>
          <w:lang w:val="bg-BG"/>
        </w:rPr>
        <w:t xml:space="preserve">Съдът също така потвърждава, че член 3 от Протокол № 1 гарантира характерен принцип на ефективната политическа демокрация и следователно е от първостепенно значение в системата на Конвенцията </w:t>
      </w:r>
      <w:r w:rsidRPr="00DB77F7">
        <w:rPr>
          <w:lang w:val="bg-BG"/>
        </w:rPr>
        <w:t>(</w:t>
      </w:r>
      <w:r w:rsidRPr="00DB77F7" w:rsidR="00AE1C67">
        <w:rPr>
          <w:lang w:val="bg-BG"/>
        </w:rPr>
        <w:t>виж</w:t>
      </w:r>
      <w:r w:rsidRPr="00DB77F7" w:rsidR="00950AF3">
        <w:rPr>
          <w:lang w:val="bg-BG"/>
        </w:rPr>
        <w:t xml:space="preserve"> </w:t>
      </w:r>
      <w:r w:rsidRPr="00DB77F7">
        <w:rPr>
          <w:i/>
          <w:iCs/>
          <w:lang w:val="bg-BG"/>
        </w:rPr>
        <w:t>Mathieu</w:t>
      </w:r>
      <w:r w:rsidRPr="00DB77F7" w:rsidR="006C0E82">
        <w:rPr>
          <w:i/>
          <w:iCs/>
          <w:lang w:val="bg-BG"/>
        </w:rPr>
        <w:noBreakHyphen/>
      </w:r>
      <w:r w:rsidRPr="00DB77F7">
        <w:rPr>
          <w:i/>
          <w:iCs/>
          <w:lang w:val="bg-BG"/>
        </w:rPr>
        <w:t xml:space="preserve">Mohin </w:t>
      </w:r>
      <w:r w:rsidRPr="00DB77F7" w:rsidR="00950AF3">
        <w:rPr>
          <w:i/>
          <w:iCs/>
          <w:lang w:val="bg-BG"/>
        </w:rPr>
        <w:t>and</w:t>
      </w:r>
      <w:r w:rsidRPr="00DB77F7">
        <w:rPr>
          <w:i/>
          <w:iCs/>
          <w:lang w:val="bg-BG"/>
        </w:rPr>
        <w:t xml:space="preserve"> Clerfayt </w:t>
      </w:r>
      <w:r w:rsidRPr="00DB77F7" w:rsidR="00AE1C67">
        <w:rPr>
          <w:i/>
          <w:iCs/>
          <w:lang w:val="bg-BG"/>
        </w:rPr>
        <w:t>срещу Белгия</w:t>
      </w:r>
      <w:r w:rsidRPr="00DB77F7">
        <w:rPr>
          <w:lang w:val="bg-BG"/>
        </w:rPr>
        <w:t>,</w:t>
      </w:r>
      <w:r w:rsidRPr="00DB77F7">
        <w:rPr>
          <w:i/>
          <w:iCs/>
          <w:lang w:val="bg-BG"/>
        </w:rPr>
        <w:t xml:space="preserve"> </w:t>
      </w:r>
      <w:r w:rsidRPr="00DB77F7">
        <w:rPr>
          <w:lang w:val="bg-BG"/>
        </w:rPr>
        <w:t>2 </w:t>
      </w:r>
      <w:r w:rsidRPr="00DB77F7" w:rsidR="00AE1C67">
        <w:rPr>
          <w:lang w:val="bg-BG"/>
        </w:rPr>
        <w:t>март</w:t>
      </w:r>
      <w:r w:rsidRPr="00DB77F7">
        <w:rPr>
          <w:lang w:val="bg-BG"/>
        </w:rPr>
        <w:t xml:space="preserve"> 1987</w:t>
      </w:r>
      <w:r w:rsidRPr="00DB77F7" w:rsidR="00AE1C67">
        <w:rPr>
          <w:lang w:val="bg-BG"/>
        </w:rPr>
        <w:t xml:space="preserve"> г.</w:t>
      </w:r>
      <w:smartTag w:uri="urn:schemas-microsoft-com:office:smarttags" w:element="PersonName">
        <w:r w:rsidRPr="00DB77F7">
          <w:rPr>
            <w:lang w:val="bg-BG"/>
          </w:rPr>
          <w:t>,</w:t>
        </w:r>
      </w:smartTag>
      <w:r w:rsidRPr="00DB77F7">
        <w:rPr>
          <w:lang w:val="bg-BG"/>
        </w:rPr>
        <w:t xml:space="preserve"> § 47</w:t>
      </w:r>
      <w:smartTag w:uri="urn:schemas-microsoft-com:office:smarttags" w:element="PersonName">
        <w:r w:rsidRPr="00DB77F7">
          <w:rPr>
            <w:lang w:val="bg-BG"/>
          </w:rPr>
          <w:t>,</w:t>
        </w:r>
      </w:smartTag>
      <w:r w:rsidRPr="00DB77F7">
        <w:rPr>
          <w:lang w:val="bg-BG"/>
        </w:rPr>
        <w:t xml:space="preserve"> </w:t>
      </w:r>
      <w:r w:rsidRPr="00DB77F7" w:rsidR="00950AF3">
        <w:rPr>
          <w:lang w:val="bg-BG"/>
        </w:rPr>
        <w:t>Series</w:t>
      </w:r>
      <w:r w:rsidRPr="00DB77F7">
        <w:rPr>
          <w:lang w:val="bg-BG"/>
        </w:rPr>
        <w:t xml:space="preserve"> A </w:t>
      </w:r>
      <w:r w:rsidRPr="00DB77F7" w:rsidR="000F76DD">
        <w:rPr>
          <w:lang w:val="bg-BG"/>
        </w:rPr>
        <w:t>n</w:t>
      </w:r>
      <w:r w:rsidRPr="00DB77F7" w:rsidR="00950AF3">
        <w:rPr>
          <w:lang w:val="bg-BG"/>
        </w:rPr>
        <w:t>o.</w:t>
      </w:r>
      <w:r w:rsidRPr="00DB77F7" w:rsidR="006C0E82">
        <w:rPr>
          <w:lang w:val="bg-BG"/>
        </w:rPr>
        <w:t> </w:t>
      </w:r>
      <w:r w:rsidRPr="00DB77F7">
        <w:rPr>
          <w:lang w:val="bg-BG"/>
        </w:rPr>
        <w:t xml:space="preserve">113). </w:t>
      </w:r>
      <w:r w:rsidRPr="00DB77F7" w:rsidR="009F7BBB">
        <w:rPr>
          <w:lang w:val="bg-BG"/>
        </w:rPr>
        <w:t xml:space="preserve">Ролята на държавата като </w:t>
      </w:r>
      <w:r w:rsidRPr="00DB77F7" w:rsidR="00CD7B68">
        <w:rPr>
          <w:lang w:val="bg-BG"/>
        </w:rPr>
        <w:t>върховен гарант на плурализма включва пр</w:t>
      </w:r>
      <w:r w:rsidRPr="00DB77F7" w:rsidR="00C213C0">
        <w:rPr>
          <w:lang w:val="bg-BG"/>
        </w:rPr>
        <w:t>едприемането</w:t>
      </w:r>
      <w:r w:rsidRPr="00DB77F7" w:rsidR="00CD7B68">
        <w:rPr>
          <w:lang w:val="bg-BG"/>
        </w:rPr>
        <w:t xml:space="preserve"> на позитивни мерки за „провеждането“ на демократични избори</w:t>
      </w:r>
      <w:r w:rsidRPr="00DB77F7" w:rsidR="00CD7B68">
        <w:rPr>
          <w:rFonts w:cs="Myriad Pro"/>
          <w:color w:val="000000"/>
          <w:sz w:val="20"/>
          <w:lang w:val="bg-BG"/>
        </w:rPr>
        <w:t xml:space="preserve"> </w:t>
      </w:r>
      <w:r w:rsidRPr="00DB77F7" w:rsidR="00CD7B68">
        <w:rPr>
          <w:rFonts w:cs="Myriad Pro"/>
          <w:color w:val="000000"/>
          <w:szCs w:val="24"/>
          <w:lang w:val="bg-BG"/>
        </w:rPr>
        <w:t>„при условия, осигуряващи свободното изразяване на мнението на народа при избиране на законодателното тяло</w:t>
      </w:r>
      <w:r w:rsidRPr="00DB77F7" w:rsidR="00CD7B68">
        <w:rPr>
          <w:rFonts w:cs="Myriad Pro"/>
          <w:color w:val="000000"/>
          <w:sz w:val="20"/>
          <w:lang w:val="bg-BG"/>
        </w:rPr>
        <w:t xml:space="preserve">“ </w:t>
      </w:r>
      <w:r w:rsidRPr="00DB77F7" w:rsidR="00C86D0F">
        <w:rPr>
          <w:lang w:val="bg-BG"/>
        </w:rPr>
        <w:t>(</w:t>
      </w:r>
      <w:r w:rsidRPr="00DB77F7" w:rsidR="00CD7B68">
        <w:rPr>
          <w:lang w:val="bg-BG"/>
        </w:rPr>
        <w:t>виж</w:t>
      </w:r>
      <w:r w:rsidRPr="00DB77F7" w:rsidR="00C86D0F">
        <w:rPr>
          <w:lang w:val="bg-BG"/>
        </w:rPr>
        <w:t xml:space="preserve"> </w:t>
      </w:r>
      <w:r w:rsidRPr="00DB77F7" w:rsidR="00C86D0F">
        <w:rPr>
          <w:i/>
          <w:lang w:val="bg-BG"/>
        </w:rPr>
        <w:t>Mathieu-Mohin and Clerfayt</w:t>
      </w:r>
      <w:r w:rsidRPr="00DB77F7" w:rsidR="00C86D0F">
        <w:rPr>
          <w:lang w:val="bg-BG"/>
        </w:rPr>
        <w:t xml:space="preserve">, </w:t>
      </w:r>
      <w:r w:rsidRPr="00DB77F7" w:rsidR="00CD7B68">
        <w:rPr>
          <w:lang w:val="bg-BG"/>
        </w:rPr>
        <w:t>цитирано по-горе</w:t>
      </w:r>
      <w:r w:rsidRPr="00DB77F7" w:rsidR="00C86D0F">
        <w:rPr>
          <w:lang w:val="bg-BG"/>
        </w:rPr>
        <w:t>, § 54).</w:t>
      </w:r>
    </w:p>
    <w:p w:rsidRPr="00DB77F7" w:rsidR="00FB3690" w:rsidP="000F76DD" w:rsidRDefault="00FB3690">
      <w:pPr>
        <w:pStyle w:val="JuPara"/>
        <w:rPr>
          <w:lang w:val="bg-BG" w:eastAsia="en-US"/>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28</w:t>
      </w:r>
      <w:r w:rsidRPr="00DB77F7">
        <w:rPr>
          <w:lang w:val="bg-BG"/>
        </w:rPr>
        <w:fldChar w:fldCharType="end"/>
      </w:r>
      <w:r w:rsidRPr="00DB77F7">
        <w:rPr>
          <w:lang w:val="bg-BG"/>
        </w:rPr>
        <w:t>.  </w:t>
      </w:r>
      <w:r w:rsidRPr="00DB77F7" w:rsidR="002401A4">
        <w:rPr>
          <w:lang w:val="bg-BG"/>
        </w:rPr>
        <w:t xml:space="preserve">Свободните избори и свободата на изразяване и особено свободата на политическия дебат, формират основата на всяка демокрация </w:t>
      </w:r>
      <w:r w:rsidRPr="00DB77F7" w:rsidR="00C86D0F">
        <w:rPr>
          <w:lang w:val="bg-BG"/>
        </w:rPr>
        <w:t>(</w:t>
      </w:r>
      <w:r w:rsidRPr="00DB77F7" w:rsidR="002401A4">
        <w:rPr>
          <w:lang w:val="bg-BG"/>
        </w:rPr>
        <w:t>виж</w:t>
      </w:r>
      <w:r w:rsidRPr="00DB77F7" w:rsidR="00C86D0F">
        <w:rPr>
          <w:lang w:val="bg-BG"/>
        </w:rPr>
        <w:t xml:space="preserve"> </w:t>
      </w:r>
      <w:r w:rsidRPr="00DB77F7" w:rsidR="00C86D0F">
        <w:rPr>
          <w:i/>
          <w:lang w:val="bg-BG"/>
        </w:rPr>
        <w:t>Mathieu-Mohin and Clerfayt</w:t>
      </w:r>
      <w:r w:rsidRPr="00DB77F7" w:rsidR="00C86D0F">
        <w:rPr>
          <w:lang w:val="bg-BG"/>
        </w:rPr>
        <w:t xml:space="preserve">, </w:t>
      </w:r>
      <w:r w:rsidRPr="00DB77F7" w:rsidR="00FB6056">
        <w:rPr>
          <w:lang w:val="bg-BG"/>
        </w:rPr>
        <w:t>цитирано по-горе</w:t>
      </w:r>
      <w:r w:rsidRPr="00DB77F7" w:rsidR="00C86D0F">
        <w:rPr>
          <w:lang w:val="bg-BG"/>
        </w:rPr>
        <w:t xml:space="preserve">, § 47, </w:t>
      </w:r>
      <w:r w:rsidRPr="00DB77F7" w:rsidR="00FB6056">
        <w:rPr>
          <w:lang w:val="bg-BG"/>
        </w:rPr>
        <w:t>и</w:t>
      </w:r>
      <w:r w:rsidRPr="00DB77F7" w:rsidR="00C86D0F">
        <w:rPr>
          <w:lang w:val="bg-BG"/>
        </w:rPr>
        <w:t xml:space="preserve"> </w:t>
      </w:r>
      <w:r w:rsidRPr="00DB77F7" w:rsidR="00C86D0F">
        <w:rPr>
          <w:i/>
          <w:lang w:val="bg-BG"/>
        </w:rPr>
        <w:t xml:space="preserve">Lingens </w:t>
      </w:r>
      <w:r w:rsidRPr="00DB77F7" w:rsidR="00FB6056">
        <w:rPr>
          <w:i/>
          <w:lang w:val="bg-BG"/>
        </w:rPr>
        <w:t>срещу Австрия</w:t>
      </w:r>
      <w:r w:rsidRPr="00DB77F7" w:rsidR="00C86D0F">
        <w:rPr>
          <w:lang w:val="bg-BG"/>
        </w:rPr>
        <w:t>, 8</w:t>
      </w:r>
      <w:r w:rsidRPr="00DB77F7" w:rsidR="00F31089">
        <w:rPr>
          <w:lang w:val="bg-BG"/>
        </w:rPr>
        <w:t> </w:t>
      </w:r>
      <w:r w:rsidRPr="00DB77F7" w:rsidR="00FB6056">
        <w:rPr>
          <w:lang w:val="bg-BG"/>
        </w:rPr>
        <w:t>юли</w:t>
      </w:r>
      <w:r w:rsidRPr="00DB77F7" w:rsidR="00C86D0F">
        <w:rPr>
          <w:lang w:val="bg-BG"/>
        </w:rPr>
        <w:t xml:space="preserve"> 1986</w:t>
      </w:r>
      <w:r w:rsidRPr="00DB77F7" w:rsidR="00FB6056">
        <w:rPr>
          <w:lang w:val="bg-BG"/>
        </w:rPr>
        <w:t xml:space="preserve"> г.</w:t>
      </w:r>
      <w:r w:rsidRPr="00DB77F7" w:rsidR="00C86D0F">
        <w:rPr>
          <w:lang w:val="bg-BG"/>
        </w:rPr>
        <w:t xml:space="preserve">, </w:t>
      </w:r>
      <w:r w:rsidRPr="00DB77F7" w:rsidR="000F76DD">
        <w:rPr>
          <w:lang w:val="bg-BG"/>
        </w:rPr>
        <w:t xml:space="preserve">§§ 41 </w:t>
      </w:r>
      <w:r w:rsidRPr="00DB77F7" w:rsidR="00BA7626">
        <w:rPr>
          <w:lang w:val="bg-BG"/>
        </w:rPr>
        <w:t>и</w:t>
      </w:r>
      <w:r w:rsidRPr="00DB77F7" w:rsidR="000F76DD">
        <w:rPr>
          <w:lang w:val="bg-BG"/>
        </w:rPr>
        <w:t xml:space="preserve"> 42, </w:t>
      </w:r>
      <w:r w:rsidRPr="00DB77F7" w:rsidR="00C86D0F">
        <w:rPr>
          <w:lang w:val="bg-BG"/>
        </w:rPr>
        <w:t>Series A no. 1</w:t>
      </w:r>
      <w:r w:rsidRPr="00DB77F7" w:rsidR="006C0E82">
        <w:rPr>
          <w:lang w:val="bg-BG"/>
        </w:rPr>
        <w:t>0</w:t>
      </w:r>
      <w:r w:rsidRPr="00DB77F7" w:rsidR="00C86D0F">
        <w:rPr>
          <w:lang w:val="bg-BG"/>
        </w:rPr>
        <w:t xml:space="preserve">3). </w:t>
      </w:r>
      <w:r w:rsidRPr="00DB77F7" w:rsidR="00BA7626">
        <w:rPr>
          <w:lang w:val="bg-BG"/>
        </w:rPr>
        <w:t>„</w:t>
      </w:r>
      <w:r w:rsidRPr="00DB77F7" w:rsidR="00BA7626">
        <w:rPr>
          <w:rFonts w:cs="Myriad Pro"/>
          <w:color w:val="000000"/>
          <w:szCs w:val="24"/>
          <w:lang w:val="bg-BG"/>
        </w:rPr>
        <w:t xml:space="preserve">Свободното изразяване на мнението на народа при избиране на законодателното тяло“ е въпрос, </w:t>
      </w:r>
      <w:r w:rsidRPr="00DB77F7" w:rsidR="00280F3F">
        <w:rPr>
          <w:rFonts w:cs="Myriad Pro"/>
          <w:color w:val="000000"/>
          <w:szCs w:val="24"/>
          <w:lang w:val="bg-BG"/>
        </w:rPr>
        <w:t>към</w:t>
      </w:r>
      <w:r w:rsidRPr="00DB77F7" w:rsidR="00BA7626">
        <w:rPr>
          <w:rFonts w:cs="Myriad Pro"/>
          <w:color w:val="000000"/>
          <w:szCs w:val="24"/>
          <w:lang w:val="bg-BG"/>
        </w:rPr>
        <w:t xml:space="preserve"> който член 11 от Конвенцията </w:t>
      </w:r>
      <w:r w:rsidRPr="00DB77F7" w:rsidR="00280F3F">
        <w:rPr>
          <w:rFonts w:cs="Myriad Pro"/>
          <w:color w:val="000000"/>
          <w:szCs w:val="24"/>
          <w:lang w:val="bg-BG"/>
        </w:rPr>
        <w:t>също има отношени</w:t>
      </w:r>
      <w:r w:rsidRPr="00DB77F7" w:rsidR="00CD6A5D">
        <w:rPr>
          <w:rFonts w:cs="Myriad Pro"/>
          <w:color w:val="000000"/>
          <w:szCs w:val="24"/>
          <w:lang w:val="bg-BG"/>
        </w:rPr>
        <w:t>е, тъй като той гарантира свободата на сдружаване, и по този начин индиректно, свободата на образуване на политически партии</w:t>
      </w:r>
      <w:r w:rsidRPr="00DB77F7" w:rsidR="00C86D0F">
        <w:rPr>
          <w:lang w:val="bg-BG"/>
        </w:rPr>
        <w:t xml:space="preserve">, </w:t>
      </w:r>
      <w:r w:rsidRPr="00DB77F7" w:rsidR="00292A3D">
        <w:rPr>
          <w:lang w:val="bg-BG"/>
        </w:rPr>
        <w:t>които са форма на сдружаване</w:t>
      </w:r>
      <w:r w:rsidRPr="00DB77F7" w:rsidR="00C86D0F">
        <w:rPr>
          <w:lang w:val="bg-BG"/>
        </w:rPr>
        <w:t>,</w:t>
      </w:r>
      <w:r w:rsidRPr="00DB77F7" w:rsidR="00C85A66">
        <w:rPr>
          <w:lang w:val="bg-BG"/>
        </w:rPr>
        <w:t xml:space="preserve"> особено важна за правилното функциониране </w:t>
      </w:r>
      <w:r w:rsidRPr="00DB77F7" w:rsidR="0029581C">
        <w:rPr>
          <w:lang w:val="bg-BG"/>
        </w:rPr>
        <w:t xml:space="preserve">на </w:t>
      </w:r>
      <w:r w:rsidRPr="00DB77F7" w:rsidR="00C85A66">
        <w:rPr>
          <w:lang w:val="bg-BG"/>
        </w:rPr>
        <w:t>демокрацията</w:t>
      </w:r>
      <w:r w:rsidRPr="00DB77F7" w:rsidR="00C86D0F">
        <w:rPr>
          <w:lang w:val="bg-BG"/>
        </w:rPr>
        <w:t>.</w:t>
      </w:r>
      <w:r w:rsidRPr="00DB77F7" w:rsidR="004051D6">
        <w:rPr>
          <w:lang w:val="bg-BG"/>
        </w:rPr>
        <w:t xml:space="preserve"> </w:t>
      </w:r>
      <w:r w:rsidRPr="00DB77F7" w:rsidR="00437023">
        <w:rPr>
          <w:lang w:val="bg-BG"/>
        </w:rPr>
        <w:t xml:space="preserve">Изразяването на мнението на народа е немислимо без </w:t>
      </w:r>
      <w:r w:rsidRPr="00DB77F7" w:rsidR="00FE0AED">
        <w:rPr>
          <w:lang w:val="bg-BG"/>
        </w:rPr>
        <w:t>съдействието на множество политически</w:t>
      </w:r>
      <w:r w:rsidRPr="00DB77F7" w:rsidR="00437023">
        <w:rPr>
          <w:lang w:val="bg-BG"/>
        </w:rPr>
        <w:t xml:space="preserve"> партии, </w:t>
      </w:r>
      <w:r w:rsidRPr="00DB77F7" w:rsidR="00FE0AED">
        <w:rPr>
          <w:lang w:val="bg-BG"/>
        </w:rPr>
        <w:t>които да изразяват</w:t>
      </w:r>
      <w:r w:rsidRPr="00DB77F7" w:rsidR="0014268A">
        <w:rPr>
          <w:lang w:val="bg-BG"/>
        </w:rPr>
        <w:t xml:space="preserve"> различните възгледи</w:t>
      </w:r>
      <w:r w:rsidRPr="00DB77F7" w:rsidR="00437023">
        <w:rPr>
          <w:lang w:val="bg-BG"/>
        </w:rPr>
        <w:t xml:space="preserve">, </w:t>
      </w:r>
      <w:r w:rsidRPr="00DB77F7" w:rsidR="00FE0AED">
        <w:rPr>
          <w:lang w:val="bg-BG"/>
        </w:rPr>
        <w:t>споделяни от</w:t>
      </w:r>
      <w:r w:rsidRPr="00DB77F7" w:rsidR="00437023">
        <w:rPr>
          <w:lang w:val="bg-BG"/>
        </w:rPr>
        <w:t xml:space="preserve"> населението на една държава.</w:t>
      </w:r>
      <w:r w:rsidRPr="00DB77F7" w:rsidR="005F2CE5">
        <w:rPr>
          <w:lang w:val="bg-BG"/>
        </w:rPr>
        <w:t xml:space="preserve"> </w:t>
      </w:r>
      <w:r w:rsidRPr="00DB77F7" w:rsidR="00437023">
        <w:rPr>
          <w:lang w:val="bg-BG"/>
        </w:rPr>
        <w:t xml:space="preserve">Отразявайки тези </w:t>
      </w:r>
      <w:r w:rsidRPr="00DB77F7" w:rsidR="0014268A">
        <w:rPr>
          <w:lang w:val="bg-BG"/>
        </w:rPr>
        <w:t>възгледи</w:t>
      </w:r>
      <w:r w:rsidRPr="00DB77F7" w:rsidR="00437023">
        <w:rPr>
          <w:lang w:val="bg-BG"/>
        </w:rPr>
        <w:t xml:space="preserve"> не само пред политическите институции, но благодарение на медиите, и на всички нива в обществото, политическите партии имат незаменим принос за политическия дебат, който е сърцевината на концепцията за демократично общество </w:t>
      </w:r>
      <w:r w:rsidRPr="00DB77F7" w:rsidR="00C86D0F">
        <w:rPr>
          <w:lang w:val="bg-BG"/>
        </w:rPr>
        <w:t>(</w:t>
      </w:r>
      <w:r w:rsidRPr="00DB77F7" w:rsidR="000E254F">
        <w:rPr>
          <w:lang w:val="bg-BG"/>
        </w:rPr>
        <w:t>виж</w:t>
      </w:r>
      <w:r w:rsidRPr="00DB77F7" w:rsidR="00C86D0F">
        <w:rPr>
          <w:lang w:val="bg-BG"/>
        </w:rPr>
        <w:t xml:space="preserve"> </w:t>
      </w:r>
      <w:r w:rsidRPr="00DB77F7" w:rsidR="00C86D0F">
        <w:rPr>
          <w:i/>
          <w:lang w:val="bg-BG"/>
        </w:rPr>
        <w:t>Lingens</w:t>
      </w:r>
      <w:r w:rsidRPr="00DB77F7" w:rsidR="00C86D0F">
        <w:rPr>
          <w:lang w:val="bg-BG"/>
        </w:rPr>
        <w:t xml:space="preserve">, </w:t>
      </w:r>
      <w:r w:rsidRPr="00DB77F7" w:rsidR="000E254F">
        <w:rPr>
          <w:lang w:val="bg-BG"/>
        </w:rPr>
        <w:t>цитирано по-горе</w:t>
      </w:r>
      <w:r w:rsidRPr="00DB77F7" w:rsidR="00C86D0F">
        <w:rPr>
          <w:lang w:val="bg-BG"/>
        </w:rPr>
        <w:t xml:space="preserve">, § 42; </w:t>
      </w:r>
      <w:r w:rsidRPr="00DB77F7" w:rsidR="00C86D0F">
        <w:rPr>
          <w:i/>
          <w:lang w:val="bg-BG"/>
        </w:rPr>
        <w:t xml:space="preserve">Castells </w:t>
      </w:r>
      <w:r w:rsidRPr="00DB77F7" w:rsidR="0014268A">
        <w:rPr>
          <w:i/>
          <w:lang w:val="bg-BG"/>
        </w:rPr>
        <w:t>срещу Испания</w:t>
      </w:r>
      <w:r w:rsidRPr="00DB77F7" w:rsidR="00C86D0F">
        <w:rPr>
          <w:lang w:val="bg-BG"/>
        </w:rPr>
        <w:t>, 23</w:t>
      </w:r>
      <w:r w:rsidRPr="00DB77F7" w:rsidR="000F76DD">
        <w:rPr>
          <w:lang w:val="bg-BG"/>
        </w:rPr>
        <w:t> </w:t>
      </w:r>
      <w:r w:rsidRPr="00DB77F7" w:rsidR="000E254F">
        <w:rPr>
          <w:lang w:val="bg-BG"/>
        </w:rPr>
        <w:t>април</w:t>
      </w:r>
      <w:r w:rsidRPr="00DB77F7" w:rsidR="00C86D0F">
        <w:rPr>
          <w:lang w:val="bg-BG"/>
        </w:rPr>
        <w:t xml:space="preserve"> 1992</w:t>
      </w:r>
      <w:r w:rsidRPr="00DB77F7" w:rsidR="000E254F">
        <w:rPr>
          <w:lang w:val="bg-BG"/>
        </w:rPr>
        <w:t xml:space="preserve"> г.</w:t>
      </w:r>
      <w:r w:rsidRPr="00DB77F7" w:rsidR="00C86D0F">
        <w:rPr>
          <w:lang w:val="bg-BG"/>
        </w:rPr>
        <w:t xml:space="preserve">, </w:t>
      </w:r>
      <w:r w:rsidRPr="00DB77F7" w:rsidR="000F76DD">
        <w:rPr>
          <w:lang w:val="bg-BG"/>
        </w:rPr>
        <w:t xml:space="preserve">§ 43, </w:t>
      </w:r>
      <w:r w:rsidRPr="00DB77F7" w:rsidR="00C86D0F">
        <w:rPr>
          <w:lang w:val="bg-BG"/>
        </w:rPr>
        <w:t>Series A no. 236</w:t>
      </w:r>
      <w:r w:rsidRPr="00DB77F7" w:rsidR="000F76DD">
        <w:rPr>
          <w:lang w:val="bg-BG"/>
        </w:rPr>
        <w:t xml:space="preserve">; </w:t>
      </w:r>
      <w:r w:rsidRPr="00DB77F7" w:rsidR="000F76DD">
        <w:rPr>
          <w:i/>
          <w:lang w:val="bg-BG" w:eastAsia="en-US"/>
        </w:rPr>
        <w:t xml:space="preserve">United Communist Party of Turkey and Others </w:t>
      </w:r>
      <w:r w:rsidRPr="00DB77F7" w:rsidR="000E254F">
        <w:rPr>
          <w:i/>
          <w:lang w:val="bg-BG" w:eastAsia="en-US"/>
        </w:rPr>
        <w:t>срешу Турция</w:t>
      </w:r>
      <w:r w:rsidRPr="00DB77F7" w:rsidR="000F76DD">
        <w:rPr>
          <w:lang w:val="bg-BG" w:eastAsia="en-US"/>
        </w:rPr>
        <w:t xml:space="preserve">, 30 </w:t>
      </w:r>
      <w:r w:rsidRPr="00DB77F7" w:rsidR="000E254F">
        <w:rPr>
          <w:lang w:val="bg-BG" w:eastAsia="en-US"/>
        </w:rPr>
        <w:t>януари</w:t>
      </w:r>
      <w:r w:rsidRPr="00DB77F7" w:rsidR="000F76DD">
        <w:rPr>
          <w:lang w:val="bg-BG" w:eastAsia="en-US"/>
        </w:rPr>
        <w:t xml:space="preserve"> 1998</w:t>
      </w:r>
      <w:r w:rsidRPr="00DB77F7" w:rsidR="000E254F">
        <w:rPr>
          <w:lang w:val="bg-BG" w:eastAsia="en-US"/>
        </w:rPr>
        <w:t xml:space="preserve"> г.</w:t>
      </w:r>
      <w:r w:rsidRPr="00DB77F7" w:rsidR="000F76DD">
        <w:rPr>
          <w:lang w:val="bg-BG" w:eastAsia="en-US"/>
        </w:rPr>
        <w:t xml:space="preserve">, § 44, </w:t>
      </w:r>
      <w:r w:rsidRPr="00DB77F7" w:rsidR="000F76DD">
        <w:rPr>
          <w:i/>
          <w:lang w:val="bg-BG" w:eastAsia="en-US"/>
        </w:rPr>
        <w:t>Reports of Judgments and Decisions</w:t>
      </w:r>
      <w:r w:rsidRPr="00DB77F7" w:rsidR="000F76DD">
        <w:rPr>
          <w:lang w:val="bg-BG" w:eastAsia="en-US"/>
        </w:rPr>
        <w:t xml:space="preserve"> 1998</w:t>
      </w:r>
      <w:r w:rsidRPr="00DB77F7" w:rsidR="000F76DD">
        <w:rPr>
          <w:lang w:val="bg-BG" w:eastAsia="en-US"/>
        </w:rPr>
        <w:noBreakHyphen/>
        <w:t>I</w:t>
      </w:r>
      <w:r w:rsidRPr="00DB77F7">
        <w:rPr>
          <w:lang w:val="bg-BG"/>
        </w:rPr>
        <w:t xml:space="preserve">; </w:t>
      </w:r>
      <w:r w:rsidRPr="00DB77F7" w:rsidR="000E254F">
        <w:rPr>
          <w:lang w:val="bg-BG"/>
        </w:rPr>
        <w:t>и</w:t>
      </w:r>
      <w:r w:rsidRPr="00DB77F7">
        <w:rPr>
          <w:lang w:val="bg-BG"/>
        </w:rPr>
        <w:t xml:space="preserve"> </w:t>
      </w:r>
      <w:r w:rsidRPr="00DB77F7">
        <w:rPr>
          <w:bCs/>
          <w:i/>
          <w:lang w:val="bg-BG" w:eastAsia="en-US"/>
        </w:rPr>
        <w:t xml:space="preserve">Yumak </w:t>
      </w:r>
      <w:r w:rsidRPr="00DB77F7" w:rsidR="000F76DD">
        <w:rPr>
          <w:bCs/>
          <w:i/>
          <w:lang w:val="bg-BG" w:eastAsia="en-US"/>
        </w:rPr>
        <w:t>and</w:t>
      </w:r>
      <w:r w:rsidRPr="00DB77F7">
        <w:rPr>
          <w:bCs/>
          <w:i/>
          <w:lang w:val="bg-BG" w:eastAsia="en-US"/>
        </w:rPr>
        <w:t xml:space="preserve"> Sadak </w:t>
      </w:r>
      <w:r w:rsidRPr="00DB77F7" w:rsidR="000E254F">
        <w:rPr>
          <w:bCs/>
          <w:i/>
          <w:lang w:val="bg-BG" w:eastAsia="en-US"/>
        </w:rPr>
        <w:t>срещу Турция</w:t>
      </w:r>
      <w:r w:rsidRPr="00DB77F7" w:rsidR="000E254F">
        <w:rPr>
          <w:bCs/>
          <w:lang w:val="bg-BG" w:eastAsia="en-US"/>
        </w:rPr>
        <w:t xml:space="preserve"> [ГК</w:t>
      </w:r>
      <w:r w:rsidRPr="00DB77F7">
        <w:rPr>
          <w:bCs/>
          <w:lang w:val="bg-BG" w:eastAsia="en-US"/>
        </w:rPr>
        <w:t xml:space="preserve">], </w:t>
      </w:r>
      <w:r w:rsidRPr="00DB77F7" w:rsidR="000F76DD">
        <w:rPr>
          <w:bCs/>
          <w:lang w:val="bg-BG" w:eastAsia="en-US"/>
        </w:rPr>
        <w:t>no.</w:t>
      </w:r>
      <w:r w:rsidRPr="00DB77F7">
        <w:rPr>
          <w:bCs/>
          <w:lang w:val="bg-BG" w:eastAsia="en-US"/>
        </w:rPr>
        <w:t xml:space="preserve"> 10226/03, § 107, </w:t>
      </w:r>
      <w:r w:rsidRPr="00DB77F7" w:rsidR="000F76DD">
        <w:rPr>
          <w:bCs/>
          <w:lang w:val="bg-BG" w:eastAsia="en-US"/>
        </w:rPr>
        <w:t>ECHR</w:t>
      </w:r>
      <w:r w:rsidRPr="00DB77F7">
        <w:rPr>
          <w:bCs/>
          <w:lang w:val="bg-BG" w:eastAsia="en-US"/>
        </w:rPr>
        <w:t xml:space="preserve"> 2008)</w:t>
      </w:r>
      <w:r w:rsidRPr="00DB77F7">
        <w:rPr>
          <w:lang w:val="bg-BG"/>
        </w:rPr>
        <w:t>.</w:t>
      </w:r>
    </w:p>
    <w:p w:rsidRPr="00DB77F7" w:rsidR="000F76DD"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29</w:t>
      </w:r>
      <w:r w:rsidRPr="00DB77F7">
        <w:rPr>
          <w:lang w:val="bg-BG"/>
        </w:rPr>
        <w:fldChar w:fldCharType="end"/>
      </w:r>
      <w:r w:rsidRPr="00DB77F7">
        <w:rPr>
          <w:lang w:val="bg-BG"/>
        </w:rPr>
        <w:t>.  </w:t>
      </w:r>
      <w:r w:rsidRPr="00DB77F7" w:rsidR="00AD6EB3">
        <w:rPr>
          <w:lang w:val="bg-BG"/>
        </w:rPr>
        <w:t xml:space="preserve">Както </w:t>
      </w:r>
      <w:r w:rsidRPr="00DB77F7" w:rsidR="005C36CF">
        <w:rPr>
          <w:lang w:val="bg-BG"/>
        </w:rPr>
        <w:t xml:space="preserve">много пъти </w:t>
      </w:r>
      <w:r w:rsidRPr="00DB77F7" w:rsidR="00AD6EB3">
        <w:rPr>
          <w:lang w:val="bg-BG"/>
        </w:rPr>
        <w:t>е отбелязвала Европейската комисия по правата на човека</w:t>
      </w:r>
      <w:r w:rsidRPr="00DB77F7" w:rsidR="005C36CF">
        <w:rPr>
          <w:lang w:val="bg-BG"/>
        </w:rPr>
        <w:t>, „свободното изразяване на мнението на народа“ означава, че провеждането на избори не трябва да бъде съпроводено с никаква форма на натиск при избора на един или повече кандидати и че при този избор избирателят не трябва да бъде неправомерно подвеждан да гласува за една или друга партия</w:t>
      </w:r>
      <w:r w:rsidRPr="00DB77F7" w:rsidR="00AD6EB3">
        <w:rPr>
          <w:lang w:val="bg-BG"/>
        </w:rPr>
        <w:t xml:space="preserve"> </w:t>
      </w:r>
      <w:r w:rsidRPr="00DB77F7" w:rsidR="000F76DD">
        <w:rPr>
          <w:lang w:val="bg-BG"/>
        </w:rPr>
        <w:t>(</w:t>
      </w:r>
      <w:r w:rsidRPr="00DB77F7" w:rsidR="005C36CF">
        <w:rPr>
          <w:lang w:val="bg-BG"/>
        </w:rPr>
        <w:t>виж</w:t>
      </w:r>
      <w:r w:rsidRPr="00DB77F7" w:rsidR="000F76DD">
        <w:rPr>
          <w:lang w:val="bg-BG"/>
        </w:rPr>
        <w:t xml:space="preserve"> </w:t>
      </w:r>
      <w:r w:rsidRPr="00DB77F7" w:rsidR="000F76DD">
        <w:rPr>
          <w:i/>
          <w:lang w:val="bg-BG"/>
        </w:rPr>
        <w:t xml:space="preserve">X. </w:t>
      </w:r>
      <w:r w:rsidRPr="00DB77F7" w:rsidR="006E647B">
        <w:rPr>
          <w:i/>
          <w:lang w:val="bg-BG"/>
        </w:rPr>
        <w:t>срещу Обединеното к</w:t>
      </w:r>
      <w:r w:rsidRPr="00DB77F7" w:rsidR="005C36CF">
        <w:rPr>
          <w:i/>
          <w:lang w:val="bg-BG"/>
        </w:rPr>
        <w:t>ралство</w:t>
      </w:r>
      <w:r w:rsidRPr="00DB77F7" w:rsidR="000F76DD">
        <w:rPr>
          <w:lang w:val="bg-BG"/>
        </w:rPr>
        <w:t xml:space="preserve">, no. 7140/75, </w:t>
      </w:r>
      <w:r w:rsidRPr="00DB77F7" w:rsidR="005C36CF">
        <w:rPr>
          <w:lang w:val="bg-BG"/>
        </w:rPr>
        <w:t>Решение на Комисията от</w:t>
      </w:r>
      <w:r w:rsidRPr="00DB77F7" w:rsidR="000F76DD">
        <w:rPr>
          <w:lang w:val="bg-BG"/>
        </w:rPr>
        <w:t xml:space="preserve"> </w:t>
      </w:r>
      <w:r w:rsidRPr="00DB77F7" w:rsidR="00B31D53">
        <w:rPr>
          <w:lang w:val="bg-BG"/>
        </w:rPr>
        <w:t>6</w:t>
      </w:r>
      <w:r w:rsidRPr="00DB77F7" w:rsidR="005C36CF">
        <w:rPr>
          <w:lang w:val="bg-BG"/>
        </w:rPr>
        <w:t> октомври</w:t>
      </w:r>
      <w:r w:rsidRPr="00DB77F7" w:rsidR="000F76DD">
        <w:rPr>
          <w:lang w:val="bg-BG"/>
        </w:rPr>
        <w:t xml:space="preserve"> 1976</w:t>
      </w:r>
      <w:r w:rsidRPr="00DB77F7" w:rsidR="005C36CF">
        <w:rPr>
          <w:lang w:val="bg-BG"/>
        </w:rPr>
        <w:t xml:space="preserve"> г.</w:t>
      </w:r>
      <w:r w:rsidRPr="00DB77F7" w:rsidR="000F76DD">
        <w:rPr>
          <w:lang w:val="bg-BG"/>
        </w:rPr>
        <w:t xml:space="preserve">, Decisions and Reports (DR) 7, </w:t>
      </w:r>
      <w:r w:rsidRPr="00DB77F7" w:rsidR="005C36CF">
        <w:rPr>
          <w:lang w:val="bg-BG"/>
        </w:rPr>
        <w:t>с</w:t>
      </w:r>
      <w:r w:rsidRPr="00DB77F7" w:rsidR="000F76DD">
        <w:rPr>
          <w:lang w:val="bg-BG"/>
        </w:rPr>
        <w:t xml:space="preserve">. 96). </w:t>
      </w:r>
      <w:r w:rsidRPr="00DB77F7" w:rsidR="005C36CF">
        <w:rPr>
          <w:lang w:val="bg-BG"/>
        </w:rPr>
        <w:t xml:space="preserve">Думата „избор“ означава, че на различните политически партии трябва да бъде предоставена разумна възможност да представят кандидатите си на изборите </w:t>
      </w:r>
      <w:r w:rsidRPr="00DB77F7" w:rsidR="000F76DD">
        <w:rPr>
          <w:lang w:val="bg-BG"/>
        </w:rPr>
        <w:t xml:space="preserve">(ibid.; </w:t>
      </w:r>
      <w:r w:rsidRPr="00DB77F7" w:rsidR="005C36CF">
        <w:rPr>
          <w:lang w:val="bg-BG"/>
        </w:rPr>
        <w:t>виж също</w:t>
      </w:r>
      <w:r w:rsidRPr="00DB77F7" w:rsidR="000F76DD">
        <w:rPr>
          <w:lang w:val="bg-BG"/>
        </w:rPr>
        <w:t xml:space="preserve"> </w:t>
      </w:r>
      <w:r w:rsidRPr="00DB77F7" w:rsidR="000F76DD">
        <w:rPr>
          <w:i/>
          <w:lang w:val="bg-BG"/>
        </w:rPr>
        <w:t xml:space="preserve">X. </w:t>
      </w:r>
      <w:r w:rsidRPr="00DB77F7" w:rsidR="005C36CF">
        <w:rPr>
          <w:i/>
          <w:lang w:val="bg-BG"/>
        </w:rPr>
        <w:t>срещу Исландия</w:t>
      </w:r>
      <w:r w:rsidRPr="00DB77F7" w:rsidR="000F76DD">
        <w:rPr>
          <w:lang w:val="bg-BG"/>
        </w:rPr>
        <w:t>, no.</w:t>
      </w:r>
      <w:r w:rsidRPr="00DB77F7" w:rsidR="00AD3304">
        <w:rPr>
          <w:lang w:val="bg-BG"/>
        </w:rPr>
        <w:t> </w:t>
      </w:r>
      <w:r w:rsidRPr="00DB77F7" w:rsidR="000F76DD">
        <w:rPr>
          <w:lang w:val="bg-BG"/>
        </w:rPr>
        <w:t xml:space="preserve">8941/80, </w:t>
      </w:r>
      <w:r w:rsidRPr="00DB77F7" w:rsidR="005C36CF">
        <w:rPr>
          <w:lang w:val="bg-BG"/>
        </w:rPr>
        <w:t>Решение на Комисията от</w:t>
      </w:r>
      <w:r w:rsidRPr="00DB77F7" w:rsidR="000F76DD">
        <w:rPr>
          <w:lang w:val="bg-BG"/>
        </w:rPr>
        <w:t xml:space="preserve"> 8 </w:t>
      </w:r>
      <w:r w:rsidRPr="00DB77F7" w:rsidR="005C36CF">
        <w:rPr>
          <w:lang w:val="bg-BG"/>
        </w:rPr>
        <w:t>декември</w:t>
      </w:r>
      <w:r w:rsidRPr="00DB77F7" w:rsidR="000F76DD">
        <w:rPr>
          <w:lang w:val="bg-BG"/>
        </w:rPr>
        <w:t xml:space="preserve"> 1981</w:t>
      </w:r>
      <w:r w:rsidRPr="00DB77F7" w:rsidR="005C36CF">
        <w:rPr>
          <w:lang w:val="bg-BG"/>
        </w:rPr>
        <w:t xml:space="preserve"> г.</w:t>
      </w:r>
      <w:r w:rsidRPr="00DB77F7" w:rsidR="000F76DD">
        <w:rPr>
          <w:lang w:val="bg-BG"/>
        </w:rPr>
        <w:t xml:space="preserve">, DR 27, </w:t>
      </w:r>
      <w:r w:rsidRPr="00DB77F7" w:rsidR="00CA5E0B">
        <w:rPr>
          <w:lang w:val="bg-BG"/>
        </w:rPr>
        <w:t>с</w:t>
      </w:r>
      <w:r w:rsidRPr="00DB77F7" w:rsidR="00A86849">
        <w:rPr>
          <w:lang w:val="bg-BG"/>
        </w:rPr>
        <w:t>тр</w:t>
      </w:r>
      <w:r w:rsidRPr="00DB77F7" w:rsidR="000F76DD">
        <w:rPr>
          <w:lang w:val="bg-BG"/>
        </w:rPr>
        <w:t xml:space="preserve">. 156, </w:t>
      </w:r>
      <w:r w:rsidRPr="00DB77F7" w:rsidR="00CA5E0B">
        <w:rPr>
          <w:lang w:val="bg-BG"/>
        </w:rPr>
        <w:t>и</w:t>
      </w:r>
      <w:r w:rsidRPr="00DB77F7" w:rsidR="000F76DD">
        <w:rPr>
          <w:lang w:val="bg-BG"/>
        </w:rPr>
        <w:t xml:space="preserve"> </w:t>
      </w:r>
      <w:r w:rsidRPr="00DB77F7" w:rsidR="000F76DD">
        <w:rPr>
          <w:i/>
          <w:lang w:val="bg-BG"/>
        </w:rPr>
        <w:t>Yumak and Sadak</w:t>
      </w:r>
      <w:r w:rsidRPr="00DB77F7" w:rsidR="00CA5E0B">
        <w:rPr>
          <w:lang w:val="bg-BG"/>
        </w:rPr>
        <w:t>, цитирано по-горе</w:t>
      </w:r>
      <w:r w:rsidRPr="00DB77F7" w:rsidR="000F76DD">
        <w:rPr>
          <w:lang w:val="bg-BG"/>
        </w:rPr>
        <w:t>).</w:t>
      </w:r>
    </w:p>
    <w:p w:rsidRPr="00DB77F7" w:rsidR="00F12EE5" w:rsidP="00F12EE5"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30</w:t>
      </w:r>
      <w:r w:rsidRPr="00DB77F7">
        <w:rPr>
          <w:lang w:val="bg-BG"/>
        </w:rPr>
        <w:fldChar w:fldCharType="end"/>
      </w:r>
      <w:r w:rsidRPr="00DB77F7">
        <w:rPr>
          <w:lang w:val="bg-BG"/>
        </w:rPr>
        <w:t>.  </w:t>
      </w:r>
      <w:r w:rsidRPr="00DB77F7" w:rsidR="00C963B8">
        <w:rPr>
          <w:lang w:val="bg-BG"/>
        </w:rPr>
        <w:t xml:space="preserve">При все това, правата, гарантирани от член 3 от Протокол № 1 не са абсолютни. Има място за „подразбиращи се ограничения“ и на договарящите държави трябва да бъде предоставена широка свобода на преценка в тази област </w:t>
      </w:r>
      <w:r w:rsidRPr="00DB77F7" w:rsidR="00F12EE5">
        <w:rPr>
          <w:lang w:val="bg-BG"/>
        </w:rPr>
        <w:t>(</w:t>
      </w:r>
      <w:r w:rsidRPr="00DB77F7" w:rsidR="00C963B8">
        <w:rPr>
          <w:lang w:val="bg-BG"/>
        </w:rPr>
        <w:t>виж</w:t>
      </w:r>
      <w:r w:rsidRPr="00DB77F7" w:rsidR="00F12EE5">
        <w:rPr>
          <w:lang w:val="bg-BG"/>
        </w:rPr>
        <w:t xml:space="preserve">, </w:t>
      </w:r>
      <w:r w:rsidRPr="00DB77F7" w:rsidR="00C963B8">
        <w:rPr>
          <w:lang w:val="bg-BG"/>
        </w:rPr>
        <w:t>наред с други източници</w:t>
      </w:r>
      <w:r w:rsidRPr="00DB77F7" w:rsidR="00F12EE5">
        <w:rPr>
          <w:lang w:val="bg-BG"/>
        </w:rPr>
        <w:t xml:space="preserve">, </w:t>
      </w:r>
      <w:r w:rsidRPr="00DB77F7" w:rsidR="00F12EE5">
        <w:rPr>
          <w:i/>
          <w:lang w:val="bg-BG"/>
        </w:rPr>
        <w:t xml:space="preserve">Matthews </w:t>
      </w:r>
      <w:r w:rsidRPr="00DB77F7" w:rsidR="00B92319">
        <w:rPr>
          <w:i/>
          <w:lang w:val="bg-BG"/>
        </w:rPr>
        <w:t>срещу Обединеното к</w:t>
      </w:r>
      <w:r w:rsidRPr="00DB77F7" w:rsidR="00C963B8">
        <w:rPr>
          <w:i/>
          <w:lang w:val="bg-BG"/>
        </w:rPr>
        <w:t xml:space="preserve">ралство </w:t>
      </w:r>
      <w:r w:rsidRPr="00DB77F7" w:rsidR="00F12EE5">
        <w:rPr>
          <w:lang w:val="bg-BG"/>
        </w:rPr>
        <w:t>[</w:t>
      </w:r>
      <w:r w:rsidRPr="00DB77F7" w:rsidR="00C963B8">
        <w:rPr>
          <w:lang w:val="bg-BG"/>
        </w:rPr>
        <w:t>ГК</w:t>
      </w:r>
      <w:r w:rsidRPr="00DB77F7" w:rsidR="00F12EE5">
        <w:rPr>
          <w:lang w:val="bg-BG"/>
        </w:rPr>
        <w:t xml:space="preserve">], no. 24833/94, § 63, ECHR 1999-I, </w:t>
      </w:r>
      <w:r w:rsidRPr="00DB77F7" w:rsidR="00C963B8">
        <w:rPr>
          <w:lang w:val="bg-BG"/>
        </w:rPr>
        <w:t>и</w:t>
      </w:r>
      <w:r w:rsidRPr="00DB77F7" w:rsidR="00F12EE5">
        <w:rPr>
          <w:lang w:val="bg-BG"/>
        </w:rPr>
        <w:t xml:space="preserve"> </w:t>
      </w:r>
      <w:r w:rsidRPr="00DB77F7" w:rsidR="00F12EE5">
        <w:rPr>
          <w:i/>
          <w:lang w:val="bg-BG"/>
        </w:rPr>
        <w:t xml:space="preserve">Labita </w:t>
      </w:r>
      <w:r w:rsidRPr="00DB77F7" w:rsidR="00C963B8">
        <w:rPr>
          <w:i/>
          <w:lang w:val="bg-BG"/>
        </w:rPr>
        <w:t>срещу Италия</w:t>
      </w:r>
      <w:r w:rsidRPr="00DB77F7" w:rsidR="00F12EE5">
        <w:rPr>
          <w:lang w:val="bg-BG"/>
        </w:rPr>
        <w:t xml:space="preserve"> [</w:t>
      </w:r>
      <w:r w:rsidRPr="00DB77F7" w:rsidR="00CF6E00">
        <w:rPr>
          <w:lang w:val="bg-BG"/>
        </w:rPr>
        <w:t>ГК</w:t>
      </w:r>
      <w:r w:rsidRPr="00DB77F7" w:rsidR="00F12EE5">
        <w:rPr>
          <w:lang w:val="bg-BG"/>
        </w:rPr>
        <w:t xml:space="preserve">], no. 26772/95, § 201, ECHR 2000-IV). </w:t>
      </w:r>
      <w:r w:rsidRPr="00DB77F7" w:rsidR="00F81AF7">
        <w:rPr>
          <w:lang w:val="bg-BG"/>
        </w:rPr>
        <w:t>По отношение</w:t>
      </w:r>
      <w:r w:rsidRPr="00DB77F7" w:rsidR="001A07FC">
        <w:rPr>
          <w:lang w:val="bg-BG"/>
        </w:rPr>
        <w:t xml:space="preserve"> на правото да бъдеш избиран, т.е. на </w:t>
      </w:r>
      <w:r w:rsidRPr="00DB77F7" w:rsidR="00B92319">
        <w:rPr>
          <w:lang w:val="bg-BG"/>
        </w:rPr>
        <w:t>т.нар.</w:t>
      </w:r>
      <w:r w:rsidRPr="00DB77F7" w:rsidR="001A07FC">
        <w:rPr>
          <w:lang w:val="bg-BG"/>
        </w:rPr>
        <w:t xml:space="preserve"> „пасивен“ аспект на правата, гарантир</w:t>
      </w:r>
      <w:r w:rsidRPr="00DB77F7" w:rsidR="00616978">
        <w:rPr>
          <w:lang w:val="bg-BG"/>
        </w:rPr>
        <w:t>ани от член 3 на Протокол № 1, Съдът е бил още по-предпазлив при преценката на ограниченията в този контекст</w:t>
      </w:r>
      <w:r w:rsidRPr="00DB77F7" w:rsidR="00F81AF7">
        <w:rPr>
          <w:lang w:val="bg-BG"/>
        </w:rPr>
        <w:t>,</w:t>
      </w:r>
      <w:r w:rsidRPr="00DB77F7" w:rsidR="00616978">
        <w:rPr>
          <w:lang w:val="bg-BG"/>
        </w:rPr>
        <w:t xml:space="preserve"> отколкото когато е трябвало да се занимае с ограниченията на правото на глас, т.нар. „активен“ елемент на правата по член 3 от Протокол № 1</w:t>
      </w:r>
      <w:r w:rsidRPr="00DB77F7" w:rsidR="00F12EE5">
        <w:rPr>
          <w:lang w:val="bg-BG"/>
        </w:rPr>
        <w:t>.</w:t>
      </w:r>
    </w:p>
    <w:p w:rsidRPr="00DB77F7" w:rsidR="00FB3690"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31</w:t>
      </w:r>
      <w:r w:rsidRPr="00DB77F7">
        <w:rPr>
          <w:lang w:val="bg-BG"/>
        </w:rPr>
        <w:fldChar w:fldCharType="end"/>
      </w:r>
      <w:r w:rsidRPr="00DB77F7">
        <w:rPr>
          <w:lang w:val="bg-BG"/>
        </w:rPr>
        <w:t>.  </w:t>
      </w:r>
      <w:r w:rsidRPr="00DB77F7" w:rsidR="004718B9">
        <w:rPr>
          <w:lang w:val="bg-BG"/>
        </w:rPr>
        <w:t xml:space="preserve">Съдът обаче е този, който в крайна сметка преценява дали са били спазени изискванията на член 3 от Протокол № 1, той трябва да се убеди, че изискванията към правото на глас и правото да бъдеш избиран, не ограничават тези права до степен, която разрушава тяхната същност или ги лишава от тяхната ефективност </w:t>
      </w:r>
      <w:r w:rsidRPr="00DB77F7">
        <w:rPr>
          <w:lang w:val="bg-BG"/>
        </w:rPr>
        <w:t>(</w:t>
      </w:r>
      <w:r w:rsidRPr="00DB77F7" w:rsidR="004718B9">
        <w:rPr>
          <w:lang w:val="bg-BG"/>
        </w:rPr>
        <w:t>виж</w:t>
      </w:r>
      <w:r w:rsidRPr="00DB77F7" w:rsidR="00F12EE5">
        <w:rPr>
          <w:lang w:val="bg-BG"/>
        </w:rPr>
        <w:t xml:space="preserve"> </w:t>
      </w:r>
      <w:r w:rsidRPr="00DB77F7">
        <w:rPr>
          <w:i/>
          <w:iCs/>
          <w:lang w:val="bg-BG"/>
        </w:rPr>
        <w:t xml:space="preserve">Mathieu-Mohin </w:t>
      </w:r>
      <w:r w:rsidRPr="00DB77F7" w:rsidR="00F12EE5">
        <w:rPr>
          <w:i/>
          <w:iCs/>
          <w:lang w:val="bg-BG"/>
        </w:rPr>
        <w:t>and</w:t>
      </w:r>
      <w:r w:rsidRPr="00DB77F7">
        <w:rPr>
          <w:i/>
          <w:iCs/>
          <w:lang w:val="bg-BG"/>
        </w:rPr>
        <w:t xml:space="preserve"> Clerfayt</w:t>
      </w:r>
      <w:smartTag w:uri="urn:schemas-microsoft-com:office:smarttags" w:element="PersonName">
        <w:r w:rsidRPr="00DB77F7">
          <w:rPr>
            <w:lang w:val="bg-BG"/>
          </w:rPr>
          <w:t>,</w:t>
        </w:r>
      </w:smartTag>
      <w:r w:rsidRPr="00DB77F7">
        <w:rPr>
          <w:lang w:val="bg-BG"/>
        </w:rPr>
        <w:t xml:space="preserve"> </w:t>
      </w:r>
      <w:r w:rsidRPr="00DB77F7" w:rsidR="004718B9">
        <w:rPr>
          <w:lang w:val="bg-BG"/>
        </w:rPr>
        <w:t>цитирано по-горе</w:t>
      </w:r>
      <w:r w:rsidRPr="00DB77F7">
        <w:rPr>
          <w:lang w:val="bg-BG"/>
        </w:rPr>
        <w:t>, § 52).</w:t>
      </w:r>
    </w:p>
    <w:p w:rsidRPr="00DB77F7" w:rsidR="00FB3690" w:rsidP="00FB3690" w:rsidRDefault="00FB3690">
      <w:pPr>
        <w:pStyle w:val="JuHA"/>
        <w:rPr>
          <w:lang w:val="bg-BG"/>
        </w:rPr>
      </w:pPr>
      <w:r w:rsidRPr="00DB77F7">
        <w:rPr>
          <w:lang w:val="bg-BG"/>
        </w:rPr>
        <w:t>C.  </w:t>
      </w:r>
      <w:r w:rsidRPr="00DB77F7" w:rsidR="00970160">
        <w:rPr>
          <w:lang w:val="bg-BG"/>
        </w:rPr>
        <w:t>Приложение на гореизложените принципи към настоящия случай</w:t>
      </w:r>
    </w:p>
    <w:p w:rsidRPr="00DB77F7" w:rsidR="00FB3690" w:rsidP="00FB3690" w:rsidRDefault="00FB3690">
      <w:pPr>
        <w:pStyle w:val="JuH1"/>
        <w:rPr>
          <w:lang w:val="bg-BG"/>
        </w:rPr>
      </w:pPr>
      <w:r w:rsidRPr="00DB77F7">
        <w:rPr>
          <w:lang w:val="bg-BG"/>
        </w:rPr>
        <w:t>1.  </w:t>
      </w:r>
      <w:r w:rsidRPr="00DB77F7" w:rsidR="00B92319">
        <w:rPr>
          <w:lang w:val="bg-BG"/>
        </w:rPr>
        <w:t>Има</w:t>
      </w:r>
      <w:r w:rsidRPr="00DB77F7" w:rsidR="0045080C">
        <w:rPr>
          <w:lang w:val="bg-BG"/>
        </w:rPr>
        <w:t>ло</w:t>
      </w:r>
      <w:r w:rsidRPr="00DB77F7" w:rsidR="00B92319">
        <w:rPr>
          <w:lang w:val="bg-BG"/>
        </w:rPr>
        <w:t xml:space="preserve"> ли</w:t>
      </w:r>
      <w:r w:rsidRPr="00DB77F7" w:rsidR="0045080C">
        <w:rPr>
          <w:lang w:val="bg-BG"/>
        </w:rPr>
        <w:t xml:space="preserve"> е</w:t>
      </w:r>
      <w:r w:rsidRPr="00DB77F7" w:rsidR="00970160">
        <w:rPr>
          <w:lang w:val="bg-BG"/>
        </w:rPr>
        <w:t xml:space="preserve"> различно третиране</w:t>
      </w:r>
    </w:p>
    <w:p w:rsidRPr="00DB77F7" w:rsidR="00F12EE5"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32</w:t>
      </w:r>
      <w:r w:rsidRPr="00DB77F7">
        <w:rPr>
          <w:lang w:val="bg-BG"/>
        </w:rPr>
        <w:fldChar w:fldCharType="end"/>
      </w:r>
      <w:r w:rsidRPr="00DB77F7">
        <w:rPr>
          <w:lang w:val="bg-BG"/>
        </w:rPr>
        <w:t>.  </w:t>
      </w:r>
      <w:r w:rsidRPr="00DB77F7" w:rsidR="00C05EEC">
        <w:rPr>
          <w:lang w:val="bg-BG"/>
        </w:rPr>
        <w:t>В настоящия случай Съдът отбелязва</w:t>
      </w:r>
      <w:r w:rsidRPr="00DB77F7" w:rsidR="00252FF8">
        <w:rPr>
          <w:lang w:val="bg-BG"/>
        </w:rPr>
        <w:t>, че</w:t>
      </w:r>
      <w:r w:rsidRPr="00DB77F7" w:rsidR="00C05EEC">
        <w:rPr>
          <w:lang w:val="bg-BG"/>
        </w:rPr>
        <w:t xml:space="preserve"> </w:t>
      </w:r>
      <w:r w:rsidRPr="00DB77F7" w:rsidR="00F83DA9">
        <w:rPr>
          <w:lang w:val="bg-BG"/>
        </w:rPr>
        <w:t>партията-</w:t>
      </w:r>
      <w:r w:rsidRPr="00DB77F7" w:rsidR="00252FF8">
        <w:rPr>
          <w:lang w:val="bg-BG"/>
        </w:rPr>
        <w:t>жалбоподател твърди, че е била поставена в по-неизгодно положение по време на парламентарните избори през 1999</w:t>
      </w:r>
      <w:r w:rsidRPr="00DB77F7" w:rsidR="00B92319">
        <w:rPr>
          <w:lang w:val="bg-BG"/>
        </w:rPr>
        <w:t xml:space="preserve"> г.</w:t>
      </w:r>
      <w:r w:rsidRPr="00DB77F7" w:rsidR="00252FF8">
        <w:rPr>
          <w:lang w:val="bg-BG"/>
        </w:rPr>
        <w:t>, 2002</w:t>
      </w:r>
      <w:r w:rsidRPr="00DB77F7" w:rsidR="00B92319">
        <w:rPr>
          <w:lang w:val="bg-BG"/>
        </w:rPr>
        <w:t xml:space="preserve"> г.</w:t>
      </w:r>
      <w:r w:rsidRPr="00DB77F7" w:rsidR="00252FF8">
        <w:rPr>
          <w:lang w:val="bg-BG"/>
        </w:rPr>
        <w:t xml:space="preserve"> и 2007 г. в сравнение с партиите, които са получили финансова помощ от държавата, тъй като й е било отказано финансиране понеже не е представена в парламента (поради праг от 10% от всички гласове в страната) и е спечелила по-малко от 7% от гласовете </w:t>
      </w:r>
      <w:r w:rsidRPr="00DB77F7" w:rsidR="00B20AF4">
        <w:rPr>
          <w:lang w:val="bg-BG"/>
        </w:rPr>
        <w:t>на предишните парламентарни избори</w:t>
      </w:r>
      <w:r w:rsidRPr="00DB77F7" w:rsidR="00252FF8">
        <w:rPr>
          <w:lang w:val="bg-BG"/>
        </w:rPr>
        <w:t>.</w:t>
      </w:r>
    </w:p>
    <w:p w:rsidRPr="00DB77F7" w:rsidR="00CC12E3"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33</w:t>
      </w:r>
      <w:r w:rsidRPr="00DB77F7">
        <w:rPr>
          <w:lang w:val="bg-BG"/>
        </w:rPr>
        <w:fldChar w:fldCharType="end"/>
      </w:r>
      <w:r w:rsidRPr="00DB77F7">
        <w:rPr>
          <w:lang w:val="bg-BG"/>
        </w:rPr>
        <w:t>.  </w:t>
      </w:r>
      <w:r w:rsidRPr="00DB77F7" w:rsidR="00B46DC7">
        <w:rPr>
          <w:lang w:val="bg-BG"/>
        </w:rPr>
        <w:t xml:space="preserve">Съдът отбелязва, че </w:t>
      </w:r>
      <w:r w:rsidRPr="00DB77F7" w:rsidR="00A328D2">
        <w:rPr>
          <w:lang w:val="bg-BG"/>
        </w:rPr>
        <w:t>ÖDP</w:t>
      </w:r>
      <w:r w:rsidRPr="00DB77F7" w:rsidR="00B46DC7">
        <w:rPr>
          <w:lang w:val="bg-BG"/>
        </w:rPr>
        <w:t xml:space="preserve">, която е основана през 1996 г., </w:t>
      </w:r>
      <w:r w:rsidRPr="00DB77F7" w:rsidR="00B92319">
        <w:rPr>
          <w:lang w:val="bg-BG"/>
        </w:rPr>
        <w:t>не е мо</w:t>
      </w:r>
      <w:r w:rsidRPr="00DB77F7" w:rsidR="00523E3F">
        <w:rPr>
          <w:lang w:val="bg-BG"/>
        </w:rPr>
        <w:t xml:space="preserve">гла да кандидатства за финансова помощ от държавата до изборите през 1999 г. Резултатите й на последващите избори - </w:t>
      </w:r>
      <w:r w:rsidRPr="00DB77F7" w:rsidR="002C1B6A">
        <w:rPr>
          <w:lang w:val="bg-BG"/>
        </w:rPr>
        <w:t xml:space="preserve">0.8% </w:t>
      </w:r>
      <w:r w:rsidRPr="00DB77F7" w:rsidR="00523E3F">
        <w:rPr>
          <w:lang w:val="bg-BG"/>
        </w:rPr>
        <w:t>от действителните гласове на изборите от</w:t>
      </w:r>
      <w:r w:rsidRPr="00DB77F7" w:rsidR="002C1B6A">
        <w:rPr>
          <w:lang w:val="bg-BG"/>
        </w:rPr>
        <w:t xml:space="preserve"> 18 </w:t>
      </w:r>
      <w:r w:rsidRPr="00DB77F7" w:rsidR="00523E3F">
        <w:rPr>
          <w:lang w:val="bg-BG"/>
        </w:rPr>
        <w:t>април</w:t>
      </w:r>
      <w:r w:rsidRPr="00DB77F7" w:rsidR="002C1B6A">
        <w:rPr>
          <w:lang w:val="bg-BG"/>
        </w:rPr>
        <w:t xml:space="preserve"> 1999</w:t>
      </w:r>
      <w:r w:rsidRPr="00DB77F7" w:rsidR="00523E3F">
        <w:rPr>
          <w:lang w:val="bg-BG"/>
        </w:rPr>
        <w:t xml:space="preserve"> г.</w:t>
      </w:r>
      <w:r w:rsidRPr="00DB77F7" w:rsidR="002C1B6A">
        <w:rPr>
          <w:lang w:val="bg-BG"/>
        </w:rPr>
        <w:t xml:space="preserve">, 0.34% </w:t>
      </w:r>
      <w:r w:rsidRPr="00DB77F7" w:rsidR="00523E3F">
        <w:rPr>
          <w:lang w:val="bg-BG"/>
        </w:rPr>
        <w:t>на изборите от 3 ноември</w:t>
      </w:r>
      <w:r w:rsidRPr="00DB77F7" w:rsidR="002C1B6A">
        <w:rPr>
          <w:lang w:val="bg-BG"/>
        </w:rPr>
        <w:t xml:space="preserve"> 2002</w:t>
      </w:r>
      <w:r w:rsidRPr="00DB77F7" w:rsidR="00523E3F">
        <w:rPr>
          <w:lang w:val="bg-BG"/>
        </w:rPr>
        <w:t xml:space="preserve"> г.</w:t>
      </w:r>
      <w:r w:rsidRPr="00DB77F7" w:rsidR="002C1B6A">
        <w:rPr>
          <w:lang w:val="bg-BG"/>
        </w:rPr>
        <w:t xml:space="preserve"> </w:t>
      </w:r>
      <w:r w:rsidRPr="00DB77F7" w:rsidR="00523E3F">
        <w:rPr>
          <w:lang w:val="bg-BG"/>
        </w:rPr>
        <w:t>и</w:t>
      </w:r>
      <w:r w:rsidRPr="00DB77F7" w:rsidR="002C1B6A">
        <w:rPr>
          <w:lang w:val="bg-BG"/>
        </w:rPr>
        <w:t xml:space="preserve"> 0.15% </w:t>
      </w:r>
      <w:r w:rsidRPr="00DB77F7" w:rsidR="00523E3F">
        <w:rPr>
          <w:lang w:val="bg-BG"/>
        </w:rPr>
        <w:t>на изборите от 2007 г.</w:t>
      </w:r>
      <w:r w:rsidRPr="00DB77F7" w:rsidR="002C1B6A">
        <w:rPr>
          <w:lang w:val="bg-BG"/>
        </w:rPr>
        <w:t xml:space="preserve"> (</w:t>
      </w:r>
      <w:r w:rsidRPr="00DB77F7" w:rsidR="00523E3F">
        <w:rPr>
          <w:lang w:val="bg-BG"/>
        </w:rPr>
        <w:t>виж параграфи 18-19 по-горе</w:t>
      </w:r>
      <w:r w:rsidRPr="00DB77F7" w:rsidR="002C1B6A">
        <w:rPr>
          <w:lang w:val="bg-BG"/>
        </w:rPr>
        <w:t>)</w:t>
      </w:r>
      <w:r w:rsidRPr="00DB77F7" w:rsidR="0095077D">
        <w:rPr>
          <w:lang w:val="bg-BG"/>
        </w:rPr>
        <w:t xml:space="preserve"> –</w:t>
      </w:r>
      <w:r w:rsidRPr="00DB77F7" w:rsidR="002C1B6A">
        <w:rPr>
          <w:lang w:val="bg-BG"/>
        </w:rPr>
        <w:t xml:space="preserve"> </w:t>
      </w:r>
      <w:r w:rsidRPr="00DB77F7" w:rsidR="006676A5">
        <w:rPr>
          <w:lang w:val="bg-BG"/>
        </w:rPr>
        <w:t>са под 7-процентния праг, предвиден в националното законодателство, за да може партията да кандидатства за въпросното финансиране</w:t>
      </w:r>
      <w:r w:rsidRPr="00DB77F7" w:rsidR="002C1B6A">
        <w:rPr>
          <w:lang w:val="bg-BG"/>
        </w:rPr>
        <w:t>.</w:t>
      </w:r>
    </w:p>
    <w:p w:rsidRPr="00DB77F7" w:rsidR="002C1B6A"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34</w:t>
      </w:r>
      <w:r w:rsidRPr="00DB77F7">
        <w:rPr>
          <w:lang w:val="bg-BG"/>
        </w:rPr>
        <w:fldChar w:fldCharType="end"/>
      </w:r>
      <w:r w:rsidRPr="00DB77F7">
        <w:rPr>
          <w:lang w:val="bg-BG"/>
        </w:rPr>
        <w:t>.  </w:t>
      </w:r>
      <w:r w:rsidRPr="00DB77F7" w:rsidR="00D243B3">
        <w:rPr>
          <w:lang w:val="bg-BG"/>
        </w:rPr>
        <w:t xml:space="preserve">Въпреки това Съдът отбелязва, че </w:t>
      </w:r>
      <w:r w:rsidRPr="00DB77F7" w:rsidR="0075277A">
        <w:rPr>
          <w:lang w:val="bg-BG"/>
        </w:rPr>
        <w:t xml:space="preserve">преди общите избори през 1999 г. шест политически партии (една от които не е била представена в парламента) от двадесет и една партии, които са участвали в изборите, са получили държавно финансиране. </w:t>
      </w:r>
      <w:r w:rsidRPr="00DB77F7" w:rsidR="00A70EF3">
        <w:rPr>
          <w:lang w:val="bg-BG"/>
        </w:rPr>
        <w:t>Преди общите избори през 2002 г. шест партии</w:t>
      </w:r>
      <w:r w:rsidRPr="00DB77F7" w:rsidR="002C1B6A">
        <w:rPr>
          <w:lang w:val="bg-BG"/>
        </w:rPr>
        <w:t xml:space="preserve"> (</w:t>
      </w:r>
      <w:r w:rsidRPr="00DB77F7" w:rsidR="00A70EF3">
        <w:rPr>
          <w:lang w:val="bg-BG"/>
        </w:rPr>
        <w:t>една от които не е била представена в парламента</w:t>
      </w:r>
      <w:r w:rsidRPr="00DB77F7" w:rsidR="002C1B6A">
        <w:rPr>
          <w:lang w:val="bg-BG"/>
        </w:rPr>
        <w:t xml:space="preserve">) </w:t>
      </w:r>
      <w:r w:rsidRPr="00DB77F7" w:rsidR="00A70EF3">
        <w:rPr>
          <w:lang w:val="bg-BG"/>
        </w:rPr>
        <w:t>от петнадесетте партии, които са представили кандидати, са получили финансиране, а в периода преди изборите от 2007 г. държавно финансиране е било отпуснато на пет от петнадесетте партии, участвали в изборите (включително на три партии, които не са били представени в парламента).</w:t>
      </w:r>
    </w:p>
    <w:p w:rsidRPr="00DB77F7" w:rsidR="00611C66"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35</w:t>
      </w:r>
      <w:r w:rsidRPr="00DB77F7">
        <w:rPr>
          <w:lang w:val="bg-BG"/>
        </w:rPr>
        <w:fldChar w:fldCharType="end"/>
      </w:r>
      <w:r w:rsidRPr="00DB77F7">
        <w:rPr>
          <w:lang w:val="bg-BG"/>
        </w:rPr>
        <w:t>.  </w:t>
      </w:r>
      <w:r w:rsidRPr="00DB77F7" w:rsidR="00A44ECC">
        <w:rPr>
          <w:lang w:val="bg-BG"/>
        </w:rPr>
        <w:t xml:space="preserve">Напълно ясно е, че системата на публично финансиране на политическите партии, приложена в настоящия случай, е поставила </w:t>
      </w:r>
      <w:r w:rsidRPr="00DB77F7" w:rsidR="00A328D2">
        <w:rPr>
          <w:lang w:val="bg-BG"/>
        </w:rPr>
        <w:t>ÖDP</w:t>
      </w:r>
      <w:r w:rsidRPr="00DB77F7">
        <w:rPr>
          <w:lang w:val="bg-BG"/>
        </w:rPr>
        <w:t xml:space="preserve">, </w:t>
      </w:r>
      <w:r w:rsidRPr="00DB77F7" w:rsidR="00A44ECC">
        <w:rPr>
          <w:lang w:val="bg-BG"/>
        </w:rPr>
        <w:t>която не е получила финансова подкрепа, в по-неизгодно положение в сравнение с противниците й, които са получили такава подкрепа и така са могли да</w:t>
      </w:r>
      <w:r w:rsidRPr="00DB77F7" w:rsidR="00F83DA9">
        <w:rPr>
          <w:lang w:val="bg-BG"/>
        </w:rPr>
        <w:t xml:space="preserve"> финансират много по-лесно разп</w:t>
      </w:r>
      <w:r w:rsidRPr="00DB77F7" w:rsidR="00A44ECC">
        <w:rPr>
          <w:lang w:val="bg-BG"/>
        </w:rPr>
        <w:t xml:space="preserve">ространяването на възгледите </w:t>
      </w:r>
      <w:r w:rsidRPr="00DB77F7" w:rsidR="00792872">
        <w:rPr>
          <w:lang w:val="bg-BG"/>
        </w:rPr>
        <w:t>си</w:t>
      </w:r>
      <w:r w:rsidRPr="00DB77F7" w:rsidR="00A44ECC">
        <w:rPr>
          <w:lang w:val="bg-BG"/>
        </w:rPr>
        <w:t xml:space="preserve"> из цялата страна. </w:t>
      </w:r>
      <w:r w:rsidRPr="00DB77F7" w:rsidR="00792872">
        <w:rPr>
          <w:lang w:val="bg-BG"/>
        </w:rPr>
        <w:t>Следователно</w:t>
      </w:r>
      <w:r w:rsidRPr="00DB77F7" w:rsidR="00F80143">
        <w:rPr>
          <w:lang w:val="bg-BG"/>
        </w:rPr>
        <w:t xml:space="preserve"> в резултат</w:t>
      </w:r>
      <w:r w:rsidRPr="00DB77F7" w:rsidR="00792872">
        <w:rPr>
          <w:lang w:val="bg-BG"/>
        </w:rPr>
        <w:t xml:space="preserve"> на приложението на въпросната система</w:t>
      </w:r>
      <w:r w:rsidRPr="00DB77F7" w:rsidR="00F80143">
        <w:rPr>
          <w:lang w:val="bg-BG"/>
        </w:rPr>
        <w:t>, партията-жалбоподател е била третирана различно при упражняването на избирателните й права по член 3 от Протокол № 1.</w:t>
      </w:r>
    </w:p>
    <w:p w:rsidRPr="00DB77F7" w:rsidR="00CC12E3" w:rsidP="00FB3690" w:rsidRDefault="00FB3690">
      <w:pPr>
        <w:pStyle w:val="JuParaChar1"/>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36</w:t>
      </w:r>
      <w:r w:rsidRPr="00DB77F7">
        <w:rPr>
          <w:lang w:val="bg-BG"/>
        </w:rPr>
        <w:fldChar w:fldCharType="end"/>
      </w:r>
      <w:r w:rsidRPr="00DB77F7">
        <w:rPr>
          <w:lang w:val="bg-BG"/>
        </w:rPr>
        <w:t>.  </w:t>
      </w:r>
      <w:r w:rsidRPr="00DB77F7" w:rsidR="006A22DF">
        <w:rPr>
          <w:lang w:val="bg-BG"/>
        </w:rPr>
        <w:t xml:space="preserve">В светлината на изложените по-горе принципи Съдът трябва да прецени </w:t>
      </w:r>
      <w:r w:rsidRPr="00DB77F7" w:rsidR="00D21691">
        <w:rPr>
          <w:lang w:val="bg-BG"/>
        </w:rPr>
        <w:t>дали въпросната система е преследвала легитимна цел и дали е</w:t>
      </w:r>
      <w:r w:rsidRPr="00DB77F7" w:rsidR="00546CE2">
        <w:rPr>
          <w:lang w:val="bg-BG"/>
        </w:rPr>
        <w:t xml:space="preserve"> имало</w:t>
      </w:r>
      <w:r w:rsidRPr="00DB77F7" w:rsidR="00D21691">
        <w:rPr>
          <w:lang w:val="bg-BG"/>
        </w:rPr>
        <w:t xml:space="preserve"> </w:t>
      </w:r>
      <w:r w:rsidRPr="00DB77F7" w:rsidR="00546CE2">
        <w:rPr>
          <w:lang w:val="bg-BG"/>
        </w:rPr>
        <w:t xml:space="preserve">разумно съотношение на пропорционалност между използваните средства и целта, чието постигане се е търсело. Приложението на тези два критерия ще му позволят да реши дали оспорваните мерки са представлявали дискриминация, </w:t>
      </w:r>
      <w:r w:rsidRPr="00DB77F7" w:rsidR="00F83DA9">
        <w:rPr>
          <w:lang w:val="bg-BG"/>
        </w:rPr>
        <w:t>нарушаваща</w:t>
      </w:r>
      <w:r w:rsidRPr="00DB77F7" w:rsidR="00546CE2">
        <w:rPr>
          <w:lang w:val="bg-BG"/>
        </w:rPr>
        <w:t xml:space="preserve"> член 14 от Конвенцията</w:t>
      </w:r>
      <w:r w:rsidRPr="00DB77F7" w:rsidR="00F83DA9">
        <w:rPr>
          <w:lang w:val="bg-BG"/>
        </w:rPr>
        <w:t>,</w:t>
      </w:r>
      <w:r w:rsidRPr="00DB77F7" w:rsidR="00546CE2">
        <w:rPr>
          <w:lang w:val="bg-BG"/>
        </w:rPr>
        <w:t xml:space="preserve"> и дали</w:t>
      </w:r>
      <w:r w:rsidRPr="00DB77F7" w:rsidR="00F83DA9">
        <w:rPr>
          <w:lang w:val="bg-BG"/>
        </w:rPr>
        <w:t xml:space="preserve"> те</w:t>
      </w:r>
      <w:r w:rsidRPr="00DB77F7" w:rsidR="00546CE2">
        <w:rPr>
          <w:lang w:val="bg-BG"/>
        </w:rPr>
        <w:t xml:space="preserve"> </w:t>
      </w:r>
      <w:r w:rsidRPr="00DB77F7" w:rsidR="00E34AD5">
        <w:rPr>
          <w:lang w:val="bg-BG"/>
        </w:rPr>
        <w:t>са разрушили същността на правото на сво</w:t>
      </w:r>
      <w:r w:rsidRPr="00DB77F7" w:rsidR="00F83DA9">
        <w:rPr>
          <w:lang w:val="bg-BG"/>
        </w:rPr>
        <w:t>бо</w:t>
      </w:r>
      <w:r w:rsidRPr="00DB77F7" w:rsidR="00E34AD5">
        <w:rPr>
          <w:lang w:val="bg-BG"/>
        </w:rPr>
        <w:t>дно изразяване на мнението на народа по смисъла на член 3 от Протокол № 1</w:t>
      </w:r>
      <w:r w:rsidRPr="00DB77F7" w:rsidR="00E54272">
        <w:rPr>
          <w:lang w:val="bg-BG"/>
        </w:rPr>
        <w:t>.</w:t>
      </w:r>
    </w:p>
    <w:p w:rsidRPr="00DB77F7" w:rsidR="00FB3690" w:rsidP="007D1C4D" w:rsidRDefault="00FB3690">
      <w:pPr>
        <w:pStyle w:val="JuH1"/>
        <w:rPr>
          <w:lang w:val="bg-BG"/>
        </w:rPr>
      </w:pPr>
      <w:r w:rsidRPr="00DB77F7">
        <w:rPr>
          <w:lang w:val="bg-BG"/>
        </w:rPr>
        <w:t>2.  </w:t>
      </w:r>
      <w:r w:rsidRPr="00DB77F7" w:rsidR="007D1C4D">
        <w:rPr>
          <w:lang w:val="bg-BG"/>
        </w:rPr>
        <w:t>Преследвало ли е различното третиране легитимна цел</w:t>
      </w:r>
    </w:p>
    <w:p w:rsidRPr="00DB77F7" w:rsidR="00F225E2"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37</w:t>
      </w:r>
      <w:r w:rsidRPr="00DB77F7">
        <w:rPr>
          <w:lang w:val="bg-BG"/>
        </w:rPr>
        <w:fldChar w:fldCharType="end"/>
      </w:r>
      <w:r w:rsidRPr="00DB77F7">
        <w:rPr>
          <w:lang w:val="bg-BG"/>
        </w:rPr>
        <w:t>.  </w:t>
      </w:r>
      <w:r w:rsidRPr="00DB77F7" w:rsidR="0005106E">
        <w:rPr>
          <w:lang w:val="bg-BG"/>
        </w:rPr>
        <w:t xml:space="preserve">По отношение на финансирането на политическите партии Съдът признава, че членският внос, този традиционен източник на финансиране, вече не е достатъчен за посрещането на разходите, които непрекъснато растат на фона на политическата конкуренция и сложните и скъпи модерни средства за комуникация. Той отбелязва, че в Европа, както и навсякъде по света, държавното финансиране на политическите партии цели предотвратяване на корупцията и избягване на прекалената зависимост на партиите от частни дарители. </w:t>
      </w:r>
      <w:r w:rsidRPr="00DB77F7" w:rsidR="00B92502">
        <w:rPr>
          <w:lang w:val="bg-BG"/>
        </w:rPr>
        <w:t>Следователно това финансиране цели укрепване на политическия плурализъм и допринася за правилното ф</w:t>
      </w:r>
      <w:r w:rsidRPr="00DB77F7" w:rsidR="00D95DDB">
        <w:rPr>
          <w:lang w:val="bg-BG"/>
        </w:rPr>
        <w:t>у</w:t>
      </w:r>
      <w:r w:rsidRPr="00DB77F7" w:rsidR="00B92502">
        <w:rPr>
          <w:lang w:val="bg-BG"/>
        </w:rPr>
        <w:t>нкциониране на демократичните институции.</w:t>
      </w:r>
    </w:p>
    <w:p w:rsidRPr="00DB77F7" w:rsidR="00F225E2"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38</w:t>
      </w:r>
      <w:r w:rsidRPr="00DB77F7">
        <w:rPr>
          <w:lang w:val="bg-BG"/>
        </w:rPr>
        <w:fldChar w:fldCharType="end"/>
      </w:r>
      <w:r w:rsidRPr="00DB77F7">
        <w:rPr>
          <w:lang w:val="bg-BG"/>
        </w:rPr>
        <w:t>.  </w:t>
      </w:r>
      <w:r w:rsidRPr="00DB77F7" w:rsidR="00772598">
        <w:rPr>
          <w:lang w:val="bg-BG"/>
        </w:rPr>
        <w:t xml:space="preserve">Прегледът на съществуващите в по-голямата част от европейските държави системи показва, че в тази сфера няма хармонизирани правила. </w:t>
      </w:r>
      <w:r w:rsidRPr="00DB77F7" w:rsidR="007E4CCE">
        <w:rPr>
          <w:lang w:val="bg-BG"/>
        </w:rPr>
        <w:t>В това отношение Съдът отбелязва, че предоставянето на средства на политическите партии по време на избори ст</w:t>
      </w:r>
      <w:r w:rsidRPr="00DB77F7" w:rsidR="00D95DDB">
        <w:rPr>
          <w:lang w:val="bg-BG"/>
        </w:rPr>
        <w:t>ава или по строго еднакъв начин</w:t>
      </w:r>
      <w:r w:rsidRPr="00DB77F7" w:rsidR="007E4CCE">
        <w:rPr>
          <w:lang w:val="bg-BG"/>
        </w:rPr>
        <w:t>, или на базат</w:t>
      </w:r>
      <w:r w:rsidRPr="00DB77F7" w:rsidR="003A510D">
        <w:rPr>
          <w:lang w:val="bg-BG"/>
        </w:rPr>
        <w:t>а</w:t>
      </w:r>
      <w:r w:rsidRPr="00DB77F7" w:rsidR="007E4CCE">
        <w:rPr>
          <w:lang w:val="bg-BG"/>
        </w:rPr>
        <w:t xml:space="preserve"> на справедливо разпределение, т.е. въз основа на съответното им представяне на предишните избори</w:t>
      </w:r>
      <w:r w:rsidRPr="00DB77F7" w:rsidR="00F225E2">
        <w:rPr>
          <w:lang w:val="bg-BG"/>
        </w:rPr>
        <w:t>.</w:t>
      </w:r>
    </w:p>
    <w:p w:rsidRPr="00DB77F7" w:rsidR="00F225E2"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39</w:t>
      </w:r>
      <w:r w:rsidRPr="00DB77F7">
        <w:rPr>
          <w:lang w:val="bg-BG"/>
        </w:rPr>
        <w:fldChar w:fldCharType="end"/>
      </w:r>
      <w:r w:rsidRPr="00DB77F7">
        <w:rPr>
          <w:lang w:val="bg-BG"/>
        </w:rPr>
        <w:t>.  </w:t>
      </w:r>
      <w:r w:rsidRPr="00DB77F7" w:rsidR="00777EE8">
        <w:rPr>
          <w:lang w:val="bg-BG"/>
        </w:rPr>
        <w:t>Трябва също да бъде отбелязано, че националното законодателство в договарящите държави, които са избрали системи на справедливо разпределение на публични средст</w:t>
      </w:r>
      <w:r w:rsidRPr="00DB77F7" w:rsidR="0045080C">
        <w:rPr>
          <w:lang w:val="bg-BG"/>
        </w:rPr>
        <w:t>ва, почти неизменно изисква</w:t>
      </w:r>
      <w:r w:rsidRPr="00DB77F7" w:rsidR="00777EE8">
        <w:rPr>
          <w:lang w:val="bg-BG"/>
        </w:rPr>
        <w:t xml:space="preserve"> минимален праг на национална подкрепа. </w:t>
      </w:r>
      <w:r w:rsidRPr="00DB77F7" w:rsidR="0045080C">
        <w:rPr>
          <w:lang w:val="bg-BG"/>
        </w:rPr>
        <w:t>Ако не същ</w:t>
      </w:r>
      <w:r w:rsidRPr="00DB77F7" w:rsidR="00777EE8">
        <w:rPr>
          <w:lang w:val="bg-BG"/>
        </w:rPr>
        <w:t>ествува такъв минимален праг, въпросн</w:t>
      </w:r>
      <w:r w:rsidRPr="00DB77F7" w:rsidR="0045080C">
        <w:rPr>
          <w:lang w:val="bg-BG"/>
        </w:rPr>
        <w:t>ата система би имала превратния</w:t>
      </w:r>
      <w:r w:rsidRPr="00DB77F7" w:rsidR="00777EE8">
        <w:rPr>
          <w:lang w:val="bg-BG"/>
        </w:rPr>
        <w:t xml:space="preserve"> ефект да насърчава увеличаване на броя на кандидатите, подтиквано от желанието да се подсигури нарастващо финансиране, като по този начин би довело до </w:t>
      </w:r>
      <w:r w:rsidRPr="00DB77F7" w:rsidR="00094651">
        <w:rPr>
          <w:lang w:val="bg-BG"/>
        </w:rPr>
        <w:t xml:space="preserve">бързо нарастване на броя на кандидатите, тъй като всеки спечелен глас би означавал </w:t>
      </w:r>
      <w:r w:rsidRPr="00DB77F7" w:rsidR="0045080C">
        <w:rPr>
          <w:lang w:val="bg-BG"/>
        </w:rPr>
        <w:t xml:space="preserve">получаване на </w:t>
      </w:r>
      <w:r w:rsidRPr="00DB77F7" w:rsidR="00094651">
        <w:rPr>
          <w:lang w:val="bg-BG"/>
        </w:rPr>
        <w:t>определена годишна сума под формата на обществено финансиране.</w:t>
      </w:r>
    </w:p>
    <w:p w:rsidRPr="00DB77F7" w:rsidR="004A1DF5"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40</w:t>
      </w:r>
      <w:r w:rsidRPr="00DB77F7">
        <w:rPr>
          <w:lang w:val="bg-BG"/>
        </w:rPr>
        <w:fldChar w:fldCharType="end"/>
      </w:r>
      <w:r w:rsidRPr="00DB77F7">
        <w:rPr>
          <w:lang w:val="bg-BG"/>
        </w:rPr>
        <w:t>.  </w:t>
      </w:r>
      <w:r w:rsidRPr="00DB77F7" w:rsidR="00B22E5C">
        <w:rPr>
          <w:lang w:val="bg-BG"/>
        </w:rPr>
        <w:t>В различните договарящи страни, без Турция, минималният процент гласове, които една политическа партия трябва да спечели, за да може да получи о</w:t>
      </w:r>
      <w:r w:rsidRPr="00DB77F7" w:rsidR="004A1DF5">
        <w:rPr>
          <w:lang w:val="bg-BG"/>
        </w:rPr>
        <w:t>бществено финансиране варира между 0.5% и</w:t>
      </w:r>
      <w:r w:rsidRPr="00DB77F7" w:rsidR="008C1830">
        <w:rPr>
          <w:lang w:val="bg-BG"/>
        </w:rPr>
        <w:t xml:space="preserve"> 5% </w:t>
      </w:r>
      <w:r w:rsidRPr="00DB77F7" w:rsidR="004A1DF5">
        <w:rPr>
          <w:lang w:val="bg-BG"/>
        </w:rPr>
        <w:t>от гласовете на предишните избори</w:t>
      </w:r>
      <w:r w:rsidRPr="00DB77F7" w:rsidR="000045AC">
        <w:rPr>
          <w:lang w:val="bg-BG"/>
        </w:rPr>
        <w:t xml:space="preserve"> и често е по-нисък от изборния</w:t>
      </w:r>
      <w:r w:rsidRPr="00DB77F7" w:rsidR="004A1DF5">
        <w:rPr>
          <w:lang w:val="bg-BG"/>
        </w:rPr>
        <w:t xml:space="preserve"> праг за спечелване на парламентарен мандат. Следователно освен парламентарно представените партии, нови политически партии, които се радват на минимална подкрепа сред гражданите също могат да получат обществено финансиране, пропорционално на броя спечелени от тях гласове.</w:t>
      </w:r>
    </w:p>
    <w:p w:rsidRPr="00DB77F7" w:rsidR="008C1830"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41</w:t>
      </w:r>
      <w:r w:rsidRPr="00DB77F7">
        <w:rPr>
          <w:lang w:val="bg-BG"/>
        </w:rPr>
        <w:fldChar w:fldCharType="end"/>
      </w:r>
      <w:r w:rsidRPr="00DB77F7">
        <w:rPr>
          <w:lang w:val="bg-BG"/>
        </w:rPr>
        <w:t>.  </w:t>
      </w:r>
      <w:r w:rsidRPr="00DB77F7" w:rsidR="00D96232">
        <w:rPr>
          <w:lang w:val="bg-BG"/>
        </w:rPr>
        <w:t>По-нататък Съдът отбелязва, че нито един от приетите от институциите на Съвета на Европа инструменти, касаещи политическите партии в плуралистичен демократичен режим, не счита за неразумно изискването на националното право партиите, претендиращи обществено финансиране, да се радват на минимал</w:t>
      </w:r>
      <w:r w:rsidRPr="00DB77F7" w:rsidR="005A4EA0">
        <w:rPr>
          <w:lang w:val="bg-BG"/>
        </w:rPr>
        <w:t xml:space="preserve">но ниво </w:t>
      </w:r>
      <w:r w:rsidR="009414CD">
        <w:rPr>
          <w:lang w:val="bg-BG"/>
        </w:rPr>
        <w:t xml:space="preserve">на </w:t>
      </w:r>
      <w:r w:rsidRPr="00DB77F7" w:rsidR="005A4EA0">
        <w:rPr>
          <w:lang w:val="bg-BG"/>
        </w:rPr>
        <w:t>обществена подкрепа</w:t>
      </w:r>
      <w:r w:rsidRPr="00DB77F7" w:rsidR="00D96232">
        <w:rPr>
          <w:lang w:val="bg-BG"/>
        </w:rPr>
        <w:t xml:space="preserve"> и не определя точни проценти на тази подкрепа. </w:t>
      </w:r>
      <w:r w:rsidRPr="00DB77F7" w:rsidR="00D51860">
        <w:rPr>
          <w:lang w:val="bg-BG"/>
        </w:rPr>
        <w:t xml:space="preserve">В </w:t>
      </w:r>
      <w:r w:rsidRPr="00DB77F7" w:rsidR="00D95DDB">
        <w:rPr>
          <w:lang w:val="bg-BG"/>
        </w:rPr>
        <w:t>тази връзка</w:t>
      </w:r>
      <w:r w:rsidRPr="00DB77F7" w:rsidR="00D51860">
        <w:rPr>
          <w:lang w:val="bg-BG"/>
        </w:rPr>
        <w:t xml:space="preserve"> Съдът </w:t>
      </w:r>
      <w:r w:rsidRPr="00DB77F7" w:rsidR="001F186F">
        <w:rPr>
          <w:lang w:val="bg-BG"/>
        </w:rPr>
        <w:t xml:space="preserve">отбелязва </w:t>
      </w:r>
      <w:r w:rsidRPr="00DB77F7" w:rsidR="00D51860">
        <w:rPr>
          <w:lang w:val="bg-BG"/>
        </w:rPr>
        <w:t xml:space="preserve">становището на някои специализирани институции, които </w:t>
      </w:r>
      <w:r w:rsidRPr="00DB77F7" w:rsidR="001F186F">
        <w:rPr>
          <w:lang w:val="bg-BG"/>
        </w:rPr>
        <w:t xml:space="preserve">изтъкват необходимостта да се избегне определянето на прекалено висок праг, който би могъл да навреди на политическия плурализъм и на малките политически партии </w:t>
      </w:r>
      <w:r w:rsidRPr="00DB77F7" w:rsidR="001A6F1D">
        <w:rPr>
          <w:lang w:val="bg-BG"/>
        </w:rPr>
        <w:t>(</w:t>
      </w:r>
      <w:r w:rsidRPr="00DB77F7" w:rsidR="001F186F">
        <w:rPr>
          <w:lang w:val="bg-BG"/>
        </w:rPr>
        <w:t>виж параграф</w:t>
      </w:r>
      <w:r w:rsidRPr="00DB77F7" w:rsidR="001A6F1D">
        <w:rPr>
          <w:lang w:val="bg-BG"/>
        </w:rPr>
        <w:t xml:space="preserve"> 185 </w:t>
      </w:r>
      <w:r w:rsidRPr="00DB77F7" w:rsidR="001F186F">
        <w:rPr>
          <w:lang w:val="bg-BG"/>
        </w:rPr>
        <w:t>от Насоките за уредбата на политическите партии, изготвени от ОССЕ/ОДИПЧ и Венецианската комисия и приети на 15</w:t>
      </w:r>
      <w:r w:rsidRPr="00DB77F7" w:rsidR="001F186F">
        <w:rPr>
          <w:lang w:val="bg-BG"/>
        </w:rPr>
        <w:noBreakHyphen/>
        <w:t xml:space="preserve">16 октомври 2010 г </w:t>
      </w:r>
      <w:r w:rsidRPr="00DB77F7" w:rsidR="004873D0">
        <w:rPr>
          <w:lang w:val="bg-BG"/>
        </w:rPr>
        <w:t>(CDL</w:t>
      </w:r>
      <w:r w:rsidRPr="00DB77F7" w:rsidR="00C12555">
        <w:rPr>
          <w:lang w:val="bg-BG"/>
        </w:rPr>
        <w:noBreakHyphen/>
      </w:r>
      <w:r w:rsidRPr="00DB77F7" w:rsidR="004873D0">
        <w:rPr>
          <w:lang w:val="bg-BG"/>
        </w:rPr>
        <w:t>AD(2010)024)</w:t>
      </w:r>
      <w:r w:rsidRPr="00DB77F7" w:rsidR="001A6F1D">
        <w:rPr>
          <w:lang w:val="bg-BG"/>
        </w:rPr>
        <w:t xml:space="preserve"> –</w:t>
      </w:r>
      <w:r w:rsidRPr="00DB77F7" w:rsidR="001F186F">
        <w:rPr>
          <w:lang w:val="bg-BG"/>
        </w:rPr>
        <w:t xml:space="preserve"> и параграф </w:t>
      </w:r>
      <w:r w:rsidRPr="00DB77F7" w:rsidR="001A6F1D">
        <w:rPr>
          <w:lang w:val="bg-BG"/>
        </w:rPr>
        <w:t>2</w:t>
      </w:r>
      <w:r w:rsidRPr="00DB77F7" w:rsidR="008302C7">
        <w:rPr>
          <w:lang w:val="bg-BG"/>
        </w:rPr>
        <w:t>0</w:t>
      </w:r>
      <w:r w:rsidRPr="00DB77F7" w:rsidR="001A6F1D">
        <w:rPr>
          <w:lang w:val="bg-BG"/>
        </w:rPr>
        <w:t xml:space="preserve"> </w:t>
      </w:r>
      <w:r w:rsidRPr="00DB77F7" w:rsidR="001F186F">
        <w:rPr>
          <w:lang w:val="bg-BG"/>
        </w:rPr>
        <w:t>по-горе</w:t>
      </w:r>
      <w:r w:rsidRPr="00DB77F7" w:rsidR="001A6F1D">
        <w:rPr>
          <w:lang w:val="bg-BG"/>
        </w:rPr>
        <w:t>)</w:t>
      </w:r>
      <w:r w:rsidRPr="00DB77F7" w:rsidR="00E7514A">
        <w:rPr>
          <w:lang w:val="bg-BG"/>
        </w:rPr>
        <w:t>,</w:t>
      </w:r>
      <w:r w:rsidRPr="00DB77F7" w:rsidR="00630769">
        <w:rPr>
          <w:lang w:val="bg-BG"/>
        </w:rPr>
        <w:t xml:space="preserve"> </w:t>
      </w:r>
      <w:r w:rsidRPr="00DB77F7" w:rsidR="00E86247">
        <w:rPr>
          <w:lang w:val="bg-BG"/>
        </w:rPr>
        <w:t>и подчертават, че начинът на разп</w:t>
      </w:r>
      <w:r w:rsidRPr="00DB77F7" w:rsidR="00710EC4">
        <w:rPr>
          <w:lang w:val="bg-BG"/>
        </w:rPr>
        <w:t>ределяне</w:t>
      </w:r>
      <w:r w:rsidRPr="00DB77F7" w:rsidR="00E86247">
        <w:rPr>
          <w:lang w:val="bg-BG"/>
        </w:rPr>
        <w:t xml:space="preserve"> на общественото финансиране не трябва да позволява на двете най-големи политически партии да монополизират получаването на обществено финансиране </w:t>
      </w:r>
      <w:r w:rsidRPr="00DB77F7" w:rsidR="00630769">
        <w:rPr>
          <w:lang w:val="bg-BG"/>
        </w:rPr>
        <w:t xml:space="preserve">(ibid., </w:t>
      </w:r>
      <w:r w:rsidRPr="00DB77F7" w:rsidR="00E86247">
        <w:rPr>
          <w:lang w:val="bg-BG"/>
        </w:rPr>
        <w:t>параграф</w:t>
      </w:r>
      <w:r w:rsidRPr="00DB77F7" w:rsidR="00630769">
        <w:rPr>
          <w:lang w:val="bg-BG"/>
        </w:rPr>
        <w:t xml:space="preserve"> 187).</w:t>
      </w:r>
    </w:p>
    <w:p w:rsidRPr="00DB77F7" w:rsidR="002A6A6E"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42</w:t>
      </w:r>
      <w:r w:rsidRPr="00DB77F7">
        <w:rPr>
          <w:lang w:val="bg-BG"/>
        </w:rPr>
        <w:fldChar w:fldCharType="end"/>
      </w:r>
      <w:r w:rsidRPr="00DB77F7">
        <w:rPr>
          <w:lang w:val="bg-BG"/>
        </w:rPr>
        <w:t>.  </w:t>
      </w:r>
      <w:r w:rsidRPr="00DB77F7" w:rsidR="006F3DE9">
        <w:rPr>
          <w:lang w:val="bg-BG"/>
        </w:rPr>
        <w:t>По</w:t>
      </w:r>
      <w:r w:rsidRPr="00DB77F7" w:rsidR="00C565FA">
        <w:rPr>
          <w:lang w:val="bg-BG"/>
        </w:rPr>
        <w:t xml:space="preserve"> изложените съображения Съдът с</w:t>
      </w:r>
      <w:r w:rsidRPr="00DB77F7" w:rsidR="006F3DE9">
        <w:rPr>
          <w:lang w:val="bg-BG"/>
        </w:rPr>
        <w:t>ч</w:t>
      </w:r>
      <w:r w:rsidRPr="00DB77F7" w:rsidR="00C565FA">
        <w:rPr>
          <w:lang w:val="bg-BG"/>
        </w:rPr>
        <w:t>и</w:t>
      </w:r>
      <w:r w:rsidRPr="00DB77F7" w:rsidR="006F3DE9">
        <w:rPr>
          <w:lang w:val="bg-BG"/>
        </w:rPr>
        <w:t>та, че публично финансиране на политически партии въз основа на система на справедливо разпределенние, изискваща минимално ниво на избирателна подкрепа</w:t>
      </w:r>
      <w:r w:rsidRPr="00DB77F7" w:rsidR="00C565FA">
        <w:rPr>
          <w:lang w:val="bg-BG"/>
        </w:rPr>
        <w:t>,</w:t>
      </w:r>
      <w:r w:rsidRPr="00DB77F7" w:rsidR="006F3DE9">
        <w:rPr>
          <w:lang w:val="bg-BG"/>
        </w:rPr>
        <w:t xml:space="preserve"> </w:t>
      </w:r>
      <w:r w:rsidRPr="00DB77F7" w:rsidR="006F6F48">
        <w:rPr>
          <w:lang w:val="bg-BG"/>
        </w:rPr>
        <w:t xml:space="preserve">преследва легитимната цел на </w:t>
      </w:r>
      <w:r w:rsidRPr="00DB77F7" w:rsidR="006F3DE9">
        <w:rPr>
          <w:lang w:val="bg-BG"/>
        </w:rPr>
        <w:t xml:space="preserve">засилване на демократичния плурализъм и предотвратяване на прекалената нефункционална </w:t>
      </w:r>
      <w:r w:rsidRPr="00DB77F7" w:rsidR="00C565FA">
        <w:rPr>
          <w:lang w:val="bg-BG"/>
        </w:rPr>
        <w:t xml:space="preserve">фрагментация на кандидатурите, </w:t>
      </w:r>
      <w:r w:rsidRPr="00DB77F7" w:rsidR="006F3DE9">
        <w:rPr>
          <w:lang w:val="bg-BG"/>
        </w:rPr>
        <w:t>като по този начин укрепва изразяването на мнението на народа при избиране на законодателно</w:t>
      </w:r>
      <w:r w:rsidRPr="00DB77F7" w:rsidR="00C565FA">
        <w:rPr>
          <w:lang w:val="bg-BG"/>
        </w:rPr>
        <w:t>то</w:t>
      </w:r>
      <w:r w:rsidRPr="00DB77F7" w:rsidR="006F3DE9">
        <w:rPr>
          <w:lang w:val="bg-BG"/>
        </w:rPr>
        <w:t xml:space="preserve"> тяло </w:t>
      </w:r>
      <w:r w:rsidRPr="00DB77F7" w:rsidR="000B4AD2">
        <w:rPr>
          <w:lang w:val="bg-BG"/>
        </w:rPr>
        <w:t>(</w:t>
      </w:r>
      <w:r w:rsidRPr="00DB77F7" w:rsidR="006F3DE9">
        <w:rPr>
          <w:lang w:val="bg-BG"/>
        </w:rPr>
        <w:t>виж, в подобен смисъл,</w:t>
      </w:r>
      <w:r w:rsidRPr="00DB77F7" w:rsidR="000B4AD2">
        <w:rPr>
          <w:lang w:val="bg-BG"/>
        </w:rPr>
        <w:t xml:space="preserve"> </w:t>
      </w:r>
      <w:r w:rsidRPr="00DB77F7">
        <w:rPr>
          <w:i/>
          <w:lang w:val="bg-BG"/>
        </w:rPr>
        <w:t xml:space="preserve">Fournier </w:t>
      </w:r>
      <w:r w:rsidRPr="00DB77F7" w:rsidR="006F3DE9">
        <w:rPr>
          <w:i/>
          <w:lang w:val="bg-BG"/>
        </w:rPr>
        <w:t>срещу Франция</w:t>
      </w:r>
      <w:r w:rsidRPr="00DB77F7">
        <w:rPr>
          <w:lang w:val="bg-BG"/>
        </w:rPr>
        <w:t xml:space="preserve">, </w:t>
      </w:r>
      <w:r w:rsidRPr="00DB77F7" w:rsidR="000B4AD2">
        <w:rPr>
          <w:lang w:val="bg-BG"/>
        </w:rPr>
        <w:t>no.</w:t>
      </w:r>
      <w:r w:rsidRPr="00DB77F7">
        <w:rPr>
          <w:lang w:val="bg-BG"/>
        </w:rPr>
        <w:t xml:space="preserve"> 11406/85</w:t>
      </w:r>
      <w:smartTag w:uri="urn:schemas-microsoft-com:office:smarttags" w:element="PersonName">
        <w:r w:rsidRPr="00DB77F7">
          <w:rPr>
            <w:lang w:val="bg-BG"/>
          </w:rPr>
          <w:t>,</w:t>
        </w:r>
      </w:smartTag>
      <w:r w:rsidRPr="00DB77F7">
        <w:rPr>
          <w:lang w:val="bg-BG"/>
        </w:rPr>
        <w:t xml:space="preserve"> </w:t>
      </w:r>
      <w:r w:rsidRPr="00DB77F7" w:rsidR="006F3DE9">
        <w:rPr>
          <w:lang w:val="bg-BG"/>
        </w:rPr>
        <w:t xml:space="preserve">Решение на Комисията от </w:t>
      </w:r>
      <w:r w:rsidRPr="00DB77F7">
        <w:rPr>
          <w:lang w:val="bg-BG"/>
        </w:rPr>
        <w:t>10 </w:t>
      </w:r>
      <w:r w:rsidRPr="00DB77F7" w:rsidR="006F3DE9">
        <w:rPr>
          <w:lang w:val="bg-BG"/>
        </w:rPr>
        <w:t>март</w:t>
      </w:r>
      <w:r w:rsidRPr="00DB77F7">
        <w:rPr>
          <w:lang w:val="bg-BG"/>
        </w:rPr>
        <w:t xml:space="preserve"> 1988</w:t>
      </w:r>
      <w:r w:rsidRPr="00DB77F7" w:rsidR="006F3DE9">
        <w:rPr>
          <w:lang w:val="bg-BG"/>
        </w:rPr>
        <w:t xml:space="preserve"> г.</w:t>
      </w:r>
      <w:smartTag w:uri="urn:schemas-microsoft-com:office:smarttags" w:element="PersonName">
        <w:r w:rsidRPr="00DB77F7">
          <w:rPr>
            <w:lang w:val="bg-BG"/>
          </w:rPr>
          <w:t>,</w:t>
        </w:r>
      </w:smartTag>
      <w:r w:rsidRPr="00DB77F7">
        <w:rPr>
          <w:lang w:val="bg-BG"/>
        </w:rPr>
        <w:t xml:space="preserve"> DR 55</w:t>
      </w:r>
      <w:smartTag w:uri="urn:schemas-microsoft-com:office:smarttags" w:element="PersonName">
        <w:r w:rsidRPr="00DB77F7">
          <w:rPr>
            <w:lang w:val="bg-BG"/>
          </w:rPr>
          <w:t>,</w:t>
        </w:r>
      </w:smartTag>
      <w:r w:rsidRPr="00DB77F7">
        <w:rPr>
          <w:lang w:val="bg-BG"/>
        </w:rPr>
        <w:t xml:space="preserve"> </w:t>
      </w:r>
      <w:r w:rsidRPr="00DB77F7" w:rsidR="006F3DE9">
        <w:rPr>
          <w:lang w:val="bg-BG"/>
        </w:rPr>
        <w:t>с</w:t>
      </w:r>
      <w:r w:rsidRPr="00DB77F7" w:rsidR="006F6F48">
        <w:rPr>
          <w:lang w:val="bg-BG"/>
        </w:rPr>
        <w:t>тр</w:t>
      </w:r>
      <w:r w:rsidRPr="00DB77F7">
        <w:rPr>
          <w:lang w:val="bg-BG"/>
        </w:rPr>
        <w:t>. 130</w:t>
      </w:r>
      <w:r w:rsidRPr="00DB77F7" w:rsidR="002A6A6E">
        <w:rPr>
          <w:lang w:val="bg-BG"/>
        </w:rPr>
        <w:t xml:space="preserve">, </w:t>
      </w:r>
      <w:r w:rsidRPr="00DB77F7" w:rsidR="006F3DE9">
        <w:rPr>
          <w:lang w:val="bg-BG"/>
        </w:rPr>
        <w:t>и</w:t>
      </w:r>
      <w:r w:rsidRPr="00DB77F7">
        <w:rPr>
          <w:lang w:val="bg-BG"/>
        </w:rPr>
        <w:t xml:space="preserve">, </w:t>
      </w:r>
      <w:r w:rsidRPr="00DB77F7">
        <w:rPr>
          <w:i/>
          <w:lang w:val="bg-BG"/>
        </w:rPr>
        <w:t>mutatis mutandis</w:t>
      </w:r>
      <w:smartTag w:uri="urn:schemas-microsoft-com:office:smarttags" w:element="PersonName">
        <w:r w:rsidRPr="00DB77F7">
          <w:rPr>
            <w:lang w:val="bg-BG"/>
          </w:rPr>
          <w:t>,</w:t>
        </w:r>
      </w:smartTag>
      <w:r w:rsidRPr="00DB77F7">
        <w:rPr>
          <w:lang w:val="bg-BG"/>
        </w:rPr>
        <w:t xml:space="preserve"> </w:t>
      </w:r>
      <w:r w:rsidRPr="00DB77F7">
        <w:rPr>
          <w:i/>
          <w:lang w:val="bg-BG"/>
        </w:rPr>
        <w:t xml:space="preserve">Cheminade </w:t>
      </w:r>
      <w:r w:rsidRPr="00DB77F7" w:rsidR="006F3DE9">
        <w:rPr>
          <w:i/>
          <w:lang w:val="bg-BG"/>
        </w:rPr>
        <w:t>срещу Франция</w:t>
      </w:r>
      <w:r w:rsidRPr="00DB77F7">
        <w:rPr>
          <w:i/>
          <w:lang w:val="bg-BG"/>
        </w:rPr>
        <w:t xml:space="preserve"> </w:t>
      </w:r>
      <w:r w:rsidRPr="00DB77F7">
        <w:rPr>
          <w:lang w:val="bg-BG"/>
        </w:rPr>
        <w:t>(d</w:t>
      </w:r>
      <w:r w:rsidRPr="00DB77F7" w:rsidR="002A6A6E">
        <w:rPr>
          <w:lang w:val="bg-BG"/>
        </w:rPr>
        <w:t>e</w:t>
      </w:r>
      <w:r w:rsidRPr="00DB77F7">
        <w:rPr>
          <w:lang w:val="bg-BG"/>
        </w:rPr>
        <w:t xml:space="preserve">c.), </w:t>
      </w:r>
      <w:r w:rsidRPr="00DB77F7" w:rsidR="002A6A6E">
        <w:rPr>
          <w:lang w:val="bg-BG"/>
        </w:rPr>
        <w:t>no.</w:t>
      </w:r>
      <w:r w:rsidRPr="00DB77F7">
        <w:rPr>
          <w:lang w:val="bg-BG"/>
        </w:rPr>
        <w:t> 31559/96,</w:t>
      </w:r>
      <w:r w:rsidRPr="00DB77F7" w:rsidR="00CC1E09">
        <w:rPr>
          <w:lang w:val="bg-BG"/>
        </w:rPr>
        <w:t xml:space="preserve"> ECHR </w:t>
      </w:r>
      <w:r w:rsidRPr="00DB77F7" w:rsidR="00543DDF">
        <w:rPr>
          <w:lang w:val="bg-BG"/>
        </w:rPr>
        <w:t>1999-II</w:t>
      </w:r>
      <w:r w:rsidRPr="00DB77F7" w:rsidR="00CC1E09">
        <w:rPr>
          <w:lang w:val="bg-BG"/>
        </w:rPr>
        <w:t>,</w:t>
      </w:r>
      <w:r w:rsidRPr="00DB77F7" w:rsidR="00543DDF">
        <w:rPr>
          <w:lang w:val="bg-BG"/>
        </w:rPr>
        <w:t xml:space="preserve"> </w:t>
      </w:r>
      <w:r w:rsidRPr="00DB77F7" w:rsidR="006F3DE9">
        <w:rPr>
          <w:lang w:val="bg-BG"/>
        </w:rPr>
        <w:t>относно система на обществено фи</w:t>
      </w:r>
      <w:r w:rsidRPr="00DB77F7" w:rsidR="006F6F48">
        <w:rPr>
          <w:lang w:val="bg-BG"/>
        </w:rPr>
        <w:t>нансиране, която ограничава възс</w:t>
      </w:r>
      <w:r w:rsidRPr="00DB77F7" w:rsidR="006F3DE9">
        <w:rPr>
          <w:lang w:val="bg-BG"/>
        </w:rPr>
        <w:t>тановяването на разходи за предизборна кампания и на депозита, заплатен от кандидатите</w:t>
      </w:r>
      <w:r w:rsidRPr="00DB77F7" w:rsidR="006F6F48">
        <w:rPr>
          <w:lang w:val="bg-BG"/>
        </w:rPr>
        <w:t xml:space="preserve"> и от листите</w:t>
      </w:r>
      <w:r w:rsidRPr="00DB77F7" w:rsidR="006F3DE9">
        <w:rPr>
          <w:lang w:val="bg-BG"/>
        </w:rPr>
        <w:t>, които са спечелили определен процент от гласовете).</w:t>
      </w:r>
    </w:p>
    <w:p w:rsidRPr="00DB77F7" w:rsidR="00FB3690" w:rsidP="00FB3690" w:rsidRDefault="00FB3690">
      <w:pPr>
        <w:pStyle w:val="JuH1"/>
        <w:rPr>
          <w:lang w:val="bg-BG"/>
        </w:rPr>
      </w:pPr>
      <w:r w:rsidRPr="00DB77F7">
        <w:rPr>
          <w:lang w:val="bg-BG"/>
        </w:rPr>
        <w:t>3</w:t>
      </w:r>
      <w:r w:rsidRPr="00DB77F7" w:rsidR="002A6A6E">
        <w:rPr>
          <w:lang w:val="bg-BG"/>
        </w:rPr>
        <w:t>.</w:t>
      </w:r>
      <w:r w:rsidRPr="00DB77F7">
        <w:rPr>
          <w:lang w:val="bg-BG"/>
        </w:rPr>
        <w:t>  </w:t>
      </w:r>
      <w:r w:rsidRPr="00DB77F7" w:rsidR="0046683A">
        <w:rPr>
          <w:lang w:val="bg-BG"/>
        </w:rPr>
        <w:t xml:space="preserve">Било ли е различното третиране </w:t>
      </w:r>
      <w:r w:rsidRPr="00DB77F7" w:rsidR="00F8218E">
        <w:rPr>
          <w:lang w:val="bg-BG"/>
        </w:rPr>
        <w:t>пропорционално</w:t>
      </w:r>
    </w:p>
    <w:p w:rsidRPr="00DB77F7" w:rsidR="00510D6D"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43</w:t>
      </w:r>
      <w:r w:rsidRPr="00DB77F7">
        <w:rPr>
          <w:lang w:val="bg-BG"/>
        </w:rPr>
        <w:fldChar w:fldCharType="end"/>
      </w:r>
      <w:r w:rsidRPr="00DB77F7">
        <w:rPr>
          <w:lang w:val="bg-BG"/>
        </w:rPr>
        <w:t>.  </w:t>
      </w:r>
      <w:r w:rsidRPr="00DB77F7" w:rsidR="00994AAC">
        <w:rPr>
          <w:lang w:val="bg-BG"/>
        </w:rPr>
        <w:t>Съдът отбелязва, че минималното ниво на избирателна подкрепа, ко</w:t>
      </w:r>
      <w:r w:rsidRPr="00DB77F7" w:rsidR="000410CA">
        <w:rPr>
          <w:lang w:val="bg-BG"/>
        </w:rPr>
        <w:t>е</w:t>
      </w:r>
      <w:r w:rsidRPr="00DB77F7" w:rsidR="00994AAC">
        <w:rPr>
          <w:lang w:val="bg-BG"/>
        </w:rPr>
        <w:t xml:space="preserve">то партиите, претендиращи обществено финансиране, трябва да </w:t>
      </w:r>
      <w:r w:rsidRPr="00DB77F7" w:rsidR="000056F2">
        <w:rPr>
          <w:lang w:val="bg-BG"/>
        </w:rPr>
        <w:t xml:space="preserve">получат в Турция, а именно 7 % </w:t>
      </w:r>
      <w:r w:rsidRPr="00DB77F7" w:rsidR="00994AAC">
        <w:rPr>
          <w:lang w:val="bg-BG"/>
        </w:rPr>
        <w:t>от гласовете на предишните парламентарни избори</w:t>
      </w:r>
      <w:r w:rsidRPr="00DB77F7" w:rsidR="00510D6D">
        <w:rPr>
          <w:lang w:val="bg-BG"/>
        </w:rPr>
        <w:t>,</w:t>
      </w:r>
      <w:r w:rsidRPr="00DB77F7" w:rsidR="00994AAC">
        <w:rPr>
          <w:lang w:val="bg-BG"/>
        </w:rPr>
        <w:t xml:space="preserve"> е най-високото в Европа </w:t>
      </w:r>
      <w:r w:rsidRPr="00DB77F7" w:rsidR="00510D6D">
        <w:rPr>
          <w:lang w:val="bg-BG"/>
        </w:rPr>
        <w:t>(</w:t>
      </w:r>
      <w:r w:rsidRPr="00DB77F7" w:rsidR="00994AAC">
        <w:rPr>
          <w:lang w:val="bg-BG"/>
        </w:rPr>
        <w:t>виж параграф</w:t>
      </w:r>
      <w:r w:rsidRPr="00DB77F7" w:rsidR="00510D6D">
        <w:rPr>
          <w:lang w:val="bg-BG"/>
        </w:rPr>
        <w:t xml:space="preserve"> 40 </w:t>
      </w:r>
      <w:r w:rsidRPr="00DB77F7" w:rsidR="00994AAC">
        <w:rPr>
          <w:lang w:val="bg-BG"/>
        </w:rPr>
        <w:t>по-горе</w:t>
      </w:r>
      <w:r w:rsidRPr="00DB77F7" w:rsidR="00510D6D">
        <w:rPr>
          <w:lang w:val="bg-BG"/>
        </w:rPr>
        <w:t xml:space="preserve">). </w:t>
      </w:r>
      <w:r w:rsidRPr="00DB77F7" w:rsidR="00CB1864">
        <w:rPr>
          <w:lang w:val="bg-BG"/>
        </w:rPr>
        <w:t>За да се убеди, че</w:t>
      </w:r>
      <w:r w:rsidRPr="00DB77F7" w:rsidR="00A24C8E">
        <w:rPr>
          <w:lang w:val="bg-BG"/>
        </w:rPr>
        <w:t xml:space="preserve"> този праг не е </w:t>
      </w:r>
      <w:r w:rsidRPr="00DB77F7" w:rsidR="00F8218E">
        <w:rPr>
          <w:lang w:val="bg-BG"/>
        </w:rPr>
        <w:t>непропорционален</w:t>
      </w:r>
      <w:r w:rsidRPr="00DB77F7" w:rsidR="00A24C8E">
        <w:rPr>
          <w:lang w:val="bg-BG"/>
        </w:rPr>
        <w:t>, Съдът трябва първо да прецени последствията, които той влече, преди да р</w:t>
      </w:r>
      <w:r w:rsidRPr="00DB77F7" w:rsidR="000410CA">
        <w:rPr>
          <w:lang w:val="bg-BG"/>
        </w:rPr>
        <w:t>азгледа съпътстващите го корективни механизми.</w:t>
      </w:r>
    </w:p>
    <w:p w:rsidRPr="00DB77F7" w:rsidR="00510D6D"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44</w:t>
      </w:r>
      <w:r w:rsidRPr="00DB77F7">
        <w:rPr>
          <w:lang w:val="bg-BG"/>
        </w:rPr>
        <w:fldChar w:fldCharType="end"/>
      </w:r>
      <w:r w:rsidRPr="00DB77F7">
        <w:rPr>
          <w:lang w:val="bg-BG"/>
        </w:rPr>
        <w:t>.  </w:t>
      </w:r>
      <w:r w:rsidRPr="00DB77F7" w:rsidR="004E4EE7">
        <w:rPr>
          <w:lang w:val="bg-BG"/>
        </w:rPr>
        <w:t xml:space="preserve">На първо място, Съдът отбелязва, че 7-процентният праг </w:t>
      </w:r>
      <w:r w:rsidRPr="00DB77F7" w:rsidR="005E15CD">
        <w:rPr>
          <w:lang w:val="bg-BG"/>
        </w:rPr>
        <w:t>е по-нисък от минималното ниво на избирателна подкрепа</w:t>
      </w:r>
      <w:r w:rsidRPr="00DB77F7" w:rsidR="0076020D">
        <w:rPr>
          <w:lang w:val="bg-BG"/>
        </w:rPr>
        <w:t xml:space="preserve">, което се изисква за спечелването на мандати в турския </w:t>
      </w:r>
      <w:r w:rsidRPr="00DB77F7" w:rsidR="00F8218E">
        <w:rPr>
          <w:lang w:val="bg-BG"/>
        </w:rPr>
        <w:t>парламент</w:t>
      </w:r>
      <w:r w:rsidRPr="00DB77F7" w:rsidR="00510D6D">
        <w:rPr>
          <w:lang w:val="bg-BG"/>
        </w:rPr>
        <w:t xml:space="preserve">, </w:t>
      </w:r>
      <w:r w:rsidRPr="00DB77F7" w:rsidR="0076020D">
        <w:rPr>
          <w:lang w:val="bg-BG"/>
        </w:rPr>
        <w:t>ко</w:t>
      </w:r>
      <w:r w:rsidRPr="00DB77F7" w:rsidR="00A340BC">
        <w:rPr>
          <w:lang w:val="bg-BG"/>
        </w:rPr>
        <w:t>е</w:t>
      </w:r>
      <w:r w:rsidRPr="00DB77F7" w:rsidR="0076020D">
        <w:rPr>
          <w:lang w:val="bg-BG"/>
        </w:rPr>
        <w:t>то е 10% от всичк</w:t>
      </w:r>
      <w:r w:rsidRPr="00DB77F7" w:rsidR="00C07902">
        <w:rPr>
          <w:lang w:val="bg-BG"/>
        </w:rPr>
        <w:t>и</w:t>
      </w:r>
      <w:r w:rsidRPr="00DB77F7" w:rsidR="0076020D">
        <w:rPr>
          <w:lang w:val="bg-BG"/>
        </w:rPr>
        <w:t xml:space="preserve"> национални гласове</w:t>
      </w:r>
      <w:r w:rsidRPr="00DB77F7" w:rsidR="00510D6D">
        <w:rPr>
          <w:lang w:val="bg-BG"/>
        </w:rPr>
        <w:t xml:space="preserve">. </w:t>
      </w:r>
      <w:r w:rsidRPr="00DB77F7" w:rsidR="001A05F4">
        <w:rPr>
          <w:lang w:val="bg-BG"/>
        </w:rPr>
        <w:t>В контекста на въпросните парламентарн</w:t>
      </w:r>
      <w:r w:rsidRPr="00DB77F7" w:rsidR="008E17C0">
        <w:rPr>
          <w:lang w:val="bg-BG"/>
        </w:rPr>
        <w:t>и избори в настоящия случай, не-</w:t>
      </w:r>
      <w:r w:rsidRPr="00DB77F7" w:rsidR="001A05F4">
        <w:rPr>
          <w:lang w:val="bg-BG"/>
        </w:rPr>
        <w:t xml:space="preserve">парламентарно представените </w:t>
      </w:r>
      <w:r w:rsidRPr="00DB77F7" w:rsidR="00F8218E">
        <w:rPr>
          <w:lang w:val="bg-BG"/>
        </w:rPr>
        <w:t>политически</w:t>
      </w:r>
      <w:r w:rsidRPr="00DB77F7" w:rsidR="001A05F4">
        <w:rPr>
          <w:lang w:val="bg-BG"/>
        </w:rPr>
        <w:t xml:space="preserve"> партии, които са достигнали прага от 7% от всички гласове, са имали право да получат държавно финансиране преди следващите избори. </w:t>
      </w:r>
      <w:r w:rsidRPr="00DB77F7" w:rsidR="00D72C2F">
        <w:rPr>
          <w:lang w:val="bg-BG"/>
        </w:rPr>
        <w:t xml:space="preserve">На изборите от 1999 г. една от шестте партии, получили обществено финансиране, не е била представена в парламента. На изборите от 2002 г., пропорцията е била същата, а през 2007 г. </w:t>
      </w:r>
      <w:r w:rsidRPr="00DB77F7" w:rsidR="000F5B0A">
        <w:rPr>
          <w:lang w:val="bg-BG"/>
        </w:rPr>
        <w:t xml:space="preserve">три непредставени в парламента партии </w:t>
      </w:r>
      <w:r w:rsidRPr="00DB77F7" w:rsidR="00FA1E85">
        <w:rPr>
          <w:lang w:val="bg-BG"/>
        </w:rPr>
        <w:t>и две представени са получили обществено финансиране</w:t>
      </w:r>
      <w:r w:rsidRPr="00DB77F7" w:rsidR="00510D6D">
        <w:rPr>
          <w:lang w:val="bg-BG"/>
        </w:rPr>
        <w:t xml:space="preserve">. </w:t>
      </w:r>
      <w:r w:rsidRPr="00DB77F7" w:rsidR="003922B3">
        <w:rPr>
          <w:lang w:val="bg-BG"/>
        </w:rPr>
        <w:t xml:space="preserve">С други думи в настоящия случай по време на спорния период парламентарно представените политически партии не са монополизирали общественото финансиране, нито това са направили партията, която е била на власт или </w:t>
      </w:r>
      <w:r w:rsidRPr="00DB77F7" w:rsidR="00E32CAA">
        <w:rPr>
          <w:lang w:val="bg-BG"/>
        </w:rPr>
        <w:t>най-влиятелната</w:t>
      </w:r>
      <w:r w:rsidRPr="00DB77F7" w:rsidR="003922B3">
        <w:rPr>
          <w:lang w:val="bg-BG"/>
        </w:rPr>
        <w:t xml:space="preserve"> партия в опозиция</w:t>
      </w:r>
      <w:r w:rsidRPr="00DB77F7" w:rsidR="00510D6D">
        <w:rPr>
          <w:lang w:val="bg-BG"/>
        </w:rPr>
        <w:t>.</w:t>
      </w:r>
    </w:p>
    <w:p w:rsidRPr="00DB77F7" w:rsidR="008E749B"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45</w:t>
      </w:r>
      <w:r w:rsidRPr="00DB77F7">
        <w:rPr>
          <w:lang w:val="bg-BG"/>
        </w:rPr>
        <w:fldChar w:fldCharType="end"/>
      </w:r>
      <w:r w:rsidRPr="00DB77F7">
        <w:rPr>
          <w:lang w:val="bg-BG"/>
        </w:rPr>
        <w:t>.  </w:t>
      </w:r>
      <w:r w:rsidRPr="00DB77F7" w:rsidR="00637A1B">
        <w:rPr>
          <w:lang w:val="bg-BG"/>
        </w:rPr>
        <w:t xml:space="preserve">Съдът също трябва да вземе предвид представянето на </w:t>
      </w:r>
      <w:r w:rsidRPr="00DB77F7" w:rsidR="00510D6D">
        <w:rPr>
          <w:lang w:val="bg-BG"/>
        </w:rPr>
        <w:t>ÖDP</w:t>
      </w:r>
      <w:r w:rsidRPr="00DB77F7" w:rsidR="00637A1B">
        <w:rPr>
          <w:lang w:val="bg-BG"/>
        </w:rPr>
        <w:t xml:space="preserve"> по време на парламентарните избори преди периода, в който въпросното финансиране е било предоставено. </w:t>
      </w:r>
      <w:r w:rsidRPr="00DB77F7" w:rsidR="000729C0">
        <w:rPr>
          <w:lang w:val="bg-BG"/>
        </w:rPr>
        <w:t xml:space="preserve">Броят гласове, спечелени от партията-жалбоподател е представлявал между </w:t>
      </w:r>
      <w:r w:rsidRPr="00DB77F7" w:rsidR="008E749B">
        <w:rPr>
          <w:lang w:val="bg-BG"/>
        </w:rPr>
        <w:t xml:space="preserve">0.8% </w:t>
      </w:r>
      <w:r w:rsidRPr="00DB77F7" w:rsidR="000729C0">
        <w:rPr>
          <w:lang w:val="bg-BG"/>
        </w:rPr>
        <w:t>и</w:t>
      </w:r>
      <w:r w:rsidRPr="00DB77F7" w:rsidR="008E749B">
        <w:rPr>
          <w:lang w:val="bg-BG"/>
        </w:rPr>
        <w:t xml:space="preserve"> 0.15% </w:t>
      </w:r>
      <w:r w:rsidRPr="00DB77F7" w:rsidR="000729C0">
        <w:rPr>
          <w:lang w:val="bg-BG"/>
        </w:rPr>
        <w:t>от действителните гласове по време на изборите. Тези цифри са значително под минималното ниво на избирателна подкрепа, изисквано от турското законодателство</w:t>
      </w:r>
      <w:r w:rsidRPr="00DB77F7" w:rsidR="00307D5A">
        <w:rPr>
          <w:lang w:val="bg-BG"/>
        </w:rPr>
        <w:t>,</w:t>
      </w:r>
      <w:r w:rsidRPr="00DB77F7" w:rsidR="000729C0">
        <w:rPr>
          <w:lang w:val="bg-BG"/>
        </w:rPr>
        <w:t xml:space="preserve"> и би</w:t>
      </w:r>
      <w:r w:rsidRPr="00DB77F7" w:rsidR="00307D5A">
        <w:rPr>
          <w:lang w:val="bg-BG"/>
        </w:rPr>
        <w:t>ха били счетени</w:t>
      </w:r>
      <w:r w:rsidRPr="00DB77F7" w:rsidR="000729C0">
        <w:rPr>
          <w:lang w:val="bg-BG"/>
        </w:rPr>
        <w:t xml:space="preserve"> за недостатъчн</w:t>
      </w:r>
      <w:r w:rsidRPr="00DB77F7" w:rsidR="00307D5A">
        <w:rPr>
          <w:lang w:val="bg-BG"/>
        </w:rPr>
        <w:t>и</w:t>
      </w:r>
      <w:r w:rsidRPr="00DB77F7" w:rsidR="000729C0">
        <w:rPr>
          <w:lang w:val="bg-BG"/>
        </w:rPr>
        <w:t xml:space="preserve"> за получаване на обществено финансиране в няколко други европейски страни. Въпреки че оплакването на партията-жалбоподател не представлява </w:t>
      </w:r>
      <w:r w:rsidRPr="00DB77F7" w:rsidR="008E749B">
        <w:rPr>
          <w:i/>
          <w:lang w:val="bg-BG"/>
        </w:rPr>
        <w:t>actio popularis</w:t>
      </w:r>
      <w:r w:rsidRPr="00DB77F7" w:rsidR="008E749B">
        <w:rPr>
          <w:lang w:val="bg-BG"/>
        </w:rPr>
        <w:t xml:space="preserve">, </w:t>
      </w:r>
      <w:r w:rsidRPr="00DB77F7" w:rsidR="000729C0">
        <w:rPr>
          <w:lang w:val="bg-BG"/>
        </w:rPr>
        <w:t xml:space="preserve">тъй като партията е била пряко и непосредствено засегната от минималния брой гласове, </w:t>
      </w:r>
      <w:r w:rsidRPr="00DB77F7" w:rsidR="008E749B">
        <w:rPr>
          <w:lang w:val="bg-BG"/>
        </w:rPr>
        <w:t xml:space="preserve">ÖDP </w:t>
      </w:r>
      <w:r w:rsidRPr="00DB77F7" w:rsidR="000729C0">
        <w:rPr>
          <w:lang w:val="bg-BG"/>
        </w:rPr>
        <w:t>все пак не успява да докаже пред Съда, че нивото на подкрепа, на което се радва, я прави представител на значителна част от турския електорат.</w:t>
      </w:r>
    </w:p>
    <w:p w:rsidRPr="00DB77F7" w:rsidR="0005212A"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46</w:t>
      </w:r>
      <w:r w:rsidRPr="00DB77F7">
        <w:rPr>
          <w:lang w:val="bg-BG"/>
        </w:rPr>
        <w:fldChar w:fldCharType="end"/>
      </w:r>
      <w:r w:rsidRPr="00DB77F7">
        <w:rPr>
          <w:lang w:val="bg-BG"/>
        </w:rPr>
        <w:t>.  </w:t>
      </w:r>
      <w:r w:rsidRPr="00DB77F7" w:rsidR="00CA5AEB">
        <w:rPr>
          <w:lang w:val="bg-BG"/>
        </w:rPr>
        <w:t xml:space="preserve">Трябва също така да се има предвид, че държавата предоставя на политическите партии и други форми на обществена подкрепа, освен прякото финансиране. </w:t>
      </w:r>
      <w:r w:rsidRPr="00DB77F7" w:rsidR="008E20D0">
        <w:rPr>
          <w:lang w:val="bg-BG"/>
        </w:rPr>
        <w:t>Корективните механизми, които съпътстват действащата систе</w:t>
      </w:r>
      <w:r w:rsidRPr="00DB77F7" w:rsidR="005B3C41">
        <w:rPr>
          <w:lang w:val="bg-BG"/>
        </w:rPr>
        <w:t>ма на обществено финансиране в Т</w:t>
      </w:r>
      <w:r w:rsidRPr="00DB77F7" w:rsidR="008E20D0">
        <w:rPr>
          <w:lang w:val="bg-BG"/>
        </w:rPr>
        <w:t>урция, съгласно които не всички партии имат право да получават пряко финансиране, включват данъчни облекчения относно определени приходи и предоставяне на ефирно време по</w:t>
      </w:r>
      <w:r w:rsidRPr="00DB77F7" w:rsidR="00F325E4">
        <w:rPr>
          <w:lang w:val="bg-BG"/>
        </w:rPr>
        <w:t xml:space="preserve"> време на избирателни кампании.</w:t>
      </w:r>
      <w:r w:rsidRPr="00DB77F7" w:rsidR="005B3C41">
        <w:rPr>
          <w:lang w:val="bg-BG"/>
        </w:rPr>
        <w:t xml:space="preserve"> </w:t>
      </w:r>
      <w:r w:rsidRPr="00DB77F7" w:rsidR="00CA5AEB">
        <w:rPr>
          <w:lang w:val="bg-BG"/>
        </w:rPr>
        <w:t xml:space="preserve">Страните не спорят, че </w:t>
      </w:r>
      <w:r w:rsidRPr="00DB77F7" w:rsidR="001D4441">
        <w:rPr>
          <w:lang w:val="bg-BG"/>
        </w:rPr>
        <w:t>ÖDP</w:t>
      </w:r>
      <w:r w:rsidRPr="00DB77F7" w:rsidR="006C35FD">
        <w:rPr>
          <w:lang w:val="bg-BG"/>
        </w:rPr>
        <w:t xml:space="preserve"> </w:t>
      </w:r>
      <w:r w:rsidRPr="00DB77F7" w:rsidR="008E20D0">
        <w:rPr>
          <w:lang w:val="bg-BG"/>
        </w:rPr>
        <w:t>се е възползвала от тези алтернативни форми на обществена подкрепа</w:t>
      </w:r>
      <w:r w:rsidRPr="00DB77F7" w:rsidR="001D4441">
        <w:rPr>
          <w:lang w:val="bg-BG"/>
        </w:rPr>
        <w:t>.</w:t>
      </w:r>
    </w:p>
    <w:p w:rsidRPr="00DB77F7" w:rsidR="001D4441"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47</w:t>
      </w:r>
      <w:r w:rsidRPr="00DB77F7">
        <w:rPr>
          <w:lang w:val="bg-BG"/>
        </w:rPr>
        <w:fldChar w:fldCharType="end"/>
      </w:r>
      <w:r w:rsidRPr="00DB77F7">
        <w:rPr>
          <w:lang w:val="bg-BG"/>
        </w:rPr>
        <w:t>.  </w:t>
      </w:r>
      <w:r w:rsidRPr="00DB77F7" w:rsidR="00ED34DC">
        <w:rPr>
          <w:lang w:val="bg-BG"/>
        </w:rPr>
        <w:t xml:space="preserve">Предвид заключението си, че неуспехът на </w:t>
      </w:r>
      <w:r w:rsidRPr="00DB77F7" w:rsidR="00A328D2">
        <w:rPr>
          <w:lang w:val="bg-BG"/>
        </w:rPr>
        <w:t>ÖDP</w:t>
      </w:r>
      <w:r w:rsidRPr="00DB77F7" w:rsidR="002961F7">
        <w:rPr>
          <w:lang w:val="bg-BG"/>
        </w:rPr>
        <w:t xml:space="preserve"> да спечели изискваното минимално</w:t>
      </w:r>
      <w:r w:rsidRPr="00DB77F7" w:rsidR="00ED34DC">
        <w:rPr>
          <w:lang w:val="bg-BG"/>
        </w:rPr>
        <w:t xml:space="preserve"> ниво на подкрепа сред гражданите и компенсаторния ефект на други форми на обществена подкрепа, които са били достъпни за партията-жалбоподател, Съдът счита, че оспорваната разлика в третирането е била разумно пропорционална на преследваната цел</w:t>
      </w:r>
      <w:r w:rsidRPr="00DB77F7" w:rsidR="001D4441">
        <w:rPr>
          <w:lang w:val="bg-BG"/>
        </w:rPr>
        <w:t>.</w:t>
      </w:r>
    </w:p>
    <w:p w:rsidRPr="00DB77F7" w:rsidR="00997B23"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48</w:t>
      </w:r>
      <w:r w:rsidRPr="00DB77F7">
        <w:rPr>
          <w:lang w:val="bg-BG"/>
        </w:rPr>
        <w:fldChar w:fldCharType="end"/>
      </w:r>
      <w:r w:rsidRPr="00DB77F7">
        <w:rPr>
          <w:lang w:val="bg-BG"/>
        </w:rPr>
        <w:t>.  </w:t>
      </w:r>
      <w:r w:rsidRPr="00DB77F7" w:rsidR="00205674">
        <w:rPr>
          <w:lang w:val="bg-BG"/>
        </w:rPr>
        <w:t xml:space="preserve">Съдът заключава, че </w:t>
      </w:r>
      <w:r w:rsidRPr="00DB77F7" w:rsidR="00184318">
        <w:rPr>
          <w:lang w:val="bg-BG"/>
        </w:rPr>
        <w:t>в настоящия случай непредоставянето от държава</w:t>
      </w:r>
      <w:r w:rsidRPr="00DB77F7" w:rsidR="00410887">
        <w:rPr>
          <w:lang w:val="bg-BG"/>
        </w:rPr>
        <w:t>та</w:t>
      </w:r>
      <w:r w:rsidRPr="00DB77F7" w:rsidR="00184318">
        <w:rPr>
          <w:lang w:val="bg-BG"/>
        </w:rPr>
        <w:t xml:space="preserve"> на пряка финансова помощ на </w:t>
      </w:r>
      <w:r w:rsidRPr="00DB77F7" w:rsidR="00A328D2">
        <w:rPr>
          <w:lang w:val="bg-BG"/>
        </w:rPr>
        <w:t>ÖDP</w:t>
      </w:r>
      <w:r w:rsidRPr="00DB77F7" w:rsidR="00997B23">
        <w:rPr>
          <w:lang w:val="bg-BG"/>
        </w:rPr>
        <w:t xml:space="preserve"> </w:t>
      </w:r>
      <w:r w:rsidRPr="00DB77F7" w:rsidR="00184318">
        <w:rPr>
          <w:lang w:val="bg-BG"/>
        </w:rPr>
        <w:t>на основание, че тя не е спечелила минималния дял от 7%, който законът изисква да бъде достигнат, е имало обективни и разумни основания, не е разрушило същността на правото на свободно изразяване на мнението на народа и следователно не противоречи на член 14 във връзка с член 3 от Протокол № 1</w:t>
      </w:r>
      <w:r w:rsidRPr="00DB77F7" w:rsidR="00997B23">
        <w:rPr>
          <w:lang w:val="bg-BG"/>
        </w:rPr>
        <w:t>.</w:t>
      </w:r>
    </w:p>
    <w:p w:rsidRPr="00DB77F7" w:rsidR="00FB3690" w:rsidP="00FB3690"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49</w:t>
      </w:r>
      <w:r w:rsidRPr="00DB77F7">
        <w:rPr>
          <w:lang w:val="bg-BG"/>
        </w:rPr>
        <w:fldChar w:fldCharType="end"/>
      </w:r>
      <w:r w:rsidRPr="00DB77F7">
        <w:rPr>
          <w:lang w:val="bg-BG"/>
        </w:rPr>
        <w:t>.  </w:t>
      </w:r>
      <w:r w:rsidRPr="00DB77F7" w:rsidR="00164438">
        <w:rPr>
          <w:lang w:val="bg-BG"/>
        </w:rPr>
        <w:t>Следователно няма нарушение на тези разпоредби</w:t>
      </w:r>
      <w:r w:rsidRPr="00DB77F7">
        <w:rPr>
          <w:lang w:val="bg-BG"/>
        </w:rPr>
        <w:t>.</w:t>
      </w:r>
    </w:p>
    <w:p w:rsidRPr="00DB77F7" w:rsidR="00FB3690" w:rsidP="00FB3690" w:rsidRDefault="00FB3690">
      <w:pPr>
        <w:pStyle w:val="JuHIRoman"/>
        <w:rPr>
          <w:lang w:val="bg-BG"/>
        </w:rPr>
      </w:pPr>
      <w:r w:rsidRPr="00DB77F7">
        <w:rPr>
          <w:lang w:val="bg-BG"/>
        </w:rPr>
        <w:t>III.  </w:t>
      </w:r>
      <w:r w:rsidR="00035069">
        <w:rPr>
          <w:lang w:val="bg-BG"/>
        </w:rPr>
        <w:t>ТВЪРДЕ</w:t>
      </w:r>
      <w:r w:rsidRPr="00DB77F7" w:rsidR="00BC1295">
        <w:rPr>
          <w:lang w:val="bg-BG"/>
        </w:rPr>
        <w:t>НИ НАРУШЕНИЯ НА ЧЛ</w:t>
      </w:r>
      <w:r w:rsidRPr="00DB77F7" w:rsidR="00410887">
        <w:rPr>
          <w:lang w:val="bg-BG"/>
        </w:rPr>
        <w:t>ЕНОВЕ 9, 10 И 11 ОТ КОНВЕНЦИЯТА</w:t>
      </w:r>
    </w:p>
    <w:p w:rsidRPr="00DB77F7" w:rsidR="007E4EE3" w:rsidP="0045395B" w:rsidRDefault="00FB3690">
      <w:pPr>
        <w:pStyle w:val="JuPara"/>
        <w:rPr>
          <w:lang w:val="bg-BG"/>
        </w:rPr>
      </w:pPr>
      <w:r w:rsidRPr="00DB77F7">
        <w:rPr>
          <w:lang w:val="bg-BG"/>
        </w:rPr>
        <w:fldChar w:fldCharType="begin"/>
      </w:r>
      <w:r w:rsidRPr="00DB77F7">
        <w:rPr>
          <w:lang w:val="bg-BG"/>
        </w:rPr>
        <w:instrText xml:space="preserve"> SEQ level0 \*arabic </w:instrText>
      </w:r>
      <w:r w:rsidRPr="00DB77F7">
        <w:rPr>
          <w:lang w:val="bg-BG"/>
        </w:rPr>
        <w:fldChar w:fldCharType="separate"/>
      </w:r>
      <w:r w:rsidR="0081590E">
        <w:rPr>
          <w:noProof/>
          <w:lang w:val="bg-BG"/>
        </w:rPr>
        <w:t>50</w:t>
      </w:r>
      <w:r w:rsidRPr="00DB77F7">
        <w:rPr>
          <w:lang w:val="bg-BG"/>
        </w:rPr>
        <w:fldChar w:fldCharType="end"/>
      </w:r>
      <w:r w:rsidRPr="00DB77F7">
        <w:rPr>
          <w:lang w:val="bg-BG"/>
        </w:rPr>
        <w:t>.  </w:t>
      </w:r>
      <w:r w:rsidRPr="00DB77F7" w:rsidR="00410887">
        <w:rPr>
          <w:lang w:val="bg-BG"/>
        </w:rPr>
        <w:t>Партията-</w:t>
      </w:r>
      <w:r w:rsidRPr="00DB77F7" w:rsidR="007E4EE3">
        <w:rPr>
          <w:lang w:val="bg-BG"/>
        </w:rPr>
        <w:t xml:space="preserve">жалбоподател се оплаква и от </w:t>
      </w:r>
      <w:r w:rsidRPr="00DB77F7" w:rsidR="000F30A9">
        <w:rPr>
          <w:lang w:val="bg-BG"/>
        </w:rPr>
        <w:t xml:space="preserve">нарушение на членове </w:t>
      </w:r>
      <w:r w:rsidRPr="00DB77F7" w:rsidR="00997B23">
        <w:rPr>
          <w:lang w:val="bg-BG"/>
        </w:rPr>
        <w:t xml:space="preserve">9, 10 </w:t>
      </w:r>
      <w:r w:rsidRPr="00DB77F7" w:rsidR="000F30A9">
        <w:rPr>
          <w:lang w:val="bg-BG"/>
        </w:rPr>
        <w:t>и</w:t>
      </w:r>
      <w:r w:rsidRPr="00DB77F7" w:rsidR="00997B23">
        <w:rPr>
          <w:lang w:val="bg-BG"/>
        </w:rPr>
        <w:t xml:space="preserve"> 11 </w:t>
      </w:r>
      <w:r w:rsidRPr="00DB77F7" w:rsidR="000F30A9">
        <w:rPr>
          <w:lang w:val="bg-BG"/>
        </w:rPr>
        <w:t>от Конвенцията</w:t>
      </w:r>
      <w:r w:rsidRPr="00DB77F7" w:rsidR="00997B23">
        <w:rPr>
          <w:lang w:val="bg-BG"/>
        </w:rPr>
        <w:t xml:space="preserve">. </w:t>
      </w:r>
      <w:r w:rsidRPr="00DB77F7" w:rsidR="0045395B">
        <w:rPr>
          <w:lang w:val="bg-BG"/>
        </w:rPr>
        <w:t>Тъй като тези оплаквания са свързани със същите факти, разгледани от гледна точка на член 14 от Конвенцията във връзка с член 3 от Протокол № 1, Съдът счита, че не е необходимо да ги разглежда самостоятелно.</w:t>
      </w:r>
    </w:p>
    <w:p w:rsidRPr="00DB77F7" w:rsidR="00DA3F02" w:rsidP="00DA3F02" w:rsidRDefault="00C30A66">
      <w:pPr>
        <w:pStyle w:val="JuHHead"/>
        <w:rPr>
          <w:lang w:val="bg-BG"/>
        </w:rPr>
      </w:pPr>
      <w:r w:rsidRPr="00DB77F7">
        <w:rPr>
          <w:lang w:val="bg-BG"/>
        </w:rPr>
        <w:t>ПО ИЗЛОЖЕНИТЕ СЪОБРАЖЕНИЯ СЪДЪТ</w:t>
      </w:r>
    </w:p>
    <w:p w:rsidRPr="00DB77F7" w:rsidR="00F94C77" w:rsidP="00FB3690" w:rsidRDefault="00FB3690">
      <w:pPr>
        <w:pStyle w:val="JuList"/>
        <w:rPr>
          <w:lang w:val="bg-BG"/>
        </w:rPr>
      </w:pPr>
      <w:r w:rsidRPr="00DB77F7">
        <w:rPr>
          <w:lang w:val="bg-BG"/>
        </w:rPr>
        <w:t>1.  </w:t>
      </w:r>
      <w:r w:rsidRPr="00DB77F7" w:rsidR="00DA3F02">
        <w:rPr>
          <w:i/>
          <w:lang w:val="bg-BG"/>
        </w:rPr>
        <w:t xml:space="preserve">Обяви </w:t>
      </w:r>
      <w:r w:rsidRPr="00DB77F7" w:rsidR="00DA3F02">
        <w:rPr>
          <w:lang w:val="bg-BG"/>
        </w:rPr>
        <w:t>единодушно жалбата за допустима;</w:t>
      </w:r>
    </w:p>
    <w:p w:rsidRPr="00DB77F7" w:rsidR="00DA3F02" w:rsidP="00FB3690" w:rsidRDefault="00DA3F02">
      <w:pPr>
        <w:pStyle w:val="JuList"/>
        <w:rPr>
          <w:lang w:val="bg-BG"/>
        </w:rPr>
      </w:pPr>
    </w:p>
    <w:p w:rsidRPr="00DB77F7" w:rsidR="00FB3690" w:rsidP="00FB3690" w:rsidRDefault="00FB3690">
      <w:pPr>
        <w:pStyle w:val="JuList"/>
        <w:rPr>
          <w:lang w:val="bg-BG"/>
        </w:rPr>
      </w:pPr>
      <w:r w:rsidRPr="00DB77F7">
        <w:rPr>
          <w:lang w:val="bg-BG"/>
        </w:rPr>
        <w:t>2.  </w:t>
      </w:r>
      <w:r w:rsidRPr="00DB77F7" w:rsidR="00DA3F02">
        <w:rPr>
          <w:i/>
          <w:lang w:val="bg-BG"/>
        </w:rPr>
        <w:t>Реши</w:t>
      </w:r>
      <w:r w:rsidRPr="00DB77F7">
        <w:rPr>
          <w:lang w:val="bg-BG"/>
        </w:rPr>
        <w:t xml:space="preserve"> </w:t>
      </w:r>
      <w:r w:rsidRPr="00DB77F7" w:rsidR="00DA3F02">
        <w:rPr>
          <w:lang w:val="bg-BG"/>
        </w:rPr>
        <w:t xml:space="preserve">с пет на два гласа, че </w:t>
      </w:r>
      <w:r w:rsidRPr="00DB77F7" w:rsidR="00534CD2">
        <w:rPr>
          <w:lang w:val="bg-BG"/>
        </w:rPr>
        <w:t>няма</w:t>
      </w:r>
      <w:r w:rsidRPr="00DB77F7" w:rsidR="00DA3F02">
        <w:rPr>
          <w:lang w:val="bg-BG"/>
        </w:rPr>
        <w:t xml:space="preserve"> нарушение на член 14 от Конвенцията във връзка с член 3 от Протокол № 1</w:t>
      </w:r>
      <w:r w:rsidRPr="00DB77F7">
        <w:rPr>
          <w:lang w:val="bg-BG"/>
        </w:rPr>
        <w:t>;</w:t>
      </w:r>
    </w:p>
    <w:p w:rsidRPr="00DB77F7" w:rsidR="00F94C77" w:rsidP="00FB3690" w:rsidRDefault="00F94C77">
      <w:pPr>
        <w:pStyle w:val="JuList"/>
        <w:rPr>
          <w:lang w:val="bg-BG"/>
        </w:rPr>
      </w:pPr>
    </w:p>
    <w:p w:rsidRPr="00DB77F7" w:rsidR="00FB3690" w:rsidP="00FB3690" w:rsidRDefault="00FB3690">
      <w:pPr>
        <w:pStyle w:val="JuList"/>
        <w:rPr>
          <w:lang w:val="bg-BG"/>
        </w:rPr>
      </w:pPr>
      <w:r w:rsidRPr="00DB77F7">
        <w:rPr>
          <w:lang w:val="bg-BG"/>
        </w:rPr>
        <w:t>3.  </w:t>
      </w:r>
      <w:r w:rsidRPr="00DB77F7" w:rsidR="001F4B02">
        <w:rPr>
          <w:i/>
          <w:lang w:val="bg-BG"/>
        </w:rPr>
        <w:t xml:space="preserve">Реши </w:t>
      </w:r>
      <w:r w:rsidRPr="00DB77F7" w:rsidR="001F4B02">
        <w:rPr>
          <w:lang w:val="bg-BG"/>
        </w:rPr>
        <w:t xml:space="preserve">единодушно, че </w:t>
      </w:r>
      <w:r w:rsidRPr="00DB77F7" w:rsidR="00FB6DF8">
        <w:rPr>
          <w:lang w:val="bg-BG"/>
        </w:rPr>
        <w:t>не е необходимо да разглежда отделно оплакванията по членове 9, 10 и 11 от Конвенцията.</w:t>
      </w:r>
    </w:p>
    <w:p w:rsidRPr="00DB77F7" w:rsidR="00F909D1" w:rsidP="00F909D1" w:rsidRDefault="00D034E1">
      <w:pPr>
        <w:pStyle w:val="JuParaLast"/>
        <w:rPr>
          <w:lang w:val="bg-BG"/>
        </w:rPr>
      </w:pPr>
      <w:r w:rsidRPr="00DB77F7">
        <w:rPr>
          <w:lang w:val="bg-BG"/>
        </w:rPr>
        <w:t>Изготвено на френски език и съобщено в писмен вид на 10 май 2012 г., в съответствие с правило 77 §§ 2 и 3 от Правилника на Съда</w:t>
      </w:r>
      <w:r w:rsidRPr="00DB77F7" w:rsidR="00F909D1">
        <w:rPr>
          <w:lang w:val="bg-BG"/>
        </w:rPr>
        <w:t>.</w:t>
      </w:r>
    </w:p>
    <w:p w:rsidRPr="00DB77F7" w:rsidR="00FB3690" w:rsidP="00F909D1" w:rsidRDefault="00F909D1">
      <w:pPr>
        <w:pStyle w:val="JuSigned"/>
        <w:keepNext/>
        <w:keepLines/>
        <w:rPr>
          <w:lang w:val="bg-BG"/>
        </w:rPr>
      </w:pPr>
      <w:r w:rsidRPr="00DB77F7">
        <w:rPr>
          <w:lang w:val="bg-BG"/>
        </w:rPr>
        <w:tab/>
      </w:r>
      <w:r w:rsidRPr="00DB77F7" w:rsidR="00FF441B">
        <w:rPr>
          <w:lang w:val="bg-BG"/>
        </w:rPr>
        <w:t>Stanley Naismith</w:t>
      </w:r>
      <w:r w:rsidRPr="00DB77F7">
        <w:rPr>
          <w:lang w:val="bg-BG"/>
        </w:rPr>
        <w:tab/>
      </w:r>
      <w:r w:rsidRPr="00DB77F7" w:rsidR="00FF441B">
        <w:rPr>
          <w:szCs w:val="24"/>
          <w:lang w:val="bg-BG"/>
        </w:rPr>
        <w:t>Françoise Tulkens</w:t>
      </w:r>
      <w:r w:rsidRPr="00DB77F7">
        <w:rPr>
          <w:lang w:val="bg-BG"/>
        </w:rPr>
        <w:tab/>
      </w:r>
      <w:r w:rsidRPr="00DB77F7" w:rsidR="00BA221C">
        <w:rPr>
          <w:iCs/>
          <w:lang w:val="bg-BG"/>
        </w:rPr>
        <w:t>Секретар</w:t>
      </w:r>
      <w:r w:rsidRPr="00DB77F7">
        <w:rPr>
          <w:lang w:val="bg-BG"/>
        </w:rPr>
        <w:tab/>
      </w:r>
      <w:r w:rsidRPr="00DB77F7" w:rsidR="00BA221C">
        <w:rPr>
          <w:lang w:val="bg-BG"/>
        </w:rPr>
        <w:t>Председател</w:t>
      </w:r>
    </w:p>
    <w:p w:rsidRPr="00DB77F7" w:rsidR="00FB3690" w:rsidP="00FB3690" w:rsidRDefault="00BA221C">
      <w:pPr>
        <w:pStyle w:val="JuParaLast"/>
        <w:rPr>
          <w:lang w:val="bg-BG"/>
        </w:rPr>
      </w:pPr>
      <w:r w:rsidRPr="00DB77F7">
        <w:rPr>
          <w:lang w:val="bg-BG"/>
        </w:rPr>
        <w:t xml:space="preserve">В съответсвие с член </w:t>
      </w:r>
      <w:r w:rsidRPr="00DB77F7" w:rsidR="00F909D1">
        <w:rPr>
          <w:lang w:val="bg-BG"/>
        </w:rPr>
        <w:t xml:space="preserve">45 § 2 </w:t>
      </w:r>
      <w:r w:rsidRPr="00DB77F7">
        <w:rPr>
          <w:lang w:val="bg-BG"/>
        </w:rPr>
        <w:t>от Конвенцията и правило</w:t>
      </w:r>
      <w:r w:rsidRPr="00DB77F7" w:rsidR="00F909D1">
        <w:rPr>
          <w:lang w:val="bg-BG"/>
        </w:rPr>
        <w:t xml:space="preserve"> 74 § 2 </w:t>
      </w:r>
      <w:r w:rsidRPr="00DB77F7">
        <w:rPr>
          <w:lang w:val="bg-BG"/>
        </w:rPr>
        <w:t xml:space="preserve">от Правилника на Съда съвместното особено мнение на съдия </w:t>
      </w:r>
      <w:r w:rsidRPr="00DB77F7" w:rsidR="00FF441B">
        <w:rPr>
          <w:lang w:val="bg-BG"/>
        </w:rPr>
        <w:t>Tulkens and съдия Sajó</w:t>
      </w:r>
      <w:r w:rsidRPr="00DB77F7" w:rsidR="00437023">
        <w:rPr>
          <w:lang w:val="bg-BG"/>
        </w:rPr>
        <w:t xml:space="preserve"> е приложено к</w:t>
      </w:r>
      <w:r w:rsidRPr="00DB77F7">
        <w:rPr>
          <w:lang w:val="bg-BG"/>
        </w:rPr>
        <w:t>ъм настоящето решение.</w:t>
      </w:r>
    </w:p>
    <w:p w:rsidRPr="00DB77F7" w:rsidR="008549F9" w:rsidP="008549F9" w:rsidRDefault="008549F9">
      <w:pPr>
        <w:pStyle w:val="JuPara"/>
        <w:rPr>
          <w:lang w:val="bg-BG"/>
        </w:rPr>
      </w:pPr>
    </w:p>
    <w:p w:rsidRPr="00DB77F7" w:rsidR="0039436E" w:rsidP="0039436E" w:rsidRDefault="0039436E">
      <w:pPr>
        <w:pStyle w:val="JuPara"/>
        <w:rPr>
          <w:sz w:val="20"/>
          <w:lang w:val="bg-BG"/>
        </w:rPr>
      </w:pPr>
      <w:r w:rsidRPr="00DB77F7">
        <w:rPr>
          <w:sz w:val="20"/>
          <w:lang w:val="bg-BG"/>
        </w:rPr>
        <w:t xml:space="preserve">Особените мнения не са преведени на български език, но съществуват на английски и/или на френски в официалната версия/версии на решението, която може да бъде намерена в </w:t>
      </w:r>
      <w:r w:rsidRPr="00DB77F7">
        <w:rPr>
          <w:rStyle w:val="sfbbfee58"/>
          <w:sz w:val="20"/>
          <w:lang w:val="bg-BG"/>
        </w:rPr>
        <w:t>базата данни с практиката на Европейския съд по правата на човека HUDOC.</w:t>
      </w:r>
    </w:p>
    <w:p w:rsidRPr="00DB77F7" w:rsidR="0039436E" w:rsidP="008549F9" w:rsidRDefault="0039436E">
      <w:pPr>
        <w:pStyle w:val="JuPara"/>
        <w:rPr>
          <w:lang w:val="bg-BG"/>
        </w:rPr>
      </w:pPr>
    </w:p>
    <w:p w:rsidR="00330D4E" w:rsidP="0081590E" w:rsidRDefault="00330D4E">
      <w:pPr>
        <w:pStyle w:val="NormalWeb"/>
        <w:ind w:right="403"/>
        <w:jc w:val="both"/>
        <w:rPr>
          <w:rStyle w:val="sfbbfee58"/>
          <w:sz w:val="20"/>
          <w:szCs w:val="20"/>
          <w:lang w:val="bg-BG"/>
        </w:rPr>
      </w:pPr>
      <w:r>
        <w:rPr>
          <w:b/>
          <w:sz w:val="20"/>
          <w:szCs w:val="20"/>
          <w:lang w:val="bg-BG"/>
        </w:rPr>
        <w:t xml:space="preserve">© </w:t>
      </w:r>
      <w:r>
        <w:rPr>
          <w:rStyle w:val="sdfc50a6a"/>
          <w:b/>
          <w:sz w:val="20"/>
          <w:szCs w:val="20"/>
          <w:lang w:val="bg-BG"/>
        </w:rPr>
        <w:t>Съвет на Европа/Европейски съд по правата на човека, 2013 г.</w:t>
      </w:r>
    </w:p>
    <w:p w:rsidRPr="00330D4E" w:rsidR="00330D4E" w:rsidP="0081590E" w:rsidRDefault="00330D4E">
      <w:pPr>
        <w:pStyle w:val="NormalWeb"/>
        <w:ind w:right="403"/>
        <w:jc w:val="both"/>
        <w:rPr>
          <w:rStyle w:val="s54939a00"/>
          <w:color w:val="0000FF"/>
          <w:u w:val="single"/>
          <w:lang w:val="bg-BG"/>
        </w:rPr>
      </w:pPr>
      <w:r>
        <w:rPr>
          <w:rStyle w:val="sfbbfee58"/>
          <w:sz w:val="20"/>
          <w:szCs w:val="20"/>
          <w:lang w:val="bg-BG"/>
        </w:rPr>
        <w:t>Официалните езици на Европейския съд по правата на човека са английски и френски. Този превод не обвързва Съда и Съдът не поема никаква отговорност за качеството му. Той може да бъде свален от базата данни с практиката на Европейския съд по правата на човека HUDOC (</w:t>
      </w:r>
      <w:hyperlink w:tgtFrame="_blank" w:history="1" r:id="rId10">
        <w:r>
          <w:rPr>
            <w:rStyle w:val="s54939a00"/>
            <w:color w:val="0000FF"/>
            <w:sz w:val="20"/>
            <w:szCs w:val="20"/>
            <w:u w:val="single"/>
            <w:lang w:val="bg-BG"/>
          </w:rPr>
          <w:t>http://hudoc.echr.coe.int</w:t>
        </w:r>
      </w:hyperlink>
      <w:r>
        <w:rPr>
          <w:rStyle w:val="sfbbfee58"/>
          <w:sz w:val="20"/>
          <w:szCs w:val="20"/>
          <w:lang w:val="bg-BG"/>
        </w:rPr>
        <w:t xml:space="preserve">) или от всяка друга база данни, на която Съдът го е предоставил. Той може да бъде възпроизвеждан за нетърговски цели, при условие че е цитирано пълното заглавие на делото и посочената по-горе информация за авторските права. В случай че възнамерявате да използвате за търговски цели която и да било част от този превод, моля свържете се с </w:t>
      </w:r>
      <w:hyperlink w:tgtFrame="_blank" w:history="1" r:id="rId11">
        <w:r>
          <w:rPr>
            <w:rStyle w:val="s54939a00"/>
            <w:color w:val="0000FF"/>
            <w:sz w:val="20"/>
            <w:szCs w:val="20"/>
            <w:u w:val="single"/>
            <w:lang w:val="bg-BG"/>
          </w:rPr>
          <w:t>publishing@echr.coe.int</w:t>
        </w:r>
      </w:hyperlink>
    </w:p>
    <w:p w:rsidRPr="00DB77F7" w:rsidR="000362A6" w:rsidP="0081590E" w:rsidRDefault="000362A6">
      <w:pPr>
        <w:pStyle w:val="NormalWeb"/>
        <w:ind w:right="403"/>
        <w:jc w:val="both"/>
        <w:rPr>
          <w:color w:val="0000FF"/>
          <w:sz w:val="22"/>
          <w:szCs w:val="22"/>
          <w:u w:val="single"/>
          <w:lang w:val="bg-BG"/>
        </w:rPr>
      </w:pPr>
    </w:p>
    <w:p w:rsidR="0081590E" w:rsidP="0081590E" w:rsidRDefault="000362A6">
      <w:pPr>
        <w:pStyle w:val="NormalWeb"/>
        <w:ind w:right="403"/>
        <w:jc w:val="both"/>
        <w:rPr>
          <w:b/>
          <w:sz w:val="20"/>
          <w:szCs w:val="20"/>
          <w:lang w:val="bg-BG"/>
        </w:rPr>
      </w:pPr>
      <w:r w:rsidRPr="00DB77F7">
        <w:rPr>
          <w:b/>
          <w:sz w:val="20"/>
          <w:szCs w:val="20"/>
          <w:lang w:val="bg-BG"/>
        </w:rPr>
        <w:t>© Council of Europe/European Court of Human Rights, 2013</w:t>
      </w:r>
    </w:p>
    <w:p w:rsidRPr="00DB77F7" w:rsidR="000362A6" w:rsidP="0081590E" w:rsidRDefault="000362A6">
      <w:pPr>
        <w:pStyle w:val="NormalWeb"/>
        <w:ind w:right="403"/>
        <w:jc w:val="both"/>
        <w:rPr>
          <w:sz w:val="20"/>
          <w:szCs w:val="20"/>
          <w:lang w:val="bg-BG"/>
        </w:rPr>
      </w:pPr>
      <w:r w:rsidRPr="00DB77F7">
        <w:rPr>
          <w:sz w:val="20"/>
          <w:szCs w:val="20"/>
          <w:lang w:val="bg-BG"/>
        </w:rPr>
        <w:t>The official languages of the European Court of Human Rights are English and French. This translation does not bind the Court, nor does the Court take any responsibility for the quality thereof. It may be downloaded from the HUDOC case-law database of the European Court of Human Rights (</w:t>
      </w:r>
      <w:hyperlink w:history="1" r:id="rId12">
        <w:r w:rsidRPr="00DB77F7">
          <w:rPr>
            <w:rStyle w:val="Hyperlink"/>
            <w:sz w:val="20"/>
            <w:szCs w:val="20"/>
            <w:lang w:val="bg-BG"/>
          </w:rPr>
          <w:t>http://hudoc.echr.coe.int</w:t>
        </w:r>
      </w:hyperlink>
      <w:r w:rsidRPr="00DB77F7">
        <w:rPr>
          <w:sz w:val="20"/>
          <w:lang w:val="bg-BG"/>
        </w:rPr>
        <w:t>) o</w:t>
      </w:r>
      <w:r w:rsidRPr="00DB77F7">
        <w:rPr>
          <w:sz w:val="20"/>
          <w:szCs w:val="20"/>
          <w:lang w:val="bg-BG"/>
        </w:rPr>
        <w:t xml:space="preserve">r from any other database with which the Court has shared it. It may be reproduced for non-commercial purposes on condition that the full title of the case is cited, together with the above copyright indication. If it is intended to use any part of this translation for commercial purposes, please contact </w:t>
      </w:r>
      <w:hyperlink w:history="1" r:id="rId13">
        <w:r w:rsidRPr="00DB77F7">
          <w:rPr>
            <w:rStyle w:val="Hyperlink"/>
            <w:sz w:val="20"/>
            <w:szCs w:val="20"/>
            <w:lang w:val="bg-BG"/>
          </w:rPr>
          <w:t>publishing@echr.coe.int</w:t>
        </w:r>
      </w:hyperlink>
      <w:r w:rsidRPr="00DB77F7">
        <w:rPr>
          <w:sz w:val="20"/>
          <w:szCs w:val="20"/>
          <w:lang w:val="bg-BG"/>
        </w:rPr>
        <w:t>.</w:t>
      </w:r>
    </w:p>
    <w:p w:rsidRPr="00DB77F7" w:rsidR="000362A6" w:rsidP="0081590E" w:rsidRDefault="000362A6">
      <w:pPr>
        <w:pStyle w:val="NormalWeb"/>
        <w:ind w:right="403"/>
        <w:jc w:val="both"/>
        <w:rPr>
          <w:sz w:val="20"/>
          <w:szCs w:val="20"/>
          <w:lang w:val="bg-BG"/>
        </w:rPr>
      </w:pPr>
    </w:p>
    <w:p w:rsidRPr="00DB77F7" w:rsidR="000362A6" w:rsidP="0081590E" w:rsidRDefault="000362A6">
      <w:pPr>
        <w:pStyle w:val="NormalWeb"/>
        <w:ind w:right="403"/>
        <w:jc w:val="both"/>
        <w:rPr>
          <w:b/>
          <w:sz w:val="20"/>
          <w:szCs w:val="20"/>
          <w:lang w:val="bg-BG"/>
        </w:rPr>
      </w:pPr>
      <w:r w:rsidRPr="00DB77F7">
        <w:rPr>
          <w:b/>
          <w:sz w:val="20"/>
          <w:szCs w:val="20"/>
          <w:lang w:val="bg-BG"/>
        </w:rPr>
        <w:t>© Conseil de l</w:t>
      </w:r>
      <w:r w:rsidR="0081590E">
        <w:rPr>
          <w:b/>
          <w:sz w:val="20"/>
          <w:szCs w:val="20"/>
          <w:lang w:val="bg-BG"/>
        </w:rPr>
        <w:t>’</w:t>
      </w:r>
      <w:r w:rsidRPr="00DB77F7">
        <w:rPr>
          <w:b/>
          <w:sz w:val="20"/>
          <w:szCs w:val="20"/>
          <w:lang w:val="bg-BG"/>
        </w:rPr>
        <w:t>Europe/Cour européenne des droits de l</w:t>
      </w:r>
      <w:r w:rsidR="0081590E">
        <w:rPr>
          <w:b/>
          <w:sz w:val="20"/>
          <w:szCs w:val="20"/>
          <w:lang w:val="bg-BG"/>
        </w:rPr>
        <w:t>’</w:t>
      </w:r>
      <w:r w:rsidRPr="00DB77F7">
        <w:rPr>
          <w:b/>
          <w:sz w:val="20"/>
          <w:szCs w:val="20"/>
          <w:lang w:val="bg-BG"/>
        </w:rPr>
        <w:t>homme, 2013</w:t>
      </w:r>
    </w:p>
    <w:p w:rsidRPr="00DB77F7" w:rsidR="000362A6" w:rsidP="0081590E" w:rsidRDefault="000362A6">
      <w:pPr>
        <w:ind w:right="403"/>
        <w:jc w:val="both"/>
        <w:rPr>
          <w:sz w:val="20"/>
          <w:lang w:val="bg-BG"/>
        </w:rPr>
      </w:pPr>
      <w:r w:rsidRPr="00DB77F7">
        <w:rPr>
          <w:sz w:val="20"/>
          <w:lang w:val="bg-BG" w:eastAsia="en-GB"/>
        </w:rPr>
        <w:t>Les langues officielles de la Cour européenne des droits de l</w:t>
      </w:r>
      <w:r w:rsidR="0081590E">
        <w:rPr>
          <w:sz w:val="20"/>
          <w:lang w:val="bg-BG" w:eastAsia="en-GB"/>
        </w:rPr>
        <w:t>’</w:t>
      </w:r>
      <w:r w:rsidRPr="00DB77F7">
        <w:rPr>
          <w:sz w:val="20"/>
          <w:lang w:val="bg-BG" w:eastAsia="en-GB"/>
        </w:rPr>
        <w:t>homme sont le français et l</w:t>
      </w:r>
      <w:r w:rsidR="0081590E">
        <w:rPr>
          <w:sz w:val="20"/>
          <w:lang w:val="bg-BG" w:eastAsia="en-GB"/>
        </w:rPr>
        <w:t>’</w:t>
      </w:r>
      <w:r w:rsidRPr="00DB77F7">
        <w:rPr>
          <w:sz w:val="20"/>
          <w:lang w:val="bg-BG" w:eastAsia="en-GB"/>
        </w:rPr>
        <w:t>anglais. La présente traduction ne lie pas la Cour, et celle-ci décline toute responsabilité quant à sa qualité. Elle peut être téléchargée à partir de HUDOC, la base de jurisprudence de la Cour européenne des droits de l</w:t>
      </w:r>
      <w:r w:rsidR="0081590E">
        <w:rPr>
          <w:sz w:val="20"/>
          <w:lang w:val="bg-BG" w:eastAsia="en-GB"/>
        </w:rPr>
        <w:t>’</w:t>
      </w:r>
      <w:r w:rsidRPr="00DB77F7">
        <w:rPr>
          <w:sz w:val="20"/>
          <w:lang w:val="bg-BG" w:eastAsia="en-GB"/>
        </w:rPr>
        <w:t>homme</w:t>
      </w:r>
      <w:r w:rsidRPr="00DB77F7">
        <w:rPr>
          <w:sz w:val="20"/>
          <w:lang w:val="bg-BG"/>
        </w:rPr>
        <w:t xml:space="preserve"> (</w:t>
      </w:r>
      <w:hyperlink w:tooltip="http://hudoc.echr.coe.int/" w:history="1" r:id="rId14">
        <w:r w:rsidRPr="00DB77F7">
          <w:rPr>
            <w:rStyle w:val="Hyperlink"/>
            <w:sz w:val="20"/>
            <w:lang w:val="bg-BG" w:eastAsia="en-GB"/>
          </w:rPr>
          <w:t>http://hudoc.echr.coe.int</w:t>
        </w:r>
      </w:hyperlink>
      <w:r w:rsidRPr="00DB77F7">
        <w:rPr>
          <w:sz w:val="20"/>
          <w:lang w:val="bg-BG"/>
        </w:rPr>
        <w:t xml:space="preserve">), </w:t>
      </w:r>
      <w:r w:rsidRPr="00DB77F7">
        <w:rPr>
          <w:sz w:val="20"/>
          <w:lang w:val="bg-BG" w:eastAsia="en-GB"/>
        </w:rPr>
        <w:t>ou de toute autre base de données à laquelle HUDOC l</w:t>
      </w:r>
      <w:r w:rsidR="0081590E">
        <w:rPr>
          <w:sz w:val="20"/>
          <w:lang w:val="bg-BG" w:eastAsia="en-GB"/>
        </w:rPr>
        <w:t>’</w:t>
      </w:r>
      <w:r w:rsidRPr="00DB77F7">
        <w:rPr>
          <w:sz w:val="20"/>
          <w:lang w:val="bg-BG" w:eastAsia="en-GB"/>
        </w:rPr>
        <w:t>a communiquée. Elle peut être reproduite à des fins non commerciales, sous réserve que le titre de l</w:t>
      </w:r>
      <w:r w:rsidR="0081590E">
        <w:rPr>
          <w:sz w:val="20"/>
          <w:lang w:val="bg-BG" w:eastAsia="en-GB"/>
        </w:rPr>
        <w:t>’</w:t>
      </w:r>
      <w:r w:rsidRPr="00DB77F7">
        <w:rPr>
          <w:sz w:val="20"/>
          <w:lang w:val="bg-BG" w:eastAsia="en-GB"/>
        </w:rPr>
        <w:t>affaire soit cité en entier et s</w:t>
      </w:r>
      <w:r w:rsidR="0081590E">
        <w:rPr>
          <w:sz w:val="20"/>
          <w:lang w:val="bg-BG" w:eastAsia="en-GB"/>
        </w:rPr>
        <w:t>’</w:t>
      </w:r>
      <w:r w:rsidRPr="00DB77F7">
        <w:rPr>
          <w:sz w:val="20"/>
          <w:lang w:val="bg-BG" w:eastAsia="en-GB"/>
        </w:rPr>
        <w:t>accompagne de l</w:t>
      </w:r>
      <w:r w:rsidR="0081590E">
        <w:rPr>
          <w:sz w:val="20"/>
          <w:lang w:val="bg-BG" w:eastAsia="en-GB"/>
        </w:rPr>
        <w:t>’</w:t>
      </w:r>
      <w:r w:rsidRPr="00DB77F7">
        <w:rPr>
          <w:sz w:val="20"/>
          <w:lang w:val="bg-BG" w:eastAsia="en-GB"/>
        </w:rPr>
        <w:t>indication de copyright ci-dessus. Toute personne souhaitant se servir de tout ou partie de la présente traduction à des fins commerciales est invitée à le signaler à l</w:t>
      </w:r>
      <w:r w:rsidR="0081590E">
        <w:rPr>
          <w:sz w:val="20"/>
          <w:lang w:val="bg-BG" w:eastAsia="en-GB"/>
        </w:rPr>
        <w:t>’</w:t>
      </w:r>
      <w:r w:rsidRPr="00DB77F7">
        <w:rPr>
          <w:sz w:val="20"/>
          <w:lang w:val="bg-BG" w:eastAsia="en-GB"/>
        </w:rPr>
        <w:t xml:space="preserve">adresse suivante : </w:t>
      </w:r>
      <w:hyperlink w:history="1" r:id="rId15">
        <w:r w:rsidRPr="00DB77F7">
          <w:rPr>
            <w:rStyle w:val="Hyperlink"/>
            <w:sz w:val="20"/>
            <w:lang w:val="bg-BG"/>
          </w:rPr>
          <w:t>publishing@echr.coe.int</w:t>
        </w:r>
      </w:hyperlink>
      <w:r w:rsidRPr="00DB77F7">
        <w:rPr>
          <w:sz w:val="20"/>
          <w:lang w:val="bg-BG"/>
        </w:rPr>
        <w:t>.</w:t>
      </w:r>
    </w:p>
    <w:p w:rsidRPr="00DB77F7" w:rsidR="008549F9" w:rsidP="008549F9" w:rsidRDefault="008549F9">
      <w:pPr>
        <w:pStyle w:val="JuPara"/>
        <w:rPr>
          <w:lang w:val="bg-BG"/>
        </w:rPr>
      </w:pPr>
    </w:p>
    <w:sectPr w:rsidRPr="00DB77F7" w:rsidR="008549F9" w:rsidSect="007A45A1">
      <w:headerReference w:type="even" r:id="rId16"/>
      <w:headerReference w:type="default" r:id="rId17"/>
      <w:footnotePr>
        <w:numRestart w:val="eachPage"/>
      </w:footnotePr>
      <w:type w:val="continuous"/>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384" w:rsidRDefault="008A5384">
      <w:r>
        <w:separator/>
      </w:r>
    </w:p>
  </w:endnote>
  <w:endnote w:type="continuationSeparator" w:id="0">
    <w:p w:rsidR="008A5384" w:rsidRDefault="008A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yriad Pro">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EE3" w:rsidRPr="00150BFA" w:rsidRDefault="007E4EE3" w:rsidP="00DE1AFC">
    <w:pPr>
      <w:jc w:val="center"/>
      <w:rPr>
        <w:sz w:val="4"/>
        <w:szCs w:val="4"/>
      </w:rPr>
    </w:pPr>
    <w:r w:rsidRPr="00150BFA">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33pt">
          <v:imagedata r:id="rId1" o:title="DocFooter-03"/>
        </v:shape>
      </w:pict>
    </w:r>
  </w:p>
  <w:p w:rsidR="007E4EE3" w:rsidRDefault="007E4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384" w:rsidRDefault="008A5384">
      <w:r>
        <w:separator/>
      </w:r>
    </w:p>
  </w:footnote>
  <w:footnote w:type="continuationSeparator" w:id="0">
    <w:p w:rsidR="008A5384" w:rsidRDefault="008A5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EE3" w:rsidRPr="00DE1AFC" w:rsidRDefault="007E4EE3" w:rsidP="00DE1AF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EE3" w:rsidRPr="00C00F0F" w:rsidRDefault="007E4EE3">
    <w:pPr>
      <w:pStyle w:val="Header"/>
      <w:jc w:val="center"/>
      <w:rPr>
        <w:sz w:val="4"/>
        <w:szCs w:val="4"/>
      </w:rPr>
    </w:pPr>
    <w:r w:rsidRPr="00C31FDF">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64.25pt">
          <v:imagedata r:id="rId1" o:title="TranspDocHeaderBigBlack"/>
        </v:shape>
      </w:pict>
    </w:r>
  </w:p>
  <w:p w:rsidR="007E4EE3" w:rsidRDefault="007E4E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EE3" w:rsidRPr="00D96232" w:rsidRDefault="007E4EE3">
    <w:pPr>
      <w:pStyle w:val="JuHeader"/>
      <w:rPr>
        <w:lang w:val="bg-BG"/>
      </w:rPr>
    </w:pPr>
    <w:r>
      <w:rPr>
        <w:rStyle w:val="PageNumber"/>
      </w:rPr>
      <w:fldChar w:fldCharType="begin"/>
    </w:r>
    <w:r>
      <w:rPr>
        <w:rStyle w:val="PageNumber"/>
      </w:rPr>
      <w:instrText xml:space="preserve"> PAGE </w:instrText>
    </w:r>
    <w:r>
      <w:rPr>
        <w:rStyle w:val="PageNumber"/>
      </w:rPr>
      <w:fldChar w:fldCharType="separate"/>
    </w:r>
    <w:r w:rsidR="0081590E">
      <w:rPr>
        <w:rStyle w:val="PageNumber"/>
        <w:noProof/>
      </w:rPr>
      <w:t>16</w:t>
    </w:r>
    <w:r>
      <w:rPr>
        <w:rStyle w:val="PageNumber"/>
      </w:rPr>
      <w:fldChar w:fldCharType="end"/>
    </w:r>
    <w:r>
      <w:tab/>
    </w:r>
    <w:r w:rsidR="00D96232">
      <w:rPr>
        <w:lang w:val="bg-BG"/>
      </w:rPr>
      <w:t xml:space="preserve">РЕШЕНИЕ </w:t>
    </w:r>
    <w:r>
      <w:t xml:space="preserve">ÖZGÜRLÜK VE DAYANIŞMA PARTİSİ (ÖDP) </w:t>
    </w:r>
    <w:r w:rsidR="00D96232">
      <w:rPr>
        <w:lang w:val="bg-BG"/>
      </w:rPr>
      <w:t>СРЕЩУ ТУРЦИЯ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EE3" w:rsidRDefault="007E4EE3">
    <w:pPr>
      <w:pStyle w:val="JuHeader"/>
    </w:pPr>
    <w:r>
      <w:tab/>
    </w:r>
    <w:r w:rsidR="00D96232">
      <w:rPr>
        <w:lang w:val="bg-BG"/>
      </w:rPr>
      <w:t xml:space="preserve">РЕШЕНИЕ </w:t>
    </w:r>
    <w:r w:rsidR="00D96232">
      <w:t xml:space="preserve">ÖZGÜRLÜK VE DAYANIŞMA PARTİSİ (ÖDP) </w:t>
    </w:r>
    <w:r w:rsidR="00D96232">
      <w:rPr>
        <w:lang w:val="bg-BG"/>
      </w:rPr>
      <w:t>СРЕЩУ ТУРЦИЯ</w:t>
    </w:r>
    <w:r>
      <w:tab/>
    </w:r>
    <w:r>
      <w:rPr>
        <w:rStyle w:val="PageNumber"/>
      </w:rPr>
      <w:fldChar w:fldCharType="begin"/>
    </w:r>
    <w:r>
      <w:rPr>
        <w:rStyle w:val="PageNumber"/>
      </w:rPr>
      <w:instrText xml:space="preserve"> PAGE </w:instrText>
    </w:r>
    <w:r>
      <w:rPr>
        <w:rStyle w:val="PageNumber"/>
      </w:rPr>
      <w:fldChar w:fldCharType="separate"/>
    </w:r>
    <w:r w:rsidR="0081590E">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C273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DCD3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B44A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16CC6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B26C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265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98D2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76A4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C53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E8A8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74745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7D768F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7E155BE"/>
    <w:multiLevelType w:val="hybridMultilevel"/>
    <w:tmpl w:val="3396587E"/>
    <w:lvl w:ilvl="0" w:tplc="E7EE4160">
      <w:start w:val="1"/>
      <w:numFmt w:val="decimal"/>
      <w:lvlText w:val="%1."/>
      <w:lvlJc w:val="left"/>
      <w:pPr>
        <w:tabs>
          <w:tab w:val="num" w:pos="454"/>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6F4445CA"/>
    <w:multiLevelType w:val="multilevel"/>
    <w:tmpl w:val="08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76A310A9"/>
    <w:multiLevelType w:val="hybridMultilevel"/>
    <w:tmpl w:val="09FE9A6A"/>
    <w:lvl w:ilvl="0" w:tplc="527CBD86">
      <w:start w:val="1"/>
      <w:numFmt w:val="decimal"/>
      <w:lvlText w:val="%1."/>
      <w:lvlJc w:val="left"/>
      <w:pPr>
        <w:tabs>
          <w:tab w:val="num" w:pos="425"/>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13"/>
  </w:num>
  <w:num w:numId="3">
    <w:abstractNumId w:val="16"/>
  </w:num>
  <w:num w:numId="4">
    <w:abstractNumId w:val="16"/>
  </w:num>
  <w:num w:numId="5">
    <w:abstractNumId w:val="16"/>
  </w:num>
  <w:num w:numId="6">
    <w:abstractNumId w:val="16"/>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 w:numId="18">
    <w:abstractNumId w:val="11"/>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06"/>
  <w:hyphenationZone w:val="425"/>
  <w:evenAndOddHeaders/>
  <w:drawingGridHorizontalSpacing w:val="12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DE1AFC"/>
    <w:rsid w:val="00001CC5"/>
    <w:rsid w:val="00002DD1"/>
    <w:rsid w:val="00003AE1"/>
    <w:rsid w:val="000042D1"/>
    <w:rsid w:val="000045AC"/>
    <w:rsid w:val="0000519F"/>
    <w:rsid w:val="000056F2"/>
    <w:rsid w:val="00007B38"/>
    <w:rsid w:val="000131B1"/>
    <w:rsid w:val="00013894"/>
    <w:rsid w:val="00020EA6"/>
    <w:rsid w:val="00023135"/>
    <w:rsid w:val="00033160"/>
    <w:rsid w:val="00033FD2"/>
    <w:rsid w:val="00035069"/>
    <w:rsid w:val="000362A6"/>
    <w:rsid w:val="0003679E"/>
    <w:rsid w:val="00036962"/>
    <w:rsid w:val="000410CA"/>
    <w:rsid w:val="00042867"/>
    <w:rsid w:val="0005106E"/>
    <w:rsid w:val="00051281"/>
    <w:rsid w:val="0005212A"/>
    <w:rsid w:val="00052687"/>
    <w:rsid w:val="00052F14"/>
    <w:rsid w:val="0005522C"/>
    <w:rsid w:val="00055AC1"/>
    <w:rsid w:val="00062699"/>
    <w:rsid w:val="00071D08"/>
    <w:rsid w:val="000726F6"/>
    <w:rsid w:val="000729C0"/>
    <w:rsid w:val="00076A67"/>
    <w:rsid w:val="0008214A"/>
    <w:rsid w:val="00085837"/>
    <w:rsid w:val="00085B3A"/>
    <w:rsid w:val="00090C82"/>
    <w:rsid w:val="0009409F"/>
    <w:rsid w:val="00094651"/>
    <w:rsid w:val="00096ED5"/>
    <w:rsid w:val="000B4AD2"/>
    <w:rsid w:val="000B591A"/>
    <w:rsid w:val="000B5DE9"/>
    <w:rsid w:val="000B6669"/>
    <w:rsid w:val="000B6C05"/>
    <w:rsid w:val="000C2904"/>
    <w:rsid w:val="000D6108"/>
    <w:rsid w:val="000E1449"/>
    <w:rsid w:val="000E254F"/>
    <w:rsid w:val="000E7925"/>
    <w:rsid w:val="000F07E4"/>
    <w:rsid w:val="000F1506"/>
    <w:rsid w:val="000F30A9"/>
    <w:rsid w:val="000F44F7"/>
    <w:rsid w:val="000F5B0A"/>
    <w:rsid w:val="000F699D"/>
    <w:rsid w:val="000F76DD"/>
    <w:rsid w:val="000F7FC6"/>
    <w:rsid w:val="00101742"/>
    <w:rsid w:val="00104AD1"/>
    <w:rsid w:val="0010687E"/>
    <w:rsid w:val="0011179D"/>
    <w:rsid w:val="00111D99"/>
    <w:rsid w:val="001121F8"/>
    <w:rsid w:val="0011665B"/>
    <w:rsid w:val="00126213"/>
    <w:rsid w:val="001268C9"/>
    <w:rsid w:val="0013290F"/>
    <w:rsid w:val="00137B71"/>
    <w:rsid w:val="0014268A"/>
    <w:rsid w:val="00142822"/>
    <w:rsid w:val="00151CCA"/>
    <w:rsid w:val="00157BD8"/>
    <w:rsid w:val="001619B2"/>
    <w:rsid w:val="001622E3"/>
    <w:rsid w:val="00164438"/>
    <w:rsid w:val="00172618"/>
    <w:rsid w:val="00174A6F"/>
    <w:rsid w:val="001812B2"/>
    <w:rsid w:val="0018309C"/>
    <w:rsid w:val="00184318"/>
    <w:rsid w:val="00192FF7"/>
    <w:rsid w:val="0019388B"/>
    <w:rsid w:val="00195378"/>
    <w:rsid w:val="00195500"/>
    <w:rsid w:val="00197C29"/>
    <w:rsid w:val="001A05F4"/>
    <w:rsid w:val="001A07FC"/>
    <w:rsid w:val="001A0EBE"/>
    <w:rsid w:val="001A21B7"/>
    <w:rsid w:val="001A2CB2"/>
    <w:rsid w:val="001A6F1D"/>
    <w:rsid w:val="001B1029"/>
    <w:rsid w:val="001B2EFC"/>
    <w:rsid w:val="001B62B1"/>
    <w:rsid w:val="001B74F7"/>
    <w:rsid w:val="001C1763"/>
    <w:rsid w:val="001C1993"/>
    <w:rsid w:val="001D4441"/>
    <w:rsid w:val="001F186F"/>
    <w:rsid w:val="001F4B02"/>
    <w:rsid w:val="001F5586"/>
    <w:rsid w:val="002041E3"/>
    <w:rsid w:val="00205674"/>
    <w:rsid w:val="002073EA"/>
    <w:rsid w:val="0021094D"/>
    <w:rsid w:val="00221BB6"/>
    <w:rsid w:val="00222A0F"/>
    <w:rsid w:val="00225415"/>
    <w:rsid w:val="00225BE5"/>
    <w:rsid w:val="002266CD"/>
    <w:rsid w:val="002320C6"/>
    <w:rsid w:val="002401A4"/>
    <w:rsid w:val="002416F1"/>
    <w:rsid w:val="002431D4"/>
    <w:rsid w:val="00243F91"/>
    <w:rsid w:val="00252B31"/>
    <w:rsid w:val="00252FF8"/>
    <w:rsid w:val="00253288"/>
    <w:rsid w:val="002563F5"/>
    <w:rsid w:val="00265471"/>
    <w:rsid w:val="0026789F"/>
    <w:rsid w:val="00267E01"/>
    <w:rsid w:val="00270F93"/>
    <w:rsid w:val="00271A81"/>
    <w:rsid w:val="002731BE"/>
    <w:rsid w:val="00274A6B"/>
    <w:rsid w:val="00280F3F"/>
    <w:rsid w:val="00292A3D"/>
    <w:rsid w:val="0029581C"/>
    <w:rsid w:val="00296096"/>
    <w:rsid w:val="002961F7"/>
    <w:rsid w:val="002969B0"/>
    <w:rsid w:val="00296B76"/>
    <w:rsid w:val="00297942"/>
    <w:rsid w:val="002A30B3"/>
    <w:rsid w:val="002A4296"/>
    <w:rsid w:val="002A6A6E"/>
    <w:rsid w:val="002B18B7"/>
    <w:rsid w:val="002B3775"/>
    <w:rsid w:val="002B43B0"/>
    <w:rsid w:val="002C1B6A"/>
    <w:rsid w:val="002C49DE"/>
    <w:rsid w:val="002C7D3E"/>
    <w:rsid w:val="002D1CFC"/>
    <w:rsid w:val="002D3A2E"/>
    <w:rsid w:val="002E2EAF"/>
    <w:rsid w:val="002E6A74"/>
    <w:rsid w:val="002F4BCF"/>
    <w:rsid w:val="002F6FE9"/>
    <w:rsid w:val="00302008"/>
    <w:rsid w:val="00307D5A"/>
    <w:rsid w:val="003104E9"/>
    <w:rsid w:val="003155AF"/>
    <w:rsid w:val="0031573C"/>
    <w:rsid w:val="0032093A"/>
    <w:rsid w:val="00325C2B"/>
    <w:rsid w:val="00330D4E"/>
    <w:rsid w:val="00332547"/>
    <w:rsid w:val="00336887"/>
    <w:rsid w:val="00337600"/>
    <w:rsid w:val="003403BB"/>
    <w:rsid w:val="003408B8"/>
    <w:rsid w:val="0034580F"/>
    <w:rsid w:val="00346E26"/>
    <w:rsid w:val="003506C9"/>
    <w:rsid w:val="00355F8F"/>
    <w:rsid w:val="003567D6"/>
    <w:rsid w:val="00360489"/>
    <w:rsid w:val="00361AE4"/>
    <w:rsid w:val="0036420C"/>
    <w:rsid w:val="00371277"/>
    <w:rsid w:val="0037129D"/>
    <w:rsid w:val="0037228D"/>
    <w:rsid w:val="003756B1"/>
    <w:rsid w:val="00377707"/>
    <w:rsid w:val="0039164B"/>
    <w:rsid w:val="003922B3"/>
    <w:rsid w:val="0039436E"/>
    <w:rsid w:val="003A0B4B"/>
    <w:rsid w:val="003A510D"/>
    <w:rsid w:val="003A5207"/>
    <w:rsid w:val="003A64D3"/>
    <w:rsid w:val="003B41C7"/>
    <w:rsid w:val="003B50D7"/>
    <w:rsid w:val="003C0294"/>
    <w:rsid w:val="003E2006"/>
    <w:rsid w:val="003E319C"/>
    <w:rsid w:val="003F3BFD"/>
    <w:rsid w:val="003F7C49"/>
    <w:rsid w:val="00401C5B"/>
    <w:rsid w:val="004051D6"/>
    <w:rsid w:val="00410887"/>
    <w:rsid w:val="00412F5F"/>
    <w:rsid w:val="00413EFC"/>
    <w:rsid w:val="00416BC6"/>
    <w:rsid w:val="004173DA"/>
    <w:rsid w:val="00431EA8"/>
    <w:rsid w:val="00437023"/>
    <w:rsid w:val="004406AA"/>
    <w:rsid w:val="00446BE0"/>
    <w:rsid w:val="0045080C"/>
    <w:rsid w:val="00452CF1"/>
    <w:rsid w:val="0045395B"/>
    <w:rsid w:val="004556DB"/>
    <w:rsid w:val="00457A18"/>
    <w:rsid w:val="00460FAD"/>
    <w:rsid w:val="00462368"/>
    <w:rsid w:val="0046549B"/>
    <w:rsid w:val="00465AD7"/>
    <w:rsid w:val="0046683A"/>
    <w:rsid w:val="004718B9"/>
    <w:rsid w:val="004752CF"/>
    <w:rsid w:val="0047556F"/>
    <w:rsid w:val="00481630"/>
    <w:rsid w:val="00485584"/>
    <w:rsid w:val="00485A6F"/>
    <w:rsid w:val="004873D0"/>
    <w:rsid w:val="004920B1"/>
    <w:rsid w:val="004A1DF5"/>
    <w:rsid w:val="004A5223"/>
    <w:rsid w:val="004B16FB"/>
    <w:rsid w:val="004B7C80"/>
    <w:rsid w:val="004D6411"/>
    <w:rsid w:val="004E4EE7"/>
    <w:rsid w:val="004E5DFC"/>
    <w:rsid w:val="004F640D"/>
    <w:rsid w:val="0050096C"/>
    <w:rsid w:val="00510D6D"/>
    <w:rsid w:val="00513446"/>
    <w:rsid w:val="00513584"/>
    <w:rsid w:val="00516EBF"/>
    <w:rsid w:val="00522362"/>
    <w:rsid w:val="00523E3F"/>
    <w:rsid w:val="00524FFC"/>
    <w:rsid w:val="005343A6"/>
    <w:rsid w:val="00534CD2"/>
    <w:rsid w:val="005379C6"/>
    <w:rsid w:val="00540B37"/>
    <w:rsid w:val="005419B6"/>
    <w:rsid w:val="00543DDF"/>
    <w:rsid w:val="00546CE2"/>
    <w:rsid w:val="00546F49"/>
    <w:rsid w:val="005607CE"/>
    <w:rsid w:val="00562DBB"/>
    <w:rsid w:val="0056771C"/>
    <w:rsid w:val="0057280C"/>
    <w:rsid w:val="00572BF9"/>
    <w:rsid w:val="005777BA"/>
    <w:rsid w:val="00577E6A"/>
    <w:rsid w:val="00582D1B"/>
    <w:rsid w:val="00584A11"/>
    <w:rsid w:val="005874FF"/>
    <w:rsid w:val="005906E6"/>
    <w:rsid w:val="005944D6"/>
    <w:rsid w:val="00595C5D"/>
    <w:rsid w:val="005A255E"/>
    <w:rsid w:val="005A3D27"/>
    <w:rsid w:val="005A4EA0"/>
    <w:rsid w:val="005B16A8"/>
    <w:rsid w:val="005B3C41"/>
    <w:rsid w:val="005B4233"/>
    <w:rsid w:val="005C1929"/>
    <w:rsid w:val="005C1956"/>
    <w:rsid w:val="005C2C88"/>
    <w:rsid w:val="005C36CF"/>
    <w:rsid w:val="005C41CB"/>
    <w:rsid w:val="005C5E21"/>
    <w:rsid w:val="005D3B08"/>
    <w:rsid w:val="005E15CD"/>
    <w:rsid w:val="005E384F"/>
    <w:rsid w:val="005E71C4"/>
    <w:rsid w:val="005F0BF4"/>
    <w:rsid w:val="005F2CE5"/>
    <w:rsid w:val="005F4753"/>
    <w:rsid w:val="005F7A10"/>
    <w:rsid w:val="00601234"/>
    <w:rsid w:val="006053AC"/>
    <w:rsid w:val="00606636"/>
    <w:rsid w:val="006111FF"/>
    <w:rsid w:val="00611ACA"/>
    <w:rsid w:val="00611BE0"/>
    <w:rsid w:val="00611C66"/>
    <w:rsid w:val="006130A8"/>
    <w:rsid w:val="006138EA"/>
    <w:rsid w:val="00615A15"/>
    <w:rsid w:val="0061628D"/>
    <w:rsid w:val="00616978"/>
    <w:rsid w:val="006208F9"/>
    <w:rsid w:val="00625699"/>
    <w:rsid w:val="0062787C"/>
    <w:rsid w:val="00630769"/>
    <w:rsid w:val="0063298B"/>
    <w:rsid w:val="00633478"/>
    <w:rsid w:val="0063547F"/>
    <w:rsid w:val="00637756"/>
    <w:rsid w:val="00637A1B"/>
    <w:rsid w:val="00640B82"/>
    <w:rsid w:val="00654EEE"/>
    <w:rsid w:val="00655126"/>
    <w:rsid w:val="006639B6"/>
    <w:rsid w:val="00664BB3"/>
    <w:rsid w:val="006676A5"/>
    <w:rsid w:val="00677A5F"/>
    <w:rsid w:val="006820F8"/>
    <w:rsid w:val="0068237A"/>
    <w:rsid w:val="006843AB"/>
    <w:rsid w:val="00697F14"/>
    <w:rsid w:val="006A02A4"/>
    <w:rsid w:val="006A22DF"/>
    <w:rsid w:val="006A3D9D"/>
    <w:rsid w:val="006A7C48"/>
    <w:rsid w:val="006B0FD3"/>
    <w:rsid w:val="006C0E82"/>
    <w:rsid w:val="006C2A1B"/>
    <w:rsid w:val="006C2B52"/>
    <w:rsid w:val="006C35C5"/>
    <w:rsid w:val="006C35FD"/>
    <w:rsid w:val="006D333C"/>
    <w:rsid w:val="006D71BC"/>
    <w:rsid w:val="006E081B"/>
    <w:rsid w:val="006E31EC"/>
    <w:rsid w:val="006E4E3A"/>
    <w:rsid w:val="006E647B"/>
    <w:rsid w:val="006E6D33"/>
    <w:rsid w:val="006F3DE9"/>
    <w:rsid w:val="006F4751"/>
    <w:rsid w:val="006F6F48"/>
    <w:rsid w:val="007044A9"/>
    <w:rsid w:val="00710EC4"/>
    <w:rsid w:val="00712D04"/>
    <w:rsid w:val="00713F67"/>
    <w:rsid w:val="007156E0"/>
    <w:rsid w:val="00717F40"/>
    <w:rsid w:val="00730053"/>
    <w:rsid w:val="00730433"/>
    <w:rsid w:val="0073514C"/>
    <w:rsid w:val="007352DD"/>
    <w:rsid w:val="00736E8E"/>
    <w:rsid w:val="00740F46"/>
    <w:rsid w:val="00746135"/>
    <w:rsid w:val="00747D1D"/>
    <w:rsid w:val="00750E5E"/>
    <w:rsid w:val="0075277A"/>
    <w:rsid w:val="00754ABE"/>
    <w:rsid w:val="00756D5B"/>
    <w:rsid w:val="0076020D"/>
    <w:rsid w:val="007603BB"/>
    <w:rsid w:val="00772598"/>
    <w:rsid w:val="0077418A"/>
    <w:rsid w:val="007750ED"/>
    <w:rsid w:val="00776807"/>
    <w:rsid w:val="0077789B"/>
    <w:rsid w:val="00777EE8"/>
    <w:rsid w:val="0078062F"/>
    <w:rsid w:val="007827E7"/>
    <w:rsid w:val="0079163D"/>
    <w:rsid w:val="0079187F"/>
    <w:rsid w:val="00791D34"/>
    <w:rsid w:val="00792872"/>
    <w:rsid w:val="00795F2D"/>
    <w:rsid w:val="00797E41"/>
    <w:rsid w:val="007A1FFE"/>
    <w:rsid w:val="007A357A"/>
    <w:rsid w:val="007A45A1"/>
    <w:rsid w:val="007A6DBA"/>
    <w:rsid w:val="007B2958"/>
    <w:rsid w:val="007C090B"/>
    <w:rsid w:val="007C1CE3"/>
    <w:rsid w:val="007D0D75"/>
    <w:rsid w:val="007D1C4D"/>
    <w:rsid w:val="007E09F5"/>
    <w:rsid w:val="007E4464"/>
    <w:rsid w:val="007E4CCE"/>
    <w:rsid w:val="007E4EE3"/>
    <w:rsid w:val="007E603C"/>
    <w:rsid w:val="007F7051"/>
    <w:rsid w:val="007F735A"/>
    <w:rsid w:val="00805540"/>
    <w:rsid w:val="008056FF"/>
    <w:rsid w:val="00806E5F"/>
    <w:rsid w:val="0081590E"/>
    <w:rsid w:val="008302C7"/>
    <w:rsid w:val="00846856"/>
    <w:rsid w:val="00850F55"/>
    <w:rsid w:val="00853345"/>
    <w:rsid w:val="0085398B"/>
    <w:rsid w:val="008549F9"/>
    <w:rsid w:val="008601F7"/>
    <w:rsid w:val="00860809"/>
    <w:rsid w:val="00864209"/>
    <w:rsid w:val="00865450"/>
    <w:rsid w:val="00871F3F"/>
    <w:rsid w:val="008824B9"/>
    <w:rsid w:val="0088315D"/>
    <w:rsid w:val="00884205"/>
    <w:rsid w:val="00886BB5"/>
    <w:rsid w:val="0089122D"/>
    <w:rsid w:val="00892FE0"/>
    <w:rsid w:val="00893782"/>
    <w:rsid w:val="0089761E"/>
    <w:rsid w:val="008A5384"/>
    <w:rsid w:val="008A62E6"/>
    <w:rsid w:val="008B5BFB"/>
    <w:rsid w:val="008C1830"/>
    <w:rsid w:val="008C1B78"/>
    <w:rsid w:val="008C39B5"/>
    <w:rsid w:val="008C60EE"/>
    <w:rsid w:val="008C6F68"/>
    <w:rsid w:val="008D7BF2"/>
    <w:rsid w:val="008E05A3"/>
    <w:rsid w:val="008E17C0"/>
    <w:rsid w:val="008E1FF2"/>
    <w:rsid w:val="008E20D0"/>
    <w:rsid w:val="008E749B"/>
    <w:rsid w:val="008F4AC1"/>
    <w:rsid w:val="008F7CA2"/>
    <w:rsid w:val="00900F2B"/>
    <w:rsid w:val="00901475"/>
    <w:rsid w:val="00914C38"/>
    <w:rsid w:val="009169BC"/>
    <w:rsid w:val="00916EE7"/>
    <w:rsid w:val="00923695"/>
    <w:rsid w:val="00926D55"/>
    <w:rsid w:val="00927277"/>
    <w:rsid w:val="00930CD7"/>
    <w:rsid w:val="00932C7B"/>
    <w:rsid w:val="009414CD"/>
    <w:rsid w:val="0094239F"/>
    <w:rsid w:val="0095077D"/>
    <w:rsid w:val="00950AF3"/>
    <w:rsid w:val="00956501"/>
    <w:rsid w:val="0096309E"/>
    <w:rsid w:val="00965345"/>
    <w:rsid w:val="00965BD4"/>
    <w:rsid w:val="00967973"/>
    <w:rsid w:val="00970160"/>
    <w:rsid w:val="0098535B"/>
    <w:rsid w:val="00994AAC"/>
    <w:rsid w:val="0099528E"/>
    <w:rsid w:val="0099561C"/>
    <w:rsid w:val="00995F44"/>
    <w:rsid w:val="00997B23"/>
    <w:rsid w:val="009A35E4"/>
    <w:rsid w:val="009A6925"/>
    <w:rsid w:val="009B039E"/>
    <w:rsid w:val="009B0CB2"/>
    <w:rsid w:val="009B15A1"/>
    <w:rsid w:val="009B281F"/>
    <w:rsid w:val="009C07C2"/>
    <w:rsid w:val="009C12A2"/>
    <w:rsid w:val="009C5183"/>
    <w:rsid w:val="009D0024"/>
    <w:rsid w:val="009D46D7"/>
    <w:rsid w:val="009D4B87"/>
    <w:rsid w:val="009F0055"/>
    <w:rsid w:val="009F07CC"/>
    <w:rsid w:val="009F18CE"/>
    <w:rsid w:val="009F1D27"/>
    <w:rsid w:val="009F3931"/>
    <w:rsid w:val="009F5625"/>
    <w:rsid w:val="009F7BBB"/>
    <w:rsid w:val="00A012A5"/>
    <w:rsid w:val="00A04E02"/>
    <w:rsid w:val="00A058EA"/>
    <w:rsid w:val="00A06A89"/>
    <w:rsid w:val="00A135BE"/>
    <w:rsid w:val="00A17E26"/>
    <w:rsid w:val="00A24C8E"/>
    <w:rsid w:val="00A271CC"/>
    <w:rsid w:val="00A328D2"/>
    <w:rsid w:val="00A32B81"/>
    <w:rsid w:val="00A340BC"/>
    <w:rsid w:val="00A35C98"/>
    <w:rsid w:val="00A36290"/>
    <w:rsid w:val="00A4428E"/>
    <w:rsid w:val="00A44ECC"/>
    <w:rsid w:val="00A5331A"/>
    <w:rsid w:val="00A54921"/>
    <w:rsid w:val="00A553D6"/>
    <w:rsid w:val="00A60DC6"/>
    <w:rsid w:val="00A61374"/>
    <w:rsid w:val="00A667BD"/>
    <w:rsid w:val="00A7049C"/>
    <w:rsid w:val="00A70EF3"/>
    <w:rsid w:val="00A71DEE"/>
    <w:rsid w:val="00A80135"/>
    <w:rsid w:val="00A8381C"/>
    <w:rsid w:val="00A86849"/>
    <w:rsid w:val="00A940C5"/>
    <w:rsid w:val="00AA0879"/>
    <w:rsid w:val="00AA0A20"/>
    <w:rsid w:val="00AA0A44"/>
    <w:rsid w:val="00AA2B6A"/>
    <w:rsid w:val="00AA373E"/>
    <w:rsid w:val="00AA6CAF"/>
    <w:rsid w:val="00AA7CA2"/>
    <w:rsid w:val="00AB0594"/>
    <w:rsid w:val="00AB2166"/>
    <w:rsid w:val="00AB281A"/>
    <w:rsid w:val="00AB43D9"/>
    <w:rsid w:val="00AB7C8B"/>
    <w:rsid w:val="00AC134B"/>
    <w:rsid w:val="00AC4995"/>
    <w:rsid w:val="00AD3304"/>
    <w:rsid w:val="00AD57B2"/>
    <w:rsid w:val="00AD6EB3"/>
    <w:rsid w:val="00AE04E8"/>
    <w:rsid w:val="00AE0705"/>
    <w:rsid w:val="00AE1C67"/>
    <w:rsid w:val="00AE2F4F"/>
    <w:rsid w:val="00B00D4A"/>
    <w:rsid w:val="00B01CCC"/>
    <w:rsid w:val="00B030BE"/>
    <w:rsid w:val="00B0594B"/>
    <w:rsid w:val="00B072A8"/>
    <w:rsid w:val="00B07E83"/>
    <w:rsid w:val="00B122EA"/>
    <w:rsid w:val="00B20AF4"/>
    <w:rsid w:val="00B22E5C"/>
    <w:rsid w:val="00B2488B"/>
    <w:rsid w:val="00B31D53"/>
    <w:rsid w:val="00B324A5"/>
    <w:rsid w:val="00B3608A"/>
    <w:rsid w:val="00B4361C"/>
    <w:rsid w:val="00B4551C"/>
    <w:rsid w:val="00B45728"/>
    <w:rsid w:val="00B460AF"/>
    <w:rsid w:val="00B46DC7"/>
    <w:rsid w:val="00B515A1"/>
    <w:rsid w:val="00B52010"/>
    <w:rsid w:val="00B54B98"/>
    <w:rsid w:val="00B57470"/>
    <w:rsid w:val="00B574E7"/>
    <w:rsid w:val="00B6108B"/>
    <w:rsid w:val="00B61627"/>
    <w:rsid w:val="00B64488"/>
    <w:rsid w:val="00B662B2"/>
    <w:rsid w:val="00B6763B"/>
    <w:rsid w:val="00B67CBD"/>
    <w:rsid w:val="00B743BC"/>
    <w:rsid w:val="00B76BFB"/>
    <w:rsid w:val="00B81192"/>
    <w:rsid w:val="00B82159"/>
    <w:rsid w:val="00B821ED"/>
    <w:rsid w:val="00B860F4"/>
    <w:rsid w:val="00B91BE5"/>
    <w:rsid w:val="00B921A8"/>
    <w:rsid w:val="00B92319"/>
    <w:rsid w:val="00B92502"/>
    <w:rsid w:val="00BA221C"/>
    <w:rsid w:val="00BA4168"/>
    <w:rsid w:val="00BA7626"/>
    <w:rsid w:val="00BC1295"/>
    <w:rsid w:val="00BC7EEE"/>
    <w:rsid w:val="00BD19AE"/>
    <w:rsid w:val="00BE16C3"/>
    <w:rsid w:val="00BE3B17"/>
    <w:rsid w:val="00BE50FE"/>
    <w:rsid w:val="00BE5958"/>
    <w:rsid w:val="00BE6A51"/>
    <w:rsid w:val="00BE6CD8"/>
    <w:rsid w:val="00BE7758"/>
    <w:rsid w:val="00BF071D"/>
    <w:rsid w:val="00BF0A96"/>
    <w:rsid w:val="00BF32EC"/>
    <w:rsid w:val="00BF7E59"/>
    <w:rsid w:val="00BF7FDE"/>
    <w:rsid w:val="00C01E1C"/>
    <w:rsid w:val="00C02E48"/>
    <w:rsid w:val="00C038DB"/>
    <w:rsid w:val="00C05EEC"/>
    <w:rsid w:val="00C07902"/>
    <w:rsid w:val="00C12555"/>
    <w:rsid w:val="00C14A11"/>
    <w:rsid w:val="00C213C0"/>
    <w:rsid w:val="00C27EF9"/>
    <w:rsid w:val="00C3018F"/>
    <w:rsid w:val="00C30671"/>
    <w:rsid w:val="00C30A66"/>
    <w:rsid w:val="00C332DC"/>
    <w:rsid w:val="00C347AE"/>
    <w:rsid w:val="00C47696"/>
    <w:rsid w:val="00C53BED"/>
    <w:rsid w:val="00C565FA"/>
    <w:rsid w:val="00C5759E"/>
    <w:rsid w:val="00C577C8"/>
    <w:rsid w:val="00C63E30"/>
    <w:rsid w:val="00C73967"/>
    <w:rsid w:val="00C753A1"/>
    <w:rsid w:val="00C84877"/>
    <w:rsid w:val="00C85A66"/>
    <w:rsid w:val="00C86D0F"/>
    <w:rsid w:val="00C94023"/>
    <w:rsid w:val="00C95DF7"/>
    <w:rsid w:val="00C963B8"/>
    <w:rsid w:val="00C96EBF"/>
    <w:rsid w:val="00C97C40"/>
    <w:rsid w:val="00CA5AEB"/>
    <w:rsid w:val="00CA5E0B"/>
    <w:rsid w:val="00CB1864"/>
    <w:rsid w:val="00CC12E3"/>
    <w:rsid w:val="00CC1E09"/>
    <w:rsid w:val="00CC6623"/>
    <w:rsid w:val="00CC7AE8"/>
    <w:rsid w:val="00CD31A0"/>
    <w:rsid w:val="00CD5D90"/>
    <w:rsid w:val="00CD6A5D"/>
    <w:rsid w:val="00CD6CFE"/>
    <w:rsid w:val="00CD7B68"/>
    <w:rsid w:val="00CE1C9D"/>
    <w:rsid w:val="00CE5750"/>
    <w:rsid w:val="00CE5CE5"/>
    <w:rsid w:val="00CF166A"/>
    <w:rsid w:val="00CF1A16"/>
    <w:rsid w:val="00CF2A54"/>
    <w:rsid w:val="00CF6E00"/>
    <w:rsid w:val="00D00569"/>
    <w:rsid w:val="00D034E1"/>
    <w:rsid w:val="00D102A7"/>
    <w:rsid w:val="00D1288A"/>
    <w:rsid w:val="00D12950"/>
    <w:rsid w:val="00D15473"/>
    <w:rsid w:val="00D21691"/>
    <w:rsid w:val="00D22DE3"/>
    <w:rsid w:val="00D243B3"/>
    <w:rsid w:val="00D26B80"/>
    <w:rsid w:val="00D30F97"/>
    <w:rsid w:val="00D33169"/>
    <w:rsid w:val="00D333B8"/>
    <w:rsid w:val="00D334AA"/>
    <w:rsid w:val="00D34356"/>
    <w:rsid w:val="00D353F4"/>
    <w:rsid w:val="00D357B5"/>
    <w:rsid w:val="00D36127"/>
    <w:rsid w:val="00D44EA3"/>
    <w:rsid w:val="00D4586E"/>
    <w:rsid w:val="00D47A6E"/>
    <w:rsid w:val="00D51860"/>
    <w:rsid w:val="00D53E5A"/>
    <w:rsid w:val="00D543F7"/>
    <w:rsid w:val="00D54986"/>
    <w:rsid w:val="00D56617"/>
    <w:rsid w:val="00D56B5D"/>
    <w:rsid w:val="00D63793"/>
    <w:rsid w:val="00D72C2F"/>
    <w:rsid w:val="00D73611"/>
    <w:rsid w:val="00D747BE"/>
    <w:rsid w:val="00D76B5D"/>
    <w:rsid w:val="00D81EFB"/>
    <w:rsid w:val="00D9054F"/>
    <w:rsid w:val="00D90810"/>
    <w:rsid w:val="00D90E7A"/>
    <w:rsid w:val="00D95DDB"/>
    <w:rsid w:val="00D960D8"/>
    <w:rsid w:val="00D96232"/>
    <w:rsid w:val="00DA3F02"/>
    <w:rsid w:val="00DB5B90"/>
    <w:rsid w:val="00DB6AFE"/>
    <w:rsid w:val="00DB6D67"/>
    <w:rsid w:val="00DB77F7"/>
    <w:rsid w:val="00DC2093"/>
    <w:rsid w:val="00DC5C22"/>
    <w:rsid w:val="00DE1AFC"/>
    <w:rsid w:val="00DE3691"/>
    <w:rsid w:val="00DE5E8F"/>
    <w:rsid w:val="00DF06A0"/>
    <w:rsid w:val="00DF5FFC"/>
    <w:rsid w:val="00E06F68"/>
    <w:rsid w:val="00E127FB"/>
    <w:rsid w:val="00E14D88"/>
    <w:rsid w:val="00E22B9D"/>
    <w:rsid w:val="00E25A68"/>
    <w:rsid w:val="00E31EBA"/>
    <w:rsid w:val="00E32625"/>
    <w:rsid w:val="00E32971"/>
    <w:rsid w:val="00E32CAA"/>
    <w:rsid w:val="00E34857"/>
    <w:rsid w:val="00E34AD5"/>
    <w:rsid w:val="00E467D3"/>
    <w:rsid w:val="00E50968"/>
    <w:rsid w:val="00E526A4"/>
    <w:rsid w:val="00E54272"/>
    <w:rsid w:val="00E70070"/>
    <w:rsid w:val="00E7514A"/>
    <w:rsid w:val="00E771AF"/>
    <w:rsid w:val="00E81663"/>
    <w:rsid w:val="00E86247"/>
    <w:rsid w:val="00E906F1"/>
    <w:rsid w:val="00E90B90"/>
    <w:rsid w:val="00E9155E"/>
    <w:rsid w:val="00E973F5"/>
    <w:rsid w:val="00EA4C31"/>
    <w:rsid w:val="00EB0CCC"/>
    <w:rsid w:val="00EB2A33"/>
    <w:rsid w:val="00EB41E9"/>
    <w:rsid w:val="00EB5002"/>
    <w:rsid w:val="00EB5EBC"/>
    <w:rsid w:val="00EC1571"/>
    <w:rsid w:val="00EC694A"/>
    <w:rsid w:val="00ED12C3"/>
    <w:rsid w:val="00ED2EB6"/>
    <w:rsid w:val="00ED34DC"/>
    <w:rsid w:val="00ED3AC7"/>
    <w:rsid w:val="00EE1252"/>
    <w:rsid w:val="00EE47FF"/>
    <w:rsid w:val="00EE76E1"/>
    <w:rsid w:val="00EE7911"/>
    <w:rsid w:val="00EF1B37"/>
    <w:rsid w:val="00EF2384"/>
    <w:rsid w:val="00EF63AE"/>
    <w:rsid w:val="00F03DB7"/>
    <w:rsid w:val="00F067C9"/>
    <w:rsid w:val="00F07ED2"/>
    <w:rsid w:val="00F12EE5"/>
    <w:rsid w:val="00F225E2"/>
    <w:rsid w:val="00F22ACE"/>
    <w:rsid w:val="00F22E8B"/>
    <w:rsid w:val="00F31089"/>
    <w:rsid w:val="00F324E0"/>
    <w:rsid w:val="00F325E4"/>
    <w:rsid w:val="00F330D0"/>
    <w:rsid w:val="00F43FF3"/>
    <w:rsid w:val="00F4471E"/>
    <w:rsid w:val="00F46F7C"/>
    <w:rsid w:val="00F5124B"/>
    <w:rsid w:val="00F57506"/>
    <w:rsid w:val="00F600F4"/>
    <w:rsid w:val="00F62FA4"/>
    <w:rsid w:val="00F71040"/>
    <w:rsid w:val="00F71A6A"/>
    <w:rsid w:val="00F73D18"/>
    <w:rsid w:val="00F80143"/>
    <w:rsid w:val="00F8157A"/>
    <w:rsid w:val="00F81AF7"/>
    <w:rsid w:val="00F8218E"/>
    <w:rsid w:val="00F83DA9"/>
    <w:rsid w:val="00F909D1"/>
    <w:rsid w:val="00F94742"/>
    <w:rsid w:val="00F94C77"/>
    <w:rsid w:val="00F967D8"/>
    <w:rsid w:val="00FA1E85"/>
    <w:rsid w:val="00FA5019"/>
    <w:rsid w:val="00FB19A8"/>
    <w:rsid w:val="00FB3690"/>
    <w:rsid w:val="00FB3C04"/>
    <w:rsid w:val="00FB6056"/>
    <w:rsid w:val="00FB6DF8"/>
    <w:rsid w:val="00FC1517"/>
    <w:rsid w:val="00FC1820"/>
    <w:rsid w:val="00FC75B4"/>
    <w:rsid w:val="00FD3E2F"/>
    <w:rsid w:val="00FD4952"/>
    <w:rsid w:val="00FE0AED"/>
    <w:rsid w:val="00FE6E31"/>
    <w:rsid w:val="00FF2278"/>
    <w:rsid w:val="00FF44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EE5"/>
    <w:pPr>
      <w:suppressAutoHyphens/>
    </w:pPr>
    <w:rPr>
      <w:sz w:val="24"/>
      <w:lang w:val="en-GB" w:eastAsia="fr-FR"/>
    </w:rPr>
  </w:style>
  <w:style w:type="paragraph" w:styleId="Heading1">
    <w:name w:val="heading 1"/>
    <w:basedOn w:val="Normal"/>
    <w:next w:val="Normal"/>
    <w:qFormat/>
    <w:rsid w:val="00F12EE5"/>
    <w:pPr>
      <w:keepNext/>
      <w:numPr>
        <w:numId w:val="20"/>
      </w:numPr>
      <w:spacing w:before="360" w:after="240"/>
      <w:jc w:val="center"/>
      <w:outlineLvl w:val="0"/>
    </w:pPr>
    <w:rPr>
      <w:b/>
      <w:sz w:val="28"/>
    </w:rPr>
  </w:style>
  <w:style w:type="paragraph" w:styleId="Heading2">
    <w:name w:val="heading 2"/>
    <w:basedOn w:val="Normal"/>
    <w:next w:val="Normal"/>
    <w:qFormat/>
    <w:rsid w:val="00F12EE5"/>
    <w:pPr>
      <w:keepNext/>
      <w:numPr>
        <w:ilvl w:val="1"/>
        <w:numId w:val="20"/>
      </w:numPr>
      <w:spacing w:before="240" w:after="120"/>
      <w:outlineLvl w:val="1"/>
    </w:pPr>
    <w:rPr>
      <w:b/>
    </w:rPr>
  </w:style>
  <w:style w:type="paragraph" w:styleId="Heading3">
    <w:name w:val="heading 3"/>
    <w:basedOn w:val="Normal"/>
    <w:next w:val="Normal"/>
    <w:qFormat/>
    <w:rsid w:val="00F12EE5"/>
    <w:pPr>
      <w:keepNext/>
      <w:numPr>
        <w:ilvl w:val="2"/>
        <w:numId w:val="20"/>
      </w:numPr>
      <w:spacing w:before="120" w:after="60"/>
      <w:outlineLvl w:val="2"/>
    </w:pPr>
    <w:rPr>
      <w:i/>
    </w:rPr>
  </w:style>
  <w:style w:type="paragraph" w:styleId="Heading4">
    <w:name w:val="heading 4"/>
    <w:basedOn w:val="Normal"/>
    <w:next w:val="Normal"/>
    <w:qFormat/>
    <w:rsid w:val="00F12EE5"/>
    <w:pPr>
      <w:keepNext/>
      <w:numPr>
        <w:ilvl w:val="3"/>
        <w:numId w:val="20"/>
      </w:numPr>
      <w:spacing w:before="240" w:after="60"/>
      <w:outlineLvl w:val="3"/>
    </w:pPr>
    <w:rPr>
      <w:b/>
      <w:bCs/>
      <w:sz w:val="28"/>
      <w:szCs w:val="28"/>
    </w:rPr>
  </w:style>
  <w:style w:type="paragraph" w:styleId="Heading5">
    <w:name w:val="heading 5"/>
    <w:basedOn w:val="Normal"/>
    <w:next w:val="Normal"/>
    <w:qFormat/>
    <w:rsid w:val="00F12EE5"/>
    <w:pPr>
      <w:numPr>
        <w:ilvl w:val="4"/>
        <w:numId w:val="20"/>
      </w:numPr>
      <w:spacing w:before="240" w:after="60"/>
      <w:outlineLvl w:val="4"/>
    </w:pPr>
    <w:rPr>
      <w:b/>
      <w:bCs/>
      <w:i/>
      <w:iCs/>
      <w:sz w:val="26"/>
      <w:szCs w:val="26"/>
    </w:rPr>
  </w:style>
  <w:style w:type="paragraph" w:styleId="Heading6">
    <w:name w:val="heading 6"/>
    <w:basedOn w:val="Normal"/>
    <w:next w:val="Normal"/>
    <w:qFormat/>
    <w:rsid w:val="00F12EE5"/>
    <w:pPr>
      <w:numPr>
        <w:ilvl w:val="5"/>
        <w:numId w:val="20"/>
      </w:numPr>
      <w:spacing w:before="240" w:after="60"/>
      <w:outlineLvl w:val="5"/>
    </w:pPr>
    <w:rPr>
      <w:b/>
      <w:bCs/>
      <w:sz w:val="22"/>
      <w:szCs w:val="22"/>
    </w:rPr>
  </w:style>
  <w:style w:type="paragraph" w:styleId="Heading7">
    <w:name w:val="heading 7"/>
    <w:basedOn w:val="Normal"/>
    <w:next w:val="Normal"/>
    <w:qFormat/>
    <w:rsid w:val="00F12EE5"/>
    <w:pPr>
      <w:numPr>
        <w:ilvl w:val="6"/>
        <w:numId w:val="20"/>
      </w:numPr>
      <w:spacing w:before="240" w:after="60"/>
      <w:outlineLvl w:val="6"/>
    </w:pPr>
    <w:rPr>
      <w:szCs w:val="24"/>
    </w:rPr>
  </w:style>
  <w:style w:type="paragraph" w:styleId="Heading8">
    <w:name w:val="heading 8"/>
    <w:basedOn w:val="Normal"/>
    <w:next w:val="Normal"/>
    <w:qFormat/>
    <w:rsid w:val="00F12EE5"/>
    <w:pPr>
      <w:numPr>
        <w:ilvl w:val="7"/>
        <w:numId w:val="20"/>
      </w:numPr>
      <w:spacing w:before="240" w:after="60"/>
      <w:outlineLvl w:val="7"/>
    </w:pPr>
    <w:rPr>
      <w:i/>
      <w:iCs/>
      <w:szCs w:val="24"/>
    </w:rPr>
  </w:style>
  <w:style w:type="paragraph" w:styleId="Heading9">
    <w:name w:val="heading 9"/>
    <w:basedOn w:val="Normal"/>
    <w:next w:val="Normal"/>
    <w:qFormat/>
    <w:rsid w:val="00F12EE5"/>
    <w:pPr>
      <w:numPr>
        <w:ilvl w:val="8"/>
        <w:numId w:val="20"/>
      </w:numPr>
      <w:spacing w:before="240" w:after="60"/>
      <w:outlineLvl w:val="8"/>
    </w:pPr>
    <w:rPr>
      <w:rFonts w:ascii="Arial" w:hAnsi="Arial" w:cs="Arial"/>
      <w:sz w:val="22"/>
      <w:szCs w:val="22"/>
    </w:rPr>
  </w:style>
  <w:style w:type="character" w:default="1" w:styleId="DefaultParagraphFont">
    <w:name w:val="Default Paragraph Font"/>
    <w:rsid w:val="00F12EE5"/>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F12EE5"/>
  </w:style>
  <w:style w:type="paragraph" w:customStyle="1" w:styleId="OpiHA">
    <w:name w:val="Opi_H_A"/>
    <w:basedOn w:val="JuHIRoman"/>
    <w:next w:val="OpiPara"/>
    <w:rsid w:val="00F12EE5"/>
    <w:pPr>
      <w:tabs>
        <w:tab w:val="clear" w:pos="357"/>
      </w:tabs>
    </w:pPr>
    <w:rPr>
      <w:b/>
    </w:rPr>
  </w:style>
  <w:style w:type="paragraph" w:customStyle="1" w:styleId="JuHIRoman">
    <w:name w:val="Ju_H_I_Roman"/>
    <w:basedOn w:val="JuHHead"/>
    <w:next w:val="JuPara"/>
    <w:rsid w:val="00F12EE5"/>
    <w:pPr>
      <w:tabs>
        <w:tab w:val="left" w:pos="357"/>
      </w:tabs>
      <w:spacing w:before="360"/>
      <w:ind w:left="357" w:hanging="357"/>
      <w:outlineLvl w:val="1"/>
    </w:pPr>
    <w:rPr>
      <w:sz w:val="24"/>
    </w:rPr>
  </w:style>
  <w:style w:type="paragraph" w:customStyle="1" w:styleId="JuHHead">
    <w:name w:val="Ju_H_Head"/>
    <w:basedOn w:val="NormalTimesNewRoman"/>
    <w:next w:val="JuPara"/>
    <w:rsid w:val="00F12EE5"/>
    <w:pPr>
      <w:keepNext/>
      <w:keepLines/>
      <w:spacing w:before="720" w:after="240"/>
      <w:jc w:val="both"/>
      <w:outlineLvl w:val="0"/>
    </w:pPr>
    <w:rPr>
      <w:sz w:val="28"/>
    </w:rPr>
  </w:style>
  <w:style w:type="character" w:customStyle="1" w:styleId="DefaultTimesNewRoman">
    <w:name w:val="Default_TimesNewRoman"/>
    <w:rsid w:val="00F12EE5"/>
    <w:rPr>
      <w:rFonts w:ascii="Times New Roman" w:hAnsi="Times New Roman"/>
    </w:rPr>
  </w:style>
  <w:style w:type="paragraph" w:customStyle="1" w:styleId="JuPara">
    <w:name w:val="Ju_Para"/>
    <w:aliases w:val="Left,First line:  0 cm"/>
    <w:basedOn w:val="NormalTimesNewRoman"/>
    <w:link w:val="JuParaChar"/>
    <w:rsid w:val="00F12EE5"/>
    <w:pPr>
      <w:ind w:firstLine="284"/>
      <w:jc w:val="both"/>
    </w:pPr>
  </w:style>
  <w:style w:type="character" w:customStyle="1" w:styleId="JuParaChar">
    <w:name w:val="Ju_Para Char"/>
    <w:link w:val="JuPara"/>
    <w:rsid w:val="00B921A8"/>
    <w:rPr>
      <w:sz w:val="24"/>
      <w:lang w:val="en-GB" w:eastAsia="fr-FR" w:bidi="ar-SA"/>
    </w:rPr>
  </w:style>
  <w:style w:type="paragraph" w:customStyle="1" w:styleId="OpiPara">
    <w:name w:val="Opi_Para"/>
    <w:basedOn w:val="JuPara"/>
    <w:rsid w:val="00F12EE5"/>
  </w:style>
  <w:style w:type="paragraph" w:customStyle="1" w:styleId="OpiH1">
    <w:name w:val="Opi_H_1."/>
    <w:basedOn w:val="OpiHA"/>
    <w:next w:val="OpiPara"/>
    <w:rsid w:val="00F12EE5"/>
    <w:pPr>
      <w:spacing w:before="240" w:after="120"/>
      <w:ind w:left="635"/>
      <w:outlineLvl w:val="2"/>
    </w:pPr>
    <w:rPr>
      <w:b w:val="0"/>
      <w:i/>
    </w:rPr>
  </w:style>
  <w:style w:type="paragraph" w:customStyle="1" w:styleId="OpiHa0">
    <w:name w:val="Opi_H_a"/>
    <w:basedOn w:val="OpiH1"/>
    <w:next w:val="OpiPara"/>
    <w:rsid w:val="00F12EE5"/>
    <w:pPr>
      <w:ind w:left="833"/>
      <w:outlineLvl w:val="3"/>
    </w:pPr>
    <w:rPr>
      <w:b/>
      <w:i w:val="0"/>
      <w:sz w:val="20"/>
    </w:rPr>
  </w:style>
  <w:style w:type="paragraph" w:customStyle="1" w:styleId="OpiHHead">
    <w:name w:val="Opi_H_Head"/>
    <w:basedOn w:val="JuHHead"/>
    <w:next w:val="OpiPara"/>
    <w:rsid w:val="00F12EE5"/>
    <w:pPr>
      <w:spacing w:before="0"/>
      <w:jc w:val="center"/>
    </w:pPr>
  </w:style>
  <w:style w:type="paragraph" w:customStyle="1" w:styleId="OpiHi">
    <w:name w:val="Opi_H_i"/>
    <w:basedOn w:val="OpiHa0"/>
    <w:next w:val="OpiPara"/>
    <w:rsid w:val="00F12EE5"/>
    <w:pPr>
      <w:ind w:left="1037"/>
      <w:outlineLvl w:val="4"/>
    </w:pPr>
    <w:rPr>
      <w:b w:val="0"/>
      <w:i/>
    </w:rPr>
  </w:style>
  <w:style w:type="paragraph" w:styleId="Footer">
    <w:name w:val="footer"/>
    <w:basedOn w:val="NormalTimesNewRoman"/>
    <w:rsid w:val="00F12EE5"/>
    <w:pPr>
      <w:tabs>
        <w:tab w:val="center" w:pos="3686"/>
        <w:tab w:val="right" w:pos="7371"/>
      </w:tabs>
    </w:pPr>
    <w:rPr>
      <w:sz w:val="18"/>
    </w:rPr>
  </w:style>
  <w:style w:type="paragraph" w:customStyle="1" w:styleId="JuJudges">
    <w:name w:val="Ju_Judges"/>
    <w:basedOn w:val="NormalTimesNewRoman"/>
    <w:link w:val="JuJudgesChar"/>
    <w:rsid w:val="00F12EE5"/>
    <w:pPr>
      <w:tabs>
        <w:tab w:val="left" w:pos="567"/>
        <w:tab w:val="left" w:pos="1134"/>
      </w:tabs>
    </w:pPr>
  </w:style>
  <w:style w:type="character" w:customStyle="1" w:styleId="JuJudgesChar">
    <w:name w:val="Ju_Judges Char"/>
    <w:link w:val="JuJudges"/>
    <w:locked/>
    <w:rsid w:val="00D15473"/>
    <w:rPr>
      <w:sz w:val="24"/>
      <w:lang w:val="en-GB" w:eastAsia="fr-FR" w:bidi="ar-SA"/>
    </w:rPr>
  </w:style>
  <w:style w:type="paragraph" w:customStyle="1" w:styleId="JuHA">
    <w:name w:val="Ju_H_A"/>
    <w:basedOn w:val="JuHIRoman"/>
    <w:next w:val="JuPara"/>
    <w:rsid w:val="00F12EE5"/>
    <w:pPr>
      <w:tabs>
        <w:tab w:val="clear" w:pos="357"/>
        <w:tab w:val="left" w:pos="584"/>
      </w:tabs>
      <w:ind w:left="584" w:hanging="352"/>
      <w:outlineLvl w:val="2"/>
    </w:pPr>
    <w:rPr>
      <w:b/>
    </w:rPr>
  </w:style>
  <w:style w:type="paragraph" w:customStyle="1" w:styleId="JuQuot">
    <w:name w:val="Ju_Quot"/>
    <w:basedOn w:val="JuPara"/>
    <w:link w:val="JuQuotChar"/>
    <w:rsid w:val="00F12EE5"/>
    <w:pPr>
      <w:spacing w:before="120" w:after="120"/>
      <w:ind w:left="425" w:firstLine="142"/>
    </w:pPr>
    <w:rPr>
      <w:sz w:val="20"/>
    </w:rPr>
  </w:style>
  <w:style w:type="paragraph" w:customStyle="1" w:styleId="JuSigned">
    <w:name w:val="Ju_Signed"/>
    <w:basedOn w:val="NormalTimesNewRoman"/>
    <w:next w:val="JuParaLast"/>
    <w:link w:val="JuSignedChar"/>
    <w:rsid w:val="00F12EE5"/>
    <w:pPr>
      <w:tabs>
        <w:tab w:val="center" w:pos="851"/>
        <w:tab w:val="center" w:pos="6407"/>
      </w:tabs>
      <w:spacing w:before="720"/>
    </w:pPr>
  </w:style>
  <w:style w:type="paragraph" w:customStyle="1" w:styleId="JuParaLast">
    <w:name w:val="Ju_Para_Last"/>
    <w:basedOn w:val="JuPara"/>
    <w:next w:val="JuPara"/>
    <w:rsid w:val="00F12EE5"/>
    <w:pPr>
      <w:keepNext/>
      <w:keepLines/>
      <w:spacing w:before="240"/>
    </w:pPr>
  </w:style>
  <w:style w:type="character" w:customStyle="1" w:styleId="JuSignedChar">
    <w:name w:val="Ju_Signed Char"/>
    <w:link w:val="JuSigned"/>
    <w:rsid w:val="000726F6"/>
    <w:rPr>
      <w:sz w:val="24"/>
      <w:lang w:val="en-GB" w:eastAsia="fr-FR" w:bidi="ar-SA"/>
    </w:rPr>
  </w:style>
  <w:style w:type="paragraph" w:customStyle="1" w:styleId="JuCase">
    <w:name w:val="Ju_Case"/>
    <w:basedOn w:val="JuPara"/>
    <w:next w:val="JuPara"/>
    <w:link w:val="JuCaseChar"/>
    <w:rsid w:val="00F12EE5"/>
    <w:rPr>
      <w:b/>
    </w:rPr>
  </w:style>
  <w:style w:type="character" w:customStyle="1" w:styleId="JuCaseChar">
    <w:name w:val="Ju_Case Char"/>
    <w:link w:val="JuCase"/>
    <w:rsid w:val="00B921A8"/>
    <w:rPr>
      <w:b/>
      <w:sz w:val="24"/>
      <w:lang w:val="en-GB" w:eastAsia="fr-FR" w:bidi="ar-SA"/>
    </w:rPr>
  </w:style>
  <w:style w:type="paragraph" w:customStyle="1" w:styleId="JuList">
    <w:name w:val="Ju_List"/>
    <w:basedOn w:val="JuPara"/>
    <w:link w:val="JuListChar"/>
    <w:rsid w:val="00F12EE5"/>
    <w:pPr>
      <w:ind w:left="340" w:hanging="340"/>
    </w:pPr>
  </w:style>
  <w:style w:type="character" w:customStyle="1" w:styleId="JuListChar">
    <w:name w:val="Ju_List Char"/>
    <w:link w:val="JuList"/>
    <w:rsid w:val="00930CD7"/>
    <w:rPr>
      <w:sz w:val="24"/>
      <w:lang w:val="en-GB" w:eastAsia="fr-FR" w:bidi="ar-SA"/>
    </w:rPr>
  </w:style>
  <w:style w:type="paragraph" w:customStyle="1" w:styleId="JuHArticle">
    <w:name w:val="Ju_H_Article"/>
    <w:basedOn w:val="JuHa0"/>
    <w:next w:val="JuQuot"/>
    <w:rsid w:val="00F12EE5"/>
    <w:pPr>
      <w:ind w:left="0" w:firstLine="0"/>
      <w:jc w:val="center"/>
    </w:pPr>
  </w:style>
  <w:style w:type="paragraph" w:customStyle="1" w:styleId="JuHa0">
    <w:name w:val="Ju_H_a"/>
    <w:basedOn w:val="JuH1"/>
    <w:next w:val="JuPara"/>
    <w:rsid w:val="00F12EE5"/>
    <w:pPr>
      <w:tabs>
        <w:tab w:val="clear" w:pos="731"/>
        <w:tab w:val="left" w:pos="975"/>
      </w:tabs>
      <w:ind w:left="975" w:hanging="340"/>
      <w:outlineLvl w:val="4"/>
    </w:pPr>
    <w:rPr>
      <w:b/>
      <w:i w:val="0"/>
      <w:sz w:val="20"/>
    </w:rPr>
  </w:style>
  <w:style w:type="paragraph" w:customStyle="1" w:styleId="JuH1">
    <w:name w:val="Ju_H_1."/>
    <w:basedOn w:val="JuHA"/>
    <w:next w:val="JuPara"/>
    <w:rsid w:val="00F12EE5"/>
    <w:pPr>
      <w:tabs>
        <w:tab w:val="clear" w:pos="584"/>
        <w:tab w:val="left" w:pos="731"/>
      </w:tabs>
      <w:spacing w:before="240" w:after="120"/>
      <w:ind w:left="732" w:hanging="301"/>
      <w:outlineLvl w:val="3"/>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F12EE5"/>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F12EE5"/>
  </w:style>
  <w:style w:type="paragraph" w:customStyle="1" w:styleId="OpiTranslation">
    <w:name w:val="Opi_Translation"/>
    <w:basedOn w:val="OpiHHead"/>
    <w:next w:val="OpiPara"/>
    <w:rsid w:val="00F12EE5"/>
    <w:rPr>
      <w:i/>
      <w:sz w:val="24"/>
    </w:rPr>
  </w:style>
  <w:style w:type="paragraph" w:styleId="FootnoteText">
    <w:name w:val="footnote text"/>
    <w:basedOn w:val="Normal"/>
    <w:semiHidden/>
    <w:rsid w:val="00F12EE5"/>
    <w:pPr>
      <w:jc w:val="both"/>
    </w:pPr>
    <w:rPr>
      <w:sz w:val="20"/>
    </w:rPr>
  </w:style>
  <w:style w:type="character" w:styleId="FootnoteReference">
    <w:name w:val="footnote reference"/>
    <w:semiHidden/>
    <w:rsid w:val="00F12EE5"/>
    <w:rPr>
      <w:vertAlign w:val="superscript"/>
    </w:rPr>
  </w:style>
  <w:style w:type="paragraph" w:customStyle="1" w:styleId="JuHi">
    <w:name w:val="Ju_H_i"/>
    <w:basedOn w:val="JuHa0"/>
    <w:next w:val="JuPara"/>
    <w:rsid w:val="00F12EE5"/>
    <w:pPr>
      <w:tabs>
        <w:tab w:val="clear" w:pos="975"/>
        <w:tab w:val="left" w:pos="1191"/>
      </w:tabs>
      <w:ind w:left="1190" w:hanging="357"/>
      <w:outlineLvl w:val="5"/>
    </w:pPr>
    <w:rPr>
      <w:b w:val="0"/>
      <w:i/>
    </w:rPr>
  </w:style>
  <w:style w:type="paragraph" w:styleId="Header">
    <w:name w:val="header"/>
    <w:basedOn w:val="NormalTimesNewRoman"/>
    <w:rsid w:val="00F12EE5"/>
    <w:pPr>
      <w:tabs>
        <w:tab w:val="center" w:pos="3686"/>
        <w:tab w:val="right" w:pos="7371"/>
      </w:tabs>
    </w:pPr>
    <w:rPr>
      <w:sz w:val="18"/>
    </w:rPr>
  </w:style>
  <w:style w:type="character" w:styleId="PageNumber">
    <w:name w:val="page number"/>
    <w:rsid w:val="00F12EE5"/>
    <w:rPr>
      <w:sz w:val="18"/>
    </w:rPr>
  </w:style>
  <w:style w:type="paragraph" w:customStyle="1" w:styleId="JuH">
    <w:name w:val="Ju_H_–"/>
    <w:basedOn w:val="JuHalpha"/>
    <w:next w:val="JuPara"/>
    <w:rsid w:val="00F12EE5"/>
    <w:pPr>
      <w:tabs>
        <w:tab w:val="clear" w:pos="1372"/>
      </w:tabs>
      <w:ind w:left="1236" w:firstLine="0"/>
    </w:pPr>
    <w:rPr>
      <w:i/>
    </w:rPr>
  </w:style>
  <w:style w:type="paragraph" w:customStyle="1" w:styleId="JuHalpha">
    <w:name w:val="Ju_H_alpha"/>
    <w:basedOn w:val="JuHi"/>
    <w:next w:val="JuPara"/>
    <w:rsid w:val="00F12EE5"/>
    <w:pPr>
      <w:tabs>
        <w:tab w:val="clear" w:pos="1191"/>
        <w:tab w:val="left" w:pos="1372"/>
      </w:tabs>
      <w:ind w:left="1373" w:hanging="335"/>
    </w:pPr>
    <w:rPr>
      <w:i w:val="0"/>
    </w:rPr>
  </w:style>
  <w:style w:type="paragraph" w:customStyle="1" w:styleId="JuLista">
    <w:name w:val="Ju_List_a"/>
    <w:basedOn w:val="JuList"/>
    <w:rsid w:val="00F12EE5"/>
    <w:pPr>
      <w:ind w:left="346" w:firstLine="0"/>
    </w:pPr>
  </w:style>
  <w:style w:type="paragraph" w:customStyle="1" w:styleId="JuListi">
    <w:name w:val="Ju_List_i"/>
    <w:basedOn w:val="JuLista"/>
    <w:rsid w:val="00F12EE5"/>
    <w:pPr>
      <w:ind w:left="794"/>
    </w:pPr>
  </w:style>
  <w:style w:type="character" w:styleId="CommentReference">
    <w:name w:val="annotation reference"/>
    <w:semiHidden/>
    <w:rsid w:val="00F12EE5"/>
    <w:rPr>
      <w:sz w:val="16"/>
      <w:szCs w:val="16"/>
    </w:rPr>
  </w:style>
  <w:style w:type="paragraph" w:styleId="CommentText">
    <w:name w:val="annotation text"/>
    <w:basedOn w:val="Normal"/>
    <w:semiHidden/>
    <w:rsid w:val="00F12EE5"/>
    <w:rPr>
      <w:sz w:val="20"/>
    </w:rPr>
  </w:style>
  <w:style w:type="paragraph" w:customStyle="1" w:styleId="JuInitialled">
    <w:name w:val="Ju_Initialled"/>
    <w:basedOn w:val="JuSigned"/>
    <w:rsid w:val="00F12EE5"/>
    <w:pPr>
      <w:tabs>
        <w:tab w:val="clear" w:pos="851"/>
      </w:tabs>
      <w:jc w:val="right"/>
    </w:pPr>
  </w:style>
  <w:style w:type="paragraph" w:customStyle="1" w:styleId="JuHeader">
    <w:name w:val="Ju_Header"/>
    <w:basedOn w:val="Header"/>
    <w:rsid w:val="00F12EE5"/>
  </w:style>
  <w:style w:type="paragraph" w:customStyle="1" w:styleId="DecHTitle">
    <w:name w:val="Dec_H_Title"/>
    <w:basedOn w:val="NormalTimesNewRoman"/>
    <w:rsid w:val="00F12EE5"/>
    <w:pPr>
      <w:spacing w:after="240"/>
      <w:jc w:val="center"/>
      <w:outlineLvl w:val="0"/>
    </w:pPr>
    <w:rPr>
      <w:sz w:val="28"/>
    </w:rPr>
  </w:style>
  <w:style w:type="paragraph" w:customStyle="1" w:styleId="DecHCase">
    <w:name w:val="Dec_H_Case"/>
    <w:basedOn w:val="DecHTitle"/>
    <w:next w:val="JuPara"/>
    <w:rsid w:val="00F12EE5"/>
    <w:rPr>
      <w:sz w:val="24"/>
    </w:rPr>
  </w:style>
  <w:style w:type="paragraph" w:customStyle="1" w:styleId="DecList">
    <w:name w:val="Dec_List"/>
    <w:basedOn w:val="NormalTimesNewRoman"/>
    <w:rsid w:val="00F12EE5"/>
    <w:pPr>
      <w:spacing w:before="240"/>
      <w:ind w:left="284"/>
      <w:jc w:val="both"/>
    </w:pPr>
  </w:style>
  <w:style w:type="paragraph" w:customStyle="1" w:styleId="JuParaSub">
    <w:name w:val="Ju_Para_Sub"/>
    <w:basedOn w:val="JuPara"/>
    <w:rsid w:val="00F12EE5"/>
    <w:pPr>
      <w:ind w:left="284"/>
    </w:pPr>
    <w:rPr>
      <w:szCs w:val="24"/>
    </w:rPr>
  </w:style>
  <w:style w:type="paragraph" w:customStyle="1" w:styleId="JuQuotSub">
    <w:name w:val="Ju_Quot_Sub"/>
    <w:basedOn w:val="JuQuot"/>
    <w:rsid w:val="00F12EE5"/>
    <w:pPr>
      <w:ind w:left="567"/>
    </w:pPr>
  </w:style>
  <w:style w:type="paragraph" w:styleId="BalloonText">
    <w:name w:val="Balloon Text"/>
    <w:basedOn w:val="Normal"/>
    <w:semiHidden/>
    <w:rsid w:val="00F12EE5"/>
    <w:rPr>
      <w:rFonts w:ascii="Tahoma" w:hAnsi="Tahoma" w:cs="Tahoma"/>
      <w:sz w:val="16"/>
      <w:szCs w:val="16"/>
    </w:rPr>
  </w:style>
  <w:style w:type="paragraph" w:styleId="CommentSubject">
    <w:name w:val="annotation subject"/>
    <w:basedOn w:val="CommentText"/>
    <w:next w:val="CommentText"/>
    <w:semiHidden/>
    <w:rsid w:val="00F12EE5"/>
    <w:rPr>
      <w:b/>
      <w:bCs/>
    </w:rPr>
  </w:style>
  <w:style w:type="character" w:styleId="EndnoteReference">
    <w:name w:val="endnote reference"/>
    <w:semiHidden/>
    <w:rsid w:val="00F12EE5"/>
    <w:rPr>
      <w:vertAlign w:val="superscript"/>
    </w:rPr>
  </w:style>
  <w:style w:type="paragraph" w:styleId="EndnoteText">
    <w:name w:val="endnote text"/>
    <w:basedOn w:val="Normal"/>
    <w:semiHidden/>
    <w:rsid w:val="00F12EE5"/>
    <w:rPr>
      <w:sz w:val="20"/>
    </w:rPr>
  </w:style>
  <w:style w:type="character" w:styleId="FollowedHyperlink">
    <w:name w:val="FollowedHyperlink"/>
    <w:rsid w:val="00F12EE5"/>
    <w:rPr>
      <w:color w:val="800080"/>
      <w:u w:val="single"/>
    </w:rPr>
  </w:style>
  <w:style w:type="paragraph" w:customStyle="1" w:styleId="SuCoverTitle1">
    <w:name w:val="Su_Cover_Title1"/>
    <w:basedOn w:val="NormalTimesNewRoman"/>
    <w:next w:val="SuCoverTitle2"/>
    <w:rsid w:val="00F12EE5"/>
    <w:pPr>
      <w:spacing w:before="2500"/>
      <w:jc w:val="center"/>
    </w:pPr>
    <w:rPr>
      <w:sz w:val="22"/>
    </w:rPr>
  </w:style>
  <w:style w:type="paragraph" w:customStyle="1" w:styleId="SuCoverTitle2">
    <w:name w:val="Su_Cover_Title2"/>
    <w:basedOn w:val="SuCoverTitle1"/>
    <w:next w:val="Normal"/>
    <w:rsid w:val="00F12EE5"/>
    <w:pPr>
      <w:spacing w:before="240"/>
    </w:pPr>
    <w:rPr>
      <w:sz w:val="18"/>
    </w:rPr>
  </w:style>
  <w:style w:type="paragraph" w:customStyle="1" w:styleId="SuPara">
    <w:name w:val="Su_Para"/>
    <w:basedOn w:val="SuKeywords"/>
    <w:rsid w:val="00F12EE5"/>
    <w:pPr>
      <w:spacing w:before="0" w:after="0"/>
    </w:pPr>
    <w:rPr>
      <w:i w:val="0"/>
    </w:rPr>
  </w:style>
  <w:style w:type="paragraph" w:customStyle="1" w:styleId="SuKeywords">
    <w:name w:val="Su_Keywords"/>
    <w:basedOn w:val="SuHHead"/>
    <w:rsid w:val="00F12EE5"/>
    <w:pPr>
      <w:spacing w:before="120"/>
    </w:pPr>
    <w:rPr>
      <w:b w:val="0"/>
      <w:i/>
    </w:rPr>
  </w:style>
  <w:style w:type="paragraph" w:customStyle="1" w:styleId="SuHHead">
    <w:name w:val="Su_H_Head"/>
    <w:basedOn w:val="SuSubject"/>
    <w:rsid w:val="00F12EE5"/>
    <w:pPr>
      <w:spacing w:after="120"/>
    </w:pPr>
  </w:style>
  <w:style w:type="paragraph" w:customStyle="1" w:styleId="SuSubject">
    <w:name w:val="Su_Subject"/>
    <w:basedOn w:val="SuSummary"/>
    <w:rsid w:val="00F12EE5"/>
    <w:pPr>
      <w:spacing w:before="360"/>
      <w:jc w:val="both"/>
    </w:pPr>
    <w:rPr>
      <w:b/>
      <w:sz w:val="22"/>
    </w:rPr>
  </w:style>
  <w:style w:type="paragraph" w:customStyle="1" w:styleId="SuSummary">
    <w:name w:val="Su_Summary"/>
    <w:basedOn w:val="NormalTimesNewRoman"/>
    <w:next w:val="SuSubject"/>
    <w:rsid w:val="00F12EE5"/>
    <w:pPr>
      <w:spacing w:after="240"/>
      <w:jc w:val="center"/>
    </w:pPr>
  </w:style>
  <w:style w:type="paragraph" w:customStyle="1" w:styleId="OpiParaSub">
    <w:name w:val="Opi_Para_Sub"/>
    <w:basedOn w:val="JuParaSub"/>
    <w:rsid w:val="00F12EE5"/>
  </w:style>
  <w:style w:type="paragraph" w:customStyle="1" w:styleId="OpiQuotSub">
    <w:name w:val="Opi_Quot_Sub"/>
    <w:basedOn w:val="JuQuotSub"/>
    <w:rsid w:val="00F12EE5"/>
  </w:style>
  <w:style w:type="character" w:styleId="Hyperlink">
    <w:name w:val="Hyperlink"/>
    <w:rsid w:val="00F12EE5"/>
    <w:rPr>
      <w:color w:val="0000FF"/>
      <w:u w:val="single"/>
    </w:rPr>
  </w:style>
  <w:style w:type="character" w:styleId="Strong">
    <w:name w:val="Strong"/>
    <w:qFormat/>
    <w:rsid w:val="00F12EE5"/>
    <w:rPr>
      <w:b/>
      <w:bCs/>
    </w:rPr>
  </w:style>
  <w:style w:type="paragraph" w:styleId="DocumentMap">
    <w:name w:val="Document Map"/>
    <w:basedOn w:val="Normal"/>
    <w:semiHidden/>
    <w:rsid w:val="00F12EE5"/>
    <w:pPr>
      <w:shd w:val="clear" w:color="auto" w:fill="000080"/>
    </w:pPr>
    <w:rPr>
      <w:rFonts w:ascii="Tahoma" w:hAnsi="Tahoma" w:cs="Tahoma"/>
      <w:sz w:val="20"/>
    </w:rPr>
  </w:style>
  <w:style w:type="character" w:customStyle="1" w:styleId="JuNames">
    <w:name w:val="Ju_Names"/>
    <w:rsid w:val="00F12EE5"/>
    <w:rPr>
      <w:smallCaps/>
    </w:rPr>
  </w:style>
  <w:style w:type="paragraph" w:customStyle="1" w:styleId="NormalJustified">
    <w:name w:val="Normal_Justified"/>
    <w:basedOn w:val="NormalTimesNewRoman"/>
    <w:rsid w:val="00F12EE5"/>
    <w:pPr>
      <w:jc w:val="both"/>
    </w:pPr>
  </w:style>
  <w:style w:type="paragraph" w:customStyle="1" w:styleId="JuAppQuestion">
    <w:name w:val="Ju_App_Question"/>
    <w:basedOn w:val="ListBullet"/>
    <w:rsid w:val="00F12EE5"/>
    <w:pPr>
      <w:numPr>
        <w:numId w:val="3"/>
      </w:numPr>
    </w:pPr>
    <w:rPr>
      <w:b/>
      <w:color w:val="333333"/>
    </w:rPr>
  </w:style>
  <w:style w:type="paragraph" w:styleId="ListBullet">
    <w:name w:val="List Bullet"/>
    <w:basedOn w:val="NormalTimesNewRoman"/>
    <w:rsid w:val="00F12EE5"/>
    <w:pPr>
      <w:numPr>
        <w:numId w:val="2"/>
      </w:numPr>
    </w:pPr>
  </w:style>
  <w:style w:type="paragraph" w:customStyle="1" w:styleId="NormalTimesNewRoman">
    <w:name w:val="Normal_TimesNewRoman"/>
    <w:rsid w:val="00F12EE5"/>
    <w:rPr>
      <w:sz w:val="24"/>
      <w:lang w:val="en-GB" w:eastAsia="fr-FR"/>
    </w:rPr>
  </w:style>
  <w:style w:type="character" w:customStyle="1" w:styleId="JuITMark">
    <w:name w:val="Ju_ITMark"/>
    <w:rsid w:val="00F12EE5"/>
    <w:rPr>
      <w:rFonts w:ascii="Times New Roman" w:hAnsi="Times New Roman"/>
      <w:vanish/>
      <w:color w:val="339966"/>
      <w:sz w:val="16"/>
      <w:szCs w:val="16"/>
      <w:lang w:val="en-GB"/>
    </w:rPr>
  </w:style>
  <w:style w:type="paragraph" w:customStyle="1" w:styleId="JuTitle">
    <w:name w:val="Ju_Title"/>
    <w:basedOn w:val="JuHHead"/>
    <w:next w:val="JuPara"/>
    <w:rsid w:val="00D1288A"/>
    <w:pPr>
      <w:jc w:val="center"/>
    </w:pPr>
    <w:rPr>
      <w:b/>
      <w:caps/>
      <w:sz w:val="24"/>
      <w:szCs w:val="24"/>
      <w:u w:val="single"/>
    </w:rPr>
  </w:style>
  <w:style w:type="character" w:customStyle="1" w:styleId="JuParaCar">
    <w:name w:val="Ju_Para Car"/>
    <w:rsid w:val="00A36290"/>
    <w:rPr>
      <w:sz w:val="24"/>
      <w:lang w:val="en-GB" w:eastAsia="fr-FR" w:bidi="ar-SA"/>
    </w:rPr>
  </w:style>
  <w:style w:type="paragraph" w:customStyle="1" w:styleId="NormalLetters">
    <w:name w:val="Normal_Letters"/>
    <w:rsid w:val="00FB3690"/>
    <w:rPr>
      <w:sz w:val="24"/>
      <w:szCs w:val="24"/>
      <w:lang w:val="fr-FR" w:eastAsia="en-GB"/>
    </w:rPr>
  </w:style>
  <w:style w:type="character" w:customStyle="1" w:styleId="JuQuotChar">
    <w:name w:val="Ju_Quot Char"/>
    <w:link w:val="JuQuot"/>
    <w:rsid w:val="00FB3690"/>
    <w:rPr>
      <w:lang w:val="en-GB" w:eastAsia="fr-FR" w:bidi="ar-SA"/>
    </w:rPr>
  </w:style>
  <w:style w:type="character" w:customStyle="1" w:styleId="DefaultLetters">
    <w:name w:val="Default_Letters"/>
    <w:basedOn w:val="DefaultParagraphFont"/>
    <w:rsid w:val="00FB3690"/>
  </w:style>
  <w:style w:type="paragraph" w:customStyle="1" w:styleId="JuParaChar1">
    <w:name w:val="Ju_Para Char1"/>
    <w:basedOn w:val="Normal"/>
    <w:link w:val="JuParaChar1Char"/>
    <w:rsid w:val="00FB3690"/>
    <w:pPr>
      <w:ind w:firstLine="284"/>
      <w:jc w:val="both"/>
    </w:pPr>
    <w:rPr>
      <w:lang w:val="fr-FR"/>
    </w:rPr>
  </w:style>
  <w:style w:type="character" w:customStyle="1" w:styleId="JuParaChar1Char">
    <w:name w:val="Ju_Para Char1 Char"/>
    <w:link w:val="JuParaChar1"/>
    <w:rsid w:val="00FB3690"/>
    <w:rPr>
      <w:sz w:val="24"/>
      <w:lang w:val="fr-FR" w:eastAsia="fr-FR" w:bidi="ar-SA"/>
    </w:rPr>
  </w:style>
  <w:style w:type="character" w:customStyle="1" w:styleId="ju-005fpara-0020char--char">
    <w:name w:val="ju-005fpara-0020char--char"/>
    <w:basedOn w:val="DefaultParagraphFont"/>
    <w:rsid w:val="00FB3690"/>
  </w:style>
  <w:style w:type="character" w:customStyle="1" w:styleId="normal--char">
    <w:name w:val="normal--char"/>
    <w:basedOn w:val="DefaultParagraphFont"/>
    <w:rsid w:val="00FB3690"/>
  </w:style>
  <w:style w:type="paragraph" w:customStyle="1" w:styleId="PubJuPara">
    <w:name w:val="Pub_Ju_Para"/>
    <w:basedOn w:val="NormalTimesNewRoman"/>
    <w:rsid w:val="00F12EE5"/>
    <w:pPr>
      <w:ind w:firstLine="284"/>
      <w:jc w:val="both"/>
    </w:pPr>
  </w:style>
  <w:style w:type="paragraph" w:customStyle="1" w:styleId="PubJuQuot">
    <w:name w:val="Pub_Ju_Quot"/>
    <w:basedOn w:val="NormalTimesNewRoman"/>
    <w:rsid w:val="00F12EE5"/>
    <w:pPr>
      <w:spacing w:before="120" w:after="120"/>
      <w:ind w:left="403" w:firstLine="176"/>
      <w:jc w:val="both"/>
    </w:pPr>
    <w:rPr>
      <w:sz w:val="20"/>
    </w:rPr>
  </w:style>
  <w:style w:type="paragraph" w:customStyle="1" w:styleId="PubListArticleSubject">
    <w:name w:val="Pub_List_ArticleSubject"/>
    <w:basedOn w:val="NormalTimesNewRoman"/>
    <w:rsid w:val="00F12EE5"/>
    <w:pPr>
      <w:tabs>
        <w:tab w:val="left" w:pos="2977"/>
      </w:tabs>
      <w:ind w:left="2977" w:hanging="2977"/>
    </w:pPr>
  </w:style>
  <w:style w:type="paragraph" w:customStyle="1" w:styleId="PubListCaseNo">
    <w:name w:val="Pub_List_CaseNo"/>
    <w:basedOn w:val="NormalTimesNewRoman"/>
    <w:rsid w:val="00F12EE5"/>
    <w:pPr>
      <w:tabs>
        <w:tab w:val="left" w:pos="1276"/>
      </w:tabs>
      <w:spacing w:line="288" w:lineRule="auto"/>
      <w:ind w:left="1276" w:hanging="1276"/>
    </w:pPr>
  </w:style>
  <w:style w:type="paragraph" w:customStyle="1" w:styleId="PubListCases">
    <w:name w:val="Pub_List_Cases"/>
    <w:basedOn w:val="NormalTimesNewRoman"/>
    <w:rsid w:val="00F12EE5"/>
    <w:pPr>
      <w:spacing w:line="288" w:lineRule="auto"/>
    </w:pPr>
  </w:style>
  <w:style w:type="paragraph" w:customStyle="1" w:styleId="PubTextIntro">
    <w:name w:val="Pub_Text_Intro"/>
    <w:basedOn w:val="NormalTimesNewRoman"/>
    <w:rsid w:val="00F12EE5"/>
    <w:pPr>
      <w:jc w:val="both"/>
    </w:pPr>
    <w:rPr>
      <w:i/>
      <w:sz w:val="20"/>
    </w:rPr>
  </w:style>
  <w:style w:type="paragraph" w:customStyle="1" w:styleId="PubTitleCover">
    <w:name w:val="Pub_Title_Cover"/>
    <w:basedOn w:val="NormalTimesNewRoman"/>
    <w:rsid w:val="00F12EE5"/>
    <w:pPr>
      <w:spacing w:before="2500"/>
      <w:jc w:val="center"/>
    </w:pPr>
    <w:rPr>
      <w:b/>
      <w:smallCaps/>
      <w:sz w:val="30"/>
    </w:rPr>
  </w:style>
  <w:style w:type="paragraph" w:customStyle="1" w:styleId="PubTitle1Alpha">
    <w:name w:val="Pub_Title1_Alpha"/>
    <w:basedOn w:val="NormalTimesNewRoman"/>
    <w:next w:val="Normal"/>
    <w:rsid w:val="00F12EE5"/>
    <w:pPr>
      <w:spacing w:after="120"/>
      <w:jc w:val="center"/>
    </w:pPr>
    <w:rPr>
      <w:b/>
      <w:smallCaps/>
      <w:sz w:val="30"/>
    </w:rPr>
  </w:style>
  <w:style w:type="paragraph" w:customStyle="1" w:styleId="PubTitle1IndexArticle">
    <w:name w:val="Pub_Title1_IndexArticle"/>
    <w:basedOn w:val="NormalTimesNewRoman"/>
    <w:rsid w:val="00F12EE5"/>
    <w:pPr>
      <w:spacing w:after="120"/>
      <w:jc w:val="center"/>
    </w:pPr>
    <w:rPr>
      <w:b/>
      <w:smallCaps/>
      <w:sz w:val="30"/>
    </w:rPr>
  </w:style>
  <w:style w:type="paragraph" w:customStyle="1" w:styleId="PubTitle1IndexKey">
    <w:name w:val="Pub_Title1_IndexKey"/>
    <w:basedOn w:val="NormalTimesNewRoman"/>
    <w:rsid w:val="00F12EE5"/>
    <w:pPr>
      <w:spacing w:after="600"/>
      <w:jc w:val="center"/>
    </w:pPr>
    <w:rPr>
      <w:b/>
      <w:smallCaps/>
      <w:sz w:val="30"/>
    </w:rPr>
  </w:style>
  <w:style w:type="paragraph" w:customStyle="1" w:styleId="PubTitle1Num">
    <w:name w:val="Pub_Title1_Num"/>
    <w:basedOn w:val="NormalTimesNewRoman"/>
    <w:next w:val="PubListCaseNo"/>
    <w:rsid w:val="00F12EE5"/>
    <w:pPr>
      <w:spacing w:after="720"/>
      <w:jc w:val="center"/>
    </w:pPr>
    <w:rPr>
      <w:b/>
      <w:smallCaps/>
      <w:sz w:val="30"/>
    </w:rPr>
  </w:style>
  <w:style w:type="paragraph" w:customStyle="1" w:styleId="PubTitle2Country">
    <w:name w:val="Pub_Title2_Country"/>
    <w:basedOn w:val="NormalTimesNewRoman"/>
    <w:next w:val="PubListCases"/>
    <w:rsid w:val="00F12EE5"/>
    <w:pPr>
      <w:keepNext/>
      <w:keepLines/>
      <w:spacing w:before="600" w:after="360"/>
    </w:pPr>
    <w:rPr>
      <w:b/>
    </w:rPr>
  </w:style>
  <w:style w:type="paragraph" w:customStyle="1" w:styleId="PubTitle2Letters">
    <w:name w:val="Pub_Title2_Letters"/>
    <w:basedOn w:val="NormalTimesNewRoman"/>
    <w:next w:val="PubListCases"/>
    <w:rsid w:val="00F12EE5"/>
    <w:pPr>
      <w:keepNext/>
      <w:keepLines/>
      <w:spacing w:before="600" w:after="360"/>
    </w:pPr>
    <w:rPr>
      <w:b/>
      <w:sz w:val="28"/>
    </w:rPr>
  </w:style>
  <w:style w:type="paragraph" w:customStyle="1" w:styleId="PubTitle2Part">
    <w:name w:val="Pub_Title2_Part"/>
    <w:basedOn w:val="NormalTimesNewRoman"/>
    <w:rsid w:val="00F12EE5"/>
    <w:pPr>
      <w:keepNext/>
      <w:keepLines/>
      <w:spacing w:before="600" w:after="240"/>
      <w:jc w:val="center"/>
    </w:pPr>
    <w:rPr>
      <w:b/>
      <w:caps/>
    </w:rPr>
  </w:style>
  <w:style w:type="paragraph" w:customStyle="1" w:styleId="PubTitle3Article">
    <w:name w:val="Pub_Title3_Article"/>
    <w:basedOn w:val="NormalTimesNewRoman"/>
    <w:rsid w:val="00F12EE5"/>
    <w:pPr>
      <w:keepNext/>
      <w:keepLines/>
      <w:spacing w:before="360" w:after="120"/>
      <w:jc w:val="center"/>
    </w:pPr>
    <w:rPr>
      <w:b/>
      <w:smallCaps/>
      <w:sz w:val="22"/>
    </w:rPr>
  </w:style>
  <w:style w:type="paragraph" w:customStyle="1" w:styleId="PubTitle4ArticleSub">
    <w:name w:val="Pub_Title4_Article_Sub"/>
    <w:basedOn w:val="PubTitle3Article"/>
    <w:rsid w:val="00F12EE5"/>
    <w:pPr>
      <w:spacing w:before="240"/>
    </w:pPr>
    <w:rPr>
      <w:smallCaps w:val="0"/>
      <w:sz w:val="20"/>
    </w:rPr>
  </w:style>
  <w:style w:type="paragraph" w:customStyle="1" w:styleId="PubTitle5Subject">
    <w:name w:val="Pub_Title5_Subject"/>
    <w:basedOn w:val="NormalTimesNewRoman"/>
    <w:rsid w:val="00F12EE5"/>
    <w:pPr>
      <w:keepNext/>
      <w:keepLines/>
      <w:spacing w:before="240" w:after="120"/>
      <w:jc w:val="both"/>
    </w:pPr>
    <w:rPr>
      <w:b/>
      <w:i/>
    </w:rPr>
  </w:style>
  <w:style w:type="paragraph" w:customStyle="1" w:styleId="PubTitle6SubjectSub">
    <w:name w:val="Pub_Title6_Subject_Sub"/>
    <w:basedOn w:val="NormalTimesNewRoman"/>
    <w:rsid w:val="00F12EE5"/>
    <w:pPr>
      <w:keepNext/>
      <w:keepLines/>
      <w:spacing w:before="240" w:after="120"/>
      <w:ind w:left="284"/>
      <w:jc w:val="both"/>
    </w:pPr>
    <w:rPr>
      <w:b/>
      <w:sz w:val="20"/>
    </w:rPr>
  </w:style>
  <w:style w:type="paragraph" w:customStyle="1" w:styleId="PubTitle7CaseName">
    <w:name w:val="Pub_Title7_CaseName"/>
    <w:basedOn w:val="NormalTimesNewRoman"/>
    <w:rsid w:val="00F12EE5"/>
    <w:pPr>
      <w:keepLines/>
      <w:spacing w:after="240"/>
      <w:jc w:val="right"/>
    </w:pPr>
    <w:rPr>
      <w:sz w:val="22"/>
    </w:rPr>
  </w:style>
  <w:style w:type="numbering" w:styleId="111111">
    <w:name w:val="Outline List 2"/>
    <w:basedOn w:val="NoList"/>
    <w:rsid w:val="00F12EE5"/>
    <w:pPr>
      <w:numPr>
        <w:numId w:val="18"/>
      </w:numPr>
    </w:pPr>
  </w:style>
  <w:style w:type="numbering" w:styleId="1ai">
    <w:name w:val="Outline List 1"/>
    <w:basedOn w:val="NoList"/>
    <w:rsid w:val="00F12EE5"/>
    <w:pPr>
      <w:numPr>
        <w:numId w:val="19"/>
      </w:numPr>
    </w:pPr>
  </w:style>
  <w:style w:type="numbering" w:styleId="ArticleSection">
    <w:name w:val="Outline List 3"/>
    <w:basedOn w:val="NoList"/>
    <w:rsid w:val="00F12EE5"/>
    <w:pPr>
      <w:numPr>
        <w:numId w:val="20"/>
      </w:numPr>
    </w:pPr>
  </w:style>
  <w:style w:type="paragraph" w:styleId="BlockText">
    <w:name w:val="Block Text"/>
    <w:basedOn w:val="Normal"/>
    <w:rsid w:val="00F12EE5"/>
    <w:pPr>
      <w:spacing w:after="120"/>
      <w:ind w:left="1440" w:right="1440"/>
    </w:pPr>
  </w:style>
  <w:style w:type="paragraph" w:styleId="BodyText">
    <w:name w:val="Body Text"/>
    <w:basedOn w:val="Normal"/>
    <w:rsid w:val="00F12EE5"/>
    <w:pPr>
      <w:spacing w:after="120"/>
    </w:pPr>
  </w:style>
  <w:style w:type="paragraph" w:styleId="BodyText2">
    <w:name w:val="Body Text 2"/>
    <w:basedOn w:val="Normal"/>
    <w:rsid w:val="00F12EE5"/>
    <w:pPr>
      <w:spacing w:after="120" w:line="480" w:lineRule="auto"/>
    </w:pPr>
  </w:style>
  <w:style w:type="paragraph" w:styleId="BodyText3">
    <w:name w:val="Body Text 3"/>
    <w:basedOn w:val="Normal"/>
    <w:rsid w:val="00F12EE5"/>
    <w:pPr>
      <w:spacing w:after="120"/>
    </w:pPr>
    <w:rPr>
      <w:sz w:val="16"/>
      <w:szCs w:val="16"/>
    </w:rPr>
  </w:style>
  <w:style w:type="paragraph" w:styleId="BodyTextFirstIndent">
    <w:name w:val="Body Text First Indent"/>
    <w:basedOn w:val="BodyText"/>
    <w:rsid w:val="00F12EE5"/>
    <w:pPr>
      <w:ind w:firstLine="210"/>
    </w:pPr>
  </w:style>
  <w:style w:type="paragraph" w:styleId="BodyTextIndent">
    <w:name w:val="Body Text Indent"/>
    <w:basedOn w:val="Normal"/>
    <w:rsid w:val="00F12EE5"/>
    <w:pPr>
      <w:spacing w:after="120"/>
      <w:ind w:left="283"/>
    </w:pPr>
  </w:style>
  <w:style w:type="paragraph" w:styleId="BodyTextFirstIndent2">
    <w:name w:val="Body Text First Indent 2"/>
    <w:basedOn w:val="BodyTextIndent"/>
    <w:rsid w:val="00F12EE5"/>
    <w:pPr>
      <w:ind w:firstLine="210"/>
    </w:pPr>
  </w:style>
  <w:style w:type="paragraph" w:styleId="BodyTextIndent2">
    <w:name w:val="Body Text Indent 2"/>
    <w:basedOn w:val="Normal"/>
    <w:rsid w:val="00F12EE5"/>
    <w:pPr>
      <w:spacing w:after="120" w:line="480" w:lineRule="auto"/>
      <w:ind w:left="283"/>
    </w:pPr>
  </w:style>
  <w:style w:type="paragraph" w:styleId="BodyTextIndent3">
    <w:name w:val="Body Text Indent 3"/>
    <w:basedOn w:val="Normal"/>
    <w:rsid w:val="00F12EE5"/>
    <w:pPr>
      <w:spacing w:after="120"/>
      <w:ind w:left="283"/>
    </w:pPr>
    <w:rPr>
      <w:sz w:val="16"/>
      <w:szCs w:val="16"/>
    </w:rPr>
  </w:style>
  <w:style w:type="paragraph" w:styleId="Caption">
    <w:name w:val="caption"/>
    <w:basedOn w:val="Normal"/>
    <w:next w:val="Normal"/>
    <w:qFormat/>
    <w:rsid w:val="00F12EE5"/>
    <w:rPr>
      <w:b/>
      <w:bCs/>
      <w:sz w:val="20"/>
    </w:rPr>
  </w:style>
  <w:style w:type="paragraph" w:styleId="Closing">
    <w:name w:val="Closing"/>
    <w:basedOn w:val="Normal"/>
    <w:rsid w:val="00F12EE5"/>
    <w:pPr>
      <w:ind w:left="4252"/>
    </w:pPr>
  </w:style>
  <w:style w:type="paragraph" w:styleId="Date">
    <w:name w:val="Date"/>
    <w:basedOn w:val="Normal"/>
    <w:next w:val="Normal"/>
    <w:rsid w:val="00F12EE5"/>
  </w:style>
  <w:style w:type="paragraph" w:styleId="E-mailSignature">
    <w:name w:val="E-mail Signature"/>
    <w:basedOn w:val="Normal"/>
    <w:rsid w:val="00F12EE5"/>
  </w:style>
  <w:style w:type="character" w:styleId="Emphasis">
    <w:name w:val="Emphasis"/>
    <w:qFormat/>
    <w:rsid w:val="00F12EE5"/>
    <w:rPr>
      <w:i/>
      <w:iCs/>
    </w:rPr>
  </w:style>
  <w:style w:type="paragraph" w:styleId="EnvelopeAddress">
    <w:name w:val="envelope address"/>
    <w:basedOn w:val="Normal"/>
    <w:rsid w:val="00F12EE5"/>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F12EE5"/>
    <w:rPr>
      <w:rFonts w:ascii="Arial" w:hAnsi="Arial" w:cs="Arial"/>
      <w:sz w:val="20"/>
    </w:rPr>
  </w:style>
  <w:style w:type="character" w:styleId="HTMLAcronym">
    <w:name w:val="HTML Acronym"/>
    <w:basedOn w:val="DefaultParagraphFont"/>
    <w:rsid w:val="00F12EE5"/>
  </w:style>
  <w:style w:type="paragraph" w:styleId="HTMLAddress">
    <w:name w:val="HTML Address"/>
    <w:basedOn w:val="Normal"/>
    <w:rsid w:val="00F12EE5"/>
    <w:rPr>
      <w:i/>
      <w:iCs/>
    </w:rPr>
  </w:style>
  <w:style w:type="character" w:styleId="HTMLCite">
    <w:name w:val="HTML Cite"/>
    <w:rsid w:val="00F12EE5"/>
    <w:rPr>
      <w:i/>
      <w:iCs/>
    </w:rPr>
  </w:style>
  <w:style w:type="character" w:styleId="HTMLCode">
    <w:name w:val="HTML Code"/>
    <w:rsid w:val="00F12EE5"/>
    <w:rPr>
      <w:rFonts w:ascii="Courier New" w:hAnsi="Courier New" w:cs="Courier New"/>
      <w:sz w:val="20"/>
      <w:szCs w:val="20"/>
    </w:rPr>
  </w:style>
  <w:style w:type="character" w:styleId="HTMLDefinition">
    <w:name w:val="HTML Definition"/>
    <w:rsid w:val="00F12EE5"/>
    <w:rPr>
      <w:i/>
      <w:iCs/>
    </w:rPr>
  </w:style>
  <w:style w:type="character" w:styleId="HTMLKeyboard">
    <w:name w:val="HTML Keyboard"/>
    <w:rsid w:val="00F12EE5"/>
    <w:rPr>
      <w:rFonts w:ascii="Courier New" w:hAnsi="Courier New" w:cs="Courier New"/>
      <w:sz w:val="20"/>
      <w:szCs w:val="20"/>
    </w:rPr>
  </w:style>
  <w:style w:type="paragraph" w:styleId="HTMLPreformatted">
    <w:name w:val="HTML Preformatted"/>
    <w:basedOn w:val="Normal"/>
    <w:rsid w:val="00F12EE5"/>
    <w:rPr>
      <w:rFonts w:ascii="Courier New" w:hAnsi="Courier New" w:cs="Courier New"/>
      <w:sz w:val="20"/>
    </w:rPr>
  </w:style>
  <w:style w:type="character" w:styleId="HTMLSample">
    <w:name w:val="HTML Sample"/>
    <w:rsid w:val="00F12EE5"/>
    <w:rPr>
      <w:rFonts w:ascii="Courier New" w:hAnsi="Courier New" w:cs="Courier New"/>
    </w:rPr>
  </w:style>
  <w:style w:type="character" w:styleId="HTMLTypewriter">
    <w:name w:val="HTML Typewriter"/>
    <w:rsid w:val="00F12EE5"/>
    <w:rPr>
      <w:rFonts w:ascii="Courier New" w:hAnsi="Courier New" w:cs="Courier New"/>
      <w:sz w:val="20"/>
      <w:szCs w:val="20"/>
    </w:rPr>
  </w:style>
  <w:style w:type="character" w:styleId="HTMLVariable">
    <w:name w:val="HTML Variable"/>
    <w:rsid w:val="00F12EE5"/>
    <w:rPr>
      <w:i/>
      <w:iCs/>
    </w:rPr>
  </w:style>
  <w:style w:type="paragraph" w:styleId="Index1">
    <w:name w:val="index 1"/>
    <w:basedOn w:val="Normal"/>
    <w:next w:val="Normal"/>
    <w:autoRedefine/>
    <w:semiHidden/>
    <w:rsid w:val="00F12EE5"/>
    <w:pPr>
      <w:ind w:left="240" w:hanging="240"/>
    </w:pPr>
  </w:style>
  <w:style w:type="paragraph" w:styleId="Index2">
    <w:name w:val="index 2"/>
    <w:basedOn w:val="Normal"/>
    <w:next w:val="Normal"/>
    <w:autoRedefine/>
    <w:semiHidden/>
    <w:rsid w:val="00F12EE5"/>
    <w:pPr>
      <w:ind w:left="480" w:hanging="240"/>
    </w:pPr>
  </w:style>
  <w:style w:type="paragraph" w:styleId="Index3">
    <w:name w:val="index 3"/>
    <w:basedOn w:val="Normal"/>
    <w:next w:val="Normal"/>
    <w:autoRedefine/>
    <w:semiHidden/>
    <w:rsid w:val="00F12EE5"/>
    <w:pPr>
      <w:ind w:left="720" w:hanging="240"/>
    </w:pPr>
  </w:style>
  <w:style w:type="paragraph" w:styleId="Index4">
    <w:name w:val="index 4"/>
    <w:basedOn w:val="Normal"/>
    <w:next w:val="Normal"/>
    <w:autoRedefine/>
    <w:semiHidden/>
    <w:rsid w:val="00F12EE5"/>
    <w:pPr>
      <w:ind w:left="960" w:hanging="240"/>
    </w:pPr>
  </w:style>
  <w:style w:type="paragraph" w:styleId="Index5">
    <w:name w:val="index 5"/>
    <w:basedOn w:val="Normal"/>
    <w:next w:val="Normal"/>
    <w:autoRedefine/>
    <w:semiHidden/>
    <w:rsid w:val="00F12EE5"/>
    <w:pPr>
      <w:ind w:left="1200" w:hanging="240"/>
    </w:pPr>
  </w:style>
  <w:style w:type="paragraph" w:styleId="Index6">
    <w:name w:val="index 6"/>
    <w:basedOn w:val="Normal"/>
    <w:next w:val="Normal"/>
    <w:autoRedefine/>
    <w:semiHidden/>
    <w:rsid w:val="00F12EE5"/>
    <w:pPr>
      <w:ind w:left="1440" w:hanging="240"/>
    </w:pPr>
  </w:style>
  <w:style w:type="paragraph" w:styleId="Index7">
    <w:name w:val="index 7"/>
    <w:basedOn w:val="Normal"/>
    <w:next w:val="Normal"/>
    <w:autoRedefine/>
    <w:semiHidden/>
    <w:rsid w:val="00F12EE5"/>
    <w:pPr>
      <w:ind w:left="1680" w:hanging="240"/>
    </w:pPr>
  </w:style>
  <w:style w:type="paragraph" w:styleId="Index8">
    <w:name w:val="index 8"/>
    <w:basedOn w:val="Normal"/>
    <w:next w:val="Normal"/>
    <w:autoRedefine/>
    <w:semiHidden/>
    <w:rsid w:val="00F12EE5"/>
    <w:pPr>
      <w:ind w:left="1920" w:hanging="240"/>
    </w:pPr>
  </w:style>
  <w:style w:type="paragraph" w:styleId="Index9">
    <w:name w:val="index 9"/>
    <w:basedOn w:val="Normal"/>
    <w:next w:val="Normal"/>
    <w:autoRedefine/>
    <w:semiHidden/>
    <w:rsid w:val="00F12EE5"/>
    <w:pPr>
      <w:ind w:left="2160" w:hanging="240"/>
    </w:pPr>
  </w:style>
  <w:style w:type="paragraph" w:styleId="IndexHeading">
    <w:name w:val="index heading"/>
    <w:basedOn w:val="Normal"/>
    <w:next w:val="Index1"/>
    <w:semiHidden/>
    <w:rsid w:val="00F12EE5"/>
    <w:rPr>
      <w:rFonts w:ascii="Arial" w:hAnsi="Arial" w:cs="Arial"/>
      <w:b/>
      <w:bCs/>
    </w:rPr>
  </w:style>
  <w:style w:type="character" w:styleId="LineNumber">
    <w:name w:val="line number"/>
    <w:basedOn w:val="DefaultParagraphFont"/>
    <w:rsid w:val="00F12EE5"/>
  </w:style>
  <w:style w:type="paragraph" w:styleId="List">
    <w:name w:val="List"/>
    <w:basedOn w:val="Normal"/>
    <w:rsid w:val="00F12EE5"/>
    <w:pPr>
      <w:ind w:left="283" w:hanging="283"/>
    </w:pPr>
  </w:style>
  <w:style w:type="paragraph" w:styleId="List2">
    <w:name w:val="List 2"/>
    <w:basedOn w:val="Normal"/>
    <w:rsid w:val="00F12EE5"/>
    <w:pPr>
      <w:ind w:left="566" w:hanging="283"/>
    </w:pPr>
  </w:style>
  <w:style w:type="paragraph" w:styleId="List3">
    <w:name w:val="List 3"/>
    <w:basedOn w:val="Normal"/>
    <w:rsid w:val="00F12EE5"/>
    <w:pPr>
      <w:ind w:left="849" w:hanging="283"/>
    </w:pPr>
  </w:style>
  <w:style w:type="paragraph" w:styleId="List4">
    <w:name w:val="List 4"/>
    <w:basedOn w:val="Normal"/>
    <w:rsid w:val="00F12EE5"/>
    <w:pPr>
      <w:ind w:left="1132" w:hanging="283"/>
    </w:pPr>
  </w:style>
  <w:style w:type="paragraph" w:styleId="List5">
    <w:name w:val="List 5"/>
    <w:basedOn w:val="Normal"/>
    <w:rsid w:val="00F12EE5"/>
    <w:pPr>
      <w:ind w:left="1415" w:hanging="283"/>
    </w:pPr>
  </w:style>
  <w:style w:type="paragraph" w:styleId="ListBullet2">
    <w:name w:val="List Bullet 2"/>
    <w:basedOn w:val="Normal"/>
    <w:rsid w:val="00F12EE5"/>
    <w:pPr>
      <w:numPr>
        <w:numId w:val="7"/>
      </w:numPr>
    </w:pPr>
  </w:style>
  <w:style w:type="paragraph" w:styleId="ListBullet3">
    <w:name w:val="List Bullet 3"/>
    <w:basedOn w:val="Normal"/>
    <w:rsid w:val="00F12EE5"/>
    <w:pPr>
      <w:numPr>
        <w:numId w:val="8"/>
      </w:numPr>
    </w:pPr>
  </w:style>
  <w:style w:type="paragraph" w:styleId="ListBullet4">
    <w:name w:val="List Bullet 4"/>
    <w:basedOn w:val="Normal"/>
    <w:rsid w:val="00F12EE5"/>
    <w:pPr>
      <w:numPr>
        <w:numId w:val="9"/>
      </w:numPr>
    </w:pPr>
  </w:style>
  <w:style w:type="paragraph" w:styleId="ListBullet5">
    <w:name w:val="List Bullet 5"/>
    <w:basedOn w:val="Normal"/>
    <w:rsid w:val="00F12EE5"/>
    <w:pPr>
      <w:numPr>
        <w:numId w:val="10"/>
      </w:numPr>
    </w:pPr>
  </w:style>
  <w:style w:type="paragraph" w:styleId="ListContinue">
    <w:name w:val="List Continue"/>
    <w:basedOn w:val="Normal"/>
    <w:rsid w:val="00F12EE5"/>
    <w:pPr>
      <w:spacing w:after="120"/>
      <w:ind w:left="283"/>
    </w:pPr>
  </w:style>
  <w:style w:type="paragraph" w:styleId="ListContinue2">
    <w:name w:val="List Continue 2"/>
    <w:basedOn w:val="Normal"/>
    <w:rsid w:val="00F12EE5"/>
    <w:pPr>
      <w:spacing w:after="120"/>
      <w:ind w:left="566"/>
    </w:pPr>
  </w:style>
  <w:style w:type="paragraph" w:styleId="ListContinue3">
    <w:name w:val="List Continue 3"/>
    <w:basedOn w:val="Normal"/>
    <w:rsid w:val="00F12EE5"/>
    <w:pPr>
      <w:spacing w:after="120"/>
      <w:ind w:left="849"/>
    </w:pPr>
  </w:style>
  <w:style w:type="paragraph" w:styleId="ListContinue4">
    <w:name w:val="List Continue 4"/>
    <w:basedOn w:val="Normal"/>
    <w:rsid w:val="00F12EE5"/>
    <w:pPr>
      <w:spacing w:after="120"/>
      <w:ind w:left="1132"/>
    </w:pPr>
  </w:style>
  <w:style w:type="paragraph" w:styleId="ListContinue5">
    <w:name w:val="List Continue 5"/>
    <w:basedOn w:val="Normal"/>
    <w:rsid w:val="00F12EE5"/>
    <w:pPr>
      <w:spacing w:after="120"/>
      <w:ind w:left="1415"/>
    </w:pPr>
  </w:style>
  <w:style w:type="paragraph" w:styleId="ListNumber">
    <w:name w:val="List Number"/>
    <w:basedOn w:val="Normal"/>
    <w:rsid w:val="00F12EE5"/>
    <w:pPr>
      <w:numPr>
        <w:numId w:val="11"/>
      </w:numPr>
    </w:pPr>
  </w:style>
  <w:style w:type="paragraph" w:styleId="ListNumber2">
    <w:name w:val="List Number 2"/>
    <w:basedOn w:val="Normal"/>
    <w:rsid w:val="00F12EE5"/>
    <w:pPr>
      <w:numPr>
        <w:numId w:val="12"/>
      </w:numPr>
    </w:pPr>
  </w:style>
  <w:style w:type="paragraph" w:styleId="ListNumber3">
    <w:name w:val="List Number 3"/>
    <w:basedOn w:val="Normal"/>
    <w:rsid w:val="00F12EE5"/>
    <w:pPr>
      <w:numPr>
        <w:numId w:val="13"/>
      </w:numPr>
    </w:pPr>
  </w:style>
  <w:style w:type="paragraph" w:styleId="ListNumber4">
    <w:name w:val="List Number 4"/>
    <w:basedOn w:val="Normal"/>
    <w:rsid w:val="00F12EE5"/>
    <w:pPr>
      <w:numPr>
        <w:numId w:val="14"/>
      </w:numPr>
    </w:pPr>
  </w:style>
  <w:style w:type="paragraph" w:styleId="ListNumber5">
    <w:name w:val="List Number 5"/>
    <w:basedOn w:val="Normal"/>
    <w:rsid w:val="00F12EE5"/>
    <w:pPr>
      <w:numPr>
        <w:numId w:val="15"/>
      </w:numPr>
    </w:pPr>
  </w:style>
  <w:style w:type="paragraph" w:styleId="MacroText">
    <w:name w:val="macro"/>
    <w:semiHidden/>
    <w:rsid w:val="00F12EE5"/>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fr-FR"/>
    </w:rPr>
  </w:style>
  <w:style w:type="paragraph" w:styleId="MessageHeader">
    <w:name w:val="Message Header"/>
    <w:basedOn w:val="Normal"/>
    <w:rsid w:val="00F12EE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uiPriority w:val="99"/>
    <w:rsid w:val="00F12EE5"/>
    <w:rPr>
      <w:szCs w:val="24"/>
    </w:rPr>
  </w:style>
  <w:style w:type="paragraph" w:styleId="NormalIndent">
    <w:name w:val="Normal Indent"/>
    <w:basedOn w:val="Normal"/>
    <w:rsid w:val="00F12EE5"/>
    <w:pPr>
      <w:ind w:left="720"/>
    </w:pPr>
  </w:style>
  <w:style w:type="paragraph" w:styleId="NoteHeading">
    <w:name w:val="Note Heading"/>
    <w:basedOn w:val="Normal"/>
    <w:next w:val="Normal"/>
    <w:rsid w:val="00F12EE5"/>
  </w:style>
  <w:style w:type="paragraph" w:styleId="PlainText">
    <w:name w:val="Plain Text"/>
    <w:basedOn w:val="Normal"/>
    <w:rsid w:val="00F12EE5"/>
    <w:rPr>
      <w:rFonts w:ascii="Courier New" w:hAnsi="Courier New" w:cs="Courier New"/>
      <w:sz w:val="20"/>
    </w:rPr>
  </w:style>
  <w:style w:type="paragraph" w:styleId="Salutation">
    <w:name w:val="Salutation"/>
    <w:basedOn w:val="Normal"/>
    <w:next w:val="Normal"/>
    <w:rsid w:val="00F12EE5"/>
  </w:style>
  <w:style w:type="paragraph" w:styleId="Signature">
    <w:name w:val="Signature"/>
    <w:basedOn w:val="Normal"/>
    <w:rsid w:val="00F12EE5"/>
    <w:pPr>
      <w:ind w:left="4252"/>
    </w:pPr>
  </w:style>
  <w:style w:type="paragraph" w:styleId="Subtitle">
    <w:name w:val="Subtitle"/>
    <w:basedOn w:val="Normal"/>
    <w:qFormat/>
    <w:rsid w:val="00F12EE5"/>
    <w:pPr>
      <w:spacing w:after="60"/>
      <w:jc w:val="center"/>
      <w:outlineLvl w:val="1"/>
    </w:pPr>
    <w:rPr>
      <w:rFonts w:ascii="Arial" w:hAnsi="Arial" w:cs="Arial"/>
      <w:szCs w:val="24"/>
    </w:rPr>
  </w:style>
  <w:style w:type="table" w:styleId="Table3Deffects1">
    <w:name w:val="Table 3D effects 1"/>
    <w:basedOn w:val="TableNormal"/>
    <w:rsid w:val="00F12EE5"/>
    <w:pPr>
      <w:suppressAutoHyphen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12EE5"/>
    <w:pPr>
      <w:suppressAutoHyphen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12EE5"/>
    <w:pPr>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12EE5"/>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12EE5"/>
    <w:pPr>
      <w:suppressAutoHyphen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12EE5"/>
    <w:pPr>
      <w:suppressAutoHyphen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12EE5"/>
    <w:pPr>
      <w:suppressAutoHyphen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12EE5"/>
    <w:pPr>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12EE5"/>
    <w:pPr>
      <w:suppressAutoHyphen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12EE5"/>
    <w:pPr>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12EE5"/>
    <w:pPr>
      <w:suppressAutoHyphen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12EE5"/>
    <w:pPr>
      <w:suppressAutoHyphen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12EE5"/>
    <w:pPr>
      <w:suppressAutoHyphen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12EE5"/>
    <w:pPr>
      <w:suppressAutoHyphen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12EE5"/>
    <w:pPr>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12EE5"/>
    <w:pPr>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12EE5"/>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12EE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12EE5"/>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12EE5"/>
    <w:pPr>
      <w:suppressAutoHyphen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12EE5"/>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12EE5"/>
    <w:pPr>
      <w:suppressAutoHyphen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12EE5"/>
    <w:pPr>
      <w:suppressAutoHyphen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12EE5"/>
    <w:pPr>
      <w:suppressAutoHyphen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12EE5"/>
    <w:pPr>
      <w:suppressAutoHyphen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12EE5"/>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12EE5"/>
    <w:pPr>
      <w:suppressAutoHyphen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12EE5"/>
    <w:pPr>
      <w:suppressAutoHyphen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12EE5"/>
    <w:pPr>
      <w:suppressAutoHyphen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12EE5"/>
    <w:pPr>
      <w:suppressAutoHyphen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12EE5"/>
    <w:pPr>
      <w:suppressAutoHyphen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12EE5"/>
    <w:pPr>
      <w:suppressAutoHyphen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12EE5"/>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12EE5"/>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12EE5"/>
    <w:pPr>
      <w:ind w:left="240" w:hanging="240"/>
    </w:pPr>
  </w:style>
  <w:style w:type="paragraph" w:styleId="TableofFigures">
    <w:name w:val="table of figures"/>
    <w:basedOn w:val="Normal"/>
    <w:next w:val="Normal"/>
    <w:semiHidden/>
    <w:rsid w:val="00F12EE5"/>
  </w:style>
  <w:style w:type="table" w:styleId="TableProfessional">
    <w:name w:val="Table Professional"/>
    <w:basedOn w:val="TableNormal"/>
    <w:rsid w:val="00F12EE5"/>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12EE5"/>
    <w:pPr>
      <w:suppressAutoHyphen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12EE5"/>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12EE5"/>
    <w:pPr>
      <w:suppressAutoHyphen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12EE5"/>
    <w:pPr>
      <w:suppressAutoHyphen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12EE5"/>
    <w:pPr>
      <w:suppressAutoHyphen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12EE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12EE5"/>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12EE5"/>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12EE5"/>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12EE5"/>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12EE5"/>
    <w:pPr>
      <w:spacing w:before="120"/>
    </w:pPr>
    <w:rPr>
      <w:rFonts w:ascii="Arial" w:hAnsi="Arial" w:cs="Arial"/>
      <w:b/>
      <w:bCs/>
      <w:szCs w:val="24"/>
    </w:rPr>
  </w:style>
  <w:style w:type="paragraph" w:styleId="TOC1">
    <w:name w:val="toc 1"/>
    <w:basedOn w:val="Normal"/>
    <w:next w:val="Normal"/>
    <w:autoRedefine/>
    <w:semiHidden/>
    <w:rsid w:val="00F12EE5"/>
  </w:style>
  <w:style w:type="paragraph" w:styleId="TOC2">
    <w:name w:val="toc 2"/>
    <w:basedOn w:val="Normal"/>
    <w:next w:val="Normal"/>
    <w:autoRedefine/>
    <w:semiHidden/>
    <w:rsid w:val="00F12EE5"/>
    <w:pPr>
      <w:ind w:left="240"/>
    </w:pPr>
  </w:style>
  <w:style w:type="paragraph" w:styleId="TOC3">
    <w:name w:val="toc 3"/>
    <w:basedOn w:val="Normal"/>
    <w:next w:val="Normal"/>
    <w:autoRedefine/>
    <w:semiHidden/>
    <w:rsid w:val="00F12EE5"/>
    <w:pPr>
      <w:ind w:left="480"/>
    </w:pPr>
  </w:style>
  <w:style w:type="paragraph" w:styleId="TOC4">
    <w:name w:val="toc 4"/>
    <w:basedOn w:val="Normal"/>
    <w:next w:val="Normal"/>
    <w:autoRedefine/>
    <w:semiHidden/>
    <w:rsid w:val="00F12EE5"/>
    <w:pPr>
      <w:ind w:left="720"/>
    </w:pPr>
  </w:style>
  <w:style w:type="paragraph" w:styleId="TOC5">
    <w:name w:val="toc 5"/>
    <w:basedOn w:val="Normal"/>
    <w:next w:val="Normal"/>
    <w:autoRedefine/>
    <w:semiHidden/>
    <w:rsid w:val="00F12EE5"/>
    <w:pPr>
      <w:ind w:left="960"/>
    </w:pPr>
  </w:style>
  <w:style w:type="paragraph" w:styleId="TOC6">
    <w:name w:val="toc 6"/>
    <w:basedOn w:val="Normal"/>
    <w:next w:val="Normal"/>
    <w:autoRedefine/>
    <w:semiHidden/>
    <w:rsid w:val="00F12EE5"/>
    <w:pPr>
      <w:ind w:left="1200"/>
    </w:pPr>
  </w:style>
  <w:style w:type="paragraph" w:styleId="TOC7">
    <w:name w:val="toc 7"/>
    <w:basedOn w:val="Normal"/>
    <w:next w:val="Normal"/>
    <w:autoRedefine/>
    <w:semiHidden/>
    <w:rsid w:val="00F12EE5"/>
    <w:pPr>
      <w:ind w:left="1440"/>
    </w:pPr>
  </w:style>
  <w:style w:type="paragraph" w:styleId="TOC8">
    <w:name w:val="toc 8"/>
    <w:basedOn w:val="Normal"/>
    <w:next w:val="Normal"/>
    <w:autoRedefine/>
    <w:semiHidden/>
    <w:rsid w:val="00F12EE5"/>
    <w:pPr>
      <w:ind w:left="1680"/>
    </w:pPr>
  </w:style>
  <w:style w:type="paragraph" w:styleId="TOC9">
    <w:name w:val="toc 9"/>
    <w:basedOn w:val="Normal"/>
    <w:next w:val="Normal"/>
    <w:autoRedefine/>
    <w:semiHidden/>
    <w:rsid w:val="00F12EE5"/>
    <w:pPr>
      <w:ind w:left="1920"/>
    </w:pPr>
  </w:style>
  <w:style w:type="table" w:customStyle="1" w:styleId="ECHRHeaderTable">
    <w:name w:val="ECHR_Header_Table"/>
    <w:basedOn w:val="TableGrid"/>
    <w:rsid w:val="00F12EE5"/>
    <w:pPr>
      <w:suppressAutoHyphens w:val="0"/>
    </w:pPr>
    <w:rPr>
      <w:rFonts w:ascii="Verdana" w:hAnsi="Verdana"/>
    </w:rPr>
    <w:tblPr>
      <w:tblInd w:w="-624" w:type="dxa"/>
      <w:tblBorders>
        <w:top w:val="single" w:sz="8" w:space="0" w:color="FFFFFF"/>
        <w:left w:val="single" w:sz="8" w:space="0" w:color="FFFFFF"/>
        <w:bottom w:val="single" w:sz="8" w:space="0" w:color="808080"/>
        <w:right w:val="single" w:sz="8" w:space="0" w:color="FFFFFF"/>
        <w:insideH w:val="single" w:sz="8" w:space="0" w:color="FFFFFF"/>
        <w:insideV w:val="single" w:sz="8" w:space="0" w:color="FFFFFF"/>
      </w:tblBorders>
      <w:tblCellMar>
        <w:left w:w="0" w:type="dxa"/>
        <w:bottom w:w="28" w:type="dxa"/>
        <w:right w:w="0" w:type="dxa"/>
      </w:tblCellMar>
    </w:tblPr>
    <w:tcPr>
      <w:noWrap/>
      <w:vAlign w:val="bottom"/>
    </w:tcPr>
  </w:style>
  <w:style w:type="character" w:customStyle="1" w:styleId="sfbbfee58">
    <w:name w:val="sfbbfee58"/>
    <w:rsid w:val="008549F9"/>
  </w:style>
  <w:style w:type="character" w:customStyle="1" w:styleId="sdfc50a6a">
    <w:name w:val="sdfc50a6a"/>
    <w:rsid w:val="008549F9"/>
  </w:style>
  <w:style w:type="character" w:customStyle="1" w:styleId="s54939a00">
    <w:name w:val="s54939a00"/>
    <w:rsid w:val="00854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4116">
      <w:bodyDiv w:val="1"/>
      <w:marLeft w:val="0"/>
      <w:marRight w:val="0"/>
      <w:marTop w:val="0"/>
      <w:marBottom w:val="0"/>
      <w:divBdr>
        <w:top w:val="none" w:sz="0" w:space="0" w:color="auto"/>
        <w:left w:val="none" w:sz="0" w:space="0" w:color="auto"/>
        <w:bottom w:val="none" w:sz="0" w:space="0" w:color="auto"/>
        <w:right w:val="none" w:sz="0" w:space="0" w:color="auto"/>
      </w:divBdr>
    </w:div>
    <w:div w:id="42785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ublishing@echr.coe.int"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hyperlink" Target="http://hudoc.echr.coe.int"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ublishing@echr.coe.int" TargetMode="External"/><Relationship Id="rId5" Type="http://schemas.openxmlformats.org/officeDocument/2006/relationships/footnotes" Target="footnotes.xml"/><Relationship Id="rId15" Type="http://schemas.openxmlformats.org/officeDocument/2006/relationships/hyperlink" Target="mailto:publishing@echr.coe.int" TargetMode="External"/><Relationship Id="rId10" Type="http://schemas.openxmlformats.org/officeDocument/2006/relationships/hyperlink" Target="http://hudoc.echr.coe.i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hudoc.echr.coe.int/"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44D484-184C-4357-9134-71C4EA4D9B17}"/>
</file>

<file path=customXml/itemProps2.xml><?xml version="1.0" encoding="utf-8"?>
<ds:datastoreItem xmlns:ds="http://schemas.openxmlformats.org/officeDocument/2006/customXml" ds:itemID="{EC5304CB-6A7A-4726-BE40-6FCB99890797}"/>
</file>

<file path=customXml/itemProps3.xml><?xml version="1.0" encoding="utf-8"?>
<ds:datastoreItem xmlns:ds="http://schemas.openxmlformats.org/officeDocument/2006/customXml" ds:itemID="{9DD950DC-6733-4F0C-A73C-FA47E977BEB9}"/>
</file>

<file path=docProps/app.xml><?xml version="1.0" encoding="utf-8"?>
<Properties xmlns="http://schemas.openxmlformats.org/officeDocument/2006/extended-properties" xmlns:vt="http://schemas.openxmlformats.org/officeDocument/2006/docPropsVTypes">
  <Template>Normal.dotm</Template>
  <TotalTime>0</TotalTime>
  <Pages>1</Pages>
  <Words>5851</Words>
  <Characters>33356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39129</CharactersWithSpaces>
  <SharedDoc>false</SharedDoc>
  <HLinks>
    <vt:vector size="36" baseType="variant">
      <vt:variant>
        <vt:i4>5570594</vt:i4>
      </vt:variant>
      <vt:variant>
        <vt:i4>165</vt:i4>
      </vt:variant>
      <vt:variant>
        <vt:i4>0</vt:i4>
      </vt:variant>
      <vt:variant>
        <vt:i4>5</vt:i4>
      </vt:variant>
      <vt:variant>
        <vt:lpwstr>mailto:publishing@echr.coe.int</vt:lpwstr>
      </vt:variant>
      <vt:variant>
        <vt:lpwstr/>
      </vt:variant>
      <vt:variant>
        <vt:i4>6750263</vt:i4>
      </vt:variant>
      <vt:variant>
        <vt:i4>162</vt:i4>
      </vt:variant>
      <vt:variant>
        <vt:i4>0</vt:i4>
      </vt:variant>
      <vt:variant>
        <vt:i4>5</vt:i4>
      </vt:variant>
      <vt:variant>
        <vt:lpwstr>http://hudoc.echr.coe.int/</vt:lpwstr>
      </vt:variant>
      <vt:variant>
        <vt:lpwstr/>
      </vt:variant>
      <vt:variant>
        <vt:i4>5570594</vt:i4>
      </vt:variant>
      <vt:variant>
        <vt:i4>159</vt:i4>
      </vt:variant>
      <vt:variant>
        <vt:i4>0</vt:i4>
      </vt:variant>
      <vt:variant>
        <vt:i4>5</vt:i4>
      </vt:variant>
      <vt:variant>
        <vt:lpwstr>mailto:publishing@echr.coe.int</vt:lpwstr>
      </vt:variant>
      <vt:variant>
        <vt:lpwstr/>
      </vt:variant>
      <vt:variant>
        <vt:i4>6750263</vt:i4>
      </vt:variant>
      <vt:variant>
        <vt:i4>156</vt:i4>
      </vt:variant>
      <vt:variant>
        <vt:i4>0</vt:i4>
      </vt:variant>
      <vt:variant>
        <vt:i4>5</vt:i4>
      </vt:variant>
      <vt:variant>
        <vt:lpwstr>http://hudoc.echr.coe.int/</vt:lpwstr>
      </vt:variant>
      <vt:variant>
        <vt:lpwstr/>
      </vt:variant>
      <vt:variant>
        <vt:i4>5570594</vt:i4>
      </vt:variant>
      <vt:variant>
        <vt:i4>153</vt:i4>
      </vt:variant>
      <vt:variant>
        <vt:i4>0</vt:i4>
      </vt:variant>
      <vt:variant>
        <vt:i4>5</vt:i4>
      </vt:variant>
      <vt:variant>
        <vt:lpwstr>mailto:publishing@echr.coe.int</vt:lpwstr>
      </vt:variant>
      <vt:variant>
        <vt:lpwstr/>
      </vt:variant>
      <vt:variant>
        <vt:i4>6750263</vt:i4>
      </vt:variant>
      <vt:variant>
        <vt:i4>150</vt:i4>
      </vt:variant>
      <vt:variant>
        <vt:i4>0</vt:i4>
      </vt:variant>
      <vt:variant>
        <vt:i4>5</vt:i4>
      </vt:variant>
      <vt:variant>
        <vt:lpwstr>http://hudoc.echr.coe.int/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1</cp:revision>
  <cp:lastPrinted>2013-03-25T13:37:00Z</cp:lastPrinted>
  <dcterms:created xsi:type="dcterms:W3CDTF">2021-12-06T14:11:00Z</dcterms:created>
  <dcterms:modified xsi:type="dcterms:W3CDTF">2021-12-06T14:11:00Z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