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7144D3" w:rsidR="00EB24D7" w:rsidP="00EB24D7" w:rsidRDefault="00EB24D7">
      <w:pPr>
        <w:spacing w:after="0"/>
        <w:ind w:left="0" w:right="4" w:firstLine="0"/>
        <w:rPr>
          <w:rFonts w:ascii="Sylfaen" w:hAnsi="Sylfaen"/>
          <w:sz w:val="20"/>
          <w:szCs w:val="20"/>
          <w:lang w:val="ka-GE"/>
        </w:rPr>
      </w:pPr>
      <w:bookmarkStart w:name="_GoBack" w:id="0"/>
      <w:bookmarkEnd w:id="0"/>
      <w:r w:rsidRPr="007144D3">
        <w:rPr>
          <w:rFonts w:ascii="Sylfaen" w:hAnsi="Sylfaen"/>
          <w:sz w:val="20"/>
          <w:szCs w:val="20"/>
        </w:rPr>
        <w:t xml:space="preserve">© </w:t>
      </w:r>
      <w:r w:rsidRPr="007144D3">
        <w:rPr>
          <w:rFonts w:ascii="Sylfaen" w:hAnsi="Sylfaen" w:cs="Sylfaen"/>
          <w:sz w:val="20"/>
          <w:szCs w:val="20"/>
        </w:rPr>
        <w:t>ევროპის</w:t>
      </w:r>
      <w:r w:rsidRPr="007144D3">
        <w:rPr>
          <w:rFonts w:ascii="Sylfaen" w:hAnsi="Sylfaen"/>
          <w:sz w:val="20"/>
          <w:szCs w:val="20"/>
        </w:rPr>
        <w:t xml:space="preserve"> </w:t>
      </w:r>
      <w:r w:rsidRPr="007144D3">
        <w:rPr>
          <w:rFonts w:ascii="Sylfaen" w:hAnsi="Sylfaen" w:cs="Sylfaen"/>
          <w:sz w:val="20"/>
          <w:szCs w:val="20"/>
        </w:rPr>
        <w:t>საბჭო</w:t>
      </w:r>
      <w:r w:rsidRPr="007144D3">
        <w:rPr>
          <w:rFonts w:ascii="Sylfaen" w:hAnsi="Sylfaen"/>
          <w:sz w:val="20"/>
          <w:szCs w:val="20"/>
        </w:rPr>
        <w:t>/</w:t>
      </w:r>
      <w:r w:rsidRPr="007144D3">
        <w:rPr>
          <w:rFonts w:ascii="Sylfaen" w:hAnsi="Sylfaen" w:cs="Sylfaen"/>
          <w:sz w:val="20"/>
          <w:szCs w:val="20"/>
        </w:rPr>
        <w:t>ადამიანის</w:t>
      </w:r>
      <w:r w:rsidRPr="007144D3">
        <w:rPr>
          <w:rFonts w:ascii="Sylfaen" w:hAnsi="Sylfaen"/>
          <w:sz w:val="20"/>
          <w:szCs w:val="20"/>
        </w:rPr>
        <w:t xml:space="preserve"> </w:t>
      </w:r>
      <w:r w:rsidRPr="007144D3">
        <w:rPr>
          <w:rFonts w:ascii="Sylfaen" w:hAnsi="Sylfaen" w:cs="Sylfaen"/>
          <w:sz w:val="20"/>
          <w:szCs w:val="20"/>
        </w:rPr>
        <w:t>უფლებათა</w:t>
      </w:r>
      <w:r w:rsidRPr="007144D3">
        <w:rPr>
          <w:rFonts w:ascii="Sylfaen" w:hAnsi="Sylfaen"/>
          <w:sz w:val="20"/>
          <w:szCs w:val="20"/>
        </w:rPr>
        <w:t xml:space="preserve"> </w:t>
      </w:r>
      <w:r w:rsidRPr="007144D3">
        <w:rPr>
          <w:rFonts w:ascii="Sylfaen" w:hAnsi="Sylfaen" w:cs="Sylfaen"/>
          <w:sz w:val="20"/>
          <w:szCs w:val="20"/>
        </w:rPr>
        <w:t>ევროპული</w:t>
      </w:r>
      <w:r w:rsidRPr="007144D3">
        <w:rPr>
          <w:rFonts w:ascii="Sylfaen" w:hAnsi="Sylfaen"/>
          <w:sz w:val="20"/>
          <w:szCs w:val="20"/>
        </w:rPr>
        <w:t xml:space="preserve"> </w:t>
      </w:r>
      <w:r w:rsidRPr="007144D3">
        <w:rPr>
          <w:rFonts w:ascii="Sylfaen" w:hAnsi="Sylfaen" w:cs="Sylfaen"/>
          <w:sz w:val="20"/>
          <w:szCs w:val="20"/>
        </w:rPr>
        <w:t>სასამართლო</w:t>
      </w:r>
      <w:r w:rsidRPr="007144D3">
        <w:rPr>
          <w:rFonts w:ascii="Sylfaen" w:hAnsi="Sylfaen"/>
          <w:sz w:val="20"/>
          <w:szCs w:val="20"/>
        </w:rPr>
        <w:t xml:space="preserve">, 2013. </w:t>
      </w:r>
      <w:r w:rsidRPr="007144D3">
        <w:rPr>
          <w:rFonts w:ascii="Sylfaen" w:hAnsi="Sylfaen" w:cs="Sylfaen"/>
          <w:sz w:val="20"/>
          <w:szCs w:val="20"/>
        </w:rPr>
        <w:t>წინამდებარე</w:t>
      </w:r>
      <w:r w:rsidRPr="007144D3">
        <w:rPr>
          <w:rFonts w:ascii="Sylfaen" w:hAnsi="Sylfaen"/>
          <w:sz w:val="20"/>
          <w:szCs w:val="20"/>
        </w:rPr>
        <w:t xml:space="preserve"> </w:t>
      </w:r>
      <w:r w:rsidRPr="007144D3">
        <w:rPr>
          <w:rFonts w:ascii="Sylfaen" w:hAnsi="Sylfaen" w:cs="Sylfaen"/>
          <w:sz w:val="20"/>
          <w:szCs w:val="20"/>
        </w:rPr>
        <w:t>თარგმანი</w:t>
      </w:r>
      <w:r w:rsidRPr="007144D3">
        <w:rPr>
          <w:rFonts w:ascii="Sylfaen" w:hAnsi="Sylfaen"/>
          <w:sz w:val="20"/>
          <w:szCs w:val="20"/>
        </w:rPr>
        <w:t xml:space="preserve"> </w:t>
      </w:r>
      <w:r w:rsidRPr="007144D3">
        <w:rPr>
          <w:rFonts w:ascii="Sylfaen" w:hAnsi="Sylfaen" w:cs="Sylfaen"/>
          <w:sz w:val="20"/>
          <w:szCs w:val="20"/>
        </w:rPr>
        <w:t>შესრულებულია</w:t>
      </w:r>
      <w:r w:rsidRPr="007144D3">
        <w:rPr>
          <w:rFonts w:ascii="Sylfaen" w:hAnsi="Sylfaen"/>
          <w:sz w:val="20"/>
          <w:szCs w:val="20"/>
        </w:rPr>
        <w:t xml:space="preserve"> </w:t>
      </w:r>
      <w:r w:rsidRPr="007144D3">
        <w:rPr>
          <w:rFonts w:ascii="Sylfaen" w:hAnsi="Sylfaen" w:cs="Sylfaen"/>
          <w:sz w:val="20"/>
          <w:szCs w:val="20"/>
        </w:rPr>
        <w:t>ევროპის</w:t>
      </w:r>
      <w:r w:rsidRPr="007144D3">
        <w:rPr>
          <w:rFonts w:ascii="Sylfaen" w:hAnsi="Sylfaen"/>
          <w:sz w:val="20"/>
          <w:szCs w:val="20"/>
        </w:rPr>
        <w:t xml:space="preserve"> </w:t>
      </w:r>
      <w:r w:rsidRPr="007144D3">
        <w:rPr>
          <w:rFonts w:ascii="Sylfaen" w:hAnsi="Sylfaen" w:cs="Sylfaen"/>
          <w:sz w:val="20"/>
          <w:szCs w:val="20"/>
        </w:rPr>
        <w:t>საბჭოს</w:t>
      </w:r>
      <w:r w:rsidRPr="007144D3">
        <w:rPr>
          <w:rFonts w:ascii="Sylfaen" w:hAnsi="Sylfaen"/>
          <w:sz w:val="20"/>
          <w:szCs w:val="20"/>
        </w:rPr>
        <w:t xml:space="preserve"> </w:t>
      </w:r>
      <w:r w:rsidRPr="007144D3">
        <w:rPr>
          <w:rFonts w:ascii="Sylfaen" w:hAnsi="Sylfaen" w:cs="Sylfaen"/>
          <w:sz w:val="20"/>
          <w:szCs w:val="20"/>
        </w:rPr>
        <w:t>ადამიანის</w:t>
      </w:r>
      <w:r w:rsidRPr="007144D3">
        <w:rPr>
          <w:rFonts w:ascii="Sylfaen" w:hAnsi="Sylfaen"/>
          <w:sz w:val="20"/>
          <w:szCs w:val="20"/>
        </w:rPr>
        <w:t xml:space="preserve"> </w:t>
      </w:r>
      <w:r w:rsidRPr="007144D3">
        <w:rPr>
          <w:rFonts w:ascii="Sylfaen" w:hAnsi="Sylfaen" w:cs="Sylfaen"/>
          <w:sz w:val="20"/>
          <w:szCs w:val="20"/>
        </w:rPr>
        <w:t>უფლებათა</w:t>
      </w:r>
      <w:r w:rsidRPr="007144D3">
        <w:rPr>
          <w:rFonts w:ascii="Sylfaen" w:hAnsi="Sylfaen"/>
          <w:sz w:val="20"/>
          <w:szCs w:val="20"/>
        </w:rPr>
        <w:t xml:space="preserve"> </w:t>
      </w:r>
      <w:r w:rsidRPr="007144D3">
        <w:rPr>
          <w:rFonts w:ascii="Sylfaen" w:hAnsi="Sylfaen" w:cs="Sylfaen"/>
          <w:sz w:val="20"/>
          <w:szCs w:val="20"/>
        </w:rPr>
        <w:t>სატრასტო</w:t>
      </w:r>
      <w:r w:rsidRPr="007144D3">
        <w:rPr>
          <w:rFonts w:ascii="Sylfaen" w:hAnsi="Sylfaen"/>
          <w:sz w:val="20"/>
          <w:szCs w:val="20"/>
        </w:rPr>
        <w:t xml:space="preserve"> </w:t>
      </w:r>
      <w:r w:rsidRPr="007144D3">
        <w:rPr>
          <w:rFonts w:ascii="Sylfaen" w:hAnsi="Sylfaen" w:cs="Sylfaen"/>
          <w:sz w:val="20"/>
          <w:szCs w:val="20"/>
        </w:rPr>
        <w:t>ფონდის</w:t>
      </w:r>
      <w:r w:rsidRPr="007144D3">
        <w:rPr>
          <w:rFonts w:ascii="Sylfaen" w:hAnsi="Sylfaen"/>
          <w:sz w:val="20"/>
          <w:szCs w:val="20"/>
        </w:rPr>
        <w:t xml:space="preserve"> </w:t>
      </w:r>
      <w:r w:rsidRPr="007144D3">
        <w:rPr>
          <w:rFonts w:ascii="Sylfaen" w:hAnsi="Sylfaen" w:cs="Sylfaen"/>
          <w:sz w:val="20"/>
          <w:szCs w:val="20"/>
        </w:rPr>
        <w:t>ხელშეწყობით</w:t>
      </w:r>
      <w:r w:rsidRPr="007144D3">
        <w:rPr>
          <w:rFonts w:ascii="Sylfaen" w:hAnsi="Sylfaen"/>
          <w:sz w:val="20"/>
          <w:szCs w:val="20"/>
        </w:rPr>
        <w:t xml:space="preserve"> (</w:t>
      </w:r>
      <w:hyperlink w:tooltip="http://www.coe.int/humanrightstrustfund" w:history="1" r:id="rId8">
        <w:r w:rsidRPr="007144D3">
          <w:rPr>
            <w:rFonts w:ascii="Sylfaen" w:hAnsi="Sylfaen"/>
            <w:bCs/>
            <w:color w:val="0000FF"/>
            <w:sz w:val="20"/>
            <w:szCs w:val="20"/>
            <w:u w:val="single"/>
          </w:rPr>
          <w:t>www.coe.int/humanrightstrustfund</w:t>
        </w:r>
      </w:hyperlink>
      <w:r w:rsidRPr="007144D3">
        <w:rPr>
          <w:rFonts w:ascii="Sylfaen" w:hAnsi="Sylfaen"/>
          <w:sz w:val="20"/>
          <w:szCs w:val="20"/>
        </w:rPr>
        <w:t xml:space="preserve">). </w:t>
      </w:r>
      <w:r w:rsidRPr="007144D3">
        <w:rPr>
          <w:rFonts w:ascii="Sylfaen" w:hAnsi="Sylfaen" w:cs="Sylfaen"/>
          <w:sz w:val="20"/>
          <w:szCs w:val="20"/>
        </w:rPr>
        <w:t>სასამართლოსათვის</w:t>
      </w:r>
      <w:r w:rsidRPr="007144D3">
        <w:rPr>
          <w:rFonts w:ascii="Sylfaen" w:hAnsi="Sylfaen"/>
          <w:sz w:val="20"/>
          <w:szCs w:val="20"/>
        </w:rPr>
        <w:t xml:space="preserve"> </w:t>
      </w:r>
      <w:r w:rsidRPr="007144D3">
        <w:rPr>
          <w:rFonts w:ascii="Sylfaen" w:hAnsi="Sylfaen" w:cs="Sylfaen"/>
          <w:sz w:val="20"/>
          <w:szCs w:val="20"/>
        </w:rPr>
        <w:t>იგი</w:t>
      </w:r>
      <w:r w:rsidRPr="007144D3">
        <w:rPr>
          <w:rFonts w:ascii="Sylfaen" w:hAnsi="Sylfaen"/>
          <w:sz w:val="20"/>
          <w:szCs w:val="20"/>
        </w:rPr>
        <w:t xml:space="preserve"> </w:t>
      </w:r>
      <w:r w:rsidRPr="007144D3">
        <w:rPr>
          <w:rFonts w:ascii="Sylfaen" w:hAnsi="Sylfaen" w:cs="Sylfaen"/>
          <w:sz w:val="20"/>
          <w:szCs w:val="20"/>
        </w:rPr>
        <w:t>სავალდებულო</w:t>
      </w:r>
      <w:r w:rsidRPr="007144D3">
        <w:rPr>
          <w:rFonts w:ascii="Sylfaen" w:hAnsi="Sylfaen"/>
          <w:sz w:val="20"/>
          <w:szCs w:val="20"/>
        </w:rPr>
        <w:t xml:space="preserve"> </w:t>
      </w:r>
      <w:r w:rsidRPr="007144D3">
        <w:rPr>
          <w:rFonts w:ascii="Sylfaen" w:hAnsi="Sylfaen" w:cs="Sylfaen"/>
          <w:sz w:val="20"/>
          <w:szCs w:val="20"/>
        </w:rPr>
        <w:t>ხასიათს</w:t>
      </w:r>
      <w:r w:rsidRPr="007144D3">
        <w:rPr>
          <w:rFonts w:ascii="Sylfaen" w:hAnsi="Sylfaen"/>
          <w:sz w:val="20"/>
          <w:szCs w:val="20"/>
        </w:rPr>
        <w:t xml:space="preserve"> </w:t>
      </w:r>
      <w:r w:rsidRPr="007144D3">
        <w:rPr>
          <w:rFonts w:ascii="Sylfaen" w:hAnsi="Sylfaen" w:cs="Sylfaen"/>
          <w:sz w:val="20"/>
          <w:szCs w:val="20"/>
        </w:rPr>
        <w:t>არ</w:t>
      </w:r>
      <w:r w:rsidRPr="007144D3">
        <w:rPr>
          <w:rFonts w:ascii="Sylfaen" w:hAnsi="Sylfaen"/>
          <w:sz w:val="20"/>
          <w:szCs w:val="20"/>
        </w:rPr>
        <w:t xml:space="preserve"> </w:t>
      </w:r>
      <w:r w:rsidRPr="007144D3">
        <w:rPr>
          <w:rFonts w:ascii="Sylfaen" w:hAnsi="Sylfaen" w:cs="Sylfaen"/>
          <w:sz w:val="20"/>
          <w:szCs w:val="20"/>
        </w:rPr>
        <w:t>ატარებს</w:t>
      </w:r>
      <w:r w:rsidRPr="007144D3">
        <w:rPr>
          <w:rFonts w:ascii="Sylfaen" w:hAnsi="Sylfaen"/>
          <w:sz w:val="20"/>
          <w:szCs w:val="20"/>
        </w:rPr>
        <w:t xml:space="preserve">. </w:t>
      </w:r>
      <w:r w:rsidRPr="007144D3">
        <w:rPr>
          <w:rFonts w:ascii="Sylfaen" w:hAnsi="Sylfaen" w:cs="Sylfaen"/>
          <w:sz w:val="20"/>
          <w:szCs w:val="20"/>
        </w:rPr>
        <w:t>დამატებითი</w:t>
      </w:r>
      <w:r w:rsidRPr="007144D3">
        <w:rPr>
          <w:rFonts w:ascii="Sylfaen" w:hAnsi="Sylfaen"/>
          <w:sz w:val="20"/>
          <w:szCs w:val="20"/>
        </w:rPr>
        <w:t xml:space="preserve"> </w:t>
      </w:r>
      <w:r w:rsidRPr="007144D3">
        <w:rPr>
          <w:rFonts w:ascii="Sylfaen" w:hAnsi="Sylfaen" w:cs="Sylfaen"/>
          <w:sz w:val="20"/>
          <w:szCs w:val="20"/>
        </w:rPr>
        <w:t>ინფორმაციისათვის</w:t>
      </w:r>
      <w:r w:rsidRPr="007144D3">
        <w:rPr>
          <w:rFonts w:ascii="Sylfaen" w:hAnsi="Sylfaen"/>
          <w:sz w:val="20"/>
          <w:szCs w:val="20"/>
        </w:rPr>
        <w:t xml:space="preserve"> </w:t>
      </w:r>
      <w:r w:rsidRPr="007144D3">
        <w:rPr>
          <w:rFonts w:ascii="Sylfaen" w:hAnsi="Sylfaen" w:cs="Sylfaen"/>
          <w:sz w:val="20"/>
          <w:szCs w:val="20"/>
        </w:rPr>
        <w:t>იხილეთ</w:t>
      </w:r>
      <w:r w:rsidRPr="007144D3">
        <w:rPr>
          <w:rFonts w:ascii="Sylfaen" w:hAnsi="Sylfaen"/>
          <w:sz w:val="20"/>
          <w:szCs w:val="20"/>
        </w:rPr>
        <w:t xml:space="preserve"> </w:t>
      </w:r>
      <w:r w:rsidRPr="007144D3">
        <w:rPr>
          <w:rFonts w:ascii="Sylfaen" w:hAnsi="Sylfaen" w:cs="Sylfaen"/>
          <w:sz w:val="20"/>
          <w:szCs w:val="20"/>
        </w:rPr>
        <w:t>საავტორო</w:t>
      </w:r>
      <w:r w:rsidRPr="007144D3">
        <w:rPr>
          <w:rFonts w:ascii="Sylfaen" w:hAnsi="Sylfaen"/>
          <w:sz w:val="20"/>
          <w:szCs w:val="20"/>
        </w:rPr>
        <w:t xml:space="preserve"> </w:t>
      </w:r>
      <w:r w:rsidRPr="007144D3">
        <w:rPr>
          <w:rFonts w:ascii="Sylfaen" w:hAnsi="Sylfaen" w:cs="Sylfaen"/>
          <w:sz w:val="20"/>
          <w:szCs w:val="20"/>
        </w:rPr>
        <w:t>უფლებების</w:t>
      </w:r>
      <w:r w:rsidRPr="007144D3">
        <w:rPr>
          <w:rFonts w:ascii="Sylfaen" w:hAnsi="Sylfaen"/>
          <w:sz w:val="20"/>
          <w:szCs w:val="20"/>
        </w:rPr>
        <w:t xml:space="preserve"> </w:t>
      </w:r>
      <w:r w:rsidRPr="007144D3">
        <w:rPr>
          <w:rFonts w:ascii="Sylfaen" w:hAnsi="Sylfaen" w:cs="Sylfaen"/>
          <w:sz w:val="20"/>
          <w:szCs w:val="20"/>
        </w:rPr>
        <w:t>სრული</w:t>
      </w:r>
      <w:r w:rsidRPr="007144D3">
        <w:rPr>
          <w:rFonts w:ascii="Sylfaen" w:hAnsi="Sylfaen"/>
          <w:sz w:val="20"/>
          <w:szCs w:val="20"/>
        </w:rPr>
        <w:t xml:space="preserve"> </w:t>
      </w:r>
      <w:r w:rsidRPr="007144D3">
        <w:rPr>
          <w:rFonts w:ascii="Sylfaen" w:hAnsi="Sylfaen" w:cs="Sylfaen"/>
          <w:sz w:val="20"/>
          <w:szCs w:val="20"/>
        </w:rPr>
        <w:t>მიმოხილვა</w:t>
      </w:r>
      <w:r w:rsidRPr="007144D3">
        <w:rPr>
          <w:rFonts w:ascii="Sylfaen" w:hAnsi="Sylfaen"/>
          <w:sz w:val="20"/>
          <w:szCs w:val="20"/>
        </w:rPr>
        <w:t xml:space="preserve"> </w:t>
      </w:r>
      <w:r w:rsidRPr="007144D3">
        <w:rPr>
          <w:rFonts w:ascii="Sylfaen" w:hAnsi="Sylfaen" w:cs="Sylfaen"/>
          <w:sz w:val="20"/>
          <w:szCs w:val="20"/>
        </w:rPr>
        <w:t>მოცემული</w:t>
      </w:r>
      <w:r w:rsidRPr="007144D3">
        <w:rPr>
          <w:rFonts w:ascii="Sylfaen" w:hAnsi="Sylfaen"/>
          <w:sz w:val="20"/>
          <w:szCs w:val="20"/>
        </w:rPr>
        <w:t xml:space="preserve"> </w:t>
      </w:r>
      <w:r w:rsidRPr="007144D3">
        <w:rPr>
          <w:rFonts w:ascii="Sylfaen" w:hAnsi="Sylfaen" w:cs="Sylfaen"/>
          <w:sz w:val="20"/>
          <w:szCs w:val="20"/>
        </w:rPr>
        <w:t>დოკუმენტის</w:t>
      </w:r>
      <w:r w:rsidRPr="007144D3">
        <w:rPr>
          <w:rFonts w:ascii="Sylfaen" w:hAnsi="Sylfaen"/>
          <w:sz w:val="20"/>
          <w:szCs w:val="20"/>
        </w:rPr>
        <w:t xml:space="preserve"> </w:t>
      </w:r>
      <w:r w:rsidRPr="007144D3">
        <w:rPr>
          <w:rFonts w:ascii="Sylfaen" w:hAnsi="Sylfaen" w:cs="Sylfaen"/>
          <w:sz w:val="20"/>
          <w:szCs w:val="20"/>
        </w:rPr>
        <w:t>ბოლოს</w:t>
      </w:r>
      <w:r w:rsidRPr="007144D3">
        <w:rPr>
          <w:rFonts w:ascii="Sylfaen" w:hAnsi="Sylfaen"/>
          <w:sz w:val="20"/>
          <w:szCs w:val="20"/>
        </w:rPr>
        <w:t>.</w:t>
      </w:r>
    </w:p>
    <w:p w:rsidRPr="007144D3" w:rsidR="00EB24D7" w:rsidP="00EB24D7" w:rsidRDefault="00EB24D7">
      <w:pPr>
        <w:spacing w:after="0"/>
        <w:ind w:left="0" w:right="4" w:firstLine="0"/>
        <w:rPr>
          <w:rFonts w:ascii="Sylfaen" w:hAnsi="Sylfaen"/>
          <w:sz w:val="20"/>
          <w:szCs w:val="20"/>
          <w:lang w:val="ro-RO"/>
        </w:rPr>
      </w:pPr>
      <w:r w:rsidRPr="007144D3">
        <w:rPr>
          <w:rFonts w:ascii="Sylfaen" w:hAnsi="Sylfaen"/>
          <w:sz w:val="20"/>
          <w:szCs w:val="20"/>
          <w:lang w:val="ro-RO"/>
        </w:rPr>
        <w:sym w:font="Symbol" w:char="F0D3"/>
      </w:r>
      <w:r w:rsidRPr="007144D3">
        <w:rPr>
          <w:rFonts w:ascii="Sylfaen" w:hAnsi="Sylfaen"/>
          <w:sz w:val="20"/>
          <w:szCs w:val="20"/>
          <w:lang w:val="ro-RO"/>
        </w:rPr>
        <w:t xml:space="preserve"> Council of Europe/European Court of Human Rights, 2013. This translation was commissioned with the support of the Human Rights Trust Fund of the Council of Europe (</w:t>
      </w:r>
      <w:hyperlink w:history="1" r:id="rId9">
        <w:r w:rsidRPr="007144D3">
          <w:rPr>
            <w:rFonts w:ascii="Sylfaen" w:hAnsi="Sylfaen"/>
            <w:color w:val="0072BC"/>
            <w:sz w:val="20"/>
            <w:szCs w:val="20"/>
            <w:u w:val="single"/>
            <w:lang w:val="ro-RO"/>
          </w:rPr>
          <w:t>www.coe.int/humanrightstrustfund</w:t>
        </w:r>
      </w:hyperlink>
      <w:r w:rsidRPr="007144D3">
        <w:rPr>
          <w:rFonts w:ascii="Sylfaen" w:hAnsi="Sylfaen"/>
          <w:sz w:val="20"/>
          <w:szCs w:val="20"/>
          <w:lang w:val="ro-RO"/>
        </w:rPr>
        <w:t>). It does not bind the Court. For further information see the full copyright indication at the end of this document.</w:t>
      </w:r>
    </w:p>
    <w:p w:rsidRPr="007144D3" w:rsidR="00EB24D7" w:rsidP="00EB24D7" w:rsidRDefault="00EB24D7">
      <w:pPr>
        <w:spacing w:after="0"/>
        <w:ind w:left="0" w:right="4" w:firstLine="0"/>
        <w:rPr>
          <w:rFonts w:ascii="Sylfaen" w:hAnsi="Sylfaen"/>
          <w:sz w:val="20"/>
          <w:szCs w:val="20"/>
          <w:lang w:val="ro-RO"/>
        </w:rPr>
      </w:pPr>
      <w:r w:rsidRPr="007144D3">
        <w:rPr>
          <w:rFonts w:ascii="Sylfaen" w:hAnsi="Sylfaen"/>
          <w:sz w:val="20"/>
          <w:szCs w:val="20"/>
          <w:lang w:val="ro-RO"/>
        </w:rPr>
        <w:sym w:font="Symbol" w:char="F0D3"/>
      </w:r>
      <w:r w:rsidRPr="007144D3">
        <w:rPr>
          <w:rFonts w:ascii="Sylfaen" w:hAnsi="Sylfaen"/>
          <w:sz w:val="20"/>
          <w:szCs w:val="20"/>
          <w:lang w:val="ro-RO"/>
        </w:rPr>
        <w:t xml:space="preserve"> Conseil de l</w:t>
      </w:r>
      <w:r w:rsidR="00643EF8">
        <w:rPr>
          <w:rFonts w:ascii="Sylfaen" w:hAnsi="Sylfaen"/>
          <w:sz w:val="20"/>
          <w:szCs w:val="20"/>
          <w:lang w:val="ro-RO"/>
        </w:rPr>
        <w:t>’</w:t>
      </w:r>
      <w:r w:rsidRPr="007144D3">
        <w:rPr>
          <w:rFonts w:ascii="Sylfaen" w:hAnsi="Sylfaen"/>
          <w:sz w:val="20"/>
          <w:szCs w:val="20"/>
          <w:lang w:val="ro-RO"/>
        </w:rPr>
        <w:t>Europe/Cour Européenne des Droits de l</w:t>
      </w:r>
      <w:r w:rsidR="00643EF8">
        <w:rPr>
          <w:rFonts w:ascii="Sylfaen" w:hAnsi="Sylfaen"/>
          <w:sz w:val="20"/>
          <w:szCs w:val="20"/>
          <w:lang w:val="ro-RO"/>
        </w:rPr>
        <w:t>’</w:t>
      </w:r>
      <w:r w:rsidRPr="007144D3">
        <w:rPr>
          <w:rFonts w:ascii="Sylfaen" w:hAnsi="Sylfaen"/>
          <w:sz w:val="20"/>
          <w:szCs w:val="20"/>
          <w:lang w:val="ro-RO"/>
        </w:rPr>
        <w:t>Homme, 2013. La présente traduction a été effectuée avec le soutien du Fonds fiduciaire pour les droits de l</w:t>
      </w:r>
      <w:r w:rsidR="00643EF8">
        <w:rPr>
          <w:rFonts w:ascii="Sylfaen" w:hAnsi="Sylfaen"/>
          <w:sz w:val="20"/>
          <w:szCs w:val="20"/>
          <w:lang w:val="ro-RO"/>
        </w:rPr>
        <w:t>’</w:t>
      </w:r>
      <w:r w:rsidRPr="007144D3">
        <w:rPr>
          <w:rFonts w:ascii="Sylfaen" w:hAnsi="Sylfaen"/>
          <w:sz w:val="20"/>
          <w:szCs w:val="20"/>
          <w:lang w:val="ro-RO"/>
        </w:rPr>
        <w:t>homme du Conseil de l</w:t>
      </w:r>
      <w:r w:rsidR="00643EF8">
        <w:rPr>
          <w:rFonts w:ascii="Sylfaen" w:hAnsi="Sylfaen"/>
          <w:sz w:val="20"/>
          <w:szCs w:val="20"/>
          <w:lang w:val="ro-RO"/>
        </w:rPr>
        <w:t>’</w:t>
      </w:r>
      <w:r w:rsidRPr="007144D3">
        <w:rPr>
          <w:rFonts w:ascii="Sylfaen" w:hAnsi="Sylfaen"/>
          <w:sz w:val="20"/>
          <w:szCs w:val="20"/>
          <w:lang w:val="ro-RO"/>
        </w:rPr>
        <w:t>Europe (</w:t>
      </w:r>
      <w:hyperlink w:history="1" r:id="rId10">
        <w:r w:rsidRPr="007144D3">
          <w:rPr>
            <w:rFonts w:ascii="Sylfaen" w:hAnsi="Sylfaen"/>
            <w:color w:val="0072BC"/>
            <w:sz w:val="20"/>
            <w:szCs w:val="20"/>
            <w:u w:val="single"/>
            <w:lang w:val="ro-RO"/>
          </w:rPr>
          <w:t>www.coe.int/humanrightstrustfund</w:t>
        </w:r>
      </w:hyperlink>
      <w:r w:rsidRPr="007144D3">
        <w:rPr>
          <w:rFonts w:ascii="Sylfaen" w:hAnsi="Sylfaen"/>
          <w:sz w:val="20"/>
          <w:szCs w:val="20"/>
          <w:lang w:val="ro-RO"/>
        </w:rPr>
        <w:t>). Elle ne lie pas la Cour. Pour plus de renseignements veuillez lire l</w:t>
      </w:r>
      <w:r w:rsidR="00643EF8">
        <w:rPr>
          <w:rFonts w:ascii="Sylfaen" w:hAnsi="Sylfaen"/>
          <w:sz w:val="20"/>
          <w:szCs w:val="20"/>
          <w:lang w:val="ro-RO"/>
        </w:rPr>
        <w:t>’</w:t>
      </w:r>
      <w:r w:rsidRPr="007144D3">
        <w:rPr>
          <w:rFonts w:ascii="Sylfaen" w:hAnsi="Sylfaen"/>
          <w:sz w:val="20"/>
          <w:szCs w:val="20"/>
          <w:lang w:val="ro-RO"/>
        </w:rPr>
        <w:t>indication de copyright/droits d</w:t>
      </w:r>
      <w:r w:rsidR="00643EF8">
        <w:rPr>
          <w:rFonts w:ascii="Sylfaen" w:hAnsi="Sylfaen"/>
          <w:sz w:val="20"/>
          <w:szCs w:val="20"/>
          <w:lang w:val="ro-RO"/>
        </w:rPr>
        <w:t>’</w:t>
      </w:r>
      <w:r w:rsidRPr="007144D3">
        <w:rPr>
          <w:rFonts w:ascii="Sylfaen" w:hAnsi="Sylfaen"/>
          <w:sz w:val="20"/>
          <w:szCs w:val="20"/>
          <w:lang w:val="ro-RO"/>
        </w:rPr>
        <w:t>auteur à la fin du présent document.</w:t>
      </w:r>
    </w:p>
    <w:p w:rsidR="004E2175" w:rsidP="00EB24D7" w:rsidRDefault="004E2175">
      <w:pPr>
        <w:spacing w:after="0"/>
        <w:ind w:left="714" w:hanging="357"/>
        <w:jc w:val="center"/>
        <w:rPr>
          <w:rFonts w:ascii="Sylfaen" w:hAnsi="Sylfaen" w:cs="Sylfaen"/>
          <w:lang w:val="ro-RO"/>
        </w:rPr>
      </w:pPr>
    </w:p>
    <w:p w:rsidR="00EB24D7" w:rsidP="00EB24D7" w:rsidRDefault="00EB24D7">
      <w:pPr>
        <w:spacing w:after="0"/>
        <w:ind w:left="714" w:hanging="357"/>
        <w:jc w:val="center"/>
        <w:rPr>
          <w:rFonts w:ascii="Sylfaen" w:hAnsi="Sylfaen" w:cs="Sylfaen"/>
          <w:lang w:val="ro-RO"/>
        </w:rPr>
      </w:pPr>
    </w:p>
    <w:p w:rsidRPr="00EB24D7" w:rsidR="00EB24D7" w:rsidP="00EB24D7" w:rsidRDefault="00EB24D7">
      <w:pPr>
        <w:spacing w:after="0"/>
        <w:ind w:left="714" w:hanging="357"/>
        <w:jc w:val="center"/>
        <w:rPr>
          <w:rFonts w:ascii="Sylfaen" w:hAnsi="Sylfaen" w:cs="Sylfaen"/>
          <w:lang w:val="ro-RO"/>
        </w:rPr>
      </w:pPr>
    </w:p>
    <w:p w:rsidRPr="004E2175" w:rsidR="004E2175" w:rsidP="00EB24D7" w:rsidRDefault="004E2175">
      <w:pPr>
        <w:spacing w:after="0"/>
        <w:ind w:left="714" w:hanging="357"/>
        <w:jc w:val="center"/>
        <w:rPr>
          <w:b/>
          <w:sz w:val="28"/>
          <w:lang w:val="fr-FR"/>
        </w:rPr>
      </w:pPr>
      <w:r w:rsidRPr="004E2175">
        <w:rPr>
          <w:rFonts w:ascii="Sylfaen" w:hAnsi="Sylfaen" w:cs="Sylfaen"/>
          <w:b/>
          <w:sz w:val="28"/>
        </w:rPr>
        <w:t>ადამიანის</w:t>
      </w:r>
      <w:r w:rsidRPr="004E2175">
        <w:rPr>
          <w:b/>
          <w:sz w:val="28"/>
          <w:lang w:val="fr-FR"/>
        </w:rPr>
        <w:t xml:space="preserve"> </w:t>
      </w:r>
      <w:r w:rsidRPr="004E2175">
        <w:rPr>
          <w:rFonts w:ascii="Sylfaen" w:hAnsi="Sylfaen" w:cs="Sylfaen"/>
          <w:b/>
          <w:sz w:val="28"/>
        </w:rPr>
        <w:t>უფლებათა</w:t>
      </w:r>
      <w:r w:rsidRPr="004E2175">
        <w:rPr>
          <w:b/>
          <w:sz w:val="28"/>
          <w:lang w:val="fr-FR"/>
        </w:rPr>
        <w:t xml:space="preserve"> </w:t>
      </w:r>
      <w:r w:rsidRPr="004E2175">
        <w:rPr>
          <w:rFonts w:ascii="Sylfaen" w:hAnsi="Sylfaen" w:cs="Sylfaen"/>
          <w:b/>
          <w:sz w:val="28"/>
        </w:rPr>
        <w:t>ევროპული</w:t>
      </w:r>
      <w:r w:rsidRPr="004E2175">
        <w:rPr>
          <w:b/>
          <w:sz w:val="28"/>
          <w:lang w:val="fr-FR"/>
        </w:rPr>
        <w:t xml:space="preserve"> </w:t>
      </w:r>
      <w:r w:rsidRPr="004E2175">
        <w:rPr>
          <w:rFonts w:ascii="Sylfaen" w:hAnsi="Sylfaen" w:cs="Sylfaen"/>
          <w:b/>
          <w:sz w:val="28"/>
        </w:rPr>
        <w:t>სასამართლო</w:t>
      </w:r>
    </w:p>
    <w:p w:rsidRPr="004E2175" w:rsidR="004E2175" w:rsidP="00EB24D7" w:rsidRDefault="004E2175">
      <w:pPr>
        <w:spacing w:after="0"/>
        <w:ind w:left="714" w:hanging="357"/>
        <w:jc w:val="center"/>
        <w:rPr>
          <w:rFonts w:ascii="Sylfaen" w:hAnsi="Sylfaen" w:cs="Sylfaen"/>
          <w:lang w:val="fr-FR"/>
        </w:rPr>
      </w:pPr>
    </w:p>
    <w:p w:rsidRPr="004E2175" w:rsidR="004E2175" w:rsidP="00EB24D7" w:rsidRDefault="004E2175">
      <w:pPr>
        <w:spacing w:after="0"/>
        <w:ind w:left="714" w:hanging="357"/>
        <w:jc w:val="center"/>
        <w:rPr>
          <w:lang w:val="fr-FR"/>
        </w:rPr>
      </w:pPr>
      <w:r w:rsidRPr="004E2175">
        <w:rPr>
          <w:rFonts w:ascii="Sylfaen" w:hAnsi="Sylfaen" w:cs="Sylfaen"/>
        </w:rPr>
        <w:t>მეო</w:t>
      </w:r>
      <w:r>
        <w:rPr>
          <w:rFonts w:ascii="Sylfaen" w:hAnsi="Sylfaen" w:cs="Sylfaen"/>
          <w:lang w:val="ka-GE"/>
        </w:rPr>
        <w:t>რ</w:t>
      </w:r>
      <w:r w:rsidRPr="004E2175">
        <w:rPr>
          <w:rFonts w:ascii="Sylfaen" w:hAnsi="Sylfaen" w:cs="Sylfaen"/>
        </w:rPr>
        <w:t>ე</w:t>
      </w:r>
      <w:r w:rsidRPr="004E2175">
        <w:rPr>
          <w:lang w:val="fr-FR"/>
        </w:rPr>
        <w:t xml:space="preserve"> </w:t>
      </w:r>
      <w:r w:rsidRPr="004E2175">
        <w:rPr>
          <w:rFonts w:ascii="Sylfaen" w:hAnsi="Sylfaen" w:cs="Sylfaen"/>
        </w:rPr>
        <w:t>სექცია</w:t>
      </w:r>
    </w:p>
    <w:p w:rsidRPr="004E2175" w:rsidR="004E2175" w:rsidP="00EB24D7" w:rsidRDefault="004E2175">
      <w:pPr>
        <w:spacing w:after="0"/>
        <w:ind w:left="714" w:hanging="357"/>
        <w:jc w:val="center"/>
        <w:rPr>
          <w:lang w:val="fr-FR"/>
        </w:rPr>
      </w:pPr>
    </w:p>
    <w:p w:rsidRPr="004E2175" w:rsidR="004E2175" w:rsidP="00EB24D7" w:rsidRDefault="004E2175">
      <w:pPr>
        <w:spacing w:after="0"/>
        <w:ind w:left="714" w:hanging="357"/>
        <w:jc w:val="center"/>
        <w:rPr>
          <w:b/>
          <w:sz w:val="24"/>
          <w:lang w:val="fr-FR"/>
        </w:rPr>
      </w:pPr>
      <w:r w:rsidRPr="004E2175">
        <w:rPr>
          <w:rFonts w:ascii="Sylfaen" w:hAnsi="Sylfaen" w:cs="Sylfaen"/>
          <w:b/>
          <w:sz w:val="24"/>
        </w:rPr>
        <w:t>საქმე</w:t>
      </w:r>
      <w:r w:rsidRPr="004E2175">
        <w:rPr>
          <w:b/>
          <w:sz w:val="24"/>
          <w:lang w:val="fr-FR"/>
        </w:rPr>
        <w:t xml:space="preserve"> </w:t>
      </w:r>
      <w:r>
        <w:rPr>
          <w:rFonts w:ascii="Sylfaen" w:hAnsi="Sylfaen" w:cs="Sylfaen"/>
          <w:b/>
          <w:sz w:val="24"/>
          <w:lang w:val="ka-GE"/>
        </w:rPr>
        <w:t>ოზგიურლიუკ ვე დაიანიშმა პარტისი (ოდპ) თურქეთის</w:t>
      </w:r>
      <w:r w:rsidRPr="004E2175">
        <w:rPr>
          <w:b/>
          <w:sz w:val="24"/>
          <w:lang w:val="fr-FR"/>
        </w:rPr>
        <w:t xml:space="preserve"> </w:t>
      </w:r>
      <w:r w:rsidRPr="004E2175">
        <w:rPr>
          <w:rFonts w:ascii="Sylfaen" w:hAnsi="Sylfaen" w:cs="Sylfaen"/>
          <w:b/>
          <w:sz w:val="24"/>
        </w:rPr>
        <w:t>წინააღმდეგ</w:t>
      </w:r>
    </w:p>
    <w:p w:rsidRPr="004E2175" w:rsidR="004E2175" w:rsidP="00EB24D7" w:rsidRDefault="004E2175">
      <w:pPr>
        <w:spacing w:after="0"/>
        <w:ind w:left="714" w:hanging="357"/>
        <w:jc w:val="center"/>
        <w:rPr>
          <w:rFonts w:ascii="Sylfaen" w:hAnsi="Sylfaen"/>
          <w:i/>
          <w:lang w:val="ka-GE"/>
        </w:rPr>
      </w:pPr>
      <w:r w:rsidRPr="004E2175">
        <w:rPr>
          <w:i/>
          <w:lang w:val="fr-FR"/>
        </w:rPr>
        <w:t>(</w:t>
      </w:r>
      <w:r w:rsidRPr="004E2175">
        <w:rPr>
          <w:rFonts w:ascii="Sylfaen" w:hAnsi="Sylfaen" w:cs="Sylfaen"/>
          <w:i/>
        </w:rPr>
        <w:t>საჩივარი</w:t>
      </w:r>
      <w:r w:rsidRPr="004E2175">
        <w:rPr>
          <w:i/>
          <w:lang w:val="fr-FR"/>
        </w:rPr>
        <w:t xml:space="preserve"> </w:t>
      </w:r>
      <w:r w:rsidRPr="004E2175">
        <w:rPr>
          <w:rFonts w:ascii="Sylfaen" w:hAnsi="Sylfaen" w:cs="Sylfaen"/>
          <w:i/>
        </w:rPr>
        <w:t>No.</w:t>
      </w:r>
      <w:r w:rsidRPr="004E2175">
        <w:rPr>
          <w:i/>
          <w:lang w:val="fr-FR"/>
        </w:rPr>
        <w:t xml:space="preserve"> </w:t>
      </w:r>
      <w:r w:rsidRPr="004E2175">
        <w:rPr>
          <w:rFonts w:ascii="Sylfaen" w:hAnsi="Sylfaen"/>
          <w:i/>
          <w:lang w:val="en-GB"/>
        </w:rPr>
        <w:t>7819/03</w:t>
      </w:r>
      <w:r w:rsidRPr="004E2175">
        <w:rPr>
          <w:i/>
          <w:lang w:val="fr-FR"/>
        </w:rPr>
        <w:t>)</w:t>
      </w:r>
    </w:p>
    <w:p w:rsidRPr="004E2175" w:rsidR="004E2175" w:rsidP="00EB24D7" w:rsidRDefault="004E2175">
      <w:pPr>
        <w:spacing w:after="0"/>
        <w:ind w:left="714" w:hanging="357"/>
        <w:jc w:val="center"/>
        <w:rPr>
          <w:rFonts w:ascii="Sylfaen" w:hAnsi="Sylfaen"/>
          <w:lang w:val="ka-GE"/>
        </w:rPr>
      </w:pPr>
    </w:p>
    <w:p w:rsidRPr="004E2175" w:rsidR="004E2175" w:rsidP="00EB24D7" w:rsidRDefault="004E2175">
      <w:pPr>
        <w:spacing w:after="0"/>
        <w:ind w:left="714" w:hanging="357"/>
        <w:jc w:val="center"/>
        <w:rPr>
          <w:rFonts w:ascii="Sylfaen" w:hAnsi="Sylfaen"/>
          <w:lang w:val="ka-GE"/>
        </w:rPr>
      </w:pPr>
    </w:p>
    <w:p w:rsidRPr="004E2175" w:rsidR="004E2175" w:rsidP="00EB24D7" w:rsidRDefault="004E2175">
      <w:pPr>
        <w:spacing w:after="0"/>
        <w:ind w:left="714" w:hanging="357"/>
        <w:jc w:val="center"/>
        <w:rPr>
          <w:rFonts w:ascii="Sylfaen" w:hAnsi="Sylfaen" w:cs="Sylfaen"/>
          <w:b/>
          <w:lang w:val="ka-GE"/>
        </w:rPr>
      </w:pPr>
      <w:r w:rsidRPr="004E2175">
        <w:rPr>
          <w:rFonts w:ascii="Sylfaen" w:hAnsi="Sylfaen" w:cs="Sylfaen"/>
          <w:b/>
        </w:rPr>
        <w:t>გადაწყვეტილება</w:t>
      </w:r>
    </w:p>
    <w:p w:rsidRPr="004E2175" w:rsidR="004E2175" w:rsidP="00EB24D7" w:rsidRDefault="004E2175">
      <w:pPr>
        <w:spacing w:after="0"/>
        <w:ind w:left="714" w:hanging="357"/>
        <w:jc w:val="center"/>
        <w:rPr>
          <w:lang w:val="fr-FR"/>
        </w:rPr>
      </w:pPr>
    </w:p>
    <w:p w:rsidRPr="004E2175" w:rsidR="004E2175" w:rsidP="00EB24D7" w:rsidRDefault="004E2175">
      <w:pPr>
        <w:spacing w:after="0"/>
        <w:ind w:left="714" w:hanging="357"/>
        <w:jc w:val="center"/>
        <w:rPr>
          <w:lang w:val="fr-FR"/>
        </w:rPr>
      </w:pPr>
      <w:r w:rsidRPr="004E2175">
        <w:rPr>
          <w:rFonts w:ascii="Sylfaen" w:hAnsi="Sylfaen" w:cs="Sylfaen"/>
        </w:rPr>
        <w:t>სტრასბურგი</w:t>
      </w:r>
    </w:p>
    <w:p w:rsidRPr="004E2175" w:rsidR="004E2175" w:rsidP="00EB24D7" w:rsidRDefault="004E2175">
      <w:pPr>
        <w:spacing w:after="0"/>
        <w:ind w:left="714" w:hanging="357"/>
        <w:jc w:val="center"/>
        <w:rPr>
          <w:lang w:val="ka-GE"/>
        </w:rPr>
      </w:pPr>
      <w:r>
        <w:rPr>
          <w:rFonts w:ascii="Sylfaen" w:hAnsi="Sylfaen" w:cs="Sylfaen"/>
          <w:lang w:val="ka-GE"/>
        </w:rPr>
        <w:t>10</w:t>
      </w:r>
      <w:r w:rsidRPr="004E2175">
        <w:rPr>
          <w:rFonts w:ascii="Sylfaen" w:hAnsi="Sylfaen" w:cs="Sylfaen"/>
          <w:lang w:val="ka-GE"/>
        </w:rPr>
        <w:t xml:space="preserve"> </w:t>
      </w:r>
      <w:r>
        <w:rPr>
          <w:rFonts w:ascii="Sylfaen" w:hAnsi="Sylfaen" w:cs="Sylfaen"/>
          <w:lang w:val="ka-GE"/>
        </w:rPr>
        <w:t>მაისი</w:t>
      </w:r>
      <w:r w:rsidRPr="004E2175">
        <w:rPr>
          <w:rFonts w:ascii="Sylfaen" w:hAnsi="Sylfaen" w:cs="Sylfaen"/>
          <w:lang w:val="ka-GE"/>
        </w:rPr>
        <w:t xml:space="preserve"> 2012</w:t>
      </w:r>
    </w:p>
    <w:p w:rsidR="004E2175" w:rsidP="00EB24D7" w:rsidRDefault="004E2175">
      <w:pPr>
        <w:spacing w:after="0"/>
        <w:ind w:left="714" w:hanging="357"/>
        <w:rPr>
          <w:rFonts w:ascii="Sylfaen" w:hAnsi="Sylfaen"/>
          <w:lang w:val="ka-GE"/>
        </w:rPr>
      </w:pPr>
    </w:p>
    <w:p w:rsidR="004E2175" w:rsidP="00EB24D7" w:rsidRDefault="004E2175">
      <w:pPr>
        <w:spacing w:after="0"/>
        <w:ind w:left="714" w:hanging="357"/>
        <w:rPr>
          <w:rFonts w:ascii="Sylfaen" w:hAnsi="Sylfaen"/>
          <w:lang w:val="ka-GE"/>
        </w:rPr>
      </w:pPr>
    </w:p>
    <w:p w:rsidR="004E2175" w:rsidP="00EB24D7" w:rsidRDefault="004E2175">
      <w:pPr>
        <w:spacing w:after="0"/>
        <w:ind w:left="714" w:hanging="357"/>
        <w:rPr>
          <w:rFonts w:ascii="Sylfaen" w:hAnsi="Sylfaen"/>
          <w:lang w:val="ka-GE"/>
        </w:rPr>
      </w:pPr>
    </w:p>
    <w:p w:rsidRPr="004E2175" w:rsidR="004E2175" w:rsidP="00EB24D7" w:rsidRDefault="004E2175">
      <w:pPr>
        <w:spacing w:after="0"/>
        <w:ind w:left="714" w:hanging="357"/>
        <w:rPr>
          <w:rFonts w:ascii="Sylfaen" w:hAnsi="Sylfaen"/>
          <w:lang w:val="ka-GE"/>
        </w:rPr>
      </w:pPr>
    </w:p>
    <w:p w:rsidR="00643EF8" w:rsidP="00EB24D7" w:rsidRDefault="004E2175">
      <w:pPr>
        <w:spacing w:after="0"/>
        <w:ind w:left="714" w:hanging="357"/>
        <w:jc w:val="center"/>
        <w:rPr>
          <w:rFonts w:ascii="Sylfaen" w:hAnsi="Sylfaen"/>
          <w:i/>
          <w:sz w:val="20"/>
          <w:lang w:val="ka-GE"/>
        </w:rPr>
      </w:pPr>
      <w:r w:rsidRPr="004E2175">
        <w:rPr>
          <w:rFonts w:ascii="Sylfaen" w:hAnsi="Sylfaen"/>
          <w:i/>
          <w:sz w:val="20"/>
          <w:lang w:val="ka-GE"/>
        </w:rPr>
        <w:t>წინამდებარე გადაწყვეტილება საბოლოოა,</w:t>
      </w:r>
    </w:p>
    <w:p w:rsidRPr="004E2175" w:rsidR="004E2175" w:rsidP="00EB24D7" w:rsidRDefault="004E2175">
      <w:pPr>
        <w:spacing w:after="0"/>
        <w:ind w:left="714" w:hanging="357"/>
        <w:jc w:val="center"/>
        <w:rPr>
          <w:rFonts w:ascii="Sylfaen" w:hAnsi="Sylfaen"/>
          <w:i/>
          <w:sz w:val="20"/>
          <w:lang w:val="ka-GE"/>
        </w:rPr>
      </w:pPr>
      <w:r w:rsidRPr="004E2175">
        <w:rPr>
          <w:rFonts w:ascii="Sylfaen" w:hAnsi="Sylfaen"/>
          <w:i/>
          <w:sz w:val="20"/>
          <w:lang w:val="ka-GE"/>
        </w:rPr>
        <w:t>თუმცა შესაძლოა დაექვემდებაროს სარედაქციო გადახედვას</w:t>
      </w:r>
    </w:p>
    <w:p w:rsidR="00EB24D7" w:rsidP="004E2175" w:rsidRDefault="00EB24D7">
      <w:pPr>
        <w:spacing w:after="0"/>
        <w:rPr>
          <w:i/>
          <w:sz w:val="20"/>
          <w:lang w:val="fr-FR"/>
        </w:rPr>
        <w:sectPr w:rsidR="00EB24D7" w:rsidSect="004E2175">
          <w:headerReference w:type="default" r:id="rId11"/>
          <w:headerReference w:type="first" r:id="rId12"/>
          <w:footerReference w:type="first" r:id="rId13"/>
          <w:pgSz w:w="12240" w:h="15840"/>
          <w:pgMar w:top="1440" w:right="1440" w:bottom="1440" w:left="1440" w:header="720" w:footer="720" w:gutter="0"/>
          <w:pgNumType w:start="0"/>
          <w:cols w:space="720"/>
          <w:titlePg/>
          <w:docGrid w:linePitch="360"/>
        </w:sectPr>
      </w:pPr>
    </w:p>
    <w:p w:rsidRPr="004E2175" w:rsidR="004E2175" w:rsidP="004E2175" w:rsidRDefault="004E2175">
      <w:pPr>
        <w:ind w:left="360" w:firstLine="0"/>
        <w:rPr>
          <w:b/>
          <w:lang w:val="fr-FR"/>
        </w:rPr>
      </w:pPr>
      <w:r w:rsidRPr="004E2175">
        <w:rPr>
          <w:rFonts w:ascii="Sylfaen" w:hAnsi="Sylfaen" w:cs="Sylfaen"/>
          <w:b/>
        </w:rPr>
        <w:t>წინამდებარე</w:t>
      </w:r>
      <w:r w:rsidRPr="004E2175">
        <w:rPr>
          <w:b/>
          <w:lang w:val="fr-FR"/>
        </w:rPr>
        <w:t xml:space="preserve"> </w:t>
      </w:r>
      <w:r w:rsidRPr="004E2175">
        <w:rPr>
          <w:rFonts w:ascii="Sylfaen" w:hAnsi="Sylfaen" w:cs="Sylfaen"/>
          <w:b/>
        </w:rPr>
        <w:t>საქმეზე</w:t>
      </w:r>
      <w:r w:rsidRPr="004E2175">
        <w:rPr>
          <w:b/>
          <w:lang w:val="fr-FR"/>
        </w:rPr>
        <w:t xml:space="preserve"> </w:t>
      </w:r>
      <w:r w:rsidRPr="004E2175">
        <w:rPr>
          <w:rFonts w:ascii="Sylfaen" w:hAnsi="Sylfaen" w:cs="Sylfaen"/>
          <w:b/>
          <w:lang w:val="ka-GE"/>
        </w:rPr>
        <w:t>ოზგიურლიუკ ვე დაიანიშმა პარტისი (ოდპ) თურქეთის</w:t>
      </w:r>
      <w:r w:rsidRPr="004E2175">
        <w:rPr>
          <w:rFonts w:ascii="Sylfaen" w:hAnsi="Sylfaen" w:cs="Sylfaen"/>
          <w:b/>
          <w:lang w:val="fr-FR"/>
        </w:rPr>
        <w:t xml:space="preserve"> </w:t>
      </w:r>
      <w:r w:rsidRPr="004E2175">
        <w:rPr>
          <w:rFonts w:ascii="Sylfaen" w:hAnsi="Sylfaen" w:cs="Sylfaen"/>
          <w:b/>
        </w:rPr>
        <w:t>წინააღმდეგ</w:t>
      </w:r>
      <w:r w:rsidRPr="004E2175">
        <w:rPr>
          <w:rFonts w:ascii="Sylfaen" w:hAnsi="Sylfaen" w:cs="Sylfaen"/>
          <w:b/>
          <w:lang w:val="ka-GE"/>
        </w:rPr>
        <w:t>,</w:t>
      </w:r>
    </w:p>
    <w:p w:rsidR="004E2175" w:rsidP="004E2175" w:rsidRDefault="004E2175">
      <w:pPr>
        <w:ind w:left="360" w:firstLine="0"/>
        <w:rPr>
          <w:rFonts w:ascii="Sylfaen" w:hAnsi="Sylfaen"/>
          <w:lang w:val="ka-GE"/>
        </w:rPr>
      </w:pPr>
      <w:r w:rsidRPr="004E2175">
        <w:rPr>
          <w:rFonts w:ascii="Sylfaen" w:hAnsi="Sylfaen" w:cs="Sylfaen"/>
        </w:rPr>
        <w:t>ადამიანის</w:t>
      </w:r>
      <w:r w:rsidRPr="004E2175">
        <w:rPr>
          <w:lang w:val="fr-FR"/>
        </w:rPr>
        <w:t xml:space="preserve"> </w:t>
      </w:r>
      <w:r w:rsidRPr="004E2175">
        <w:rPr>
          <w:rFonts w:ascii="Sylfaen" w:hAnsi="Sylfaen" w:cs="Sylfaen"/>
        </w:rPr>
        <w:t>უფლებათა</w:t>
      </w:r>
      <w:r w:rsidRPr="004E2175">
        <w:rPr>
          <w:lang w:val="fr-FR"/>
        </w:rPr>
        <w:t xml:space="preserve"> </w:t>
      </w:r>
      <w:r w:rsidRPr="004E2175">
        <w:rPr>
          <w:rFonts w:ascii="Sylfaen" w:hAnsi="Sylfaen" w:cs="Sylfaen"/>
        </w:rPr>
        <w:t>ევროპული</w:t>
      </w:r>
      <w:r w:rsidRPr="004E2175">
        <w:rPr>
          <w:lang w:val="fr-FR"/>
        </w:rPr>
        <w:t xml:space="preserve"> </w:t>
      </w:r>
      <w:r w:rsidRPr="004E2175">
        <w:rPr>
          <w:rFonts w:ascii="Sylfaen" w:hAnsi="Sylfaen" w:cs="Sylfaen"/>
        </w:rPr>
        <w:t>სასამართლოს</w:t>
      </w:r>
      <w:r w:rsidRPr="004E2175">
        <w:rPr>
          <w:lang w:val="fr-FR"/>
        </w:rPr>
        <w:t xml:space="preserve"> (</w:t>
      </w:r>
      <w:r w:rsidRPr="004E2175">
        <w:rPr>
          <w:rFonts w:ascii="Sylfaen" w:hAnsi="Sylfaen" w:cs="Sylfaen"/>
        </w:rPr>
        <w:t>მეო</w:t>
      </w:r>
      <w:r>
        <w:rPr>
          <w:rFonts w:ascii="Sylfaen" w:hAnsi="Sylfaen" w:cs="Sylfaen"/>
          <w:lang w:val="ka-GE"/>
        </w:rPr>
        <w:t>რ</w:t>
      </w:r>
      <w:r w:rsidRPr="004E2175">
        <w:rPr>
          <w:rFonts w:ascii="Sylfaen" w:hAnsi="Sylfaen" w:cs="Sylfaen"/>
        </w:rPr>
        <w:t>ე</w:t>
      </w:r>
      <w:r w:rsidRPr="004E2175">
        <w:rPr>
          <w:lang w:val="fr-FR"/>
        </w:rPr>
        <w:t xml:space="preserve"> </w:t>
      </w:r>
      <w:r w:rsidRPr="004E2175">
        <w:rPr>
          <w:rFonts w:ascii="Sylfaen" w:hAnsi="Sylfaen" w:cs="Sylfaen"/>
        </w:rPr>
        <w:t>სექცია</w:t>
      </w:r>
      <w:r w:rsidRPr="004E2175">
        <w:rPr>
          <w:lang w:val="fr-FR"/>
        </w:rPr>
        <w:t xml:space="preserve">) </w:t>
      </w:r>
      <w:r w:rsidRPr="004E2175">
        <w:rPr>
          <w:rFonts w:ascii="Sylfaen" w:hAnsi="Sylfaen" w:cs="Sylfaen"/>
        </w:rPr>
        <w:t>პალატამ</w:t>
      </w:r>
      <w:r w:rsidRPr="004E2175">
        <w:rPr>
          <w:lang w:val="fr-FR"/>
        </w:rPr>
        <w:t xml:space="preserve"> </w:t>
      </w:r>
      <w:r w:rsidRPr="004E2175">
        <w:rPr>
          <w:rFonts w:ascii="Sylfaen" w:hAnsi="Sylfaen" w:cs="Sylfaen"/>
        </w:rPr>
        <w:t>შემდე</w:t>
      </w:r>
      <w:r w:rsidRPr="004E2175">
        <w:rPr>
          <w:rFonts w:ascii="Sylfaen" w:hAnsi="Sylfaen" w:cs="Sylfaen"/>
          <w:lang w:val="ka-GE"/>
        </w:rPr>
        <w:t>გ</w:t>
      </w:r>
      <w:r w:rsidRPr="004E2175">
        <w:rPr>
          <w:rFonts w:ascii="Sylfaen" w:hAnsi="Sylfaen" w:cs="Sylfaen"/>
        </w:rPr>
        <w:t>ი</w:t>
      </w:r>
      <w:r w:rsidRPr="004E2175">
        <w:rPr>
          <w:lang w:val="fr-FR"/>
        </w:rPr>
        <w:t xml:space="preserve"> </w:t>
      </w:r>
      <w:r w:rsidRPr="004E2175">
        <w:rPr>
          <w:rFonts w:ascii="Sylfaen" w:hAnsi="Sylfaen" w:cs="Sylfaen"/>
        </w:rPr>
        <w:t>შემადგენლობით</w:t>
      </w:r>
      <w:r w:rsidRPr="004E2175">
        <w:rPr>
          <w:lang w:val="fr-FR"/>
        </w:rPr>
        <w:t>:</w:t>
      </w:r>
    </w:p>
    <w:p w:rsidR="004E2175" w:rsidP="004E2175" w:rsidRDefault="004E2175">
      <w:pPr>
        <w:spacing w:after="0"/>
        <w:ind w:firstLine="0"/>
        <w:rPr>
          <w:rFonts w:ascii="Sylfaen" w:hAnsi="Sylfaen"/>
          <w:i/>
          <w:lang w:val="ka-GE"/>
        </w:rPr>
      </w:pPr>
      <w:r>
        <w:rPr>
          <w:rFonts w:ascii="Sylfaen" w:hAnsi="Sylfaen"/>
          <w:lang w:val="ka-GE"/>
        </w:rPr>
        <w:t xml:space="preserve">ფრანსუაზ ტულკენსი, </w:t>
      </w:r>
      <w:r>
        <w:rPr>
          <w:rFonts w:ascii="Sylfaen" w:hAnsi="Sylfaen"/>
          <w:i/>
          <w:lang w:val="ka-GE"/>
        </w:rPr>
        <w:t>პრეზიდენტი,</w:t>
      </w:r>
    </w:p>
    <w:p w:rsidR="004E2175" w:rsidP="004E2175" w:rsidRDefault="004E2175">
      <w:pPr>
        <w:spacing w:after="0"/>
        <w:ind w:firstLine="0"/>
        <w:rPr>
          <w:rFonts w:ascii="Sylfaen" w:hAnsi="Sylfaen"/>
          <w:lang w:val="ka-GE"/>
        </w:rPr>
      </w:pPr>
      <w:r>
        <w:rPr>
          <w:rFonts w:ascii="Sylfaen" w:hAnsi="Sylfaen"/>
          <w:lang w:val="ka-GE"/>
        </w:rPr>
        <w:t>დანუტე იოჩიენე,</w:t>
      </w:r>
    </w:p>
    <w:p w:rsidR="004E2175" w:rsidP="004E2175" w:rsidRDefault="004E2175">
      <w:pPr>
        <w:spacing w:after="0"/>
        <w:ind w:firstLine="0"/>
        <w:rPr>
          <w:rFonts w:ascii="Sylfaen" w:hAnsi="Sylfaen"/>
          <w:lang w:val="ka-GE"/>
        </w:rPr>
      </w:pPr>
      <w:r>
        <w:rPr>
          <w:rFonts w:ascii="Sylfaen" w:hAnsi="Sylfaen"/>
          <w:lang w:val="ka-GE"/>
        </w:rPr>
        <w:t>დრაგოლიუბ პოპოვიჩი,</w:t>
      </w:r>
    </w:p>
    <w:p w:rsidR="004E2175" w:rsidP="004E2175" w:rsidRDefault="004E2175">
      <w:pPr>
        <w:spacing w:after="0"/>
        <w:ind w:firstLine="0"/>
        <w:rPr>
          <w:rFonts w:ascii="Sylfaen" w:hAnsi="Sylfaen"/>
          <w:lang w:val="ka-GE"/>
        </w:rPr>
      </w:pPr>
      <w:r>
        <w:rPr>
          <w:rFonts w:ascii="Sylfaen" w:hAnsi="Sylfaen"/>
          <w:lang w:val="ka-GE"/>
        </w:rPr>
        <w:t>ანდრაშ შაიო,</w:t>
      </w:r>
    </w:p>
    <w:p w:rsidR="004E2175" w:rsidP="004E2175" w:rsidRDefault="004E2175">
      <w:pPr>
        <w:spacing w:after="0"/>
        <w:ind w:firstLine="0"/>
        <w:rPr>
          <w:rFonts w:ascii="Sylfaen" w:hAnsi="Sylfaen"/>
          <w:lang w:val="ka-GE"/>
        </w:rPr>
      </w:pPr>
      <w:r>
        <w:rPr>
          <w:rFonts w:ascii="Sylfaen" w:hAnsi="Sylfaen"/>
          <w:lang w:val="ka-GE"/>
        </w:rPr>
        <w:t>იშილ კარაკაში,</w:t>
      </w:r>
    </w:p>
    <w:p w:rsidR="004E2175" w:rsidP="004E2175" w:rsidRDefault="004E2175">
      <w:pPr>
        <w:spacing w:after="0"/>
        <w:ind w:firstLine="0"/>
        <w:rPr>
          <w:rFonts w:ascii="Sylfaen" w:hAnsi="Sylfaen"/>
          <w:lang w:val="ka-GE"/>
        </w:rPr>
      </w:pPr>
      <w:r>
        <w:rPr>
          <w:rFonts w:ascii="Sylfaen" w:hAnsi="Sylfaen"/>
          <w:lang w:val="ka-GE"/>
        </w:rPr>
        <w:t>გიდო რაიმონდი,</w:t>
      </w:r>
    </w:p>
    <w:p w:rsidR="004E2175" w:rsidP="004E2175" w:rsidRDefault="004E2175">
      <w:pPr>
        <w:spacing w:after="0"/>
        <w:ind w:firstLine="0"/>
        <w:rPr>
          <w:rFonts w:ascii="Sylfaen" w:hAnsi="Sylfaen"/>
          <w:lang w:val="ka-GE"/>
        </w:rPr>
      </w:pPr>
      <w:r>
        <w:rPr>
          <w:rFonts w:ascii="Sylfaen" w:hAnsi="Sylfaen"/>
          <w:lang w:val="ka-GE"/>
        </w:rPr>
        <w:t xml:space="preserve">პაულო პინტო დე ალბაკერკ, </w:t>
      </w:r>
      <w:r>
        <w:rPr>
          <w:rFonts w:ascii="Sylfaen" w:hAnsi="Sylfaen"/>
          <w:i/>
          <w:lang w:val="ka-GE"/>
        </w:rPr>
        <w:t>მოსამართლეები</w:t>
      </w:r>
    </w:p>
    <w:p w:rsidR="004E2175" w:rsidP="004E2175" w:rsidRDefault="004E2175">
      <w:pPr>
        <w:spacing w:after="0"/>
        <w:ind w:left="450" w:firstLine="0"/>
        <w:rPr>
          <w:rFonts w:ascii="Sylfaen" w:hAnsi="Sylfaen"/>
          <w:i/>
          <w:lang w:val="ka-GE"/>
        </w:rPr>
      </w:pPr>
      <w:r>
        <w:rPr>
          <w:rFonts w:ascii="Sylfaen" w:hAnsi="Sylfaen"/>
          <w:lang w:val="ka-GE"/>
        </w:rPr>
        <w:t xml:space="preserve">და სტენლი ნესმითი, </w:t>
      </w:r>
      <w:r w:rsidRPr="004E2175">
        <w:rPr>
          <w:rFonts w:ascii="Sylfaen" w:hAnsi="Sylfaen"/>
          <w:i/>
          <w:lang w:val="ka-GE"/>
        </w:rPr>
        <w:t>სექციის განმწესრიგებელი,</w:t>
      </w:r>
    </w:p>
    <w:p w:rsidR="004E2175" w:rsidP="004E2175" w:rsidRDefault="004E2175">
      <w:pPr>
        <w:spacing w:after="0"/>
        <w:rPr>
          <w:rFonts w:ascii="Sylfaen" w:hAnsi="Sylfaen"/>
          <w:lang w:val="ka-GE"/>
        </w:rPr>
      </w:pPr>
    </w:p>
    <w:p w:rsidR="00643EF8" w:rsidP="004E2175" w:rsidRDefault="004E2175">
      <w:pPr>
        <w:spacing w:after="0"/>
        <w:rPr>
          <w:lang w:val="fr-FR"/>
        </w:rPr>
      </w:pPr>
      <w:r w:rsidRPr="004E2175">
        <w:rPr>
          <w:lang w:val="fr-FR"/>
        </w:rPr>
        <w:t>20</w:t>
      </w:r>
      <w:r w:rsidRPr="004E2175">
        <w:rPr>
          <w:rFonts w:ascii="Sylfaen" w:hAnsi="Sylfaen"/>
          <w:lang w:val="ka-GE"/>
        </w:rPr>
        <w:t>11</w:t>
      </w:r>
      <w:r w:rsidRPr="004E2175">
        <w:rPr>
          <w:lang w:val="fr-FR"/>
        </w:rPr>
        <w:t xml:space="preserve"> </w:t>
      </w:r>
      <w:r w:rsidRPr="004E2175">
        <w:rPr>
          <w:rFonts w:ascii="Sylfaen" w:hAnsi="Sylfaen" w:cs="Sylfaen"/>
        </w:rPr>
        <w:t>წლის</w:t>
      </w:r>
      <w:r w:rsidRPr="004E2175">
        <w:rPr>
          <w:lang w:val="fr-FR"/>
        </w:rPr>
        <w:t xml:space="preserve"> </w:t>
      </w:r>
      <w:r>
        <w:rPr>
          <w:rFonts w:ascii="Sylfaen" w:hAnsi="Sylfaen"/>
          <w:lang w:val="ka-GE"/>
        </w:rPr>
        <w:t>4 ოქტომბერსა და 2012 წლის 10 აპრილს</w:t>
      </w:r>
      <w:r w:rsidRPr="004E2175">
        <w:rPr>
          <w:lang w:val="fr-FR"/>
        </w:rPr>
        <w:t xml:space="preserve"> </w:t>
      </w:r>
      <w:r w:rsidRPr="004E2175">
        <w:rPr>
          <w:rFonts w:ascii="Sylfaen" w:hAnsi="Sylfaen" w:cs="Sylfaen"/>
        </w:rPr>
        <w:t>განმარტოებით</w:t>
      </w:r>
      <w:r w:rsidRPr="004E2175">
        <w:rPr>
          <w:lang w:val="fr-FR"/>
        </w:rPr>
        <w:t xml:space="preserve"> </w:t>
      </w:r>
      <w:r w:rsidRPr="004E2175">
        <w:rPr>
          <w:rFonts w:ascii="Sylfaen" w:hAnsi="Sylfaen" w:cs="Sylfaen"/>
        </w:rPr>
        <w:t>ითათბირა</w:t>
      </w:r>
      <w:r w:rsidRPr="004E2175">
        <w:rPr>
          <w:lang w:val="fr-FR"/>
        </w:rPr>
        <w:t>,</w:t>
      </w:r>
    </w:p>
    <w:p w:rsidR="00643EF8" w:rsidP="004E2175" w:rsidRDefault="004E2175">
      <w:pPr>
        <w:rPr>
          <w:lang w:val="fr-FR"/>
        </w:rPr>
      </w:pPr>
      <w:r w:rsidRPr="004E2175">
        <w:rPr>
          <w:rFonts w:ascii="Sylfaen" w:hAnsi="Sylfaen" w:cs="Sylfaen"/>
        </w:rPr>
        <w:t>გამო</w:t>
      </w:r>
      <w:r w:rsidRPr="004E2175">
        <w:rPr>
          <w:rFonts w:ascii="Sylfaen" w:hAnsi="Sylfaen" w:cs="Sylfaen"/>
          <w:lang w:val="ka-GE"/>
        </w:rPr>
        <w:t>იტანა</w:t>
      </w:r>
      <w:r w:rsidRPr="004E2175">
        <w:rPr>
          <w:lang w:val="fr-FR"/>
        </w:rPr>
        <w:t xml:space="preserve"> </w:t>
      </w:r>
      <w:r w:rsidRPr="004E2175">
        <w:rPr>
          <w:rFonts w:ascii="Sylfaen" w:hAnsi="Sylfaen" w:cs="Sylfaen"/>
        </w:rPr>
        <w:t>შემდეგი</w:t>
      </w:r>
      <w:r w:rsidRPr="004E2175">
        <w:rPr>
          <w:lang w:val="fr-FR"/>
        </w:rPr>
        <w:t xml:space="preserve"> </w:t>
      </w:r>
      <w:r w:rsidRPr="004E2175">
        <w:rPr>
          <w:rFonts w:ascii="Sylfaen" w:hAnsi="Sylfaen" w:cs="Sylfaen"/>
        </w:rPr>
        <w:t>გადაწყვეტილება</w:t>
      </w:r>
      <w:r w:rsidRPr="004E2175">
        <w:rPr>
          <w:lang w:val="fr-FR"/>
        </w:rPr>
        <w:t xml:space="preserve">, </w:t>
      </w:r>
      <w:r w:rsidRPr="004E2175">
        <w:rPr>
          <w:rFonts w:ascii="Sylfaen" w:hAnsi="Sylfaen" w:cs="Sylfaen"/>
        </w:rPr>
        <w:t>რომელიც</w:t>
      </w:r>
      <w:r w:rsidRPr="004E2175">
        <w:rPr>
          <w:lang w:val="fr-FR"/>
        </w:rPr>
        <w:t xml:space="preserve"> </w:t>
      </w:r>
      <w:r w:rsidRPr="004E2175">
        <w:rPr>
          <w:rFonts w:ascii="Sylfaen" w:hAnsi="Sylfaen" w:cs="Sylfaen"/>
        </w:rPr>
        <w:t>მიიღო</w:t>
      </w:r>
      <w:r w:rsidRPr="004E2175">
        <w:rPr>
          <w:lang w:val="fr-FR"/>
        </w:rPr>
        <w:t xml:space="preserve"> </w:t>
      </w:r>
      <w:r w:rsidRPr="004E2175">
        <w:rPr>
          <w:rFonts w:ascii="Sylfaen" w:hAnsi="Sylfaen" w:cs="Sylfaen"/>
        </w:rPr>
        <w:t>ამავე</w:t>
      </w:r>
      <w:r w:rsidRPr="004E2175">
        <w:rPr>
          <w:lang w:val="fr-FR"/>
        </w:rPr>
        <w:t xml:space="preserve"> </w:t>
      </w:r>
      <w:r w:rsidRPr="004E2175">
        <w:rPr>
          <w:rFonts w:ascii="Sylfaen" w:hAnsi="Sylfaen" w:cs="Sylfaen"/>
        </w:rPr>
        <w:t>დღეს</w:t>
      </w:r>
      <w:r w:rsidRPr="004E2175">
        <w:rPr>
          <w:lang w:val="fr-FR"/>
        </w:rPr>
        <w:t>:</w:t>
      </w:r>
    </w:p>
    <w:p w:rsidRPr="004E2175" w:rsidR="004E2175" w:rsidP="004E2175" w:rsidRDefault="004E2175">
      <w:pPr>
        <w:rPr>
          <w:lang w:val="fr-FR"/>
        </w:rPr>
      </w:pPr>
    </w:p>
    <w:p w:rsidR="00643EF8" w:rsidP="004E2175" w:rsidRDefault="004E2175">
      <w:pPr>
        <w:rPr>
          <w:sz w:val="24"/>
          <w:lang w:val="fr-FR"/>
        </w:rPr>
      </w:pPr>
      <w:r w:rsidRPr="004E2175">
        <w:rPr>
          <w:rFonts w:ascii="Sylfaen" w:hAnsi="Sylfaen" w:cs="Sylfaen"/>
          <w:sz w:val="24"/>
        </w:rPr>
        <w:t>პროცედურა</w:t>
      </w:r>
    </w:p>
    <w:p w:rsidRPr="004E2175" w:rsidR="004E2175" w:rsidP="004E2175" w:rsidRDefault="004E2175">
      <w:pPr>
        <w:numPr>
          <w:ilvl w:val="0"/>
          <w:numId w:val="1"/>
        </w:numPr>
        <w:rPr>
          <w:lang w:val="fr-FR"/>
        </w:rPr>
      </w:pPr>
      <w:r w:rsidRPr="004E2175">
        <w:rPr>
          <w:rFonts w:ascii="Sylfaen" w:hAnsi="Sylfaen" w:cs="Sylfaen"/>
        </w:rPr>
        <w:t>საქმეს</w:t>
      </w:r>
      <w:r w:rsidRPr="004E2175">
        <w:rPr>
          <w:lang w:val="fr-FR"/>
        </w:rPr>
        <w:t xml:space="preserve"> </w:t>
      </w:r>
      <w:r w:rsidRPr="004E2175">
        <w:rPr>
          <w:rFonts w:ascii="Sylfaen" w:hAnsi="Sylfaen" w:cs="Sylfaen"/>
        </w:rPr>
        <w:t>საფუძვლად</w:t>
      </w:r>
      <w:r w:rsidRPr="004E2175">
        <w:rPr>
          <w:lang w:val="fr-FR"/>
        </w:rPr>
        <w:t xml:space="preserve"> </w:t>
      </w:r>
      <w:r w:rsidRPr="004E2175">
        <w:rPr>
          <w:rFonts w:ascii="Sylfaen" w:hAnsi="Sylfaen" w:cs="Sylfaen"/>
        </w:rPr>
        <w:t>დაედო</w:t>
      </w:r>
      <w:r w:rsidRPr="004E2175">
        <w:rPr>
          <w:lang w:val="fr-FR"/>
        </w:rPr>
        <w:t xml:space="preserve"> </w:t>
      </w:r>
      <w:r w:rsidRPr="004E2175">
        <w:rPr>
          <w:rFonts w:ascii="Sylfaen" w:hAnsi="Sylfaen" w:cs="Sylfaen"/>
        </w:rPr>
        <w:t>საჩივარი</w:t>
      </w:r>
      <w:r w:rsidRPr="004E2175">
        <w:rPr>
          <w:lang w:val="fr-FR"/>
        </w:rPr>
        <w:t xml:space="preserve"> (</w:t>
      </w:r>
      <w:r w:rsidRPr="004E2175">
        <w:rPr>
          <w:rFonts w:ascii="Sylfaen" w:hAnsi="Sylfaen" w:cs="Sylfaen"/>
        </w:rPr>
        <w:t>No.</w:t>
      </w:r>
      <w:r w:rsidRPr="004E2175">
        <w:rPr>
          <w:lang w:val="fr-FR"/>
        </w:rPr>
        <w:t xml:space="preserve"> </w:t>
      </w:r>
      <w:r w:rsidRPr="004E2175">
        <w:rPr>
          <w:lang w:val="en-GB"/>
        </w:rPr>
        <w:t>7819/03</w:t>
      </w:r>
      <w:r w:rsidRPr="004E2175">
        <w:rPr>
          <w:lang w:val="fr-FR"/>
        </w:rPr>
        <w:t xml:space="preserve">) </w:t>
      </w:r>
      <w:r>
        <w:rPr>
          <w:rFonts w:ascii="Sylfaen" w:hAnsi="Sylfaen" w:cs="Sylfaen"/>
          <w:lang w:val="ka-GE"/>
        </w:rPr>
        <w:t>თურქეთის რესპუბლიკის</w:t>
      </w:r>
      <w:r w:rsidRPr="004E2175">
        <w:rPr>
          <w:lang w:val="fr-FR"/>
        </w:rPr>
        <w:t xml:space="preserve"> </w:t>
      </w:r>
      <w:r w:rsidRPr="004E2175">
        <w:rPr>
          <w:rFonts w:ascii="Sylfaen" w:hAnsi="Sylfaen" w:cs="Sylfaen"/>
        </w:rPr>
        <w:t>წინააღმდეგ</w:t>
      </w:r>
      <w:r w:rsidRPr="004E2175">
        <w:rPr>
          <w:lang w:val="fr-FR"/>
        </w:rPr>
        <w:t xml:space="preserve">, </w:t>
      </w:r>
      <w:r w:rsidRPr="004E2175">
        <w:rPr>
          <w:rFonts w:ascii="Sylfaen" w:hAnsi="Sylfaen" w:cs="Sylfaen"/>
        </w:rPr>
        <w:t>რომელიც</w:t>
      </w:r>
      <w:r w:rsidRPr="004E2175">
        <w:rPr>
          <w:lang w:val="fr-FR"/>
        </w:rPr>
        <w:t xml:space="preserve"> </w:t>
      </w:r>
      <w:r w:rsidRPr="004E2175">
        <w:rPr>
          <w:rFonts w:ascii="Sylfaen" w:hAnsi="Sylfaen" w:cs="Sylfaen"/>
        </w:rPr>
        <w:t>ადამიანის</w:t>
      </w:r>
      <w:r w:rsidRPr="004E2175">
        <w:rPr>
          <w:lang w:val="fr-FR"/>
        </w:rPr>
        <w:t xml:space="preserve"> </w:t>
      </w:r>
      <w:r w:rsidRPr="004E2175">
        <w:rPr>
          <w:rFonts w:ascii="Sylfaen" w:hAnsi="Sylfaen" w:cs="Sylfaen"/>
        </w:rPr>
        <w:t>უფლებათა</w:t>
      </w:r>
      <w:r w:rsidRPr="004E2175">
        <w:rPr>
          <w:lang w:val="fr-FR"/>
        </w:rPr>
        <w:t xml:space="preserve"> </w:t>
      </w:r>
      <w:r w:rsidRPr="004E2175">
        <w:rPr>
          <w:rFonts w:ascii="Sylfaen" w:hAnsi="Sylfaen" w:cs="Sylfaen"/>
        </w:rPr>
        <w:t>და</w:t>
      </w:r>
      <w:r w:rsidRPr="004E2175">
        <w:rPr>
          <w:lang w:val="fr-FR"/>
        </w:rPr>
        <w:t xml:space="preserve"> </w:t>
      </w:r>
      <w:r w:rsidRPr="004E2175">
        <w:rPr>
          <w:rFonts w:ascii="Sylfaen" w:hAnsi="Sylfaen" w:cs="Sylfaen"/>
        </w:rPr>
        <w:t>ძირითად</w:t>
      </w:r>
      <w:r w:rsidRPr="004E2175">
        <w:rPr>
          <w:lang w:val="fr-FR"/>
        </w:rPr>
        <w:t xml:space="preserve"> </w:t>
      </w:r>
      <w:r w:rsidRPr="004E2175">
        <w:rPr>
          <w:rFonts w:ascii="Sylfaen" w:hAnsi="Sylfaen" w:cs="Sylfaen"/>
        </w:rPr>
        <w:t>თავისუფლებათა</w:t>
      </w:r>
      <w:r w:rsidRPr="004E2175">
        <w:rPr>
          <w:lang w:val="fr-FR"/>
        </w:rPr>
        <w:t xml:space="preserve"> </w:t>
      </w:r>
      <w:r w:rsidRPr="004E2175">
        <w:rPr>
          <w:rFonts w:ascii="Sylfaen" w:hAnsi="Sylfaen" w:cs="Sylfaen"/>
        </w:rPr>
        <w:t>კონვენციის</w:t>
      </w:r>
      <w:r w:rsidRPr="004E2175">
        <w:rPr>
          <w:lang w:val="fr-FR"/>
        </w:rPr>
        <w:t xml:space="preserve"> (</w:t>
      </w:r>
      <w:r w:rsidRPr="004E2175">
        <w:rPr>
          <w:rFonts w:ascii="Sylfaen" w:hAnsi="Sylfaen"/>
          <w:lang w:val="ka-GE"/>
        </w:rPr>
        <w:t>"</w:t>
      </w:r>
      <w:r w:rsidRPr="004E2175">
        <w:rPr>
          <w:rFonts w:ascii="Sylfaen" w:hAnsi="Sylfaen" w:cs="Sylfaen"/>
        </w:rPr>
        <w:t>კონვენცია</w:t>
      </w:r>
      <w:r w:rsidRPr="004E2175">
        <w:rPr>
          <w:rFonts w:ascii="Sylfaen" w:hAnsi="Sylfaen"/>
          <w:lang w:val="ka-GE"/>
        </w:rPr>
        <w:t>"</w:t>
      </w:r>
      <w:r w:rsidRPr="004E2175">
        <w:rPr>
          <w:lang w:val="fr-FR"/>
        </w:rPr>
        <w:t>) 34-</w:t>
      </w:r>
      <w:r w:rsidRPr="004E2175">
        <w:rPr>
          <w:rFonts w:ascii="Sylfaen" w:hAnsi="Sylfaen" w:cs="Sylfaen"/>
        </w:rPr>
        <w:t>ე</w:t>
      </w:r>
      <w:r w:rsidRPr="004E2175">
        <w:rPr>
          <w:lang w:val="fr-FR"/>
        </w:rPr>
        <w:t xml:space="preserve"> </w:t>
      </w:r>
      <w:r w:rsidRPr="004E2175">
        <w:rPr>
          <w:rFonts w:ascii="Sylfaen" w:hAnsi="Sylfaen" w:cs="Sylfaen"/>
        </w:rPr>
        <w:t>მუხლის</w:t>
      </w:r>
      <w:r w:rsidRPr="004E2175">
        <w:rPr>
          <w:lang w:val="fr-FR"/>
        </w:rPr>
        <w:t xml:space="preserve"> </w:t>
      </w:r>
      <w:r w:rsidRPr="004E2175">
        <w:rPr>
          <w:rFonts w:ascii="Sylfaen" w:hAnsi="Sylfaen" w:cs="Sylfaen"/>
        </w:rPr>
        <w:t>შესაბამისად</w:t>
      </w:r>
      <w:r w:rsidRPr="004E2175">
        <w:rPr>
          <w:lang w:val="fr-FR"/>
        </w:rPr>
        <w:t xml:space="preserve">, </w:t>
      </w:r>
      <w:r>
        <w:rPr>
          <w:rFonts w:ascii="Sylfaen" w:hAnsi="Sylfaen"/>
          <w:lang w:val="ka-GE"/>
        </w:rPr>
        <w:t>2002</w:t>
      </w:r>
      <w:r w:rsidRPr="004E2175">
        <w:rPr>
          <w:lang w:val="fr-FR"/>
        </w:rPr>
        <w:t xml:space="preserve"> </w:t>
      </w:r>
      <w:r w:rsidRPr="004E2175">
        <w:rPr>
          <w:rFonts w:ascii="Sylfaen" w:hAnsi="Sylfaen" w:cs="Sylfaen"/>
        </w:rPr>
        <w:t>წლის</w:t>
      </w:r>
      <w:r w:rsidRPr="004E2175">
        <w:rPr>
          <w:lang w:val="fr-FR"/>
        </w:rPr>
        <w:t xml:space="preserve"> </w:t>
      </w:r>
      <w:r w:rsidRPr="004E2175">
        <w:rPr>
          <w:rFonts w:ascii="Sylfaen" w:hAnsi="Sylfaen"/>
          <w:lang w:val="ka-GE"/>
        </w:rPr>
        <w:t>1 ოქტომბერს</w:t>
      </w:r>
      <w:r w:rsidRPr="004E2175">
        <w:rPr>
          <w:lang w:val="fr-FR"/>
        </w:rPr>
        <w:t xml:space="preserve"> </w:t>
      </w:r>
      <w:r w:rsidRPr="004E2175">
        <w:rPr>
          <w:rFonts w:ascii="Sylfaen" w:hAnsi="Sylfaen" w:cs="Sylfaen"/>
        </w:rPr>
        <w:t>სასამართლოში</w:t>
      </w:r>
      <w:r w:rsidRPr="004E2175">
        <w:rPr>
          <w:lang w:val="fr-FR"/>
        </w:rPr>
        <w:t xml:space="preserve"> </w:t>
      </w:r>
      <w:r w:rsidRPr="004E2175">
        <w:rPr>
          <w:rFonts w:ascii="Sylfaen" w:hAnsi="Sylfaen" w:cs="Sylfaen"/>
        </w:rPr>
        <w:t>შეიტანა</w:t>
      </w:r>
      <w:r w:rsidRPr="004E2175">
        <w:rPr>
          <w:lang w:val="fr-FR"/>
        </w:rPr>
        <w:t xml:space="preserve"> </w:t>
      </w:r>
      <w:r w:rsidR="000D4D59">
        <w:rPr>
          <w:rFonts w:ascii="Sylfaen" w:hAnsi="Sylfaen" w:cs="Sylfaen"/>
          <w:lang w:val="ka-GE"/>
        </w:rPr>
        <w:t>თურქეთის პოლიტიკურმა პარტიამ "</w:t>
      </w:r>
      <w:r w:rsidRPr="000D4D59" w:rsidR="000D4D59">
        <w:rPr>
          <w:rFonts w:ascii="Sylfaen" w:hAnsi="Sylfaen" w:cs="Sylfaen"/>
          <w:lang w:val="ka-GE"/>
        </w:rPr>
        <w:t>ოზგიურლიუკ</w:t>
      </w:r>
      <w:r w:rsidRPr="000D4D59" w:rsidR="000D4D59">
        <w:rPr>
          <w:lang w:val="ka-GE"/>
        </w:rPr>
        <w:t xml:space="preserve"> </w:t>
      </w:r>
      <w:r w:rsidRPr="000D4D59" w:rsidR="000D4D59">
        <w:rPr>
          <w:rFonts w:ascii="Sylfaen" w:hAnsi="Sylfaen" w:cs="Sylfaen"/>
          <w:lang w:val="ka-GE"/>
        </w:rPr>
        <w:t>ვე</w:t>
      </w:r>
      <w:r w:rsidRPr="000D4D59" w:rsidR="000D4D59">
        <w:rPr>
          <w:lang w:val="ka-GE"/>
        </w:rPr>
        <w:t xml:space="preserve"> </w:t>
      </w:r>
      <w:r w:rsidRPr="000D4D59" w:rsidR="000D4D59">
        <w:rPr>
          <w:rFonts w:ascii="Sylfaen" w:hAnsi="Sylfaen" w:cs="Sylfaen"/>
          <w:lang w:val="ka-GE"/>
        </w:rPr>
        <w:t>დაიანიშმა</w:t>
      </w:r>
      <w:r w:rsidRPr="000D4D59" w:rsidR="000D4D59">
        <w:rPr>
          <w:lang w:val="ka-GE"/>
        </w:rPr>
        <w:t xml:space="preserve"> </w:t>
      </w:r>
      <w:r w:rsidRPr="000D4D59" w:rsidR="000D4D59">
        <w:rPr>
          <w:rFonts w:ascii="Sylfaen" w:hAnsi="Sylfaen" w:cs="Sylfaen"/>
          <w:lang w:val="ka-GE"/>
        </w:rPr>
        <w:t>პარტისი</w:t>
      </w:r>
      <w:r w:rsidR="000D4D59">
        <w:rPr>
          <w:rFonts w:ascii="Sylfaen" w:hAnsi="Sylfaen" w:cs="Sylfaen"/>
          <w:lang w:val="ka-GE"/>
        </w:rPr>
        <w:t>" ("ოდპ", თავისუფლებისა და სოლიდარულობის პარტია)</w:t>
      </w:r>
      <w:r w:rsidRPr="000D4D59" w:rsidR="000D4D59">
        <w:rPr>
          <w:b/>
          <w:lang w:val="ka-GE"/>
        </w:rPr>
        <w:t xml:space="preserve"> </w:t>
      </w:r>
      <w:r w:rsidRPr="004E2175">
        <w:rPr>
          <w:lang w:val="fr-FR"/>
        </w:rPr>
        <w:t>(</w:t>
      </w:r>
      <w:r w:rsidRPr="004E2175">
        <w:rPr>
          <w:rFonts w:ascii="Sylfaen" w:hAnsi="Sylfaen"/>
          <w:lang w:val="ka-GE"/>
        </w:rPr>
        <w:t>"</w:t>
      </w:r>
      <w:r w:rsidRPr="004E2175">
        <w:rPr>
          <w:rFonts w:ascii="Sylfaen" w:hAnsi="Sylfaen" w:cs="Sylfaen"/>
        </w:rPr>
        <w:t>მომჩივანი</w:t>
      </w:r>
      <w:r w:rsidRPr="004E2175">
        <w:rPr>
          <w:rFonts w:ascii="Sylfaen" w:hAnsi="Sylfaen"/>
          <w:lang w:val="ka-GE"/>
        </w:rPr>
        <w:t>"</w:t>
      </w:r>
      <w:r w:rsidRPr="004E2175">
        <w:rPr>
          <w:lang w:val="fr-FR"/>
        </w:rPr>
        <w:t>).</w:t>
      </w:r>
    </w:p>
    <w:p w:rsidRPr="000D4D59" w:rsidR="000D4D59" w:rsidP="000D4D59" w:rsidRDefault="000D4D59">
      <w:pPr>
        <w:numPr>
          <w:ilvl w:val="0"/>
          <w:numId w:val="1"/>
        </w:numPr>
        <w:rPr>
          <w:rFonts w:ascii="Sylfaen" w:hAnsi="Sylfaen" w:cs="Sylfaen"/>
        </w:rPr>
      </w:pPr>
      <w:r>
        <w:rPr>
          <w:rFonts w:ascii="Sylfaen" w:hAnsi="Sylfaen" w:cs="Sylfaen"/>
          <w:lang w:val="ka-GE"/>
        </w:rPr>
        <w:t xml:space="preserve">სასამართლოს წინაშე </w:t>
      </w:r>
      <w:r w:rsidRPr="004E2175" w:rsidR="004E2175">
        <w:rPr>
          <w:rFonts w:ascii="Sylfaen" w:hAnsi="Sylfaen" w:cs="Sylfaen"/>
        </w:rPr>
        <w:t>მომჩივანს</w:t>
      </w:r>
      <w:r w:rsidRPr="004E2175" w:rsidR="004E2175">
        <w:rPr>
          <w:rFonts w:ascii="Sylfaen" w:hAnsi="Sylfaen" w:cs="Sylfaen"/>
          <w:lang w:val="ka-GE"/>
        </w:rPr>
        <w:t xml:space="preserve"> </w:t>
      </w:r>
      <w:r w:rsidRPr="004E2175" w:rsidR="004E2175">
        <w:rPr>
          <w:rFonts w:ascii="Sylfaen" w:hAnsi="Sylfaen" w:cs="Sylfaen"/>
        </w:rPr>
        <w:t xml:space="preserve">წარმოადგენდა </w:t>
      </w:r>
      <w:r>
        <w:rPr>
          <w:rFonts w:ascii="Sylfaen" w:hAnsi="Sylfaen" w:cs="Sylfaen"/>
          <w:lang w:val="ka-GE"/>
        </w:rPr>
        <w:t>ბ</w:t>
      </w:r>
      <w:r w:rsidRPr="004E2175" w:rsidR="004E2175">
        <w:rPr>
          <w:rFonts w:ascii="Sylfaen" w:hAnsi="Sylfaen" w:cs="Sylfaen"/>
        </w:rPr>
        <w:t xml:space="preserve">-ნი </w:t>
      </w:r>
      <w:r w:rsidRPr="004E2175" w:rsidR="004E2175">
        <w:rPr>
          <w:rFonts w:ascii="Sylfaen" w:hAnsi="Sylfaen" w:cs="Sylfaen"/>
          <w:lang w:val="ka-GE"/>
        </w:rPr>
        <w:t xml:space="preserve">გ. </w:t>
      </w:r>
      <w:r>
        <w:rPr>
          <w:rFonts w:ascii="Sylfaen" w:hAnsi="Sylfaen" w:cs="Sylfaen"/>
          <w:lang w:val="ka-GE"/>
        </w:rPr>
        <w:t>ბექტაში,</w:t>
      </w:r>
      <w:r w:rsidR="00643EF8">
        <w:rPr>
          <w:rFonts w:ascii="Sylfaen" w:hAnsi="Sylfaen" w:cs="Sylfaen"/>
          <w:lang w:val="ka-GE"/>
        </w:rPr>
        <w:t xml:space="preserve"> </w:t>
      </w:r>
      <w:r w:rsidRPr="004E2175" w:rsidR="004E2175">
        <w:rPr>
          <w:rFonts w:ascii="Sylfaen" w:hAnsi="Sylfaen" w:cs="Sylfaen"/>
        </w:rPr>
        <w:t xml:space="preserve">ადვოკატი, რომელიც </w:t>
      </w:r>
      <w:r w:rsidRPr="004E2175" w:rsidR="004E2175">
        <w:rPr>
          <w:rFonts w:ascii="Sylfaen" w:hAnsi="Sylfaen" w:cs="Sylfaen"/>
          <w:lang w:val="ka-GE"/>
        </w:rPr>
        <w:t>პრაქტიკას ეწევა</w:t>
      </w:r>
      <w:r w:rsidRPr="004E2175" w:rsidR="004E2175">
        <w:rPr>
          <w:rFonts w:ascii="Sylfaen" w:hAnsi="Sylfaen" w:cs="Sylfaen"/>
        </w:rPr>
        <w:t xml:space="preserve"> </w:t>
      </w:r>
      <w:r>
        <w:rPr>
          <w:rFonts w:ascii="Sylfaen" w:hAnsi="Sylfaen" w:cs="Sylfaen"/>
          <w:lang w:val="ka-GE"/>
        </w:rPr>
        <w:t>ანკარაში.</w:t>
      </w:r>
      <w:r w:rsidR="00643EF8">
        <w:rPr>
          <w:rFonts w:ascii="Sylfaen" w:hAnsi="Sylfaen" w:cs="Sylfaen"/>
        </w:rPr>
        <w:t xml:space="preserve"> </w:t>
      </w:r>
      <w:r>
        <w:rPr>
          <w:rFonts w:ascii="Sylfaen" w:hAnsi="Sylfaen" w:cs="Sylfaen"/>
          <w:lang w:val="ka-GE"/>
        </w:rPr>
        <w:t xml:space="preserve">თურქეთის </w:t>
      </w:r>
      <w:r w:rsidRPr="004E2175" w:rsidR="004E2175">
        <w:rPr>
          <w:rFonts w:ascii="Sylfaen" w:hAnsi="Sylfaen" w:cs="Sylfaen"/>
          <w:lang w:val="ka-GE"/>
        </w:rPr>
        <w:t xml:space="preserve">მთავრობას ("მთავრობა") წარმოადგენდა მისი </w:t>
      </w:r>
      <w:r>
        <w:rPr>
          <w:rFonts w:ascii="Sylfaen" w:hAnsi="Sylfaen" w:cs="Sylfaen"/>
          <w:lang w:val="ka-GE"/>
        </w:rPr>
        <w:t>წარმომადგენელი</w:t>
      </w:r>
      <w:r w:rsidRPr="004E2175" w:rsidR="004E2175">
        <w:rPr>
          <w:rFonts w:ascii="Sylfaen" w:hAnsi="Sylfaen" w:cs="Sylfaen"/>
          <w:lang w:val="ka-GE"/>
        </w:rPr>
        <w:t>.</w:t>
      </w:r>
    </w:p>
    <w:p w:rsidRPr="000D4D59" w:rsidR="004E2175" w:rsidP="000D4D59" w:rsidRDefault="004E2175">
      <w:pPr>
        <w:numPr>
          <w:ilvl w:val="0"/>
          <w:numId w:val="1"/>
        </w:numPr>
        <w:rPr>
          <w:rFonts w:ascii="Sylfaen" w:hAnsi="Sylfaen" w:cs="Sylfaen"/>
        </w:rPr>
      </w:pPr>
      <w:r w:rsidRPr="000D4D59">
        <w:rPr>
          <w:rFonts w:ascii="Sylfaen" w:hAnsi="Sylfaen" w:cs="Sylfaen"/>
        </w:rPr>
        <w:t xml:space="preserve">მომჩივანი </w:t>
      </w:r>
      <w:r w:rsidR="000D4D59">
        <w:rPr>
          <w:rFonts w:ascii="Sylfaen" w:hAnsi="Sylfaen" w:cs="Sylfaen"/>
          <w:lang w:val="ka-GE"/>
        </w:rPr>
        <w:t>პარტია</w:t>
      </w:r>
      <w:r w:rsidRPr="000D4D59">
        <w:rPr>
          <w:rFonts w:ascii="Sylfaen" w:hAnsi="Sylfaen" w:cs="Sylfaen"/>
          <w:lang w:val="ka-GE"/>
        </w:rPr>
        <w:t>,</w:t>
      </w:r>
      <w:r w:rsidR="000D4D59">
        <w:rPr>
          <w:rFonts w:ascii="Sylfaen" w:hAnsi="Sylfaen" w:cs="Sylfaen"/>
          <w:lang w:val="ka-GE"/>
        </w:rPr>
        <w:t xml:space="preserve"> რომელსაც მიეცა უფლება </w:t>
      </w:r>
      <w:r w:rsidR="009C0024">
        <w:rPr>
          <w:rFonts w:ascii="Sylfaen" w:hAnsi="Sylfaen" w:cs="Sylfaen"/>
          <w:lang w:val="ka-GE"/>
        </w:rPr>
        <w:t xml:space="preserve">მიეღო </w:t>
      </w:r>
      <w:r w:rsidR="000D4D59">
        <w:rPr>
          <w:rFonts w:ascii="Sylfaen" w:hAnsi="Sylfaen" w:cs="Sylfaen"/>
          <w:lang w:val="ka-GE"/>
        </w:rPr>
        <w:t>მონაწილეობა შემდგომ საპარლამენტო არჩევნებში, აცხადებდა, რომ დაექვემდებარა დისკრიმინაციას</w:t>
      </w:r>
      <w:r w:rsidR="009C0024">
        <w:rPr>
          <w:rFonts w:ascii="Sylfaen" w:hAnsi="Sylfaen" w:cs="Sylfaen"/>
          <w:lang w:val="ka-GE"/>
        </w:rPr>
        <w:t xml:space="preserve"> ეთქვა რა </w:t>
      </w:r>
      <w:r w:rsidR="000D4D59">
        <w:rPr>
          <w:rFonts w:ascii="Sylfaen" w:hAnsi="Sylfaen" w:cs="Sylfaen"/>
          <w:lang w:val="ka-GE"/>
        </w:rPr>
        <w:t>პოლიტიკური პარტიებისათვის განკუთვნილ ფინანსურ დახმარებ</w:t>
      </w:r>
      <w:r w:rsidR="009C0024">
        <w:rPr>
          <w:rFonts w:ascii="Sylfaen" w:hAnsi="Sylfaen" w:cs="Sylfaen"/>
          <w:lang w:val="ka-GE"/>
        </w:rPr>
        <w:t>ის გაცემ</w:t>
      </w:r>
      <w:r w:rsidR="000D4D59">
        <w:rPr>
          <w:rFonts w:ascii="Sylfaen" w:hAnsi="Sylfaen" w:cs="Sylfaen"/>
          <w:lang w:val="ka-GE"/>
        </w:rPr>
        <w:t>ა</w:t>
      </w:r>
      <w:r w:rsidR="00B0158E">
        <w:rPr>
          <w:rFonts w:ascii="Sylfaen" w:hAnsi="Sylfaen" w:cs="Sylfaen"/>
          <w:lang w:val="ka-GE"/>
        </w:rPr>
        <w:t>ზე უარი მიუხედავად იმისა, რომ ამის უფლებას ანიჭებდა კონსტიტუცია</w:t>
      </w:r>
    </w:p>
    <w:p w:rsidR="00643EF8" w:rsidP="000D4D59" w:rsidRDefault="000D4D59">
      <w:pPr>
        <w:numPr>
          <w:ilvl w:val="0"/>
          <w:numId w:val="1"/>
        </w:numPr>
        <w:rPr>
          <w:rFonts w:ascii="Sylfaen" w:hAnsi="Sylfaen" w:cs="Sylfaen"/>
          <w:lang w:val="ka-GE"/>
        </w:rPr>
      </w:pPr>
      <w:r>
        <w:rPr>
          <w:rFonts w:ascii="Sylfaen" w:hAnsi="Sylfaen" w:cs="Sylfaen"/>
          <w:lang w:val="ka-GE"/>
        </w:rPr>
        <w:t>2007 წლის 30 ივლისს საჩივარი კომუნიცირებულ იქნა მთავრობისადმი. მიღებულ იქნა გადაწყვეტილება საქმის მისაღებობა და მისი არსებით</w:t>
      </w:r>
      <w:r w:rsidR="00B0158E">
        <w:rPr>
          <w:rFonts w:ascii="Sylfaen" w:hAnsi="Sylfaen" w:cs="Sylfaen"/>
          <w:lang w:val="ka-GE"/>
        </w:rPr>
        <w:t>ი</w:t>
      </w:r>
      <w:r w:rsidR="00643EF8">
        <w:rPr>
          <w:rFonts w:ascii="Sylfaen" w:hAnsi="Sylfaen" w:cs="Sylfaen"/>
          <w:lang w:val="ka-GE"/>
        </w:rPr>
        <w:t xml:space="preserve"> </w:t>
      </w:r>
      <w:r>
        <w:rPr>
          <w:rFonts w:ascii="Sylfaen" w:hAnsi="Sylfaen" w:cs="Sylfaen"/>
          <w:lang w:val="ka-GE"/>
        </w:rPr>
        <w:t>ნაწილი თანადროულად იქნეს განხილული.</w:t>
      </w:r>
    </w:p>
    <w:p w:rsidRPr="009544D5" w:rsidR="000D4D59" w:rsidP="000D4D59" w:rsidRDefault="009544D5">
      <w:pPr>
        <w:rPr>
          <w:rFonts w:ascii="Sylfaen" w:hAnsi="Sylfaen" w:cs="Sylfaen"/>
          <w:sz w:val="24"/>
          <w:lang w:val="ka-GE"/>
        </w:rPr>
      </w:pPr>
      <w:r w:rsidRPr="009544D5">
        <w:rPr>
          <w:rFonts w:ascii="Sylfaen" w:hAnsi="Sylfaen" w:cs="Sylfaen"/>
          <w:sz w:val="24"/>
          <w:lang w:val="ka-GE"/>
        </w:rPr>
        <w:t>ფაქტები</w:t>
      </w:r>
    </w:p>
    <w:p w:rsidRPr="009544D5" w:rsidR="009544D5" w:rsidP="000D4D59" w:rsidRDefault="009544D5">
      <w:pPr>
        <w:rPr>
          <w:rFonts w:ascii="Sylfaen" w:hAnsi="Sylfaen" w:cs="Sylfaen"/>
          <w:lang w:val="ka-GE"/>
        </w:rPr>
      </w:pPr>
      <w:r>
        <w:rPr>
          <w:rFonts w:ascii="Sylfaen" w:hAnsi="Sylfaen" w:cs="Sylfaen"/>
        </w:rPr>
        <w:t>I</w:t>
      </w:r>
      <w:r>
        <w:rPr>
          <w:rFonts w:ascii="Sylfaen" w:hAnsi="Sylfaen" w:cs="Sylfaen"/>
          <w:lang w:val="ka-GE"/>
        </w:rPr>
        <w:t>. საქმის გარემოებანი</w:t>
      </w:r>
    </w:p>
    <w:p w:rsidRPr="009544D5" w:rsidR="000D4D59" w:rsidP="000D4D59" w:rsidRDefault="009544D5">
      <w:pPr>
        <w:numPr>
          <w:ilvl w:val="0"/>
          <w:numId w:val="1"/>
        </w:numPr>
        <w:rPr>
          <w:rFonts w:ascii="Sylfaen" w:hAnsi="Sylfaen" w:cs="Sylfaen"/>
        </w:rPr>
      </w:pPr>
      <w:r>
        <w:rPr>
          <w:rFonts w:ascii="Sylfaen" w:hAnsi="Sylfaen" w:cs="Sylfaen"/>
          <w:lang w:val="ka-GE"/>
        </w:rPr>
        <w:t>მომჩივანი, "ოდპ" არის თურქული პოლიტიკური პარტია, რომელიც ბაზირებულია ანკარაში.</w:t>
      </w:r>
    </w:p>
    <w:p w:rsidRPr="009544D5" w:rsidR="009544D5" w:rsidP="000D4D59" w:rsidRDefault="009544D5">
      <w:pPr>
        <w:numPr>
          <w:ilvl w:val="0"/>
          <w:numId w:val="1"/>
        </w:numPr>
        <w:rPr>
          <w:rFonts w:ascii="Sylfaen" w:hAnsi="Sylfaen" w:cs="Sylfaen"/>
        </w:rPr>
      </w:pPr>
      <w:r>
        <w:rPr>
          <w:rFonts w:ascii="Sylfaen" w:hAnsi="Sylfaen" w:cs="Sylfaen"/>
          <w:lang w:val="ka-GE"/>
        </w:rPr>
        <w:t>1998 წლის 28 ნოემბრის დეკრეტით უმაღლესმა საარჩევნო კომისიამ გამოაქვეყნა იმ თვრამეტი პარტიისაგან შემდგარი სია, რომლებიც ავტორიზებულნი იყვნენ მონაწილეობა მიეღოთ საპარლამენტო და მუნიციპალურ არჩევნებში, რომელიც დანიშნული გახლდათ 1999 წლის 18 აპრილისათვის. სიაში გახლდათ "ოდპ"-ც. იმისათვის</w:t>
      </w:r>
      <w:r w:rsidR="00B0158E">
        <w:rPr>
          <w:rFonts w:ascii="Sylfaen" w:hAnsi="Sylfaen" w:cs="Sylfaen"/>
          <w:lang w:val="ka-GE"/>
        </w:rPr>
        <w:t>,</w:t>
      </w:r>
      <w:r>
        <w:rPr>
          <w:rFonts w:ascii="Sylfaen" w:hAnsi="Sylfaen" w:cs="Sylfaen"/>
          <w:lang w:val="ka-GE"/>
        </w:rPr>
        <w:t xml:space="preserve"> რომ მიეღო ხსენებულ არჩევნებში მონაწილეობა, პოლიტიკურ პარტიებს უნდა ჰქონოდათ არჩევნებამდე მინიმუმ ექვსი თვით ადრე მაინც, ოფისები არანაკლებ ქვეყნის პროვინციების ნახევარში და უკვე ორგანიზებული უნდა ჰქონოდათ პარტიის ყრილობა.</w:t>
      </w:r>
    </w:p>
    <w:p w:rsidR="00643EF8" w:rsidP="000D4D59" w:rsidRDefault="009544D5">
      <w:pPr>
        <w:numPr>
          <w:ilvl w:val="0"/>
          <w:numId w:val="1"/>
        </w:numPr>
        <w:rPr>
          <w:rFonts w:ascii="Sylfaen" w:hAnsi="Sylfaen" w:cs="Sylfaen"/>
          <w:lang w:val="ka-GE"/>
        </w:rPr>
      </w:pPr>
      <w:r>
        <w:rPr>
          <w:rFonts w:ascii="Sylfaen" w:hAnsi="Sylfaen" w:cs="Sylfaen"/>
          <w:lang w:val="ka-GE"/>
        </w:rPr>
        <w:t>1998 წლის 23 სექტემბერს "ოდპ"-მ მიმართა ფინანსთა სამინისტროს იმ ფინანსური დახმარების მისაღებად, რომელიც პოლიტიკური პარტიებისთვისაა განკუთვნილი კონსტიტუციის 68-ე მუხლის მიხედვით.</w:t>
      </w:r>
    </w:p>
    <w:p w:rsidR="00643EF8" w:rsidP="000D4D59" w:rsidRDefault="009544D5">
      <w:pPr>
        <w:numPr>
          <w:ilvl w:val="0"/>
          <w:numId w:val="1"/>
        </w:numPr>
        <w:rPr>
          <w:rFonts w:ascii="Sylfaen" w:hAnsi="Sylfaen" w:cs="Sylfaen"/>
          <w:lang w:val="ka-GE"/>
        </w:rPr>
      </w:pPr>
      <w:r>
        <w:rPr>
          <w:rFonts w:ascii="Sylfaen" w:hAnsi="Sylfaen" w:cs="Sylfaen"/>
          <w:lang w:val="ka-GE"/>
        </w:rPr>
        <w:t>1998 წლის 23 ნოემბრის დადგენილებით ფინანსთა სამინისტრომ მომჩივანს უარი განუცხადა იმ საფუძველზე, რომ მხოლოდ ის პოლიტიკური პარტიები, რომლებიც აკმაყოფილებდნენ კანონი N.2820 ჩამოყალიბებულ კრიტერიუმებს იყვნენ უფლებამოსილნი მიეღოთ საჯარო დაფინანსება.</w:t>
      </w:r>
    </w:p>
    <w:p w:rsidRPr="003754AC" w:rsidR="004E2175" w:rsidP="004E2175" w:rsidRDefault="005377E6">
      <w:pPr>
        <w:numPr>
          <w:ilvl w:val="0"/>
          <w:numId w:val="1"/>
        </w:numPr>
        <w:ind w:left="360" w:firstLine="0"/>
        <w:rPr>
          <w:rFonts w:ascii="Sylfaen" w:hAnsi="Sylfaen"/>
          <w:lang w:val="ka-GE"/>
        </w:rPr>
      </w:pPr>
      <w:r w:rsidRPr="003754AC">
        <w:rPr>
          <w:rFonts w:ascii="Sylfaen" w:hAnsi="Sylfaen" w:cs="Sylfaen"/>
          <w:lang w:val="ka-GE"/>
        </w:rPr>
        <w:t>1998 წლის 29 დეკემბერს "ოდპ"-მ დაიწყო სამართალწარმოება ანკარის ადმინსიტრაციულ სასამართლოში ითხოვდა რა 1998 წლის 23 ნოემბრის დადგენილების გადახედვას. "ოდპ"-მ პირველ რიგში აღნიშნა, რომ კონსტიტუცია მიუთითებდა, რომ "სახელმწიფო პოლიტიკურ პარტიებს უზრუნველყოფს საკმარისი და სამართლიან</w:t>
      </w:r>
      <w:r w:rsidR="00AD166E">
        <w:rPr>
          <w:rFonts w:ascii="Sylfaen" w:hAnsi="Sylfaen" w:cs="Sylfaen"/>
          <w:lang w:val="ka-GE"/>
        </w:rPr>
        <w:t>ი</w:t>
      </w:r>
      <w:r w:rsidRPr="003754AC">
        <w:rPr>
          <w:rFonts w:ascii="Sylfaen" w:hAnsi="Sylfaen" w:cs="Sylfaen"/>
          <w:lang w:val="ka-GE"/>
        </w:rPr>
        <w:t xml:space="preserve"> დაფინანსებ</w:t>
      </w:r>
      <w:r w:rsidR="00AD166E">
        <w:rPr>
          <w:rFonts w:ascii="Sylfaen" w:hAnsi="Sylfaen" w:cs="Sylfaen"/>
          <w:lang w:val="ka-GE"/>
        </w:rPr>
        <w:t>ით</w:t>
      </w:r>
      <w:r w:rsidRPr="003754AC">
        <w:rPr>
          <w:rFonts w:ascii="Sylfaen" w:hAnsi="Sylfaen" w:cs="Sylfaen"/>
          <w:lang w:val="ka-GE"/>
        </w:rPr>
        <w:t xml:space="preserve">" და რომ "კანონი განსაზღვრავს იმ პრინციპებს, რომელიც გამოყენებულ იქნება პარტიის დაფინანსების, წევრების </w:t>
      </w:r>
      <w:r w:rsidRPr="003754AC" w:rsidR="003754AC">
        <w:rPr>
          <w:rFonts w:ascii="Sylfaen" w:hAnsi="Sylfaen" w:cs="Sylfaen"/>
          <w:lang w:val="ka-GE"/>
        </w:rPr>
        <w:t>მიღებისა და შენატანების გაკეთების ირგვლივ". მომჩივანმა პარტიამ აღნიშნა, რომ პოლიტიკური პარტიების შესახებ კანონით დადგენილი კრიტერიუმებით ის პარტიები, რომლებიც არ იყვნენ წარმოდგენილი პარლამენტშ</w:t>
      </w:r>
      <w:r w:rsidR="003754AC">
        <w:rPr>
          <w:rFonts w:ascii="Sylfaen" w:hAnsi="Sylfaen" w:cs="Sylfaen"/>
          <w:lang w:val="ka-GE"/>
        </w:rPr>
        <w:t>ი ვერ სარგებლობდნენ სახელმწიფო სუბსიდირებით. ხაზი გაუსვა რა პოლიტიკური საქმიანობის განხორციელებისა და კამპანიების წარმოების სირთულეს აუცილებელი ფინანსური რესურსების გარეშე, მან აღნიშნა, რომ კანონით დადგენილი გამონაკლისი არაკონსტიტუციური გახლდათ და ეწინააღმდეგებოდა დემოკრატიული სახელმწიფოს პრინციპებსა და სახელმწიფოს ვალდებულებას ხელი შეუწყოს დემოკრატიულ უფლებებსა და თავისუფლებებსა და დისკრიმინაციის აკრძალვას. ამასთანავე, მომჩივანის მიხედვით ზემოთმოცემული დებულებანი</w:t>
      </w:r>
      <w:r w:rsidRPr="003754AC" w:rsidR="004E2175">
        <w:rPr>
          <w:rFonts w:ascii="Sylfaen" w:hAnsi="Sylfaen" w:cs="Sylfaen"/>
          <w:lang w:val="ka-GE"/>
        </w:rPr>
        <w:tab/>
      </w:r>
      <w:r w:rsidR="003754AC">
        <w:rPr>
          <w:rFonts w:ascii="Sylfaen" w:hAnsi="Sylfaen" w:cs="Sylfaen"/>
          <w:lang w:val="ka-GE"/>
        </w:rPr>
        <w:t xml:space="preserve"> არღვევდნენ ადამიანის უფლებების დაცვის საერთაშორისო ინსტრუმენტებს.</w:t>
      </w:r>
    </w:p>
    <w:p w:rsidR="003754AC" w:rsidP="004E2175" w:rsidRDefault="003754AC">
      <w:pPr>
        <w:numPr>
          <w:ilvl w:val="0"/>
          <w:numId w:val="1"/>
        </w:numPr>
        <w:ind w:left="360" w:firstLine="0"/>
        <w:rPr>
          <w:rFonts w:ascii="Sylfaen" w:hAnsi="Sylfaen"/>
          <w:lang w:val="ka-GE"/>
        </w:rPr>
      </w:pPr>
      <w:r>
        <w:rPr>
          <w:rFonts w:ascii="Sylfaen" w:hAnsi="Sylfaen"/>
          <w:lang w:val="ka-GE"/>
        </w:rPr>
        <w:t>1999 წლის 29 სექტემბრის გადაწყვეტილებით ანკარის ადმინისტრაციულმა სასამართლომ არ დააკმაყოფილა "ოდპ" სარჩელი იმის გამო, რომ იგი არ აკმაყოფილებდა პოლიტიკური პარტიების შესახებ კანონი N2820 მიერ დადგენილ კრიტერიუმებს. სასამართლოს არ მიუღია გადაწყვეტილება "ოდპ" მიერ წამოყენებულ არაკონსტიტუციურობის საკითხზე.</w:t>
      </w:r>
    </w:p>
    <w:p w:rsidR="003754AC" w:rsidP="004E2175" w:rsidRDefault="003754AC">
      <w:pPr>
        <w:numPr>
          <w:ilvl w:val="0"/>
          <w:numId w:val="1"/>
        </w:numPr>
        <w:ind w:left="360" w:firstLine="0"/>
        <w:rPr>
          <w:rFonts w:ascii="Sylfaen" w:hAnsi="Sylfaen"/>
          <w:lang w:val="ka-GE"/>
        </w:rPr>
      </w:pPr>
      <w:r>
        <w:rPr>
          <w:rFonts w:ascii="Sylfaen" w:hAnsi="Sylfaen"/>
          <w:lang w:val="ka-GE"/>
        </w:rPr>
        <w:t>"ოდპ"-მ გაასაჩივრა 1999 წლის 29 სექტემბრის გადაწყვეტილება, კიდევ ერთხელ გაუსვა რა ხაზი მის მიერ პირველი ინსტანციის სასამართლოს წინაშე წამოყენებულ არგუმენტებს.</w:t>
      </w:r>
    </w:p>
    <w:p w:rsidR="003754AC" w:rsidP="004E2175" w:rsidRDefault="0057501F">
      <w:pPr>
        <w:numPr>
          <w:ilvl w:val="0"/>
          <w:numId w:val="1"/>
        </w:numPr>
        <w:ind w:left="360" w:firstLine="0"/>
        <w:rPr>
          <w:rFonts w:ascii="Sylfaen" w:hAnsi="Sylfaen"/>
          <w:lang w:val="ka-GE"/>
        </w:rPr>
      </w:pPr>
      <w:r>
        <w:rPr>
          <w:rFonts w:ascii="Sylfaen" w:hAnsi="Sylfaen"/>
          <w:lang w:val="ka-GE"/>
        </w:rPr>
        <w:t>2002 წლის 25 აპრილით დათარიღებული გადაწყვეტილებით, რომელიც მომჩივანმა მიიღო 2002 წლის 10 ივლისს, უზენაესმა ადმინისტრაციულმა სასამართლომ ძალაში დატოვა გასაჩვრებული გადაწყვეტილება, რომელიც მიიჩნია რომ შეესაბამებოდა კანონმდებლობას როგორც არსობრივად</w:t>
      </w:r>
      <w:r w:rsidR="009C0024">
        <w:rPr>
          <w:rFonts w:ascii="Sylfaen" w:hAnsi="Sylfaen"/>
          <w:lang w:val="ka-GE"/>
        </w:rPr>
        <w:t>,</w:t>
      </w:r>
      <w:r>
        <w:rPr>
          <w:rFonts w:ascii="Sylfaen" w:hAnsi="Sylfaen"/>
          <w:lang w:val="ka-GE"/>
        </w:rPr>
        <w:t xml:space="preserve"> ისე პროცედურულად.</w:t>
      </w:r>
    </w:p>
    <w:p w:rsidR="0057501F" w:rsidP="0057501F" w:rsidRDefault="0057501F">
      <w:pPr>
        <w:rPr>
          <w:rFonts w:ascii="Sylfaen" w:hAnsi="Sylfaen"/>
          <w:lang w:val="ka-GE"/>
        </w:rPr>
      </w:pPr>
    </w:p>
    <w:p w:rsidRPr="0057501F" w:rsidR="0057501F" w:rsidP="0057501F" w:rsidRDefault="0057501F">
      <w:pPr>
        <w:rPr>
          <w:rFonts w:ascii="Sylfaen" w:hAnsi="Sylfaen"/>
          <w:sz w:val="24"/>
          <w:lang w:val="ka-GE"/>
        </w:rPr>
      </w:pPr>
      <w:r w:rsidRPr="0057501F">
        <w:rPr>
          <w:rFonts w:ascii="Sylfaen" w:hAnsi="Sylfaen"/>
          <w:sz w:val="24"/>
        </w:rPr>
        <w:t>II</w:t>
      </w:r>
      <w:r w:rsidRPr="0057501F">
        <w:rPr>
          <w:rFonts w:ascii="Sylfaen" w:hAnsi="Sylfaen"/>
          <w:sz w:val="24"/>
          <w:lang w:val="ka-GE"/>
        </w:rPr>
        <w:t>. შესაბამისი კანონმდებლობა და პრქტიკა</w:t>
      </w:r>
    </w:p>
    <w:p w:rsidRPr="0057501F" w:rsidR="0057501F" w:rsidP="0057501F" w:rsidRDefault="0057501F">
      <w:pPr>
        <w:rPr>
          <w:rFonts w:ascii="Sylfaen" w:hAnsi="Sylfaen"/>
          <w:b/>
          <w:lang w:val="ka-GE"/>
        </w:rPr>
      </w:pPr>
      <w:r w:rsidRPr="0057501F">
        <w:rPr>
          <w:rFonts w:ascii="Sylfaen" w:hAnsi="Sylfaen"/>
          <w:b/>
          <w:lang w:val="ka-GE"/>
        </w:rPr>
        <w:t>ა. ეროვნული კონტე</w:t>
      </w:r>
      <w:r>
        <w:rPr>
          <w:rFonts w:ascii="Sylfaen" w:hAnsi="Sylfaen"/>
          <w:b/>
          <w:lang w:val="ka-GE"/>
        </w:rPr>
        <w:t>ქ</w:t>
      </w:r>
      <w:r w:rsidRPr="0057501F">
        <w:rPr>
          <w:rFonts w:ascii="Sylfaen" w:hAnsi="Sylfaen"/>
          <w:b/>
          <w:lang w:val="ka-GE"/>
        </w:rPr>
        <w:t>სტი</w:t>
      </w:r>
    </w:p>
    <w:p w:rsidRPr="0057501F" w:rsidR="0057501F" w:rsidP="0057501F" w:rsidRDefault="0057501F">
      <w:pPr>
        <w:rPr>
          <w:rFonts w:ascii="Sylfaen" w:hAnsi="Sylfaen"/>
          <w:i/>
          <w:lang w:val="ka-GE"/>
        </w:rPr>
      </w:pPr>
      <w:r>
        <w:rPr>
          <w:rFonts w:ascii="Sylfaen" w:hAnsi="Sylfaen"/>
          <w:i/>
          <w:lang w:val="ka-GE"/>
        </w:rPr>
        <w:t>1. კონსტიტუცია</w:t>
      </w:r>
    </w:p>
    <w:p w:rsidR="00643EF8" w:rsidP="00AD166E" w:rsidRDefault="00AD166E">
      <w:pPr>
        <w:numPr>
          <w:ilvl w:val="0"/>
          <w:numId w:val="1"/>
        </w:numPr>
        <w:ind w:left="360" w:firstLine="0"/>
        <w:rPr>
          <w:rFonts w:ascii="Sylfaen" w:hAnsi="Sylfaen" w:cs="Sylfaen"/>
          <w:lang w:val="ka-GE"/>
        </w:rPr>
      </w:pPr>
      <w:r w:rsidRPr="00AD166E">
        <w:rPr>
          <w:rFonts w:ascii="Sylfaen" w:hAnsi="Sylfaen"/>
          <w:lang w:val="ka-GE"/>
        </w:rPr>
        <w:t xml:space="preserve">კონსტიტუციის 68-ე მუხლის ბოლო აბზაცი მიუთითებს, რომ </w:t>
      </w:r>
      <w:r w:rsidRPr="003754AC">
        <w:rPr>
          <w:rFonts w:ascii="Sylfaen" w:hAnsi="Sylfaen" w:cs="Sylfaen"/>
          <w:lang w:val="ka-GE"/>
        </w:rPr>
        <w:t>"სახელმწიფო პოლიტიკურ პარტიებს უზრუნველყოფს საკმარისი და სამართლიან</w:t>
      </w:r>
      <w:r>
        <w:rPr>
          <w:rFonts w:ascii="Sylfaen" w:hAnsi="Sylfaen" w:cs="Sylfaen"/>
          <w:lang w:val="ka-GE"/>
        </w:rPr>
        <w:t>ი</w:t>
      </w:r>
      <w:r w:rsidRPr="003754AC">
        <w:rPr>
          <w:rFonts w:ascii="Sylfaen" w:hAnsi="Sylfaen" w:cs="Sylfaen"/>
          <w:lang w:val="ka-GE"/>
        </w:rPr>
        <w:t xml:space="preserve"> დაფინანსებ</w:t>
      </w:r>
      <w:r>
        <w:rPr>
          <w:rFonts w:ascii="Sylfaen" w:hAnsi="Sylfaen" w:cs="Sylfaen"/>
          <w:lang w:val="ka-GE"/>
        </w:rPr>
        <w:t>ით</w:t>
      </w:r>
      <w:r w:rsidRPr="003754AC">
        <w:rPr>
          <w:rFonts w:ascii="Sylfaen" w:hAnsi="Sylfaen" w:cs="Sylfaen"/>
          <w:lang w:val="ka-GE"/>
        </w:rPr>
        <w:t>" და რომ "კანონი განსაზღვრავს იმ პრინციპებს, რომელიც გამოყენებულ იქნება პარტიის დაფინანსების, წევრების მიღებისა და შენატანების</w:t>
      </w:r>
      <w:r w:rsidR="00643EF8">
        <w:rPr>
          <w:rFonts w:ascii="Sylfaen" w:hAnsi="Sylfaen" w:cs="Sylfaen"/>
          <w:lang w:val="ka-GE"/>
        </w:rPr>
        <w:t xml:space="preserve"> </w:t>
      </w:r>
      <w:r w:rsidRPr="003754AC">
        <w:rPr>
          <w:rFonts w:ascii="Sylfaen" w:hAnsi="Sylfaen" w:cs="Sylfaen"/>
          <w:lang w:val="ka-GE"/>
        </w:rPr>
        <w:t>ირგვლივ".</w:t>
      </w:r>
    </w:p>
    <w:p w:rsidRPr="00AD166E" w:rsidR="00AD166E" w:rsidP="00AD166E" w:rsidRDefault="00AD166E">
      <w:pPr>
        <w:rPr>
          <w:rFonts w:ascii="Sylfaen" w:hAnsi="Sylfaen"/>
          <w:i/>
          <w:lang w:val="ka-GE"/>
        </w:rPr>
      </w:pPr>
      <w:r>
        <w:rPr>
          <w:rFonts w:ascii="Sylfaen" w:hAnsi="Sylfaen" w:cs="Sylfaen"/>
          <w:i/>
          <w:lang w:val="ka-GE"/>
        </w:rPr>
        <w:t>2. კანონი პოლიტიკური პარტიების შესახებ</w:t>
      </w:r>
    </w:p>
    <w:p w:rsidR="00643EF8" w:rsidP="00AD166E" w:rsidRDefault="00AD166E">
      <w:pPr>
        <w:numPr>
          <w:ilvl w:val="0"/>
          <w:numId w:val="1"/>
        </w:numPr>
        <w:ind w:left="360" w:firstLine="0"/>
        <w:rPr>
          <w:rFonts w:ascii="Sylfaen" w:hAnsi="Sylfaen"/>
          <w:lang w:val="ka-GE"/>
        </w:rPr>
      </w:pPr>
      <w:r>
        <w:rPr>
          <w:rFonts w:ascii="Sylfaen" w:hAnsi="Sylfaen"/>
          <w:lang w:val="ka-GE"/>
        </w:rPr>
        <w:t>კანონი პოლიტიკური პარტიების შესახებ N. 2820 დამატებით ნაწილში N.1 მიუთითებს, რომ სახელმწიფო ფინანსურ დახმრებას (მთლიანობაში მისი ბიუჯეტის 2/5000-ედით) უწევს პარლამენტში წარმოდგენილ პოლიტიკურ პარტიებს მათ მიერ დაკავებული ადგილების პროპორციულად. პოლიტიკური პარტიები, რომლებიც არ არიან პარლამენტში წარმოდეგნილი ასევე უფლებამოსილნი არიან მიიღონ დახმარება იმ პირობით</w:t>
      </w:r>
      <w:r w:rsidR="0074563D">
        <w:rPr>
          <w:rFonts w:ascii="Sylfaen" w:hAnsi="Sylfaen"/>
          <w:lang w:val="ka-GE"/>
        </w:rPr>
        <w:t>,</w:t>
      </w:r>
      <w:r>
        <w:rPr>
          <w:rFonts w:ascii="Sylfaen" w:hAnsi="Sylfaen"/>
          <w:lang w:val="ka-GE"/>
        </w:rPr>
        <w:t xml:space="preserve"> რომ წინა არჩევნებში</w:t>
      </w:r>
      <w:r w:rsidR="00A85017">
        <w:rPr>
          <w:rFonts w:ascii="Sylfaen" w:hAnsi="Sylfaen"/>
          <w:lang w:val="ka-GE"/>
        </w:rPr>
        <w:t xml:space="preserve"> მიღებული აქვთ</w:t>
      </w:r>
      <w:r>
        <w:rPr>
          <w:rFonts w:ascii="Sylfaen" w:hAnsi="Sylfaen"/>
          <w:lang w:val="ka-GE"/>
        </w:rPr>
        <w:t xml:space="preserve"> ხმების 7% მაინც. </w:t>
      </w:r>
      <w:r w:rsidR="00A85017">
        <w:rPr>
          <w:rFonts w:ascii="Sylfaen" w:hAnsi="Sylfaen"/>
          <w:lang w:val="ka-GE"/>
        </w:rPr>
        <w:t>პარტიები, რომელთაც პარლამენტში ყავთ მინიმუმ სამი წევრი მაინც, ასევე უფლებამოსილნი არიან დახმარებაზე იმ შემთხვევაშიც კი, თუკი მონაწილეობა არ მიუღიათ ბოლო არჩევნებში.</w:t>
      </w:r>
    </w:p>
    <w:p w:rsidR="00A85017" w:rsidP="00AD166E" w:rsidRDefault="00A85017">
      <w:pPr>
        <w:numPr>
          <w:ilvl w:val="0"/>
          <w:numId w:val="1"/>
        </w:numPr>
        <w:ind w:left="360" w:firstLine="0"/>
        <w:rPr>
          <w:rFonts w:ascii="Sylfaen" w:hAnsi="Sylfaen"/>
          <w:lang w:val="ka-GE"/>
        </w:rPr>
      </w:pPr>
      <w:r>
        <w:rPr>
          <w:rFonts w:ascii="Sylfaen" w:hAnsi="Sylfaen"/>
          <w:lang w:val="ka-GE"/>
        </w:rPr>
        <w:t>პოლიტიკური პარტიების დაფინანსება სამმაგდება საპარლამენტო არჩევნების წელს და ორმაგდება მუნიციპალური არჩევნების ჩატარების წელს.</w:t>
      </w:r>
    </w:p>
    <w:p w:rsidR="00E429F2" w:rsidP="00E429F2" w:rsidRDefault="00E429F2">
      <w:pPr>
        <w:rPr>
          <w:rFonts w:ascii="Sylfaen" w:hAnsi="Sylfaen"/>
          <w:i/>
          <w:lang w:val="ka-GE"/>
        </w:rPr>
      </w:pPr>
    </w:p>
    <w:p w:rsidRPr="00E429F2" w:rsidR="00E429F2" w:rsidP="00E429F2" w:rsidRDefault="00E429F2">
      <w:pPr>
        <w:rPr>
          <w:rFonts w:ascii="Sylfaen" w:hAnsi="Sylfaen"/>
          <w:i/>
          <w:lang w:val="ka-GE"/>
        </w:rPr>
      </w:pPr>
      <w:r>
        <w:rPr>
          <w:rFonts w:ascii="Sylfaen" w:hAnsi="Sylfaen"/>
          <w:i/>
          <w:lang w:val="ka-GE"/>
        </w:rPr>
        <w:t>3. საკონსტიტუციო სასამართლო პრაქტიკა</w:t>
      </w:r>
    </w:p>
    <w:p w:rsidR="00E429F2" w:rsidP="00AD166E" w:rsidRDefault="00E429F2">
      <w:pPr>
        <w:numPr>
          <w:ilvl w:val="0"/>
          <w:numId w:val="1"/>
        </w:numPr>
        <w:ind w:left="360" w:firstLine="0"/>
        <w:rPr>
          <w:rFonts w:ascii="Sylfaen" w:hAnsi="Sylfaen"/>
          <w:lang w:val="ka-GE"/>
        </w:rPr>
      </w:pPr>
      <w:r>
        <w:rPr>
          <w:rFonts w:ascii="Sylfaen" w:hAnsi="Sylfaen"/>
          <w:lang w:val="ka-GE"/>
        </w:rPr>
        <w:t xml:space="preserve">2008 წლის 20 ნოემბრის გადაწყვეტილებით თურქეთის საკოსტიტუციო სასამართლომ არ დააკმაყოფილა ანკარის ადმინისტრაციული სასამართლოს უმრავლესობის მიერ წარმოდგენილი საკონსტიტუციო სარჩელი, რომელიც დავობდა, რომ პოლიტიკური პარტიების მიმართ კანონით დაწესებული 7% ბარიერი დისკრიმინაციული და შესაბამისად არაკონსტიტუციური გახლდათ. </w:t>
      </w:r>
      <w:r w:rsidR="00040F32">
        <w:rPr>
          <w:rFonts w:ascii="Sylfaen" w:hAnsi="Sylfaen"/>
          <w:lang w:val="ka-GE"/>
        </w:rPr>
        <w:t xml:space="preserve">განჩინების გამოტანისას, საკონსტიტუციო სასამართლომ აღნიშნა, რომ პოლიტიკური პარტიების ერთ-ერთი მიზანი გახლდათ ამომრჩევლის მხარდაჭერის მოპოვება რათა მონაწილეობა მიეღო სახელმწიფოს მართვაში და შესაბამისად, ხელი შეეწყო ხალხის მოსაზრების გამოხატვისათვის. </w:t>
      </w:r>
      <w:r w:rsidR="0051715A">
        <w:rPr>
          <w:rFonts w:ascii="Sylfaen" w:hAnsi="Sylfaen"/>
          <w:lang w:val="ka-GE"/>
        </w:rPr>
        <w:t xml:space="preserve">აღნიშნულიდან გამომდინარე, ის პარტიები, რომლებსაც არ ჰქონდათ ამომრჩევლის სათანადო მხარდაჭერა, ვერ მოახერხებდნენ ხალხის მოსაზრების გამოხატვისათვის ხელის შეწყობას იმდენად, რამდენადაც ის პოლიტიკური პარტიები, რომელთაც უფრო მეტი ხალხი უჭერდა მხარს. </w:t>
      </w:r>
      <w:r w:rsidR="0011164D">
        <w:rPr>
          <w:rFonts w:ascii="Sylfaen" w:hAnsi="Sylfaen"/>
          <w:lang w:val="ka-GE"/>
        </w:rPr>
        <w:t>მან უარყო არგუმენტი მასზედ</w:t>
      </w:r>
      <w:r w:rsidR="0074563D">
        <w:rPr>
          <w:rFonts w:ascii="Sylfaen" w:hAnsi="Sylfaen"/>
          <w:lang w:val="ka-GE"/>
        </w:rPr>
        <w:t>,</w:t>
      </w:r>
      <w:r w:rsidR="0011164D">
        <w:rPr>
          <w:rFonts w:ascii="Sylfaen" w:hAnsi="Sylfaen"/>
          <w:lang w:val="ka-GE"/>
        </w:rPr>
        <w:t xml:space="preserve"> რომ პარტიების კონტრიბუციის ხვედრითი წილი დემოკრატიული პოლიტიკური ცხოვრების ჩამოყალიბებაში</w:t>
      </w:r>
      <w:r w:rsidR="00471A57">
        <w:rPr>
          <w:rFonts w:ascii="Sylfaen" w:hAnsi="Sylfaen"/>
          <w:lang w:val="ka-GE"/>
        </w:rPr>
        <w:t>,</w:t>
      </w:r>
      <w:r w:rsidR="0011164D">
        <w:rPr>
          <w:rFonts w:ascii="Sylfaen" w:hAnsi="Sylfaen"/>
          <w:lang w:val="ka-GE"/>
        </w:rPr>
        <w:t xml:space="preserve"> როგორც სახელმწიფო დაფინანსების კრიტერიუმი</w:t>
      </w:r>
      <w:r w:rsidR="00471A57">
        <w:rPr>
          <w:rFonts w:ascii="Sylfaen" w:hAnsi="Sylfaen"/>
          <w:lang w:val="ka-GE"/>
        </w:rPr>
        <w:t>,</w:t>
      </w:r>
      <w:r w:rsidR="0011164D">
        <w:rPr>
          <w:rFonts w:ascii="Sylfaen" w:hAnsi="Sylfaen"/>
          <w:lang w:val="ka-GE"/>
        </w:rPr>
        <w:t xml:space="preserve"> არ იყო ობიექტური, სამართლიანი და პროპორციული.</w:t>
      </w:r>
    </w:p>
    <w:p w:rsidR="00643EF8" w:rsidP="00AD166E" w:rsidRDefault="0011164D">
      <w:pPr>
        <w:numPr>
          <w:ilvl w:val="0"/>
          <w:numId w:val="1"/>
        </w:numPr>
        <w:ind w:left="360" w:firstLine="0"/>
        <w:rPr>
          <w:rFonts w:ascii="Sylfaen" w:hAnsi="Sylfaen"/>
          <w:lang w:val="ka-GE"/>
        </w:rPr>
      </w:pPr>
      <w:r>
        <w:rPr>
          <w:rFonts w:ascii="Sylfaen" w:hAnsi="Sylfaen"/>
          <w:lang w:val="ka-GE"/>
        </w:rPr>
        <w:t>საკონსტიტუციო სასამართლოს მოსამართლეთა უმცირესობამ მიიჩნია, რომ 7% ბარიერი ძალიან მაღალი გახლდათ (რაც 2007 წლის რეფერენდუმისათვის დაახლოებით სამ მილიონ ხმას უდრიდა), რომ იგი უსამართლო უპირატესობას ანიჭებდა იმ პოლიტიკურ პარტიებს, რომლებიც ახერხებდნენ ბარიერის გადალახვას და რომ კრიტერიუმი "ხალხის მოსაზრების გამო</w:t>
      </w:r>
      <w:r w:rsidR="00DF4A1C">
        <w:rPr>
          <w:rFonts w:ascii="Sylfaen" w:hAnsi="Sylfaen"/>
          <w:lang w:val="ka-GE"/>
        </w:rPr>
        <w:t>ხატვისადმი კონტრიბუცია</w:t>
      </w:r>
      <w:r>
        <w:rPr>
          <w:rFonts w:ascii="Sylfaen" w:hAnsi="Sylfaen"/>
          <w:lang w:val="ka-GE"/>
        </w:rPr>
        <w:t>" იყო სუბიექტური და არღვევდა კანონის უზენაესობის პრინციპს.</w:t>
      </w:r>
    </w:p>
    <w:p w:rsidRPr="00DF4A1C" w:rsidR="00DF4A1C" w:rsidP="00DF4A1C" w:rsidRDefault="00DF4A1C">
      <w:pPr>
        <w:rPr>
          <w:rFonts w:ascii="Sylfaen" w:hAnsi="Sylfaen"/>
          <w:i/>
          <w:lang w:val="ka-GE"/>
        </w:rPr>
      </w:pPr>
      <w:r>
        <w:rPr>
          <w:rFonts w:ascii="Sylfaen" w:hAnsi="Sylfaen"/>
          <w:i/>
          <w:lang w:val="ka-GE"/>
        </w:rPr>
        <w:t>4. პოლიტიკური პარტიების პირდაპირი დაფინანსება და წინამდებარე საქმისათვის რელევანტური არჩევნების მოკლე მიმოხილვა</w:t>
      </w:r>
    </w:p>
    <w:p w:rsidR="00DF4A1C" w:rsidP="00AD166E" w:rsidRDefault="00DF4A1C">
      <w:pPr>
        <w:numPr>
          <w:ilvl w:val="0"/>
          <w:numId w:val="1"/>
        </w:numPr>
        <w:ind w:left="360" w:firstLine="0"/>
        <w:rPr>
          <w:rFonts w:ascii="Sylfaen" w:hAnsi="Sylfaen"/>
          <w:lang w:val="ka-GE"/>
        </w:rPr>
      </w:pPr>
      <w:r>
        <w:rPr>
          <w:rFonts w:ascii="Sylfaen" w:hAnsi="Sylfaen"/>
          <w:lang w:val="ka-GE"/>
        </w:rPr>
        <w:t>"ოდპ"-მ მიიღო ხმათა 0.8% 1999 წლის 18 აპრილის საპარლამენტო არჩევნებზე, 0.34% 2002 წლის 3 ნოემბრის არჩევნებზე და 0.15% 2007 წლის არჩევნებზე.</w:t>
      </w:r>
    </w:p>
    <w:p w:rsidR="00643EF8" w:rsidP="00AD166E" w:rsidRDefault="00DF4A1C">
      <w:pPr>
        <w:numPr>
          <w:ilvl w:val="0"/>
          <w:numId w:val="1"/>
        </w:numPr>
        <w:ind w:left="360" w:firstLine="0"/>
        <w:rPr>
          <w:rFonts w:ascii="Sylfaen" w:hAnsi="Sylfaen"/>
          <w:lang w:val="ka-GE"/>
        </w:rPr>
      </w:pPr>
      <w:r>
        <w:rPr>
          <w:rFonts w:ascii="Sylfaen" w:hAnsi="Sylfaen"/>
          <w:lang w:val="ka-GE"/>
        </w:rPr>
        <w:t>იმ პარტიებ</w:t>
      </w:r>
      <w:r w:rsidR="00530AC6">
        <w:rPr>
          <w:rFonts w:ascii="Sylfaen" w:hAnsi="Sylfaen"/>
          <w:lang w:val="ka-GE"/>
        </w:rPr>
        <w:t>ს</w:t>
      </w:r>
      <w:r>
        <w:rPr>
          <w:rFonts w:ascii="Sylfaen" w:hAnsi="Sylfaen"/>
          <w:lang w:val="ka-GE"/>
        </w:rPr>
        <w:t>, რომლებმაც ხსენებულ არჩევნებამდე მიიღეს დაფინანსება</w:t>
      </w:r>
      <w:r w:rsidR="00530AC6">
        <w:rPr>
          <w:rFonts w:ascii="Sylfaen" w:hAnsi="Sylfaen"/>
          <w:lang w:val="ka-GE"/>
        </w:rPr>
        <w:t>,</w:t>
      </w:r>
      <w:r>
        <w:rPr>
          <w:rFonts w:ascii="Sylfaen" w:hAnsi="Sylfaen"/>
          <w:lang w:val="ka-GE"/>
        </w:rPr>
        <w:t xml:space="preserve"> ან ადგილები </w:t>
      </w:r>
      <w:r w:rsidR="00530AC6">
        <w:rPr>
          <w:rFonts w:ascii="Sylfaen" w:hAnsi="Sylfaen"/>
          <w:lang w:val="ka-GE"/>
        </w:rPr>
        <w:t>ჰქონდათ დაკავებული</w:t>
      </w:r>
      <w:r>
        <w:rPr>
          <w:rFonts w:ascii="Sylfaen" w:hAnsi="Sylfaen"/>
          <w:lang w:val="ka-GE"/>
        </w:rPr>
        <w:t xml:space="preserve"> ეროვნულ ა</w:t>
      </w:r>
      <w:r w:rsidR="0074563D">
        <w:rPr>
          <w:rFonts w:ascii="Sylfaen" w:hAnsi="Sylfaen"/>
          <w:lang w:val="ka-GE"/>
        </w:rPr>
        <w:t>ს</w:t>
      </w:r>
      <w:r>
        <w:rPr>
          <w:rFonts w:ascii="Sylfaen" w:hAnsi="Sylfaen"/>
          <w:lang w:val="ka-GE"/>
        </w:rPr>
        <w:t>ამბლეაში წინა საპრლამენტო არჩევნებისას ან მოცემულ არჩევნებში მიიღეს ვალიდურ ხმათა 7%-ზე მეტი.</w:t>
      </w:r>
    </w:p>
    <w:p w:rsidR="00643EF8" w:rsidP="00530AC6" w:rsidRDefault="00530AC6">
      <w:pPr>
        <w:ind w:left="360" w:firstLine="0"/>
        <w:rPr>
          <w:rFonts w:ascii="Sylfaen" w:hAnsi="Sylfaen"/>
          <w:lang w:val="ka-GE"/>
        </w:rPr>
      </w:pPr>
      <w:r>
        <w:rPr>
          <w:rFonts w:ascii="Sylfaen" w:hAnsi="Sylfaen"/>
          <w:lang w:val="ka-GE"/>
        </w:rPr>
        <w:t xml:space="preserve">1999 წლის </w:t>
      </w:r>
      <w:r w:rsidR="009C0024">
        <w:rPr>
          <w:rFonts w:ascii="Sylfaen" w:hAnsi="Sylfaen"/>
          <w:lang w:val="ka-GE"/>
        </w:rPr>
        <w:t xml:space="preserve">საერთო </w:t>
      </w:r>
      <w:r>
        <w:rPr>
          <w:rFonts w:ascii="Sylfaen" w:hAnsi="Sylfaen"/>
          <w:lang w:val="ka-GE"/>
        </w:rPr>
        <w:t>არჩევნებამდე ექვსმა პოლიტიკურმა პარტიამ (მათ შორის ერთი არ იყო წარმოდგენილი პარლამენტში) იმ ოცდაერთიდან, რომლებმაც წამოაყენეს კანდიდატები, მიიღო სახელმწიფო დაფინანსება. 2007 წლის არჩევნებამდე დაფინანსება გაიცა თხუთმეტიდან ხუთ პარტიაზე; ხუთ მათგანს შორის სამი არ იყო წარმოდგენილი პარლამენტში. "ოდპ"-ს არასდროს მიუღია სახელმწიფო დაფინანსება.</w:t>
      </w:r>
    </w:p>
    <w:p w:rsidRPr="00C0293C" w:rsidR="00C0293C" w:rsidP="00530AC6" w:rsidRDefault="00C0293C">
      <w:pPr>
        <w:ind w:left="360" w:firstLine="0"/>
        <w:rPr>
          <w:rFonts w:ascii="Sylfaen" w:hAnsi="Sylfaen"/>
          <w:b/>
          <w:lang w:val="ka-GE"/>
        </w:rPr>
      </w:pPr>
      <w:r w:rsidRPr="00C0293C">
        <w:rPr>
          <w:rFonts w:ascii="Sylfaen" w:hAnsi="Sylfaen"/>
          <w:b/>
          <w:lang w:val="ka-GE"/>
        </w:rPr>
        <w:t>ბ. საერთაშორისო დოკუმენტები</w:t>
      </w:r>
    </w:p>
    <w:p w:rsidR="00530AC6" w:rsidP="00AD166E" w:rsidRDefault="00C0293C">
      <w:pPr>
        <w:numPr>
          <w:ilvl w:val="0"/>
          <w:numId w:val="1"/>
        </w:numPr>
        <w:ind w:left="360" w:firstLine="0"/>
        <w:rPr>
          <w:rFonts w:ascii="Sylfaen" w:hAnsi="Sylfaen"/>
          <w:lang w:val="ka-GE"/>
        </w:rPr>
      </w:pPr>
      <w:r>
        <w:rPr>
          <w:rFonts w:ascii="Sylfaen" w:hAnsi="Sylfaen"/>
          <w:lang w:val="ka-GE"/>
        </w:rPr>
        <w:t>ეუთოსა (</w:t>
      </w:r>
      <w:r w:rsidR="00BD2D6C">
        <w:rPr>
          <w:rFonts w:ascii="Sylfaen" w:hAnsi="Sylfaen"/>
          <w:lang w:val="ka-GE"/>
        </w:rPr>
        <w:t>დემოკრატიული ინსტიტუტებისა და ადამიანის უფლებების ოფისი</w:t>
      </w:r>
      <w:r>
        <w:rPr>
          <w:rFonts w:ascii="Sylfaen" w:hAnsi="Sylfaen"/>
          <w:lang w:val="ka-GE"/>
        </w:rPr>
        <w:t xml:space="preserve">) და ვენეციის კომისიის მიერ შემუშავებული სახელმძღვანელო პრინციპები პოლიტიკური პარტიების რეგულირების შესახებ, მიღებული ვენეციის კომისიის მიერ 84-ე პლენარულ სესიაზე (ვენეცია, 15-16 ოქტომბერი 2010 </w:t>
      </w:r>
      <w:r w:rsidRPr="00C0293C">
        <w:rPr>
          <w:rFonts w:ascii="Sylfaen" w:hAnsi="Sylfaen"/>
          <w:lang w:val="en-GB"/>
        </w:rPr>
        <w:t>CDL-AD(2010)024),</w:t>
      </w:r>
      <w:r>
        <w:rPr>
          <w:rFonts w:ascii="Sylfaen" w:hAnsi="Sylfaen"/>
          <w:lang w:val="ka-GE"/>
        </w:rPr>
        <w:t xml:space="preserve"> აღნიშნავს შემდეგს:</w:t>
      </w:r>
    </w:p>
    <w:p w:rsidRPr="008D405A" w:rsidR="00BD2D6C" w:rsidP="008D405A" w:rsidRDefault="00BD2D6C">
      <w:pPr>
        <w:pStyle w:val="Citation"/>
      </w:pPr>
      <w:r w:rsidRPr="008D405A">
        <w:t>"3. საჯარო დაფინანსება</w:t>
      </w:r>
    </w:p>
    <w:p w:rsidRPr="008D405A" w:rsidR="00BD2D6C" w:rsidP="008D405A" w:rsidRDefault="00BD2D6C">
      <w:pPr>
        <w:pStyle w:val="Citation"/>
      </w:pPr>
      <w:r w:rsidRPr="008D405A">
        <w:t>(ა) საჯარო დაფინანსების მნიშვნელობა</w:t>
      </w:r>
    </w:p>
    <w:p w:rsidRPr="008D405A" w:rsidR="00BD2D6C" w:rsidP="008D405A" w:rsidRDefault="00BD2D6C">
      <w:pPr>
        <w:pStyle w:val="Citation"/>
        <w:rPr>
          <w:b w:val="0"/>
        </w:rPr>
      </w:pPr>
      <w:r w:rsidRPr="008D405A">
        <w:rPr>
          <w:b w:val="0"/>
        </w:rPr>
        <w:t xml:space="preserve">176. საჯარო დაფინანსება და მისი თანმდევი რეგულაციები (მათ შორის ისიც, რომელიც ეხება დანახარჯების ლიმიტებს, ინფორმაციის გაცემასა და მიუკერძოებელ აღსრულებას) შემუშავდა და მიღებულ იქნა მრავალ სახელმწიფოში </w:t>
      </w:r>
      <w:r w:rsidRPr="008D405A" w:rsidR="008D405A">
        <w:rPr>
          <w:b w:val="0"/>
        </w:rPr>
        <w:t>კორუფციის თავიდან</w:t>
      </w:r>
      <w:r w:rsidR="008D405A">
        <w:rPr>
          <w:b w:val="0"/>
        </w:rPr>
        <w:t xml:space="preserve"> აცილების</w:t>
      </w:r>
      <w:r w:rsidR="00643EF8">
        <w:rPr>
          <w:b w:val="0"/>
        </w:rPr>
        <w:t xml:space="preserve"> </w:t>
      </w:r>
      <w:r w:rsidRPr="008D405A">
        <w:rPr>
          <w:b w:val="0"/>
        </w:rPr>
        <w:t>პოტენციურ საშუალება</w:t>
      </w:r>
      <w:r w:rsidR="008D405A">
        <w:rPr>
          <w:b w:val="0"/>
        </w:rPr>
        <w:t>დ</w:t>
      </w:r>
      <w:r w:rsidRPr="008D405A">
        <w:rPr>
          <w:b w:val="0"/>
        </w:rPr>
        <w:t>, პოლიტიკური პარტიების დასახმარებლად</w:t>
      </w:r>
      <w:r w:rsidR="008D405A">
        <w:rPr>
          <w:b w:val="0"/>
        </w:rPr>
        <w:t>,</w:t>
      </w:r>
      <w:r w:rsidRPr="008D405A">
        <w:rPr>
          <w:b w:val="0"/>
        </w:rPr>
        <w:t xml:space="preserve"> რათა მოხდეს იმ მნიშნველოვანი როლის მხარდაჭერა, რომელსაც ისინი ასრულებენ და კერძო დონორებზე არაჯეროვანი დამოკიდებულების მოსახსნელად. დაფინანსების მოცემული სისტემები მიზნად ისახავენ მისცენ ყველა პარტიას საშუალება გასწიო</w:t>
      </w:r>
      <w:r w:rsidR="008D405A">
        <w:rPr>
          <w:b w:val="0"/>
        </w:rPr>
        <w:t>ნ</w:t>
      </w:r>
      <w:r w:rsidRPr="008D405A">
        <w:rPr>
          <w:b w:val="0"/>
        </w:rPr>
        <w:t xml:space="preserve"> კონკურენცია არჩევნებში თანასწორი </w:t>
      </w:r>
      <w:r w:rsidR="008C1142">
        <w:rPr>
          <w:b w:val="0"/>
        </w:rPr>
        <w:t>საშუა</w:t>
      </w:r>
      <w:r w:rsidRPr="008D405A">
        <w:rPr>
          <w:b w:val="0"/>
        </w:rPr>
        <w:t>ლებების პრინციპის საფუძველზე და შესაბამისად გააძლიერო</w:t>
      </w:r>
      <w:r w:rsidR="008D405A">
        <w:rPr>
          <w:b w:val="0"/>
        </w:rPr>
        <w:t>ნ</w:t>
      </w:r>
      <w:r w:rsidRPr="008D405A">
        <w:rPr>
          <w:b w:val="0"/>
        </w:rPr>
        <w:t xml:space="preserve"> პოლიტიკური პლურალიზმი და დაეხმარო</w:t>
      </w:r>
      <w:r w:rsidR="008D405A">
        <w:rPr>
          <w:b w:val="0"/>
        </w:rPr>
        <w:t>ნ</w:t>
      </w:r>
      <w:r w:rsidRPr="008D405A">
        <w:rPr>
          <w:b w:val="0"/>
        </w:rPr>
        <w:t xml:space="preserve"> დემოკრატიულ ინსტიტუტე</w:t>
      </w:r>
      <w:r w:rsidR="008D405A">
        <w:rPr>
          <w:b w:val="0"/>
        </w:rPr>
        <w:t>ბ</w:t>
      </w:r>
      <w:r w:rsidRPr="008D405A">
        <w:rPr>
          <w:b w:val="0"/>
        </w:rPr>
        <w:t>ს ჯეროვან ფუნქციონირებ</w:t>
      </w:r>
      <w:r w:rsidR="008D405A">
        <w:rPr>
          <w:b w:val="0"/>
        </w:rPr>
        <w:t>აშ</w:t>
      </w:r>
      <w:r w:rsidRPr="008D405A">
        <w:rPr>
          <w:b w:val="0"/>
        </w:rPr>
        <w:t>ი. ზოგადად, კანონმდებლობა უნდა ეცადოს შექმნას ბალანსი</w:t>
      </w:r>
      <w:r w:rsidRPr="008D405A" w:rsidR="008D405A">
        <w:rPr>
          <w:b w:val="0"/>
        </w:rPr>
        <w:t xml:space="preserve"> პოლიტიკური პარტიების დაფინანსების წყაროდ</w:t>
      </w:r>
      <w:r w:rsidRPr="008D405A">
        <w:rPr>
          <w:b w:val="0"/>
        </w:rPr>
        <w:t xml:space="preserve"> საჯარო და კერძო კონტრიბუციებს შორის</w:t>
      </w:r>
      <w:r w:rsidRPr="008D405A" w:rsidR="008D405A">
        <w:rPr>
          <w:b w:val="0"/>
        </w:rPr>
        <w:t>. დაუშვებელია საჯარო დაფინანსების გაცემ</w:t>
      </w:r>
      <w:r w:rsidR="008D405A">
        <w:rPr>
          <w:b w:val="0"/>
        </w:rPr>
        <w:t>ით</w:t>
      </w:r>
      <w:r w:rsidRPr="008D405A" w:rsidR="008D405A">
        <w:rPr>
          <w:b w:val="0"/>
        </w:rPr>
        <w:t xml:space="preserve"> </w:t>
      </w:r>
      <w:r w:rsidR="008D405A">
        <w:rPr>
          <w:b w:val="0"/>
        </w:rPr>
        <w:t>შეიზღუდოს</w:t>
      </w:r>
      <w:r w:rsidRPr="008D405A" w:rsidR="008D405A">
        <w:rPr>
          <w:b w:val="0"/>
        </w:rPr>
        <w:t xml:space="preserve"> ან </w:t>
      </w:r>
      <w:r w:rsidR="008D405A">
        <w:rPr>
          <w:b w:val="0"/>
        </w:rPr>
        <w:t>მოხდეს</w:t>
      </w:r>
      <w:r w:rsidRPr="008D405A" w:rsidR="008D405A">
        <w:rPr>
          <w:b w:val="0"/>
        </w:rPr>
        <w:t xml:space="preserve"> პოლიტიკური პარტიის დამოუკიდებლობაში</w:t>
      </w:r>
      <w:r w:rsidR="008D405A">
        <w:rPr>
          <w:b w:val="0"/>
        </w:rPr>
        <w:t xml:space="preserve"> ჩარევა</w:t>
      </w:r>
      <w:r w:rsidRPr="008D405A" w:rsidR="008D405A">
        <w:rPr>
          <w:b w:val="0"/>
        </w:rPr>
        <w:t>.</w:t>
      </w:r>
    </w:p>
    <w:p w:rsidR="008D405A" w:rsidP="008D405A" w:rsidRDefault="008D405A">
      <w:pPr>
        <w:pStyle w:val="Citation"/>
        <w:rPr>
          <w:b w:val="0"/>
        </w:rPr>
      </w:pPr>
      <w:r w:rsidRPr="008D405A">
        <w:rPr>
          <w:b w:val="0"/>
        </w:rPr>
        <w:t xml:space="preserve">177. </w:t>
      </w:r>
      <w:r w:rsidR="008C1142">
        <w:rPr>
          <w:b w:val="0"/>
        </w:rPr>
        <w:t xml:space="preserve">საჯარო დაფინანსების რაოდენობა </w:t>
      </w:r>
      <w:r w:rsidR="00E25780">
        <w:rPr>
          <w:b w:val="0"/>
        </w:rPr>
        <w:t>ფრთხილად</w:t>
      </w:r>
      <w:r w:rsidR="008C1142">
        <w:rPr>
          <w:b w:val="0"/>
        </w:rPr>
        <w:t xml:space="preserve"> უნდა განისაზღვროს</w:t>
      </w:r>
      <w:r w:rsidR="00E25780">
        <w:rPr>
          <w:b w:val="0"/>
        </w:rPr>
        <w:t>,</w:t>
      </w:r>
      <w:r w:rsidR="008C1142">
        <w:rPr>
          <w:b w:val="0"/>
        </w:rPr>
        <w:t xml:space="preserve"> რათა უზრუნველყოფილ იქნას მოცემული დაფინანსების გამოყენებადობა და თან ამასთანავე არ გაუფასურდეს კერძო კონტრიბუციების საჭიროება </w:t>
      </w:r>
      <w:r w:rsidR="00E25780">
        <w:rPr>
          <w:b w:val="0"/>
        </w:rPr>
        <w:t xml:space="preserve">და </w:t>
      </w:r>
      <w:r w:rsidR="008C1142">
        <w:rPr>
          <w:b w:val="0"/>
        </w:rPr>
        <w:t>ინდივიდუალური შემოწირულობების მნიშვნელობა. სხვადასხვა სახელმწიფოებში არსებული არჩევნებისა და კამპანიების განსხვავებული ბუნება შეუძლებელს ხდის განისაზღვროს უნივერსალურად გამოყენებადი დაფინანსების მოცულობა, თუმცა კანონმდებლობამ უნდა განსაზღვროს მექანიზმები, რომლებიც მიზნად დაისახავენ საჯარო დაფინანსების გავლენის პერიოდულად განსაზ</w:t>
      </w:r>
      <w:r w:rsidR="00E25780">
        <w:rPr>
          <w:b w:val="0"/>
        </w:rPr>
        <w:t>ღ</w:t>
      </w:r>
      <w:r w:rsidR="008C1142">
        <w:rPr>
          <w:b w:val="0"/>
        </w:rPr>
        <w:t>ვრას და, საჭიროების შემთხვევაში, შეცვლიან გამოყოფილი დაფინანსების რაოდენობას. ზოგადად, სუბსიდიები უნდა განისაზღვროს გონივრული ოდენობით რათა მიაღწიოს დახმარების გაწევის დასახულ მიზანს, თუმცა ამ</w:t>
      </w:r>
      <w:r w:rsidR="00471A57">
        <w:rPr>
          <w:b w:val="0"/>
        </w:rPr>
        <w:t>ა</w:t>
      </w:r>
      <w:r w:rsidR="008C1142">
        <w:rPr>
          <w:b w:val="0"/>
        </w:rPr>
        <w:t>ვდროულად არ უნდა წარმოადგენდეს შემოსავლის ერთადერთ წყაროს და არ უნდა შექმნას ვითარება, სადაც მიმღები ზედმეტად იქნება დამოკიდებული სახელმწიფო დახმარებაზე.</w:t>
      </w:r>
    </w:p>
    <w:p w:rsidRPr="00E25780" w:rsidR="008C1142" w:rsidP="008D405A" w:rsidRDefault="008C1142">
      <w:pPr>
        <w:pStyle w:val="Citation"/>
      </w:pPr>
      <w:r w:rsidRPr="00E25780">
        <w:t>(ბ) ფინანსური დახმარება</w:t>
      </w:r>
    </w:p>
    <w:p w:rsidR="008C1142" w:rsidP="008D405A" w:rsidRDefault="008C1142">
      <w:pPr>
        <w:pStyle w:val="Citation"/>
        <w:rPr>
          <w:b w:val="0"/>
        </w:rPr>
      </w:pPr>
      <w:r>
        <w:rPr>
          <w:b w:val="0"/>
        </w:rPr>
        <w:t xml:space="preserve">178. კანონმდებლობამ ცალსახად უნდა დაადგინოს პოლიტიკური პარტიებისათვის სახელმწიფოსაგან ფინანსური დახმარების მიღების კანონიერება. საჯარო ფულის პოლიტიკური პარტიებისათვის გამოყოფა ხშირად მიიჩნევა ყველა კანდიდატისათვის თანასწორი შესაძლებლობების მიცემის პრინციპის განუყოფელ </w:t>
      </w:r>
      <w:r w:rsidR="006C3C8C">
        <w:rPr>
          <w:b w:val="0"/>
        </w:rPr>
        <w:t>ნაწ</w:t>
      </w:r>
      <w:r>
        <w:rPr>
          <w:b w:val="0"/>
        </w:rPr>
        <w:t xml:space="preserve">ილად, განსაკუთრებით მაშინ, როდესაც დაფინანსების მექანიზმი მოიცავს </w:t>
      </w:r>
      <w:r w:rsidR="00FB0780">
        <w:rPr>
          <w:b w:val="0"/>
        </w:rPr>
        <w:t>სპეციალურ დე</w:t>
      </w:r>
      <w:r w:rsidR="006A382E">
        <w:rPr>
          <w:b w:val="0"/>
        </w:rPr>
        <w:t>ბ</w:t>
      </w:r>
      <w:r w:rsidR="00FB0780">
        <w:rPr>
          <w:b w:val="0"/>
        </w:rPr>
        <w:t>ულებას ქალე</w:t>
      </w:r>
      <w:r w:rsidR="006A382E">
        <w:rPr>
          <w:b w:val="0"/>
        </w:rPr>
        <w:t>ბ</w:t>
      </w:r>
      <w:r w:rsidR="00FB0780">
        <w:rPr>
          <w:b w:val="0"/>
        </w:rPr>
        <w:t xml:space="preserve">ისა და უმცირესობისათვის. </w:t>
      </w:r>
      <w:r w:rsidR="006C3C8C">
        <w:rPr>
          <w:b w:val="0"/>
        </w:rPr>
        <w:t xml:space="preserve">როდესაც ფინანსური დახმარება გაიცემა პარტიებზე, შესაბამისმა კანონმდებლობამ უნდა </w:t>
      </w:r>
      <w:r w:rsidR="006A382E">
        <w:rPr>
          <w:b w:val="0"/>
        </w:rPr>
        <w:t>განსაზღვროს</w:t>
      </w:r>
      <w:r w:rsidR="006C3C8C">
        <w:rPr>
          <w:b w:val="0"/>
        </w:rPr>
        <w:t xml:space="preserve"> მკაფიო </w:t>
      </w:r>
      <w:r w:rsidR="006A382E">
        <w:rPr>
          <w:b w:val="0"/>
        </w:rPr>
        <w:t>სახელმძღვანელო პრინციპ</w:t>
      </w:r>
      <w:r w:rsidR="00471A57">
        <w:rPr>
          <w:b w:val="0"/>
        </w:rPr>
        <w:t>ე</w:t>
      </w:r>
      <w:r w:rsidR="006A382E">
        <w:rPr>
          <w:b w:val="0"/>
        </w:rPr>
        <w:t>ბი</w:t>
      </w:r>
      <w:r w:rsidR="006C3C8C">
        <w:rPr>
          <w:b w:val="0"/>
        </w:rPr>
        <w:t xml:space="preserve"> მოცემული დაფინანსების რაოდენობის განსასაზღვ</w:t>
      </w:r>
      <w:r w:rsidR="006A382E">
        <w:rPr>
          <w:b w:val="0"/>
        </w:rPr>
        <w:t>რ</w:t>
      </w:r>
      <w:r w:rsidR="006C3C8C">
        <w:rPr>
          <w:b w:val="0"/>
        </w:rPr>
        <w:t>ად, რომელიც მიმღებებზე გაიცემა ობიექტურად და მიუკერძოებლად.</w:t>
      </w:r>
    </w:p>
    <w:p w:rsidRPr="006A382E" w:rsidR="006C3C8C" w:rsidP="008D405A" w:rsidRDefault="006C3C8C">
      <w:pPr>
        <w:pStyle w:val="Citation"/>
      </w:pPr>
      <w:r w:rsidRPr="006A382E">
        <w:t>(გ) საჯარო დახმარების სხვა ფორმები</w:t>
      </w:r>
    </w:p>
    <w:p w:rsidR="006C3C8C" w:rsidP="008D405A" w:rsidRDefault="006C3C8C">
      <w:pPr>
        <w:pStyle w:val="Citation"/>
        <w:rPr>
          <w:b w:val="0"/>
        </w:rPr>
      </w:pPr>
      <w:r>
        <w:rPr>
          <w:b w:val="0"/>
        </w:rPr>
        <w:t>179. პირდაპირ დაფინანსებასთან ერთად, სახელმწიფო უფლებამოსილია შესთავაზოს პარტიებს დახმარება სხვადასხვა ფორმით, მათ შორის პარტიის საქმიანობების გადასახადებისაგან გათავისუფლება, უფასო მედია</w:t>
      </w:r>
      <w:r w:rsidR="00471A57">
        <w:rPr>
          <w:b w:val="0"/>
        </w:rPr>
        <w:t>ზე</w:t>
      </w:r>
      <w:r>
        <w:rPr>
          <w:b w:val="0"/>
        </w:rPr>
        <w:t xml:space="preserve"> დრო</w:t>
      </w:r>
      <w:r w:rsidR="00471A57">
        <w:rPr>
          <w:b w:val="0"/>
        </w:rPr>
        <w:t>ული</w:t>
      </w:r>
      <w:r>
        <w:rPr>
          <w:b w:val="0"/>
        </w:rPr>
        <w:t xml:space="preserve"> წვდომა თუ შეხვედრებისათვის სივრცის უფასო გამოყენება კამპანიის აქტივობებისათვის. ყველა ხსენებულ შემთხვევაში როგორც ფინანსური ისე არამატერიალური დახმარება გაწეულ უნდა იქნას შესაძლებლობათა თანასწორობის საფუძველზე ყველა პარტიისა და კანდიდატისათვის (მათ შორის ქალებისა და უმცირესობებისათვის). მართალია </w:t>
      </w:r>
      <w:r w:rsidRPr="006A43FD">
        <w:rPr>
          <w:b w:val="0"/>
        </w:rPr>
        <w:t>"თანასწორობა"</w:t>
      </w:r>
      <w:r>
        <w:rPr>
          <w:b w:val="0"/>
        </w:rPr>
        <w:t xml:space="preserve"> არ არის აბსოლუტური ხასიათის, სახელმწიფო დახმარების (როგორც ფინანსური ისე არამატერიალური) პროპორციული (ან </w:t>
      </w:r>
      <w:r w:rsidRPr="008261F0">
        <w:rPr>
          <w:b w:val="0"/>
        </w:rPr>
        <w:t>სამართლიანი)</w:t>
      </w:r>
      <w:r>
        <w:rPr>
          <w:b w:val="0"/>
        </w:rPr>
        <w:t xml:space="preserve"> სისტემა უნდა ხასიათდებოდეს ობიექტურობით, იყოს სამართლიანი და გონივრული.</w:t>
      </w:r>
    </w:p>
    <w:p w:rsidR="006C3C8C" w:rsidP="008D405A" w:rsidRDefault="006C3C8C">
      <w:pPr>
        <w:pStyle w:val="Citation"/>
        <w:rPr>
          <w:b w:val="0"/>
        </w:rPr>
      </w:pPr>
      <w:r>
        <w:rPr>
          <w:b w:val="0"/>
        </w:rPr>
        <w:t>...</w:t>
      </w:r>
    </w:p>
    <w:p w:rsidRPr="006C3C8C" w:rsidR="006C3C8C" w:rsidP="008D405A" w:rsidRDefault="006C3C8C">
      <w:pPr>
        <w:pStyle w:val="Citation"/>
      </w:pPr>
      <w:r w:rsidRPr="006C3C8C">
        <w:t>4. დაფინანსების გამოყოფა</w:t>
      </w:r>
    </w:p>
    <w:p w:rsidR="006C3C8C" w:rsidP="008D405A" w:rsidRDefault="006C3C8C">
      <w:pPr>
        <w:pStyle w:val="Citation"/>
        <w:rPr>
          <w:b w:val="0"/>
        </w:rPr>
      </w:pPr>
      <w:r>
        <w:rPr>
          <w:b w:val="0"/>
        </w:rPr>
        <w:t>183. პოლიტიკური პარტიებისათვის საჯარო დახმარების გამოყოფის სისტემა უნდა განისა</w:t>
      </w:r>
      <w:r w:rsidR="00471A57">
        <w:rPr>
          <w:b w:val="0"/>
        </w:rPr>
        <w:t>ზ</w:t>
      </w:r>
      <w:r>
        <w:rPr>
          <w:b w:val="0"/>
        </w:rPr>
        <w:t>ღვრებოდეს შესაბამისი კანონმდებლობით. რიგი სისტემა დაფინანსებას გამოყოფს არჩევნებამდე, წინა არჩევნებში მიღებული შედეგების საფუძველზე ან გასცემს მინიმალური მხარდაჭერის დადასტურების შემთხვევაში. სხვა შემთხვევაში გადახდა წარმოებს არჩევნების შემდეგ, საბოლოო შედეგებზე დაყრდნობით. ზოგადად, წინასაარჩევნო დაფინანსების გაცემა, ან მინიმუმ დაფინანსების ნაწილის გაცემა მაინც, უზრუნველყოფს პარტიები</w:t>
      </w:r>
      <w:r w:rsidR="009C0024">
        <w:rPr>
          <w:b w:val="0"/>
        </w:rPr>
        <w:t>ს</w:t>
      </w:r>
      <w:r>
        <w:rPr>
          <w:b w:val="0"/>
        </w:rPr>
        <w:t xml:space="preserve"> კონკურენცია</w:t>
      </w:r>
      <w:r w:rsidR="00471A57">
        <w:rPr>
          <w:b w:val="0"/>
        </w:rPr>
        <w:t>ს</w:t>
      </w:r>
      <w:r>
        <w:rPr>
          <w:b w:val="0"/>
        </w:rPr>
        <w:t xml:space="preserve"> თანასწორი საშუალებების </w:t>
      </w:r>
      <w:r w:rsidR="006A382E">
        <w:rPr>
          <w:b w:val="0"/>
        </w:rPr>
        <w:t>საფუძველზე.</w:t>
      </w:r>
    </w:p>
    <w:p w:rsidR="006C3C8C" w:rsidP="008D405A" w:rsidRDefault="006C3C8C">
      <w:pPr>
        <w:pStyle w:val="Citation"/>
        <w:rPr>
          <w:b w:val="0"/>
        </w:rPr>
      </w:pPr>
      <w:r>
        <w:rPr>
          <w:b w:val="0"/>
        </w:rPr>
        <w:t>...</w:t>
      </w:r>
    </w:p>
    <w:p w:rsidR="006C3C8C" w:rsidP="008D405A" w:rsidRDefault="006C3C8C">
      <w:pPr>
        <w:pStyle w:val="Citation"/>
        <w:rPr>
          <w:b w:val="0"/>
        </w:rPr>
      </w:pPr>
      <w:r>
        <w:rPr>
          <w:b w:val="0"/>
        </w:rPr>
        <w:t>185. დაფინანსების გამოყოფა შე</w:t>
      </w:r>
      <w:r w:rsidR="006A382E">
        <w:rPr>
          <w:b w:val="0"/>
        </w:rPr>
        <w:t>ს</w:t>
      </w:r>
      <w:r>
        <w:rPr>
          <w:b w:val="0"/>
        </w:rPr>
        <w:t xml:space="preserve">აძლოა იყოს ან სრულად თანასწორი ("აბსოლუტური თანასწორობა") ან პარტიის მიერ არჩევნებში მიღებული შედეგების </w:t>
      </w:r>
      <w:r w:rsidR="000C66F3">
        <w:rPr>
          <w:b w:val="0"/>
        </w:rPr>
        <w:t xml:space="preserve">ან მხარდაჭერის მაჩვენებლის პროპორციული </w:t>
      </w:r>
      <w:r w:rsidRPr="008261F0" w:rsidR="000C66F3">
        <w:rPr>
          <w:b w:val="0"/>
        </w:rPr>
        <w:t>("</w:t>
      </w:r>
      <w:r w:rsidRPr="008261F0" w:rsidR="006A43FD">
        <w:rPr>
          <w:b w:val="0"/>
        </w:rPr>
        <w:t>სამართლიანი</w:t>
      </w:r>
      <w:r w:rsidRPr="008261F0" w:rsidR="000C66F3">
        <w:rPr>
          <w:b w:val="0"/>
        </w:rPr>
        <w:t>"). ზ</w:t>
      </w:r>
      <w:r w:rsidR="000C66F3">
        <w:rPr>
          <w:b w:val="0"/>
        </w:rPr>
        <w:t xml:space="preserve">ოგადად არ არსებობს საჯარო დაფინანსების გაცემის განსასაზღვრი უნივერსალურად გაწერილი სისტემა. საჯარო დაფინანსების მარეგულირებელი კანონმდებლობა, რომელიც უპირატესობას ანიჭებს დაფინანსების გაცემას აბსოლუტური თანასწორობისა და </w:t>
      </w:r>
      <w:r w:rsidRPr="008261F0" w:rsidR="006A43FD">
        <w:rPr>
          <w:b w:val="0"/>
        </w:rPr>
        <w:t>სამართლიანი</w:t>
      </w:r>
      <w:r w:rsidRPr="008261F0" w:rsidR="000C66F3">
        <w:rPr>
          <w:b w:val="0"/>
        </w:rPr>
        <w:t xml:space="preserve"> მ</w:t>
      </w:r>
      <w:r w:rsidR="000C66F3">
        <w:rPr>
          <w:b w:val="0"/>
        </w:rPr>
        <w:t>იდგომების კომბინაციით</w:t>
      </w:r>
      <w:r w:rsidR="00860F91">
        <w:rPr>
          <w:b w:val="0"/>
        </w:rPr>
        <w:t>,</w:t>
      </w:r>
      <w:r w:rsidR="000C66F3">
        <w:rPr>
          <w:b w:val="0"/>
        </w:rPr>
        <w:t xml:space="preserve"> შესაძლოა გახლდეთ ყველაზე ეფექტიანი პოლიტიკური პლურალიზმისა და თანასწორი საშუალებების </w:t>
      </w:r>
      <w:r w:rsidR="006A382E">
        <w:rPr>
          <w:b w:val="0"/>
        </w:rPr>
        <w:t>მისაღწევად.</w:t>
      </w:r>
      <w:r w:rsidR="000C66F3">
        <w:rPr>
          <w:b w:val="0"/>
        </w:rPr>
        <w:t xml:space="preserve"> იქ, სადაც დაფინანსებისათვის სავალდებულოა მხარდაჭერის მინიმალური ზღვარის დაკმაყოფილება, არაგონივრულად მაღალი ზღვარის დადგენა შესაძლოა ზიანს აყენებდეს პოლიტიკურ პლურალიზმსა და ზღუდავდეს პატარა პოლიტიკური პარტიების შესაძლებლობებს. პოლიტიკური პლურალიზმის ინტერესებში გახლავთ საჯარო დაფინანსების დაქვემდებარება საჯარო მხარდაჭერის იმაზე დაბალ ზღვარზე, ვიდრე დაწესებულია საპარლამენტო მანდატების მისაღებად დადგენილი ბარიერის შემთხვევაში.</w:t>
      </w:r>
    </w:p>
    <w:p w:rsidR="000C66F3" w:rsidP="008D405A" w:rsidRDefault="000C66F3">
      <w:pPr>
        <w:pStyle w:val="Citation"/>
        <w:rPr>
          <w:b w:val="0"/>
        </w:rPr>
      </w:pPr>
      <w:r>
        <w:rPr>
          <w:b w:val="0"/>
        </w:rPr>
        <w:t>...</w:t>
      </w:r>
    </w:p>
    <w:p w:rsidR="00643EF8" w:rsidP="008D405A" w:rsidRDefault="000C66F3">
      <w:pPr>
        <w:pStyle w:val="Citation"/>
        <w:rPr>
          <w:b w:val="0"/>
        </w:rPr>
      </w:pPr>
      <w:r>
        <w:rPr>
          <w:b w:val="0"/>
        </w:rPr>
        <w:t>187. კანონმდებლობამ უნდა უზრუნველყოს, რომ საჯარო დაფინანსების გაცემის ფორმულა არ ანიჭებ</w:t>
      </w:r>
      <w:r w:rsidR="006A382E">
        <w:rPr>
          <w:b w:val="0"/>
        </w:rPr>
        <w:t>დე</w:t>
      </w:r>
      <w:r>
        <w:rPr>
          <w:b w:val="0"/>
        </w:rPr>
        <w:t>ს ერთ პოლიტიკურ პარტიას მონოპოლიას ან დაფინანსების არაპროპორციულ ოდენობას. დაფინანსების გამოყოფის ფორმულა ამასთანავე უნდა ახდენდეს ორი ყველაზე დიდი პოლიტიკური პარტიის მიერ საჯარო დაფინანსების მიღების მონოპოლიზების პრევენციას.</w:t>
      </w:r>
    </w:p>
    <w:p w:rsidR="00C30A93" w:rsidP="008D405A" w:rsidRDefault="00C30A93">
      <w:pPr>
        <w:pStyle w:val="Citation"/>
        <w:rPr>
          <w:b w:val="0"/>
        </w:rPr>
      </w:pPr>
      <w:r>
        <w:t>5. საჯარო დაფინანსების მისაღებად დადგენილი მოთხოვნები</w:t>
      </w:r>
    </w:p>
    <w:p w:rsidR="00643EF8" w:rsidP="008D405A" w:rsidRDefault="00C30A93">
      <w:pPr>
        <w:pStyle w:val="Citation"/>
        <w:rPr>
          <w:b w:val="0"/>
        </w:rPr>
      </w:pPr>
      <w:r>
        <w:rPr>
          <w:b w:val="0"/>
        </w:rPr>
        <w:t>188. პარლამენტში წარმოდგენილმა ყველა პარტიამ უნდა მიიღოს საჯარო დაფინანსების გარკვეული რაოდენობა მაინც. თუმცა, პოლიტიკური პლურალიზმის ხელშესაწყობად, გარკვეული დაფინანსება უნდა სცდებოდეს პარლამენტში წარმოდგენილ პარტიებს</w:t>
      </w:r>
      <w:r w:rsidR="006A382E">
        <w:rPr>
          <w:b w:val="0"/>
        </w:rPr>
        <w:t>აც</w:t>
      </w:r>
      <w:r>
        <w:rPr>
          <w:b w:val="0"/>
        </w:rPr>
        <w:t xml:space="preserve"> და მოიცავდეს იმ პარტიებსაც, რომლები</w:t>
      </w:r>
      <w:r w:rsidR="00860F91">
        <w:rPr>
          <w:b w:val="0"/>
        </w:rPr>
        <w:t>ც</w:t>
      </w:r>
      <w:r>
        <w:rPr>
          <w:b w:val="0"/>
        </w:rPr>
        <w:t xml:space="preserve"> აყენებენ კანდიდატებს საარჩევნოდ და სარგებლობენ მოქალაქეთა მხარდაჭერის </w:t>
      </w:r>
      <w:r w:rsidR="00B64EB6">
        <w:rPr>
          <w:b w:val="0"/>
        </w:rPr>
        <w:t>მინიმალური ზღვარით მაინც. მოცემული მიდგომა განსაკუთრებით მნიშვნელობას იძენს ახალი პარტიების შემთხვევაში, რადგან მათაც უნდა მიეცეთ სამართლიანი საშუალება შეეჯიბრონ არსებულ პარტიებს.</w:t>
      </w:r>
    </w:p>
    <w:p w:rsidR="00B64EB6" w:rsidP="008D405A" w:rsidRDefault="00B64EB6">
      <w:pPr>
        <w:pStyle w:val="Citation"/>
        <w:rPr>
          <w:b w:val="0"/>
        </w:rPr>
      </w:pPr>
      <w:r>
        <w:rPr>
          <w:b w:val="0"/>
        </w:rPr>
        <w:t>...</w:t>
      </w:r>
    </w:p>
    <w:p w:rsidR="00B64EB6" w:rsidP="008D405A" w:rsidRDefault="00B64EB6">
      <w:pPr>
        <w:pStyle w:val="Citation"/>
        <w:rPr>
          <w:b w:val="0"/>
        </w:rPr>
      </w:pPr>
      <w:r>
        <w:rPr>
          <w:b w:val="0"/>
        </w:rPr>
        <w:t>190. საჯარო დაფინანსებამ, პოლიტიკური პარტიებისათვის დამატებითი რესურსების მიწოდების გზით, შესაძლოა გაზარდოს პოლიტიკური პლურალიზმის დონე.</w:t>
      </w:r>
      <w:r w:rsidR="00643EF8">
        <w:rPr>
          <w:b w:val="0"/>
        </w:rPr>
        <w:t xml:space="preserve"> </w:t>
      </w:r>
      <w:r>
        <w:rPr>
          <w:b w:val="0"/>
        </w:rPr>
        <w:t>გონივრულია კანონმდებლის მიერ პარტიისადმი დადგენილ იქნას მოთხოვნა, რომ ეს უკანასკნელი სარგებლობდეს ამომჩევლის მხარდაჭერის მინიმალური ზღვარით მაინც მანამდე</w:t>
      </w:r>
      <w:r w:rsidR="00860F91">
        <w:rPr>
          <w:b w:val="0"/>
        </w:rPr>
        <w:t>,</w:t>
      </w:r>
      <w:r>
        <w:rPr>
          <w:b w:val="0"/>
        </w:rPr>
        <w:t xml:space="preserve"> სანამ მიიღებს დაფინანსებას. თუმცა, იმის გამო, რომ</w:t>
      </w:r>
      <w:r w:rsidR="00643EF8">
        <w:rPr>
          <w:b w:val="0"/>
        </w:rPr>
        <w:t xml:space="preserve"> </w:t>
      </w:r>
      <w:r>
        <w:rPr>
          <w:b w:val="0"/>
        </w:rPr>
        <w:t>საჯარო დაფინანსებაზე უარის გაცხადებამ შესაძლოა გამოიწვიოს პლურალიზმისა და პოლიტიკური ალტერნატივის შემცირება, სასურველია განისაზღვროს ნათელი სახელმძღვანელო პრინციპები თუ რა შემთხვევაში შეიქნებიან პოლიტიკური პარტიები დაფინანსების მიღებაზე უფლებამოსილნი და ამასთანავე საჯარო დაფინანსება ხელმისაწვდომი შეიქნას პარლამენტში მყოფ პარტიებს მიღმაც. სასურველია განხილულ იქნას უფლებამოსილების განსასაზღვრი ფართო სისტემა, რათა ამომრჩეველთათვის უზრუნველყოფილ იქნას რეალური არჩევანისათვის აუცილებელი პოლიტიკური ალტერნატივები."</w:t>
      </w:r>
    </w:p>
    <w:p w:rsidR="006A382E" w:rsidP="008D405A" w:rsidRDefault="006A382E">
      <w:pPr>
        <w:pStyle w:val="Citation"/>
        <w:rPr>
          <w:b w:val="0"/>
          <w:lang w:val="fr-FR"/>
        </w:rPr>
      </w:pPr>
    </w:p>
    <w:p w:rsidRPr="00EB24D7" w:rsidR="00EB24D7" w:rsidP="008D405A" w:rsidRDefault="00EB24D7">
      <w:pPr>
        <w:pStyle w:val="Citation"/>
        <w:rPr>
          <w:b w:val="0"/>
          <w:lang w:val="fr-FR"/>
        </w:rPr>
      </w:pPr>
    </w:p>
    <w:p w:rsidRPr="006A382E" w:rsidR="006A382E" w:rsidP="00DD1257" w:rsidRDefault="006A382E">
      <w:pPr>
        <w:pStyle w:val="Citation"/>
        <w:ind w:left="270"/>
        <w:rPr>
          <w:b w:val="0"/>
          <w:sz w:val="28"/>
        </w:rPr>
      </w:pPr>
      <w:r w:rsidRPr="006A382E">
        <w:rPr>
          <w:b w:val="0"/>
          <w:sz w:val="28"/>
        </w:rPr>
        <w:t>სამართალი</w:t>
      </w:r>
    </w:p>
    <w:p w:rsidRPr="00DD1257" w:rsidR="006A382E" w:rsidP="006A382E" w:rsidRDefault="006A382E">
      <w:pPr>
        <w:pStyle w:val="Citation"/>
        <w:ind w:left="270"/>
        <w:rPr>
          <w:b w:val="0"/>
          <w:sz w:val="24"/>
        </w:rPr>
      </w:pPr>
      <w:r w:rsidRPr="00DD1257">
        <w:rPr>
          <w:b w:val="0"/>
          <w:sz w:val="24"/>
          <w:lang w:val="en-US"/>
        </w:rPr>
        <w:t xml:space="preserve">I. </w:t>
      </w:r>
      <w:r w:rsidRPr="00DD1257">
        <w:rPr>
          <w:rFonts w:cs="Sylfaen"/>
          <w:b w:val="0"/>
          <w:sz w:val="24"/>
        </w:rPr>
        <w:t>მისაღებობა</w:t>
      </w:r>
    </w:p>
    <w:p w:rsidR="00643EF8" w:rsidP="006A382E" w:rsidRDefault="006A382E">
      <w:pPr>
        <w:numPr>
          <w:ilvl w:val="0"/>
          <w:numId w:val="1"/>
        </w:numPr>
        <w:rPr>
          <w:rFonts w:ascii="Sylfaen" w:hAnsi="Sylfaen"/>
          <w:lang w:val="ka-GE"/>
        </w:rPr>
      </w:pPr>
      <w:r>
        <w:rPr>
          <w:rFonts w:ascii="Sylfaen" w:hAnsi="Sylfaen"/>
          <w:lang w:val="ka-GE"/>
        </w:rPr>
        <w:t>სასამართლო აღნიშნავს, რომ</w:t>
      </w:r>
      <w:r w:rsidR="00643EF8">
        <w:rPr>
          <w:rFonts w:ascii="Sylfaen" w:hAnsi="Sylfaen"/>
        </w:rPr>
        <w:t xml:space="preserve"> </w:t>
      </w:r>
      <w:r>
        <w:rPr>
          <w:rFonts w:ascii="Sylfaen" w:hAnsi="Sylfaen"/>
          <w:lang w:val="ka-GE"/>
        </w:rPr>
        <w:t xml:space="preserve">საჩივარი არ არის აშკარად დაუსაბუთებელი კონვენციის </w:t>
      </w:r>
      <w:r w:rsidRPr="006A382E">
        <w:rPr>
          <w:rFonts w:ascii="Sylfaen" w:hAnsi="Sylfaen"/>
          <w:lang w:val="ka-GE"/>
        </w:rPr>
        <w:t>35 § 3 (</w:t>
      </w:r>
      <w:r>
        <w:rPr>
          <w:rFonts w:ascii="Sylfaen" w:hAnsi="Sylfaen"/>
          <w:lang w:val="ka-GE"/>
        </w:rPr>
        <w:t>ა</w:t>
      </w:r>
      <w:r w:rsidRPr="006A382E">
        <w:rPr>
          <w:rFonts w:ascii="Sylfaen" w:hAnsi="Sylfaen"/>
          <w:lang w:val="ka-GE"/>
        </w:rPr>
        <w:t>)</w:t>
      </w:r>
      <w:r>
        <w:rPr>
          <w:rFonts w:ascii="Sylfaen" w:hAnsi="Sylfaen"/>
          <w:lang w:val="ka-GE"/>
        </w:rPr>
        <w:t xml:space="preserve"> მუხლის მიხედვით და რომ არ არის დაუშვებელი სხვა მიზეზის გამო. შესაბამისად, იგი მას მისაღებად აცხადებს.</w:t>
      </w:r>
    </w:p>
    <w:p w:rsidR="00DD1257" w:rsidP="00DD1257" w:rsidRDefault="00DD1257">
      <w:pPr>
        <w:rPr>
          <w:rFonts w:ascii="Sylfaen" w:hAnsi="Sylfaen"/>
          <w:sz w:val="24"/>
          <w:lang w:val="ka-GE"/>
        </w:rPr>
      </w:pPr>
    </w:p>
    <w:p w:rsidRPr="00DD1257" w:rsidR="00DD1257" w:rsidP="00DD1257" w:rsidRDefault="00DD1257">
      <w:pPr>
        <w:rPr>
          <w:rFonts w:ascii="Sylfaen" w:hAnsi="Sylfaen"/>
          <w:sz w:val="24"/>
          <w:lang w:val="ka-GE"/>
        </w:rPr>
      </w:pPr>
      <w:r w:rsidRPr="00DD1257">
        <w:rPr>
          <w:rFonts w:ascii="Sylfaen" w:hAnsi="Sylfaen"/>
          <w:sz w:val="24"/>
        </w:rPr>
        <w:t>II.</w:t>
      </w:r>
      <w:r w:rsidRPr="00DD1257">
        <w:rPr>
          <w:rFonts w:ascii="Sylfaen" w:hAnsi="Sylfaen"/>
          <w:sz w:val="24"/>
          <w:lang w:val="ka-GE"/>
        </w:rPr>
        <w:t xml:space="preserve"> კონვენციის მე-14 მუხლის სავარაუდო დარღვევა N.1 ოქმი მე-3 მუხლთან ერთობლიობაში</w:t>
      </w:r>
    </w:p>
    <w:p w:rsidR="00DD1257" w:rsidP="006A382E" w:rsidRDefault="00DD1257">
      <w:pPr>
        <w:numPr>
          <w:ilvl w:val="0"/>
          <w:numId w:val="1"/>
        </w:numPr>
        <w:rPr>
          <w:rFonts w:ascii="Sylfaen" w:hAnsi="Sylfaen"/>
          <w:lang w:val="ka-GE"/>
        </w:rPr>
      </w:pPr>
      <w:r>
        <w:rPr>
          <w:rFonts w:ascii="Sylfaen" w:hAnsi="Sylfaen"/>
          <w:lang w:val="ka-GE"/>
        </w:rPr>
        <w:t xml:space="preserve">კონვენციის მე-9, მე-10, მე-11 და მე-14 მუხლებზე დაყრდნობით მომჩივანი პარტია აცხადებდა, რომ სხვა პარტიებზე გაცემული ფინანსური დახმარების მისთვის მიცემაზე უარით, იმის გამო, რომ წინა საპარლამენტო არჩევნებში პარტიამ მოიპოვა ხმათა 7%-ზე ნაკლები, სახელმწიფომ მის წინააღმდეგ განახორციელა დისკრიმინაცია </w:t>
      </w:r>
      <w:r w:rsidR="00F67CA0">
        <w:rPr>
          <w:rFonts w:ascii="Sylfaen" w:hAnsi="Sylfaen"/>
          <w:lang w:val="ka-GE"/>
        </w:rPr>
        <w:t>ჩააყენა</w:t>
      </w:r>
      <w:r>
        <w:rPr>
          <w:rFonts w:ascii="Sylfaen" w:hAnsi="Sylfaen"/>
          <w:lang w:val="ka-GE"/>
        </w:rPr>
        <w:t xml:space="preserve"> რა იგი </w:t>
      </w:r>
      <w:r w:rsidR="006A43FD">
        <w:rPr>
          <w:rFonts w:ascii="Sylfaen" w:hAnsi="Sylfaen"/>
          <w:lang w:val="ka-GE"/>
        </w:rPr>
        <w:t>არახელსაყრელ</w:t>
      </w:r>
      <w:r>
        <w:rPr>
          <w:rFonts w:ascii="Sylfaen" w:hAnsi="Sylfaen"/>
          <w:lang w:val="ka-GE"/>
        </w:rPr>
        <w:t xml:space="preserve"> ვითარებაში 1999 წლის, 2002 წლისა და 2007 წლის საარჩევნო კამპანიებისას. მომჩივანი ასევე მიუთითებდა, რომ მოცემული ქმედებით სახელმწიფომ დაარღვია ხალხის მიერ მოსაზრების თავისუფალი გამოხატვის უფლება კანონმდებლის არჩევის პროცესში.</w:t>
      </w:r>
    </w:p>
    <w:p w:rsidR="00DD1257" w:rsidP="006A382E" w:rsidRDefault="00DD1257">
      <w:pPr>
        <w:numPr>
          <w:ilvl w:val="0"/>
          <w:numId w:val="1"/>
        </w:numPr>
        <w:rPr>
          <w:rFonts w:ascii="Sylfaen" w:hAnsi="Sylfaen"/>
          <w:lang w:val="ka-GE"/>
        </w:rPr>
      </w:pPr>
      <w:r>
        <w:rPr>
          <w:rFonts w:ascii="Sylfaen" w:hAnsi="Sylfaen"/>
          <w:lang w:val="ka-GE"/>
        </w:rPr>
        <w:t>სასამართლო საქმის განხილვას დაიწყებს კონვენციის მე-14 მუხლით, N.1 ოქმის მე-3 მუხლთან ერთობლიობაში.</w:t>
      </w:r>
    </w:p>
    <w:p w:rsidR="00DD1257" w:rsidP="00DD1257" w:rsidRDefault="00DD1257">
      <w:pPr>
        <w:rPr>
          <w:rFonts w:ascii="Sylfaen" w:hAnsi="Sylfaen"/>
          <w:lang w:val="ka-GE"/>
        </w:rPr>
      </w:pPr>
      <w:r>
        <w:rPr>
          <w:rFonts w:ascii="Sylfaen" w:hAnsi="Sylfaen"/>
          <w:lang w:val="ka-GE"/>
        </w:rPr>
        <w:tab/>
        <w:t>კონვენციის მე-14 მუხლი აღნიშნავს შემდეგს:</w:t>
      </w:r>
    </w:p>
    <w:p w:rsidRPr="00DD1257" w:rsidR="00DD1257" w:rsidP="00416AAD" w:rsidRDefault="00DD1257">
      <w:pPr>
        <w:ind w:right="360"/>
        <w:rPr>
          <w:rFonts w:ascii="Sylfaen" w:hAnsi="Sylfaen"/>
          <w:sz w:val="20"/>
          <w:lang w:val="ka-GE"/>
        </w:rPr>
      </w:pPr>
      <w:r>
        <w:rPr>
          <w:rFonts w:ascii="AcadNusx" w:hAnsi="AcadNusx"/>
        </w:rPr>
        <w:tab/>
      </w:r>
      <w:r w:rsidRPr="00DD1257">
        <w:rPr>
          <w:rFonts w:ascii="AcadNusx" w:hAnsi="AcadNusx"/>
          <w:sz w:val="20"/>
          <w:lang w:val="ka-GE"/>
        </w:rPr>
        <w:t>"</w:t>
      </w:r>
      <w:r w:rsidRPr="00DD1257">
        <w:rPr>
          <w:rFonts w:ascii="Sylfaen" w:hAnsi="Sylfaen"/>
          <w:sz w:val="20"/>
          <w:lang w:val="ka-GE"/>
        </w:rPr>
        <w:t>ამ კონვენციით გაცხადებული უფლებებითა და თავისუფლებებით სარგებლობა უზრუნველყოფილია ყოველვარი დისკრიმინაციის გარეშე, სქესის, რასის, კანის ფერის, ენის, რელიგიის, პოლიტიკური თ</w:t>
      </w:r>
      <w:r w:rsidR="00F67CA0">
        <w:rPr>
          <w:rFonts w:ascii="Sylfaen" w:hAnsi="Sylfaen"/>
          <w:sz w:val="20"/>
          <w:lang w:val="ka-GE"/>
        </w:rPr>
        <w:t>უ</w:t>
      </w:r>
      <w:r w:rsidRPr="00DD1257">
        <w:rPr>
          <w:rFonts w:ascii="Sylfaen" w:hAnsi="Sylfaen"/>
          <w:sz w:val="20"/>
          <w:lang w:val="ka-GE"/>
        </w:rPr>
        <w:t xml:space="preserve"> სხვა შეხედულებების, ეროვნული თუ სოციალური წარმოშობის, ეროვნული უმცირესობებისადმი კუთვნილების, ქონებრივი მდგომარეობის, დაბადების თუ სხვა ნიშნის განურჩევლად."</w:t>
      </w:r>
    </w:p>
    <w:p w:rsidR="00DD1257" w:rsidP="00DD1257" w:rsidRDefault="00DD1257">
      <w:pPr>
        <w:rPr>
          <w:rFonts w:ascii="Sylfaen" w:hAnsi="Sylfaen"/>
          <w:lang w:val="ka-GE"/>
        </w:rPr>
      </w:pPr>
      <w:r>
        <w:rPr>
          <w:rFonts w:ascii="Sylfaen" w:hAnsi="Sylfaen"/>
          <w:lang w:val="ka-GE"/>
        </w:rPr>
        <w:t>კონვენციის N.1 ოქმის მე-3 მუხლის მიხედვით:</w:t>
      </w:r>
    </w:p>
    <w:p w:rsidR="00DD1257" w:rsidP="00416AAD" w:rsidRDefault="00DD1257">
      <w:pPr>
        <w:ind w:right="360" w:firstLine="0"/>
        <w:rPr>
          <w:rFonts w:ascii="Sylfaen" w:hAnsi="Sylfaen"/>
          <w:sz w:val="20"/>
          <w:lang w:val="ka-GE"/>
        </w:rPr>
      </w:pPr>
      <w:r w:rsidRPr="00416AAD">
        <w:rPr>
          <w:rFonts w:ascii="Sylfaen" w:hAnsi="Sylfaen"/>
          <w:sz w:val="20"/>
          <w:lang w:val="ka-GE"/>
        </w:rPr>
        <w:t>"მაღალი ხელშემკვრელი მხარეები კისრულობე</w:t>
      </w:r>
      <w:r w:rsidRPr="00416AAD" w:rsidR="00416AAD">
        <w:rPr>
          <w:rFonts w:ascii="Sylfaen" w:hAnsi="Sylfaen"/>
          <w:sz w:val="20"/>
          <w:lang w:val="ka-GE"/>
        </w:rPr>
        <w:t>ნ ვალდებულებას</w:t>
      </w:r>
      <w:r w:rsidRPr="00416AAD">
        <w:rPr>
          <w:rFonts w:ascii="Sylfaen" w:hAnsi="Sylfaen"/>
          <w:sz w:val="20"/>
          <w:lang w:val="ka-GE"/>
        </w:rPr>
        <w:t xml:space="preserve">, გონივრული </w:t>
      </w:r>
      <w:r w:rsidRPr="00416AAD" w:rsidR="00416AAD">
        <w:rPr>
          <w:rFonts w:ascii="Sylfaen" w:hAnsi="Sylfaen"/>
          <w:sz w:val="20"/>
          <w:lang w:val="ka-GE"/>
        </w:rPr>
        <w:t>ინტერვალით</w:t>
      </w:r>
      <w:r w:rsidRPr="00416AAD">
        <w:rPr>
          <w:rFonts w:ascii="Sylfaen" w:hAnsi="Sylfaen"/>
          <w:sz w:val="20"/>
          <w:lang w:val="ka-GE"/>
        </w:rPr>
        <w:t xml:space="preserve"> ჩაატარონ თავისუფალი არჩევნები ფარული კენჭსყრით ისეთ პირობებშ</w:t>
      </w:r>
      <w:r w:rsidRPr="00416AAD" w:rsidR="00416AAD">
        <w:rPr>
          <w:rFonts w:ascii="Sylfaen" w:hAnsi="Sylfaen"/>
          <w:sz w:val="20"/>
          <w:lang w:val="ka-GE"/>
        </w:rPr>
        <w:t>ი</w:t>
      </w:r>
      <w:r w:rsidRPr="00416AAD">
        <w:rPr>
          <w:rFonts w:ascii="Sylfaen" w:hAnsi="Sylfaen"/>
          <w:sz w:val="20"/>
          <w:lang w:val="ka-GE"/>
        </w:rPr>
        <w:t xml:space="preserve">, რომლებიც საკანონმდებლო ორგანოს არჩევისას უზრუნველყოფს </w:t>
      </w:r>
      <w:r w:rsidRPr="00416AAD" w:rsidR="00416AAD">
        <w:rPr>
          <w:rFonts w:ascii="Sylfaen" w:hAnsi="Sylfaen"/>
          <w:sz w:val="20"/>
          <w:lang w:val="ka-GE"/>
        </w:rPr>
        <w:t>ხ</w:t>
      </w:r>
      <w:r w:rsidRPr="00416AAD">
        <w:rPr>
          <w:rFonts w:ascii="Sylfaen" w:hAnsi="Sylfaen"/>
          <w:sz w:val="20"/>
          <w:lang w:val="ka-GE"/>
        </w:rPr>
        <w:t>ალხის ნება-სურვილის თავისუფალ გამოხატვას."</w:t>
      </w:r>
    </w:p>
    <w:p w:rsidRPr="00416AAD" w:rsidR="00416AAD" w:rsidP="00416AAD" w:rsidRDefault="00416AAD">
      <w:pPr>
        <w:ind w:left="540" w:right="360" w:firstLine="0"/>
        <w:rPr>
          <w:rFonts w:ascii="Sylfaen" w:hAnsi="Sylfaen"/>
          <w:b/>
          <w:lang w:val="ka-GE"/>
        </w:rPr>
      </w:pPr>
      <w:r w:rsidRPr="00416AAD">
        <w:rPr>
          <w:rFonts w:ascii="Sylfaen" w:hAnsi="Sylfaen"/>
          <w:b/>
          <w:lang w:val="ka-GE"/>
        </w:rPr>
        <w:t>ა. მხარეთა არგუმენტები</w:t>
      </w:r>
    </w:p>
    <w:p w:rsidR="00DD1257" w:rsidP="006A382E" w:rsidRDefault="00416AAD">
      <w:pPr>
        <w:numPr>
          <w:ilvl w:val="0"/>
          <w:numId w:val="1"/>
        </w:numPr>
        <w:rPr>
          <w:rFonts w:ascii="Sylfaen" w:hAnsi="Sylfaen"/>
          <w:lang w:val="ka-GE"/>
        </w:rPr>
      </w:pPr>
      <w:r w:rsidRPr="00416AAD">
        <w:rPr>
          <w:rFonts w:ascii="Sylfaen" w:hAnsi="Sylfaen"/>
          <w:lang w:val="ka-GE"/>
        </w:rPr>
        <w:t>მომჩივანი</w:t>
      </w:r>
      <w:r>
        <w:rPr>
          <w:rFonts w:ascii="Sylfaen" w:hAnsi="Sylfaen"/>
          <w:lang w:val="ka-GE"/>
        </w:rPr>
        <w:t xml:space="preserve"> აცხადებდა, რომ გასაჩივრებული უარი</w:t>
      </w:r>
      <w:r w:rsidR="00F67CA0">
        <w:rPr>
          <w:rFonts w:ascii="Sylfaen" w:hAnsi="Sylfaen"/>
          <w:lang w:val="ka-GE"/>
        </w:rPr>
        <w:t xml:space="preserve"> -</w:t>
      </w:r>
      <w:r>
        <w:rPr>
          <w:rFonts w:ascii="Sylfaen" w:hAnsi="Sylfaen"/>
          <w:lang w:val="ka-GE"/>
        </w:rPr>
        <w:t xml:space="preserve"> მიეღო საჯარო დაფინანსება</w:t>
      </w:r>
      <w:r w:rsidR="00F67CA0">
        <w:rPr>
          <w:rFonts w:ascii="Sylfaen" w:hAnsi="Sylfaen"/>
          <w:lang w:val="ka-GE"/>
        </w:rPr>
        <w:t xml:space="preserve"> -</w:t>
      </w:r>
      <w:r>
        <w:rPr>
          <w:rFonts w:ascii="Sylfaen" w:hAnsi="Sylfaen"/>
          <w:lang w:val="ka-GE"/>
        </w:rPr>
        <w:t xml:space="preserve"> იყო უთანასწორობის გამომწვევი საპარლამეტო არჩევნებში მონაწილე სხვადასხვა პოლიტიკურ პარტიებს შორის, გაზარდა რა იმ პარტიების წარმატების შანსები რომლებიც უკვე გახლდნენ პარლამენტში წარმოდგენილები ან რომელთაც მოპოვებული ჰქონდათ ხმათა 7%-ზე მეტი წინა არჩევნებისას. მომჩივნის აზრით, ხსენებულ პარტიებს ჰქონდათ წვდომა დაფინანსების მნიშვნელოვან წყაროზე რამაც მათ მიანიჭა უსამართლო უპირატესობა (რითაც დაირღვა დისკრიმინაციის ამკრძალავი საკონსტიტუციო და სახელშეკრულებო დებულებანი) იმ ახალ პარტიებთან მიმართებაში, რომლებიც იღებდნენ არჩევნებში მონაწილეობას, განსაკუთრებით მაშინ</w:t>
      </w:r>
      <w:r w:rsidR="00F67CA0">
        <w:rPr>
          <w:rFonts w:ascii="Sylfaen" w:hAnsi="Sylfaen"/>
          <w:lang w:val="ka-GE"/>
        </w:rPr>
        <w:t>,</w:t>
      </w:r>
      <w:r>
        <w:rPr>
          <w:rFonts w:ascii="Sylfaen" w:hAnsi="Sylfaen"/>
          <w:lang w:val="ka-GE"/>
        </w:rPr>
        <w:t xml:space="preserve"> როდესაც საქმე ეხება მათი მოსაზრებების გავრცელებას - რადგან დაფინანსება ზრდიდა მათ უნარს ჰქონოდათ მასმედიაზე წვდომა- და სხვადასხვა შეხვედრებისა და სოციალურ-კულტურული აქტივობების ორგანიზებას ეროვნული მასშტაბით.</w:t>
      </w:r>
    </w:p>
    <w:p w:rsidR="00643EF8" w:rsidP="006A382E" w:rsidRDefault="00416AAD">
      <w:pPr>
        <w:numPr>
          <w:ilvl w:val="0"/>
          <w:numId w:val="1"/>
        </w:numPr>
        <w:rPr>
          <w:rFonts w:ascii="Sylfaen" w:hAnsi="Sylfaen"/>
          <w:lang w:val="ka-GE"/>
        </w:rPr>
      </w:pPr>
      <w:r>
        <w:rPr>
          <w:rFonts w:ascii="Sylfaen" w:hAnsi="Sylfaen"/>
          <w:lang w:val="ka-GE"/>
        </w:rPr>
        <w:t>მთავრობა არ ეთანხმებოდა მომჩივნის არგუმენტს. მათ ხაზი გაუსვეს, რომ საჯარო დაფინანსების გაცემისას პოლიტიკურ პარტიებს შორის გაკეთებული არჩევანი ეფუძნებოდა წინა არჩევნებში მიღებულ შედეგებს (</w:t>
      </w:r>
      <w:r w:rsidR="00F67CA0">
        <w:rPr>
          <w:rFonts w:ascii="Sylfaen" w:hAnsi="Sylfaen"/>
          <w:lang w:val="ka-GE"/>
        </w:rPr>
        <w:t>ან</w:t>
      </w:r>
      <w:r>
        <w:rPr>
          <w:rFonts w:ascii="Sylfaen" w:hAnsi="Sylfaen"/>
          <w:lang w:val="ka-GE"/>
        </w:rPr>
        <w:t xml:space="preserve">უ რამდენი ხმა მიიღეს ან რამდენი ადგილი დაიკავეს პარლამენტში არჩევნების შედეგად). სხვაგვარად რომ ვთქვათ, განსხვავება ეფუძნებოდა ლეგიტიმურ და ობიექტურ საფუძვლებს. სახელმწიფო დაფინანსებაზე უარი შესაძლოა მიჩნეულ იქნას დისკრიმინაციულად თუკი იგი გამოწვეულია პარტიის პოლიტიკური ხედვით, რაც არ გახლავთ მოცემული შემთხვევის ამსახველი. ამასთანავე, სახელმწიფოს გააჩნია შეფასების ფართო ზღვარი იმ მინიმალური კრიტერიუმების დადგენისას, რომელიც ეხება </w:t>
      </w:r>
      <w:r w:rsidR="002244F6">
        <w:rPr>
          <w:rFonts w:ascii="Sylfaen" w:hAnsi="Sylfaen"/>
          <w:lang w:val="ka-GE"/>
        </w:rPr>
        <w:t xml:space="preserve">პოლიტიკურ პარტიებს სახელმწიფო დაფინანსების მისაღებად, იმ </w:t>
      </w:r>
      <w:r w:rsidR="00026BE3">
        <w:rPr>
          <w:rFonts w:ascii="Sylfaen" w:hAnsi="Sylfaen"/>
          <w:lang w:val="ka-GE"/>
        </w:rPr>
        <w:t>დათქმით,</w:t>
      </w:r>
      <w:r w:rsidR="002244F6">
        <w:rPr>
          <w:rFonts w:ascii="Sylfaen" w:hAnsi="Sylfaen"/>
          <w:lang w:val="ka-GE"/>
        </w:rPr>
        <w:t xml:space="preserve"> რომ პარტიის უფლება მიიღოს მონაწილეობა პოლიტიკურ ცხოვრებაში არ </w:t>
      </w:r>
      <w:r w:rsidR="00026BE3">
        <w:rPr>
          <w:rFonts w:ascii="Sylfaen" w:hAnsi="Sylfaen"/>
          <w:lang w:val="ka-GE"/>
        </w:rPr>
        <w:t>ირღვევა.</w:t>
      </w:r>
    </w:p>
    <w:p w:rsidRPr="00026BE3" w:rsidR="00026BE3" w:rsidP="00026BE3" w:rsidRDefault="00026BE3">
      <w:pPr>
        <w:rPr>
          <w:rFonts w:ascii="Sylfaen" w:hAnsi="Sylfaen"/>
          <w:b/>
          <w:lang w:val="ka-GE"/>
        </w:rPr>
      </w:pPr>
      <w:r w:rsidRPr="00026BE3">
        <w:rPr>
          <w:rFonts w:ascii="Sylfaen" w:hAnsi="Sylfaen"/>
          <w:b/>
          <w:lang w:val="ka-GE"/>
        </w:rPr>
        <w:t>ბ. სასამართლოს მიერ გამოყენებული კრიტერიუმები კონვენციის მე-14 მუხლის N.1 ოქმის მე-3 მუხლთან ერთობლიობაში განხილვისას</w:t>
      </w:r>
    </w:p>
    <w:p w:rsidRPr="00416AAD" w:rsidR="00416AAD" w:rsidP="006A382E" w:rsidRDefault="002244F6">
      <w:pPr>
        <w:numPr>
          <w:ilvl w:val="0"/>
          <w:numId w:val="1"/>
        </w:numPr>
        <w:rPr>
          <w:rFonts w:ascii="Sylfaen" w:hAnsi="Sylfaen"/>
          <w:lang w:val="ka-GE"/>
        </w:rPr>
      </w:pPr>
      <w:r>
        <w:rPr>
          <w:rFonts w:ascii="Sylfaen" w:hAnsi="Sylfaen"/>
          <w:lang w:val="ka-GE"/>
        </w:rPr>
        <w:t xml:space="preserve"> </w:t>
      </w:r>
      <w:r w:rsidR="00026BE3">
        <w:rPr>
          <w:rFonts w:ascii="Sylfaen" w:hAnsi="Sylfaen"/>
          <w:lang w:val="ka-GE"/>
        </w:rPr>
        <w:t>სასამართლო იმეორებს, რომ დისკრიმინაცია აღნიშნავს მსგავს ვითარებაში მყოფ პირთა მიმართ განსხვავებულ მოპყრობას ობიექტური და გონივრული გამამართლებელი საფუძვლის გარეშე. "ობიექტური და გონივრული გამამართლებელი საფუძველი" ნიშნვს</w:t>
      </w:r>
      <w:r w:rsidR="00F67CA0">
        <w:rPr>
          <w:rFonts w:ascii="Sylfaen" w:hAnsi="Sylfaen"/>
          <w:lang w:val="ka-GE"/>
        </w:rPr>
        <w:t>,</w:t>
      </w:r>
      <w:r w:rsidR="00026BE3">
        <w:rPr>
          <w:rFonts w:ascii="Sylfaen" w:hAnsi="Sylfaen"/>
          <w:lang w:val="ka-GE"/>
        </w:rPr>
        <w:t xml:space="preserve"> რომ მოცემულ ვითარებაში არსებული განსხვავება არ ისახავს "ლეგიტიმურ მიზანს" ან</w:t>
      </w:r>
      <w:r w:rsidR="00F67CA0">
        <w:rPr>
          <w:rFonts w:ascii="Sylfaen" w:hAnsi="Sylfaen"/>
          <w:lang w:val="ka-GE"/>
        </w:rPr>
        <w:t>,</w:t>
      </w:r>
      <w:r w:rsidR="00026BE3">
        <w:rPr>
          <w:rFonts w:ascii="Sylfaen" w:hAnsi="Sylfaen"/>
          <w:lang w:val="ka-GE"/>
        </w:rPr>
        <w:t xml:space="preserve"> რომ არ არსებობს "გონივრულად პროპორციული კავშირი გამოყენებულ საშუალებებსა და მისაღწევ მიზანს შორის" (იხ. სხვა მრავალს შორის </w:t>
      </w:r>
      <w:r w:rsidRPr="00026BE3" w:rsidR="00026BE3">
        <w:rPr>
          <w:rFonts w:ascii="Sylfaen" w:hAnsi="Sylfaen"/>
          <w:i/>
          <w:lang w:val="ka-GE"/>
        </w:rPr>
        <w:t xml:space="preserve">Sejdić and Finci v. Bosnia and Herzegovina </w:t>
      </w:r>
      <w:r w:rsidRPr="00026BE3" w:rsidR="00026BE3">
        <w:rPr>
          <w:rFonts w:ascii="Sylfaen" w:hAnsi="Sylfaen"/>
          <w:lang w:val="ka-GE"/>
        </w:rPr>
        <w:t xml:space="preserve">[GC], nos. 27996/06 </w:t>
      </w:r>
      <w:r w:rsidR="00026BE3">
        <w:rPr>
          <w:rFonts w:ascii="Sylfaen" w:hAnsi="Sylfaen"/>
          <w:lang w:val="ka-GE"/>
        </w:rPr>
        <w:t>და</w:t>
      </w:r>
      <w:r w:rsidRPr="00026BE3" w:rsidR="00026BE3">
        <w:rPr>
          <w:rFonts w:ascii="Sylfaen" w:hAnsi="Sylfaen"/>
          <w:lang w:val="ka-GE"/>
        </w:rPr>
        <w:t xml:space="preserve"> 34836/06, § 42, ECHR 2009</w:t>
      </w:r>
      <w:r w:rsidR="00026BE3">
        <w:rPr>
          <w:rFonts w:ascii="Sylfaen" w:hAnsi="Sylfaen"/>
          <w:lang w:val="ka-GE"/>
        </w:rPr>
        <w:t>). ხელშემკვრელი მხარის შეფასების ზღვარი ამ სფეროში განსხვავდება გარემოებების,</w:t>
      </w:r>
      <w:r w:rsidR="00906891">
        <w:rPr>
          <w:rFonts w:ascii="Sylfaen" w:hAnsi="Sylfaen"/>
          <w:lang w:val="ka-GE"/>
        </w:rPr>
        <w:t xml:space="preserve"> დავის საგანსა</w:t>
      </w:r>
      <w:r w:rsidR="00643EF8">
        <w:rPr>
          <w:rFonts w:ascii="Sylfaen" w:hAnsi="Sylfaen"/>
          <w:lang w:val="ka-GE"/>
        </w:rPr>
        <w:t xml:space="preserve"> </w:t>
      </w:r>
      <w:r w:rsidR="00026BE3">
        <w:rPr>
          <w:rFonts w:ascii="Sylfaen" w:hAnsi="Sylfaen"/>
          <w:lang w:val="ka-GE"/>
        </w:rPr>
        <w:t xml:space="preserve">და ფონური ვითრების მიხედვით (იხ. </w:t>
      </w:r>
      <w:r w:rsidRPr="00026BE3" w:rsidR="00026BE3">
        <w:rPr>
          <w:rFonts w:ascii="Sylfaen" w:hAnsi="Sylfaen"/>
          <w:i/>
          <w:lang w:val="pt-BR"/>
        </w:rPr>
        <w:t>Andrejeva v. Latvia</w:t>
      </w:r>
      <w:r w:rsidRPr="00026BE3" w:rsidR="00026BE3">
        <w:rPr>
          <w:rFonts w:ascii="Sylfaen" w:hAnsi="Sylfaen"/>
          <w:lang w:val="pt-BR"/>
        </w:rPr>
        <w:t xml:space="preserve"> [GC]</w:t>
      </w:r>
      <w:smartTag w:uri="urn:schemas-microsoft-com:office:smarttags" w:element="PersonName">
        <w:r w:rsidR="00026BE3" w:rsidRPr="00026BE3">
          <w:rPr>
            <w:rFonts w:ascii="Sylfaen" w:hAnsi="Sylfaen"/>
            <w:lang w:val="pt-BR"/>
          </w:rPr>
          <w:t>,</w:t>
        </w:r>
      </w:smartTag>
      <w:r w:rsidRPr="00026BE3" w:rsidR="00026BE3">
        <w:rPr>
          <w:rFonts w:ascii="Sylfaen" w:hAnsi="Sylfaen"/>
          <w:lang w:val="pt-BR"/>
        </w:rPr>
        <w:t xml:space="preserve"> no. 55707/00, </w:t>
      </w:r>
      <w:r w:rsidRPr="00026BE3" w:rsidR="00026BE3">
        <w:rPr>
          <w:rFonts w:ascii="Sylfaen" w:hAnsi="Sylfaen"/>
          <w:lang w:val="ka-GE"/>
        </w:rPr>
        <w:t>§ 82</w:t>
      </w:r>
      <w:smartTag w:uri="urn:schemas-microsoft-com:office:smarttags" w:element="PersonName">
        <w:r w:rsidR="00026BE3" w:rsidRPr="00026BE3">
          <w:rPr>
            <w:rFonts w:ascii="Sylfaen" w:hAnsi="Sylfaen"/>
            <w:lang w:val="ka-GE"/>
          </w:rPr>
          <w:t>,</w:t>
        </w:r>
      </w:smartTag>
      <w:r w:rsidRPr="00026BE3" w:rsidR="00026BE3">
        <w:rPr>
          <w:rFonts w:ascii="Sylfaen" w:hAnsi="Sylfaen"/>
          <w:lang w:val="ka-GE"/>
        </w:rPr>
        <w:t xml:space="preserve"> ECHR 2009</w:t>
      </w:r>
      <w:r w:rsidR="00026BE3">
        <w:rPr>
          <w:rFonts w:ascii="Sylfaen" w:hAnsi="Sylfaen"/>
          <w:lang w:val="ka-GE"/>
        </w:rPr>
        <w:t>).</w:t>
      </w:r>
    </w:p>
    <w:p w:rsidR="00026BE3" w:rsidRDefault="00026BE3">
      <w:pPr>
        <w:numPr>
          <w:ilvl w:val="0"/>
          <w:numId w:val="1"/>
        </w:numPr>
        <w:rPr>
          <w:rFonts w:ascii="Sylfaen" w:hAnsi="Sylfaen"/>
          <w:lang w:val="ka-GE"/>
        </w:rPr>
      </w:pPr>
      <w:r>
        <w:rPr>
          <w:rFonts w:ascii="Sylfaen" w:hAnsi="Sylfaen"/>
          <w:lang w:val="ka-GE"/>
        </w:rPr>
        <w:t>სასამართლო ასევე აღნიშნავს, რომ N.1 ოქმის მე-3 მუხლი ასახავს ეფექტიანი პოლიტიკური დემოკრატიის მახასიათებელ პრინციპს და შესაბამისად უდიდესი მნიშვნელობის მქონეა კონვენციის სისტემაში (იხ.</w:t>
      </w:r>
      <w:r w:rsidRPr="00026BE3">
        <w:rPr>
          <w:rFonts w:ascii="Sylfaen" w:hAnsi="Sylfaen"/>
          <w:i/>
          <w:iCs/>
          <w:lang w:val="ka-GE"/>
        </w:rPr>
        <w:t>Mathieu</w:t>
      </w:r>
      <w:r w:rsidRPr="00026BE3">
        <w:rPr>
          <w:rFonts w:ascii="Sylfaen" w:hAnsi="Sylfaen"/>
          <w:i/>
          <w:iCs/>
          <w:lang w:val="ka-GE"/>
        </w:rPr>
        <w:noBreakHyphen/>
        <w:t>Mohin and Clerfayt v. Belgium</w:t>
      </w:r>
      <w:r w:rsidRPr="00026BE3">
        <w:rPr>
          <w:rFonts w:ascii="Sylfaen" w:hAnsi="Sylfaen"/>
          <w:lang w:val="ka-GE"/>
        </w:rPr>
        <w:t>,</w:t>
      </w:r>
      <w:r w:rsidRPr="00026BE3">
        <w:rPr>
          <w:rFonts w:ascii="Sylfaen" w:hAnsi="Sylfaen"/>
          <w:i/>
          <w:iCs/>
          <w:lang w:val="ka-GE"/>
        </w:rPr>
        <w:t xml:space="preserve"> </w:t>
      </w:r>
      <w:r w:rsidRPr="00026BE3">
        <w:rPr>
          <w:rFonts w:ascii="Sylfaen" w:hAnsi="Sylfaen"/>
          <w:lang w:val="ka-GE"/>
        </w:rPr>
        <w:t>2 </w:t>
      </w:r>
      <w:r>
        <w:rPr>
          <w:rFonts w:ascii="Sylfaen" w:hAnsi="Sylfaen"/>
          <w:lang w:val="ka-GE"/>
        </w:rPr>
        <w:t>მარტი</w:t>
      </w:r>
      <w:r w:rsidRPr="00026BE3">
        <w:rPr>
          <w:rFonts w:ascii="Sylfaen" w:hAnsi="Sylfaen"/>
          <w:lang w:val="ka-GE"/>
        </w:rPr>
        <w:t xml:space="preserve"> 1987</w:t>
      </w:r>
      <w:smartTag w:uri="urn:schemas-microsoft-com:office:smarttags" w:element="PersonName">
        <w:r w:rsidRPr="00026BE3">
          <w:rPr>
            <w:rFonts w:ascii="Sylfaen" w:hAnsi="Sylfaen"/>
            <w:lang w:val="ka-GE"/>
          </w:rPr>
          <w:t>,</w:t>
        </w:r>
      </w:smartTag>
      <w:r w:rsidRPr="00026BE3">
        <w:rPr>
          <w:rFonts w:ascii="Sylfaen" w:hAnsi="Sylfaen"/>
          <w:lang w:val="ka-GE"/>
        </w:rPr>
        <w:t xml:space="preserve"> § 47</w:t>
      </w:r>
      <w:smartTag w:uri="urn:schemas-microsoft-com:office:smarttags" w:element="PersonName">
        <w:r w:rsidRPr="00026BE3">
          <w:rPr>
            <w:rFonts w:ascii="Sylfaen" w:hAnsi="Sylfaen"/>
            <w:lang w:val="ka-GE"/>
          </w:rPr>
          <w:t>,</w:t>
        </w:r>
      </w:smartTag>
      <w:r w:rsidRPr="00026BE3">
        <w:rPr>
          <w:rFonts w:ascii="Sylfaen" w:hAnsi="Sylfaen"/>
          <w:lang w:val="ka-GE"/>
        </w:rPr>
        <w:t xml:space="preserve"> Series A no. 113</w:t>
      </w:r>
      <w:r>
        <w:rPr>
          <w:rFonts w:ascii="Sylfaen" w:hAnsi="Sylfaen"/>
          <w:lang w:val="ka-GE"/>
        </w:rPr>
        <w:t xml:space="preserve">). სახელმწიფოს, როგორც პლურალიზმის </w:t>
      </w:r>
      <w:r w:rsidRPr="006A43FD">
        <w:rPr>
          <w:rFonts w:ascii="Sylfaen" w:hAnsi="Sylfaen"/>
          <w:lang w:val="ka-GE"/>
        </w:rPr>
        <w:t>უზენაესი</w:t>
      </w:r>
      <w:r>
        <w:rPr>
          <w:rFonts w:ascii="Sylfaen" w:hAnsi="Sylfaen"/>
          <w:lang w:val="ka-GE"/>
        </w:rPr>
        <w:t xml:space="preserve"> გარანტის როლი, მოიცას პოზიტიური ზომების მიღებას რათა მოახდინოს დემოკრტიული არჩევნების "ორგანიზება" "ისეთ პირობებში, რომელიც უზრუნველყოფს კანონმდებლის არჩევისას ხალხის ნების თავისუფლად გამოხატვას" (იხ.</w:t>
      </w:r>
      <w:r w:rsidRPr="00026BE3">
        <w:rPr>
          <w:rFonts w:ascii="Sylfaen" w:hAnsi="Sylfaen"/>
          <w:i/>
          <w:lang w:val="ka-GE"/>
        </w:rPr>
        <w:t>Mathieu-Mohin and Clerfayt</w:t>
      </w:r>
      <w:r w:rsidRPr="00026BE3">
        <w:rPr>
          <w:rFonts w:ascii="Sylfaen" w:hAnsi="Sylfaen"/>
          <w:lang w:val="ka-GE"/>
        </w:rPr>
        <w:t xml:space="preserve">, </w:t>
      </w:r>
      <w:r>
        <w:rPr>
          <w:rFonts w:ascii="Sylfaen" w:hAnsi="Sylfaen"/>
          <w:lang w:val="ka-GE"/>
        </w:rPr>
        <w:t>ციტირებული ზემოთ</w:t>
      </w:r>
      <w:r w:rsidRPr="00026BE3">
        <w:rPr>
          <w:rFonts w:ascii="Sylfaen" w:hAnsi="Sylfaen"/>
          <w:lang w:val="ka-GE"/>
        </w:rPr>
        <w:t>, § 54</w:t>
      </w:r>
      <w:r>
        <w:rPr>
          <w:rFonts w:ascii="Sylfaen" w:hAnsi="Sylfaen"/>
          <w:lang w:val="ka-GE"/>
        </w:rPr>
        <w:t>).</w:t>
      </w:r>
    </w:p>
    <w:p w:rsidR="00643EF8" w:rsidRDefault="005E4057">
      <w:pPr>
        <w:numPr>
          <w:ilvl w:val="0"/>
          <w:numId w:val="1"/>
        </w:numPr>
        <w:rPr>
          <w:rFonts w:ascii="Sylfaen" w:hAnsi="Sylfaen"/>
          <w:lang w:val="ka-GE"/>
        </w:rPr>
      </w:pPr>
      <w:r>
        <w:rPr>
          <w:rFonts w:ascii="Sylfaen" w:hAnsi="Sylfaen"/>
          <w:lang w:val="ka-GE"/>
        </w:rPr>
        <w:t>თავისუფალი არჩევნები და გამოხატვის თავისუფლება, ისევე როგორც პოლიტიკური დებატების თავისუფლება, წარმოადგენს ნებისმიერი დემოკრატიის საფუძველს (იხ.</w:t>
      </w:r>
      <w:r w:rsidRPr="005E4057">
        <w:rPr>
          <w:rFonts w:ascii="Sylfaen" w:hAnsi="Sylfaen"/>
          <w:i/>
          <w:lang w:val="ka-GE"/>
        </w:rPr>
        <w:t>Mathieu-Mohin and Clerfayt</w:t>
      </w:r>
      <w:r w:rsidRPr="005E4057">
        <w:rPr>
          <w:rFonts w:ascii="Sylfaen" w:hAnsi="Sylfaen"/>
          <w:lang w:val="ka-GE"/>
        </w:rPr>
        <w:t xml:space="preserve">, </w:t>
      </w:r>
      <w:r>
        <w:rPr>
          <w:rFonts w:ascii="Sylfaen" w:hAnsi="Sylfaen"/>
          <w:lang w:val="ka-GE"/>
        </w:rPr>
        <w:t>ციტირებული ზემოთ</w:t>
      </w:r>
      <w:r w:rsidRPr="005E4057">
        <w:rPr>
          <w:rFonts w:ascii="Sylfaen" w:hAnsi="Sylfaen"/>
          <w:lang w:val="ka-GE"/>
        </w:rPr>
        <w:t xml:space="preserve">, § 47, </w:t>
      </w:r>
      <w:r>
        <w:rPr>
          <w:rFonts w:ascii="Sylfaen" w:hAnsi="Sylfaen"/>
          <w:lang w:val="ka-GE"/>
        </w:rPr>
        <w:t>და</w:t>
      </w:r>
      <w:r w:rsidRPr="005E4057">
        <w:rPr>
          <w:rFonts w:ascii="Sylfaen" w:hAnsi="Sylfaen"/>
          <w:lang w:val="ka-GE"/>
        </w:rPr>
        <w:t xml:space="preserve"> </w:t>
      </w:r>
      <w:r w:rsidRPr="005E4057">
        <w:rPr>
          <w:rFonts w:ascii="Sylfaen" w:hAnsi="Sylfaen"/>
          <w:i/>
          <w:lang w:val="ka-GE"/>
        </w:rPr>
        <w:t>Lingens v. Austria</w:t>
      </w:r>
      <w:r w:rsidRPr="005E4057">
        <w:rPr>
          <w:rFonts w:ascii="Sylfaen" w:hAnsi="Sylfaen"/>
          <w:lang w:val="ka-GE"/>
        </w:rPr>
        <w:t>, 8 </w:t>
      </w:r>
      <w:r>
        <w:rPr>
          <w:rFonts w:ascii="Sylfaen" w:hAnsi="Sylfaen"/>
          <w:lang w:val="ka-GE"/>
        </w:rPr>
        <w:t>ივლისი</w:t>
      </w:r>
      <w:r w:rsidRPr="005E4057">
        <w:rPr>
          <w:rFonts w:ascii="Sylfaen" w:hAnsi="Sylfaen"/>
          <w:lang w:val="ka-GE"/>
        </w:rPr>
        <w:t xml:space="preserve"> 1986, §§ 41 </w:t>
      </w:r>
      <w:r>
        <w:rPr>
          <w:rFonts w:ascii="Sylfaen" w:hAnsi="Sylfaen"/>
          <w:lang w:val="ka-GE"/>
        </w:rPr>
        <w:t>და</w:t>
      </w:r>
      <w:r w:rsidRPr="005E4057">
        <w:rPr>
          <w:rFonts w:ascii="Sylfaen" w:hAnsi="Sylfaen"/>
          <w:lang w:val="ka-GE"/>
        </w:rPr>
        <w:t xml:space="preserve"> 42, Series A no. 103</w:t>
      </w:r>
      <w:r>
        <w:rPr>
          <w:rFonts w:ascii="Sylfaen" w:hAnsi="Sylfaen"/>
          <w:lang w:val="ka-GE"/>
        </w:rPr>
        <w:t>). "კანონმდებლის არჩევისას ხალხის მიერ მოსაზრების თავისუფლად გამოხატვა" წარმოადგენს საკითხს</w:t>
      </w:r>
      <w:r w:rsidR="00906891">
        <w:rPr>
          <w:rFonts w:ascii="Sylfaen" w:hAnsi="Sylfaen"/>
          <w:lang w:val="ka-GE"/>
        </w:rPr>
        <w:t>,</w:t>
      </w:r>
      <w:r>
        <w:rPr>
          <w:rFonts w:ascii="Sylfaen" w:hAnsi="Sylfaen"/>
          <w:lang w:val="ka-GE"/>
        </w:rPr>
        <w:t xml:space="preserve"> რომელ</w:t>
      </w:r>
      <w:r w:rsidR="00906891">
        <w:rPr>
          <w:rFonts w:ascii="Sylfaen" w:hAnsi="Sylfaen"/>
          <w:lang w:val="ka-GE"/>
        </w:rPr>
        <w:t>თ</w:t>
      </w:r>
      <w:r w:rsidR="00457BA8">
        <w:rPr>
          <w:rFonts w:ascii="Sylfaen" w:hAnsi="Sylfaen"/>
          <w:lang w:val="ka-GE"/>
        </w:rPr>
        <w:t>ანა</w:t>
      </w:r>
      <w:r>
        <w:rPr>
          <w:rFonts w:ascii="Sylfaen" w:hAnsi="Sylfaen"/>
          <w:lang w:val="ka-GE"/>
        </w:rPr>
        <w:t>ც კავშირი აქვს კონვენციის მე-11 მუხლსაც, რომელიც ახდენს გაერთიანების თავისუფლების გარანტირებას და შესაბამისად, არაპირდაპირ ეხება პოლიტიკურ პარტიათა თავისუფლებას, რომელიც თავისთავად წარმოადგენს დემოკრატიის ჯეროვანი ფუნქციონირებისათვის უმნიშვნელოვანეს</w:t>
      </w:r>
      <w:r w:rsidR="00457BA8">
        <w:rPr>
          <w:rFonts w:ascii="Sylfaen" w:hAnsi="Sylfaen"/>
          <w:lang w:val="ka-GE"/>
        </w:rPr>
        <w:t>ი</w:t>
      </w:r>
      <w:r>
        <w:rPr>
          <w:rFonts w:ascii="Sylfaen" w:hAnsi="Sylfaen"/>
          <w:lang w:val="ka-GE"/>
        </w:rPr>
        <w:t xml:space="preserve"> გაერთიანების ერთ-ერთ ფორმას. </w:t>
      </w:r>
      <w:r w:rsidR="00457BA8">
        <w:rPr>
          <w:rFonts w:ascii="Sylfaen" w:hAnsi="Sylfaen"/>
          <w:lang w:val="ka-GE"/>
        </w:rPr>
        <w:t>ხალხის მიერ მოსაზრების გამოხატვა წარმოუდგენელია იმ პოლიტიკური პარტიების პლურალიზმის დახმარების გარეშე, რომელიც ასახავს ქვეყნის მოსახლების მოსაზრებათა დინებებს. მოცემული დინებების ასახვით</w:t>
      </w:r>
      <w:r w:rsidR="007B363F">
        <w:rPr>
          <w:rFonts w:ascii="Sylfaen" w:hAnsi="Sylfaen"/>
          <w:lang w:val="ka-GE"/>
        </w:rPr>
        <w:t xml:space="preserve"> </w:t>
      </w:r>
      <w:r w:rsidR="00457BA8">
        <w:rPr>
          <w:rFonts w:ascii="Sylfaen" w:hAnsi="Sylfaen"/>
          <w:lang w:val="ka-GE"/>
        </w:rPr>
        <w:t xml:space="preserve">არამარტო პოლიტიკურ ინსტიტუტებში, არამედ მედიის დახმარებით, საზოგადოების ცხოვრების ყველა საფეხურზე, პოლიტიკური პარტიები </w:t>
      </w:r>
      <w:r w:rsidR="007B363F">
        <w:rPr>
          <w:rFonts w:ascii="Sylfaen" w:hAnsi="Sylfaen"/>
          <w:lang w:val="ka-GE"/>
        </w:rPr>
        <w:t>შეუცვლელ</w:t>
      </w:r>
      <w:r w:rsidR="00457BA8">
        <w:rPr>
          <w:rFonts w:ascii="Sylfaen" w:hAnsi="Sylfaen"/>
          <w:lang w:val="ka-GE"/>
        </w:rPr>
        <w:t xml:space="preserve"> კონტრიბუციას </w:t>
      </w:r>
      <w:r w:rsidR="007B363F">
        <w:rPr>
          <w:rFonts w:ascii="Sylfaen" w:hAnsi="Sylfaen"/>
          <w:lang w:val="ka-GE"/>
        </w:rPr>
        <w:t>უწევენ იმ პოლიტიკურ დებატებს, რომელიც დემოკრატიული საზოგადოების არსის საფუძველშია განთესილი (იხ.</w:t>
      </w:r>
      <w:r w:rsidRPr="007B363F" w:rsidR="007B363F">
        <w:rPr>
          <w:rFonts w:ascii="Sylfaen" w:hAnsi="Sylfaen"/>
          <w:i/>
          <w:lang w:val="ka-GE"/>
        </w:rPr>
        <w:t>Lingens</w:t>
      </w:r>
      <w:r w:rsidRPr="007B363F" w:rsidR="007B363F">
        <w:rPr>
          <w:rFonts w:ascii="Sylfaen" w:hAnsi="Sylfaen"/>
          <w:lang w:val="ka-GE"/>
        </w:rPr>
        <w:t xml:space="preserve">, </w:t>
      </w:r>
      <w:r w:rsidR="007B363F">
        <w:rPr>
          <w:rFonts w:ascii="Sylfaen" w:hAnsi="Sylfaen"/>
          <w:lang w:val="ka-GE"/>
        </w:rPr>
        <w:t>ციტირებული ზემოთ</w:t>
      </w:r>
      <w:r w:rsidRPr="007B363F" w:rsidR="007B363F">
        <w:rPr>
          <w:rFonts w:ascii="Sylfaen" w:hAnsi="Sylfaen"/>
          <w:lang w:val="ka-GE"/>
        </w:rPr>
        <w:t xml:space="preserve">, § 42; </w:t>
      </w:r>
      <w:r w:rsidRPr="007B363F" w:rsidR="007B363F">
        <w:rPr>
          <w:rFonts w:ascii="Sylfaen" w:hAnsi="Sylfaen"/>
          <w:i/>
          <w:lang w:val="ka-GE"/>
        </w:rPr>
        <w:t>Castells v. Spain</w:t>
      </w:r>
      <w:r w:rsidRPr="007B363F" w:rsidR="007B363F">
        <w:rPr>
          <w:rFonts w:ascii="Sylfaen" w:hAnsi="Sylfaen"/>
          <w:lang w:val="ka-GE"/>
        </w:rPr>
        <w:t>, 23 </w:t>
      </w:r>
      <w:r w:rsidR="007B363F">
        <w:rPr>
          <w:rFonts w:ascii="Sylfaen" w:hAnsi="Sylfaen"/>
          <w:lang w:val="ka-GE"/>
        </w:rPr>
        <w:t>აპრილი</w:t>
      </w:r>
      <w:r w:rsidRPr="007B363F" w:rsidR="007B363F">
        <w:rPr>
          <w:rFonts w:ascii="Sylfaen" w:hAnsi="Sylfaen"/>
          <w:lang w:val="ka-GE"/>
        </w:rPr>
        <w:t xml:space="preserve"> 1992, § 43, Series A no. 236; </w:t>
      </w:r>
      <w:r w:rsidRPr="007B363F" w:rsidR="007B363F">
        <w:rPr>
          <w:rFonts w:ascii="Sylfaen" w:hAnsi="Sylfaen"/>
          <w:i/>
          <w:lang w:val="ka-GE"/>
        </w:rPr>
        <w:t>United Communist Party of Turkey and Others v. Turkey</w:t>
      </w:r>
      <w:r w:rsidRPr="007B363F" w:rsidR="007B363F">
        <w:rPr>
          <w:rFonts w:ascii="Sylfaen" w:hAnsi="Sylfaen"/>
          <w:lang w:val="ka-GE"/>
        </w:rPr>
        <w:t xml:space="preserve">, 30 </w:t>
      </w:r>
      <w:r w:rsidR="007B363F">
        <w:rPr>
          <w:rFonts w:ascii="Sylfaen" w:hAnsi="Sylfaen"/>
          <w:lang w:val="ka-GE"/>
        </w:rPr>
        <w:t>იანვარი</w:t>
      </w:r>
      <w:r w:rsidRPr="007B363F" w:rsidR="007B363F">
        <w:rPr>
          <w:rFonts w:ascii="Sylfaen" w:hAnsi="Sylfaen"/>
          <w:lang w:val="ka-GE"/>
        </w:rPr>
        <w:t xml:space="preserve"> 1998, § 44, </w:t>
      </w:r>
      <w:r w:rsidRPr="007B363F" w:rsidR="007B363F">
        <w:rPr>
          <w:rFonts w:ascii="Sylfaen" w:hAnsi="Sylfaen"/>
          <w:i/>
          <w:lang w:val="ka-GE"/>
        </w:rPr>
        <w:t>Reports of Judgments and Decisions</w:t>
      </w:r>
      <w:r w:rsidRPr="007B363F" w:rsidR="007B363F">
        <w:rPr>
          <w:rFonts w:ascii="Sylfaen" w:hAnsi="Sylfaen"/>
          <w:lang w:val="ka-GE"/>
        </w:rPr>
        <w:t xml:space="preserve"> 1998</w:t>
      </w:r>
      <w:r w:rsidRPr="007B363F" w:rsidR="007B363F">
        <w:rPr>
          <w:rFonts w:ascii="Sylfaen" w:hAnsi="Sylfaen"/>
          <w:lang w:val="ka-GE"/>
        </w:rPr>
        <w:noBreakHyphen/>
        <w:t xml:space="preserve">I; </w:t>
      </w:r>
      <w:r w:rsidR="007B363F">
        <w:rPr>
          <w:rFonts w:ascii="Sylfaen" w:hAnsi="Sylfaen"/>
          <w:lang w:val="ka-GE"/>
        </w:rPr>
        <w:t>და</w:t>
      </w:r>
      <w:r w:rsidRPr="007B363F" w:rsidR="007B363F">
        <w:rPr>
          <w:rFonts w:ascii="Sylfaen" w:hAnsi="Sylfaen"/>
          <w:lang w:val="ka-GE"/>
        </w:rPr>
        <w:t xml:space="preserve"> </w:t>
      </w:r>
      <w:r w:rsidRPr="007B363F" w:rsidR="007B363F">
        <w:rPr>
          <w:rFonts w:ascii="Sylfaen" w:hAnsi="Sylfaen"/>
          <w:bCs/>
          <w:i/>
          <w:lang w:val="ka-GE"/>
        </w:rPr>
        <w:t>Yumak and Sadak v. Turkey</w:t>
      </w:r>
      <w:r w:rsidRPr="007B363F" w:rsidR="007B363F">
        <w:rPr>
          <w:rFonts w:ascii="Sylfaen" w:hAnsi="Sylfaen"/>
          <w:bCs/>
          <w:lang w:val="ka-GE"/>
        </w:rPr>
        <w:t xml:space="preserve"> [GC], no. 10226/03, § 107, ECHR 2008</w:t>
      </w:r>
      <w:r w:rsidR="007B363F">
        <w:rPr>
          <w:rFonts w:ascii="Sylfaen" w:hAnsi="Sylfaen"/>
          <w:lang w:val="ka-GE"/>
        </w:rPr>
        <w:t>).</w:t>
      </w:r>
    </w:p>
    <w:p w:rsidR="00643EF8" w:rsidRDefault="009F44CF">
      <w:pPr>
        <w:numPr>
          <w:ilvl w:val="0"/>
          <w:numId w:val="1"/>
        </w:numPr>
        <w:rPr>
          <w:rFonts w:ascii="Sylfaen" w:hAnsi="Sylfaen"/>
          <w:lang w:val="ka-GE"/>
        </w:rPr>
      </w:pPr>
      <w:r>
        <w:rPr>
          <w:rFonts w:ascii="Sylfaen" w:hAnsi="Sylfaen"/>
          <w:lang w:val="ka-GE"/>
        </w:rPr>
        <w:t>როგორც ითქვა ევროპის ადამიანის უფლებათა კომისიის მიერ რამდენიმე შემ</w:t>
      </w:r>
      <w:r w:rsidR="00906891">
        <w:rPr>
          <w:rFonts w:ascii="Sylfaen" w:hAnsi="Sylfaen"/>
          <w:lang w:val="ka-GE"/>
        </w:rPr>
        <w:t>თ</w:t>
      </w:r>
      <w:r>
        <w:rPr>
          <w:rFonts w:ascii="Sylfaen" w:hAnsi="Sylfaen"/>
          <w:lang w:val="ka-GE"/>
        </w:rPr>
        <w:t>ხვევაში, სიტყვები "ხალხის მოსაზრების თავისუფალი გამოხატვა" აღნიშნავს, რომ არჩევნები ვერ ჩატარდება ზეწოლის რაიმე ფორმით რომელიმე კანდიდატის სასარგებლოდ და რომ მოცემული არჩევანის გაკეთებისას ამომრჩეველი არ უნდა იყოს</w:t>
      </w:r>
      <w:r w:rsidR="00643EF8">
        <w:rPr>
          <w:rFonts w:ascii="Sylfaen" w:hAnsi="Sylfaen"/>
          <w:lang w:val="ka-GE"/>
        </w:rPr>
        <w:t xml:space="preserve"> </w:t>
      </w:r>
      <w:r>
        <w:rPr>
          <w:rFonts w:ascii="Sylfaen" w:hAnsi="Sylfaen"/>
          <w:lang w:val="ka-GE"/>
        </w:rPr>
        <w:t>იძულებული ხმა მისცეს ამა თუ იმ პარტიას (იხ.</w:t>
      </w:r>
      <w:r w:rsidRPr="009F44CF">
        <w:rPr>
          <w:rFonts w:ascii="Sylfaen" w:hAnsi="Sylfaen"/>
          <w:i/>
          <w:lang w:val="ka-GE"/>
        </w:rPr>
        <w:t>X. v. the United Kingdom</w:t>
      </w:r>
      <w:r w:rsidRPr="009F44CF">
        <w:rPr>
          <w:rFonts w:ascii="Sylfaen" w:hAnsi="Sylfaen"/>
          <w:lang w:val="ka-GE"/>
        </w:rPr>
        <w:t xml:space="preserve">, no. 7140/75, </w:t>
      </w:r>
      <w:r>
        <w:rPr>
          <w:rFonts w:ascii="Sylfaen" w:hAnsi="Sylfaen"/>
          <w:lang w:val="ka-GE"/>
        </w:rPr>
        <w:t>კომისიის გადაწყვეტილება</w:t>
      </w:r>
      <w:r w:rsidRPr="009F44CF">
        <w:rPr>
          <w:rFonts w:ascii="Sylfaen" w:hAnsi="Sylfaen"/>
          <w:lang w:val="ka-GE"/>
        </w:rPr>
        <w:t xml:space="preserve"> 6 </w:t>
      </w:r>
      <w:r>
        <w:rPr>
          <w:rFonts w:ascii="Sylfaen" w:hAnsi="Sylfaen"/>
          <w:lang w:val="ka-GE"/>
        </w:rPr>
        <w:t>ოქტომბერი</w:t>
      </w:r>
      <w:r w:rsidRPr="009F44CF">
        <w:rPr>
          <w:rFonts w:ascii="Sylfaen" w:hAnsi="Sylfaen"/>
          <w:lang w:val="ka-GE"/>
        </w:rPr>
        <w:t xml:space="preserve"> 1976, Decisions and Reports (DR)</w:t>
      </w:r>
      <w:r>
        <w:rPr>
          <w:rFonts w:ascii="Sylfaen" w:hAnsi="Sylfaen"/>
          <w:lang w:val="ka-GE"/>
        </w:rPr>
        <w:t xml:space="preserve"> 7, გვ</w:t>
      </w:r>
      <w:r w:rsidRPr="009F44CF">
        <w:rPr>
          <w:rFonts w:ascii="Sylfaen" w:hAnsi="Sylfaen"/>
          <w:lang w:val="ka-GE"/>
        </w:rPr>
        <w:t>. 96</w:t>
      </w:r>
      <w:r>
        <w:rPr>
          <w:rFonts w:ascii="Sylfaen" w:hAnsi="Sylfaen"/>
          <w:lang w:val="ka-GE"/>
        </w:rPr>
        <w:t xml:space="preserve">). </w:t>
      </w:r>
      <w:r w:rsidR="00E27AA1">
        <w:rPr>
          <w:rFonts w:ascii="Sylfaen" w:hAnsi="Sylfaen"/>
          <w:lang w:val="ka-GE"/>
        </w:rPr>
        <w:t>სიტყვა "არჩევანი" გულისხმობს იმას, რომ განსხვავებული პოლიტიკური პარტიები</w:t>
      </w:r>
      <w:r w:rsidR="00643EF8">
        <w:rPr>
          <w:rFonts w:ascii="Sylfaen" w:hAnsi="Sylfaen"/>
          <w:lang w:val="ka-GE"/>
        </w:rPr>
        <w:t xml:space="preserve"> </w:t>
      </w:r>
      <w:r w:rsidR="00E27AA1">
        <w:rPr>
          <w:rFonts w:ascii="Sylfaen" w:hAnsi="Sylfaen"/>
          <w:lang w:val="ka-GE"/>
        </w:rPr>
        <w:t>უზრუნველყოფილ</w:t>
      </w:r>
      <w:r w:rsidR="00906891">
        <w:rPr>
          <w:rFonts w:ascii="Sylfaen" w:hAnsi="Sylfaen"/>
          <w:lang w:val="ka-GE"/>
        </w:rPr>
        <w:t>ი უნდა</w:t>
      </w:r>
      <w:r w:rsidR="00E27AA1">
        <w:rPr>
          <w:rFonts w:ascii="Sylfaen" w:hAnsi="Sylfaen"/>
          <w:lang w:val="ka-GE"/>
        </w:rPr>
        <w:t xml:space="preserve"> </w:t>
      </w:r>
      <w:r w:rsidR="00906891">
        <w:rPr>
          <w:rFonts w:ascii="Sylfaen" w:hAnsi="Sylfaen"/>
          <w:lang w:val="ka-GE"/>
        </w:rPr>
        <w:t>იყვნენ</w:t>
      </w:r>
      <w:r w:rsidR="00E27AA1">
        <w:rPr>
          <w:rFonts w:ascii="Sylfaen" w:hAnsi="Sylfaen"/>
          <w:lang w:val="ka-GE"/>
        </w:rPr>
        <w:t xml:space="preserve"> გონვრული საშუალებით წარმოადგინონ საკუთარი კანდიდატი არჩევნებისას (</w:t>
      </w:r>
      <w:r w:rsidRPr="00E27AA1" w:rsidR="00E27AA1">
        <w:rPr>
          <w:rFonts w:ascii="Sylfaen" w:hAnsi="Sylfaen"/>
          <w:lang w:val="ka-GE"/>
        </w:rPr>
        <w:t xml:space="preserve">ibid.; </w:t>
      </w:r>
      <w:r w:rsidR="00E27AA1">
        <w:rPr>
          <w:rFonts w:ascii="Sylfaen" w:hAnsi="Sylfaen"/>
          <w:lang w:val="ka-GE"/>
        </w:rPr>
        <w:t>იხ. აგრეთვე,</w:t>
      </w:r>
      <w:r w:rsidR="00643EF8">
        <w:rPr>
          <w:rFonts w:ascii="Sylfaen" w:hAnsi="Sylfaen"/>
          <w:lang w:val="ka-GE"/>
        </w:rPr>
        <w:t xml:space="preserve"> </w:t>
      </w:r>
      <w:r w:rsidRPr="00E27AA1" w:rsidR="00E27AA1">
        <w:rPr>
          <w:rFonts w:ascii="Sylfaen" w:hAnsi="Sylfaen"/>
          <w:i/>
          <w:lang w:val="ka-GE"/>
        </w:rPr>
        <w:t>X. v. Iceland</w:t>
      </w:r>
      <w:r w:rsidRPr="00E27AA1" w:rsidR="00E27AA1">
        <w:rPr>
          <w:rFonts w:ascii="Sylfaen" w:hAnsi="Sylfaen"/>
          <w:lang w:val="ka-GE"/>
        </w:rPr>
        <w:t xml:space="preserve">, no. 8941/80, </w:t>
      </w:r>
      <w:r w:rsidR="00E27AA1">
        <w:rPr>
          <w:rFonts w:ascii="Sylfaen" w:hAnsi="Sylfaen"/>
          <w:lang w:val="ka-GE"/>
        </w:rPr>
        <w:t xml:space="preserve">კომისიის გადაწყვეტილება </w:t>
      </w:r>
      <w:r w:rsidRPr="00E27AA1" w:rsidR="00E27AA1">
        <w:rPr>
          <w:rFonts w:ascii="Sylfaen" w:hAnsi="Sylfaen"/>
          <w:lang w:val="ka-GE"/>
        </w:rPr>
        <w:t xml:space="preserve">8 </w:t>
      </w:r>
      <w:r w:rsidR="00E27AA1">
        <w:rPr>
          <w:rFonts w:ascii="Sylfaen" w:hAnsi="Sylfaen"/>
          <w:lang w:val="ka-GE"/>
        </w:rPr>
        <w:t>დეკემბერი</w:t>
      </w:r>
      <w:r w:rsidRPr="00E27AA1" w:rsidR="00E27AA1">
        <w:rPr>
          <w:rFonts w:ascii="Sylfaen" w:hAnsi="Sylfaen"/>
          <w:lang w:val="ka-GE"/>
        </w:rPr>
        <w:t xml:space="preserve"> 1981, DR 27, </w:t>
      </w:r>
      <w:r w:rsidR="00E27AA1">
        <w:rPr>
          <w:rFonts w:ascii="Sylfaen" w:hAnsi="Sylfaen"/>
          <w:lang w:val="ka-GE"/>
        </w:rPr>
        <w:t>გვ</w:t>
      </w:r>
      <w:r w:rsidRPr="00E27AA1" w:rsidR="00E27AA1">
        <w:rPr>
          <w:rFonts w:ascii="Sylfaen" w:hAnsi="Sylfaen"/>
          <w:lang w:val="ka-GE"/>
        </w:rPr>
        <w:t xml:space="preserve">. 156, </w:t>
      </w:r>
      <w:r w:rsidR="00E27AA1">
        <w:rPr>
          <w:rFonts w:ascii="Sylfaen" w:hAnsi="Sylfaen"/>
          <w:lang w:val="ka-GE"/>
        </w:rPr>
        <w:t>და</w:t>
      </w:r>
      <w:r w:rsidRPr="00E27AA1" w:rsidR="00E27AA1">
        <w:rPr>
          <w:rFonts w:ascii="Sylfaen" w:hAnsi="Sylfaen"/>
          <w:lang w:val="ka-GE"/>
        </w:rPr>
        <w:t xml:space="preserve"> </w:t>
      </w:r>
      <w:r w:rsidRPr="00E27AA1" w:rsidR="00E27AA1">
        <w:rPr>
          <w:rFonts w:ascii="Sylfaen" w:hAnsi="Sylfaen"/>
          <w:i/>
          <w:lang w:val="ka-GE"/>
        </w:rPr>
        <w:t>Yumak and Sadak</w:t>
      </w:r>
      <w:r w:rsidRPr="00E27AA1" w:rsidR="00E27AA1">
        <w:rPr>
          <w:rFonts w:ascii="Sylfaen" w:hAnsi="Sylfaen"/>
          <w:lang w:val="ka-GE"/>
        </w:rPr>
        <w:t xml:space="preserve">, </w:t>
      </w:r>
      <w:r w:rsidR="00E27AA1">
        <w:rPr>
          <w:rFonts w:ascii="Sylfaen" w:hAnsi="Sylfaen"/>
          <w:lang w:val="ka-GE"/>
        </w:rPr>
        <w:t>ციტირებული ზემოთ).</w:t>
      </w:r>
    </w:p>
    <w:p w:rsidR="00E27AA1" w:rsidRDefault="00E27AA1">
      <w:pPr>
        <w:numPr>
          <w:ilvl w:val="0"/>
          <w:numId w:val="1"/>
        </w:numPr>
        <w:rPr>
          <w:rFonts w:ascii="Sylfaen" w:hAnsi="Sylfaen"/>
          <w:lang w:val="ka-GE"/>
        </w:rPr>
      </w:pPr>
      <w:r>
        <w:rPr>
          <w:rFonts w:ascii="Sylfaen" w:hAnsi="Sylfaen"/>
          <w:lang w:val="ka-GE"/>
        </w:rPr>
        <w:t>აღნიშნულის გათვალისწინებით</w:t>
      </w:r>
      <w:r w:rsidR="00643EF8">
        <w:rPr>
          <w:rFonts w:ascii="Sylfaen" w:hAnsi="Sylfaen"/>
          <w:lang w:val="ka-GE"/>
        </w:rPr>
        <w:t xml:space="preserve"> </w:t>
      </w:r>
      <w:r>
        <w:rPr>
          <w:rFonts w:ascii="Sylfaen" w:hAnsi="Sylfaen"/>
          <w:lang w:val="ka-GE"/>
        </w:rPr>
        <w:t xml:space="preserve">ისიც უნდა აღინიშნოს, რომ N.1 ოქმის მე-3 მუხლში გაწერილი უფლებები არ გახლავთ აბსოლუტური ხასიათის. არსებობს სივრცე "ნაგულისხმევი შეზღუდვებისათვის" და ხელშემკვრელ სახელმწიფოებს უნდა მიეცეთ ამ სფეროში შეფასების ფართო ზღვარი (იხ. სხვა მრავალს შორის </w:t>
      </w:r>
      <w:r w:rsidRPr="00E27AA1">
        <w:rPr>
          <w:rFonts w:ascii="Sylfaen" w:hAnsi="Sylfaen"/>
          <w:i/>
          <w:lang w:val="ka-GE"/>
        </w:rPr>
        <w:t>Matthews v. the United Kingdom</w:t>
      </w:r>
      <w:r w:rsidRPr="00E27AA1">
        <w:rPr>
          <w:rFonts w:ascii="Sylfaen" w:hAnsi="Sylfaen"/>
          <w:lang w:val="ka-GE"/>
        </w:rPr>
        <w:t xml:space="preserve"> [GC], no. 24833/94, § 63, ECHR 1999-I, </w:t>
      </w:r>
      <w:r>
        <w:rPr>
          <w:rFonts w:ascii="Sylfaen" w:hAnsi="Sylfaen"/>
          <w:lang w:val="ka-GE"/>
        </w:rPr>
        <w:t>და</w:t>
      </w:r>
      <w:r w:rsidRPr="00E27AA1">
        <w:rPr>
          <w:rFonts w:ascii="Sylfaen" w:hAnsi="Sylfaen"/>
          <w:lang w:val="ka-GE"/>
        </w:rPr>
        <w:t xml:space="preserve"> </w:t>
      </w:r>
      <w:r w:rsidRPr="00E27AA1">
        <w:rPr>
          <w:rFonts w:ascii="Sylfaen" w:hAnsi="Sylfaen"/>
          <w:i/>
          <w:lang w:val="ka-GE"/>
        </w:rPr>
        <w:t>Labita v. Italy</w:t>
      </w:r>
      <w:r w:rsidRPr="00E27AA1">
        <w:rPr>
          <w:rFonts w:ascii="Sylfaen" w:hAnsi="Sylfaen"/>
          <w:lang w:val="ka-GE"/>
        </w:rPr>
        <w:t xml:space="preserve"> [GC], no. 26772/95, § 201, ECHR 2000-IV</w:t>
      </w:r>
      <w:r>
        <w:rPr>
          <w:rFonts w:ascii="Sylfaen" w:hAnsi="Sylfaen"/>
          <w:lang w:val="ka-GE"/>
        </w:rPr>
        <w:t>). რაც შეეხება უფლებას იყარო კენჭი, ანუ N.1 ოქმის მე-3 მუხლით დაცული . "პასიური" უფლება</w:t>
      </w:r>
      <w:r w:rsidR="009324D9">
        <w:rPr>
          <w:rFonts w:ascii="Sylfaen" w:hAnsi="Sylfaen"/>
          <w:lang w:val="ka-GE"/>
        </w:rPr>
        <w:t>, სასამართლო კიდევ უფრო მეტ სიფრთხილეს უხმობს</w:t>
      </w:r>
      <w:r w:rsidR="00643EF8">
        <w:rPr>
          <w:rFonts w:ascii="Sylfaen" w:hAnsi="Sylfaen"/>
          <w:lang w:val="ka-GE"/>
        </w:rPr>
        <w:t xml:space="preserve"> </w:t>
      </w:r>
      <w:r w:rsidR="009324D9">
        <w:rPr>
          <w:rFonts w:ascii="Sylfaen" w:hAnsi="Sylfaen"/>
          <w:lang w:val="ka-GE"/>
        </w:rPr>
        <w:t>ამ კონტექსტში შეზღუდვების შეფასებისას ვიდრე N.1 ოქმის მე-3 მუხლით დაცული "აქტიური" უფლების შემთხვევაში</w:t>
      </w:r>
      <w:r w:rsidR="009A7AC8">
        <w:rPr>
          <w:rFonts w:ascii="Sylfaen" w:hAnsi="Sylfaen"/>
          <w:lang w:val="ka-GE"/>
        </w:rPr>
        <w:t xml:space="preserve"> დაწესებული შეზღუდვებისას.</w:t>
      </w:r>
    </w:p>
    <w:p w:rsidR="00643EF8" w:rsidRDefault="009A7AC8">
      <w:pPr>
        <w:numPr>
          <w:ilvl w:val="0"/>
          <w:numId w:val="1"/>
        </w:numPr>
        <w:rPr>
          <w:rFonts w:ascii="Sylfaen" w:hAnsi="Sylfaen"/>
          <w:lang w:val="ka-GE"/>
        </w:rPr>
      </w:pPr>
      <w:r>
        <w:rPr>
          <w:rFonts w:ascii="Sylfaen" w:hAnsi="Sylfaen"/>
          <w:lang w:val="ka-GE"/>
        </w:rPr>
        <w:t>თუმცა, ამ სასამართლოს მიერ საბოლოოდ უნდა დადგინდეს თუ რამდენად მოხდა N.1 ოქმის მე-3 მუხლით დადგენილი მოთხოვნების დაცვა; მან უნდა მიიჩნიოს, რომ ხმის მიცემისა და კენჭისყრის უფლებაზე დაკისრებული პირობები არ კვეცენ განსახილველ უფლებას იმდენად, რომ შეზღუდონ მისი არსი და ეფექტიანობა (იხ.</w:t>
      </w:r>
      <w:r w:rsidRPr="009A7AC8">
        <w:rPr>
          <w:rFonts w:ascii="Sylfaen" w:hAnsi="Sylfaen"/>
          <w:i/>
          <w:iCs/>
          <w:lang w:val="ka-GE"/>
        </w:rPr>
        <w:t>Mathieu-Mohin and Clerfayt</w:t>
      </w:r>
      <w:smartTag w:uri="urn:schemas-microsoft-com:office:smarttags" w:element="PersonName">
        <w:r w:rsidRPr="009A7AC8">
          <w:rPr>
            <w:rFonts w:ascii="Sylfaen" w:hAnsi="Sylfaen"/>
            <w:lang w:val="ka-GE"/>
          </w:rPr>
          <w:t>,</w:t>
        </w:r>
      </w:smartTag>
      <w:r w:rsidRPr="009A7AC8">
        <w:rPr>
          <w:rFonts w:ascii="Sylfaen" w:hAnsi="Sylfaen"/>
          <w:lang w:val="ka-GE"/>
        </w:rPr>
        <w:t xml:space="preserve"> </w:t>
      </w:r>
      <w:r>
        <w:rPr>
          <w:rFonts w:ascii="Sylfaen" w:hAnsi="Sylfaen"/>
          <w:lang w:val="ka-GE"/>
        </w:rPr>
        <w:t>ციტირებული ზემოთ</w:t>
      </w:r>
      <w:r w:rsidRPr="009A7AC8">
        <w:rPr>
          <w:rFonts w:ascii="Sylfaen" w:hAnsi="Sylfaen"/>
          <w:lang w:val="ka-GE"/>
        </w:rPr>
        <w:t>, § 52</w:t>
      </w:r>
      <w:r>
        <w:rPr>
          <w:rFonts w:ascii="Sylfaen" w:hAnsi="Sylfaen"/>
          <w:lang w:val="ka-GE"/>
        </w:rPr>
        <w:t>).</w:t>
      </w:r>
    </w:p>
    <w:p w:rsidR="009B60E2" w:rsidP="009B60E2" w:rsidRDefault="009B60E2">
      <w:pPr>
        <w:rPr>
          <w:rFonts w:ascii="Sylfaen" w:hAnsi="Sylfaen"/>
          <w:lang w:val="ka-GE"/>
        </w:rPr>
      </w:pPr>
    </w:p>
    <w:p w:rsidRPr="009B60E2" w:rsidR="009B60E2" w:rsidP="009B60E2" w:rsidRDefault="009B60E2">
      <w:pPr>
        <w:rPr>
          <w:rFonts w:ascii="Sylfaen" w:hAnsi="Sylfaen"/>
          <w:b/>
          <w:lang w:val="ka-GE"/>
        </w:rPr>
      </w:pPr>
      <w:r w:rsidRPr="009B60E2">
        <w:rPr>
          <w:rFonts w:ascii="Sylfaen" w:hAnsi="Sylfaen"/>
          <w:b/>
          <w:lang w:val="ka-GE"/>
        </w:rPr>
        <w:t>გ. ზემოთხსენებული პრინციპების გამოყენება მოცემულ საქმეში</w:t>
      </w:r>
    </w:p>
    <w:p w:rsidRPr="009B60E2" w:rsidR="009B60E2" w:rsidP="009B60E2" w:rsidRDefault="009B60E2">
      <w:pPr>
        <w:rPr>
          <w:rFonts w:ascii="Sylfaen" w:hAnsi="Sylfaen"/>
          <w:i/>
          <w:lang w:val="ka-GE"/>
        </w:rPr>
      </w:pPr>
      <w:r w:rsidRPr="009B60E2">
        <w:rPr>
          <w:rFonts w:ascii="Sylfaen" w:hAnsi="Sylfaen"/>
          <w:i/>
          <w:lang w:val="ka-GE"/>
        </w:rPr>
        <w:t>1. ჰქონდა თუ არა ადგილი განსხვავებულ მოპყრობას</w:t>
      </w:r>
    </w:p>
    <w:p w:rsidR="009B60E2" w:rsidRDefault="009B60E2">
      <w:pPr>
        <w:numPr>
          <w:ilvl w:val="0"/>
          <w:numId w:val="1"/>
        </w:numPr>
        <w:rPr>
          <w:rFonts w:ascii="Sylfaen" w:hAnsi="Sylfaen"/>
          <w:lang w:val="ka-GE"/>
        </w:rPr>
      </w:pPr>
      <w:r>
        <w:rPr>
          <w:rFonts w:ascii="Sylfaen" w:hAnsi="Sylfaen"/>
          <w:lang w:val="ka-GE"/>
        </w:rPr>
        <w:t>სასამართლო აღნიშნავს</w:t>
      </w:r>
      <w:r w:rsidR="00CC29D8">
        <w:rPr>
          <w:rFonts w:ascii="Sylfaen" w:hAnsi="Sylfaen"/>
          <w:lang w:val="ka-GE"/>
        </w:rPr>
        <w:t>:</w:t>
      </w:r>
      <w:r>
        <w:rPr>
          <w:rFonts w:ascii="Sylfaen" w:hAnsi="Sylfaen"/>
          <w:lang w:val="ka-GE"/>
        </w:rPr>
        <w:t xml:space="preserve"> </w:t>
      </w:r>
      <w:r w:rsidR="00CC29D8">
        <w:rPr>
          <w:rFonts w:ascii="Sylfaen" w:hAnsi="Sylfaen"/>
          <w:lang w:val="ka-GE"/>
        </w:rPr>
        <w:t>-</w:t>
      </w:r>
      <w:r>
        <w:rPr>
          <w:rFonts w:ascii="Sylfaen" w:hAnsi="Sylfaen"/>
          <w:lang w:val="ka-GE"/>
        </w:rPr>
        <w:t xml:space="preserve"> მოცემულ საქმეში მომჩივანი პოლიტიკური პარტია აცხადებს, რომ იგი აღმოჩნდა</w:t>
      </w:r>
      <w:r w:rsidR="00643EF8">
        <w:rPr>
          <w:rFonts w:ascii="Sylfaen" w:hAnsi="Sylfaen"/>
          <w:lang w:val="ka-GE"/>
        </w:rPr>
        <w:t xml:space="preserve"> </w:t>
      </w:r>
      <w:r w:rsidR="006A43FD">
        <w:rPr>
          <w:rFonts w:ascii="Sylfaen" w:hAnsi="Sylfaen"/>
          <w:lang w:val="ka-GE"/>
        </w:rPr>
        <w:t>არახელსაყრელ</w:t>
      </w:r>
      <w:r>
        <w:rPr>
          <w:rFonts w:ascii="Sylfaen" w:hAnsi="Sylfaen"/>
          <w:lang w:val="ka-GE"/>
        </w:rPr>
        <w:t xml:space="preserve"> ვითარებაში 1999 წლის, 2002 წლისა და 2007 წლის საპარლამენტო არჩევნებისას იმ პარტიებთან შედარებით, რომლებმაც მიიღ</w:t>
      </w:r>
      <w:r w:rsidR="00CC29D8">
        <w:rPr>
          <w:rFonts w:ascii="Sylfaen" w:hAnsi="Sylfaen"/>
          <w:lang w:val="ka-GE"/>
        </w:rPr>
        <w:t>ე</w:t>
      </w:r>
      <w:r>
        <w:rPr>
          <w:rFonts w:ascii="Sylfaen" w:hAnsi="Sylfaen"/>
          <w:lang w:val="ka-GE"/>
        </w:rPr>
        <w:t>ს ფინანსური დახმარება სახელმწიფოსაგან</w:t>
      </w:r>
      <w:r w:rsidR="00CC29D8">
        <w:rPr>
          <w:rFonts w:ascii="Sylfaen" w:hAnsi="Sylfaen"/>
          <w:lang w:val="ka-GE"/>
        </w:rPr>
        <w:t>.</w:t>
      </w:r>
      <w:r w:rsidR="00643EF8">
        <w:rPr>
          <w:rFonts w:ascii="Sylfaen" w:hAnsi="Sylfaen"/>
          <w:lang w:val="ka-GE"/>
        </w:rPr>
        <w:t xml:space="preserve"> </w:t>
      </w:r>
      <w:r>
        <w:rPr>
          <w:rFonts w:ascii="Sylfaen" w:hAnsi="Sylfaen"/>
          <w:lang w:val="ka-GE"/>
        </w:rPr>
        <w:t>მას უარი ეთქვა დაფინანსების გაცემაზე იმის გამო</w:t>
      </w:r>
      <w:r w:rsidR="00CC29D8">
        <w:rPr>
          <w:rFonts w:ascii="Sylfaen" w:hAnsi="Sylfaen"/>
          <w:lang w:val="ka-GE"/>
        </w:rPr>
        <w:t>,</w:t>
      </w:r>
      <w:r>
        <w:rPr>
          <w:rFonts w:ascii="Sylfaen" w:hAnsi="Sylfaen"/>
          <w:lang w:val="ka-GE"/>
        </w:rPr>
        <w:t xml:space="preserve"> რომ არ გახლდათ პარლამენტში წარმოდგენილი (ქვეყნის მასშტაბით დადგენილი წარმომადგენლობის 10% ბარიერის გამო) და რომ მან მიიღო ხმათა 7%-ზე ნაკლები წინა საპარლამენტო არჩევნებში.</w:t>
      </w:r>
    </w:p>
    <w:p w:rsidR="009B60E2" w:rsidRDefault="009B60E2">
      <w:pPr>
        <w:numPr>
          <w:ilvl w:val="0"/>
          <w:numId w:val="1"/>
        </w:numPr>
        <w:rPr>
          <w:rFonts w:ascii="Sylfaen" w:hAnsi="Sylfaen"/>
          <w:lang w:val="ka-GE"/>
        </w:rPr>
      </w:pPr>
      <w:r>
        <w:rPr>
          <w:rFonts w:ascii="Sylfaen" w:hAnsi="Sylfaen"/>
          <w:lang w:val="ka-GE"/>
        </w:rPr>
        <w:t>სასამართლო აღნიშნავს, რომ "ოდპ", რომელიც დაფუძნდა 1996 წელს, არ იყო უფლებამოსილი მოეთხოვა სახელმწიფო დაფინანსება 1999 წლის არჩევნებ</w:t>
      </w:r>
      <w:r w:rsidR="00A23CF0">
        <w:rPr>
          <w:rFonts w:ascii="Sylfaen" w:hAnsi="Sylfaen"/>
          <w:lang w:val="ka-GE"/>
        </w:rPr>
        <w:t>ამდე, ხოლო</w:t>
      </w:r>
      <w:r>
        <w:rPr>
          <w:rFonts w:ascii="Sylfaen" w:hAnsi="Sylfaen"/>
          <w:lang w:val="ka-GE"/>
        </w:rPr>
        <w:t xml:space="preserve"> შემდგომ არჩევნებში მიღებული შედეგები </w:t>
      </w:r>
      <w:r w:rsidR="00A23CF0">
        <w:rPr>
          <w:rFonts w:ascii="Sylfaen" w:hAnsi="Sylfaen"/>
          <w:lang w:val="ka-GE"/>
        </w:rPr>
        <w:t xml:space="preserve">კი </w:t>
      </w:r>
      <w:r>
        <w:rPr>
          <w:rFonts w:ascii="Sylfaen" w:hAnsi="Sylfaen"/>
          <w:lang w:val="ka-GE"/>
        </w:rPr>
        <w:t>ასეთი</w:t>
      </w:r>
      <w:r w:rsidR="00A23CF0">
        <w:rPr>
          <w:rFonts w:ascii="Sylfaen" w:hAnsi="Sylfaen"/>
          <w:lang w:val="ka-GE"/>
        </w:rPr>
        <w:t xml:space="preserve"> გახლდათ</w:t>
      </w:r>
      <w:r>
        <w:rPr>
          <w:rFonts w:ascii="Sylfaen" w:hAnsi="Sylfaen"/>
          <w:lang w:val="ka-GE"/>
        </w:rPr>
        <w:t xml:space="preserve"> - 1999 წლის 18 აპრილის საპარლამენტო არჩევნებში მიცემულ ხმათა 0.8%, 2002 წლის 3 ნოემბრის არჩევნებში - 0.34% და 2007 წლის არჩევნებში - ხმათა 0.15%</w:t>
      </w:r>
      <w:r w:rsidR="00A23CF0">
        <w:rPr>
          <w:rFonts w:ascii="Sylfaen" w:hAnsi="Sylfaen"/>
          <w:lang w:val="ka-GE"/>
        </w:rPr>
        <w:t xml:space="preserve"> (იხ. პარაგრაფები 18-19 ზემოთ) - ხვდებოდა რა ეროვნული კანონმდებლობით დადგენილი 7%-იან ბარიერს ქვემოთ და შედეგად ვერ სარგებლობდა დაფინანსების მოთხოვნის უფლებით.</w:t>
      </w:r>
    </w:p>
    <w:p w:rsidR="00643EF8" w:rsidRDefault="00A23CF0">
      <w:pPr>
        <w:numPr>
          <w:ilvl w:val="0"/>
          <w:numId w:val="1"/>
        </w:numPr>
        <w:rPr>
          <w:rFonts w:ascii="Sylfaen" w:hAnsi="Sylfaen"/>
          <w:lang w:val="ka-GE"/>
        </w:rPr>
      </w:pPr>
      <w:r>
        <w:rPr>
          <w:rFonts w:ascii="Sylfaen" w:hAnsi="Sylfaen"/>
          <w:lang w:val="ka-GE"/>
        </w:rPr>
        <w:t xml:space="preserve">მიუხედავად ამისა, სასამართლო აღნიშნავს, რომ 1999 წლის </w:t>
      </w:r>
      <w:r w:rsidR="009C0024">
        <w:rPr>
          <w:rFonts w:ascii="Sylfaen" w:hAnsi="Sylfaen"/>
          <w:lang w:val="ka-GE"/>
        </w:rPr>
        <w:t xml:space="preserve">საერთო </w:t>
      </w:r>
      <w:r>
        <w:rPr>
          <w:rFonts w:ascii="Sylfaen" w:hAnsi="Sylfaen"/>
          <w:lang w:val="ka-GE"/>
        </w:rPr>
        <w:t xml:space="preserve">არჩევნებამდე მონაწილე ოცდაერთი პარტიიდან მხოლოდ ექვსმა (მათ შორის ერთი არ გახლდათ პარლამენტში წარმოდგენილი) მიიღო სახელმწიფო დაფინანსება. 2002 წლის </w:t>
      </w:r>
      <w:r w:rsidR="009C0024">
        <w:rPr>
          <w:rFonts w:ascii="Sylfaen" w:hAnsi="Sylfaen"/>
          <w:lang w:val="ka-GE"/>
        </w:rPr>
        <w:t>საერთო</w:t>
      </w:r>
      <w:r>
        <w:rPr>
          <w:rFonts w:ascii="Sylfaen" w:hAnsi="Sylfaen"/>
          <w:lang w:val="ka-GE"/>
        </w:rPr>
        <w:t xml:space="preserve"> არჩევნებამდე კანდიდატების წარმომდგენი თხუთმეტი პარტიიდან მხოლოდ ექვსმა (მათ შორის ერთი არ გახლდათ პარლამენტში წარმოდგენილი) მიიღო სახელმწიფო დაფინანსება, ხოლო 2007 წლის არჩევნებამდე, სახელმწიფო დაფინანსება გაიცა არჩევნებში მონაწილეობის მიმღები თხუთმეტიდან ხუთ პარტიაზე (მათ შორის სამი არ გახლდათ პარლამენტში წარმოდგენილი).</w:t>
      </w:r>
    </w:p>
    <w:p w:rsidR="00643EF8" w:rsidRDefault="00AC6C46">
      <w:pPr>
        <w:numPr>
          <w:ilvl w:val="0"/>
          <w:numId w:val="1"/>
        </w:numPr>
        <w:rPr>
          <w:rFonts w:ascii="Sylfaen" w:hAnsi="Sylfaen"/>
          <w:lang w:val="ka-GE"/>
        </w:rPr>
      </w:pPr>
      <w:r>
        <w:rPr>
          <w:rFonts w:ascii="Sylfaen" w:hAnsi="Sylfaen"/>
          <w:lang w:val="ka-GE"/>
        </w:rPr>
        <w:t xml:space="preserve">სრულიად ნათელია, რომ მოცემულ შემთხვევაში გამოყენებული პოლიტიკური პარტიების საჯარო დაფინანსების სისტემა აყენებდა "ოდპ"-ს, რომელსაც არ მიუღია ფინანსური დახმარება, </w:t>
      </w:r>
      <w:r w:rsidR="006A43FD">
        <w:rPr>
          <w:rFonts w:ascii="Sylfaen" w:hAnsi="Sylfaen"/>
          <w:lang w:val="ka-GE"/>
        </w:rPr>
        <w:t>არახელსაყრელ</w:t>
      </w:r>
      <w:r>
        <w:rPr>
          <w:rFonts w:ascii="Sylfaen" w:hAnsi="Sylfaen"/>
          <w:lang w:val="ka-GE"/>
        </w:rPr>
        <w:t xml:space="preserve"> ვითარებაში იმ მეტოქეებთან შედარებით, რომლებმაც მიიღეს ხსენებული დაფინანსება და შესაბამისად, უფრო იოლად შეძლეს საკუთარი მოსაზრებების გავრცელება ქვეყნის მასშტაბით. ამიტომ, </w:t>
      </w:r>
      <w:r w:rsidR="00FE7D70">
        <w:rPr>
          <w:rFonts w:ascii="Sylfaen" w:hAnsi="Sylfaen"/>
          <w:lang w:val="ka-GE"/>
        </w:rPr>
        <w:t xml:space="preserve">ხსენებული სისტემის გამოყენების შედეგად, </w:t>
      </w:r>
      <w:r>
        <w:rPr>
          <w:rFonts w:ascii="Sylfaen" w:hAnsi="Sylfaen"/>
          <w:lang w:val="ka-GE"/>
        </w:rPr>
        <w:t>მომჩივანი პარტია დაექვემდებარა განსხვავებულ მოპყრობას N.1 ოქმის მე-3 მუხლით დადგენილი საარჩევნო უფლებების განხორციელებისას</w:t>
      </w:r>
      <w:r w:rsidR="00FE7D70">
        <w:rPr>
          <w:rFonts w:ascii="Sylfaen" w:hAnsi="Sylfaen"/>
          <w:lang w:val="ka-GE"/>
        </w:rPr>
        <w:t>.</w:t>
      </w:r>
    </w:p>
    <w:p w:rsidR="00643EF8" w:rsidRDefault="00AC6C46">
      <w:pPr>
        <w:numPr>
          <w:ilvl w:val="0"/>
          <w:numId w:val="1"/>
        </w:numPr>
        <w:rPr>
          <w:rFonts w:ascii="Sylfaen" w:hAnsi="Sylfaen"/>
          <w:lang w:val="ka-GE"/>
        </w:rPr>
      </w:pPr>
      <w:r>
        <w:rPr>
          <w:rFonts w:ascii="Sylfaen" w:hAnsi="Sylfaen"/>
          <w:lang w:val="ka-GE"/>
        </w:rPr>
        <w:t xml:space="preserve"> </w:t>
      </w:r>
      <w:r w:rsidR="00FE7D70">
        <w:rPr>
          <w:rFonts w:ascii="Sylfaen" w:hAnsi="Sylfaen"/>
          <w:lang w:val="ka-GE"/>
        </w:rPr>
        <w:t xml:space="preserve">ზემოთგანხილული პრინციპების გათვალისწინებით, სასამართლომ უნდა განსაზღვროს თუ რამდენად ჰქონდა განხილულ სისტემას კანონიერი მიზანი და არსებობდა თუ არა პროპორციული კავშირი გამოყენებულ საშუალებებსა და მისაღწევ მიზანს შორის. </w:t>
      </w:r>
      <w:r w:rsidR="0035500F">
        <w:rPr>
          <w:rFonts w:ascii="Sylfaen" w:hAnsi="Sylfaen"/>
          <w:lang w:val="ka-GE"/>
        </w:rPr>
        <w:t>მოცემული ორი კრიტერიუმის გამოყენება დაეხმარება მას დაადგინოს თუ რამდენად წარმოადგენდა გასაჩივრებული ზომები კონვენციის მე-14 მუხლით აკრძალულ დისკრიმინაციას და ახდენდა თუ არა N.1 ოქმის მე-3 მუხლით დაცული ხალხის მოსაზრების თავისუფლად გამოხატვის უფლების არსის შეზღუდვას.</w:t>
      </w:r>
    </w:p>
    <w:p w:rsidRPr="0035500F" w:rsidR="0035500F" w:rsidP="0035500F" w:rsidRDefault="0035500F">
      <w:pPr>
        <w:rPr>
          <w:rFonts w:ascii="Sylfaen" w:hAnsi="Sylfaen"/>
          <w:i/>
          <w:lang w:val="ka-GE"/>
        </w:rPr>
      </w:pPr>
      <w:r>
        <w:rPr>
          <w:rFonts w:ascii="Sylfaen" w:hAnsi="Sylfaen"/>
          <w:i/>
          <w:lang w:val="ka-GE"/>
        </w:rPr>
        <w:t>2. განსხვავება მოპყრობაში ემსახურებოდა თუ არა კანონიერ მიზანს</w:t>
      </w:r>
    </w:p>
    <w:p w:rsidR="00643EF8" w:rsidRDefault="0035500F">
      <w:pPr>
        <w:numPr>
          <w:ilvl w:val="0"/>
          <w:numId w:val="1"/>
        </w:numPr>
        <w:rPr>
          <w:rFonts w:ascii="Sylfaen" w:hAnsi="Sylfaen"/>
          <w:lang w:val="ka-GE"/>
        </w:rPr>
      </w:pPr>
      <w:r>
        <w:rPr>
          <w:rFonts w:ascii="Sylfaen" w:hAnsi="Sylfaen"/>
          <w:lang w:val="ka-GE"/>
        </w:rPr>
        <w:t>პოლიტიკური პარტიების დაფინანსებასთან დაკავშირებით სასამართლო აღიარებს, რომ პარტიის წევრთა საწევროები, დაფინანსების ტრადიციული წყარო, აღარ არის საკმარისი მუდმივად მზარდი ხარჯების დასაფარად პოლიტიკური შეჯიბრებითობისა და თანამედროვე კომუნიკაციის კომპლექსური და ხარჯიანი საშუალებების ზრდის გათვალისწინებით. იგი აღნიშნავს, რომ ევროპაში, ისევე როგორც დანარჩენ სამყაროში, პოლიტიკური პარტიების სახელმწიფოს მიერ დაფინანსება მიზნად ისახავს კორუფციის პრევენციასა და პარტიების მიერ კერძო დონორებზე გადამეტებული დამოკიდებულების თავიდან აცილებას. აღნიშნულიდან გამომდინარეობს, რომ მოცემული დაფინანსება გამიზნულია პოლიტიკური პლურალიზმის გასაძლიერებლად და ხელს უწყობს დემოკრატიული ინსტიტუტების ჯეროვან ფუნქციონირებას.</w:t>
      </w:r>
    </w:p>
    <w:p w:rsidR="008C6BF7" w:rsidRDefault="009B79D4">
      <w:pPr>
        <w:numPr>
          <w:ilvl w:val="0"/>
          <w:numId w:val="1"/>
        </w:numPr>
        <w:rPr>
          <w:rFonts w:ascii="Sylfaen" w:hAnsi="Sylfaen"/>
          <w:lang w:val="ka-GE"/>
        </w:rPr>
      </w:pPr>
      <w:r>
        <w:rPr>
          <w:rFonts w:ascii="Sylfaen" w:hAnsi="Sylfaen"/>
          <w:lang w:val="ka-GE"/>
        </w:rPr>
        <w:t xml:space="preserve">ევროპის უმეტეს ქვეყნებში არსებული სისტემების შესწავლა ადასტურებს, რომ ამ სფეროში არ არსებობს ერთგვაროვანი სისტემა. ამ მხრივ სასამართლო აღნიშნავს, რომ არჩევნების დროს პოლიტიკური პარტიებისათვის გაცემული თანხა იყოფა პარტიებს შორის მკაცრად თანაბრად ან </w:t>
      </w:r>
      <w:r w:rsidR="006A43FD">
        <w:rPr>
          <w:rFonts w:ascii="Sylfaen" w:hAnsi="Sylfaen"/>
          <w:lang w:val="ka-GE"/>
        </w:rPr>
        <w:t>სამართლიანი განაწილებით</w:t>
      </w:r>
      <w:r w:rsidR="00677B17">
        <w:rPr>
          <w:rFonts w:ascii="Sylfaen" w:hAnsi="Sylfaen"/>
          <w:lang w:val="ka-GE"/>
        </w:rPr>
        <w:t>.</w:t>
      </w:r>
      <w:r>
        <w:rPr>
          <w:rFonts w:ascii="Sylfaen" w:hAnsi="Sylfaen"/>
          <w:lang w:val="ka-GE"/>
        </w:rPr>
        <w:t xml:space="preserve"> ანუ იმის მიხედვით თუ რა შედეგები ჰქონდათ წინა არჩევნებში.</w:t>
      </w:r>
    </w:p>
    <w:p w:rsidR="00643EF8" w:rsidRDefault="009B79D4">
      <w:pPr>
        <w:numPr>
          <w:ilvl w:val="0"/>
          <w:numId w:val="1"/>
        </w:numPr>
        <w:rPr>
          <w:rFonts w:ascii="Sylfaen" w:hAnsi="Sylfaen"/>
          <w:lang w:val="ka-GE"/>
        </w:rPr>
      </w:pPr>
      <w:r>
        <w:rPr>
          <w:rFonts w:ascii="Sylfaen" w:hAnsi="Sylfaen"/>
          <w:lang w:val="ka-GE"/>
        </w:rPr>
        <w:t xml:space="preserve">ასევე აღსანიშნავნია, რომ იმ ხელშემკვრელ სახლმწიფოებში, რომლებმაც აირჩიეს საჯარო დაფინანსების </w:t>
      </w:r>
      <w:r w:rsidRPr="006A43FD" w:rsidR="006A43FD">
        <w:rPr>
          <w:rFonts w:ascii="Sylfaen" w:hAnsi="Sylfaen"/>
          <w:lang w:val="ka-GE"/>
        </w:rPr>
        <w:t>სამართლიანი</w:t>
      </w:r>
      <w:r>
        <w:rPr>
          <w:rFonts w:ascii="Sylfaen" w:hAnsi="Sylfaen"/>
          <w:lang w:val="ka-GE"/>
        </w:rPr>
        <w:t xml:space="preserve"> დისტრიბუციის სისტემა, თითქმის ყოველთვის სავალდებულოა ელექტორატის მხარდაჭერის მინიმალური ზღვარის დაკმაყოფილება. თუკი არ ხდება ამგვარი მინიმალური ზღვარის დადგენა, სავარაუდოა რომ სისტემა იქონიებს ნეგატიურ გავლენას და ხელს შეუწყობს კანდიდატთა რაოდენიბის ზრდას, რაც გამოწვეული იქნება მომეტებული დაფინანსების მიღების სურვილით და რაც შედეგად მოიტანს კანდიდატების გადამეტებულ რაოდენობას, რადგან ყოველი მოპოვებული ხმა უნდა ითარგმნოს საჯარო დაფინანსების წლიურ ოდენობაში.</w:t>
      </w:r>
    </w:p>
    <w:p w:rsidR="00643EF8" w:rsidRDefault="009B79D4">
      <w:pPr>
        <w:numPr>
          <w:ilvl w:val="0"/>
          <w:numId w:val="1"/>
        </w:numPr>
        <w:rPr>
          <w:rFonts w:ascii="Sylfaen" w:hAnsi="Sylfaen"/>
          <w:lang w:val="ka-GE"/>
        </w:rPr>
      </w:pPr>
      <w:r>
        <w:rPr>
          <w:rFonts w:ascii="Sylfaen" w:hAnsi="Sylfaen"/>
          <w:lang w:val="ka-GE"/>
        </w:rPr>
        <w:t>თურქეთის გარდა სხვა წევრ სახელმწიფოებში იმისათვის</w:t>
      </w:r>
      <w:r w:rsidR="00677B17">
        <w:rPr>
          <w:rFonts w:ascii="Sylfaen" w:hAnsi="Sylfaen"/>
          <w:lang w:val="ka-GE"/>
        </w:rPr>
        <w:t>,</w:t>
      </w:r>
      <w:r>
        <w:rPr>
          <w:rFonts w:ascii="Sylfaen" w:hAnsi="Sylfaen"/>
          <w:lang w:val="ka-GE"/>
        </w:rPr>
        <w:t xml:space="preserve"> რომ პოლიტიკურმა პარტიამ მიიღოს საჯარო დაფინანსება, ხმათა მინიმალური ხვედრითი წილი მერყეობს წინა არჩევნებში მიცემულ ხმათა 0.5%-დან 5%-მდე და ხშირად იმ საარჩევნო ზღვარზე</w:t>
      </w:r>
      <w:r w:rsidR="00643EF8">
        <w:rPr>
          <w:rFonts w:ascii="Sylfaen" w:hAnsi="Sylfaen"/>
          <w:lang w:val="ka-GE"/>
        </w:rPr>
        <w:t xml:space="preserve"> </w:t>
      </w:r>
      <w:r>
        <w:rPr>
          <w:rFonts w:ascii="Sylfaen" w:hAnsi="Sylfaen"/>
          <w:lang w:val="ka-GE"/>
        </w:rPr>
        <w:t>ნაკლებია რაც დაწესებულია პარლამენტში ადგილების მოსაპოვებლად. შესაბამისად, პარლამენტში წარმოდგენილ პარტიებთან ერთად, ახალ პოლიტიკურ პარტიებსაც, რომელთაც გააჩნიათ მოქალაქეთა მინიმალური მხარდაჭერა, ეძლევათ საჯარო დაფინანსება მა</w:t>
      </w:r>
      <w:r w:rsidR="00843159">
        <w:rPr>
          <w:rFonts w:ascii="Sylfaen" w:hAnsi="Sylfaen"/>
          <w:lang w:val="ka-GE"/>
        </w:rPr>
        <w:t>თ მიერ წინა არჩევნებზე მოპოვებული ხმების პროპორციულად.</w:t>
      </w:r>
    </w:p>
    <w:p w:rsidR="008044AD" w:rsidRDefault="008044AD">
      <w:pPr>
        <w:numPr>
          <w:ilvl w:val="0"/>
          <w:numId w:val="1"/>
        </w:numPr>
        <w:rPr>
          <w:rFonts w:ascii="Sylfaen" w:hAnsi="Sylfaen"/>
          <w:lang w:val="ka-GE"/>
        </w:rPr>
      </w:pPr>
      <w:r>
        <w:rPr>
          <w:rFonts w:ascii="Sylfaen" w:hAnsi="Sylfaen"/>
          <w:lang w:val="ka-GE"/>
        </w:rPr>
        <w:t>სასამართლო ასევე აღნიშნავს, რომ ევროპის საბჭოს მიერ, პლურალისტულ დემოკრატიულ რეჟიმში პოლიტიკურ პარტიებთან დაკავშირებული მიღებული არცერთი ინსტრუმენტი არ მიიჩნევს არაგონივრულად ეროვნული კანონმდებლობის მიხედვით დადგენილ მოთხოვნას, რომლის მიხედვითაც პარტია, რომელსაც სურს საჯარო დაფინანსების მიღება უნდა სარგებლობდეს ამომრჩეველთა მინიმალური ოდენობის მხარდაჭერით მაინც; ასევე გონივრულადაა მიჩნეული ამ მხრივ კონკრეტული პროცენტული მაჩვენებლების დადგენაც. ამ მხრივ სასამართლო მოიშველიებს რამდენიმე სპეციალური ინსტიტუტის დასკვნებს, რომელიც იძლევა რეკომენდაციას თავიდან იქნას აცილებული გადამეტებით მაღალი ბარიერის დადგენა, რადგან ამ უკანასკნელმა შესაძლოა ნეგატიურად იმოქმედოს პოლიტიკურ პლურალიზმსა და პატარა პოლიტიკურ პარტიებზე (</w:t>
      </w:r>
      <w:r w:rsidR="0019313D">
        <w:rPr>
          <w:rFonts w:ascii="Sylfaen" w:hAnsi="Sylfaen"/>
          <w:lang w:val="ka-GE"/>
        </w:rPr>
        <w:t xml:space="preserve"> იხ. </w:t>
      </w:r>
      <w:r w:rsidRPr="0049799F" w:rsidR="0019313D">
        <w:rPr>
          <w:rFonts w:ascii="Sylfaen" w:hAnsi="Sylfaen"/>
          <w:lang w:val="ka-GE"/>
        </w:rPr>
        <w:t>OSCE/ODIHR</w:t>
      </w:r>
      <w:r w:rsidR="0019313D">
        <w:rPr>
          <w:rFonts w:ascii="Sylfaen" w:hAnsi="Sylfaen"/>
          <w:lang w:val="ka-GE"/>
        </w:rPr>
        <w:t xml:space="preserve"> და ვენეციის კომისიის მიერ შედგენილი სახელმძღვანელო პრინციპები პოლიტიკური პარტიების რეგულირების შესახებ, მიღებული 2010 წლის 15 და 16 ოქტომბერს, პარაგრაფი 185, </w:t>
      </w:r>
      <w:r w:rsidRPr="0049799F" w:rsidR="0019313D">
        <w:rPr>
          <w:rFonts w:ascii="Sylfaen" w:hAnsi="Sylfaen"/>
          <w:lang w:val="ka-GE"/>
        </w:rPr>
        <w:t>(CDL</w:t>
      </w:r>
      <w:r w:rsidRPr="0049799F" w:rsidR="0019313D">
        <w:rPr>
          <w:rFonts w:ascii="Sylfaen" w:hAnsi="Sylfaen"/>
          <w:lang w:val="ka-GE"/>
        </w:rPr>
        <w:noBreakHyphen/>
        <w:t xml:space="preserve">AD(2010)024) </w:t>
      </w:r>
      <w:r w:rsidR="0019313D">
        <w:rPr>
          <w:rFonts w:ascii="Sylfaen" w:hAnsi="Sylfaen"/>
          <w:lang w:val="ka-GE"/>
        </w:rPr>
        <w:t>- იხ. პარაგრაფი 20 ზემოთ).</w:t>
      </w:r>
      <w:r w:rsidR="00643EF8">
        <w:rPr>
          <w:rFonts w:ascii="Sylfaen" w:hAnsi="Sylfaen"/>
          <w:lang w:val="ka-GE"/>
        </w:rPr>
        <w:t xml:space="preserve"> </w:t>
      </w:r>
      <w:r w:rsidR="0049799F">
        <w:rPr>
          <w:rFonts w:ascii="Sylfaen" w:hAnsi="Sylfaen"/>
          <w:lang w:val="ka-GE"/>
        </w:rPr>
        <w:t>ამასთანავე, მითითებული გახლდათ, რომ საჯარო დაფინანსების ფორმულის შემუშავებისას თავიდან უნდა ყოფილიყო აცილებული ორი უდიდესი პოლიტიკური პარტიის მიერ საჯარო დაფინანსების მიღების მონოპოლიზება (</w:t>
      </w:r>
      <w:r w:rsidRPr="0049799F" w:rsidR="0049799F">
        <w:rPr>
          <w:rFonts w:ascii="Sylfaen" w:hAnsi="Sylfaen"/>
          <w:lang w:val="ka-GE"/>
        </w:rPr>
        <w:t>ibid</w:t>
      </w:r>
      <w:r w:rsidR="0049799F">
        <w:rPr>
          <w:rFonts w:ascii="Sylfaen" w:hAnsi="Sylfaen"/>
          <w:lang w:val="ka-GE"/>
        </w:rPr>
        <w:t>,. პარაგრაფი 187).</w:t>
      </w:r>
    </w:p>
    <w:p w:rsidR="00643EF8" w:rsidRDefault="0049799F">
      <w:pPr>
        <w:numPr>
          <w:ilvl w:val="0"/>
          <w:numId w:val="1"/>
        </w:numPr>
        <w:rPr>
          <w:rFonts w:ascii="Sylfaen" w:hAnsi="Sylfaen"/>
          <w:lang w:val="ka-GE"/>
        </w:rPr>
      </w:pPr>
      <w:r>
        <w:rPr>
          <w:rFonts w:ascii="Sylfaen" w:hAnsi="Sylfaen"/>
          <w:lang w:val="ka-GE"/>
        </w:rPr>
        <w:t xml:space="preserve">ზემოთაღნიშნულის გათვალისწინებით სასამართლო მიიჩნევს, რომ პოლიტიკური პარტიებისათვის საჯარო დაფინანსების გაცემა </w:t>
      </w:r>
      <w:r w:rsidRPr="006A43FD" w:rsidR="006A43FD">
        <w:rPr>
          <w:rFonts w:ascii="Sylfaen" w:hAnsi="Sylfaen"/>
          <w:lang w:val="ka-GE"/>
        </w:rPr>
        <w:t>სამართლიანი</w:t>
      </w:r>
      <w:r>
        <w:rPr>
          <w:rFonts w:ascii="Sylfaen" w:hAnsi="Sylfaen"/>
          <w:lang w:val="ka-GE"/>
        </w:rPr>
        <w:t xml:space="preserve"> დისტრიბუციის სისტემით, რომელიც საჭიროებს ამომრჩეველთა მინიმალური ზღვარის მხარდაჭერას ეფუძნება კანონიერ მიზანს გააძლიერო</w:t>
      </w:r>
      <w:r w:rsidRPr="006A43FD">
        <w:rPr>
          <w:rFonts w:ascii="Sylfaen" w:hAnsi="Sylfaen"/>
          <w:lang w:val="ka-GE"/>
        </w:rPr>
        <w:t>ს</w:t>
      </w:r>
      <w:r>
        <w:rPr>
          <w:rFonts w:ascii="Sylfaen" w:hAnsi="Sylfaen"/>
          <w:lang w:val="ka-GE"/>
        </w:rPr>
        <w:t xml:space="preserve"> დემოკრატიული პლურალიზმი კანდიდატურების მომეტებული და უფუნქციო ფრაგმენ</w:t>
      </w:r>
      <w:r w:rsidR="008261F0">
        <w:rPr>
          <w:rFonts w:ascii="Sylfaen" w:hAnsi="Sylfaen"/>
          <w:lang w:val="ka-GE"/>
        </w:rPr>
        <w:t>ტ</w:t>
      </w:r>
      <w:r>
        <w:rPr>
          <w:rFonts w:ascii="Sylfaen" w:hAnsi="Sylfaen"/>
          <w:lang w:val="ka-GE"/>
        </w:rPr>
        <w:t xml:space="preserve">აციის თავიდან აცილების გზით, რაც გამოიწვევს კანონმდებლის არჩევისას ხალხის მოსაზრების გამოხატვის გაძლიერებას (იხ. იმავე შედეგით საქმე </w:t>
      </w:r>
      <w:r w:rsidRPr="0049799F">
        <w:rPr>
          <w:rFonts w:ascii="Sylfaen" w:hAnsi="Sylfaen"/>
          <w:i/>
          <w:lang w:val="ka-GE"/>
        </w:rPr>
        <w:t>Fournier v. France</w:t>
      </w:r>
      <w:smartTag w:uri="urn:schemas-microsoft-com:office:smarttags" w:element="PersonName">
        <w:r w:rsidRPr="0049799F">
          <w:rPr>
            <w:rFonts w:ascii="Sylfaen" w:hAnsi="Sylfaen"/>
            <w:lang w:val="ka-GE"/>
          </w:rPr>
          <w:t>,</w:t>
        </w:r>
      </w:smartTag>
      <w:r w:rsidRPr="0049799F">
        <w:rPr>
          <w:rFonts w:ascii="Sylfaen" w:hAnsi="Sylfaen"/>
          <w:lang w:val="ka-GE"/>
        </w:rPr>
        <w:t xml:space="preserve"> no. 11406/85</w:t>
      </w:r>
      <w:smartTag w:uri="urn:schemas-microsoft-com:office:smarttags" w:element="PersonName">
        <w:r w:rsidRPr="0049799F">
          <w:rPr>
            <w:rFonts w:ascii="Sylfaen" w:hAnsi="Sylfaen"/>
            <w:lang w:val="ka-GE"/>
          </w:rPr>
          <w:t>,</w:t>
        </w:r>
      </w:smartTag>
      <w:r w:rsidRPr="0049799F">
        <w:rPr>
          <w:rFonts w:ascii="Sylfaen" w:hAnsi="Sylfaen"/>
          <w:lang w:val="ka-GE"/>
        </w:rPr>
        <w:t xml:space="preserve"> </w:t>
      </w:r>
      <w:r>
        <w:rPr>
          <w:rFonts w:ascii="Sylfaen" w:hAnsi="Sylfaen"/>
          <w:lang w:val="ka-GE"/>
        </w:rPr>
        <w:t>კომისიის განჩინება</w:t>
      </w:r>
      <w:r w:rsidRPr="0049799F">
        <w:rPr>
          <w:rFonts w:ascii="Sylfaen" w:hAnsi="Sylfaen"/>
          <w:lang w:val="ka-GE"/>
        </w:rPr>
        <w:t xml:space="preserve"> 10 </w:t>
      </w:r>
      <w:r>
        <w:rPr>
          <w:rFonts w:ascii="Sylfaen" w:hAnsi="Sylfaen"/>
          <w:lang w:val="ka-GE"/>
        </w:rPr>
        <w:t>მარტი</w:t>
      </w:r>
      <w:r w:rsidRPr="0049799F">
        <w:rPr>
          <w:rFonts w:ascii="Sylfaen" w:hAnsi="Sylfaen"/>
          <w:lang w:val="ka-GE"/>
        </w:rPr>
        <w:t xml:space="preserve"> 1988</w:t>
      </w:r>
      <w:smartTag w:uri="urn:schemas-microsoft-com:office:smarttags" w:element="PersonName">
        <w:r w:rsidRPr="0049799F">
          <w:rPr>
            <w:rFonts w:ascii="Sylfaen" w:hAnsi="Sylfaen"/>
            <w:lang w:val="ka-GE"/>
          </w:rPr>
          <w:t>,</w:t>
        </w:r>
      </w:smartTag>
      <w:r w:rsidRPr="0049799F">
        <w:rPr>
          <w:rFonts w:ascii="Sylfaen" w:hAnsi="Sylfaen"/>
          <w:lang w:val="ka-GE"/>
        </w:rPr>
        <w:t xml:space="preserve"> DR 55</w:t>
      </w:r>
      <w:smartTag w:uri="urn:schemas-microsoft-com:office:smarttags" w:element="PersonName">
        <w:r w:rsidRPr="0049799F">
          <w:rPr>
            <w:rFonts w:ascii="Sylfaen" w:hAnsi="Sylfaen"/>
            <w:lang w:val="ka-GE"/>
          </w:rPr>
          <w:t>,</w:t>
        </w:r>
      </w:smartTag>
      <w:r w:rsidRPr="0049799F">
        <w:rPr>
          <w:rFonts w:ascii="Sylfaen" w:hAnsi="Sylfaen"/>
          <w:lang w:val="ka-GE"/>
        </w:rPr>
        <w:t xml:space="preserve"> p. 130, </w:t>
      </w:r>
      <w:r>
        <w:rPr>
          <w:rFonts w:ascii="Sylfaen" w:hAnsi="Sylfaen"/>
          <w:lang w:val="ka-GE"/>
        </w:rPr>
        <w:t>და</w:t>
      </w:r>
      <w:r w:rsidRPr="0049799F">
        <w:rPr>
          <w:rFonts w:ascii="Sylfaen" w:hAnsi="Sylfaen"/>
          <w:lang w:val="ka-GE"/>
        </w:rPr>
        <w:t xml:space="preserve">, </w:t>
      </w:r>
      <w:r w:rsidRPr="0049799F">
        <w:rPr>
          <w:rFonts w:ascii="Sylfaen" w:hAnsi="Sylfaen"/>
          <w:i/>
          <w:lang w:val="ka-GE"/>
        </w:rPr>
        <w:t>mutatis mutandis</w:t>
      </w:r>
      <w:smartTag w:uri="urn:schemas-microsoft-com:office:smarttags" w:element="PersonName">
        <w:r w:rsidRPr="0049799F">
          <w:rPr>
            <w:rFonts w:ascii="Sylfaen" w:hAnsi="Sylfaen"/>
            <w:lang w:val="ka-GE"/>
          </w:rPr>
          <w:t>,</w:t>
        </w:r>
      </w:smartTag>
      <w:r w:rsidRPr="0049799F">
        <w:rPr>
          <w:rFonts w:ascii="Sylfaen" w:hAnsi="Sylfaen"/>
          <w:lang w:val="ka-GE"/>
        </w:rPr>
        <w:t xml:space="preserve"> </w:t>
      </w:r>
      <w:r w:rsidRPr="0049799F">
        <w:rPr>
          <w:rFonts w:ascii="Sylfaen" w:hAnsi="Sylfaen"/>
          <w:i/>
          <w:lang w:val="ka-GE"/>
        </w:rPr>
        <w:t xml:space="preserve">Cheminade v. France </w:t>
      </w:r>
      <w:r w:rsidRPr="0049799F">
        <w:rPr>
          <w:rFonts w:ascii="Sylfaen" w:hAnsi="Sylfaen"/>
          <w:lang w:val="ka-GE"/>
        </w:rPr>
        <w:t>(dec.), no. 31559/96, ECHR 1999-II,</w:t>
      </w:r>
      <w:r>
        <w:rPr>
          <w:rFonts w:ascii="Sylfaen" w:hAnsi="Sylfaen"/>
          <w:lang w:val="ka-GE"/>
        </w:rPr>
        <w:t xml:space="preserve"> რომელიც ეხება საჯარო დაფინანსების სისტემას, რომელმაც შეზღუდა კამპანიების ღირებულებების ანაზღაურება და იმ</w:t>
      </w:r>
      <w:r w:rsidR="00643EF8">
        <w:rPr>
          <w:rFonts w:ascii="Sylfaen" w:hAnsi="Sylfaen"/>
          <w:lang w:val="ka-GE"/>
        </w:rPr>
        <w:t xml:space="preserve"> </w:t>
      </w:r>
      <w:r>
        <w:rPr>
          <w:rFonts w:ascii="Sylfaen" w:hAnsi="Sylfaen"/>
          <w:lang w:val="ka-GE"/>
        </w:rPr>
        <w:t>კანდიდატებისა და სიებისათვის დეპოზიტების გაცემა, რომლებმა მიიღეს ხმათა გარკვეული რაოდენობა).</w:t>
      </w:r>
    </w:p>
    <w:p w:rsidR="003F314A" w:rsidP="003F314A" w:rsidRDefault="003F314A">
      <w:pPr>
        <w:rPr>
          <w:rFonts w:ascii="Sylfaen" w:hAnsi="Sylfaen"/>
          <w:i/>
          <w:lang w:val="ka-GE"/>
        </w:rPr>
      </w:pPr>
      <w:r>
        <w:rPr>
          <w:rFonts w:ascii="Sylfaen" w:hAnsi="Sylfaen"/>
          <w:i/>
          <w:lang w:val="ka-GE"/>
        </w:rPr>
        <w:tab/>
        <w:t xml:space="preserve">3. იყო თუ არა </w:t>
      </w:r>
      <w:r w:rsidR="00782A38">
        <w:rPr>
          <w:rFonts w:ascii="Sylfaen" w:hAnsi="Sylfaen"/>
          <w:i/>
          <w:lang w:val="ka-GE"/>
        </w:rPr>
        <w:t>განსხვავებული</w:t>
      </w:r>
      <w:r>
        <w:rPr>
          <w:rFonts w:ascii="Sylfaen" w:hAnsi="Sylfaen"/>
          <w:i/>
          <w:lang w:val="ka-GE"/>
        </w:rPr>
        <w:t xml:space="preserve"> მოპყრობა პროპორციული</w:t>
      </w:r>
    </w:p>
    <w:p w:rsidR="00643EF8" w:rsidP="00782A38" w:rsidRDefault="00782A38">
      <w:pPr>
        <w:numPr>
          <w:ilvl w:val="0"/>
          <w:numId w:val="1"/>
        </w:numPr>
        <w:rPr>
          <w:rFonts w:ascii="Sylfaen" w:hAnsi="Sylfaen"/>
          <w:lang w:val="ka-GE"/>
        </w:rPr>
      </w:pPr>
      <w:r>
        <w:rPr>
          <w:rFonts w:ascii="Sylfaen" w:hAnsi="Sylfaen"/>
          <w:lang w:val="ka-GE"/>
        </w:rPr>
        <w:t xml:space="preserve">სასამართლო აღნიშნავს, რომ ელექტორატის მხარდაჭერის მინიმალური ოდენობა, რომელსაც უნდა აკმაყოფილებდნენ პარტიები, რომელთაც სურთ საჯარო დაფინანსების მიღება თურქეთში წარმოადგენს წინა საპარლამენტო არჩევნებში ხმების 7%-ს; მოცემული ბარიერი არის ყველაზე მაღალი ევროპაში (იხ. პარაგრაფი 40 ზემოთ). იმისათვის რომ სასამართლომ ჩათვალოს, რომ მოცემული ბარიერი არ არის არაპროპორციული, სასამართლო პირველ რიგში შეაფასებს მის შედეგებს და შემდეგ კი განიხილავს მის თანხმლებ </w:t>
      </w:r>
      <w:r w:rsidR="008261F0">
        <w:rPr>
          <w:rFonts w:ascii="Sylfaen" w:hAnsi="Sylfaen"/>
          <w:lang w:val="ka-GE"/>
        </w:rPr>
        <w:t>მაკორექტირებელ</w:t>
      </w:r>
      <w:r>
        <w:rPr>
          <w:rFonts w:ascii="Sylfaen" w:hAnsi="Sylfaen"/>
          <w:lang w:val="ka-GE"/>
        </w:rPr>
        <w:t xml:space="preserve"> მექანიზმებს.</w:t>
      </w:r>
    </w:p>
    <w:p w:rsidR="00643EF8" w:rsidP="00782A38" w:rsidRDefault="00782A38">
      <w:pPr>
        <w:numPr>
          <w:ilvl w:val="0"/>
          <w:numId w:val="1"/>
        </w:numPr>
        <w:rPr>
          <w:rFonts w:ascii="Sylfaen" w:hAnsi="Sylfaen"/>
          <w:lang w:val="ka-GE"/>
        </w:rPr>
      </w:pPr>
      <w:r>
        <w:rPr>
          <w:rFonts w:ascii="Sylfaen" w:hAnsi="Sylfaen"/>
          <w:lang w:val="ka-GE"/>
        </w:rPr>
        <w:t>სასამართლო პირველ რიგში აღნიშნავს, რომ ელექტორატის მხარდაჭერის 7% ბარიერი არის იმაზე ნაკლები</w:t>
      </w:r>
      <w:r w:rsidR="00677B17">
        <w:rPr>
          <w:rFonts w:ascii="Sylfaen" w:hAnsi="Sylfaen"/>
          <w:lang w:val="ka-GE"/>
        </w:rPr>
        <w:t>,</w:t>
      </w:r>
      <w:r>
        <w:rPr>
          <w:rFonts w:ascii="Sylfaen" w:hAnsi="Sylfaen"/>
          <w:lang w:val="ka-GE"/>
        </w:rPr>
        <w:t xml:space="preserve"> ვიდრე თურქეთის პარლამენტში ადგილების მოსაპოვებლად განსაზღვრული ეროვნული მასშტაბით 10%. მოცემულ საქმეში განხილულ საპარლამენტო არჩევნების კონტექსტში, პარლამენტში წარმომადგენლობის არმქონე პოლიტიკური პარტიები, რომელთაც მიაღწიეს დაწესებულ ხმათა 7% ბარიერს უფლებამოსილნი იყვნენ მიეღოთ სახე</w:t>
      </w:r>
      <w:r w:rsidR="00677B17">
        <w:rPr>
          <w:rFonts w:ascii="Sylfaen" w:hAnsi="Sylfaen"/>
          <w:lang w:val="ka-GE"/>
        </w:rPr>
        <w:t>ლ</w:t>
      </w:r>
      <w:r>
        <w:rPr>
          <w:rFonts w:ascii="Sylfaen" w:hAnsi="Sylfaen"/>
          <w:lang w:val="ka-GE"/>
        </w:rPr>
        <w:t>მწიფო დაფინანსება შემდგომი არჩევნების წინ. 1999 წლის არჩევნებში, ექვსი პარტიიდან</w:t>
      </w:r>
      <w:r w:rsidR="00643EF8">
        <w:rPr>
          <w:rFonts w:ascii="Sylfaen" w:hAnsi="Sylfaen"/>
          <w:lang w:val="ka-GE"/>
        </w:rPr>
        <w:t xml:space="preserve"> </w:t>
      </w:r>
      <w:r>
        <w:rPr>
          <w:rFonts w:ascii="Sylfaen" w:hAnsi="Sylfaen"/>
          <w:lang w:val="ka-GE"/>
        </w:rPr>
        <w:t>ერთი, რომელმაც მიიღო საჯარო დაფინანსება, არ გახლდათ წარმოდგენილი პარლამენტში. 2002 წლის მაჩვენებელი იგივე გახლდათ, ხოლო 2007 წელს სამი პარტი</w:t>
      </w:r>
      <w:r w:rsidR="00677B17">
        <w:rPr>
          <w:rFonts w:ascii="Sylfaen" w:hAnsi="Sylfaen"/>
          <w:lang w:val="ka-GE"/>
        </w:rPr>
        <w:t>ა</w:t>
      </w:r>
      <w:r w:rsidR="00643EF8">
        <w:rPr>
          <w:rFonts w:ascii="Sylfaen" w:hAnsi="Sylfaen"/>
          <w:lang w:val="ka-GE"/>
        </w:rPr>
        <w:t xml:space="preserve"> </w:t>
      </w:r>
      <w:r>
        <w:rPr>
          <w:rFonts w:ascii="Sylfaen" w:hAnsi="Sylfaen"/>
          <w:lang w:val="ka-GE"/>
        </w:rPr>
        <w:t>არ გახლდათ წარმოდგენილი პარლამენტში და ორმა პარტიამ მიიღო საჯარო დაფინანსება.</w:t>
      </w:r>
      <w:r w:rsidR="00643EF8">
        <w:rPr>
          <w:rFonts w:ascii="Sylfaen" w:hAnsi="Sylfaen"/>
          <w:lang w:val="ka-GE"/>
        </w:rPr>
        <w:t xml:space="preserve"> </w:t>
      </w:r>
      <w:r>
        <w:rPr>
          <w:rFonts w:ascii="Sylfaen" w:hAnsi="Sylfaen"/>
          <w:lang w:val="ka-GE"/>
        </w:rPr>
        <w:t>ანუ,</w:t>
      </w:r>
      <w:r w:rsidR="00643EF8">
        <w:rPr>
          <w:rFonts w:ascii="Sylfaen" w:hAnsi="Sylfaen"/>
          <w:lang w:val="ka-GE"/>
        </w:rPr>
        <w:t xml:space="preserve"> </w:t>
      </w:r>
      <w:r>
        <w:rPr>
          <w:rFonts w:ascii="Sylfaen" w:hAnsi="Sylfaen"/>
          <w:lang w:val="ka-GE"/>
        </w:rPr>
        <w:t>სხვაგვარად რომ ვთქვათ, მოცემულ საქმეში განხილულ პერიოდში პარლამენტში წარმოდგენილმა პარტიებმა არ მოახდინეს საჯარო დაფინანსების მონოპოლიზება, აღნიშნული ვრცელდება როგორც ხელისუფლებაში მყოფ პარტიაზე, ისე</w:t>
      </w:r>
      <w:r w:rsidR="00677B17">
        <w:rPr>
          <w:rFonts w:ascii="Sylfaen" w:hAnsi="Sylfaen"/>
          <w:lang w:val="ka-GE"/>
        </w:rPr>
        <w:t>ვე</w:t>
      </w:r>
      <w:r>
        <w:rPr>
          <w:rFonts w:ascii="Sylfaen" w:hAnsi="Sylfaen"/>
          <w:lang w:val="ka-GE"/>
        </w:rPr>
        <w:t xml:space="preserve"> მთავარ ოპოზიციურ პარტიაზეც.</w:t>
      </w:r>
    </w:p>
    <w:p w:rsidR="00A9545E" w:rsidP="00782A38" w:rsidRDefault="00782A38">
      <w:pPr>
        <w:numPr>
          <w:ilvl w:val="0"/>
          <w:numId w:val="1"/>
        </w:numPr>
        <w:rPr>
          <w:rFonts w:ascii="Sylfaen" w:hAnsi="Sylfaen"/>
          <w:lang w:val="ka-GE"/>
        </w:rPr>
      </w:pPr>
      <w:r w:rsidRPr="000474D6">
        <w:rPr>
          <w:rFonts w:ascii="Sylfaen" w:hAnsi="Sylfaen"/>
          <w:lang w:val="ka-GE"/>
        </w:rPr>
        <w:t xml:space="preserve">სასამართლომ ამასთანავე უნდა გაითვალისწინოს "ოდპ" </w:t>
      </w:r>
      <w:r w:rsidR="000474D6">
        <w:rPr>
          <w:rFonts w:ascii="Sylfaen" w:hAnsi="Sylfaen"/>
          <w:lang w:val="ka-GE"/>
        </w:rPr>
        <w:t>შედეგები წინა საპარლამენტო არჩევნებში, რომლის დროსაც გაცემულ იქნა სადავო საჯარო დაფინანსება. მომჩივანი პარტიის მიერ მიღებულ იქნა ხმათა 0,8%-დან 0.15%-მდე. მოცემული მაჩვენებლები საკმაოდ დაბალი გახლდათ თურქეთის კანონმდებლობის მიერ დადგენილ სავალდებულო</w:t>
      </w:r>
      <w:r w:rsidR="00643EF8">
        <w:rPr>
          <w:rFonts w:ascii="Sylfaen" w:hAnsi="Sylfaen"/>
          <w:lang w:val="ka-GE"/>
        </w:rPr>
        <w:t xml:space="preserve"> </w:t>
      </w:r>
      <w:r w:rsidR="000474D6">
        <w:rPr>
          <w:rFonts w:ascii="Sylfaen" w:hAnsi="Sylfaen"/>
          <w:lang w:val="ka-GE"/>
        </w:rPr>
        <w:t>მინიმუმთან</w:t>
      </w:r>
      <w:r w:rsidR="00643EF8">
        <w:rPr>
          <w:rFonts w:ascii="Sylfaen" w:hAnsi="Sylfaen"/>
          <w:lang w:val="ka-GE"/>
        </w:rPr>
        <w:t xml:space="preserve"> </w:t>
      </w:r>
      <w:r w:rsidR="000474D6">
        <w:rPr>
          <w:rFonts w:ascii="Sylfaen" w:hAnsi="Sylfaen"/>
          <w:lang w:val="ka-GE"/>
        </w:rPr>
        <w:t xml:space="preserve">შედარებით და რიგ სხვა ევროპულ სახელმწიფოებშიც ჩაითვლებოდა არასაკმარისად რათა მის საფუძველზე გაცემულიყო დაფინანსება. მართალია მომჩივანი პარტიის საჩივარი არ წარმოადგენს </w:t>
      </w:r>
      <w:r w:rsidR="000474D6">
        <w:rPr>
          <w:rFonts w:ascii="Sylfaen" w:hAnsi="Sylfaen"/>
          <w:i/>
        </w:rPr>
        <w:t>actio popularis</w:t>
      </w:r>
      <w:r w:rsidR="000474D6">
        <w:rPr>
          <w:rFonts w:ascii="Sylfaen" w:hAnsi="Sylfaen"/>
          <w:lang w:val="ka-GE"/>
        </w:rPr>
        <w:t>-ს, რადგან პარტიაზე უშუალო გავლენა იქონია ხსენებულმა მინიმალურმა ზღვარმა, "ოდპ"-მ მაინც ვერ მოახერხა ეჩვენებინა სასამართლოსათვის, რომ მისი მხარდამჭერნი თურქეთის ელექტორატის მნიშვნელოვან ნაწილს წარმოადგენდა.</w:t>
      </w:r>
    </w:p>
    <w:p w:rsidR="000474D6" w:rsidP="00782A38" w:rsidRDefault="000474D6">
      <w:pPr>
        <w:numPr>
          <w:ilvl w:val="0"/>
          <w:numId w:val="1"/>
        </w:numPr>
        <w:rPr>
          <w:rFonts w:ascii="Sylfaen" w:hAnsi="Sylfaen"/>
          <w:lang w:val="ka-GE"/>
        </w:rPr>
      </w:pPr>
      <w:r>
        <w:rPr>
          <w:rFonts w:ascii="Sylfaen" w:hAnsi="Sylfaen"/>
          <w:lang w:val="ka-GE"/>
        </w:rPr>
        <w:t>ასევე გათვალისწინებულ უნდა იქნას, რომ პირდაპირი დაფინანსების გარდა სახელმწიფო პოლიტიკურ პარტიებს სთავაზობს სხვა ფორმის საჯარო მხარდაჭერასაც. მაკორექტირებელი მექანიზმები, რომელიც თან ახლავს თურქეთში მოქმედ საჯარო დაფინანსების სისტემას, რომლის მიხედვითაც ყველა პარტია არ არის უფლებამოსილი მიიღოს პირდაპირი სუბსიდიები, მოიცავს გადასახადებისაგან გათავისუფლებას რიგ შემოსავლებზე და სამაუწყებლო დროის გამოყოფას საარჩევნო კამპანიების დროს. მხარეების მიერ სადავოდ არ გახდილა ის ფაქტი, რომ "ოდპ"-მ ისარგებლა საჯარო დახმარების ალტერნატიული ფორმებით.</w:t>
      </w:r>
    </w:p>
    <w:p w:rsidR="004F66DD" w:rsidP="00782A38" w:rsidRDefault="000474D6">
      <w:pPr>
        <w:numPr>
          <w:ilvl w:val="0"/>
          <w:numId w:val="1"/>
        </w:numPr>
        <w:rPr>
          <w:rFonts w:ascii="Sylfaen" w:hAnsi="Sylfaen"/>
          <w:lang w:val="ka-GE"/>
        </w:rPr>
      </w:pPr>
      <w:r>
        <w:rPr>
          <w:rFonts w:ascii="Sylfaen" w:hAnsi="Sylfaen"/>
          <w:lang w:val="ka-GE"/>
        </w:rPr>
        <w:t>მოცემული დასკვნების გათვალისწინებით, რომლის მიხედვ</w:t>
      </w:r>
      <w:r w:rsidR="004F66DD">
        <w:rPr>
          <w:rFonts w:ascii="Sylfaen" w:hAnsi="Sylfaen"/>
          <w:lang w:val="ka-GE"/>
        </w:rPr>
        <w:t>ითაც "ოდპ"-მ ვერ მოახერხა მოქალაქეთა მინიმალური მხარდაჭერის ზღვარის გადალახვა და სხვა საჯარო დახმარების მიღების გათვალისწინებით, სასამართლო მიიჩნევს, რომ სადავო განსხვავებული მოპყრობა გონივრულად პროპორციული გახლდათ დასახული მიზნისა.</w:t>
      </w:r>
    </w:p>
    <w:p w:rsidR="004F66DD" w:rsidP="00782A38" w:rsidRDefault="004F66DD">
      <w:pPr>
        <w:numPr>
          <w:ilvl w:val="0"/>
          <w:numId w:val="1"/>
        </w:numPr>
        <w:rPr>
          <w:rFonts w:ascii="Sylfaen" w:hAnsi="Sylfaen"/>
          <w:lang w:val="ka-GE"/>
        </w:rPr>
      </w:pPr>
      <w:r>
        <w:rPr>
          <w:rFonts w:ascii="Sylfaen" w:hAnsi="Sylfaen"/>
          <w:lang w:val="ka-GE"/>
        </w:rPr>
        <w:t>სასამართლო ასკვნის, რომ წინამდებარე საქმის გარემოებებში, სახელმწი</w:t>
      </w:r>
      <w:r w:rsidR="0001757A">
        <w:rPr>
          <w:rFonts w:ascii="Sylfaen" w:hAnsi="Sylfaen"/>
          <w:lang w:val="ka-GE"/>
        </w:rPr>
        <w:t>ფ</w:t>
      </w:r>
      <w:r>
        <w:rPr>
          <w:rFonts w:ascii="Sylfaen" w:hAnsi="Sylfaen"/>
          <w:lang w:val="ka-GE"/>
        </w:rPr>
        <w:t>ოს უარი გაეწია "ოდპ"-სათვის პირდაპირი ფინანსური დახმარება</w:t>
      </w:r>
      <w:r w:rsidR="0001757A">
        <w:rPr>
          <w:rFonts w:ascii="Sylfaen" w:hAnsi="Sylfaen"/>
          <w:lang w:val="ka-GE"/>
        </w:rPr>
        <w:t>, რადგან</w:t>
      </w:r>
      <w:r w:rsidR="00643EF8">
        <w:rPr>
          <w:rFonts w:ascii="Sylfaen" w:hAnsi="Sylfaen"/>
          <w:lang w:val="ka-GE"/>
        </w:rPr>
        <w:t xml:space="preserve"> </w:t>
      </w:r>
      <w:r>
        <w:rPr>
          <w:rFonts w:ascii="Sylfaen" w:hAnsi="Sylfaen"/>
          <w:lang w:val="ka-GE"/>
        </w:rPr>
        <w:t>მას არ გადაულახავს კანონით ობიექტურად და გონივრულად დადგენილი ხმათა 7% ბარიერი, არ ლახავს ხალხის მოსაზრების თავისუფლად გამოხატვის უფლების არსს და შესაბამისად არ არის კონვენციის მე-14 მუხლის, N. 1 ოქმის მე-3 მუხლთან ერთობლიობაში წინააღმდეგ.</w:t>
      </w:r>
    </w:p>
    <w:p w:rsidR="00643EF8" w:rsidP="00782A38" w:rsidRDefault="004F66DD">
      <w:pPr>
        <w:numPr>
          <w:ilvl w:val="0"/>
          <w:numId w:val="1"/>
        </w:numPr>
        <w:rPr>
          <w:rFonts w:ascii="Sylfaen" w:hAnsi="Sylfaen"/>
          <w:lang w:val="ka-GE"/>
        </w:rPr>
      </w:pPr>
      <w:r>
        <w:rPr>
          <w:rFonts w:ascii="Sylfaen" w:hAnsi="Sylfaen"/>
          <w:lang w:val="ka-GE"/>
        </w:rPr>
        <w:t>შესაბამისად, ადგილი არ ჰქონია მოცემულ დებულებათა დარღვევას.</w:t>
      </w:r>
    </w:p>
    <w:p w:rsidR="001624E6" w:rsidP="001624E6" w:rsidRDefault="001624E6">
      <w:pPr>
        <w:rPr>
          <w:rFonts w:ascii="Sylfaen" w:hAnsi="Sylfaen"/>
          <w:lang w:val="ka-GE"/>
        </w:rPr>
      </w:pPr>
    </w:p>
    <w:p w:rsidRPr="001624E6" w:rsidR="001624E6" w:rsidP="001624E6" w:rsidRDefault="001624E6">
      <w:pPr>
        <w:rPr>
          <w:rFonts w:ascii="Sylfaen" w:hAnsi="Sylfaen"/>
          <w:sz w:val="24"/>
          <w:lang w:val="ka-GE"/>
        </w:rPr>
      </w:pPr>
      <w:r w:rsidRPr="001624E6">
        <w:rPr>
          <w:rFonts w:ascii="Sylfaen" w:hAnsi="Sylfaen"/>
          <w:sz w:val="24"/>
        </w:rPr>
        <w:t xml:space="preserve">III. </w:t>
      </w:r>
      <w:r w:rsidRPr="001624E6">
        <w:rPr>
          <w:rFonts w:ascii="Sylfaen" w:hAnsi="Sylfaen"/>
          <w:sz w:val="24"/>
          <w:lang w:val="ka-GE"/>
        </w:rPr>
        <w:t>კონვენციის მე-9, მე-10 და მე-11 მუხლების სავარაუდო დარღვევა</w:t>
      </w:r>
    </w:p>
    <w:p w:rsidR="000474D6" w:rsidP="00782A38" w:rsidRDefault="00643EF8">
      <w:pPr>
        <w:numPr>
          <w:ilvl w:val="0"/>
          <w:numId w:val="1"/>
        </w:numPr>
        <w:rPr>
          <w:rFonts w:ascii="Sylfaen" w:hAnsi="Sylfaen"/>
          <w:lang w:val="ka-GE"/>
        </w:rPr>
      </w:pPr>
      <w:r>
        <w:rPr>
          <w:rFonts w:ascii="Sylfaen" w:hAnsi="Sylfaen"/>
          <w:lang w:val="ka-GE"/>
        </w:rPr>
        <w:t xml:space="preserve"> </w:t>
      </w:r>
      <w:r w:rsidR="001624E6">
        <w:rPr>
          <w:rFonts w:ascii="Sylfaen" w:hAnsi="Sylfaen"/>
          <w:lang w:val="ka-GE"/>
        </w:rPr>
        <w:t>მომჩივანი პარტია ასევე ჩიოდა კონვენციის მე-9, მე-10 და მე-11 მუხლების დარღვევის შესახებ. იმის გამო, რომ მოცემული საჩივრები ეხება იმავე ფაქტებს რაც განხილულ იქნა კონვენციის მე-14 მუხლის ჭრილში N.1 ოქმის მე-3 მუხლთან ერთობლიობაში, სასამართლო არ მიიჩნევს მათ დამოუკიდებლად განხილვას მიზანშეწონილად.</w:t>
      </w:r>
    </w:p>
    <w:p w:rsidR="001624E6" w:rsidP="001624E6" w:rsidRDefault="001624E6">
      <w:pPr>
        <w:rPr>
          <w:rFonts w:ascii="Sylfaen" w:hAnsi="Sylfaen"/>
          <w:lang w:val="ka-GE"/>
        </w:rPr>
      </w:pPr>
    </w:p>
    <w:p w:rsidRPr="001624E6" w:rsidR="001624E6" w:rsidP="001624E6" w:rsidRDefault="001624E6">
      <w:pPr>
        <w:rPr>
          <w:rFonts w:ascii="Sylfaen" w:hAnsi="Sylfaen"/>
          <w:sz w:val="28"/>
          <w:lang w:val="ka-GE"/>
        </w:rPr>
      </w:pPr>
      <w:r w:rsidRPr="001624E6">
        <w:rPr>
          <w:rFonts w:ascii="Sylfaen" w:hAnsi="Sylfaen"/>
          <w:sz w:val="28"/>
          <w:lang w:val="ka-GE"/>
        </w:rPr>
        <w:t>აღნიშნული</w:t>
      </w:r>
      <w:r w:rsidR="00323D21">
        <w:rPr>
          <w:rFonts w:ascii="Sylfaen" w:hAnsi="Sylfaen"/>
          <w:sz w:val="28"/>
          <w:lang w:val="ka-GE"/>
        </w:rPr>
        <w:t>ს</w:t>
      </w:r>
      <w:r w:rsidRPr="001624E6">
        <w:rPr>
          <w:rFonts w:ascii="Sylfaen" w:hAnsi="Sylfaen"/>
          <w:sz w:val="28"/>
          <w:lang w:val="ka-GE"/>
        </w:rPr>
        <w:t xml:space="preserve"> გათვალისწინებით, სასამართლო</w:t>
      </w:r>
    </w:p>
    <w:p w:rsidR="00643EF8" w:rsidP="001624E6" w:rsidRDefault="001624E6">
      <w:pPr>
        <w:rPr>
          <w:rFonts w:ascii="Sylfaen" w:hAnsi="Sylfaen"/>
          <w:lang w:val="ka-GE"/>
        </w:rPr>
      </w:pPr>
      <w:r>
        <w:rPr>
          <w:rFonts w:ascii="Sylfaen" w:hAnsi="Sylfaen"/>
          <w:lang w:val="ka-GE"/>
        </w:rPr>
        <w:t xml:space="preserve">1. </w:t>
      </w:r>
      <w:r>
        <w:rPr>
          <w:rFonts w:ascii="Sylfaen" w:hAnsi="Sylfaen"/>
          <w:i/>
          <w:lang w:val="ka-GE"/>
        </w:rPr>
        <w:t>აცხადებს,</w:t>
      </w:r>
      <w:r w:rsidR="00323D21">
        <w:rPr>
          <w:rFonts w:ascii="Sylfaen" w:hAnsi="Sylfaen"/>
          <w:lang w:val="ka-GE"/>
        </w:rPr>
        <w:t xml:space="preserve"> ერთხმად,</w:t>
      </w:r>
      <w:r w:rsidR="00643EF8">
        <w:rPr>
          <w:rFonts w:ascii="Sylfaen" w:hAnsi="Sylfaen"/>
          <w:i/>
          <w:lang w:val="ka-GE"/>
        </w:rPr>
        <w:t xml:space="preserve"> </w:t>
      </w:r>
      <w:r>
        <w:rPr>
          <w:rFonts w:ascii="Sylfaen" w:hAnsi="Sylfaen"/>
          <w:lang w:val="ka-GE"/>
        </w:rPr>
        <w:t>საჩივარს მისაღებად</w:t>
      </w:r>
      <w:r w:rsidR="00323D21">
        <w:rPr>
          <w:rFonts w:ascii="Sylfaen" w:hAnsi="Sylfaen"/>
          <w:lang w:val="ka-GE"/>
        </w:rPr>
        <w:t>;</w:t>
      </w:r>
    </w:p>
    <w:p w:rsidR="001624E6" w:rsidP="001624E6" w:rsidRDefault="001624E6">
      <w:pPr>
        <w:rPr>
          <w:rFonts w:ascii="Sylfaen" w:hAnsi="Sylfaen"/>
          <w:lang w:val="ka-GE"/>
        </w:rPr>
      </w:pPr>
      <w:r>
        <w:rPr>
          <w:rFonts w:ascii="Sylfaen" w:hAnsi="Sylfaen"/>
          <w:lang w:val="ka-GE"/>
        </w:rPr>
        <w:t xml:space="preserve">2. </w:t>
      </w:r>
      <w:r>
        <w:rPr>
          <w:rFonts w:ascii="Sylfaen" w:hAnsi="Sylfaen"/>
          <w:i/>
          <w:lang w:val="ka-GE"/>
        </w:rPr>
        <w:t>ადგენს,</w:t>
      </w:r>
      <w:r>
        <w:rPr>
          <w:rFonts w:ascii="Sylfaen" w:hAnsi="Sylfaen"/>
          <w:lang w:val="ka-GE"/>
        </w:rPr>
        <w:t xml:space="preserve"> ხუთ</w:t>
      </w:r>
      <w:r w:rsidR="0001757A">
        <w:rPr>
          <w:rFonts w:ascii="Sylfaen" w:hAnsi="Sylfaen"/>
          <w:lang w:val="ka-GE"/>
        </w:rPr>
        <w:t>ი</w:t>
      </w:r>
      <w:r>
        <w:rPr>
          <w:rFonts w:ascii="Sylfaen" w:hAnsi="Sylfaen"/>
          <w:lang w:val="ka-GE"/>
        </w:rPr>
        <w:t xml:space="preserve"> ხმით ორის წინააღმდეგ</w:t>
      </w:r>
      <w:r w:rsidR="0001757A">
        <w:rPr>
          <w:rFonts w:ascii="Sylfaen" w:hAnsi="Sylfaen"/>
          <w:lang w:val="ka-GE"/>
        </w:rPr>
        <w:t>,</w:t>
      </w:r>
      <w:r>
        <w:rPr>
          <w:rFonts w:ascii="Sylfaen" w:hAnsi="Sylfaen"/>
          <w:lang w:val="ka-GE"/>
        </w:rPr>
        <w:t xml:space="preserve"> რომ ადგილი არ ჰქონია კონვენციის მე-14 მუხლის დარღვევას N. 1 ოქმის მე-3 მუხლთან ერთობლიობაში;</w:t>
      </w:r>
    </w:p>
    <w:p w:rsidR="001624E6" w:rsidP="001624E6" w:rsidRDefault="001624E6">
      <w:pPr>
        <w:rPr>
          <w:rFonts w:ascii="Sylfaen" w:hAnsi="Sylfaen"/>
          <w:lang w:val="ka-GE"/>
        </w:rPr>
      </w:pPr>
      <w:r>
        <w:rPr>
          <w:rFonts w:ascii="Sylfaen" w:hAnsi="Sylfaen"/>
          <w:lang w:val="ka-GE"/>
        </w:rPr>
        <w:t xml:space="preserve">3. </w:t>
      </w:r>
      <w:r>
        <w:rPr>
          <w:rFonts w:ascii="Sylfaen" w:hAnsi="Sylfaen"/>
          <w:i/>
          <w:lang w:val="ka-GE"/>
        </w:rPr>
        <w:t>ადგენს,</w:t>
      </w:r>
      <w:r>
        <w:rPr>
          <w:rFonts w:ascii="Sylfaen" w:hAnsi="Sylfaen"/>
          <w:lang w:val="ka-GE"/>
        </w:rPr>
        <w:t xml:space="preserve"> ერთხმად, რომ საჭირო არ გახლავთ ცალკე იქნას განხილული საჩივრები წარმოდგენილი კონვენციის მე-9, მე-10 და მე-11 მუხლების საფუძველზე.</w:t>
      </w:r>
    </w:p>
    <w:p w:rsidR="001624E6" w:rsidP="001624E6" w:rsidRDefault="001624E6">
      <w:pPr>
        <w:rPr>
          <w:rFonts w:ascii="Sylfaen" w:hAnsi="Sylfaen"/>
          <w:lang w:val="ka-GE"/>
        </w:rPr>
      </w:pPr>
    </w:p>
    <w:p w:rsidR="001624E6" w:rsidP="001624E6" w:rsidRDefault="001624E6">
      <w:pPr>
        <w:ind w:left="360" w:firstLine="0"/>
        <w:rPr>
          <w:rFonts w:ascii="Sylfaen" w:hAnsi="Sylfaen"/>
          <w:lang w:val="ka-GE"/>
        </w:rPr>
      </w:pPr>
      <w:r>
        <w:rPr>
          <w:rFonts w:ascii="Sylfaen" w:hAnsi="Sylfaen"/>
          <w:lang w:val="ka-GE"/>
        </w:rPr>
        <w:t xml:space="preserve">შესრულებულია ფრანგულად და გაცხადებულია წერილობით 2012 წლის 10 მაისს, სასამართლო რეგლამენტის </w:t>
      </w:r>
      <w:r w:rsidRPr="001624E6">
        <w:rPr>
          <w:rFonts w:ascii="Sylfaen" w:hAnsi="Sylfaen"/>
          <w:lang w:val="en-GB"/>
        </w:rPr>
        <w:t xml:space="preserve">77 §§ 2 </w:t>
      </w:r>
      <w:r>
        <w:rPr>
          <w:rFonts w:ascii="Sylfaen" w:hAnsi="Sylfaen"/>
          <w:lang w:val="ka-GE"/>
        </w:rPr>
        <w:t>და</w:t>
      </w:r>
      <w:r w:rsidRPr="001624E6">
        <w:rPr>
          <w:rFonts w:ascii="Sylfaen" w:hAnsi="Sylfaen"/>
          <w:lang w:val="en-GB"/>
        </w:rPr>
        <w:t xml:space="preserve"> 3</w:t>
      </w:r>
      <w:r>
        <w:rPr>
          <w:rFonts w:ascii="Sylfaen" w:hAnsi="Sylfaen"/>
          <w:lang w:val="ka-GE"/>
        </w:rPr>
        <w:t xml:space="preserve"> მუხლის თანახმად.</w:t>
      </w:r>
    </w:p>
    <w:p w:rsidR="001624E6" w:rsidP="001624E6" w:rsidRDefault="001624E6">
      <w:pPr>
        <w:ind w:left="360" w:firstLine="0"/>
        <w:rPr>
          <w:rFonts w:ascii="Sylfaen" w:hAnsi="Sylfaen"/>
          <w:lang w:val="ka-GE"/>
        </w:rPr>
      </w:pPr>
    </w:p>
    <w:p w:rsidR="001624E6" w:rsidP="001624E6" w:rsidRDefault="001624E6">
      <w:pPr>
        <w:ind w:left="360" w:firstLine="0"/>
        <w:rPr>
          <w:rFonts w:ascii="Sylfaen" w:hAnsi="Sylfaen"/>
          <w:lang w:val="ka-GE"/>
        </w:rPr>
      </w:pPr>
      <w:r>
        <w:rPr>
          <w:rFonts w:ascii="Sylfaen" w:hAnsi="Sylfaen"/>
          <w:lang w:val="ka-GE"/>
        </w:rPr>
        <w:t>სტენლი ნეისმითი</w:t>
      </w:r>
      <w:r>
        <w:rPr>
          <w:rFonts w:ascii="Sylfaen" w:hAnsi="Sylfaen"/>
          <w:lang w:val="ka-GE"/>
        </w:rPr>
        <w:tab/>
      </w:r>
      <w:r>
        <w:rPr>
          <w:rFonts w:ascii="Sylfaen" w:hAnsi="Sylfaen"/>
          <w:lang w:val="ka-GE"/>
        </w:rPr>
        <w:tab/>
      </w:r>
      <w:r>
        <w:rPr>
          <w:rFonts w:ascii="Sylfaen" w:hAnsi="Sylfaen"/>
          <w:lang w:val="ka-GE"/>
        </w:rPr>
        <w:tab/>
      </w:r>
      <w:r>
        <w:rPr>
          <w:rFonts w:ascii="Sylfaen" w:hAnsi="Sylfaen"/>
          <w:lang w:val="ka-GE"/>
        </w:rPr>
        <w:tab/>
      </w:r>
      <w:r>
        <w:rPr>
          <w:rFonts w:ascii="Sylfaen" w:hAnsi="Sylfaen"/>
          <w:lang w:val="ka-GE"/>
        </w:rPr>
        <w:tab/>
      </w:r>
      <w:r>
        <w:rPr>
          <w:rFonts w:ascii="Sylfaen" w:hAnsi="Sylfaen"/>
          <w:lang w:val="ka-GE"/>
        </w:rPr>
        <w:tab/>
        <w:t>ფრანსუაზ ტულკენსი</w:t>
      </w:r>
    </w:p>
    <w:p w:rsidR="001624E6" w:rsidP="001624E6" w:rsidRDefault="001624E6">
      <w:pPr>
        <w:ind w:left="360" w:firstLine="0"/>
        <w:rPr>
          <w:rFonts w:ascii="Sylfaen" w:hAnsi="Sylfaen"/>
          <w:sz w:val="20"/>
          <w:lang w:val="ka-GE"/>
        </w:rPr>
      </w:pPr>
      <w:r w:rsidRPr="001624E6">
        <w:rPr>
          <w:rFonts w:ascii="Sylfaen" w:hAnsi="Sylfaen"/>
          <w:sz w:val="20"/>
          <w:lang w:val="ka-GE"/>
        </w:rPr>
        <w:t>სასამართლო გამწესრიგებელი</w:t>
      </w:r>
      <w:r w:rsidRPr="001624E6">
        <w:rPr>
          <w:rFonts w:ascii="Sylfaen" w:hAnsi="Sylfaen"/>
          <w:sz w:val="20"/>
          <w:lang w:val="ka-GE"/>
        </w:rPr>
        <w:tab/>
      </w:r>
      <w:r w:rsidRPr="001624E6">
        <w:rPr>
          <w:rFonts w:ascii="Sylfaen" w:hAnsi="Sylfaen"/>
          <w:sz w:val="20"/>
          <w:lang w:val="ka-GE"/>
        </w:rPr>
        <w:tab/>
      </w:r>
      <w:r w:rsidRPr="001624E6">
        <w:rPr>
          <w:rFonts w:ascii="Sylfaen" w:hAnsi="Sylfaen"/>
          <w:sz w:val="20"/>
          <w:lang w:val="ka-GE"/>
        </w:rPr>
        <w:tab/>
      </w:r>
      <w:r w:rsidRPr="001624E6">
        <w:rPr>
          <w:rFonts w:ascii="Sylfaen" w:hAnsi="Sylfaen"/>
          <w:sz w:val="20"/>
          <w:lang w:val="ka-GE"/>
        </w:rPr>
        <w:tab/>
      </w:r>
      <w:r w:rsidRPr="001624E6">
        <w:rPr>
          <w:rFonts w:ascii="Sylfaen" w:hAnsi="Sylfaen"/>
          <w:sz w:val="20"/>
          <w:lang w:val="ka-GE"/>
        </w:rPr>
        <w:tab/>
      </w:r>
      <w:r w:rsidRPr="001624E6">
        <w:rPr>
          <w:rFonts w:ascii="Sylfaen" w:hAnsi="Sylfaen"/>
          <w:sz w:val="20"/>
          <w:lang w:val="ka-GE"/>
        </w:rPr>
        <w:tab/>
        <w:t>პრეზიდენტი</w:t>
      </w:r>
    </w:p>
    <w:p w:rsidR="001624E6" w:rsidP="001624E6" w:rsidRDefault="001624E6">
      <w:pPr>
        <w:ind w:left="360" w:firstLine="0"/>
        <w:rPr>
          <w:rFonts w:ascii="Sylfaen" w:hAnsi="Sylfaen"/>
          <w:sz w:val="20"/>
          <w:lang w:val="ka-GE"/>
        </w:rPr>
      </w:pPr>
    </w:p>
    <w:p w:rsidR="001624E6" w:rsidP="001624E6" w:rsidRDefault="001624E6">
      <w:pPr>
        <w:ind w:left="360" w:firstLine="0"/>
        <w:rPr>
          <w:rFonts w:ascii="Sylfaen" w:hAnsi="Sylfaen"/>
          <w:lang w:val="ka-GE"/>
        </w:rPr>
      </w:pPr>
      <w:r>
        <w:rPr>
          <w:rFonts w:ascii="Sylfaen" w:hAnsi="Sylfaen"/>
          <w:lang w:val="ka-GE"/>
        </w:rPr>
        <w:t xml:space="preserve">კონვენციის </w:t>
      </w:r>
      <w:r w:rsidRPr="001624E6">
        <w:rPr>
          <w:rFonts w:ascii="Sylfaen" w:hAnsi="Sylfaen"/>
          <w:lang w:val="en-GB"/>
        </w:rPr>
        <w:t>45 § 2</w:t>
      </w:r>
      <w:r>
        <w:rPr>
          <w:rFonts w:ascii="Sylfaen" w:hAnsi="Sylfaen"/>
          <w:lang w:val="ka-GE"/>
        </w:rPr>
        <w:t xml:space="preserve"> მუხლისა და სასამართლო რეგლამენტის </w:t>
      </w:r>
      <w:r w:rsidRPr="001624E6">
        <w:rPr>
          <w:rFonts w:ascii="Sylfaen" w:hAnsi="Sylfaen"/>
          <w:lang w:val="en-GB"/>
        </w:rPr>
        <w:t>74 § 2</w:t>
      </w:r>
      <w:r>
        <w:rPr>
          <w:rFonts w:ascii="Sylfaen" w:hAnsi="Sylfaen"/>
          <w:lang w:val="ka-GE"/>
        </w:rPr>
        <w:t xml:space="preserve"> მუხლის შესაბამად, მოცემულ გადაწყვეტილებას თან ერთვის ერ</w:t>
      </w:r>
      <w:r w:rsidR="0001757A">
        <w:rPr>
          <w:rFonts w:ascii="Sylfaen" w:hAnsi="Sylfaen"/>
          <w:lang w:val="ka-GE"/>
        </w:rPr>
        <w:t>თ</w:t>
      </w:r>
      <w:r>
        <w:rPr>
          <w:rFonts w:ascii="Sylfaen" w:hAnsi="Sylfaen"/>
          <w:lang w:val="ka-GE"/>
        </w:rPr>
        <w:t>ობლივი განცალკევებული მოსაზრება მოსამართლე ტულკენსისა და შაიოსი.</w:t>
      </w:r>
    </w:p>
    <w:p w:rsidR="001624E6" w:rsidP="001624E6" w:rsidRDefault="001624E6">
      <w:pPr>
        <w:ind w:left="360" w:firstLine="0"/>
        <w:jc w:val="right"/>
        <w:rPr>
          <w:rFonts w:ascii="Sylfaen" w:hAnsi="Sylfaen"/>
          <w:lang w:val="ka-GE"/>
        </w:rPr>
      </w:pPr>
      <w:r>
        <w:rPr>
          <w:rFonts w:ascii="Sylfaen" w:hAnsi="Sylfaen"/>
          <w:lang w:val="ka-GE"/>
        </w:rPr>
        <w:tab/>
        <w:t>ფ.ტ.</w:t>
      </w:r>
    </w:p>
    <w:p w:rsidR="00C42DAB" w:rsidP="001624E6" w:rsidRDefault="00C42DAB">
      <w:pPr>
        <w:ind w:left="360" w:firstLine="0"/>
        <w:jc w:val="right"/>
        <w:rPr>
          <w:rFonts w:ascii="Sylfaen" w:hAnsi="Sylfaen"/>
          <w:lang w:val="ka-GE"/>
        </w:rPr>
      </w:pPr>
      <w:r>
        <w:rPr>
          <w:rFonts w:ascii="Sylfaen" w:hAnsi="Sylfaen"/>
          <w:lang w:val="ka-GE"/>
        </w:rPr>
        <w:t>ს.ჰ.ნ.</w:t>
      </w:r>
    </w:p>
    <w:p w:rsidRPr="00EB24D7" w:rsidR="00C42DAB" w:rsidP="00C42DAB" w:rsidRDefault="00C42DAB">
      <w:pPr>
        <w:ind w:left="0" w:firstLine="0"/>
        <w:rPr>
          <w:rFonts w:ascii="Sylfaen" w:hAnsi="Sylfaen"/>
          <w:lang w:val="fr-FR"/>
        </w:rPr>
      </w:pPr>
      <w:r w:rsidRPr="00C42DAB">
        <w:rPr>
          <w:rFonts w:ascii="Sylfaen" w:hAnsi="Sylfaen"/>
          <w:lang w:val="ka-GE"/>
        </w:rPr>
        <w:t>მოცემულ თარგმანს არ ერთვის განსხვავებული მოსაზრებანი, თუმცა იგი თან</w:t>
      </w:r>
      <w:r w:rsidR="00643EF8">
        <w:rPr>
          <w:rFonts w:ascii="Sylfaen" w:hAnsi="Sylfaen"/>
          <w:lang w:val="ka-GE"/>
        </w:rPr>
        <w:t xml:space="preserve"> </w:t>
      </w:r>
      <w:r w:rsidRPr="00C42DAB">
        <w:rPr>
          <w:rFonts w:ascii="Sylfaen" w:hAnsi="Sylfaen"/>
          <w:lang w:val="ka-GE"/>
        </w:rPr>
        <w:t>ახლავს ოფიციალურ, ინგლისურ და/ან ფრანგულ ენაზე წარმოდგენილ გადაწყვეტილებას და ხელმისაწვდომია სასამართლოს პრაქტიკის მონაცემთა ბაზაში</w:t>
      </w:r>
      <w:r w:rsidR="00EB24D7">
        <w:rPr>
          <w:rFonts w:ascii="Sylfaen" w:hAnsi="Sylfaen"/>
          <w:lang w:val="ka-GE"/>
        </w:rPr>
        <w:t xml:space="preserve"> - HUDOC.</w:t>
      </w:r>
    </w:p>
    <w:p w:rsidRPr="007144D3" w:rsidR="00EB24D7" w:rsidP="00EB24D7" w:rsidRDefault="00EB24D7">
      <w:pPr>
        <w:ind w:left="0" w:firstLine="0"/>
        <w:rPr>
          <w:rFonts w:ascii="Sylfaen" w:hAnsi="Sylfaen"/>
          <w:b/>
          <w:sz w:val="20"/>
          <w:szCs w:val="20"/>
        </w:rPr>
      </w:pPr>
      <w:r>
        <w:rPr>
          <w:rFonts w:ascii="Sylfaen" w:hAnsi="Sylfaen"/>
          <w:b/>
          <w:sz w:val="16"/>
          <w:szCs w:val="20"/>
          <w:lang w:val="ka-GE"/>
        </w:rPr>
        <w:br w:type="page"/>
      </w:r>
      <w:r w:rsidRPr="007144D3">
        <w:rPr>
          <w:rFonts w:ascii="Sylfaen" w:hAnsi="Sylfaen"/>
          <w:b/>
          <w:sz w:val="20"/>
          <w:szCs w:val="20"/>
        </w:rPr>
        <w:t xml:space="preserve">© </w:t>
      </w:r>
      <w:r w:rsidRPr="007144D3">
        <w:rPr>
          <w:rFonts w:ascii="Sylfaen" w:hAnsi="Sylfaen" w:cs="Sylfaen"/>
          <w:b/>
          <w:sz w:val="20"/>
          <w:szCs w:val="20"/>
        </w:rPr>
        <w:t>ევროპის</w:t>
      </w:r>
      <w:r w:rsidRPr="007144D3">
        <w:rPr>
          <w:rFonts w:ascii="Sylfaen" w:hAnsi="Sylfaen"/>
          <w:b/>
          <w:sz w:val="20"/>
          <w:szCs w:val="20"/>
        </w:rPr>
        <w:t xml:space="preserve"> </w:t>
      </w:r>
      <w:r w:rsidRPr="007144D3">
        <w:rPr>
          <w:rFonts w:ascii="Sylfaen" w:hAnsi="Sylfaen" w:cs="Sylfaen"/>
          <w:b/>
          <w:sz w:val="20"/>
          <w:szCs w:val="20"/>
        </w:rPr>
        <w:t>საბჭო</w:t>
      </w:r>
      <w:r w:rsidRPr="007144D3">
        <w:rPr>
          <w:rFonts w:ascii="Sylfaen" w:hAnsi="Sylfaen"/>
          <w:b/>
          <w:sz w:val="20"/>
          <w:szCs w:val="20"/>
        </w:rPr>
        <w:t>/</w:t>
      </w:r>
      <w:r w:rsidRPr="007144D3">
        <w:rPr>
          <w:rFonts w:ascii="Sylfaen" w:hAnsi="Sylfaen" w:cs="Sylfaen"/>
          <w:b/>
          <w:sz w:val="20"/>
          <w:szCs w:val="20"/>
        </w:rPr>
        <w:t>ადამიანის</w:t>
      </w:r>
      <w:r w:rsidRPr="007144D3">
        <w:rPr>
          <w:rFonts w:ascii="Sylfaen" w:hAnsi="Sylfaen"/>
          <w:b/>
          <w:sz w:val="20"/>
          <w:szCs w:val="20"/>
        </w:rPr>
        <w:t xml:space="preserve"> </w:t>
      </w:r>
      <w:r w:rsidRPr="007144D3">
        <w:rPr>
          <w:rFonts w:ascii="Sylfaen" w:hAnsi="Sylfaen" w:cs="Sylfaen"/>
          <w:b/>
          <w:sz w:val="20"/>
          <w:szCs w:val="20"/>
        </w:rPr>
        <w:t>უფლებათა</w:t>
      </w:r>
      <w:r w:rsidRPr="007144D3">
        <w:rPr>
          <w:rFonts w:ascii="Sylfaen" w:hAnsi="Sylfaen"/>
          <w:b/>
          <w:sz w:val="20"/>
          <w:szCs w:val="20"/>
        </w:rPr>
        <w:t xml:space="preserve"> </w:t>
      </w:r>
      <w:r w:rsidRPr="007144D3">
        <w:rPr>
          <w:rFonts w:ascii="Sylfaen" w:hAnsi="Sylfaen" w:cs="Sylfaen"/>
          <w:b/>
          <w:sz w:val="20"/>
          <w:szCs w:val="20"/>
        </w:rPr>
        <w:t>ევროპული</w:t>
      </w:r>
      <w:r w:rsidRPr="007144D3">
        <w:rPr>
          <w:rFonts w:ascii="Sylfaen" w:hAnsi="Sylfaen"/>
          <w:b/>
          <w:sz w:val="20"/>
          <w:szCs w:val="20"/>
        </w:rPr>
        <w:t xml:space="preserve"> </w:t>
      </w:r>
      <w:r w:rsidRPr="007144D3">
        <w:rPr>
          <w:rFonts w:ascii="Sylfaen" w:hAnsi="Sylfaen" w:cs="Sylfaen"/>
          <w:b/>
          <w:sz w:val="20"/>
          <w:szCs w:val="20"/>
        </w:rPr>
        <w:t>სასამართლო</w:t>
      </w:r>
      <w:r w:rsidRPr="007144D3">
        <w:rPr>
          <w:rFonts w:ascii="Sylfaen" w:hAnsi="Sylfaen"/>
          <w:b/>
          <w:sz w:val="20"/>
          <w:szCs w:val="20"/>
        </w:rPr>
        <w:t>, 2013</w:t>
      </w:r>
    </w:p>
    <w:p w:rsidRPr="007144D3" w:rsidR="00EB24D7" w:rsidP="00EB24D7" w:rsidRDefault="00EB24D7">
      <w:pPr>
        <w:ind w:left="0" w:firstLine="0"/>
        <w:rPr>
          <w:rFonts w:ascii="Sylfaen" w:hAnsi="Sylfaen"/>
          <w:sz w:val="20"/>
          <w:szCs w:val="20"/>
        </w:rPr>
      </w:pPr>
      <w:r w:rsidRPr="007144D3">
        <w:rPr>
          <w:rFonts w:ascii="Sylfaen" w:hAnsi="Sylfaen" w:cs="Sylfaen"/>
          <w:sz w:val="20"/>
          <w:szCs w:val="20"/>
        </w:rPr>
        <w:t>ადამიანის</w:t>
      </w:r>
      <w:r w:rsidRPr="007144D3">
        <w:rPr>
          <w:rFonts w:ascii="Sylfaen" w:hAnsi="Sylfaen"/>
          <w:sz w:val="20"/>
          <w:szCs w:val="20"/>
        </w:rPr>
        <w:t xml:space="preserve"> </w:t>
      </w:r>
      <w:r w:rsidRPr="007144D3">
        <w:rPr>
          <w:rFonts w:ascii="Sylfaen" w:hAnsi="Sylfaen" w:cs="Sylfaen"/>
          <w:sz w:val="20"/>
          <w:szCs w:val="20"/>
        </w:rPr>
        <w:t>უფლებათა</w:t>
      </w:r>
      <w:r w:rsidRPr="007144D3">
        <w:rPr>
          <w:rFonts w:ascii="Sylfaen" w:hAnsi="Sylfaen"/>
          <w:sz w:val="20"/>
          <w:szCs w:val="20"/>
        </w:rPr>
        <w:t xml:space="preserve"> </w:t>
      </w:r>
      <w:r w:rsidRPr="007144D3">
        <w:rPr>
          <w:rFonts w:ascii="Sylfaen" w:hAnsi="Sylfaen" w:cs="Sylfaen"/>
          <w:sz w:val="20"/>
          <w:szCs w:val="20"/>
        </w:rPr>
        <w:t>ევროპული</w:t>
      </w:r>
      <w:r w:rsidRPr="007144D3">
        <w:rPr>
          <w:rFonts w:ascii="Sylfaen" w:hAnsi="Sylfaen"/>
          <w:sz w:val="20"/>
          <w:szCs w:val="20"/>
        </w:rPr>
        <w:t xml:space="preserve"> </w:t>
      </w:r>
      <w:r w:rsidRPr="007144D3">
        <w:rPr>
          <w:rFonts w:ascii="Sylfaen" w:hAnsi="Sylfaen" w:cs="Sylfaen"/>
          <w:sz w:val="20"/>
          <w:szCs w:val="20"/>
        </w:rPr>
        <w:t>სასამართლოს</w:t>
      </w:r>
      <w:r w:rsidRPr="007144D3">
        <w:rPr>
          <w:rFonts w:ascii="Sylfaen" w:hAnsi="Sylfaen"/>
          <w:sz w:val="20"/>
          <w:szCs w:val="20"/>
        </w:rPr>
        <w:t xml:space="preserve"> </w:t>
      </w:r>
      <w:r w:rsidRPr="007144D3">
        <w:rPr>
          <w:rFonts w:ascii="Sylfaen" w:hAnsi="Sylfaen" w:cs="Sylfaen"/>
          <w:sz w:val="20"/>
          <w:szCs w:val="20"/>
        </w:rPr>
        <w:t>ოფიციალური</w:t>
      </w:r>
      <w:r w:rsidRPr="007144D3">
        <w:rPr>
          <w:rFonts w:ascii="Sylfaen" w:hAnsi="Sylfaen"/>
          <w:sz w:val="20"/>
          <w:szCs w:val="20"/>
        </w:rPr>
        <w:t xml:space="preserve"> </w:t>
      </w:r>
      <w:r w:rsidRPr="007144D3">
        <w:rPr>
          <w:rFonts w:ascii="Sylfaen" w:hAnsi="Sylfaen" w:cs="Sylfaen"/>
          <w:sz w:val="20"/>
          <w:szCs w:val="20"/>
        </w:rPr>
        <w:t>ენებია</w:t>
      </w:r>
      <w:r w:rsidRPr="007144D3">
        <w:rPr>
          <w:rFonts w:ascii="Sylfaen" w:hAnsi="Sylfaen"/>
          <w:sz w:val="20"/>
          <w:szCs w:val="20"/>
        </w:rPr>
        <w:t xml:space="preserve"> </w:t>
      </w:r>
      <w:r w:rsidRPr="007144D3">
        <w:rPr>
          <w:rFonts w:ascii="Sylfaen" w:hAnsi="Sylfaen" w:cs="Sylfaen"/>
          <w:sz w:val="20"/>
          <w:szCs w:val="20"/>
        </w:rPr>
        <w:t>ინგლისური</w:t>
      </w:r>
      <w:r w:rsidRPr="007144D3">
        <w:rPr>
          <w:rFonts w:ascii="Sylfaen" w:hAnsi="Sylfaen"/>
          <w:sz w:val="20"/>
          <w:szCs w:val="20"/>
        </w:rPr>
        <w:t xml:space="preserve"> </w:t>
      </w:r>
      <w:r w:rsidRPr="007144D3">
        <w:rPr>
          <w:rFonts w:ascii="Sylfaen" w:hAnsi="Sylfaen" w:cs="Sylfaen"/>
          <w:sz w:val="20"/>
          <w:szCs w:val="20"/>
        </w:rPr>
        <w:t>და</w:t>
      </w:r>
      <w:r w:rsidRPr="007144D3">
        <w:rPr>
          <w:rFonts w:ascii="Sylfaen" w:hAnsi="Sylfaen"/>
          <w:sz w:val="20"/>
          <w:szCs w:val="20"/>
        </w:rPr>
        <w:t xml:space="preserve"> </w:t>
      </w:r>
      <w:r w:rsidRPr="007144D3">
        <w:rPr>
          <w:rFonts w:ascii="Sylfaen" w:hAnsi="Sylfaen" w:cs="Sylfaen"/>
          <w:sz w:val="20"/>
          <w:szCs w:val="20"/>
        </w:rPr>
        <w:t>ფრანგული</w:t>
      </w:r>
      <w:r w:rsidRPr="007144D3">
        <w:rPr>
          <w:rFonts w:ascii="Sylfaen" w:hAnsi="Sylfaen"/>
          <w:sz w:val="20"/>
          <w:szCs w:val="20"/>
        </w:rPr>
        <w:t xml:space="preserve">. </w:t>
      </w:r>
      <w:r w:rsidRPr="007144D3">
        <w:rPr>
          <w:rFonts w:ascii="Sylfaen" w:hAnsi="Sylfaen" w:cs="Sylfaen"/>
          <w:sz w:val="20"/>
          <w:szCs w:val="20"/>
        </w:rPr>
        <w:t>წინამდებარე</w:t>
      </w:r>
      <w:r w:rsidRPr="007144D3">
        <w:rPr>
          <w:rFonts w:ascii="Sylfaen" w:hAnsi="Sylfaen"/>
          <w:sz w:val="20"/>
          <w:szCs w:val="20"/>
        </w:rPr>
        <w:t xml:space="preserve"> </w:t>
      </w:r>
      <w:r w:rsidRPr="007144D3">
        <w:rPr>
          <w:rFonts w:ascii="Sylfaen" w:hAnsi="Sylfaen" w:cs="Sylfaen"/>
          <w:sz w:val="20"/>
          <w:szCs w:val="20"/>
        </w:rPr>
        <w:t>თარგმანი</w:t>
      </w:r>
      <w:r w:rsidRPr="007144D3">
        <w:rPr>
          <w:rFonts w:ascii="Sylfaen" w:hAnsi="Sylfaen"/>
          <w:sz w:val="20"/>
          <w:szCs w:val="20"/>
        </w:rPr>
        <w:t xml:space="preserve"> </w:t>
      </w:r>
      <w:r w:rsidRPr="007144D3">
        <w:rPr>
          <w:rFonts w:ascii="Sylfaen" w:hAnsi="Sylfaen" w:cs="Sylfaen"/>
          <w:sz w:val="20"/>
          <w:szCs w:val="20"/>
        </w:rPr>
        <w:t>შესრულებულია</w:t>
      </w:r>
      <w:r w:rsidRPr="007144D3">
        <w:rPr>
          <w:rFonts w:ascii="Sylfaen" w:hAnsi="Sylfaen"/>
          <w:sz w:val="20"/>
          <w:szCs w:val="20"/>
        </w:rPr>
        <w:t xml:space="preserve"> </w:t>
      </w:r>
      <w:r w:rsidRPr="007144D3">
        <w:rPr>
          <w:rFonts w:ascii="Sylfaen" w:hAnsi="Sylfaen" w:cs="Sylfaen"/>
          <w:sz w:val="20"/>
          <w:szCs w:val="20"/>
        </w:rPr>
        <w:t>ევროპის</w:t>
      </w:r>
      <w:r w:rsidRPr="007144D3">
        <w:rPr>
          <w:rFonts w:ascii="Sylfaen" w:hAnsi="Sylfaen"/>
          <w:sz w:val="20"/>
          <w:szCs w:val="20"/>
        </w:rPr>
        <w:t xml:space="preserve"> </w:t>
      </w:r>
      <w:r w:rsidRPr="007144D3">
        <w:rPr>
          <w:rFonts w:ascii="Sylfaen" w:hAnsi="Sylfaen" w:cs="Sylfaen"/>
          <w:sz w:val="20"/>
          <w:szCs w:val="20"/>
        </w:rPr>
        <w:t>საბჭოს</w:t>
      </w:r>
      <w:r w:rsidRPr="007144D3">
        <w:rPr>
          <w:rFonts w:ascii="Sylfaen" w:hAnsi="Sylfaen"/>
          <w:sz w:val="20"/>
          <w:szCs w:val="20"/>
        </w:rPr>
        <w:t xml:space="preserve"> </w:t>
      </w:r>
      <w:r w:rsidRPr="007144D3">
        <w:rPr>
          <w:rFonts w:ascii="Sylfaen" w:hAnsi="Sylfaen" w:cs="Sylfaen"/>
          <w:sz w:val="20"/>
          <w:szCs w:val="20"/>
        </w:rPr>
        <w:t>ადამიანის</w:t>
      </w:r>
      <w:r w:rsidRPr="007144D3">
        <w:rPr>
          <w:rFonts w:ascii="Sylfaen" w:hAnsi="Sylfaen"/>
          <w:sz w:val="20"/>
          <w:szCs w:val="20"/>
        </w:rPr>
        <w:t xml:space="preserve"> </w:t>
      </w:r>
      <w:r w:rsidRPr="007144D3">
        <w:rPr>
          <w:rFonts w:ascii="Sylfaen" w:hAnsi="Sylfaen" w:cs="Sylfaen"/>
          <w:sz w:val="20"/>
          <w:szCs w:val="20"/>
        </w:rPr>
        <w:t>უფლებათა</w:t>
      </w:r>
      <w:r w:rsidRPr="007144D3">
        <w:rPr>
          <w:rFonts w:ascii="Sylfaen" w:hAnsi="Sylfaen"/>
          <w:sz w:val="20"/>
          <w:szCs w:val="20"/>
        </w:rPr>
        <w:t xml:space="preserve"> </w:t>
      </w:r>
      <w:r w:rsidRPr="007144D3">
        <w:rPr>
          <w:rFonts w:ascii="Sylfaen" w:hAnsi="Sylfaen" w:cs="Sylfaen"/>
          <w:sz w:val="20"/>
          <w:szCs w:val="20"/>
        </w:rPr>
        <w:t>სატრასტო</w:t>
      </w:r>
      <w:r w:rsidRPr="007144D3">
        <w:rPr>
          <w:rFonts w:ascii="Sylfaen" w:hAnsi="Sylfaen"/>
          <w:sz w:val="20"/>
          <w:szCs w:val="20"/>
        </w:rPr>
        <w:t xml:space="preserve"> </w:t>
      </w:r>
      <w:r w:rsidRPr="007144D3">
        <w:rPr>
          <w:rFonts w:ascii="Sylfaen" w:hAnsi="Sylfaen" w:cs="Sylfaen"/>
          <w:sz w:val="20"/>
          <w:szCs w:val="20"/>
        </w:rPr>
        <w:t>ფონდის</w:t>
      </w:r>
      <w:r w:rsidRPr="007144D3">
        <w:rPr>
          <w:rFonts w:ascii="Sylfaen" w:hAnsi="Sylfaen"/>
          <w:sz w:val="20"/>
          <w:szCs w:val="20"/>
        </w:rPr>
        <w:t xml:space="preserve"> </w:t>
      </w:r>
      <w:r w:rsidRPr="007144D3">
        <w:rPr>
          <w:rFonts w:ascii="Sylfaen" w:hAnsi="Sylfaen" w:cs="Sylfaen"/>
          <w:sz w:val="20"/>
          <w:szCs w:val="20"/>
        </w:rPr>
        <w:t>ხელშეწყობით</w:t>
      </w:r>
      <w:r w:rsidRPr="007144D3">
        <w:rPr>
          <w:rFonts w:ascii="Sylfaen" w:hAnsi="Sylfaen"/>
          <w:sz w:val="20"/>
          <w:szCs w:val="20"/>
        </w:rPr>
        <w:t xml:space="preserve"> (</w:t>
      </w:r>
      <w:hyperlink w:tooltip="http://www.coe.int/humanrightstrustfund" w:history="1" r:id="rId14">
        <w:r w:rsidRPr="007144D3">
          <w:rPr>
            <w:rFonts w:ascii="Sylfaen" w:hAnsi="Sylfaen"/>
            <w:bCs/>
            <w:color w:val="0000FF"/>
            <w:sz w:val="20"/>
            <w:szCs w:val="20"/>
            <w:u w:val="single"/>
          </w:rPr>
          <w:t>www.coe.int/humanrightstrustfund</w:t>
        </w:r>
      </w:hyperlink>
      <w:r w:rsidRPr="007144D3">
        <w:rPr>
          <w:rFonts w:ascii="Sylfaen" w:hAnsi="Sylfaen"/>
          <w:sz w:val="20"/>
          <w:szCs w:val="20"/>
        </w:rPr>
        <w:t xml:space="preserve">). </w:t>
      </w:r>
      <w:r w:rsidRPr="007144D3">
        <w:rPr>
          <w:rFonts w:ascii="Sylfaen" w:hAnsi="Sylfaen" w:cs="Sylfaen"/>
          <w:sz w:val="20"/>
          <w:szCs w:val="20"/>
        </w:rPr>
        <w:t>იგი</w:t>
      </w:r>
      <w:r w:rsidRPr="007144D3">
        <w:rPr>
          <w:rFonts w:ascii="Sylfaen" w:hAnsi="Sylfaen"/>
          <w:sz w:val="20"/>
          <w:szCs w:val="20"/>
        </w:rPr>
        <w:t xml:space="preserve"> </w:t>
      </w:r>
      <w:r w:rsidRPr="007144D3">
        <w:rPr>
          <w:rFonts w:ascii="Sylfaen" w:hAnsi="Sylfaen" w:cs="Sylfaen"/>
          <w:sz w:val="20"/>
          <w:szCs w:val="20"/>
        </w:rPr>
        <w:t>სასამართლოსათვის</w:t>
      </w:r>
      <w:r w:rsidRPr="007144D3">
        <w:rPr>
          <w:rFonts w:ascii="Sylfaen" w:hAnsi="Sylfaen"/>
          <w:sz w:val="20"/>
          <w:szCs w:val="20"/>
        </w:rPr>
        <w:t xml:space="preserve"> </w:t>
      </w:r>
      <w:r w:rsidRPr="007144D3">
        <w:rPr>
          <w:rFonts w:ascii="Sylfaen" w:hAnsi="Sylfaen" w:cs="Sylfaen"/>
          <w:sz w:val="20"/>
          <w:szCs w:val="20"/>
        </w:rPr>
        <w:t>სავალდებულო</w:t>
      </w:r>
      <w:r w:rsidRPr="007144D3">
        <w:rPr>
          <w:rFonts w:ascii="Sylfaen" w:hAnsi="Sylfaen"/>
          <w:sz w:val="20"/>
          <w:szCs w:val="20"/>
        </w:rPr>
        <w:t xml:space="preserve"> </w:t>
      </w:r>
      <w:r w:rsidRPr="007144D3">
        <w:rPr>
          <w:rFonts w:ascii="Sylfaen" w:hAnsi="Sylfaen" w:cs="Sylfaen"/>
          <w:sz w:val="20"/>
          <w:szCs w:val="20"/>
        </w:rPr>
        <w:t>ხასიათს</w:t>
      </w:r>
      <w:r w:rsidRPr="007144D3">
        <w:rPr>
          <w:rFonts w:ascii="Sylfaen" w:hAnsi="Sylfaen"/>
          <w:sz w:val="20"/>
          <w:szCs w:val="20"/>
        </w:rPr>
        <w:t xml:space="preserve"> </w:t>
      </w:r>
      <w:r w:rsidRPr="007144D3">
        <w:rPr>
          <w:rFonts w:ascii="Sylfaen" w:hAnsi="Sylfaen" w:cs="Sylfaen"/>
          <w:sz w:val="20"/>
          <w:szCs w:val="20"/>
        </w:rPr>
        <w:t>არ</w:t>
      </w:r>
      <w:r w:rsidRPr="007144D3">
        <w:rPr>
          <w:rFonts w:ascii="Sylfaen" w:hAnsi="Sylfaen"/>
          <w:sz w:val="20"/>
          <w:szCs w:val="20"/>
        </w:rPr>
        <w:t xml:space="preserve"> </w:t>
      </w:r>
      <w:r w:rsidRPr="007144D3">
        <w:rPr>
          <w:rFonts w:ascii="Sylfaen" w:hAnsi="Sylfaen" w:cs="Sylfaen"/>
          <w:sz w:val="20"/>
          <w:szCs w:val="20"/>
        </w:rPr>
        <w:t>ატარებს</w:t>
      </w:r>
      <w:r w:rsidRPr="007144D3">
        <w:rPr>
          <w:rFonts w:ascii="Sylfaen" w:hAnsi="Sylfaen"/>
          <w:sz w:val="20"/>
          <w:szCs w:val="20"/>
        </w:rPr>
        <w:t xml:space="preserve"> </w:t>
      </w:r>
      <w:r w:rsidRPr="007144D3">
        <w:rPr>
          <w:rFonts w:ascii="Sylfaen" w:hAnsi="Sylfaen" w:cs="Sylfaen"/>
          <w:sz w:val="20"/>
          <w:szCs w:val="20"/>
        </w:rPr>
        <w:t>და</w:t>
      </w:r>
      <w:r w:rsidRPr="007144D3">
        <w:rPr>
          <w:rFonts w:ascii="Sylfaen" w:hAnsi="Sylfaen"/>
          <w:sz w:val="20"/>
          <w:szCs w:val="20"/>
        </w:rPr>
        <w:t xml:space="preserve"> </w:t>
      </w:r>
      <w:r w:rsidRPr="007144D3">
        <w:rPr>
          <w:rFonts w:ascii="Sylfaen" w:hAnsi="Sylfaen" w:cs="Sylfaen"/>
          <w:sz w:val="20"/>
          <w:szCs w:val="20"/>
        </w:rPr>
        <w:t>არც</w:t>
      </w:r>
      <w:r w:rsidRPr="007144D3">
        <w:rPr>
          <w:rFonts w:ascii="Sylfaen" w:hAnsi="Sylfaen"/>
          <w:sz w:val="20"/>
          <w:szCs w:val="20"/>
        </w:rPr>
        <w:t xml:space="preserve"> </w:t>
      </w:r>
      <w:r w:rsidRPr="007144D3">
        <w:rPr>
          <w:rFonts w:ascii="Sylfaen" w:hAnsi="Sylfaen" w:cs="Sylfaen"/>
          <w:sz w:val="20"/>
          <w:szCs w:val="20"/>
        </w:rPr>
        <w:t>მის</w:t>
      </w:r>
      <w:r w:rsidRPr="007144D3">
        <w:rPr>
          <w:rFonts w:ascii="Sylfaen" w:hAnsi="Sylfaen"/>
          <w:sz w:val="20"/>
          <w:szCs w:val="20"/>
        </w:rPr>
        <w:t xml:space="preserve"> </w:t>
      </w:r>
      <w:r w:rsidRPr="007144D3">
        <w:rPr>
          <w:rFonts w:ascii="Sylfaen" w:hAnsi="Sylfaen" w:cs="Sylfaen"/>
          <w:sz w:val="20"/>
          <w:szCs w:val="20"/>
        </w:rPr>
        <w:t>ხარისხზე</w:t>
      </w:r>
      <w:r w:rsidRPr="007144D3">
        <w:rPr>
          <w:rFonts w:ascii="Sylfaen" w:hAnsi="Sylfaen"/>
          <w:sz w:val="20"/>
          <w:szCs w:val="20"/>
        </w:rPr>
        <w:t xml:space="preserve"> </w:t>
      </w:r>
      <w:r w:rsidRPr="007144D3">
        <w:rPr>
          <w:rFonts w:ascii="Sylfaen" w:hAnsi="Sylfaen" w:cs="Sylfaen"/>
          <w:sz w:val="20"/>
          <w:szCs w:val="20"/>
        </w:rPr>
        <w:t>აკისრებს</w:t>
      </w:r>
      <w:r w:rsidRPr="007144D3">
        <w:rPr>
          <w:rFonts w:ascii="Sylfaen" w:hAnsi="Sylfaen"/>
          <w:sz w:val="20"/>
          <w:szCs w:val="20"/>
        </w:rPr>
        <w:t xml:space="preserve"> </w:t>
      </w:r>
      <w:r w:rsidRPr="007144D3">
        <w:rPr>
          <w:rFonts w:ascii="Sylfaen" w:hAnsi="Sylfaen" w:cs="Sylfaen"/>
          <w:sz w:val="20"/>
          <w:szCs w:val="20"/>
        </w:rPr>
        <w:t>პასუხისმგებლობას</w:t>
      </w:r>
      <w:r w:rsidRPr="007144D3">
        <w:rPr>
          <w:rFonts w:ascii="Sylfaen" w:hAnsi="Sylfaen"/>
          <w:sz w:val="20"/>
          <w:szCs w:val="20"/>
        </w:rPr>
        <w:t xml:space="preserve">. </w:t>
      </w:r>
      <w:r w:rsidRPr="007144D3">
        <w:rPr>
          <w:rFonts w:ascii="Sylfaen" w:hAnsi="Sylfaen" w:cs="Sylfaen"/>
          <w:sz w:val="20"/>
          <w:szCs w:val="20"/>
        </w:rPr>
        <w:t>მოცემული</w:t>
      </w:r>
      <w:r w:rsidRPr="007144D3">
        <w:rPr>
          <w:rFonts w:ascii="Sylfaen" w:hAnsi="Sylfaen"/>
          <w:sz w:val="20"/>
          <w:szCs w:val="20"/>
        </w:rPr>
        <w:t xml:space="preserve"> </w:t>
      </w:r>
      <w:r w:rsidRPr="007144D3">
        <w:rPr>
          <w:rFonts w:ascii="Sylfaen" w:hAnsi="Sylfaen" w:cs="Sylfaen"/>
          <w:sz w:val="20"/>
          <w:szCs w:val="20"/>
        </w:rPr>
        <w:t>დოკუმენტი</w:t>
      </w:r>
      <w:r w:rsidRPr="007144D3">
        <w:rPr>
          <w:rFonts w:ascii="Sylfaen" w:hAnsi="Sylfaen"/>
          <w:sz w:val="20"/>
          <w:szCs w:val="20"/>
        </w:rPr>
        <w:t xml:space="preserve"> </w:t>
      </w:r>
      <w:r w:rsidRPr="007144D3">
        <w:rPr>
          <w:rFonts w:ascii="Sylfaen" w:hAnsi="Sylfaen" w:cs="Sylfaen"/>
          <w:sz w:val="20"/>
          <w:szCs w:val="20"/>
        </w:rPr>
        <w:t>შეიძლება</w:t>
      </w:r>
      <w:r w:rsidRPr="007144D3">
        <w:rPr>
          <w:rFonts w:ascii="Sylfaen" w:hAnsi="Sylfaen"/>
          <w:sz w:val="20"/>
          <w:szCs w:val="20"/>
        </w:rPr>
        <w:t xml:space="preserve"> </w:t>
      </w:r>
      <w:r w:rsidRPr="007144D3">
        <w:rPr>
          <w:rFonts w:ascii="Sylfaen" w:hAnsi="Sylfaen" w:cs="Sylfaen"/>
          <w:sz w:val="20"/>
          <w:szCs w:val="20"/>
        </w:rPr>
        <w:t>ჩამოტვირთულ</w:t>
      </w:r>
      <w:r w:rsidRPr="007144D3">
        <w:rPr>
          <w:rFonts w:ascii="Sylfaen" w:hAnsi="Sylfaen"/>
          <w:sz w:val="20"/>
          <w:szCs w:val="20"/>
        </w:rPr>
        <w:t xml:space="preserve"> </w:t>
      </w:r>
      <w:r w:rsidRPr="007144D3">
        <w:rPr>
          <w:rFonts w:ascii="Sylfaen" w:hAnsi="Sylfaen" w:cs="Sylfaen"/>
          <w:sz w:val="20"/>
          <w:szCs w:val="20"/>
        </w:rPr>
        <w:t>იქნას</w:t>
      </w:r>
      <w:r w:rsidRPr="007144D3">
        <w:rPr>
          <w:rFonts w:ascii="Sylfaen" w:hAnsi="Sylfaen"/>
          <w:sz w:val="20"/>
          <w:szCs w:val="20"/>
        </w:rPr>
        <w:t xml:space="preserve"> </w:t>
      </w:r>
      <w:r w:rsidRPr="007144D3">
        <w:rPr>
          <w:rFonts w:ascii="Sylfaen" w:hAnsi="Sylfaen" w:cs="Sylfaen"/>
          <w:sz w:val="20"/>
          <w:szCs w:val="20"/>
        </w:rPr>
        <w:t>ადამიანის</w:t>
      </w:r>
      <w:r w:rsidRPr="007144D3">
        <w:rPr>
          <w:rFonts w:ascii="Sylfaen" w:hAnsi="Sylfaen"/>
          <w:sz w:val="20"/>
          <w:szCs w:val="20"/>
        </w:rPr>
        <w:t xml:space="preserve"> </w:t>
      </w:r>
      <w:r w:rsidRPr="007144D3">
        <w:rPr>
          <w:rFonts w:ascii="Sylfaen" w:hAnsi="Sylfaen" w:cs="Sylfaen"/>
          <w:sz w:val="20"/>
          <w:szCs w:val="20"/>
        </w:rPr>
        <w:t>უფლებათა</w:t>
      </w:r>
      <w:r w:rsidRPr="007144D3">
        <w:rPr>
          <w:rFonts w:ascii="Sylfaen" w:hAnsi="Sylfaen"/>
          <w:sz w:val="20"/>
          <w:szCs w:val="20"/>
        </w:rPr>
        <w:t xml:space="preserve"> </w:t>
      </w:r>
      <w:r w:rsidRPr="007144D3">
        <w:rPr>
          <w:rFonts w:ascii="Sylfaen" w:hAnsi="Sylfaen" w:cs="Sylfaen"/>
          <w:sz w:val="20"/>
          <w:szCs w:val="20"/>
        </w:rPr>
        <w:t>ევროპული</w:t>
      </w:r>
      <w:r w:rsidRPr="007144D3">
        <w:rPr>
          <w:rFonts w:ascii="Sylfaen" w:hAnsi="Sylfaen"/>
          <w:sz w:val="20"/>
          <w:szCs w:val="20"/>
        </w:rPr>
        <w:t xml:space="preserve"> </w:t>
      </w:r>
      <w:r w:rsidRPr="007144D3">
        <w:rPr>
          <w:rFonts w:ascii="Sylfaen" w:hAnsi="Sylfaen" w:cs="Sylfaen"/>
          <w:sz w:val="20"/>
          <w:szCs w:val="20"/>
        </w:rPr>
        <w:t>სასამართლოს</w:t>
      </w:r>
      <w:r w:rsidRPr="007144D3">
        <w:rPr>
          <w:rFonts w:ascii="Sylfaen" w:hAnsi="Sylfaen"/>
          <w:sz w:val="20"/>
          <w:szCs w:val="20"/>
        </w:rPr>
        <w:t xml:space="preserve"> HUDO</w:t>
      </w:r>
      <w:r w:rsidRPr="007144D3">
        <w:rPr>
          <w:rFonts w:ascii="Sylfaen" w:hAnsi="Sylfaen" w:cs="Sylfaen"/>
          <w:sz w:val="20"/>
          <w:szCs w:val="20"/>
        </w:rPr>
        <w:t>C</w:t>
      </w:r>
      <w:r w:rsidRPr="007144D3">
        <w:rPr>
          <w:rFonts w:ascii="Sylfaen" w:hAnsi="Sylfaen"/>
          <w:sz w:val="20"/>
          <w:szCs w:val="20"/>
        </w:rPr>
        <w:t xml:space="preserve"> </w:t>
      </w:r>
      <w:r w:rsidRPr="007144D3">
        <w:rPr>
          <w:rFonts w:ascii="Sylfaen" w:hAnsi="Sylfaen" w:cs="Sylfaen"/>
          <w:sz w:val="20"/>
          <w:szCs w:val="20"/>
        </w:rPr>
        <w:t>სასამართლო</w:t>
      </w:r>
      <w:r w:rsidRPr="007144D3">
        <w:rPr>
          <w:rFonts w:ascii="Sylfaen" w:hAnsi="Sylfaen"/>
          <w:sz w:val="20"/>
          <w:szCs w:val="20"/>
        </w:rPr>
        <w:t xml:space="preserve"> </w:t>
      </w:r>
      <w:r w:rsidRPr="007144D3">
        <w:rPr>
          <w:rFonts w:ascii="Sylfaen" w:hAnsi="Sylfaen" w:cs="Sylfaen"/>
          <w:sz w:val="20"/>
          <w:szCs w:val="20"/>
        </w:rPr>
        <w:t>პრაქტიკის</w:t>
      </w:r>
      <w:r w:rsidRPr="007144D3">
        <w:rPr>
          <w:rFonts w:ascii="Sylfaen" w:hAnsi="Sylfaen"/>
          <w:sz w:val="20"/>
          <w:szCs w:val="20"/>
        </w:rPr>
        <w:t xml:space="preserve"> </w:t>
      </w:r>
      <w:r w:rsidRPr="007144D3">
        <w:rPr>
          <w:rFonts w:ascii="Sylfaen" w:hAnsi="Sylfaen" w:cs="Sylfaen"/>
          <w:sz w:val="20"/>
          <w:szCs w:val="20"/>
        </w:rPr>
        <w:t>მონაცემთა</w:t>
      </w:r>
      <w:r w:rsidRPr="007144D3">
        <w:rPr>
          <w:rFonts w:ascii="Sylfaen" w:hAnsi="Sylfaen"/>
          <w:sz w:val="20"/>
          <w:szCs w:val="20"/>
        </w:rPr>
        <w:t xml:space="preserve"> </w:t>
      </w:r>
      <w:r w:rsidRPr="007144D3">
        <w:rPr>
          <w:rFonts w:ascii="Sylfaen" w:hAnsi="Sylfaen" w:cs="Sylfaen"/>
          <w:sz w:val="20"/>
          <w:szCs w:val="20"/>
        </w:rPr>
        <w:t>ბაზიდან</w:t>
      </w:r>
      <w:r w:rsidRPr="007144D3">
        <w:rPr>
          <w:rFonts w:ascii="Sylfaen" w:hAnsi="Sylfaen"/>
          <w:sz w:val="20"/>
          <w:szCs w:val="20"/>
        </w:rPr>
        <w:t xml:space="preserve"> (</w:t>
      </w:r>
      <w:hyperlink w:tooltip="http://hudoc.echr.coe.int/" w:history="1" r:id="rId15">
        <w:r w:rsidRPr="007144D3">
          <w:rPr>
            <w:rFonts w:ascii="Sylfaen" w:hAnsi="Sylfaen"/>
            <w:color w:val="0000FF"/>
            <w:sz w:val="20"/>
            <w:szCs w:val="20"/>
            <w:u w:val="single"/>
          </w:rPr>
          <w:t>http://hudoc.echr.coe.int</w:t>
        </w:r>
      </w:hyperlink>
      <w:r w:rsidRPr="007144D3">
        <w:rPr>
          <w:rFonts w:ascii="Sylfaen" w:hAnsi="Sylfaen"/>
          <w:sz w:val="20"/>
          <w:szCs w:val="20"/>
        </w:rPr>
        <w:t xml:space="preserve">) </w:t>
      </w:r>
      <w:r w:rsidRPr="007144D3">
        <w:rPr>
          <w:rFonts w:ascii="Sylfaen" w:hAnsi="Sylfaen" w:cs="Sylfaen"/>
          <w:sz w:val="20"/>
          <w:szCs w:val="20"/>
        </w:rPr>
        <w:t>ან</w:t>
      </w:r>
      <w:r w:rsidRPr="007144D3">
        <w:rPr>
          <w:rFonts w:ascii="Sylfaen" w:hAnsi="Sylfaen"/>
          <w:sz w:val="20"/>
          <w:szCs w:val="20"/>
        </w:rPr>
        <w:t xml:space="preserve"> </w:t>
      </w:r>
      <w:r w:rsidRPr="007144D3">
        <w:rPr>
          <w:rFonts w:ascii="Sylfaen" w:hAnsi="Sylfaen" w:cs="Sylfaen"/>
          <w:sz w:val="20"/>
          <w:szCs w:val="20"/>
        </w:rPr>
        <w:t>ნებისმიერი</w:t>
      </w:r>
      <w:r w:rsidRPr="007144D3">
        <w:rPr>
          <w:rFonts w:ascii="Sylfaen" w:hAnsi="Sylfaen"/>
          <w:sz w:val="20"/>
          <w:szCs w:val="20"/>
        </w:rPr>
        <w:t xml:space="preserve"> </w:t>
      </w:r>
      <w:r w:rsidRPr="007144D3">
        <w:rPr>
          <w:rFonts w:ascii="Sylfaen" w:hAnsi="Sylfaen" w:cs="Sylfaen"/>
          <w:sz w:val="20"/>
          <w:szCs w:val="20"/>
        </w:rPr>
        <w:t>სხვა</w:t>
      </w:r>
      <w:r w:rsidRPr="007144D3">
        <w:rPr>
          <w:rFonts w:ascii="Sylfaen" w:hAnsi="Sylfaen"/>
          <w:sz w:val="20"/>
          <w:szCs w:val="20"/>
        </w:rPr>
        <w:t xml:space="preserve"> </w:t>
      </w:r>
      <w:r w:rsidRPr="007144D3">
        <w:rPr>
          <w:rFonts w:ascii="Sylfaen" w:hAnsi="Sylfaen" w:cs="Sylfaen"/>
          <w:sz w:val="20"/>
          <w:szCs w:val="20"/>
        </w:rPr>
        <w:t>მონაცემთა</w:t>
      </w:r>
      <w:r w:rsidRPr="007144D3">
        <w:rPr>
          <w:rFonts w:ascii="Sylfaen" w:hAnsi="Sylfaen"/>
          <w:sz w:val="20"/>
          <w:szCs w:val="20"/>
        </w:rPr>
        <w:t xml:space="preserve"> </w:t>
      </w:r>
      <w:r w:rsidRPr="007144D3">
        <w:rPr>
          <w:rFonts w:ascii="Sylfaen" w:hAnsi="Sylfaen" w:cs="Sylfaen"/>
          <w:sz w:val="20"/>
          <w:szCs w:val="20"/>
        </w:rPr>
        <w:t>ბაზიდან</w:t>
      </w:r>
      <w:r w:rsidRPr="007144D3">
        <w:rPr>
          <w:rFonts w:ascii="Sylfaen" w:hAnsi="Sylfaen"/>
          <w:sz w:val="20"/>
          <w:szCs w:val="20"/>
        </w:rPr>
        <w:t xml:space="preserve">, </w:t>
      </w:r>
      <w:r w:rsidRPr="007144D3">
        <w:rPr>
          <w:rFonts w:ascii="Sylfaen" w:hAnsi="Sylfaen" w:cs="Sylfaen"/>
          <w:sz w:val="20"/>
          <w:szCs w:val="20"/>
        </w:rPr>
        <w:t>რომელთანაც</w:t>
      </w:r>
      <w:r w:rsidRPr="007144D3">
        <w:rPr>
          <w:rFonts w:ascii="Sylfaen" w:hAnsi="Sylfaen"/>
          <w:sz w:val="20"/>
          <w:szCs w:val="20"/>
        </w:rPr>
        <w:t xml:space="preserve"> </w:t>
      </w:r>
      <w:r w:rsidRPr="007144D3">
        <w:rPr>
          <w:rFonts w:ascii="Sylfaen" w:hAnsi="Sylfaen" w:cs="Sylfaen"/>
          <w:sz w:val="20"/>
          <w:szCs w:val="20"/>
        </w:rPr>
        <w:t>სასამართლომ</w:t>
      </w:r>
      <w:r w:rsidRPr="007144D3">
        <w:rPr>
          <w:rFonts w:ascii="Sylfaen" w:hAnsi="Sylfaen"/>
          <w:sz w:val="20"/>
          <w:szCs w:val="20"/>
        </w:rPr>
        <w:t xml:space="preserve"> </w:t>
      </w:r>
      <w:r w:rsidRPr="007144D3">
        <w:rPr>
          <w:rFonts w:ascii="Sylfaen" w:hAnsi="Sylfaen" w:cs="Sylfaen"/>
          <w:sz w:val="20"/>
          <w:szCs w:val="20"/>
        </w:rPr>
        <w:t>მოახდინა</w:t>
      </w:r>
      <w:r w:rsidRPr="007144D3">
        <w:rPr>
          <w:rFonts w:ascii="Sylfaen" w:hAnsi="Sylfaen"/>
          <w:sz w:val="20"/>
          <w:szCs w:val="20"/>
        </w:rPr>
        <w:t xml:space="preserve"> </w:t>
      </w:r>
      <w:r w:rsidRPr="007144D3">
        <w:rPr>
          <w:rFonts w:ascii="Sylfaen" w:hAnsi="Sylfaen" w:cs="Sylfaen"/>
          <w:sz w:val="20"/>
          <w:szCs w:val="20"/>
        </w:rPr>
        <w:t>მისი</w:t>
      </w:r>
      <w:r w:rsidRPr="007144D3">
        <w:rPr>
          <w:rFonts w:ascii="Sylfaen" w:hAnsi="Sylfaen"/>
          <w:sz w:val="20"/>
          <w:szCs w:val="20"/>
        </w:rPr>
        <w:t xml:space="preserve"> </w:t>
      </w:r>
      <w:r w:rsidRPr="007144D3">
        <w:rPr>
          <w:rFonts w:ascii="Sylfaen" w:hAnsi="Sylfaen" w:cs="Sylfaen"/>
          <w:sz w:val="20"/>
          <w:szCs w:val="20"/>
        </w:rPr>
        <w:t>გაზიარება</w:t>
      </w:r>
      <w:r w:rsidRPr="007144D3">
        <w:rPr>
          <w:rFonts w:ascii="Sylfaen" w:hAnsi="Sylfaen"/>
          <w:sz w:val="20"/>
          <w:szCs w:val="20"/>
        </w:rPr>
        <w:t xml:space="preserve">. </w:t>
      </w:r>
      <w:r w:rsidRPr="007144D3">
        <w:rPr>
          <w:rFonts w:ascii="Sylfaen" w:hAnsi="Sylfaen" w:cs="Sylfaen"/>
          <w:sz w:val="20"/>
          <w:szCs w:val="20"/>
        </w:rPr>
        <w:t>დასაშვებია</w:t>
      </w:r>
      <w:r w:rsidRPr="007144D3">
        <w:rPr>
          <w:rFonts w:ascii="Sylfaen" w:hAnsi="Sylfaen"/>
          <w:sz w:val="20"/>
          <w:szCs w:val="20"/>
        </w:rPr>
        <w:t xml:space="preserve"> </w:t>
      </w:r>
      <w:r w:rsidRPr="007144D3">
        <w:rPr>
          <w:rFonts w:ascii="Sylfaen" w:hAnsi="Sylfaen" w:cs="Sylfaen"/>
          <w:sz w:val="20"/>
          <w:szCs w:val="20"/>
        </w:rPr>
        <w:t>თარგმანის</w:t>
      </w:r>
      <w:r w:rsidRPr="007144D3">
        <w:rPr>
          <w:rFonts w:ascii="Sylfaen" w:hAnsi="Sylfaen"/>
          <w:sz w:val="20"/>
          <w:szCs w:val="20"/>
        </w:rPr>
        <w:t xml:space="preserve"> </w:t>
      </w:r>
      <w:r w:rsidRPr="007144D3">
        <w:rPr>
          <w:rFonts w:ascii="Sylfaen" w:hAnsi="Sylfaen" w:cs="Sylfaen"/>
          <w:sz w:val="20"/>
          <w:szCs w:val="20"/>
        </w:rPr>
        <w:t>რეპროდუქცირება</w:t>
      </w:r>
      <w:r w:rsidRPr="007144D3">
        <w:rPr>
          <w:rFonts w:ascii="Sylfaen" w:hAnsi="Sylfaen"/>
          <w:sz w:val="20"/>
          <w:szCs w:val="20"/>
        </w:rPr>
        <w:t xml:space="preserve"> </w:t>
      </w:r>
      <w:r w:rsidRPr="007144D3">
        <w:rPr>
          <w:rFonts w:ascii="Sylfaen" w:hAnsi="Sylfaen" w:cs="Sylfaen"/>
          <w:sz w:val="20"/>
          <w:szCs w:val="20"/>
        </w:rPr>
        <w:t>არაკომერციული</w:t>
      </w:r>
      <w:r w:rsidRPr="007144D3">
        <w:rPr>
          <w:rFonts w:ascii="Sylfaen" w:hAnsi="Sylfaen"/>
          <w:sz w:val="20"/>
          <w:szCs w:val="20"/>
        </w:rPr>
        <w:t xml:space="preserve"> </w:t>
      </w:r>
      <w:r w:rsidRPr="007144D3">
        <w:rPr>
          <w:rFonts w:ascii="Sylfaen" w:hAnsi="Sylfaen" w:cs="Sylfaen"/>
          <w:sz w:val="20"/>
          <w:szCs w:val="20"/>
        </w:rPr>
        <w:t>მიზნებისათვის</w:t>
      </w:r>
      <w:r w:rsidRPr="007144D3">
        <w:rPr>
          <w:rFonts w:ascii="Sylfaen" w:hAnsi="Sylfaen"/>
          <w:sz w:val="20"/>
          <w:szCs w:val="20"/>
        </w:rPr>
        <w:t xml:space="preserve"> </w:t>
      </w:r>
      <w:r w:rsidRPr="007144D3">
        <w:rPr>
          <w:rFonts w:ascii="Sylfaen" w:hAnsi="Sylfaen" w:cs="Sylfaen"/>
          <w:sz w:val="20"/>
          <w:szCs w:val="20"/>
        </w:rPr>
        <w:t>იმ</w:t>
      </w:r>
      <w:r w:rsidRPr="007144D3">
        <w:rPr>
          <w:rFonts w:ascii="Sylfaen" w:hAnsi="Sylfaen"/>
          <w:sz w:val="20"/>
          <w:szCs w:val="20"/>
        </w:rPr>
        <w:t xml:space="preserve"> </w:t>
      </w:r>
      <w:r w:rsidRPr="007144D3">
        <w:rPr>
          <w:rFonts w:ascii="Sylfaen" w:hAnsi="Sylfaen" w:cs="Sylfaen"/>
          <w:sz w:val="20"/>
          <w:szCs w:val="20"/>
        </w:rPr>
        <w:t>პირობით</w:t>
      </w:r>
      <w:r w:rsidRPr="007144D3">
        <w:rPr>
          <w:rFonts w:ascii="Sylfaen" w:hAnsi="Sylfaen"/>
          <w:sz w:val="20"/>
          <w:szCs w:val="20"/>
        </w:rPr>
        <w:t xml:space="preserve">, </w:t>
      </w:r>
      <w:r w:rsidRPr="007144D3">
        <w:rPr>
          <w:rFonts w:ascii="Sylfaen" w:hAnsi="Sylfaen" w:cs="Sylfaen"/>
          <w:sz w:val="20"/>
          <w:szCs w:val="20"/>
        </w:rPr>
        <w:t>რომ</w:t>
      </w:r>
      <w:r w:rsidRPr="007144D3">
        <w:rPr>
          <w:rFonts w:ascii="Sylfaen" w:hAnsi="Sylfaen"/>
          <w:sz w:val="20"/>
          <w:szCs w:val="20"/>
        </w:rPr>
        <w:t xml:space="preserve"> </w:t>
      </w:r>
      <w:r w:rsidRPr="007144D3">
        <w:rPr>
          <w:rFonts w:ascii="Sylfaen" w:hAnsi="Sylfaen" w:cs="Sylfaen"/>
          <w:sz w:val="20"/>
          <w:szCs w:val="20"/>
        </w:rPr>
        <w:t>მოხდება</w:t>
      </w:r>
      <w:r w:rsidRPr="007144D3">
        <w:rPr>
          <w:rFonts w:ascii="Sylfaen" w:hAnsi="Sylfaen"/>
          <w:sz w:val="20"/>
          <w:szCs w:val="20"/>
        </w:rPr>
        <w:t xml:space="preserve"> </w:t>
      </w:r>
      <w:r w:rsidRPr="007144D3">
        <w:rPr>
          <w:rFonts w:ascii="Sylfaen" w:hAnsi="Sylfaen" w:cs="Sylfaen"/>
          <w:sz w:val="20"/>
          <w:szCs w:val="20"/>
        </w:rPr>
        <w:t>საქმის</w:t>
      </w:r>
      <w:r w:rsidRPr="007144D3">
        <w:rPr>
          <w:rFonts w:ascii="Sylfaen" w:hAnsi="Sylfaen"/>
          <w:sz w:val="20"/>
          <w:szCs w:val="20"/>
        </w:rPr>
        <w:t xml:space="preserve"> </w:t>
      </w:r>
      <w:r w:rsidRPr="007144D3">
        <w:rPr>
          <w:rFonts w:ascii="Sylfaen" w:hAnsi="Sylfaen" w:cs="Sylfaen"/>
          <w:sz w:val="20"/>
          <w:szCs w:val="20"/>
        </w:rPr>
        <w:t>სრული</w:t>
      </w:r>
      <w:r w:rsidRPr="007144D3">
        <w:rPr>
          <w:rFonts w:ascii="Sylfaen" w:hAnsi="Sylfaen"/>
          <w:sz w:val="20"/>
          <w:szCs w:val="20"/>
        </w:rPr>
        <w:t xml:space="preserve"> </w:t>
      </w:r>
      <w:r w:rsidRPr="007144D3">
        <w:rPr>
          <w:rFonts w:ascii="Sylfaen" w:hAnsi="Sylfaen" w:cs="Sylfaen"/>
          <w:sz w:val="20"/>
          <w:szCs w:val="20"/>
        </w:rPr>
        <w:t>სახელწოდების</w:t>
      </w:r>
      <w:r w:rsidRPr="007144D3">
        <w:rPr>
          <w:rFonts w:ascii="Sylfaen" w:hAnsi="Sylfaen"/>
          <w:sz w:val="20"/>
          <w:szCs w:val="20"/>
        </w:rPr>
        <w:t xml:space="preserve"> </w:t>
      </w:r>
      <w:r w:rsidRPr="007144D3">
        <w:rPr>
          <w:rFonts w:ascii="Sylfaen" w:hAnsi="Sylfaen" w:cs="Sylfaen"/>
          <w:sz w:val="20"/>
          <w:szCs w:val="20"/>
        </w:rPr>
        <w:t>ციტირება</w:t>
      </w:r>
      <w:r w:rsidRPr="007144D3">
        <w:rPr>
          <w:rFonts w:ascii="Sylfaen" w:hAnsi="Sylfaen"/>
          <w:sz w:val="20"/>
          <w:szCs w:val="20"/>
        </w:rPr>
        <w:t xml:space="preserve">, </w:t>
      </w:r>
      <w:r w:rsidRPr="007144D3">
        <w:rPr>
          <w:rFonts w:ascii="Sylfaen" w:hAnsi="Sylfaen" w:cs="Sylfaen"/>
          <w:sz w:val="20"/>
          <w:szCs w:val="20"/>
        </w:rPr>
        <w:t>მოცემულ</w:t>
      </w:r>
      <w:r w:rsidRPr="007144D3">
        <w:rPr>
          <w:rFonts w:ascii="Sylfaen" w:hAnsi="Sylfaen"/>
          <w:sz w:val="20"/>
          <w:szCs w:val="20"/>
        </w:rPr>
        <w:t xml:space="preserve"> </w:t>
      </w:r>
      <w:r w:rsidRPr="007144D3">
        <w:rPr>
          <w:rFonts w:ascii="Sylfaen" w:hAnsi="Sylfaen" w:cs="Sylfaen"/>
          <w:sz w:val="20"/>
          <w:szCs w:val="20"/>
        </w:rPr>
        <w:t>საავტორო</w:t>
      </w:r>
      <w:r w:rsidRPr="007144D3">
        <w:rPr>
          <w:rFonts w:ascii="Sylfaen" w:hAnsi="Sylfaen"/>
          <w:sz w:val="20"/>
          <w:szCs w:val="20"/>
        </w:rPr>
        <w:t xml:space="preserve"> </w:t>
      </w:r>
      <w:r w:rsidRPr="007144D3">
        <w:rPr>
          <w:rFonts w:ascii="Sylfaen" w:hAnsi="Sylfaen" w:cs="Sylfaen"/>
          <w:sz w:val="20"/>
          <w:szCs w:val="20"/>
        </w:rPr>
        <w:t>უფლებების</w:t>
      </w:r>
      <w:r w:rsidRPr="007144D3">
        <w:rPr>
          <w:rFonts w:ascii="Sylfaen" w:hAnsi="Sylfaen"/>
          <w:sz w:val="20"/>
          <w:szCs w:val="20"/>
        </w:rPr>
        <w:t xml:space="preserve"> </w:t>
      </w:r>
      <w:r w:rsidRPr="007144D3">
        <w:rPr>
          <w:rFonts w:ascii="Sylfaen" w:hAnsi="Sylfaen" w:cs="Sylfaen"/>
          <w:sz w:val="20"/>
          <w:szCs w:val="20"/>
        </w:rPr>
        <w:t>აღნიშვნასა</w:t>
      </w:r>
      <w:r w:rsidRPr="007144D3">
        <w:rPr>
          <w:rFonts w:ascii="Sylfaen" w:hAnsi="Sylfaen"/>
          <w:sz w:val="20"/>
          <w:szCs w:val="20"/>
        </w:rPr>
        <w:t xml:space="preserve"> </w:t>
      </w:r>
      <w:r w:rsidRPr="007144D3">
        <w:rPr>
          <w:rFonts w:ascii="Sylfaen" w:hAnsi="Sylfaen" w:cs="Sylfaen"/>
          <w:sz w:val="20"/>
          <w:szCs w:val="20"/>
        </w:rPr>
        <w:t>და</w:t>
      </w:r>
      <w:r w:rsidRPr="007144D3">
        <w:rPr>
          <w:rFonts w:ascii="Sylfaen" w:hAnsi="Sylfaen"/>
          <w:sz w:val="20"/>
          <w:szCs w:val="20"/>
        </w:rPr>
        <w:t xml:space="preserve"> </w:t>
      </w:r>
      <w:r w:rsidRPr="007144D3">
        <w:rPr>
          <w:rFonts w:ascii="Sylfaen" w:hAnsi="Sylfaen" w:cs="Sylfaen"/>
          <w:sz w:val="20"/>
          <w:szCs w:val="20"/>
        </w:rPr>
        <w:t>ადამიანის</w:t>
      </w:r>
      <w:r w:rsidRPr="007144D3">
        <w:rPr>
          <w:rFonts w:ascii="Sylfaen" w:hAnsi="Sylfaen"/>
          <w:sz w:val="20"/>
          <w:szCs w:val="20"/>
        </w:rPr>
        <w:t xml:space="preserve"> </w:t>
      </w:r>
      <w:r w:rsidRPr="007144D3">
        <w:rPr>
          <w:rFonts w:ascii="Sylfaen" w:hAnsi="Sylfaen" w:cs="Sylfaen"/>
          <w:sz w:val="20"/>
          <w:szCs w:val="20"/>
        </w:rPr>
        <w:t>უფლებათა</w:t>
      </w:r>
      <w:r w:rsidRPr="007144D3">
        <w:rPr>
          <w:rFonts w:ascii="Sylfaen" w:hAnsi="Sylfaen"/>
          <w:sz w:val="20"/>
          <w:szCs w:val="20"/>
        </w:rPr>
        <w:t xml:space="preserve"> </w:t>
      </w:r>
      <w:r w:rsidRPr="007144D3">
        <w:rPr>
          <w:rFonts w:ascii="Sylfaen" w:hAnsi="Sylfaen" w:cs="Sylfaen"/>
          <w:sz w:val="20"/>
          <w:szCs w:val="20"/>
        </w:rPr>
        <w:t>სატრასტო</w:t>
      </w:r>
      <w:r w:rsidRPr="007144D3">
        <w:rPr>
          <w:rFonts w:ascii="Sylfaen" w:hAnsi="Sylfaen"/>
          <w:sz w:val="20"/>
          <w:szCs w:val="20"/>
        </w:rPr>
        <w:t xml:space="preserve"> </w:t>
      </w:r>
      <w:r w:rsidRPr="007144D3">
        <w:rPr>
          <w:rFonts w:ascii="Sylfaen" w:hAnsi="Sylfaen" w:cs="Sylfaen"/>
          <w:sz w:val="20"/>
          <w:szCs w:val="20"/>
        </w:rPr>
        <w:t>ფონდზე</w:t>
      </w:r>
      <w:r w:rsidRPr="007144D3">
        <w:rPr>
          <w:rFonts w:ascii="Sylfaen" w:hAnsi="Sylfaen"/>
          <w:sz w:val="20"/>
          <w:szCs w:val="20"/>
        </w:rPr>
        <w:t xml:space="preserve"> </w:t>
      </w:r>
      <w:r w:rsidRPr="007144D3">
        <w:rPr>
          <w:rFonts w:ascii="Sylfaen" w:hAnsi="Sylfaen" w:cs="Sylfaen"/>
          <w:sz w:val="20"/>
          <w:szCs w:val="20"/>
        </w:rPr>
        <w:t>მითითებით</w:t>
      </w:r>
      <w:r w:rsidRPr="007144D3">
        <w:rPr>
          <w:rFonts w:ascii="Sylfaen" w:hAnsi="Sylfaen"/>
          <w:sz w:val="20"/>
          <w:szCs w:val="20"/>
        </w:rPr>
        <w:t xml:space="preserve">. </w:t>
      </w:r>
      <w:r w:rsidRPr="007144D3">
        <w:rPr>
          <w:rFonts w:ascii="Sylfaen" w:hAnsi="Sylfaen" w:cs="Sylfaen"/>
          <w:sz w:val="20"/>
          <w:szCs w:val="20"/>
        </w:rPr>
        <w:t>წინამდებარე</w:t>
      </w:r>
      <w:r w:rsidRPr="007144D3">
        <w:rPr>
          <w:rFonts w:ascii="Sylfaen" w:hAnsi="Sylfaen"/>
          <w:sz w:val="20"/>
          <w:szCs w:val="20"/>
        </w:rPr>
        <w:t xml:space="preserve"> </w:t>
      </w:r>
      <w:r w:rsidRPr="007144D3">
        <w:rPr>
          <w:rFonts w:ascii="Sylfaen" w:hAnsi="Sylfaen" w:cs="Sylfaen"/>
          <w:sz w:val="20"/>
          <w:szCs w:val="20"/>
        </w:rPr>
        <w:t>თარგმანის</w:t>
      </w:r>
      <w:r w:rsidRPr="007144D3">
        <w:rPr>
          <w:rFonts w:ascii="Sylfaen" w:hAnsi="Sylfaen"/>
          <w:sz w:val="20"/>
          <w:szCs w:val="20"/>
        </w:rPr>
        <w:t xml:space="preserve"> </w:t>
      </w:r>
      <w:r w:rsidRPr="007144D3">
        <w:rPr>
          <w:rFonts w:ascii="Sylfaen" w:hAnsi="Sylfaen" w:cs="Sylfaen"/>
          <w:sz w:val="20"/>
          <w:szCs w:val="20"/>
        </w:rPr>
        <w:t>ნებისმიერი</w:t>
      </w:r>
      <w:r w:rsidRPr="007144D3">
        <w:rPr>
          <w:rFonts w:ascii="Sylfaen" w:hAnsi="Sylfaen"/>
          <w:sz w:val="20"/>
          <w:szCs w:val="20"/>
        </w:rPr>
        <w:t xml:space="preserve"> </w:t>
      </w:r>
      <w:r w:rsidRPr="007144D3">
        <w:rPr>
          <w:rFonts w:ascii="Sylfaen" w:hAnsi="Sylfaen" w:cs="Sylfaen"/>
          <w:sz w:val="20"/>
          <w:szCs w:val="20"/>
        </w:rPr>
        <w:t>ნაწილის</w:t>
      </w:r>
      <w:r w:rsidRPr="007144D3">
        <w:rPr>
          <w:rFonts w:ascii="Sylfaen" w:hAnsi="Sylfaen"/>
          <w:sz w:val="20"/>
          <w:szCs w:val="20"/>
        </w:rPr>
        <w:t xml:space="preserve"> </w:t>
      </w:r>
      <w:r w:rsidRPr="007144D3">
        <w:rPr>
          <w:rFonts w:ascii="Sylfaen" w:hAnsi="Sylfaen" w:cs="Sylfaen"/>
          <w:sz w:val="20"/>
          <w:szCs w:val="20"/>
        </w:rPr>
        <w:t>კომერციული</w:t>
      </w:r>
      <w:r w:rsidRPr="007144D3">
        <w:rPr>
          <w:rFonts w:ascii="Sylfaen" w:hAnsi="Sylfaen"/>
          <w:sz w:val="20"/>
          <w:szCs w:val="20"/>
        </w:rPr>
        <w:t xml:space="preserve"> </w:t>
      </w:r>
      <w:r w:rsidRPr="007144D3">
        <w:rPr>
          <w:rFonts w:ascii="Sylfaen" w:hAnsi="Sylfaen" w:cs="Sylfaen"/>
          <w:sz w:val="20"/>
          <w:szCs w:val="20"/>
        </w:rPr>
        <w:t>მიზნებით</w:t>
      </w:r>
      <w:r w:rsidRPr="007144D3">
        <w:rPr>
          <w:rFonts w:ascii="Sylfaen" w:hAnsi="Sylfaen"/>
          <w:sz w:val="20"/>
          <w:szCs w:val="20"/>
        </w:rPr>
        <w:t xml:space="preserve"> </w:t>
      </w:r>
      <w:r w:rsidRPr="007144D3">
        <w:rPr>
          <w:rFonts w:ascii="Sylfaen" w:hAnsi="Sylfaen" w:cs="Sylfaen"/>
          <w:sz w:val="20"/>
          <w:szCs w:val="20"/>
        </w:rPr>
        <w:t>გამოყენების</w:t>
      </w:r>
      <w:r w:rsidRPr="007144D3">
        <w:rPr>
          <w:rFonts w:ascii="Sylfaen" w:hAnsi="Sylfaen"/>
          <w:sz w:val="20"/>
          <w:szCs w:val="20"/>
        </w:rPr>
        <w:t xml:space="preserve"> </w:t>
      </w:r>
      <w:r w:rsidRPr="007144D3">
        <w:rPr>
          <w:rFonts w:ascii="Sylfaen" w:hAnsi="Sylfaen" w:cs="Sylfaen"/>
          <w:sz w:val="20"/>
          <w:szCs w:val="20"/>
        </w:rPr>
        <w:t>სურვილის</w:t>
      </w:r>
      <w:r w:rsidRPr="007144D3">
        <w:rPr>
          <w:rFonts w:ascii="Sylfaen" w:hAnsi="Sylfaen"/>
          <w:sz w:val="20"/>
          <w:szCs w:val="20"/>
        </w:rPr>
        <w:t xml:space="preserve"> </w:t>
      </w:r>
      <w:r w:rsidRPr="007144D3">
        <w:rPr>
          <w:rFonts w:ascii="Sylfaen" w:hAnsi="Sylfaen" w:cs="Sylfaen"/>
          <w:sz w:val="20"/>
          <w:szCs w:val="20"/>
        </w:rPr>
        <w:t>შემთხვევაში</w:t>
      </w:r>
      <w:r w:rsidRPr="007144D3">
        <w:rPr>
          <w:rFonts w:ascii="Sylfaen" w:hAnsi="Sylfaen"/>
          <w:sz w:val="20"/>
          <w:szCs w:val="20"/>
        </w:rPr>
        <w:t xml:space="preserve">, </w:t>
      </w:r>
      <w:r w:rsidRPr="007144D3">
        <w:rPr>
          <w:rFonts w:ascii="Sylfaen" w:hAnsi="Sylfaen" w:cs="Sylfaen"/>
          <w:sz w:val="20"/>
          <w:szCs w:val="20"/>
        </w:rPr>
        <w:t>გთხოვთ</w:t>
      </w:r>
      <w:r w:rsidRPr="007144D3">
        <w:rPr>
          <w:rFonts w:ascii="Sylfaen" w:hAnsi="Sylfaen"/>
          <w:sz w:val="20"/>
          <w:szCs w:val="20"/>
        </w:rPr>
        <w:t xml:space="preserve"> </w:t>
      </w:r>
      <w:r w:rsidRPr="007144D3">
        <w:rPr>
          <w:rFonts w:ascii="Sylfaen" w:hAnsi="Sylfaen" w:cs="Sylfaen"/>
          <w:sz w:val="20"/>
          <w:szCs w:val="20"/>
        </w:rPr>
        <w:t>მოგვწეროთ</w:t>
      </w:r>
      <w:r w:rsidRPr="007144D3">
        <w:rPr>
          <w:rFonts w:ascii="Sylfaen" w:hAnsi="Sylfaen"/>
          <w:sz w:val="20"/>
          <w:szCs w:val="20"/>
        </w:rPr>
        <w:t xml:space="preserve"> </w:t>
      </w:r>
      <w:r w:rsidRPr="007144D3">
        <w:rPr>
          <w:rFonts w:ascii="Sylfaen" w:hAnsi="Sylfaen" w:cs="Sylfaen"/>
          <w:sz w:val="20"/>
          <w:szCs w:val="20"/>
        </w:rPr>
        <w:t>შემდეგ</w:t>
      </w:r>
      <w:r w:rsidRPr="007144D3">
        <w:rPr>
          <w:rFonts w:ascii="Sylfaen" w:hAnsi="Sylfaen"/>
          <w:sz w:val="20"/>
          <w:szCs w:val="20"/>
        </w:rPr>
        <w:t xml:space="preserve"> </w:t>
      </w:r>
      <w:r w:rsidRPr="007144D3">
        <w:rPr>
          <w:rFonts w:ascii="Sylfaen" w:hAnsi="Sylfaen" w:cs="Sylfaen"/>
          <w:sz w:val="20"/>
          <w:szCs w:val="20"/>
        </w:rPr>
        <w:t>მისამართზე</w:t>
      </w:r>
      <w:r w:rsidRPr="007144D3">
        <w:rPr>
          <w:rFonts w:ascii="Sylfaen" w:hAnsi="Sylfaen"/>
          <w:sz w:val="20"/>
          <w:szCs w:val="20"/>
        </w:rPr>
        <w:t xml:space="preserve">: </w:t>
      </w:r>
      <w:hyperlink w:history="1" r:id="rId16">
        <w:r w:rsidRPr="007144D3">
          <w:rPr>
            <w:rFonts w:ascii="Sylfaen" w:hAnsi="Sylfaen"/>
            <w:color w:val="0000FF"/>
            <w:sz w:val="20"/>
            <w:szCs w:val="20"/>
            <w:u w:val="single"/>
          </w:rPr>
          <w:t>publishing@echr.coe.int</w:t>
        </w:r>
      </w:hyperlink>
      <w:r w:rsidRPr="007144D3">
        <w:rPr>
          <w:rFonts w:ascii="Sylfaen" w:hAnsi="Sylfaen"/>
          <w:sz w:val="20"/>
          <w:szCs w:val="20"/>
        </w:rPr>
        <w:t>.</w:t>
      </w:r>
    </w:p>
    <w:p w:rsidRPr="007144D3" w:rsidR="00EB24D7" w:rsidP="00EB24D7" w:rsidRDefault="00EB24D7">
      <w:pPr>
        <w:ind w:left="0" w:firstLine="0"/>
        <w:rPr>
          <w:rFonts w:ascii="Sylfaen" w:hAnsi="Sylfaen"/>
          <w:b/>
          <w:sz w:val="20"/>
          <w:szCs w:val="20"/>
        </w:rPr>
      </w:pPr>
      <w:r w:rsidRPr="007144D3">
        <w:rPr>
          <w:rFonts w:ascii="Sylfaen" w:hAnsi="Sylfaen"/>
          <w:b/>
          <w:sz w:val="20"/>
          <w:szCs w:val="20"/>
        </w:rPr>
        <w:t>© Council of Europe/European Court of Human Rights, 2013</w:t>
      </w:r>
    </w:p>
    <w:p w:rsidRPr="007144D3" w:rsidR="00EB24D7" w:rsidP="00EB24D7" w:rsidRDefault="00EB24D7">
      <w:pPr>
        <w:ind w:left="0" w:firstLine="0"/>
        <w:rPr>
          <w:rFonts w:ascii="Sylfaen" w:hAnsi="Sylfaen"/>
          <w:sz w:val="20"/>
          <w:szCs w:val="20"/>
          <w:lang w:val="en-GB" w:eastAsia="en-GB"/>
        </w:rPr>
      </w:pPr>
      <w:r w:rsidRPr="007144D3">
        <w:rPr>
          <w:rFonts w:ascii="Sylfaen" w:hAnsi="Sylfaen"/>
          <w:sz w:val="20"/>
          <w:szCs w:val="20"/>
        </w:rPr>
        <w:t>The official languages of the European Court of Human Rights are English and French. This translation</w:t>
      </w:r>
      <w:r w:rsidRPr="007144D3">
        <w:rPr>
          <w:rFonts w:ascii="Sylfaen" w:hAnsi="Sylfaen"/>
          <w:sz w:val="20"/>
          <w:szCs w:val="20"/>
          <w:lang w:val="en-GB" w:eastAsia="en-GB"/>
        </w:rPr>
        <w:t xml:space="preserve"> was commissioned with the support of the Human Rights Trust Fund of the Council of Europe (</w:t>
      </w:r>
      <w:hyperlink w:history="1" r:id="rId17">
        <w:r w:rsidRPr="007144D3">
          <w:rPr>
            <w:rFonts w:ascii="Sylfaen" w:hAnsi="Sylfaen"/>
            <w:bCs/>
            <w:sz w:val="20"/>
            <w:szCs w:val="20"/>
            <w:u w:val="single"/>
            <w:lang w:val="en-GB" w:eastAsia="en-GB"/>
          </w:rPr>
          <w:t>www.coe.int</w:t>
        </w:r>
        <w:r w:rsidRPr="007144D3">
          <w:rPr>
            <w:rFonts w:ascii="Sylfaen" w:hAnsi="Sylfaen"/>
            <w:bCs/>
            <w:sz w:val="20"/>
            <w:szCs w:val="20"/>
            <w:u w:val="single"/>
            <w:lang w:val="en-GB" w:eastAsia="en-GB"/>
          </w:rPr>
          <w:t>/</w:t>
        </w:r>
        <w:r w:rsidRPr="007144D3">
          <w:rPr>
            <w:rFonts w:ascii="Sylfaen" w:hAnsi="Sylfaen"/>
            <w:bCs/>
            <w:sz w:val="20"/>
            <w:szCs w:val="20"/>
            <w:u w:val="single"/>
            <w:lang w:val="en-GB" w:eastAsia="en-GB"/>
          </w:rPr>
          <w:t>humanrightstrustfund</w:t>
        </w:r>
      </w:hyperlink>
      <w:r w:rsidRPr="007144D3">
        <w:rPr>
          <w:rFonts w:ascii="Sylfaen" w:hAnsi="Sylfaen"/>
          <w:sz w:val="20"/>
          <w:szCs w:val="20"/>
          <w:lang w:val="en-GB" w:eastAsia="en-GB"/>
        </w:rPr>
        <w:t>). It does not bind the Court, nor does the Court take any responsibility for the quality thereof. It may be downloaded from the HUDOC case-law database of the European Court of Human Rights (</w:t>
      </w:r>
      <w:hyperlink w:history="1" r:id="rId18">
        <w:r w:rsidRPr="007144D3">
          <w:rPr>
            <w:rFonts w:ascii="Sylfaen" w:hAnsi="Sylfaen"/>
            <w:sz w:val="20"/>
            <w:szCs w:val="20"/>
            <w:u w:val="single"/>
            <w:lang w:val="en-GB" w:eastAsia="en-GB"/>
          </w:rPr>
          <w:t>http://h</w:t>
        </w:r>
        <w:r w:rsidRPr="007144D3">
          <w:rPr>
            <w:rFonts w:ascii="Sylfaen" w:hAnsi="Sylfaen"/>
            <w:sz w:val="20"/>
            <w:szCs w:val="20"/>
            <w:u w:val="single"/>
            <w:lang w:val="en-GB" w:eastAsia="en-GB"/>
          </w:rPr>
          <w:t>u</w:t>
        </w:r>
        <w:r w:rsidRPr="007144D3">
          <w:rPr>
            <w:rFonts w:ascii="Sylfaen" w:hAnsi="Sylfaen"/>
            <w:sz w:val="20"/>
            <w:szCs w:val="20"/>
            <w:u w:val="single"/>
            <w:lang w:val="en-GB" w:eastAsia="en-GB"/>
          </w:rPr>
          <w:t>doc.echr.c</w:t>
        </w:r>
        <w:r w:rsidRPr="007144D3">
          <w:rPr>
            <w:rFonts w:ascii="Sylfaen" w:hAnsi="Sylfaen"/>
            <w:sz w:val="20"/>
            <w:szCs w:val="20"/>
            <w:u w:val="single"/>
            <w:lang w:val="en-GB" w:eastAsia="en-GB"/>
          </w:rPr>
          <w:t>o</w:t>
        </w:r>
        <w:r w:rsidRPr="007144D3">
          <w:rPr>
            <w:rFonts w:ascii="Sylfaen" w:hAnsi="Sylfaen"/>
            <w:sz w:val="20"/>
            <w:szCs w:val="20"/>
            <w:u w:val="single"/>
            <w:lang w:val="en-GB" w:eastAsia="en-GB"/>
          </w:rPr>
          <w:t>e.int</w:t>
        </w:r>
      </w:hyperlink>
      <w:r w:rsidRPr="007144D3">
        <w:rPr>
          <w:rFonts w:ascii="Sylfaen" w:hAnsi="Sylfaen"/>
          <w:sz w:val="20"/>
          <w:szCs w:val="20"/>
          <w:lang w:val="en-GB" w:eastAsia="en-GB"/>
        </w:rPr>
        <w:t xml:space="preserve">) or from any other database with which the Court has shared it. It may be reproduced for non-commercial purposes on condition that the full title of the case is cited, together with the above copyright indication and reference to the Human Rights Trust Fund. If it is intended to use any part of this translation for commercial purposes, please contact </w:t>
      </w:r>
      <w:hyperlink w:history="1" r:id="rId19">
        <w:r w:rsidRPr="007144D3">
          <w:rPr>
            <w:rFonts w:ascii="Sylfaen" w:hAnsi="Sylfaen"/>
            <w:sz w:val="20"/>
            <w:szCs w:val="20"/>
            <w:u w:val="single"/>
            <w:lang w:val="en-GB" w:eastAsia="en-GB"/>
          </w:rPr>
          <w:t>publishing@echr.coe.int</w:t>
        </w:r>
      </w:hyperlink>
      <w:r w:rsidRPr="007144D3">
        <w:rPr>
          <w:rFonts w:ascii="Sylfaen" w:hAnsi="Sylfaen"/>
          <w:sz w:val="20"/>
          <w:szCs w:val="20"/>
          <w:lang w:val="en-GB" w:eastAsia="en-GB"/>
        </w:rPr>
        <w:t>.</w:t>
      </w:r>
    </w:p>
    <w:p w:rsidRPr="007144D3" w:rsidR="00EB24D7" w:rsidP="00EB24D7" w:rsidRDefault="00EB24D7">
      <w:pPr>
        <w:ind w:left="0" w:firstLine="0"/>
        <w:rPr>
          <w:rFonts w:ascii="Sylfaen" w:hAnsi="Sylfaen"/>
          <w:b/>
          <w:sz w:val="20"/>
          <w:szCs w:val="20"/>
          <w:lang w:val="fr-FR"/>
        </w:rPr>
      </w:pPr>
      <w:r w:rsidRPr="007144D3">
        <w:rPr>
          <w:rFonts w:ascii="Sylfaen" w:hAnsi="Sylfaen"/>
          <w:b/>
          <w:sz w:val="20"/>
          <w:szCs w:val="20"/>
          <w:lang w:val="fr-FR"/>
        </w:rPr>
        <w:t>© Conseil de l</w:t>
      </w:r>
      <w:r w:rsidR="00643EF8">
        <w:rPr>
          <w:rFonts w:ascii="Sylfaen" w:hAnsi="Sylfaen"/>
          <w:b/>
          <w:sz w:val="20"/>
          <w:szCs w:val="20"/>
          <w:lang w:val="fr-FR"/>
        </w:rPr>
        <w:t>’</w:t>
      </w:r>
      <w:r w:rsidRPr="007144D3">
        <w:rPr>
          <w:rFonts w:ascii="Sylfaen" w:hAnsi="Sylfaen"/>
          <w:b/>
          <w:sz w:val="20"/>
          <w:szCs w:val="20"/>
          <w:lang w:val="fr-FR"/>
        </w:rPr>
        <w:t>Europe/Cour européenne des droits de l</w:t>
      </w:r>
      <w:r w:rsidR="00643EF8">
        <w:rPr>
          <w:rFonts w:ascii="Sylfaen" w:hAnsi="Sylfaen"/>
          <w:b/>
          <w:sz w:val="20"/>
          <w:szCs w:val="20"/>
          <w:lang w:val="fr-FR"/>
        </w:rPr>
        <w:t>’</w:t>
      </w:r>
      <w:r w:rsidRPr="007144D3">
        <w:rPr>
          <w:rFonts w:ascii="Sylfaen" w:hAnsi="Sylfaen"/>
          <w:b/>
          <w:sz w:val="20"/>
          <w:szCs w:val="20"/>
          <w:lang w:val="fr-FR"/>
        </w:rPr>
        <w:t xml:space="preserve">homme, </w:t>
      </w:r>
      <w:r w:rsidRPr="007144D3">
        <w:rPr>
          <w:rFonts w:ascii="Sylfaen" w:hAnsi="Sylfaen"/>
          <w:b/>
          <w:sz w:val="20"/>
          <w:szCs w:val="20"/>
          <w:lang w:val="ro-RO"/>
        </w:rPr>
        <w:t>2013</w:t>
      </w:r>
    </w:p>
    <w:p w:rsidR="00EB24D7" w:rsidP="00EB24D7" w:rsidRDefault="00EB24D7">
      <w:pPr>
        <w:ind w:left="0" w:firstLine="0"/>
        <w:rPr>
          <w:rFonts w:ascii="Sylfaen" w:hAnsi="Sylfaen"/>
          <w:sz w:val="20"/>
          <w:szCs w:val="20"/>
          <w:lang w:val="fr-FR"/>
        </w:rPr>
      </w:pPr>
      <w:r w:rsidRPr="007144D3">
        <w:rPr>
          <w:rFonts w:ascii="Sylfaen" w:hAnsi="Sylfaen"/>
          <w:sz w:val="20"/>
          <w:szCs w:val="20"/>
          <w:lang w:val="fr-FR"/>
        </w:rPr>
        <w:t>Les langues officielles de la Cour européenne des droits de l</w:t>
      </w:r>
      <w:r w:rsidR="00643EF8">
        <w:rPr>
          <w:rFonts w:ascii="Sylfaen" w:hAnsi="Sylfaen"/>
          <w:sz w:val="20"/>
          <w:szCs w:val="20"/>
          <w:lang w:val="fr-FR"/>
        </w:rPr>
        <w:t>’</w:t>
      </w:r>
      <w:r w:rsidRPr="007144D3">
        <w:rPr>
          <w:rFonts w:ascii="Sylfaen" w:hAnsi="Sylfaen"/>
          <w:sz w:val="20"/>
          <w:szCs w:val="20"/>
          <w:lang w:val="fr-FR"/>
        </w:rPr>
        <w:t>homme sont le français et l</w:t>
      </w:r>
      <w:r w:rsidR="00643EF8">
        <w:rPr>
          <w:rFonts w:ascii="Sylfaen" w:hAnsi="Sylfaen"/>
          <w:sz w:val="20"/>
          <w:szCs w:val="20"/>
          <w:lang w:val="fr-FR"/>
        </w:rPr>
        <w:t>’</w:t>
      </w:r>
      <w:r w:rsidRPr="007144D3">
        <w:rPr>
          <w:rFonts w:ascii="Sylfaen" w:hAnsi="Sylfaen"/>
          <w:sz w:val="20"/>
          <w:szCs w:val="20"/>
          <w:lang w:val="fr-FR"/>
        </w:rPr>
        <w:t>anglais. La présente traduction a été effectuée avec le soutien du Fonds fiduciaire pour les droits de l</w:t>
      </w:r>
      <w:r w:rsidR="00643EF8">
        <w:rPr>
          <w:rFonts w:ascii="Sylfaen" w:hAnsi="Sylfaen"/>
          <w:sz w:val="20"/>
          <w:szCs w:val="20"/>
          <w:lang w:val="fr-FR"/>
        </w:rPr>
        <w:t>’</w:t>
      </w:r>
      <w:r w:rsidRPr="007144D3">
        <w:rPr>
          <w:rFonts w:ascii="Sylfaen" w:hAnsi="Sylfaen"/>
          <w:sz w:val="20"/>
          <w:szCs w:val="20"/>
          <w:lang w:val="fr-FR"/>
        </w:rPr>
        <w:t>homme du Conseil de l</w:t>
      </w:r>
      <w:r w:rsidR="00643EF8">
        <w:rPr>
          <w:rFonts w:ascii="Sylfaen" w:hAnsi="Sylfaen"/>
          <w:sz w:val="20"/>
          <w:szCs w:val="20"/>
          <w:lang w:val="fr-FR"/>
        </w:rPr>
        <w:t>’</w:t>
      </w:r>
      <w:r w:rsidRPr="007144D3">
        <w:rPr>
          <w:rFonts w:ascii="Sylfaen" w:hAnsi="Sylfaen"/>
          <w:sz w:val="20"/>
          <w:szCs w:val="20"/>
          <w:lang w:val="fr-FR"/>
        </w:rPr>
        <w:t>Europe (</w:t>
      </w:r>
      <w:hyperlink w:tooltip="http://www.coe.int/humanrightstrustfund" w:history="1" r:id="rId20">
        <w:r w:rsidRPr="007144D3">
          <w:rPr>
            <w:rFonts w:ascii="Sylfaen" w:hAnsi="Sylfaen"/>
            <w:bCs/>
            <w:color w:val="0000FF"/>
            <w:sz w:val="20"/>
            <w:szCs w:val="20"/>
            <w:u w:val="single"/>
            <w:lang w:val="fr-FR"/>
          </w:rPr>
          <w:t>www.coe.int/humanrightstrustfund</w:t>
        </w:r>
      </w:hyperlink>
      <w:r w:rsidRPr="007144D3">
        <w:rPr>
          <w:rFonts w:ascii="Sylfaen" w:hAnsi="Sylfaen"/>
          <w:sz w:val="20"/>
          <w:szCs w:val="20"/>
          <w:lang w:val="fr-FR"/>
        </w:rPr>
        <w:t>). Elle ne lie pas la Cour, et celle-ci décline toute responsabilité quant à sa qualité. Elle peut être téléchargée à partir de HUDOC, la base de jurisprudence de la Cour européenne des droits de l</w:t>
      </w:r>
      <w:r w:rsidR="00643EF8">
        <w:rPr>
          <w:rFonts w:ascii="Sylfaen" w:hAnsi="Sylfaen"/>
          <w:sz w:val="20"/>
          <w:szCs w:val="20"/>
          <w:lang w:val="fr-FR"/>
        </w:rPr>
        <w:t>’</w:t>
      </w:r>
      <w:r w:rsidRPr="007144D3">
        <w:rPr>
          <w:rFonts w:ascii="Sylfaen" w:hAnsi="Sylfaen"/>
          <w:sz w:val="20"/>
          <w:szCs w:val="20"/>
          <w:lang w:val="fr-FR"/>
        </w:rPr>
        <w:t>homme (</w:t>
      </w:r>
      <w:hyperlink w:tooltip="http://hudoc.echr.coe.int/" w:history="1" r:id="rId21">
        <w:r w:rsidRPr="007144D3">
          <w:rPr>
            <w:rFonts w:ascii="Sylfaen" w:hAnsi="Sylfaen"/>
            <w:color w:val="0000FF"/>
            <w:sz w:val="20"/>
            <w:szCs w:val="20"/>
            <w:u w:val="single"/>
            <w:lang w:val="fr-FR"/>
          </w:rPr>
          <w:t>http://hudoc.echr.coe.int</w:t>
        </w:r>
      </w:hyperlink>
      <w:r w:rsidRPr="007144D3">
        <w:rPr>
          <w:rFonts w:ascii="Sylfaen" w:hAnsi="Sylfaen"/>
          <w:sz w:val="20"/>
          <w:szCs w:val="20"/>
          <w:lang w:val="fr-FR"/>
        </w:rPr>
        <w:t>), ou de toute autre base de données à laquelle HUDOC l</w:t>
      </w:r>
      <w:r w:rsidR="00643EF8">
        <w:rPr>
          <w:rFonts w:ascii="Sylfaen" w:hAnsi="Sylfaen"/>
          <w:sz w:val="20"/>
          <w:szCs w:val="20"/>
          <w:lang w:val="fr-FR"/>
        </w:rPr>
        <w:t>’</w:t>
      </w:r>
      <w:r w:rsidRPr="007144D3">
        <w:rPr>
          <w:rFonts w:ascii="Sylfaen" w:hAnsi="Sylfaen"/>
          <w:sz w:val="20"/>
          <w:szCs w:val="20"/>
          <w:lang w:val="fr-FR"/>
        </w:rPr>
        <w:t>a communiquée. Elle peut être reproduite à des fins non commerciales, sous réserve que le titre de l</w:t>
      </w:r>
      <w:r w:rsidR="00643EF8">
        <w:rPr>
          <w:rFonts w:ascii="Sylfaen" w:hAnsi="Sylfaen"/>
          <w:sz w:val="20"/>
          <w:szCs w:val="20"/>
          <w:lang w:val="fr-FR"/>
        </w:rPr>
        <w:t>’</w:t>
      </w:r>
      <w:r w:rsidRPr="007144D3">
        <w:rPr>
          <w:rFonts w:ascii="Sylfaen" w:hAnsi="Sylfaen"/>
          <w:sz w:val="20"/>
          <w:szCs w:val="20"/>
          <w:lang w:val="fr-FR"/>
        </w:rPr>
        <w:t>affaire soit cité en entier et s</w:t>
      </w:r>
      <w:r w:rsidR="00643EF8">
        <w:rPr>
          <w:rFonts w:ascii="Sylfaen" w:hAnsi="Sylfaen"/>
          <w:sz w:val="20"/>
          <w:szCs w:val="20"/>
          <w:lang w:val="fr-FR"/>
        </w:rPr>
        <w:t>’</w:t>
      </w:r>
      <w:r w:rsidRPr="007144D3">
        <w:rPr>
          <w:rFonts w:ascii="Sylfaen" w:hAnsi="Sylfaen"/>
          <w:sz w:val="20"/>
          <w:szCs w:val="20"/>
          <w:lang w:val="fr-FR"/>
        </w:rPr>
        <w:t>accompagne de l</w:t>
      </w:r>
      <w:r w:rsidR="00643EF8">
        <w:rPr>
          <w:rFonts w:ascii="Sylfaen" w:hAnsi="Sylfaen"/>
          <w:sz w:val="20"/>
          <w:szCs w:val="20"/>
          <w:lang w:val="fr-FR"/>
        </w:rPr>
        <w:t>’</w:t>
      </w:r>
      <w:r w:rsidRPr="007144D3">
        <w:rPr>
          <w:rFonts w:ascii="Sylfaen" w:hAnsi="Sylfaen"/>
          <w:sz w:val="20"/>
          <w:szCs w:val="20"/>
          <w:lang w:val="fr-FR"/>
        </w:rPr>
        <w:t>indication de copyright ci-dessus ainsi que de la référence au Fonds fiduciaire pour les droits de l</w:t>
      </w:r>
      <w:r w:rsidR="00643EF8">
        <w:rPr>
          <w:rFonts w:ascii="Sylfaen" w:hAnsi="Sylfaen"/>
          <w:sz w:val="20"/>
          <w:szCs w:val="20"/>
          <w:lang w:val="fr-FR"/>
        </w:rPr>
        <w:t>’</w:t>
      </w:r>
      <w:r w:rsidRPr="007144D3">
        <w:rPr>
          <w:rFonts w:ascii="Sylfaen" w:hAnsi="Sylfaen"/>
          <w:sz w:val="20"/>
          <w:szCs w:val="20"/>
          <w:lang w:val="fr-FR"/>
        </w:rPr>
        <w:t>homme. Toute personne souhaitant se servir de tout ou partie de la présente traduction à des fins commerciales est invitée à le signaler à l</w:t>
      </w:r>
      <w:r w:rsidR="00643EF8">
        <w:rPr>
          <w:rFonts w:ascii="Sylfaen" w:hAnsi="Sylfaen"/>
          <w:sz w:val="20"/>
          <w:szCs w:val="20"/>
          <w:lang w:val="fr-FR"/>
        </w:rPr>
        <w:t>’</w:t>
      </w:r>
      <w:r w:rsidRPr="007144D3">
        <w:rPr>
          <w:rFonts w:ascii="Sylfaen" w:hAnsi="Sylfaen"/>
          <w:sz w:val="20"/>
          <w:szCs w:val="20"/>
          <w:lang w:val="fr-FR"/>
        </w:rPr>
        <w:t xml:space="preserve">adresse suivante : </w:t>
      </w:r>
      <w:hyperlink w:tooltip="mailto:publishing@echr.coe.int" w:history="1" r:id="rId22">
        <w:r w:rsidRPr="007144D3">
          <w:rPr>
            <w:rFonts w:ascii="Sylfaen" w:hAnsi="Sylfaen"/>
            <w:color w:val="0000FF"/>
            <w:sz w:val="20"/>
            <w:szCs w:val="20"/>
            <w:u w:val="single"/>
            <w:lang w:val="fr-FR"/>
          </w:rPr>
          <w:t>publishing@echr.coe.int</w:t>
        </w:r>
      </w:hyperlink>
      <w:r w:rsidRPr="007144D3">
        <w:rPr>
          <w:rFonts w:ascii="Sylfaen" w:hAnsi="Sylfaen"/>
          <w:sz w:val="20"/>
          <w:szCs w:val="20"/>
          <w:lang w:val="fr-FR"/>
        </w:rPr>
        <w:t>.</w:t>
      </w:r>
    </w:p>
    <w:p w:rsidRPr="00EB24D7" w:rsidR="001624E6" w:rsidP="00EB24D7" w:rsidRDefault="001624E6">
      <w:pPr>
        <w:ind w:left="0" w:firstLine="0"/>
        <w:rPr>
          <w:rFonts w:ascii="Sylfaen" w:hAnsi="Sylfaen"/>
          <w:lang w:val="fr-FR"/>
        </w:rPr>
      </w:pPr>
    </w:p>
    <w:sectPr w:rsidRPr="00EB24D7" w:rsidR="001624E6" w:rsidSect="00EB24D7">
      <w:headerReference w:type="first" r:id="rId23"/>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5BA8" w:rsidRDefault="00E85BA8" w:rsidP="004E2175">
      <w:pPr>
        <w:spacing w:after="0" w:line="240" w:lineRule="auto"/>
      </w:pPr>
      <w:r>
        <w:separator/>
      </w:r>
    </w:p>
  </w:endnote>
  <w:endnote w:type="continuationSeparator" w:id="0">
    <w:p w:rsidR="00E85BA8" w:rsidRDefault="00E85BA8" w:rsidP="004E21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cadNusx">
    <w:charset w:val="00"/>
    <w:family w:val="auto"/>
    <w:pitch w:val="variable"/>
    <w:sig w:usb0="00000087" w:usb1="00000000" w:usb2="00000000" w:usb3="00000000" w:csb0="0000001B"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293C" w:rsidRDefault="0091590A" w:rsidP="004E2175">
    <w:pPr>
      <w:pStyle w:val="Footer"/>
      <w:jc w:val="center"/>
    </w:pPr>
    <w:r w:rsidRPr="0091590A">
      <w:rPr>
        <w:noProof/>
        <w:sz w:val="4"/>
        <w:szCs w:val="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i1026" type="#_x0000_t75" alt="DocFooter-03" style="width:54pt;height:33pt;visibility:visible">
          <v:imagedata r:id="rId1" o:title="DocFooter-03"/>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5BA8" w:rsidRDefault="00E85BA8" w:rsidP="004E2175">
      <w:pPr>
        <w:spacing w:after="0" w:line="240" w:lineRule="auto"/>
      </w:pPr>
      <w:r>
        <w:separator/>
      </w:r>
    </w:p>
  </w:footnote>
  <w:footnote w:type="continuationSeparator" w:id="0">
    <w:p w:rsidR="00E85BA8" w:rsidRDefault="00E85BA8" w:rsidP="004E21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24D7" w:rsidRPr="00EB24D7" w:rsidRDefault="00C0293C" w:rsidP="00EB24D7">
    <w:pPr>
      <w:pStyle w:val="Header"/>
      <w:rPr>
        <w:rFonts w:ascii="Sylfaen" w:hAnsi="Sylfaen"/>
        <w:i/>
        <w:sz w:val="20"/>
        <w:lang w:val="fr-FR"/>
      </w:rPr>
    </w:pPr>
    <w:r>
      <w:fldChar w:fldCharType="begin"/>
    </w:r>
    <w:r>
      <w:instrText xml:space="preserve"> PAGE   \* MERGEFORMAT </w:instrText>
    </w:r>
    <w:r>
      <w:fldChar w:fldCharType="separate"/>
    </w:r>
    <w:r w:rsidR="00643EF8">
      <w:rPr>
        <w:noProof/>
      </w:rPr>
      <w:t>2</w:t>
    </w:r>
    <w:r>
      <w:fldChar w:fldCharType="end"/>
    </w:r>
    <w:r w:rsidR="00EB24D7">
      <w:tab/>
    </w:r>
    <w:r w:rsidR="00EB24D7">
      <w:tab/>
    </w:r>
    <w:r w:rsidRPr="004E2175">
      <w:rPr>
        <w:rFonts w:ascii="Sylfaen" w:hAnsi="Sylfaen"/>
        <w:i/>
        <w:sz w:val="20"/>
        <w:lang w:val="ka-GE"/>
      </w:rPr>
      <w:t xml:space="preserve">გადაწყვეტილება </w:t>
    </w:r>
    <w:r w:rsidRPr="004E2175">
      <w:rPr>
        <w:rFonts w:ascii="Sylfaen" w:hAnsi="Sylfaen"/>
        <w:i/>
        <w:sz w:val="20"/>
      </w:rPr>
      <w:t>საქმე</w:t>
    </w:r>
    <w:r w:rsidRPr="004E2175">
      <w:rPr>
        <w:rFonts w:ascii="Sylfaen" w:hAnsi="Sylfaen"/>
        <w:i/>
        <w:sz w:val="20"/>
        <w:lang w:val="ka-GE"/>
      </w:rPr>
      <w:t>ზე</w:t>
    </w:r>
    <w:r w:rsidRPr="004E2175">
      <w:rPr>
        <w:rFonts w:ascii="Sylfaen" w:hAnsi="Sylfaen"/>
        <w:i/>
        <w:sz w:val="20"/>
        <w:lang w:val="fr-FR"/>
      </w:rPr>
      <w:t xml:space="preserve"> </w:t>
    </w:r>
    <w:r w:rsidRPr="004E2175">
      <w:rPr>
        <w:rFonts w:ascii="Sylfaen" w:hAnsi="Sylfaen"/>
        <w:i/>
        <w:sz w:val="20"/>
        <w:lang w:val="ka-GE"/>
      </w:rPr>
      <w:t>ოზგიურლიუკ ვე დაიანიშმა პარტისი (ოდპ) თურქეთის</w:t>
    </w:r>
    <w:r w:rsidR="00EB24D7">
      <w:rPr>
        <w:rFonts w:ascii="Sylfaen" w:hAnsi="Sylfaen"/>
        <w:i/>
        <w:sz w:val="20"/>
        <w:lang w:val="fr-FR"/>
      </w:rPr>
      <w:tab/>
    </w:r>
  </w:p>
  <w:p w:rsidR="00C0293C" w:rsidRDefault="00C0293C" w:rsidP="00EB24D7">
    <w:pPr>
      <w:pStyle w:val="Header"/>
      <w:jc w:val="center"/>
    </w:pPr>
    <w:r w:rsidRPr="004E2175">
      <w:rPr>
        <w:rFonts w:ascii="Sylfaen" w:hAnsi="Sylfaen"/>
        <w:i/>
        <w:sz w:val="20"/>
      </w:rPr>
      <w:t>წინააღმდეგ</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293C" w:rsidRPr="004E2175" w:rsidRDefault="0091590A" w:rsidP="004E2175">
    <w:pPr>
      <w:tabs>
        <w:tab w:val="center" w:pos="4680"/>
        <w:tab w:val="right" w:pos="9360"/>
      </w:tabs>
      <w:spacing w:after="0" w:line="240" w:lineRule="auto"/>
      <w:jc w:val="center"/>
    </w:pPr>
    <w:r w:rsidRPr="0091590A">
      <w:rPr>
        <w:noProof/>
        <w:sz w:val="4"/>
        <w:szCs w:val="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Transp50DocHeaderBigBlack" style="width:169.5pt;height:86.25pt;visibility:visible">
          <v:imagedata r:id="rId1" o:title="Transp50DocHeaderBigBlack"/>
        </v:shape>
      </w:pict>
    </w:r>
  </w:p>
  <w:p w:rsidR="00C0293C" w:rsidRDefault="00C0293C" w:rsidP="004E2175">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24D7" w:rsidRPr="00EB24D7" w:rsidRDefault="00EB24D7" w:rsidP="00EB24D7">
    <w:pPr>
      <w:pStyle w:val="Header"/>
      <w:jc w:val="center"/>
      <w:rPr>
        <w:rFonts w:ascii="Sylfaen" w:hAnsi="Sylfaen"/>
        <w:sz w:val="20"/>
        <w:lang w:val="fr-FR"/>
      </w:rPr>
    </w:pPr>
    <w:r>
      <w:rPr>
        <w:rFonts w:ascii="Sylfaen" w:hAnsi="Sylfaen"/>
        <w:i/>
        <w:sz w:val="20"/>
        <w:lang w:val="fr-FR"/>
      </w:rPr>
      <w:tab/>
    </w:r>
    <w:r w:rsidRPr="004E2175">
      <w:rPr>
        <w:rFonts w:ascii="Sylfaen" w:hAnsi="Sylfaen"/>
        <w:i/>
        <w:sz w:val="20"/>
        <w:lang w:val="ka-GE"/>
      </w:rPr>
      <w:t xml:space="preserve">გადაწყვეტილება </w:t>
    </w:r>
    <w:r w:rsidRPr="004E2175">
      <w:rPr>
        <w:rFonts w:ascii="Sylfaen" w:hAnsi="Sylfaen"/>
        <w:i/>
        <w:sz w:val="20"/>
      </w:rPr>
      <w:t>საქმე</w:t>
    </w:r>
    <w:r w:rsidRPr="004E2175">
      <w:rPr>
        <w:rFonts w:ascii="Sylfaen" w:hAnsi="Sylfaen"/>
        <w:i/>
        <w:sz w:val="20"/>
        <w:lang w:val="ka-GE"/>
      </w:rPr>
      <w:t>ზე</w:t>
    </w:r>
    <w:r w:rsidRPr="004E2175">
      <w:rPr>
        <w:rFonts w:ascii="Sylfaen" w:hAnsi="Sylfaen"/>
        <w:i/>
        <w:sz w:val="20"/>
        <w:lang w:val="fr-FR"/>
      </w:rPr>
      <w:t xml:space="preserve"> </w:t>
    </w:r>
    <w:r w:rsidRPr="004E2175">
      <w:rPr>
        <w:rFonts w:ascii="Sylfaen" w:hAnsi="Sylfaen"/>
        <w:i/>
        <w:sz w:val="20"/>
        <w:lang w:val="ka-GE"/>
      </w:rPr>
      <w:t>ოზგიურლიუკ ვე დაიანიშმა პარტისი (ოდპ) თურქეთის</w:t>
    </w:r>
    <w:r>
      <w:rPr>
        <w:rFonts w:ascii="Sylfaen" w:hAnsi="Sylfaen"/>
        <w:i/>
        <w:sz w:val="20"/>
      </w:rPr>
      <w:tab/>
    </w:r>
    <w:r>
      <w:fldChar w:fldCharType="begin"/>
    </w:r>
    <w:r>
      <w:instrText xml:space="preserve"> PAGE   \* MERGEFORMAT </w:instrText>
    </w:r>
    <w:r>
      <w:fldChar w:fldCharType="separate"/>
    </w:r>
    <w:r w:rsidR="00643EF8">
      <w:rPr>
        <w:noProof/>
      </w:rPr>
      <w:t>1</w:t>
    </w:r>
    <w:r>
      <w:rPr>
        <w:noProof/>
      </w:rPr>
      <w:fldChar w:fldCharType="end"/>
    </w:r>
  </w:p>
  <w:p w:rsidR="00EB24D7" w:rsidRDefault="00EB24D7" w:rsidP="00EB24D7">
    <w:pPr>
      <w:pStyle w:val="Header"/>
      <w:jc w:val="center"/>
    </w:pPr>
    <w:r w:rsidRPr="004E2175">
      <w:rPr>
        <w:rFonts w:ascii="Sylfaen" w:hAnsi="Sylfaen"/>
        <w:i/>
        <w:sz w:val="20"/>
      </w:rPr>
      <w:t>წინააღმდეგ</w:t>
    </w:r>
  </w:p>
  <w:p w:rsidR="00EB24D7" w:rsidRPr="00EB24D7" w:rsidRDefault="00EB24D7" w:rsidP="00EB24D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0D4B08"/>
    <w:multiLevelType w:val="hybridMultilevel"/>
    <w:tmpl w:val="760E88E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E7B4FEE"/>
    <w:multiLevelType w:val="hybridMultilevel"/>
    <w:tmpl w:val="32E609DA"/>
    <w:lvl w:ilvl="0" w:tplc="0409000F">
      <w:start w:val="1"/>
      <w:numFmt w:val="decimal"/>
      <w:lvlText w:val="%1."/>
      <w:lvlJc w:val="left"/>
      <w:pPr>
        <w:ind w:left="216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3F0442C3"/>
    <w:multiLevelType w:val="hybridMultilevel"/>
    <w:tmpl w:val="D2883E4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3301669"/>
    <w:multiLevelType w:val="hybridMultilevel"/>
    <w:tmpl w:val="C340235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B0A5673"/>
    <w:multiLevelType w:val="hybridMultilevel"/>
    <w:tmpl w:val="8258069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BF07BE8"/>
    <w:multiLevelType w:val="hybridMultilevel"/>
    <w:tmpl w:val="239A2688"/>
    <w:lvl w:ilvl="0" w:tplc="8FBE124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0"/>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hideSpellingErrors/>
  <w:hideGrammaticalErrors/>
  <w:doNotTrackMoves/>
  <w:defaultTabStop w:val="720"/>
  <w:drawingGridHorizontalSpacing w:val="110"/>
  <w:displayHorizontalDrawingGridEvery w:val="2"/>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E2175"/>
    <w:rsid w:val="0001757A"/>
    <w:rsid w:val="00026BE3"/>
    <w:rsid w:val="00040F32"/>
    <w:rsid w:val="000474D6"/>
    <w:rsid w:val="000C66F3"/>
    <w:rsid w:val="000C7962"/>
    <w:rsid w:val="000D4D59"/>
    <w:rsid w:val="0011164D"/>
    <w:rsid w:val="001624E6"/>
    <w:rsid w:val="0019313D"/>
    <w:rsid w:val="002244F6"/>
    <w:rsid w:val="00276BFC"/>
    <w:rsid w:val="002E1D5E"/>
    <w:rsid w:val="0032038C"/>
    <w:rsid w:val="00323D21"/>
    <w:rsid w:val="0035500F"/>
    <w:rsid w:val="003754AC"/>
    <w:rsid w:val="003A1E59"/>
    <w:rsid w:val="003F314A"/>
    <w:rsid w:val="00416AAD"/>
    <w:rsid w:val="00457BA8"/>
    <w:rsid w:val="00471A57"/>
    <w:rsid w:val="0049799F"/>
    <w:rsid w:val="004D4E69"/>
    <w:rsid w:val="004E2175"/>
    <w:rsid w:val="004F66DD"/>
    <w:rsid w:val="004F70C3"/>
    <w:rsid w:val="0051715A"/>
    <w:rsid w:val="00530AC6"/>
    <w:rsid w:val="0053739C"/>
    <w:rsid w:val="005377E6"/>
    <w:rsid w:val="0057501F"/>
    <w:rsid w:val="005D70F3"/>
    <w:rsid w:val="005E4057"/>
    <w:rsid w:val="005F0F22"/>
    <w:rsid w:val="00643EF8"/>
    <w:rsid w:val="00677B17"/>
    <w:rsid w:val="006A382E"/>
    <w:rsid w:val="006A43FD"/>
    <w:rsid w:val="006C3C8C"/>
    <w:rsid w:val="0074563D"/>
    <w:rsid w:val="00753C75"/>
    <w:rsid w:val="00782A38"/>
    <w:rsid w:val="007B363F"/>
    <w:rsid w:val="0080208B"/>
    <w:rsid w:val="008044AD"/>
    <w:rsid w:val="008239CE"/>
    <w:rsid w:val="008261F0"/>
    <w:rsid w:val="00843159"/>
    <w:rsid w:val="0084563D"/>
    <w:rsid w:val="008567CC"/>
    <w:rsid w:val="00860F91"/>
    <w:rsid w:val="008C1142"/>
    <w:rsid w:val="008C6BF7"/>
    <w:rsid w:val="008D405A"/>
    <w:rsid w:val="00906891"/>
    <w:rsid w:val="009111C3"/>
    <w:rsid w:val="0091590A"/>
    <w:rsid w:val="009324D9"/>
    <w:rsid w:val="009544D5"/>
    <w:rsid w:val="009A7AC8"/>
    <w:rsid w:val="009B60E2"/>
    <w:rsid w:val="009B79D4"/>
    <w:rsid w:val="009C0024"/>
    <w:rsid w:val="009F44CF"/>
    <w:rsid w:val="00A23CF0"/>
    <w:rsid w:val="00A85017"/>
    <w:rsid w:val="00A9545E"/>
    <w:rsid w:val="00AC002C"/>
    <w:rsid w:val="00AC1F01"/>
    <w:rsid w:val="00AC6C46"/>
    <w:rsid w:val="00AD166E"/>
    <w:rsid w:val="00B0158E"/>
    <w:rsid w:val="00B50AE7"/>
    <w:rsid w:val="00B64EB6"/>
    <w:rsid w:val="00B94AFD"/>
    <w:rsid w:val="00BD2D6C"/>
    <w:rsid w:val="00C0293C"/>
    <w:rsid w:val="00C30A93"/>
    <w:rsid w:val="00C33C51"/>
    <w:rsid w:val="00C42DAB"/>
    <w:rsid w:val="00C500F2"/>
    <w:rsid w:val="00CA12B9"/>
    <w:rsid w:val="00CC29D8"/>
    <w:rsid w:val="00CE1B15"/>
    <w:rsid w:val="00CF62C4"/>
    <w:rsid w:val="00D26A8F"/>
    <w:rsid w:val="00D57A85"/>
    <w:rsid w:val="00DD1257"/>
    <w:rsid w:val="00DF4A1C"/>
    <w:rsid w:val="00E21ABA"/>
    <w:rsid w:val="00E25780"/>
    <w:rsid w:val="00E27AA1"/>
    <w:rsid w:val="00E429F2"/>
    <w:rsid w:val="00E51289"/>
    <w:rsid w:val="00E73C49"/>
    <w:rsid w:val="00E85BA8"/>
    <w:rsid w:val="00EB24D7"/>
    <w:rsid w:val="00F10D1B"/>
    <w:rsid w:val="00F67CA0"/>
    <w:rsid w:val="00FB0780"/>
    <w:rsid w:val="00FD4856"/>
    <w:rsid w:val="00FE02CF"/>
    <w:rsid w:val="00FE7D7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3074"/>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70C3"/>
    <w:pPr>
      <w:spacing w:after="200" w:line="276" w:lineRule="auto"/>
      <w:ind w:left="720" w:hanging="360"/>
      <w:jc w:val="both"/>
    </w:pPr>
    <w:rPr>
      <w:sz w:val="22"/>
      <w:szCs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21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2175"/>
  </w:style>
  <w:style w:type="paragraph" w:styleId="Footer">
    <w:name w:val="footer"/>
    <w:basedOn w:val="Normal"/>
    <w:link w:val="FooterChar"/>
    <w:uiPriority w:val="99"/>
    <w:unhideWhenUsed/>
    <w:rsid w:val="004E21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2175"/>
  </w:style>
  <w:style w:type="paragraph" w:styleId="BalloonText">
    <w:name w:val="Balloon Text"/>
    <w:basedOn w:val="Normal"/>
    <w:link w:val="BalloonTextChar"/>
    <w:uiPriority w:val="99"/>
    <w:semiHidden/>
    <w:unhideWhenUsed/>
    <w:rsid w:val="004E2175"/>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4E2175"/>
    <w:rPr>
      <w:rFonts w:ascii="Tahoma" w:hAnsi="Tahoma" w:cs="Tahoma"/>
      <w:sz w:val="16"/>
      <w:szCs w:val="16"/>
    </w:rPr>
  </w:style>
  <w:style w:type="paragraph" w:customStyle="1" w:styleId="Citation">
    <w:name w:val="Citation"/>
    <w:basedOn w:val="Normal"/>
    <w:link w:val="CitationChar"/>
    <w:qFormat/>
    <w:rsid w:val="008D405A"/>
    <w:pPr>
      <w:ind w:left="1080" w:right="360" w:firstLine="0"/>
    </w:pPr>
    <w:rPr>
      <w:rFonts w:ascii="Sylfaen" w:hAnsi="Sylfaen"/>
      <w:b/>
      <w:sz w:val="20"/>
      <w:szCs w:val="20"/>
      <w:lang w:val="ka-GE" w:eastAsia="x-none"/>
    </w:rPr>
  </w:style>
  <w:style w:type="character" w:styleId="CommentReference">
    <w:name w:val="annotation reference"/>
    <w:uiPriority w:val="99"/>
    <w:semiHidden/>
    <w:unhideWhenUsed/>
    <w:rsid w:val="0080208B"/>
    <w:rPr>
      <w:sz w:val="16"/>
      <w:szCs w:val="16"/>
    </w:rPr>
  </w:style>
  <w:style w:type="character" w:customStyle="1" w:styleId="CitationChar">
    <w:name w:val="Citation Char"/>
    <w:link w:val="Citation"/>
    <w:rsid w:val="008D405A"/>
    <w:rPr>
      <w:rFonts w:ascii="Sylfaen" w:eastAsia="Calibri" w:hAnsi="Sylfaen" w:cs="Times New Roman"/>
      <w:b/>
      <w:sz w:val="20"/>
      <w:lang w:val="ka-GE"/>
    </w:rPr>
  </w:style>
  <w:style w:type="paragraph" w:styleId="CommentText">
    <w:name w:val="annotation text"/>
    <w:basedOn w:val="Normal"/>
    <w:link w:val="CommentTextChar"/>
    <w:uiPriority w:val="99"/>
    <w:semiHidden/>
    <w:unhideWhenUsed/>
    <w:rsid w:val="0080208B"/>
    <w:rPr>
      <w:sz w:val="20"/>
      <w:szCs w:val="20"/>
    </w:rPr>
  </w:style>
  <w:style w:type="character" w:customStyle="1" w:styleId="CommentTextChar">
    <w:name w:val="Comment Text Char"/>
    <w:basedOn w:val="DefaultParagraphFont"/>
    <w:link w:val="CommentText"/>
    <w:uiPriority w:val="99"/>
    <w:semiHidden/>
    <w:rsid w:val="0080208B"/>
  </w:style>
  <w:style w:type="paragraph" w:styleId="CommentSubject">
    <w:name w:val="annotation subject"/>
    <w:basedOn w:val="CommentText"/>
    <w:next w:val="CommentText"/>
    <w:link w:val="CommentSubjectChar"/>
    <w:uiPriority w:val="99"/>
    <w:semiHidden/>
    <w:unhideWhenUsed/>
    <w:rsid w:val="0080208B"/>
    <w:rPr>
      <w:b/>
      <w:bCs/>
      <w:lang w:val="x-none" w:eastAsia="x-none"/>
    </w:rPr>
  </w:style>
  <w:style w:type="character" w:customStyle="1" w:styleId="CommentSubjectChar">
    <w:name w:val="Comment Subject Char"/>
    <w:link w:val="CommentSubject"/>
    <w:uiPriority w:val="99"/>
    <w:semiHidden/>
    <w:rsid w:val="0080208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0924249">
      <w:bodyDiv w:val="1"/>
      <w:marLeft w:val="0"/>
      <w:marRight w:val="0"/>
      <w:marTop w:val="0"/>
      <w:marBottom w:val="0"/>
      <w:divBdr>
        <w:top w:val="none" w:sz="0" w:space="0" w:color="auto"/>
        <w:left w:val="none" w:sz="0" w:space="0" w:color="auto"/>
        <w:bottom w:val="none" w:sz="0" w:space="0" w:color="auto"/>
        <w:right w:val="none" w:sz="0" w:space="0" w:color="auto"/>
      </w:divBdr>
      <w:divsChild>
        <w:div w:id="414664721">
          <w:marLeft w:val="0"/>
          <w:marRight w:val="0"/>
          <w:marTop w:val="0"/>
          <w:marBottom w:val="0"/>
          <w:divBdr>
            <w:top w:val="none" w:sz="0" w:space="0" w:color="auto"/>
            <w:left w:val="none" w:sz="0" w:space="0" w:color="auto"/>
            <w:bottom w:val="none" w:sz="0" w:space="0" w:color="auto"/>
            <w:right w:val="none" w:sz="0" w:space="0" w:color="auto"/>
          </w:divBdr>
        </w:div>
        <w:div w:id="775563550">
          <w:marLeft w:val="0"/>
          <w:marRight w:val="0"/>
          <w:marTop w:val="0"/>
          <w:marBottom w:val="0"/>
          <w:divBdr>
            <w:top w:val="none" w:sz="0" w:space="0" w:color="auto"/>
            <w:left w:val="none" w:sz="0" w:space="0" w:color="auto"/>
            <w:bottom w:val="none" w:sz="0" w:space="0" w:color="auto"/>
            <w:right w:val="none" w:sz="0" w:space="0" w:color="auto"/>
          </w:divBdr>
        </w:div>
        <w:div w:id="935285982">
          <w:marLeft w:val="0"/>
          <w:marRight w:val="0"/>
          <w:marTop w:val="0"/>
          <w:marBottom w:val="0"/>
          <w:divBdr>
            <w:top w:val="none" w:sz="0" w:space="0" w:color="auto"/>
            <w:left w:val="none" w:sz="0" w:space="0" w:color="auto"/>
            <w:bottom w:val="none" w:sz="0" w:space="0" w:color="auto"/>
            <w:right w:val="none" w:sz="0" w:space="0" w:color="auto"/>
          </w:divBdr>
        </w:div>
        <w:div w:id="992949326">
          <w:marLeft w:val="0"/>
          <w:marRight w:val="0"/>
          <w:marTop w:val="0"/>
          <w:marBottom w:val="0"/>
          <w:divBdr>
            <w:top w:val="none" w:sz="0" w:space="0" w:color="auto"/>
            <w:left w:val="none" w:sz="0" w:space="0" w:color="auto"/>
            <w:bottom w:val="none" w:sz="0" w:space="0" w:color="auto"/>
            <w:right w:val="none" w:sz="0" w:space="0" w:color="auto"/>
          </w:divBdr>
        </w:div>
        <w:div w:id="1061100815">
          <w:marLeft w:val="0"/>
          <w:marRight w:val="0"/>
          <w:marTop w:val="0"/>
          <w:marBottom w:val="0"/>
          <w:divBdr>
            <w:top w:val="none" w:sz="0" w:space="0" w:color="auto"/>
            <w:left w:val="none" w:sz="0" w:space="0" w:color="auto"/>
            <w:bottom w:val="none" w:sz="0" w:space="0" w:color="auto"/>
            <w:right w:val="none" w:sz="0" w:space="0" w:color="auto"/>
          </w:divBdr>
        </w:div>
        <w:div w:id="1110973457">
          <w:marLeft w:val="0"/>
          <w:marRight w:val="0"/>
          <w:marTop w:val="0"/>
          <w:marBottom w:val="0"/>
          <w:divBdr>
            <w:top w:val="none" w:sz="0" w:space="0" w:color="auto"/>
            <w:left w:val="none" w:sz="0" w:space="0" w:color="auto"/>
            <w:bottom w:val="none" w:sz="0" w:space="0" w:color="auto"/>
            <w:right w:val="none" w:sz="0" w:space="0" w:color="auto"/>
          </w:divBdr>
        </w:div>
        <w:div w:id="1510875898">
          <w:marLeft w:val="0"/>
          <w:marRight w:val="0"/>
          <w:marTop w:val="0"/>
          <w:marBottom w:val="0"/>
          <w:divBdr>
            <w:top w:val="none" w:sz="0" w:space="0" w:color="auto"/>
            <w:left w:val="none" w:sz="0" w:space="0" w:color="auto"/>
            <w:bottom w:val="none" w:sz="0" w:space="0" w:color="auto"/>
            <w:right w:val="none" w:sz="0" w:space="0" w:color="auto"/>
          </w:divBdr>
        </w:div>
        <w:div w:id="1639218149">
          <w:marLeft w:val="0"/>
          <w:marRight w:val="0"/>
          <w:marTop w:val="0"/>
          <w:marBottom w:val="0"/>
          <w:divBdr>
            <w:top w:val="none" w:sz="0" w:space="0" w:color="auto"/>
            <w:left w:val="none" w:sz="0" w:space="0" w:color="auto"/>
            <w:bottom w:val="none" w:sz="0" w:space="0" w:color="auto"/>
            <w:right w:val="none" w:sz="0" w:space="0" w:color="auto"/>
          </w:divBdr>
        </w:div>
        <w:div w:id="1701785007">
          <w:marLeft w:val="0"/>
          <w:marRight w:val="0"/>
          <w:marTop w:val="0"/>
          <w:marBottom w:val="0"/>
          <w:divBdr>
            <w:top w:val="none" w:sz="0" w:space="0" w:color="auto"/>
            <w:left w:val="none" w:sz="0" w:space="0" w:color="auto"/>
            <w:bottom w:val="none" w:sz="0" w:space="0" w:color="auto"/>
            <w:right w:val="none" w:sz="0" w:space="0" w:color="auto"/>
          </w:divBdr>
        </w:div>
        <w:div w:id="1859923821">
          <w:marLeft w:val="0"/>
          <w:marRight w:val="0"/>
          <w:marTop w:val="0"/>
          <w:marBottom w:val="0"/>
          <w:divBdr>
            <w:top w:val="none" w:sz="0" w:space="0" w:color="auto"/>
            <w:left w:val="none" w:sz="0" w:space="0" w:color="auto"/>
            <w:bottom w:val="none" w:sz="0" w:space="0" w:color="auto"/>
            <w:right w:val="none" w:sz="0" w:space="0" w:color="auto"/>
          </w:divBdr>
        </w:div>
        <w:div w:id="1944265939">
          <w:marLeft w:val="0"/>
          <w:marRight w:val="0"/>
          <w:marTop w:val="0"/>
          <w:marBottom w:val="0"/>
          <w:divBdr>
            <w:top w:val="none" w:sz="0" w:space="0" w:color="auto"/>
            <w:left w:val="none" w:sz="0" w:space="0" w:color="auto"/>
            <w:bottom w:val="none" w:sz="0" w:space="0" w:color="auto"/>
            <w:right w:val="none" w:sz="0" w:space="0" w:color="auto"/>
          </w:divBdr>
        </w:div>
        <w:div w:id="2143578271">
          <w:marLeft w:val="0"/>
          <w:marRight w:val="0"/>
          <w:marTop w:val="0"/>
          <w:marBottom w:val="0"/>
          <w:divBdr>
            <w:top w:val="none" w:sz="0" w:space="0" w:color="auto"/>
            <w:left w:val="none" w:sz="0" w:space="0" w:color="auto"/>
            <w:bottom w:val="none" w:sz="0" w:space="0" w:color="auto"/>
            <w:right w:val="none" w:sz="0" w:space="0" w:color="auto"/>
          </w:divBdr>
        </w:div>
      </w:divsChild>
    </w:div>
    <w:div w:id="1963416753">
      <w:bodyDiv w:val="1"/>
      <w:marLeft w:val="0"/>
      <w:marRight w:val="0"/>
      <w:marTop w:val="0"/>
      <w:marBottom w:val="0"/>
      <w:divBdr>
        <w:top w:val="none" w:sz="0" w:space="0" w:color="auto"/>
        <w:left w:val="none" w:sz="0" w:space="0" w:color="auto"/>
        <w:bottom w:val="none" w:sz="0" w:space="0" w:color="auto"/>
        <w:right w:val="none" w:sz="0" w:space="0" w:color="auto"/>
      </w:divBdr>
      <w:divsChild>
        <w:div w:id="74593514">
          <w:marLeft w:val="0"/>
          <w:marRight w:val="0"/>
          <w:marTop w:val="0"/>
          <w:marBottom w:val="0"/>
          <w:divBdr>
            <w:top w:val="none" w:sz="0" w:space="0" w:color="auto"/>
            <w:left w:val="none" w:sz="0" w:space="0" w:color="auto"/>
            <w:bottom w:val="none" w:sz="0" w:space="0" w:color="auto"/>
            <w:right w:val="none" w:sz="0" w:space="0" w:color="auto"/>
          </w:divBdr>
        </w:div>
        <w:div w:id="302777218">
          <w:marLeft w:val="0"/>
          <w:marRight w:val="0"/>
          <w:marTop w:val="0"/>
          <w:marBottom w:val="0"/>
          <w:divBdr>
            <w:top w:val="none" w:sz="0" w:space="0" w:color="auto"/>
            <w:left w:val="none" w:sz="0" w:space="0" w:color="auto"/>
            <w:bottom w:val="none" w:sz="0" w:space="0" w:color="auto"/>
            <w:right w:val="none" w:sz="0" w:space="0" w:color="auto"/>
          </w:divBdr>
        </w:div>
        <w:div w:id="306789436">
          <w:marLeft w:val="0"/>
          <w:marRight w:val="0"/>
          <w:marTop w:val="0"/>
          <w:marBottom w:val="0"/>
          <w:divBdr>
            <w:top w:val="none" w:sz="0" w:space="0" w:color="auto"/>
            <w:left w:val="none" w:sz="0" w:space="0" w:color="auto"/>
            <w:bottom w:val="none" w:sz="0" w:space="0" w:color="auto"/>
            <w:right w:val="none" w:sz="0" w:space="0" w:color="auto"/>
          </w:divBdr>
        </w:div>
        <w:div w:id="310670645">
          <w:marLeft w:val="0"/>
          <w:marRight w:val="0"/>
          <w:marTop w:val="0"/>
          <w:marBottom w:val="0"/>
          <w:divBdr>
            <w:top w:val="none" w:sz="0" w:space="0" w:color="auto"/>
            <w:left w:val="none" w:sz="0" w:space="0" w:color="auto"/>
            <w:bottom w:val="none" w:sz="0" w:space="0" w:color="auto"/>
            <w:right w:val="none" w:sz="0" w:space="0" w:color="auto"/>
          </w:divBdr>
        </w:div>
        <w:div w:id="524026506">
          <w:marLeft w:val="0"/>
          <w:marRight w:val="0"/>
          <w:marTop w:val="0"/>
          <w:marBottom w:val="0"/>
          <w:divBdr>
            <w:top w:val="none" w:sz="0" w:space="0" w:color="auto"/>
            <w:left w:val="none" w:sz="0" w:space="0" w:color="auto"/>
            <w:bottom w:val="none" w:sz="0" w:space="0" w:color="auto"/>
            <w:right w:val="none" w:sz="0" w:space="0" w:color="auto"/>
          </w:divBdr>
        </w:div>
        <w:div w:id="705565137">
          <w:marLeft w:val="0"/>
          <w:marRight w:val="0"/>
          <w:marTop w:val="0"/>
          <w:marBottom w:val="0"/>
          <w:divBdr>
            <w:top w:val="none" w:sz="0" w:space="0" w:color="auto"/>
            <w:left w:val="none" w:sz="0" w:space="0" w:color="auto"/>
            <w:bottom w:val="none" w:sz="0" w:space="0" w:color="auto"/>
            <w:right w:val="none" w:sz="0" w:space="0" w:color="auto"/>
          </w:divBdr>
        </w:div>
        <w:div w:id="745146440">
          <w:marLeft w:val="0"/>
          <w:marRight w:val="0"/>
          <w:marTop w:val="0"/>
          <w:marBottom w:val="0"/>
          <w:divBdr>
            <w:top w:val="none" w:sz="0" w:space="0" w:color="auto"/>
            <w:left w:val="none" w:sz="0" w:space="0" w:color="auto"/>
            <w:bottom w:val="none" w:sz="0" w:space="0" w:color="auto"/>
            <w:right w:val="none" w:sz="0" w:space="0" w:color="auto"/>
          </w:divBdr>
        </w:div>
        <w:div w:id="751008350">
          <w:marLeft w:val="0"/>
          <w:marRight w:val="0"/>
          <w:marTop w:val="0"/>
          <w:marBottom w:val="0"/>
          <w:divBdr>
            <w:top w:val="none" w:sz="0" w:space="0" w:color="auto"/>
            <w:left w:val="none" w:sz="0" w:space="0" w:color="auto"/>
            <w:bottom w:val="none" w:sz="0" w:space="0" w:color="auto"/>
            <w:right w:val="none" w:sz="0" w:space="0" w:color="auto"/>
          </w:divBdr>
        </w:div>
        <w:div w:id="1032459606">
          <w:marLeft w:val="0"/>
          <w:marRight w:val="0"/>
          <w:marTop w:val="0"/>
          <w:marBottom w:val="0"/>
          <w:divBdr>
            <w:top w:val="none" w:sz="0" w:space="0" w:color="auto"/>
            <w:left w:val="none" w:sz="0" w:space="0" w:color="auto"/>
            <w:bottom w:val="none" w:sz="0" w:space="0" w:color="auto"/>
            <w:right w:val="none" w:sz="0" w:space="0" w:color="auto"/>
          </w:divBdr>
        </w:div>
        <w:div w:id="1721828730">
          <w:marLeft w:val="0"/>
          <w:marRight w:val="0"/>
          <w:marTop w:val="0"/>
          <w:marBottom w:val="0"/>
          <w:divBdr>
            <w:top w:val="none" w:sz="0" w:space="0" w:color="auto"/>
            <w:left w:val="none" w:sz="0" w:space="0" w:color="auto"/>
            <w:bottom w:val="none" w:sz="0" w:space="0" w:color="auto"/>
            <w:right w:val="none" w:sz="0" w:space="0" w:color="auto"/>
          </w:divBdr>
        </w:div>
        <w:div w:id="1886798016">
          <w:marLeft w:val="0"/>
          <w:marRight w:val="0"/>
          <w:marTop w:val="0"/>
          <w:marBottom w:val="0"/>
          <w:divBdr>
            <w:top w:val="none" w:sz="0" w:space="0" w:color="auto"/>
            <w:left w:val="none" w:sz="0" w:space="0" w:color="auto"/>
            <w:bottom w:val="none" w:sz="0" w:space="0" w:color="auto"/>
            <w:right w:val="none" w:sz="0" w:space="0" w:color="auto"/>
          </w:divBdr>
        </w:div>
        <w:div w:id="2052608927">
          <w:marLeft w:val="0"/>
          <w:marRight w:val="0"/>
          <w:marTop w:val="0"/>
          <w:marBottom w:val="0"/>
          <w:divBdr>
            <w:top w:val="none" w:sz="0" w:space="0" w:color="auto"/>
            <w:left w:val="none" w:sz="0" w:space="0" w:color="auto"/>
            <w:bottom w:val="none" w:sz="0" w:space="0" w:color="auto"/>
            <w:right w:val="none" w:sz="0" w:space="0" w:color="auto"/>
          </w:divBdr>
        </w:div>
      </w:divsChild>
    </w:div>
    <w:div w:id="1982031330">
      <w:bodyDiv w:val="1"/>
      <w:marLeft w:val="0"/>
      <w:marRight w:val="0"/>
      <w:marTop w:val="0"/>
      <w:marBottom w:val="0"/>
      <w:divBdr>
        <w:top w:val="none" w:sz="0" w:space="0" w:color="auto"/>
        <w:left w:val="none" w:sz="0" w:space="0" w:color="auto"/>
        <w:bottom w:val="none" w:sz="0" w:space="0" w:color="auto"/>
        <w:right w:val="none" w:sz="0" w:space="0" w:color="auto"/>
      </w:divBdr>
      <w:divsChild>
        <w:div w:id="9642824">
          <w:marLeft w:val="0"/>
          <w:marRight w:val="0"/>
          <w:marTop w:val="0"/>
          <w:marBottom w:val="0"/>
          <w:divBdr>
            <w:top w:val="none" w:sz="0" w:space="0" w:color="auto"/>
            <w:left w:val="none" w:sz="0" w:space="0" w:color="auto"/>
            <w:bottom w:val="none" w:sz="0" w:space="0" w:color="auto"/>
            <w:right w:val="none" w:sz="0" w:space="0" w:color="auto"/>
          </w:divBdr>
        </w:div>
        <w:div w:id="236324957">
          <w:marLeft w:val="0"/>
          <w:marRight w:val="0"/>
          <w:marTop w:val="0"/>
          <w:marBottom w:val="0"/>
          <w:divBdr>
            <w:top w:val="none" w:sz="0" w:space="0" w:color="auto"/>
            <w:left w:val="none" w:sz="0" w:space="0" w:color="auto"/>
            <w:bottom w:val="none" w:sz="0" w:space="0" w:color="auto"/>
            <w:right w:val="none" w:sz="0" w:space="0" w:color="auto"/>
          </w:divBdr>
        </w:div>
        <w:div w:id="319580451">
          <w:marLeft w:val="0"/>
          <w:marRight w:val="0"/>
          <w:marTop w:val="0"/>
          <w:marBottom w:val="0"/>
          <w:divBdr>
            <w:top w:val="none" w:sz="0" w:space="0" w:color="auto"/>
            <w:left w:val="none" w:sz="0" w:space="0" w:color="auto"/>
            <w:bottom w:val="none" w:sz="0" w:space="0" w:color="auto"/>
            <w:right w:val="none" w:sz="0" w:space="0" w:color="auto"/>
          </w:divBdr>
        </w:div>
        <w:div w:id="354039169">
          <w:marLeft w:val="0"/>
          <w:marRight w:val="0"/>
          <w:marTop w:val="0"/>
          <w:marBottom w:val="0"/>
          <w:divBdr>
            <w:top w:val="none" w:sz="0" w:space="0" w:color="auto"/>
            <w:left w:val="none" w:sz="0" w:space="0" w:color="auto"/>
            <w:bottom w:val="none" w:sz="0" w:space="0" w:color="auto"/>
            <w:right w:val="none" w:sz="0" w:space="0" w:color="auto"/>
          </w:divBdr>
        </w:div>
        <w:div w:id="386219309">
          <w:marLeft w:val="0"/>
          <w:marRight w:val="0"/>
          <w:marTop w:val="0"/>
          <w:marBottom w:val="0"/>
          <w:divBdr>
            <w:top w:val="none" w:sz="0" w:space="0" w:color="auto"/>
            <w:left w:val="none" w:sz="0" w:space="0" w:color="auto"/>
            <w:bottom w:val="none" w:sz="0" w:space="0" w:color="auto"/>
            <w:right w:val="none" w:sz="0" w:space="0" w:color="auto"/>
          </w:divBdr>
        </w:div>
        <w:div w:id="472674921">
          <w:marLeft w:val="0"/>
          <w:marRight w:val="0"/>
          <w:marTop w:val="0"/>
          <w:marBottom w:val="0"/>
          <w:divBdr>
            <w:top w:val="none" w:sz="0" w:space="0" w:color="auto"/>
            <w:left w:val="none" w:sz="0" w:space="0" w:color="auto"/>
            <w:bottom w:val="none" w:sz="0" w:space="0" w:color="auto"/>
            <w:right w:val="none" w:sz="0" w:space="0" w:color="auto"/>
          </w:divBdr>
        </w:div>
        <w:div w:id="478379406">
          <w:marLeft w:val="0"/>
          <w:marRight w:val="0"/>
          <w:marTop w:val="0"/>
          <w:marBottom w:val="0"/>
          <w:divBdr>
            <w:top w:val="none" w:sz="0" w:space="0" w:color="auto"/>
            <w:left w:val="none" w:sz="0" w:space="0" w:color="auto"/>
            <w:bottom w:val="none" w:sz="0" w:space="0" w:color="auto"/>
            <w:right w:val="none" w:sz="0" w:space="0" w:color="auto"/>
          </w:divBdr>
        </w:div>
        <w:div w:id="1185094141">
          <w:marLeft w:val="0"/>
          <w:marRight w:val="0"/>
          <w:marTop w:val="0"/>
          <w:marBottom w:val="0"/>
          <w:divBdr>
            <w:top w:val="none" w:sz="0" w:space="0" w:color="auto"/>
            <w:left w:val="none" w:sz="0" w:space="0" w:color="auto"/>
            <w:bottom w:val="none" w:sz="0" w:space="0" w:color="auto"/>
            <w:right w:val="none" w:sz="0" w:space="0" w:color="auto"/>
          </w:divBdr>
        </w:div>
        <w:div w:id="1528134402">
          <w:marLeft w:val="0"/>
          <w:marRight w:val="0"/>
          <w:marTop w:val="0"/>
          <w:marBottom w:val="0"/>
          <w:divBdr>
            <w:top w:val="none" w:sz="0" w:space="0" w:color="auto"/>
            <w:left w:val="none" w:sz="0" w:space="0" w:color="auto"/>
            <w:bottom w:val="none" w:sz="0" w:space="0" w:color="auto"/>
            <w:right w:val="none" w:sz="0" w:space="0" w:color="auto"/>
          </w:divBdr>
        </w:div>
        <w:div w:id="1579632211">
          <w:marLeft w:val="0"/>
          <w:marRight w:val="0"/>
          <w:marTop w:val="0"/>
          <w:marBottom w:val="0"/>
          <w:divBdr>
            <w:top w:val="none" w:sz="0" w:space="0" w:color="auto"/>
            <w:left w:val="none" w:sz="0" w:space="0" w:color="auto"/>
            <w:bottom w:val="none" w:sz="0" w:space="0" w:color="auto"/>
            <w:right w:val="none" w:sz="0" w:space="0" w:color="auto"/>
          </w:divBdr>
        </w:div>
        <w:div w:id="1599485996">
          <w:marLeft w:val="0"/>
          <w:marRight w:val="0"/>
          <w:marTop w:val="0"/>
          <w:marBottom w:val="0"/>
          <w:divBdr>
            <w:top w:val="none" w:sz="0" w:space="0" w:color="auto"/>
            <w:left w:val="none" w:sz="0" w:space="0" w:color="auto"/>
            <w:bottom w:val="none" w:sz="0" w:space="0" w:color="auto"/>
            <w:right w:val="none" w:sz="0" w:space="0" w:color="auto"/>
          </w:divBdr>
        </w:div>
        <w:div w:id="19471571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coe.int/humanrightstrustfund" TargetMode="External"/><Relationship Id="rId13" Type="http://schemas.openxmlformats.org/officeDocument/2006/relationships/footer" Target="footer1.xml"/><Relationship Id="rId18" Type="http://schemas.openxmlformats.org/officeDocument/2006/relationships/hyperlink" Target="http://hudoc.echr.coe.int" TargetMode="External"/><Relationship Id="rId26"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hyperlink" Target="http://hudoc.echr.coe.int/"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www.coe.int/humanrightstrustfund"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publishing@echr.coe.int" TargetMode="External"/><Relationship Id="rId20" Type="http://schemas.openxmlformats.org/officeDocument/2006/relationships/hyperlink" Target="http://www.coe.int/humanrightstrustfun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hudoc.echr.coe.int/" TargetMode="External"/><Relationship Id="rId23" Type="http://schemas.openxmlformats.org/officeDocument/2006/relationships/header" Target="header3.xml"/><Relationship Id="rId28" Type="http://schemas.openxmlformats.org/officeDocument/2006/relationships/customXml" Target="../customXml/item4.xml"/><Relationship Id="rId10" Type="http://schemas.openxmlformats.org/officeDocument/2006/relationships/hyperlink" Target="http://www.coe.int/humanrightstrustfund" TargetMode="External"/><Relationship Id="rId19" Type="http://schemas.openxmlformats.org/officeDocument/2006/relationships/hyperlink" Target="mailto:publishing@echr.coe.int" TargetMode="External"/><Relationship Id="rId4" Type="http://schemas.openxmlformats.org/officeDocument/2006/relationships/settings" Target="settings.xml"/><Relationship Id="rId9" Type="http://schemas.openxmlformats.org/officeDocument/2006/relationships/hyperlink" Target="http://www.coe.int/humanrightstrustfund" TargetMode="External"/><Relationship Id="rId14" Type="http://schemas.openxmlformats.org/officeDocument/2006/relationships/hyperlink" Target="http://www.coe.int/humanrightstrustfund" TargetMode="External"/><Relationship Id="rId22" Type="http://schemas.openxmlformats.org/officeDocument/2006/relationships/hyperlink" Target="mailto:publishing@echr.coe.int" TargetMode="External"/><Relationship Id="rId27"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58EB02BDB9E204AB350EDD385B68E10" ma:contentTypeVersion="0" ma:contentTypeDescription="Create a new document." ma:contentTypeScope="" ma:versionID="4c0f801ee557d5c8fba2c83aceb7a3a2">
  <xsd:schema xmlns:xsd="http://www.w3.org/2001/XMLSchema" xmlns:xs="http://www.w3.org/2001/XMLSchema" xmlns:p="http://schemas.microsoft.com/office/2006/metadata/properties" targetNamespace="http://schemas.microsoft.com/office/2006/metadata/properties" ma:root="true" ma:fieldsID="66a9e0779a85d62bb2248c31b91edb7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2EA781C-2A4C-4E09-A116-21409E7AA758}">
  <ds:schemaRefs>
    <ds:schemaRef ds:uri="http://schemas.openxmlformats.org/officeDocument/2006/bibliography"/>
  </ds:schemaRefs>
</ds:datastoreItem>
</file>

<file path=customXml/itemProps2.xml><?xml version="1.0" encoding="utf-8"?>
<ds:datastoreItem xmlns:ds="http://schemas.openxmlformats.org/officeDocument/2006/customXml" ds:itemID="{66EF2B65-0EC1-4B27-9BEB-DEFECA93F852}"/>
</file>

<file path=customXml/itemProps3.xml><?xml version="1.0" encoding="utf-8"?>
<ds:datastoreItem xmlns:ds="http://schemas.openxmlformats.org/officeDocument/2006/customXml" ds:itemID="{E6074D3C-656D-45D5-9722-6A572372D238}"/>
</file>

<file path=customXml/itemProps4.xml><?xml version="1.0" encoding="utf-8"?>
<ds:datastoreItem xmlns:ds="http://schemas.openxmlformats.org/officeDocument/2006/customXml" ds:itemID="{1F01D638-E7EB-43FE-9ECD-0825F9E6E78D}"/>
</file>

<file path=docProps/app.xml><?xml version="1.0" encoding="utf-8"?>
<Properties xmlns="http://schemas.openxmlformats.org/officeDocument/2006/extended-properties" xmlns:vt="http://schemas.openxmlformats.org/officeDocument/2006/docPropsVTypes">
  <Template>Normal.dotm</Template>
  <TotalTime>1</TotalTime>
  <Pages>1</Pages>
  <Words>5772</Words>
  <Characters>32902</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ECHR</vt:lpstr>
    </vt:vector>
  </TitlesOfParts>
  <Company/>
  <LinksUpToDate>false</LinksUpToDate>
  <CharactersWithSpaces>38597</CharactersWithSpaces>
  <SharedDoc>false</SharedDoc>
  <HLinks>
    <vt:vector size="72" baseType="variant">
      <vt:variant>
        <vt:i4>5570594</vt:i4>
      </vt:variant>
      <vt:variant>
        <vt:i4>33</vt:i4>
      </vt:variant>
      <vt:variant>
        <vt:i4>0</vt:i4>
      </vt:variant>
      <vt:variant>
        <vt:i4>5</vt:i4>
      </vt:variant>
      <vt:variant>
        <vt:lpwstr>mailto:publishing@echr.coe.int</vt:lpwstr>
      </vt:variant>
      <vt:variant>
        <vt:lpwstr/>
      </vt:variant>
      <vt:variant>
        <vt:i4>6750263</vt:i4>
      </vt:variant>
      <vt:variant>
        <vt:i4>30</vt:i4>
      </vt:variant>
      <vt:variant>
        <vt:i4>0</vt:i4>
      </vt:variant>
      <vt:variant>
        <vt:i4>5</vt:i4>
      </vt:variant>
      <vt:variant>
        <vt:lpwstr>http://hudoc.echr.coe.int/</vt:lpwstr>
      </vt:variant>
      <vt:variant>
        <vt:lpwstr/>
      </vt:variant>
      <vt:variant>
        <vt:i4>2097189</vt:i4>
      </vt:variant>
      <vt:variant>
        <vt:i4>27</vt:i4>
      </vt:variant>
      <vt:variant>
        <vt:i4>0</vt:i4>
      </vt:variant>
      <vt:variant>
        <vt:i4>5</vt:i4>
      </vt:variant>
      <vt:variant>
        <vt:lpwstr>http://www.coe.int/humanrightstrustfund</vt:lpwstr>
      </vt:variant>
      <vt:variant>
        <vt:lpwstr/>
      </vt:variant>
      <vt:variant>
        <vt:i4>5570594</vt:i4>
      </vt:variant>
      <vt:variant>
        <vt:i4>24</vt:i4>
      </vt:variant>
      <vt:variant>
        <vt:i4>0</vt:i4>
      </vt:variant>
      <vt:variant>
        <vt:i4>5</vt:i4>
      </vt:variant>
      <vt:variant>
        <vt:lpwstr>mailto:publishing@echr.coe.int</vt:lpwstr>
      </vt:variant>
      <vt:variant>
        <vt:lpwstr/>
      </vt:variant>
      <vt:variant>
        <vt:i4>6750263</vt:i4>
      </vt:variant>
      <vt:variant>
        <vt:i4>21</vt:i4>
      </vt:variant>
      <vt:variant>
        <vt:i4>0</vt:i4>
      </vt:variant>
      <vt:variant>
        <vt:i4>5</vt:i4>
      </vt:variant>
      <vt:variant>
        <vt:lpwstr>http://hudoc.echr.coe.int/</vt:lpwstr>
      </vt:variant>
      <vt:variant>
        <vt:lpwstr/>
      </vt:variant>
      <vt:variant>
        <vt:i4>2097189</vt:i4>
      </vt:variant>
      <vt:variant>
        <vt:i4>18</vt:i4>
      </vt:variant>
      <vt:variant>
        <vt:i4>0</vt:i4>
      </vt:variant>
      <vt:variant>
        <vt:i4>5</vt:i4>
      </vt:variant>
      <vt:variant>
        <vt:lpwstr>http://www.coe.int/humanrightstrustfund</vt:lpwstr>
      </vt:variant>
      <vt:variant>
        <vt:lpwstr/>
      </vt:variant>
      <vt:variant>
        <vt:i4>5570594</vt:i4>
      </vt:variant>
      <vt:variant>
        <vt:i4>15</vt:i4>
      </vt:variant>
      <vt:variant>
        <vt:i4>0</vt:i4>
      </vt:variant>
      <vt:variant>
        <vt:i4>5</vt:i4>
      </vt:variant>
      <vt:variant>
        <vt:lpwstr>mailto:publishing@echr.coe.int</vt:lpwstr>
      </vt:variant>
      <vt:variant>
        <vt:lpwstr/>
      </vt:variant>
      <vt:variant>
        <vt:i4>6750263</vt:i4>
      </vt:variant>
      <vt:variant>
        <vt:i4>12</vt:i4>
      </vt:variant>
      <vt:variant>
        <vt:i4>0</vt:i4>
      </vt:variant>
      <vt:variant>
        <vt:i4>5</vt:i4>
      </vt:variant>
      <vt:variant>
        <vt:lpwstr>http://hudoc.echr.coe.int/</vt:lpwstr>
      </vt:variant>
      <vt:variant>
        <vt:lpwstr/>
      </vt:variant>
      <vt:variant>
        <vt:i4>2097189</vt:i4>
      </vt:variant>
      <vt:variant>
        <vt:i4>9</vt:i4>
      </vt:variant>
      <vt:variant>
        <vt:i4>0</vt:i4>
      </vt:variant>
      <vt:variant>
        <vt:i4>5</vt:i4>
      </vt:variant>
      <vt:variant>
        <vt:lpwstr>http://www.coe.int/humanrightstrustfund</vt:lpwstr>
      </vt:variant>
      <vt:variant>
        <vt:lpwstr/>
      </vt:variant>
      <vt:variant>
        <vt:i4>2097189</vt:i4>
      </vt:variant>
      <vt:variant>
        <vt:i4>6</vt:i4>
      </vt:variant>
      <vt:variant>
        <vt:i4>0</vt:i4>
      </vt:variant>
      <vt:variant>
        <vt:i4>5</vt:i4>
      </vt:variant>
      <vt:variant>
        <vt:lpwstr>http://www.coe.int/humanrightstrustfund</vt:lpwstr>
      </vt:variant>
      <vt:variant>
        <vt:lpwstr/>
      </vt:variant>
      <vt:variant>
        <vt:i4>2097189</vt:i4>
      </vt:variant>
      <vt:variant>
        <vt:i4>3</vt:i4>
      </vt:variant>
      <vt:variant>
        <vt:i4>0</vt:i4>
      </vt:variant>
      <vt:variant>
        <vt:i4>5</vt:i4>
      </vt:variant>
      <vt:variant>
        <vt:lpwstr>http://www.coe.int/humanrightstrustfund</vt:lpwstr>
      </vt:variant>
      <vt:variant>
        <vt:lpwstr/>
      </vt:variant>
      <vt:variant>
        <vt:i4>2097189</vt:i4>
      </vt:variant>
      <vt:variant>
        <vt:i4>0</vt:i4>
      </vt:variant>
      <vt:variant>
        <vt:i4>0</vt:i4>
      </vt:variant>
      <vt:variant>
        <vt:i4>5</vt:i4>
      </vt:variant>
      <vt:variant>
        <vt:lpwstr>http://www.coe.int/humanrightstrustfund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ECHR</dc:title>
  <dc:subject/>
  <dc:creator/>
  <cp:keywords/>
  <cp:lastModifiedBy/>
  <cp:revision>2</cp:revision>
  <dcterms:created xsi:type="dcterms:W3CDTF">2021-12-06T14:11:00Z</dcterms:created>
  <dcterms:modified xsi:type="dcterms:W3CDTF">2021-12-06T14:11:00Z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0x010100558EB02BDB9E204AB350EDD385B68E10</vt:lpwstr>
  </property>
</Properties>
</file>