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32BEA" w:rsidR="00541D6D" w:rsidP="00432BEA" w:rsidRDefault="00541D6D">
      <w:pPr>
        <w:jc w:val="center"/>
        <w:rPr>
          <w:lang w:val="fr-FR"/>
        </w:rPr>
      </w:pPr>
      <w:bookmarkStart w:name="_GoBack" w:id="0"/>
      <w:bookmarkEnd w:id="0"/>
    </w:p>
    <w:p w:rsidRPr="00432BEA" w:rsidR="00541D6D" w:rsidP="00432BEA" w:rsidRDefault="00541D6D">
      <w:pPr>
        <w:jc w:val="center"/>
        <w:rPr>
          <w:lang w:val="fr-FR"/>
        </w:rPr>
      </w:pPr>
    </w:p>
    <w:p w:rsidRPr="00432BEA" w:rsidR="00E77CB3" w:rsidP="00432BEA" w:rsidRDefault="00A050D6">
      <w:pPr>
        <w:jc w:val="center"/>
        <w:rPr>
          <w:lang w:val="fr-FR"/>
        </w:rPr>
      </w:pPr>
      <w:r w:rsidRPr="00432BEA">
        <w:rPr>
          <w:lang w:val="fr-FR"/>
        </w:rPr>
        <w:t>CINQUIÈME SECTION</w:t>
      </w:r>
    </w:p>
    <w:p w:rsidRPr="00432BEA" w:rsidR="00E77CB3" w:rsidP="00432BEA" w:rsidRDefault="00E77CB3">
      <w:pPr>
        <w:jc w:val="center"/>
        <w:rPr>
          <w:lang w:val="fr-FR"/>
        </w:rPr>
      </w:pPr>
    </w:p>
    <w:p w:rsidRPr="00432BEA" w:rsidR="00541D6D" w:rsidP="00432BEA" w:rsidRDefault="00541D6D">
      <w:pPr>
        <w:jc w:val="center"/>
        <w:rPr>
          <w:lang w:val="fr-FR"/>
        </w:rPr>
      </w:pPr>
    </w:p>
    <w:p w:rsidRPr="00432BEA" w:rsidR="00541D6D" w:rsidP="00432BEA" w:rsidRDefault="00541D6D">
      <w:pPr>
        <w:jc w:val="center"/>
        <w:rPr>
          <w:lang w:val="fr-FR"/>
        </w:rPr>
      </w:pPr>
    </w:p>
    <w:p w:rsidRPr="00432BEA" w:rsidR="000E41FB" w:rsidP="00432BEA" w:rsidRDefault="000E41FB">
      <w:pPr>
        <w:jc w:val="center"/>
        <w:rPr>
          <w:lang w:val="fr-FR"/>
        </w:rPr>
      </w:pPr>
    </w:p>
    <w:p w:rsidRPr="00432BEA" w:rsidR="00541D6D" w:rsidP="00432BEA" w:rsidRDefault="00541D6D">
      <w:pPr>
        <w:jc w:val="center"/>
        <w:rPr>
          <w:lang w:val="fr-FR"/>
        </w:rPr>
      </w:pPr>
    </w:p>
    <w:p w:rsidRPr="00432BEA" w:rsidR="00541D6D" w:rsidP="00432BEA" w:rsidRDefault="00541D6D">
      <w:pPr>
        <w:jc w:val="center"/>
        <w:rPr>
          <w:lang w:val="fr-FR"/>
        </w:rPr>
      </w:pPr>
    </w:p>
    <w:p w:rsidRPr="00432BEA" w:rsidR="00541D6D" w:rsidP="00432BEA" w:rsidRDefault="00541D6D">
      <w:pPr>
        <w:jc w:val="center"/>
        <w:rPr>
          <w:lang w:val="fr-FR"/>
        </w:rPr>
      </w:pPr>
    </w:p>
    <w:p w:rsidRPr="00432BEA" w:rsidR="00E77CB3" w:rsidP="00432BEA" w:rsidRDefault="00E77CB3">
      <w:pPr>
        <w:jc w:val="center"/>
        <w:rPr>
          <w:b/>
          <w:lang w:val="fr-FR"/>
        </w:rPr>
      </w:pPr>
      <w:bookmarkStart w:name="To" w:id="1"/>
      <w:r w:rsidRPr="00432BEA">
        <w:rPr>
          <w:b/>
          <w:lang w:val="fr-FR"/>
        </w:rPr>
        <w:t xml:space="preserve">AFFAIRE </w:t>
      </w:r>
      <w:bookmarkEnd w:id="1"/>
      <w:r w:rsidRPr="00432BEA" w:rsidR="00A050D6">
        <w:rPr>
          <w:b/>
          <w:lang w:val="fr-FR"/>
        </w:rPr>
        <w:t>HÔPITAL LOCAL SAINT-PIERRE D</w:t>
      </w:r>
      <w:r w:rsidRPr="00432BEA" w:rsidR="00432BEA">
        <w:rPr>
          <w:b/>
          <w:lang w:val="fr-FR"/>
        </w:rPr>
        <w:t>’</w:t>
      </w:r>
      <w:r w:rsidRPr="00432BEA" w:rsidR="00A050D6">
        <w:rPr>
          <w:b/>
          <w:lang w:val="fr-FR"/>
        </w:rPr>
        <w:t>OLÉRON ET</w:t>
      </w:r>
      <w:r w:rsidRPr="00432BEA" w:rsidR="002B0690">
        <w:rPr>
          <w:b/>
          <w:lang w:val="fr-FR"/>
        </w:rPr>
        <w:t> </w:t>
      </w:r>
      <w:r w:rsidRPr="00432BEA" w:rsidR="00A050D6">
        <w:rPr>
          <w:b/>
          <w:lang w:val="fr-FR"/>
        </w:rPr>
        <w:t>AUTRES c. FRANCE</w:t>
      </w:r>
    </w:p>
    <w:p w:rsidRPr="00432BEA" w:rsidR="00E77CB3" w:rsidP="00432BEA" w:rsidRDefault="00E77CB3">
      <w:pPr>
        <w:jc w:val="center"/>
        <w:rPr>
          <w:lang w:val="fr-FR"/>
        </w:rPr>
      </w:pPr>
    </w:p>
    <w:p w:rsidRPr="00432BEA" w:rsidR="00541D6D" w:rsidP="00432BEA" w:rsidRDefault="00E77CB3">
      <w:pPr>
        <w:jc w:val="center"/>
        <w:rPr>
          <w:szCs w:val="24"/>
          <w:lang w:val="fr-FR"/>
        </w:rPr>
      </w:pPr>
      <w:r w:rsidRPr="00432BEA">
        <w:rPr>
          <w:i/>
          <w:lang w:val="fr-FR"/>
        </w:rPr>
        <w:t>(</w:t>
      </w:r>
      <w:r w:rsidRPr="00432BEA" w:rsidR="00783E90">
        <w:rPr>
          <w:i/>
          <w:lang w:val="fr-FR"/>
        </w:rPr>
        <w:t>Requête</w:t>
      </w:r>
      <w:r w:rsidRPr="00432BEA" w:rsidR="00D51EEA">
        <w:rPr>
          <w:i/>
          <w:lang w:val="fr-FR"/>
        </w:rPr>
        <w:t>s</w:t>
      </w:r>
      <w:r w:rsidRPr="00432BEA" w:rsidR="00A050D6">
        <w:rPr>
          <w:i/>
          <w:lang w:val="fr-FR"/>
        </w:rPr>
        <w:t xml:space="preserve"> n</w:t>
      </w:r>
      <w:r w:rsidRPr="00432BEA" w:rsidR="00A050D6">
        <w:rPr>
          <w:i/>
          <w:vertAlign w:val="superscript"/>
          <w:lang w:val="fr-FR"/>
        </w:rPr>
        <w:t>o</w:t>
      </w:r>
      <w:r w:rsidRPr="00432BEA" w:rsidR="00D51EEA">
        <w:rPr>
          <w:i/>
          <w:vertAlign w:val="superscript"/>
          <w:lang w:val="fr-FR"/>
        </w:rPr>
        <w:t>s</w:t>
      </w:r>
      <w:r w:rsidRPr="00432BEA" w:rsidR="00A050D6">
        <w:rPr>
          <w:i/>
          <w:lang w:val="fr-FR"/>
        </w:rPr>
        <w:t xml:space="preserve"> 18096/12 et</w:t>
      </w:r>
      <w:r w:rsidRPr="00432BEA" w:rsidR="00C023E2">
        <w:rPr>
          <w:i/>
          <w:lang w:val="fr-FR"/>
        </w:rPr>
        <w:t xml:space="preserve"> 23 autres– voir liste en annexe</w:t>
      </w:r>
      <w:r w:rsidRPr="00432BEA">
        <w:rPr>
          <w:i/>
          <w:lang w:val="fr-FR"/>
        </w:rPr>
        <w:t>)</w:t>
      </w:r>
    </w:p>
    <w:p w:rsidRPr="00432BEA" w:rsidR="00541D6D" w:rsidP="00432BEA" w:rsidRDefault="00541D6D">
      <w:pPr>
        <w:jc w:val="center"/>
        <w:rPr>
          <w:szCs w:val="24"/>
          <w:lang w:val="fr-FR"/>
        </w:rPr>
      </w:pPr>
    </w:p>
    <w:p w:rsidRPr="00432BEA" w:rsidR="00541D6D" w:rsidP="00432BEA" w:rsidRDefault="00541D6D">
      <w:pPr>
        <w:jc w:val="center"/>
        <w:rPr>
          <w:szCs w:val="24"/>
          <w:lang w:val="fr-FR"/>
        </w:rPr>
      </w:pPr>
    </w:p>
    <w:p w:rsidRPr="00432BEA" w:rsidR="00541D6D" w:rsidP="00432BEA" w:rsidRDefault="00541D6D">
      <w:pPr>
        <w:jc w:val="center"/>
        <w:rPr>
          <w:szCs w:val="24"/>
          <w:lang w:val="fr-FR"/>
        </w:rPr>
      </w:pPr>
    </w:p>
    <w:p w:rsidRPr="00432BEA" w:rsidR="00541D6D" w:rsidP="00432BEA" w:rsidRDefault="00541D6D">
      <w:pPr>
        <w:jc w:val="center"/>
        <w:rPr>
          <w:szCs w:val="24"/>
          <w:lang w:val="fr-FR"/>
        </w:rPr>
      </w:pPr>
    </w:p>
    <w:p w:rsidRPr="00432BEA" w:rsidR="00541D6D" w:rsidP="00432BEA" w:rsidRDefault="00541D6D">
      <w:pPr>
        <w:jc w:val="center"/>
        <w:rPr>
          <w:szCs w:val="24"/>
          <w:lang w:val="fr-FR"/>
        </w:rPr>
      </w:pPr>
    </w:p>
    <w:p w:rsidRPr="00432BEA" w:rsidR="00541D6D" w:rsidP="00432BEA" w:rsidRDefault="00541D6D">
      <w:pPr>
        <w:jc w:val="center"/>
        <w:rPr>
          <w:szCs w:val="24"/>
          <w:lang w:val="fr-FR"/>
        </w:rPr>
      </w:pPr>
    </w:p>
    <w:p w:rsidRPr="00432BEA" w:rsidR="00541D6D" w:rsidP="00432BEA" w:rsidRDefault="00541D6D">
      <w:pPr>
        <w:jc w:val="center"/>
        <w:rPr>
          <w:szCs w:val="24"/>
          <w:lang w:val="fr-FR"/>
        </w:rPr>
      </w:pPr>
    </w:p>
    <w:p w:rsidRPr="00432BEA" w:rsidR="00541D6D" w:rsidP="00432BEA" w:rsidRDefault="00541D6D">
      <w:pPr>
        <w:jc w:val="center"/>
        <w:rPr>
          <w:szCs w:val="24"/>
          <w:lang w:val="fr-FR"/>
        </w:rPr>
      </w:pPr>
    </w:p>
    <w:p w:rsidRPr="00432BEA" w:rsidR="00541D6D" w:rsidP="00432BEA" w:rsidRDefault="00541D6D">
      <w:pPr>
        <w:jc w:val="center"/>
        <w:rPr>
          <w:szCs w:val="24"/>
          <w:lang w:val="fr-FR"/>
        </w:rPr>
      </w:pPr>
    </w:p>
    <w:p w:rsidRPr="00432BEA" w:rsidR="00541D6D" w:rsidP="00432BEA" w:rsidRDefault="00541D6D">
      <w:pPr>
        <w:jc w:val="center"/>
        <w:rPr>
          <w:szCs w:val="24"/>
          <w:lang w:val="fr-FR"/>
        </w:rPr>
      </w:pPr>
      <w:r w:rsidRPr="00432BEA">
        <w:rPr>
          <w:szCs w:val="24"/>
          <w:lang w:val="fr-FR"/>
        </w:rPr>
        <w:t>ARRÊT</w:t>
      </w:r>
    </w:p>
    <w:p w:rsidRPr="00432BEA" w:rsidR="00541D6D" w:rsidP="00432BEA" w:rsidRDefault="00541D6D">
      <w:pPr>
        <w:pStyle w:val="ECHRPara"/>
        <w:ind w:firstLine="0"/>
        <w:jc w:val="center"/>
        <w:rPr>
          <w:lang w:val="fr-FR"/>
        </w:rPr>
      </w:pPr>
    </w:p>
    <w:p w:rsidRPr="00432BEA" w:rsidR="00541D6D" w:rsidP="00432BEA" w:rsidRDefault="00541D6D">
      <w:pPr>
        <w:pStyle w:val="ECHRPara"/>
        <w:ind w:firstLine="0"/>
        <w:jc w:val="center"/>
        <w:rPr>
          <w:lang w:val="fr-FR"/>
        </w:rPr>
      </w:pPr>
    </w:p>
    <w:p w:rsidRPr="00432BEA" w:rsidR="00541D6D" w:rsidP="00432BEA" w:rsidRDefault="00541D6D">
      <w:pPr>
        <w:pStyle w:val="ECHRPara"/>
        <w:ind w:firstLine="0"/>
        <w:jc w:val="center"/>
        <w:rPr>
          <w:lang w:val="fr-FR"/>
        </w:rPr>
      </w:pPr>
      <w:r w:rsidRPr="00432BEA">
        <w:rPr>
          <w:lang w:val="fr-FR"/>
        </w:rPr>
        <w:t>STRASBOURG</w:t>
      </w:r>
    </w:p>
    <w:p w:rsidRPr="00432BEA" w:rsidR="00541D6D" w:rsidP="00432BEA" w:rsidRDefault="00541D6D">
      <w:pPr>
        <w:pStyle w:val="ECHRPara"/>
        <w:ind w:firstLine="0"/>
        <w:jc w:val="center"/>
        <w:rPr>
          <w:lang w:val="fr-FR"/>
        </w:rPr>
      </w:pPr>
    </w:p>
    <w:p w:rsidRPr="00432BEA" w:rsidR="00541D6D" w:rsidP="00432BEA" w:rsidRDefault="00541D6D">
      <w:pPr>
        <w:pStyle w:val="ECHRPara"/>
        <w:ind w:firstLine="0"/>
        <w:jc w:val="center"/>
        <w:rPr>
          <w:lang w:val="fr-FR"/>
        </w:rPr>
      </w:pPr>
      <w:r w:rsidRPr="00432BEA">
        <w:rPr>
          <w:lang w:val="fr-FR"/>
        </w:rPr>
        <w:t>8 novembre 2018</w:t>
      </w:r>
    </w:p>
    <w:p w:rsidRPr="00432BEA" w:rsidR="00541D6D" w:rsidP="00432BEA" w:rsidRDefault="00541D6D">
      <w:pPr>
        <w:pStyle w:val="ECHRPara"/>
        <w:ind w:firstLine="0"/>
        <w:jc w:val="center"/>
        <w:rPr>
          <w:lang w:val="fr-FR"/>
        </w:rPr>
      </w:pPr>
    </w:p>
    <w:p w:rsidRPr="00432BEA" w:rsidR="00541D6D" w:rsidP="00432BEA" w:rsidRDefault="00541D6D">
      <w:pPr>
        <w:pStyle w:val="ECHRPara"/>
        <w:ind w:firstLine="0"/>
        <w:jc w:val="center"/>
        <w:rPr>
          <w:lang w:val="fr-FR"/>
        </w:rPr>
      </w:pPr>
    </w:p>
    <w:p w:rsidRPr="00432BEA" w:rsidR="00432BEA" w:rsidP="00432BEA" w:rsidRDefault="00432BEA">
      <w:pPr>
        <w:pStyle w:val="jucase0"/>
        <w:ind w:firstLine="0"/>
        <w:jc w:val="center"/>
        <w:rPr>
          <w:color w:val="FF0000"/>
          <w:sz w:val="28"/>
          <w:szCs w:val="28"/>
          <w:u w:val="single"/>
          <w:lang w:val="fr-FR"/>
        </w:rPr>
      </w:pPr>
      <w:r w:rsidRPr="00432BEA">
        <w:rPr>
          <w:color w:val="FF0000"/>
          <w:sz w:val="28"/>
          <w:szCs w:val="28"/>
          <w:u w:val="single"/>
          <w:lang w:val="fr-FR"/>
        </w:rPr>
        <w:t>DÉFINITIF</w:t>
      </w:r>
    </w:p>
    <w:p w:rsidRPr="00432BEA" w:rsidR="00432BEA" w:rsidP="00432BEA" w:rsidRDefault="00432BEA">
      <w:pPr>
        <w:pStyle w:val="jupara"/>
        <w:tabs>
          <w:tab w:val="left" w:pos="3450"/>
        </w:tabs>
        <w:ind w:firstLine="0"/>
        <w:jc w:val="center"/>
        <w:rPr>
          <w:color w:val="FF0000"/>
          <w:sz w:val="28"/>
          <w:szCs w:val="28"/>
          <w:lang w:val="fr-FR"/>
        </w:rPr>
      </w:pPr>
    </w:p>
    <w:p w:rsidRPr="00432BEA" w:rsidR="00432BEA" w:rsidP="00432BEA" w:rsidRDefault="00432BEA">
      <w:pPr>
        <w:pStyle w:val="jupara"/>
        <w:ind w:firstLine="0"/>
        <w:jc w:val="center"/>
        <w:rPr>
          <w:color w:val="FF0000"/>
          <w:sz w:val="28"/>
          <w:szCs w:val="28"/>
          <w:lang w:val="fr-FR"/>
        </w:rPr>
      </w:pPr>
      <w:r w:rsidRPr="00432BEA">
        <w:rPr>
          <w:color w:val="FF0000"/>
          <w:sz w:val="28"/>
          <w:szCs w:val="28"/>
          <w:lang w:val="fr-FR"/>
        </w:rPr>
        <w:t>08/02/2019</w:t>
      </w:r>
    </w:p>
    <w:p w:rsidRPr="00432BEA" w:rsidR="00432BEA" w:rsidP="00432BEA" w:rsidRDefault="00432BEA">
      <w:pPr>
        <w:pStyle w:val="jupara"/>
        <w:ind w:firstLine="0"/>
        <w:jc w:val="center"/>
        <w:rPr>
          <w:u w:val="single"/>
          <w:lang w:val="fr-FR"/>
        </w:rPr>
      </w:pPr>
    </w:p>
    <w:p w:rsidRPr="00432BEA" w:rsidR="00432BEA" w:rsidP="00432BEA" w:rsidRDefault="00432BEA">
      <w:pPr>
        <w:jc w:val="center"/>
        <w:rPr>
          <w:i/>
          <w:iCs/>
          <w:sz w:val="22"/>
          <w:lang w:val="fr-FR"/>
        </w:rPr>
      </w:pPr>
      <w:r w:rsidRPr="00432BEA">
        <w:rPr>
          <w:i/>
          <w:iCs/>
          <w:sz w:val="22"/>
          <w:lang w:val="fr-FR"/>
        </w:rPr>
        <w:t>Cet arrêt est devenu définitif en vertu de l’article 44 § 2 de la Convention. Il peut subir des retouches de forme.</w:t>
      </w:r>
    </w:p>
    <w:p w:rsidRPr="00432BEA" w:rsidR="002B0690" w:rsidP="00432BEA" w:rsidRDefault="002B0690">
      <w:pPr>
        <w:pStyle w:val="ECHRPara"/>
        <w:ind w:firstLine="0"/>
        <w:jc w:val="left"/>
        <w:rPr>
          <w:i/>
          <w:sz w:val="22"/>
          <w:lang w:val="fr-FR"/>
        </w:rPr>
      </w:pPr>
    </w:p>
    <w:p w:rsidRPr="00432BEA" w:rsidR="002B0690" w:rsidP="00432BEA" w:rsidRDefault="002B0690">
      <w:pPr>
        <w:pStyle w:val="ECHRPara"/>
        <w:ind w:firstLine="0"/>
        <w:jc w:val="left"/>
        <w:rPr>
          <w:lang w:val="fr-FR"/>
        </w:rPr>
        <w:sectPr w:rsidRPr="00432BEA" w:rsidR="002B0690" w:rsidSect="000E41FB">
          <w:headerReference w:type="default" r:id="rId8"/>
          <w:headerReference w:type="first" r:id="rId9"/>
          <w:footerReference w:type="first" r:id="rId10"/>
          <w:footnotePr>
            <w:numRestart w:val="eachSect"/>
          </w:footnotePr>
          <w:pgSz w:w="11906" w:h="16838" w:code="9"/>
          <w:pgMar w:top="2274" w:right="2274" w:bottom="2274" w:left="2274" w:header="1701" w:footer="720" w:gutter="0"/>
          <w:pgNumType w:start="1"/>
          <w:cols w:space="720"/>
          <w:titlePg/>
          <w:docGrid w:linePitch="326"/>
        </w:sectPr>
      </w:pPr>
    </w:p>
    <w:p w:rsidRPr="00432BEA" w:rsidR="00E77CB3" w:rsidP="00432BEA" w:rsidRDefault="00E77CB3">
      <w:pPr>
        <w:pStyle w:val="JuCase"/>
        <w:rPr>
          <w:lang w:val="fr-FR"/>
        </w:rPr>
      </w:pPr>
      <w:r w:rsidRPr="00432BEA">
        <w:rPr>
          <w:lang w:val="fr-FR"/>
        </w:rPr>
        <w:t>En l</w:t>
      </w:r>
      <w:r w:rsidRPr="00432BEA" w:rsidR="00432BEA">
        <w:rPr>
          <w:lang w:val="fr-FR"/>
        </w:rPr>
        <w:t>’</w:t>
      </w:r>
      <w:r w:rsidRPr="00432BEA">
        <w:rPr>
          <w:lang w:val="fr-FR"/>
        </w:rPr>
        <w:t xml:space="preserve">affaire </w:t>
      </w:r>
      <w:r w:rsidRPr="00432BEA" w:rsidR="00541D6D">
        <w:rPr>
          <w:lang w:val="fr-FR"/>
        </w:rPr>
        <w:t>Hôpital Local Saint-Pierre d</w:t>
      </w:r>
      <w:r w:rsidRPr="00432BEA" w:rsidR="00432BEA">
        <w:rPr>
          <w:lang w:val="fr-FR"/>
        </w:rPr>
        <w:t>’</w:t>
      </w:r>
      <w:r w:rsidRPr="00432BEA" w:rsidR="00A050D6">
        <w:rPr>
          <w:lang w:val="fr-FR"/>
        </w:rPr>
        <w:t>Oléron et autres c. France</w:t>
      </w:r>
      <w:r w:rsidRPr="00432BEA">
        <w:rPr>
          <w:lang w:val="fr-FR"/>
        </w:rPr>
        <w:t>,</w:t>
      </w:r>
    </w:p>
    <w:p w:rsidRPr="00432BEA" w:rsidR="00E77CB3" w:rsidP="00432BEA" w:rsidRDefault="00E77CB3">
      <w:pPr>
        <w:pStyle w:val="ECHRPara"/>
        <w:rPr>
          <w:lang w:val="fr-FR"/>
        </w:rPr>
      </w:pPr>
      <w:r w:rsidRPr="00432BEA">
        <w:rPr>
          <w:lang w:val="fr-FR"/>
        </w:rPr>
        <w:t>La Cour européenne des droits de l</w:t>
      </w:r>
      <w:r w:rsidRPr="00432BEA" w:rsidR="00432BEA">
        <w:rPr>
          <w:lang w:val="fr-FR"/>
        </w:rPr>
        <w:t>’</w:t>
      </w:r>
      <w:r w:rsidRPr="00432BEA">
        <w:rPr>
          <w:lang w:val="fr-FR"/>
        </w:rPr>
        <w:t>homme (</w:t>
      </w:r>
      <w:r w:rsidRPr="00432BEA" w:rsidR="00A050D6">
        <w:rPr>
          <w:lang w:val="fr-FR"/>
        </w:rPr>
        <w:t>cinquième section</w:t>
      </w:r>
      <w:r w:rsidRPr="00432BEA">
        <w:rPr>
          <w:lang w:val="fr-FR"/>
        </w:rPr>
        <w:t xml:space="preserve">), siégeant en </w:t>
      </w:r>
      <w:r w:rsidRPr="00432BEA" w:rsidR="00A050D6">
        <w:rPr>
          <w:lang w:val="fr-FR"/>
        </w:rPr>
        <w:t>une chambre composée</w:t>
      </w:r>
      <w:r w:rsidRPr="00432BEA">
        <w:rPr>
          <w:lang w:val="fr-FR"/>
        </w:rPr>
        <w:t xml:space="preserve"> de :</w:t>
      </w:r>
    </w:p>
    <w:p w:rsidRPr="00432BEA" w:rsidR="00E77CB3" w:rsidP="00432BEA" w:rsidRDefault="00541D6D">
      <w:pPr>
        <w:pStyle w:val="ECHRDecisionBody"/>
        <w:rPr>
          <w:lang w:val="fr-FR"/>
        </w:rPr>
      </w:pPr>
      <w:r w:rsidRPr="00432BEA">
        <w:rPr>
          <w:lang w:val="fr-FR"/>
        </w:rPr>
        <w:tab/>
        <w:t>Angelika Nußberger,</w:t>
      </w:r>
      <w:r w:rsidRPr="00432BEA">
        <w:rPr>
          <w:i/>
          <w:lang w:val="fr-FR"/>
        </w:rPr>
        <w:t xml:space="preserve"> présidente,</w:t>
      </w:r>
      <w:r w:rsidRPr="00432BEA">
        <w:rPr>
          <w:i/>
          <w:lang w:val="fr-FR"/>
        </w:rPr>
        <w:br/>
      </w:r>
      <w:r w:rsidRPr="00432BEA">
        <w:rPr>
          <w:lang w:val="fr-FR"/>
        </w:rPr>
        <w:tab/>
        <w:t>Yonko Grozev,</w:t>
      </w:r>
      <w:r w:rsidRPr="00432BEA">
        <w:rPr>
          <w:i/>
          <w:lang w:val="fr-FR"/>
        </w:rPr>
        <w:br/>
      </w:r>
      <w:r w:rsidRPr="00432BEA">
        <w:rPr>
          <w:lang w:val="fr-FR"/>
        </w:rPr>
        <w:tab/>
        <w:t>André Potocki,</w:t>
      </w:r>
      <w:r w:rsidRPr="00432BEA">
        <w:rPr>
          <w:i/>
          <w:lang w:val="fr-FR"/>
        </w:rPr>
        <w:br/>
      </w:r>
      <w:r w:rsidRPr="00432BEA">
        <w:rPr>
          <w:lang w:val="fr-FR"/>
        </w:rPr>
        <w:tab/>
        <w:t>Síofra O</w:t>
      </w:r>
      <w:r w:rsidRPr="00432BEA" w:rsidR="00432BEA">
        <w:rPr>
          <w:lang w:val="fr-FR"/>
        </w:rPr>
        <w:t>’</w:t>
      </w:r>
      <w:r w:rsidRPr="00432BEA">
        <w:rPr>
          <w:lang w:val="fr-FR"/>
        </w:rPr>
        <w:t>Leary,</w:t>
      </w:r>
      <w:r w:rsidRPr="00432BEA">
        <w:rPr>
          <w:i/>
          <w:lang w:val="fr-FR"/>
        </w:rPr>
        <w:br/>
      </w:r>
      <w:r w:rsidRPr="00432BEA">
        <w:rPr>
          <w:lang w:val="fr-FR"/>
        </w:rPr>
        <w:tab/>
        <w:t>Gabriele Kucsko-Stadlmayer,</w:t>
      </w:r>
      <w:r w:rsidRPr="00432BEA">
        <w:rPr>
          <w:i/>
          <w:lang w:val="fr-FR"/>
        </w:rPr>
        <w:br/>
      </w:r>
      <w:r w:rsidRPr="00432BEA">
        <w:rPr>
          <w:lang w:val="fr-FR"/>
        </w:rPr>
        <w:tab/>
        <w:t>Lәtif Hüseynov,</w:t>
      </w:r>
      <w:r w:rsidRPr="00432BEA">
        <w:rPr>
          <w:i/>
          <w:lang w:val="fr-FR"/>
        </w:rPr>
        <w:br/>
      </w:r>
      <w:r w:rsidRPr="00432BEA">
        <w:rPr>
          <w:lang w:val="fr-FR"/>
        </w:rPr>
        <w:tab/>
        <w:t>Lado Chanturia,</w:t>
      </w:r>
      <w:r w:rsidRPr="00432BEA">
        <w:rPr>
          <w:i/>
          <w:lang w:val="fr-FR"/>
        </w:rPr>
        <w:t xml:space="preserve"> juges,</w:t>
      </w:r>
      <w:r w:rsidRPr="00432BEA" w:rsidR="00E77CB3">
        <w:rPr>
          <w:lang w:val="fr-FR"/>
        </w:rPr>
        <w:br/>
        <w:t xml:space="preserve">et de </w:t>
      </w:r>
      <w:r w:rsidRPr="00432BEA" w:rsidR="00A050D6">
        <w:rPr>
          <w:lang w:val="fr-FR"/>
        </w:rPr>
        <w:t>Claudia Westerdiek</w:t>
      </w:r>
      <w:r w:rsidRPr="00432BEA" w:rsidR="00E77CB3">
        <w:rPr>
          <w:lang w:val="fr-FR"/>
        </w:rPr>
        <w:t xml:space="preserve">, </w:t>
      </w:r>
      <w:r w:rsidRPr="00432BEA" w:rsidR="00A050D6">
        <w:rPr>
          <w:i/>
          <w:lang w:val="fr-FR"/>
        </w:rPr>
        <w:t>greffière</w:t>
      </w:r>
      <w:r w:rsidRPr="00432BEA" w:rsidR="00A050D6">
        <w:rPr>
          <w:iCs/>
          <w:lang w:val="fr-FR"/>
        </w:rPr>
        <w:t xml:space="preserve"> </w:t>
      </w:r>
      <w:r w:rsidRPr="00432BEA" w:rsidR="00A050D6">
        <w:rPr>
          <w:i/>
          <w:iCs/>
          <w:lang w:val="fr-FR"/>
        </w:rPr>
        <w:t>d</w:t>
      </w:r>
      <w:r w:rsidRPr="00432BEA" w:rsidR="00A050D6">
        <w:rPr>
          <w:i/>
          <w:lang w:val="fr-FR"/>
        </w:rPr>
        <w:t>e section</w:t>
      </w:r>
      <w:r w:rsidRPr="00432BEA" w:rsidR="00E77CB3">
        <w:rPr>
          <w:lang w:val="fr-FR"/>
        </w:rPr>
        <w:t>,</w:t>
      </w:r>
    </w:p>
    <w:p w:rsidRPr="00432BEA" w:rsidR="00E77CB3" w:rsidP="00432BEA" w:rsidRDefault="00E77CB3">
      <w:pPr>
        <w:pStyle w:val="ECHRPara"/>
        <w:rPr>
          <w:lang w:val="fr-FR"/>
        </w:rPr>
      </w:pPr>
      <w:r w:rsidRPr="00432BEA">
        <w:rPr>
          <w:lang w:val="fr-FR"/>
        </w:rPr>
        <w:t xml:space="preserve">Après en avoir délibéré en chambre du conseil le </w:t>
      </w:r>
      <w:r w:rsidRPr="00432BEA" w:rsidR="00541D6D">
        <w:rPr>
          <w:lang w:val="fr-FR"/>
        </w:rPr>
        <w:t>9 octobre 2018</w:t>
      </w:r>
      <w:r w:rsidRPr="00432BEA">
        <w:rPr>
          <w:lang w:val="fr-FR"/>
        </w:rPr>
        <w:t>,</w:t>
      </w:r>
    </w:p>
    <w:p w:rsidRPr="00432BEA" w:rsidR="00E77CB3" w:rsidP="00432BEA" w:rsidRDefault="00E77CB3">
      <w:pPr>
        <w:pStyle w:val="ECHRPara"/>
        <w:rPr>
          <w:lang w:val="fr-FR"/>
        </w:rPr>
      </w:pPr>
      <w:r w:rsidRPr="00432BEA">
        <w:rPr>
          <w:lang w:val="fr-FR"/>
        </w:rPr>
        <w:t>Rend l</w:t>
      </w:r>
      <w:r w:rsidRPr="00432BEA" w:rsidR="00432BEA">
        <w:rPr>
          <w:lang w:val="fr-FR"/>
        </w:rPr>
        <w:t>’</w:t>
      </w:r>
      <w:r w:rsidRPr="00432BEA">
        <w:rPr>
          <w:lang w:val="fr-FR"/>
        </w:rPr>
        <w:t>arrêt que voici, adopté à cette date :</w:t>
      </w:r>
    </w:p>
    <w:p w:rsidRPr="00432BEA" w:rsidR="00E77CB3" w:rsidP="00432BEA" w:rsidRDefault="00E77CB3">
      <w:pPr>
        <w:pStyle w:val="ECHRTitle1"/>
        <w:rPr>
          <w:lang w:val="fr-FR"/>
        </w:rPr>
      </w:pPr>
      <w:r w:rsidRPr="00432BEA">
        <w:rPr>
          <w:lang w:val="fr-FR"/>
        </w:rPr>
        <w:t>PROCÉDURE</w:t>
      </w:r>
    </w:p>
    <w:p w:rsidRPr="00432BEA" w:rsidR="00E77CB3" w:rsidP="00432BEA" w:rsidRDefault="00A050D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1</w:t>
      </w:r>
      <w:r w:rsidRPr="00432BEA">
        <w:rPr>
          <w:lang w:val="fr-FR"/>
        </w:rPr>
        <w:fldChar w:fldCharType="end"/>
      </w:r>
      <w:r w:rsidRPr="00432BEA" w:rsidR="00E77CB3">
        <w:rPr>
          <w:lang w:val="fr-FR"/>
        </w:rPr>
        <w:t>.  À l</w:t>
      </w:r>
      <w:r w:rsidRPr="00432BEA" w:rsidR="00432BEA">
        <w:rPr>
          <w:lang w:val="fr-FR"/>
        </w:rPr>
        <w:t>’</w:t>
      </w:r>
      <w:r w:rsidRPr="00432BEA" w:rsidR="00E77CB3">
        <w:rPr>
          <w:lang w:val="fr-FR"/>
        </w:rPr>
        <w:t>origine de l</w:t>
      </w:r>
      <w:r w:rsidRPr="00432BEA" w:rsidR="00432BEA">
        <w:rPr>
          <w:lang w:val="fr-FR"/>
        </w:rPr>
        <w:t>’</w:t>
      </w:r>
      <w:r w:rsidRPr="00432BEA" w:rsidR="00E77CB3">
        <w:rPr>
          <w:lang w:val="fr-FR"/>
        </w:rPr>
        <w:t xml:space="preserve">affaire </w:t>
      </w:r>
      <w:r w:rsidRPr="00432BEA">
        <w:rPr>
          <w:lang w:val="fr-FR"/>
        </w:rPr>
        <w:t xml:space="preserve">se trouvent </w:t>
      </w:r>
      <w:r w:rsidRPr="00432BEA" w:rsidR="00A831FE">
        <w:rPr>
          <w:lang w:val="fr-FR"/>
        </w:rPr>
        <w:t>vingt-quatre</w:t>
      </w:r>
      <w:r w:rsidRPr="00432BEA">
        <w:rPr>
          <w:lang w:val="fr-FR"/>
        </w:rPr>
        <w:t xml:space="preserve"> requêtes (n</w:t>
      </w:r>
      <w:r w:rsidRPr="00432BEA">
        <w:rPr>
          <w:vertAlign w:val="superscript"/>
          <w:lang w:val="fr-FR"/>
        </w:rPr>
        <w:t>os</w:t>
      </w:r>
      <w:r w:rsidRPr="00432BEA" w:rsidR="005A25F1">
        <w:rPr>
          <w:lang w:val="fr-FR"/>
        </w:rPr>
        <w:t> </w:t>
      </w:r>
      <w:r w:rsidRPr="00432BEA">
        <w:rPr>
          <w:lang w:val="fr-FR"/>
        </w:rPr>
        <w:t>18096/12</w:t>
      </w:r>
      <w:r w:rsidRPr="00432BEA" w:rsidR="00A831FE">
        <w:rPr>
          <w:lang w:val="fr-FR"/>
        </w:rPr>
        <w:t>, 53601/12, 23542/13, 32194/13, 39165/13, 39173/13, 39180/13, 39184/13, 49923/13, 57424/13, 58995/13, 59003/13, 68908/13, 68916/13, 68918/13, 76512/13, 76519/13, 76527/13, 76530/13, 5485/14, 23544/14, 30287/14, 46819/14, 46862/14</w:t>
      </w:r>
      <w:r w:rsidRPr="00432BEA">
        <w:rPr>
          <w:lang w:val="fr-FR"/>
        </w:rPr>
        <w:t>) dirigées</w:t>
      </w:r>
      <w:r w:rsidRPr="00432BEA" w:rsidR="00E77CB3">
        <w:rPr>
          <w:lang w:val="fr-FR"/>
        </w:rPr>
        <w:t xml:space="preserve"> contre </w:t>
      </w:r>
      <w:r w:rsidRPr="00432BEA">
        <w:rPr>
          <w:lang w:val="fr-FR"/>
        </w:rPr>
        <w:t>la République française</w:t>
      </w:r>
      <w:r w:rsidRPr="00432BEA" w:rsidR="00E77CB3">
        <w:rPr>
          <w:lang w:val="fr-FR"/>
        </w:rPr>
        <w:t xml:space="preserve"> et dont </w:t>
      </w:r>
      <w:r w:rsidRPr="00432BEA" w:rsidR="00A831FE">
        <w:rPr>
          <w:lang w:val="fr-FR"/>
        </w:rPr>
        <w:t xml:space="preserve">vingt-quatre personnes morales de </w:t>
      </w:r>
      <w:r w:rsidRPr="00432BEA">
        <w:rPr>
          <w:lang w:val="fr-FR"/>
        </w:rPr>
        <w:t>cet État</w:t>
      </w:r>
      <w:r w:rsidRPr="00432BEA" w:rsidR="007D22EB">
        <w:rPr>
          <w:lang w:val="fr-FR"/>
        </w:rPr>
        <w:t xml:space="preserve"> </w:t>
      </w:r>
      <w:r w:rsidRPr="00432BEA" w:rsidR="0031654B">
        <w:rPr>
          <w:lang w:val="fr-FR"/>
        </w:rPr>
        <w:t>(« les </w:t>
      </w:r>
      <w:r w:rsidRPr="00432BEA">
        <w:rPr>
          <w:lang w:val="fr-FR"/>
        </w:rPr>
        <w:t>requérants »</w:t>
      </w:r>
      <w:r w:rsidRPr="00432BEA" w:rsidR="00A831FE">
        <w:rPr>
          <w:lang w:val="fr-FR"/>
        </w:rPr>
        <w:t>, vo</w:t>
      </w:r>
      <w:r w:rsidRPr="00432BEA" w:rsidR="0031654B">
        <w:rPr>
          <w:lang w:val="fr-FR"/>
        </w:rPr>
        <w:t>ir a</w:t>
      </w:r>
      <w:r w:rsidRPr="00432BEA" w:rsidR="00A831FE">
        <w:rPr>
          <w:lang w:val="fr-FR"/>
        </w:rPr>
        <w:t>nnexe)</w:t>
      </w:r>
      <w:r w:rsidRPr="00432BEA" w:rsidR="00C7530E">
        <w:rPr>
          <w:lang w:val="fr-FR"/>
        </w:rPr>
        <w:t xml:space="preserve">, </w:t>
      </w:r>
      <w:r w:rsidRPr="00432BEA" w:rsidR="009E1AC9">
        <w:rPr>
          <w:lang w:val="fr-FR"/>
        </w:rPr>
        <w:t xml:space="preserve">ont </w:t>
      </w:r>
      <w:r w:rsidRPr="00432BEA" w:rsidR="00C7530E">
        <w:rPr>
          <w:lang w:val="fr-FR"/>
        </w:rPr>
        <w:t xml:space="preserve">saisi la Cour </w:t>
      </w:r>
      <w:r w:rsidRPr="00432BEA" w:rsidR="009E1AC9">
        <w:rPr>
          <w:lang w:val="fr-FR"/>
        </w:rPr>
        <w:t xml:space="preserve">à différentes dates entre </w:t>
      </w:r>
      <w:r w:rsidRPr="00432BEA" w:rsidR="00C7530E">
        <w:rPr>
          <w:lang w:val="fr-FR"/>
        </w:rPr>
        <w:t xml:space="preserve">le 20 </w:t>
      </w:r>
      <w:r w:rsidRPr="00432BEA" w:rsidR="009E1AC9">
        <w:rPr>
          <w:lang w:val="fr-FR"/>
        </w:rPr>
        <w:t xml:space="preserve">mars 2012 </w:t>
      </w:r>
      <w:r w:rsidRPr="00432BEA" w:rsidR="00C7530E">
        <w:rPr>
          <w:lang w:val="fr-FR"/>
        </w:rPr>
        <w:t>et</w:t>
      </w:r>
      <w:r w:rsidRPr="00432BEA" w:rsidR="009E1AC9">
        <w:rPr>
          <w:lang w:val="fr-FR"/>
        </w:rPr>
        <w:t xml:space="preserve"> le</w:t>
      </w:r>
      <w:r w:rsidRPr="00432BEA" w:rsidR="00C7530E">
        <w:rPr>
          <w:lang w:val="fr-FR"/>
        </w:rPr>
        <w:t xml:space="preserve"> 19 juin 2014 (</w:t>
      </w:r>
      <w:r w:rsidRPr="00432BEA" w:rsidR="0031654B">
        <w:rPr>
          <w:lang w:val="fr-FR"/>
        </w:rPr>
        <w:t>voir a</w:t>
      </w:r>
      <w:r w:rsidRPr="00432BEA" w:rsidR="009E1AC9">
        <w:rPr>
          <w:lang w:val="fr-FR"/>
        </w:rPr>
        <w:t>nnexe)</w:t>
      </w:r>
      <w:r w:rsidRPr="00432BEA" w:rsidR="00C7530E">
        <w:rPr>
          <w:lang w:val="fr-FR"/>
        </w:rPr>
        <w:t xml:space="preserve"> </w:t>
      </w:r>
      <w:r w:rsidRPr="00432BEA" w:rsidR="00E77CB3">
        <w:rPr>
          <w:lang w:val="fr-FR"/>
        </w:rPr>
        <w:t xml:space="preserve">en vertu de </w:t>
      </w:r>
      <w:r w:rsidRPr="00432BEA">
        <w:rPr>
          <w:lang w:val="fr-FR"/>
        </w:rPr>
        <w:t>l</w:t>
      </w:r>
      <w:r w:rsidRPr="00432BEA" w:rsidR="00432BEA">
        <w:rPr>
          <w:lang w:val="fr-FR"/>
        </w:rPr>
        <w:t>’</w:t>
      </w:r>
      <w:r w:rsidRPr="00432BEA">
        <w:rPr>
          <w:lang w:val="fr-FR"/>
        </w:rPr>
        <w:t>article 34</w:t>
      </w:r>
      <w:r w:rsidRPr="00432BEA" w:rsidR="00E77CB3">
        <w:rPr>
          <w:lang w:val="fr-FR"/>
        </w:rPr>
        <w:t xml:space="preserve"> de la Convention de sauvegarde des droits de l</w:t>
      </w:r>
      <w:r w:rsidRPr="00432BEA" w:rsidR="00432BEA">
        <w:rPr>
          <w:lang w:val="fr-FR"/>
        </w:rPr>
        <w:t>’</w:t>
      </w:r>
      <w:r w:rsidRPr="00432BEA" w:rsidR="00E77CB3">
        <w:rPr>
          <w:lang w:val="fr-FR"/>
        </w:rPr>
        <w:t>homme et des libertés fondamentales (« la Convention »).</w:t>
      </w:r>
    </w:p>
    <w:p w:rsidRPr="00432BEA" w:rsidR="005C401E" w:rsidP="00432BEA" w:rsidRDefault="00A050D6">
      <w:pPr>
        <w:pStyle w:val="ECHRPara"/>
        <w:rPr>
          <w:lang w:val="fr-FR"/>
        </w:rPr>
      </w:pPr>
      <w:r w:rsidRPr="00432BEA">
        <w:rPr>
          <w:lang w:val="pt-BR"/>
        </w:rPr>
        <w:fldChar w:fldCharType="begin"/>
      </w:r>
      <w:r w:rsidRPr="00432BEA">
        <w:rPr>
          <w:lang w:val="pt-BR"/>
        </w:rPr>
        <w:instrText xml:space="preserve"> SEQ level0 \*arabic </w:instrText>
      </w:r>
      <w:r w:rsidRPr="00432BEA">
        <w:rPr>
          <w:lang w:val="pt-BR"/>
        </w:rPr>
        <w:fldChar w:fldCharType="separate"/>
      </w:r>
      <w:r w:rsidRPr="00432BEA" w:rsidR="00432BEA">
        <w:rPr>
          <w:noProof/>
          <w:lang w:val="pt-BR"/>
        </w:rPr>
        <w:t>2</w:t>
      </w:r>
      <w:r w:rsidRPr="00432BEA">
        <w:rPr>
          <w:lang w:val="pt-BR"/>
        </w:rPr>
        <w:fldChar w:fldCharType="end"/>
      </w:r>
      <w:r w:rsidRPr="00432BEA" w:rsidR="00E77CB3">
        <w:rPr>
          <w:lang w:val="pt-BR"/>
        </w:rPr>
        <w:t>.  </w:t>
      </w:r>
      <w:r w:rsidRPr="00432BEA">
        <w:rPr>
          <w:lang w:val="pt-BR"/>
        </w:rPr>
        <w:t>Les requérants ont été représentés par M</w:t>
      </w:r>
      <w:r w:rsidRPr="00432BEA">
        <w:rPr>
          <w:vertAlign w:val="superscript"/>
          <w:lang w:val="pt-BR"/>
        </w:rPr>
        <w:t>e</w:t>
      </w:r>
      <w:r w:rsidRPr="00432BEA">
        <w:rPr>
          <w:lang w:val="pt-BR"/>
        </w:rPr>
        <w:t> S. Pappas</w:t>
      </w:r>
      <w:r w:rsidRPr="00432BEA" w:rsidR="004140F1">
        <w:rPr>
          <w:lang w:val="pt-BR"/>
        </w:rPr>
        <w:t>, avocat exerçant à Bruxelles.</w:t>
      </w:r>
      <w:r w:rsidRPr="00432BEA" w:rsidR="005C401E">
        <w:rPr>
          <w:lang w:val="pt-BR"/>
        </w:rPr>
        <w:t xml:space="preserve"> </w:t>
      </w:r>
      <w:r w:rsidRPr="00432BEA" w:rsidR="00E77CB3">
        <w:rPr>
          <w:lang w:val="pt-BR"/>
        </w:rPr>
        <w:t xml:space="preserve">Le gouvernement </w:t>
      </w:r>
      <w:r w:rsidRPr="00432BEA">
        <w:rPr>
          <w:lang w:val="pt-BR"/>
        </w:rPr>
        <w:t>français</w:t>
      </w:r>
      <w:r w:rsidRPr="00432BEA" w:rsidR="004140F1">
        <w:rPr>
          <w:lang w:val="pt-BR"/>
        </w:rPr>
        <w:t xml:space="preserve"> (« le Gouvernement ») </w:t>
      </w:r>
      <w:r w:rsidRPr="00432BEA" w:rsidR="00781E61">
        <w:rPr>
          <w:lang w:val="pt-BR"/>
        </w:rPr>
        <w:t>a été</w:t>
      </w:r>
      <w:r w:rsidRPr="00432BEA" w:rsidR="004140F1">
        <w:rPr>
          <w:lang w:val="pt-BR"/>
        </w:rPr>
        <w:t xml:space="preserve"> </w:t>
      </w:r>
      <w:r w:rsidRPr="00432BEA" w:rsidR="00E77CB3">
        <w:rPr>
          <w:lang w:val="pt-BR"/>
        </w:rPr>
        <w:t>représenté par son agent,</w:t>
      </w:r>
      <w:r w:rsidRPr="00432BEA" w:rsidR="005C401E">
        <w:rPr>
          <w:lang w:val="fr-FR"/>
        </w:rPr>
        <w:t xml:space="preserve"> M. F. Alabrune, directeur des affaires juridiques au ministère de l</w:t>
      </w:r>
      <w:r w:rsidRPr="00432BEA" w:rsidR="00432BEA">
        <w:rPr>
          <w:lang w:val="fr-FR"/>
        </w:rPr>
        <w:t>’</w:t>
      </w:r>
      <w:r w:rsidRPr="00432BEA" w:rsidR="005C401E">
        <w:rPr>
          <w:lang w:val="fr-FR"/>
        </w:rPr>
        <w:t>Europe et des Affaires étrangères.</w:t>
      </w:r>
    </w:p>
    <w:p w:rsidRPr="00432BEA" w:rsidR="007D22EB" w:rsidP="00432BEA" w:rsidRDefault="00A050D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3</w:t>
      </w:r>
      <w:r w:rsidRPr="00432BEA">
        <w:rPr>
          <w:lang w:val="fr-FR"/>
        </w:rPr>
        <w:fldChar w:fldCharType="end"/>
      </w:r>
      <w:r w:rsidRPr="00432BEA" w:rsidR="004140F1">
        <w:rPr>
          <w:lang w:val="fr-FR"/>
        </w:rPr>
        <w:t>.  Les requérants allèguent</w:t>
      </w:r>
      <w:r w:rsidRPr="00432BEA" w:rsidR="0040476E">
        <w:rPr>
          <w:lang w:val="fr-FR"/>
        </w:rPr>
        <w:t xml:space="preserve"> </w:t>
      </w:r>
      <w:r w:rsidRPr="00432BEA" w:rsidR="00667777">
        <w:rPr>
          <w:lang w:val="fr-FR"/>
        </w:rPr>
        <w:t>une violation de</w:t>
      </w:r>
      <w:r w:rsidRPr="00432BEA" w:rsidR="004140F1">
        <w:rPr>
          <w:lang w:val="fr-FR"/>
        </w:rPr>
        <w:t xml:space="preserve"> l</w:t>
      </w:r>
      <w:r w:rsidRPr="00432BEA" w:rsidR="00432BEA">
        <w:rPr>
          <w:lang w:val="fr-FR"/>
        </w:rPr>
        <w:t>’</w:t>
      </w:r>
      <w:r w:rsidRPr="00432BEA" w:rsidR="00667777">
        <w:rPr>
          <w:lang w:val="fr-FR"/>
        </w:rPr>
        <w:t>article 6</w:t>
      </w:r>
      <w:r w:rsidRPr="00432BEA" w:rsidR="004140F1">
        <w:rPr>
          <w:lang w:val="fr-FR"/>
        </w:rPr>
        <w:t xml:space="preserve"> § 1 de la Convention,</w:t>
      </w:r>
      <w:r w:rsidRPr="00432BEA" w:rsidR="00BE5914">
        <w:rPr>
          <w:lang w:val="fr-FR"/>
        </w:rPr>
        <w:t xml:space="preserve"> et</w:t>
      </w:r>
      <w:r w:rsidRPr="00432BEA" w:rsidR="004140F1">
        <w:rPr>
          <w:lang w:val="fr-FR"/>
        </w:rPr>
        <w:t xml:space="preserve"> </w:t>
      </w:r>
      <w:r w:rsidRPr="00432BEA" w:rsidR="00BE5914">
        <w:rPr>
          <w:lang w:val="fr-FR"/>
        </w:rPr>
        <w:t>de l</w:t>
      </w:r>
      <w:r w:rsidRPr="00432BEA" w:rsidR="00432BEA">
        <w:rPr>
          <w:lang w:val="fr-FR"/>
        </w:rPr>
        <w:t>’</w:t>
      </w:r>
      <w:r w:rsidRPr="00432BEA" w:rsidR="00BE5914">
        <w:rPr>
          <w:lang w:val="fr-FR"/>
        </w:rPr>
        <w:t xml:space="preserve">article </w:t>
      </w:r>
      <w:r w:rsidRPr="00432BEA" w:rsidR="004140F1">
        <w:rPr>
          <w:lang w:val="fr-FR"/>
        </w:rPr>
        <w:t>14 de la Convention combiné avec l</w:t>
      </w:r>
      <w:r w:rsidRPr="00432BEA" w:rsidR="00432BEA">
        <w:rPr>
          <w:lang w:val="fr-FR"/>
        </w:rPr>
        <w:t>’</w:t>
      </w:r>
      <w:r w:rsidRPr="00432BEA" w:rsidR="004140F1">
        <w:rPr>
          <w:lang w:val="fr-FR"/>
        </w:rPr>
        <w:t>article 1 du Protocole n</w:t>
      </w:r>
      <w:r w:rsidRPr="00432BEA" w:rsidR="007D22EB">
        <w:rPr>
          <w:vertAlign w:val="superscript"/>
          <w:lang w:val="fr-FR"/>
        </w:rPr>
        <w:t>o</w:t>
      </w:r>
      <w:r w:rsidRPr="00432BEA" w:rsidR="004140F1">
        <w:rPr>
          <w:lang w:val="fr-FR"/>
        </w:rPr>
        <w:t xml:space="preserve"> 1 en raison</w:t>
      </w:r>
      <w:r w:rsidRPr="00432BEA" w:rsidR="00BE5914">
        <w:rPr>
          <w:lang w:val="fr-FR"/>
        </w:rPr>
        <w:t xml:space="preserve"> de l</w:t>
      </w:r>
      <w:r w:rsidRPr="00432BEA" w:rsidR="00432BEA">
        <w:rPr>
          <w:lang w:val="fr-FR"/>
        </w:rPr>
        <w:t>’</w:t>
      </w:r>
      <w:r w:rsidRPr="00432BEA" w:rsidR="00BE5914">
        <w:rPr>
          <w:lang w:val="fr-FR"/>
        </w:rPr>
        <w:t>intervention d</w:t>
      </w:r>
      <w:r w:rsidRPr="00432BEA" w:rsidR="00432BEA">
        <w:rPr>
          <w:lang w:val="fr-FR"/>
        </w:rPr>
        <w:t>’</w:t>
      </w:r>
      <w:r w:rsidRPr="00432BEA" w:rsidR="00BE5914">
        <w:rPr>
          <w:lang w:val="fr-FR"/>
        </w:rPr>
        <w:t xml:space="preserve">une loi en cours de procédure. </w:t>
      </w:r>
      <w:r w:rsidRPr="00432BEA" w:rsidR="0040476E">
        <w:rPr>
          <w:lang w:val="fr-FR"/>
        </w:rPr>
        <w:t>Dans les requêtes n</w:t>
      </w:r>
      <w:r w:rsidRPr="00432BEA" w:rsidR="0040476E">
        <w:rPr>
          <w:vertAlign w:val="superscript"/>
          <w:lang w:val="fr-FR"/>
        </w:rPr>
        <w:t xml:space="preserve">os </w:t>
      </w:r>
      <w:r w:rsidRPr="00432BEA" w:rsidR="0040476E">
        <w:rPr>
          <w:lang w:val="fr-FR"/>
        </w:rPr>
        <w:t xml:space="preserve">18096/12 et 53601/12, les requérants se plaignent </w:t>
      </w:r>
      <w:r w:rsidRPr="00432BEA" w:rsidR="009E1AC9">
        <w:rPr>
          <w:lang w:val="fr-FR"/>
        </w:rPr>
        <w:t xml:space="preserve">également </w:t>
      </w:r>
      <w:r w:rsidRPr="00432BEA" w:rsidR="0040476E">
        <w:rPr>
          <w:lang w:val="fr-FR"/>
        </w:rPr>
        <w:t>du défaut de motivation des arrêts rendus par la Cour de cassation.</w:t>
      </w:r>
    </w:p>
    <w:p w:rsidRPr="00432BEA" w:rsidR="003A4313" w:rsidP="00432BEA" w:rsidRDefault="00A050D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4</w:t>
      </w:r>
      <w:r w:rsidRPr="00432BEA">
        <w:rPr>
          <w:lang w:val="fr-FR"/>
        </w:rPr>
        <w:fldChar w:fldCharType="end"/>
      </w:r>
      <w:r w:rsidRPr="00432BEA" w:rsidR="00E77CB3">
        <w:rPr>
          <w:lang w:val="fr-FR"/>
        </w:rPr>
        <w:t>.  </w:t>
      </w:r>
      <w:r w:rsidRPr="00432BEA">
        <w:rPr>
          <w:lang w:val="fr-FR"/>
        </w:rPr>
        <w:t>Le</w:t>
      </w:r>
      <w:r w:rsidRPr="00432BEA" w:rsidR="0040476E">
        <w:rPr>
          <w:lang w:val="fr-FR"/>
        </w:rPr>
        <w:t xml:space="preserve"> 11 septembre 2015, </w:t>
      </w:r>
      <w:r w:rsidRPr="00432BEA">
        <w:rPr>
          <w:lang w:val="fr-FR"/>
        </w:rPr>
        <w:t>les requêtes ont été communiquées au Gouvernement</w:t>
      </w:r>
      <w:r w:rsidRPr="00432BEA" w:rsidR="0040476E">
        <w:rPr>
          <w:lang w:val="fr-FR"/>
        </w:rPr>
        <w:t>.</w:t>
      </w:r>
    </w:p>
    <w:p w:rsidRPr="00432BEA" w:rsidR="00E77CB3" w:rsidP="00432BEA" w:rsidRDefault="00E77CB3">
      <w:pPr>
        <w:pStyle w:val="ECHRTitle1"/>
        <w:rPr>
          <w:lang w:val="fr-FR"/>
        </w:rPr>
      </w:pPr>
      <w:r w:rsidRPr="00432BEA">
        <w:rPr>
          <w:lang w:val="fr-FR"/>
        </w:rPr>
        <w:t>EN FAIT</w:t>
      </w:r>
    </w:p>
    <w:p w:rsidRPr="00432BEA" w:rsidR="00E77CB3" w:rsidP="00432BEA" w:rsidRDefault="00E77CB3">
      <w:pPr>
        <w:pStyle w:val="ECHRHeading1"/>
        <w:rPr>
          <w:lang w:val="fr-FR"/>
        </w:rPr>
      </w:pPr>
      <w:r w:rsidRPr="00432BEA">
        <w:rPr>
          <w:lang w:val="fr-FR"/>
        </w:rPr>
        <w:t>I.  LES CIRCONSTANCES DE L</w:t>
      </w:r>
      <w:r w:rsidRPr="00432BEA" w:rsidR="00432BEA">
        <w:rPr>
          <w:lang w:val="fr-FR"/>
        </w:rPr>
        <w:t>’</w:t>
      </w:r>
      <w:r w:rsidRPr="00432BEA">
        <w:rPr>
          <w:lang w:val="fr-FR"/>
        </w:rPr>
        <w:t>ESPÈCE</w:t>
      </w:r>
    </w:p>
    <w:p w:rsidRPr="00432BEA" w:rsidR="001124DF" w:rsidP="00432BEA" w:rsidRDefault="005A25F1">
      <w:pPr>
        <w:pStyle w:val="ECHRHeading2"/>
        <w:rPr>
          <w:lang w:val="fr-FR"/>
        </w:rPr>
      </w:pPr>
      <w:r w:rsidRPr="00432BEA">
        <w:rPr>
          <w:lang w:val="fr-FR"/>
        </w:rPr>
        <w:t>A.  </w:t>
      </w:r>
      <w:r w:rsidRPr="00432BEA" w:rsidR="001124DF">
        <w:rPr>
          <w:lang w:val="fr-FR"/>
        </w:rPr>
        <w:t>Genèse des affaires</w:t>
      </w:r>
    </w:p>
    <w:p w:rsidRPr="00432BEA" w:rsidR="007D22EB" w:rsidP="00432BEA" w:rsidRDefault="0036550D">
      <w:pPr>
        <w:pStyle w:val="ECHRPara"/>
        <w:keepNext/>
        <w:keepLines/>
        <w:rPr>
          <w:rFonts w:ascii="Times New Roman" w:hAnsi="Times New Roman" w:cs="Times New Roman" w:eastAsiaTheme="minorHAnsi"/>
          <w:szCs w:val="24"/>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5</w:t>
      </w:r>
      <w:r w:rsidRPr="00432BEA">
        <w:rPr>
          <w:lang w:val="fr-FR"/>
        </w:rPr>
        <w:fldChar w:fldCharType="end"/>
      </w:r>
      <w:r w:rsidRPr="00432BEA">
        <w:rPr>
          <w:lang w:val="fr-FR"/>
        </w:rPr>
        <w:t>.  </w:t>
      </w:r>
      <w:r w:rsidRPr="00432BEA" w:rsidR="00BE5914">
        <w:rPr>
          <w:lang w:val="fr-FR"/>
        </w:rPr>
        <w:t>Les requérant</w:t>
      </w:r>
      <w:r w:rsidRPr="00432BEA" w:rsidR="00D96E3E">
        <w:rPr>
          <w:lang w:val="fr-FR"/>
        </w:rPr>
        <w:t>s</w:t>
      </w:r>
      <w:r w:rsidRPr="00432BEA">
        <w:rPr>
          <w:lang w:val="fr-FR"/>
        </w:rPr>
        <w:t xml:space="preserve"> </w:t>
      </w:r>
      <w:r w:rsidRPr="00432BEA" w:rsidR="00D96E3E">
        <w:rPr>
          <w:lang w:val="fr-FR"/>
        </w:rPr>
        <w:t>sont des établissements d</w:t>
      </w:r>
      <w:r w:rsidRPr="00432BEA" w:rsidR="00432BEA">
        <w:rPr>
          <w:lang w:val="fr-FR"/>
        </w:rPr>
        <w:t>’</w:t>
      </w:r>
      <w:r w:rsidRPr="00432BEA" w:rsidR="00D96E3E">
        <w:rPr>
          <w:lang w:val="fr-FR"/>
        </w:rPr>
        <w:t>hébergement pour personnes âgées dépendantes (EHPAD)</w:t>
      </w:r>
      <w:r w:rsidRPr="00432BEA" w:rsidR="00E33EFD">
        <w:rPr>
          <w:lang w:val="fr-FR"/>
        </w:rPr>
        <w:t xml:space="preserve">, des hôpitaux comprenant des </w:t>
      </w:r>
      <w:r w:rsidRPr="00432BEA" w:rsidR="005A25F1">
        <w:rPr>
          <w:lang w:val="fr-FR"/>
        </w:rPr>
        <w:t>EHPAD</w:t>
      </w:r>
      <w:r w:rsidRPr="00432BEA" w:rsidR="007474EF">
        <w:rPr>
          <w:lang w:val="fr-FR"/>
        </w:rPr>
        <w:t xml:space="preserve"> et</w:t>
      </w:r>
      <w:r w:rsidRPr="00432BEA">
        <w:rPr>
          <w:lang w:val="fr-FR"/>
        </w:rPr>
        <w:t xml:space="preserve"> une association gérant un foyer d</w:t>
      </w:r>
      <w:r w:rsidRPr="00432BEA" w:rsidR="00432BEA">
        <w:rPr>
          <w:lang w:val="fr-FR"/>
        </w:rPr>
        <w:t>’</w:t>
      </w:r>
      <w:r w:rsidRPr="00432BEA">
        <w:rPr>
          <w:lang w:val="fr-FR"/>
        </w:rPr>
        <w:t>accuei</w:t>
      </w:r>
      <w:r w:rsidRPr="00432BEA" w:rsidR="004E4FA0">
        <w:rPr>
          <w:lang w:val="fr-FR"/>
        </w:rPr>
        <w:t>l pour personnes handicapées</w:t>
      </w:r>
      <w:r w:rsidRPr="00432BEA" w:rsidR="005C1109">
        <w:rPr>
          <w:lang w:val="fr-FR"/>
        </w:rPr>
        <w:t>.</w:t>
      </w:r>
      <w:r w:rsidRPr="00432BEA" w:rsidR="00D96E3E">
        <w:rPr>
          <w:lang w:val="fr-FR"/>
        </w:rPr>
        <w:t xml:space="preserve"> L</w:t>
      </w:r>
      <w:r w:rsidRPr="00432BEA" w:rsidR="00D96E3E">
        <w:rPr>
          <w:rFonts w:ascii="Times New Roman" w:hAnsi="Times New Roman" w:cs="Times New Roman" w:eastAsiaTheme="minorHAnsi"/>
          <w:szCs w:val="24"/>
          <w:lang w:val="fr-FR"/>
        </w:rPr>
        <w:t xml:space="preserve">es </w:t>
      </w:r>
      <w:r w:rsidRPr="00432BEA" w:rsidR="00670DF6">
        <w:rPr>
          <w:lang w:val="fr-FR"/>
        </w:rPr>
        <w:t xml:space="preserve">Unions de recouvrement des cotisations de </w:t>
      </w:r>
      <w:r w:rsidRPr="00432BEA" w:rsidR="003B3BEA">
        <w:rPr>
          <w:lang w:val="fr-FR"/>
        </w:rPr>
        <w:t>s</w:t>
      </w:r>
      <w:r w:rsidRPr="00432BEA" w:rsidR="00632783">
        <w:rPr>
          <w:lang w:val="fr-FR"/>
        </w:rPr>
        <w:t>écurité sociale</w:t>
      </w:r>
      <w:r w:rsidRPr="00432BEA" w:rsidR="00670DF6">
        <w:rPr>
          <w:lang w:val="fr-FR"/>
        </w:rPr>
        <w:t xml:space="preserve"> et d</w:t>
      </w:r>
      <w:r w:rsidRPr="00432BEA" w:rsidR="00432BEA">
        <w:rPr>
          <w:lang w:val="fr-FR"/>
        </w:rPr>
        <w:t>’</w:t>
      </w:r>
      <w:r w:rsidRPr="00432BEA" w:rsidR="00670DF6">
        <w:rPr>
          <w:lang w:val="fr-FR"/>
        </w:rPr>
        <w:t xml:space="preserve">allocations familiales (URSSAF) </w:t>
      </w:r>
      <w:r w:rsidRPr="00432BEA" w:rsidR="00D96E3E">
        <w:rPr>
          <w:rFonts w:ascii="Times New Roman" w:hAnsi="Times New Roman" w:cs="Times New Roman" w:eastAsiaTheme="minorHAnsi"/>
          <w:szCs w:val="24"/>
          <w:lang w:val="fr-FR"/>
        </w:rPr>
        <w:t>constituent un réseau d</w:t>
      </w:r>
      <w:r w:rsidRPr="00432BEA" w:rsidR="00432BEA">
        <w:rPr>
          <w:rFonts w:ascii="Times New Roman" w:hAnsi="Times New Roman" w:cs="Times New Roman" w:eastAsiaTheme="minorHAnsi"/>
          <w:szCs w:val="24"/>
          <w:lang w:val="fr-FR"/>
        </w:rPr>
        <w:t>’</w:t>
      </w:r>
      <w:r w:rsidRPr="00432BEA" w:rsidR="00D96E3E">
        <w:rPr>
          <w:rFonts w:ascii="Times New Roman" w:hAnsi="Times New Roman" w:cs="Times New Roman" w:eastAsiaTheme="minorHAnsi"/>
          <w:szCs w:val="24"/>
          <w:lang w:val="fr-FR"/>
        </w:rPr>
        <w:t>organismes privés délégataires d</w:t>
      </w:r>
      <w:r w:rsidRPr="00432BEA" w:rsidR="00432BEA">
        <w:rPr>
          <w:rFonts w:ascii="Times New Roman" w:hAnsi="Times New Roman" w:cs="Times New Roman" w:eastAsiaTheme="minorHAnsi"/>
          <w:szCs w:val="24"/>
          <w:lang w:val="fr-FR"/>
        </w:rPr>
        <w:t>’</w:t>
      </w:r>
      <w:r w:rsidRPr="00432BEA" w:rsidR="00D96E3E">
        <w:rPr>
          <w:rFonts w:ascii="Times New Roman" w:hAnsi="Times New Roman" w:cs="Times New Roman" w:eastAsiaTheme="minorHAnsi"/>
          <w:szCs w:val="24"/>
          <w:lang w:val="fr-FR"/>
        </w:rPr>
        <w:t xml:space="preserve">un service public et participent à la pérennité du système de protection sociale, en collectant et en répartissant les cotisations et contributions sociales, sources du financement du régime général de la </w:t>
      </w:r>
      <w:r w:rsidRPr="00432BEA" w:rsidR="003B3BEA">
        <w:rPr>
          <w:rFonts w:ascii="Times New Roman" w:hAnsi="Times New Roman" w:cs="Times New Roman" w:eastAsiaTheme="minorHAnsi"/>
          <w:szCs w:val="24"/>
          <w:lang w:val="fr-FR"/>
        </w:rPr>
        <w:t>s</w:t>
      </w:r>
      <w:r w:rsidRPr="00432BEA" w:rsidR="00632783">
        <w:rPr>
          <w:rFonts w:ascii="Times New Roman" w:hAnsi="Times New Roman" w:cs="Times New Roman" w:eastAsiaTheme="minorHAnsi"/>
          <w:szCs w:val="24"/>
          <w:lang w:val="fr-FR"/>
        </w:rPr>
        <w:t>écurité sociale</w:t>
      </w:r>
      <w:r w:rsidRPr="00432BEA" w:rsidR="00D96E3E">
        <w:rPr>
          <w:rFonts w:ascii="Times New Roman" w:hAnsi="Times New Roman" w:cs="Times New Roman" w:eastAsiaTheme="minorHAnsi"/>
          <w:szCs w:val="24"/>
          <w:lang w:val="fr-FR"/>
        </w:rPr>
        <w:t xml:space="preserve">. Le réseau des URSSAF est placé sous la double tutelle du ministère chargé de la </w:t>
      </w:r>
      <w:r w:rsidRPr="00432BEA" w:rsidR="003B3BEA">
        <w:rPr>
          <w:rFonts w:ascii="Times New Roman" w:hAnsi="Times New Roman" w:cs="Times New Roman" w:eastAsiaTheme="minorHAnsi"/>
          <w:szCs w:val="24"/>
          <w:lang w:val="fr-FR"/>
        </w:rPr>
        <w:t>s</w:t>
      </w:r>
      <w:r w:rsidRPr="00432BEA" w:rsidR="00632783">
        <w:rPr>
          <w:rFonts w:ascii="Times New Roman" w:hAnsi="Times New Roman" w:cs="Times New Roman" w:eastAsiaTheme="minorHAnsi"/>
          <w:szCs w:val="24"/>
          <w:lang w:val="fr-FR"/>
        </w:rPr>
        <w:t>écurité sociale</w:t>
      </w:r>
      <w:r w:rsidRPr="00432BEA" w:rsidR="00D96E3E">
        <w:rPr>
          <w:rFonts w:ascii="Times New Roman" w:hAnsi="Times New Roman" w:cs="Times New Roman" w:eastAsiaTheme="minorHAnsi"/>
          <w:szCs w:val="24"/>
          <w:lang w:val="fr-FR"/>
        </w:rPr>
        <w:t xml:space="preserve"> et du ministère chargé du Budget.</w:t>
      </w:r>
    </w:p>
    <w:p w:rsidRPr="00432BEA" w:rsidR="007D22EB" w:rsidP="00432BEA" w:rsidRDefault="00D96E3E">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6</w:t>
      </w:r>
      <w:r w:rsidRPr="00432BEA">
        <w:rPr>
          <w:lang w:val="fr-FR"/>
        </w:rPr>
        <w:fldChar w:fldCharType="end"/>
      </w:r>
      <w:r w:rsidRPr="00432BEA">
        <w:rPr>
          <w:lang w:val="fr-FR"/>
        </w:rPr>
        <w:t>.  </w:t>
      </w:r>
      <w:r w:rsidRPr="00432BEA" w:rsidR="001124DF">
        <w:rPr>
          <w:lang w:val="fr-FR"/>
        </w:rPr>
        <w:t>Les requérants demandèrent tous à l</w:t>
      </w:r>
      <w:r w:rsidRPr="00432BEA" w:rsidR="00432BEA">
        <w:rPr>
          <w:lang w:val="fr-FR"/>
        </w:rPr>
        <w:t>’</w:t>
      </w:r>
      <w:r w:rsidRPr="00432BEA" w:rsidR="001124DF">
        <w:rPr>
          <w:lang w:val="fr-FR"/>
        </w:rPr>
        <w:t>URSSAF le remboursement de la part employeur des cotisations pour leurs salariés</w:t>
      </w:r>
      <w:r w:rsidRPr="00432BEA" w:rsidR="00C243C4">
        <w:rPr>
          <w:lang w:val="fr-FR"/>
        </w:rPr>
        <w:t>,</w:t>
      </w:r>
      <w:r w:rsidRPr="00432BEA" w:rsidR="001124DF">
        <w:rPr>
          <w:lang w:val="fr-FR"/>
        </w:rPr>
        <w:t xml:space="preserve"> en faisant valoir qu</w:t>
      </w:r>
      <w:r w:rsidRPr="00432BEA" w:rsidR="00432BEA">
        <w:rPr>
          <w:lang w:val="fr-FR"/>
        </w:rPr>
        <w:t>’</w:t>
      </w:r>
      <w:r w:rsidRPr="00432BEA" w:rsidR="001124DF">
        <w:rPr>
          <w:lang w:val="fr-FR"/>
        </w:rPr>
        <w:t>ils assuraient auprès des résidents de leur établissement les prestations d</w:t>
      </w:r>
      <w:r w:rsidRPr="00432BEA" w:rsidR="00432BEA">
        <w:rPr>
          <w:lang w:val="fr-FR"/>
        </w:rPr>
        <w:t>’</w:t>
      </w:r>
      <w:r w:rsidRPr="00432BEA" w:rsidR="001124DF">
        <w:rPr>
          <w:lang w:val="fr-FR"/>
        </w:rPr>
        <w:t>aide à domicile exonérées par l</w:t>
      </w:r>
      <w:r w:rsidRPr="00432BEA" w:rsidR="00432BEA">
        <w:rPr>
          <w:lang w:val="fr-FR"/>
        </w:rPr>
        <w:t>’</w:t>
      </w:r>
      <w:r w:rsidRPr="00432BEA" w:rsidR="001124DF">
        <w:rPr>
          <w:lang w:val="fr-FR"/>
        </w:rPr>
        <w:t xml:space="preserve">article L. 241-10 </w:t>
      </w:r>
      <w:r w:rsidRPr="00432BEA" w:rsidR="0031654B">
        <w:rPr>
          <w:lang w:val="fr-FR"/>
        </w:rPr>
        <w:t xml:space="preserve">III du code la </w:t>
      </w:r>
      <w:r w:rsidRPr="00432BEA" w:rsidR="003B3BEA">
        <w:rPr>
          <w:lang w:val="fr-FR"/>
        </w:rPr>
        <w:t>s</w:t>
      </w:r>
      <w:r w:rsidRPr="00432BEA" w:rsidR="00632783">
        <w:rPr>
          <w:lang w:val="fr-FR"/>
        </w:rPr>
        <w:t>écurité sociale</w:t>
      </w:r>
      <w:r w:rsidRPr="00432BEA" w:rsidR="007474EF">
        <w:rPr>
          <w:lang w:val="fr-FR"/>
        </w:rPr>
        <w:t xml:space="preserve"> (CSS)</w:t>
      </w:r>
      <w:r w:rsidRPr="00432BEA" w:rsidR="00E53215">
        <w:rPr>
          <w:lang w:val="fr-FR"/>
        </w:rPr>
        <w:t>.</w:t>
      </w:r>
      <w:r w:rsidRPr="00432BEA" w:rsidR="000043E8">
        <w:rPr>
          <w:lang w:val="fr-FR"/>
        </w:rPr>
        <w:t xml:space="preserve"> </w:t>
      </w:r>
      <w:r w:rsidRPr="00432BEA" w:rsidR="007474EF">
        <w:rPr>
          <w:lang w:val="fr-FR"/>
        </w:rPr>
        <w:t>Cette disposition,</w:t>
      </w:r>
      <w:r w:rsidRPr="00432BEA" w:rsidR="000043E8">
        <w:rPr>
          <w:lang w:val="fr-FR"/>
        </w:rPr>
        <w:t xml:space="preserve"> en son point I, </w:t>
      </w:r>
      <w:r w:rsidRPr="00432BEA" w:rsidR="00F92014">
        <w:rPr>
          <w:lang w:val="fr-FR"/>
        </w:rPr>
        <w:t xml:space="preserve">exonère de cotisations patronales la rémunération de certaines aides à domicile </w:t>
      </w:r>
      <w:r w:rsidRPr="00432BEA" w:rsidR="00307203">
        <w:rPr>
          <w:lang w:val="fr-FR"/>
        </w:rPr>
        <w:t>dont bénéficient les personnes âgées ou handicapées</w:t>
      </w:r>
      <w:r w:rsidRPr="00432BEA" w:rsidR="00891E03">
        <w:rPr>
          <w:lang w:val="fr-FR"/>
        </w:rPr>
        <w:t xml:space="preserve"> lorsque celles-</w:t>
      </w:r>
      <w:r w:rsidRPr="00432BEA" w:rsidR="00307203">
        <w:rPr>
          <w:lang w:val="fr-FR"/>
        </w:rPr>
        <w:t>ci sont employées effectivement « </w:t>
      </w:r>
      <w:r w:rsidRPr="00432BEA" w:rsidR="00891E03">
        <w:rPr>
          <w:lang w:val="fr-FR"/>
        </w:rPr>
        <w:t>à leur service personnel, à leur domicile ou chez des membres de leur famille</w:t>
      </w:r>
      <w:r w:rsidRPr="00432BEA" w:rsidR="00307203">
        <w:rPr>
          <w:lang w:val="fr-FR"/>
        </w:rPr>
        <w:t> » par six catégories de personnes.</w:t>
      </w:r>
      <w:r w:rsidRPr="00432BEA" w:rsidR="00891E03">
        <w:rPr>
          <w:lang w:val="fr-FR"/>
        </w:rPr>
        <w:t xml:space="preserve"> L</w:t>
      </w:r>
      <w:r w:rsidRPr="00432BEA" w:rsidR="00432BEA">
        <w:rPr>
          <w:lang w:val="fr-FR"/>
        </w:rPr>
        <w:t>’</w:t>
      </w:r>
      <w:r w:rsidRPr="00432BEA" w:rsidR="00891E03">
        <w:rPr>
          <w:lang w:val="fr-FR"/>
        </w:rPr>
        <w:t>article L. 241-10 III prévoyait la même exonération des rémunérations des aides à domicile</w:t>
      </w:r>
      <w:r w:rsidRPr="00432BEA" w:rsidR="00BE7EB1">
        <w:rPr>
          <w:lang w:val="fr-FR"/>
        </w:rPr>
        <w:t xml:space="preserve"> employées</w:t>
      </w:r>
      <w:r w:rsidRPr="00432BEA" w:rsidR="005A25F1">
        <w:rPr>
          <w:lang w:val="fr-FR"/>
        </w:rPr>
        <w:t xml:space="preserve"> par 1</w:t>
      </w:r>
      <w:r w:rsidRPr="00432BEA" w:rsidR="007D22EB">
        <w:rPr>
          <w:vertAlign w:val="superscript"/>
          <w:lang w:val="fr-FR"/>
        </w:rPr>
        <w:t>o</w:t>
      </w:r>
      <w:r w:rsidRPr="00432BEA" w:rsidR="005A25F1">
        <w:rPr>
          <w:lang w:val="fr-FR"/>
        </w:rPr>
        <w:t> </w:t>
      </w:r>
      <w:r w:rsidRPr="00432BEA" w:rsidR="00891E03">
        <w:rPr>
          <w:lang w:val="fr-FR"/>
        </w:rPr>
        <w:t>les associations et les entreprises admises,</w:t>
      </w:r>
      <w:r w:rsidRPr="00432BEA" w:rsidR="005A25F1">
        <w:rPr>
          <w:lang w:val="fr-FR"/>
        </w:rPr>
        <w:t xml:space="preserve"> en application de l</w:t>
      </w:r>
      <w:r w:rsidRPr="00432BEA" w:rsidR="00432BEA">
        <w:rPr>
          <w:lang w:val="fr-FR"/>
        </w:rPr>
        <w:t>’</w:t>
      </w:r>
      <w:r w:rsidRPr="00432BEA" w:rsidR="005A25F1">
        <w:rPr>
          <w:lang w:val="fr-FR"/>
        </w:rPr>
        <w:t>article L. </w:t>
      </w:r>
      <w:r w:rsidRPr="00432BEA" w:rsidR="00891E03">
        <w:rPr>
          <w:lang w:val="fr-FR"/>
        </w:rPr>
        <w:t>129-1 du code du travail</w:t>
      </w:r>
      <w:r w:rsidRPr="00432BEA" w:rsidR="009C6484">
        <w:rPr>
          <w:lang w:val="fr-FR"/>
        </w:rPr>
        <w:t xml:space="preserve"> (paragraphe 44 ci-dessous)</w:t>
      </w:r>
      <w:r w:rsidRPr="00432BEA" w:rsidR="00891E03">
        <w:rPr>
          <w:lang w:val="fr-FR"/>
        </w:rPr>
        <w:t>, à exercer des activités concernant la garde d</w:t>
      </w:r>
      <w:r w:rsidRPr="00432BEA" w:rsidR="00432BEA">
        <w:rPr>
          <w:lang w:val="fr-FR"/>
        </w:rPr>
        <w:t>’</w:t>
      </w:r>
      <w:r w:rsidRPr="00432BEA" w:rsidR="00891E03">
        <w:rPr>
          <w:lang w:val="fr-FR"/>
        </w:rPr>
        <w:t>enfants ou l</w:t>
      </w:r>
      <w:r w:rsidRPr="00432BEA" w:rsidR="00432BEA">
        <w:rPr>
          <w:lang w:val="fr-FR"/>
        </w:rPr>
        <w:t>’</w:t>
      </w:r>
      <w:r w:rsidRPr="00432BEA" w:rsidR="00891E03">
        <w:rPr>
          <w:lang w:val="fr-FR"/>
        </w:rPr>
        <w:t>assistance aux personnes âgées ou handicapées, 2</w:t>
      </w:r>
      <w:r w:rsidRPr="00432BEA" w:rsidR="007D22EB">
        <w:rPr>
          <w:vertAlign w:val="superscript"/>
          <w:lang w:val="fr-FR"/>
        </w:rPr>
        <w:t>o</w:t>
      </w:r>
      <w:r w:rsidRPr="00432BEA" w:rsidR="00891E03">
        <w:rPr>
          <w:lang w:val="fr-FR"/>
        </w:rPr>
        <w:t xml:space="preserve"> les centre communaux ou intercommunaux d</w:t>
      </w:r>
      <w:r w:rsidRPr="00432BEA" w:rsidR="00432BEA">
        <w:rPr>
          <w:lang w:val="fr-FR"/>
        </w:rPr>
        <w:t>’</w:t>
      </w:r>
      <w:r w:rsidRPr="00432BEA" w:rsidR="00891E03">
        <w:rPr>
          <w:lang w:val="fr-FR"/>
        </w:rPr>
        <w:t>action sociale, 3</w:t>
      </w:r>
      <w:r w:rsidRPr="00432BEA" w:rsidR="007D22EB">
        <w:rPr>
          <w:vertAlign w:val="superscript"/>
          <w:lang w:val="fr-FR"/>
        </w:rPr>
        <w:t>o</w:t>
      </w:r>
      <w:r w:rsidRPr="00432BEA" w:rsidR="00891E03">
        <w:rPr>
          <w:lang w:val="fr-FR"/>
        </w:rPr>
        <w:t xml:space="preserve"> les organismes habilités au titre de l</w:t>
      </w:r>
      <w:r w:rsidRPr="00432BEA" w:rsidR="00432BEA">
        <w:rPr>
          <w:lang w:val="fr-FR"/>
        </w:rPr>
        <w:t>’</w:t>
      </w:r>
      <w:r w:rsidRPr="00432BEA" w:rsidR="00891E03">
        <w:rPr>
          <w:lang w:val="fr-FR"/>
        </w:rPr>
        <w:t>aide sociale ou ayant passé une c</w:t>
      </w:r>
      <w:r w:rsidRPr="00432BEA" w:rsidR="0031654B">
        <w:rPr>
          <w:lang w:val="fr-FR"/>
        </w:rPr>
        <w:t xml:space="preserve">onvention avec un organisme de </w:t>
      </w:r>
      <w:r w:rsidRPr="00432BEA" w:rsidR="003B3BEA">
        <w:rPr>
          <w:lang w:val="fr-FR"/>
        </w:rPr>
        <w:t>s</w:t>
      </w:r>
      <w:r w:rsidRPr="00432BEA" w:rsidR="00632783">
        <w:rPr>
          <w:lang w:val="fr-FR"/>
        </w:rPr>
        <w:t>écurité sociale</w:t>
      </w:r>
      <w:r w:rsidRPr="00432BEA" w:rsidR="00891E03">
        <w:rPr>
          <w:lang w:val="fr-FR"/>
        </w:rPr>
        <w:t>, pour la fraction versée en contrepartie de l</w:t>
      </w:r>
      <w:r w:rsidRPr="00432BEA" w:rsidR="00432BEA">
        <w:rPr>
          <w:lang w:val="fr-FR"/>
        </w:rPr>
        <w:t>’</w:t>
      </w:r>
      <w:r w:rsidRPr="00432BEA" w:rsidR="00891E03">
        <w:rPr>
          <w:lang w:val="fr-FR"/>
        </w:rPr>
        <w:t xml:space="preserve">exécution des tâches effectuées notamment </w:t>
      </w:r>
      <w:r w:rsidRPr="00432BEA" w:rsidR="00891E03">
        <w:rPr>
          <w:i/>
          <w:lang w:val="fr-FR"/>
        </w:rPr>
        <w:t>chez</w:t>
      </w:r>
      <w:r w:rsidRPr="00432BEA" w:rsidR="00891E03">
        <w:rPr>
          <w:lang w:val="fr-FR"/>
        </w:rPr>
        <w:t xml:space="preserve"> les personnes visées au</w:t>
      </w:r>
      <w:r w:rsidRPr="00432BEA" w:rsidR="00C243C4">
        <w:rPr>
          <w:lang w:val="fr-FR"/>
        </w:rPr>
        <w:t xml:space="preserve"> point </w:t>
      </w:r>
      <w:r w:rsidRPr="00432BEA" w:rsidR="00891E03">
        <w:rPr>
          <w:lang w:val="fr-FR"/>
        </w:rPr>
        <w:t>I (</w:t>
      </w:r>
      <w:r w:rsidRPr="00432BEA" w:rsidR="00307203">
        <w:rPr>
          <w:lang w:val="fr-FR"/>
        </w:rPr>
        <w:t xml:space="preserve">paragraphe </w:t>
      </w:r>
      <w:r w:rsidRPr="00432BEA" w:rsidR="00C243C4">
        <w:rPr>
          <w:lang w:val="fr-FR"/>
        </w:rPr>
        <w:t>43 ci-dessous</w:t>
      </w:r>
      <w:r w:rsidRPr="00432BEA" w:rsidR="00891E03">
        <w:rPr>
          <w:lang w:val="fr-FR"/>
        </w:rPr>
        <w:t>).</w:t>
      </w:r>
    </w:p>
    <w:p w:rsidRPr="00432BEA" w:rsidR="007D22EB" w:rsidP="00432BEA" w:rsidRDefault="00891E03">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7</w:t>
      </w:r>
      <w:r w:rsidRPr="00432BEA">
        <w:rPr>
          <w:lang w:val="fr-FR"/>
        </w:rPr>
        <w:fldChar w:fldCharType="end"/>
      </w:r>
      <w:r w:rsidRPr="00432BEA">
        <w:rPr>
          <w:lang w:val="fr-FR"/>
        </w:rPr>
        <w:t>.  </w:t>
      </w:r>
      <w:r w:rsidRPr="00432BEA" w:rsidR="000043E8">
        <w:rPr>
          <w:lang w:val="fr-FR"/>
        </w:rPr>
        <w:t xml:space="preserve">Les requérants se virent déboutés de leur demandes de remboursement. Ils saisirent les juridictions de </w:t>
      </w:r>
      <w:r w:rsidRPr="00432BEA" w:rsidR="003B3BEA">
        <w:rPr>
          <w:lang w:val="fr-FR"/>
        </w:rPr>
        <w:t>s</w:t>
      </w:r>
      <w:r w:rsidRPr="00432BEA" w:rsidR="00632783">
        <w:rPr>
          <w:lang w:val="fr-FR"/>
        </w:rPr>
        <w:t>écurité sociale</w:t>
      </w:r>
      <w:r w:rsidRPr="00432BEA" w:rsidR="000043E8">
        <w:rPr>
          <w:lang w:val="fr-FR"/>
        </w:rPr>
        <w:t xml:space="preserve">. </w:t>
      </w:r>
      <w:r w:rsidRPr="00432BEA" w:rsidR="001124DF">
        <w:rPr>
          <w:lang w:val="fr-FR"/>
        </w:rPr>
        <w:t>Pour la plupart des juridictions de première instance et d</w:t>
      </w:r>
      <w:r w:rsidRPr="00432BEA" w:rsidR="00432BEA">
        <w:rPr>
          <w:lang w:val="fr-FR"/>
        </w:rPr>
        <w:t>’</w:t>
      </w:r>
      <w:r w:rsidRPr="00432BEA" w:rsidR="001124DF">
        <w:rPr>
          <w:lang w:val="fr-FR"/>
        </w:rPr>
        <w:t>appel</w:t>
      </w:r>
      <w:r w:rsidRPr="00432BEA" w:rsidR="00C243C4">
        <w:rPr>
          <w:lang w:val="fr-FR"/>
        </w:rPr>
        <w:t xml:space="preserve"> saisies</w:t>
      </w:r>
      <w:r w:rsidRPr="00432BEA" w:rsidR="001124DF">
        <w:rPr>
          <w:lang w:val="fr-FR"/>
        </w:rPr>
        <w:t>, l</w:t>
      </w:r>
      <w:r w:rsidRPr="00432BEA" w:rsidR="00432BEA">
        <w:rPr>
          <w:lang w:val="fr-FR"/>
        </w:rPr>
        <w:t>’</w:t>
      </w:r>
      <w:r w:rsidRPr="00432BEA" w:rsidR="001124DF">
        <w:rPr>
          <w:lang w:val="fr-FR"/>
        </w:rPr>
        <w:t>exonération prévue à l</w:t>
      </w:r>
      <w:r w:rsidRPr="00432BEA" w:rsidR="00432BEA">
        <w:rPr>
          <w:lang w:val="fr-FR"/>
        </w:rPr>
        <w:t>’</w:t>
      </w:r>
      <w:r w:rsidRPr="00432BEA" w:rsidR="001124DF">
        <w:rPr>
          <w:lang w:val="fr-FR"/>
        </w:rPr>
        <w:t xml:space="preserve">article </w:t>
      </w:r>
      <w:r w:rsidRPr="00432BEA" w:rsidR="006D7F45">
        <w:rPr>
          <w:lang w:val="fr-FR"/>
        </w:rPr>
        <w:t>L. 241-10 III</w:t>
      </w:r>
      <w:r w:rsidRPr="00432BEA" w:rsidR="001124DF">
        <w:rPr>
          <w:lang w:val="fr-FR"/>
        </w:rPr>
        <w:t xml:space="preserve"> ne pouvait s</w:t>
      </w:r>
      <w:r w:rsidRPr="00432BEA" w:rsidR="00432BEA">
        <w:rPr>
          <w:lang w:val="fr-FR"/>
        </w:rPr>
        <w:t>’</w:t>
      </w:r>
      <w:r w:rsidRPr="00432BEA" w:rsidR="001124DF">
        <w:rPr>
          <w:lang w:val="fr-FR"/>
        </w:rPr>
        <w:t>appliquer qu</w:t>
      </w:r>
      <w:r w:rsidRPr="00432BEA" w:rsidR="00432BEA">
        <w:rPr>
          <w:lang w:val="fr-FR"/>
        </w:rPr>
        <w:t>’</w:t>
      </w:r>
      <w:r w:rsidRPr="00432BEA" w:rsidR="001124DF">
        <w:rPr>
          <w:lang w:val="fr-FR"/>
        </w:rPr>
        <w:t>aux rémunérations des salariés intervenant au domicile privatif de la personne âgée et non à ceux travaillant dans les</w:t>
      </w:r>
      <w:r w:rsidRPr="00432BEA" w:rsidR="00F75DEB">
        <w:rPr>
          <w:lang w:val="fr-FR"/>
        </w:rPr>
        <w:t xml:space="preserve"> </w:t>
      </w:r>
      <w:r w:rsidRPr="00432BEA" w:rsidR="005A25F1">
        <w:rPr>
          <w:lang w:val="fr-FR"/>
        </w:rPr>
        <w:t>EHPAD</w:t>
      </w:r>
      <w:r w:rsidRPr="00432BEA" w:rsidR="001124DF">
        <w:rPr>
          <w:lang w:val="fr-FR"/>
        </w:rPr>
        <w:t>, un mode d</w:t>
      </w:r>
      <w:r w:rsidRPr="00432BEA" w:rsidR="00432BEA">
        <w:rPr>
          <w:lang w:val="fr-FR"/>
        </w:rPr>
        <w:t>’</w:t>
      </w:r>
      <w:r w:rsidRPr="00432BEA" w:rsidR="001124DF">
        <w:rPr>
          <w:lang w:val="fr-FR"/>
        </w:rPr>
        <w:t>hébergement collectif qui n</w:t>
      </w:r>
      <w:r w:rsidRPr="00432BEA" w:rsidR="00432BEA">
        <w:rPr>
          <w:lang w:val="fr-FR"/>
        </w:rPr>
        <w:t>’</w:t>
      </w:r>
      <w:r w:rsidRPr="00432BEA" w:rsidR="001124DF">
        <w:rPr>
          <w:lang w:val="fr-FR"/>
        </w:rPr>
        <w:t>est pas considéré comme le domicile de la personne âgée au sens de l</w:t>
      </w:r>
      <w:r w:rsidRPr="00432BEA" w:rsidR="00432BEA">
        <w:rPr>
          <w:lang w:val="fr-FR"/>
        </w:rPr>
        <w:t>’</w:t>
      </w:r>
      <w:r w:rsidRPr="00432BEA" w:rsidR="001124DF">
        <w:rPr>
          <w:lang w:val="fr-FR"/>
        </w:rPr>
        <w:t>article L. 241-10 du CSS. Les requérants firent valoir que le terme « domicile » n</w:t>
      </w:r>
      <w:r w:rsidRPr="00432BEA" w:rsidR="00432BEA">
        <w:rPr>
          <w:lang w:val="fr-FR"/>
        </w:rPr>
        <w:t>’</w:t>
      </w:r>
      <w:r w:rsidRPr="00432BEA" w:rsidR="001124DF">
        <w:rPr>
          <w:lang w:val="fr-FR"/>
        </w:rPr>
        <w:t>était pas employé dans le paragraphe III de l</w:t>
      </w:r>
      <w:r w:rsidRPr="00432BEA" w:rsidR="00432BEA">
        <w:rPr>
          <w:lang w:val="fr-FR"/>
        </w:rPr>
        <w:t>’</w:t>
      </w:r>
      <w:r w:rsidRPr="00432BEA" w:rsidR="001124DF">
        <w:rPr>
          <w:lang w:val="fr-FR"/>
        </w:rPr>
        <w:t>article L. 241-10 du CSS mais la préposition « chez », qui</w:t>
      </w:r>
      <w:r w:rsidRPr="00432BEA" w:rsidR="00F75DEB">
        <w:rPr>
          <w:lang w:val="fr-FR"/>
        </w:rPr>
        <w:t xml:space="preserve">, selon eux, </w:t>
      </w:r>
      <w:r w:rsidRPr="00432BEA" w:rsidR="001124DF">
        <w:rPr>
          <w:lang w:val="fr-FR"/>
        </w:rPr>
        <w:t>identifie le lieu où la personne âgée se trouve, le logement occupé par les résidents au sein des EHPAD constituant leur domicile.</w:t>
      </w:r>
    </w:p>
    <w:p w:rsidRPr="00432BEA" w:rsidR="007D22EB" w:rsidP="00432BEA" w:rsidRDefault="001124DF">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8</w:t>
      </w:r>
      <w:r w:rsidRPr="00432BEA">
        <w:rPr>
          <w:lang w:val="fr-FR"/>
        </w:rPr>
        <w:fldChar w:fldCharType="end"/>
      </w:r>
      <w:r w:rsidRPr="00432BEA">
        <w:rPr>
          <w:lang w:val="fr-FR"/>
        </w:rPr>
        <w:t>.  </w:t>
      </w:r>
      <w:r w:rsidRPr="00432BEA" w:rsidR="00307203">
        <w:rPr>
          <w:lang w:val="fr-FR"/>
        </w:rPr>
        <w:t>Alors que le premier pourvoi</w:t>
      </w:r>
      <w:r w:rsidRPr="00432BEA" w:rsidR="00E33EFD">
        <w:rPr>
          <w:lang w:val="fr-FR"/>
        </w:rPr>
        <w:t xml:space="preserve"> é</w:t>
      </w:r>
      <w:r w:rsidRPr="00432BEA">
        <w:rPr>
          <w:lang w:val="fr-FR"/>
        </w:rPr>
        <w:t>tait pendant devant la Cour de cassation (requête n</w:t>
      </w:r>
      <w:r w:rsidRPr="00432BEA" w:rsidR="007D22EB">
        <w:rPr>
          <w:vertAlign w:val="superscript"/>
          <w:lang w:val="fr-FR"/>
        </w:rPr>
        <w:t>o</w:t>
      </w:r>
      <w:r w:rsidRPr="00432BEA">
        <w:rPr>
          <w:lang w:val="fr-FR"/>
        </w:rPr>
        <w:t xml:space="preserve"> 18096/12, paragraphe</w:t>
      </w:r>
      <w:r w:rsidRPr="00432BEA" w:rsidR="00571E85">
        <w:rPr>
          <w:lang w:val="fr-FR"/>
        </w:rPr>
        <w:t xml:space="preserve">s 9 et suivants </w:t>
      </w:r>
      <w:r w:rsidRPr="00432BEA">
        <w:rPr>
          <w:lang w:val="fr-FR"/>
        </w:rPr>
        <w:t>ci-dessous</w:t>
      </w:r>
      <w:r w:rsidRPr="00432BEA" w:rsidR="00E53215">
        <w:rPr>
          <w:lang w:val="fr-FR"/>
        </w:rPr>
        <w:t>), le législateur adopta</w:t>
      </w:r>
      <w:r w:rsidRPr="00432BEA" w:rsidR="00B0463C">
        <w:rPr>
          <w:lang w:val="fr-FR"/>
        </w:rPr>
        <w:t xml:space="preserve"> une</w:t>
      </w:r>
      <w:r w:rsidRPr="00432BEA">
        <w:rPr>
          <w:lang w:val="fr-FR"/>
        </w:rPr>
        <w:t xml:space="preserve"> loi </w:t>
      </w:r>
      <w:r w:rsidRPr="00432BEA" w:rsidR="00E53215">
        <w:rPr>
          <w:lang w:val="fr-FR"/>
        </w:rPr>
        <w:t>dont l</w:t>
      </w:r>
      <w:r w:rsidRPr="00432BEA" w:rsidR="00432BEA">
        <w:rPr>
          <w:lang w:val="fr-FR"/>
        </w:rPr>
        <w:t>’</w:t>
      </w:r>
      <w:r w:rsidRPr="00432BEA" w:rsidR="00E53215">
        <w:rPr>
          <w:lang w:val="fr-FR"/>
        </w:rPr>
        <w:t>article 14</w:t>
      </w:r>
      <w:r w:rsidRPr="00432BEA" w:rsidR="00F92014">
        <w:rPr>
          <w:lang w:val="fr-FR"/>
        </w:rPr>
        <w:t xml:space="preserve"> indiquait</w:t>
      </w:r>
      <w:r w:rsidRPr="00432BEA" w:rsidR="00571E85">
        <w:rPr>
          <w:lang w:val="fr-FR"/>
        </w:rPr>
        <w:t> : « Au premier alinéa du III de l</w:t>
      </w:r>
      <w:r w:rsidRPr="00432BEA" w:rsidR="00432BEA">
        <w:rPr>
          <w:lang w:val="fr-FR"/>
        </w:rPr>
        <w:t>’</w:t>
      </w:r>
      <w:r w:rsidRPr="00432BEA" w:rsidR="00571E85">
        <w:rPr>
          <w:lang w:val="fr-FR"/>
        </w:rPr>
        <w:t xml:space="preserve">article L 241-10 du code de la </w:t>
      </w:r>
      <w:r w:rsidRPr="00432BEA" w:rsidR="003B3BEA">
        <w:rPr>
          <w:lang w:val="fr-FR"/>
        </w:rPr>
        <w:t>s</w:t>
      </w:r>
      <w:r w:rsidRPr="00432BEA" w:rsidR="00632783">
        <w:rPr>
          <w:lang w:val="fr-FR"/>
        </w:rPr>
        <w:t>écurité sociale</w:t>
      </w:r>
      <w:r w:rsidRPr="00432BEA" w:rsidR="00571E85">
        <w:rPr>
          <w:lang w:val="fr-FR"/>
        </w:rPr>
        <w:t>, les mots « </w:t>
      </w:r>
      <w:r w:rsidRPr="00432BEA" w:rsidR="00571E85">
        <w:rPr>
          <w:i/>
          <w:lang w:val="fr-FR"/>
        </w:rPr>
        <w:t>chez les</w:t>
      </w:r>
      <w:r w:rsidRPr="00432BEA" w:rsidR="00571E85">
        <w:rPr>
          <w:lang w:val="fr-FR"/>
        </w:rPr>
        <w:t> » sont remplacés par les mots « </w:t>
      </w:r>
      <w:r w:rsidRPr="00432BEA" w:rsidR="00F92014">
        <w:rPr>
          <w:i/>
          <w:lang w:val="fr-FR"/>
        </w:rPr>
        <w:t>au domicile à usage privatif des</w:t>
      </w:r>
      <w:r w:rsidRPr="00432BEA" w:rsidR="00F92014">
        <w:rPr>
          <w:lang w:val="fr-FR"/>
        </w:rPr>
        <w:t> »</w:t>
      </w:r>
      <w:r w:rsidRPr="00432BEA" w:rsidR="00571E85">
        <w:rPr>
          <w:lang w:val="fr-FR"/>
        </w:rPr>
        <w:t>.</w:t>
      </w:r>
    </w:p>
    <w:p w:rsidRPr="00432BEA" w:rsidR="00E77CB3" w:rsidP="00432BEA" w:rsidRDefault="00E560FB">
      <w:pPr>
        <w:pStyle w:val="ECHRHeading2"/>
        <w:rPr>
          <w:lang w:val="fr-FR"/>
        </w:rPr>
      </w:pPr>
      <w:r w:rsidRPr="00432BEA">
        <w:rPr>
          <w:lang w:val="fr-FR"/>
        </w:rPr>
        <w:t>B.  </w:t>
      </w:r>
      <w:r w:rsidRPr="00432BEA" w:rsidR="001124DF">
        <w:rPr>
          <w:lang w:val="fr-FR"/>
        </w:rPr>
        <w:t>Les requêtes</w:t>
      </w:r>
    </w:p>
    <w:p w:rsidRPr="00432BEA" w:rsidR="00891E03" w:rsidP="00432BEA" w:rsidRDefault="00891E03">
      <w:pPr>
        <w:pStyle w:val="ECHRHeading3"/>
        <w:rPr>
          <w:lang w:val="fr-FR"/>
        </w:rPr>
      </w:pPr>
      <w:r w:rsidRPr="00432BEA">
        <w:rPr>
          <w:lang w:val="fr-FR"/>
        </w:rPr>
        <w:t>1.  Requête n</w:t>
      </w:r>
      <w:r w:rsidRPr="00432BEA" w:rsidR="007D22EB">
        <w:rPr>
          <w:vertAlign w:val="superscript"/>
          <w:lang w:val="fr-FR"/>
        </w:rPr>
        <w:t>o</w:t>
      </w:r>
      <w:r w:rsidRPr="00432BEA">
        <w:rPr>
          <w:lang w:val="fr-FR"/>
        </w:rPr>
        <w:t xml:space="preserve"> 18096/12</w:t>
      </w:r>
    </w:p>
    <w:p w:rsidRPr="00432BEA" w:rsidR="00891E03" w:rsidP="00432BEA" w:rsidRDefault="00891E03">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9</w:t>
      </w:r>
      <w:r w:rsidRPr="00432BEA">
        <w:rPr>
          <w:lang w:val="fr-FR"/>
        </w:rPr>
        <w:fldChar w:fldCharType="end"/>
      </w:r>
      <w:r w:rsidRPr="00432BEA">
        <w:rPr>
          <w:lang w:val="fr-FR"/>
        </w:rPr>
        <w:t>. </w:t>
      </w:r>
      <w:r w:rsidRPr="00432BEA" w:rsidR="00D7281E">
        <w:rPr>
          <w:lang w:val="fr-FR"/>
        </w:rPr>
        <w:t>Le requérant est un établissement public de santé comprenant un établissement d</w:t>
      </w:r>
      <w:r w:rsidRPr="00432BEA" w:rsidR="00432BEA">
        <w:rPr>
          <w:lang w:val="fr-FR"/>
        </w:rPr>
        <w:t>’</w:t>
      </w:r>
      <w:r w:rsidRPr="00432BEA" w:rsidR="00D7281E">
        <w:rPr>
          <w:lang w:val="fr-FR"/>
        </w:rPr>
        <w:t>hébergement pour personnes âgées dépendantes (EHPAD). Cette maison de retraite a acquis le statut d</w:t>
      </w:r>
      <w:r w:rsidRPr="00432BEA" w:rsidR="00432BEA">
        <w:rPr>
          <w:lang w:val="fr-FR"/>
        </w:rPr>
        <w:t>’</w:t>
      </w:r>
      <w:r w:rsidRPr="00432BEA" w:rsidR="00D7281E">
        <w:rPr>
          <w:lang w:val="fr-FR"/>
        </w:rPr>
        <w:t>EHPAD par la conclusion d</w:t>
      </w:r>
      <w:r w:rsidRPr="00432BEA" w:rsidR="00432BEA">
        <w:rPr>
          <w:lang w:val="fr-FR"/>
        </w:rPr>
        <w:t>’</w:t>
      </w:r>
      <w:r w:rsidRPr="00432BEA" w:rsidR="00D7281E">
        <w:rPr>
          <w:lang w:val="fr-FR"/>
        </w:rPr>
        <w:t>une convention avec le préfet et le président du Conseil général au titre de l</w:t>
      </w:r>
      <w:r w:rsidRPr="00432BEA" w:rsidR="00432BEA">
        <w:rPr>
          <w:lang w:val="fr-FR"/>
        </w:rPr>
        <w:t>’</w:t>
      </w:r>
      <w:r w:rsidRPr="00432BEA" w:rsidR="00D7281E">
        <w:rPr>
          <w:lang w:val="fr-FR"/>
        </w:rPr>
        <w:t>article L. 313-12 du code de l</w:t>
      </w:r>
      <w:r w:rsidRPr="00432BEA" w:rsidR="00432BEA">
        <w:rPr>
          <w:lang w:val="fr-FR"/>
        </w:rPr>
        <w:t>’</w:t>
      </w:r>
      <w:r w:rsidRPr="00432BEA" w:rsidR="00D7281E">
        <w:rPr>
          <w:lang w:val="fr-FR"/>
        </w:rPr>
        <w:t xml:space="preserve">action sociale et des familles. </w:t>
      </w:r>
      <w:r w:rsidRPr="00432BEA">
        <w:rPr>
          <w:lang w:val="fr-FR"/>
        </w:rPr>
        <w:t>Par lettre du 20 mai 2008, estimant que l</w:t>
      </w:r>
      <w:r w:rsidRPr="00432BEA" w:rsidR="00432BEA">
        <w:rPr>
          <w:lang w:val="fr-FR"/>
        </w:rPr>
        <w:t>’</w:t>
      </w:r>
      <w:r w:rsidRPr="00432BEA">
        <w:rPr>
          <w:lang w:val="fr-FR"/>
        </w:rPr>
        <w:t>EHPAD constituait le domicile des personnes âgées qui y résident, le requérant, sur le fondement de l</w:t>
      </w:r>
      <w:r w:rsidRPr="00432BEA" w:rsidR="00432BEA">
        <w:rPr>
          <w:lang w:val="fr-FR"/>
        </w:rPr>
        <w:t>’</w:t>
      </w:r>
      <w:r w:rsidRPr="00432BEA">
        <w:rPr>
          <w:lang w:val="fr-FR"/>
        </w:rPr>
        <w:t>article L. 241-10 III du CSS, demanda l</w:t>
      </w:r>
      <w:r w:rsidRPr="00432BEA" w:rsidR="00432BEA">
        <w:rPr>
          <w:lang w:val="fr-FR"/>
        </w:rPr>
        <w:t>’</w:t>
      </w:r>
      <w:r w:rsidRPr="00432BEA">
        <w:rPr>
          <w:lang w:val="fr-FR"/>
        </w:rPr>
        <w:t>exonération des cotisations patronales auprès de l</w:t>
      </w:r>
      <w:r w:rsidRPr="00432BEA" w:rsidR="00432BEA">
        <w:rPr>
          <w:lang w:val="fr-FR"/>
        </w:rPr>
        <w:t>’</w:t>
      </w:r>
      <w:r w:rsidRPr="00432BEA" w:rsidR="00670DF6">
        <w:rPr>
          <w:lang w:val="fr-FR"/>
        </w:rPr>
        <w:t>URSS</w:t>
      </w:r>
      <w:r w:rsidRPr="00432BEA">
        <w:rPr>
          <w:lang w:val="fr-FR"/>
        </w:rPr>
        <w:t>AF de la Charente</w:t>
      </w:r>
      <w:r w:rsidRPr="00432BEA">
        <w:rPr>
          <w:lang w:val="fr-FR"/>
        </w:rPr>
        <w:noBreakHyphen/>
        <w:t>Maritime. Il fit une demande de remboursement de 242 419,56 euros (EUR) au titre des cotisations sociales indûment acquittées selon lui sur la rémunération de son personnel employé pour effectuer des tâches d</w:t>
      </w:r>
      <w:r w:rsidRPr="00432BEA" w:rsidR="00432BEA">
        <w:rPr>
          <w:lang w:val="fr-FR"/>
        </w:rPr>
        <w:t>’</w:t>
      </w:r>
      <w:r w:rsidRPr="00432BEA">
        <w:rPr>
          <w:lang w:val="fr-FR"/>
        </w:rPr>
        <w:t>aide à domicile auprès des résidents âgés pour la période de mai 2005 à avril 2008.</w:t>
      </w:r>
    </w:p>
    <w:p w:rsidRPr="00432BEA" w:rsidR="00891E03" w:rsidP="00432BEA" w:rsidRDefault="00670DF6">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10</w:t>
      </w:r>
      <w:r w:rsidRPr="00432BEA">
        <w:rPr>
          <w:lang w:val="fr-FR"/>
        </w:rPr>
        <w:fldChar w:fldCharType="end"/>
      </w:r>
      <w:r w:rsidRPr="00432BEA">
        <w:rPr>
          <w:lang w:val="fr-FR"/>
        </w:rPr>
        <w:t>.  </w:t>
      </w:r>
      <w:r w:rsidRPr="00432BEA" w:rsidR="00891E03">
        <w:rPr>
          <w:lang w:val="fr-FR"/>
        </w:rPr>
        <w:t>Le 2 juin 2008, l</w:t>
      </w:r>
      <w:r w:rsidRPr="00432BEA" w:rsidR="00432BEA">
        <w:rPr>
          <w:lang w:val="fr-FR"/>
        </w:rPr>
        <w:t>’</w:t>
      </w:r>
      <w:r w:rsidRPr="00432BEA" w:rsidR="00891E03">
        <w:rPr>
          <w:lang w:val="fr-FR"/>
        </w:rPr>
        <w:t>URSSAF, puis le 18 décembre 2008, la commission de recours amiable, rejetèrent la demande du requérant au motif qu</w:t>
      </w:r>
      <w:r w:rsidRPr="00432BEA" w:rsidR="00432BEA">
        <w:rPr>
          <w:lang w:val="fr-FR"/>
        </w:rPr>
        <w:t>’</w:t>
      </w:r>
      <w:r w:rsidRPr="00432BEA" w:rsidR="00891E03">
        <w:rPr>
          <w:lang w:val="fr-FR"/>
        </w:rPr>
        <w:t>« une maison de retraite est un mode d</w:t>
      </w:r>
      <w:r w:rsidRPr="00432BEA" w:rsidR="00432BEA">
        <w:rPr>
          <w:lang w:val="fr-FR"/>
        </w:rPr>
        <w:t>’</w:t>
      </w:r>
      <w:r w:rsidRPr="00432BEA" w:rsidR="00891E03">
        <w:rPr>
          <w:lang w:val="fr-FR"/>
        </w:rPr>
        <w:t>hébergement collectif qui n</w:t>
      </w:r>
      <w:r w:rsidRPr="00432BEA" w:rsidR="00432BEA">
        <w:rPr>
          <w:lang w:val="fr-FR"/>
        </w:rPr>
        <w:t>’</w:t>
      </w:r>
      <w:r w:rsidRPr="00432BEA" w:rsidR="00891E03">
        <w:rPr>
          <w:lang w:val="fr-FR"/>
        </w:rPr>
        <w:t>est pas considéré comme le domicile de la per</w:t>
      </w:r>
      <w:r w:rsidRPr="00432BEA" w:rsidR="005A25F1">
        <w:rPr>
          <w:lang w:val="fr-FR"/>
        </w:rPr>
        <w:t>sonne âgée au sens de l</w:t>
      </w:r>
      <w:r w:rsidRPr="00432BEA" w:rsidR="00432BEA">
        <w:rPr>
          <w:lang w:val="fr-FR"/>
        </w:rPr>
        <w:t>’</w:t>
      </w:r>
      <w:r w:rsidRPr="00432BEA" w:rsidR="005A25F1">
        <w:rPr>
          <w:lang w:val="fr-FR"/>
        </w:rPr>
        <w:t>article </w:t>
      </w:r>
      <w:r w:rsidRPr="00432BEA" w:rsidR="00891E03">
        <w:rPr>
          <w:lang w:val="fr-FR"/>
        </w:rPr>
        <w:t>L. 241-10 du CSS ».</w:t>
      </w:r>
    </w:p>
    <w:p w:rsidRPr="00432BEA" w:rsidR="00891E03" w:rsidP="00432BEA" w:rsidRDefault="00670DF6">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11</w:t>
      </w:r>
      <w:r w:rsidRPr="00432BEA">
        <w:rPr>
          <w:lang w:val="fr-FR"/>
        </w:rPr>
        <w:fldChar w:fldCharType="end"/>
      </w:r>
      <w:r w:rsidRPr="00432BEA">
        <w:rPr>
          <w:lang w:val="fr-FR"/>
        </w:rPr>
        <w:t>.  </w:t>
      </w:r>
      <w:r w:rsidRPr="00432BEA" w:rsidR="00891E03">
        <w:rPr>
          <w:lang w:val="fr-FR"/>
        </w:rPr>
        <w:t xml:space="preserve">Le requérant saisit le tribunal des affaires de </w:t>
      </w:r>
      <w:r w:rsidRPr="00432BEA" w:rsidR="003B3BEA">
        <w:rPr>
          <w:lang w:val="fr-FR"/>
        </w:rPr>
        <w:t>s</w:t>
      </w:r>
      <w:r w:rsidRPr="00432BEA" w:rsidR="00632783">
        <w:rPr>
          <w:lang w:val="fr-FR"/>
        </w:rPr>
        <w:t>écurité sociale</w:t>
      </w:r>
      <w:r w:rsidRPr="00432BEA" w:rsidR="00891E03">
        <w:rPr>
          <w:lang w:val="fr-FR"/>
        </w:rPr>
        <w:t xml:space="preserve"> (TASS) de la Rochelle. Il</w:t>
      </w:r>
      <w:r w:rsidRPr="00432BEA" w:rsidR="00F75DEB">
        <w:rPr>
          <w:lang w:val="fr-FR"/>
        </w:rPr>
        <w:t xml:space="preserve"> fit valoir</w:t>
      </w:r>
      <w:r w:rsidRPr="00432BEA" w:rsidR="00891E03">
        <w:rPr>
          <w:lang w:val="fr-FR"/>
        </w:rPr>
        <w:t xml:space="preserve"> que le logement occupé par les résidents au sein des EHPAD constitue leur domicile au sens </w:t>
      </w:r>
      <w:r w:rsidRPr="00432BEA" w:rsidR="00ED2C1E">
        <w:rPr>
          <w:lang w:val="fr-FR"/>
        </w:rPr>
        <w:t>de l</w:t>
      </w:r>
      <w:r w:rsidRPr="00432BEA" w:rsidR="00432BEA">
        <w:rPr>
          <w:lang w:val="fr-FR"/>
        </w:rPr>
        <w:t>’</w:t>
      </w:r>
      <w:r w:rsidRPr="00432BEA" w:rsidR="00ED2C1E">
        <w:rPr>
          <w:lang w:val="fr-FR"/>
        </w:rPr>
        <w:t xml:space="preserve">article 102 du code civil </w:t>
      </w:r>
      <w:r w:rsidRPr="00432BEA" w:rsidR="005A25F1">
        <w:rPr>
          <w:lang w:val="fr-FR"/>
        </w:rPr>
        <w:t xml:space="preserve">(CC) </w:t>
      </w:r>
      <w:r w:rsidRPr="00432BEA" w:rsidR="00ED2C1E">
        <w:rPr>
          <w:lang w:val="fr-FR"/>
        </w:rPr>
        <w:t>selon lequel</w:t>
      </w:r>
      <w:r w:rsidRPr="00432BEA" w:rsidR="00ED2C1E">
        <w:rPr>
          <w:rStyle w:val="ECHRParaChar"/>
          <w:lang w:val="fr-FR"/>
        </w:rPr>
        <w:t xml:space="preserve"> « Le domicile de tout Français, quant à l</w:t>
      </w:r>
      <w:r w:rsidRPr="00432BEA" w:rsidR="00432BEA">
        <w:rPr>
          <w:rStyle w:val="ECHRParaChar"/>
          <w:lang w:val="fr-FR"/>
        </w:rPr>
        <w:t>’</w:t>
      </w:r>
      <w:r w:rsidRPr="00432BEA" w:rsidR="00ED2C1E">
        <w:rPr>
          <w:rStyle w:val="ECHRParaChar"/>
          <w:lang w:val="fr-FR"/>
        </w:rPr>
        <w:t>exercice de ses droits civils, est au lieu où il a son principal établissement.(</w:t>
      </w:r>
      <w:r w:rsidRPr="00432BEA" w:rsidR="007D22EB">
        <w:rPr>
          <w:rStyle w:val="ECHRParaChar"/>
          <w:lang w:val="fr-FR"/>
        </w:rPr>
        <w:t>...</w:t>
      </w:r>
      <w:r w:rsidRPr="00432BEA" w:rsidR="00ED2C1E">
        <w:rPr>
          <w:rStyle w:val="ECHRParaChar"/>
          <w:lang w:val="fr-FR"/>
        </w:rPr>
        <w:t>) »,</w:t>
      </w:r>
      <w:r w:rsidRPr="00432BEA" w:rsidR="00ED2C1E">
        <w:rPr>
          <w:rFonts w:eastAsia="Times New Roman"/>
          <w:sz w:val="20"/>
          <w:lang w:val="fr-FR"/>
        </w:rPr>
        <w:t xml:space="preserve"> </w:t>
      </w:r>
      <w:r w:rsidRPr="00432BEA" w:rsidR="00891E03">
        <w:rPr>
          <w:lang w:val="fr-FR"/>
        </w:rPr>
        <w:t>dès lors qu</w:t>
      </w:r>
      <w:r w:rsidRPr="00432BEA" w:rsidR="00432BEA">
        <w:rPr>
          <w:lang w:val="fr-FR"/>
        </w:rPr>
        <w:t>’</w:t>
      </w:r>
      <w:r w:rsidRPr="00432BEA" w:rsidR="00891E03">
        <w:rPr>
          <w:lang w:val="fr-FR"/>
        </w:rPr>
        <w:t>il constitue leur habitation effective et réelle, qu</w:t>
      </w:r>
      <w:r w:rsidRPr="00432BEA" w:rsidR="00432BEA">
        <w:rPr>
          <w:lang w:val="fr-FR"/>
        </w:rPr>
        <w:t>’</w:t>
      </w:r>
      <w:r w:rsidRPr="00432BEA" w:rsidR="00891E03">
        <w:rPr>
          <w:lang w:val="fr-FR"/>
        </w:rPr>
        <w:t>ils y reçoivent leur famille, l</w:t>
      </w:r>
      <w:r w:rsidRPr="00432BEA" w:rsidR="00432BEA">
        <w:rPr>
          <w:lang w:val="fr-FR"/>
        </w:rPr>
        <w:t>’</w:t>
      </w:r>
      <w:r w:rsidRPr="00432BEA" w:rsidR="00891E03">
        <w:rPr>
          <w:lang w:val="fr-FR"/>
        </w:rPr>
        <w:t>aménagent à bon vouloir, constitue leur domicile fiscal et électoral et qu</w:t>
      </w:r>
      <w:r w:rsidRPr="00432BEA" w:rsidR="00432BEA">
        <w:rPr>
          <w:lang w:val="fr-FR"/>
        </w:rPr>
        <w:t>’</w:t>
      </w:r>
      <w:r w:rsidRPr="00432BEA" w:rsidR="00891E03">
        <w:rPr>
          <w:lang w:val="fr-FR"/>
        </w:rPr>
        <w:t>ils y perçoivent l</w:t>
      </w:r>
      <w:r w:rsidRPr="00432BEA" w:rsidR="00432BEA">
        <w:rPr>
          <w:lang w:val="fr-FR"/>
        </w:rPr>
        <w:t>’</w:t>
      </w:r>
      <w:r w:rsidRPr="00432BEA" w:rsidR="00891E03">
        <w:rPr>
          <w:lang w:val="fr-FR"/>
        </w:rPr>
        <w:t>aide au logement.</w:t>
      </w:r>
    </w:p>
    <w:p w:rsidRPr="00432BEA" w:rsidR="007D22EB" w:rsidP="00432BEA" w:rsidRDefault="00670DF6">
      <w:pPr>
        <w:keepNext/>
        <w:keepLines/>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12</w:t>
      </w:r>
      <w:r w:rsidRPr="00432BEA">
        <w:rPr>
          <w:lang w:val="fr-FR"/>
        </w:rPr>
        <w:fldChar w:fldCharType="end"/>
      </w:r>
      <w:r w:rsidRPr="00432BEA">
        <w:rPr>
          <w:lang w:val="fr-FR"/>
        </w:rPr>
        <w:t>.  </w:t>
      </w:r>
      <w:r w:rsidRPr="00432BEA" w:rsidR="00891E03">
        <w:rPr>
          <w:lang w:val="fr-FR"/>
        </w:rPr>
        <w:t>Par jugement du 1</w:t>
      </w:r>
      <w:r w:rsidRPr="00432BEA" w:rsidR="00891E03">
        <w:rPr>
          <w:vertAlign w:val="superscript"/>
          <w:lang w:val="fr-FR"/>
        </w:rPr>
        <w:t>er</w:t>
      </w:r>
      <w:r w:rsidRPr="00432BEA" w:rsidR="00891E03">
        <w:rPr>
          <w:lang w:val="fr-FR"/>
        </w:rPr>
        <w:t xml:space="preserve"> décembre 2009, le TASS débouta le requérant de son recours au motif que le domicile ne s</w:t>
      </w:r>
      <w:r w:rsidRPr="00432BEA" w:rsidR="00432BEA">
        <w:rPr>
          <w:lang w:val="fr-FR"/>
        </w:rPr>
        <w:t>’</w:t>
      </w:r>
      <w:r w:rsidRPr="00432BEA" w:rsidR="00891E03">
        <w:rPr>
          <w:lang w:val="fr-FR"/>
        </w:rPr>
        <w:t>étend pas aux structures d</w:t>
      </w:r>
      <w:r w:rsidRPr="00432BEA" w:rsidR="00432BEA">
        <w:rPr>
          <w:lang w:val="fr-FR"/>
        </w:rPr>
        <w:t>’</w:t>
      </w:r>
      <w:r w:rsidRPr="00432BEA" w:rsidR="00891E03">
        <w:rPr>
          <w:lang w:val="fr-FR"/>
        </w:rPr>
        <w:t>hébergement collectif :</w:t>
      </w:r>
    </w:p>
    <w:p w:rsidRPr="00432BEA" w:rsidR="00891E03" w:rsidP="00432BEA" w:rsidRDefault="00891E03">
      <w:pPr>
        <w:pStyle w:val="ECHRParaQuote"/>
        <w:rPr>
          <w:lang w:val="fr-FR"/>
        </w:rPr>
      </w:pPr>
      <w:r w:rsidRPr="00432BEA">
        <w:rPr>
          <w:lang w:val="fr-FR"/>
        </w:rPr>
        <w:t>« [L</w:t>
      </w:r>
      <w:r w:rsidRPr="00432BEA" w:rsidR="00432BEA">
        <w:rPr>
          <w:lang w:val="fr-FR"/>
        </w:rPr>
        <w:t>’</w:t>
      </w:r>
      <w:r w:rsidRPr="00432BEA">
        <w:rPr>
          <w:lang w:val="fr-FR"/>
        </w:rPr>
        <w:t>article L. 241-10 III] prévoit les cas d</w:t>
      </w:r>
      <w:r w:rsidRPr="00432BEA" w:rsidR="00432BEA">
        <w:rPr>
          <w:lang w:val="fr-FR"/>
        </w:rPr>
        <w:t>’</w:t>
      </w:r>
      <w:r w:rsidRPr="00432BEA">
        <w:rPr>
          <w:lang w:val="fr-FR"/>
        </w:rPr>
        <w:t>exonération conformes à la politique de la ville qui privilégie le maintien à domicile, s</w:t>
      </w:r>
      <w:r w:rsidRPr="00432BEA" w:rsidR="00432BEA">
        <w:rPr>
          <w:lang w:val="fr-FR"/>
        </w:rPr>
        <w:t>’</w:t>
      </w:r>
      <w:r w:rsidRPr="00432BEA">
        <w:rPr>
          <w:lang w:val="fr-FR"/>
        </w:rPr>
        <w:t>entendant par domicile classique avant hospitalisation.</w:t>
      </w:r>
    </w:p>
    <w:p w:rsidRPr="00432BEA" w:rsidR="00891E03" w:rsidP="00432BEA" w:rsidRDefault="00891E03">
      <w:pPr>
        <w:pStyle w:val="ECHRParaQuote"/>
        <w:rPr>
          <w:lang w:val="fr-FR"/>
        </w:rPr>
      </w:pPr>
      <w:r w:rsidRPr="00432BEA">
        <w:rPr>
          <w:lang w:val="fr-FR"/>
        </w:rPr>
        <w:t>De ce très long article, le tribunal retiendra que l</w:t>
      </w:r>
      <w:r w:rsidRPr="00432BEA" w:rsidR="00432BEA">
        <w:rPr>
          <w:lang w:val="fr-FR"/>
        </w:rPr>
        <w:t>’</w:t>
      </w:r>
      <w:r w:rsidRPr="00432BEA">
        <w:rPr>
          <w:lang w:val="fr-FR"/>
        </w:rPr>
        <w:t>exonération s</w:t>
      </w:r>
      <w:r w:rsidRPr="00432BEA" w:rsidR="00432BEA">
        <w:rPr>
          <w:lang w:val="fr-FR"/>
        </w:rPr>
        <w:t>’</w:t>
      </w:r>
      <w:r w:rsidRPr="00432BEA">
        <w:rPr>
          <w:lang w:val="fr-FR"/>
        </w:rPr>
        <w:t>applique aux aides à domicile employées sous contrat à durée indéterminée et du reste l</w:t>
      </w:r>
      <w:r w:rsidRPr="00432BEA" w:rsidR="00432BEA">
        <w:rPr>
          <w:lang w:val="fr-FR"/>
        </w:rPr>
        <w:t>’</w:t>
      </w:r>
      <w:r w:rsidRPr="00432BEA">
        <w:rPr>
          <w:lang w:val="fr-FR"/>
        </w:rPr>
        <w:t>exonération est accordée sur la demande des intéressés (la personne âgée) ce qui n</w:t>
      </w:r>
      <w:r w:rsidRPr="00432BEA" w:rsidR="00432BEA">
        <w:rPr>
          <w:lang w:val="fr-FR"/>
        </w:rPr>
        <w:t>’</w:t>
      </w:r>
      <w:r w:rsidRPr="00432BEA">
        <w:rPr>
          <w:lang w:val="fr-FR"/>
        </w:rPr>
        <w:t>est pas le cas en l</w:t>
      </w:r>
      <w:r w:rsidRPr="00432BEA" w:rsidR="00432BEA">
        <w:rPr>
          <w:lang w:val="fr-FR"/>
        </w:rPr>
        <w:t>’</w:t>
      </w:r>
      <w:r w:rsidRPr="00432BEA">
        <w:rPr>
          <w:lang w:val="fr-FR"/>
        </w:rPr>
        <w:t>espèce puisque c</w:t>
      </w:r>
      <w:r w:rsidRPr="00432BEA" w:rsidR="00432BEA">
        <w:rPr>
          <w:lang w:val="fr-FR"/>
        </w:rPr>
        <w:t>’</w:t>
      </w:r>
      <w:r w:rsidRPr="00432BEA">
        <w:rPr>
          <w:lang w:val="fr-FR"/>
        </w:rPr>
        <w:t>est l</w:t>
      </w:r>
      <w:r w:rsidRPr="00432BEA" w:rsidR="00432BEA">
        <w:rPr>
          <w:lang w:val="fr-FR"/>
        </w:rPr>
        <w:t>’</w:t>
      </w:r>
      <w:r w:rsidRPr="00432BEA">
        <w:rPr>
          <w:lang w:val="fr-FR"/>
        </w:rPr>
        <w:t>établissement qui sollicite l</w:t>
      </w:r>
      <w:r w:rsidRPr="00432BEA" w:rsidR="00432BEA">
        <w:rPr>
          <w:lang w:val="fr-FR"/>
        </w:rPr>
        <w:t>’</w:t>
      </w:r>
      <w:r w:rsidRPr="00432BEA">
        <w:rPr>
          <w:lang w:val="fr-FR"/>
        </w:rPr>
        <w:t>exonération.</w:t>
      </w:r>
    </w:p>
    <w:p w:rsidRPr="00432BEA" w:rsidR="00891E03" w:rsidP="00432BEA" w:rsidRDefault="00891E03">
      <w:pPr>
        <w:pStyle w:val="ECHRParaQuote"/>
        <w:rPr>
          <w:lang w:val="fr-FR"/>
        </w:rPr>
      </w:pPr>
      <w:r w:rsidRPr="00432BEA">
        <w:rPr>
          <w:lang w:val="fr-FR"/>
        </w:rPr>
        <w:t>L</w:t>
      </w:r>
      <w:r w:rsidRPr="00432BEA" w:rsidR="00432BEA">
        <w:rPr>
          <w:lang w:val="fr-FR"/>
        </w:rPr>
        <w:t>’</w:t>
      </w:r>
      <w:r w:rsidRPr="00432BEA">
        <w:rPr>
          <w:lang w:val="fr-FR"/>
        </w:rPr>
        <w:t>exonération n</w:t>
      </w:r>
      <w:r w:rsidRPr="00432BEA" w:rsidR="00432BEA">
        <w:rPr>
          <w:lang w:val="fr-FR"/>
        </w:rPr>
        <w:t>’</w:t>
      </w:r>
      <w:r w:rsidRPr="00432BEA">
        <w:rPr>
          <w:lang w:val="fr-FR"/>
        </w:rPr>
        <w:t>est prévue que si les actes de la vie courante sont effectués au domicile qui n</w:t>
      </w:r>
      <w:r w:rsidRPr="00432BEA" w:rsidR="00432BEA">
        <w:rPr>
          <w:lang w:val="fr-FR"/>
        </w:rPr>
        <w:t>’</w:t>
      </w:r>
      <w:r w:rsidRPr="00432BEA">
        <w:rPr>
          <w:lang w:val="fr-FR"/>
        </w:rPr>
        <w:t>est en rien l</w:t>
      </w:r>
      <w:r w:rsidRPr="00432BEA" w:rsidR="00432BEA">
        <w:rPr>
          <w:lang w:val="fr-FR"/>
        </w:rPr>
        <w:t>’</w:t>
      </w:r>
      <w:r w:rsidRPr="00432BEA">
        <w:rPr>
          <w:lang w:val="fr-FR"/>
        </w:rPr>
        <w:t>établissement de soins.</w:t>
      </w:r>
    </w:p>
    <w:p w:rsidRPr="00432BEA" w:rsidR="00541D6D" w:rsidP="00432BEA" w:rsidRDefault="00891E03">
      <w:pPr>
        <w:pStyle w:val="ECHRParaQuote"/>
        <w:rPr>
          <w:lang w:val="fr-FR"/>
        </w:rPr>
      </w:pPr>
      <w:r w:rsidRPr="00432BEA">
        <w:rPr>
          <w:lang w:val="fr-FR"/>
        </w:rPr>
        <w:t>Du reste</w:t>
      </w:r>
      <w:r w:rsidRPr="00432BEA" w:rsidR="005A25F1">
        <w:rPr>
          <w:lang w:val="fr-FR"/>
        </w:rPr>
        <w:t>,</w:t>
      </w:r>
      <w:r w:rsidRPr="00432BEA">
        <w:rPr>
          <w:lang w:val="fr-FR"/>
        </w:rPr>
        <w:t xml:space="preserve"> chaque fois qu</w:t>
      </w:r>
      <w:r w:rsidRPr="00432BEA" w:rsidR="00432BEA">
        <w:rPr>
          <w:lang w:val="fr-FR"/>
        </w:rPr>
        <w:t>’</w:t>
      </w:r>
      <w:r w:rsidRPr="00432BEA">
        <w:rPr>
          <w:lang w:val="fr-FR"/>
        </w:rPr>
        <w:t>il est dans la législation question d</w:t>
      </w:r>
      <w:r w:rsidRPr="00432BEA" w:rsidR="00432BEA">
        <w:rPr>
          <w:lang w:val="fr-FR"/>
        </w:rPr>
        <w:t>’</w:t>
      </w:r>
      <w:r w:rsidRPr="00432BEA">
        <w:rPr>
          <w:lang w:val="fr-FR"/>
        </w:rPr>
        <w:t>une structure collective accueillant des personnes âgées</w:t>
      </w:r>
      <w:r w:rsidRPr="00432BEA" w:rsidR="005A25F1">
        <w:rPr>
          <w:lang w:val="fr-FR"/>
        </w:rPr>
        <w:t>,</w:t>
      </w:r>
      <w:r w:rsidRPr="00432BEA">
        <w:rPr>
          <w:lang w:val="fr-FR"/>
        </w:rPr>
        <w:t xml:space="preserve"> le code d</w:t>
      </w:r>
      <w:r w:rsidRPr="00432BEA" w:rsidR="00432BEA">
        <w:rPr>
          <w:lang w:val="fr-FR"/>
        </w:rPr>
        <w:t>’</w:t>
      </w:r>
      <w:r w:rsidRPr="00432BEA">
        <w:rPr>
          <w:lang w:val="fr-FR"/>
        </w:rPr>
        <w:t>action sociale ne fait état que d</w:t>
      </w:r>
      <w:r w:rsidRPr="00432BEA" w:rsidR="00432BEA">
        <w:rPr>
          <w:lang w:val="fr-FR"/>
        </w:rPr>
        <w:t>’</w:t>
      </w:r>
      <w:r w:rsidRPr="00432BEA">
        <w:rPr>
          <w:lang w:val="fr-FR"/>
        </w:rPr>
        <w:t>établissements assurant l</w:t>
      </w:r>
      <w:r w:rsidRPr="00432BEA" w:rsidR="00432BEA">
        <w:rPr>
          <w:lang w:val="fr-FR"/>
        </w:rPr>
        <w:t>’</w:t>
      </w:r>
      <w:r w:rsidRPr="00432BEA">
        <w:rPr>
          <w:lang w:val="fr-FR"/>
        </w:rPr>
        <w:t>hébergement des personnes âgées et il n</w:t>
      </w:r>
      <w:r w:rsidRPr="00432BEA" w:rsidR="00432BEA">
        <w:rPr>
          <w:lang w:val="fr-FR"/>
        </w:rPr>
        <w:t>’</w:t>
      </w:r>
      <w:r w:rsidRPr="00432BEA">
        <w:rPr>
          <w:lang w:val="fr-FR"/>
        </w:rPr>
        <w:t>est jamais question de domicile.</w:t>
      </w:r>
    </w:p>
    <w:p w:rsidRPr="00432BEA" w:rsidR="00891E03" w:rsidP="00432BEA" w:rsidRDefault="00891E03">
      <w:pPr>
        <w:pStyle w:val="ECHRParaQuote"/>
        <w:rPr>
          <w:lang w:val="fr-FR"/>
        </w:rPr>
      </w:pPr>
      <w:r w:rsidRPr="00432BEA">
        <w:rPr>
          <w:lang w:val="fr-FR"/>
        </w:rPr>
        <w:t>Le législateur privilégie le maintien à domicile car préférable pour les personnes âgées et l</w:t>
      </w:r>
      <w:r w:rsidRPr="00432BEA" w:rsidR="00432BEA">
        <w:rPr>
          <w:lang w:val="fr-FR"/>
        </w:rPr>
        <w:t>’</w:t>
      </w:r>
      <w:r w:rsidRPr="00432BEA">
        <w:rPr>
          <w:lang w:val="fr-FR"/>
        </w:rPr>
        <w:t>exonération est précisément faite pour inciter ce maintien à domicile qui pallie la pénurie de place dans les établissements.</w:t>
      </w:r>
    </w:p>
    <w:p w:rsidRPr="00432BEA" w:rsidR="00891E03" w:rsidP="00432BEA" w:rsidRDefault="00891E03">
      <w:pPr>
        <w:pStyle w:val="ECHRParaQuote"/>
        <w:rPr>
          <w:lang w:val="fr-FR"/>
        </w:rPr>
      </w:pPr>
      <w:r w:rsidRPr="00432BEA">
        <w:rPr>
          <w:lang w:val="fr-FR"/>
        </w:rPr>
        <w:t>En résumé, [le requérant] ne peut bénéficier de l</w:t>
      </w:r>
      <w:r w:rsidRPr="00432BEA" w:rsidR="00432BEA">
        <w:rPr>
          <w:lang w:val="fr-FR"/>
        </w:rPr>
        <w:t>’</w:t>
      </w:r>
      <w:r w:rsidRPr="00432BEA">
        <w:rPr>
          <w:lang w:val="fr-FR"/>
        </w:rPr>
        <w:t>exonération. »</w:t>
      </w:r>
    </w:p>
    <w:p w:rsidRPr="00432BEA" w:rsidR="00891E03" w:rsidP="00432BEA" w:rsidRDefault="00670DF6">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13</w:t>
      </w:r>
      <w:r w:rsidRPr="00432BEA">
        <w:rPr>
          <w:lang w:val="fr-FR"/>
        </w:rPr>
        <w:fldChar w:fldCharType="end"/>
      </w:r>
      <w:r w:rsidRPr="00432BEA">
        <w:rPr>
          <w:lang w:val="fr-FR"/>
        </w:rPr>
        <w:t>.  </w:t>
      </w:r>
      <w:r w:rsidRPr="00432BEA" w:rsidR="00891E03">
        <w:rPr>
          <w:lang w:val="fr-FR"/>
        </w:rPr>
        <w:t>Le requérant interjeta appel du jugement. Il dénonça l</w:t>
      </w:r>
      <w:r w:rsidRPr="00432BEA" w:rsidR="00432BEA">
        <w:rPr>
          <w:lang w:val="fr-FR"/>
        </w:rPr>
        <w:t>’</w:t>
      </w:r>
      <w:r w:rsidRPr="00432BEA" w:rsidR="00891E03">
        <w:rPr>
          <w:lang w:val="fr-FR"/>
        </w:rPr>
        <w:t>interprétation erronée de l</w:t>
      </w:r>
      <w:r w:rsidRPr="00432BEA" w:rsidR="00432BEA">
        <w:rPr>
          <w:lang w:val="fr-FR"/>
        </w:rPr>
        <w:t>’</w:t>
      </w:r>
      <w:r w:rsidRPr="00432BEA" w:rsidR="00891E03">
        <w:rPr>
          <w:lang w:val="fr-FR"/>
        </w:rPr>
        <w:t>article L. 241-10 du CSS par le tribunal en faisant valoir que la notion de domicile devait s</w:t>
      </w:r>
      <w:r w:rsidRPr="00432BEA" w:rsidR="00432BEA">
        <w:rPr>
          <w:lang w:val="fr-FR"/>
        </w:rPr>
        <w:t>’</w:t>
      </w:r>
      <w:r w:rsidRPr="00432BEA" w:rsidR="00891E03">
        <w:rPr>
          <w:lang w:val="fr-FR"/>
        </w:rPr>
        <w:t>analyser au regard de l</w:t>
      </w:r>
      <w:r w:rsidRPr="00432BEA" w:rsidR="00432BEA">
        <w:rPr>
          <w:lang w:val="fr-FR"/>
        </w:rPr>
        <w:t>’</w:t>
      </w:r>
      <w:r w:rsidRPr="00432BEA" w:rsidR="00891E03">
        <w:rPr>
          <w:lang w:val="fr-FR"/>
        </w:rPr>
        <w:t xml:space="preserve">article 102 du </w:t>
      </w:r>
      <w:r w:rsidRPr="00432BEA" w:rsidR="005A25F1">
        <w:rPr>
          <w:lang w:val="fr-FR"/>
        </w:rPr>
        <w:t>CC</w:t>
      </w:r>
      <w:r w:rsidRPr="00432BEA" w:rsidR="00891E03">
        <w:rPr>
          <w:lang w:val="fr-FR"/>
        </w:rPr>
        <w:t>, invoquant un arrêt devenu définitif, à défaut de pourvoi de l</w:t>
      </w:r>
      <w:r w:rsidRPr="00432BEA" w:rsidR="00432BEA">
        <w:rPr>
          <w:lang w:val="fr-FR"/>
        </w:rPr>
        <w:t>’</w:t>
      </w:r>
      <w:r w:rsidRPr="00432BEA" w:rsidR="00891E03">
        <w:rPr>
          <w:lang w:val="fr-FR"/>
        </w:rPr>
        <w:t>URSSAF, de la chambre sociale de la cour d</w:t>
      </w:r>
      <w:r w:rsidRPr="00432BEA" w:rsidR="00432BEA">
        <w:rPr>
          <w:lang w:val="fr-FR"/>
        </w:rPr>
        <w:t>’</w:t>
      </w:r>
      <w:r w:rsidRPr="00432BEA" w:rsidR="00891E03">
        <w:rPr>
          <w:lang w:val="fr-FR"/>
        </w:rPr>
        <w:t>appel de Pau du 18 décembre 2008 allant dans ce sens (p</w:t>
      </w:r>
      <w:r w:rsidRPr="00432BEA">
        <w:rPr>
          <w:lang w:val="fr-FR"/>
        </w:rPr>
        <w:t xml:space="preserve">aragraphe </w:t>
      </w:r>
      <w:r w:rsidRPr="00432BEA" w:rsidR="00571E85">
        <w:rPr>
          <w:lang w:val="fr-FR"/>
        </w:rPr>
        <w:t>4</w:t>
      </w:r>
      <w:r w:rsidRPr="00432BEA" w:rsidR="00E54C36">
        <w:rPr>
          <w:lang w:val="fr-FR"/>
        </w:rPr>
        <w:t>6</w:t>
      </w:r>
      <w:r w:rsidRPr="00432BEA" w:rsidR="00571E85">
        <w:rPr>
          <w:lang w:val="fr-FR"/>
        </w:rPr>
        <w:t xml:space="preserve"> </w:t>
      </w:r>
      <w:r w:rsidRPr="00432BEA">
        <w:rPr>
          <w:lang w:val="fr-FR"/>
        </w:rPr>
        <w:t>ci-dessous</w:t>
      </w:r>
      <w:r w:rsidRPr="00432BEA" w:rsidR="00891E03">
        <w:rPr>
          <w:lang w:val="fr-FR"/>
        </w:rPr>
        <w:t>)</w:t>
      </w:r>
      <w:r w:rsidRPr="00432BEA" w:rsidR="005A25F1">
        <w:rPr>
          <w:lang w:val="fr-FR"/>
        </w:rPr>
        <w:t>.</w:t>
      </w:r>
      <w:r w:rsidRPr="00432BEA" w:rsidR="00891E03">
        <w:rPr>
          <w:lang w:val="fr-FR"/>
        </w:rPr>
        <w:t xml:space="preserve"> Il fit également référence à des jugements rendus par plusieurs TASS qui s</w:t>
      </w:r>
      <w:r w:rsidRPr="00432BEA" w:rsidR="00432BEA">
        <w:rPr>
          <w:lang w:val="fr-FR"/>
        </w:rPr>
        <w:t>’</w:t>
      </w:r>
      <w:r w:rsidRPr="00432BEA" w:rsidR="00891E03">
        <w:rPr>
          <w:lang w:val="fr-FR"/>
        </w:rPr>
        <w:t>étaient basés sur l</w:t>
      </w:r>
      <w:r w:rsidRPr="00432BEA" w:rsidR="00432BEA">
        <w:rPr>
          <w:lang w:val="fr-FR"/>
        </w:rPr>
        <w:t>’</w:t>
      </w:r>
      <w:r w:rsidRPr="00432BEA" w:rsidR="00891E03">
        <w:rPr>
          <w:lang w:val="fr-FR"/>
        </w:rPr>
        <w:t>article 102 du CC pour assimiler les EHPAD au domicile des personnes âgées, dont le jugement du TASS de</w:t>
      </w:r>
      <w:r w:rsidRPr="00432BEA" w:rsidR="00571E85">
        <w:rPr>
          <w:lang w:val="fr-FR"/>
        </w:rPr>
        <w:t xml:space="preserve"> Bobigny du 16 mars 2010 (paragraphe 34 </w:t>
      </w:r>
      <w:r w:rsidRPr="00432BEA" w:rsidR="00EF7F30">
        <w:rPr>
          <w:lang w:val="fr-FR"/>
        </w:rPr>
        <w:t>ci</w:t>
      </w:r>
      <w:r w:rsidRPr="00432BEA" w:rsidR="00EF7F30">
        <w:rPr>
          <w:lang w:val="fr-FR"/>
        </w:rPr>
        <w:noBreakHyphen/>
      </w:r>
      <w:r w:rsidRPr="00432BEA" w:rsidR="00891E03">
        <w:rPr>
          <w:lang w:val="fr-FR"/>
        </w:rPr>
        <w:t>dessous</w:t>
      </w:r>
      <w:r w:rsidRPr="00432BEA" w:rsidR="00571E85">
        <w:rPr>
          <w:lang w:val="fr-FR"/>
        </w:rPr>
        <w:t>).</w:t>
      </w:r>
      <w:r w:rsidRPr="00432BEA" w:rsidR="00891E03">
        <w:rPr>
          <w:lang w:val="fr-FR"/>
        </w:rPr>
        <w:t xml:space="preserve"> Il invoqua encore la loi du 21 juillet 2009 portant réforme de l</w:t>
      </w:r>
      <w:r w:rsidRPr="00432BEA" w:rsidR="00432BEA">
        <w:rPr>
          <w:lang w:val="fr-FR"/>
        </w:rPr>
        <w:t>’</w:t>
      </w:r>
      <w:r w:rsidRPr="00432BEA" w:rsidR="00891E03">
        <w:rPr>
          <w:lang w:val="fr-FR"/>
        </w:rPr>
        <w:t>hôpital et relative aux patients, à la santé et aux territoires</w:t>
      </w:r>
      <w:r w:rsidRPr="00432BEA" w:rsidR="004452F5">
        <w:rPr>
          <w:lang w:val="fr-FR"/>
        </w:rPr>
        <w:t>,</w:t>
      </w:r>
      <w:r w:rsidRPr="00432BEA" w:rsidR="00891E03">
        <w:rPr>
          <w:lang w:val="fr-FR"/>
        </w:rPr>
        <w:t xml:space="preserve"> qui dispose que le domicile peut s</w:t>
      </w:r>
      <w:r w:rsidRPr="00432BEA" w:rsidR="00432BEA">
        <w:rPr>
          <w:lang w:val="fr-FR"/>
        </w:rPr>
        <w:t>’</w:t>
      </w:r>
      <w:r w:rsidRPr="00432BEA" w:rsidR="00891E03">
        <w:rPr>
          <w:lang w:val="fr-FR"/>
        </w:rPr>
        <w:t>entendre du lieu de résidence ou d</w:t>
      </w:r>
      <w:r w:rsidRPr="00432BEA" w:rsidR="00432BEA">
        <w:rPr>
          <w:lang w:val="fr-FR"/>
        </w:rPr>
        <w:t>’</w:t>
      </w:r>
      <w:r w:rsidRPr="00432BEA" w:rsidR="00891E03">
        <w:rPr>
          <w:lang w:val="fr-FR"/>
        </w:rPr>
        <w:t>un d</w:t>
      </w:r>
      <w:r w:rsidRPr="00432BEA" w:rsidR="00432BEA">
        <w:rPr>
          <w:lang w:val="fr-FR"/>
        </w:rPr>
        <w:t>’</w:t>
      </w:r>
      <w:r w:rsidRPr="00432BEA" w:rsidR="00891E03">
        <w:rPr>
          <w:lang w:val="fr-FR"/>
        </w:rPr>
        <w:t>établissement avec hébergement relevant du code l</w:t>
      </w:r>
      <w:r w:rsidRPr="00432BEA" w:rsidR="00432BEA">
        <w:rPr>
          <w:lang w:val="fr-FR"/>
        </w:rPr>
        <w:t>’</w:t>
      </w:r>
      <w:r w:rsidRPr="00432BEA" w:rsidR="00891E03">
        <w:rPr>
          <w:lang w:val="fr-FR"/>
        </w:rPr>
        <w:t>action sociale et des familles. En dernier lieu, il dénonça la discrimination établie par l</w:t>
      </w:r>
      <w:r w:rsidRPr="00432BEA" w:rsidR="00432BEA">
        <w:rPr>
          <w:lang w:val="fr-FR"/>
        </w:rPr>
        <w:t>’</w:t>
      </w:r>
      <w:r w:rsidRPr="00432BEA" w:rsidR="00891E03">
        <w:rPr>
          <w:lang w:val="fr-FR"/>
        </w:rPr>
        <w:t>URSSAF qui admet que les foyers-logements, structure d</w:t>
      </w:r>
      <w:r w:rsidRPr="00432BEA" w:rsidR="00432BEA">
        <w:rPr>
          <w:lang w:val="fr-FR"/>
        </w:rPr>
        <w:t>’</w:t>
      </w:r>
      <w:r w:rsidRPr="00432BEA" w:rsidR="00891E03">
        <w:rPr>
          <w:lang w:val="fr-FR"/>
        </w:rPr>
        <w:t>hébergement collectif comme les EHPAD, bénéficient de l</w:t>
      </w:r>
      <w:r w:rsidRPr="00432BEA" w:rsidR="00432BEA">
        <w:rPr>
          <w:lang w:val="fr-FR"/>
        </w:rPr>
        <w:t>’</w:t>
      </w:r>
      <w:r w:rsidRPr="00432BEA" w:rsidR="00891E03">
        <w:rPr>
          <w:lang w:val="fr-FR"/>
        </w:rPr>
        <w:t>exonération alors qu</w:t>
      </w:r>
      <w:r w:rsidRPr="00432BEA" w:rsidR="00432BEA">
        <w:rPr>
          <w:lang w:val="fr-FR"/>
        </w:rPr>
        <w:t>’</w:t>
      </w:r>
      <w:r w:rsidRPr="00432BEA" w:rsidR="00891E03">
        <w:rPr>
          <w:lang w:val="fr-FR"/>
        </w:rPr>
        <w:t>il n</w:t>
      </w:r>
      <w:r w:rsidRPr="00432BEA" w:rsidR="00432BEA">
        <w:rPr>
          <w:lang w:val="fr-FR"/>
        </w:rPr>
        <w:t>’</w:t>
      </w:r>
      <w:r w:rsidRPr="00432BEA" w:rsidR="00EF7F30">
        <w:rPr>
          <w:lang w:val="fr-FR"/>
        </w:rPr>
        <w:t>existe entre les deux </w:t>
      </w:r>
      <w:r w:rsidRPr="00432BEA" w:rsidR="00891E03">
        <w:rPr>
          <w:lang w:val="fr-FR"/>
        </w:rPr>
        <w:t>types d</w:t>
      </w:r>
      <w:r w:rsidRPr="00432BEA" w:rsidR="00432BEA">
        <w:rPr>
          <w:lang w:val="fr-FR"/>
        </w:rPr>
        <w:t>’</w:t>
      </w:r>
      <w:r w:rsidRPr="00432BEA" w:rsidR="00891E03">
        <w:rPr>
          <w:lang w:val="fr-FR"/>
        </w:rPr>
        <w:t>établissement aucune différence quant aux soins fournis. Il fit valoir une rupture d</w:t>
      </w:r>
      <w:r w:rsidRPr="00432BEA" w:rsidR="00432BEA">
        <w:rPr>
          <w:lang w:val="fr-FR"/>
        </w:rPr>
        <w:t>’</w:t>
      </w:r>
      <w:r w:rsidRPr="00432BEA" w:rsidR="00891E03">
        <w:rPr>
          <w:lang w:val="fr-FR"/>
        </w:rPr>
        <w:t>égalité entre les personnes âgées logées dans des structures d</w:t>
      </w:r>
      <w:r w:rsidRPr="00432BEA" w:rsidR="00432BEA">
        <w:rPr>
          <w:lang w:val="fr-FR"/>
        </w:rPr>
        <w:t>’</w:t>
      </w:r>
      <w:r w:rsidRPr="00432BEA" w:rsidR="00891E03">
        <w:rPr>
          <w:lang w:val="fr-FR"/>
        </w:rPr>
        <w:t>hébergement collectif.</w:t>
      </w:r>
    </w:p>
    <w:p w:rsidRPr="00432BEA" w:rsidR="00891E03" w:rsidP="00432BEA" w:rsidRDefault="00670DF6">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14</w:t>
      </w:r>
      <w:r w:rsidRPr="00432BEA">
        <w:rPr>
          <w:lang w:val="fr-FR"/>
        </w:rPr>
        <w:fldChar w:fldCharType="end"/>
      </w:r>
      <w:r w:rsidRPr="00432BEA">
        <w:rPr>
          <w:lang w:val="fr-FR"/>
        </w:rPr>
        <w:t>.  </w:t>
      </w:r>
      <w:r w:rsidRPr="00432BEA" w:rsidR="00891E03">
        <w:rPr>
          <w:lang w:val="fr-FR"/>
        </w:rPr>
        <w:t>Par un arrêt du 8 juin 2010, la cour d</w:t>
      </w:r>
      <w:r w:rsidRPr="00432BEA" w:rsidR="00432BEA">
        <w:rPr>
          <w:lang w:val="fr-FR"/>
        </w:rPr>
        <w:t>’</w:t>
      </w:r>
      <w:r w:rsidRPr="00432BEA" w:rsidR="00891E03">
        <w:rPr>
          <w:lang w:val="fr-FR"/>
        </w:rPr>
        <w:t>appel de Poitiers confirma le jugement :</w:t>
      </w:r>
    </w:p>
    <w:p w:rsidRPr="00432BEA" w:rsidR="007D22EB" w:rsidP="00432BEA" w:rsidRDefault="00891E03">
      <w:pPr>
        <w:spacing w:before="120" w:after="120"/>
        <w:ind w:left="567"/>
        <w:rPr>
          <w:sz w:val="20"/>
          <w:lang w:val="fr-FR"/>
        </w:rPr>
      </w:pPr>
      <w:r w:rsidRPr="00432BEA">
        <w:rPr>
          <w:sz w:val="20"/>
          <w:lang w:val="fr-FR"/>
        </w:rPr>
        <w:t>« (</w:t>
      </w:r>
      <w:r w:rsidRPr="00432BEA" w:rsidR="007D22EB">
        <w:rPr>
          <w:sz w:val="20"/>
          <w:lang w:val="fr-FR"/>
        </w:rPr>
        <w:t>...</w:t>
      </w:r>
      <w:r w:rsidRPr="00432BEA">
        <w:rPr>
          <w:sz w:val="20"/>
          <w:lang w:val="fr-FR"/>
        </w:rPr>
        <w:t>) contrairement à l</w:t>
      </w:r>
      <w:r w:rsidRPr="00432BEA" w:rsidR="00432BEA">
        <w:rPr>
          <w:sz w:val="20"/>
          <w:lang w:val="fr-FR"/>
        </w:rPr>
        <w:t>’</w:t>
      </w:r>
      <w:r w:rsidRPr="00432BEA">
        <w:rPr>
          <w:sz w:val="20"/>
          <w:lang w:val="fr-FR"/>
        </w:rPr>
        <w:t>analyse de l</w:t>
      </w:r>
      <w:r w:rsidRPr="00432BEA" w:rsidR="00432BEA">
        <w:rPr>
          <w:sz w:val="20"/>
          <w:lang w:val="fr-FR"/>
        </w:rPr>
        <w:t>’</w:t>
      </w:r>
      <w:r w:rsidRPr="00432BEA">
        <w:rPr>
          <w:sz w:val="20"/>
          <w:lang w:val="fr-FR"/>
        </w:rPr>
        <w:t>appelant, les dispositions, dont il demande application, ne peuvent pas concerner le personnel même de la maison de retraite, dont l</w:t>
      </w:r>
      <w:r w:rsidRPr="00432BEA" w:rsidR="00432BEA">
        <w:rPr>
          <w:sz w:val="20"/>
          <w:lang w:val="fr-FR"/>
        </w:rPr>
        <w:t>’</w:t>
      </w:r>
      <w:r w:rsidRPr="00432BEA">
        <w:rPr>
          <w:sz w:val="20"/>
          <w:lang w:val="fr-FR"/>
        </w:rPr>
        <w:t>objet est précisément d</w:t>
      </w:r>
      <w:r w:rsidRPr="00432BEA" w:rsidR="00432BEA">
        <w:rPr>
          <w:sz w:val="20"/>
          <w:lang w:val="fr-FR"/>
        </w:rPr>
        <w:t>’</w:t>
      </w:r>
      <w:r w:rsidRPr="00432BEA">
        <w:rPr>
          <w:sz w:val="20"/>
          <w:lang w:val="fr-FR"/>
        </w:rPr>
        <w:t>héberger les personnes âgées dépendantes en leur assurant toutes les prestations nécessaires à leur survie, alors que le texte vise de façon claire des salariés intervenant de l</w:t>
      </w:r>
      <w:r w:rsidRPr="00432BEA" w:rsidR="00432BEA">
        <w:rPr>
          <w:sz w:val="20"/>
          <w:lang w:val="fr-FR"/>
        </w:rPr>
        <w:t>’</w:t>
      </w:r>
      <w:r w:rsidRPr="00432BEA">
        <w:rPr>
          <w:sz w:val="20"/>
          <w:lang w:val="fr-FR"/>
        </w:rPr>
        <w:t>extérieur au domicile de la personne âgée dans le but de maintenir son autonomie au sein de son foyer ou de celui des membres de sa famille ou dans un foyer logement, dont les services communs sont limités, en la faisant bénéficier de prestations service à la personne n</w:t>
      </w:r>
      <w:r w:rsidRPr="00432BEA" w:rsidR="00432BEA">
        <w:rPr>
          <w:sz w:val="20"/>
          <w:lang w:val="fr-FR"/>
        </w:rPr>
        <w:t>’</w:t>
      </w:r>
      <w:r w:rsidRPr="00432BEA">
        <w:rPr>
          <w:sz w:val="20"/>
          <w:lang w:val="fr-FR"/>
        </w:rPr>
        <w:t>existant pas à son domicile pour des actes qu</w:t>
      </w:r>
      <w:r w:rsidRPr="00432BEA" w:rsidR="00432BEA">
        <w:rPr>
          <w:sz w:val="20"/>
          <w:lang w:val="fr-FR"/>
        </w:rPr>
        <w:t>’</w:t>
      </w:r>
      <w:r w:rsidRPr="00432BEA">
        <w:rPr>
          <w:sz w:val="20"/>
          <w:lang w:val="fr-FR"/>
        </w:rPr>
        <w:t>elle ne peut pas accomplir seule. Il y a lieu de préciser que [le requérant] n</w:t>
      </w:r>
      <w:r w:rsidRPr="00432BEA" w:rsidR="00432BEA">
        <w:rPr>
          <w:sz w:val="20"/>
          <w:lang w:val="fr-FR"/>
        </w:rPr>
        <w:t>’</w:t>
      </w:r>
      <w:r w:rsidRPr="00432BEA">
        <w:rPr>
          <w:sz w:val="20"/>
          <w:lang w:val="fr-FR"/>
        </w:rPr>
        <w:t>est pas habilité au titre de l</w:t>
      </w:r>
      <w:r w:rsidRPr="00432BEA" w:rsidR="00432BEA">
        <w:rPr>
          <w:sz w:val="20"/>
          <w:lang w:val="fr-FR"/>
        </w:rPr>
        <w:t>’</w:t>
      </w:r>
      <w:r w:rsidRPr="00432BEA">
        <w:rPr>
          <w:sz w:val="20"/>
          <w:lang w:val="fr-FR"/>
        </w:rPr>
        <w:t>aide sociale au sens du texte susvisé, le fait que les résidents reçoivent l</w:t>
      </w:r>
      <w:r w:rsidRPr="00432BEA" w:rsidR="00432BEA">
        <w:rPr>
          <w:sz w:val="20"/>
          <w:lang w:val="fr-FR"/>
        </w:rPr>
        <w:t>’</w:t>
      </w:r>
      <w:r w:rsidRPr="00432BEA">
        <w:rPr>
          <w:sz w:val="20"/>
          <w:lang w:val="fr-FR"/>
        </w:rPr>
        <w:t>aide sociale pour la prise en charge de leurs frais de séjour dans la maison de retraite ne lui conférant pas pour autant la qualité d</w:t>
      </w:r>
      <w:r w:rsidRPr="00432BEA" w:rsidR="00432BEA">
        <w:rPr>
          <w:sz w:val="20"/>
          <w:lang w:val="fr-FR"/>
        </w:rPr>
        <w:t>’</w:t>
      </w:r>
      <w:r w:rsidRPr="00432BEA">
        <w:rPr>
          <w:sz w:val="20"/>
          <w:lang w:val="fr-FR"/>
        </w:rPr>
        <w:t>employeur d</w:t>
      </w:r>
      <w:r w:rsidRPr="00432BEA" w:rsidR="00432BEA">
        <w:rPr>
          <w:sz w:val="20"/>
          <w:lang w:val="fr-FR"/>
        </w:rPr>
        <w:t>’</w:t>
      </w:r>
      <w:r w:rsidRPr="00432BEA">
        <w:rPr>
          <w:sz w:val="20"/>
          <w:lang w:val="fr-FR"/>
        </w:rPr>
        <w:t>«</w:t>
      </w:r>
      <w:r w:rsidRPr="00432BEA" w:rsidR="004452F5">
        <w:rPr>
          <w:sz w:val="20"/>
          <w:lang w:val="fr-FR"/>
        </w:rPr>
        <w:t> </w:t>
      </w:r>
      <w:r w:rsidRPr="00432BEA">
        <w:rPr>
          <w:sz w:val="20"/>
          <w:lang w:val="fr-FR"/>
        </w:rPr>
        <w:t>aides à domicile ».</w:t>
      </w:r>
    </w:p>
    <w:p w:rsidRPr="00432BEA" w:rsidR="007D22EB" w:rsidP="00432BEA" w:rsidRDefault="00670DF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15</w:t>
      </w:r>
      <w:r w:rsidRPr="00432BEA">
        <w:rPr>
          <w:lang w:val="fr-FR"/>
        </w:rPr>
        <w:fldChar w:fldCharType="end"/>
      </w:r>
      <w:r w:rsidRPr="00432BEA">
        <w:rPr>
          <w:lang w:val="fr-FR"/>
        </w:rPr>
        <w:t>.  </w:t>
      </w:r>
      <w:r w:rsidRPr="00432BEA" w:rsidR="00891E03">
        <w:rPr>
          <w:lang w:val="fr-FR"/>
        </w:rPr>
        <w:t>Le requérant forma un pourvoi en cassation. Dans un moyen unique de cassation, en quatre branches, il allégua un</w:t>
      </w:r>
      <w:r w:rsidRPr="00432BEA" w:rsidR="00EF7F30">
        <w:rPr>
          <w:lang w:val="fr-FR"/>
        </w:rPr>
        <w:t>e violation des articles L. 241</w:t>
      </w:r>
      <w:r w:rsidRPr="00432BEA" w:rsidR="00EF7F30">
        <w:rPr>
          <w:lang w:val="fr-FR"/>
        </w:rPr>
        <w:noBreakHyphen/>
      </w:r>
      <w:r w:rsidRPr="00432BEA" w:rsidR="00891E03">
        <w:rPr>
          <w:lang w:val="fr-FR"/>
        </w:rPr>
        <w:t>10 III du CSS et 102 du CC</w:t>
      </w:r>
      <w:r w:rsidRPr="00432BEA" w:rsidR="00157924">
        <w:rPr>
          <w:lang w:val="fr-FR"/>
        </w:rPr>
        <w:t xml:space="preserve">, </w:t>
      </w:r>
      <w:r w:rsidRPr="00432BEA" w:rsidR="00265A75">
        <w:rPr>
          <w:lang w:val="fr-FR"/>
        </w:rPr>
        <w:t>reprochant aux juges du fond d</w:t>
      </w:r>
      <w:r w:rsidRPr="00432BEA" w:rsidR="00432BEA">
        <w:rPr>
          <w:lang w:val="fr-FR"/>
        </w:rPr>
        <w:t>’</w:t>
      </w:r>
      <w:r w:rsidRPr="00432BEA" w:rsidR="00265A75">
        <w:rPr>
          <w:lang w:val="fr-FR"/>
        </w:rPr>
        <w:t xml:space="preserve">avoir </w:t>
      </w:r>
      <w:r w:rsidRPr="00432BEA" w:rsidR="00157924">
        <w:rPr>
          <w:lang w:val="fr-FR"/>
        </w:rPr>
        <w:t>retenu que :</w:t>
      </w:r>
    </w:p>
    <w:p w:rsidRPr="00432BEA" w:rsidR="00157924" w:rsidP="00432BEA" w:rsidRDefault="00157924">
      <w:pPr>
        <w:ind w:firstLine="284"/>
        <w:rPr>
          <w:lang w:val="fr-FR"/>
        </w:rPr>
      </w:pPr>
      <w:r w:rsidRPr="00432BEA">
        <w:rPr>
          <w:lang w:val="fr-FR"/>
        </w:rPr>
        <w:t>-  il est un organisme habilité à recevoir des bénéficiaires de l</w:t>
      </w:r>
      <w:r w:rsidRPr="00432BEA" w:rsidR="00432BEA">
        <w:rPr>
          <w:lang w:val="fr-FR"/>
        </w:rPr>
        <w:t>’</w:t>
      </w:r>
      <w:r w:rsidRPr="00432BEA">
        <w:rPr>
          <w:lang w:val="fr-FR"/>
        </w:rPr>
        <w:t>aide sociale et non pas un organisme habilité au titre de l</w:t>
      </w:r>
      <w:r w:rsidRPr="00432BEA" w:rsidR="00432BEA">
        <w:rPr>
          <w:lang w:val="fr-FR"/>
        </w:rPr>
        <w:t>’</w:t>
      </w:r>
      <w:r w:rsidRPr="00432BEA">
        <w:rPr>
          <w:lang w:val="fr-FR"/>
        </w:rPr>
        <w:t>aide sociale alors que ces qualifications sont synonymes ;</w:t>
      </w:r>
    </w:p>
    <w:p w:rsidRPr="00432BEA" w:rsidR="00157924" w:rsidP="00432BEA" w:rsidRDefault="00157924">
      <w:pPr>
        <w:ind w:firstLine="284"/>
        <w:rPr>
          <w:lang w:val="fr-FR"/>
        </w:rPr>
      </w:pPr>
      <w:r w:rsidRPr="00432BEA">
        <w:rPr>
          <w:lang w:val="fr-FR"/>
        </w:rPr>
        <w:t>-  les personnes âgées ne peuvent pas avoir leur domicile à l</w:t>
      </w:r>
      <w:r w:rsidRPr="00432BEA" w:rsidR="00432BEA">
        <w:rPr>
          <w:lang w:val="fr-FR"/>
        </w:rPr>
        <w:t>’</w:t>
      </w:r>
      <w:r w:rsidRPr="00432BEA">
        <w:rPr>
          <w:lang w:val="fr-FR"/>
        </w:rPr>
        <w:t>hôpital ;</w:t>
      </w:r>
    </w:p>
    <w:p w:rsidRPr="00432BEA" w:rsidR="00157924" w:rsidP="00432BEA" w:rsidRDefault="00157924">
      <w:pPr>
        <w:ind w:firstLine="284"/>
        <w:rPr>
          <w:lang w:val="fr-FR"/>
        </w:rPr>
      </w:pPr>
      <w:r w:rsidRPr="00432BEA">
        <w:rPr>
          <w:lang w:val="fr-FR"/>
        </w:rPr>
        <w:t>-  l</w:t>
      </w:r>
      <w:r w:rsidRPr="00432BEA" w:rsidR="00432BEA">
        <w:rPr>
          <w:lang w:val="fr-FR"/>
        </w:rPr>
        <w:t>’</w:t>
      </w:r>
      <w:r w:rsidRPr="00432BEA">
        <w:rPr>
          <w:lang w:val="fr-FR"/>
        </w:rPr>
        <w:t>exonération ne peut pas s</w:t>
      </w:r>
      <w:r w:rsidRPr="00432BEA" w:rsidR="00432BEA">
        <w:rPr>
          <w:lang w:val="fr-FR"/>
        </w:rPr>
        <w:t>’</w:t>
      </w:r>
      <w:r w:rsidRPr="00432BEA">
        <w:rPr>
          <w:lang w:val="fr-FR"/>
        </w:rPr>
        <w:t>appliquer au personnel de la maison de retraite ;</w:t>
      </w:r>
    </w:p>
    <w:p w:rsidRPr="00432BEA" w:rsidR="00157924" w:rsidP="00432BEA" w:rsidRDefault="00157924">
      <w:pPr>
        <w:ind w:firstLine="284"/>
        <w:rPr>
          <w:lang w:val="fr-FR"/>
        </w:rPr>
      </w:pPr>
      <w:r w:rsidRPr="00432BEA">
        <w:rPr>
          <w:lang w:val="fr-FR"/>
        </w:rPr>
        <w:t>-  l</w:t>
      </w:r>
      <w:r w:rsidRPr="00432BEA" w:rsidR="00432BEA">
        <w:rPr>
          <w:lang w:val="fr-FR"/>
        </w:rPr>
        <w:t>’</w:t>
      </w:r>
      <w:r w:rsidRPr="00432BEA">
        <w:rPr>
          <w:lang w:val="fr-FR"/>
        </w:rPr>
        <w:t>exonération ne peut être demandée que par les personnes âgées et pas par les organismes eux-mêmes.</w:t>
      </w:r>
    </w:p>
    <w:p w:rsidRPr="00432BEA" w:rsidR="007D22EB" w:rsidP="00432BEA" w:rsidRDefault="00410483">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16</w:t>
      </w:r>
      <w:r w:rsidRPr="00432BEA">
        <w:rPr>
          <w:lang w:val="fr-FR"/>
        </w:rPr>
        <w:fldChar w:fldCharType="end"/>
      </w:r>
      <w:r w:rsidRPr="00432BEA">
        <w:rPr>
          <w:lang w:val="fr-FR"/>
        </w:rPr>
        <w:t>.  </w:t>
      </w:r>
      <w:r w:rsidRPr="00432BEA" w:rsidR="00C12AD8">
        <w:rPr>
          <w:lang w:val="fr-FR"/>
        </w:rPr>
        <w:t>L</w:t>
      </w:r>
      <w:r w:rsidRPr="00432BEA" w:rsidR="00891E03">
        <w:rPr>
          <w:lang w:val="fr-FR"/>
        </w:rPr>
        <w:t>e 2</w:t>
      </w:r>
      <w:r w:rsidRPr="00432BEA" w:rsidR="00EF175B">
        <w:rPr>
          <w:lang w:val="fr-FR"/>
        </w:rPr>
        <w:t>1</w:t>
      </w:r>
      <w:r w:rsidRPr="00432BEA" w:rsidR="00891E03">
        <w:rPr>
          <w:lang w:val="fr-FR"/>
        </w:rPr>
        <w:t xml:space="preserve"> décembre 2010, </w:t>
      </w:r>
      <w:r w:rsidRPr="00432BEA" w:rsidR="00C12AD8">
        <w:rPr>
          <w:lang w:val="fr-FR"/>
        </w:rPr>
        <w:t>alors que le pourvoi était pendant, fut publiée au Journal officiel de la République</w:t>
      </w:r>
      <w:r w:rsidRPr="00432BEA" w:rsidR="00EF175B">
        <w:rPr>
          <w:lang w:val="fr-FR"/>
        </w:rPr>
        <w:t xml:space="preserve"> (</w:t>
      </w:r>
      <w:r w:rsidRPr="00432BEA" w:rsidR="00EF175B">
        <w:rPr>
          <w:rFonts w:asciiTheme="majorHAnsi" w:hAnsiTheme="majorHAnsi" w:cstheme="majorHAnsi"/>
          <w:lang w:val="fr-FR"/>
        </w:rPr>
        <w:t>Journal Officiel n</w:t>
      </w:r>
      <w:r w:rsidRPr="00432BEA" w:rsidR="007D22EB">
        <w:rPr>
          <w:rFonts w:asciiTheme="majorHAnsi" w:hAnsiTheme="majorHAnsi" w:cstheme="majorHAnsi"/>
          <w:vertAlign w:val="superscript"/>
          <w:lang w:val="fr-FR"/>
        </w:rPr>
        <w:t>o</w:t>
      </w:r>
      <w:r w:rsidRPr="00432BEA" w:rsidR="00EF7F30">
        <w:rPr>
          <w:rFonts w:asciiTheme="majorHAnsi" w:hAnsiTheme="majorHAnsi" w:cstheme="majorHAnsi"/>
          <w:lang w:val="fr-FR"/>
        </w:rPr>
        <w:t xml:space="preserve"> 295 du 21 </w:t>
      </w:r>
      <w:r w:rsidRPr="00432BEA" w:rsidR="00EF175B">
        <w:rPr>
          <w:rFonts w:asciiTheme="majorHAnsi" w:hAnsiTheme="majorHAnsi" w:cstheme="majorHAnsi"/>
          <w:bCs/>
          <w:lang w:val="fr-FR"/>
        </w:rPr>
        <w:t>décembre 2010</w:t>
      </w:r>
      <w:r w:rsidRPr="00432BEA" w:rsidR="00EF175B">
        <w:rPr>
          <w:rFonts w:asciiTheme="majorHAnsi" w:hAnsiTheme="majorHAnsi" w:cstheme="majorHAnsi"/>
          <w:lang w:val="fr-FR"/>
        </w:rPr>
        <w:t xml:space="preserve">) </w:t>
      </w:r>
      <w:r w:rsidRPr="00432BEA" w:rsidR="00C12AD8">
        <w:rPr>
          <w:lang w:val="fr-FR"/>
        </w:rPr>
        <w:t xml:space="preserve">la </w:t>
      </w:r>
      <w:r w:rsidRPr="00432BEA" w:rsidR="00891E03">
        <w:rPr>
          <w:lang w:val="fr-FR"/>
        </w:rPr>
        <w:t>loi n</w:t>
      </w:r>
      <w:r w:rsidRPr="00432BEA" w:rsidR="007D22EB">
        <w:rPr>
          <w:vertAlign w:val="superscript"/>
          <w:lang w:val="fr-FR"/>
        </w:rPr>
        <w:t>o</w:t>
      </w:r>
      <w:r w:rsidRPr="00432BEA" w:rsidR="00891E03">
        <w:rPr>
          <w:lang w:val="fr-FR"/>
        </w:rPr>
        <w:t xml:space="preserve"> 2010-1594 </w:t>
      </w:r>
      <w:r w:rsidRPr="00432BEA" w:rsidR="0070238B">
        <w:rPr>
          <w:lang w:val="fr-FR"/>
        </w:rPr>
        <w:t xml:space="preserve">du 20 décembre 2010 </w:t>
      </w:r>
      <w:r w:rsidRPr="00432BEA" w:rsidR="00891E03">
        <w:rPr>
          <w:lang w:val="fr-FR"/>
        </w:rPr>
        <w:t xml:space="preserve">de financement de la </w:t>
      </w:r>
      <w:r w:rsidRPr="00432BEA" w:rsidR="003B3BEA">
        <w:rPr>
          <w:lang w:val="fr-FR"/>
        </w:rPr>
        <w:t>s</w:t>
      </w:r>
      <w:r w:rsidRPr="00432BEA" w:rsidR="00632783">
        <w:rPr>
          <w:lang w:val="fr-FR"/>
        </w:rPr>
        <w:t>écurité sociale</w:t>
      </w:r>
      <w:r w:rsidRPr="00432BEA" w:rsidR="00891E03">
        <w:rPr>
          <w:lang w:val="fr-FR"/>
        </w:rPr>
        <w:t xml:space="preserve"> pour 2011 </w:t>
      </w:r>
      <w:r w:rsidRPr="00432BEA" w:rsidR="008F00C1">
        <w:rPr>
          <w:lang w:val="fr-FR"/>
        </w:rPr>
        <w:t>(ci-après « la loi du 20 décembre 2010»)</w:t>
      </w:r>
      <w:r w:rsidRPr="00432BEA" w:rsidR="00C12AD8">
        <w:rPr>
          <w:lang w:val="fr-FR"/>
        </w:rPr>
        <w:t>. L</w:t>
      </w:r>
      <w:r w:rsidRPr="00432BEA" w:rsidR="00432BEA">
        <w:rPr>
          <w:lang w:val="fr-FR"/>
        </w:rPr>
        <w:t>’</w:t>
      </w:r>
      <w:r w:rsidRPr="00432BEA" w:rsidR="00C12AD8">
        <w:rPr>
          <w:lang w:val="fr-FR"/>
        </w:rPr>
        <w:t>article 14 de cette loi d</w:t>
      </w:r>
      <w:r w:rsidRPr="00432BEA" w:rsidR="00745AF0">
        <w:rPr>
          <w:lang w:val="fr-FR"/>
        </w:rPr>
        <w:t xml:space="preserve">isposait </w:t>
      </w:r>
      <w:r w:rsidRPr="00432BEA" w:rsidR="00891E03">
        <w:rPr>
          <w:lang w:val="fr-FR"/>
        </w:rPr>
        <w:t>que : « au pre</w:t>
      </w:r>
      <w:r w:rsidRPr="00432BEA" w:rsidR="004452F5">
        <w:rPr>
          <w:lang w:val="fr-FR"/>
        </w:rPr>
        <w:t>mier alinéa du III de l</w:t>
      </w:r>
      <w:r w:rsidRPr="00432BEA" w:rsidR="00432BEA">
        <w:rPr>
          <w:lang w:val="fr-FR"/>
        </w:rPr>
        <w:t>’</w:t>
      </w:r>
      <w:r w:rsidRPr="00432BEA" w:rsidR="004452F5">
        <w:rPr>
          <w:lang w:val="fr-FR"/>
        </w:rPr>
        <w:t>article </w:t>
      </w:r>
      <w:r w:rsidRPr="00432BEA" w:rsidR="00891E03">
        <w:rPr>
          <w:lang w:val="fr-FR"/>
        </w:rPr>
        <w:t xml:space="preserve">L. 241-10 du code de la </w:t>
      </w:r>
      <w:r w:rsidRPr="00432BEA" w:rsidR="003B3BEA">
        <w:rPr>
          <w:lang w:val="fr-FR"/>
        </w:rPr>
        <w:t>s</w:t>
      </w:r>
      <w:r w:rsidRPr="00432BEA" w:rsidR="00632783">
        <w:rPr>
          <w:lang w:val="fr-FR"/>
        </w:rPr>
        <w:t>écurité sociale</w:t>
      </w:r>
      <w:r w:rsidRPr="00432BEA" w:rsidR="00891E03">
        <w:rPr>
          <w:lang w:val="fr-FR"/>
        </w:rPr>
        <w:t>, les mots : « chez les » sont remplacés par les mots : « au domicile à usage privatif des ».</w:t>
      </w:r>
    </w:p>
    <w:p w:rsidRPr="00432BEA" w:rsidR="007D22EB" w:rsidP="00432BEA" w:rsidRDefault="00410483">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17</w:t>
      </w:r>
      <w:r w:rsidRPr="00432BEA">
        <w:rPr>
          <w:lang w:val="fr-FR"/>
        </w:rPr>
        <w:fldChar w:fldCharType="end"/>
      </w:r>
      <w:r w:rsidRPr="00432BEA">
        <w:rPr>
          <w:lang w:val="fr-FR"/>
        </w:rPr>
        <w:t>.  </w:t>
      </w:r>
      <w:r w:rsidRPr="00432BEA" w:rsidR="00B0463C">
        <w:rPr>
          <w:lang w:val="fr-FR"/>
        </w:rPr>
        <w:t>Entre-temps, cette loi avait été déférée au Conseil constitutionnel par des députés qui considéraient que l</w:t>
      </w:r>
      <w:r w:rsidRPr="00432BEA" w:rsidR="00432BEA">
        <w:rPr>
          <w:lang w:val="fr-FR"/>
        </w:rPr>
        <w:t>’</w:t>
      </w:r>
      <w:r w:rsidRPr="00432BEA" w:rsidR="00B0463C">
        <w:rPr>
          <w:lang w:val="fr-FR"/>
        </w:rPr>
        <w:t>article 14 de la loi du 20 décembre 2010, en excluant de l</w:t>
      </w:r>
      <w:r w:rsidRPr="00432BEA" w:rsidR="00432BEA">
        <w:rPr>
          <w:lang w:val="fr-FR"/>
        </w:rPr>
        <w:t>’</w:t>
      </w:r>
      <w:r w:rsidRPr="00432BEA" w:rsidR="00B0463C">
        <w:rPr>
          <w:lang w:val="fr-FR"/>
        </w:rPr>
        <w:t>exonération litigieuse les personnes résidant en établissement, méconnaissait le principe d</w:t>
      </w:r>
      <w:r w:rsidRPr="00432BEA" w:rsidR="00432BEA">
        <w:rPr>
          <w:lang w:val="fr-FR"/>
        </w:rPr>
        <w:t>’</w:t>
      </w:r>
      <w:r w:rsidRPr="00432BEA" w:rsidR="00B0463C">
        <w:rPr>
          <w:lang w:val="fr-FR"/>
        </w:rPr>
        <w:t xml:space="preserve">égalité. </w:t>
      </w:r>
      <w:r w:rsidRPr="00432BEA" w:rsidR="00D33BF3">
        <w:rPr>
          <w:lang w:val="fr-FR"/>
        </w:rPr>
        <w:t xml:space="preserve">Opérant un contrôle </w:t>
      </w:r>
      <w:r w:rsidRPr="00432BEA" w:rsidR="00D33BF3">
        <w:rPr>
          <w:i/>
          <w:lang w:val="fr-FR"/>
        </w:rPr>
        <w:t>a </w:t>
      </w:r>
      <w:r w:rsidRPr="00432BEA" w:rsidR="001B4D36">
        <w:rPr>
          <w:i/>
          <w:lang w:val="fr-FR"/>
        </w:rPr>
        <w:t>priori</w:t>
      </w:r>
      <w:r w:rsidRPr="00432BEA" w:rsidR="001B4D36">
        <w:rPr>
          <w:lang w:val="fr-FR"/>
        </w:rPr>
        <w:t>, p</w:t>
      </w:r>
      <w:r w:rsidRPr="00432BEA" w:rsidR="004452F5">
        <w:rPr>
          <w:lang w:val="fr-FR"/>
        </w:rPr>
        <w:t>ar une décision du 16 </w:t>
      </w:r>
      <w:r w:rsidRPr="00432BEA" w:rsidR="00891E03">
        <w:rPr>
          <w:lang w:val="fr-FR"/>
        </w:rPr>
        <w:t>décembre 2010, ainsi motivée, le Conseil constitutionnel déclara l</w:t>
      </w:r>
      <w:r w:rsidRPr="00432BEA" w:rsidR="00432BEA">
        <w:rPr>
          <w:lang w:val="fr-FR"/>
        </w:rPr>
        <w:t>’</w:t>
      </w:r>
      <w:r w:rsidRPr="00432BEA" w:rsidR="00891E03">
        <w:rPr>
          <w:lang w:val="fr-FR"/>
        </w:rPr>
        <w:t>ar</w:t>
      </w:r>
      <w:r w:rsidRPr="00432BEA" w:rsidR="004452F5">
        <w:rPr>
          <w:lang w:val="fr-FR"/>
        </w:rPr>
        <w:t>ticle </w:t>
      </w:r>
      <w:r w:rsidRPr="00432BEA" w:rsidR="00891E03">
        <w:rPr>
          <w:lang w:val="fr-FR"/>
        </w:rPr>
        <w:t>14 précité conforme à la Constitution :</w:t>
      </w:r>
    </w:p>
    <w:p w:rsidRPr="00432BEA" w:rsidR="00891E03" w:rsidP="00432BEA" w:rsidRDefault="004452F5">
      <w:pPr>
        <w:numPr>
          <w:ilvl w:val="0"/>
          <w:numId w:val="17"/>
        </w:numPr>
        <w:tabs>
          <w:tab w:val="clear" w:pos="720"/>
        </w:tabs>
        <w:spacing w:before="120" w:after="120"/>
        <w:ind w:left="425" w:firstLine="142"/>
        <w:rPr>
          <w:sz w:val="20"/>
          <w:lang w:val="fr-FR"/>
        </w:rPr>
      </w:pPr>
      <w:r w:rsidRPr="00432BEA">
        <w:rPr>
          <w:sz w:val="20"/>
          <w:lang w:val="fr-FR"/>
        </w:rPr>
        <w:t>  </w:t>
      </w:r>
      <w:r w:rsidRPr="00432BEA" w:rsidR="00891E03">
        <w:rPr>
          <w:sz w:val="20"/>
          <w:lang w:val="fr-FR"/>
        </w:rPr>
        <w:t>« (</w:t>
      </w:r>
      <w:r w:rsidRPr="00432BEA" w:rsidR="007D22EB">
        <w:rPr>
          <w:sz w:val="20"/>
          <w:lang w:val="fr-FR"/>
        </w:rPr>
        <w:t>...</w:t>
      </w:r>
      <w:r w:rsidRPr="00432BEA" w:rsidR="00891E03">
        <w:rPr>
          <w:sz w:val="20"/>
          <w:lang w:val="fr-FR"/>
        </w:rPr>
        <w:t>) Considérant que l</w:t>
      </w:r>
      <w:r w:rsidRPr="00432BEA" w:rsidR="00432BEA">
        <w:rPr>
          <w:sz w:val="20"/>
          <w:lang w:val="fr-FR"/>
        </w:rPr>
        <w:t>’</w:t>
      </w:r>
      <w:r w:rsidRPr="00432BEA" w:rsidR="00891E03">
        <w:rPr>
          <w:sz w:val="20"/>
          <w:lang w:val="fr-FR"/>
        </w:rPr>
        <w:t xml:space="preserve">exonération de cotisations </w:t>
      </w:r>
      <w:r w:rsidRPr="00432BEA">
        <w:rPr>
          <w:sz w:val="20"/>
          <w:lang w:val="fr-FR"/>
        </w:rPr>
        <w:t>patronales prévue par l</w:t>
      </w:r>
      <w:r w:rsidRPr="00432BEA" w:rsidR="00432BEA">
        <w:rPr>
          <w:sz w:val="20"/>
          <w:lang w:val="fr-FR"/>
        </w:rPr>
        <w:t>’</w:t>
      </w:r>
      <w:r w:rsidRPr="00432BEA">
        <w:rPr>
          <w:sz w:val="20"/>
          <w:lang w:val="fr-FR"/>
        </w:rPr>
        <w:t>article </w:t>
      </w:r>
      <w:r w:rsidRPr="00432BEA" w:rsidR="00891E03">
        <w:rPr>
          <w:sz w:val="20"/>
          <w:lang w:val="fr-FR"/>
        </w:rPr>
        <w:t xml:space="preserve">L. 241-10 du code de la </w:t>
      </w:r>
      <w:r w:rsidRPr="00432BEA" w:rsidR="003B3BEA">
        <w:rPr>
          <w:sz w:val="20"/>
          <w:lang w:val="fr-FR"/>
        </w:rPr>
        <w:t>s</w:t>
      </w:r>
      <w:r w:rsidRPr="00432BEA" w:rsidR="00632783">
        <w:rPr>
          <w:sz w:val="20"/>
          <w:lang w:val="fr-FR"/>
        </w:rPr>
        <w:t>écurité sociale</w:t>
      </w:r>
      <w:r w:rsidRPr="00432BEA" w:rsidR="00891E03">
        <w:rPr>
          <w:sz w:val="20"/>
          <w:lang w:val="fr-FR"/>
        </w:rPr>
        <w:t xml:space="preserve"> tend à favoriser le maintien chez elles de personnes dépendantes ; que l</w:t>
      </w:r>
      <w:r w:rsidRPr="00432BEA" w:rsidR="00432BEA">
        <w:rPr>
          <w:sz w:val="20"/>
          <w:lang w:val="fr-FR"/>
        </w:rPr>
        <w:t>’</w:t>
      </w:r>
      <w:r w:rsidRPr="00432BEA" w:rsidR="00891E03">
        <w:rPr>
          <w:sz w:val="20"/>
          <w:lang w:val="fr-FR"/>
        </w:rPr>
        <w:t>attribution du bénéfice de cette exonération en fonction du caractère privatif du domicile de la personne bénéficiaire de l</w:t>
      </w:r>
      <w:r w:rsidRPr="00432BEA" w:rsidR="00432BEA">
        <w:rPr>
          <w:sz w:val="20"/>
          <w:lang w:val="fr-FR"/>
        </w:rPr>
        <w:t>’</w:t>
      </w:r>
      <w:r w:rsidRPr="00432BEA" w:rsidR="00891E03">
        <w:rPr>
          <w:sz w:val="20"/>
          <w:lang w:val="fr-FR"/>
        </w:rPr>
        <w:t>aide est en lien direct avec l</w:t>
      </w:r>
      <w:r w:rsidRPr="00432BEA" w:rsidR="00432BEA">
        <w:rPr>
          <w:sz w:val="20"/>
          <w:lang w:val="fr-FR"/>
        </w:rPr>
        <w:t>’</w:t>
      </w:r>
      <w:r w:rsidRPr="00432BEA" w:rsidR="00891E03">
        <w:rPr>
          <w:sz w:val="20"/>
          <w:lang w:val="fr-FR"/>
        </w:rPr>
        <w:t>objet de cet article ; que, dès lors, les dispositions de l</w:t>
      </w:r>
      <w:r w:rsidRPr="00432BEA" w:rsidR="00432BEA">
        <w:rPr>
          <w:sz w:val="20"/>
          <w:lang w:val="fr-FR"/>
        </w:rPr>
        <w:t>’</w:t>
      </w:r>
      <w:r w:rsidRPr="00432BEA" w:rsidR="00891E03">
        <w:rPr>
          <w:sz w:val="20"/>
          <w:lang w:val="fr-FR"/>
        </w:rPr>
        <w:t>article 14, qui rappellent cet objet, ne méconnaissent pas le principe d</w:t>
      </w:r>
      <w:r w:rsidRPr="00432BEA" w:rsidR="00432BEA">
        <w:rPr>
          <w:sz w:val="20"/>
          <w:lang w:val="fr-FR"/>
        </w:rPr>
        <w:t>’</w:t>
      </w:r>
      <w:r w:rsidRPr="00432BEA" w:rsidR="00891E03">
        <w:rPr>
          <w:sz w:val="20"/>
          <w:lang w:val="fr-FR"/>
        </w:rPr>
        <w:t>égalité devant la loi ».</w:t>
      </w:r>
    </w:p>
    <w:p w:rsidRPr="00432BEA" w:rsidR="007D22EB" w:rsidP="00432BEA" w:rsidRDefault="00410483">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18</w:t>
      </w:r>
      <w:r w:rsidRPr="00432BEA">
        <w:rPr>
          <w:lang w:val="fr-FR"/>
        </w:rPr>
        <w:fldChar w:fldCharType="end"/>
      </w:r>
      <w:r w:rsidRPr="00432BEA">
        <w:rPr>
          <w:lang w:val="fr-FR"/>
        </w:rPr>
        <w:t>.  </w:t>
      </w:r>
      <w:r w:rsidRPr="00432BEA" w:rsidR="00891E03">
        <w:rPr>
          <w:lang w:val="fr-FR"/>
        </w:rPr>
        <w:t>Dans son mémoire en défense</w:t>
      </w:r>
      <w:r w:rsidRPr="00432BEA" w:rsidR="009661D6">
        <w:rPr>
          <w:lang w:val="fr-FR"/>
        </w:rPr>
        <w:t xml:space="preserve"> déposé le 29 décembre 2010 </w:t>
      </w:r>
      <w:r w:rsidRPr="00432BEA" w:rsidR="00891E03">
        <w:rPr>
          <w:lang w:val="fr-FR"/>
        </w:rPr>
        <w:t>devant la Cour de cassation, l</w:t>
      </w:r>
      <w:r w:rsidRPr="00432BEA" w:rsidR="00432BEA">
        <w:rPr>
          <w:lang w:val="fr-FR"/>
        </w:rPr>
        <w:t>’</w:t>
      </w:r>
      <w:r w:rsidRPr="00432BEA" w:rsidR="00891E03">
        <w:rPr>
          <w:lang w:val="fr-FR"/>
        </w:rPr>
        <w:t>URSSAF souligna que l</w:t>
      </w:r>
      <w:r w:rsidRPr="00432BEA" w:rsidR="00432BEA">
        <w:rPr>
          <w:lang w:val="fr-FR"/>
        </w:rPr>
        <w:t>’</w:t>
      </w:r>
      <w:r w:rsidRPr="00432BEA" w:rsidR="00891E03">
        <w:rPr>
          <w:lang w:val="fr-FR"/>
        </w:rPr>
        <w:t>objectif du dispositif d</w:t>
      </w:r>
      <w:r w:rsidRPr="00432BEA" w:rsidR="00432BEA">
        <w:rPr>
          <w:lang w:val="fr-FR"/>
        </w:rPr>
        <w:t>’</w:t>
      </w:r>
      <w:r w:rsidRPr="00432BEA" w:rsidR="00891E03">
        <w:rPr>
          <w:lang w:val="fr-FR"/>
        </w:rPr>
        <w:t xml:space="preserve">exonération était de favoriser le maintien des personnes âgées à domicile. Elle se prévalut du caractère interprétatif </w:t>
      </w:r>
      <w:r w:rsidRPr="00432BEA" w:rsidR="004452F5">
        <w:rPr>
          <w:lang w:val="fr-FR"/>
        </w:rPr>
        <w:t>de l</w:t>
      </w:r>
      <w:r w:rsidRPr="00432BEA" w:rsidR="00432BEA">
        <w:rPr>
          <w:lang w:val="fr-FR"/>
        </w:rPr>
        <w:t>’</w:t>
      </w:r>
      <w:r w:rsidRPr="00432BEA" w:rsidR="004452F5">
        <w:rPr>
          <w:lang w:val="fr-FR"/>
        </w:rPr>
        <w:t>article 14 de la loi du 20 </w:t>
      </w:r>
      <w:r w:rsidRPr="00432BEA" w:rsidR="00891E03">
        <w:rPr>
          <w:lang w:val="fr-FR"/>
        </w:rPr>
        <w:t>décembre 2010, qui a pour seul but de confirmer que l</w:t>
      </w:r>
      <w:r w:rsidRPr="00432BEA" w:rsidR="00432BEA">
        <w:rPr>
          <w:lang w:val="fr-FR"/>
        </w:rPr>
        <w:t>’</w:t>
      </w:r>
      <w:r w:rsidRPr="00432BEA" w:rsidR="00891E03">
        <w:rPr>
          <w:lang w:val="fr-FR"/>
        </w:rPr>
        <w:t>exonération des cotisations ne s</w:t>
      </w:r>
      <w:r w:rsidRPr="00432BEA" w:rsidR="00432BEA">
        <w:rPr>
          <w:lang w:val="fr-FR"/>
        </w:rPr>
        <w:t>’</w:t>
      </w:r>
      <w:r w:rsidRPr="00432BEA" w:rsidR="00891E03">
        <w:rPr>
          <w:lang w:val="fr-FR"/>
        </w:rPr>
        <w:t>applique pas aux personnes employées par les établissements d</w:t>
      </w:r>
      <w:r w:rsidRPr="00432BEA" w:rsidR="00432BEA">
        <w:rPr>
          <w:lang w:val="fr-FR"/>
        </w:rPr>
        <w:t>’</w:t>
      </w:r>
      <w:r w:rsidRPr="00432BEA" w:rsidR="00891E03">
        <w:rPr>
          <w:lang w:val="fr-FR"/>
        </w:rPr>
        <w:t>hébergement collectif des personnes dépendantes, et d</w:t>
      </w:r>
      <w:r w:rsidRPr="00432BEA" w:rsidR="00432BEA">
        <w:rPr>
          <w:lang w:val="fr-FR"/>
        </w:rPr>
        <w:t>’</w:t>
      </w:r>
      <w:r w:rsidRPr="00432BEA" w:rsidR="00891E03">
        <w:rPr>
          <w:lang w:val="fr-FR"/>
        </w:rPr>
        <w:t>éviter de la part de ces derniers une tentative de détournement des dispositions de l</w:t>
      </w:r>
      <w:r w:rsidRPr="00432BEA" w:rsidR="00432BEA">
        <w:rPr>
          <w:lang w:val="fr-FR"/>
        </w:rPr>
        <w:t>’</w:t>
      </w:r>
      <w:r w:rsidRPr="00432BEA" w:rsidR="00891E03">
        <w:rPr>
          <w:lang w:val="fr-FR"/>
        </w:rPr>
        <w:t>article L. 241-10 III du CSS. L</w:t>
      </w:r>
      <w:r w:rsidRPr="00432BEA" w:rsidR="00432BEA">
        <w:rPr>
          <w:lang w:val="fr-FR"/>
        </w:rPr>
        <w:t>’</w:t>
      </w:r>
      <w:r w:rsidRPr="00432BEA" w:rsidR="00891E03">
        <w:rPr>
          <w:lang w:val="fr-FR"/>
        </w:rPr>
        <w:t xml:space="preserve">URSSAF </w:t>
      </w:r>
      <w:r w:rsidRPr="00432BEA" w:rsidR="003A01CE">
        <w:rPr>
          <w:lang w:val="fr-FR"/>
        </w:rPr>
        <w:t>souligna</w:t>
      </w:r>
      <w:r w:rsidRPr="00432BEA" w:rsidR="00891E03">
        <w:rPr>
          <w:lang w:val="fr-FR"/>
        </w:rPr>
        <w:t xml:space="preserve"> que la loi du 20 décembre 2010 était une loi interprétative et que son article 14 devait s</w:t>
      </w:r>
      <w:r w:rsidRPr="00432BEA" w:rsidR="00432BEA">
        <w:rPr>
          <w:lang w:val="fr-FR"/>
        </w:rPr>
        <w:t>’</w:t>
      </w:r>
      <w:r w:rsidRPr="00432BEA" w:rsidR="00891E03">
        <w:rPr>
          <w:lang w:val="fr-FR"/>
        </w:rPr>
        <w:t>appliquer immédiatement aux instances en cours, y compris devant la Cour de cassation.</w:t>
      </w:r>
    </w:p>
    <w:p w:rsidRPr="00432BEA" w:rsidR="007D22EB" w:rsidP="00432BEA" w:rsidRDefault="009661D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19</w:t>
      </w:r>
      <w:r w:rsidRPr="00432BEA">
        <w:rPr>
          <w:lang w:val="fr-FR"/>
        </w:rPr>
        <w:fldChar w:fldCharType="end"/>
      </w:r>
      <w:r w:rsidRPr="00432BEA">
        <w:rPr>
          <w:lang w:val="fr-FR"/>
        </w:rPr>
        <w:t>.  </w:t>
      </w:r>
      <w:r w:rsidRPr="00432BEA" w:rsidR="00372CE0">
        <w:rPr>
          <w:lang w:val="fr-FR"/>
        </w:rPr>
        <w:t>Dans son rapport « </w:t>
      </w:r>
      <w:r w:rsidRPr="00432BEA" w:rsidR="00D33BF3">
        <w:rPr>
          <w:lang w:val="fr-FR"/>
        </w:rPr>
        <w:t>E</w:t>
      </w:r>
      <w:r w:rsidRPr="00432BEA" w:rsidR="00372CE0">
        <w:rPr>
          <w:lang w:val="fr-FR"/>
        </w:rPr>
        <w:t>n vue de la non-admission du pourvoi pour absence de moyen sérieux », l</w:t>
      </w:r>
      <w:r w:rsidRPr="00432BEA">
        <w:rPr>
          <w:lang w:val="fr-FR"/>
        </w:rPr>
        <w:t xml:space="preserve">e conseiller rapporteur </w:t>
      </w:r>
      <w:r w:rsidRPr="00432BEA" w:rsidR="00B04776">
        <w:rPr>
          <w:lang w:val="fr-FR"/>
        </w:rPr>
        <w:t>fi</w:t>
      </w:r>
      <w:r w:rsidRPr="00432BEA" w:rsidR="00372CE0">
        <w:rPr>
          <w:lang w:val="fr-FR"/>
        </w:rPr>
        <w:t>t valoir</w:t>
      </w:r>
      <w:r w:rsidRPr="00432BEA" w:rsidR="00B04776">
        <w:rPr>
          <w:lang w:val="fr-FR"/>
        </w:rPr>
        <w:t>, d</w:t>
      </w:r>
      <w:r w:rsidRPr="00432BEA" w:rsidR="00432BEA">
        <w:rPr>
          <w:lang w:val="fr-FR"/>
        </w:rPr>
        <w:t>’</w:t>
      </w:r>
      <w:r w:rsidRPr="00432BEA" w:rsidR="00B04776">
        <w:rPr>
          <w:lang w:val="fr-FR"/>
        </w:rPr>
        <w:t>une part, que l</w:t>
      </w:r>
      <w:r w:rsidRPr="00432BEA" w:rsidR="00432BEA">
        <w:rPr>
          <w:lang w:val="fr-FR"/>
        </w:rPr>
        <w:t>’</w:t>
      </w:r>
      <w:r w:rsidRPr="00432BEA" w:rsidR="00B04776">
        <w:rPr>
          <w:lang w:val="fr-FR"/>
        </w:rPr>
        <w:t>interprétation du texte initial faite par les juges du fond était conforme à la volonté du législateur, et, d</w:t>
      </w:r>
      <w:r w:rsidRPr="00432BEA" w:rsidR="00432BEA">
        <w:rPr>
          <w:lang w:val="fr-FR"/>
        </w:rPr>
        <w:t>’</w:t>
      </w:r>
      <w:r w:rsidRPr="00432BEA" w:rsidR="00B04776">
        <w:rPr>
          <w:lang w:val="fr-FR"/>
        </w:rPr>
        <w:t>autre part, qu</w:t>
      </w:r>
      <w:r w:rsidRPr="00432BEA" w:rsidR="00432BEA">
        <w:rPr>
          <w:lang w:val="fr-FR"/>
        </w:rPr>
        <w:t>’</w:t>
      </w:r>
      <w:r w:rsidRPr="00432BEA" w:rsidR="00B04776">
        <w:rPr>
          <w:lang w:val="fr-FR"/>
        </w:rPr>
        <w:t>en y donnant une définition de ce qu</w:t>
      </w:r>
      <w:r w:rsidRPr="00432BEA" w:rsidR="00432BEA">
        <w:rPr>
          <w:lang w:val="fr-FR"/>
        </w:rPr>
        <w:t>’</w:t>
      </w:r>
      <w:r w:rsidRPr="00432BEA" w:rsidR="00B04776">
        <w:rPr>
          <w:lang w:val="fr-FR"/>
        </w:rPr>
        <w:t>il fallait entendre comme domicile au sens du texte litigieux, le législateur avait clairement voulu conférer</w:t>
      </w:r>
      <w:r w:rsidRPr="00432BEA" w:rsidR="004452F5">
        <w:rPr>
          <w:lang w:val="fr-FR"/>
        </w:rPr>
        <w:t xml:space="preserve"> à l</w:t>
      </w:r>
      <w:r w:rsidRPr="00432BEA" w:rsidR="00432BEA">
        <w:rPr>
          <w:lang w:val="fr-FR"/>
        </w:rPr>
        <w:t>’</w:t>
      </w:r>
      <w:r w:rsidRPr="00432BEA" w:rsidR="004452F5">
        <w:rPr>
          <w:lang w:val="fr-FR"/>
        </w:rPr>
        <w:t>article 14 de la loi du 20 </w:t>
      </w:r>
      <w:r w:rsidRPr="00432BEA" w:rsidR="00B04776">
        <w:rPr>
          <w:lang w:val="fr-FR"/>
        </w:rPr>
        <w:t>décembre 2010 un caractère interprétatif, rendant cette décision applicable devant la Cour de cassation.</w:t>
      </w:r>
      <w:r w:rsidRPr="00432BEA" w:rsidR="00B01AEE">
        <w:rPr>
          <w:lang w:val="fr-FR"/>
        </w:rPr>
        <w:t xml:space="preserve"> </w:t>
      </w:r>
      <w:r w:rsidRPr="00432BEA" w:rsidR="0069185B">
        <w:rPr>
          <w:lang w:val="fr-FR"/>
        </w:rPr>
        <w:t xml:space="preserve">Il </w:t>
      </w:r>
      <w:r w:rsidRPr="00432BEA" w:rsidR="00372CE0">
        <w:rPr>
          <w:lang w:val="fr-FR"/>
        </w:rPr>
        <w:t xml:space="preserve">conclut </w:t>
      </w:r>
      <w:r w:rsidRPr="00432BEA" w:rsidR="00CE4537">
        <w:rPr>
          <w:lang w:val="fr-FR"/>
        </w:rPr>
        <w:t xml:space="preserve">ainsi </w:t>
      </w:r>
      <w:r w:rsidRPr="00432BEA" w:rsidR="00372CE0">
        <w:rPr>
          <w:lang w:val="fr-FR"/>
        </w:rPr>
        <w:t xml:space="preserve">son rapport : </w:t>
      </w:r>
      <w:r w:rsidRPr="00432BEA" w:rsidR="0069185B">
        <w:rPr>
          <w:lang w:val="fr-FR"/>
        </w:rPr>
        <w:t>«</w:t>
      </w:r>
      <w:r w:rsidRPr="00432BEA" w:rsidR="00583E76">
        <w:rPr>
          <w:lang w:val="fr-FR"/>
        </w:rPr>
        <w:t> </w:t>
      </w:r>
      <w:r w:rsidRPr="00432BEA" w:rsidR="0069185B">
        <w:rPr>
          <w:lang w:val="fr-FR"/>
        </w:rPr>
        <w:t>Par suite, la décision prise par la cour d</w:t>
      </w:r>
      <w:r w:rsidRPr="00432BEA" w:rsidR="00432BEA">
        <w:rPr>
          <w:lang w:val="fr-FR"/>
        </w:rPr>
        <w:t>’</w:t>
      </w:r>
      <w:r w:rsidRPr="00432BEA" w:rsidR="0069185B">
        <w:rPr>
          <w:lang w:val="fr-FR"/>
        </w:rPr>
        <w:t>appel ne paraît pas pouvoir être sérieusement contestée par un moyen devenu inopérant, en sorte que le pourvoi ne sem</w:t>
      </w:r>
      <w:r w:rsidRPr="00432BEA" w:rsidR="00372CE0">
        <w:rPr>
          <w:lang w:val="fr-FR"/>
        </w:rPr>
        <w:t xml:space="preserve">ble pas pouvoir être accueilli </w:t>
      </w:r>
      <w:r w:rsidRPr="00432BEA" w:rsidR="0069185B">
        <w:rPr>
          <w:lang w:val="fr-FR"/>
        </w:rPr>
        <w:t xml:space="preserve">». </w:t>
      </w:r>
      <w:r w:rsidRPr="00432BEA" w:rsidR="00B01AEE">
        <w:rPr>
          <w:lang w:val="fr-FR"/>
        </w:rPr>
        <w:t>L</w:t>
      </w:r>
      <w:r w:rsidRPr="00432BEA" w:rsidR="00432BEA">
        <w:rPr>
          <w:lang w:val="fr-FR"/>
        </w:rPr>
        <w:t>’</w:t>
      </w:r>
      <w:r w:rsidRPr="00432BEA" w:rsidR="00B01AEE">
        <w:rPr>
          <w:lang w:val="fr-FR"/>
        </w:rPr>
        <w:t>avocat général</w:t>
      </w:r>
      <w:r w:rsidRPr="00432BEA" w:rsidR="00372CE0">
        <w:rPr>
          <w:lang w:val="fr-FR"/>
        </w:rPr>
        <w:t>, dans son avis,</w:t>
      </w:r>
      <w:r w:rsidRPr="00432BEA" w:rsidR="00B01AEE">
        <w:rPr>
          <w:lang w:val="fr-FR"/>
        </w:rPr>
        <w:t xml:space="preserve"> conclut au rejet du pourvoi :</w:t>
      </w:r>
    </w:p>
    <w:p w:rsidRPr="00432BEA" w:rsidR="004420C7" w:rsidP="00432BEA" w:rsidRDefault="0069185B">
      <w:pPr>
        <w:pStyle w:val="ECHRParaQuote"/>
        <w:rPr>
          <w:lang w:val="fr-FR"/>
        </w:rPr>
      </w:pPr>
      <w:r w:rsidRPr="00432BEA">
        <w:rPr>
          <w:lang w:val="fr-FR"/>
        </w:rPr>
        <w:t>« </w:t>
      </w:r>
      <w:r w:rsidRPr="00432BEA" w:rsidR="00B01AEE">
        <w:rPr>
          <w:lang w:val="fr-FR"/>
        </w:rPr>
        <w:t>Le litige repose sur l</w:t>
      </w:r>
      <w:r w:rsidRPr="00432BEA" w:rsidR="00432BEA">
        <w:rPr>
          <w:lang w:val="fr-FR"/>
        </w:rPr>
        <w:t>’</w:t>
      </w:r>
      <w:r w:rsidRPr="00432BEA" w:rsidR="00B01AEE">
        <w:rPr>
          <w:lang w:val="fr-FR"/>
        </w:rPr>
        <w:t>interprétation des dispositions de l</w:t>
      </w:r>
      <w:r w:rsidRPr="00432BEA" w:rsidR="00432BEA">
        <w:rPr>
          <w:lang w:val="fr-FR"/>
        </w:rPr>
        <w:t>’</w:t>
      </w:r>
      <w:r w:rsidRPr="00432BEA" w:rsidR="00B01AEE">
        <w:rPr>
          <w:lang w:val="fr-FR"/>
        </w:rPr>
        <w:t>article L</w:t>
      </w:r>
      <w:r w:rsidRPr="00432BEA" w:rsidR="004452F5">
        <w:rPr>
          <w:lang w:val="fr-FR"/>
        </w:rPr>
        <w:t>.</w:t>
      </w:r>
      <w:r w:rsidRPr="00432BEA" w:rsidR="00B01AEE">
        <w:rPr>
          <w:lang w:val="fr-FR"/>
        </w:rPr>
        <w:t xml:space="preserve"> 241-10 III du code de la </w:t>
      </w:r>
      <w:r w:rsidRPr="00432BEA" w:rsidR="003B3BEA">
        <w:rPr>
          <w:lang w:val="fr-FR"/>
        </w:rPr>
        <w:t>s</w:t>
      </w:r>
      <w:r w:rsidRPr="00432BEA" w:rsidR="00632783">
        <w:rPr>
          <w:lang w:val="fr-FR"/>
        </w:rPr>
        <w:t>écurité sociale</w:t>
      </w:r>
      <w:r w:rsidRPr="00432BEA" w:rsidR="00B01AEE">
        <w:rPr>
          <w:lang w:val="fr-FR"/>
        </w:rPr>
        <w:t xml:space="preserve"> relatives à l</w:t>
      </w:r>
      <w:r w:rsidRPr="00432BEA" w:rsidR="00432BEA">
        <w:rPr>
          <w:lang w:val="fr-FR"/>
        </w:rPr>
        <w:t>’</w:t>
      </w:r>
      <w:r w:rsidRPr="00432BEA" w:rsidR="00B01AEE">
        <w:rPr>
          <w:lang w:val="fr-FR"/>
        </w:rPr>
        <w:t xml:space="preserve">exonération des charges patronales de </w:t>
      </w:r>
      <w:r w:rsidRPr="00432BEA" w:rsidR="003B3BEA">
        <w:rPr>
          <w:lang w:val="fr-FR"/>
        </w:rPr>
        <w:t>s</w:t>
      </w:r>
      <w:r w:rsidRPr="00432BEA" w:rsidR="00632783">
        <w:rPr>
          <w:lang w:val="fr-FR"/>
        </w:rPr>
        <w:t>écurité sociale</w:t>
      </w:r>
      <w:r w:rsidRPr="00432BEA" w:rsidR="00B01AEE">
        <w:rPr>
          <w:lang w:val="fr-FR"/>
        </w:rPr>
        <w:t xml:space="preserve"> dues en matière d</w:t>
      </w:r>
      <w:r w:rsidRPr="00432BEA" w:rsidR="00432BEA">
        <w:rPr>
          <w:lang w:val="fr-FR"/>
        </w:rPr>
        <w:t>’</w:t>
      </w:r>
      <w:r w:rsidRPr="00432BEA" w:rsidR="00B01AEE">
        <w:rPr>
          <w:lang w:val="fr-FR"/>
        </w:rPr>
        <w:t xml:space="preserve">aide à domicile, dans leur version en vigueur </w:t>
      </w:r>
      <w:r w:rsidRPr="00432BEA" w:rsidR="004420C7">
        <w:rPr>
          <w:lang w:val="fr-FR"/>
        </w:rPr>
        <w:t>à l</w:t>
      </w:r>
      <w:r w:rsidRPr="00432BEA" w:rsidR="00432BEA">
        <w:rPr>
          <w:lang w:val="fr-FR"/>
        </w:rPr>
        <w:t>’</w:t>
      </w:r>
      <w:r w:rsidRPr="00432BEA" w:rsidR="004420C7">
        <w:rPr>
          <w:lang w:val="fr-FR"/>
        </w:rPr>
        <w:t>époque des faits. Ces dispositions sont-elles applicables aux personnes d</w:t>
      </w:r>
      <w:r w:rsidRPr="00432BEA" w:rsidR="00432BEA">
        <w:rPr>
          <w:lang w:val="fr-FR"/>
        </w:rPr>
        <w:t>’</w:t>
      </w:r>
      <w:r w:rsidRPr="00432BEA" w:rsidR="004420C7">
        <w:rPr>
          <w:lang w:val="fr-FR"/>
        </w:rPr>
        <w:t>une maison de retraite, dont l</w:t>
      </w:r>
      <w:r w:rsidRPr="00432BEA" w:rsidR="00432BEA">
        <w:rPr>
          <w:lang w:val="fr-FR"/>
        </w:rPr>
        <w:t>’</w:t>
      </w:r>
      <w:r w:rsidRPr="00432BEA" w:rsidR="004420C7">
        <w:rPr>
          <w:lang w:val="fr-FR"/>
        </w:rPr>
        <w:t>objet est précisément d</w:t>
      </w:r>
      <w:r w:rsidRPr="00432BEA" w:rsidR="00432BEA">
        <w:rPr>
          <w:lang w:val="fr-FR"/>
        </w:rPr>
        <w:t>’</w:t>
      </w:r>
      <w:r w:rsidRPr="00432BEA" w:rsidR="004420C7">
        <w:rPr>
          <w:lang w:val="fr-FR"/>
        </w:rPr>
        <w:t>héberger les personnes âgées dépendantes qui ne sont pas demeurées à leur domicile personnel, en leur assurant toutes les prestations nécessaires à leur survie ?</w:t>
      </w:r>
    </w:p>
    <w:p w:rsidRPr="00432BEA" w:rsidR="00F63B47" w:rsidP="00432BEA" w:rsidRDefault="004420C7">
      <w:pPr>
        <w:pStyle w:val="ECHRParaQuote"/>
        <w:rPr>
          <w:lang w:val="fr-FR"/>
        </w:rPr>
      </w:pPr>
      <w:r w:rsidRPr="00432BEA">
        <w:rPr>
          <w:lang w:val="fr-FR"/>
        </w:rPr>
        <w:t>La question repose sur l</w:t>
      </w:r>
      <w:r w:rsidRPr="00432BEA" w:rsidR="00432BEA">
        <w:rPr>
          <w:lang w:val="fr-FR"/>
        </w:rPr>
        <w:t>’</w:t>
      </w:r>
      <w:r w:rsidRPr="00432BEA">
        <w:rPr>
          <w:lang w:val="fr-FR"/>
        </w:rPr>
        <w:t>interprétation du texte : or, les débats parlementaires à l</w:t>
      </w:r>
      <w:r w:rsidRPr="00432BEA" w:rsidR="00432BEA">
        <w:rPr>
          <w:lang w:val="fr-FR"/>
        </w:rPr>
        <w:t>’</w:t>
      </w:r>
      <w:r w:rsidRPr="00432BEA" w:rsidR="00EC0B91">
        <w:rPr>
          <w:lang w:val="fr-FR"/>
        </w:rPr>
        <w:t>oc</w:t>
      </w:r>
      <w:r w:rsidRPr="00432BEA">
        <w:rPr>
          <w:lang w:val="fr-FR"/>
        </w:rPr>
        <w:t>casion de la discussion de la loi du [20 décembre 2010] (</w:t>
      </w:r>
      <w:r w:rsidRPr="00432BEA" w:rsidR="007D22EB">
        <w:rPr>
          <w:lang w:val="fr-FR"/>
        </w:rPr>
        <w:t>...</w:t>
      </w:r>
      <w:r w:rsidRPr="00432BEA" w:rsidR="003649C8">
        <w:rPr>
          <w:lang w:val="fr-FR"/>
        </w:rPr>
        <w:t>) établisse</w:t>
      </w:r>
      <w:r w:rsidRPr="00432BEA">
        <w:rPr>
          <w:lang w:val="fr-FR"/>
        </w:rPr>
        <w:t>nt clairement les raisons pour lesquelles le législateur</w:t>
      </w:r>
      <w:r w:rsidRPr="00432BEA" w:rsidR="00847738">
        <w:rPr>
          <w:lang w:val="fr-FR"/>
        </w:rPr>
        <w:t xml:space="preserve"> a entendu modifier le texte. Il est rappelé que le dispositif, dès son origine, a eu pour vocation de favoriser le maintien à leur domicile des personnes âgées dépendantes et que certains, en en demandant le bénéfice « détournent manifestement l</w:t>
      </w:r>
      <w:r w:rsidRPr="00432BEA" w:rsidR="00432BEA">
        <w:rPr>
          <w:lang w:val="fr-FR"/>
        </w:rPr>
        <w:t>’</w:t>
      </w:r>
      <w:r w:rsidRPr="00432BEA" w:rsidR="00847738">
        <w:rPr>
          <w:lang w:val="fr-FR"/>
        </w:rPr>
        <w:t>esprit</w:t>
      </w:r>
      <w:r w:rsidRPr="00432BEA" w:rsidR="00BD4B5F">
        <w:rPr>
          <w:lang w:val="fr-FR"/>
        </w:rPr>
        <w:t xml:space="preserve"> de la loi (</w:t>
      </w:r>
      <w:r w:rsidRPr="00432BEA" w:rsidR="007D22EB">
        <w:rPr>
          <w:lang w:val="fr-FR"/>
        </w:rPr>
        <w:t>...</w:t>
      </w:r>
      <w:r w:rsidRPr="00432BEA" w:rsidR="00BD4B5F">
        <w:rPr>
          <w:lang w:val="fr-FR"/>
        </w:rPr>
        <w:t>)</w:t>
      </w:r>
      <w:r w:rsidRPr="00432BEA" w:rsidR="00AD7EA7">
        <w:rPr>
          <w:lang w:val="fr-FR"/>
        </w:rPr>
        <w:t> ».</w:t>
      </w:r>
      <w:r w:rsidRPr="00432BEA" w:rsidR="00BD4B5F">
        <w:rPr>
          <w:lang w:val="fr-FR"/>
        </w:rPr>
        <w:t xml:space="preserve"> </w:t>
      </w:r>
      <w:r w:rsidRPr="00432BEA" w:rsidR="00AD7EA7">
        <w:rPr>
          <w:lang w:val="fr-FR"/>
        </w:rPr>
        <w:t>L</w:t>
      </w:r>
      <w:r w:rsidRPr="00432BEA" w:rsidR="00BD4B5F">
        <w:rPr>
          <w:lang w:val="fr-FR"/>
        </w:rPr>
        <w:t xml:space="preserve">a modification apportée par les mots </w:t>
      </w:r>
      <w:r w:rsidRPr="00432BEA" w:rsidR="00AD7EA7">
        <w:rPr>
          <w:lang w:val="fr-FR"/>
        </w:rPr>
        <w:t>« </w:t>
      </w:r>
      <w:r w:rsidRPr="00432BEA" w:rsidR="00BD4B5F">
        <w:rPr>
          <w:lang w:val="fr-FR"/>
        </w:rPr>
        <w:t xml:space="preserve">au domicile à usage privatif des » en remplacement du mot « chez » </w:t>
      </w:r>
      <w:r w:rsidRPr="00432BEA" w:rsidR="003649C8">
        <w:rPr>
          <w:lang w:val="fr-FR"/>
        </w:rPr>
        <w:t>étant interprétative, elle donne parfaitement le sens du texte dans sa version en vigueur au moment des faits de la présente espèce. Nous sommes exactement dans la situation d</w:t>
      </w:r>
      <w:r w:rsidRPr="00432BEA" w:rsidR="00432BEA">
        <w:rPr>
          <w:lang w:val="fr-FR"/>
        </w:rPr>
        <w:t>’</w:t>
      </w:r>
      <w:r w:rsidRPr="00432BEA" w:rsidR="003649C8">
        <w:rPr>
          <w:lang w:val="fr-FR"/>
        </w:rPr>
        <w:t>une loi qui « se borne à reconnaître, sans rien innover, un droit existant qu</w:t>
      </w:r>
      <w:r w:rsidRPr="00432BEA" w:rsidR="00432BEA">
        <w:rPr>
          <w:lang w:val="fr-FR"/>
        </w:rPr>
        <w:t>’</w:t>
      </w:r>
      <w:r w:rsidRPr="00432BEA" w:rsidR="003649C8">
        <w:rPr>
          <w:lang w:val="fr-FR"/>
        </w:rPr>
        <w:t>une définition imparfaite a rendu susceptible de controver</w:t>
      </w:r>
      <w:r w:rsidRPr="00432BEA" w:rsidR="004452F5">
        <w:rPr>
          <w:lang w:val="fr-FR"/>
        </w:rPr>
        <w:t>se » (Civ., 9 décembre 2008, n</w:t>
      </w:r>
      <w:r w:rsidRPr="00432BEA" w:rsidR="007D22EB">
        <w:rPr>
          <w:vertAlign w:val="superscript"/>
          <w:lang w:val="fr-FR"/>
        </w:rPr>
        <w:t>o</w:t>
      </w:r>
      <w:r w:rsidRPr="00432BEA" w:rsidR="004452F5">
        <w:rPr>
          <w:lang w:val="fr-FR"/>
        </w:rPr>
        <w:t> </w:t>
      </w:r>
      <w:r w:rsidRPr="00432BEA" w:rsidR="003649C8">
        <w:rPr>
          <w:lang w:val="fr-FR"/>
        </w:rPr>
        <w:t>08-10</w:t>
      </w:r>
      <w:r w:rsidRPr="00432BEA" w:rsidR="004452F5">
        <w:rPr>
          <w:lang w:val="fr-FR"/>
        </w:rPr>
        <w:t>.</w:t>
      </w:r>
      <w:r w:rsidRPr="00432BEA" w:rsidR="003649C8">
        <w:rPr>
          <w:lang w:val="fr-FR"/>
        </w:rPr>
        <w:t>061)</w:t>
      </w:r>
      <w:r w:rsidRPr="00432BEA" w:rsidR="00B04776">
        <w:rPr>
          <w:lang w:val="fr-FR"/>
        </w:rPr>
        <w:t>.</w:t>
      </w:r>
      <w:r w:rsidRPr="00432BEA" w:rsidR="0069185B">
        <w:rPr>
          <w:lang w:val="fr-FR"/>
        </w:rPr>
        <w:t> »</w:t>
      </w:r>
    </w:p>
    <w:p w:rsidRPr="00432BEA" w:rsidR="007D22EB" w:rsidP="00432BEA" w:rsidRDefault="00410483">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20</w:t>
      </w:r>
      <w:r w:rsidRPr="00432BEA">
        <w:rPr>
          <w:lang w:val="fr-FR"/>
        </w:rPr>
        <w:fldChar w:fldCharType="end"/>
      </w:r>
      <w:r w:rsidRPr="00432BEA">
        <w:rPr>
          <w:lang w:val="fr-FR"/>
        </w:rPr>
        <w:t>.  </w:t>
      </w:r>
      <w:r w:rsidRPr="00432BEA" w:rsidR="00891E03">
        <w:rPr>
          <w:lang w:val="fr-FR"/>
        </w:rPr>
        <w:t>Dans ses observations en réplique</w:t>
      </w:r>
      <w:r w:rsidRPr="00432BEA" w:rsidR="00C41D9D">
        <w:rPr>
          <w:lang w:val="fr-FR"/>
        </w:rPr>
        <w:t>, le requérant fit valoir que cette</w:t>
      </w:r>
      <w:r w:rsidRPr="00432BEA" w:rsidR="00891E03">
        <w:rPr>
          <w:lang w:val="fr-FR"/>
        </w:rPr>
        <w:t xml:space="preserve"> loi n</w:t>
      </w:r>
      <w:r w:rsidRPr="00432BEA" w:rsidR="00432BEA">
        <w:rPr>
          <w:lang w:val="fr-FR"/>
        </w:rPr>
        <w:t>’</w:t>
      </w:r>
      <w:r w:rsidRPr="00432BEA" w:rsidR="00891E03">
        <w:rPr>
          <w:lang w:val="fr-FR"/>
        </w:rPr>
        <w:t>était pas interprétative mais modificative dans le sens où elle avait modifié les termes originaux de la disposition litigieuse afin de lui conférer un sens différent. Il indiqua que l</w:t>
      </w:r>
      <w:r w:rsidRPr="00432BEA" w:rsidR="00432BEA">
        <w:rPr>
          <w:lang w:val="fr-FR"/>
        </w:rPr>
        <w:t>’</w:t>
      </w:r>
      <w:r w:rsidRPr="00432BEA" w:rsidR="00891E03">
        <w:rPr>
          <w:lang w:val="fr-FR"/>
        </w:rPr>
        <w:t>article L. 241-10 III, dans sa rédaction antérieure à la loi de 2010, n</w:t>
      </w:r>
      <w:r w:rsidRPr="00432BEA" w:rsidR="00432BEA">
        <w:rPr>
          <w:lang w:val="fr-FR"/>
        </w:rPr>
        <w:t>’</w:t>
      </w:r>
      <w:r w:rsidRPr="00432BEA" w:rsidR="00891E03">
        <w:rPr>
          <w:lang w:val="fr-FR"/>
        </w:rPr>
        <w:t xml:space="preserve">avait suscité aucune controverse </w:t>
      </w:r>
      <w:r w:rsidRPr="00432BEA" w:rsidR="004452F5">
        <w:rPr>
          <w:lang w:val="fr-FR"/>
        </w:rPr>
        <w:t>jusque-là</w:t>
      </w:r>
      <w:r w:rsidRPr="00432BEA" w:rsidR="00891E03">
        <w:rPr>
          <w:lang w:val="fr-FR"/>
        </w:rPr>
        <w:t xml:space="preserve"> et que la Cour de cassation ne s</w:t>
      </w:r>
      <w:r w:rsidRPr="00432BEA" w:rsidR="00432BEA">
        <w:rPr>
          <w:lang w:val="fr-FR"/>
        </w:rPr>
        <w:t>’</w:t>
      </w:r>
      <w:r w:rsidRPr="00432BEA" w:rsidR="00891E03">
        <w:rPr>
          <w:lang w:val="fr-FR"/>
        </w:rPr>
        <w:t>était encore jamais prononcée sur l</w:t>
      </w:r>
      <w:r w:rsidRPr="00432BEA" w:rsidR="00432BEA">
        <w:rPr>
          <w:lang w:val="fr-FR"/>
        </w:rPr>
        <w:t>’</w:t>
      </w:r>
      <w:r w:rsidRPr="00432BEA" w:rsidR="00891E03">
        <w:rPr>
          <w:lang w:val="fr-FR"/>
        </w:rPr>
        <w:t>éligibilité des EHPAD au bénéfice de l</w:t>
      </w:r>
      <w:r w:rsidRPr="00432BEA" w:rsidR="00432BEA">
        <w:rPr>
          <w:lang w:val="fr-FR"/>
        </w:rPr>
        <w:t>’</w:t>
      </w:r>
      <w:r w:rsidRPr="00432BEA" w:rsidR="00891E03">
        <w:rPr>
          <w:lang w:val="fr-FR"/>
        </w:rPr>
        <w:t>exonération. Une intervention du législateur pour agir sur les litiges en cours n</w:t>
      </w:r>
      <w:r w:rsidRPr="00432BEA" w:rsidR="00432BEA">
        <w:rPr>
          <w:lang w:val="fr-FR"/>
        </w:rPr>
        <w:t>’</w:t>
      </w:r>
      <w:r w:rsidRPr="00432BEA" w:rsidR="00891E03">
        <w:rPr>
          <w:lang w:val="fr-FR"/>
        </w:rPr>
        <w:t xml:space="preserve">était dès lors aucunement justifiée. </w:t>
      </w:r>
      <w:r w:rsidRPr="00432BEA">
        <w:rPr>
          <w:lang w:val="fr-FR"/>
        </w:rPr>
        <w:t>Invoquant</w:t>
      </w:r>
      <w:r w:rsidRPr="00432BEA" w:rsidR="00891E03">
        <w:rPr>
          <w:lang w:val="fr-FR"/>
        </w:rPr>
        <w:t xml:space="preserve"> l</w:t>
      </w:r>
      <w:r w:rsidRPr="00432BEA" w:rsidR="00432BEA">
        <w:rPr>
          <w:lang w:val="fr-FR"/>
        </w:rPr>
        <w:t>’</w:t>
      </w:r>
      <w:r w:rsidRPr="00432BEA" w:rsidR="00891E03">
        <w:rPr>
          <w:lang w:val="fr-FR"/>
        </w:rPr>
        <w:t>article 6 § 1 de la Convention</w:t>
      </w:r>
      <w:r w:rsidRPr="00432BEA">
        <w:rPr>
          <w:lang w:val="fr-FR"/>
        </w:rPr>
        <w:t>, i</w:t>
      </w:r>
      <w:r w:rsidRPr="00432BEA" w:rsidR="00891E03">
        <w:rPr>
          <w:lang w:val="fr-FR"/>
        </w:rPr>
        <w:t>l indiqua que l</w:t>
      </w:r>
      <w:r w:rsidRPr="00432BEA" w:rsidR="00432BEA">
        <w:rPr>
          <w:lang w:val="fr-FR"/>
        </w:rPr>
        <w:t>’</w:t>
      </w:r>
      <w:r w:rsidRPr="00432BEA" w:rsidR="00891E03">
        <w:rPr>
          <w:lang w:val="fr-FR"/>
        </w:rPr>
        <w:t>article 14 de la loi</w:t>
      </w:r>
      <w:r w:rsidRPr="00432BEA" w:rsidR="00636192">
        <w:rPr>
          <w:lang w:val="fr-FR"/>
        </w:rPr>
        <w:t xml:space="preserve"> du 20 décembre 2010</w:t>
      </w:r>
      <w:r w:rsidRPr="00432BEA" w:rsidR="00891E03">
        <w:rPr>
          <w:lang w:val="fr-FR"/>
        </w:rPr>
        <w:t xml:space="preserve"> manifestait clairement et explicitement une ingérence du législateur dans le cours de la justice afin d</w:t>
      </w:r>
      <w:r w:rsidRPr="00432BEA" w:rsidR="00432BEA">
        <w:rPr>
          <w:lang w:val="fr-FR"/>
        </w:rPr>
        <w:t>’</w:t>
      </w:r>
      <w:r w:rsidRPr="00432BEA" w:rsidR="00891E03">
        <w:rPr>
          <w:lang w:val="fr-FR"/>
        </w:rPr>
        <w:t>influer sur le déroulement judiciaire d</w:t>
      </w:r>
      <w:r w:rsidRPr="00432BEA" w:rsidR="00432BEA">
        <w:rPr>
          <w:lang w:val="fr-FR"/>
        </w:rPr>
        <w:t>’</w:t>
      </w:r>
      <w:r w:rsidRPr="00432BEA" w:rsidR="00891E03">
        <w:rPr>
          <w:lang w:val="fr-FR"/>
        </w:rPr>
        <w:t>une affaire, en privant de sa base juridique l</w:t>
      </w:r>
      <w:r w:rsidRPr="00432BEA" w:rsidR="00432BEA">
        <w:rPr>
          <w:lang w:val="fr-FR"/>
        </w:rPr>
        <w:t>’</w:t>
      </w:r>
      <w:r w:rsidRPr="00432BEA" w:rsidR="00891E03">
        <w:rPr>
          <w:lang w:val="fr-FR"/>
        </w:rPr>
        <w:t>action en justice engagée avant l</w:t>
      </w:r>
      <w:r w:rsidRPr="00432BEA" w:rsidR="00432BEA">
        <w:rPr>
          <w:lang w:val="fr-FR"/>
        </w:rPr>
        <w:t>’</w:t>
      </w:r>
      <w:r w:rsidRPr="00432BEA" w:rsidR="00891E03">
        <w:rPr>
          <w:lang w:val="fr-FR"/>
        </w:rPr>
        <w:t>entrée en vigueur de la loi, en violation du principe de la séparation des pouvoirs et du droit à un procès équitable. Selon lui, aucun impératif d</w:t>
      </w:r>
      <w:r w:rsidRPr="00432BEA" w:rsidR="00432BEA">
        <w:rPr>
          <w:lang w:val="fr-FR"/>
        </w:rPr>
        <w:t>’</w:t>
      </w:r>
      <w:r w:rsidRPr="00432BEA" w:rsidR="00891E03">
        <w:rPr>
          <w:lang w:val="fr-FR"/>
        </w:rPr>
        <w:t>intérêt général ne justifiait cette ingérence dans l</w:t>
      </w:r>
      <w:r w:rsidRPr="00432BEA" w:rsidR="00432BEA">
        <w:rPr>
          <w:lang w:val="fr-FR"/>
        </w:rPr>
        <w:t>’</w:t>
      </w:r>
      <w:r w:rsidRPr="00432BEA" w:rsidR="00891E03">
        <w:rPr>
          <w:lang w:val="fr-FR"/>
        </w:rPr>
        <w:t>administration de la justice, l</w:t>
      </w:r>
      <w:r w:rsidRPr="00432BEA" w:rsidR="00432BEA">
        <w:rPr>
          <w:lang w:val="fr-FR"/>
        </w:rPr>
        <w:t>’</w:t>
      </w:r>
      <w:r w:rsidRPr="00432BEA" w:rsidR="00891E03">
        <w:rPr>
          <w:lang w:val="fr-FR"/>
        </w:rPr>
        <w:t>article 14 ayant pour finalité de profiter à l</w:t>
      </w:r>
      <w:r w:rsidRPr="00432BEA" w:rsidR="00432BEA">
        <w:rPr>
          <w:lang w:val="fr-FR"/>
        </w:rPr>
        <w:t>’</w:t>
      </w:r>
      <w:r w:rsidRPr="00432BEA" w:rsidR="00891E03">
        <w:rPr>
          <w:lang w:val="fr-FR"/>
        </w:rPr>
        <w:t>État par l</w:t>
      </w:r>
      <w:r w:rsidRPr="00432BEA" w:rsidR="00432BEA">
        <w:rPr>
          <w:lang w:val="fr-FR"/>
        </w:rPr>
        <w:t>’</w:t>
      </w:r>
      <w:r w:rsidRPr="00432BEA" w:rsidR="00891E03">
        <w:rPr>
          <w:lang w:val="fr-FR"/>
        </w:rPr>
        <w:t>intermédiaire de l</w:t>
      </w:r>
      <w:r w:rsidRPr="00432BEA" w:rsidR="00432BEA">
        <w:rPr>
          <w:lang w:val="fr-FR"/>
        </w:rPr>
        <w:t>’</w:t>
      </w:r>
      <w:r w:rsidRPr="00432BEA" w:rsidR="00891E03">
        <w:rPr>
          <w:lang w:val="fr-FR"/>
        </w:rPr>
        <w:t>URSSAF pour mettre un terme à un risque de condamnation de cette dernière. Le requérant n</w:t>
      </w:r>
      <w:r w:rsidRPr="00432BEA" w:rsidR="00432BEA">
        <w:rPr>
          <w:lang w:val="fr-FR"/>
        </w:rPr>
        <w:t>’</w:t>
      </w:r>
      <w:r w:rsidRPr="00432BEA" w:rsidR="00891E03">
        <w:rPr>
          <w:lang w:val="fr-FR"/>
        </w:rPr>
        <w:t>avança aucune argumentation fondée sur les articles 14</w:t>
      </w:r>
      <w:r w:rsidRPr="00432BEA" w:rsidR="00636192">
        <w:rPr>
          <w:lang w:val="fr-FR"/>
        </w:rPr>
        <w:t xml:space="preserve"> de la Convention</w:t>
      </w:r>
      <w:r w:rsidRPr="00432BEA" w:rsidR="00891E03">
        <w:rPr>
          <w:lang w:val="fr-FR"/>
        </w:rPr>
        <w:t xml:space="preserve"> et 1</w:t>
      </w:r>
      <w:r w:rsidRPr="00432BEA" w:rsidR="00891E03">
        <w:rPr>
          <w:vertAlign w:val="superscript"/>
          <w:lang w:val="fr-FR"/>
        </w:rPr>
        <w:t>er</w:t>
      </w:r>
      <w:r w:rsidRPr="00432BEA" w:rsidR="004452F5">
        <w:rPr>
          <w:lang w:val="fr-FR"/>
        </w:rPr>
        <w:t xml:space="preserve"> du Protocole </w:t>
      </w:r>
      <w:r w:rsidRPr="00432BEA" w:rsidR="00891E03">
        <w:rPr>
          <w:lang w:val="fr-FR"/>
        </w:rPr>
        <w:t>n</w:t>
      </w:r>
      <w:r w:rsidRPr="00432BEA" w:rsidR="007D22EB">
        <w:rPr>
          <w:vertAlign w:val="superscript"/>
          <w:lang w:val="fr-FR"/>
        </w:rPr>
        <w:t>o</w:t>
      </w:r>
      <w:r w:rsidRPr="00432BEA" w:rsidR="004452F5">
        <w:rPr>
          <w:lang w:val="fr-FR"/>
        </w:rPr>
        <w:t xml:space="preserve"> </w:t>
      </w:r>
      <w:r w:rsidRPr="00432BEA" w:rsidR="00891E03">
        <w:rPr>
          <w:lang w:val="fr-FR"/>
        </w:rPr>
        <w:t>1 dans son mémoire en réplique.</w:t>
      </w:r>
    </w:p>
    <w:p w:rsidRPr="00432BEA" w:rsidR="00891E03" w:rsidP="00432BEA" w:rsidRDefault="00410483">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21</w:t>
      </w:r>
      <w:r w:rsidRPr="00432BEA">
        <w:rPr>
          <w:lang w:val="fr-FR"/>
        </w:rPr>
        <w:fldChar w:fldCharType="end"/>
      </w:r>
      <w:r w:rsidRPr="00432BEA">
        <w:rPr>
          <w:lang w:val="fr-FR"/>
        </w:rPr>
        <w:t>.  </w:t>
      </w:r>
      <w:r w:rsidRPr="00432BEA" w:rsidR="00891E03">
        <w:rPr>
          <w:lang w:val="fr-FR"/>
        </w:rPr>
        <w:t>Par arrêt du 22 septembre 2011, la Cour de cassation rejeta le pourvoi :</w:t>
      </w:r>
    </w:p>
    <w:p w:rsidRPr="00432BEA" w:rsidR="00891E03" w:rsidP="00432BEA" w:rsidRDefault="00891E03">
      <w:pPr>
        <w:spacing w:before="120" w:after="120"/>
        <w:ind w:left="567"/>
        <w:rPr>
          <w:sz w:val="20"/>
          <w:lang w:val="fr-FR"/>
        </w:rPr>
      </w:pPr>
      <w:r w:rsidRPr="00432BEA">
        <w:rPr>
          <w:sz w:val="20"/>
          <w:lang w:val="fr-FR"/>
        </w:rPr>
        <w:t>« Mais attendu que l</w:t>
      </w:r>
      <w:r w:rsidRPr="00432BEA" w:rsidR="00432BEA">
        <w:rPr>
          <w:sz w:val="20"/>
          <w:lang w:val="fr-FR"/>
        </w:rPr>
        <w:t>’</w:t>
      </w:r>
      <w:r w:rsidRPr="00432BEA">
        <w:rPr>
          <w:sz w:val="20"/>
          <w:lang w:val="fr-FR"/>
        </w:rPr>
        <w:t>arrêt retient que l</w:t>
      </w:r>
      <w:r w:rsidRPr="00432BEA" w:rsidR="00432BEA">
        <w:rPr>
          <w:sz w:val="20"/>
          <w:lang w:val="fr-FR"/>
        </w:rPr>
        <w:t>’</w:t>
      </w:r>
      <w:r w:rsidRPr="00432BEA">
        <w:rPr>
          <w:sz w:val="20"/>
          <w:lang w:val="fr-FR"/>
        </w:rPr>
        <w:t>article L. 241-10 III</w:t>
      </w:r>
      <w:r w:rsidRPr="00432BEA" w:rsidR="00157924">
        <w:rPr>
          <w:sz w:val="20"/>
          <w:lang w:val="fr-FR"/>
        </w:rPr>
        <w:t xml:space="preserve"> (</w:t>
      </w:r>
      <w:r w:rsidRPr="00432BEA" w:rsidR="007D22EB">
        <w:rPr>
          <w:sz w:val="20"/>
          <w:lang w:val="fr-FR"/>
        </w:rPr>
        <w:t>...</w:t>
      </w:r>
      <w:r w:rsidRPr="00432BEA" w:rsidR="00157924">
        <w:rPr>
          <w:sz w:val="20"/>
          <w:lang w:val="fr-FR"/>
        </w:rPr>
        <w:t>)</w:t>
      </w:r>
      <w:r w:rsidRPr="00432BEA">
        <w:rPr>
          <w:sz w:val="20"/>
          <w:lang w:val="fr-FR"/>
        </w:rPr>
        <w:t xml:space="preserve"> dispose que sont exonérées des cotisations patronales pour la fraction versée en contrepartie des tâches effectuées chez les personnes visées au I du même article, les rémunérations des aides à domicile employées dans les conditions prévues par ce texte ;</w:t>
      </w:r>
    </w:p>
    <w:p w:rsidRPr="00432BEA" w:rsidR="007D22EB" w:rsidP="00432BEA" w:rsidRDefault="00891E03">
      <w:pPr>
        <w:spacing w:before="120" w:after="120"/>
        <w:ind w:left="567"/>
        <w:rPr>
          <w:sz w:val="20"/>
          <w:lang w:val="fr-FR"/>
        </w:rPr>
      </w:pPr>
      <w:r w:rsidRPr="00432BEA">
        <w:rPr>
          <w:sz w:val="20"/>
          <w:lang w:val="fr-FR"/>
        </w:rPr>
        <w:t>Que de cette énonciation, la cour d</w:t>
      </w:r>
      <w:r w:rsidRPr="00432BEA" w:rsidR="00432BEA">
        <w:rPr>
          <w:sz w:val="20"/>
          <w:lang w:val="fr-FR"/>
        </w:rPr>
        <w:t>’</w:t>
      </w:r>
      <w:r w:rsidRPr="00432BEA">
        <w:rPr>
          <w:sz w:val="20"/>
          <w:lang w:val="fr-FR"/>
        </w:rPr>
        <w:t>appel a déduit à bon droit que l</w:t>
      </w:r>
      <w:r w:rsidRPr="00432BEA" w:rsidR="00432BEA">
        <w:rPr>
          <w:sz w:val="20"/>
          <w:lang w:val="fr-FR"/>
        </w:rPr>
        <w:t>’</w:t>
      </w:r>
      <w:r w:rsidRPr="00432BEA">
        <w:rPr>
          <w:sz w:val="20"/>
          <w:lang w:val="fr-FR"/>
        </w:rPr>
        <w:t>exonération ne pouvait s</w:t>
      </w:r>
      <w:r w:rsidRPr="00432BEA" w:rsidR="00432BEA">
        <w:rPr>
          <w:sz w:val="20"/>
          <w:lang w:val="fr-FR"/>
        </w:rPr>
        <w:t>’</w:t>
      </w:r>
      <w:r w:rsidRPr="00432BEA">
        <w:rPr>
          <w:sz w:val="20"/>
          <w:lang w:val="fr-FR"/>
        </w:rPr>
        <w:t>appliquer qu</w:t>
      </w:r>
      <w:r w:rsidRPr="00432BEA" w:rsidR="00432BEA">
        <w:rPr>
          <w:sz w:val="20"/>
          <w:lang w:val="fr-FR"/>
        </w:rPr>
        <w:t>’</w:t>
      </w:r>
      <w:r w:rsidRPr="00432BEA">
        <w:rPr>
          <w:sz w:val="20"/>
          <w:lang w:val="fr-FR"/>
        </w:rPr>
        <w:t>aux rémunérations des salariés intervenant au domicile privatif de la personne âgée et a, par ce seul motif, léga</w:t>
      </w:r>
      <w:r w:rsidRPr="00432BEA" w:rsidR="009323FF">
        <w:rPr>
          <w:sz w:val="20"/>
          <w:lang w:val="fr-FR"/>
        </w:rPr>
        <w:t xml:space="preserve">lement justifié </w:t>
      </w:r>
      <w:r w:rsidRPr="00432BEA" w:rsidR="004452F5">
        <w:rPr>
          <w:sz w:val="20"/>
          <w:lang w:val="fr-FR"/>
        </w:rPr>
        <w:t>sa décision  (</w:t>
      </w:r>
      <w:r w:rsidRPr="00432BEA" w:rsidR="007D22EB">
        <w:rPr>
          <w:sz w:val="20"/>
          <w:lang w:val="fr-FR"/>
        </w:rPr>
        <w:t>...</w:t>
      </w:r>
      <w:r w:rsidRPr="00432BEA" w:rsidR="004452F5">
        <w:rPr>
          <w:sz w:val="20"/>
          <w:lang w:val="fr-FR"/>
        </w:rPr>
        <w:t>)</w:t>
      </w:r>
      <w:r w:rsidRPr="00432BEA" w:rsidR="009323FF">
        <w:rPr>
          <w:sz w:val="20"/>
          <w:lang w:val="fr-FR"/>
        </w:rPr>
        <w:t> »</w:t>
      </w:r>
    </w:p>
    <w:p w:rsidRPr="00432BEA" w:rsidR="00410483" w:rsidP="00432BEA" w:rsidRDefault="00410483">
      <w:pPr>
        <w:pStyle w:val="ECHRHeading3"/>
        <w:rPr>
          <w:lang w:val="fr-FR"/>
        </w:rPr>
      </w:pPr>
      <w:r w:rsidRPr="00432BEA">
        <w:rPr>
          <w:lang w:val="fr-FR"/>
        </w:rPr>
        <w:t>2.  Requête n</w:t>
      </w:r>
      <w:r w:rsidRPr="00432BEA" w:rsidR="007D22EB">
        <w:rPr>
          <w:vertAlign w:val="superscript"/>
          <w:lang w:val="fr-FR"/>
        </w:rPr>
        <w:t>o</w:t>
      </w:r>
      <w:r w:rsidRPr="00432BEA">
        <w:rPr>
          <w:lang w:val="fr-FR"/>
        </w:rPr>
        <w:t xml:space="preserve"> 53601/12</w:t>
      </w:r>
    </w:p>
    <w:p w:rsidRPr="00432BEA" w:rsidR="00410483" w:rsidP="00432BEA" w:rsidRDefault="00410483">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22</w:t>
      </w:r>
      <w:r w:rsidRPr="00432BEA">
        <w:rPr>
          <w:lang w:val="fr-FR"/>
        </w:rPr>
        <w:fldChar w:fldCharType="end"/>
      </w:r>
      <w:r w:rsidRPr="00432BEA">
        <w:rPr>
          <w:lang w:val="fr-FR"/>
        </w:rPr>
        <w:t>. </w:t>
      </w:r>
      <w:r w:rsidRPr="00432BEA" w:rsidR="004452F5">
        <w:rPr>
          <w:lang w:val="fr-FR"/>
        </w:rPr>
        <w:t> </w:t>
      </w:r>
      <w:r w:rsidRPr="00432BEA" w:rsidR="00D7281E">
        <w:rPr>
          <w:lang w:val="fr-FR"/>
        </w:rPr>
        <w:t>Le requérant, établissement public, gère la maison de retraite « Le Bon Accueil». Celle-ci acquit le statut d</w:t>
      </w:r>
      <w:r w:rsidRPr="00432BEA" w:rsidR="00432BEA">
        <w:rPr>
          <w:lang w:val="fr-FR"/>
        </w:rPr>
        <w:t>’</w:t>
      </w:r>
      <w:r w:rsidRPr="00432BEA" w:rsidR="00D7281E">
        <w:rPr>
          <w:lang w:val="fr-FR"/>
        </w:rPr>
        <w:t>EHPAD par la conclusion d</w:t>
      </w:r>
      <w:r w:rsidRPr="00432BEA" w:rsidR="00432BEA">
        <w:rPr>
          <w:lang w:val="fr-FR"/>
        </w:rPr>
        <w:t>’</w:t>
      </w:r>
      <w:r w:rsidRPr="00432BEA" w:rsidR="00D7281E">
        <w:rPr>
          <w:lang w:val="fr-FR"/>
        </w:rPr>
        <w:t xml:space="preserve">une convention avec le préfet et le président du conseil général. </w:t>
      </w:r>
      <w:r w:rsidRPr="00432BEA">
        <w:rPr>
          <w:lang w:val="fr-FR"/>
        </w:rPr>
        <w:t>Par une décision du 31 octobre 2008, la demande de remboursement par le requérant de la somme de 120 655 EUR a</w:t>
      </w:r>
      <w:r w:rsidRPr="00432BEA" w:rsidR="00157924">
        <w:rPr>
          <w:lang w:val="fr-FR"/>
        </w:rPr>
        <w:t>u titre des cotisations patronales</w:t>
      </w:r>
      <w:r w:rsidRPr="00432BEA">
        <w:rPr>
          <w:lang w:val="fr-FR"/>
        </w:rPr>
        <w:t xml:space="preserve"> litigieuses fut rejetée par </w:t>
      </w:r>
      <w:r w:rsidRPr="00432BEA" w:rsidR="004452F5">
        <w:rPr>
          <w:lang w:val="fr-FR"/>
        </w:rPr>
        <w:t>l</w:t>
      </w:r>
      <w:r w:rsidRPr="00432BEA" w:rsidR="00432BEA">
        <w:rPr>
          <w:lang w:val="fr-FR"/>
        </w:rPr>
        <w:t>’</w:t>
      </w:r>
      <w:r w:rsidRPr="00432BEA">
        <w:rPr>
          <w:lang w:val="fr-FR"/>
        </w:rPr>
        <w:t>URSSAF.</w:t>
      </w:r>
      <w:r w:rsidRPr="00432BEA" w:rsidR="00157924">
        <w:rPr>
          <w:lang w:val="fr-FR"/>
        </w:rPr>
        <w:t xml:space="preserve"> Celle-ci</w:t>
      </w:r>
      <w:r w:rsidRPr="00432BEA">
        <w:rPr>
          <w:lang w:val="fr-FR"/>
        </w:rPr>
        <w:t xml:space="preserve"> se fonda sur deux lettres ministérielles des 26 août 1987 et du 22 juin 1993 refusant à toute structure d</w:t>
      </w:r>
      <w:r w:rsidRPr="00432BEA" w:rsidR="00432BEA">
        <w:rPr>
          <w:lang w:val="fr-FR"/>
        </w:rPr>
        <w:t>’</w:t>
      </w:r>
      <w:r w:rsidRPr="00432BEA">
        <w:rPr>
          <w:lang w:val="fr-FR"/>
        </w:rPr>
        <w:t>hébergement collectif le bénéfice de l</w:t>
      </w:r>
      <w:r w:rsidRPr="00432BEA" w:rsidR="00432BEA">
        <w:rPr>
          <w:lang w:val="fr-FR"/>
        </w:rPr>
        <w:t>’</w:t>
      </w:r>
      <w:r w:rsidRPr="00432BEA">
        <w:rPr>
          <w:lang w:val="fr-FR"/>
        </w:rPr>
        <w:t>exonération, à l</w:t>
      </w:r>
      <w:r w:rsidRPr="00432BEA" w:rsidR="00432BEA">
        <w:rPr>
          <w:lang w:val="fr-FR"/>
        </w:rPr>
        <w:t>’</w:t>
      </w:r>
      <w:r w:rsidRPr="00432BEA">
        <w:rPr>
          <w:lang w:val="fr-FR"/>
        </w:rPr>
        <w:t>exception des logements-foyers, au motif que la condition de domicile n</w:t>
      </w:r>
      <w:r w:rsidRPr="00432BEA" w:rsidR="00432BEA">
        <w:rPr>
          <w:lang w:val="fr-FR"/>
        </w:rPr>
        <w:t>’</w:t>
      </w:r>
      <w:r w:rsidRPr="00432BEA">
        <w:rPr>
          <w:lang w:val="fr-FR"/>
        </w:rPr>
        <w:t>était pas satisfaite.</w:t>
      </w:r>
    </w:p>
    <w:p w:rsidRPr="00432BEA" w:rsidR="007D22EB" w:rsidP="00432BEA" w:rsidRDefault="00410483">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23</w:t>
      </w:r>
      <w:r w:rsidRPr="00432BEA">
        <w:rPr>
          <w:lang w:val="fr-FR"/>
        </w:rPr>
        <w:fldChar w:fldCharType="end"/>
      </w:r>
      <w:r w:rsidRPr="00432BEA">
        <w:rPr>
          <w:lang w:val="fr-FR"/>
        </w:rPr>
        <w:t>.  Par jugement du 12 avril 2010, le TASS de l</w:t>
      </w:r>
      <w:r w:rsidRPr="00432BEA" w:rsidR="00432BEA">
        <w:rPr>
          <w:lang w:val="fr-FR"/>
        </w:rPr>
        <w:t>’</w:t>
      </w:r>
      <w:r w:rsidRPr="00432BEA">
        <w:rPr>
          <w:lang w:val="fr-FR"/>
        </w:rPr>
        <w:t>Ain débouta le requérant de son recours contre cette décision. Par arrêt du 23 décembre 2010, la cour d</w:t>
      </w:r>
      <w:r w:rsidRPr="00432BEA" w:rsidR="00432BEA">
        <w:rPr>
          <w:lang w:val="fr-FR"/>
        </w:rPr>
        <w:t>’</w:t>
      </w:r>
      <w:r w:rsidRPr="00432BEA">
        <w:rPr>
          <w:lang w:val="fr-FR"/>
        </w:rPr>
        <w:t>appel de Lyon confirma le jugement :</w:t>
      </w:r>
    </w:p>
    <w:p w:rsidRPr="00432BEA" w:rsidR="00410483" w:rsidP="00432BEA" w:rsidRDefault="00410483">
      <w:pPr>
        <w:pStyle w:val="ECHRParaQuote"/>
        <w:rPr>
          <w:lang w:val="fr-FR"/>
        </w:rPr>
      </w:pPr>
      <w:r w:rsidRPr="00432BEA">
        <w:rPr>
          <w:lang w:val="fr-FR"/>
        </w:rPr>
        <w:t>« (</w:t>
      </w:r>
      <w:r w:rsidRPr="00432BEA" w:rsidR="007D22EB">
        <w:rPr>
          <w:lang w:val="fr-FR"/>
        </w:rPr>
        <w:t>...</w:t>
      </w:r>
      <w:r w:rsidRPr="00432BEA">
        <w:rPr>
          <w:lang w:val="fr-FR"/>
        </w:rPr>
        <w:t>) Les parties s</w:t>
      </w:r>
      <w:r w:rsidRPr="00432BEA" w:rsidR="00432BEA">
        <w:rPr>
          <w:lang w:val="fr-FR"/>
        </w:rPr>
        <w:t>’</w:t>
      </w:r>
      <w:r w:rsidRPr="00432BEA">
        <w:rPr>
          <w:lang w:val="fr-FR"/>
        </w:rPr>
        <w:t>opposent uniquement sur la question de savoir si une maison de retraite peut être considérée comme un domicile.</w:t>
      </w:r>
    </w:p>
    <w:p w:rsidRPr="00432BEA" w:rsidR="00410483" w:rsidP="00432BEA" w:rsidRDefault="00410483">
      <w:pPr>
        <w:pStyle w:val="ECHRParaQuote"/>
        <w:rPr>
          <w:lang w:val="fr-FR"/>
        </w:rPr>
      </w:pPr>
      <w:r w:rsidRPr="00432BEA">
        <w:rPr>
          <w:lang w:val="fr-FR"/>
        </w:rPr>
        <w:t>L</w:t>
      </w:r>
      <w:r w:rsidRPr="00432BEA" w:rsidR="00432BEA">
        <w:rPr>
          <w:lang w:val="fr-FR"/>
        </w:rPr>
        <w:t>’</w:t>
      </w:r>
      <w:r w:rsidRPr="00432BEA">
        <w:rPr>
          <w:lang w:val="fr-FR"/>
        </w:rPr>
        <w:t>article 102 du code civil définit le domicile comme un lieu du principal établissement.</w:t>
      </w:r>
    </w:p>
    <w:p w:rsidRPr="00432BEA" w:rsidR="00410483" w:rsidP="00432BEA" w:rsidRDefault="00410483">
      <w:pPr>
        <w:pStyle w:val="ECHRParaQuote"/>
        <w:rPr>
          <w:lang w:val="fr-FR"/>
        </w:rPr>
      </w:pPr>
      <w:r w:rsidRPr="00432BEA">
        <w:rPr>
          <w:lang w:val="fr-FR"/>
        </w:rPr>
        <w:t>La personne âgée hébergée de manière définitive et non temporaire en maison de retraite a bien son domicile à la maison de retraite au sens du code civil.</w:t>
      </w:r>
    </w:p>
    <w:p w:rsidRPr="00432BEA" w:rsidR="00410483" w:rsidP="00432BEA" w:rsidRDefault="00410483">
      <w:pPr>
        <w:pStyle w:val="ECHRParaQuote"/>
        <w:rPr>
          <w:lang w:val="fr-FR"/>
        </w:rPr>
      </w:pPr>
      <w:r w:rsidRPr="00432BEA">
        <w:rPr>
          <w:lang w:val="fr-FR"/>
        </w:rPr>
        <w:t>Cependant, le texte sur l</w:t>
      </w:r>
      <w:r w:rsidRPr="00432BEA" w:rsidR="00432BEA">
        <w:rPr>
          <w:lang w:val="fr-FR"/>
        </w:rPr>
        <w:t>’</w:t>
      </w:r>
      <w:r w:rsidRPr="00432BEA">
        <w:rPr>
          <w:lang w:val="fr-FR"/>
        </w:rPr>
        <w:t>exonération des cotisations sociales se</w:t>
      </w:r>
      <w:r w:rsidRPr="00432BEA" w:rsidR="00DB58F3">
        <w:rPr>
          <w:lang w:val="fr-FR"/>
        </w:rPr>
        <w:t xml:space="preserve"> réfère clairement à une accep</w:t>
      </w:r>
      <w:r w:rsidRPr="00432BEA">
        <w:rPr>
          <w:lang w:val="fr-FR"/>
        </w:rPr>
        <w:t>tion du domicile qui est totalement différente du concept légal qu</w:t>
      </w:r>
      <w:r w:rsidRPr="00432BEA" w:rsidR="00432BEA">
        <w:rPr>
          <w:lang w:val="fr-FR"/>
        </w:rPr>
        <w:t>’</w:t>
      </w:r>
      <w:r w:rsidRPr="00432BEA">
        <w:rPr>
          <w:lang w:val="fr-FR"/>
        </w:rPr>
        <w:t>en donne le code civil.</w:t>
      </w:r>
    </w:p>
    <w:p w:rsidRPr="00432BEA" w:rsidR="00410483" w:rsidP="00432BEA" w:rsidRDefault="00410483">
      <w:pPr>
        <w:pStyle w:val="ECHRParaQuote"/>
        <w:rPr>
          <w:lang w:val="fr-FR"/>
        </w:rPr>
      </w:pPr>
      <w:r w:rsidRPr="00432BEA">
        <w:rPr>
          <w:lang w:val="fr-FR"/>
        </w:rPr>
        <w:t>En effet, l</w:t>
      </w:r>
      <w:r w:rsidRPr="00432BEA" w:rsidR="00432BEA">
        <w:rPr>
          <w:lang w:val="fr-FR"/>
        </w:rPr>
        <w:t>’</w:t>
      </w:r>
      <w:r w:rsidRPr="00432BEA">
        <w:rPr>
          <w:lang w:val="fr-FR"/>
        </w:rPr>
        <w:t xml:space="preserve">article L. 241-10 III du code de la </w:t>
      </w:r>
      <w:r w:rsidRPr="00432BEA" w:rsidR="003B3BEA">
        <w:rPr>
          <w:lang w:val="fr-FR"/>
        </w:rPr>
        <w:t>s</w:t>
      </w:r>
      <w:r w:rsidRPr="00432BEA" w:rsidR="00632783">
        <w:rPr>
          <w:lang w:val="fr-FR"/>
        </w:rPr>
        <w:t>écurité sociale</w:t>
      </w:r>
      <w:r w:rsidRPr="00432BEA">
        <w:rPr>
          <w:lang w:val="fr-FR"/>
        </w:rPr>
        <w:t xml:space="preserve"> renvoie expressément à l</w:t>
      </w:r>
      <w:r w:rsidRPr="00432BEA" w:rsidR="00432BEA">
        <w:rPr>
          <w:lang w:val="fr-FR"/>
        </w:rPr>
        <w:t>’</w:t>
      </w:r>
      <w:r w:rsidRPr="00432BEA">
        <w:rPr>
          <w:lang w:val="fr-FR"/>
        </w:rPr>
        <w:t>article L. 7231-1 du code du travail en ce qui concerne l</w:t>
      </w:r>
      <w:r w:rsidRPr="00432BEA" w:rsidR="00432BEA">
        <w:rPr>
          <w:lang w:val="fr-FR"/>
        </w:rPr>
        <w:t>’</w:t>
      </w:r>
      <w:r w:rsidRPr="00432BEA">
        <w:rPr>
          <w:lang w:val="fr-FR"/>
        </w:rPr>
        <w:t>activité ouvrant droit à l</w:t>
      </w:r>
      <w:r w:rsidRPr="00432BEA" w:rsidR="00432BEA">
        <w:rPr>
          <w:lang w:val="fr-FR"/>
        </w:rPr>
        <w:t>’</w:t>
      </w:r>
      <w:r w:rsidRPr="00432BEA">
        <w:rPr>
          <w:lang w:val="fr-FR"/>
        </w:rPr>
        <w:t>exonération ; or, cet article réglemente l</w:t>
      </w:r>
      <w:r w:rsidRPr="00432BEA" w:rsidR="00432BEA">
        <w:rPr>
          <w:lang w:val="fr-FR"/>
        </w:rPr>
        <w:t>’</w:t>
      </w:r>
      <w:r w:rsidRPr="00432BEA">
        <w:rPr>
          <w:lang w:val="fr-FR"/>
        </w:rPr>
        <w:t>assistance aux personnes âgées qui ont besoin d</w:t>
      </w:r>
      <w:r w:rsidRPr="00432BEA" w:rsidR="00432BEA">
        <w:rPr>
          <w:lang w:val="fr-FR"/>
        </w:rPr>
        <w:t>’</w:t>
      </w:r>
      <w:r w:rsidRPr="00432BEA">
        <w:rPr>
          <w:lang w:val="fr-FR"/>
        </w:rPr>
        <w:t>une aide personnelle à leur domicile ou d</w:t>
      </w:r>
      <w:r w:rsidRPr="00432BEA" w:rsidR="00432BEA">
        <w:rPr>
          <w:lang w:val="fr-FR"/>
        </w:rPr>
        <w:t>’</w:t>
      </w:r>
      <w:r w:rsidRPr="00432BEA">
        <w:rPr>
          <w:lang w:val="fr-FR"/>
        </w:rPr>
        <w:t>une aide à la mobilité dans l</w:t>
      </w:r>
      <w:r w:rsidRPr="00432BEA" w:rsidR="00432BEA">
        <w:rPr>
          <w:lang w:val="fr-FR"/>
        </w:rPr>
        <w:t>’</w:t>
      </w:r>
      <w:r w:rsidRPr="00432BEA">
        <w:rPr>
          <w:lang w:val="fr-FR"/>
        </w:rPr>
        <w:t>environnement de proximité favorisant leur maintien à domicile.</w:t>
      </w:r>
    </w:p>
    <w:p w:rsidRPr="00432BEA" w:rsidR="00410483" w:rsidP="00432BEA" w:rsidRDefault="00410483">
      <w:pPr>
        <w:pStyle w:val="ECHRParaQuote"/>
        <w:rPr>
          <w:lang w:val="fr-FR"/>
        </w:rPr>
      </w:pPr>
      <w:r w:rsidRPr="00432BEA">
        <w:rPr>
          <w:lang w:val="fr-FR"/>
        </w:rPr>
        <w:t>Les personnes hébergées dans l</w:t>
      </w:r>
      <w:r w:rsidRPr="00432BEA" w:rsidR="00432BEA">
        <w:rPr>
          <w:lang w:val="fr-FR"/>
        </w:rPr>
        <w:t>’</w:t>
      </w:r>
      <w:r w:rsidRPr="00432BEA">
        <w:rPr>
          <w:lang w:val="fr-FR"/>
        </w:rPr>
        <w:t>établissement public maison de retraite Le Bon Accueil signent un contrat de séjour qui est soumis aux dispositions du code de l</w:t>
      </w:r>
      <w:r w:rsidRPr="00432BEA" w:rsidR="00432BEA">
        <w:rPr>
          <w:lang w:val="fr-FR"/>
        </w:rPr>
        <w:t>’</w:t>
      </w:r>
      <w:r w:rsidRPr="00432BEA">
        <w:rPr>
          <w:lang w:val="fr-FR"/>
        </w:rPr>
        <w:t>action sociale et des familles ; or, l</w:t>
      </w:r>
      <w:r w:rsidRPr="00432BEA" w:rsidR="00432BEA">
        <w:rPr>
          <w:lang w:val="fr-FR"/>
        </w:rPr>
        <w:t>’</w:t>
      </w:r>
      <w:r w:rsidRPr="00432BEA">
        <w:rPr>
          <w:lang w:val="fr-FR"/>
        </w:rPr>
        <w:t>article L. 231-4 du code de l</w:t>
      </w:r>
      <w:r w:rsidRPr="00432BEA" w:rsidR="00432BEA">
        <w:rPr>
          <w:lang w:val="fr-FR"/>
        </w:rPr>
        <w:t>’</w:t>
      </w:r>
      <w:r w:rsidRPr="00432BEA">
        <w:rPr>
          <w:lang w:val="fr-FR"/>
        </w:rPr>
        <w:t>action sociale et des familles dispose : « Toute personne âgée qui ne peut être utilement aidée à son domicile peut être placée</w:t>
      </w:r>
      <w:r w:rsidRPr="00432BEA" w:rsidR="004452F5">
        <w:rPr>
          <w:lang w:val="fr-FR"/>
        </w:rPr>
        <w:t xml:space="preserve"> </w:t>
      </w:r>
      <w:r w:rsidRPr="00432BEA" w:rsidR="007D22EB">
        <w:rPr>
          <w:lang w:val="fr-FR"/>
        </w:rPr>
        <w:t>...</w:t>
      </w:r>
      <w:r w:rsidRPr="00432BEA" w:rsidR="004452F5">
        <w:rPr>
          <w:lang w:val="fr-FR"/>
        </w:rPr>
        <w:t xml:space="preserve"> </w:t>
      </w:r>
      <w:r w:rsidRPr="00432BEA">
        <w:rPr>
          <w:lang w:val="fr-FR"/>
        </w:rPr>
        <w:t>soit dans un établissement de santé ou une maison de retraite publics ou à défaut dans un établissement privé. »</w:t>
      </w:r>
    </w:p>
    <w:p w:rsidRPr="00432BEA" w:rsidR="00410483" w:rsidP="00432BEA" w:rsidRDefault="00410483">
      <w:pPr>
        <w:pStyle w:val="ECHRParaQuote"/>
        <w:rPr>
          <w:lang w:val="fr-FR"/>
        </w:rPr>
      </w:pPr>
      <w:r w:rsidRPr="00432BEA">
        <w:rPr>
          <w:lang w:val="fr-FR"/>
        </w:rPr>
        <w:t>Ainsi, s</w:t>
      </w:r>
      <w:r w:rsidRPr="00432BEA" w:rsidR="00432BEA">
        <w:rPr>
          <w:lang w:val="fr-FR"/>
        </w:rPr>
        <w:t>’</w:t>
      </w:r>
      <w:r w:rsidRPr="00432BEA">
        <w:rPr>
          <w:lang w:val="fr-FR"/>
        </w:rPr>
        <w:t>agissant des personnes âgées, la notion de maintien à domicile s</w:t>
      </w:r>
      <w:r w:rsidRPr="00432BEA" w:rsidR="00432BEA">
        <w:rPr>
          <w:lang w:val="fr-FR"/>
        </w:rPr>
        <w:t>’</w:t>
      </w:r>
      <w:r w:rsidRPr="00432BEA">
        <w:rPr>
          <w:lang w:val="fr-FR"/>
        </w:rPr>
        <w:t>oppose clairement à la notion d</w:t>
      </w:r>
      <w:r w:rsidRPr="00432BEA" w:rsidR="00432BEA">
        <w:rPr>
          <w:lang w:val="fr-FR"/>
        </w:rPr>
        <w:t>’</w:t>
      </w:r>
      <w:r w:rsidRPr="00432BEA">
        <w:rPr>
          <w:lang w:val="fr-FR"/>
        </w:rPr>
        <w:t>accueil en établissement.</w:t>
      </w:r>
    </w:p>
    <w:p w:rsidRPr="00432BEA" w:rsidR="00410483" w:rsidP="00432BEA" w:rsidRDefault="00266B30">
      <w:pPr>
        <w:pStyle w:val="ECHRParaQuote"/>
        <w:rPr>
          <w:lang w:val="fr-FR"/>
        </w:rPr>
      </w:pPr>
      <w:r w:rsidRPr="00432BEA">
        <w:rPr>
          <w:lang w:val="fr-FR"/>
        </w:rPr>
        <w:t>[</w:t>
      </w:r>
      <w:r w:rsidRPr="00432BEA" w:rsidR="00410483">
        <w:rPr>
          <w:lang w:val="fr-FR"/>
        </w:rPr>
        <w:t>L</w:t>
      </w:r>
      <w:r w:rsidRPr="00432BEA">
        <w:rPr>
          <w:lang w:val="fr-FR"/>
        </w:rPr>
        <w:t>e requérant]</w:t>
      </w:r>
      <w:r w:rsidRPr="00432BEA" w:rsidR="00410483">
        <w:rPr>
          <w:lang w:val="fr-FR"/>
        </w:rPr>
        <w:t xml:space="preserve"> ne favorise pas le maintien à domicile des personnes âgées mais au contraire les héberge; il ne peut donc bénéficier des exonérations de cotisations sociales (</w:t>
      </w:r>
      <w:r w:rsidRPr="00432BEA" w:rsidR="007D22EB">
        <w:rPr>
          <w:lang w:val="fr-FR"/>
        </w:rPr>
        <w:t>...</w:t>
      </w:r>
      <w:r w:rsidRPr="00432BEA" w:rsidR="00410483">
        <w:rPr>
          <w:lang w:val="fr-FR"/>
        </w:rPr>
        <w:t>) ».</w:t>
      </w:r>
    </w:p>
    <w:p w:rsidRPr="00432BEA" w:rsidR="006F1FB6" w:rsidP="00432BEA" w:rsidRDefault="008C4077">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24</w:t>
      </w:r>
      <w:r w:rsidRPr="00432BEA">
        <w:rPr>
          <w:lang w:val="fr-FR"/>
        </w:rPr>
        <w:fldChar w:fldCharType="end"/>
      </w:r>
      <w:r w:rsidRPr="00432BEA">
        <w:rPr>
          <w:lang w:val="fr-FR"/>
        </w:rPr>
        <w:t>.  </w:t>
      </w:r>
      <w:r w:rsidRPr="00432BEA" w:rsidR="00410483">
        <w:rPr>
          <w:lang w:val="fr-FR"/>
        </w:rPr>
        <w:t>Le requérant forma un pourvoi en cassation.</w:t>
      </w:r>
      <w:r w:rsidRPr="00432BEA" w:rsidR="00636192">
        <w:rPr>
          <w:lang w:val="fr-FR"/>
        </w:rPr>
        <w:t xml:space="preserve"> Dans son moyen unique de cassation,</w:t>
      </w:r>
      <w:r w:rsidRPr="00432BEA" w:rsidR="006F1FB6">
        <w:rPr>
          <w:lang w:val="fr-FR"/>
        </w:rPr>
        <w:t xml:space="preserve"> il fit valoir que seule la version issue de la loi du 19 décembre 2007 était applicable au litige (pa</w:t>
      </w:r>
      <w:r w:rsidRPr="00432BEA" w:rsidR="003A3C9A">
        <w:rPr>
          <w:lang w:val="fr-FR"/>
        </w:rPr>
        <w:t>ragraphe</w:t>
      </w:r>
      <w:r w:rsidRPr="00432BEA" w:rsidR="008F2506">
        <w:rPr>
          <w:lang w:val="fr-FR"/>
        </w:rPr>
        <w:t xml:space="preserve"> 43</w:t>
      </w:r>
      <w:r w:rsidRPr="00432BEA" w:rsidR="00632783">
        <w:rPr>
          <w:lang w:val="fr-FR"/>
        </w:rPr>
        <w:t xml:space="preserve"> ci-dessus) et non la loi du 20 </w:t>
      </w:r>
      <w:r w:rsidRPr="00432BEA" w:rsidR="00A76CBD">
        <w:rPr>
          <w:lang w:val="fr-FR"/>
        </w:rPr>
        <w:t xml:space="preserve">décembre 2010 (désignée par erreur dans les écritures par la loi </w:t>
      </w:r>
      <w:r w:rsidRPr="00432BEA" w:rsidR="004452F5">
        <w:rPr>
          <w:lang w:val="fr-FR"/>
        </w:rPr>
        <w:t>n</w:t>
      </w:r>
      <w:r w:rsidRPr="00432BEA" w:rsidR="007D22EB">
        <w:rPr>
          <w:vertAlign w:val="superscript"/>
          <w:lang w:val="fr-FR"/>
        </w:rPr>
        <w:t>o</w:t>
      </w:r>
      <w:r w:rsidRPr="00432BEA" w:rsidR="00632783">
        <w:rPr>
          <w:vertAlign w:val="superscript"/>
          <w:lang w:val="fr-FR"/>
        </w:rPr>
        <w:t> </w:t>
      </w:r>
      <w:r w:rsidRPr="00432BEA" w:rsidR="00632783">
        <w:rPr>
          <w:lang w:val="fr-FR"/>
        </w:rPr>
        <w:t>2010</w:t>
      </w:r>
      <w:r w:rsidRPr="00432BEA" w:rsidR="00632783">
        <w:rPr>
          <w:lang w:val="fr-FR"/>
        </w:rPr>
        <w:noBreakHyphen/>
      </w:r>
      <w:r w:rsidRPr="00432BEA" w:rsidR="003A3C9A">
        <w:rPr>
          <w:lang w:val="fr-FR"/>
        </w:rPr>
        <w:t>1657</w:t>
      </w:r>
      <w:r w:rsidRPr="00432BEA" w:rsidR="006F1FB6">
        <w:rPr>
          <w:lang w:val="fr-FR"/>
        </w:rPr>
        <w:t xml:space="preserve"> du 29 décembre 2010</w:t>
      </w:r>
      <w:r w:rsidRPr="00432BEA" w:rsidR="00A76CBD">
        <w:rPr>
          <w:lang w:val="fr-FR"/>
        </w:rPr>
        <w:t xml:space="preserve"> de</w:t>
      </w:r>
      <w:r w:rsidRPr="00432BEA" w:rsidR="00177ECF">
        <w:rPr>
          <w:lang w:val="fr-FR"/>
        </w:rPr>
        <w:t xml:space="preserve"> finances pour 2011</w:t>
      </w:r>
      <w:r w:rsidRPr="00432BEA" w:rsidR="003A3C9A">
        <w:rPr>
          <w:lang w:val="fr-FR"/>
        </w:rPr>
        <w:t>)</w:t>
      </w:r>
      <w:r w:rsidRPr="00432BEA" w:rsidR="006F1FB6">
        <w:rPr>
          <w:lang w:val="fr-FR"/>
        </w:rPr>
        <w:t>. Il ajouta que le texte nouveau ne pouvait avoir un caractère interprétatif justifiant son application rétroactive aux instances en cours dès lors qu</w:t>
      </w:r>
      <w:r w:rsidRPr="00432BEA" w:rsidR="00432BEA">
        <w:rPr>
          <w:lang w:val="fr-FR"/>
        </w:rPr>
        <w:t>’</w:t>
      </w:r>
      <w:r w:rsidRPr="00432BEA" w:rsidR="006F1FB6">
        <w:rPr>
          <w:lang w:val="fr-FR"/>
        </w:rPr>
        <w:t>il substituait de nouvelles conditions d</w:t>
      </w:r>
      <w:r w:rsidRPr="00432BEA" w:rsidR="00432BEA">
        <w:rPr>
          <w:lang w:val="fr-FR"/>
        </w:rPr>
        <w:t>’</w:t>
      </w:r>
      <w:r w:rsidRPr="00432BEA" w:rsidR="006F1FB6">
        <w:rPr>
          <w:lang w:val="fr-FR"/>
        </w:rPr>
        <w:t>exonération, plus restrictives, à celles résultant du texte précédent, lequel ne faisait pas de l</w:t>
      </w:r>
      <w:r w:rsidRPr="00432BEA" w:rsidR="00432BEA">
        <w:rPr>
          <w:lang w:val="fr-FR"/>
        </w:rPr>
        <w:t>’</w:t>
      </w:r>
      <w:r w:rsidRPr="00432BEA" w:rsidR="006F1FB6">
        <w:rPr>
          <w:lang w:val="fr-FR"/>
        </w:rPr>
        <w:t>existence d</w:t>
      </w:r>
      <w:r w:rsidRPr="00432BEA" w:rsidR="00432BEA">
        <w:rPr>
          <w:lang w:val="fr-FR"/>
        </w:rPr>
        <w:t>’</w:t>
      </w:r>
      <w:r w:rsidRPr="00432BEA" w:rsidR="006F1FB6">
        <w:rPr>
          <w:lang w:val="fr-FR"/>
        </w:rPr>
        <w:t>un domicile ayant un usage exclusivement privatif une condition d</w:t>
      </w:r>
      <w:r w:rsidRPr="00432BEA" w:rsidR="00432BEA">
        <w:rPr>
          <w:lang w:val="fr-FR"/>
        </w:rPr>
        <w:t>’</w:t>
      </w:r>
      <w:r w:rsidRPr="00432BEA" w:rsidR="006F1FB6">
        <w:rPr>
          <w:lang w:val="fr-FR"/>
        </w:rPr>
        <w:t>application de l</w:t>
      </w:r>
      <w:r w:rsidRPr="00432BEA" w:rsidR="00432BEA">
        <w:rPr>
          <w:lang w:val="fr-FR"/>
        </w:rPr>
        <w:t>’</w:t>
      </w:r>
      <w:r w:rsidRPr="00432BEA" w:rsidR="006F1FB6">
        <w:rPr>
          <w:lang w:val="fr-FR"/>
        </w:rPr>
        <w:t>exonération des cotisations. Il souligna ainsi qu</w:t>
      </w:r>
      <w:r w:rsidRPr="00432BEA" w:rsidR="00432BEA">
        <w:rPr>
          <w:lang w:val="fr-FR"/>
        </w:rPr>
        <w:t>’</w:t>
      </w:r>
      <w:r w:rsidRPr="00432BEA" w:rsidR="006F1FB6">
        <w:rPr>
          <w:lang w:val="fr-FR"/>
        </w:rPr>
        <w:t>à « supposer que la cour d</w:t>
      </w:r>
      <w:r w:rsidRPr="00432BEA" w:rsidR="00432BEA">
        <w:rPr>
          <w:lang w:val="fr-FR"/>
        </w:rPr>
        <w:t>’</w:t>
      </w:r>
      <w:r w:rsidRPr="00432BEA" w:rsidR="006F1FB6">
        <w:rPr>
          <w:lang w:val="fr-FR"/>
        </w:rPr>
        <w:t xml:space="preserve">appel </w:t>
      </w:r>
      <w:r w:rsidRPr="00432BEA" w:rsidR="00875398">
        <w:rPr>
          <w:lang w:val="fr-FR"/>
        </w:rPr>
        <w:t>ait implicitement entendu se retrancher derrière le caractère interprétatif de la loi du 29 décembre 2010</w:t>
      </w:r>
      <w:r w:rsidRPr="00432BEA" w:rsidR="00E54C36">
        <w:rPr>
          <w:lang w:val="fr-FR"/>
        </w:rPr>
        <w:t xml:space="preserve"> [</w:t>
      </w:r>
      <w:r w:rsidRPr="00432BEA" w:rsidR="00E54C36">
        <w:rPr>
          <w:i/>
          <w:lang w:val="fr-FR"/>
        </w:rPr>
        <w:t>sic</w:t>
      </w:r>
      <w:r w:rsidRPr="00432BEA" w:rsidR="00E54C36">
        <w:rPr>
          <w:lang w:val="fr-FR"/>
        </w:rPr>
        <w:t>]</w:t>
      </w:r>
      <w:r w:rsidRPr="00432BEA" w:rsidR="00875398">
        <w:rPr>
          <w:lang w:val="fr-FR"/>
        </w:rPr>
        <w:t xml:space="preserve"> pour faire application, à la présente instance, des dispositions de l</w:t>
      </w:r>
      <w:r w:rsidRPr="00432BEA" w:rsidR="00432BEA">
        <w:rPr>
          <w:lang w:val="fr-FR"/>
        </w:rPr>
        <w:t>’</w:t>
      </w:r>
      <w:r w:rsidRPr="00432BEA" w:rsidR="00875398">
        <w:rPr>
          <w:lang w:val="fr-FR"/>
        </w:rPr>
        <w:t>article L</w:t>
      </w:r>
      <w:r w:rsidRPr="00432BEA" w:rsidR="005E6625">
        <w:rPr>
          <w:lang w:val="fr-FR"/>
        </w:rPr>
        <w:t>.</w:t>
      </w:r>
      <w:r w:rsidRPr="00432BEA" w:rsidR="00875398">
        <w:rPr>
          <w:lang w:val="fr-FR"/>
        </w:rPr>
        <w:t xml:space="preserve"> 241-10 III du CSS dans leur version issue de ladite loi, la décision entreprise violerait l</w:t>
      </w:r>
      <w:r w:rsidRPr="00432BEA" w:rsidR="00432BEA">
        <w:rPr>
          <w:lang w:val="fr-FR"/>
        </w:rPr>
        <w:t>’</w:t>
      </w:r>
      <w:r w:rsidRPr="00432BEA" w:rsidR="00875398">
        <w:rPr>
          <w:lang w:val="fr-FR"/>
        </w:rPr>
        <w:t>article 2 du code civil, ensemble les</w:t>
      </w:r>
      <w:r w:rsidRPr="00432BEA" w:rsidR="004F3D4F">
        <w:rPr>
          <w:lang w:val="fr-FR"/>
        </w:rPr>
        <w:t xml:space="preserve"> </w:t>
      </w:r>
      <w:r w:rsidRPr="00432BEA" w:rsidR="00410483">
        <w:rPr>
          <w:lang w:val="fr-FR"/>
        </w:rPr>
        <w:t>articles 6</w:t>
      </w:r>
      <w:r w:rsidRPr="00432BEA" w:rsidR="00875398">
        <w:rPr>
          <w:lang w:val="fr-FR"/>
        </w:rPr>
        <w:t>-</w:t>
      </w:r>
      <w:r w:rsidRPr="00432BEA" w:rsidR="00410483">
        <w:rPr>
          <w:lang w:val="fr-FR"/>
        </w:rPr>
        <w:t>1 de la Convention et 1</w:t>
      </w:r>
      <w:r w:rsidRPr="00432BEA" w:rsidR="00875398">
        <w:rPr>
          <w:vertAlign w:val="superscript"/>
          <w:lang w:val="fr-FR"/>
        </w:rPr>
        <w:t>er</w:t>
      </w:r>
      <w:r w:rsidRPr="00432BEA" w:rsidR="00410483">
        <w:rPr>
          <w:lang w:val="fr-FR"/>
        </w:rPr>
        <w:t xml:space="preserve"> du </w:t>
      </w:r>
      <w:r w:rsidRPr="00432BEA" w:rsidR="00875398">
        <w:rPr>
          <w:lang w:val="fr-FR"/>
        </w:rPr>
        <w:t>Premier protocole additionnel</w:t>
      </w:r>
      <w:r w:rsidRPr="00432BEA" w:rsidR="002075AF">
        <w:rPr>
          <w:lang w:val="fr-FR"/>
        </w:rPr>
        <w:t> »</w:t>
      </w:r>
      <w:r w:rsidRPr="00432BEA" w:rsidR="00F06D88">
        <w:rPr>
          <w:lang w:val="fr-FR"/>
        </w:rPr>
        <w:t>.</w:t>
      </w:r>
    </w:p>
    <w:p w:rsidRPr="00432BEA" w:rsidR="007D22EB" w:rsidP="00432BEA" w:rsidRDefault="00EE6DC0">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25</w:t>
      </w:r>
      <w:r w:rsidRPr="00432BEA">
        <w:rPr>
          <w:lang w:val="fr-FR"/>
        </w:rPr>
        <w:fldChar w:fldCharType="end"/>
      </w:r>
      <w:r w:rsidRPr="00432BEA">
        <w:rPr>
          <w:lang w:val="fr-FR"/>
        </w:rPr>
        <w:t>.  </w:t>
      </w:r>
      <w:r w:rsidRPr="00432BEA" w:rsidR="00410483">
        <w:rPr>
          <w:lang w:val="fr-FR"/>
        </w:rPr>
        <w:t xml:space="preserve">Dans son rapport, </w:t>
      </w:r>
      <w:r w:rsidRPr="00432BEA" w:rsidR="003A3C9A">
        <w:rPr>
          <w:lang w:val="fr-FR"/>
        </w:rPr>
        <w:t>le conseiller rapporteur fit les observations suivantes :</w:t>
      </w:r>
    </w:p>
    <w:p w:rsidRPr="00432BEA" w:rsidR="003A3C9A" w:rsidP="00432BEA" w:rsidRDefault="003A3C9A">
      <w:pPr>
        <w:pStyle w:val="ECHRParaQuote"/>
        <w:rPr>
          <w:lang w:val="fr-FR"/>
        </w:rPr>
      </w:pPr>
      <w:r w:rsidRPr="00432BEA">
        <w:rPr>
          <w:lang w:val="fr-FR"/>
        </w:rPr>
        <w:t>« Comme il est indiqué dans le mémoire ampliatif, il appartenait à la Cour de cassation de trancher la question de principe tenant au champ d</w:t>
      </w:r>
      <w:r w:rsidRPr="00432BEA" w:rsidR="00432BEA">
        <w:rPr>
          <w:lang w:val="fr-FR"/>
        </w:rPr>
        <w:t>’</w:t>
      </w:r>
      <w:r w:rsidRPr="00432BEA">
        <w:rPr>
          <w:lang w:val="fr-FR"/>
        </w:rPr>
        <w:t>application des dispositions de l</w:t>
      </w:r>
      <w:r w:rsidRPr="00432BEA" w:rsidR="00432BEA">
        <w:rPr>
          <w:lang w:val="fr-FR"/>
        </w:rPr>
        <w:t>’</w:t>
      </w:r>
      <w:r w:rsidRPr="00432BEA">
        <w:rPr>
          <w:lang w:val="fr-FR"/>
        </w:rPr>
        <w:t xml:space="preserve">article </w:t>
      </w:r>
      <w:r w:rsidRPr="00432BEA" w:rsidR="006D7F45">
        <w:rPr>
          <w:lang w:val="fr-FR"/>
        </w:rPr>
        <w:t>L. 241-10 III</w:t>
      </w:r>
      <w:r w:rsidRPr="00432BEA">
        <w:rPr>
          <w:lang w:val="fr-FR"/>
        </w:rPr>
        <w:t xml:space="preserve"> du code de la </w:t>
      </w:r>
      <w:r w:rsidRPr="00432BEA" w:rsidR="003B3BEA">
        <w:rPr>
          <w:lang w:val="fr-FR"/>
        </w:rPr>
        <w:t>s</w:t>
      </w:r>
      <w:r w:rsidRPr="00432BEA" w:rsidR="00632783">
        <w:rPr>
          <w:lang w:val="fr-FR"/>
        </w:rPr>
        <w:t>écurité sociale</w:t>
      </w:r>
      <w:r w:rsidRPr="00432BEA">
        <w:rPr>
          <w:lang w:val="fr-FR"/>
        </w:rPr>
        <w:t xml:space="preserve"> dans sa rédaction antérieure à celle issue de la loi</w:t>
      </w:r>
      <w:r w:rsidRPr="00432BEA" w:rsidR="00A76CBD">
        <w:rPr>
          <w:lang w:val="fr-FR"/>
        </w:rPr>
        <w:t xml:space="preserve"> du 20 décembre 2010 (désignée également par erreur comme la loi </w:t>
      </w:r>
      <w:r w:rsidRPr="00432BEA">
        <w:rPr>
          <w:lang w:val="fr-FR"/>
        </w:rPr>
        <w:t>N</w:t>
      </w:r>
      <w:r w:rsidRPr="00432BEA">
        <w:rPr>
          <w:vertAlign w:val="superscript"/>
          <w:lang w:val="fr-FR"/>
        </w:rPr>
        <w:t>o</w:t>
      </w:r>
      <w:r w:rsidRPr="00432BEA">
        <w:rPr>
          <w:lang w:val="fr-FR"/>
        </w:rPr>
        <w:t xml:space="preserve"> 2010-1657 du 29 décembre 2010</w:t>
      </w:r>
      <w:r w:rsidRPr="00432BEA" w:rsidR="00A76CBD">
        <w:rPr>
          <w:lang w:val="fr-FR"/>
        </w:rPr>
        <w:t xml:space="preserve"> de finances pour 2011)</w:t>
      </w:r>
      <w:r w:rsidRPr="00432BEA">
        <w:rPr>
          <w:lang w:val="fr-FR"/>
        </w:rPr>
        <w:t>. Il s</w:t>
      </w:r>
      <w:r w:rsidRPr="00432BEA" w:rsidR="00432BEA">
        <w:rPr>
          <w:lang w:val="fr-FR"/>
        </w:rPr>
        <w:t>’</w:t>
      </w:r>
      <w:r w:rsidRPr="00432BEA">
        <w:rPr>
          <w:lang w:val="fr-FR"/>
        </w:rPr>
        <w:t>agissait de savoir si l</w:t>
      </w:r>
      <w:r w:rsidRPr="00432BEA" w:rsidR="00432BEA">
        <w:rPr>
          <w:lang w:val="fr-FR"/>
        </w:rPr>
        <w:t>’</w:t>
      </w:r>
      <w:r w:rsidRPr="00432BEA">
        <w:rPr>
          <w:lang w:val="fr-FR"/>
        </w:rPr>
        <w:t>exonération des cotisations patronales instituée sur les rémunérations des personnes assurant des prestations d</w:t>
      </w:r>
      <w:r w:rsidRPr="00432BEA" w:rsidR="00432BEA">
        <w:rPr>
          <w:lang w:val="fr-FR"/>
        </w:rPr>
        <w:t>’</w:t>
      </w:r>
      <w:r w:rsidRPr="00432BEA">
        <w:rPr>
          <w:lang w:val="fr-FR"/>
        </w:rPr>
        <w:t xml:space="preserve">aide à domicile auprès des personnes âgées dépendantes était applicable aux salaires des employés des </w:t>
      </w:r>
      <w:r w:rsidRPr="00432BEA" w:rsidR="005A25F1">
        <w:rPr>
          <w:lang w:val="fr-FR"/>
        </w:rPr>
        <w:t>EHPAD</w:t>
      </w:r>
      <w:r w:rsidRPr="00432BEA">
        <w:rPr>
          <w:lang w:val="fr-FR"/>
        </w:rPr>
        <w:t>.</w:t>
      </w:r>
    </w:p>
    <w:p w:rsidRPr="00432BEA" w:rsidR="003A3C9A" w:rsidP="00432BEA" w:rsidRDefault="003A3C9A">
      <w:pPr>
        <w:pStyle w:val="ECHRParaQuote"/>
        <w:rPr>
          <w:lang w:val="fr-FR"/>
        </w:rPr>
      </w:pPr>
      <w:r w:rsidRPr="00432BEA">
        <w:rPr>
          <w:lang w:val="fr-FR"/>
        </w:rPr>
        <w:t>Saisie de cette question dans un litige opposant l</w:t>
      </w:r>
      <w:r w:rsidRPr="00432BEA" w:rsidR="00432BEA">
        <w:rPr>
          <w:lang w:val="fr-FR"/>
        </w:rPr>
        <w:t>’</w:t>
      </w:r>
      <w:r w:rsidRPr="00432BEA">
        <w:rPr>
          <w:lang w:val="fr-FR"/>
        </w:rPr>
        <w:t>hôpital local Saint-Pierre d</w:t>
      </w:r>
      <w:r w:rsidRPr="00432BEA" w:rsidR="00432BEA">
        <w:rPr>
          <w:lang w:val="fr-FR"/>
        </w:rPr>
        <w:t>’</w:t>
      </w:r>
      <w:r w:rsidRPr="00432BEA">
        <w:rPr>
          <w:lang w:val="fr-FR"/>
        </w:rPr>
        <w:t xml:space="preserve">Oléron, qui comprend un </w:t>
      </w:r>
      <w:r w:rsidRPr="00432BEA" w:rsidR="005A25F1">
        <w:rPr>
          <w:lang w:val="fr-FR"/>
        </w:rPr>
        <w:t>EHPAD</w:t>
      </w:r>
      <w:r w:rsidRPr="00432BEA">
        <w:rPr>
          <w:lang w:val="fr-FR"/>
        </w:rPr>
        <w:t>, à l</w:t>
      </w:r>
      <w:r w:rsidRPr="00432BEA" w:rsidR="00432BEA">
        <w:rPr>
          <w:lang w:val="fr-FR"/>
        </w:rPr>
        <w:t>’</w:t>
      </w:r>
      <w:r w:rsidRPr="00432BEA">
        <w:rPr>
          <w:lang w:val="fr-FR"/>
        </w:rPr>
        <w:t>Urssaf de la Charente-Maritime, la deuxième chambre civile l</w:t>
      </w:r>
      <w:r w:rsidRPr="00432BEA" w:rsidR="00432BEA">
        <w:rPr>
          <w:lang w:val="fr-FR"/>
        </w:rPr>
        <w:t>’</w:t>
      </w:r>
      <w:r w:rsidRPr="00432BEA">
        <w:rPr>
          <w:lang w:val="fr-FR"/>
        </w:rPr>
        <w:t>a tranchée dans un arrêt du 22 septembre 2011 (n</w:t>
      </w:r>
      <w:r w:rsidRPr="00432BEA">
        <w:rPr>
          <w:vertAlign w:val="superscript"/>
          <w:lang w:val="fr-FR"/>
        </w:rPr>
        <w:t>o</w:t>
      </w:r>
      <w:r w:rsidRPr="00432BEA" w:rsidR="004452F5">
        <w:rPr>
          <w:lang w:val="fr-FR"/>
        </w:rPr>
        <w:t xml:space="preserve"> 10-</w:t>
      </w:r>
      <w:r w:rsidRPr="00432BEA">
        <w:rPr>
          <w:lang w:val="fr-FR"/>
        </w:rPr>
        <w:t>19</w:t>
      </w:r>
      <w:r w:rsidRPr="00432BEA" w:rsidR="004452F5">
        <w:rPr>
          <w:lang w:val="fr-FR"/>
        </w:rPr>
        <w:t>.</w:t>
      </w:r>
      <w:r w:rsidRPr="00432BEA">
        <w:rPr>
          <w:lang w:val="fr-FR"/>
        </w:rPr>
        <w:t>954) en cours de publication.</w:t>
      </w:r>
    </w:p>
    <w:p w:rsidRPr="00432BEA" w:rsidR="003A3C9A" w:rsidP="00432BEA" w:rsidRDefault="003A3C9A">
      <w:pPr>
        <w:pStyle w:val="ECHRParaQuote"/>
        <w:rPr>
          <w:lang w:val="fr-FR"/>
        </w:rPr>
      </w:pPr>
      <w:r w:rsidRPr="00432BEA">
        <w:rPr>
          <w:lang w:val="fr-FR"/>
        </w:rPr>
        <w:t>Dans cet arrêt, qui a rejeté le pourvoi de l</w:t>
      </w:r>
      <w:r w:rsidRPr="00432BEA" w:rsidR="00432BEA">
        <w:rPr>
          <w:lang w:val="fr-FR"/>
        </w:rPr>
        <w:t>’</w:t>
      </w:r>
      <w:r w:rsidRPr="00432BEA">
        <w:rPr>
          <w:lang w:val="fr-FR"/>
        </w:rPr>
        <w:t>établissement, la Cour de cassation a approuvé la cour d</w:t>
      </w:r>
      <w:r w:rsidRPr="00432BEA" w:rsidR="00432BEA">
        <w:rPr>
          <w:lang w:val="fr-FR"/>
        </w:rPr>
        <w:t>’</w:t>
      </w:r>
      <w:r w:rsidRPr="00432BEA">
        <w:rPr>
          <w:lang w:val="fr-FR"/>
        </w:rPr>
        <w:t>appel d</w:t>
      </w:r>
      <w:r w:rsidRPr="00432BEA" w:rsidR="00432BEA">
        <w:rPr>
          <w:lang w:val="fr-FR"/>
        </w:rPr>
        <w:t>’</w:t>
      </w:r>
      <w:r w:rsidRPr="00432BEA">
        <w:rPr>
          <w:lang w:val="fr-FR"/>
        </w:rPr>
        <w:t>avoir déduit de l</w:t>
      </w:r>
      <w:r w:rsidRPr="00432BEA" w:rsidR="00432BEA">
        <w:rPr>
          <w:lang w:val="fr-FR"/>
        </w:rPr>
        <w:t>’</w:t>
      </w:r>
      <w:r w:rsidRPr="00432BEA">
        <w:rPr>
          <w:lang w:val="fr-FR"/>
        </w:rPr>
        <w:t>article L. 241-10 III, dans sa formulation applicable au présent litige, que l</w:t>
      </w:r>
      <w:r w:rsidRPr="00432BEA" w:rsidR="00432BEA">
        <w:rPr>
          <w:lang w:val="fr-FR"/>
        </w:rPr>
        <w:t>’</w:t>
      </w:r>
      <w:r w:rsidRPr="00432BEA">
        <w:rPr>
          <w:lang w:val="fr-FR"/>
        </w:rPr>
        <w:t>exonération ne pouvait s</w:t>
      </w:r>
      <w:r w:rsidRPr="00432BEA" w:rsidR="00432BEA">
        <w:rPr>
          <w:lang w:val="fr-FR"/>
        </w:rPr>
        <w:t>’</w:t>
      </w:r>
      <w:r w:rsidRPr="00432BEA">
        <w:rPr>
          <w:lang w:val="fr-FR"/>
        </w:rPr>
        <w:t>appliquer qu</w:t>
      </w:r>
      <w:r w:rsidRPr="00432BEA" w:rsidR="00432BEA">
        <w:rPr>
          <w:lang w:val="fr-FR"/>
        </w:rPr>
        <w:t>’</w:t>
      </w:r>
      <w:r w:rsidRPr="00432BEA">
        <w:rPr>
          <w:lang w:val="fr-FR"/>
        </w:rPr>
        <w:t>aux rémunérations des salariés intervenant au domicile privatif de la personne âgée.</w:t>
      </w:r>
    </w:p>
    <w:p w:rsidRPr="00432BEA" w:rsidR="003A3C9A" w:rsidP="00432BEA" w:rsidRDefault="003A3C9A">
      <w:pPr>
        <w:pStyle w:val="ECHRParaQuote"/>
        <w:rPr>
          <w:lang w:val="fr-FR"/>
        </w:rPr>
      </w:pPr>
      <w:r w:rsidRPr="00432BEA">
        <w:rPr>
          <w:lang w:val="fr-FR"/>
        </w:rPr>
        <w:t>Eu égard à cette prise de position, le présent pourvoi, faute de moyen sérieux de cassation, ne semble pas pouvoir être admis. »</w:t>
      </w:r>
    </w:p>
    <w:p w:rsidRPr="00432BEA" w:rsidR="007D22EB" w:rsidP="00432BEA" w:rsidRDefault="00EE6DC0">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26</w:t>
      </w:r>
      <w:r w:rsidRPr="00432BEA">
        <w:rPr>
          <w:lang w:val="fr-FR"/>
        </w:rPr>
        <w:fldChar w:fldCharType="end"/>
      </w:r>
      <w:r w:rsidRPr="00432BEA">
        <w:rPr>
          <w:lang w:val="fr-FR"/>
        </w:rPr>
        <w:t>.  </w:t>
      </w:r>
      <w:r w:rsidRPr="00432BEA" w:rsidR="00410483">
        <w:rPr>
          <w:lang w:val="fr-FR"/>
        </w:rPr>
        <w:t>Par un arrêt du 16 février 2012, la Cour de cassation déclara</w:t>
      </w:r>
      <w:r w:rsidRPr="00432BEA" w:rsidR="00266B30">
        <w:rPr>
          <w:lang w:val="fr-FR"/>
        </w:rPr>
        <w:t xml:space="preserve"> le pourvoi non admis</w:t>
      </w:r>
      <w:r w:rsidRPr="00432BEA" w:rsidR="00410483">
        <w:rPr>
          <w:lang w:val="fr-FR"/>
        </w:rPr>
        <w:t>.</w:t>
      </w:r>
    </w:p>
    <w:p w:rsidRPr="00432BEA" w:rsidR="007D22EB" w:rsidP="00432BEA" w:rsidRDefault="00EE6DC0">
      <w:pPr>
        <w:pStyle w:val="ECHRHeading3"/>
        <w:rPr>
          <w:lang w:val="fr-FR"/>
        </w:rPr>
      </w:pPr>
      <w:r w:rsidRPr="00432BEA">
        <w:rPr>
          <w:lang w:val="fr-FR"/>
        </w:rPr>
        <w:t>3.</w:t>
      </w:r>
      <w:r w:rsidRPr="00432BEA" w:rsidR="004452F5">
        <w:rPr>
          <w:lang w:val="fr-FR"/>
        </w:rPr>
        <w:t>  </w:t>
      </w:r>
      <w:r w:rsidRPr="00432BEA" w:rsidR="00031B84">
        <w:rPr>
          <w:lang w:val="fr-FR"/>
        </w:rPr>
        <w:t>Requêtes n</w:t>
      </w:r>
      <w:r w:rsidRPr="00432BEA" w:rsidR="00031B84">
        <w:rPr>
          <w:vertAlign w:val="superscript"/>
          <w:lang w:val="fr-FR"/>
        </w:rPr>
        <w:t>os</w:t>
      </w:r>
      <w:r w:rsidRPr="00432BEA" w:rsidR="00D20D8D">
        <w:rPr>
          <w:lang w:val="fr-FR"/>
        </w:rPr>
        <w:t xml:space="preserve"> </w:t>
      </w:r>
      <w:r w:rsidRPr="00432BEA" w:rsidR="00031B84">
        <w:rPr>
          <w:lang w:val="fr-FR"/>
        </w:rPr>
        <w:t>23542/13, 32194/13, 39165/13, 39173/13, 39180/13, 39184/13, 49923/13 et 57424/13, 76512/13, 76527/13, 76519/13, 76530/13, 46862/14 et 46819/14</w:t>
      </w:r>
    </w:p>
    <w:p w:rsidRPr="00432BEA" w:rsidR="007D22EB" w:rsidP="00432BEA" w:rsidRDefault="00D45633">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27</w:t>
      </w:r>
      <w:r w:rsidRPr="00432BEA">
        <w:rPr>
          <w:lang w:val="fr-FR"/>
        </w:rPr>
        <w:fldChar w:fldCharType="end"/>
      </w:r>
      <w:r w:rsidRPr="00432BEA">
        <w:rPr>
          <w:lang w:val="fr-FR"/>
        </w:rPr>
        <w:t>.  </w:t>
      </w:r>
      <w:r w:rsidRPr="00432BEA" w:rsidR="00031B84">
        <w:rPr>
          <w:lang w:val="fr-FR"/>
        </w:rPr>
        <w:t>Les requérant</w:t>
      </w:r>
      <w:r w:rsidRPr="00432BEA" w:rsidR="00727260">
        <w:rPr>
          <w:lang w:val="fr-FR"/>
        </w:rPr>
        <w:t xml:space="preserve">s </w:t>
      </w:r>
      <w:r w:rsidRPr="00432BEA" w:rsidR="00031B84">
        <w:rPr>
          <w:lang w:val="fr-FR"/>
        </w:rPr>
        <w:t>furent tous déboutés de leur demande d</w:t>
      </w:r>
      <w:r w:rsidRPr="00432BEA" w:rsidR="00432BEA">
        <w:rPr>
          <w:lang w:val="fr-FR"/>
        </w:rPr>
        <w:t>’</w:t>
      </w:r>
      <w:r w:rsidRPr="00432BEA" w:rsidR="00031B84">
        <w:rPr>
          <w:lang w:val="fr-FR"/>
        </w:rPr>
        <w:t>exonération des cotisations patronales demandées sur le fondement de l</w:t>
      </w:r>
      <w:r w:rsidRPr="00432BEA" w:rsidR="00432BEA">
        <w:rPr>
          <w:lang w:val="fr-FR"/>
        </w:rPr>
        <w:t>’</w:t>
      </w:r>
      <w:r w:rsidRPr="00432BEA" w:rsidR="00031B84">
        <w:rPr>
          <w:lang w:val="fr-FR"/>
        </w:rPr>
        <w:t>article L</w:t>
      </w:r>
      <w:r w:rsidRPr="00432BEA" w:rsidR="00632783">
        <w:rPr>
          <w:lang w:val="fr-FR"/>
        </w:rPr>
        <w:t>. 241</w:t>
      </w:r>
      <w:r w:rsidRPr="00432BEA" w:rsidR="00632783">
        <w:rPr>
          <w:lang w:val="fr-FR"/>
        </w:rPr>
        <w:noBreakHyphen/>
      </w:r>
      <w:r w:rsidRPr="00432BEA" w:rsidR="004452F5">
        <w:rPr>
          <w:lang w:val="fr-FR"/>
        </w:rPr>
        <w:t>10 </w:t>
      </w:r>
      <w:r w:rsidRPr="00432BEA" w:rsidR="00031B84">
        <w:rPr>
          <w:lang w:val="fr-FR"/>
        </w:rPr>
        <w:t xml:space="preserve">III du </w:t>
      </w:r>
      <w:r w:rsidRPr="00432BEA" w:rsidR="000264D8">
        <w:rPr>
          <w:lang w:val="fr-FR"/>
        </w:rPr>
        <w:t>CC par jugements confirmés par l</w:t>
      </w:r>
      <w:r w:rsidRPr="00432BEA" w:rsidR="00031B84">
        <w:rPr>
          <w:lang w:val="fr-FR"/>
        </w:rPr>
        <w:t>es cours d</w:t>
      </w:r>
      <w:r w:rsidRPr="00432BEA" w:rsidR="00432BEA">
        <w:rPr>
          <w:lang w:val="fr-FR"/>
        </w:rPr>
        <w:t>’</w:t>
      </w:r>
      <w:r w:rsidRPr="00432BEA" w:rsidR="00031B84">
        <w:rPr>
          <w:lang w:val="fr-FR"/>
        </w:rPr>
        <w:t>appel. Ils ne formèrent aucun pourvoi en c</w:t>
      </w:r>
      <w:r w:rsidRPr="00432BEA" w:rsidR="004452F5">
        <w:rPr>
          <w:lang w:val="fr-FR"/>
        </w:rPr>
        <w:t>assation, compte tenu de la non-</w:t>
      </w:r>
      <w:r w:rsidRPr="00432BEA" w:rsidR="00031B84">
        <w:rPr>
          <w:lang w:val="fr-FR"/>
        </w:rPr>
        <w:t>admission du pourvoi décidé par la Cour de cassation dans l</w:t>
      </w:r>
      <w:r w:rsidRPr="00432BEA" w:rsidR="00432BEA">
        <w:rPr>
          <w:lang w:val="fr-FR"/>
        </w:rPr>
        <w:t>’</w:t>
      </w:r>
      <w:r w:rsidRPr="00432BEA" w:rsidR="00031B84">
        <w:rPr>
          <w:lang w:val="fr-FR"/>
        </w:rPr>
        <w:t xml:space="preserve">affaire </w:t>
      </w:r>
      <w:r w:rsidRPr="00432BEA" w:rsidR="00FB4D81">
        <w:rPr>
          <w:lang w:val="fr-FR"/>
        </w:rPr>
        <w:t>n</w:t>
      </w:r>
      <w:r w:rsidRPr="00432BEA" w:rsidR="00FB4D81">
        <w:rPr>
          <w:vertAlign w:val="superscript"/>
          <w:lang w:val="fr-FR"/>
        </w:rPr>
        <w:t>o</w:t>
      </w:r>
      <w:r w:rsidRPr="00432BEA" w:rsidR="00FB4D81">
        <w:rPr>
          <w:lang w:val="fr-FR"/>
        </w:rPr>
        <w:t xml:space="preserve"> </w:t>
      </w:r>
      <w:r w:rsidRPr="00432BEA" w:rsidR="00031B84">
        <w:rPr>
          <w:lang w:val="fr-FR"/>
        </w:rPr>
        <w:t>53601/12 (</w:t>
      </w:r>
      <w:r w:rsidRPr="00432BEA">
        <w:rPr>
          <w:lang w:val="fr-FR"/>
        </w:rPr>
        <w:t>paragraphe</w:t>
      </w:r>
      <w:r w:rsidRPr="00432BEA" w:rsidR="009323FF">
        <w:rPr>
          <w:lang w:val="fr-FR"/>
        </w:rPr>
        <w:t xml:space="preserve"> 26</w:t>
      </w:r>
      <w:r w:rsidRPr="00432BEA">
        <w:rPr>
          <w:lang w:val="fr-FR"/>
        </w:rPr>
        <w:t xml:space="preserve"> </w:t>
      </w:r>
      <w:r w:rsidRPr="00432BEA" w:rsidR="00031B84">
        <w:rPr>
          <w:lang w:val="fr-FR"/>
        </w:rPr>
        <w:t>ci-dessus).</w:t>
      </w:r>
    </w:p>
    <w:p w:rsidRPr="00432BEA" w:rsidR="00D45633" w:rsidP="00432BEA" w:rsidRDefault="00D45633">
      <w:pPr>
        <w:pStyle w:val="ECHRHeading3"/>
        <w:rPr>
          <w:lang w:val="fr-FR"/>
        </w:rPr>
      </w:pPr>
      <w:r w:rsidRPr="00432BEA">
        <w:rPr>
          <w:lang w:val="fr-FR"/>
        </w:rPr>
        <w:t>4.</w:t>
      </w:r>
      <w:r w:rsidRPr="00432BEA" w:rsidR="00FB4D81">
        <w:rPr>
          <w:lang w:val="fr-FR"/>
        </w:rPr>
        <w:t>  </w:t>
      </w:r>
      <w:r w:rsidRPr="00432BEA">
        <w:rPr>
          <w:lang w:val="fr-FR"/>
        </w:rPr>
        <w:t>Requêtes n</w:t>
      </w:r>
      <w:r w:rsidRPr="00432BEA">
        <w:rPr>
          <w:vertAlign w:val="superscript"/>
          <w:lang w:val="fr-FR"/>
        </w:rPr>
        <w:t>os</w:t>
      </w:r>
      <w:r w:rsidRPr="00432BEA" w:rsidR="00D20D8D">
        <w:rPr>
          <w:lang w:val="fr-FR"/>
        </w:rPr>
        <w:t xml:space="preserve"> </w:t>
      </w:r>
      <w:r w:rsidRPr="00432BEA">
        <w:rPr>
          <w:lang w:val="fr-FR"/>
        </w:rPr>
        <w:t>58995/13 et 30287/14</w:t>
      </w:r>
    </w:p>
    <w:p w:rsidRPr="00432BEA" w:rsidR="007D22EB" w:rsidP="00432BEA" w:rsidRDefault="00D45633">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28</w:t>
      </w:r>
      <w:r w:rsidRPr="00432BEA">
        <w:rPr>
          <w:lang w:val="fr-FR"/>
        </w:rPr>
        <w:fldChar w:fldCharType="end"/>
      </w:r>
      <w:r w:rsidRPr="00432BEA">
        <w:rPr>
          <w:lang w:val="fr-FR"/>
        </w:rPr>
        <w:t>.  Dans l</w:t>
      </w:r>
      <w:r w:rsidRPr="00432BEA" w:rsidR="00432BEA">
        <w:rPr>
          <w:lang w:val="fr-FR"/>
        </w:rPr>
        <w:t>’</w:t>
      </w:r>
      <w:r w:rsidRPr="00432BEA">
        <w:rPr>
          <w:lang w:val="fr-FR"/>
        </w:rPr>
        <w:t>affaire n</w:t>
      </w:r>
      <w:r w:rsidRPr="00432BEA" w:rsidR="007D22EB">
        <w:rPr>
          <w:vertAlign w:val="superscript"/>
          <w:lang w:val="fr-FR"/>
        </w:rPr>
        <w:t>o</w:t>
      </w:r>
      <w:r w:rsidRPr="00432BEA" w:rsidR="00266B30">
        <w:rPr>
          <w:lang w:val="fr-FR"/>
        </w:rPr>
        <w:t xml:space="preserve"> </w:t>
      </w:r>
      <w:r w:rsidRPr="00432BEA">
        <w:rPr>
          <w:lang w:val="fr-FR"/>
        </w:rPr>
        <w:t xml:space="preserve">58995/13, le requérant </w:t>
      </w:r>
      <w:r w:rsidRPr="00432BEA" w:rsidR="000264D8">
        <w:rPr>
          <w:lang w:val="fr-FR"/>
        </w:rPr>
        <w:t>fut débouté</w:t>
      </w:r>
      <w:r w:rsidRPr="00432BEA">
        <w:rPr>
          <w:lang w:val="fr-FR"/>
        </w:rPr>
        <w:t xml:space="preserve"> de sa demande d</w:t>
      </w:r>
      <w:r w:rsidRPr="00432BEA" w:rsidR="00432BEA">
        <w:rPr>
          <w:lang w:val="fr-FR"/>
        </w:rPr>
        <w:t>’</w:t>
      </w:r>
      <w:r w:rsidRPr="00432BEA">
        <w:rPr>
          <w:lang w:val="fr-FR"/>
        </w:rPr>
        <w:t>exonération des cotisations patronales. Dans son moyen de cassation, il fit valoir que l</w:t>
      </w:r>
      <w:r w:rsidRPr="00432BEA" w:rsidR="00432BEA">
        <w:rPr>
          <w:lang w:val="fr-FR"/>
        </w:rPr>
        <w:t>’</w:t>
      </w:r>
      <w:r w:rsidRPr="00432BEA">
        <w:rPr>
          <w:lang w:val="fr-FR"/>
        </w:rPr>
        <w:t>ingérence du législateur dans le cours de la justice était contraire aux articles 6 § 1 et 1</w:t>
      </w:r>
      <w:r w:rsidRPr="00432BEA">
        <w:rPr>
          <w:vertAlign w:val="superscript"/>
          <w:lang w:val="fr-FR"/>
        </w:rPr>
        <w:t>er</w:t>
      </w:r>
      <w:r w:rsidRPr="00432BEA">
        <w:rPr>
          <w:lang w:val="fr-FR"/>
        </w:rPr>
        <w:t xml:space="preserve"> du Protocole n</w:t>
      </w:r>
      <w:r w:rsidRPr="00432BEA" w:rsidR="007D22EB">
        <w:rPr>
          <w:vertAlign w:val="superscript"/>
          <w:lang w:val="fr-FR"/>
        </w:rPr>
        <w:t>o</w:t>
      </w:r>
      <w:r w:rsidRPr="00432BEA" w:rsidR="00412F82">
        <w:rPr>
          <w:lang w:val="fr-FR"/>
        </w:rPr>
        <w:t xml:space="preserve"> </w:t>
      </w:r>
      <w:r w:rsidRPr="00432BEA" w:rsidR="000264D8">
        <w:rPr>
          <w:lang w:val="fr-FR"/>
        </w:rPr>
        <w:t>1</w:t>
      </w:r>
      <w:r w:rsidRPr="00432BEA">
        <w:rPr>
          <w:lang w:val="fr-FR"/>
        </w:rPr>
        <w:t xml:space="preserve"> à la Convention</w:t>
      </w:r>
      <w:r w:rsidRPr="00432BEA" w:rsidR="000264D8">
        <w:rPr>
          <w:lang w:val="fr-FR"/>
        </w:rPr>
        <w:t>. Il</w:t>
      </w:r>
      <w:r w:rsidRPr="00432BEA">
        <w:rPr>
          <w:lang w:val="fr-FR"/>
        </w:rPr>
        <w:t xml:space="preserve"> </w:t>
      </w:r>
      <w:r w:rsidRPr="00432BEA" w:rsidR="000264D8">
        <w:rPr>
          <w:lang w:val="fr-FR"/>
        </w:rPr>
        <w:t>n</w:t>
      </w:r>
      <w:r w:rsidRPr="00432BEA" w:rsidR="00432BEA">
        <w:rPr>
          <w:lang w:val="fr-FR"/>
        </w:rPr>
        <w:t>’</w:t>
      </w:r>
      <w:r w:rsidRPr="00432BEA" w:rsidR="000264D8">
        <w:rPr>
          <w:lang w:val="fr-FR"/>
        </w:rPr>
        <w:t>invoqua pas</w:t>
      </w:r>
      <w:r w:rsidRPr="00432BEA">
        <w:rPr>
          <w:lang w:val="fr-FR"/>
        </w:rPr>
        <w:t xml:space="preserve"> l</w:t>
      </w:r>
      <w:r w:rsidRPr="00432BEA" w:rsidR="00432BEA">
        <w:rPr>
          <w:lang w:val="fr-FR"/>
        </w:rPr>
        <w:t>’</w:t>
      </w:r>
      <w:r w:rsidRPr="00432BEA">
        <w:rPr>
          <w:lang w:val="fr-FR"/>
        </w:rPr>
        <w:t>article 14 de la Convention. Par un arrêt du 14 mars 2013, la Cour de cassation rejeta son pourvoi :</w:t>
      </w:r>
    </w:p>
    <w:p w:rsidRPr="00432BEA" w:rsidR="00D45633" w:rsidP="00432BEA" w:rsidRDefault="00D45633">
      <w:pPr>
        <w:pStyle w:val="ECHRParaQuote"/>
        <w:rPr>
          <w:lang w:val="fr-FR"/>
        </w:rPr>
      </w:pPr>
      <w:r w:rsidRPr="00432BEA">
        <w:rPr>
          <w:lang w:val="fr-FR"/>
        </w:rPr>
        <w:t>« Mais attendu que l</w:t>
      </w:r>
      <w:r w:rsidRPr="00432BEA" w:rsidR="00432BEA">
        <w:rPr>
          <w:lang w:val="fr-FR"/>
        </w:rPr>
        <w:t>’</w:t>
      </w:r>
      <w:r w:rsidRPr="00432BEA">
        <w:rPr>
          <w:lang w:val="fr-FR"/>
        </w:rPr>
        <w:t xml:space="preserve">article L. 241-10, III du code de la </w:t>
      </w:r>
      <w:r w:rsidRPr="00432BEA" w:rsidR="003B3BEA">
        <w:rPr>
          <w:lang w:val="fr-FR"/>
        </w:rPr>
        <w:t>s</w:t>
      </w:r>
      <w:r w:rsidRPr="00432BEA" w:rsidR="00632783">
        <w:rPr>
          <w:lang w:val="fr-FR"/>
        </w:rPr>
        <w:t>écurité sociale</w:t>
      </w:r>
      <w:r w:rsidRPr="00432BEA">
        <w:rPr>
          <w:lang w:val="fr-FR"/>
        </w:rPr>
        <w:t>, dans sa rédaction applicable au litige</w:t>
      </w:r>
      <w:r w:rsidRPr="00432BEA" w:rsidR="00067B5E">
        <w:rPr>
          <w:lang w:val="fr-FR"/>
        </w:rPr>
        <w:t xml:space="preserve"> (</w:t>
      </w:r>
      <w:r w:rsidRPr="00432BEA" w:rsidR="007D22EB">
        <w:rPr>
          <w:lang w:val="fr-FR"/>
        </w:rPr>
        <w:t>...</w:t>
      </w:r>
      <w:r w:rsidRPr="00432BEA" w:rsidR="00067B5E">
        <w:rPr>
          <w:lang w:val="fr-FR"/>
        </w:rPr>
        <w:t xml:space="preserve">) </w:t>
      </w:r>
      <w:r w:rsidRPr="00432BEA">
        <w:rPr>
          <w:lang w:val="fr-FR"/>
        </w:rPr>
        <w:t>ne peut s</w:t>
      </w:r>
      <w:r w:rsidRPr="00432BEA" w:rsidR="00432BEA">
        <w:rPr>
          <w:lang w:val="fr-FR"/>
        </w:rPr>
        <w:t>’</w:t>
      </w:r>
      <w:r w:rsidRPr="00432BEA">
        <w:rPr>
          <w:lang w:val="fr-FR"/>
        </w:rPr>
        <w:t>appliquer qu</w:t>
      </w:r>
      <w:r w:rsidRPr="00432BEA" w:rsidR="00432BEA">
        <w:rPr>
          <w:lang w:val="fr-FR"/>
        </w:rPr>
        <w:t>’</w:t>
      </w:r>
      <w:r w:rsidRPr="00432BEA">
        <w:rPr>
          <w:lang w:val="fr-FR"/>
        </w:rPr>
        <w:t>aux rémunérations des salariés intervenant au domicile privatif de ces personnes, à l</w:t>
      </w:r>
      <w:r w:rsidRPr="00432BEA" w:rsidR="00432BEA">
        <w:rPr>
          <w:lang w:val="fr-FR"/>
        </w:rPr>
        <w:t>’</w:t>
      </w:r>
      <w:r w:rsidRPr="00432BEA">
        <w:rPr>
          <w:lang w:val="fr-FR"/>
        </w:rPr>
        <w:t>exclusion des lieux non privatifs ou collectifs occupés en établissement</w:t>
      </w:r>
      <w:r w:rsidRPr="00432BEA" w:rsidR="00067B5E">
        <w:rPr>
          <w:lang w:val="fr-FR"/>
        </w:rPr>
        <w:t xml:space="preserve"> (</w:t>
      </w:r>
      <w:r w:rsidRPr="00432BEA" w:rsidR="007D22EB">
        <w:rPr>
          <w:lang w:val="fr-FR"/>
        </w:rPr>
        <w:t>...</w:t>
      </w:r>
      <w:r w:rsidRPr="00432BEA" w:rsidR="00067B5E">
        <w:rPr>
          <w:lang w:val="fr-FR"/>
        </w:rPr>
        <w:t>)</w:t>
      </w:r>
      <w:r w:rsidRPr="00432BEA">
        <w:rPr>
          <w:lang w:val="fr-FR"/>
        </w:rPr>
        <w:t xml:space="preserve"> ;</w:t>
      </w:r>
    </w:p>
    <w:p w:rsidRPr="00432BEA" w:rsidR="00D45633" w:rsidP="00432BEA" w:rsidRDefault="00D45633">
      <w:pPr>
        <w:pStyle w:val="ECHRParaQuote"/>
        <w:rPr>
          <w:lang w:val="fr-FR"/>
        </w:rPr>
      </w:pPr>
      <w:r w:rsidRPr="00432BEA">
        <w:rPr>
          <w:lang w:val="fr-FR"/>
        </w:rPr>
        <w:t>Et attendu que la cour d</w:t>
      </w:r>
      <w:r w:rsidRPr="00432BEA" w:rsidR="00432BEA">
        <w:rPr>
          <w:lang w:val="fr-FR"/>
        </w:rPr>
        <w:t>’</w:t>
      </w:r>
      <w:r w:rsidRPr="00432BEA">
        <w:rPr>
          <w:lang w:val="fr-FR"/>
        </w:rPr>
        <w:t>appel a relevé, répondant aux moyens développés sans entrer dans le détail de l</w:t>
      </w:r>
      <w:r w:rsidRPr="00432BEA" w:rsidR="00432BEA">
        <w:rPr>
          <w:lang w:val="fr-FR"/>
        </w:rPr>
        <w:t>’</w:t>
      </w:r>
      <w:r w:rsidRPr="00432BEA">
        <w:rPr>
          <w:lang w:val="fr-FR"/>
        </w:rPr>
        <w:t>argumentation des parties, et faisant une exacte application de la signification du mot « chez », abstraction faite de motifs en partie inopérants, mais surabondants, d</w:t>
      </w:r>
      <w:r w:rsidRPr="00432BEA" w:rsidR="00432BEA">
        <w:rPr>
          <w:lang w:val="fr-FR"/>
        </w:rPr>
        <w:t>’</w:t>
      </w:r>
      <w:r w:rsidRPr="00432BEA">
        <w:rPr>
          <w:lang w:val="fr-FR"/>
        </w:rPr>
        <w:t>une part que l</w:t>
      </w:r>
      <w:r w:rsidRPr="00432BEA" w:rsidR="00432BEA">
        <w:rPr>
          <w:lang w:val="fr-FR"/>
        </w:rPr>
        <w:t>’</w:t>
      </w:r>
      <w:r w:rsidRPr="00432BEA">
        <w:rPr>
          <w:lang w:val="fr-FR"/>
        </w:rPr>
        <w:t>établissement géré par l</w:t>
      </w:r>
      <w:r w:rsidRPr="00432BEA" w:rsidR="00432BEA">
        <w:rPr>
          <w:lang w:val="fr-FR"/>
        </w:rPr>
        <w:t>’</w:t>
      </w:r>
      <w:r w:rsidRPr="00432BEA">
        <w:rPr>
          <w:lang w:val="fr-FR"/>
        </w:rPr>
        <w:t>hôpital était une solution d</w:t>
      </w:r>
      <w:r w:rsidRPr="00432BEA" w:rsidR="00432BEA">
        <w:rPr>
          <w:lang w:val="fr-FR"/>
        </w:rPr>
        <w:t>’</w:t>
      </w:r>
      <w:r w:rsidRPr="00432BEA">
        <w:rPr>
          <w:lang w:val="fr-FR"/>
        </w:rPr>
        <w:t>hébergement collectif, ce dont il se déduisait que la prestation ne visait pas au maintien dans un domicile privatif, et que la domiciliation des personnes hébergées au sein de l</w:t>
      </w:r>
      <w:r w:rsidRPr="00432BEA" w:rsidR="00432BEA">
        <w:rPr>
          <w:lang w:val="fr-FR"/>
        </w:rPr>
        <w:t>’</w:t>
      </w:r>
      <w:r w:rsidRPr="00432BEA">
        <w:rPr>
          <w:lang w:val="fr-FR"/>
        </w:rPr>
        <w:t>EHPAD était une domiciliation collective et non une domiciliation individualisée par rapport à un logement privatif, acquis ou loué ; qu</w:t>
      </w:r>
      <w:r w:rsidRPr="00432BEA" w:rsidR="00432BEA">
        <w:rPr>
          <w:lang w:val="fr-FR"/>
        </w:rPr>
        <w:t>’</w:t>
      </w:r>
      <w:r w:rsidRPr="00432BEA">
        <w:rPr>
          <w:lang w:val="fr-FR"/>
        </w:rPr>
        <w:t>elle a ainsi légalement justifié sa décision au regard de l</w:t>
      </w:r>
      <w:r w:rsidRPr="00432BEA" w:rsidR="00432BEA">
        <w:rPr>
          <w:lang w:val="fr-FR"/>
        </w:rPr>
        <w:t>’</w:t>
      </w:r>
      <w:r w:rsidRPr="00432BEA">
        <w:rPr>
          <w:lang w:val="fr-FR"/>
        </w:rPr>
        <w:t xml:space="preserve">article L. 241-10, III, du code de la </w:t>
      </w:r>
      <w:r w:rsidRPr="00432BEA" w:rsidR="003B3BEA">
        <w:rPr>
          <w:lang w:val="fr-FR"/>
        </w:rPr>
        <w:t>s</w:t>
      </w:r>
      <w:r w:rsidRPr="00432BEA" w:rsidR="00632783">
        <w:rPr>
          <w:lang w:val="fr-FR"/>
        </w:rPr>
        <w:t>écurité sociale</w:t>
      </w:r>
      <w:r w:rsidRPr="00432BEA">
        <w:rPr>
          <w:lang w:val="fr-FR"/>
        </w:rPr>
        <w:t>, sans qu</w:t>
      </w:r>
      <w:r w:rsidRPr="00432BEA" w:rsidR="00432BEA">
        <w:rPr>
          <w:lang w:val="fr-FR"/>
        </w:rPr>
        <w:t>’</w:t>
      </w:r>
      <w:r w:rsidRPr="00432BEA">
        <w:rPr>
          <w:lang w:val="fr-FR"/>
        </w:rPr>
        <w:t>il puisse être constaté un manquement à l</w:t>
      </w:r>
      <w:r w:rsidRPr="00432BEA" w:rsidR="00432BEA">
        <w:rPr>
          <w:lang w:val="fr-FR"/>
        </w:rPr>
        <w:t>’</w:t>
      </w:r>
      <w:r w:rsidRPr="00432BEA">
        <w:rPr>
          <w:lang w:val="fr-FR"/>
        </w:rPr>
        <w:t>article 6 de la Convention</w:t>
      </w:r>
      <w:r w:rsidRPr="00432BEA" w:rsidR="00266B30">
        <w:rPr>
          <w:lang w:val="fr-FR"/>
        </w:rPr>
        <w:t>(</w:t>
      </w:r>
      <w:r w:rsidRPr="00432BEA" w:rsidR="007D22EB">
        <w:rPr>
          <w:lang w:val="fr-FR"/>
        </w:rPr>
        <w:t>...</w:t>
      </w:r>
      <w:r w:rsidRPr="00432BEA" w:rsidR="00266B30">
        <w:rPr>
          <w:lang w:val="fr-FR"/>
        </w:rPr>
        <w:t>)</w:t>
      </w:r>
      <w:r w:rsidRPr="00432BEA">
        <w:rPr>
          <w:lang w:val="fr-FR"/>
        </w:rPr>
        <w:t>, une atteinte à l</w:t>
      </w:r>
      <w:r w:rsidRPr="00432BEA" w:rsidR="00432BEA">
        <w:rPr>
          <w:lang w:val="fr-FR"/>
        </w:rPr>
        <w:t>’</w:t>
      </w:r>
      <w:r w:rsidRPr="00432BEA">
        <w:rPr>
          <w:lang w:val="fr-FR"/>
        </w:rPr>
        <w:t>espérance légitime que protège l</w:t>
      </w:r>
      <w:r w:rsidRPr="00432BEA" w:rsidR="00432BEA">
        <w:rPr>
          <w:lang w:val="fr-FR"/>
        </w:rPr>
        <w:t>’</w:t>
      </w:r>
      <w:r w:rsidRPr="00432BEA">
        <w:rPr>
          <w:lang w:val="fr-FR"/>
        </w:rPr>
        <w:t>article 1</w:t>
      </w:r>
      <w:r w:rsidRPr="00432BEA">
        <w:rPr>
          <w:vertAlign w:val="superscript"/>
          <w:lang w:val="fr-FR"/>
        </w:rPr>
        <w:t>er</w:t>
      </w:r>
      <w:r w:rsidRPr="00432BEA">
        <w:rPr>
          <w:lang w:val="fr-FR"/>
        </w:rPr>
        <w:t xml:space="preserve"> du protocole additionnel annexé à cette Convention, ou une application rétroactive de l</w:t>
      </w:r>
      <w:r w:rsidRPr="00432BEA" w:rsidR="00432BEA">
        <w:rPr>
          <w:lang w:val="fr-FR"/>
        </w:rPr>
        <w:t>’</w:t>
      </w:r>
      <w:r w:rsidRPr="00432BEA">
        <w:rPr>
          <w:lang w:val="fr-FR"/>
        </w:rPr>
        <w:t>article 14 de la loi n</w:t>
      </w:r>
      <w:r w:rsidRPr="00432BEA" w:rsidR="007D22EB">
        <w:rPr>
          <w:vertAlign w:val="superscript"/>
          <w:lang w:val="fr-FR"/>
        </w:rPr>
        <w:t>o</w:t>
      </w:r>
      <w:r w:rsidRPr="00432BEA">
        <w:rPr>
          <w:lang w:val="fr-FR"/>
        </w:rPr>
        <w:t xml:space="preserve"> 2010-1594 du 20 décembre 2010 de financement de la </w:t>
      </w:r>
      <w:r w:rsidRPr="00432BEA" w:rsidR="003B3BEA">
        <w:rPr>
          <w:lang w:val="fr-FR"/>
        </w:rPr>
        <w:t>s</w:t>
      </w:r>
      <w:r w:rsidRPr="00432BEA" w:rsidR="00632783">
        <w:rPr>
          <w:lang w:val="fr-FR"/>
        </w:rPr>
        <w:t>écurité sociale</w:t>
      </w:r>
      <w:r w:rsidRPr="00432BEA">
        <w:rPr>
          <w:lang w:val="fr-FR"/>
        </w:rPr>
        <w:t xml:space="preserve"> pour 2011 en violation de l</w:t>
      </w:r>
      <w:r w:rsidRPr="00432BEA" w:rsidR="00432BEA">
        <w:rPr>
          <w:lang w:val="fr-FR"/>
        </w:rPr>
        <w:t>’</w:t>
      </w:r>
      <w:r w:rsidRPr="00432BEA">
        <w:rPr>
          <w:lang w:val="fr-FR"/>
        </w:rPr>
        <w:t xml:space="preserve">article 2 du code civil </w:t>
      </w:r>
      <w:r w:rsidRPr="00432BEA" w:rsidR="00FB4D81">
        <w:rPr>
          <w:lang w:val="fr-FR"/>
        </w:rPr>
        <w:t>(</w:t>
      </w:r>
      <w:r w:rsidRPr="00432BEA" w:rsidR="007D22EB">
        <w:rPr>
          <w:lang w:val="fr-FR"/>
        </w:rPr>
        <w:t>...</w:t>
      </w:r>
      <w:r w:rsidRPr="00432BEA" w:rsidR="00FB4D81">
        <w:rPr>
          <w:lang w:val="fr-FR"/>
        </w:rPr>
        <w:t>) </w:t>
      </w:r>
      <w:r w:rsidRPr="00432BEA">
        <w:rPr>
          <w:lang w:val="fr-FR"/>
        </w:rPr>
        <w:t>; »</w:t>
      </w:r>
    </w:p>
    <w:p w:rsidRPr="00432BEA" w:rsidR="007D22EB" w:rsidP="00432BEA" w:rsidRDefault="00D45633">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29</w:t>
      </w:r>
      <w:r w:rsidRPr="00432BEA">
        <w:rPr>
          <w:lang w:val="fr-FR"/>
        </w:rPr>
        <w:fldChar w:fldCharType="end"/>
      </w:r>
      <w:r w:rsidRPr="00432BEA">
        <w:rPr>
          <w:lang w:val="fr-FR"/>
        </w:rPr>
        <w:t>.  Dans la requête n</w:t>
      </w:r>
      <w:r w:rsidRPr="00432BEA" w:rsidR="007D22EB">
        <w:rPr>
          <w:vertAlign w:val="superscript"/>
          <w:lang w:val="fr-FR"/>
        </w:rPr>
        <w:t>o</w:t>
      </w:r>
      <w:r w:rsidRPr="00432BEA">
        <w:rPr>
          <w:lang w:val="fr-FR"/>
        </w:rPr>
        <w:t xml:space="preserve"> 30287/14, la requérante</w:t>
      </w:r>
      <w:r w:rsidRPr="00432BEA" w:rsidR="00351B64">
        <w:rPr>
          <w:lang w:val="fr-FR"/>
        </w:rPr>
        <w:t xml:space="preserve"> est</w:t>
      </w:r>
      <w:r w:rsidRPr="00432BEA">
        <w:rPr>
          <w:lang w:val="fr-FR"/>
        </w:rPr>
        <w:t xml:space="preserve"> </w:t>
      </w:r>
      <w:r w:rsidRPr="00432BEA" w:rsidR="005E696A">
        <w:rPr>
          <w:lang w:val="fr-FR"/>
        </w:rPr>
        <w:t>une association gérant un foyer d</w:t>
      </w:r>
      <w:r w:rsidRPr="00432BEA" w:rsidR="00432BEA">
        <w:rPr>
          <w:lang w:val="fr-FR"/>
        </w:rPr>
        <w:t>’</w:t>
      </w:r>
      <w:r w:rsidRPr="00432BEA" w:rsidR="005E696A">
        <w:rPr>
          <w:lang w:val="fr-FR"/>
        </w:rPr>
        <w:t>accueil méd</w:t>
      </w:r>
      <w:r w:rsidRPr="00432BEA" w:rsidR="00CD1815">
        <w:rPr>
          <w:lang w:val="fr-FR"/>
        </w:rPr>
        <w:t>icalisé pour adultes</w:t>
      </w:r>
      <w:r w:rsidRPr="00432BEA" w:rsidR="00632783">
        <w:rPr>
          <w:lang w:val="fr-FR"/>
        </w:rPr>
        <w:t xml:space="preserve"> handicapés. Par jugement du 20 </w:t>
      </w:r>
      <w:r w:rsidRPr="00432BEA" w:rsidR="00CD1815">
        <w:rPr>
          <w:lang w:val="fr-FR"/>
        </w:rPr>
        <w:t>mai 2011, le TASS</w:t>
      </w:r>
      <w:r w:rsidRPr="00432BEA" w:rsidR="00040B99">
        <w:rPr>
          <w:lang w:val="fr-FR"/>
        </w:rPr>
        <w:t xml:space="preserve"> </w:t>
      </w:r>
      <w:r w:rsidRPr="00432BEA" w:rsidR="00CD1815">
        <w:rPr>
          <w:lang w:val="fr-FR"/>
        </w:rPr>
        <w:t>d</w:t>
      </w:r>
      <w:r w:rsidRPr="00432BEA" w:rsidR="00432BEA">
        <w:rPr>
          <w:lang w:val="fr-FR"/>
        </w:rPr>
        <w:t>’</w:t>
      </w:r>
      <w:r w:rsidRPr="00432BEA" w:rsidR="00CD1815">
        <w:rPr>
          <w:lang w:val="fr-FR"/>
        </w:rPr>
        <w:t>Ille-et-Vilaine la débouta</w:t>
      </w:r>
      <w:r w:rsidRPr="00432BEA" w:rsidR="005E696A">
        <w:rPr>
          <w:lang w:val="fr-FR"/>
        </w:rPr>
        <w:t xml:space="preserve"> de sa demande de remboursement de la cotisation litigieuse </w:t>
      </w:r>
      <w:r w:rsidRPr="00432BEA" w:rsidR="00C17D0E">
        <w:rPr>
          <w:lang w:val="fr-FR"/>
        </w:rPr>
        <w:t>au motif qu</w:t>
      </w:r>
      <w:r w:rsidRPr="00432BEA" w:rsidR="00432BEA">
        <w:rPr>
          <w:lang w:val="fr-FR"/>
        </w:rPr>
        <w:t>’</w:t>
      </w:r>
      <w:r w:rsidRPr="00432BEA" w:rsidR="00C17D0E">
        <w:rPr>
          <w:lang w:val="fr-FR"/>
        </w:rPr>
        <w:t xml:space="preserve">elle était une structure collective qui ne dispensait pas une aide destinée au maintien des personnes à leur domicile. </w:t>
      </w:r>
      <w:r w:rsidRPr="00432BEA" w:rsidR="00CD1815">
        <w:rPr>
          <w:lang w:val="fr-FR"/>
        </w:rPr>
        <w:t>Le tribunal fit valoir à cet égard que la situation d</w:t>
      </w:r>
      <w:r w:rsidRPr="00432BEA" w:rsidR="00432BEA">
        <w:rPr>
          <w:lang w:val="fr-FR"/>
        </w:rPr>
        <w:t>’</w:t>
      </w:r>
      <w:r w:rsidRPr="00432BEA" w:rsidR="00CD1815">
        <w:rPr>
          <w:lang w:val="fr-FR"/>
        </w:rPr>
        <w:t>un résident dans le foyer d</w:t>
      </w:r>
      <w:r w:rsidRPr="00432BEA" w:rsidR="00432BEA">
        <w:rPr>
          <w:lang w:val="fr-FR"/>
        </w:rPr>
        <w:t>’</w:t>
      </w:r>
      <w:r w:rsidRPr="00432BEA" w:rsidR="00CD1815">
        <w:rPr>
          <w:lang w:val="fr-FR"/>
        </w:rPr>
        <w:t>accueil médicalisé était très différente de celle d</w:t>
      </w:r>
      <w:r w:rsidRPr="00432BEA" w:rsidR="00432BEA">
        <w:rPr>
          <w:lang w:val="fr-FR"/>
        </w:rPr>
        <w:t>’</w:t>
      </w:r>
      <w:r w:rsidRPr="00432BEA" w:rsidR="00CD1815">
        <w:rPr>
          <w:lang w:val="fr-FR"/>
        </w:rPr>
        <w:t>une personne habitant un foyer-logement, formule d</w:t>
      </w:r>
      <w:r w:rsidRPr="00432BEA" w:rsidR="00432BEA">
        <w:rPr>
          <w:lang w:val="fr-FR"/>
        </w:rPr>
        <w:t>’</w:t>
      </w:r>
      <w:r w:rsidRPr="00432BEA" w:rsidR="00CD1815">
        <w:rPr>
          <w:lang w:val="fr-FR"/>
        </w:rPr>
        <w:t>hébergement répondant à l</w:t>
      </w:r>
      <w:r w:rsidRPr="00432BEA" w:rsidR="00432BEA">
        <w:rPr>
          <w:lang w:val="fr-FR"/>
        </w:rPr>
        <w:t>’</w:t>
      </w:r>
      <w:r w:rsidRPr="00432BEA" w:rsidR="00CD1815">
        <w:rPr>
          <w:lang w:val="fr-FR"/>
        </w:rPr>
        <w:t>objectif d</w:t>
      </w:r>
      <w:r w:rsidRPr="00432BEA" w:rsidR="00432BEA">
        <w:rPr>
          <w:lang w:val="fr-FR"/>
        </w:rPr>
        <w:t>’</w:t>
      </w:r>
      <w:r w:rsidRPr="00432BEA" w:rsidR="00CD1815">
        <w:rPr>
          <w:lang w:val="fr-FR"/>
        </w:rPr>
        <w:t>un maintien à domicile que l</w:t>
      </w:r>
      <w:r w:rsidRPr="00432BEA" w:rsidR="00432BEA">
        <w:rPr>
          <w:lang w:val="fr-FR"/>
        </w:rPr>
        <w:t>’</w:t>
      </w:r>
      <w:r w:rsidRPr="00432BEA" w:rsidR="00CD1815">
        <w:rPr>
          <w:lang w:val="fr-FR"/>
        </w:rPr>
        <w:t>exonération de cotisation a</w:t>
      </w:r>
      <w:r w:rsidRPr="00432BEA" w:rsidR="00351B64">
        <w:rPr>
          <w:lang w:val="fr-FR"/>
        </w:rPr>
        <w:t>vait</w:t>
      </w:r>
      <w:r w:rsidRPr="00432BEA" w:rsidR="00CD1815">
        <w:rPr>
          <w:lang w:val="fr-FR"/>
        </w:rPr>
        <w:t xml:space="preserve"> précisément pour objet de favoriser. Par arrêt du 19 juin 2012, la cour d</w:t>
      </w:r>
      <w:r w:rsidRPr="00432BEA" w:rsidR="00432BEA">
        <w:rPr>
          <w:lang w:val="fr-FR"/>
        </w:rPr>
        <w:t>’</w:t>
      </w:r>
      <w:r w:rsidRPr="00432BEA" w:rsidR="00CD1815">
        <w:rPr>
          <w:lang w:val="fr-FR"/>
        </w:rPr>
        <w:t>appel de Rennes confirma le jugement en soulignant la spécificité des différents types d</w:t>
      </w:r>
      <w:r w:rsidRPr="00432BEA" w:rsidR="00432BEA">
        <w:rPr>
          <w:lang w:val="fr-FR"/>
        </w:rPr>
        <w:t>’</w:t>
      </w:r>
      <w:r w:rsidRPr="00432BEA" w:rsidR="00CD1815">
        <w:rPr>
          <w:lang w:val="fr-FR"/>
        </w:rPr>
        <w:t>aide à domicile</w:t>
      </w:r>
      <w:r w:rsidRPr="00432BEA" w:rsidR="00040B99">
        <w:rPr>
          <w:lang w:val="fr-FR"/>
        </w:rPr>
        <w:t> : « (</w:t>
      </w:r>
      <w:r w:rsidRPr="00432BEA" w:rsidR="007D22EB">
        <w:rPr>
          <w:lang w:val="fr-FR"/>
        </w:rPr>
        <w:t>...</w:t>
      </w:r>
      <w:r w:rsidRPr="00432BEA" w:rsidR="00040B99">
        <w:rPr>
          <w:lang w:val="fr-FR"/>
        </w:rPr>
        <w:t>) le fait que cette exonération s</w:t>
      </w:r>
      <w:r w:rsidRPr="00432BEA" w:rsidR="00432BEA">
        <w:rPr>
          <w:lang w:val="fr-FR"/>
        </w:rPr>
        <w:t>’</w:t>
      </w:r>
      <w:r w:rsidRPr="00432BEA" w:rsidR="00040B99">
        <w:rPr>
          <w:lang w:val="fr-FR"/>
        </w:rPr>
        <w:t>applique aux aides à domicile intervenant en foyer-logement (</w:t>
      </w:r>
      <w:r w:rsidRPr="00432BEA" w:rsidR="007D22EB">
        <w:rPr>
          <w:lang w:val="fr-FR"/>
        </w:rPr>
        <w:t>...</w:t>
      </w:r>
      <w:r w:rsidRPr="00432BEA" w:rsidR="00040B99">
        <w:rPr>
          <w:lang w:val="fr-FR"/>
        </w:rPr>
        <w:t xml:space="preserve">) </w:t>
      </w:r>
      <w:r w:rsidRPr="00432BEA" w:rsidR="00351B64">
        <w:rPr>
          <w:lang w:val="fr-FR"/>
        </w:rPr>
        <w:t>ne constitu</w:t>
      </w:r>
      <w:r w:rsidRPr="00432BEA" w:rsidR="00040B99">
        <w:rPr>
          <w:lang w:val="fr-FR"/>
        </w:rPr>
        <w:t>e</w:t>
      </w:r>
      <w:r w:rsidRPr="00432BEA" w:rsidR="00351B64">
        <w:rPr>
          <w:lang w:val="fr-FR"/>
        </w:rPr>
        <w:t xml:space="preserve"> pas une discrimination dans la mesure où les conditions d</w:t>
      </w:r>
      <w:r w:rsidRPr="00432BEA" w:rsidR="00432BEA">
        <w:rPr>
          <w:lang w:val="fr-FR"/>
        </w:rPr>
        <w:t>’</w:t>
      </w:r>
      <w:r w:rsidRPr="00432BEA" w:rsidR="00351B64">
        <w:rPr>
          <w:lang w:val="fr-FR"/>
        </w:rPr>
        <w:t>hébergement dans</w:t>
      </w:r>
      <w:r w:rsidRPr="00432BEA" w:rsidR="00040B99">
        <w:rPr>
          <w:lang w:val="fr-FR"/>
        </w:rPr>
        <w:t xml:space="preserve"> un foyer-logement sont différentes de celles d</w:t>
      </w:r>
      <w:r w:rsidRPr="00432BEA" w:rsidR="00432BEA">
        <w:rPr>
          <w:lang w:val="fr-FR"/>
        </w:rPr>
        <w:t>’</w:t>
      </w:r>
      <w:r w:rsidRPr="00432BEA" w:rsidR="00040B99">
        <w:rPr>
          <w:lang w:val="fr-FR"/>
        </w:rPr>
        <w:t>une str</w:t>
      </w:r>
      <w:r w:rsidRPr="00432BEA" w:rsidR="00351B64">
        <w:rPr>
          <w:lang w:val="fr-FR"/>
        </w:rPr>
        <w:t xml:space="preserve">ucture </w:t>
      </w:r>
      <w:r w:rsidRPr="00432BEA" w:rsidR="00040B99">
        <w:rPr>
          <w:lang w:val="fr-FR"/>
        </w:rPr>
        <w:t>d</w:t>
      </w:r>
      <w:r w:rsidRPr="00432BEA" w:rsidR="00432BEA">
        <w:rPr>
          <w:lang w:val="fr-FR"/>
        </w:rPr>
        <w:t>’</w:t>
      </w:r>
      <w:r w:rsidRPr="00432BEA" w:rsidR="00040B99">
        <w:rPr>
          <w:lang w:val="fr-FR"/>
        </w:rPr>
        <w:t>hébergement comme un foyer d</w:t>
      </w:r>
      <w:r w:rsidRPr="00432BEA" w:rsidR="00432BEA">
        <w:rPr>
          <w:lang w:val="fr-FR"/>
        </w:rPr>
        <w:t>’</w:t>
      </w:r>
      <w:r w:rsidRPr="00432BEA" w:rsidR="00040B99">
        <w:rPr>
          <w:lang w:val="fr-FR"/>
        </w:rPr>
        <w:t>accueil médicalisé (</w:t>
      </w:r>
      <w:r w:rsidRPr="00432BEA" w:rsidR="007D22EB">
        <w:rPr>
          <w:lang w:val="fr-FR"/>
        </w:rPr>
        <w:t>...</w:t>
      </w:r>
      <w:r w:rsidRPr="00432BEA" w:rsidR="00040B99">
        <w:rPr>
          <w:lang w:val="fr-FR"/>
        </w:rPr>
        <w:t>) en ce qu</w:t>
      </w:r>
      <w:r w:rsidRPr="00432BEA" w:rsidR="00432BEA">
        <w:rPr>
          <w:lang w:val="fr-FR"/>
        </w:rPr>
        <w:t>’</w:t>
      </w:r>
      <w:r w:rsidRPr="00432BEA" w:rsidR="00040B99">
        <w:rPr>
          <w:lang w:val="fr-FR"/>
        </w:rPr>
        <w:t>elle constitue une résidence certes collective mais comportant à la fois des locaux privatifs et des locaux communs affectés à la vie collective, les occupants</w:t>
      </w:r>
      <w:r w:rsidRPr="00432BEA" w:rsidR="00351B64">
        <w:rPr>
          <w:lang w:val="fr-FR"/>
        </w:rPr>
        <w:t xml:space="preserve"> </w:t>
      </w:r>
      <w:r w:rsidRPr="00432BEA" w:rsidR="00040B99">
        <w:rPr>
          <w:lang w:val="fr-FR"/>
        </w:rPr>
        <w:t>étant</w:t>
      </w:r>
      <w:r w:rsidRPr="00432BEA" w:rsidR="00351B64">
        <w:rPr>
          <w:lang w:val="fr-FR"/>
        </w:rPr>
        <w:t xml:space="preserve"> titulaires d</w:t>
      </w:r>
      <w:r w:rsidRPr="00432BEA" w:rsidR="00432BEA">
        <w:rPr>
          <w:lang w:val="fr-FR"/>
        </w:rPr>
        <w:t>’</w:t>
      </w:r>
      <w:r w:rsidRPr="00432BEA" w:rsidR="00351B64">
        <w:rPr>
          <w:lang w:val="fr-FR"/>
        </w:rPr>
        <w:t>un bail d</w:t>
      </w:r>
      <w:r w:rsidRPr="00432BEA" w:rsidR="00432BEA">
        <w:rPr>
          <w:lang w:val="fr-FR"/>
        </w:rPr>
        <w:t>’</w:t>
      </w:r>
      <w:r w:rsidRPr="00432BEA" w:rsidR="00351B64">
        <w:rPr>
          <w:lang w:val="fr-FR"/>
        </w:rPr>
        <w:t>habitation</w:t>
      </w:r>
      <w:r w:rsidRPr="00432BEA" w:rsidR="00040B99">
        <w:rPr>
          <w:lang w:val="fr-FR"/>
        </w:rPr>
        <w:t xml:space="preserve"> ».</w:t>
      </w:r>
      <w:r w:rsidRPr="00432BEA" w:rsidR="00351B64">
        <w:rPr>
          <w:lang w:val="fr-FR"/>
        </w:rPr>
        <w:t xml:space="preserve"> La requérante</w:t>
      </w:r>
      <w:r w:rsidRPr="00432BEA">
        <w:rPr>
          <w:lang w:val="fr-FR"/>
        </w:rPr>
        <w:t xml:space="preserve"> forma un pourvoi en cassation en invoquant des moyens de cassation tirés de la violation des articles 6 § 1, 14 et 1</w:t>
      </w:r>
      <w:r w:rsidRPr="00432BEA">
        <w:rPr>
          <w:vertAlign w:val="superscript"/>
          <w:lang w:val="fr-FR"/>
        </w:rPr>
        <w:t>er</w:t>
      </w:r>
      <w:r w:rsidRPr="00432BEA">
        <w:rPr>
          <w:lang w:val="fr-FR"/>
        </w:rPr>
        <w:t xml:space="preserve"> du Protocole n</w:t>
      </w:r>
      <w:r w:rsidRPr="00432BEA" w:rsidR="007D22EB">
        <w:rPr>
          <w:vertAlign w:val="superscript"/>
          <w:lang w:val="fr-FR"/>
        </w:rPr>
        <w:t>o</w:t>
      </w:r>
      <w:r w:rsidRPr="00432BEA">
        <w:rPr>
          <w:lang w:val="fr-FR"/>
        </w:rPr>
        <w:t xml:space="preserve"> 1. Par un arrêt du 10 octobre 2013, la Cour de cassation rejeta le pourvoi :</w:t>
      </w:r>
    </w:p>
    <w:p w:rsidRPr="00432BEA" w:rsidR="00D45633" w:rsidP="00432BEA" w:rsidRDefault="00D45633">
      <w:pPr>
        <w:spacing w:before="120" w:after="120"/>
        <w:ind w:left="360"/>
        <w:rPr>
          <w:sz w:val="20"/>
          <w:lang w:val="fr-FR"/>
        </w:rPr>
      </w:pPr>
      <w:r w:rsidRPr="00432BEA">
        <w:rPr>
          <w:sz w:val="20"/>
          <w:lang w:val="fr-FR"/>
        </w:rPr>
        <w:t>« Mais attendu qu</w:t>
      </w:r>
      <w:r w:rsidRPr="00432BEA" w:rsidR="00432BEA">
        <w:rPr>
          <w:sz w:val="20"/>
          <w:lang w:val="fr-FR"/>
        </w:rPr>
        <w:t>’</w:t>
      </w:r>
      <w:r w:rsidRPr="00432BEA">
        <w:rPr>
          <w:sz w:val="20"/>
          <w:lang w:val="fr-FR"/>
        </w:rPr>
        <w:t>en retenant pour l</w:t>
      </w:r>
      <w:r w:rsidRPr="00432BEA" w:rsidR="00432BEA">
        <w:rPr>
          <w:sz w:val="20"/>
          <w:lang w:val="fr-FR"/>
        </w:rPr>
        <w:t>’</w:t>
      </w:r>
      <w:r w:rsidRPr="00432BEA">
        <w:rPr>
          <w:sz w:val="20"/>
          <w:lang w:val="fr-FR"/>
        </w:rPr>
        <w:t>application de l</w:t>
      </w:r>
      <w:r w:rsidRPr="00432BEA" w:rsidR="00432BEA">
        <w:rPr>
          <w:sz w:val="20"/>
          <w:lang w:val="fr-FR"/>
        </w:rPr>
        <w:t>’</w:t>
      </w:r>
      <w:r w:rsidRPr="00432BEA">
        <w:rPr>
          <w:sz w:val="20"/>
          <w:lang w:val="fr-FR"/>
        </w:rPr>
        <w:t>article L. 242-10-III que pour le bénéfice de l</w:t>
      </w:r>
      <w:r w:rsidRPr="00432BEA" w:rsidR="00432BEA">
        <w:rPr>
          <w:sz w:val="20"/>
          <w:lang w:val="fr-FR"/>
        </w:rPr>
        <w:t>’</w:t>
      </w:r>
      <w:r w:rsidRPr="00432BEA">
        <w:rPr>
          <w:sz w:val="20"/>
          <w:lang w:val="fr-FR"/>
        </w:rPr>
        <w:t>exonération de la rémunération d</w:t>
      </w:r>
      <w:r w:rsidRPr="00432BEA" w:rsidR="00432BEA">
        <w:rPr>
          <w:sz w:val="20"/>
          <w:lang w:val="fr-FR"/>
        </w:rPr>
        <w:t>’</w:t>
      </w:r>
      <w:r w:rsidRPr="00432BEA">
        <w:rPr>
          <w:sz w:val="20"/>
          <w:lang w:val="fr-FR"/>
        </w:rPr>
        <w:t>une aide à domicile, celui-ci s</w:t>
      </w:r>
      <w:r w:rsidRPr="00432BEA" w:rsidR="00432BEA">
        <w:rPr>
          <w:sz w:val="20"/>
          <w:lang w:val="fr-FR"/>
        </w:rPr>
        <w:t>’</w:t>
      </w:r>
      <w:r w:rsidRPr="00432BEA">
        <w:rPr>
          <w:sz w:val="20"/>
          <w:lang w:val="fr-FR"/>
        </w:rPr>
        <w:t>entend du domicile privatif dès lors, d</w:t>
      </w:r>
      <w:r w:rsidRPr="00432BEA" w:rsidR="00432BEA">
        <w:rPr>
          <w:sz w:val="20"/>
          <w:lang w:val="fr-FR"/>
        </w:rPr>
        <w:t>’</w:t>
      </w:r>
      <w:r w:rsidRPr="00432BEA">
        <w:rPr>
          <w:sz w:val="20"/>
          <w:lang w:val="fr-FR"/>
        </w:rPr>
        <w:t>une part, que ces dispositions qui visent à exonérer de charges des employeurs, ne se comprennent que dans le cadre de la volonté du législateur de favoriser le maintien des personnes handicapées à leur domicile en leur apportant les aides nécessaires pour leur permettre de rester autonomes et éviter l</w:t>
      </w:r>
      <w:r w:rsidRPr="00432BEA" w:rsidR="00432BEA">
        <w:rPr>
          <w:sz w:val="20"/>
          <w:lang w:val="fr-FR"/>
        </w:rPr>
        <w:t>’</w:t>
      </w:r>
      <w:r w:rsidRPr="00432BEA">
        <w:rPr>
          <w:sz w:val="20"/>
          <w:lang w:val="fr-FR"/>
        </w:rPr>
        <w:t>hébergement en structure collective, d</w:t>
      </w:r>
      <w:r w:rsidRPr="00432BEA" w:rsidR="00432BEA">
        <w:rPr>
          <w:sz w:val="20"/>
          <w:lang w:val="fr-FR"/>
        </w:rPr>
        <w:t>’</w:t>
      </w:r>
      <w:r w:rsidRPr="00432BEA">
        <w:rPr>
          <w:sz w:val="20"/>
          <w:lang w:val="fr-FR"/>
        </w:rPr>
        <w:t>autre part, que le terme "chez" et l</w:t>
      </w:r>
      <w:r w:rsidRPr="00432BEA" w:rsidR="00432BEA">
        <w:rPr>
          <w:sz w:val="20"/>
          <w:lang w:val="fr-FR"/>
        </w:rPr>
        <w:t>’</w:t>
      </w:r>
      <w:r w:rsidRPr="00432BEA">
        <w:rPr>
          <w:sz w:val="20"/>
          <w:lang w:val="fr-FR"/>
        </w:rPr>
        <w:t>obligation d</w:t>
      </w:r>
      <w:r w:rsidRPr="00432BEA" w:rsidR="00432BEA">
        <w:rPr>
          <w:sz w:val="20"/>
          <w:lang w:val="fr-FR"/>
        </w:rPr>
        <w:t>’</w:t>
      </w:r>
      <w:r w:rsidRPr="00432BEA">
        <w:rPr>
          <w:sz w:val="20"/>
          <w:lang w:val="fr-FR"/>
        </w:rPr>
        <w:t>indiquer l</w:t>
      </w:r>
      <w:r w:rsidRPr="00432BEA" w:rsidR="00432BEA">
        <w:rPr>
          <w:sz w:val="20"/>
          <w:lang w:val="fr-FR"/>
        </w:rPr>
        <w:t>’</w:t>
      </w:r>
      <w:r w:rsidRPr="00432BEA">
        <w:rPr>
          <w:sz w:val="20"/>
          <w:lang w:val="fr-FR"/>
        </w:rPr>
        <w:t>adresse impliquent une intervention au domicile privatif alors que lorsque la personne est contrainte d</w:t>
      </w:r>
      <w:r w:rsidRPr="00432BEA" w:rsidR="00432BEA">
        <w:rPr>
          <w:sz w:val="20"/>
          <w:lang w:val="fr-FR"/>
        </w:rPr>
        <w:t>’</w:t>
      </w:r>
      <w:r w:rsidRPr="00432BEA">
        <w:rPr>
          <w:sz w:val="20"/>
          <w:lang w:val="fr-FR"/>
        </w:rPr>
        <w:t>être prise en charge dans une structure d</w:t>
      </w:r>
      <w:r w:rsidRPr="00432BEA" w:rsidR="00432BEA">
        <w:rPr>
          <w:sz w:val="20"/>
          <w:lang w:val="fr-FR"/>
        </w:rPr>
        <w:t>’</w:t>
      </w:r>
      <w:r w:rsidRPr="00432BEA">
        <w:rPr>
          <w:sz w:val="20"/>
          <w:lang w:val="fr-FR"/>
        </w:rPr>
        <w:t>hébergement collectif même si elle bénéficie d</w:t>
      </w:r>
      <w:r w:rsidRPr="00432BEA" w:rsidR="00432BEA">
        <w:rPr>
          <w:sz w:val="20"/>
          <w:lang w:val="fr-FR"/>
        </w:rPr>
        <w:t>’</w:t>
      </w:r>
      <w:r w:rsidRPr="00432BEA">
        <w:rPr>
          <w:sz w:val="20"/>
          <w:lang w:val="fr-FR"/>
        </w:rPr>
        <w:t>une chambre personnelle, les tâches effectuées par les salariés de la structure d</w:t>
      </w:r>
      <w:r w:rsidRPr="00432BEA" w:rsidR="00432BEA">
        <w:rPr>
          <w:sz w:val="20"/>
          <w:lang w:val="fr-FR"/>
        </w:rPr>
        <w:t>’</w:t>
      </w:r>
      <w:r w:rsidRPr="00432BEA">
        <w:rPr>
          <w:sz w:val="20"/>
          <w:lang w:val="fr-FR"/>
        </w:rPr>
        <w:t xml:space="preserve">hébergement </w:t>
      </w:r>
      <w:r w:rsidRPr="00432BEA" w:rsidR="00FB4D81">
        <w:rPr>
          <w:sz w:val="20"/>
          <w:lang w:val="fr-FR"/>
        </w:rPr>
        <w:t>caractérisent une intervention « </w:t>
      </w:r>
      <w:r w:rsidRPr="00432BEA">
        <w:rPr>
          <w:sz w:val="20"/>
          <w:lang w:val="fr-FR"/>
        </w:rPr>
        <w:t>auprès</w:t>
      </w:r>
      <w:r w:rsidRPr="00432BEA" w:rsidR="00FB4D81">
        <w:rPr>
          <w:sz w:val="20"/>
          <w:lang w:val="fr-FR"/>
        </w:rPr>
        <w:t> » de la personne et non « </w:t>
      </w:r>
      <w:r w:rsidRPr="00432BEA">
        <w:rPr>
          <w:sz w:val="20"/>
          <w:lang w:val="fr-FR"/>
        </w:rPr>
        <w:t>chez</w:t>
      </w:r>
      <w:r w:rsidRPr="00432BEA" w:rsidR="00FB4D81">
        <w:rPr>
          <w:sz w:val="20"/>
          <w:lang w:val="fr-FR"/>
        </w:rPr>
        <w:t> »</w:t>
      </w:r>
      <w:r w:rsidRPr="00432BEA">
        <w:rPr>
          <w:sz w:val="20"/>
          <w:lang w:val="fr-FR"/>
        </w:rPr>
        <w:t xml:space="preserve"> celle-ci, la cour d</w:t>
      </w:r>
      <w:r w:rsidRPr="00432BEA" w:rsidR="00432BEA">
        <w:rPr>
          <w:sz w:val="20"/>
          <w:lang w:val="fr-FR"/>
        </w:rPr>
        <w:t>’</w:t>
      </w:r>
      <w:r w:rsidRPr="00432BEA">
        <w:rPr>
          <w:sz w:val="20"/>
          <w:lang w:val="fr-FR"/>
        </w:rPr>
        <w:t>appel a, à bon droit, décidé que l</w:t>
      </w:r>
      <w:r w:rsidRPr="00432BEA" w:rsidR="00432BEA">
        <w:rPr>
          <w:sz w:val="20"/>
          <w:lang w:val="fr-FR"/>
        </w:rPr>
        <w:t>’</w:t>
      </w:r>
      <w:r w:rsidRPr="00432BEA">
        <w:rPr>
          <w:sz w:val="20"/>
          <w:lang w:val="fr-FR"/>
        </w:rPr>
        <w:t>association ne pouvait bénéficier de l</w:t>
      </w:r>
      <w:r w:rsidRPr="00432BEA" w:rsidR="00432BEA">
        <w:rPr>
          <w:sz w:val="20"/>
          <w:lang w:val="fr-FR"/>
        </w:rPr>
        <w:t>’</w:t>
      </w:r>
      <w:r w:rsidRPr="00432BEA">
        <w:rPr>
          <w:sz w:val="20"/>
          <w:lang w:val="fr-FR"/>
        </w:rPr>
        <w:t>exonération sollicitée ;</w:t>
      </w:r>
      <w:r w:rsidRPr="00432BEA" w:rsidR="00FB4D81">
        <w:rPr>
          <w:sz w:val="20"/>
          <w:lang w:val="fr-FR"/>
        </w:rPr>
        <w:t xml:space="preserve"> (</w:t>
      </w:r>
      <w:r w:rsidRPr="00432BEA" w:rsidR="007D22EB">
        <w:rPr>
          <w:sz w:val="20"/>
          <w:lang w:val="fr-FR"/>
        </w:rPr>
        <w:t>...</w:t>
      </w:r>
      <w:r w:rsidRPr="00432BEA" w:rsidR="00FB4D81">
        <w:rPr>
          <w:sz w:val="20"/>
          <w:lang w:val="fr-FR"/>
        </w:rPr>
        <w:t>)</w:t>
      </w:r>
      <w:r w:rsidRPr="00432BEA">
        <w:rPr>
          <w:sz w:val="20"/>
          <w:lang w:val="fr-FR"/>
        </w:rPr>
        <w:t> ».</w:t>
      </w:r>
    </w:p>
    <w:p w:rsidRPr="00432BEA" w:rsidR="00776339" w:rsidP="00432BEA" w:rsidRDefault="00FB4D81">
      <w:pPr>
        <w:pStyle w:val="ECHRHeading3"/>
        <w:rPr>
          <w:lang w:val="fr-FR"/>
        </w:rPr>
      </w:pPr>
      <w:r w:rsidRPr="00432BEA">
        <w:rPr>
          <w:lang w:val="fr-FR"/>
        </w:rPr>
        <w:t>5.  </w:t>
      </w:r>
      <w:r w:rsidRPr="00432BEA" w:rsidR="00776339">
        <w:rPr>
          <w:lang w:val="fr-FR"/>
        </w:rPr>
        <w:t>Requêtes n</w:t>
      </w:r>
      <w:r w:rsidRPr="00432BEA" w:rsidR="00776339">
        <w:rPr>
          <w:vertAlign w:val="superscript"/>
          <w:lang w:val="fr-FR"/>
        </w:rPr>
        <w:t>os</w:t>
      </w:r>
      <w:r w:rsidRPr="00432BEA" w:rsidR="00776339">
        <w:rPr>
          <w:lang w:val="fr-FR"/>
        </w:rPr>
        <w:t xml:space="preserve"> 59003/13, 68916/13 et 5485/14</w:t>
      </w:r>
    </w:p>
    <w:p w:rsidRPr="00432BEA" w:rsidR="00776339" w:rsidP="00432BEA" w:rsidRDefault="00776339">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30</w:t>
      </w:r>
      <w:r w:rsidRPr="00432BEA">
        <w:rPr>
          <w:lang w:val="fr-FR"/>
        </w:rPr>
        <w:fldChar w:fldCharType="end"/>
      </w:r>
      <w:r w:rsidRPr="00432BEA">
        <w:rPr>
          <w:lang w:val="fr-FR"/>
        </w:rPr>
        <w:t>.  </w:t>
      </w:r>
      <w:r w:rsidRPr="00432BEA" w:rsidR="00FB4D81">
        <w:rPr>
          <w:lang w:val="fr-FR"/>
        </w:rPr>
        <w:t>Dans les requêtes n</w:t>
      </w:r>
      <w:r w:rsidRPr="00432BEA" w:rsidR="00FB4D81">
        <w:rPr>
          <w:vertAlign w:val="superscript"/>
          <w:lang w:val="fr-FR"/>
        </w:rPr>
        <w:t>os</w:t>
      </w:r>
      <w:r w:rsidRPr="00432BEA">
        <w:rPr>
          <w:lang w:val="fr-FR"/>
        </w:rPr>
        <w:t xml:space="preserve"> 59003/13 et 68916/13, les requérants formèrent des pourvois en cassation sans invoquer la violation de leur droit à un procès équitable au sens de l</w:t>
      </w:r>
      <w:r w:rsidRPr="00432BEA" w:rsidR="00432BEA">
        <w:rPr>
          <w:lang w:val="fr-FR"/>
        </w:rPr>
        <w:t>’</w:t>
      </w:r>
      <w:r w:rsidRPr="00432BEA">
        <w:rPr>
          <w:lang w:val="fr-FR"/>
        </w:rPr>
        <w:t>article 6 § 1 ou celle des articles 1</w:t>
      </w:r>
      <w:r w:rsidRPr="00432BEA">
        <w:rPr>
          <w:vertAlign w:val="superscript"/>
          <w:lang w:val="fr-FR"/>
        </w:rPr>
        <w:t>er</w:t>
      </w:r>
      <w:r w:rsidRPr="00432BEA">
        <w:rPr>
          <w:lang w:val="fr-FR"/>
        </w:rPr>
        <w:t xml:space="preserve"> du Protocole </w:t>
      </w:r>
      <w:r w:rsidRPr="00432BEA" w:rsidR="00CD6DE5">
        <w:rPr>
          <w:lang w:val="fr-FR"/>
        </w:rPr>
        <w:t>n</w:t>
      </w:r>
      <w:r w:rsidRPr="00432BEA" w:rsidR="007D22EB">
        <w:rPr>
          <w:vertAlign w:val="superscript"/>
          <w:lang w:val="fr-FR"/>
        </w:rPr>
        <w:t>o</w:t>
      </w:r>
      <w:r w:rsidRPr="00432BEA" w:rsidR="00CD6DE5">
        <w:rPr>
          <w:lang w:val="fr-FR"/>
        </w:rPr>
        <w:t xml:space="preserve"> 1 et 14 de la Convention. Par arrêt du</w:t>
      </w:r>
      <w:r w:rsidRPr="00432BEA">
        <w:rPr>
          <w:lang w:val="fr-FR"/>
        </w:rPr>
        <w:t xml:space="preserve"> 14 mars 2013 (n</w:t>
      </w:r>
      <w:r w:rsidRPr="00432BEA" w:rsidR="007D22EB">
        <w:rPr>
          <w:vertAlign w:val="superscript"/>
          <w:lang w:val="fr-FR"/>
        </w:rPr>
        <w:t>o</w:t>
      </w:r>
      <w:r w:rsidRPr="00432BEA">
        <w:rPr>
          <w:lang w:val="fr-FR"/>
        </w:rPr>
        <w:t xml:space="preserve"> 12-12.280)</w:t>
      </w:r>
      <w:r w:rsidRPr="00432BEA" w:rsidR="00CD6DE5">
        <w:rPr>
          <w:lang w:val="fr-FR"/>
        </w:rPr>
        <w:t>, la Cour de cassation rejeta le pourvoi du requérant n</w:t>
      </w:r>
      <w:r w:rsidRPr="00432BEA" w:rsidR="007D22EB">
        <w:rPr>
          <w:vertAlign w:val="superscript"/>
          <w:lang w:val="fr-FR"/>
        </w:rPr>
        <w:t>o</w:t>
      </w:r>
      <w:r w:rsidRPr="00432BEA" w:rsidR="00CD6DE5">
        <w:rPr>
          <w:lang w:val="fr-FR"/>
        </w:rPr>
        <w:t xml:space="preserve"> 59003/13. Par arrêt du</w:t>
      </w:r>
      <w:r w:rsidRPr="00432BEA">
        <w:rPr>
          <w:lang w:val="fr-FR"/>
        </w:rPr>
        <w:t xml:space="preserve"> 25 avril 2013 (n</w:t>
      </w:r>
      <w:r w:rsidRPr="00432BEA" w:rsidR="007D22EB">
        <w:rPr>
          <w:vertAlign w:val="superscript"/>
          <w:lang w:val="fr-FR"/>
        </w:rPr>
        <w:t>o</w:t>
      </w:r>
      <w:r w:rsidRPr="00432BEA">
        <w:rPr>
          <w:lang w:val="fr-FR"/>
        </w:rPr>
        <w:t xml:space="preserve"> 12-19.614), la Cour de cassation </w:t>
      </w:r>
      <w:r w:rsidRPr="00432BEA" w:rsidR="00CD6DE5">
        <w:rPr>
          <w:lang w:val="fr-FR"/>
        </w:rPr>
        <w:t xml:space="preserve">déclara le </w:t>
      </w:r>
      <w:r w:rsidRPr="00432BEA">
        <w:rPr>
          <w:lang w:val="fr-FR"/>
        </w:rPr>
        <w:t xml:space="preserve">pourvoi </w:t>
      </w:r>
      <w:r w:rsidRPr="00432BEA" w:rsidR="00CD6DE5">
        <w:rPr>
          <w:lang w:val="fr-FR"/>
        </w:rPr>
        <w:t xml:space="preserve">du requérant 68916/13 </w:t>
      </w:r>
      <w:r w:rsidRPr="00432BEA">
        <w:rPr>
          <w:lang w:val="fr-FR"/>
        </w:rPr>
        <w:t>non admis.</w:t>
      </w:r>
    </w:p>
    <w:p w:rsidRPr="00432BEA" w:rsidR="00776339" w:rsidP="00432BEA" w:rsidRDefault="00776339">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31</w:t>
      </w:r>
      <w:r w:rsidRPr="00432BEA">
        <w:rPr>
          <w:lang w:val="fr-FR"/>
        </w:rPr>
        <w:fldChar w:fldCharType="end"/>
      </w:r>
      <w:r w:rsidRPr="00432BEA">
        <w:rPr>
          <w:lang w:val="fr-FR"/>
        </w:rPr>
        <w:t>.  Dans la requête n</w:t>
      </w:r>
      <w:r w:rsidRPr="00432BEA" w:rsidR="007D22EB">
        <w:rPr>
          <w:vertAlign w:val="superscript"/>
          <w:lang w:val="fr-FR"/>
        </w:rPr>
        <w:t>o</w:t>
      </w:r>
      <w:r w:rsidRPr="00432BEA">
        <w:rPr>
          <w:lang w:val="fr-FR"/>
        </w:rPr>
        <w:t xml:space="preserve"> 5485/14, le requérant forma un pourvoi en cassation et ne souleva pas de moyen de cassation tiré de la violation de la Convention sauf pour dénoncer une mauvaise interprétation par la cour d</w:t>
      </w:r>
      <w:r w:rsidRPr="00432BEA" w:rsidR="00432BEA">
        <w:rPr>
          <w:lang w:val="fr-FR"/>
        </w:rPr>
        <w:t>’</w:t>
      </w:r>
      <w:r w:rsidRPr="00432BEA">
        <w:rPr>
          <w:lang w:val="fr-FR"/>
        </w:rPr>
        <w:t>appel de la disposition du CSS applicable à l</w:t>
      </w:r>
      <w:r w:rsidRPr="00432BEA" w:rsidR="00432BEA">
        <w:rPr>
          <w:lang w:val="fr-FR"/>
        </w:rPr>
        <w:t>’</w:t>
      </w:r>
      <w:r w:rsidRPr="00432BEA">
        <w:rPr>
          <w:lang w:val="fr-FR"/>
        </w:rPr>
        <w:t>époque des faits. Par un arrêt du 11 juillet 2013 (n</w:t>
      </w:r>
      <w:r w:rsidRPr="00432BEA" w:rsidR="007D22EB">
        <w:rPr>
          <w:vertAlign w:val="superscript"/>
          <w:lang w:val="fr-FR"/>
        </w:rPr>
        <w:t>o</w:t>
      </w:r>
      <w:r w:rsidRPr="00432BEA">
        <w:rPr>
          <w:lang w:val="fr-FR"/>
        </w:rPr>
        <w:t xml:space="preserve"> 12-20.583), la Cour de cassation rejeta son pourvoi.</w:t>
      </w:r>
    </w:p>
    <w:p w:rsidRPr="00432BEA" w:rsidR="00776339" w:rsidP="00432BEA" w:rsidRDefault="00776339">
      <w:pPr>
        <w:pStyle w:val="ECHRHeading3"/>
        <w:rPr>
          <w:lang w:val="fr-FR"/>
        </w:rPr>
      </w:pPr>
      <w:r w:rsidRPr="00432BEA">
        <w:rPr>
          <w:lang w:val="fr-FR"/>
        </w:rPr>
        <w:t>6.</w:t>
      </w:r>
      <w:r w:rsidRPr="00432BEA" w:rsidR="00FB4D81">
        <w:rPr>
          <w:lang w:val="fr-FR"/>
        </w:rPr>
        <w:t>  </w:t>
      </w:r>
      <w:r w:rsidRPr="00432BEA">
        <w:rPr>
          <w:lang w:val="fr-FR"/>
        </w:rPr>
        <w:t>Requêtes n</w:t>
      </w:r>
      <w:r w:rsidRPr="00432BEA">
        <w:rPr>
          <w:vertAlign w:val="superscript"/>
          <w:lang w:val="fr-FR"/>
        </w:rPr>
        <w:t>os</w:t>
      </w:r>
      <w:r w:rsidRPr="00432BEA">
        <w:rPr>
          <w:lang w:val="fr-FR"/>
        </w:rPr>
        <w:t xml:space="preserve"> 68908/13 et 68918/13</w:t>
      </w:r>
    </w:p>
    <w:p w:rsidRPr="00432BEA" w:rsidR="007D22EB" w:rsidP="00432BEA" w:rsidRDefault="00776339">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32</w:t>
      </w:r>
      <w:r w:rsidRPr="00432BEA">
        <w:rPr>
          <w:lang w:val="fr-FR"/>
        </w:rPr>
        <w:fldChar w:fldCharType="end"/>
      </w:r>
      <w:r w:rsidRPr="00432BEA">
        <w:rPr>
          <w:lang w:val="fr-FR"/>
        </w:rPr>
        <w:t>.  S</w:t>
      </w:r>
      <w:r w:rsidRPr="00432BEA" w:rsidR="00432BEA">
        <w:rPr>
          <w:lang w:val="fr-FR"/>
        </w:rPr>
        <w:t>’</w:t>
      </w:r>
      <w:r w:rsidRPr="00432BEA">
        <w:rPr>
          <w:lang w:val="fr-FR"/>
        </w:rPr>
        <w:t>agissant de la requête n</w:t>
      </w:r>
      <w:r w:rsidRPr="00432BEA" w:rsidR="007D22EB">
        <w:rPr>
          <w:vertAlign w:val="superscript"/>
          <w:lang w:val="fr-FR"/>
        </w:rPr>
        <w:t>o</w:t>
      </w:r>
      <w:r w:rsidRPr="00432BEA">
        <w:rPr>
          <w:lang w:val="fr-FR"/>
        </w:rPr>
        <w:t xml:space="preserve"> 68908/13, le requérant forma un pourvoi en cassation contre un arrêt de la cour d</w:t>
      </w:r>
      <w:r w:rsidRPr="00432BEA" w:rsidR="00432BEA">
        <w:rPr>
          <w:lang w:val="fr-FR"/>
        </w:rPr>
        <w:t>’</w:t>
      </w:r>
      <w:r w:rsidRPr="00432BEA">
        <w:rPr>
          <w:lang w:val="fr-FR"/>
        </w:rPr>
        <w:t>appel de Grenoble. Il invoqua les articles 6 § 1 et 1</w:t>
      </w:r>
      <w:r w:rsidRPr="00432BEA">
        <w:rPr>
          <w:vertAlign w:val="superscript"/>
          <w:lang w:val="fr-FR"/>
        </w:rPr>
        <w:t>er</w:t>
      </w:r>
      <w:r w:rsidRPr="00432BEA">
        <w:rPr>
          <w:lang w:val="fr-FR"/>
        </w:rPr>
        <w:t xml:space="preserve"> du Protocole n</w:t>
      </w:r>
      <w:r w:rsidRPr="00432BEA" w:rsidR="007D22EB">
        <w:rPr>
          <w:vertAlign w:val="superscript"/>
          <w:lang w:val="fr-FR"/>
        </w:rPr>
        <w:t>o</w:t>
      </w:r>
      <w:r w:rsidRPr="00432BEA" w:rsidR="00FB4D81">
        <w:rPr>
          <w:lang w:val="fr-FR"/>
        </w:rPr>
        <w:t xml:space="preserve"> </w:t>
      </w:r>
      <w:r w:rsidRPr="00432BEA">
        <w:rPr>
          <w:lang w:val="fr-FR"/>
        </w:rPr>
        <w:t>1</w:t>
      </w:r>
      <w:r w:rsidRPr="00432BEA" w:rsidR="00A55D2C">
        <w:rPr>
          <w:lang w:val="fr-FR"/>
        </w:rPr>
        <w:t xml:space="preserve"> </w:t>
      </w:r>
      <w:r w:rsidRPr="00432BEA">
        <w:rPr>
          <w:lang w:val="fr-FR"/>
        </w:rPr>
        <w:t>à la Convention. P</w:t>
      </w:r>
      <w:r w:rsidRPr="00432BEA" w:rsidR="00FB4D81">
        <w:rPr>
          <w:lang w:val="fr-FR"/>
        </w:rPr>
        <w:t>ar un arrêt du 25 </w:t>
      </w:r>
      <w:r w:rsidRPr="00432BEA">
        <w:rPr>
          <w:lang w:val="fr-FR"/>
        </w:rPr>
        <w:t>avril 2013, la Cour de cassation déclara le pourvoi non admis.</w:t>
      </w:r>
    </w:p>
    <w:p w:rsidRPr="00432BEA" w:rsidR="007D22EB" w:rsidP="00432BEA" w:rsidRDefault="00776339">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33</w:t>
      </w:r>
      <w:r w:rsidRPr="00432BEA">
        <w:rPr>
          <w:lang w:val="fr-FR"/>
        </w:rPr>
        <w:fldChar w:fldCharType="end"/>
      </w:r>
      <w:r w:rsidRPr="00432BEA">
        <w:rPr>
          <w:lang w:val="fr-FR"/>
        </w:rPr>
        <w:t>.  S</w:t>
      </w:r>
      <w:r w:rsidRPr="00432BEA" w:rsidR="00432BEA">
        <w:rPr>
          <w:lang w:val="fr-FR"/>
        </w:rPr>
        <w:t>’</w:t>
      </w:r>
      <w:r w:rsidRPr="00432BEA">
        <w:rPr>
          <w:lang w:val="fr-FR"/>
        </w:rPr>
        <w:t>agissant de la requête n</w:t>
      </w:r>
      <w:r w:rsidRPr="00432BEA" w:rsidR="007D22EB">
        <w:rPr>
          <w:vertAlign w:val="superscript"/>
          <w:lang w:val="fr-FR"/>
        </w:rPr>
        <w:t>o</w:t>
      </w:r>
      <w:r w:rsidRPr="00432BEA">
        <w:rPr>
          <w:lang w:val="fr-FR"/>
        </w:rPr>
        <w:t xml:space="preserve"> 68918/13, la requérante forma un pourvoi en cassation dans lequel elle invoqua la violation de l</w:t>
      </w:r>
      <w:r w:rsidRPr="00432BEA" w:rsidR="00432BEA">
        <w:rPr>
          <w:lang w:val="fr-FR"/>
        </w:rPr>
        <w:t>’</w:t>
      </w:r>
      <w:r w:rsidRPr="00432BEA">
        <w:rPr>
          <w:lang w:val="fr-FR"/>
        </w:rPr>
        <w:t>article 6 § 1 de la Convention. Par un arrêt du 25 avril 2013, la Cour de cassation déclara le pourvoi non admis.</w:t>
      </w:r>
    </w:p>
    <w:p w:rsidRPr="00432BEA" w:rsidR="00776339" w:rsidP="00432BEA" w:rsidRDefault="00776339">
      <w:pPr>
        <w:pStyle w:val="ECHRHeading3"/>
        <w:rPr>
          <w:lang w:val="fr-FR"/>
        </w:rPr>
      </w:pPr>
      <w:r w:rsidRPr="00432BEA">
        <w:rPr>
          <w:lang w:val="fr-FR"/>
        </w:rPr>
        <w:t>7.  Requête n</w:t>
      </w:r>
      <w:r w:rsidRPr="00432BEA" w:rsidR="007D22EB">
        <w:rPr>
          <w:vertAlign w:val="superscript"/>
          <w:lang w:val="fr-FR"/>
        </w:rPr>
        <w:t>o</w:t>
      </w:r>
      <w:r w:rsidRPr="00432BEA">
        <w:rPr>
          <w:lang w:val="fr-FR"/>
        </w:rPr>
        <w:t xml:space="preserve"> 23544/14</w:t>
      </w:r>
    </w:p>
    <w:p w:rsidRPr="00432BEA" w:rsidR="007D22EB" w:rsidP="00432BEA" w:rsidRDefault="00776339">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34</w:t>
      </w:r>
      <w:r w:rsidRPr="00432BEA">
        <w:rPr>
          <w:lang w:val="fr-FR"/>
        </w:rPr>
        <w:fldChar w:fldCharType="end"/>
      </w:r>
      <w:r w:rsidRPr="00432BEA">
        <w:rPr>
          <w:lang w:val="fr-FR"/>
        </w:rPr>
        <w:t>.  </w:t>
      </w:r>
      <w:r w:rsidRPr="00432BEA" w:rsidR="00ED2C1E">
        <w:rPr>
          <w:lang w:val="fr-FR"/>
        </w:rPr>
        <w:t xml:space="preserve">Par jugement du 16 mars 2010, </w:t>
      </w:r>
      <w:r w:rsidRPr="00432BEA">
        <w:rPr>
          <w:lang w:val="fr-FR"/>
        </w:rPr>
        <w:t>le TASS de Bobigny fit droit à la demande d</w:t>
      </w:r>
      <w:r w:rsidRPr="00432BEA" w:rsidR="00432BEA">
        <w:rPr>
          <w:lang w:val="fr-FR"/>
        </w:rPr>
        <w:t>’</w:t>
      </w:r>
      <w:r w:rsidRPr="00432BEA">
        <w:rPr>
          <w:lang w:val="fr-FR"/>
        </w:rPr>
        <w:t>exonération des cotisati</w:t>
      </w:r>
      <w:r w:rsidRPr="00432BEA" w:rsidR="00B10139">
        <w:rPr>
          <w:lang w:val="fr-FR"/>
        </w:rPr>
        <w:t>ons patronales de la requérante</w:t>
      </w:r>
      <w:r w:rsidRPr="00432BEA" w:rsidR="00BC3D7D">
        <w:rPr>
          <w:lang w:val="fr-FR"/>
        </w:rPr>
        <w:t xml:space="preserve"> dans les termes suivants</w:t>
      </w:r>
      <w:r w:rsidRPr="00432BEA" w:rsidR="00B10139">
        <w:rPr>
          <w:lang w:val="fr-FR"/>
        </w:rPr>
        <w:t> :</w:t>
      </w:r>
    </w:p>
    <w:p w:rsidRPr="00432BEA" w:rsidR="00776339" w:rsidP="00432BEA" w:rsidRDefault="00FB4D81">
      <w:pPr>
        <w:pStyle w:val="ECHRParaQuote"/>
        <w:rPr>
          <w:lang w:val="fr-FR"/>
        </w:rPr>
      </w:pPr>
      <w:r w:rsidRPr="00432BEA">
        <w:rPr>
          <w:lang w:val="fr-FR"/>
        </w:rPr>
        <w:t>« </w:t>
      </w:r>
      <w:r w:rsidRPr="00432BEA" w:rsidR="00B10139">
        <w:rPr>
          <w:lang w:val="fr-FR"/>
        </w:rPr>
        <w:t>(</w:t>
      </w:r>
      <w:r w:rsidRPr="00432BEA" w:rsidR="007D22EB">
        <w:rPr>
          <w:lang w:val="fr-FR"/>
        </w:rPr>
        <w:t>...</w:t>
      </w:r>
      <w:r w:rsidRPr="00432BEA" w:rsidR="00B10139">
        <w:rPr>
          <w:lang w:val="fr-FR"/>
        </w:rPr>
        <w:t>)</w:t>
      </w:r>
      <w:r w:rsidRPr="00432BEA" w:rsidR="00776339">
        <w:rPr>
          <w:lang w:val="fr-FR"/>
        </w:rPr>
        <w:t xml:space="preserve"> la préposition « chez » renvoie à la notion de domicile de la personne. Le domicile apparaît donc comme une condition de l</w:t>
      </w:r>
      <w:r w:rsidRPr="00432BEA" w:rsidR="00432BEA">
        <w:rPr>
          <w:lang w:val="fr-FR"/>
        </w:rPr>
        <w:t>’</w:t>
      </w:r>
      <w:r w:rsidRPr="00432BEA" w:rsidR="00776339">
        <w:rPr>
          <w:lang w:val="fr-FR"/>
        </w:rPr>
        <w:t>exonération prévue par l</w:t>
      </w:r>
      <w:r w:rsidRPr="00432BEA" w:rsidR="00432BEA">
        <w:rPr>
          <w:lang w:val="fr-FR"/>
        </w:rPr>
        <w:t>’</w:t>
      </w:r>
      <w:r w:rsidRPr="00432BEA">
        <w:rPr>
          <w:lang w:val="fr-FR"/>
        </w:rPr>
        <w:t>article L. </w:t>
      </w:r>
      <w:r w:rsidRPr="00432BEA" w:rsidR="00776339">
        <w:rPr>
          <w:lang w:val="fr-FR"/>
        </w:rPr>
        <w:t xml:space="preserve">241-10 III du Code de la </w:t>
      </w:r>
      <w:r w:rsidRPr="00432BEA" w:rsidR="003B3BEA">
        <w:rPr>
          <w:lang w:val="fr-FR"/>
        </w:rPr>
        <w:t>s</w:t>
      </w:r>
      <w:r w:rsidRPr="00432BEA" w:rsidR="00632783">
        <w:rPr>
          <w:lang w:val="fr-FR"/>
        </w:rPr>
        <w:t>écurité sociale</w:t>
      </w:r>
      <w:r w:rsidRPr="00432BEA" w:rsidR="00776339">
        <w:rPr>
          <w:lang w:val="fr-FR"/>
        </w:rPr>
        <w:t>. Il y a donc lieu d</w:t>
      </w:r>
      <w:r w:rsidRPr="00432BEA" w:rsidR="00432BEA">
        <w:rPr>
          <w:lang w:val="fr-FR"/>
        </w:rPr>
        <w:t>’</w:t>
      </w:r>
      <w:r w:rsidRPr="00432BEA" w:rsidR="00776339">
        <w:rPr>
          <w:lang w:val="fr-FR"/>
        </w:rPr>
        <w:t>examiner si la condition de domicile est remplie en l</w:t>
      </w:r>
      <w:r w:rsidRPr="00432BEA" w:rsidR="00432BEA">
        <w:rPr>
          <w:lang w:val="fr-FR"/>
        </w:rPr>
        <w:t>’</w:t>
      </w:r>
      <w:r w:rsidRPr="00432BEA" w:rsidR="00776339">
        <w:rPr>
          <w:lang w:val="fr-FR"/>
        </w:rPr>
        <w:t>espèce.</w:t>
      </w:r>
    </w:p>
    <w:p w:rsidRPr="00432BEA" w:rsidR="00776339" w:rsidP="00432BEA" w:rsidRDefault="00776339">
      <w:pPr>
        <w:pStyle w:val="ECHRParaQuote"/>
        <w:rPr>
          <w:lang w:val="fr-FR"/>
        </w:rPr>
      </w:pPr>
      <w:r w:rsidRPr="00432BEA">
        <w:rPr>
          <w:lang w:val="fr-FR"/>
        </w:rPr>
        <w:t>En l</w:t>
      </w:r>
      <w:r w:rsidRPr="00432BEA" w:rsidR="00432BEA">
        <w:rPr>
          <w:lang w:val="fr-FR"/>
        </w:rPr>
        <w:t>’</w:t>
      </w:r>
      <w:r w:rsidRPr="00432BEA">
        <w:rPr>
          <w:lang w:val="fr-FR"/>
        </w:rPr>
        <w:t xml:space="preserve">espèce, </w:t>
      </w:r>
      <w:r w:rsidRPr="00432BEA" w:rsidR="0082331A">
        <w:rPr>
          <w:lang w:val="fr-FR"/>
        </w:rPr>
        <w:t>[</w:t>
      </w:r>
      <w:r w:rsidRPr="00432BEA">
        <w:rPr>
          <w:lang w:val="fr-FR"/>
        </w:rPr>
        <w:t>la</w:t>
      </w:r>
      <w:r w:rsidRPr="00432BEA" w:rsidR="0082331A">
        <w:rPr>
          <w:lang w:val="fr-FR"/>
        </w:rPr>
        <w:t xml:space="preserve"> requérante]</w:t>
      </w:r>
      <w:r w:rsidRPr="00432BEA">
        <w:rPr>
          <w:lang w:val="fr-FR"/>
        </w:rPr>
        <w:t xml:space="preserve"> </w:t>
      </w:r>
      <w:r w:rsidRPr="00432BEA" w:rsidR="0082331A">
        <w:rPr>
          <w:lang w:val="fr-FR"/>
        </w:rPr>
        <w:t>(</w:t>
      </w:r>
      <w:r w:rsidRPr="00432BEA" w:rsidR="007D22EB">
        <w:rPr>
          <w:lang w:val="fr-FR"/>
        </w:rPr>
        <w:t>...</w:t>
      </w:r>
      <w:r w:rsidRPr="00432BEA" w:rsidR="0082331A">
        <w:rPr>
          <w:lang w:val="fr-FR"/>
        </w:rPr>
        <w:t xml:space="preserve">) </w:t>
      </w:r>
      <w:r w:rsidRPr="00432BEA">
        <w:rPr>
          <w:lang w:val="fr-FR"/>
        </w:rPr>
        <w:t>accueille des résidents âgés nécessitant l</w:t>
      </w:r>
      <w:r w:rsidRPr="00432BEA" w:rsidR="00432BEA">
        <w:rPr>
          <w:lang w:val="fr-FR"/>
        </w:rPr>
        <w:t>’</w:t>
      </w:r>
      <w:r w:rsidRPr="00432BEA">
        <w:rPr>
          <w:lang w:val="fr-FR"/>
        </w:rPr>
        <w:t>aide de tierce personne auxquels elle propose un projet de soins visant à prévenir et traiter les déficiences et un projet de vie visant à limiter le désavantage social induit par la perte d</w:t>
      </w:r>
      <w:r w:rsidRPr="00432BEA" w:rsidR="00432BEA">
        <w:rPr>
          <w:lang w:val="fr-FR"/>
        </w:rPr>
        <w:t>’</w:t>
      </w:r>
      <w:r w:rsidRPr="00432BEA">
        <w:rPr>
          <w:lang w:val="fr-FR"/>
        </w:rPr>
        <w:t>autonomie.</w:t>
      </w:r>
    </w:p>
    <w:p w:rsidRPr="00432BEA" w:rsidR="00776339" w:rsidP="00432BEA" w:rsidRDefault="00776339">
      <w:pPr>
        <w:pStyle w:val="ECHRParaQuote"/>
        <w:rPr>
          <w:lang w:val="fr-FR"/>
        </w:rPr>
      </w:pPr>
      <w:r w:rsidRPr="00432BEA">
        <w:rPr>
          <w:lang w:val="fr-FR"/>
        </w:rPr>
        <w:t xml:space="preserve">Compte tenu de leur âge et de leur niveau de dépendance, les résidents de </w:t>
      </w:r>
      <w:r w:rsidRPr="00432BEA" w:rsidR="0082331A">
        <w:rPr>
          <w:lang w:val="fr-FR"/>
        </w:rPr>
        <w:t>[la requérante]</w:t>
      </w:r>
      <w:r w:rsidRPr="00432BEA">
        <w:rPr>
          <w:lang w:val="fr-FR"/>
        </w:rPr>
        <w:t xml:space="preserve"> ne peuvent plus se maintenir dans leur domicile d</w:t>
      </w:r>
      <w:r w:rsidRPr="00432BEA" w:rsidR="00432BEA">
        <w:rPr>
          <w:lang w:val="fr-FR"/>
        </w:rPr>
        <w:t>’</w:t>
      </w:r>
      <w:r w:rsidRPr="00432BEA">
        <w:rPr>
          <w:lang w:val="fr-FR"/>
        </w:rPr>
        <w:t>origine.</w:t>
      </w:r>
    </w:p>
    <w:p w:rsidRPr="00432BEA" w:rsidR="00776339" w:rsidP="00432BEA" w:rsidRDefault="00776339">
      <w:pPr>
        <w:pStyle w:val="ECHRParaQuote"/>
        <w:rPr>
          <w:lang w:val="fr-FR"/>
        </w:rPr>
      </w:pPr>
      <w:r w:rsidRPr="00432BEA">
        <w:rPr>
          <w:lang w:val="fr-FR"/>
        </w:rPr>
        <w:t>Les résidents ont signé avec la maison de retraite un contrat de séjour à durée indéterminée, ils prennent leur repas au sein de l</w:t>
      </w:r>
      <w:r w:rsidRPr="00432BEA" w:rsidR="00432BEA">
        <w:rPr>
          <w:lang w:val="fr-FR"/>
        </w:rPr>
        <w:t>’</w:t>
      </w:r>
      <w:r w:rsidRPr="00432BEA">
        <w:rPr>
          <w:lang w:val="fr-FR"/>
        </w:rPr>
        <w:t>établissement, ils y dorment, ils y reçoivent leur famille et ils y exercent la majorité de leurs activités journalières.</w:t>
      </w:r>
    </w:p>
    <w:p w:rsidRPr="00432BEA" w:rsidR="00776339" w:rsidP="00432BEA" w:rsidRDefault="00776339">
      <w:pPr>
        <w:pStyle w:val="ECHRParaQuote"/>
        <w:rPr>
          <w:lang w:val="fr-FR"/>
        </w:rPr>
      </w:pPr>
      <w:r w:rsidRPr="00432BEA">
        <w:rPr>
          <w:lang w:val="fr-FR"/>
        </w:rPr>
        <w:t>En outre, les personnes âgées résidant au sein de la maison de retraite</w:t>
      </w:r>
      <w:r w:rsidRPr="00432BEA" w:rsidR="0082331A">
        <w:rPr>
          <w:lang w:val="fr-FR"/>
        </w:rPr>
        <w:t xml:space="preserve"> (</w:t>
      </w:r>
      <w:r w:rsidRPr="00432BEA" w:rsidR="007D22EB">
        <w:rPr>
          <w:lang w:val="fr-FR"/>
        </w:rPr>
        <w:t>...</w:t>
      </w:r>
      <w:r w:rsidRPr="00432BEA" w:rsidR="0082331A">
        <w:rPr>
          <w:lang w:val="fr-FR"/>
        </w:rPr>
        <w:t>)</w:t>
      </w:r>
      <w:r w:rsidRPr="00432BEA">
        <w:rPr>
          <w:lang w:val="fr-FR"/>
        </w:rPr>
        <w:t xml:space="preserve"> sont fiscalement domiciliées à partir du logement qu</w:t>
      </w:r>
      <w:r w:rsidRPr="00432BEA" w:rsidR="00432BEA">
        <w:rPr>
          <w:lang w:val="fr-FR"/>
        </w:rPr>
        <w:t>’</w:t>
      </w:r>
      <w:r w:rsidRPr="00432BEA">
        <w:rPr>
          <w:lang w:val="fr-FR"/>
        </w:rPr>
        <w:t>elles y occupent. De même, elles reçoivent et envoient leurs courriers de leur adresse à la maison de retraite</w:t>
      </w:r>
      <w:r w:rsidRPr="00432BEA" w:rsidR="0082331A">
        <w:rPr>
          <w:lang w:val="fr-FR"/>
        </w:rPr>
        <w:t xml:space="preserve"> (</w:t>
      </w:r>
      <w:r w:rsidRPr="00432BEA" w:rsidR="007D22EB">
        <w:rPr>
          <w:lang w:val="fr-FR"/>
        </w:rPr>
        <w:t>...</w:t>
      </w:r>
      <w:r w:rsidRPr="00432BEA" w:rsidR="0082331A">
        <w:rPr>
          <w:lang w:val="fr-FR"/>
        </w:rPr>
        <w:t>)</w:t>
      </w:r>
      <w:r w:rsidRPr="00432BEA">
        <w:rPr>
          <w:lang w:val="fr-FR"/>
        </w:rPr>
        <w:t xml:space="preserve"> et le domicile figurant sur leur carte électorale est l</w:t>
      </w:r>
      <w:r w:rsidRPr="00432BEA" w:rsidR="00432BEA">
        <w:rPr>
          <w:lang w:val="fr-FR"/>
        </w:rPr>
        <w:t>’</w:t>
      </w:r>
      <w:r w:rsidRPr="00432BEA">
        <w:rPr>
          <w:lang w:val="fr-FR"/>
        </w:rPr>
        <w:t>adresse de l</w:t>
      </w:r>
      <w:r w:rsidRPr="00432BEA" w:rsidR="00432BEA">
        <w:rPr>
          <w:lang w:val="fr-FR"/>
        </w:rPr>
        <w:t>’</w:t>
      </w:r>
      <w:r w:rsidRPr="00432BEA">
        <w:rPr>
          <w:lang w:val="fr-FR"/>
        </w:rPr>
        <w:t>établissement. Leur résidence au sein de l</w:t>
      </w:r>
      <w:r w:rsidRPr="00432BEA" w:rsidR="00432BEA">
        <w:rPr>
          <w:lang w:val="fr-FR"/>
        </w:rPr>
        <w:t>’</w:t>
      </w:r>
      <w:r w:rsidRPr="00432BEA">
        <w:rPr>
          <w:lang w:val="fr-FR"/>
        </w:rPr>
        <w:t>EHPAD ouvre droit au bénéfice d</w:t>
      </w:r>
      <w:r w:rsidRPr="00432BEA" w:rsidR="00432BEA">
        <w:rPr>
          <w:lang w:val="fr-FR"/>
        </w:rPr>
        <w:t>’</w:t>
      </w:r>
      <w:r w:rsidRPr="00432BEA">
        <w:rPr>
          <w:lang w:val="fr-FR"/>
        </w:rPr>
        <w:t>une allocation logement réservée aux logements occupés à titre de domicile principal.</w:t>
      </w:r>
    </w:p>
    <w:p w:rsidRPr="00432BEA" w:rsidR="00776339" w:rsidP="00432BEA" w:rsidRDefault="00776339">
      <w:pPr>
        <w:pStyle w:val="ECHRParaQuote"/>
        <w:rPr>
          <w:lang w:val="fr-FR"/>
        </w:rPr>
      </w:pPr>
      <w:r w:rsidRPr="00432BEA">
        <w:rPr>
          <w:lang w:val="fr-FR"/>
        </w:rPr>
        <w:t>Il ne peut dès lors être contesté ni l</w:t>
      </w:r>
      <w:r w:rsidRPr="00432BEA" w:rsidR="00432BEA">
        <w:rPr>
          <w:lang w:val="fr-FR"/>
        </w:rPr>
        <w:t>’</w:t>
      </w:r>
      <w:r w:rsidRPr="00432BEA">
        <w:rPr>
          <w:lang w:val="fr-FR"/>
        </w:rPr>
        <w:t>intention des résidents d</w:t>
      </w:r>
      <w:r w:rsidRPr="00432BEA" w:rsidR="00432BEA">
        <w:rPr>
          <w:lang w:val="fr-FR"/>
        </w:rPr>
        <w:t>’</w:t>
      </w:r>
      <w:r w:rsidRPr="00432BEA">
        <w:rPr>
          <w:lang w:val="fr-FR"/>
        </w:rPr>
        <w:t>y élire domicile ni qu</w:t>
      </w:r>
      <w:r w:rsidRPr="00432BEA" w:rsidR="00432BEA">
        <w:rPr>
          <w:lang w:val="fr-FR"/>
        </w:rPr>
        <w:t>’</w:t>
      </w:r>
      <w:r w:rsidRPr="00432BEA">
        <w:rPr>
          <w:lang w:val="fr-FR"/>
        </w:rPr>
        <w:t>il s</w:t>
      </w:r>
      <w:r w:rsidRPr="00432BEA" w:rsidR="00432BEA">
        <w:rPr>
          <w:lang w:val="fr-FR"/>
        </w:rPr>
        <w:t>’</w:t>
      </w:r>
      <w:r w:rsidRPr="00432BEA">
        <w:rPr>
          <w:lang w:val="fr-FR"/>
        </w:rPr>
        <w:t>agit de leur lieu d</w:t>
      </w:r>
      <w:r w:rsidRPr="00432BEA" w:rsidR="00432BEA">
        <w:rPr>
          <w:lang w:val="fr-FR"/>
        </w:rPr>
        <w:t>’</w:t>
      </w:r>
      <w:r w:rsidRPr="00432BEA">
        <w:rPr>
          <w:lang w:val="fr-FR"/>
        </w:rPr>
        <w:t>habitation respectif.</w:t>
      </w:r>
    </w:p>
    <w:p w:rsidRPr="00432BEA" w:rsidR="00776339" w:rsidP="00432BEA" w:rsidRDefault="00776339">
      <w:pPr>
        <w:pStyle w:val="ECHRParaQuote"/>
        <w:rPr>
          <w:lang w:val="fr-FR"/>
        </w:rPr>
      </w:pPr>
      <w:r w:rsidRPr="00432BEA">
        <w:rPr>
          <w:lang w:val="fr-FR"/>
        </w:rPr>
        <w:t>Par ailleurs, la Charte des Droits et Libertés de la Personne Dépendante prévoit en son article 2 que toute personne âgée en situation de handicap ou de dépendance doit pouvoir choisir un lieu de vie – domicile personnel ou collectif – adapté à ses attentes et à ses besoins. Il est également précisé que lorsque la personne âgée dépendant</w:t>
      </w:r>
      <w:r w:rsidRPr="00432BEA" w:rsidR="00BC3D7D">
        <w:rPr>
          <w:lang w:val="fr-FR"/>
        </w:rPr>
        <w:t>e</w:t>
      </w:r>
      <w:r w:rsidRPr="00432BEA">
        <w:rPr>
          <w:lang w:val="fr-FR"/>
        </w:rPr>
        <w:t xml:space="preserve"> vit dans une institution, celle-ci devient son nouveau domicile.</w:t>
      </w:r>
    </w:p>
    <w:p w:rsidRPr="00432BEA" w:rsidR="00776339" w:rsidP="00432BEA" w:rsidRDefault="00776339">
      <w:pPr>
        <w:pStyle w:val="ECHRParaQuote"/>
        <w:rPr>
          <w:lang w:val="fr-FR"/>
        </w:rPr>
      </w:pPr>
      <w:r w:rsidRPr="00432BEA">
        <w:rPr>
          <w:lang w:val="fr-FR"/>
        </w:rPr>
        <w:t xml:space="preserve">Ainsi, </w:t>
      </w:r>
      <w:r w:rsidRPr="00432BEA" w:rsidR="004E221A">
        <w:rPr>
          <w:lang w:val="fr-FR"/>
        </w:rPr>
        <w:t>[</w:t>
      </w:r>
      <w:r w:rsidRPr="00432BEA">
        <w:rPr>
          <w:lang w:val="fr-FR"/>
        </w:rPr>
        <w:t xml:space="preserve">la </w:t>
      </w:r>
      <w:r w:rsidRPr="00432BEA" w:rsidR="004E221A">
        <w:rPr>
          <w:lang w:val="fr-FR"/>
        </w:rPr>
        <w:t>requérante]</w:t>
      </w:r>
      <w:r w:rsidRPr="00432BEA">
        <w:rPr>
          <w:lang w:val="fr-FR"/>
        </w:rPr>
        <w:t xml:space="preserve"> justifie que les bénéficiaires des prestations litigieuses ont établi leur domicile dans son établissement d</w:t>
      </w:r>
      <w:r w:rsidRPr="00432BEA" w:rsidR="00432BEA">
        <w:rPr>
          <w:lang w:val="fr-FR"/>
        </w:rPr>
        <w:t>’</w:t>
      </w:r>
      <w:r w:rsidRPr="00432BEA">
        <w:rPr>
          <w:lang w:val="fr-FR"/>
        </w:rPr>
        <w:t>hébergement pour personnes âgées dépendantes afin d</w:t>
      </w:r>
      <w:r w:rsidRPr="00432BEA" w:rsidR="00432BEA">
        <w:rPr>
          <w:lang w:val="fr-FR"/>
        </w:rPr>
        <w:t>’</w:t>
      </w:r>
      <w:r w:rsidRPr="00432BEA">
        <w:rPr>
          <w:lang w:val="fr-FR"/>
        </w:rPr>
        <w:t>y fixer leur principal établissement.</w:t>
      </w:r>
    </w:p>
    <w:p w:rsidRPr="00432BEA" w:rsidR="00776339" w:rsidP="00432BEA" w:rsidRDefault="00776339">
      <w:pPr>
        <w:pStyle w:val="ECHRParaQuote"/>
        <w:rPr>
          <w:lang w:val="fr-FR"/>
        </w:rPr>
      </w:pPr>
      <w:r w:rsidRPr="00432BEA">
        <w:rPr>
          <w:lang w:val="fr-FR"/>
        </w:rPr>
        <w:t>L</w:t>
      </w:r>
      <w:r w:rsidRPr="00432BEA" w:rsidR="00432BEA">
        <w:rPr>
          <w:lang w:val="fr-FR"/>
        </w:rPr>
        <w:t>’</w:t>
      </w:r>
      <w:r w:rsidRPr="00432BEA">
        <w:rPr>
          <w:lang w:val="fr-FR"/>
        </w:rPr>
        <w:t>URSAFF réfute la notion de domicile telle que définie par l</w:t>
      </w:r>
      <w:r w:rsidRPr="00432BEA" w:rsidR="00432BEA">
        <w:rPr>
          <w:lang w:val="fr-FR"/>
        </w:rPr>
        <w:t>’</w:t>
      </w:r>
      <w:r w:rsidRPr="00432BEA">
        <w:rPr>
          <w:lang w:val="fr-FR"/>
        </w:rPr>
        <w:t>article 102 du code civil en s</w:t>
      </w:r>
      <w:r w:rsidRPr="00432BEA" w:rsidR="00432BEA">
        <w:rPr>
          <w:lang w:val="fr-FR"/>
        </w:rPr>
        <w:t>’</w:t>
      </w:r>
      <w:r w:rsidRPr="00432BEA">
        <w:rPr>
          <w:lang w:val="fr-FR"/>
        </w:rPr>
        <w:t>appuyant sur la lettre ministérielle du 26 mars 1993 diffusée par lettre circulaire ACOSS du 22 juin 1993, sur une lettre ministérielle du 26 août 1987 et sur une lettre collective du 16 décembre 2008. Or, ces circulaires sont dépourvues de valeur réglementaire. En outre, la circulaire de 1993 écarte l</w:t>
      </w:r>
      <w:r w:rsidRPr="00432BEA" w:rsidR="00432BEA">
        <w:rPr>
          <w:lang w:val="fr-FR"/>
        </w:rPr>
        <w:t>’</w:t>
      </w:r>
      <w:r w:rsidRPr="00432BEA">
        <w:rPr>
          <w:lang w:val="fr-FR"/>
        </w:rPr>
        <w:t>application des dispositions de l</w:t>
      </w:r>
      <w:r w:rsidRPr="00432BEA" w:rsidR="00432BEA">
        <w:rPr>
          <w:lang w:val="fr-FR"/>
        </w:rPr>
        <w:t>’</w:t>
      </w:r>
      <w:r w:rsidRPr="00432BEA">
        <w:rPr>
          <w:lang w:val="fr-FR"/>
        </w:rPr>
        <w:t>article L. 2</w:t>
      </w:r>
      <w:r w:rsidRPr="00432BEA" w:rsidR="000229F3">
        <w:rPr>
          <w:lang w:val="fr-FR"/>
        </w:rPr>
        <w:t>4</w:t>
      </w:r>
      <w:r w:rsidRPr="00432BEA">
        <w:rPr>
          <w:lang w:val="fr-FR"/>
        </w:rPr>
        <w:t xml:space="preserve">1-10 III du Code de la </w:t>
      </w:r>
      <w:r w:rsidRPr="00432BEA" w:rsidR="00BE314F">
        <w:rPr>
          <w:lang w:val="fr-FR"/>
        </w:rPr>
        <w:t>s</w:t>
      </w:r>
      <w:r w:rsidRPr="00432BEA" w:rsidR="00632783">
        <w:rPr>
          <w:lang w:val="fr-FR"/>
        </w:rPr>
        <w:t>écurité sociale</w:t>
      </w:r>
      <w:r w:rsidRPr="00432BEA">
        <w:rPr>
          <w:lang w:val="fr-FR"/>
        </w:rPr>
        <w:t xml:space="preserve"> aux maisons de retraite, ajoutant ainsi aux dispositions légales.</w:t>
      </w:r>
    </w:p>
    <w:p w:rsidRPr="00432BEA" w:rsidR="00776339" w:rsidP="00432BEA" w:rsidRDefault="00776339">
      <w:pPr>
        <w:pStyle w:val="ECHRParaQuote"/>
        <w:rPr>
          <w:lang w:val="fr-FR"/>
        </w:rPr>
      </w:pPr>
      <w:r w:rsidRPr="00432BEA">
        <w:rPr>
          <w:lang w:val="fr-FR"/>
        </w:rPr>
        <w:t>L</w:t>
      </w:r>
      <w:r w:rsidRPr="00432BEA" w:rsidR="00432BEA">
        <w:rPr>
          <w:lang w:val="fr-FR"/>
        </w:rPr>
        <w:t>’</w:t>
      </w:r>
      <w:r w:rsidRPr="00432BEA">
        <w:rPr>
          <w:lang w:val="fr-FR"/>
        </w:rPr>
        <w:t xml:space="preserve">article L. 241-10 III </w:t>
      </w:r>
      <w:r w:rsidRPr="00432BEA" w:rsidR="000229F3">
        <w:rPr>
          <w:lang w:val="fr-FR"/>
        </w:rPr>
        <w:t>(</w:t>
      </w:r>
      <w:r w:rsidRPr="00432BEA" w:rsidR="007D22EB">
        <w:rPr>
          <w:lang w:val="fr-FR"/>
        </w:rPr>
        <w:t>...</w:t>
      </w:r>
      <w:r w:rsidRPr="00432BEA" w:rsidR="000229F3">
        <w:rPr>
          <w:lang w:val="fr-FR"/>
        </w:rPr>
        <w:t>)</w:t>
      </w:r>
      <w:r w:rsidRPr="00432BEA">
        <w:rPr>
          <w:lang w:val="fr-FR"/>
        </w:rPr>
        <w:t>, qui est clair et ne souffre d</w:t>
      </w:r>
      <w:r w:rsidRPr="00432BEA" w:rsidR="00432BEA">
        <w:rPr>
          <w:lang w:val="fr-FR"/>
        </w:rPr>
        <w:t>’</w:t>
      </w:r>
      <w:r w:rsidRPr="00432BEA">
        <w:rPr>
          <w:lang w:val="fr-FR"/>
        </w:rPr>
        <w:t>aucune interprétation, ne prévoit aucune exclusion de son champ d</w:t>
      </w:r>
      <w:r w:rsidRPr="00432BEA" w:rsidR="00432BEA">
        <w:rPr>
          <w:lang w:val="fr-FR"/>
        </w:rPr>
        <w:t>’</w:t>
      </w:r>
      <w:r w:rsidRPr="00432BEA">
        <w:rPr>
          <w:lang w:val="fr-FR"/>
        </w:rPr>
        <w:t>application pour les prestations fournies aux personnes âgées dépendantes bénéficiant d</w:t>
      </w:r>
      <w:r w:rsidRPr="00432BEA" w:rsidR="00432BEA">
        <w:rPr>
          <w:lang w:val="fr-FR"/>
        </w:rPr>
        <w:t>’</w:t>
      </w:r>
      <w:r w:rsidRPr="00432BEA">
        <w:rPr>
          <w:lang w:val="fr-FR"/>
        </w:rPr>
        <w:t>un hébergement collectif.</w:t>
      </w:r>
    </w:p>
    <w:p w:rsidRPr="00432BEA" w:rsidR="00776339" w:rsidP="00432BEA" w:rsidRDefault="00776339">
      <w:pPr>
        <w:pStyle w:val="ECHRParaQuote"/>
        <w:rPr>
          <w:lang w:val="fr-FR"/>
        </w:rPr>
      </w:pPr>
      <w:r w:rsidRPr="00432BEA">
        <w:rPr>
          <w:lang w:val="fr-FR"/>
        </w:rPr>
        <w:t xml:space="preserve">En conséquence, </w:t>
      </w:r>
      <w:r w:rsidRPr="00432BEA" w:rsidR="004E221A">
        <w:rPr>
          <w:lang w:val="fr-FR"/>
        </w:rPr>
        <w:t>[</w:t>
      </w:r>
      <w:r w:rsidRPr="00432BEA">
        <w:rPr>
          <w:lang w:val="fr-FR"/>
        </w:rPr>
        <w:t xml:space="preserve">la </w:t>
      </w:r>
      <w:r w:rsidRPr="00432BEA" w:rsidR="004E221A">
        <w:rPr>
          <w:lang w:val="fr-FR"/>
        </w:rPr>
        <w:t xml:space="preserve">requérante] </w:t>
      </w:r>
      <w:r w:rsidRPr="00432BEA">
        <w:rPr>
          <w:lang w:val="fr-FR"/>
        </w:rPr>
        <w:t>constituant pour ses résidents leur domicile, les exonérations de cotisations prévues par l</w:t>
      </w:r>
      <w:r w:rsidRPr="00432BEA" w:rsidR="00432BEA">
        <w:rPr>
          <w:lang w:val="fr-FR"/>
        </w:rPr>
        <w:t>’</w:t>
      </w:r>
      <w:r w:rsidRPr="00432BEA">
        <w:rPr>
          <w:lang w:val="fr-FR"/>
        </w:rPr>
        <w:t xml:space="preserve">article L. 241-10 III du Code de la </w:t>
      </w:r>
      <w:r w:rsidRPr="00432BEA" w:rsidR="00BE314F">
        <w:rPr>
          <w:lang w:val="fr-FR"/>
        </w:rPr>
        <w:t>s</w:t>
      </w:r>
      <w:r w:rsidRPr="00432BEA" w:rsidR="00632783">
        <w:rPr>
          <w:lang w:val="fr-FR"/>
        </w:rPr>
        <w:t>écurité sociale</w:t>
      </w:r>
      <w:r w:rsidRPr="00432BEA">
        <w:rPr>
          <w:lang w:val="fr-FR"/>
        </w:rPr>
        <w:t xml:space="preserve"> lui sont applicables. (</w:t>
      </w:r>
      <w:r w:rsidRPr="00432BEA" w:rsidR="007D22EB">
        <w:rPr>
          <w:lang w:val="fr-FR"/>
        </w:rPr>
        <w:t>...</w:t>
      </w:r>
      <w:r w:rsidRPr="00432BEA">
        <w:rPr>
          <w:lang w:val="fr-FR"/>
        </w:rPr>
        <w:t>)</w:t>
      </w:r>
      <w:r w:rsidRPr="00432BEA" w:rsidR="00FB4D81">
        <w:rPr>
          <w:lang w:val="fr-FR"/>
        </w:rPr>
        <w:t> »</w:t>
      </w:r>
    </w:p>
    <w:p w:rsidRPr="00432BEA" w:rsidR="007D22EB" w:rsidP="00432BEA" w:rsidRDefault="000F5E63">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35</w:t>
      </w:r>
      <w:r w:rsidRPr="00432BEA">
        <w:rPr>
          <w:lang w:val="fr-FR"/>
        </w:rPr>
        <w:fldChar w:fldCharType="end"/>
      </w:r>
      <w:r w:rsidRPr="00432BEA">
        <w:rPr>
          <w:lang w:val="fr-FR"/>
        </w:rPr>
        <w:t>.  </w:t>
      </w:r>
      <w:r w:rsidRPr="00432BEA" w:rsidR="00776339">
        <w:rPr>
          <w:lang w:val="fr-FR"/>
        </w:rPr>
        <w:t>Par un arrêt du 28 juin 2012, la cour d</w:t>
      </w:r>
      <w:r w:rsidRPr="00432BEA" w:rsidR="00432BEA">
        <w:rPr>
          <w:lang w:val="fr-FR"/>
        </w:rPr>
        <w:t>’</w:t>
      </w:r>
      <w:r w:rsidRPr="00432BEA" w:rsidR="00776339">
        <w:rPr>
          <w:lang w:val="fr-FR"/>
        </w:rPr>
        <w:t>appel de Paris infirma le jugement. La requérante forma un pourvoi en cassation en invoquant une violation des articles 6 § 1 de la Convention et 1</w:t>
      </w:r>
      <w:r w:rsidRPr="00432BEA" w:rsidR="00776339">
        <w:rPr>
          <w:vertAlign w:val="superscript"/>
          <w:lang w:val="fr-FR"/>
        </w:rPr>
        <w:t>er</w:t>
      </w:r>
      <w:r w:rsidRPr="00432BEA" w:rsidR="00776339">
        <w:rPr>
          <w:lang w:val="fr-FR"/>
        </w:rPr>
        <w:t xml:space="preserve"> du Protocole n</w:t>
      </w:r>
      <w:r w:rsidRPr="00432BEA" w:rsidR="007D22EB">
        <w:rPr>
          <w:vertAlign w:val="superscript"/>
          <w:lang w:val="fr-FR"/>
        </w:rPr>
        <w:t>o</w:t>
      </w:r>
      <w:r w:rsidRPr="00432BEA" w:rsidR="00776339">
        <w:rPr>
          <w:lang w:val="fr-FR"/>
        </w:rPr>
        <w:t xml:space="preserve"> 1. Par un arrêt du 19 septembre 201</w:t>
      </w:r>
      <w:r w:rsidRPr="00432BEA" w:rsidR="003B2B50">
        <w:rPr>
          <w:lang w:val="fr-FR"/>
        </w:rPr>
        <w:t>3</w:t>
      </w:r>
      <w:r w:rsidRPr="00432BEA" w:rsidR="00776339">
        <w:rPr>
          <w:lang w:val="fr-FR"/>
        </w:rPr>
        <w:t>, la Cour de cassation</w:t>
      </w:r>
      <w:r w:rsidRPr="00432BEA" w:rsidR="000229F3">
        <w:rPr>
          <w:lang w:val="fr-FR"/>
        </w:rPr>
        <w:t xml:space="preserve"> déclara le pourvoi non admis.</w:t>
      </w:r>
    </w:p>
    <w:p w:rsidRPr="00432BEA" w:rsidR="00E77CB3" w:rsidP="00432BEA" w:rsidRDefault="00E77CB3">
      <w:pPr>
        <w:pStyle w:val="ECHRHeading1"/>
        <w:rPr>
          <w:lang w:val="fr-FR"/>
        </w:rPr>
      </w:pPr>
      <w:r w:rsidRPr="00432BEA">
        <w:rPr>
          <w:lang w:val="fr-FR"/>
        </w:rPr>
        <w:t>II.  LE DROIT ET LA PRATIQUE INTERNES PERTINENTS</w:t>
      </w:r>
    </w:p>
    <w:p w:rsidRPr="00432BEA" w:rsidR="00ED2C1E" w:rsidP="00432BEA" w:rsidRDefault="00FB4D81">
      <w:pPr>
        <w:pStyle w:val="ECHRHeading2"/>
        <w:rPr>
          <w:lang w:val="fr-FR"/>
        </w:rPr>
      </w:pPr>
      <w:r w:rsidRPr="00432BEA">
        <w:rPr>
          <w:lang w:val="fr-FR"/>
        </w:rPr>
        <w:t>A.  </w:t>
      </w:r>
      <w:r w:rsidRPr="00432BEA" w:rsidR="00ED2C1E">
        <w:rPr>
          <w:lang w:val="fr-FR"/>
        </w:rPr>
        <w:t>Historique du dispositif d</w:t>
      </w:r>
      <w:r w:rsidRPr="00432BEA" w:rsidR="00432BEA">
        <w:rPr>
          <w:lang w:val="fr-FR"/>
        </w:rPr>
        <w:t>’</w:t>
      </w:r>
      <w:r w:rsidRPr="00432BEA" w:rsidR="00ED2C1E">
        <w:rPr>
          <w:lang w:val="fr-FR"/>
        </w:rPr>
        <w:t>aide au maintien des personnes âgées</w:t>
      </w:r>
      <w:r w:rsidRPr="00432BEA" w:rsidR="0086295C">
        <w:rPr>
          <w:lang w:val="fr-FR"/>
        </w:rPr>
        <w:t> </w:t>
      </w:r>
      <w:r w:rsidRPr="00432BEA" w:rsidR="00ED2C1E">
        <w:rPr>
          <w:lang w:val="fr-FR"/>
        </w:rPr>
        <w:t>ou handicapées à leur domicile</w:t>
      </w:r>
      <w:r w:rsidRPr="00432BEA" w:rsidR="009323FF">
        <w:rPr>
          <w:lang w:val="fr-FR"/>
        </w:rPr>
        <w:t xml:space="preserve"> tel que décrit par le Gouvernement</w:t>
      </w:r>
    </w:p>
    <w:p w:rsidRPr="00432BEA" w:rsidR="00ED2C1E" w:rsidP="00432BEA" w:rsidRDefault="00A050D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36</w:t>
      </w:r>
      <w:r w:rsidRPr="00432BEA">
        <w:rPr>
          <w:lang w:val="fr-FR"/>
        </w:rPr>
        <w:fldChar w:fldCharType="end"/>
      </w:r>
      <w:r w:rsidRPr="00432BEA" w:rsidR="00E77CB3">
        <w:rPr>
          <w:lang w:val="fr-FR"/>
        </w:rPr>
        <w:t>.  </w:t>
      </w:r>
      <w:r w:rsidRPr="00432BEA" w:rsidR="00ED2C1E">
        <w:rPr>
          <w:lang w:val="fr-FR"/>
        </w:rPr>
        <w:t>D</w:t>
      </w:r>
      <w:r w:rsidRPr="00432BEA" w:rsidR="00432BEA">
        <w:rPr>
          <w:lang w:val="fr-FR"/>
        </w:rPr>
        <w:t>’</w:t>
      </w:r>
      <w:r w:rsidRPr="00432BEA" w:rsidR="00ED2C1E">
        <w:rPr>
          <w:lang w:val="fr-FR"/>
        </w:rPr>
        <w:t>après le Gouvernement, le dispositif d</w:t>
      </w:r>
      <w:r w:rsidRPr="00432BEA" w:rsidR="00432BEA">
        <w:rPr>
          <w:lang w:val="fr-FR"/>
        </w:rPr>
        <w:t>’</w:t>
      </w:r>
      <w:r w:rsidRPr="00432BEA" w:rsidR="00ED2C1E">
        <w:rPr>
          <w:lang w:val="fr-FR"/>
        </w:rPr>
        <w:t>aide au maintien des personnes âgées ou handicapées à leur domicile par le truchement de l</w:t>
      </w:r>
      <w:r w:rsidRPr="00432BEA" w:rsidR="00432BEA">
        <w:rPr>
          <w:lang w:val="fr-FR"/>
        </w:rPr>
        <w:t>’</w:t>
      </w:r>
      <w:r w:rsidRPr="00432BEA" w:rsidR="00ED2C1E">
        <w:rPr>
          <w:lang w:val="fr-FR"/>
        </w:rPr>
        <w:t>exonération de charges patronales sur la rémunération des aides à domicile a été institué par l</w:t>
      </w:r>
      <w:r w:rsidRPr="00432BEA" w:rsidR="00432BEA">
        <w:rPr>
          <w:lang w:val="fr-FR"/>
        </w:rPr>
        <w:t>’</w:t>
      </w:r>
      <w:r w:rsidRPr="00432BEA" w:rsidR="00ED2C1E">
        <w:rPr>
          <w:lang w:val="fr-FR"/>
        </w:rPr>
        <w:t>article 38 de la loi n</w:t>
      </w:r>
      <w:r w:rsidRPr="00432BEA" w:rsidR="00ED2C1E">
        <w:rPr>
          <w:vertAlign w:val="superscript"/>
          <w:lang w:val="fr-FR"/>
        </w:rPr>
        <w:t>o</w:t>
      </w:r>
      <w:r w:rsidRPr="00432BEA" w:rsidR="00ED2C1E">
        <w:rPr>
          <w:lang w:val="fr-FR"/>
        </w:rPr>
        <w:t xml:space="preserve"> 87-39 du 27 janvier 1987 portant diverses mesures d</w:t>
      </w:r>
      <w:r w:rsidRPr="00432BEA" w:rsidR="00432BEA">
        <w:rPr>
          <w:lang w:val="fr-FR"/>
        </w:rPr>
        <w:t>’</w:t>
      </w:r>
      <w:r w:rsidRPr="00432BEA" w:rsidR="00ED2C1E">
        <w:rPr>
          <w:lang w:val="fr-FR"/>
        </w:rPr>
        <w:t>urgence. À l</w:t>
      </w:r>
      <w:r w:rsidRPr="00432BEA" w:rsidR="00432BEA">
        <w:rPr>
          <w:lang w:val="fr-FR"/>
        </w:rPr>
        <w:t>’</w:t>
      </w:r>
      <w:r w:rsidRPr="00432BEA" w:rsidR="00ED2C1E">
        <w:rPr>
          <w:lang w:val="fr-FR"/>
        </w:rPr>
        <w:t>origine, l</w:t>
      </w:r>
      <w:r w:rsidRPr="00432BEA" w:rsidR="00432BEA">
        <w:rPr>
          <w:lang w:val="fr-FR"/>
        </w:rPr>
        <w:t>’</w:t>
      </w:r>
      <w:r w:rsidRPr="00432BEA" w:rsidR="00ED2C1E">
        <w:rPr>
          <w:lang w:val="fr-FR"/>
        </w:rPr>
        <w:t>exonération ne s</w:t>
      </w:r>
      <w:r w:rsidRPr="00432BEA" w:rsidR="00432BEA">
        <w:rPr>
          <w:lang w:val="fr-FR"/>
        </w:rPr>
        <w:t>’</w:t>
      </w:r>
      <w:r w:rsidRPr="00432BEA" w:rsidR="00ED2C1E">
        <w:rPr>
          <w:lang w:val="fr-FR"/>
        </w:rPr>
        <w:t>appliquait qu</w:t>
      </w:r>
      <w:r w:rsidRPr="00432BEA" w:rsidR="00432BEA">
        <w:rPr>
          <w:lang w:val="fr-FR"/>
        </w:rPr>
        <w:t>’</w:t>
      </w:r>
      <w:r w:rsidRPr="00432BEA" w:rsidR="00ED2C1E">
        <w:rPr>
          <w:lang w:val="fr-FR"/>
        </w:rPr>
        <w:t>aux aides à domicile engagées directement par les personnes en bénéficiant.</w:t>
      </w:r>
    </w:p>
    <w:p w:rsidRPr="00432BEA" w:rsidR="00ED2C1E" w:rsidP="00432BEA" w:rsidRDefault="00ED2C1E">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37</w:t>
      </w:r>
      <w:r w:rsidRPr="00432BEA">
        <w:rPr>
          <w:lang w:val="fr-FR"/>
        </w:rPr>
        <w:fldChar w:fldCharType="end"/>
      </w:r>
      <w:r w:rsidRPr="00432BEA">
        <w:rPr>
          <w:lang w:val="fr-FR"/>
        </w:rPr>
        <w:t>.  La loi n</w:t>
      </w:r>
      <w:r w:rsidRPr="00432BEA">
        <w:rPr>
          <w:vertAlign w:val="superscript"/>
          <w:lang w:val="fr-FR"/>
        </w:rPr>
        <w:t>o</w:t>
      </w:r>
      <w:r w:rsidRPr="00432BEA">
        <w:rPr>
          <w:lang w:val="fr-FR"/>
        </w:rPr>
        <w:t xml:space="preserve"> 93-121 du 27 janvier 1993 a étendu partiellement le dispositif d</w:t>
      </w:r>
      <w:r w:rsidRPr="00432BEA" w:rsidR="00432BEA">
        <w:rPr>
          <w:lang w:val="fr-FR"/>
        </w:rPr>
        <w:t>’</w:t>
      </w:r>
      <w:r w:rsidRPr="00432BEA">
        <w:rPr>
          <w:lang w:val="fr-FR"/>
        </w:rPr>
        <w:t>exonération aux aides à domicile employées par les associations agréées au titre de l</w:t>
      </w:r>
      <w:r w:rsidRPr="00432BEA" w:rsidR="00432BEA">
        <w:rPr>
          <w:lang w:val="fr-FR"/>
        </w:rPr>
        <w:t>’</w:t>
      </w:r>
      <w:r w:rsidRPr="00432BEA">
        <w:rPr>
          <w:lang w:val="fr-FR"/>
        </w:rPr>
        <w:t>article L. 129-1 du code du travail, par les associations ayant exclusivement pour activité les services rendus aux personnes physiques à leur domicile, ou encore par les organismes habilités au titre de l</w:t>
      </w:r>
      <w:r w:rsidRPr="00432BEA" w:rsidR="00432BEA">
        <w:rPr>
          <w:lang w:val="fr-FR"/>
        </w:rPr>
        <w:t>’</w:t>
      </w:r>
      <w:r w:rsidRPr="00432BEA">
        <w:rPr>
          <w:lang w:val="fr-FR"/>
        </w:rPr>
        <w:t xml:space="preserve">aide sociale ou ayant passé convention avec un organisme de </w:t>
      </w:r>
      <w:r w:rsidRPr="00432BEA" w:rsidR="00632783">
        <w:rPr>
          <w:lang w:val="fr-FR"/>
        </w:rPr>
        <w:t>sécurité sociale</w:t>
      </w:r>
      <w:r w:rsidRPr="00432BEA">
        <w:rPr>
          <w:lang w:val="fr-FR"/>
        </w:rPr>
        <w:t>. Le bénéfice de l</w:t>
      </w:r>
      <w:r w:rsidRPr="00432BEA" w:rsidR="00432BEA">
        <w:rPr>
          <w:lang w:val="fr-FR"/>
        </w:rPr>
        <w:t>’</w:t>
      </w:r>
      <w:r w:rsidRPr="00432BEA">
        <w:rPr>
          <w:lang w:val="fr-FR"/>
        </w:rPr>
        <w:t xml:space="preserve">exonération était limité à 30 % des cotisations patronales de </w:t>
      </w:r>
      <w:r w:rsidRPr="00432BEA" w:rsidR="00632783">
        <w:rPr>
          <w:lang w:val="fr-FR"/>
        </w:rPr>
        <w:t>sécurité sociale</w:t>
      </w:r>
      <w:r w:rsidRPr="00432BEA">
        <w:rPr>
          <w:lang w:val="fr-FR"/>
        </w:rPr>
        <w:t>.</w:t>
      </w:r>
    </w:p>
    <w:p w:rsidRPr="00432BEA" w:rsidR="00ED2C1E" w:rsidP="00432BEA" w:rsidRDefault="00ED2C1E">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38</w:t>
      </w:r>
      <w:r w:rsidRPr="00432BEA">
        <w:rPr>
          <w:lang w:val="fr-FR"/>
        </w:rPr>
        <w:fldChar w:fldCharType="end"/>
      </w:r>
      <w:r w:rsidRPr="00432BEA">
        <w:rPr>
          <w:lang w:val="fr-FR"/>
        </w:rPr>
        <w:t>.  La loi n</w:t>
      </w:r>
      <w:r w:rsidRPr="00432BEA">
        <w:rPr>
          <w:vertAlign w:val="superscript"/>
          <w:lang w:val="fr-FR"/>
        </w:rPr>
        <w:t>o</w:t>
      </w:r>
      <w:r w:rsidRPr="00432BEA">
        <w:rPr>
          <w:lang w:val="fr-FR"/>
        </w:rPr>
        <w:t xml:space="preserve"> 98-1194 du 23 décembre 1998 de financement de la </w:t>
      </w:r>
      <w:r w:rsidRPr="00432BEA" w:rsidR="00632783">
        <w:rPr>
          <w:lang w:val="fr-FR"/>
        </w:rPr>
        <w:t>sécurité sociale</w:t>
      </w:r>
      <w:r w:rsidRPr="00432BEA">
        <w:rPr>
          <w:lang w:val="fr-FR"/>
        </w:rPr>
        <w:t xml:space="preserve"> pour 1999 a opéré une refonte de l</w:t>
      </w:r>
      <w:r w:rsidRPr="00432BEA" w:rsidR="00432BEA">
        <w:rPr>
          <w:lang w:val="fr-FR"/>
        </w:rPr>
        <w:t>’</w:t>
      </w:r>
      <w:r w:rsidRPr="00432BEA">
        <w:rPr>
          <w:lang w:val="fr-FR"/>
        </w:rPr>
        <w:t xml:space="preserve">article L. 241-10 du code de la </w:t>
      </w:r>
      <w:r w:rsidRPr="00432BEA" w:rsidR="00632783">
        <w:rPr>
          <w:lang w:val="fr-FR"/>
        </w:rPr>
        <w:t>sécurité sociale</w:t>
      </w:r>
      <w:r w:rsidRPr="00432BEA">
        <w:rPr>
          <w:lang w:val="fr-FR"/>
        </w:rPr>
        <w:t>, modifié à plusieurs reprises depuis 1987, afin de le rendre plus lisible, et surtout d</w:t>
      </w:r>
      <w:r w:rsidRPr="00432BEA" w:rsidR="00432BEA">
        <w:rPr>
          <w:lang w:val="fr-FR"/>
        </w:rPr>
        <w:t>’</w:t>
      </w:r>
      <w:r w:rsidRPr="00432BEA">
        <w:rPr>
          <w:lang w:val="fr-FR"/>
        </w:rPr>
        <w:t>harmoniser le régime de l</w:t>
      </w:r>
      <w:r w:rsidRPr="00432BEA" w:rsidR="00432BEA">
        <w:rPr>
          <w:lang w:val="fr-FR"/>
        </w:rPr>
        <w:t>’</w:t>
      </w:r>
      <w:r w:rsidRPr="00432BEA">
        <w:rPr>
          <w:lang w:val="fr-FR"/>
        </w:rPr>
        <w:t>exonération sans distinction entre les aides à domicile employées de gré à gré par les personnes bénéficiaires du dispositif et celles employées par des structures les mettant à disposition des personnes âgées. Cette loi visait également à étendre le bénéfice du dispositif aux centres communaux et intercommunaux d</w:t>
      </w:r>
      <w:r w:rsidRPr="00432BEA" w:rsidR="00432BEA">
        <w:rPr>
          <w:lang w:val="fr-FR"/>
        </w:rPr>
        <w:t>’</w:t>
      </w:r>
      <w:r w:rsidRPr="00432BEA">
        <w:rPr>
          <w:lang w:val="fr-FR"/>
        </w:rPr>
        <w:t>action sociale.</w:t>
      </w:r>
    </w:p>
    <w:p w:rsidRPr="00432BEA" w:rsidR="00ED2C1E" w:rsidP="00432BEA" w:rsidRDefault="00ED2C1E">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39</w:t>
      </w:r>
      <w:r w:rsidRPr="00432BEA">
        <w:rPr>
          <w:lang w:val="fr-FR"/>
        </w:rPr>
        <w:fldChar w:fldCharType="end"/>
      </w:r>
      <w:r w:rsidRPr="00432BEA">
        <w:rPr>
          <w:lang w:val="fr-FR"/>
        </w:rPr>
        <w:t>.  La refonte du texte s</w:t>
      </w:r>
      <w:r w:rsidRPr="00432BEA" w:rsidR="00432BEA">
        <w:rPr>
          <w:lang w:val="fr-FR"/>
        </w:rPr>
        <w:t>’</w:t>
      </w:r>
      <w:r w:rsidRPr="00432BEA">
        <w:rPr>
          <w:lang w:val="fr-FR"/>
        </w:rPr>
        <w:t>est néanmoins inscrite dans l</w:t>
      </w:r>
      <w:r w:rsidRPr="00432BEA" w:rsidR="00432BEA">
        <w:rPr>
          <w:lang w:val="fr-FR"/>
        </w:rPr>
        <w:t>’</w:t>
      </w:r>
      <w:r w:rsidRPr="00432BEA">
        <w:rPr>
          <w:lang w:val="fr-FR"/>
        </w:rPr>
        <w:t>objectif initial du dispositif qui était de favoriser le maintien des personnes âgées à leur domicile. En effet, les lettres ministérielles des 26 juillet 1987 et 26 mars 1993 ont rappelé que pour ouvrir droit à cette mesure d</w:t>
      </w:r>
      <w:r w:rsidRPr="00432BEA" w:rsidR="00432BEA">
        <w:rPr>
          <w:lang w:val="fr-FR"/>
        </w:rPr>
        <w:t>’</w:t>
      </w:r>
      <w:r w:rsidRPr="00432BEA">
        <w:rPr>
          <w:lang w:val="fr-FR"/>
        </w:rPr>
        <w:t>exonération de cotisations, les personnes visées devaient être maintenues à leur domicile, ce qui excluait l</w:t>
      </w:r>
      <w:r w:rsidRPr="00432BEA" w:rsidR="00432BEA">
        <w:rPr>
          <w:lang w:val="fr-FR"/>
        </w:rPr>
        <w:t>’</w:t>
      </w:r>
      <w:r w:rsidRPr="00432BEA">
        <w:rPr>
          <w:lang w:val="fr-FR"/>
        </w:rPr>
        <w:t>hébergement collectif dans l</w:t>
      </w:r>
      <w:r w:rsidRPr="00432BEA" w:rsidR="00632783">
        <w:rPr>
          <w:lang w:val="fr-FR"/>
        </w:rPr>
        <w:t>es structures sociales et socio</w:t>
      </w:r>
      <w:r w:rsidRPr="00432BEA" w:rsidR="00632783">
        <w:rPr>
          <w:lang w:val="fr-FR"/>
        </w:rPr>
        <w:noBreakHyphen/>
      </w:r>
      <w:r w:rsidRPr="00432BEA">
        <w:rPr>
          <w:lang w:val="fr-FR"/>
        </w:rPr>
        <w:t>médicales.</w:t>
      </w:r>
    </w:p>
    <w:p w:rsidRPr="00432BEA" w:rsidR="00ED2C1E" w:rsidP="00432BEA" w:rsidRDefault="00ED2C1E">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40</w:t>
      </w:r>
      <w:r w:rsidRPr="00432BEA">
        <w:rPr>
          <w:lang w:val="fr-FR"/>
        </w:rPr>
        <w:fldChar w:fldCharType="end"/>
      </w:r>
      <w:r w:rsidRPr="00432BEA">
        <w:rPr>
          <w:lang w:val="fr-FR"/>
        </w:rPr>
        <w:t>.  Avant comme après la loi du 23 décembre 1998, l</w:t>
      </w:r>
      <w:r w:rsidRPr="00432BEA" w:rsidR="00432BEA">
        <w:rPr>
          <w:lang w:val="fr-FR"/>
        </w:rPr>
        <w:t>’</w:t>
      </w:r>
      <w:r w:rsidRPr="00432BEA">
        <w:rPr>
          <w:lang w:val="fr-FR"/>
        </w:rPr>
        <w:t>exonération des cotisations n</w:t>
      </w:r>
      <w:r w:rsidRPr="00432BEA" w:rsidR="00432BEA">
        <w:rPr>
          <w:lang w:val="fr-FR"/>
        </w:rPr>
        <w:t>’</w:t>
      </w:r>
      <w:r w:rsidRPr="00432BEA">
        <w:rPr>
          <w:lang w:val="fr-FR"/>
        </w:rPr>
        <w:t>a donc concerné que la rémunération des aides à domicile intervenant au domicile des personnes âgées.</w:t>
      </w:r>
    </w:p>
    <w:p w:rsidRPr="00432BEA" w:rsidR="00ED2C1E" w:rsidP="00432BEA" w:rsidRDefault="00ED2C1E">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41</w:t>
      </w:r>
      <w:r w:rsidRPr="00432BEA">
        <w:rPr>
          <w:lang w:val="fr-FR"/>
        </w:rPr>
        <w:fldChar w:fldCharType="end"/>
      </w:r>
      <w:r w:rsidRPr="00432BEA">
        <w:rPr>
          <w:lang w:val="fr-FR"/>
        </w:rPr>
        <w:t>.  Après la modification de l</w:t>
      </w:r>
      <w:r w:rsidRPr="00432BEA" w:rsidR="00432BEA">
        <w:rPr>
          <w:lang w:val="fr-FR"/>
        </w:rPr>
        <w:t>’</w:t>
      </w:r>
      <w:r w:rsidRPr="00432BEA">
        <w:rPr>
          <w:lang w:val="fr-FR"/>
        </w:rPr>
        <w:t>article L</w:t>
      </w:r>
      <w:r w:rsidRPr="00432BEA" w:rsidR="00FB4D81">
        <w:rPr>
          <w:lang w:val="fr-FR"/>
        </w:rPr>
        <w:t>. 241-10, III, par la loi du 26 </w:t>
      </w:r>
      <w:r w:rsidRPr="00432BEA">
        <w:rPr>
          <w:lang w:val="fr-FR"/>
        </w:rPr>
        <w:t>juillet 2005, qui avait essentiellement pour but d</w:t>
      </w:r>
      <w:r w:rsidRPr="00432BEA" w:rsidR="00432BEA">
        <w:rPr>
          <w:lang w:val="fr-FR"/>
        </w:rPr>
        <w:t>’</w:t>
      </w:r>
      <w:r w:rsidRPr="00432BEA">
        <w:rPr>
          <w:lang w:val="fr-FR"/>
        </w:rPr>
        <w:t>unifier les aides à domicile et les aides à la personne, le sens du texte a à nouveau été précisé.</w:t>
      </w:r>
    </w:p>
    <w:p w:rsidRPr="00432BEA" w:rsidR="00ED2C1E" w:rsidP="00432BEA" w:rsidRDefault="00ED2C1E">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42</w:t>
      </w:r>
      <w:r w:rsidRPr="00432BEA">
        <w:rPr>
          <w:lang w:val="fr-FR"/>
        </w:rPr>
        <w:fldChar w:fldCharType="end"/>
      </w:r>
      <w:r w:rsidRPr="00432BEA">
        <w:rPr>
          <w:lang w:val="fr-FR"/>
        </w:rPr>
        <w:t>.  Ainsi, la lettre 2008-262 du 16 décembre 2008 de la direction de la réglementation du recouvrement et du service (DIRRES) a rappelé que les textes prévoyant l</w:t>
      </w:r>
      <w:r w:rsidRPr="00432BEA" w:rsidR="00432BEA">
        <w:rPr>
          <w:lang w:val="fr-FR"/>
        </w:rPr>
        <w:t>’</w:t>
      </w:r>
      <w:r w:rsidRPr="00432BEA">
        <w:rPr>
          <w:lang w:val="fr-FR"/>
        </w:rPr>
        <w:t>exonération des cotisations pour l</w:t>
      </w:r>
      <w:r w:rsidRPr="00432BEA" w:rsidR="00432BEA">
        <w:rPr>
          <w:lang w:val="fr-FR"/>
        </w:rPr>
        <w:t>’</w:t>
      </w:r>
      <w:r w:rsidRPr="00432BEA">
        <w:rPr>
          <w:lang w:val="fr-FR"/>
        </w:rPr>
        <w:t>emploi d</w:t>
      </w:r>
      <w:r w:rsidRPr="00432BEA" w:rsidR="00432BEA">
        <w:rPr>
          <w:lang w:val="fr-FR"/>
        </w:rPr>
        <w:t>’</w:t>
      </w:r>
      <w:r w:rsidRPr="00432BEA">
        <w:rPr>
          <w:lang w:val="fr-FR"/>
        </w:rPr>
        <w:t>aide à domicile ne s</w:t>
      </w:r>
      <w:r w:rsidRPr="00432BEA" w:rsidR="00432BEA">
        <w:rPr>
          <w:lang w:val="fr-FR"/>
        </w:rPr>
        <w:t>’</w:t>
      </w:r>
      <w:r w:rsidRPr="00432BEA">
        <w:rPr>
          <w:lang w:val="fr-FR"/>
        </w:rPr>
        <w:t>appliquaient pas aux structures collectives à l</w:t>
      </w:r>
      <w:r w:rsidRPr="00432BEA" w:rsidR="00432BEA">
        <w:rPr>
          <w:lang w:val="fr-FR"/>
        </w:rPr>
        <w:t>’</w:t>
      </w:r>
      <w:r w:rsidRPr="00432BEA">
        <w:rPr>
          <w:lang w:val="fr-FR"/>
        </w:rPr>
        <w:t>exception des logements foyers et que l</w:t>
      </w:r>
      <w:r w:rsidRPr="00432BEA" w:rsidR="00432BEA">
        <w:rPr>
          <w:lang w:val="fr-FR"/>
        </w:rPr>
        <w:t>’</w:t>
      </w:r>
      <w:r w:rsidRPr="00432BEA">
        <w:rPr>
          <w:lang w:val="fr-FR"/>
        </w:rPr>
        <w:t>objectif du législateur était de maintenir la personne à son domicile personnel afin de pallier la pénurie de places disponibles et accessibles financièrement en hébergement collectif.</w:t>
      </w:r>
    </w:p>
    <w:p w:rsidRPr="00432BEA" w:rsidR="00C243C4" w:rsidP="00432BEA" w:rsidRDefault="00E560FB">
      <w:pPr>
        <w:pStyle w:val="ECHRHeading2"/>
        <w:rPr>
          <w:lang w:val="fr-FR"/>
        </w:rPr>
      </w:pPr>
      <w:r w:rsidRPr="00432BEA">
        <w:rPr>
          <w:lang w:val="fr-FR"/>
        </w:rPr>
        <w:t>B.  </w:t>
      </w:r>
      <w:r w:rsidRPr="00432BEA" w:rsidR="00235AF1">
        <w:rPr>
          <w:lang w:val="fr-FR"/>
        </w:rPr>
        <w:t>L</w:t>
      </w:r>
      <w:r w:rsidRPr="00432BEA" w:rsidR="00432BEA">
        <w:rPr>
          <w:lang w:val="fr-FR"/>
        </w:rPr>
        <w:t>’</w:t>
      </w:r>
      <w:r w:rsidRPr="00432BEA" w:rsidR="00235AF1">
        <w:rPr>
          <w:lang w:val="fr-FR"/>
        </w:rPr>
        <w:t>article L. 241-10 du CSS</w:t>
      </w:r>
    </w:p>
    <w:p w:rsidRPr="00432BEA" w:rsidR="007D22EB" w:rsidP="00432BEA" w:rsidRDefault="00C243C4">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43</w:t>
      </w:r>
      <w:r w:rsidRPr="00432BEA">
        <w:rPr>
          <w:lang w:val="fr-FR"/>
        </w:rPr>
        <w:fldChar w:fldCharType="end"/>
      </w:r>
      <w:r w:rsidRPr="00432BEA">
        <w:rPr>
          <w:lang w:val="fr-FR"/>
        </w:rPr>
        <w:t>.  L</w:t>
      </w:r>
      <w:r w:rsidRPr="00432BEA" w:rsidR="00432BEA">
        <w:rPr>
          <w:lang w:val="fr-FR"/>
        </w:rPr>
        <w:t>’</w:t>
      </w:r>
      <w:r w:rsidRPr="00432BEA">
        <w:rPr>
          <w:lang w:val="fr-FR"/>
        </w:rPr>
        <w:t>article L</w:t>
      </w:r>
      <w:r w:rsidRPr="00432BEA" w:rsidR="00BC3D7D">
        <w:rPr>
          <w:lang w:val="fr-FR"/>
        </w:rPr>
        <w:t>.</w:t>
      </w:r>
      <w:r w:rsidRPr="00432BEA">
        <w:rPr>
          <w:lang w:val="fr-FR"/>
        </w:rPr>
        <w:t xml:space="preserve"> 2</w:t>
      </w:r>
      <w:r w:rsidRPr="00432BEA" w:rsidR="00BC3D7D">
        <w:rPr>
          <w:lang w:val="fr-FR"/>
        </w:rPr>
        <w:t>4</w:t>
      </w:r>
      <w:r w:rsidRPr="00432BEA">
        <w:rPr>
          <w:lang w:val="fr-FR"/>
        </w:rPr>
        <w:t>1-10 du CSS, dans sa version issue de la loi du 19 décembre 2007</w:t>
      </w:r>
      <w:r w:rsidRPr="00432BEA" w:rsidR="00A55D2C">
        <w:rPr>
          <w:lang w:val="fr-FR"/>
        </w:rPr>
        <w:t>,</w:t>
      </w:r>
      <w:r w:rsidRPr="00432BEA">
        <w:rPr>
          <w:lang w:val="fr-FR"/>
        </w:rPr>
        <w:t xml:space="preserve"> applicable, selon les requérants, aux faits des espèces, est ainsi libellé :</w:t>
      </w:r>
    </w:p>
    <w:p w:rsidRPr="00432BEA" w:rsidR="00235AF1" w:rsidP="00432BEA" w:rsidRDefault="00235AF1">
      <w:pPr>
        <w:pStyle w:val="ECHRTitleCentre3"/>
        <w:rPr>
          <w:rFonts w:eastAsia="Times New Roman"/>
          <w:lang w:val="fr-FR"/>
        </w:rPr>
      </w:pPr>
      <w:r w:rsidRPr="00432BEA">
        <w:rPr>
          <w:rFonts w:eastAsia="Times New Roman"/>
          <w:lang w:val="fr-FR"/>
        </w:rPr>
        <w:t>Article L. 241-10</w:t>
      </w:r>
    </w:p>
    <w:p w:rsidRPr="00432BEA" w:rsidR="007D22EB" w:rsidP="00432BEA" w:rsidRDefault="00235AF1">
      <w:pPr>
        <w:pStyle w:val="ECHRParaQuote"/>
        <w:rPr>
          <w:rFonts w:eastAsia="Times New Roman"/>
          <w:lang w:val="fr-FR"/>
        </w:rPr>
      </w:pPr>
      <w:r w:rsidRPr="00432BEA">
        <w:rPr>
          <w:rFonts w:eastAsia="Times New Roman"/>
          <w:lang w:val="fr-FR"/>
        </w:rPr>
        <w:t>« I.- La rémunération d</w:t>
      </w:r>
      <w:r w:rsidRPr="00432BEA" w:rsidR="00432BEA">
        <w:rPr>
          <w:rFonts w:eastAsia="Times New Roman"/>
          <w:lang w:val="fr-FR"/>
        </w:rPr>
        <w:t>’</w:t>
      </w:r>
      <w:r w:rsidRPr="00432BEA">
        <w:rPr>
          <w:rFonts w:eastAsia="Times New Roman"/>
          <w:lang w:val="fr-FR"/>
        </w:rPr>
        <w:t>une aide à domicile est exonérée des cotisations patronales d</w:t>
      </w:r>
      <w:r w:rsidRPr="00432BEA" w:rsidR="00432BEA">
        <w:rPr>
          <w:rFonts w:eastAsia="Times New Roman"/>
          <w:lang w:val="fr-FR"/>
        </w:rPr>
        <w:t>’</w:t>
      </w:r>
      <w:r w:rsidRPr="00432BEA">
        <w:rPr>
          <w:rFonts w:eastAsia="Times New Roman"/>
          <w:lang w:val="fr-FR"/>
        </w:rPr>
        <w:t>assurances sociales et d</w:t>
      </w:r>
      <w:r w:rsidRPr="00432BEA" w:rsidR="00432BEA">
        <w:rPr>
          <w:rFonts w:eastAsia="Times New Roman"/>
          <w:lang w:val="fr-FR"/>
        </w:rPr>
        <w:t>’</w:t>
      </w:r>
      <w:r w:rsidRPr="00432BEA">
        <w:rPr>
          <w:rFonts w:eastAsia="Times New Roman"/>
          <w:lang w:val="fr-FR"/>
        </w:rPr>
        <w:t>allocations familiales, lorsque celle-ci est employée effectivement à leur service personnel, à leur domicile ou chez des membres de leur famille, par :</w:t>
      </w:r>
    </w:p>
    <w:p w:rsidRPr="00432BEA" w:rsidR="007D22EB" w:rsidP="00432BEA" w:rsidRDefault="00235AF1">
      <w:pPr>
        <w:pStyle w:val="ECHRParaQuote"/>
        <w:rPr>
          <w:rFonts w:eastAsia="Times New Roman"/>
          <w:lang w:val="fr-FR"/>
        </w:rPr>
      </w:pPr>
      <w:r w:rsidRPr="00432BEA">
        <w:rPr>
          <w:rFonts w:eastAsia="Times New Roman"/>
          <w:lang w:val="fr-FR"/>
        </w:rPr>
        <w:t>a)  Des personnes ayant atteint un âge déterminé et dans la limite, par foyer, et pour l</w:t>
      </w:r>
      <w:r w:rsidRPr="00432BEA" w:rsidR="00432BEA">
        <w:rPr>
          <w:rFonts w:eastAsia="Times New Roman"/>
          <w:lang w:val="fr-FR"/>
        </w:rPr>
        <w:t>’</w:t>
      </w:r>
      <w:r w:rsidRPr="00432BEA">
        <w:rPr>
          <w:rFonts w:eastAsia="Times New Roman"/>
          <w:lang w:val="fr-FR"/>
        </w:rPr>
        <w:t>ensemble des rémunérations versées, d</w:t>
      </w:r>
      <w:r w:rsidRPr="00432BEA" w:rsidR="00432BEA">
        <w:rPr>
          <w:rFonts w:eastAsia="Times New Roman"/>
          <w:lang w:val="fr-FR"/>
        </w:rPr>
        <w:t>’</w:t>
      </w:r>
      <w:r w:rsidRPr="00432BEA">
        <w:rPr>
          <w:rFonts w:eastAsia="Times New Roman"/>
          <w:lang w:val="fr-FR"/>
        </w:rPr>
        <w:t>un plafond de rémunération fixé par décret ;</w:t>
      </w:r>
    </w:p>
    <w:p w:rsidRPr="00432BEA" w:rsidR="007D22EB" w:rsidP="00432BEA" w:rsidRDefault="00235AF1">
      <w:pPr>
        <w:pStyle w:val="ECHRParaQuote"/>
        <w:rPr>
          <w:rFonts w:eastAsia="Times New Roman"/>
          <w:lang w:val="fr-FR"/>
        </w:rPr>
      </w:pPr>
      <w:r w:rsidRPr="00432BEA">
        <w:rPr>
          <w:rFonts w:eastAsia="Times New Roman"/>
          <w:lang w:val="fr-FR"/>
        </w:rPr>
        <w:t>b)  Des personnes ayant à charge un enfant ouvrant droit au complément de l</w:t>
      </w:r>
      <w:r w:rsidRPr="00432BEA" w:rsidR="00432BEA">
        <w:rPr>
          <w:rFonts w:eastAsia="Times New Roman"/>
          <w:lang w:val="fr-FR"/>
        </w:rPr>
        <w:t>’</w:t>
      </w:r>
      <w:r w:rsidRPr="00432BEA">
        <w:rPr>
          <w:rFonts w:eastAsia="Times New Roman"/>
          <w:lang w:val="fr-FR"/>
        </w:rPr>
        <w:t>allocation d</w:t>
      </w:r>
      <w:r w:rsidRPr="00432BEA" w:rsidR="00432BEA">
        <w:rPr>
          <w:rFonts w:eastAsia="Times New Roman"/>
          <w:lang w:val="fr-FR"/>
        </w:rPr>
        <w:t>’</w:t>
      </w:r>
      <w:r w:rsidRPr="00432BEA">
        <w:rPr>
          <w:rFonts w:eastAsia="Times New Roman"/>
          <w:lang w:val="fr-FR"/>
        </w:rPr>
        <w:t>éducation de l</w:t>
      </w:r>
      <w:r w:rsidRPr="00432BEA" w:rsidR="00432BEA">
        <w:rPr>
          <w:rFonts w:eastAsia="Times New Roman"/>
          <w:lang w:val="fr-FR"/>
        </w:rPr>
        <w:t>’</w:t>
      </w:r>
      <w:r w:rsidRPr="00432BEA">
        <w:rPr>
          <w:rFonts w:eastAsia="Times New Roman"/>
          <w:lang w:val="fr-FR"/>
        </w:rPr>
        <w:t>enfant handicapé mentionné à l</w:t>
      </w:r>
      <w:r w:rsidRPr="00432BEA" w:rsidR="00432BEA">
        <w:rPr>
          <w:rFonts w:eastAsia="Times New Roman"/>
          <w:lang w:val="fr-FR"/>
        </w:rPr>
        <w:t>’</w:t>
      </w:r>
      <w:r w:rsidRPr="00432BEA">
        <w:rPr>
          <w:rFonts w:eastAsia="Times New Roman"/>
          <w:lang w:val="fr-FR"/>
        </w:rPr>
        <w:t>article L. 541-1 ou à la prestation de compensation dans les conditions définies au 1</w:t>
      </w:r>
      <w:r w:rsidRPr="00432BEA" w:rsidR="007D22EB">
        <w:rPr>
          <w:rFonts w:eastAsia="Times New Roman"/>
          <w:vertAlign w:val="superscript"/>
          <w:lang w:val="fr-FR"/>
        </w:rPr>
        <w:t>o</w:t>
      </w:r>
      <w:r w:rsidRPr="00432BEA">
        <w:rPr>
          <w:rFonts w:eastAsia="Times New Roman"/>
          <w:lang w:val="fr-FR"/>
        </w:rPr>
        <w:t xml:space="preserve"> du III de l</w:t>
      </w:r>
      <w:r w:rsidRPr="00432BEA" w:rsidR="00432BEA">
        <w:rPr>
          <w:rFonts w:eastAsia="Times New Roman"/>
          <w:lang w:val="fr-FR"/>
        </w:rPr>
        <w:t>’</w:t>
      </w:r>
      <w:r w:rsidRPr="00432BEA" w:rsidR="00B457A3">
        <w:rPr>
          <w:rFonts w:eastAsia="Times New Roman"/>
          <w:lang w:val="fr-FR"/>
        </w:rPr>
        <w:t>article L. </w:t>
      </w:r>
      <w:r w:rsidRPr="00432BEA">
        <w:rPr>
          <w:rFonts w:eastAsia="Times New Roman"/>
          <w:lang w:val="fr-FR"/>
        </w:rPr>
        <w:t>245-1 du code de l</w:t>
      </w:r>
      <w:r w:rsidRPr="00432BEA" w:rsidR="00432BEA">
        <w:rPr>
          <w:rFonts w:eastAsia="Times New Roman"/>
          <w:lang w:val="fr-FR"/>
        </w:rPr>
        <w:t>’</w:t>
      </w:r>
      <w:r w:rsidRPr="00432BEA">
        <w:rPr>
          <w:rFonts w:eastAsia="Times New Roman"/>
          <w:lang w:val="fr-FR"/>
        </w:rPr>
        <w:t>action sociale et des familles.</w:t>
      </w:r>
    </w:p>
    <w:p w:rsidRPr="00432BEA" w:rsidR="00235AF1" w:rsidP="00432BEA" w:rsidRDefault="00235AF1">
      <w:pPr>
        <w:pStyle w:val="ECHRParaQuote"/>
        <w:rPr>
          <w:rFonts w:eastAsia="Times New Roman"/>
          <w:lang w:val="fr-FR"/>
        </w:rPr>
      </w:pPr>
      <w:r w:rsidRPr="00432BEA">
        <w:rPr>
          <w:rFonts w:eastAsia="Times New Roman"/>
          <w:lang w:val="fr-FR"/>
        </w:rPr>
        <w:t>c)  Des personnes titulaires :</w:t>
      </w:r>
    </w:p>
    <w:p w:rsidRPr="00432BEA" w:rsidR="00235AF1" w:rsidP="00432BEA" w:rsidRDefault="00235AF1">
      <w:pPr>
        <w:pStyle w:val="ECHRParaQuote"/>
        <w:rPr>
          <w:rFonts w:eastAsia="Times New Roman"/>
          <w:lang w:val="fr-FR"/>
        </w:rPr>
      </w:pPr>
      <w:r w:rsidRPr="00432BEA">
        <w:rPr>
          <w:rFonts w:eastAsia="Times New Roman"/>
          <w:lang w:val="fr-FR"/>
        </w:rPr>
        <w:t>-  soit de l</w:t>
      </w:r>
      <w:r w:rsidRPr="00432BEA" w:rsidR="00432BEA">
        <w:rPr>
          <w:rFonts w:eastAsia="Times New Roman"/>
          <w:lang w:val="fr-FR"/>
        </w:rPr>
        <w:t>’</w:t>
      </w:r>
      <w:r w:rsidRPr="00432BEA">
        <w:rPr>
          <w:rFonts w:eastAsia="Times New Roman"/>
          <w:lang w:val="fr-FR"/>
        </w:rPr>
        <w:t>élément de la prestation de compensation mentionnée au 1</w:t>
      </w:r>
      <w:r w:rsidRPr="00432BEA" w:rsidR="007D22EB">
        <w:rPr>
          <w:rFonts w:eastAsia="Times New Roman"/>
          <w:vertAlign w:val="superscript"/>
          <w:lang w:val="fr-FR"/>
        </w:rPr>
        <w:t>o</w:t>
      </w:r>
      <w:r w:rsidRPr="00432BEA">
        <w:rPr>
          <w:rFonts w:eastAsia="Times New Roman"/>
          <w:lang w:val="fr-FR"/>
        </w:rPr>
        <w:t xml:space="preserve"> de l</w:t>
      </w:r>
      <w:r w:rsidRPr="00432BEA" w:rsidR="00432BEA">
        <w:rPr>
          <w:rFonts w:eastAsia="Times New Roman"/>
          <w:lang w:val="fr-FR"/>
        </w:rPr>
        <w:t>’</w:t>
      </w:r>
      <w:r w:rsidRPr="00432BEA" w:rsidR="00B457A3">
        <w:rPr>
          <w:rFonts w:eastAsia="Times New Roman"/>
          <w:lang w:val="fr-FR"/>
        </w:rPr>
        <w:t>article </w:t>
      </w:r>
      <w:r w:rsidRPr="00432BEA">
        <w:rPr>
          <w:rFonts w:eastAsia="Times New Roman"/>
          <w:lang w:val="fr-FR"/>
        </w:rPr>
        <w:t>L. 245-3 du code de l</w:t>
      </w:r>
      <w:r w:rsidRPr="00432BEA" w:rsidR="00432BEA">
        <w:rPr>
          <w:rFonts w:eastAsia="Times New Roman"/>
          <w:lang w:val="fr-FR"/>
        </w:rPr>
        <w:t>’</w:t>
      </w:r>
      <w:r w:rsidRPr="00432BEA">
        <w:rPr>
          <w:rFonts w:eastAsia="Times New Roman"/>
          <w:lang w:val="fr-FR"/>
        </w:rPr>
        <w:t>action sociale et des familles ;</w:t>
      </w:r>
    </w:p>
    <w:p w:rsidRPr="00432BEA" w:rsidR="007D22EB" w:rsidP="00432BEA" w:rsidRDefault="00235AF1">
      <w:pPr>
        <w:pStyle w:val="ECHRParaQuote"/>
        <w:rPr>
          <w:rFonts w:eastAsia="Times New Roman"/>
          <w:lang w:val="fr-FR"/>
        </w:rPr>
      </w:pPr>
      <w:r w:rsidRPr="00432BEA">
        <w:rPr>
          <w:rFonts w:eastAsia="Times New Roman"/>
          <w:lang w:val="fr-FR"/>
        </w:rPr>
        <w:t>-  soit d</w:t>
      </w:r>
      <w:r w:rsidRPr="00432BEA" w:rsidR="00432BEA">
        <w:rPr>
          <w:rFonts w:eastAsia="Times New Roman"/>
          <w:lang w:val="fr-FR"/>
        </w:rPr>
        <w:t>’</w:t>
      </w:r>
      <w:r w:rsidRPr="00432BEA">
        <w:rPr>
          <w:rFonts w:eastAsia="Times New Roman"/>
          <w:lang w:val="fr-FR"/>
        </w:rPr>
        <w:t>une majoration pour tierce personne servie au titre de l</w:t>
      </w:r>
      <w:r w:rsidRPr="00432BEA" w:rsidR="00432BEA">
        <w:rPr>
          <w:rFonts w:eastAsia="Times New Roman"/>
          <w:lang w:val="fr-FR"/>
        </w:rPr>
        <w:t>’</w:t>
      </w:r>
      <w:r w:rsidRPr="00432BEA">
        <w:rPr>
          <w:rFonts w:eastAsia="Times New Roman"/>
          <w:lang w:val="fr-FR"/>
        </w:rPr>
        <w:t>assurance invalidité, de la législation des accidents du travail ou d</w:t>
      </w:r>
      <w:r w:rsidRPr="00432BEA" w:rsidR="00432BEA">
        <w:rPr>
          <w:rFonts w:eastAsia="Times New Roman"/>
          <w:lang w:val="fr-FR"/>
        </w:rPr>
        <w:t>’</w:t>
      </w:r>
      <w:r w:rsidRPr="00432BEA">
        <w:rPr>
          <w:rFonts w:eastAsia="Times New Roman"/>
          <w:lang w:val="fr-FR"/>
        </w:rPr>
        <w:t xml:space="preserve">un régime spécial de </w:t>
      </w:r>
      <w:r w:rsidRPr="00432BEA" w:rsidR="00BE314F">
        <w:rPr>
          <w:rFonts w:eastAsia="Times New Roman"/>
          <w:lang w:val="fr-FR"/>
        </w:rPr>
        <w:t>s</w:t>
      </w:r>
      <w:r w:rsidRPr="00432BEA" w:rsidR="00632783">
        <w:rPr>
          <w:rFonts w:eastAsia="Times New Roman"/>
          <w:lang w:val="fr-FR"/>
        </w:rPr>
        <w:t>écurité sociale</w:t>
      </w:r>
      <w:r w:rsidRPr="00432BEA">
        <w:rPr>
          <w:rFonts w:eastAsia="Times New Roman"/>
          <w:lang w:val="fr-FR"/>
        </w:rPr>
        <w:t xml:space="preserve"> ou de l</w:t>
      </w:r>
      <w:r w:rsidRPr="00432BEA" w:rsidR="00432BEA">
        <w:rPr>
          <w:rFonts w:eastAsia="Times New Roman"/>
          <w:lang w:val="fr-FR"/>
        </w:rPr>
        <w:t>’</w:t>
      </w:r>
      <w:r w:rsidRPr="00432BEA">
        <w:rPr>
          <w:rFonts w:eastAsia="Times New Roman"/>
          <w:lang w:val="fr-FR"/>
        </w:rPr>
        <w:t>article L. 18 du code des pensions militaires d</w:t>
      </w:r>
      <w:r w:rsidRPr="00432BEA" w:rsidR="00432BEA">
        <w:rPr>
          <w:rFonts w:eastAsia="Times New Roman"/>
          <w:lang w:val="fr-FR"/>
        </w:rPr>
        <w:t>’</w:t>
      </w:r>
      <w:r w:rsidRPr="00432BEA">
        <w:rPr>
          <w:rFonts w:eastAsia="Times New Roman"/>
          <w:lang w:val="fr-FR"/>
        </w:rPr>
        <w:t>invalidité et des victimes de la guerre ;</w:t>
      </w:r>
    </w:p>
    <w:p w:rsidRPr="00432BEA" w:rsidR="00235AF1" w:rsidP="00432BEA" w:rsidRDefault="00235AF1">
      <w:pPr>
        <w:pStyle w:val="ECHRParaQuote"/>
        <w:rPr>
          <w:rFonts w:eastAsia="Times New Roman"/>
          <w:lang w:val="fr-FR"/>
        </w:rPr>
      </w:pPr>
      <w:r w:rsidRPr="00432BEA">
        <w:rPr>
          <w:rFonts w:eastAsia="Times New Roman"/>
          <w:lang w:val="fr-FR"/>
        </w:rPr>
        <w:t>d)  Des personnes se trouvant, dans des conditions définies par décret, dans l</w:t>
      </w:r>
      <w:r w:rsidRPr="00432BEA" w:rsidR="00432BEA">
        <w:rPr>
          <w:rFonts w:eastAsia="Times New Roman"/>
          <w:lang w:val="fr-FR"/>
        </w:rPr>
        <w:t>’</w:t>
      </w:r>
      <w:r w:rsidRPr="00432BEA">
        <w:rPr>
          <w:rFonts w:eastAsia="Times New Roman"/>
          <w:lang w:val="fr-FR"/>
        </w:rPr>
        <w:t>obligation de recourir à l</w:t>
      </w:r>
      <w:r w:rsidRPr="00432BEA" w:rsidR="00432BEA">
        <w:rPr>
          <w:rFonts w:eastAsia="Times New Roman"/>
          <w:lang w:val="fr-FR"/>
        </w:rPr>
        <w:t>’</w:t>
      </w:r>
      <w:r w:rsidRPr="00432BEA">
        <w:rPr>
          <w:rFonts w:eastAsia="Times New Roman"/>
          <w:lang w:val="fr-FR"/>
        </w:rPr>
        <w:t>assistance d</w:t>
      </w:r>
      <w:r w:rsidRPr="00432BEA" w:rsidR="00432BEA">
        <w:rPr>
          <w:rFonts w:eastAsia="Times New Roman"/>
          <w:lang w:val="fr-FR"/>
        </w:rPr>
        <w:t>’</w:t>
      </w:r>
      <w:r w:rsidRPr="00432BEA">
        <w:rPr>
          <w:rFonts w:eastAsia="Times New Roman"/>
          <w:lang w:val="fr-FR"/>
        </w:rPr>
        <w:t>une tierce personne pour accomplir les actes ordinaires de la vie, sous réserve d</w:t>
      </w:r>
      <w:r w:rsidRPr="00432BEA" w:rsidR="00432BEA">
        <w:rPr>
          <w:rFonts w:eastAsia="Times New Roman"/>
          <w:lang w:val="fr-FR"/>
        </w:rPr>
        <w:t>’</w:t>
      </w:r>
      <w:r w:rsidRPr="00432BEA">
        <w:rPr>
          <w:rFonts w:eastAsia="Times New Roman"/>
          <w:lang w:val="fr-FR"/>
        </w:rPr>
        <w:t>avoir dépassé un âge fixé par décret ;</w:t>
      </w:r>
    </w:p>
    <w:p w:rsidRPr="00432BEA" w:rsidR="00235AF1" w:rsidP="00432BEA" w:rsidRDefault="00235AF1">
      <w:pPr>
        <w:pStyle w:val="ECHRParaQuote"/>
        <w:rPr>
          <w:rFonts w:eastAsia="Times New Roman"/>
          <w:lang w:val="fr-FR"/>
        </w:rPr>
      </w:pPr>
      <w:r w:rsidRPr="00432BEA">
        <w:rPr>
          <w:rFonts w:eastAsia="Times New Roman"/>
          <w:lang w:val="fr-FR"/>
        </w:rPr>
        <w:t>e)  Des personnes remplissant la condition de perte d</w:t>
      </w:r>
      <w:r w:rsidRPr="00432BEA" w:rsidR="00432BEA">
        <w:rPr>
          <w:rFonts w:eastAsia="Times New Roman"/>
          <w:lang w:val="fr-FR"/>
        </w:rPr>
        <w:t>’</w:t>
      </w:r>
      <w:r w:rsidRPr="00432BEA">
        <w:rPr>
          <w:rFonts w:eastAsia="Times New Roman"/>
          <w:lang w:val="fr-FR"/>
        </w:rPr>
        <w:t>autonomie prévue à l</w:t>
      </w:r>
      <w:r w:rsidRPr="00432BEA" w:rsidR="00432BEA">
        <w:rPr>
          <w:rFonts w:eastAsia="Times New Roman"/>
          <w:lang w:val="fr-FR"/>
        </w:rPr>
        <w:t>’</w:t>
      </w:r>
      <w:r w:rsidRPr="00432BEA">
        <w:rPr>
          <w:rFonts w:eastAsia="Times New Roman"/>
          <w:lang w:val="fr-FR"/>
        </w:rPr>
        <w:t>article L. 232-2 du code de l</w:t>
      </w:r>
      <w:r w:rsidRPr="00432BEA" w:rsidR="00432BEA">
        <w:rPr>
          <w:rFonts w:eastAsia="Times New Roman"/>
          <w:lang w:val="fr-FR"/>
        </w:rPr>
        <w:t>’</w:t>
      </w:r>
      <w:r w:rsidRPr="00432BEA">
        <w:rPr>
          <w:rFonts w:eastAsia="Times New Roman"/>
          <w:lang w:val="fr-FR"/>
        </w:rPr>
        <w:t>action sociale et des familles, dans des conditions définies par décret. (</w:t>
      </w:r>
      <w:r w:rsidRPr="00432BEA" w:rsidR="007D22EB">
        <w:rPr>
          <w:rFonts w:eastAsia="Times New Roman"/>
          <w:lang w:val="fr-FR"/>
        </w:rPr>
        <w:t>...</w:t>
      </w:r>
      <w:r w:rsidRPr="00432BEA">
        <w:rPr>
          <w:rFonts w:eastAsia="Times New Roman"/>
          <w:lang w:val="fr-FR"/>
        </w:rPr>
        <w:t>)</w:t>
      </w:r>
    </w:p>
    <w:p w:rsidRPr="00432BEA" w:rsidR="007D22EB" w:rsidP="00432BEA" w:rsidRDefault="00235AF1">
      <w:pPr>
        <w:pStyle w:val="ECHRParaQuote"/>
        <w:rPr>
          <w:rFonts w:eastAsia="Times New Roman"/>
          <w:lang w:val="fr-FR"/>
        </w:rPr>
      </w:pPr>
      <w:r w:rsidRPr="00432BEA">
        <w:rPr>
          <w:rFonts w:eastAsia="Times New Roman"/>
          <w:lang w:val="fr-FR"/>
        </w:rPr>
        <w:t>Sauf dans le cas mentionné au a</w:t>
      </w:r>
      <w:r w:rsidRPr="00432BEA" w:rsidR="00632783">
        <w:rPr>
          <w:rFonts w:eastAsia="Times New Roman"/>
          <w:lang w:val="fr-FR"/>
        </w:rPr>
        <w:t>)</w:t>
      </w:r>
      <w:r w:rsidRPr="00432BEA">
        <w:rPr>
          <w:rFonts w:eastAsia="Times New Roman"/>
          <w:lang w:val="fr-FR"/>
        </w:rPr>
        <w:t>, l</w:t>
      </w:r>
      <w:r w:rsidRPr="00432BEA" w:rsidR="00432BEA">
        <w:rPr>
          <w:rFonts w:eastAsia="Times New Roman"/>
          <w:lang w:val="fr-FR"/>
        </w:rPr>
        <w:t>’</w:t>
      </w:r>
      <w:r w:rsidRPr="00432BEA">
        <w:rPr>
          <w:rFonts w:eastAsia="Times New Roman"/>
          <w:lang w:val="fr-FR"/>
        </w:rPr>
        <w:t>exonération est accordée sur la demande des intéressés par l</w:t>
      </w:r>
      <w:r w:rsidRPr="00432BEA" w:rsidR="00432BEA">
        <w:rPr>
          <w:rFonts w:eastAsia="Times New Roman"/>
          <w:lang w:val="fr-FR"/>
        </w:rPr>
        <w:t>’</w:t>
      </w:r>
      <w:r w:rsidRPr="00432BEA">
        <w:rPr>
          <w:rFonts w:eastAsia="Times New Roman"/>
          <w:lang w:val="fr-FR"/>
        </w:rPr>
        <w:t>organisme chargé du recouvrement des cotisations dans des conditions fixées par arrêté ministériel.</w:t>
      </w:r>
    </w:p>
    <w:p w:rsidRPr="00432BEA" w:rsidR="007D22EB" w:rsidP="00432BEA" w:rsidRDefault="00235AF1">
      <w:pPr>
        <w:pStyle w:val="ECHRParaQuote"/>
        <w:rPr>
          <w:rFonts w:eastAsia="Times New Roman"/>
          <w:lang w:val="fr-FR"/>
        </w:rPr>
      </w:pPr>
      <w:r w:rsidRPr="00432BEA">
        <w:rPr>
          <w:rFonts w:eastAsia="Times New Roman"/>
          <w:lang w:val="fr-FR"/>
        </w:rPr>
        <w:t>Le bénéfice de ces dispositions ne peut se cumuler pour une même aide à domicile avec le complément de libre choix du mode de garde de la prestation d</w:t>
      </w:r>
      <w:r w:rsidRPr="00432BEA" w:rsidR="00432BEA">
        <w:rPr>
          <w:rFonts w:eastAsia="Times New Roman"/>
          <w:lang w:val="fr-FR"/>
        </w:rPr>
        <w:t>’</w:t>
      </w:r>
      <w:r w:rsidRPr="00432BEA">
        <w:rPr>
          <w:rFonts w:eastAsia="Times New Roman"/>
          <w:lang w:val="fr-FR"/>
        </w:rPr>
        <w:t>accueil du jeune enfant versé au titre de la garde à domicile.</w:t>
      </w:r>
    </w:p>
    <w:p w:rsidRPr="00432BEA" w:rsidR="007D22EB" w:rsidP="00432BEA" w:rsidRDefault="00235AF1">
      <w:pPr>
        <w:pStyle w:val="ECHRParaQuote"/>
        <w:rPr>
          <w:rFonts w:eastAsia="Times New Roman"/>
          <w:lang w:val="fr-FR"/>
        </w:rPr>
      </w:pPr>
      <w:r w:rsidRPr="00432BEA">
        <w:rPr>
          <w:rFonts w:eastAsia="Times New Roman"/>
          <w:lang w:val="fr-FR"/>
        </w:rPr>
        <w:t>II.- Les particuliers et personnes morales qui ont passé un contrat conforme aux articles L. 442-1 et L. 444-3 du code de l</w:t>
      </w:r>
      <w:r w:rsidRPr="00432BEA" w:rsidR="00432BEA">
        <w:rPr>
          <w:rFonts w:eastAsia="Times New Roman"/>
          <w:lang w:val="fr-FR"/>
        </w:rPr>
        <w:t>’</w:t>
      </w:r>
      <w:r w:rsidRPr="00432BEA">
        <w:rPr>
          <w:rFonts w:eastAsia="Times New Roman"/>
          <w:lang w:val="fr-FR"/>
        </w:rPr>
        <w:t>action sociale et des familles pour l</w:t>
      </w:r>
      <w:r w:rsidRPr="00432BEA" w:rsidR="00432BEA">
        <w:rPr>
          <w:rFonts w:eastAsia="Times New Roman"/>
          <w:lang w:val="fr-FR"/>
        </w:rPr>
        <w:t>’</w:t>
      </w:r>
      <w:r w:rsidRPr="00432BEA">
        <w:rPr>
          <w:rFonts w:eastAsia="Times New Roman"/>
          <w:lang w:val="fr-FR"/>
        </w:rPr>
        <w:t>accueil par des particuliers à leur domicile, à titre onéreux, de personnes mentionnées aux a, c, d et e du I du présent article sont exonérés, dans les conditions prévues à l</w:t>
      </w:r>
      <w:r w:rsidRPr="00432BEA" w:rsidR="00432BEA">
        <w:rPr>
          <w:rFonts w:eastAsia="Times New Roman"/>
          <w:lang w:val="fr-FR"/>
        </w:rPr>
        <w:t>’</w:t>
      </w:r>
      <w:r w:rsidRPr="00432BEA">
        <w:rPr>
          <w:rFonts w:eastAsia="Times New Roman"/>
          <w:lang w:val="fr-FR"/>
        </w:rPr>
        <w:t>avant-dernier alinéa du même I, des cotisations patronales d</w:t>
      </w:r>
      <w:r w:rsidRPr="00432BEA" w:rsidR="00432BEA">
        <w:rPr>
          <w:rFonts w:eastAsia="Times New Roman"/>
          <w:lang w:val="fr-FR"/>
        </w:rPr>
        <w:t>’</w:t>
      </w:r>
      <w:r w:rsidRPr="00432BEA">
        <w:rPr>
          <w:rFonts w:eastAsia="Times New Roman"/>
          <w:lang w:val="fr-FR"/>
        </w:rPr>
        <w:t>assurances sociales et d</w:t>
      </w:r>
      <w:r w:rsidRPr="00432BEA" w:rsidR="00432BEA">
        <w:rPr>
          <w:rFonts w:eastAsia="Times New Roman"/>
          <w:lang w:val="fr-FR"/>
        </w:rPr>
        <w:t>’</w:t>
      </w:r>
      <w:r w:rsidRPr="00432BEA">
        <w:rPr>
          <w:rFonts w:eastAsia="Times New Roman"/>
          <w:lang w:val="fr-FR"/>
        </w:rPr>
        <w:t>allocations familiales dues sur la rémunération qu</w:t>
      </w:r>
      <w:r w:rsidRPr="00432BEA" w:rsidR="00432BEA">
        <w:rPr>
          <w:rFonts w:eastAsia="Times New Roman"/>
          <w:lang w:val="fr-FR"/>
        </w:rPr>
        <w:t>’</w:t>
      </w:r>
      <w:r w:rsidRPr="00432BEA">
        <w:rPr>
          <w:rFonts w:eastAsia="Times New Roman"/>
          <w:lang w:val="fr-FR"/>
        </w:rPr>
        <w:t>elles versent à ces accueillants familiaux.</w:t>
      </w:r>
    </w:p>
    <w:p w:rsidRPr="00432BEA" w:rsidR="007D22EB" w:rsidP="00432BEA" w:rsidRDefault="00235AF1">
      <w:pPr>
        <w:pStyle w:val="ECHRParaQuote"/>
        <w:rPr>
          <w:rFonts w:eastAsia="Times New Roman"/>
          <w:lang w:val="fr-FR"/>
        </w:rPr>
      </w:pPr>
      <w:r w:rsidRPr="00432BEA">
        <w:rPr>
          <w:rFonts w:eastAsia="Times New Roman"/>
          <w:lang w:val="fr-FR"/>
        </w:rPr>
        <w:t>III.- Les rémunérations des aides à domicile employées sous contrat à durée indéterminée ou sous contrat à durée déterminée pour remplacer les salariés absents ou dont le contrat de travail est suspendu dans les conditions visées à l</w:t>
      </w:r>
      <w:r w:rsidRPr="00432BEA" w:rsidR="00432BEA">
        <w:rPr>
          <w:rFonts w:eastAsia="Times New Roman"/>
          <w:lang w:val="fr-FR"/>
        </w:rPr>
        <w:t>’</w:t>
      </w:r>
      <w:r w:rsidRPr="00432BEA">
        <w:rPr>
          <w:rFonts w:eastAsia="Times New Roman"/>
          <w:lang w:val="fr-FR"/>
        </w:rPr>
        <w:t>article L. 122</w:t>
      </w:r>
      <w:r w:rsidRPr="00432BEA">
        <w:rPr>
          <w:rFonts w:eastAsia="Times New Roman"/>
          <w:lang w:val="fr-FR"/>
        </w:rPr>
        <w:noBreakHyphen/>
        <w:t>1-1 du code du travail par les associations et les entreprises admises, en application de l</w:t>
      </w:r>
      <w:r w:rsidRPr="00432BEA" w:rsidR="00432BEA">
        <w:rPr>
          <w:rFonts w:eastAsia="Times New Roman"/>
          <w:lang w:val="fr-FR"/>
        </w:rPr>
        <w:t>’</w:t>
      </w:r>
      <w:r w:rsidRPr="00432BEA">
        <w:rPr>
          <w:rFonts w:eastAsia="Times New Roman"/>
          <w:lang w:val="fr-FR"/>
        </w:rPr>
        <w:t>article L. 129-1 du code du travail, à exercer des activités concernant la garde d</w:t>
      </w:r>
      <w:r w:rsidRPr="00432BEA" w:rsidR="00432BEA">
        <w:rPr>
          <w:rFonts w:eastAsia="Times New Roman"/>
          <w:lang w:val="fr-FR"/>
        </w:rPr>
        <w:t>’</w:t>
      </w:r>
      <w:r w:rsidRPr="00432BEA">
        <w:rPr>
          <w:rFonts w:eastAsia="Times New Roman"/>
          <w:lang w:val="fr-FR"/>
        </w:rPr>
        <w:t>enfant ou l</w:t>
      </w:r>
      <w:r w:rsidRPr="00432BEA" w:rsidR="00432BEA">
        <w:rPr>
          <w:rFonts w:eastAsia="Times New Roman"/>
          <w:lang w:val="fr-FR"/>
        </w:rPr>
        <w:t>’</w:t>
      </w:r>
      <w:r w:rsidRPr="00432BEA">
        <w:rPr>
          <w:rFonts w:eastAsia="Times New Roman"/>
          <w:lang w:val="fr-FR"/>
        </w:rPr>
        <w:t>assistance aux personnes âgées ou handicapées, les centres communaux et intercommunaux d</w:t>
      </w:r>
      <w:r w:rsidRPr="00432BEA" w:rsidR="00432BEA">
        <w:rPr>
          <w:rFonts w:eastAsia="Times New Roman"/>
          <w:lang w:val="fr-FR"/>
        </w:rPr>
        <w:t>’</w:t>
      </w:r>
      <w:r w:rsidRPr="00432BEA">
        <w:rPr>
          <w:rFonts w:eastAsia="Times New Roman"/>
          <w:lang w:val="fr-FR"/>
        </w:rPr>
        <w:t>action sociale et les organismes habilités au titre de l</w:t>
      </w:r>
      <w:r w:rsidRPr="00432BEA" w:rsidR="00432BEA">
        <w:rPr>
          <w:rFonts w:eastAsia="Times New Roman"/>
          <w:lang w:val="fr-FR"/>
        </w:rPr>
        <w:t>’</w:t>
      </w:r>
      <w:r w:rsidRPr="00432BEA">
        <w:rPr>
          <w:rFonts w:eastAsia="Times New Roman"/>
          <w:lang w:val="fr-FR"/>
        </w:rPr>
        <w:t xml:space="preserve">aide sociale ou ayant passé convention avec un organisme de </w:t>
      </w:r>
      <w:r w:rsidRPr="00432BEA" w:rsidR="00BE314F">
        <w:rPr>
          <w:rFonts w:eastAsia="Times New Roman"/>
          <w:lang w:val="fr-FR"/>
        </w:rPr>
        <w:t>s</w:t>
      </w:r>
      <w:r w:rsidRPr="00432BEA" w:rsidR="00632783">
        <w:rPr>
          <w:rFonts w:eastAsia="Times New Roman"/>
          <w:lang w:val="fr-FR"/>
        </w:rPr>
        <w:t>écurité sociale</w:t>
      </w:r>
      <w:r w:rsidRPr="00432BEA">
        <w:rPr>
          <w:rFonts w:eastAsia="Times New Roman"/>
          <w:lang w:val="fr-FR"/>
        </w:rPr>
        <w:t xml:space="preserve"> sont exonérées des cotisations patronales d</w:t>
      </w:r>
      <w:r w:rsidRPr="00432BEA" w:rsidR="00432BEA">
        <w:rPr>
          <w:rFonts w:eastAsia="Times New Roman"/>
          <w:lang w:val="fr-FR"/>
        </w:rPr>
        <w:t>’</w:t>
      </w:r>
      <w:r w:rsidRPr="00432BEA">
        <w:rPr>
          <w:rFonts w:eastAsia="Times New Roman"/>
          <w:lang w:val="fr-FR"/>
        </w:rPr>
        <w:t>assurances sociales et d</w:t>
      </w:r>
      <w:r w:rsidRPr="00432BEA" w:rsidR="00432BEA">
        <w:rPr>
          <w:rFonts w:eastAsia="Times New Roman"/>
          <w:lang w:val="fr-FR"/>
        </w:rPr>
        <w:t>’</w:t>
      </w:r>
      <w:r w:rsidRPr="00432BEA">
        <w:rPr>
          <w:rFonts w:eastAsia="Times New Roman"/>
          <w:lang w:val="fr-FR"/>
        </w:rPr>
        <w:t>allocations familiales pour la fraction versée en contrepartie de l</w:t>
      </w:r>
      <w:r w:rsidRPr="00432BEA" w:rsidR="00432BEA">
        <w:rPr>
          <w:rFonts w:eastAsia="Times New Roman"/>
          <w:lang w:val="fr-FR"/>
        </w:rPr>
        <w:t>’</w:t>
      </w:r>
      <w:r w:rsidRPr="00432BEA">
        <w:rPr>
          <w:rFonts w:eastAsia="Times New Roman"/>
          <w:lang w:val="fr-FR"/>
        </w:rPr>
        <w:t>exécution des tâches effectuées chez les personnes visées au I ou bénéficiaires de prestations d</w:t>
      </w:r>
      <w:r w:rsidRPr="00432BEA" w:rsidR="00432BEA">
        <w:rPr>
          <w:rFonts w:eastAsia="Times New Roman"/>
          <w:lang w:val="fr-FR"/>
        </w:rPr>
        <w:t>’</w:t>
      </w:r>
      <w:r w:rsidRPr="00432BEA">
        <w:rPr>
          <w:rFonts w:eastAsia="Times New Roman"/>
          <w:lang w:val="fr-FR"/>
        </w:rPr>
        <w:t>aide-ménagère aux personnes âgées ou handicapées au titre de l</w:t>
      </w:r>
      <w:r w:rsidRPr="00432BEA" w:rsidR="00432BEA">
        <w:rPr>
          <w:rFonts w:eastAsia="Times New Roman"/>
          <w:lang w:val="fr-FR"/>
        </w:rPr>
        <w:t>’</w:t>
      </w:r>
      <w:r w:rsidRPr="00432BEA">
        <w:rPr>
          <w:rFonts w:eastAsia="Times New Roman"/>
          <w:lang w:val="fr-FR"/>
        </w:rPr>
        <w:t>aide sociale légale ou dans le cadre d</w:t>
      </w:r>
      <w:r w:rsidRPr="00432BEA" w:rsidR="00432BEA">
        <w:rPr>
          <w:rFonts w:eastAsia="Times New Roman"/>
          <w:lang w:val="fr-FR"/>
        </w:rPr>
        <w:t>’</w:t>
      </w:r>
      <w:r w:rsidRPr="00432BEA">
        <w:rPr>
          <w:rFonts w:eastAsia="Times New Roman"/>
          <w:lang w:val="fr-FR"/>
        </w:rPr>
        <w:t xml:space="preserve">une convention conclue entre ces associations ou organismes et un organisme de </w:t>
      </w:r>
      <w:r w:rsidRPr="00432BEA" w:rsidR="00BE314F">
        <w:rPr>
          <w:rFonts w:eastAsia="Times New Roman"/>
          <w:lang w:val="fr-FR"/>
        </w:rPr>
        <w:t>s</w:t>
      </w:r>
      <w:r w:rsidRPr="00432BEA" w:rsidR="00632783">
        <w:rPr>
          <w:rFonts w:eastAsia="Times New Roman"/>
          <w:lang w:val="fr-FR"/>
        </w:rPr>
        <w:t>écurité sociale</w:t>
      </w:r>
      <w:r w:rsidRPr="00432BEA">
        <w:rPr>
          <w:rFonts w:eastAsia="Times New Roman"/>
          <w:lang w:val="fr-FR"/>
        </w:rPr>
        <w:t xml:space="preserve"> (</w:t>
      </w:r>
      <w:r w:rsidRPr="00432BEA" w:rsidR="007D22EB">
        <w:rPr>
          <w:rFonts w:eastAsia="Times New Roman"/>
          <w:lang w:val="fr-FR"/>
        </w:rPr>
        <w:t>...</w:t>
      </w:r>
      <w:r w:rsidRPr="00432BEA">
        <w:rPr>
          <w:rFonts w:eastAsia="Times New Roman"/>
          <w:lang w:val="fr-FR"/>
        </w:rPr>
        <w:t>)</w:t>
      </w:r>
      <w:r w:rsidRPr="00432BEA" w:rsidR="00412F82">
        <w:rPr>
          <w:rFonts w:eastAsia="Times New Roman"/>
          <w:lang w:val="fr-FR"/>
        </w:rPr>
        <w:t xml:space="preserve"> </w:t>
      </w:r>
      <w:r w:rsidRPr="00432BEA">
        <w:rPr>
          <w:rFonts w:eastAsia="Times New Roman"/>
          <w:lang w:val="fr-FR"/>
        </w:rPr>
        <w:t>».</w:t>
      </w:r>
    </w:p>
    <w:p w:rsidRPr="00432BEA" w:rsidR="007D22EB" w:rsidP="00432BEA" w:rsidRDefault="009562BC">
      <w:pPr>
        <w:pStyle w:val="ECHRPara"/>
        <w:rPr>
          <w:rStyle w:val="Strong"/>
          <w:bCs w:val="0"/>
          <w:lang w:val="fr-FR"/>
        </w:rPr>
      </w:pPr>
      <w:r w:rsidRPr="00432BEA">
        <w:fldChar w:fldCharType="begin"/>
      </w:r>
      <w:r w:rsidRPr="00432BEA">
        <w:rPr>
          <w:lang w:val="fr-FR"/>
        </w:rPr>
        <w:instrText xml:space="preserve"> SEQ level0 \*arabic </w:instrText>
      </w:r>
      <w:r w:rsidRPr="00432BEA">
        <w:fldChar w:fldCharType="separate"/>
      </w:r>
      <w:r w:rsidRPr="00432BEA" w:rsidR="00432BEA">
        <w:rPr>
          <w:noProof/>
          <w:lang w:val="fr-FR"/>
        </w:rPr>
        <w:t>44</w:t>
      </w:r>
      <w:r w:rsidRPr="00432BEA">
        <w:fldChar w:fldCharType="end"/>
      </w:r>
      <w:r w:rsidRPr="00432BEA">
        <w:rPr>
          <w:lang w:val="fr-FR"/>
        </w:rPr>
        <w:t>.</w:t>
      </w:r>
      <w:r w:rsidRPr="00432BEA">
        <w:rPr>
          <w:b/>
          <w:lang w:val="fr-FR"/>
        </w:rPr>
        <w:t>  </w:t>
      </w:r>
      <w:r w:rsidRPr="00432BEA">
        <w:rPr>
          <w:rStyle w:val="Strong"/>
          <w:b w:val="0"/>
          <w:bCs w:val="0"/>
          <w:lang w:val="fr-FR"/>
        </w:rPr>
        <w:t>L</w:t>
      </w:r>
      <w:r w:rsidRPr="00432BEA" w:rsidR="00432BEA">
        <w:rPr>
          <w:rStyle w:val="Strong"/>
          <w:b w:val="0"/>
          <w:bCs w:val="0"/>
          <w:lang w:val="fr-FR"/>
        </w:rPr>
        <w:t>’</w:t>
      </w:r>
      <w:r w:rsidRPr="00432BEA">
        <w:rPr>
          <w:rStyle w:val="Strong"/>
          <w:b w:val="0"/>
          <w:bCs w:val="0"/>
          <w:lang w:val="fr-FR"/>
        </w:rPr>
        <w:t>article 129-1 du code du travail mentionné dans l</w:t>
      </w:r>
      <w:r w:rsidRPr="00432BEA" w:rsidR="00432BEA">
        <w:rPr>
          <w:rStyle w:val="Strong"/>
          <w:b w:val="0"/>
          <w:bCs w:val="0"/>
          <w:lang w:val="fr-FR"/>
        </w:rPr>
        <w:t>’</w:t>
      </w:r>
      <w:r w:rsidRPr="00432BEA">
        <w:rPr>
          <w:rStyle w:val="Strong"/>
          <w:b w:val="0"/>
          <w:bCs w:val="0"/>
          <w:lang w:val="fr-FR"/>
        </w:rPr>
        <w:t>alinéa III de l</w:t>
      </w:r>
      <w:r w:rsidRPr="00432BEA" w:rsidR="00432BEA">
        <w:rPr>
          <w:rStyle w:val="Strong"/>
          <w:b w:val="0"/>
          <w:bCs w:val="0"/>
          <w:lang w:val="fr-FR"/>
        </w:rPr>
        <w:t>’</w:t>
      </w:r>
      <w:r w:rsidRPr="00432BEA">
        <w:rPr>
          <w:rStyle w:val="Strong"/>
          <w:b w:val="0"/>
          <w:bCs w:val="0"/>
          <w:lang w:val="fr-FR"/>
        </w:rPr>
        <w:t>article L</w:t>
      </w:r>
      <w:r w:rsidRPr="00432BEA" w:rsidR="00B457A3">
        <w:rPr>
          <w:rStyle w:val="Strong"/>
          <w:b w:val="0"/>
          <w:bCs w:val="0"/>
          <w:lang w:val="fr-FR"/>
        </w:rPr>
        <w:t>.</w:t>
      </w:r>
      <w:r w:rsidRPr="00432BEA">
        <w:rPr>
          <w:rStyle w:val="Strong"/>
          <w:b w:val="0"/>
          <w:bCs w:val="0"/>
          <w:lang w:val="fr-FR"/>
        </w:rPr>
        <w:t xml:space="preserve"> 241-10</w:t>
      </w:r>
      <w:r w:rsidRPr="00432BEA" w:rsidR="00B159B6">
        <w:rPr>
          <w:rStyle w:val="Strong"/>
          <w:b w:val="0"/>
          <w:bCs w:val="0"/>
          <w:lang w:val="fr-FR"/>
        </w:rPr>
        <w:t>, remplacé en juillet 2010</w:t>
      </w:r>
      <w:r w:rsidRPr="00432BEA">
        <w:rPr>
          <w:rStyle w:val="Strong"/>
          <w:b w:val="0"/>
          <w:bCs w:val="0"/>
          <w:lang w:val="fr-FR"/>
        </w:rPr>
        <w:t xml:space="preserve"> par une autre disposition du code du travail</w:t>
      </w:r>
      <w:r w:rsidRPr="00432BEA" w:rsidR="001E63E3">
        <w:rPr>
          <w:rStyle w:val="Strong"/>
          <w:b w:val="0"/>
          <w:bCs w:val="0"/>
          <w:lang w:val="fr-FR"/>
        </w:rPr>
        <w:t>, vise les</w:t>
      </w:r>
      <w:r w:rsidRPr="00432BEA" w:rsidR="001E63E3">
        <w:rPr>
          <w:rStyle w:val="Strong"/>
          <w:bCs w:val="0"/>
          <w:lang w:val="fr-FR"/>
        </w:rPr>
        <w:t xml:space="preserve"> </w:t>
      </w:r>
      <w:r w:rsidRPr="00432BEA" w:rsidR="001E63E3">
        <w:rPr>
          <w:lang w:val="fr-FR"/>
        </w:rPr>
        <w:t>associations et les entreprises dont l</w:t>
      </w:r>
      <w:r w:rsidRPr="00432BEA" w:rsidR="00432BEA">
        <w:rPr>
          <w:lang w:val="fr-FR"/>
        </w:rPr>
        <w:t>’</w:t>
      </w:r>
      <w:r w:rsidRPr="00432BEA" w:rsidR="001E63E3">
        <w:rPr>
          <w:lang w:val="fr-FR"/>
        </w:rPr>
        <w:t>activité porte notamment sur l</w:t>
      </w:r>
      <w:r w:rsidRPr="00432BEA" w:rsidR="00432BEA">
        <w:rPr>
          <w:lang w:val="fr-FR"/>
        </w:rPr>
        <w:t>’</w:t>
      </w:r>
      <w:r w:rsidRPr="00432BEA" w:rsidR="001E63E3">
        <w:rPr>
          <w:lang w:val="fr-FR"/>
        </w:rPr>
        <w:t>assistance aux personnes âgées, aux personnes handicapées ou aux autres personnes « qui ont besoin d</w:t>
      </w:r>
      <w:r w:rsidRPr="00432BEA" w:rsidR="00432BEA">
        <w:rPr>
          <w:lang w:val="fr-FR"/>
        </w:rPr>
        <w:t>’</w:t>
      </w:r>
      <w:r w:rsidRPr="00432BEA" w:rsidR="001E63E3">
        <w:rPr>
          <w:lang w:val="fr-FR"/>
        </w:rPr>
        <w:t>une aide personnelle à leur domicile ou d</w:t>
      </w:r>
      <w:r w:rsidRPr="00432BEA" w:rsidR="00432BEA">
        <w:rPr>
          <w:lang w:val="fr-FR"/>
        </w:rPr>
        <w:t>’</w:t>
      </w:r>
      <w:r w:rsidRPr="00432BEA" w:rsidR="001E63E3">
        <w:rPr>
          <w:lang w:val="fr-FR"/>
        </w:rPr>
        <w:t>une aide à la mobilité dans l</w:t>
      </w:r>
      <w:r w:rsidRPr="00432BEA" w:rsidR="00432BEA">
        <w:rPr>
          <w:lang w:val="fr-FR"/>
        </w:rPr>
        <w:t>’</w:t>
      </w:r>
      <w:r w:rsidRPr="00432BEA" w:rsidR="001E63E3">
        <w:rPr>
          <w:lang w:val="fr-FR"/>
        </w:rPr>
        <w:t>environnement de proximité favorisant leur maintien à domicile</w:t>
      </w:r>
      <w:r w:rsidRPr="00432BEA" w:rsidR="000264D8">
        <w:rPr>
          <w:lang w:val="fr-FR"/>
        </w:rPr>
        <w:t> ».</w:t>
      </w:r>
    </w:p>
    <w:p w:rsidRPr="00432BEA" w:rsidR="007D22EB" w:rsidP="00432BEA" w:rsidRDefault="00B457A3">
      <w:pPr>
        <w:pStyle w:val="ECHRHeading2"/>
        <w:rPr>
          <w:lang w:val="fr-FR"/>
        </w:rPr>
      </w:pPr>
      <w:r w:rsidRPr="00432BEA">
        <w:rPr>
          <w:lang w:val="fr-FR"/>
        </w:rPr>
        <w:t>C.  </w:t>
      </w:r>
      <w:r w:rsidRPr="00432BEA" w:rsidR="00235AF1">
        <w:rPr>
          <w:lang w:val="fr-FR"/>
        </w:rPr>
        <w:t>L</w:t>
      </w:r>
      <w:r w:rsidRPr="00432BEA" w:rsidR="00432BEA">
        <w:rPr>
          <w:lang w:val="fr-FR"/>
        </w:rPr>
        <w:t>’</w:t>
      </w:r>
      <w:r w:rsidRPr="00432BEA" w:rsidR="00235AF1">
        <w:rPr>
          <w:lang w:val="fr-FR"/>
        </w:rPr>
        <w:t>article 14 de la loi du 20 décembre 2010</w:t>
      </w:r>
    </w:p>
    <w:p w:rsidRPr="00432BEA" w:rsidR="009E6C7A" w:rsidP="00432BEA" w:rsidRDefault="009E6C7A">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45</w:t>
      </w:r>
      <w:r w:rsidRPr="00432BEA">
        <w:rPr>
          <w:lang w:val="fr-FR"/>
        </w:rPr>
        <w:fldChar w:fldCharType="end"/>
      </w:r>
      <w:r w:rsidRPr="00432BEA">
        <w:rPr>
          <w:lang w:val="fr-FR"/>
        </w:rPr>
        <w:t>.  </w:t>
      </w:r>
      <w:r w:rsidRPr="00432BEA" w:rsidR="000735AB">
        <w:rPr>
          <w:lang w:val="fr-FR"/>
        </w:rPr>
        <w:t>L</w:t>
      </w:r>
      <w:r w:rsidRPr="00432BEA" w:rsidR="00432BEA">
        <w:rPr>
          <w:lang w:val="fr-FR"/>
        </w:rPr>
        <w:t>’</w:t>
      </w:r>
      <w:r w:rsidRPr="00432BEA" w:rsidR="000735AB">
        <w:rPr>
          <w:lang w:val="fr-FR"/>
        </w:rPr>
        <w:t xml:space="preserve">article 14 </w:t>
      </w:r>
      <w:r w:rsidRPr="00432BEA" w:rsidR="00461BA0">
        <w:rPr>
          <w:lang w:val="fr-FR"/>
        </w:rPr>
        <w:t>de la loi du 20 décembre 2010 est issu d</w:t>
      </w:r>
      <w:r w:rsidRPr="00432BEA" w:rsidR="00432BEA">
        <w:rPr>
          <w:lang w:val="fr-FR"/>
        </w:rPr>
        <w:t>’</w:t>
      </w:r>
      <w:r w:rsidRPr="00432BEA" w:rsidR="00461BA0">
        <w:rPr>
          <w:lang w:val="fr-FR"/>
        </w:rPr>
        <w:t>un amendement présenté à l</w:t>
      </w:r>
      <w:r w:rsidRPr="00432BEA" w:rsidR="00432BEA">
        <w:rPr>
          <w:lang w:val="fr-FR"/>
        </w:rPr>
        <w:t>’</w:t>
      </w:r>
      <w:r w:rsidRPr="00432BEA" w:rsidR="00461BA0">
        <w:rPr>
          <w:lang w:val="fr-FR"/>
        </w:rPr>
        <w:t>Assemblée nationale par M.</w:t>
      </w:r>
      <w:r w:rsidRPr="00432BEA">
        <w:rPr>
          <w:lang w:val="fr-FR"/>
        </w:rPr>
        <w:t xml:space="preserve"> Bur, </w:t>
      </w:r>
      <w:r w:rsidRPr="00432BEA" w:rsidR="00461BA0">
        <w:rPr>
          <w:lang w:val="fr-FR"/>
        </w:rPr>
        <w:t xml:space="preserve">rapporteur </w:t>
      </w:r>
      <w:r w:rsidRPr="00432BEA" w:rsidR="009A2331">
        <w:rPr>
          <w:lang w:val="fr-FR"/>
        </w:rPr>
        <w:t xml:space="preserve">au nom de la commission des affaires sociales pour </w:t>
      </w:r>
      <w:r w:rsidRPr="00432BEA">
        <w:rPr>
          <w:lang w:val="fr-FR"/>
        </w:rPr>
        <w:t>les r</w:t>
      </w:r>
      <w:r w:rsidRPr="00432BEA" w:rsidR="00461BA0">
        <w:rPr>
          <w:lang w:val="fr-FR"/>
        </w:rPr>
        <w:t>ecettes et l</w:t>
      </w:r>
      <w:r w:rsidRPr="00432BEA" w:rsidR="00432BEA">
        <w:rPr>
          <w:lang w:val="fr-FR"/>
        </w:rPr>
        <w:t>’</w:t>
      </w:r>
      <w:r w:rsidRPr="00432BEA" w:rsidR="00461BA0">
        <w:rPr>
          <w:lang w:val="fr-FR"/>
        </w:rPr>
        <w:t>équilibre général. L</w:t>
      </w:r>
      <w:r w:rsidRPr="00432BEA" w:rsidR="00432BEA">
        <w:rPr>
          <w:lang w:val="fr-FR"/>
        </w:rPr>
        <w:t>’</w:t>
      </w:r>
      <w:r w:rsidRPr="00432BEA" w:rsidR="00461BA0">
        <w:rPr>
          <w:lang w:val="fr-FR"/>
        </w:rPr>
        <w:t>objet de l</w:t>
      </w:r>
      <w:r w:rsidRPr="00432BEA" w:rsidR="00432BEA">
        <w:rPr>
          <w:lang w:val="fr-FR"/>
        </w:rPr>
        <w:t>’</w:t>
      </w:r>
      <w:r w:rsidRPr="00432BEA" w:rsidR="00461BA0">
        <w:rPr>
          <w:lang w:val="fr-FR"/>
        </w:rPr>
        <w:t>amendement a été exposé au co</w:t>
      </w:r>
      <w:r w:rsidRPr="00432BEA" w:rsidR="003C6ACA">
        <w:rPr>
          <w:lang w:val="fr-FR"/>
        </w:rPr>
        <w:t xml:space="preserve">urs des débats parlementaires. </w:t>
      </w:r>
      <w:r w:rsidRPr="00432BEA" w:rsidR="00461BA0">
        <w:rPr>
          <w:lang w:val="fr-FR"/>
        </w:rPr>
        <w:t xml:space="preserve">M. Bur </w:t>
      </w:r>
      <w:r w:rsidRPr="00432BEA">
        <w:rPr>
          <w:lang w:val="fr-FR"/>
        </w:rPr>
        <w:t>indiqua ce qui suit :</w:t>
      </w:r>
    </w:p>
    <w:p w:rsidRPr="00432BEA" w:rsidR="00B219F0" w:rsidP="00432BEA" w:rsidRDefault="009E6C7A">
      <w:pPr>
        <w:pStyle w:val="ECHRParaQuote"/>
        <w:rPr>
          <w:lang w:val="fr-FR"/>
        </w:rPr>
      </w:pPr>
      <w:r w:rsidRPr="00432BEA">
        <w:rPr>
          <w:lang w:val="fr-FR"/>
        </w:rPr>
        <w:t>« Certains établissements d</w:t>
      </w:r>
      <w:r w:rsidRPr="00432BEA" w:rsidR="00432BEA">
        <w:rPr>
          <w:lang w:val="fr-FR"/>
        </w:rPr>
        <w:t>’</w:t>
      </w:r>
      <w:r w:rsidRPr="00432BEA">
        <w:rPr>
          <w:lang w:val="fr-FR"/>
        </w:rPr>
        <w:t>accueil de personnes âgées ou handicapées revendiquent le droit de bénéficier des exonérations relatives aux services à la personne. Des officines les démarchent en ce sens en soutenant que ces établissements sont des lieux de résidence offrant des services d</w:t>
      </w:r>
      <w:r w:rsidRPr="00432BEA" w:rsidR="00432BEA">
        <w:rPr>
          <w:lang w:val="fr-FR"/>
        </w:rPr>
        <w:t>’</w:t>
      </w:r>
      <w:r w:rsidRPr="00432BEA">
        <w:rPr>
          <w:lang w:val="fr-FR"/>
        </w:rPr>
        <w:t>aide à domicile visés par les exonérations de charge. Pendant longtemps, ces démarches n</w:t>
      </w:r>
      <w:r w:rsidRPr="00432BEA" w:rsidR="00432BEA">
        <w:rPr>
          <w:lang w:val="fr-FR"/>
        </w:rPr>
        <w:t>’</w:t>
      </w:r>
      <w:r w:rsidRPr="00432BEA">
        <w:rPr>
          <w:lang w:val="fr-FR"/>
        </w:rPr>
        <w:t>ont pas paru mériter débat. Mais il existe semble-t-il quelques risques juridiques. C</w:t>
      </w:r>
      <w:r w:rsidRPr="00432BEA" w:rsidR="00432BEA">
        <w:rPr>
          <w:lang w:val="fr-FR"/>
        </w:rPr>
        <w:t>’</w:t>
      </w:r>
      <w:r w:rsidRPr="00432BEA">
        <w:rPr>
          <w:lang w:val="fr-FR"/>
        </w:rPr>
        <w:t>est pourquoi je vous propose de c</w:t>
      </w:r>
      <w:r w:rsidRPr="00432BEA" w:rsidR="00B457A3">
        <w:rPr>
          <w:lang w:val="fr-FR"/>
        </w:rPr>
        <w:t>larifier notre législation. (</w:t>
      </w:r>
      <w:r w:rsidRPr="00432BEA" w:rsidR="007D22EB">
        <w:rPr>
          <w:lang w:val="fr-FR"/>
        </w:rPr>
        <w:t>...</w:t>
      </w:r>
      <w:r w:rsidRPr="00432BEA" w:rsidR="00B457A3">
        <w:rPr>
          <w:lang w:val="fr-FR"/>
        </w:rPr>
        <w:t>)</w:t>
      </w:r>
    </w:p>
    <w:p w:rsidRPr="00432BEA" w:rsidR="009E6C7A" w:rsidP="00432BEA" w:rsidRDefault="009E6C7A">
      <w:pPr>
        <w:pStyle w:val="ECHRParaQuote"/>
        <w:rPr>
          <w:lang w:val="fr-FR"/>
        </w:rPr>
      </w:pPr>
      <w:r w:rsidRPr="00432BEA">
        <w:rPr>
          <w:lang w:val="fr-FR"/>
        </w:rPr>
        <w:t>Je rappelle que ces dispositifs d</w:t>
      </w:r>
      <w:r w:rsidRPr="00432BEA" w:rsidR="00432BEA">
        <w:rPr>
          <w:lang w:val="fr-FR"/>
        </w:rPr>
        <w:t>’</w:t>
      </w:r>
      <w:r w:rsidRPr="00432BEA">
        <w:rPr>
          <w:lang w:val="fr-FR"/>
        </w:rPr>
        <w:t>exonération de charges sociales sont destinés à favoriser l</w:t>
      </w:r>
      <w:r w:rsidRPr="00432BEA" w:rsidR="00432BEA">
        <w:rPr>
          <w:lang w:val="fr-FR"/>
        </w:rPr>
        <w:t>’</w:t>
      </w:r>
      <w:r w:rsidRPr="00432BEA">
        <w:rPr>
          <w:lang w:val="fr-FR"/>
        </w:rPr>
        <w:t>aide à domicile et non l</w:t>
      </w:r>
      <w:r w:rsidRPr="00432BEA" w:rsidR="00432BEA">
        <w:rPr>
          <w:lang w:val="fr-FR"/>
        </w:rPr>
        <w:t>’</w:t>
      </w:r>
      <w:r w:rsidRPr="00432BEA">
        <w:rPr>
          <w:lang w:val="fr-FR"/>
        </w:rPr>
        <w:t>emploi dans ces établissements. Cette clarification vise à prévenir tout litige.</w:t>
      </w:r>
      <w:r w:rsidRPr="00432BEA" w:rsidR="00B219F0">
        <w:rPr>
          <w:lang w:val="fr-FR"/>
        </w:rPr>
        <w:t xml:space="preserve"> </w:t>
      </w:r>
      <w:r w:rsidRPr="00432BEA">
        <w:rPr>
          <w:lang w:val="fr-FR"/>
        </w:rPr>
        <w:t>En précisant le champ des exonérations, relatives au service à la personne, l</w:t>
      </w:r>
      <w:r w:rsidRPr="00432BEA" w:rsidR="00432BEA">
        <w:rPr>
          <w:lang w:val="fr-FR"/>
        </w:rPr>
        <w:t>’</w:t>
      </w:r>
      <w:r w:rsidRPr="00432BEA">
        <w:rPr>
          <w:lang w:val="fr-FR"/>
        </w:rPr>
        <w:t>amendement vise, en effet, à éviter que les structures d</w:t>
      </w:r>
      <w:r w:rsidRPr="00432BEA" w:rsidR="00432BEA">
        <w:rPr>
          <w:lang w:val="fr-FR"/>
        </w:rPr>
        <w:t>’</w:t>
      </w:r>
      <w:r w:rsidRPr="00432BEA">
        <w:rPr>
          <w:lang w:val="fr-FR"/>
        </w:rPr>
        <w:t>hébergement collectif de personnes âgées ou handicapées ne réclament éventuellement par voie contentieuse, le bénéfice du mécanisme d</w:t>
      </w:r>
      <w:r w:rsidRPr="00432BEA" w:rsidR="00432BEA">
        <w:rPr>
          <w:lang w:val="fr-FR"/>
        </w:rPr>
        <w:t>’</w:t>
      </w:r>
      <w:r w:rsidRPr="00432BEA">
        <w:rPr>
          <w:lang w:val="fr-FR"/>
        </w:rPr>
        <w:t>exonérations sociales pour les activités d</w:t>
      </w:r>
      <w:r w:rsidRPr="00432BEA" w:rsidR="00432BEA">
        <w:rPr>
          <w:lang w:val="fr-FR"/>
        </w:rPr>
        <w:t>’</w:t>
      </w:r>
      <w:r w:rsidRPr="00432BEA">
        <w:rPr>
          <w:lang w:val="fr-FR"/>
        </w:rPr>
        <w:t>aides à domicile dans le secteur des services à la personne. Il s</w:t>
      </w:r>
      <w:r w:rsidRPr="00432BEA" w:rsidR="00432BEA">
        <w:rPr>
          <w:lang w:val="fr-FR"/>
        </w:rPr>
        <w:t>’</w:t>
      </w:r>
      <w:r w:rsidRPr="00432BEA">
        <w:rPr>
          <w:lang w:val="fr-FR"/>
        </w:rPr>
        <w:t>agit de garantir que ces dispositifs ne seront pas dévoyés de leur objectif, qui est de favoriser le maintien à domicile des</w:t>
      </w:r>
      <w:r w:rsidRPr="00432BEA" w:rsidR="00B457A3">
        <w:rPr>
          <w:lang w:val="fr-FR"/>
        </w:rPr>
        <w:t xml:space="preserve"> personnes âgées ou handicapées.</w:t>
      </w:r>
    </w:p>
    <w:p w:rsidRPr="00432BEA" w:rsidR="009E6C7A" w:rsidP="00432BEA" w:rsidRDefault="009E6C7A">
      <w:pPr>
        <w:pStyle w:val="ECHRParaQuote"/>
        <w:rPr>
          <w:lang w:val="fr-FR"/>
        </w:rPr>
      </w:pPr>
      <w:r w:rsidRPr="00432BEA">
        <w:rPr>
          <w:lang w:val="fr-FR"/>
        </w:rPr>
        <w:t>(</w:t>
      </w:r>
      <w:r w:rsidRPr="00432BEA" w:rsidR="007D22EB">
        <w:rPr>
          <w:lang w:val="fr-FR"/>
        </w:rPr>
        <w:t>...</w:t>
      </w:r>
      <w:r w:rsidRPr="00432BEA">
        <w:rPr>
          <w:lang w:val="fr-FR"/>
        </w:rPr>
        <w:t>) Il s</w:t>
      </w:r>
      <w:r w:rsidRPr="00432BEA" w:rsidR="00432BEA">
        <w:rPr>
          <w:lang w:val="fr-FR"/>
        </w:rPr>
        <w:t>’</w:t>
      </w:r>
      <w:r w:rsidRPr="00432BEA">
        <w:rPr>
          <w:lang w:val="fr-FR"/>
        </w:rPr>
        <w:t>agit d</w:t>
      </w:r>
      <w:r w:rsidRPr="00432BEA" w:rsidR="00432BEA">
        <w:rPr>
          <w:lang w:val="fr-FR"/>
        </w:rPr>
        <w:t>’</w:t>
      </w:r>
      <w:r w:rsidRPr="00432BEA">
        <w:rPr>
          <w:lang w:val="fr-FR"/>
        </w:rPr>
        <w:t>exclure du bénéfice de cette exonération les établissements pour personnes âgées dépendantes (EHPAD) et les établissements d</w:t>
      </w:r>
      <w:r w:rsidRPr="00432BEA" w:rsidR="00432BEA">
        <w:rPr>
          <w:lang w:val="fr-FR"/>
        </w:rPr>
        <w:t>’</w:t>
      </w:r>
      <w:r w:rsidRPr="00432BEA">
        <w:rPr>
          <w:lang w:val="fr-FR"/>
        </w:rPr>
        <w:t>accueil des personnes handicapées. (</w:t>
      </w:r>
      <w:r w:rsidRPr="00432BEA" w:rsidR="007D22EB">
        <w:rPr>
          <w:lang w:val="fr-FR"/>
        </w:rPr>
        <w:t>...</w:t>
      </w:r>
      <w:r w:rsidRPr="00432BEA">
        <w:rPr>
          <w:lang w:val="fr-FR"/>
        </w:rPr>
        <w:t>)</w:t>
      </w:r>
    </w:p>
    <w:p w:rsidRPr="00432BEA" w:rsidR="009E6C7A" w:rsidP="00432BEA" w:rsidRDefault="009E6C7A">
      <w:pPr>
        <w:pStyle w:val="ECHRParaQuote"/>
        <w:rPr>
          <w:lang w:val="fr-FR"/>
        </w:rPr>
      </w:pPr>
      <w:r w:rsidRPr="00432BEA">
        <w:rPr>
          <w:lang w:val="fr-FR"/>
        </w:rPr>
        <w:t>La rédaction en est claire : il s</w:t>
      </w:r>
      <w:r w:rsidRPr="00432BEA" w:rsidR="00432BEA">
        <w:rPr>
          <w:lang w:val="fr-FR"/>
        </w:rPr>
        <w:t>’</w:t>
      </w:r>
      <w:r w:rsidRPr="00432BEA">
        <w:rPr>
          <w:lang w:val="fr-FR"/>
        </w:rPr>
        <w:t>agit d</w:t>
      </w:r>
      <w:r w:rsidRPr="00432BEA" w:rsidR="00432BEA">
        <w:rPr>
          <w:lang w:val="fr-FR"/>
        </w:rPr>
        <w:t>’</w:t>
      </w:r>
      <w:r w:rsidRPr="00432BEA">
        <w:rPr>
          <w:lang w:val="fr-FR"/>
        </w:rPr>
        <w:t>exclure de l</w:t>
      </w:r>
      <w:r w:rsidRPr="00432BEA" w:rsidR="00432BEA">
        <w:rPr>
          <w:lang w:val="fr-FR"/>
        </w:rPr>
        <w:t>’</w:t>
      </w:r>
      <w:r w:rsidRPr="00432BEA">
        <w:rPr>
          <w:lang w:val="fr-FR"/>
        </w:rPr>
        <w:t>exonération l</w:t>
      </w:r>
      <w:r w:rsidRPr="00432BEA" w:rsidR="00432BEA">
        <w:rPr>
          <w:lang w:val="fr-FR"/>
        </w:rPr>
        <w:t>’</w:t>
      </w:r>
      <w:r w:rsidRPr="00432BEA">
        <w:rPr>
          <w:lang w:val="fr-FR"/>
        </w:rPr>
        <w:t>ensemble des établissements dont le tarif est fixé sous la forme d</w:t>
      </w:r>
      <w:r w:rsidRPr="00432BEA" w:rsidR="00432BEA">
        <w:rPr>
          <w:lang w:val="fr-FR"/>
        </w:rPr>
        <w:t>’</w:t>
      </w:r>
      <w:r w:rsidRPr="00432BEA">
        <w:rPr>
          <w:lang w:val="fr-FR"/>
        </w:rPr>
        <w:t>un prix de journée dans le cadre d</w:t>
      </w:r>
      <w:r w:rsidRPr="00432BEA" w:rsidR="00432BEA">
        <w:rPr>
          <w:lang w:val="fr-FR"/>
        </w:rPr>
        <w:t>’</w:t>
      </w:r>
      <w:r w:rsidRPr="00432BEA">
        <w:rPr>
          <w:lang w:val="fr-FR"/>
        </w:rPr>
        <w:t xml:space="preserve">une convention avec un organisme de </w:t>
      </w:r>
      <w:r w:rsidRPr="00432BEA" w:rsidR="00BE314F">
        <w:rPr>
          <w:lang w:val="fr-FR"/>
        </w:rPr>
        <w:t>s</w:t>
      </w:r>
      <w:r w:rsidRPr="00432BEA" w:rsidR="00632783">
        <w:rPr>
          <w:lang w:val="fr-FR"/>
        </w:rPr>
        <w:t>écurité sociale</w:t>
      </w:r>
      <w:r w:rsidRPr="00432BEA">
        <w:rPr>
          <w:lang w:val="fr-FR"/>
        </w:rPr>
        <w:t>. (</w:t>
      </w:r>
      <w:r w:rsidRPr="00432BEA" w:rsidR="007D22EB">
        <w:rPr>
          <w:lang w:val="fr-FR"/>
        </w:rPr>
        <w:t>...</w:t>
      </w:r>
      <w:r w:rsidRPr="00432BEA">
        <w:rPr>
          <w:lang w:val="fr-FR"/>
        </w:rPr>
        <w:t>)</w:t>
      </w:r>
    </w:p>
    <w:p w:rsidRPr="00432BEA" w:rsidR="00AE3FF9" w:rsidP="00432BEA" w:rsidRDefault="00AE3FF9">
      <w:pPr>
        <w:pStyle w:val="ECHRParaQuote"/>
        <w:rPr>
          <w:lang w:val="fr-FR"/>
        </w:rPr>
      </w:pPr>
      <w:r w:rsidRPr="00432BEA">
        <w:rPr>
          <w:lang w:val="fr-FR"/>
        </w:rPr>
        <w:t>M. G.M. Qu</w:t>
      </w:r>
      <w:r w:rsidRPr="00432BEA" w:rsidR="00432BEA">
        <w:rPr>
          <w:lang w:val="fr-FR"/>
        </w:rPr>
        <w:t>’</w:t>
      </w:r>
      <w:r w:rsidRPr="00432BEA">
        <w:rPr>
          <w:lang w:val="fr-FR"/>
        </w:rPr>
        <w:t>en est-il des maisons de retraite non médicalisées, où les personnes âgées sont locataires ?</w:t>
      </w:r>
    </w:p>
    <w:p w:rsidRPr="00432BEA" w:rsidR="00AE3FF9" w:rsidP="00432BEA" w:rsidRDefault="00AE3FF9">
      <w:pPr>
        <w:pStyle w:val="ECHRParaQuote"/>
        <w:rPr>
          <w:lang w:val="fr-FR"/>
        </w:rPr>
      </w:pPr>
      <w:r w:rsidRPr="00432BEA">
        <w:rPr>
          <w:lang w:val="fr-FR"/>
        </w:rPr>
        <w:t>M. Yves Bur, rapporteur pour les recettes et l</w:t>
      </w:r>
      <w:r w:rsidRPr="00432BEA" w:rsidR="00432BEA">
        <w:rPr>
          <w:lang w:val="fr-FR"/>
        </w:rPr>
        <w:t>’</w:t>
      </w:r>
      <w:r w:rsidRPr="00432BEA">
        <w:rPr>
          <w:lang w:val="fr-FR"/>
        </w:rPr>
        <w:t>équilibre général. Elles ne sont pas concernées.</w:t>
      </w:r>
    </w:p>
    <w:p w:rsidRPr="00432BEA" w:rsidR="00AE3FF9" w:rsidP="00432BEA" w:rsidRDefault="00AE3FF9">
      <w:pPr>
        <w:pStyle w:val="ECHRParaQuote"/>
        <w:rPr>
          <w:lang w:val="fr-FR"/>
        </w:rPr>
      </w:pPr>
      <w:r w:rsidRPr="00432BEA">
        <w:rPr>
          <w:lang w:val="fr-FR"/>
        </w:rPr>
        <w:t>M. C.L. Je juge moi aussi que cet amendement risque, par son imprécision, d</w:t>
      </w:r>
      <w:r w:rsidRPr="00432BEA" w:rsidR="00432BEA">
        <w:rPr>
          <w:lang w:val="fr-FR"/>
        </w:rPr>
        <w:t>’</w:t>
      </w:r>
      <w:r w:rsidRPr="00432BEA">
        <w:rPr>
          <w:lang w:val="fr-FR"/>
        </w:rPr>
        <w:t>être dommageable à des structures telles que les maisons d</w:t>
      </w:r>
      <w:r w:rsidRPr="00432BEA" w:rsidR="00432BEA">
        <w:rPr>
          <w:lang w:val="fr-FR"/>
        </w:rPr>
        <w:t>’</w:t>
      </w:r>
      <w:r w:rsidRPr="00432BEA">
        <w:rPr>
          <w:lang w:val="fr-FR"/>
        </w:rPr>
        <w:t>accueil rurales pour personnes âgées (MARPA), où des personnes âgées sont domiciliées. Faute d</w:t>
      </w:r>
      <w:r w:rsidRPr="00432BEA" w:rsidR="00432BEA">
        <w:rPr>
          <w:lang w:val="fr-FR"/>
        </w:rPr>
        <w:t>’</w:t>
      </w:r>
      <w:r w:rsidRPr="00432BEA">
        <w:rPr>
          <w:lang w:val="fr-FR"/>
        </w:rPr>
        <w:t>une rédaction plus précise, cet amendement nous ferait passer d</w:t>
      </w:r>
      <w:r w:rsidRPr="00432BEA" w:rsidR="00432BEA">
        <w:rPr>
          <w:lang w:val="fr-FR"/>
        </w:rPr>
        <w:t>’</w:t>
      </w:r>
      <w:r w:rsidRPr="00432BEA">
        <w:rPr>
          <w:lang w:val="fr-FR"/>
        </w:rPr>
        <w:t>un excès à un autre sur le plan juridique.</w:t>
      </w:r>
    </w:p>
    <w:p w:rsidRPr="00432BEA" w:rsidR="00AE3FF9" w:rsidP="00432BEA" w:rsidRDefault="00AE3FF9">
      <w:pPr>
        <w:pStyle w:val="ECHRParaQuote"/>
        <w:rPr>
          <w:lang w:val="fr-FR"/>
        </w:rPr>
      </w:pPr>
      <w:r w:rsidRPr="00432BEA">
        <w:rPr>
          <w:lang w:val="fr-FR"/>
        </w:rPr>
        <w:t>M</w:t>
      </w:r>
      <w:r w:rsidRPr="00432BEA">
        <w:rPr>
          <w:vertAlign w:val="superscript"/>
          <w:lang w:val="fr-FR"/>
        </w:rPr>
        <w:t>me</w:t>
      </w:r>
      <w:r w:rsidRPr="00432BEA">
        <w:rPr>
          <w:lang w:val="fr-FR"/>
        </w:rPr>
        <w:t xml:space="preserve"> B.P. : La précision de « l</w:t>
      </w:r>
      <w:r w:rsidRPr="00432BEA" w:rsidR="00432BEA">
        <w:rPr>
          <w:lang w:val="fr-FR"/>
        </w:rPr>
        <w:t>’</w:t>
      </w:r>
      <w:r w:rsidRPr="00432BEA">
        <w:rPr>
          <w:lang w:val="fr-FR"/>
        </w:rPr>
        <w:t>usage privatif » ne me semble pas opérante, un EHPAD pouvant tout à fait être considéré comme un domicile, puisque les personnes qui y résident peuvent toucher l</w:t>
      </w:r>
      <w:r w:rsidRPr="00432BEA" w:rsidR="00432BEA">
        <w:rPr>
          <w:lang w:val="fr-FR"/>
        </w:rPr>
        <w:t>’</w:t>
      </w:r>
      <w:r w:rsidRPr="00432BEA">
        <w:rPr>
          <w:lang w:val="fr-FR"/>
        </w:rPr>
        <w:t>allocation logement.</w:t>
      </w:r>
    </w:p>
    <w:p w:rsidRPr="00432BEA" w:rsidR="00AE3FF9" w:rsidP="00432BEA" w:rsidRDefault="00AE3FF9">
      <w:pPr>
        <w:pStyle w:val="ECHRParaQuote"/>
        <w:rPr>
          <w:lang w:val="fr-FR"/>
        </w:rPr>
      </w:pPr>
      <w:r w:rsidRPr="00432BEA">
        <w:rPr>
          <w:lang w:val="fr-FR"/>
        </w:rPr>
        <w:t>M. Yves Bur :</w:t>
      </w:r>
      <w:r w:rsidRPr="00432BEA">
        <w:rPr>
          <w:b/>
          <w:lang w:val="fr-FR"/>
        </w:rPr>
        <w:t xml:space="preserve"> </w:t>
      </w:r>
      <w:r w:rsidRPr="00432BEA">
        <w:rPr>
          <w:lang w:val="fr-FR"/>
        </w:rPr>
        <w:t>Je veillerai à ce que la rédaction de l</w:t>
      </w:r>
      <w:r w:rsidRPr="00432BEA" w:rsidR="00432BEA">
        <w:rPr>
          <w:lang w:val="fr-FR"/>
        </w:rPr>
        <w:t>’</w:t>
      </w:r>
      <w:r w:rsidRPr="00432BEA">
        <w:rPr>
          <w:lang w:val="fr-FR"/>
        </w:rPr>
        <w:t>amendement garantisse que seuls les EHPAD soient exclus du dispositif. Il paraît évident que ces établissements ne doivent pas pouvoir bénéficier à la fois d</w:t>
      </w:r>
      <w:r w:rsidRPr="00432BEA" w:rsidR="00432BEA">
        <w:rPr>
          <w:lang w:val="fr-FR"/>
        </w:rPr>
        <w:t>’</w:t>
      </w:r>
      <w:r w:rsidRPr="00432BEA">
        <w:rPr>
          <w:lang w:val="fr-FR"/>
        </w:rPr>
        <w:t>un prix de journée et d</w:t>
      </w:r>
      <w:r w:rsidRPr="00432BEA" w:rsidR="00432BEA">
        <w:rPr>
          <w:lang w:val="fr-FR"/>
        </w:rPr>
        <w:t>’</w:t>
      </w:r>
      <w:r w:rsidRPr="00432BEA">
        <w:rPr>
          <w:lang w:val="fr-FR"/>
        </w:rPr>
        <w:t>une exonération de charges pour services d</w:t>
      </w:r>
      <w:r w:rsidRPr="00432BEA" w:rsidR="00432BEA">
        <w:rPr>
          <w:lang w:val="fr-FR"/>
        </w:rPr>
        <w:t>’</w:t>
      </w:r>
      <w:r w:rsidRPr="00432BEA" w:rsidR="00B457A3">
        <w:rPr>
          <w:lang w:val="fr-FR"/>
        </w:rPr>
        <w:t>aide à domicile. »</w:t>
      </w:r>
    </w:p>
    <w:p w:rsidRPr="00432BEA" w:rsidR="00461BA0" w:rsidP="00432BEA" w:rsidRDefault="00461BA0">
      <w:pPr>
        <w:pStyle w:val="ECHRPara"/>
        <w:rPr>
          <w:lang w:val="fr-FR"/>
        </w:rPr>
      </w:pPr>
      <w:r w:rsidRPr="00432BEA">
        <w:rPr>
          <w:lang w:val="fr-FR"/>
        </w:rPr>
        <w:t>Cet amendement a été approuvé par le Gouvernement, par la voix du ministre du Budget de l</w:t>
      </w:r>
      <w:r w:rsidRPr="00432BEA" w:rsidR="00432BEA">
        <w:rPr>
          <w:lang w:val="fr-FR"/>
        </w:rPr>
        <w:t>’</w:t>
      </w:r>
      <w:r w:rsidRPr="00432BEA">
        <w:rPr>
          <w:lang w:val="fr-FR"/>
        </w:rPr>
        <w:t>époque :</w:t>
      </w:r>
    </w:p>
    <w:p w:rsidRPr="00432BEA" w:rsidR="000735AB" w:rsidP="00432BEA" w:rsidRDefault="00461BA0">
      <w:pPr>
        <w:pStyle w:val="ECHRParaQuote"/>
        <w:rPr>
          <w:rFonts w:eastAsia="Times New Roman"/>
          <w:lang w:val="fr-FR"/>
        </w:rPr>
      </w:pPr>
      <w:r w:rsidRPr="00432BEA">
        <w:rPr>
          <w:rFonts w:eastAsia="Times New Roman"/>
          <w:lang w:val="fr-FR"/>
        </w:rPr>
        <w:t>« </w:t>
      </w:r>
      <w:r w:rsidRPr="00432BEA" w:rsidR="000735AB">
        <w:rPr>
          <w:rFonts w:eastAsia="Times New Roman"/>
          <w:lang w:val="fr-FR"/>
        </w:rPr>
        <w:t>Monsieur le rapporteur, je vous remercie pour la pertinence de cet amendement. Je crois en effet important de rappeler que, en créant le mécanisme d</w:t>
      </w:r>
      <w:r w:rsidRPr="00432BEA" w:rsidR="00432BEA">
        <w:rPr>
          <w:rFonts w:eastAsia="Times New Roman"/>
          <w:lang w:val="fr-FR"/>
        </w:rPr>
        <w:t>’</w:t>
      </w:r>
      <w:r w:rsidRPr="00432BEA" w:rsidR="000735AB">
        <w:rPr>
          <w:rFonts w:eastAsia="Times New Roman"/>
          <w:lang w:val="fr-FR"/>
        </w:rPr>
        <w:t>exonération sociale pour les activités d</w:t>
      </w:r>
      <w:r w:rsidRPr="00432BEA" w:rsidR="00432BEA">
        <w:rPr>
          <w:rFonts w:eastAsia="Times New Roman"/>
          <w:lang w:val="fr-FR"/>
        </w:rPr>
        <w:t>’</w:t>
      </w:r>
      <w:r w:rsidRPr="00432BEA" w:rsidR="000735AB">
        <w:rPr>
          <w:rFonts w:eastAsia="Times New Roman"/>
          <w:lang w:val="fr-FR"/>
        </w:rPr>
        <w:t>aides à domicile dans le secteur des services à la personne, l</w:t>
      </w:r>
      <w:r w:rsidRPr="00432BEA" w:rsidR="00432BEA">
        <w:rPr>
          <w:rFonts w:eastAsia="Times New Roman"/>
          <w:lang w:val="fr-FR"/>
        </w:rPr>
        <w:t>’</w:t>
      </w:r>
      <w:r w:rsidRPr="00432BEA" w:rsidR="000735AB">
        <w:rPr>
          <w:rFonts w:eastAsia="Times New Roman"/>
          <w:lang w:val="fr-FR"/>
        </w:rPr>
        <w:t>intention du législateur répondait très clairement au souci de favoriser le maintien à domicile des personnes âgées dépendantes. Il ne faut jamais s</w:t>
      </w:r>
      <w:r w:rsidRPr="00432BEA" w:rsidR="00432BEA">
        <w:rPr>
          <w:rFonts w:eastAsia="Times New Roman"/>
          <w:lang w:val="fr-FR"/>
        </w:rPr>
        <w:t>’</w:t>
      </w:r>
      <w:r w:rsidRPr="00432BEA" w:rsidR="000735AB">
        <w:rPr>
          <w:rFonts w:eastAsia="Times New Roman"/>
          <w:lang w:val="fr-FR"/>
        </w:rPr>
        <w:t>éloigner de l</w:t>
      </w:r>
      <w:r w:rsidRPr="00432BEA" w:rsidR="00432BEA">
        <w:rPr>
          <w:rFonts w:eastAsia="Times New Roman"/>
          <w:lang w:val="fr-FR"/>
        </w:rPr>
        <w:t>’</w:t>
      </w:r>
      <w:r w:rsidRPr="00432BEA" w:rsidR="000735AB">
        <w:rPr>
          <w:rFonts w:eastAsia="Times New Roman"/>
          <w:lang w:val="fr-FR"/>
        </w:rPr>
        <w:t>esprit du législateur quand on met en place des dispositifs qui ont des conséquences budgétaires.</w:t>
      </w:r>
    </w:p>
    <w:p w:rsidRPr="00432BEA" w:rsidR="000735AB" w:rsidP="00432BEA" w:rsidRDefault="000735AB">
      <w:pPr>
        <w:pStyle w:val="ECHRParaQuote"/>
        <w:rPr>
          <w:rFonts w:eastAsia="Times New Roman"/>
          <w:lang w:val="fr-FR"/>
        </w:rPr>
      </w:pPr>
      <w:r w:rsidRPr="00432BEA">
        <w:rPr>
          <w:rFonts w:eastAsia="Times New Roman"/>
          <w:lang w:val="fr-FR"/>
        </w:rPr>
        <w:t>Certains établissements, en demandant le bénéfice des exonérations pour le personnel qu</w:t>
      </w:r>
      <w:r w:rsidRPr="00432BEA" w:rsidR="00432BEA">
        <w:rPr>
          <w:rFonts w:eastAsia="Times New Roman"/>
          <w:lang w:val="fr-FR"/>
        </w:rPr>
        <w:t>’</w:t>
      </w:r>
      <w:r w:rsidRPr="00432BEA">
        <w:rPr>
          <w:rFonts w:eastAsia="Times New Roman"/>
          <w:lang w:val="fr-FR"/>
        </w:rPr>
        <w:t>ils emploient, détournent manifestement l</w:t>
      </w:r>
      <w:r w:rsidRPr="00432BEA" w:rsidR="00432BEA">
        <w:rPr>
          <w:rFonts w:eastAsia="Times New Roman"/>
          <w:lang w:val="fr-FR"/>
        </w:rPr>
        <w:t>’</w:t>
      </w:r>
      <w:r w:rsidRPr="00432BEA">
        <w:rPr>
          <w:rFonts w:eastAsia="Times New Roman"/>
          <w:lang w:val="fr-FR"/>
        </w:rPr>
        <w:t>esprit de la loi, et ce alors même qu</w:t>
      </w:r>
      <w:r w:rsidRPr="00432BEA" w:rsidR="00432BEA">
        <w:rPr>
          <w:rFonts w:eastAsia="Times New Roman"/>
          <w:lang w:val="fr-FR"/>
        </w:rPr>
        <w:t>’</w:t>
      </w:r>
      <w:r w:rsidRPr="00432BEA">
        <w:rPr>
          <w:rFonts w:eastAsia="Times New Roman"/>
          <w:lang w:val="fr-FR"/>
        </w:rPr>
        <w:t>ils bénéficient déjà par ailleurs, nous le savons, d</w:t>
      </w:r>
      <w:r w:rsidRPr="00432BEA" w:rsidR="00432BEA">
        <w:rPr>
          <w:rFonts w:eastAsia="Times New Roman"/>
          <w:lang w:val="fr-FR"/>
        </w:rPr>
        <w:t>’</w:t>
      </w:r>
      <w:r w:rsidRPr="00432BEA">
        <w:rPr>
          <w:rFonts w:eastAsia="Times New Roman"/>
          <w:lang w:val="fr-FR"/>
        </w:rPr>
        <w:t>autres sources de financement public.</w:t>
      </w:r>
    </w:p>
    <w:p w:rsidRPr="00432BEA" w:rsidR="000735AB" w:rsidP="00432BEA" w:rsidRDefault="000735AB">
      <w:pPr>
        <w:pStyle w:val="ECHRParaQuote"/>
        <w:rPr>
          <w:rFonts w:eastAsia="Times New Roman"/>
          <w:lang w:val="fr-FR"/>
        </w:rPr>
      </w:pPr>
      <w:r w:rsidRPr="00432BEA">
        <w:rPr>
          <w:rFonts w:eastAsia="Times New Roman"/>
          <w:lang w:val="fr-FR"/>
        </w:rPr>
        <w:t>La conception même de ce dispositif d</w:t>
      </w:r>
      <w:r w:rsidRPr="00432BEA" w:rsidR="00432BEA">
        <w:rPr>
          <w:rFonts w:eastAsia="Times New Roman"/>
          <w:lang w:val="fr-FR"/>
        </w:rPr>
        <w:t>’</w:t>
      </w:r>
      <w:r w:rsidRPr="00432BEA">
        <w:rPr>
          <w:rFonts w:eastAsia="Times New Roman"/>
          <w:lang w:val="fr-FR"/>
        </w:rPr>
        <w:t>exonération est fondée sur la notion de domicile, qui doit être entendu strictement au sens du domicile à usage privatif de la personne âgée dépendante. Il va de soi – mais je le rappelle – que, dans la mesure où ils constituent pour des personnes âgées autonomes un domicile à caractère privatif, les foyers-logements étaient déjà inclus dans le champ de l</w:t>
      </w:r>
      <w:r w:rsidRPr="00432BEA" w:rsidR="00432BEA">
        <w:rPr>
          <w:rFonts w:eastAsia="Times New Roman"/>
          <w:lang w:val="fr-FR"/>
        </w:rPr>
        <w:t>’</w:t>
      </w:r>
      <w:r w:rsidRPr="00432BEA">
        <w:rPr>
          <w:rFonts w:eastAsia="Times New Roman"/>
          <w:lang w:val="fr-FR"/>
        </w:rPr>
        <w:t>exonération et qu</w:t>
      </w:r>
      <w:r w:rsidRPr="00432BEA" w:rsidR="00432BEA">
        <w:rPr>
          <w:rFonts w:eastAsia="Times New Roman"/>
          <w:lang w:val="fr-FR"/>
        </w:rPr>
        <w:t>’</w:t>
      </w:r>
      <w:r w:rsidRPr="00432BEA">
        <w:rPr>
          <w:rFonts w:eastAsia="Times New Roman"/>
          <w:lang w:val="fr-FR"/>
        </w:rPr>
        <w:t>ils demeureront bénéficiaires du dispositif malgré l</w:t>
      </w:r>
      <w:r w:rsidRPr="00432BEA" w:rsidR="00432BEA">
        <w:rPr>
          <w:rFonts w:eastAsia="Times New Roman"/>
          <w:lang w:val="fr-FR"/>
        </w:rPr>
        <w:t>’</w:t>
      </w:r>
      <w:r w:rsidRPr="00432BEA">
        <w:rPr>
          <w:rFonts w:eastAsia="Times New Roman"/>
          <w:lang w:val="fr-FR"/>
        </w:rPr>
        <w:t>adoption de cet amendement.</w:t>
      </w:r>
    </w:p>
    <w:p w:rsidRPr="00432BEA" w:rsidR="000735AB" w:rsidP="00432BEA" w:rsidRDefault="000735AB">
      <w:pPr>
        <w:pStyle w:val="ECHRParaQuote"/>
        <w:rPr>
          <w:rFonts w:eastAsia="Times New Roman"/>
          <w:lang w:val="fr-FR"/>
        </w:rPr>
      </w:pPr>
      <w:r w:rsidRPr="00432BEA">
        <w:rPr>
          <w:rFonts w:eastAsia="Times New Roman"/>
          <w:lang w:val="fr-FR"/>
        </w:rPr>
        <w:t>Or</w:t>
      </w:r>
      <w:r w:rsidRPr="00432BEA" w:rsidR="00B457A3">
        <w:rPr>
          <w:rFonts w:eastAsia="Times New Roman"/>
          <w:lang w:val="fr-FR"/>
        </w:rPr>
        <w:t>,</w:t>
      </w:r>
      <w:r w:rsidRPr="00432BEA">
        <w:rPr>
          <w:rFonts w:eastAsia="Times New Roman"/>
          <w:lang w:val="fr-FR"/>
        </w:rPr>
        <w:t xml:space="preserve"> je crains que le renvoi à l</w:t>
      </w:r>
      <w:r w:rsidRPr="00432BEA" w:rsidR="00432BEA">
        <w:rPr>
          <w:rFonts w:eastAsia="Times New Roman"/>
          <w:lang w:val="fr-FR"/>
        </w:rPr>
        <w:t>’</w:t>
      </w:r>
      <w:r w:rsidRPr="00432BEA">
        <w:rPr>
          <w:rFonts w:eastAsia="Times New Roman"/>
          <w:lang w:val="fr-FR"/>
        </w:rPr>
        <w:t>article du code de l</w:t>
      </w:r>
      <w:r w:rsidRPr="00432BEA" w:rsidR="00432BEA">
        <w:rPr>
          <w:rFonts w:eastAsia="Times New Roman"/>
          <w:lang w:val="fr-FR"/>
        </w:rPr>
        <w:t>’</w:t>
      </w:r>
      <w:r w:rsidRPr="00432BEA">
        <w:rPr>
          <w:rFonts w:eastAsia="Times New Roman"/>
          <w:lang w:val="fr-FR"/>
        </w:rPr>
        <w:t>action sociale et des familles qui vise les structures d</w:t>
      </w:r>
      <w:r w:rsidRPr="00432BEA" w:rsidR="00432BEA">
        <w:rPr>
          <w:rFonts w:eastAsia="Times New Roman"/>
          <w:lang w:val="fr-FR"/>
        </w:rPr>
        <w:t>’</w:t>
      </w:r>
      <w:r w:rsidRPr="00432BEA">
        <w:rPr>
          <w:rFonts w:eastAsia="Times New Roman"/>
          <w:lang w:val="fr-FR"/>
        </w:rPr>
        <w:t>accueil collectif et qui ne vise donc qu</w:t>
      </w:r>
      <w:r w:rsidRPr="00432BEA" w:rsidR="00432BEA">
        <w:rPr>
          <w:rFonts w:eastAsia="Times New Roman"/>
          <w:lang w:val="fr-FR"/>
        </w:rPr>
        <w:t>’</w:t>
      </w:r>
      <w:r w:rsidRPr="00432BEA">
        <w:rPr>
          <w:rFonts w:eastAsia="Times New Roman"/>
          <w:lang w:val="fr-FR"/>
        </w:rPr>
        <w:t>en creux les foyers-logements ne soit pas de nature à clarifier les choses dans le sens que vous souhaitez. Je suis donc favorable à cet amendement et, si j</w:t>
      </w:r>
      <w:r w:rsidRPr="00432BEA" w:rsidR="00432BEA">
        <w:rPr>
          <w:rFonts w:eastAsia="Times New Roman"/>
          <w:lang w:val="fr-FR"/>
        </w:rPr>
        <w:t>’</w:t>
      </w:r>
      <w:r w:rsidRPr="00432BEA">
        <w:rPr>
          <w:rFonts w:eastAsia="Times New Roman"/>
          <w:lang w:val="fr-FR"/>
        </w:rPr>
        <w:t>ai développé de façon aussi argumentée la position du Gouvernement, c</w:t>
      </w:r>
      <w:r w:rsidRPr="00432BEA" w:rsidR="00432BEA">
        <w:rPr>
          <w:rFonts w:eastAsia="Times New Roman"/>
          <w:lang w:val="fr-FR"/>
        </w:rPr>
        <w:t>’</w:t>
      </w:r>
      <w:r w:rsidRPr="00432BEA">
        <w:rPr>
          <w:rFonts w:eastAsia="Times New Roman"/>
          <w:lang w:val="fr-FR"/>
        </w:rPr>
        <w:t>est aussi pour permettre au Conseil constitutionnel de connaître l</w:t>
      </w:r>
      <w:r w:rsidRPr="00432BEA" w:rsidR="00432BEA">
        <w:rPr>
          <w:rFonts w:eastAsia="Times New Roman"/>
          <w:lang w:val="fr-FR"/>
        </w:rPr>
        <w:t>’</w:t>
      </w:r>
      <w:r w:rsidRPr="00432BEA">
        <w:rPr>
          <w:rFonts w:eastAsia="Times New Roman"/>
          <w:lang w:val="fr-FR"/>
        </w:rPr>
        <w:t>intention du législateur et les modalités d</w:t>
      </w:r>
      <w:r w:rsidRPr="00432BEA" w:rsidR="00432BEA">
        <w:rPr>
          <w:rFonts w:eastAsia="Times New Roman"/>
          <w:lang w:val="fr-FR"/>
        </w:rPr>
        <w:t>’</w:t>
      </w:r>
      <w:r w:rsidRPr="00432BEA">
        <w:rPr>
          <w:rFonts w:eastAsia="Times New Roman"/>
          <w:lang w:val="fr-FR"/>
        </w:rPr>
        <w:t>application.</w:t>
      </w:r>
      <w:r w:rsidRPr="00432BEA" w:rsidR="00461BA0">
        <w:rPr>
          <w:rFonts w:eastAsia="Times New Roman"/>
          <w:lang w:val="fr-FR"/>
        </w:rPr>
        <w:t> »</w:t>
      </w:r>
    </w:p>
    <w:p w:rsidRPr="00432BEA" w:rsidR="00235AF1" w:rsidP="00432BEA" w:rsidRDefault="00B457A3">
      <w:pPr>
        <w:pStyle w:val="ECHRHeading2"/>
        <w:rPr>
          <w:lang w:val="fr-FR"/>
        </w:rPr>
      </w:pPr>
      <w:r w:rsidRPr="00432BEA">
        <w:rPr>
          <w:lang w:val="fr-FR"/>
        </w:rPr>
        <w:t>D.  </w:t>
      </w:r>
      <w:r w:rsidRPr="00432BEA" w:rsidR="00235AF1">
        <w:rPr>
          <w:lang w:val="fr-FR"/>
        </w:rPr>
        <w:t>Jurisprudence citée par les parties</w:t>
      </w:r>
    </w:p>
    <w:p w:rsidRPr="00432BEA" w:rsidR="009E6C7A" w:rsidP="00432BEA" w:rsidRDefault="009E6C7A">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46</w:t>
      </w:r>
      <w:r w:rsidRPr="00432BEA">
        <w:rPr>
          <w:lang w:val="fr-FR"/>
        </w:rPr>
        <w:fldChar w:fldCharType="end"/>
      </w:r>
      <w:r w:rsidRPr="00432BEA">
        <w:rPr>
          <w:lang w:val="fr-FR"/>
        </w:rPr>
        <w:t>.  Par jugements des 22 novembre 2010, 13 décembre 2010 et 14 juin 2011, les TASS des Vosges, de Saint-</w:t>
      </w:r>
      <w:r w:rsidRPr="00432BEA" w:rsidR="00B457A3">
        <w:rPr>
          <w:lang w:val="fr-FR"/>
        </w:rPr>
        <w:t>É</w:t>
      </w:r>
      <w:r w:rsidRPr="00432BEA">
        <w:rPr>
          <w:lang w:val="fr-FR"/>
        </w:rPr>
        <w:t>tienne et de la Dordogne ont fait droit à des demandes de remboursement des cotisations patronales litigieuses. Par un arrêt du 18 décembre 2008, la cour d</w:t>
      </w:r>
      <w:r w:rsidRPr="00432BEA" w:rsidR="00432BEA">
        <w:rPr>
          <w:lang w:val="fr-FR"/>
        </w:rPr>
        <w:t>’</w:t>
      </w:r>
      <w:r w:rsidRPr="00432BEA">
        <w:rPr>
          <w:lang w:val="fr-FR"/>
        </w:rPr>
        <w:t>appel de Pau a considéré que « le texte de l</w:t>
      </w:r>
      <w:r w:rsidRPr="00432BEA" w:rsidR="00432BEA">
        <w:rPr>
          <w:lang w:val="fr-FR"/>
        </w:rPr>
        <w:t>’</w:t>
      </w:r>
      <w:r w:rsidRPr="00432BEA">
        <w:rPr>
          <w:lang w:val="fr-FR"/>
        </w:rPr>
        <w:t>article L</w:t>
      </w:r>
      <w:r w:rsidRPr="00432BEA" w:rsidR="00B457A3">
        <w:rPr>
          <w:lang w:val="fr-FR"/>
        </w:rPr>
        <w:t>.</w:t>
      </w:r>
      <w:r w:rsidRPr="00432BEA">
        <w:rPr>
          <w:lang w:val="fr-FR"/>
        </w:rPr>
        <w:t xml:space="preserve"> 241-10 du CSS est clair et ne souffre d</w:t>
      </w:r>
      <w:r w:rsidRPr="00432BEA" w:rsidR="00432BEA">
        <w:rPr>
          <w:lang w:val="fr-FR"/>
        </w:rPr>
        <w:t>’</w:t>
      </w:r>
      <w:r w:rsidRPr="00432BEA">
        <w:rPr>
          <w:lang w:val="fr-FR"/>
        </w:rPr>
        <w:t>aucune interprétation, il n</w:t>
      </w:r>
      <w:r w:rsidRPr="00432BEA" w:rsidR="00432BEA">
        <w:rPr>
          <w:lang w:val="fr-FR"/>
        </w:rPr>
        <w:t>’</w:t>
      </w:r>
      <w:r w:rsidRPr="00432BEA">
        <w:rPr>
          <w:lang w:val="fr-FR"/>
        </w:rPr>
        <w:t>exclut pas les personnes domiciliées dans les maisons de retraite du bénéfice de l</w:t>
      </w:r>
      <w:r w:rsidRPr="00432BEA" w:rsidR="00432BEA">
        <w:rPr>
          <w:lang w:val="fr-FR"/>
        </w:rPr>
        <w:t>’</w:t>
      </w:r>
      <w:r w:rsidRPr="00432BEA">
        <w:rPr>
          <w:lang w:val="fr-FR"/>
        </w:rPr>
        <w:t>exonération ».</w:t>
      </w:r>
    </w:p>
    <w:p w:rsidRPr="00432BEA" w:rsidR="00C7198C" w:rsidP="00432BEA" w:rsidRDefault="00C7198C">
      <w:pPr>
        <w:ind w:firstLine="284"/>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47</w:t>
      </w:r>
      <w:r w:rsidRPr="00432BEA">
        <w:rPr>
          <w:lang w:val="fr-FR"/>
        </w:rPr>
        <w:fldChar w:fldCharType="end"/>
      </w:r>
      <w:r w:rsidRPr="00432BEA">
        <w:rPr>
          <w:lang w:val="fr-FR"/>
        </w:rPr>
        <w:t>.  Par jugements des 11 janvier, 19 mai et 19 juillet 2010, les TASS des Côtes d</w:t>
      </w:r>
      <w:r w:rsidRPr="00432BEA" w:rsidR="00432BEA">
        <w:rPr>
          <w:lang w:val="fr-FR"/>
        </w:rPr>
        <w:t>’</w:t>
      </w:r>
      <w:r w:rsidRPr="00432BEA">
        <w:rPr>
          <w:lang w:val="fr-FR"/>
        </w:rPr>
        <w:t>Armor, d</w:t>
      </w:r>
      <w:r w:rsidRPr="00432BEA" w:rsidR="00432BEA">
        <w:rPr>
          <w:lang w:val="fr-FR"/>
        </w:rPr>
        <w:t>’</w:t>
      </w:r>
      <w:r w:rsidRPr="00432BEA">
        <w:rPr>
          <w:lang w:val="fr-FR"/>
        </w:rPr>
        <w:t>Amiens et du Gers ont exclu du bénéfice de l</w:t>
      </w:r>
      <w:r w:rsidRPr="00432BEA" w:rsidR="00432BEA">
        <w:rPr>
          <w:lang w:val="fr-FR"/>
        </w:rPr>
        <w:t>’</w:t>
      </w:r>
      <w:r w:rsidRPr="00432BEA">
        <w:rPr>
          <w:lang w:val="fr-FR"/>
        </w:rPr>
        <w:t>exonération litigieuse les</w:t>
      </w:r>
      <w:r w:rsidRPr="00432BEA" w:rsidR="008322E6">
        <w:rPr>
          <w:lang w:val="fr-FR"/>
        </w:rPr>
        <w:t xml:space="preserve"> personnes employées par les établissements d</w:t>
      </w:r>
      <w:r w:rsidRPr="00432BEA" w:rsidR="00432BEA">
        <w:rPr>
          <w:lang w:val="fr-FR"/>
        </w:rPr>
        <w:t>’</w:t>
      </w:r>
      <w:r w:rsidRPr="00432BEA" w:rsidR="008322E6">
        <w:rPr>
          <w:lang w:val="fr-FR"/>
        </w:rPr>
        <w:t>hébergement collectif.</w:t>
      </w:r>
      <w:r w:rsidRPr="00432BEA" w:rsidR="00290D7F">
        <w:rPr>
          <w:lang w:val="fr-FR"/>
        </w:rPr>
        <w:t xml:space="preserve"> En outre, par la </w:t>
      </w:r>
      <w:r w:rsidRPr="00432BEA" w:rsidR="00A55D2C">
        <w:rPr>
          <w:lang w:val="fr-FR"/>
        </w:rPr>
        <w:t>décision n</w:t>
      </w:r>
      <w:r w:rsidRPr="00432BEA" w:rsidR="007D22EB">
        <w:rPr>
          <w:vertAlign w:val="superscript"/>
          <w:lang w:val="fr-FR"/>
        </w:rPr>
        <w:t>o</w:t>
      </w:r>
      <w:r w:rsidRPr="00432BEA" w:rsidR="00632783">
        <w:rPr>
          <w:lang w:val="fr-FR"/>
        </w:rPr>
        <w:t xml:space="preserve"> 2010-620 DC du 16 </w:t>
      </w:r>
      <w:r w:rsidRPr="00432BEA" w:rsidR="00A55D2C">
        <w:rPr>
          <w:lang w:val="fr-FR"/>
        </w:rPr>
        <w:t>décembre 2010</w:t>
      </w:r>
      <w:r w:rsidRPr="00432BEA" w:rsidR="00290D7F">
        <w:rPr>
          <w:lang w:val="fr-FR"/>
        </w:rPr>
        <w:t xml:space="preserve"> </w:t>
      </w:r>
      <w:r w:rsidRPr="00432BEA" w:rsidR="00575A1D">
        <w:rPr>
          <w:lang w:val="fr-FR"/>
        </w:rPr>
        <w:t xml:space="preserve">, le Conseil constitutionnel a jugé </w:t>
      </w:r>
      <w:r w:rsidRPr="00432BEA" w:rsidR="00506DF7">
        <w:rPr>
          <w:lang w:val="fr-FR"/>
        </w:rPr>
        <w:t>que l</w:t>
      </w:r>
      <w:r w:rsidRPr="00432BEA" w:rsidR="00432BEA">
        <w:rPr>
          <w:lang w:val="fr-FR"/>
        </w:rPr>
        <w:t>’</w:t>
      </w:r>
      <w:r w:rsidRPr="00432BEA" w:rsidR="00506DF7">
        <w:rPr>
          <w:lang w:val="fr-FR"/>
        </w:rPr>
        <w:t xml:space="preserve">article 14 de la loi déférée </w:t>
      </w:r>
      <w:r w:rsidRPr="00432BEA" w:rsidR="00381941">
        <w:rPr>
          <w:lang w:val="fr-FR"/>
        </w:rPr>
        <w:t>par les députés</w:t>
      </w:r>
      <w:r w:rsidRPr="00432BEA" w:rsidR="00506DF7">
        <w:rPr>
          <w:lang w:val="fr-FR"/>
        </w:rPr>
        <w:t xml:space="preserve"> ne méconnaît pas le principe d</w:t>
      </w:r>
      <w:r w:rsidRPr="00432BEA" w:rsidR="00432BEA">
        <w:rPr>
          <w:lang w:val="fr-FR"/>
        </w:rPr>
        <w:t>’</w:t>
      </w:r>
      <w:r w:rsidRPr="00432BEA" w:rsidR="00506DF7">
        <w:rPr>
          <w:lang w:val="fr-FR"/>
        </w:rPr>
        <w:t>égalité devant la loi (voir, paragraphe 17 ci-dessus).</w:t>
      </w:r>
    </w:p>
    <w:p w:rsidRPr="00432BEA" w:rsidR="003B257F" w:rsidP="00432BEA" w:rsidRDefault="00E77CB3">
      <w:pPr>
        <w:pStyle w:val="ECHRTitle1"/>
        <w:rPr>
          <w:lang w:val="fr-FR"/>
        </w:rPr>
      </w:pPr>
      <w:r w:rsidRPr="00432BEA">
        <w:rPr>
          <w:lang w:val="fr-FR"/>
        </w:rPr>
        <w:t>EN DROIT</w:t>
      </w:r>
    </w:p>
    <w:p w:rsidRPr="00432BEA" w:rsidR="00825EE5" w:rsidP="00432BEA" w:rsidRDefault="00A050D6">
      <w:pPr>
        <w:pStyle w:val="ECHRHeading1"/>
        <w:rPr>
          <w:lang w:val="fr-FR"/>
        </w:rPr>
      </w:pPr>
      <w:r w:rsidRPr="00432BEA">
        <w:rPr>
          <w:lang w:val="fr-FR"/>
        </w:rPr>
        <w:t>I.</w:t>
      </w:r>
      <w:r w:rsidRPr="00432BEA" w:rsidR="00E77CB3">
        <w:rPr>
          <w:lang w:val="fr-FR"/>
        </w:rPr>
        <w:t>  SUR LA</w:t>
      </w:r>
      <w:r w:rsidRPr="00432BEA" w:rsidR="000F5E63">
        <w:rPr>
          <w:lang w:val="fr-FR"/>
        </w:rPr>
        <w:t xml:space="preserve"> JONCTION DES REQU</w:t>
      </w:r>
      <w:r w:rsidRPr="00432BEA" w:rsidR="00451E62">
        <w:rPr>
          <w:lang w:val="fr-FR"/>
        </w:rPr>
        <w:t>Ê</w:t>
      </w:r>
      <w:r w:rsidRPr="00432BEA" w:rsidR="000F5E63">
        <w:rPr>
          <w:lang w:val="fr-FR"/>
        </w:rPr>
        <w:t>TES</w:t>
      </w:r>
    </w:p>
    <w:p w:rsidRPr="00432BEA" w:rsidR="000F5E63" w:rsidP="00432BEA" w:rsidRDefault="000F5E63">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48</w:t>
      </w:r>
      <w:r w:rsidRPr="00432BEA">
        <w:rPr>
          <w:lang w:val="fr-FR"/>
        </w:rPr>
        <w:fldChar w:fldCharType="end"/>
      </w:r>
      <w:r w:rsidRPr="00432BEA">
        <w:rPr>
          <w:lang w:val="fr-FR"/>
        </w:rPr>
        <w:t>.  La Cour considère que, dans l</w:t>
      </w:r>
      <w:r w:rsidRPr="00432BEA" w:rsidR="00432BEA">
        <w:rPr>
          <w:lang w:val="fr-FR"/>
        </w:rPr>
        <w:t>’</w:t>
      </w:r>
      <w:r w:rsidRPr="00432BEA">
        <w:rPr>
          <w:lang w:val="fr-FR"/>
        </w:rPr>
        <w:t>intérêt d</w:t>
      </w:r>
      <w:r w:rsidRPr="00432BEA" w:rsidR="00432BEA">
        <w:rPr>
          <w:lang w:val="fr-FR"/>
        </w:rPr>
        <w:t>’</w:t>
      </w:r>
      <w:r w:rsidRPr="00432BEA">
        <w:rPr>
          <w:lang w:val="fr-FR"/>
        </w:rPr>
        <w:t>une bonne administration de la justice, il y a lieu, en application de l</w:t>
      </w:r>
      <w:r w:rsidRPr="00432BEA" w:rsidR="00432BEA">
        <w:rPr>
          <w:lang w:val="fr-FR"/>
        </w:rPr>
        <w:t>’</w:t>
      </w:r>
      <w:r w:rsidRPr="00432BEA">
        <w:rPr>
          <w:lang w:val="fr-FR"/>
        </w:rPr>
        <w:t>article 42 § 1 de son règlement, de joindre les requêtes, eu égard à leur similitude quant aux faits et aux questions juridiques qu</w:t>
      </w:r>
      <w:r w:rsidRPr="00432BEA" w:rsidR="00432BEA">
        <w:rPr>
          <w:lang w:val="fr-FR"/>
        </w:rPr>
        <w:t>’</w:t>
      </w:r>
      <w:r w:rsidRPr="00432BEA">
        <w:rPr>
          <w:lang w:val="fr-FR"/>
        </w:rPr>
        <w:t>elles posent.</w:t>
      </w:r>
    </w:p>
    <w:p w:rsidRPr="00432BEA" w:rsidR="000F5E63" w:rsidP="00432BEA" w:rsidRDefault="000F5E63">
      <w:pPr>
        <w:pStyle w:val="ECHRHeading1"/>
        <w:rPr>
          <w:lang w:val="fr-FR"/>
        </w:rPr>
      </w:pPr>
      <w:r w:rsidRPr="00432BEA">
        <w:rPr>
          <w:lang w:val="fr-FR"/>
        </w:rPr>
        <w:t>II.  SUR LA RECEVABILIT</w:t>
      </w:r>
      <w:r w:rsidRPr="00432BEA" w:rsidR="00B457A3">
        <w:rPr>
          <w:lang w:val="fr-FR"/>
        </w:rPr>
        <w:t>É</w:t>
      </w:r>
      <w:r w:rsidRPr="00432BEA" w:rsidR="00B011D9">
        <w:rPr>
          <w:lang w:val="fr-FR"/>
        </w:rPr>
        <w:t xml:space="preserve"> DES REQU</w:t>
      </w:r>
      <w:r w:rsidRPr="00432BEA" w:rsidR="00451E62">
        <w:rPr>
          <w:lang w:val="fr-FR"/>
        </w:rPr>
        <w:t>Ê</w:t>
      </w:r>
      <w:r w:rsidRPr="00432BEA" w:rsidR="00B011D9">
        <w:rPr>
          <w:lang w:val="fr-FR"/>
        </w:rPr>
        <w:t>TES N</w:t>
      </w:r>
      <w:r w:rsidRPr="00432BEA" w:rsidR="00B011D9">
        <w:rPr>
          <w:vertAlign w:val="superscript"/>
          <w:lang w:val="fr-FR"/>
        </w:rPr>
        <w:t>os</w:t>
      </w:r>
      <w:r w:rsidRPr="00432BEA" w:rsidR="00B011D9">
        <w:rPr>
          <w:lang w:val="fr-FR"/>
        </w:rPr>
        <w:t xml:space="preserve"> 59003/13, 68916/13 et 5485/14 (paragraphes 30 et 31 ci-dessus)</w:t>
      </w:r>
    </w:p>
    <w:p w:rsidRPr="00432BEA" w:rsidR="007D22EB" w:rsidP="00432BEA" w:rsidRDefault="009E6C7A">
      <w:pPr>
        <w:pStyle w:val="ECHRPara"/>
        <w:rPr>
          <w:lang w:val="fr-FR"/>
        </w:rPr>
      </w:pPr>
      <w:r w:rsidRPr="00432BEA">
        <w:fldChar w:fldCharType="begin"/>
      </w:r>
      <w:r w:rsidRPr="00432BEA">
        <w:rPr>
          <w:lang w:val="fr-FR"/>
        </w:rPr>
        <w:instrText xml:space="preserve"> SEQ level0 \*arabic </w:instrText>
      </w:r>
      <w:r w:rsidRPr="00432BEA">
        <w:fldChar w:fldCharType="separate"/>
      </w:r>
      <w:r w:rsidRPr="00432BEA" w:rsidR="00432BEA">
        <w:rPr>
          <w:noProof/>
          <w:lang w:val="fr-FR"/>
        </w:rPr>
        <w:t>49</w:t>
      </w:r>
      <w:r w:rsidRPr="00432BEA">
        <w:fldChar w:fldCharType="end"/>
      </w:r>
      <w:r w:rsidRPr="00432BEA">
        <w:rPr>
          <w:lang w:val="fr-FR"/>
        </w:rPr>
        <w:t>.  S</w:t>
      </w:r>
      <w:r w:rsidRPr="00432BEA" w:rsidR="00432BEA">
        <w:rPr>
          <w:lang w:val="fr-FR"/>
        </w:rPr>
        <w:t>’</w:t>
      </w:r>
      <w:r w:rsidRPr="00432BEA">
        <w:rPr>
          <w:lang w:val="fr-FR"/>
        </w:rPr>
        <w:t>agissant de</w:t>
      </w:r>
      <w:r w:rsidRPr="00432BEA" w:rsidR="00B011D9">
        <w:rPr>
          <w:lang w:val="fr-FR"/>
        </w:rPr>
        <w:t xml:space="preserve"> ces</w:t>
      </w:r>
      <w:r w:rsidRPr="00432BEA">
        <w:rPr>
          <w:lang w:val="fr-FR"/>
        </w:rPr>
        <w:t xml:space="preserve"> requêtes</w:t>
      </w:r>
      <w:r w:rsidRPr="00432BEA" w:rsidR="00B011D9">
        <w:rPr>
          <w:lang w:val="fr-FR"/>
        </w:rPr>
        <w:t>,</w:t>
      </w:r>
      <w:r w:rsidRPr="00432BEA" w:rsidR="000F5E63">
        <w:rPr>
          <w:lang w:val="fr-FR"/>
        </w:rPr>
        <w:t xml:space="preserve"> </w:t>
      </w:r>
      <w:r w:rsidRPr="00432BEA" w:rsidR="00303DB3">
        <w:rPr>
          <w:lang w:val="fr-FR"/>
        </w:rPr>
        <w:t>le Gouvernement</w:t>
      </w:r>
      <w:r w:rsidRPr="00432BEA">
        <w:rPr>
          <w:lang w:val="fr-FR"/>
        </w:rPr>
        <w:t xml:space="preserve"> </w:t>
      </w:r>
      <w:r w:rsidRPr="00432BEA" w:rsidR="00BC3D7D">
        <w:rPr>
          <w:lang w:val="fr-FR"/>
        </w:rPr>
        <w:t>fait valoir</w:t>
      </w:r>
      <w:r w:rsidRPr="00432BEA">
        <w:rPr>
          <w:lang w:val="fr-FR"/>
        </w:rPr>
        <w:t xml:space="preserve"> que les requérants n</w:t>
      </w:r>
      <w:r w:rsidRPr="00432BEA" w:rsidR="00432BEA">
        <w:rPr>
          <w:lang w:val="fr-FR"/>
        </w:rPr>
        <w:t>’</w:t>
      </w:r>
      <w:r w:rsidRPr="00432BEA">
        <w:rPr>
          <w:lang w:val="fr-FR"/>
        </w:rPr>
        <w:t>ont soulevé</w:t>
      </w:r>
      <w:r w:rsidRPr="00432BEA" w:rsidR="00357F29">
        <w:rPr>
          <w:lang w:val="fr-FR"/>
        </w:rPr>
        <w:t xml:space="preserve"> devant la Cour de cassation</w:t>
      </w:r>
      <w:r w:rsidRPr="00432BEA" w:rsidR="00303DB3">
        <w:rPr>
          <w:lang w:val="fr-FR"/>
        </w:rPr>
        <w:t xml:space="preserve"> </w:t>
      </w:r>
      <w:r w:rsidRPr="00432BEA" w:rsidR="00B011D9">
        <w:rPr>
          <w:lang w:val="fr-FR"/>
        </w:rPr>
        <w:t>aucun</w:t>
      </w:r>
      <w:r w:rsidRPr="00432BEA" w:rsidR="00357F29">
        <w:rPr>
          <w:lang w:val="fr-FR"/>
        </w:rPr>
        <w:t xml:space="preserve"> des griefs invoqués dans leur formulaire de requête (article 6 § 1 de la Convention et article 14 combiné avec l</w:t>
      </w:r>
      <w:r w:rsidRPr="00432BEA" w:rsidR="00432BEA">
        <w:rPr>
          <w:lang w:val="fr-FR"/>
        </w:rPr>
        <w:t>’</w:t>
      </w:r>
      <w:r w:rsidRPr="00432BEA" w:rsidR="00357F29">
        <w:rPr>
          <w:lang w:val="fr-FR"/>
        </w:rPr>
        <w:t>article 1</w:t>
      </w:r>
      <w:r w:rsidRPr="00432BEA" w:rsidR="00357F29">
        <w:rPr>
          <w:vertAlign w:val="superscript"/>
          <w:lang w:val="fr-FR"/>
        </w:rPr>
        <w:t>er</w:t>
      </w:r>
      <w:r w:rsidRPr="00432BEA" w:rsidR="00357F29">
        <w:rPr>
          <w:lang w:val="fr-FR"/>
        </w:rPr>
        <w:t xml:space="preserve"> du Protocole n</w:t>
      </w:r>
      <w:r w:rsidRPr="00432BEA" w:rsidR="007D22EB">
        <w:rPr>
          <w:vertAlign w:val="superscript"/>
          <w:lang w:val="fr-FR"/>
        </w:rPr>
        <w:t>o</w:t>
      </w:r>
      <w:r w:rsidRPr="00432BEA" w:rsidR="00412F82">
        <w:rPr>
          <w:lang w:val="fr-FR"/>
        </w:rPr>
        <w:t xml:space="preserve"> </w:t>
      </w:r>
      <w:r w:rsidRPr="00432BEA" w:rsidR="00357F29">
        <w:rPr>
          <w:lang w:val="fr-FR"/>
        </w:rPr>
        <w:t>1), y compris en substance. Il demande</w:t>
      </w:r>
      <w:r w:rsidRPr="00432BEA" w:rsidR="00303DB3">
        <w:rPr>
          <w:lang w:val="fr-FR"/>
        </w:rPr>
        <w:t xml:space="preserve"> le</w:t>
      </w:r>
      <w:r w:rsidRPr="00432BEA" w:rsidR="00B011D9">
        <w:rPr>
          <w:lang w:val="fr-FR"/>
        </w:rPr>
        <w:t>ur</w:t>
      </w:r>
      <w:r w:rsidRPr="00432BEA" w:rsidR="00303DB3">
        <w:rPr>
          <w:lang w:val="fr-FR"/>
        </w:rPr>
        <w:t xml:space="preserve"> rejet</w:t>
      </w:r>
      <w:r w:rsidRPr="00432BEA" w:rsidR="00451E62">
        <w:rPr>
          <w:lang w:val="fr-FR"/>
        </w:rPr>
        <w:t xml:space="preserve"> pour non-</w:t>
      </w:r>
      <w:r w:rsidRPr="00432BEA" w:rsidR="009056F9">
        <w:rPr>
          <w:lang w:val="fr-FR"/>
        </w:rPr>
        <w:t>épuisement des voies de recours internes.</w:t>
      </w:r>
    </w:p>
    <w:p w:rsidRPr="00432BEA" w:rsidR="00B011D9" w:rsidP="00432BEA" w:rsidRDefault="00B011D9">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50</w:t>
      </w:r>
      <w:r w:rsidRPr="00432BEA">
        <w:rPr>
          <w:lang w:val="fr-FR"/>
        </w:rPr>
        <w:fldChar w:fldCharType="end"/>
      </w:r>
      <w:r w:rsidRPr="00432BEA">
        <w:rPr>
          <w:lang w:val="fr-FR"/>
        </w:rPr>
        <w:t>.  </w:t>
      </w:r>
      <w:r w:rsidRPr="00432BEA" w:rsidR="009745D3">
        <w:rPr>
          <w:lang w:val="fr-FR"/>
        </w:rPr>
        <w:t xml:space="preserve">Les requérants </w:t>
      </w:r>
      <w:r w:rsidRPr="00432BEA" w:rsidR="00357F29">
        <w:rPr>
          <w:lang w:val="fr-FR"/>
        </w:rPr>
        <w:t>contestent cette affirmation.</w:t>
      </w:r>
    </w:p>
    <w:p w:rsidRPr="00432BEA" w:rsidR="00357F29" w:rsidP="00432BEA" w:rsidRDefault="00357F29">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51</w:t>
      </w:r>
      <w:r w:rsidRPr="00432BEA">
        <w:rPr>
          <w:lang w:val="fr-FR"/>
        </w:rPr>
        <w:fldChar w:fldCharType="end"/>
      </w:r>
      <w:r w:rsidRPr="00432BEA">
        <w:rPr>
          <w:lang w:val="fr-FR"/>
        </w:rPr>
        <w:t>.  La Cour constate, avec le Gouvernement, que les mémoires</w:t>
      </w:r>
      <w:r w:rsidRPr="00432BEA" w:rsidR="00040BBF">
        <w:rPr>
          <w:lang w:val="fr-FR"/>
        </w:rPr>
        <w:t xml:space="preserve"> déposés par les requérants devant la Cour de</w:t>
      </w:r>
      <w:r w:rsidRPr="00432BEA">
        <w:rPr>
          <w:lang w:val="fr-FR"/>
        </w:rPr>
        <w:t xml:space="preserve"> cassation ne contiennent pas de moyens tirés de la Convention correspondant aux griefs qu</w:t>
      </w:r>
      <w:r w:rsidRPr="00432BEA" w:rsidR="00432BEA">
        <w:rPr>
          <w:lang w:val="fr-FR"/>
        </w:rPr>
        <w:t>’</w:t>
      </w:r>
      <w:r w:rsidRPr="00432BEA">
        <w:rPr>
          <w:lang w:val="fr-FR"/>
        </w:rPr>
        <w:t>ils soulèvent devant la Cour. Partant, elle estime que les requêtes sont irrecevables pour non épuisement des voies de recours internes et qu</w:t>
      </w:r>
      <w:r w:rsidRPr="00432BEA" w:rsidR="00432BEA">
        <w:rPr>
          <w:lang w:val="fr-FR"/>
        </w:rPr>
        <w:t>’</w:t>
      </w:r>
      <w:r w:rsidRPr="00432BEA">
        <w:rPr>
          <w:lang w:val="fr-FR"/>
        </w:rPr>
        <w:t>elles doivent être rejetées en application de l</w:t>
      </w:r>
      <w:r w:rsidRPr="00432BEA" w:rsidR="00432BEA">
        <w:rPr>
          <w:lang w:val="fr-FR"/>
        </w:rPr>
        <w:t>’</w:t>
      </w:r>
      <w:r w:rsidRPr="00432BEA">
        <w:rPr>
          <w:lang w:val="fr-FR"/>
        </w:rPr>
        <w:t>article 35 §</w:t>
      </w:r>
      <w:r w:rsidRPr="00432BEA" w:rsidR="008F00C1">
        <w:rPr>
          <w:lang w:val="fr-FR"/>
        </w:rPr>
        <w:t>§</w:t>
      </w:r>
      <w:r w:rsidRPr="00432BEA">
        <w:rPr>
          <w:lang w:val="fr-FR"/>
        </w:rPr>
        <w:t xml:space="preserve"> 1</w:t>
      </w:r>
      <w:r w:rsidRPr="00432BEA" w:rsidR="008F00C1">
        <w:rPr>
          <w:lang w:val="fr-FR"/>
        </w:rPr>
        <w:t xml:space="preserve"> et 4</w:t>
      </w:r>
      <w:r w:rsidRPr="00432BEA">
        <w:rPr>
          <w:lang w:val="fr-FR"/>
        </w:rPr>
        <w:t xml:space="preserve"> de la Convention.</w:t>
      </w:r>
    </w:p>
    <w:p w:rsidRPr="00432BEA" w:rsidR="00E77CB3" w:rsidP="00432BEA" w:rsidRDefault="00166CBF">
      <w:pPr>
        <w:pStyle w:val="ECHRHeading1"/>
        <w:rPr>
          <w:lang w:val="fr-FR"/>
        </w:rPr>
      </w:pPr>
      <w:r w:rsidRPr="00432BEA">
        <w:rPr>
          <w:lang w:val="fr-FR"/>
        </w:rPr>
        <w:t>I</w:t>
      </w:r>
      <w:r w:rsidRPr="00432BEA" w:rsidR="00F43431">
        <w:rPr>
          <w:lang w:val="fr-FR"/>
        </w:rPr>
        <w:t>II</w:t>
      </w:r>
      <w:r w:rsidRPr="00432BEA" w:rsidR="00006A8A">
        <w:rPr>
          <w:lang w:val="fr-FR"/>
        </w:rPr>
        <w:t>.  SUR LA</w:t>
      </w:r>
      <w:r w:rsidRPr="00432BEA" w:rsidR="00E77CB3">
        <w:rPr>
          <w:lang w:val="fr-FR"/>
        </w:rPr>
        <w:t xml:space="preserve"> VIOLATION ALLÉGUÉE DE L</w:t>
      </w:r>
      <w:r w:rsidRPr="00432BEA" w:rsidR="00432BEA">
        <w:rPr>
          <w:lang w:val="fr-FR"/>
        </w:rPr>
        <w:t>’</w:t>
      </w:r>
      <w:r w:rsidRPr="00432BEA" w:rsidR="00E77CB3">
        <w:rPr>
          <w:lang w:val="fr-FR"/>
        </w:rPr>
        <w:t xml:space="preserve">ARTICLE </w:t>
      </w:r>
      <w:r w:rsidRPr="00432BEA" w:rsidR="00825EE5">
        <w:rPr>
          <w:lang w:val="fr-FR"/>
        </w:rPr>
        <w:t xml:space="preserve">6 § 1 </w:t>
      </w:r>
      <w:r w:rsidRPr="00432BEA" w:rsidR="00E77CB3">
        <w:rPr>
          <w:lang w:val="fr-FR"/>
        </w:rPr>
        <w:t>DE LA CONVENTION</w:t>
      </w:r>
      <w:r w:rsidRPr="00432BEA" w:rsidR="00825EE5">
        <w:rPr>
          <w:lang w:val="fr-FR"/>
        </w:rPr>
        <w:t xml:space="preserve"> DU FAIT DE L</w:t>
      </w:r>
      <w:r w:rsidRPr="00432BEA" w:rsidR="00432BEA">
        <w:rPr>
          <w:lang w:val="fr-FR"/>
        </w:rPr>
        <w:t>’</w:t>
      </w:r>
      <w:r w:rsidRPr="00432BEA" w:rsidR="00825EE5">
        <w:rPr>
          <w:lang w:val="fr-FR"/>
        </w:rPr>
        <w:t>INTERVENTION L</w:t>
      </w:r>
      <w:r w:rsidRPr="00432BEA" w:rsidR="00451E62">
        <w:rPr>
          <w:lang w:val="fr-FR"/>
        </w:rPr>
        <w:t>É</w:t>
      </w:r>
      <w:r w:rsidRPr="00432BEA" w:rsidR="00825EE5">
        <w:rPr>
          <w:lang w:val="fr-FR"/>
        </w:rPr>
        <w:t>GISLATIVE</w:t>
      </w:r>
    </w:p>
    <w:p w:rsidRPr="00432BEA" w:rsidR="00E77CB3" w:rsidP="00432BEA" w:rsidRDefault="00A050D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52</w:t>
      </w:r>
      <w:r w:rsidRPr="00432BEA">
        <w:rPr>
          <w:lang w:val="fr-FR"/>
        </w:rPr>
        <w:fldChar w:fldCharType="end"/>
      </w:r>
      <w:r w:rsidRPr="00432BEA" w:rsidR="00E77CB3">
        <w:rPr>
          <w:lang w:val="fr-FR"/>
        </w:rPr>
        <w:t>.  </w:t>
      </w:r>
      <w:r w:rsidRPr="00432BEA">
        <w:rPr>
          <w:lang w:val="fr-FR"/>
        </w:rPr>
        <w:t>Les requérants</w:t>
      </w:r>
      <w:r w:rsidRPr="00432BEA" w:rsidR="00E77CB3">
        <w:rPr>
          <w:lang w:val="fr-FR"/>
        </w:rPr>
        <w:t xml:space="preserve"> allègue</w:t>
      </w:r>
      <w:r w:rsidRPr="00432BEA">
        <w:rPr>
          <w:lang w:val="fr-FR"/>
        </w:rPr>
        <w:t>nt</w:t>
      </w:r>
      <w:r w:rsidRPr="00432BEA" w:rsidR="00E77CB3">
        <w:rPr>
          <w:lang w:val="fr-FR"/>
        </w:rPr>
        <w:t xml:space="preserve"> que</w:t>
      </w:r>
      <w:r w:rsidRPr="00432BEA" w:rsidR="008F00C1">
        <w:rPr>
          <w:lang w:val="fr-FR"/>
        </w:rPr>
        <w:t xml:space="preserve"> par l</w:t>
      </w:r>
      <w:r w:rsidRPr="00432BEA" w:rsidR="00432BEA">
        <w:rPr>
          <w:lang w:val="fr-FR"/>
        </w:rPr>
        <w:t>’</w:t>
      </w:r>
      <w:r w:rsidRPr="00432BEA" w:rsidR="008F00C1">
        <w:rPr>
          <w:lang w:val="fr-FR"/>
        </w:rPr>
        <w:t>adoption de l</w:t>
      </w:r>
      <w:r w:rsidRPr="00432BEA" w:rsidR="00432BEA">
        <w:rPr>
          <w:lang w:val="fr-FR"/>
        </w:rPr>
        <w:t>’</w:t>
      </w:r>
      <w:r w:rsidRPr="00432BEA" w:rsidR="008F00C1">
        <w:rPr>
          <w:lang w:val="fr-FR"/>
        </w:rPr>
        <w:t>article 14 de la loi du 20 décembre 2010, le législateur est intervenu afin de modifier l</w:t>
      </w:r>
      <w:r w:rsidRPr="00432BEA" w:rsidR="00432BEA">
        <w:rPr>
          <w:lang w:val="fr-FR"/>
        </w:rPr>
        <w:t>’</w:t>
      </w:r>
      <w:r w:rsidRPr="00432BEA" w:rsidR="008F00C1">
        <w:rPr>
          <w:lang w:val="fr-FR"/>
        </w:rPr>
        <w:t>issue des procédures auxquelles l</w:t>
      </w:r>
      <w:r w:rsidRPr="00432BEA" w:rsidR="00432BEA">
        <w:rPr>
          <w:lang w:val="fr-FR"/>
        </w:rPr>
        <w:t>’</w:t>
      </w:r>
      <w:r w:rsidRPr="00432BEA" w:rsidR="00C7530E">
        <w:rPr>
          <w:lang w:val="fr-FR"/>
        </w:rPr>
        <w:t>État</w:t>
      </w:r>
      <w:r w:rsidRPr="00432BEA" w:rsidR="008F00C1">
        <w:rPr>
          <w:lang w:val="fr-FR"/>
        </w:rPr>
        <w:t xml:space="preserve"> était partie, rompant ainsi l</w:t>
      </w:r>
      <w:r w:rsidRPr="00432BEA" w:rsidR="00432BEA">
        <w:rPr>
          <w:lang w:val="fr-FR"/>
        </w:rPr>
        <w:t>’</w:t>
      </w:r>
      <w:r w:rsidRPr="00432BEA" w:rsidR="008F00C1">
        <w:rPr>
          <w:lang w:val="fr-FR"/>
        </w:rPr>
        <w:t xml:space="preserve">égalité des armes. Ils invoquent </w:t>
      </w:r>
      <w:r w:rsidRPr="00432BEA" w:rsidR="00E77CB3">
        <w:rPr>
          <w:lang w:val="fr-FR"/>
        </w:rPr>
        <w:t>l</w:t>
      </w:r>
      <w:r w:rsidRPr="00432BEA" w:rsidR="00432BEA">
        <w:rPr>
          <w:lang w:val="fr-FR"/>
        </w:rPr>
        <w:t>’</w:t>
      </w:r>
      <w:r w:rsidRPr="00432BEA" w:rsidR="00E77CB3">
        <w:rPr>
          <w:lang w:val="fr-FR"/>
        </w:rPr>
        <w:t xml:space="preserve">article </w:t>
      </w:r>
      <w:r w:rsidRPr="00432BEA" w:rsidR="00B011D9">
        <w:rPr>
          <w:lang w:val="fr-FR"/>
        </w:rPr>
        <w:t>6 § 1</w:t>
      </w:r>
      <w:r w:rsidRPr="00432BEA" w:rsidR="008F00C1">
        <w:rPr>
          <w:lang w:val="fr-FR"/>
        </w:rPr>
        <w:t xml:space="preserve"> de la Convention,</w:t>
      </w:r>
      <w:r w:rsidRPr="00432BEA" w:rsidR="00E77CB3">
        <w:rPr>
          <w:lang w:val="fr-FR"/>
        </w:rPr>
        <w:t xml:space="preserve"> ainsi libellé :</w:t>
      </w:r>
    </w:p>
    <w:p w:rsidRPr="00432BEA" w:rsidR="00B011D9" w:rsidP="00432BEA" w:rsidRDefault="00B011D9">
      <w:pPr>
        <w:pStyle w:val="ECHRParaQuote"/>
        <w:rPr>
          <w:lang w:val="fr-FR"/>
        </w:rPr>
      </w:pPr>
      <w:r w:rsidRPr="00432BEA">
        <w:rPr>
          <w:lang w:val="fr-FR"/>
        </w:rPr>
        <w:t>« Toute personne a droit à ce que sa cause soit entendue équitablement (...) par un tribunal (...), qui décidera (...) des contestations sur ses droits et obligations de caractère civil (...) »</w:t>
      </w:r>
    </w:p>
    <w:p w:rsidRPr="00432BEA" w:rsidR="00E77CB3" w:rsidP="00432BEA" w:rsidRDefault="00E77CB3">
      <w:pPr>
        <w:pStyle w:val="ECHRHeading2"/>
        <w:rPr>
          <w:lang w:val="fr-FR"/>
        </w:rPr>
      </w:pPr>
      <w:r w:rsidRPr="00432BEA">
        <w:rPr>
          <w:lang w:val="fr-FR"/>
        </w:rPr>
        <w:t>A.  Sur la recevabilité</w:t>
      </w:r>
    </w:p>
    <w:p w:rsidRPr="00432BEA" w:rsidR="00B011D9" w:rsidP="00432BEA" w:rsidRDefault="00A050D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53</w:t>
      </w:r>
      <w:r w:rsidRPr="00432BEA">
        <w:rPr>
          <w:lang w:val="fr-FR"/>
        </w:rPr>
        <w:fldChar w:fldCharType="end"/>
      </w:r>
      <w:r w:rsidRPr="00432BEA" w:rsidR="00E77CB3">
        <w:rPr>
          <w:lang w:val="fr-FR"/>
        </w:rPr>
        <w:t>.  </w:t>
      </w:r>
      <w:r w:rsidRPr="00432BEA" w:rsidR="00B011D9">
        <w:rPr>
          <w:lang w:val="fr-FR"/>
        </w:rPr>
        <w:t>S</w:t>
      </w:r>
      <w:r w:rsidRPr="00432BEA" w:rsidR="00432BEA">
        <w:rPr>
          <w:lang w:val="fr-FR"/>
        </w:rPr>
        <w:t>’</w:t>
      </w:r>
      <w:r w:rsidRPr="00432BEA" w:rsidR="00B011D9">
        <w:rPr>
          <w:lang w:val="fr-FR"/>
        </w:rPr>
        <w:t>agissant des requêtes n</w:t>
      </w:r>
      <w:r w:rsidRPr="00432BEA" w:rsidR="00B011D9">
        <w:rPr>
          <w:vertAlign w:val="superscript"/>
          <w:lang w:val="fr-FR"/>
        </w:rPr>
        <w:t>os</w:t>
      </w:r>
      <w:r w:rsidRPr="00432BEA" w:rsidR="00451E62">
        <w:rPr>
          <w:vertAlign w:val="superscript"/>
          <w:lang w:val="fr-FR"/>
        </w:rPr>
        <w:t xml:space="preserve"> </w:t>
      </w:r>
      <w:r w:rsidRPr="00432BEA" w:rsidR="00B011D9">
        <w:rPr>
          <w:lang w:val="fr-FR"/>
        </w:rPr>
        <w:t>23542/13, 32194/13, 39165/13, 39173/13, 39180/13, 39184/13, 49923/13 et 57424/13, 76512/13, 76527/13, 76519/13, 76530/13, 46862/14 et 46819/14 (paragraphe</w:t>
      </w:r>
      <w:r w:rsidRPr="00432BEA" w:rsidR="009323FF">
        <w:rPr>
          <w:lang w:val="fr-FR"/>
        </w:rPr>
        <w:t xml:space="preserve"> 27</w:t>
      </w:r>
      <w:r w:rsidRPr="00432BEA" w:rsidR="00B011D9">
        <w:rPr>
          <w:lang w:val="fr-FR"/>
        </w:rPr>
        <w:t xml:space="preserve"> ci-dessus), le Gouvernement s</w:t>
      </w:r>
      <w:r w:rsidRPr="00432BEA" w:rsidR="00432BEA">
        <w:rPr>
          <w:lang w:val="fr-FR"/>
        </w:rPr>
        <w:t>’</w:t>
      </w:r>
      <w:r w:rsidRPr="00432BEA" w:rsidR="00B011D9">
        <w:rPr>
          <w:lang w:val="fr-FR"/>
        </w:rPr>
        <w:t>en remet à la sagesse de la Cour pour décider si, en ne formant pas de pourvoi en cassation, les requérants ont épuisé les voies de recours internes</w:t>
      </w:r>
      <w:r w:rsidRPr="00432BEA" w:rsidR="00C7530E">
        <w:rPr>
          <w:lang w:val="fr-FR"/>
        </w:rPr>
        <w:t>.</w:t>
      </w:r>
    </w:p>
    <w:p w:rsidRPr="00432BEA" w:rsidR="007D22EB" w:rsidP="00432BEA" w:rsidRDefault="00B011D9">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54</w:t>
      </w:r>
      <w:r w:rsidRPr="00432BEA">
        <w:rPr>
          <w:lang w:val="fr-FR"/>
        </w:rPr>
        <w:fldChar w:fldCharType="end"/>
      </w:r>
      <w:r w:rsidRPr="00432BEA">
        <w:rPr>
          <w:lang w:val="fr-FR"/>
        </w:rPr>
        <w:t>.  </w:t>
      </w:r>
      <w:r w:rsidRPr="00432BEA" w:rsidR="007D2939">
        <w:rPr>
          <w:lang w:val="fr-FR"/>
        </w:rPr>
        <w:t>Les requérants invitent la Cour à déclarer les requêtes précitées recevables au motif qu</w:t>
      </w:r>
      <w:r w:rsidRPr="00432BEA" w:rsidR="00432BEA">
        <w:rPr>
          <w:lang w:val="fr-FR"/>
        </w:rPr>
        <w:t>’</w:t>
      </w:r>
      <w:r w:rsidRPr="00432BEA" w:rsidR="007D2939">
        <w:rPr>
          <w:lang w:val="fr-FR"/>
        </w:rPr>
        <w:t xml:space="preserve">un éventuel pourvoi porté devant la Cour de cassation aurait été vain compte tenu des arrêts rendus par </w:t>
      </w:r>
      <w:r w:rsidRPr="00432BEA" w:rsidR="00127CF6">
        <w:rPr>
          <w:lang w:val="fr-FR"/>
        </w:rPr>
        <w:t>cette juridiction</w:t>
      </w:r>
      <w:r w:rsidRPr="00432BEA" w:rsidR="007D2939">
        <w:rPr>
          <w:lang w:val="fr-FR"/>
        </w:rPr>
        <w:t xml:space="preserve"> les 22 septembre 2011 (paragraphe </w:t>
      </w:r>
      <w:r w:rsidRPr="00432BEA" w:rsidR="009323FF">
        <w:rPr>
          <w:lang w:val="fr-FR"/>
        </w:rPr>
        <w:t xml:space="preserve">21 </w:t>
      </w:r>
      <w:r w:rsidRPr="00432BEA" w:rsidR="007D2939">
        <w:rPr>
          <w:lang w:val="fr-FR"/>
        </w:rPr>
        <w:t>ci-dessus) et 16 février 2012 (paragraphe</w:t>
      </w:r>
      <w:r w:rsidRPr="00432BEA" w:rsidR="009323FF">
        <w:rPr>
          <w:lang w:val="fr-FR"/>
        </w:rPr>
        <w:t xml:space="preserve"> 26</w:t>
      </w:r>
      <w:r w:rsidRPr="00432BEA" w:rsidR="007D2939">
        <w:rPr>
          <w:lang w:val="fr-FR"/>
        </w:rPr>
        <w:t xml:space="preserve"> ci-dessus).</w:t>
      </w:r>
    </w:p>
    <w:p w:rsidRPr="00432BEA" w:rsidR="007D22EB" w:rsidP="00432BEA" w:rsidRDefault="00686124">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55</w:t>
      </w:r>
      <w:r w:rsidRPr="00432BEA">
        <w:rPr>
          <w:lang w:val="fr-FR"/>
        </w:rPr>
        <w:fldChar w:fldCharType="end"/>
      </w:r>
      <w:r w:rsidRPr="00432BEA">
        <w:rPr>
          <w:lang w:val="fr-FR"/>
        </w:rPr>
        <w:t>.  Eu égard à l</w:t>
      </w:r>
      <w:r w:rsidRPr="00432BEA" w:rsidR="00432BEA">
        <w:rPr>
          <w:lang w:val="fr-FR"/>
        </w:rPr>
        <w:t>’</w:t>
      </w:r>
      <w:r w:rsidRPr="00432BEA">
        <w:rPr>
          <w:lang w:val="fr-FR"/>
        </w:rPr>
        <w:t>autorité de la Cour de cassation dans le système juridictionnel français, ainsi qu</w:t>
      </w:r>
      <w:r w:rsidRPr="00432BEA" w:rsidR="00432BEA">
        <w:rPr>
          <w:lang w:val="fr-FR"/>
        </w:rPr>
        <w:t>’</w:t>
      </w:r>
      <w:r w:rsidRPr="00432BEA">
        <w:rPr>
          <w:lang w:val="fr-FR"/>
        </w:rPr>
        <w:t xml:space="preserve">à la nature des arrêts précités, la Cour estime que, dans un tel contexte juridique, les requérants pouvaient légitimement déduire de </w:t>
      </w:r>
      <w:r w:rsidRPr="00432BEA" w:rsidR="00BC3D7D">
        <w:rPr>
          <w:lang w:val="fr-FR"/>
        </w:rPr>
        <w:t>la</w:t>
      </w:r>
      <w:r w:rsidRPr="00432BEA">
        <w:rPr>
          <w:lang w:val="fr-FR"/>
        </w:rPr>
        <w:t xml:space="preserve"> jurisprudence que dans leurs espèces, un pourvoi en cassation devant cette même instance eût été voué à l</w:t>
      </w:r>
      <w:r w:rsidRPr="00432BEA" w:rsidR="00432BEA">
        <w:rPr>
          <w:lang w:val="fr-FR"/>
        </w:rPr>
        <w:t>’</w:t>
      </w:r>
      <w:r w:rsidRPr="00432BEA">
        <w:rPr>
          <w:lang w:val="fr-FR"/>
        </w:rPr>
        <w:t>échec.</w:t>
      </w:r>
    </w:p>
    <w:p w:rsidRPr="00432BEA" w:rsidR="007D22EB" w:rsidP="00432BEA" w:rsidRDefault="00686124">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56</w:t>
      </w:r>
      <w:r w:rsidRPr="00432BEA">
        <w:rPr>
          <w:lang w:val="fr-FR"/>
        </w:rPr>
        <w:fldChar w:fldCharType="end"/>
      </w:r>
      <w:r w:rsidRPr="00432BEA">
        <w:rPr>
          <w:lang w:val="fr-FR"/>
        </w:rPr>
        <w:t>.  </w:t>
      </w:r>
      <w:r w:rsidRPr="00432BEA" w:rsidR="00191A49">
        <w:rPr>
          <w:lang w:val="fr-FR"/>
        </w:rPr>
        <w:t>Par conséquent, constatant que le grief n</w:t>
      </w:r>
      <w:r w:rsidRPr="00432BEA" w:rsidR="00432BEA">
        <w:rPr>
          <w:lang w:val="fr-FR"/>
        </w:rPr>
        <w:t>’</w:t>
      </w:r>
      <w:r w:rsidRPr="00432BEA" w:rsidR="00191A49">
        <w:rPr>
          <w:lang w:val="fr-FR"/>
        </w:rPr>
        <w:t>est pas manifestement mal fondé au sens de l</w:t>
      </w:r>
      <w:r w:rsidRPr="00432BEA" w:rsidR="00432BEA">
        <w:rPr>
          <w:lang w:val="fr-FR"/>
        </w:rPr>
        <w:t>’</w:t>
      </w:r>
      <w:r w:rsidRPr="00432BEA" w:rsidR="00191A49">
        <w:rPr>
          <w:lang w:val="fr-FR"/>
        </w:rPr>
        <w:t>article 35 § 3 a) de la Convention et qu</w:t>
      </w:r>
      <w:r w:rsidRPr="00432BEA" w:rsidR="00432BEA">
        <w:rPr>
          <w:lang w:val="fr-FR"/>
        </w:rPr>
        <w:t>’</w:t>
      </w:r>
      <w:r w:rsidRPr="00432BEA" w:rsidR="00191A49">
        <w:rPr>
          <w:lang w:val="fr-FR"/>
        </w:rPr>
        <w:t>il ne se heurte par ailleurs à aucun autre motif d</w:t>
      </w:r>
      <w:r w:rsidRPr="00432BEA" w:rsidR="00432BEA">
        <w:rPr>
          <w:lang w:val="fr-FR"/>
        </w:rPr>
        <w:t>’</w:t>
      </w:r>
      <w:r w:rsidRPr="00432BEA" w:rsidR="00191A49">
        <w:rPr>
          <w:lang w:val="fr-FR"/>
        </w:rPr>
        <w:t xml:space="preserve">irrecevabilité, la Cour le déclare recevable pour les </w:t>
      </w:r>
      <w:r w:rsidRPr="00432BEA" w:rsidR="00235897">
        <w:rPr>
          <w:lang w:val="fr-FR"/>
        </w:rPr>
        <w:t>requêtes citées au paragraphe 5</w:t>
      </w:r>
      <w:r w:rsidRPr="00432BEA" w:rsidR="0046583F">
        <w:rPr>
          <w:lang w:val="fr-FR"/>
        </w:rPr>
        <w:t>3</w:t>
      </w:r>
      <w:r w:rsidRPr="00432BEA" w:rsidR="00191A49">
        <w:rPr>
          <w:lang w:val="fr-FR"/>
        </w:rPr>
        <w:t xml:space="preserve"> ci-dessus</w:t>
      </w:r>
      <w:r w:rsidRPr="00432BEA" w:rsidR="00235897">
        <w:rPr>
          <w:lang w:val="fr-FR"/>
        </w:rPr>
        <w:t>,</w:t>
      </w:r>
      <w:r w:rsidRPr="00432BEA" w:rsidR="00191A49">
        <w:rPr>
          <w:lang w:val="fr-FR"/>
        </w:rPr>
        <w:t xml:space="preserve"> ainsi que pour toutes les autres</w:t>
      </w:r>
      <w:r w:rsidRPr="00432BEA" w:rsidR="00235897">
        <w:rPr>
          <w:lang w:val="fr-FR"/>
        </w:rPr>
        <w:t>,</w:t>
      </w:r>
      <w:r w:rsidRPr="00432BEA" w:rsidR="00191A49">
        <w:rPr>
          <w:lang w:val="fr-FR"/>
        </w:rPr>
        <w:t xml:space="preserve"> à l</w:t>
      </w:r>
      <w:r w:rsidRPr="00432BEA" w:rsidR="00432BEA">
        <w:rPr>
          <w:lang w:val="fr-FR"/>
        </w:rPr>
        <w:t>’</w:t>
      </w:r>
      <w:r w:rsidRPr="00432BEA" w:rsidR="00191A49">
        <w:rPr>
          <w:lang w:val="fr-FR"/>
        </w:rPr>
        <w:t xml:space="preserve">exception de celles mentionnées aux paragraphes </w:t>
      </w:r>
      <w:r w:rsidRPr="00432BEA" w:rsidR="00235897">
        <w:rPr>
          <w:lang w:val="fr-FR"/>
        </w:rPr>
        <w:t>30</w:t>
      </w:r>
      <w:r w:rsidRPr="00432BEA" w:rsidR="0046583F">
        <w:rPr>
          <w:lang w:val="fr-FR"/>
        </w:rPr>
        <w:t xml:space="preserve"> et</w:t>
      </w:r>
      <w:r w:rsidRPr="00432BEA" w:rsidR="00191A49">
        <w:rPr>
          <w:lang w:val="fr-FR"/>
        </w:rPr>
        <w:t xml:space="preserve"> 3</w:t>
      </w:r>
      <w:r w:rsidRPr="00432BEA" w:rsidR="00235897">
        <w:rPr>
          <w:lang w:val="fr-FR"/>
        </w:rPr>
        <w:t>1</w:t>
      </w:r>
      <w:r w:rsidRPr="00432BEA" w:rsidR="00632783">
        <w:rPr>
          <w:lang w:val="fr-FR"/>
        </w:rPr>
        <w:t xml:space="preserve"> ci</w:t>
      </w:r>
      <w:r w:rsidRPr="00432BEA" w:rsidR="00632783">
        <w:rPr>
          <w:lang w:val="fr-FR"/>
        </w:rPr>
        <w:noBreakHyphen/>
      </w:r>
      <w:r w:rsidRPr="00432BEA" w:rsidR="00191A49">
        <w:rPr>
          <w:lang w:val="fr-FR"/>
        </w:rPr>
        <w:t>dessus</w:t>
      </w:r>
      <w:r w:rsidRPr="00432BEA" w:rsidR="00235897">
        <w:rPr>
          <w:lang w:val="fr-FR"/>
        </w:rPr>
        <w:t xml:space="preserve"> (voir</w:t>
      </w:r>
      <w:r w:rsidRPr="00432BEA" w:rsidR="0046583F">
        <w:rPr>
          <w:lang w:val="fr-FR"/>
        </w:rPr>
        <w:t>,</w:t>
      </w:r>
      <w:r w:rsidRPr="00432BEA" w:rsidR="00235897">
        <w:rPr>
          <w:lang w:val="fr-FR"/>
        </w:rPr>
        <w:t xml:space="preserve"> paragraphe</w:t>
      </w:r>
      <w:r w:rsidRPr="00432BEA" w:rsidR="0046583F">
        <w:rPr>
          <w:lang w:val="fr-FR"/>
        </w:rPr>
        <w:t>s 49 à 51</w:t>
      </w:r>
      <w:r w:rsidRPr="00432BEA" w:rsidR="00235897">
        <w:rPr>
          <w:lang w:val="fr-FR"/>
        </w:rPr>
        <w:t xml:space="preserve"> ci-dessus)</w:t>
      </w:r>
      <w:r w:rsidRPr="00432BEA" w:rsidR="00191A49">
        <w:rPr>
          <w:lang w:val="fr-FR"/>
        </w:rPr>
        <w:t>.</w:t>
      </w:r>
    </w:p>
    <w:p w:rsidRPr="00432BEA" w:rsidR="00E77CB3" w:rsidP="00432BEA" w:rsidRDefault="00E77CB3">
      <w:pPr>
        <w:pStyle w:val="ECHRHeading2"/>
        <w:rPr>
          <w:lang w:val="fr-FR"/>
        </w:rPr>
      </w:pPr>
      <w:r w:rsidRPr="00432BEA">
        <w:rPr>
          <w:lang w:val="fr-FR"/>
        </w:rPr>
        <w:t>B.  Sur le fond</w:t>
      </w:r>
    </w:p>
    <w:p w:rsidRPr="00432BEA" w:rsidR="003F465D" w:rsidP="00432BEA" w:rsidRDefault="00451E62">
      <w:pPr>
        <w:pStyle w:val="ECHRHeading3"/>
        <w:rPr>
          <w:lang w:val="fr-FR"/>
        </w:rPr>
      </w:pPr>
      <w:r w:rsidRPr="00432BEA">
        <w:rPr>
          <w:lang w:val="fr-FR"/>
        </w:rPr>
        <w:t>1.  </w:t>
      </w:r>
      <w:r w:rsidRPr="00432BEA" w:rsidR="003F465D">
        <w:rPr>
          <w:lang w:val="fr-FR"/>
        </w:rPr>
        <w:t>Thèses des parties</w:t>
      </w:r>
    </w:p>
    <w:p w:rsidRPr="00432BEA" w:rsidR="007D22EB" w:rsidP="00432BEA" w:rsidRDefault="00451E62">
      <w:pPr>
        <w:pStyle w:val="ECHRHeading4"/>
        <w:rPr>
          <w:lang w:val="fr-FR"/>
        </w:rPr>
      </w:pPr>
      <w:r w:rsidRPr="00432BEA">
        <w:rPr>
          <w:lang w:val="fr-FR"/>
        </w:rPr>
        <w:t>a)  </w:t>
      </w:r>
      <w:r w:rsidRPr="00432BEA" w:rsidR="00A050D6">
        <w:rPr>
          <w:lang w:val="fr-FR"/>
        </w:rPr>
        <w:t>Les requérants</w:t>
      </w:r>
    </w:p>
    <w:p w:rsidRPr="00432BEA" w:rsidR="00CC5136" w:rsidP="00432BEA" w:rsidRDefault="00CC5136">
      <w:pPr>
        <w:pStyle w:val="ECHRPara"/>
        <w:rPr>
          <w:rFonts w:cs="Times New Roman"/>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57</w:t>
      </w:r>
      <w:r w:rsidRPr="00432BEA">
        <w:rPr>
          <w:lang w:val="fr-FR"/>
        </w:rPr>
        <w:fldChar w:fldCharType="end"/>
      </w:r>
      <w:r w:rsidRPr="00432BEA">
        <w:rPr>
          <w:lang w:val="fr-FR"/>
        </w:rPr>
        <w:t>.  </w:t>
      </w:r>
      <w:r w:rsidRPr="00432BEA" w:rsidR="003443EB">
        <w:rPr>
          <w:lang w:val="fr-FR"/>
        </w:rPr>
        <w:t>Les requérants</w:t>
      </w:r>
      <w:r w:rsidRPr="00432BEA" w:rsidR="00E33EFD">
        <w:rPr>
          <w:lang w:val="fr-FR"/>
        </w:rPr>
        <w:t xml:space="preserve"> estim</w:t>
      </w:r>
      <w:r w:rsidRPr="00432BEA" w:rsidR="00FB5243">
        <w:rPr>
          <w:lang w:val="fr-FR"/>
        </w:rPr>
        <w:t xml:space="preserve">ent que la loi litigieuse a été adoptée à un moment crucial de la procédure, soit juste avant le déroulement de </w:t>
      </w:r>
      <w:r w:rsidRPr="00432BEA" w:rsidR="009A4852">
        <w:rPr>
          <w:lang w:val="fr-FR"/>
        </w:rPr>
        <w:t xml:space="preserve">la première </w:t>
      </w:r>
      <w:r w:rsidRPr="00432BEA" w:rsidR="00FB5243">
        <w:rPr>
          <w:lang w:val="fr-FR"/>
        </w:rPr>
        <w:t>instance e</w:t>
      </w:r>
      <w:r w:rsidRPr="00432BEA" w:rsidR="009A4852">
        <w:rPr>
          <w:lang w:val="fr-FR"/>
        </w:rPr>
        <w:t>n</w:t>
      </w:r>
      <w:r w:rsidRPr="00432BEA" w:rsidR="00FB5243">
        <w:rPr>
          <w:lang w:val="fr-FR"/>
        </w:rPr>
        <w:t xml:space="preserve"> cassation.</w:t>
      </w:r>
      <w:r w:rsidRPr="00432BEA" w:rsidR="00FB5243">
        <w:rPr>
          <w:rFonts w:cs="Times New Roman"/>
          <w:lang w:val="fr-FR"/>
        </w:rPr>
        <w:t xml:space="preserve"> </w:t>
      </w:r>
      <w:r w:rsidRPr="00432BEA" w:rsidR="00C83FD0">
        <w:rPr>
          <w:rFonts w:cs="Times New Roman"/>
          <w:lang w:val="fr-FR"/>
        </w:rPr>
        <w:t xml:space="preserve">Cette situation </w:t>
      </w:r>
      <w:r w:rsidRPr="00432BEA" w:rsidR="009A4852">
        <w:rPr>
          <w:rFonts w:cs="Times New Roman"/>
          <w:lang w:val="fr-FR"/>
        </w:rPr>
        <w:t>a permis à l</w:t>
      </w:r>
      <w:r w:rsidRPr="00432BEA" w:rsidR="00432BEA">
        <w:rPr>
          <w:rFonts w:cs="Times New Roman"/>
          <w:lang w:val="fr-FR"/>
        </w:rPr>
        <w:t>’</w:t>
      </w:r>
      <w:r w:rsidRPr="00432BEA" w:rsidR="009A4852">
        <w:rPr>
          <w:rFonts w:cs="Times New Roman"/>
          <w:lang w:val="fr-FR"/>
        </w:rPr>
        <w:t>URSSAF de s</w:t>
      </w:r>
      <w:r w:rsidRPr="00432BEA" w:rsidR="00432BEA">
        <w:rPr>
          <w:rFonts w:cs="Times New Roman"/>
          <w:lang w:val="fr-FR"/>
        </w:rPr>
        <w:t>’</w:t>
      </w:r>
      <w:r w:rsidRPr="00432BEA" w:rsidR="009A4852">
        <w:rPr>
          <w:rFonts w:cs="Times New Roman"/>
          <w:lang w:val="fr-FR"/>
        </w:rPr>
        <w:t>appuyer dans son mémoire en défense sur l</w:t>
      </w:r>
      <w:r w:rsidRPr="00432BEA" w:rsidR="00432BEA">
        <w:rPr>
          <w:rFonts w:cs="Times New Roman"/>
          <w:lang w:val="fr-FR"/>
        </w:rPr>
        <w:t>’</w:t>
      </w:r>
      <w:r w:rsidRPr="00432BEA" w:rsidR="00632783">
        <w:rPr>
          <w:rFonts w:cs="Times New Roman"/>
          <w:lang w:val="fr-FR"/>
        </w:rPr>
        <w:t>article 14 de la loi du 20 </w:t>
      </w:r>
      <w:r w:rsidRPr="00432BEA" w:rsidR="009A4852">
        <w:rPr>
          <w:rFonts w:cs="Times New Roman"/>
          <w:lang w:val="fr-FR"/>
        </w:rPr>
        <w:t xml:space="preserve">décembre 2010 </w:t>
      </w:r>
      <w:r w:rsidRPr="00432BEA" w:rsidR="00AD7C0A">
        <w:rPr>
          <w:rFonts w:cs="Times New Roman"/>
          <w:lang w:val="fr-FR"/>
        </w:rPr>
        <w:t>pour conforter sa position et alléguer le</w:t>
      </w:r>
      <w:r w:rsidRPr="00432BEA" w:rsidR="009A4852">
        <w:rPr>
          <w:rFonts w:cs="Times New Roman"/>
          <w:lang w:val="fr-FR"/>
        </w:rPr>
        <w:t xml:space="preserve"> caractère interprétatif</w:t>
      </w:r>
      <w:r w:rsidRPr="00432BEA" w:rsidR="00AD7C0A">
        <w:rPr>
          <w:rFonts w:cs="Times New Roman"/>
          <w:lang w:val="fr-FR"/>
        </w:rPr>
        <w:t xml:space="preserve"> de ce dernier</w:t>
      </w:r>
      <w:r w:rsidRPr="00432BEA" w:rsidR="009A4852">
        <w:rPr>
          <w:rFonts w:cs="Times New Roman"/>
          <w:lang w:val="fr-FR"/>
        </w:rPr>
        <w:t>, et</w:t>
      </w:r>
      <w:r w:rsidRPr="00432BEA" w:rsidR="00412F82">
        <w:rPr>
          <w:rFonts w:cs="Times New Roman"/>
          <w:lang w:val="fr-FR"/>
        </w:rPr>
        <w:t>,</w:t>
      </w:r>
      <w:r w:rsidRPr="00432BEA" w:rsidR="009A4852">
        <w:rPr>
          <w:rFonts w:cs="Times New Roman"/>
          <w:lang w:val="fr-FR"/>
        </w:rPr>
        <w:t xml:space="preserve"> au conseille</w:t>
      </w:r>
      <w:r w:rsidRPr="00432BEA" w:rsidR="00632783">
        <w:rPr>
          <w:rFonts w:cs="Times New Roman"/>
          <w:lang w:val="fr-FR"/>
        </w:rPr>
        <w:t>r rapporteur de proposer la non</w:t>
      </w:r>
      <w:r w:rsidRPr="00432BEA" w:rsidR="00632783">
        <w:rPr>
          <w:rFonts w:cs="Times New Roman"/>
          <w:lang w:val="fr-FR"/>
        </w:rPr>
        <w:noBreakHyphen/>
      </w:r>
      <w:r w:rsidRPr="00432BEA" w:rsidR="009A4852">
        <w:rPr>
          <w:rFonts w:cs="Times New Roman"/>
          <w:lang w:val="fr-FR"/>
        </w:rPr>
        <w:t>admission sur cette base ainsi que sur la décision du Conseil constitutionnel.</w:t>
      </w:r>
      <w:r w:rsidRPr="00432BEA" w:rsidR="00B20798">
        <w:rPr>
          <w:rFonts w:cs="Times New Roman"/>
          <w:lang w:val="fr-FR"/>
        </w:rPr>
        <w:t xml:space="preserve"> Les requérants </w:t>
      </w:r>
      <w:r w:rsidRPr="00432BEA" w:rsidR="00E33EFD">
        <w:rPr>
          <w:rFonts w:cs="Times New Roman"/>
          <w:lang w:val="fr-FR"/>
        </w:rPr>
        <w:t xml:space="preserve">soulignent </w:t>
      </w:r>
      <w:r w:rsidRPr="00432BEA" w:rsidR="00B20798">
        <w:rPr>
          <w:rFonts w:cs="Times New Roman"/>
          <w:lang w:val="fr-FR"/>
        </w:rPr>
        <w:t>que les term</w:t>
      </w:r>
      <w:r w:rsidRPr="00432BEA" w:rsidR="00E33EFD">
        <w:rPr>
          <w:rFonts w:cs="Times New Roman"/>
          <w:lang w:val="fr-FR"/>
        </w:rPr>
        <w:t>es du débat n</w:t>
      </w:r>
      <w:r w:rsidRPr="00432BEA" w:rsidR="00432BEA">
        <w:rPr>
          <w:rFonts w:cs="Times New Roman"/>
          <w:lang w:val="fr-FR"/>
        </w:rPr>
        <w:t>’</w:t>
      </w:r>
      <w:r w:rsidRPr="00432BEA" w:rsidR="00E33EFD">
        <w:rPr>
          <w:rFonts w:cs="Times New Roman"/>
          <w:lang w:val="fr-FR"/>
        </w:rPr>
        <w:t>étaient</w:t>
      </w:r>
      <w:r w:rsidRPr="00432BEA" w:rsidR="005B47D8">
        <w:rPr>
          <w:rFonts w:cs="Times New Roman"/>
          <w:lang w:val="fr-FR"/>
        </w:rPr>
        <w:t xml:space="preserve"> pourtant</w:t>
      </w:r>
      <w:r w:rsidRPr="00432BEA" w:rsidR="00E33EFD">
        <w:rPr>
          <w:rFonts w:cs="Times New Roman"/>
          <w:lang w:val="fr-FR"/>
        </w:rPr>
        <w:t xml:space="preserve"> pas fixés : si</w:t>
      </w:r>
      <w:r w:rsidRPr="00432BEA" w:rsidR="00B20798">
        <w:rPr>
          <w:rFonts w:cs="Times New Roman"/>
          <w:lang w:val="fr-FR"/>
        </w:rPr>
        <w:t xml:space="preserve"> le jugement de première instance et l</w:t>
      </w:r>
      <w:r w:rsidRPr="00432BEA" w:rsidR="00432BEA">
        <w:rPr>
          <w:rFonts w:cs="Times New Roman"/>
          <w:lang w:val="fr-FR"/>
        </w:rPr>
        <w:t>’</w:t>
      </w:r>
      <w:r w:rsidRPr="00432BEA" w:rsidR="00B20798">
        <w:rPr>
          <w:rFonts w:cs="Times New Roman"/>
          <w:lang w:val="fr-FR"/>
        </w:rPr>
        <w:t>arrêt d</w:t>
      </w:r>
      <w:r w:rsidRPr="00432BEA" w:rsidR="00432BEA">
        <w:rPr>
          <w:rFonts w:cs="Times New Roman"/>
          <w:lang w:val="fr-FR"/>
        </w:rPr>
        <w:t>’</w:t>
      </w:r>
      <w:r w:rsidRPr="00432BEA" w:rsidR="00B20798">
        <w:rPr>
          <w:rFonts w:cs="Times New Roman"/>
          <w:lang w:val="fr-FR"/>
        </w:rPr>
        <w:t>appel étaient défavorables dans la première procédure</w:t>
      </w:r>
      <w:r w:rsidRPr="00432BEA" w:rsidR="00E33EFD">
        <w:rPr>
          <w:rFonts w:cs="Times New Roman"/>
          <w:lang w:val="fr-FR"/>
        </w:rPr>
        <w:t>, des jugements</w:t>
      </w:r>
      <w:r w:rsidRPr="00432BEA" w:rsidR="00B20798">
        <w:rPr>
          <w:rFonts w:cs="Times New Roman"/>
          <w:lang w:val="fr-FR"/>
        </w:rPr>
        <w:t xml:space="preserve"> et</w:t>
      </w:r>
      <w:r w:rsidRPr="00432BEA" w:rsidR="00E33EFD">
        <w:rPr>
          <w:rFonts w:cs="Times New Roman"/>
          <w:lang w:val="fr-FR"/>
        </w:rPr>
        <w:t xml:space="preserve"> un arrêt d</w:t>
      </w:r>
      <w:r w:rsidRPr="00432BEA" w:rsidR="00432BEA">
        <w:rPr>
          <w:rFonts w:cs="Times New Roman"/>
          <w:lang w:val="fr-FR"/>
        </w:rPr>
        <w:t>’</w:t>
      </w:r>
      <w:r w:rsidRPr="00432BEA" w:rsidR="00E33EFD">
        <w:rPr>
          <w:rFonts w:cs="Times New Roman"/>
          <w:lang w:val="fr-FR"/>
        </w:rPr>
        <w:t>appel indiquaient</w:t>
      </w:r>
      <w:r w:rsidRPr="00432BEA" w:rsidR="00B20798">
        <w:rPr>
          <w:rFonts w:cs="Times New Roman"/>
          <w:lang w:val="fr-FR"/>
        </w:rPr>
        <w:t xml:space="preserve"> que le domicile des personnes âgées d</w:t>
      </w:r>
      <w:r w:rsidRPr="00432BEA" w:rsidR="00E33EFD">
        <w:rPr>
          <w:rFonts w:cs="Times New Roman"/>
          <w:lang w:val="fr-FR"/>
        </w:rPr>
        <w:t>épendantes s</w:t>
      </w:r>
      <w:r w:rsidRPr="00432BEA" w:rsidR="00432BEA">
        <w:rPr>
          <w:rFonts w:cs="Times New Roman"/>
          <w:lang w:val="fr-FR"/>
        </w:rPr>
        <w:t>’</w:t>
      </w:r>
      <w:r w:rsidRPr="00432BEA" w:rsidR="00E33EFD">
        <w:rPr>
          <w:rFonts w:cs="Times New Roman"/>
          <w:lang w:val="fr-FR"/>
        </w:rPr>
        <w:t>entend égalem</w:t>
      </w:r>
      <w:r w:rsidRPr="00432BEA" w:rsidR="00BC3D7D">
        <w:rPr>
          <w:rFonts w:cs="Times New Roman"/>
          <w:lang w:val="fr-FR"/>
        </w:rPr>
        <w:t>ent d</w:t>
      </w:r>
      <w:r w:rsidRPr="00432BEA" w:rsidR="00432BEA">
        <w:rPr>
          <w:rFonts w:cs="Times New Roman"/>
          <w:lang w:val="fr-FR"/>
        </w:rPr>
        <w:t>’</w:t>
      </w:r>
      <w:r w:rsidRPr="00432BEA" w:rsidR="00BC3D7D">
        <w:rPr>
          <w:rFonts w:cs="Times New Roman"/>
          <w:lang w:val="fr-FR"/>
        </w:rPr>
        <w:t>une</w:t>
      </w:r>
      <w:r w:rsidRPr="00432BEA" w:rsidR="00A27FBA">
        <w:rPr>
          <w:rFonts w:cs="Times New Roman"/>
          <w:lang w:val="fr-FR"/>
        </w:rPr>
        <w:t xml:space="preserve"> chambre en E</w:t>
      </w:r>
      <w:r w:rsidRPr="00432BEA" w:rsidR="00B20798">
        <w:rPr>
          <w:rFonts w:cs="Times New Roman"/>
          <w:lang w:val="fr-FR"/>
        </w:rPr>
        <w:t>H</w:t>
      </w:r>
      <w:r w:rsidRPr="00432BEA" w:rsidR="00A27FBA">
        <w:rPr>
          <w:rFonts w:cs="Times New Roman"/>
          <w:lang w:val="fr-FR"/>
        </w:rPr>
        <w:t>P</w:t>
      </w:r>
      <w:r w:rsidRPr="00432BEA" w:rsidR="00B20798">
        <w:rPr>
          <w:rFonts w:cs="Times New Roman"/>
          <w:lang w:val="fr-FR"/>
        </w:rPr>
        <w:t>AD (paragraphe</w:t>
      </w:r>
      <w:r w:rsidRPr="00432BEA" w:rsidR="00235897">
        <w:rPr>
          <w:rFonts w:cs="Times New Roman"/>
          <w:lang w:val="fr-FR"/>
        </w:rPr>
        <w:t xml:space="preserve"> 46</w:t>
      </w:r>
      <w:r w:rsidRPr="00432BEA" w:rsidR="00B20798">
        <w:rPr>
          <w:rFonts w:cs="Times New Roman"/>
          <w:lang w:val="fr-FR"/>
        </w:rPr>
        <w:t xml:space="preserve"> ci-dessus). </w:t>
      </w:r>
      <w:r w:rsidRPr="00432BEA" w:rsidR="00412F82">
        <w:rPr>
          <w:rFonts w:cs="Times New Roman"/>
          <w:lang w:val="fr-FR"/>
        </w:rPr>
        <w:t>Ils dénoncent le fait que l</w:t>
      </w:r>
      <w:r w:rsidRPr="00432BEA" w:rsidR="00C83FD0">
        <w:rPr>
          <w:rFonts w:cs="Times New Roman"/>
          <w:lang w:val="fr-FR"/>
        </w:rPr>
        <w:t>a Cour de cassation</w:t>
      </w:r>
      <w:r w:rsidRPr="00432BEA" w:rsidR="00235897">
        <w:rPr>
          <w:rFonts w:cs="Times New Roman"/>
          <w:lang w:val="fr-FR"/>
        </w:rPr>
        <w:t>,</w:t>
      </w:r>
      <w:r w:rsidRPr="00432BEA" w:rsidR="0046583F">
        <w:rPr>
          <w:rFonts w:cs="Times New Roman"/>
          <w:lang w:val="fr-FR"/>
        </w:rPr>
        <w:t xml:space="preserve"> qui devait se p</w:t>
      </w:r>
      <w:r w:rsidRPr="00432BEA" w:rsidR="003C6ACA">
        <w:rPr>
          <w:rFonts w:cs="Times New Roman"/>
          <w:lang w:val="fr-FR"/>
        </w:rPr>
        <w:t xml:space="preserve">rononcer sur la question de </w:t>
      </w:r>
      <w:r w:rsidRPr="00432BEA" w:rsidR="0046583F">
        <w:rPr>
          <w:rFonts w:cs="Times New Roman"/>
          <w:lang w:val="fr-FR"/>
        </w:rPr>
        <w:t>principe</w:t>
      </w:r>
      <w:r w:rsidRPr="00432BEA" w:rsidR="00412F82">
        <w:rPr>
          <w:rFonts w:cs="Times New Roman"/>
          <w:lang w:val="fr-FR"/>
        </w:rPr>
        <w:t>, a ainsi</w:t>
      </w:r>
      <w:r w:rsidRPr="00432BEA" w:rsidR="0046583F">
        <w:rPr>
          <w:rFonts w:cs="Times New Roman"/>
          <w:lang w:val="fr-FR"/>
        </w:rPr>
        <w:t xml:space="preserve"> rejeté le </w:t>
      </w:r>
      <w:r w:rsidRPr="00432BEA" w:rsidR="00412F82">
        <w:rPr>
          <w:rFonts w:cs="Times New Roman"/>
          <w:lang w:val="fr-FR"/>
        </w:rPr>
        <w:t xml:space="preserve">premier </w:t>
      </w:r>
      <w:r w:rsidRPr="00432BEA" w:rsidR="0046583F">
        <w:rPr>
          <w:rFonts w:cs="Times New Roman"/>
          <w:lang w:val="fr-FR"/>
        </w:rPr>
        <w:t>pourvoi</w:t>
      </w:r>
      <w:r w:rsidRPr="00432BEA" w:rsidR="005B47D8">
        <w:rPr>
          <w:rFonts w:cs="Times New Roman"/>
          <w:lang w:val="fr-FR"/>
        </w:rPr>
        <w:t xml:space="preserve"> </w:t>
      </w:r>
      <w:r w:rsidRPr="00432BEA" w:rsidR="00C83FD0">
        <w:rPr>
          <w:rFonts w:cs="Times New Roman"/>
          <w:lang w:val="fr-FR"/>
        </w:rPr>
        <w:t xml:space="preserve">en employant les </w:t>
      </w:r>
      <w:r w:rsidRPr="00432BEA" w:rsidR="00820BA5">
        <w:rPr>
          <w:rFonts w:cs="Times New Roman"/>
          <w:lang w:val="fr-FR"/>
        </w:rPr>
        <w:t>termes de la loi du 20 décembre 2010</w:t>
      </w:r>
      <w:r w:rsidRPr="00432BEA" w:rsidR="003C6ACA">
        <w:rPr>
          <w:rFonts w:cs="Times New Roman"/>
          <w:lang w:val="fr-FR"/>
        </w:rPr>
        <w:t>, ce qui a conduit également à l</w:t>
      </w:r>
      <w:r w:rsidRPr="00432BEA" w:rsidR="00432BEA">
        <w:rPr>
          <w:rFonts w:cs="Times New Roman"/>
          <w:lang w:val="fr-FR"/>
        </w:rPr>
        <w:t>’</w:t>
      </w:r>
      <w:r w:rsidRPr="00432BEA" w:rsidR="003C6ACA">
        <w:rPr>
          <w:rFonts w:cs="Times New Roman"/>
          <w:lang w:val="fr-FR"/>
        </w:rPr>
        <w:t>infirmation d</w:t>
      </w:r>
      <w:r w:rsidRPr="00432BEA" w:rsidR="00432BEA">
        <w:rPr>
          <w:rFonts w:cs="Times New Roman"/>
          <w:lang w:val="fr-FR"/>
        </w:rPr>
        <w:t>’</w:t>
      </w:r>
      <w:r w:rsidRPr="00432BEA" w:rsidR="003C6ACA">
        <w:rPr>
          <w:rFonts w:cs="Times New Roman"/>
          <w:lang w:val="fr-FR"/>
        </w:rPr>
        <w:t>un jugement favorable à l</w:t>
      </w:r>
      <w:r w:rsidRPr="00432BEA" w:rsidR="00432BEA">
        <w:rPr>
          <w:rFonts w:cs="Times New Roman"/>
          <w:lang w:val="fr-FR"/>
        </w:rPr>
        <w:t>’</w:t>
      </w:r>
      <w:r w:rsidRPr="00432BEA" w:rsidR="003C6ACA">
        <w:rPr>
          <w:rFonts w:cs="Times New Roman"/>
          <w:lang w:val="fr-FR"/>
        </w:rPr>
        <w:t>un d</w:t>
      </w:r>
      <w:r w:rsidRPr="00432BEA" w:rsidR="00432BEA">
        <w:rPr>
          <w:rFonts w:cs="Times New Roman"/>
          <w:lang w:val="fr-FR"/>
        </w:rPr>
        <w:t>’</w:t>
      </w:r>
      <w:r w:rsidRPr="00432BEA" w:rsidR="003C6ACA">
        <w:rPr>
          <w:rFonts w:cs="Times New Roman"/>
          <w:lang w:val="fr-FR"/>
        </w:rPr>
        <w:t>entre eux (paragraphes 34 et 35 ci-dessus) après l</w:t>
      </w:r>
      <w:r w:rsidRPr="00432BEA" w:rsidR="00432BEA">
        <w:rPr>
          <w:rFonts w:cs="Times New Roman"/>
          <w:lang w:val="fr-FR"/>
        </w:rPr>
        <w:t>’</w:t>
      </w:r>
      <w:r w:rsidRPr="00432BEA" w:rsidR="003C6ACA">
        <w:rPr>
          <w:rFonts w:cs="Times New Roman"/>
          <w:lang w:val="fr-FR"/>
        </w:rPr>
        <w:t>arrêt rendu le 22 septembre 2011</w:t>
      </w:r>
      <w:r w:rsidRPr="00432BEA" w:rsidR="00045CB3">
        <w:rPr>
          <w:rFonts w:cs="Times New Roman"/>
          <w:lang w:val="fr-FR"/>
        </w:rPr>
        <w:t>.</w:t>
      </w:r>
    </w:p>
    <w:p w:rsidRPr="00432BEA" w:rsidR="00B42A44" w:rsidP="00432BEA" w:rsidRDefault="00C83FD0">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58</w:t>
      </w:r>
      <w:r w:rsidRPr="00432BEA">
        <w:rPr>
          <w:lang w:val="fr-FR"/>
        </w:rPr>
        <w:fldChar w:fldCharType="end"/>
      </w:r>
      <w:r w:rsidRPr="00432BEA">
        <w:rPr>
          <w:lang w:val="fr-FR"/>
        </w:rPr>
        <w:t xml:space="preserve">.  Les requérants affirment que la Cour condamne un tel procédé : </w:t>
      </w:r>
      <w:r w:rsidRPr="00432BEA" w:rsidR="005B47D8">
        <w:rPr>
          <w:rFonts w:cs="Times New Roman"/>
          <w:lang w:val="fr-FR"/>
        </w:rPr>
        <w:t>lorsqu</w:t>
      </w:r>
      <w:r w:rsidRPr="00432BEA" w:rsidR="00432BEA">
        <w:rPr>
          <w:rFonts w:cs="Times New Roman"/>
          <w:lang w:val="fr-FR"/>
        </w:rPr>
        <w:t>’</w:t>
      </w:r>
      <w:r w:rsidRPr="00432BEA" w:rsidR="005B47D8">
        <w:rPr>
          <w:rFonts w:cs="Times New Roman"/>
          <w:lang w:val="fr-FR"/>
        </w:rPr>
        <w:t xml:space="preserve">une loi de validation est votée au moment où le procès </w:t>
      </w:r>
      <w:r w:rsidRPr="00432BEA" w:rsidR="00B42A44">
        <w:rPr>
          <w:rFonts w:cs="Times New Roman"/>
          <w:lang w:val="fr-FR"/>
        </w:rPr>
        <w:t>est sur le point de trouver son issue, il y</w:t>
      </w:r>
      <w:r w:rsidRPr="00432BEA" w:rsidR="00A27FBA">
        <w:rPr>
          <w:rFonts w:cs="Times New Roman"/>
          <w:lang w:val="fr-FR"/>
        </w:rPr>
        <w:t xml:space="preserve"> a</w:t>
      </w:r>
      <w:r w:rsidRPr="00432BEA" w:rsidR="00B42A44">
        <w:rPr>
          <w:rFonts w:cs="Times New Roman"/>
          <w:lang w:val="fr-FR"/>
        </w:rPr>
        <w:t xml:space="preserve"> atteinte au</w:t>
      </w:r>
      <w:r w:rsidRPr="00432BEA" w:rsidR="005B47D8">
        <w:rPr>
          <w:rFonts w:cs="Times New Roman"/>
          <w:lang w:val="fr-FR"/>
        </w:rPr>
        <w:t xml:space="preserve"> droit à un procès équitable, </w:t>
      </w:r>
      <w:r w:rsidRPr="00432BEA" w:rsidR="00B42A44">
        <w:rPr>
          <w:rFonts w:cs="Times New Roman"/>
          <w:lang w:val="fr-FR"/>
        </w:rPr>
        <w:t>à l</w:t>
      </w:r>
      <w:r w:rsidRPr="00432BEA" w:rsidR="00432BEA">
        <w:rPr>
          <w:rFonts w:cs="Times New Roman"/>
          <w:lang w:val="fr-FR"/>
        </w:rPr>
        <w:t>’</w:t>
      </w:r>
      <w:r w:rsidRPr="00432BEA" w:rsidR="00B42A44">
        <w:rPr>
          <w:rFonts w:cs="Times New Roman"/>
          <w:lang w:val="fr-FR"/>
        </w:rPr>
        <w:t>indépendance des tribunaux et à l</w:t>
      </w:r>
      <w:r w:rsidRPr="00432BEA" w:rsidR="00432BEA">
        <w:rPr>
          <w:rFonts w:cs="Times New Roman"/>
          <w:lang w:val="fr-FR"/>
        </w:rPr>
        <w:t>’</w:t>
      </w:r>
      <w:r w:rsidRPr="00432BEA" w:rsidR="00B42A44">
        <w:rPr>
          <w:rFonts w:cs="Times New Roman"/>
          <w:lang w:val="fr-FR"/>
        </w:rPr>
        <w:t>égalité des armes (</w:t>
      </w:r>
      <w:r w:rsidRPr="00432BEA">
        <w:rPr>
          <w:i/>
          <w:lang w:val="fr-FR"/>
        </w:rPr>
        <w:t>Raffineries grecques Stran et Stratis Andreadis c. Grèce</w:t>
      </w:r>
      <w:r w:rsidRPr="00432BEA">
        <w:rPr>
          <w:lang w:val="fr-FR"/>
        </w:rPr>
        <w:t>, 9 décembre 1994, série A n</w:t>
      </w:r>
      <w:r w:rsidRPr="00432BEA">
        <w:rPr>
          <w:rFonts w:cs="Times New Roman"/>
          <w:vertAlign w:val="superscript"/>
          <w:lang w:val="fr-FR"/>
        </w:rPr>
        <w:t>o</w:t>
      </w:r>
      <w:r w:rsidRPr="00432BEA">
        <w:rPr>
          <w:lang w:val="fr-FR"/>
        </w:rPr>
        <w:t xml:space="preserve"> 301</w:t>
      </w:r>
      <w:r w:rsidRPr="00432BEA">
        <w:rPr>
          <w:lang w:val="fr-FR"/>
        </w:rPr>
        <w:noBreakHyphen/>
        <w:t>B</w:t>
      </w:r>
      <w:r w:rsidRPr="00432BEA" w:rsidR="00B42A44">
        <w:rPr>
          <w:lang w:val="fr-FR"/>
        </w:rPr>
        <w:t> e</w:t>
      </w:r>
      <w:r w:rsidRPr="00432BEA">
        <w:rPr>
          <w:lang w:val="fr-FR"/>
        </w:rPr>
        <w:t xml:space="preserve">t </w:t>
      </w:r>
      <w:r w:rsidRPr="00432BEA">
        <w:rPr>
          <w:i/>
          <w:lang w:val="fr-FR"/>
        </w:rPr>
        <w:t>Papageorgiou c. Grèce</w:t>
      </w:r>
      <w:r w:rsidRPr="00432BEA" w:rsidR="00B42A44">
        <w:rPr>
          <w:rFonts w:cs="Times New Roman"/>
          <w:lang w:val="fr-FR"/>
        </w:rPr>
        <w:t xml:space="preserve">, </w:t>
      </w:r>
      <w:r w:rsidRPr="00432BEA">
        <w:rPr>
          <w:rFonts w:cs="Times New Roman"/>
          <w:lang w:val="fr-FR"/>
        </w:rPr>
        <w:t xml:space="preserve">22 octobre 1997, </w:t>
      </w:r>
      <w:r w:rsidRPr="00432BEA">
        <w:rPr>
          <w:i/>
          <w:lang w:val="fr-FR"/>
        </w:rPr>
        <w:t>Recueil des arrêts et décisions</w:t>
      </w:r>
      <w:r w:rsidRPr="00432BEA">
        <w:rPr>
          <w:rFonts w:cs="Times New Roman"/>
          <w:lang w:val="fr-FR"/>
        </w:rPr>
        <w:t xml:space="preserve"> 1997</w:t>
      </w:r>
      <w:r w:rsidRPr="00432BEA">
        <w:rPr>
          <w:rFonts w:cs="Times New Roman"/>
          <w:lang w:val="fr-FR"/>
        </w:rPr>
        <w:noBreakHyphen/>
        <w:t>VI)</w:t>
      </w:r>
      <w:r w:rsidRPr="00432BEA" w:rsidR="00B42A44">
        <w:rPr>
          <w:rFonts w:cs="Times New Roman"/>
          <w:lang w:val="fr-FR"/>
        </w:rPr>
        <w:t>.</w:t>
      </w:r>
    </w:p>
    <w:p w:rsidRPr="00432BEA" w:rsidR="00045CB3" w:rsidP="00432BEA" w:rsidRDefault="00045CB3">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59</w:t>
      </w:r>
      <w:r w:rsidRPr="00432BEA">
        <w:rPr>
          <w:lang w:val="fr-FR"/>
        </w:rPr>
        <w:fldChar w:fldCharType="end"/>
      </w:r>
      <w:r w:rsidRPr="00432BEA">
        <w:rPr>
          <w:lang w:val="fr-FR"/>
        </w:rPr>
        <w:t>.  Les requérants déduisent de ce qui précède que la loi a purement et simplement entériné la position de l</w:t>
      </w:r>
      <w:r w:rsidRPr="00432BEA" w:rsidR="00432BEA">
        <w:rPr>
          <w:lang w:val="fr-FR"/>
        </w:rPr>
        <w:t>’</w:t>
      </w:r>
      <w:r w:rsidRPr="00432BEA" w:rsidR="002D6177">
        <w:rPr>
          <w:lang w:val="fr-FR"/>
        </w:rPr>
        <w:t>État</w:t>
      </w:r>
      <w:r w:rsidRPr="00432BEA">
        <w:rPr>
          <w:lang w:val="fr-FR"/>
        </w:rPr>
        <w:t xml:space="preserve"> dans le cadre des procédures diligentées contre l</w:t>
      </w:r>
      <w:r w:rsidRPr="00432BEA" w:rsidR="00432BEA">
        <w:rPr>
          <w:lang w:val="fr-FR"/>
        </w:rPr>
        <w:t>’</w:t>
      </w:r>
      <w:r w:rsidRPr="00432BEA">
        <w:rPr>
          <w:lang w:val="fr-FR"/>
        </w:rPr>
        <w:t>URSSAF et toujours pendantes devant les juridictions.</w:t>
      </w:r>
    </w:p>
    <w:p w:rsidRPr="00432BEA" w:rsidR="00F8275C" w:rsidP="00432BEA" w:rsidRDefault="00045CB3">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60</w:t>
      </w:r>
      <w:r w:rsidRPr="00432BEA">
        <w:rPr>
          <w:lang w:val="fr-FR"/>
        </w:rPr>
        <w:fldChar w:fldCharType="end"/>
      </w:r>
      <w:r w:rsidRPr="00432BEA">
        <w:rPr>
          <w:lang w:val="fr-FR"/>
        </w:rPr>
        <w:t>.  </w:t>
      </w:r>
      <w:r w:rsidRPr="00432BEA" w:rsidR="00A27FBA">
        <w:rPr>
          <w:lang w:val="fr-FR"/>
        </w:rPr>
        <w:t xml:space="preserve">Ils </w:t>
      </w:r>
      <w:r w:rsidRPr="00432BEA" w:rsidR="002D6177">
        <w:rPr>
          <w:lang w:val="fr-FR"/>
        </w:rPr>
        <w:t>considèrent</w:t>
      </w:r>
      <w:r w:rsidRPr="00432BEA" w:rsidR="00A27FBA">
        <w:rPr>
          <w:lang w:val="fr-FR"/>
        </w:rPr>
        <w:t xml:space="preserve"> également</w:t>
      </w:r>
      <w:r w:rsidRPr="00432BEA" w:rsidR="002D6177">
        <w:rPr>
          <w:lang w:val="fr-FR"/>
        </w:rPr>
        <w:t xml:space="preserve"> que la loi litigieuse n</w:t>
      </w:r>
      <w:r w:rsidRPr="00432BEA" w:rsidR="00432BEA">
        <w:rPr>
          <w:lang w:val="fr-FR"/>
        </w:rPr>
        <w:t>’</w:t>
      </w:r>
      <w:r w:rsidRPr="00432BEA" w:rsidR="002D6177">
        <w:rPr>
          <w:lang w:val="fr-FR"/>
        </w:rPr>
        <w:t>est pas intervenue pour interpréter les versions précédentes de l</w:t>
      </w:r>
      <w:r w:rsidRPr="00432BEA" w:rsidR="00432BEA">
        <w:rPr>
          <w:lang w:val="fr-FR"/>
        </w:rPr>
        <w:t>’</w:t>
      </w:r>
      <w:r w:rsidRPr="00432BEA" w:rsidR="002D6177">
        <w:rPr>
          <w:lang w:val="fr-FR"/>
        </w:rPr>
        <w:t>article L</w:t>
      </w:r>
      <w:r w:rsidRPr="00432BEA" w:rsidR="00A27FBA">
        <w:rPr>
          <w:lang w:val="fr-FR"/>
        </w:rPr>
        <w:t>.</w:t>
      </w:r>
      <w:r w:rsidRPr="00432BEA" w:rsidR="002D6177">
        <w:rPr>
          <w:lang w:val="fr-FR"/>
        </w:rPr>
        <w:t xml:space="preserve"> 241-10</w:t>
      </w:r>
      <w:r w:rsidRPr="00432BEA" w:rsidR="00A27FBA">
        <w:rPr>
          <w:lang w:val="fr-FR"/>
        </w:rPr>
        <w:t xml:space="preserve"> du CSS</w:t>
      </w:r>
      <w:r w:rsidRPr="00432BEA" w:rsidR="002D6177">
        <w:rPr>
          <w:lang w:val="fr-FR"/>
        </w:rPr>
        <w:t xml:space="preserve"> ni confirmer une intention initiale du législateur</w:t>
      </w:r>
      <w:r w:rsidRPr="00432BEA" w:rsidR="00A27FBA">
        <w:rPr>
          <w:lang w:val="fr-FR"/>
        </w:rPr>
        <w:t>,</w:t>
      </w:r>
      <w:r w:rsidRPr="00432BEA" w:rsidR="002D6177">
        <w:rPr>
          <w:lang w:val="fr-FR"/>
        </w:rPr>
        <w:t xml:space="preserve"> mais </w:t>
      </w:r>
      <w:r w:rsidRPr="00432BEA" w:rsidR="00BC3D7D">
        <w:rPr>
          <w:lang w:val="fr-FR"/>
        </w:rPr>
        <w:t xml:space="preserve">seulement </w:t>
      </w:r>
      <w:r w:rsidRPr="00432BEA" w:rsidR="002D6177">
        <w:rPr>
          <w:lang w:val="fr-FR"/>
        </w:rPr>
        <w:t>pour des considérations financières</w:t>
      </w:r>
      <w:r w:rsidRPr="00432BEA" w:rsidR="00BC3D7D">
        <w:rPr>
          <w:lang w:val="fr-FR"/>
        </w:rPr>
        <w:t>,</w:t>
      </w:r>
      <w:r w:rsidRPr="00432BEA" w:rsidR="00A27FBA">
        <w:rPr>
          <w:lang w:val="fr-FR"/>
        </w:rPr>
        <w:t xml:space="preserve"> qui</w:t>
      </w:r>
      <w:r w:rsidRPr="00432BEA" w:rsidR="002056CE">
        <w:rPr>
          <w:lang w:val="fr-FR"/>
        </w:rPr>
        <w:t xml:space="preserve"> ne constituent pas un motif impérieux d</w:t>
      </w:r>
      <w:r w:rsidRPr="00432BEA" w:rsidR="00432BEA">
        <w:rPr>
          <w:lang w:val="fr-FR"/>
        </w:rPr>
        <w:t>’</w:t>
      </w:r>
      <w:r w:rsidRPr="00432BEA" w:rsidR="002056CE">
        <w:rPr>
          <w:lang w:val="fr-FR"/>
        </w:rPr>
        <w:t xml:space="preserve">intérêt général. </w:t>
      </w:r>
      <w:r w:rsidRPr="00432BEA" w:rsidR="008A6A00">
        <w:rPr>
          <w:lang w:val="fr-FR"/>
        </w:rPr>
        <w:t>Selon les requérants, l</w:t>
      </w:r>
      <w:r w:rsidRPr="00432BEA" w:rsidR="00B2134F">
        <w:rPr>
          <w:lang w:val="fr-FR"/>
        </w:rPr>
        <w:t>a loi de 2009</w:t>
      </w:r>
      <w:r w:rsidRPr="00432BEA" w:rsidR="008A6A00">
        <w:rPr>
          <w:lang w:val="fr-FR"/>
        </w:rPr>
        <w:t xml:space="preserve"> portant réforme de l</w:t>
      </w:r>
      <w:r w:rsidRPr="00432BEA" w:rsidR="00432BEA">
        <w:rPr>
          <w:lang w:val="fr-FR"/>
        </w:rPr>
        <w:t>’</w:t>
      </w:r>
      <w:r w:rsidRPr="00432BEA" w:rsidR="008A6A00">
        <w:rPr>
          <w:lang w:val="fr-FR"/>
        </w:rPr>
        <w:t>hôpital</w:t>
      </w:r>
      <w:r w:rsidRPr="00432BEA" w:rsidR="00B2134F">
        <w:rPr>
          <w:lang w:val="fr-FR"/>
        </w:rPr>
        <w:t xml:space="preserve"> (paragraphe </w:t>
      </w:r>
      <w:r w:rsidRPr="00432BEA" w:rsidR="008A6A00">
        <w:rPr>
          <w:lang w:val="fr-FR"/>
        </w:rPr>
        <w:t>13 ci-dessus</w:t>
      </w:r>
      <w:r w:rsidRPr="00432BEA" w:rsidR="00B2134F">
        <w:rPr>
          <w:lang w:val="fr-FR"/>
        </w:rPr>
        <w:t>), la charte des droi</w:t>
      </w:r>
      <w:r w:rsidRPr="00432BEA" w:rsidR="00F8275C">
        <w:rPr>
          <w:lang w:val="fr-FR"/>
        </w:rPr>
        <w:t>t</w:t>
      </w:r>
      <w:r w:rsidRPr="00432BEA" w:rsidR="00B2134F">
        <w:rPr>
          <w:lang w:val="fr-FR"/>
        </w:rPr>
        <w:t>s et libertés de la personne en situati</w:t>
      </w:r>
      <w:r w:rsidRPr="00432BEA" w:rsidR="00F8275C">
        <w:rPr>
          <w:lang w:val="fr-FR"/>
        </w:rPr>
        <w:t>on de dépendance ou handicap</w:t>
      </w:r>
      <w:r w:rsidRPr="00432BEA" w:rsidR="008A6A00">
        <w:rPr>
          <w:lang w:val="fr-FR"/>
        </w:rPr>
        <w:t xml:space="preserve"> (paragraphe 34 ci-dessus)</w:t>
      </w:r>
      <w:r w:rsidRPr="00432BEA" w:rsidR="00F8275C">
        <w:rPr>
          <w:lang w:val="fr-FR"/>
        </w:rPr>
        <w:t>, l</w:t>
      </w:r>
      <w:r w:rsidRPr="00432BEA" w:rsidR="00432BEA">
        <w:rPr>
          <w:lang w:val="fr-FR"/>
        </w:rPr>
        <w:t>’</w:t>
      </w:r>
      <w:r w:rsidRPr="00432BEA" w:rsidR="00F8275C">
        <w:rPr>
          <w:lang w:val="fr-FR"/>
        </w:rPr>
        <w:t>arrêt de</w:t>
      </w:r>
      <w:r w:rsidRPr="00432BEA" w:rsidR="00BC3D7D">
        <w:rPr>
          <w:lang w:val="fr-FR"/>
        </w:rPr>
        <w:t xml:space="preserve"> la cour d</w:t>
      </w:r>
      <w:r w:rsidRPr="00432BEA" w:rsidR="00432BEA">
        <w:rPr>
          <w:lang w:val="fr-FR"/>
        </w:rPr>
        <w:t>’</w:t>
      </w:r>
      <w:r w:rsidRPr="00432BEA" w:rsidR="00BC3D7D">
        <w:rPr>
          <w:lang w:val="fr-FR"/>
        </w:rPr>
        <w:t>appel de</w:t>
      </w:r>
      <w:r w:rsidRPr="00432BEA" w:rsidR="008A6A00">
        <w:rPr>
          <w:lang w:val="fr-FR"/>
        </w:rPr>
        <w:t xml:space="preserve"> Pau du 18 décembre</w:t>
      </w:r>
      <w:r w:rsidRPr="00432BEA" w:rsidR="00F8275C">
        <w:rPr>
          <w:lang w:val="fr-FR"/>
        </w:rPr>
        <w:t xml:space="preserve"> 2008</w:t>
      </w:r>
      <w:r w:rsidRPr="00432BEA" w:rsidR="008A6A00">
        <w:rPr>
          <w:lang w:val="fr-FR"/>
        </w:rPr>
        <w:t xml:space="preserve"> (paragraphe 4</w:t>
      </w:r>
      <w:r w:rsidRPr="00432BEA" w:rsidR="00BC3D7D">
        <w:rPr>
          <w:lang w:val="fr-FR"/>
        </w:rPr>
        <w:t>6</w:t>
      </w:r>
      <w:r w:rsidRPr="00432BEA" w:rsidR="00632783">
        <w:rPr>
          <w:lang w:val="fr-FR"/>
        </w:rPr>
        <w:t xml:space="preserve"> ci</w:t>
      </w:r>
      <w:r w:rsidRPr="00432BEA" w:rsidR="00632783">
        <w:rPr>
          <w:lang w:val="fr-FR"/>
        </w:rPr>
        <w:noBreakHyphen/>
      </w:r>
      <w:r w:rsidRPr="00432BEA" w:rsidR="008A6A00">
        <w:rPr>
          <w:lang w:val="fr-FR"/>
        </w:rPr>
        <w:t>dessus) et</w:t>
      </w:r>
      <w:r w:rsidRPr="00432BEA" w:rsidR="00F8275C">
        <w:rPr>
          <w:lang w:val="fr-FR"/>
        </w:rPr>
        <w:t xml:space="preserve"> les débats parleme</w:t>
      </w:r>
      <w:r w:rsidRPr="00432BEA" w:rsidR="00BC3D7D">
        <w:rPr>
          <w:lang w:val="fr-FR"/>
        </w:rPr>
        <w:t>ntaires (paragraphe 45</w:t>
      </w:r>
      <w:r w:rsidRPr="00432BEA" w:rsidR="008A6A00">
        <w:rPr>
          <w:lang w:val="fr-FR"/>
        </w:rPr>
        <w:t xml:space="preserve"> ci-dessus</w:t>
      </w:r>
      <w:r w:rsidRPr="00432BEA" w:rsidR="00F8275C">
        <w:rPr>
          <w:lang w:val="fr-FR"/>
        </w:rPr>
        <w:t>) reconnaissent que l</w:t>
      </w:r>
      <w:r w:rsidRPr="00432BEA" w:rsidR="00432BEA">
        <w:rPr>
          <w:lang w:val="fr-FR"/>
        </w:rPr>
        <w:t>’</w:t>
      </w:r>
      <w:r w:rsidRPr="00432BEA" w:rsidR="00F8275C">
        <w:rPr>
          <w:lang w:val="fr-FR"/>
        </w:rPr>
        <w:t>EH</w:t>
      </w:r>
      <w:r w:rsidRPr="00432BEA" w:rsidR="00A27FBA">
        <w:rPr>
          <w:lang w:val="fr-FR"/>
        </w:rPr>
        <w:t>P</w:t>
      </w:r>
      <w:r w:rsidRPr="00432BEA" w:rsidR="00F8275C">
        <w:rPr>
          <w:lang w:val="fr-FR"/>
        </w:rPr>
        <w:t>AD est le domicile d</w:t>
      </w:r>
      <w:r w:rsidRPr="00432BEA" w:rsidR="00432BEA">
        <w:rPr>
          <w:lang w:val="fr-FR"/>
        </w:rPr>
        <w:t>’</w:t>
      </w:r>
      <w:r w:rsidRPr="00432BEA" w:rsidR="009D2036">
        <w:rPr>
          <w:lang w:val="fr-FR"/>
        </w:rPr>
        <w:t xml:space="preserve">une </w:t>
      </w:r>
      <w:r w:rsidRPr="00432BEA" w:rsidR="00BC3D7D">
        <w:rPr>
          <w:lang w:val="fr-FR"/>
        </w:rPr>
        <w:t>personne âgée ou dépe</w:t>
      </w:r>
      <w:r w:rsidRPr="00432BEA" w:rsidR="00820BA5">
        <w:rPr>
          <w:lang w:val="fr-FR"/>
        </w:rPr>
        <w:t>ndante. Ils considèrent qu</w:t>
      </w:r>
      <w:r w:rsidRPr="00432BEA" w:rsidR="00432BEA">
        <w:rPr>
          <w:lang w:val="fr-FR"/>
        </w:rPr>
        <w:t>’</w:t>
      </w:r>
      <w:r w:rsidRPr="00432BEA" w:rsidR="00820BA5">
        <w:rPr>
          <w:lang w:val="fr-FR"/>
        </w:rPr>
        <w:t>ils étaient</w:t>
      </w:r>
      <w:r w:rsidRPr="00432BEA" w:rsidR="00BC3D7D">
        <w:rPr>
          <w:lang w:val="fr-FR"/>
        </w:rPr>
        <w:t xml:space="preserve"> l</w:t>
      </w:r>
      <w:r w:rsidRPr="00432BEA" w:rsidR="00C46ED0">
        <w:rPr>
          <w:lang w:val="fr-FR"/>
        </w:rPr>
        <w:t>égitimes à demander le bénéfice</w:t>
      </w:r>
      <w:r w:rsidRPr="00432BEA" w:rsidR="00BC3D7D">
        <w:rPr>
          <w:lang w:val="fr-FR"/>
        </w:rPr>
        <w:t xml:space="preserve"> de </w:t>
      </w:r>
      <w:r w:rsidRPr="00432BEA" w:rsidR="00820BA5">
        <w:rPr>
          <w:lang w:val="fr-FR"/>
        </w:rPr>
        <w:t>l</w:t>
      </w:r>
      <w:r w:rsidRPr="00432BEA" w:rsidR="00432BEA">
        <w:rPr>
          <w:lang w:val="fr-FR"/>
        </w:rPr>
        <w:t>’</w:t>
      </w:r>
      <w:r w:rsidRPr="00432BEA" w:rsidR="00820BA5">
        <w:rPr>
          <w:lang w:val="fr-FR"/>
        </w:rPr>
        <w:t>exonération litigieuse et que</w:t>
      </w:r>
      <w:r w:rsidRPr="00432BEA" w:rsidR="006B59AE">
        <w:rPr>
          <w:lang w:val="fr-FR"/>
        </w:rPr>
        <w:t>, dès lors,</w:t>
      </w:r>
      <w:r w:rsidRPr="00432BEA" w:rsidR="00820BA5">
        <w:rPr>
          <w:lang w:val="fr-FR"/>
        </w:rPr>
        <w:t xml:space="preserve"> </w:t>
      </w:r>
      <w:r w:rsidRPr="00432BEA" w:rsidR="00BC3D7D">
        <w:rPr>
          <w:lang w:val="fr-FR"/>
        </w:rPr>
        <w:t>l</w:t>
      </w:r>
      <w:r w:rsidRPr="00432BEA" w:rsidR="00432BEA">
        <w:rPr>
          <w:lang w:val="fr-FR"/>
        </w:rPr>
        <w:t>’</w:t>
      </w:r>
      <w:r w:rsidRPr="00432BEA" w:rsidR="00BC3D7D">
        <w:rPr>
          <w:lang w:val="fr-FR"/>
        </w:rPr>
        <w:t xml:space="preserve">intervention législative </w:t>
      </w:r>
      <w:r w:rsidRPr="00432BEA" w:rsidR="00F8275C">
        <w:rPr>
          <w:lang w:val="fr-FR"/>
        </w:rPr>
        <w:t>visait</w:t>
      </w:r>
      <w:r w:rsidRPr="00432BEA" w:rsidR="00BC3D7D">
        <w:rPr>
          <w:lang w:val="fr-FR"/>
        </w:rPr>
        <w:t xml:space="preserve"> uniquement </w:t>
      </w:r>
      <w:r w:rsidRPr="00432BEA" w:rsidR="008A6A00">
        <w:rPr>
          <w:lang w:val="fr-FR"/>
        </w:rPr>
        <w:t>à</w:t>
      </w:r>
      <w:r w:rsidRPr="00432BEA" w:rsidR="00F8275C">
        <w:rPr>
          <w:lang w:val="fr-FR"/>
        </w:rPr>
        <w:t xml:space="preserve"> mettre fin aux instances judiciaires en cours</w:t>
      </w:r>
      <w:r w:rsidRPr="00432BEA" w:rsidR="008A6A00">
        <w:rPr>
          <w:lang w:val="fr-FR"/>
        </w:rPr>
        <w:t>.</w:t>
      </w:r>
    </w:p>
    <w:p w:rsidRPr="00432BEA" w:rsidR="00045CB3" w:rsidP="00432BEA" w:rsidRDefault="00F8275C">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61</w:t>
      </w:r>
      <w:r w:rsidRPr="00432BEA">
        <w:rPr>
          <w:lang w:val="fr-FR"/>
        </w:rPr>
        <w:fldChar w:fldCharType="end"/>
      </w:r>
      <w:r w:rsidRPr="00432BEA">
        <w:rPr>
          <w:lang w:val="fr-FR"/>
        </w:rPr>
        <w:t>.  Les requérants soutiennent encore que la demande d</w:t>
      </w:r>
      <w:r w:rsidRPr="00432BEA" w:rsidR="00432BEA">
        <w:rPr>
          <w:lang w:val="fr-FR"/>
        </w:rPr>
        <w:t>’</w:t>
      </w:r>
      <w:r w:rsidRPr="00432BEA">
        <w:rPr>
          <w:lang w:val="fr-FR"/>
        </w:rPr>
        <w:t xml:space="preserve">exonération des charges patronales est </w:t>
      </w:r>
      <w:r w:rsidRPr="00432BEA" w:rsidR="00A34FB7">
        <w:rPr>
          <w:lang w:val="fr-FR"/>
        </w:rPr>
        <w:t>indispensable</w:t>
      </w:r>
      <w:r w:rsidRPr="00432BEA" w:rsidR="00A27FBA">
        <w:rPr>
          <w:lang w:val="fr-FR"/>
        </w:rPr>
        <w:t xml:space="preserve"> au bon foncti</w:t>
      </w:r>
      <w:r w:rsidRPr="00432BEA" w:rsidR="009D2036">
        <w:rPr>
          <w:lang w:val="fr-FR"/>
        </w:rPr>
        <w:t>onnement de leur établissement</w:t>
      </w:r>
      <w:r w:rsidRPr="00432BEA" w:rsidR="006C02D6">
        <w:rPr>
          <w:lang w:val="fr-FR"/>
        </w:rPr>
        <w:t xml:space="preserve">. </w:t>
      </w:r>
      <w:r w:rsidRPr="00432BEA" w:rsidR="009D2036">
        <w:rPr>
          <w:lang w:val="fr-FR"/>
        </w:rPr>
        <w:t>Ils indiquent bénéficier, en tant qu</w:t>
      </w:r>
      <w:r w:rsidRPr="00432BEA" w:rsidR="00432BEA">
        <w:rPr>
          <w:lang w:val="fr-FR"/>
        </w:rPr>
        <w:t>’</w:t>
      </w:r>
      <w:r w:rsidRPr="00432BEA" w:rsidR="009D2036">
        <w:rPr>
          <w:lang w:val="fr-FR"/>
        </w:rPr>
        <w:t>EHPAD publics habilités au titre de l</w:t>
      </w:r>
      <w:r w:rsidRPr="00432BEA" w:rsidR="00432BEA">
        <w:rPr>
          <w:lang w:val="fr-FR"/>
        </w:rPr>
        <w:t>’</w:t>
      </w:r>
      <w:r w:rsidRPr="00432BEA" w:rsidR="009D2036">
        <w:rPr>
          <w:lang w:val="fr-FR"/>
        </w:rPr>
        <w:t>aide sociale, de ta</w:t>
      </w:r>
      <w:r w:rsidRPr="00432BEA" w:rsidR="00820BA5">
        <w:rPr>
          <w:lang w:val="fr-FR"/>
        </w:rPr>
        <w:t>rifs fixés par les collectivités publiques</w:t>
      </w:r>
      <w:r w:rsidRPr="00432BEA">
        <w:rPr>
          <w:lang w:val="fr-FR"/>
        </w:rPr>
        <w:t xml:space="preserve"> beaucoup moins élevés que dans les structures privé</w:t>
      </w:r>
      <w:r w:rsidRPr="00432BEA" w:rsidR="008A6A00">
        <w:rPr>
          <w:lang w:val="fr-FR"/>
        </w:rPr>
        <w:t>e</w:t>
      </w:r>
      <w:r w:rsidRPr="00432BEA">
        <w:rPr>
          <w:lang w:val="fr-FR"/>
        </w:rPr>
        <w:t>s</w:t>
      </w:r>
      <w:r w:rsidRPr="00432BEA" w:rsidR="006C02D6">
        <w:rPr>
          <w:lang w:val="fr-FR"/>
        </w:rPr>
        <w:t xml:space="preserve">. </w:t>
      </w:r>
      <w:r w:rsidRPr="00432BEA" w:rsidR="008A6A00">
        <w:rPr>
          <w:lang w:val="fr-FR"/>
        </w:rPr>
        <w:t xml:space="preserve">Ils soulignent que </w:t>
      </w:r>
      <w:r w:rsidRPr="00432BEA" w:rsidR="006C02D6">
        <w:rPr>
          <w:lang w:val="fr-FR"/>
        </w:rPr>
        <w:t>l</w:t>
      </w:r>
      <w:r w:rsidRPr="00432BEA" w:rsidR="00432BEA">
        <w:rPr>
          <w:lang w:val="fr-FR"/>
        </w:rPr>
        <w:t>’</w:t>
      </w:r>
      <w:r w:rsidRPr="00432BEA" w:rsidR="006C02D6">
        <w:rPr>
          <w:lang w:val="fr-FR"/>
        </w:rPr>
        <w:t>article L</w:t>
      </w:r>
      <w:r w:rsidRPr="00432BEA" w:rsidR="003D52CE">
        <w:rPr>
          <w:lang w:val="fr-FR"/>
        </w:rPr>
        <w:t>.</w:t>
      </w:r>
      <w:r w:rsidRPr="00432BEA" w:rsidR="006C02D6">
        <w:rPr>
          <w:lang w:val="fr-FR"/>
        </w:rPr>
        <w:t xml:space="preserve"> 241-10 III ne pose pas comme condition du bénéfice de l</w:t>
      </w:r>
      <w:r w:rsidRPr="00432BEA" w:rsidR="00432BEA">
        <w:rPr>
          <w:lang w:val="fr-FR"/>
        </w:rPr>
        <w:t>’</w:t>
      </w:r>
      <w:r w:rsidRPr="00432BEA" w:rsidR="006C02D6">
        <w:rPr>
          <w:lang w:val="fr-FR"/>
        </w:rPr>
        <w:t xml:space="preserve">exonération </w:t>
      </w:r>
      <w:r w:rsidRPr="00432BEA" w:rsidR="008A6A00">
        <w:rPr>
          <w:lang w:val="fr-FR"/>
        </w:rPr>
        <w:t>l</w:t>
      </w:r>
      <w:r w:rsidRPr="00432BEA" w:rsidR="00432BEA">
        <w:rPr>
          <w:lang w:val="fr-FR"/>
        </w:rPr>
        <w:t>’</w:t>
      </w:r>
      <w:r w:rsidRPr="00432BEA" w:rsidR="008A6A00">
        <w:rPr>
          <w:lang w:val="fr-FR"/>
        </w:rPr>
        <w:t xml:space="preserve">absence de financement public et que </w:t>
      </w:r>
      <w:r w:rsidRPr="00432BEA" w:rsidR="006C02D6">
        <w:rPr>
          <w:lang w:val="fr-FR"/>
        </w:rPr>
        <w:t>les structures visées par ce</w:t>
      </w:r>
      <w:r w:rsidRPr="00432BEA" w:rsidR="008A6A00">
        <w:rPr>
          <w:lang w:val="fr-FR"/>
        </w:rPr>
        <w:t>t</w:t>
      </w:r>
      <w:r w:rsidRPr="00432BEA" w:rsidR="006C02D6">
        <w:rPr>
          <w:lang w:val="fr-FR"/>
        </w:rPr>
        <w:t xml:space="preserve"> article bénéficient aussi de subventions publiques</w:t>
      </w:r>
      <w:r w:rsidRPr="00432BEA" w:rsidR="008A6A00">
        <w:rPr>
          <w:lang w:val="fr-FR"/>
        </w:rPr>
        <w:t>.</w:t>
      </w:r>
    </w:p>
    <w:p w:rsidRPr="00432BEA" w:rsidR="007D22EB" w:rsidP="00432BEA" w:rsidRDefault="00451E62">
      <w:pPr>
        <w:pStyle w:val="ECHRHeading4"/>
        <w:rPr>
          <w:lang w:val="fr-FR"/>
        </w:rPr>
      </w:pPr>
      <w:r w:rsidRPr="00432BEA">
        <w:rPr>
          <w:lang w:val="fr-FR"/>
        </w:rPr>
        <w:t>b)  </w:t>
      </w:r>
      <w:r w:rsidRPr="00432BEA" w:rsidR="00E77CB3">
        <w:rPr>
          <w:lang w:val="fr-FR"/>
        </w:rPr>
        <w:t>Le Gouvernement</w:t>
      </w:r>
    </w:p>
    <w:p w:rsidRPr="00432BEA" w:rsidR="00CC5136" w:rsidP="00432BEA" w:rsidRDefault="00CC513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62</w:t>
      </w:r>
      <w:r w:rsidRPr="00432BEA">
        <w:rPr>
          <w:lang w:val="fr-FR"/>
        </w:rPr>
        <w:fldChar w:fldCharType="end"/>
      </w:r>
      <w:r w:rsidRPr="00432BEA">
        <w:rPr>
          <w:lang w:val="fr-FR"/>
        </w:rPr>
        <w:t>.  </w:t>
      </w:r>
      <w:r w:rsidRPr="00432BEA" w:rsidR="004B0775">
        <w:rPr>
          <w:lang w:val="fr-FR"/>
        </w:rPr>
        <w:t xml:space="preserve">Le Gouvernement considère </w:t>
      </w:r>
      <w:r w:rsidRPr="00432BEA" w:rsidR="009A2331">
        <w:rPr>
          <w:lang w:val="fr-FR"/>
        </w:rPr>
        <w:t>tout d</w:t>
      </w:r>
      <w:r w:rsidRPr="00432BEA" w:rsidR="00432BEA">
        <w:rPr>
          <w:lang w:val="fr-FR"/>
        </w:rPr>
        <w:t>’</w:t>
      </w:r>
      <w:r w:rsidRPr="00432BEA" w:rsidR="009A2331">
        <w:rPr>
          <w:lang w:val="fr-FR"/>
        </w:rPr>
        <w:t>abord</w:t>
      </w:r>
      <w:r w:rsidRPr="00432BEA" w:rsidR="004B0775">
        <w:rPr>
          <w:lang w:val="fr-FR"/>
        </w:rPr>
        <w:t xml:space="preserve"> que le stade de la procédure auquel la modification législative est intervenue, </w:t>
      </w:r>
      <w:r w:rsidRPr="00432BEA" w:rsidR="002E51FA">
        <w:rPr>
          <w:lang w:val="fr-FR"/>
        </w:rPr>
        <w:t>à savoir à la suite de l</w:t>
      </w:r>
      <w:r w:rsidRPr="00432BEA" w:rsidR="00432BEA">
        <w:rPr>
          <w:lang w:val="fr-FR"/>
        </w:rPr>
        <w:t>’</w:t>
      </w:r>
      <w:r w:rsidRPr="00432BEA" w:rsidR="002E51FA">
        <w:rPr>
          <w:lang w:val="fr-FR"/>
        </w:rPr>
        <w:t>arrêt d</w:t>
      </w:r>
      <w:r w:rsidRPr="00432BEA" w:rsidR="00432BEA">
        <w:rPr>
          <w:lang w:val="fr-FR"/>
        </w:rPr>
        <w:t>’</w:t>
      </w:r>
      <w:r w:rsidRPr="00432BEA" w:rsidR="002E51FA">
        <w:rPr>
          <w:lang w:val="fr-FR"/>
        </w:rPr>
        <w:t xml:space="preserve">appel déboutant </w:t>
      </w:r>
      <w:r w:rsidRPr="00432BEA" w:rsidR="004B0775">
        <w:rPr>
          <w:lang w:val="fr-FR"/>
        </w:rPr>
        <w:t>le premier requérant de sa demande</w:t>
      </w:r>
      <w:r w:rsidRPr="00432BEA" w:rsidR="002E51FA">
        <w:rPr>
          <w:lang w:val="fr-FR"/>
        </w:rPr>
        <w:t xml:space="preserve"> de remboursement (paragraphe 14 ci-dessus)</w:t>
      </w:r>
      <w:r w:rsidRPr="00432BEA" w:rsidR="004B0775">
        <w:rPr>
          <w:lang w:val="fr-FR"/>
        </w:rPr>
        <w:t>, ne pose pas de problème au regard du principe d</w:t>
      </w:r>
      <w:r w:rsidRPr="00432BEA" w:rsidR="00432BEA">
        <w:rPr>
          <w:lang w:val="fr-FR"/>
        </w:rPr>
        <w:t>’</w:t>
      </w:r>
      <w:r w:rsidRPr="00432BEA" w:rsidR="004B0775">
        <w:rPr>
          <w:lang w:val="fr-FR"/>
        </w:rPr>
        <w:t>égalité des armes. Cette situation est différente de</w:t>
      </w:r>
      <w:r w:rsidRPr="00432BEA" w:rsidR="00AD7C0A">
        <w:rPr>
          <w:lang w:val="fr-FR"/>
        </w:rPr>
        <w:t>s faits de</w:t>
      </w:r>
      <w:r w:rsidRPr="00432BEA" w:rsidR="00913CA5">
        <w:rPr>
          <w:lang w:val="fr-FR"/>
        </w:rPr>
        <w:t xml:space="preserve"> </w:t>
      </w:r>
      <w:r w:rsidRPr="00432BEA" w:rsidR="004B0775">
        <w:rPr>
          <w:lang w:val="fr-FR"/>
        </w:rPr>
        <w:t>l</w:t>
      </w:r>
      <w:r w:rsidRPr="00432BEA" w:rsidR="00432BEA">
        <w:rPr>
          <w:lang w:val="fr-FR"/>
        </w:rPr>
        <w:t>’</w:t>
      </w:r>
      <w:r w:rsidRPr="00432BEA" w:rsidR="004B0775">
        <w:rPr>
          <w:lang w:val="fr-FR"/>
        </w:rPr>
        <w:t xml:space="preserve">affaire </w:t>
      </w:r>
      <w:r w:rsidRPr="00432BEA" w:rsidR="004B0775">
        <w:rPr>
          <w:i/>
          <w:lang w:val="fr-FR"/>
        </w:rPr>
        <w:t>Raffineries grecques Stran et Stratis Andreadis</w:t>
      </w:r>
      <w:r w:rsidRPr="00432BEA" w:rsidR="00AD7C0A">
        <w:rPr>
          <w:i/>
          <w:lang w:val="fr-FR"/>
        </w:rPr>
        <w:t xml:space="preserve"> </w:t>
      </w:r>
      <w:r w:rsidRPr="00432BEA" w:rsidR="00AD7C0A">
        <w:rPr>
          <w:lang w:val="fr-FR"/>
        </w:rPr>
        <w:t>précitée</w:t>
      </w:r>
      <w:r w:rsidRPr="00432BEA" w:rsidR="004B0775">
        <w:rPr>
          <w:lang w:val="fr-FR"/>
        </w:rPr>
        <w:t xml:space="preserve"> dans laquelle l</w:t>
      </w:r>
      <w:r w:rsidRPr="00432BEA" w:rsidR="00432BEA">
        <w:rPr>
          <w:lang w:val="fr-FR"/>
        </w:rPr>
        <w:t>’</w:t>
      </w:r>
      <w:r w:rsidRPr="00432BEA" w:rsidR="004B0775">
        <w:rPr>
          <w:lang w:val="fr-FR"/>
        </w:rPr>
        <w:t>ingérence législative était intervenue alors que l</w:t>
      </w:r>
      <w:r w:rsidRPr="00432BEA" w:rsidR="00432BEA">
        <w:rPr>
          <w:lang w:val="fr-FR"/>
        </w:rPr>
        <w:t>’</w:t>
      </w:r>
      <w:r w:rsidRPr="00432BEA" w:rsidR="004B0775">
        <w:rPr>
          <w:lang w:val="fr-FR"/>
        </w:rPr>
        <w:t>État</w:t>
      </w:r>
      <w:r w:rsidRPr="00432BEA" w:rsidR="00913CA5">
        <w:rPr>
          <w:lang w:val="fr-FR"/>
        </w:rPr>
        <w:t xml:space="preserve"> et</w:t>
      </w:r>
      <w:r w:rsidRPr="00432BEA" w:rsidR="004B0775">
        <w:rPr>
          <w:lang w:val="fr-FR"/>
        </w:rPr>
        <w:t xml:space="preserve"> les requérants étaient engagés dans un litige depuis neuf ans et que les derniers disposaient d</w:t>
      </w:r>
      <w:r w:rsidRPr="00432BEA" w:rsidR="00432BEA">
        <w:rPr>
          <w:lang w:val="fr-FR"/>
        </w:rPr>
        <w:t>’</w:t>
      </w:r>
      <w:r w:rsidRPr="00432BEA" w:rsidR="004B0775">
        <w:rPr>
          <w:lang w:val="fr-FR"/>
        </w:rPr>
        <w:t>un jugement définitif et exécutoire contre le premier.</w:t>
      </w:r>
    </w:p>
    <w:p w:rsidRPr="00432BEA" w:rsidR="007D22EB" w:rsidP="00432BEA" w:rsidRDefault="004B0775">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63</w:t>
      </w:r>
      <w:r w:rsidRPr="00432BEA">
        <w:rPr>
          <w:lang w:val="fr-FR"/>
        </w:rPr>
        <w:fldChar w:fldCharType="end"/>
      </w:r>
      <w:r w:rsidRPr="00432BEA">
        <w:rPr>
          <w:lang w:val="fr-FR"/>
        </w:rPr>
        <w:t>.  </w:t>
      </w:r>
      <w:r w:rsidRPr="00432BEA" w:rsidR="009A2331">
        <w:rPr>
          <w:lang w:val="fr-FR"/>
        </w:rPr>
        <w:t>Selon le Gouvernement, l</w:t>
      </w:r>
      <w:r w:rsidRPr="00432BEA" w:rsidR="00432BEA">
        <w:rPr>
          <w:lang w:val="fr-FR"/>
        </w:rPr>
        <w:t>’</w:t>
      </w:r>
      <w:r w:rsidRPr="00432BEA" w:rsidR="009A2331">
        <w:rPr>
          <w:lang w:val="fr-FR"/>
        </w:rPr>
        <w:t>historique du dispositif de l</w:t>
      </w:r>
      <w:r w:rsidRPr="00432BEA" w:rsidR="00432BEA">
        <w:rPr>
          <w:lang w:val="fr-FR"/>
        </w:rPr>
        <w:t>’</w:t>
      </w:r>
      <w:r w:rsidRPr="00432BEA" w:rsidR="009A2331">
        <w:rPr>
          <w:lang w:val="fr-FR"/>
        </w:rPr>
        <w:t>exonération fiscale en question</w:t>
      </w:r>
      <w:r w:rsidRPr="00432BEA" w:rsidR="00726002">
        <w:rPr>
          <w:lang w:val="fr-FR"/>
        </w:rPr>
        <w:t xml:space="preserve"> (paragraphe</w:t>
      </w:r>
      <w:r w:rsidRPr="00432BEA" w:rsidR="00913CA5">
        <w:rPr>
          <w:lang w:val="fr-FR"/>
        </w:rPr>
        <w:t>s 36 à 42</w:t>
      </w:r>
      <w:r w:rsidRPr="00432BEA" w:rsidR="00726002">
        <w:rPr>
          <w:lang w:val="fr-FR"/>
        </w:rPr>
        <w:t xml:space="preserve"> ci-dessus)</w:t>
      </w:r>
      <w:r w:rsidRPr="00432BEA" w:rsidR="009A2331">
        <w:rPr>
          <w:lang w:val="fr-FR"/>
        </w:rPr>
        <w:t xml:space="preserve"> et les travaux préparatoires de la loi litigieuse</w:t>
      </w:r>
      <w:r w:rsidRPr="00432BEA" w:rsidR="00766753">
        <w:rPr>
          <w:lang w:val="fr-FR"/>
        </w:rPr>
        <w:t xml:space="preserve"> (paragraphe </w:t>
      </w:r>
      <w:r w:rsidRPr="00432BEA" w:rsidR="002E51FA">
        <w:rPr>
          <w:lang w:val="fr-FR"/>
        </w:rPr>
        <w:t>45</w:t>
      </w:r>
      <w:r w:rsidRPr="00432BEA" w:rsidR="00913CA5">
        <w:rPr>
          <w:lang w:val="fr-FR"/>
        </w:rPr>
        <w:t xml:space="preserve"> </w:t>
      </w:r>
      <w:r w:rsidRPr="00432BEA" w:rsidR="00766753">
        <w:rPr>
          <w:lang w:val="fr-FR"/>
        </w:rPr>
        <w:t>ci-dessus)</w:t>
      </w:r>
      <w:r w:rsidRPr="00432BEA" w:rsidR="009A2331">
        <w:rPr>
          <w:lang w:val="fr-FR"/>
        </w:rPr>
        <w:t xml:space="preserve"> démontrent que</w:t>
      </w:r>
      <w:r w:rsidRPr="00432BEA" w:rsidR="0017753D">
        <w:rPr>
          <w:lang w:val="fr-FR"/>
        </w:rPr>
        <w:t xml:space="preserve"> l</w:t>
      </w:r>
      <w:r w:rsidRPr="00432BEA" w:rsidR="00432BEA">
        <w:rPr>
          <w:lang w:val="fr-FR"/>
        </w:rPr>
        <w:t>’</w:t>
      </w:r>
      <w:r w:rsidRPr="00432BEA" w:rsidR="0017753D">
        <w:rPr>
          <w:lang w:val="fr-FR"/>
        </w:rPr>
        <w:t>article 14 a un caractère interprétatif et qu</w:t>
      </w:r>
      <w:r w:rsidRPr="00432BEA" w:rsidR="00432BEA">
        <w:rPr>
          <w:lang w:val="fr-FR"/>
        </w:rPr>
        <w:t>’</w:t>
      </w:r>
      <w:r w:rsidRPr="00432BEA" w:rsidR="0017753D">
        <w:rPr>
          <w:lang w:val="fr-FR"/>
        </w:rPr>
        <w:t xml:space="preserve">il vise à </w:t>
      </w:r>
      <w:r w:rsidRPr="00432BEA" w:rsidR="009A2331">
        <w:rPr>
          <w:lang w:val="fr-FR"/>
        </w:rPr>
        <w:t>entériner l</w:t>
      </w:r>
      <w:r w:rsidRPr="00432BEA" w:rsidR="00432BEA">
        <w:rPr>
          <w:lang w:val="fr-FR"/>
        </w:rPr>
        <w:t>’</w:t>
      </w:r>
      <w:r w:rsidRPr="00432BEA" w:rsidR="009A2331">
        <w:rPr>
          <w:lang w:val="fr-FR"/>
        </w:rPr>
        <w:t xml:space="preserve">interprétation issue des versions précédentes du texte, à savoir favoriser le maintien des personnes âgées à leur domicile. </w:t>
      </w:r>
      <w:r w:rsidRPr="00432BEA" w:rsidR="006611FB">
        <w:rPr>
          <w:lang w:val="fr-FR"/>
        </w:rPr>
        <w:t>Ce disposit</w:t>
      </w:r>
      <w:r w:rsidRPr="00432BEA" w:rsidR="00450AD7">
        <w:rPr>
          <w:lang w:val="fr-FR"/>
        </w:rPr>
        <w:t>if vise précisément à pallier le</w:t>
      </w:r>
      <w:r w:rsidRPr="00432BEA" w:rsidR="006611FB">
        <w:rPr>
          <w:lang w:val="fr-FR"/>
        </w:rPr>
        <w:t xml:space="preserve"> manque de places disponibles et accessibles financièrement en hébergement collectif.</w:t>
      </w:r>
    </w:p>
    <w:p w:rsidRPr="00432BEA" w:rsidR="00C7198C" w:rsidP="00432BEA" w:rsidRDefault="00766753">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64</w:t>
      </w:r>
      <w:r w:rsidRPr="00432BEA">
        <w:rPr>
          <w:lang w:val="fr-FR"/>
        </w:rPr>
        <w:fldChar w:fldCharType="end"/>
      </w:r>
      <w:r w:rsidRPr="00432BEA">
        <w:rPr>
          <w:lang w:val="fr-FR"/>
        </w:rPr>
        <w:t>.  </w:t>
      </w:r>
      <w:r w:rsidRPr="00432BEA" w:rsidR="002E51FA">
        <w:rPr>
          <w:lang w:val="fr-FR"/>
        </w:rPr>
        <w:t>Le Gouvernement s</w:t>
      </w:r>
      <w:r w:rsidRPr="00432BEA" w:rsidR="00C46ED0">
        <w:rPr>
          <w:lang w:val="fr-FR"/>
        </w:rPr>
        <w:t xml:space="preserve">e réfère en particulier à </w:t>
      </w:r>
      <w:r w:rsidRPr="00432BEA" w:rsidR="002E51FA">
        <w:rPr>
          <w:lang w:val="fr-FR"/>
        </w:rPr>
        <w:t>la</w:t>
      </w:r>
      <w:r w:rsidRPr="00432BEA" w:rsidR="00AD7C0A">
        <w:rPr>
          <w:lang w:val="fr-FR"/>
        </w:rPr>
        <w:t xml:space="preserve"> décision du</w:t>
      </w:r>
      <w:r w:rsidRPr="00432BEA">
        <w:rPr>
          <w:lang w:val="fr-FR"/>
        </w:rPr>
        <w:t xml:space="preserve"> Conseil constitutionnel</w:t>
      </w:r>
      <w:r w:rsidRPr="00432BEA" w:rsidR="002E51FA">
        <w:rPr>
          <w:lang w:val="fr-FR"/>
        </w:rPr>
        <w:t xml:space="preserve">. </w:t>
      </w:r>
      <w:r w:rsidRPr="00432BEA" w:rsidR="00C46ED0">
        <w:rPr>
          <w:lang w:val="fr-FR"/>
        </w:rPr>
        <w:t>Il souligne que c</w:t>
      </w:r>
      <w:r w:rsidRPr="00432BEA" w:rsidR="002E51FA">
        <w:rPr>
          <w:lang w:val="fr-FR"/>
        </w:rPr>
        <w:t>e dernier a rappelé que l</w:t>
      </w:r>
      <w:r w:rsidRPr="00432BEA" w:rsidR="00432BEA">
        <w:rPr>
          <w:lang w:val="fr-FR"/>
        </w:rPr>
        <w:t>’</w:t>
      </w:r>
      <w:r w:rsidRPr="00432BEA" w:rsidR="002E51FA">
        <w:rPr>
          <w:lang w:val="fr-FR"/>
        </w:rPr>
        <w:t xml:space="preserve">article 14 de la </w:t>
      </w:r>
      <w:r w:rsidRPr="00432BEA" w:rsidR="00451E62">
        <w:rPr>
          <w:lang w:val="fr-FR"/>
        </w:rPr>
        <w:t>loi du 20 </w:t>
      </w:r>
      <w:r w:rsidRPr="00432BEA" w:rsidR="002E51FA">
        <w:rPr>
          <w:lang w:val="fr-FR"/>
        </w:rPr>
        <w:t xml:space="preserve">décembre 2010 </w:t>
      </w:r>
      <w:r w:rsidRPr="00432BEA" w:rsidR="00C7198C">
        <w:rPr>
          <w:lang w:val="fr-FR"/>
        </w:rPr>
        <w:t>avait pour seule finalité de confirmer l</w:t>
      </w:r>
      <w:r w:rsidRPr="00432BEA" w:rsidR="00432BEA">
        <w:rPr>
          <w:lang w:val="fr-FR"/>
        </w:rPr>
        <w:t>’</w:t>
      </w:r>
      <w:r w:rsidRPr="00432BEA" w:rsidR="00C7198C">
        <w:rPr>
          <w:lang w:val="fr-FR"/>
        </w:rPr>
        <w:t>interprétation faite du texte antérieur</w:t>
      </w:r>
      <w:r w:rsidRPr="00432BEA" w:rsidR="002E51FA">
        <w:rPr>
          <w:lang w:val="fr-FR"/>
        </w:rPr>
        <w:t xml:space="preserve">, </w:t>
      </w:r>
      <w:r w:rsidRPr="00432BEA" w:rsidR="00C7198C">
        <w:rPr>
          <w:lang w:val="fr-FR"/>
        </w:rPr>
        <w:t>selon laquelle l</w:t>
      </w:r>
      <w:r w:rsidRPr="00432BEA" w:rsidR="00432BEA">
        <w:rPr>
          <w:lang w:val="fr-FR"/>
        </w:rPr>
        <w:t>’</w:t>
      </w:r>
      <w:r w:rsidRPr="00432BEA" w:rsidR="00C7198C">
        <w:rPr>
          <w:lang w:val="fr-FR"/>
        </w:rPr>
        <w:t>exonération litigieuse ne s</w:t>
      </w:r>
      <w:r w:rsidRPr="00432BEA" w:rsidR="00432BEA">
        <w:rPr>
          <w:lang w:val="fr-FR"/>
        </w:rPr>
        <w:t>’</w:t>
      </w:r>
      <w:r w:rsidRPr="00432BEA" w:rsidR="00C7198C">
        <w:rPr>
          <w:lang w:val="fr-FR"/>
        </w:rPr>
        <w:t>ap</w:t>
      </w:r>
      <w:r w:rsidRPr="00432BEA" w:rsidR="002E51FA">
        <w:rPr>
          <w:lang w:val="fr-FR"/>
        </w:rPr>
        <w:t>plique</w:t>
      </w:r>
      <w:r w:rsidRPr="00432BEA" w:rsidR="00C7198C">
        <w:rPr>
          <w:lang w:val="fr-FR"/>
        </w:rPr>
        <w:t xml:space="preserve"> qu</w:t>
      </w:r>
      <w:r w:rsidRPr="00432BEA" w:rsidR="00432BEA">
        <w:rPr>
          <w:lang w:val="fr-FR"/>
        </w:rPr>
        <w:t>’</w:t>
      </w:r>
      <w:r w:rsidRPr="00432BEA" w:rsidR="00C7198C">
        <w:rPr>
          <w:lang w:val="fr-FR"/>
        </w:rPr>
        <w:t>à la rémunération des aides à domicile intervenant au domicile privé des</w:t>
      </w:r>
      <w:r w:rsidRPr="00432BEA" w:rsidR="002E51FA">
        <w:rPr>
          <w:lang w:val="fr-FR"/>
        </w:rPr>
        <w:t xml:space="preserve"> personnes âgées et handicapées.</w:t>
      </w:r>
    </w:p>
    <w:p w:rsidRPr="00432BEA" w:rsidR="007D22EB" w:rsidP="00432BEA" w:rsidRDefault="00C7198C">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65</w:t>
      </w:r>
      <w:r w:rsidRPr="00432BEA">
        <w:rPr>
          <w:lang w:val="fr-FR"/>
        </w:rPr>
        <w:fldChar w:fldCharType="end"/>
      </w:r>
      <w:r w:rsidRPr="00432BEA">
        <w:rPr>
          <w:lang w:val="fr-FR"/>
        </w:rPr>
        <w:t>.  Le Gouvernement indique en</w:t>
      </w:r>
      <w:r w:rsidRPr="00432BEA" w:rsidR="008322E6">
        <w:rPr>
          <w:lang w:val="fr-FR"/>
        </w:rPr>
        <w:t>core</w:t>
      </w:r>
      <w:r w:rsidRPr="00432BEA">
        <w:rPr>
          <w:lang w:val="fr-FR"/>
        </w:rPr>
        <w:t xml:space="preserve"> que les décisions citées par les requérants comme allant dans leur sens ne traduisent pas l</w:t>
      </w:r>
      <w:r w:rsidRPr="00432BEA" w:rsidR="00432BEA">
        <w:rPr>
          <w:lang w:val="fr-FR"/>
        </w:rPr>
        <w:t>’</w:t>
      </w:r>
      <w:r w:rsidRPr="00432BEA">
        <w:rPr>
          <w:lang w:val="fr-FR"/>
        </w:rPr>
        <w:t>état de la jurisprudence sur la question so</w:t>
      </w:r>
      <w:r w:rsidRPr="00432BEA" w:rsidR="0017753D">
        <w:rPr>
          <w:lang w:val="fr-FR"/>
        </w:rPr>
        <w:t>ulevée. Il produit</w:t>
      </w:r>
      <w:r w:rsidRPr="00432BEA">
        <w:rPr>
          <w:lang w:val="fr-FR"/>
        </w:rPr>
        <w:t xml:space="preserve"> des</w:t>
      </w:r>
      <w:r w:rsidRPr="00432BEA" w:rsidR="0017753D">
        <w:rPr>
          <w:lang w:val="fr-FR"/>
        </w:rPr>
        <w:t xml:space="preserve"> décisions rendues avant</w:t>
      </w:r>
      <w:r w:rsidRPr="00432BEA">
        <w:rPr>
          <w:lang w:val="fr-FR"/>
        </w:rPr>
        <w:t xml:space="preserve"> la loi d</w:t>
      </w:r>
      <w:r w:rsidRPr="00432BEA" w:rsidR="00913CA5">
        <w:rPr>
          <w:lang w:val="fr-FR"/>
        </w:rPr>
        <w:t>u 20 décembre</w:t>
      </w:r>
      <w:r w:rsidRPr="00432BEA">
        <w:rPr>
          <w:lang w:val="fr-FR"/>
        </w:rPr>
        <w:t xml:space="preserve"> 2010</w:t>
      </w:r>
      <w:r w:rsidRPr="00432BEA" w:rsidR="00450AD7">
        <w:rPr>
          <w:lang w:val="fr-FR"/>
        </w:rPr>
        <w:t>, selon lesquelles</w:t>
      </w:r>
      <w:r w:rsidRPr="00432BEA" w:rsidR="00913CA5">
        <w:rPr>
          <w:lang w:val="fr-FR"/>
        </w:rPr>
        <w:t xml:space="preserve"> </w:t>
      </w:r>
      <w:r w:rsidRPr="00432BEA">
        <w:rPr>
          <w:lang w:val="fr-FR"/>
        </w:rPr>
        <w:t>le domicile visé pa</w:t>
      </w:r>
      <w:r w:rsidRPr="00432BEA" w:rsidR="00913CA5">
        <w:rPr>
          <w:lang w:val="fr-FR"/>
        </w:rPr>
        <w:t>r l</w:t>
      </w:r>
      <w:r w:rsidRPr="00432BEA" w:rsidR="00432BEA">
        <w:rPr>
          <w:lang w:val="fr-FR"/>
        </w:rPr>
        <w:t>’</w:t>
      </w:r>
      <w:r w:rsidRPr="00432BEA" w:rsidR="00913CA5">
        <w:rPr>
          <w:lang w:val="fr-FR"/>
        </w:rPr>
        <w:t>article L. 241-10</w:t>
      </w:r>
      <w:r w:rsidRPr="00432BEA" w:rsidR="0017753D">
        <w:rPr>
          <w:lang w:val="fr-FR"/>
        </w:rPr>
        <w:t xml:space="preserve"> </w:t>
      </w:r>
      <w:r w:rsidRPr="00432BEA" w:rsidR="00913CA5">
        <w:rPr>
          <w:lang w:val="fr-FR"/>
        </w:rPr>
        <w:t>III doit</w:t>
      </w:r>
      <w:r w:rsidRPr="00432BEA">
        <w:rPr>
          <w:lang w:val="fr-FR"/>
        </w:rPr>
        <w:t xml:space="preserve"> s</w:t>
      </w:r>
      <w:r w:rsidRPr="00432BEA" w:rsidR="00432BEA">
        <w:rPr>
          <w:lang w:val="fr-FR"/>
        </w:rPr>
        <w:t>’</w:t>
      </w:r>
      <w:r w:rsidRPr="00432BEA">
        <w:rPr>
          <w:lang w:val="fr-FR"/>
        </w:rPr>
        <w:t>entendre comme le domicile personnel (paragraphe</w:t>
      </w:r>
      <w:r w:rsidRPr="00432BEA" w:rsidR="008D5F84">
        <w:rPr>
          <w:lang w:val="fr-FR"/>
        </w:rPr>
        <w:t xml:space="preserve"> 47</w:t>
      </w:r>
      <w:r w:rsidRPr="00432BEA">
        <w:rPr>
          <w:lang w:val="fr-FR"/>
        </w:rPr>
        <w:t xml:space="preserve"> ci-dessus).</w:t>
      </w:r>
    </w:p>
    <w:p w:rsidRPr="00432BEA" w:rsidR="007D22EB" w:rsidP="00432BEA" w:rsidRDefault="008322E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66</w:t>
      </w:r>
      <w:r w:rsidRPr="00432BEA">
        <w:rPr>
          <w:lang w:val="fr-FR"/>
        </w:rPr>
        <w:fldChar w:fldCharType="end"/>
      </w:r>
      <w:r w:rsidRPr="00432BEA">
        <w:rPr>
          <w:lang w:val="fr-FR"/>
        </w:rPr>
        <w:t>.  Le Gouvernement conclut que le législateur avait pour objectif de favoriser le maintien des personne</w:t>
      </w:r>
      <w:r w:rsidRPr="00432BEA" w:rsidR="00450AD7">
        <w:rPr>
          <w:lang w:val="fr-FR"/>
        </w:rPr>
        <w:t>s âgées dépendantes à domicile et qu</w:t>
      </w:r>
      <w:r w:rsidRPr="00432BEA" w:rsidR="00432BEA">
        <w:rPr>
          <w:lang w:val="fr-FR"/>
        </w:rPr>
        <w:t>’</w:t>
      </w:r>
      <w:r w:rsidRPr="00432BEA" w:rsidR="00450AD7">
        <w:rPr>
          <w:lang w:val="fr-FR"/>
        </w:rPr>
        <w:t>il poursuivait ainsi</w:t>
      </w:r>
      <w:r w:rsidRPr="00432BEA">
        <w:rPr>
          <w:lang w:val="fr-FR"/>
        </w:rPr>
        <w:t xml:space="preserve"> un motif d</w:t>
      </w:r>
      <w:r w:rsidRPr="00432BEA" w:rsidR="00432BEA">
        <w:rPr>
          <w:lang w:val="fr-FR"/>
        </w:rPr>
        <w:t>’</w:t>
      </w:r>
      <w:r w:rsidRPr="00432BEA">
        <w:rPr>
          <w:lang w:val="fr-FR"/>
        </w:rPr>
        <w:t>intérêt général au sens de la jurisprudence de la Cou</w:t>
      </w:r>
      <w:r w:rsidRPr="00432BEA" w:rsidR="008D5F84">
        <w:rPr>
          <w:lang w:val="fr-FR"/>
        </w:rPr>
        <w:t>r.</w:t>
      </w:r>
    </w:p>
    <w:p w:rsidRPr="00432BEA" w:rsidR="003F465D" w:rsidP="00432BEA" w:rsidRDefault="00451E62">
      <w:pPr>
        <w:pStyle w:val="ECHRHeading3"/>
        <w:rPr>
          <w:lang w:val="fr-FR"/>
        </w:rPr>
      </w:pPr>
      <w:r w:rsidRPr="00432BEA">
        <w:rPr>
          <w:lang w:val="fr-FR"/>
        </w:rPr>
        <w:t>2.  </w:t>
      </w:r>
      <w:r w:rsidRPr="00432BEA" w:rsidR="003F465D">
        <w:rPr>
          <w:lang w:val="fr-FR"/>
        </w:rPr>
        <w:t>Appréciation de la Cour</w:t>
      </w:r>
    </w:p>
    <w:p w:rsidRPr="00432BEA" w:rsidR="00E77CB3" w:rsidP="00432BEA" w:rsidRDefault="00166CBF">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67</w:t>
      </w:r>
      <w:r w:rsidRPr="00432BEA">
        <w:rPr>
          <w:lang w:val="fr-FR"/>
        </w:rPr>
        <w:fldChar w:fldCharType="end"/>
      </w:r>
      <w:r w:rsidRPr="00432BEA">
        <w:rPr>
          <w:lang w:val="fr-FR"/>
        </w:rPr>
        <w:t>.  </w:t>
      </w:r>
      <w:r w:rsidRPr="00432BEA" w:rsidR="00E77CB3">
        <w:rPr>
          <w:lang w:val="fr-FR"/>
        </w:rPr>
        <w:t>La Cour rappelle que</w:t>
      </w:r>
      <w:r w:rsidRPr="00432BEA" w:rsidR="005826CF">
        <w:rPr>
          <w:lang w:val="fr-FR"/>
        </w:rPr>
        <w:t xml:space="preserve"> si, en principe, le pouvoir législatif n</w:t>
      </w:r>
      <w:r w:rsidRPr="00432BEA" w:rsidR="00432BEA">
        <w:rPr>
          <w:lang w:val="fr-FR"/>
        </w:rPr>
        <w:t>’</w:t>
      </w:r>
      <w:r w:rsidRPr="00432BEA" w:rsidR="005826CF">
        <w:rPr>
          <w:lang w:val="fr-FR"/>
        </w:rPr>
        <w:t>est pas empêché de réglementer en matière civile, par de nouvelles dispositions à portée rétroactive, des droits découlant de lois en vigueur, le principe de la prééminence du droit et la notion de procès équitable consacrés par l</w:t>
      </w:r>
      <w:r w:rsidRPr="00432BEA" w:rsidR="00432BEA">
        <w:rPr>
          <w:lang w:val="fr-FR"/>
        </w:rPr>
        <w:t>’</w:t>
      </w:r>
      <w:r w:rsidRPr="00432BEA" w:rsidR="005826CF">
        <w:rPr>
          <w:lang w:val="fr-FR"/>
        </w:rPr>
        <w:t>arti</w:t>
      </w:r>
      <w:r w:rsidRPr="00432BEA" w:rsidR="00451E62">
        <w:rPr>
          <w:lang w:val="fr-FR"/>
        </w:rPr>
        <w:t>cle </w:t>
      </w:r>
      <w:r w:rsidRPr="00432BEA" w:rsidR="005826CF">
        <w:rPr>
          <w:lang w:val="fr-FR"/>
        </w:rPr>
        <w:t>6 s</w:t>
      </w:r>
      <w:r w:rsidRPr="00432BEA" w:rsidR="00432BEA">
        <w:rPr>
          <w:lang w:val="fr-FR"/>
        </w:rPr>
        <w:t>’</w:t>
      </w:r>
      <w:r w:rsidRPr="00432BEA" w:rsidR="005826CF">
        <w:rPr>
          <w:lang w:val="fr-FR"/>
        </w:rPr>
        <w:t>opposent, sauf pour d</w:t>
      </w:r>
      <w:r w:rsidRPr="00432BEA" w:rsidR="00432BEA">
        <w:rPr>
          <w:lang w:val="fr-FR"/>
        </w:rPr>
        <w:t>’</w:t>
      </w:r>
      <w:r w:rsidRPr="00432BEA" w:rsidR="005826CF">
        <w:rPr>
          <w:lang w:val="fr-FR"/>
        </w:rPr>
        <w:t>impérieux motifs d</w:t>
      </w:r>
      <w:r w:rsidRPr="00432BEA" w:rsidR="00432BEA">
        <w:rPr>
          <w:lang w:val="fr-FR"/>
        </w:rPr>
        <w:t>’</w:t>
      </w:r>
      <w:r w:rsidRPr="00432BEA" w:rsidR="005826CF">
        <w:rPr>
          <w:lang w:val="fr-FR"/>
        </w:rPr>
        <w:t>intérêt général, à l</w:t>
      </w:r>
      <w:r w:rsidRPr="00432BEA" w:rsidR="00432BEA">
        <w:rPr>
          <w:lang w:val="fr-FR"/>
        </w:rPr>
        <w:t>’</w:t>
      </w:r>
      <w:r w:rsidRPr="00432BEA" w:rsidR="005826CF">
        <w:rPr>
          <w:lang w:val="fr-FR"/>
        </w:rPr>
        <w:t>ingérence du pouvoir législatif dans l</w:t>
      </w:r>
      <w:r w:rsidRPr="00432BEA" w:rsidR="00432BEA">
        <w:rPr>
          <w:lang w:val="fr-FR"/>
        </w:rPr>
        <w:t>’</w:t>
      </w:r>
      <w:r w:rsidRPr="00432BEA" w:rsidR="005826CF">
        <w:rPr>
          <w:lang w:val="fr-FR"/>
        </w:rPr>
        <w:t>administration de la justice dans le but d</w:t>
      </w:r>
      <w:r w:rsidRPr="00432BEA" w:rsidR="00432BEA">
        <w:rPr>
          <w:lang w:val="fr-FR"/>
        </w:rPr>
        <w:t>’</w:t>
      </w:r>
      <w:r w:rsidRPr="00432BEA" w:rsidR="005826CF">
        <w:rPr>
          <w:lang w:val="fr-FR"/>
        </w:rPr>
        <w:t>influer sur le dénouement judiciaire d</w:t>
      </w:r>
      <w:r w:rsidRPr="00432BEA" w:rsidR="00432BEA">
        <w:rPr>
          <w:lang w:val="fr-FR"/>
        </w:rPr>
        <w:t>’</w:t>
      </w:r>
      <w:r w:rsidRPr="00432BEA" w:rsidR="005826CF">
        <w:rPr>
          <w:lang w:val="fr-FR"/>
        </w:rPr>
        <w:t xml:space="preserve">un litige (arrêts </w:t>
      </w:r>
      <w:r w:rsidRPr="00432BEA" w:rsidR="00451E62">
        <w:rPr>
          <w:i/>
          <w:lang w:val="fr-FR"/>
        </w:rPr>
        <w:t>Raffineries grecques Stran et </w:t>
      </w:r>
      <w:r w:rsidRPr="00432BEA" w:rsidR="005826CF">
        <w:rPr>
          <w:i/>
          <w:lang w:val="fr-FR"/>
        </w:rPr>
        <w:t>Stratis Andreadis</w:t>
      </w:r>
      <w:r w:rsidRPr="00432BEA" w:rsidR="005826CF">
        <w:rPr>
          <w:lang w:val="fr-FR"/>
        </w:rPr>
        <w:t xml:space="preserve"> précité, § 49, </w:t>
      </w:r>
      <w:r w:rsidRPr="00432BEA" w:rsidR="00632783">
        <w:rPr>
          <w:i/>
          <w:lang w:val="fr-FR"/>
        </w:rPr>
        <w:t>Zielinski et Pradal &amp; </w:t>
      </w:r>
      <w:r w:rsidRPr="00432BEA" w:rsidR="005826CF">
        <w:rPr>
          <w:i/>
          <w:lang w:val="fr-FR"/>
        </w:rPr>
        <w:t>Gonzalez et autres</w:t>
      </w:r>
      <w:r w:rsidRPr="00432BEA" w:rsidR="005826CF">
        <w:rPr>
          <w:lang w:val="fr-FR"/>
        </w:rPr>
        <w:t xml:space="preserve"> précité, § 57). La Cour rappelle en outre que l</w:t>
      </w:r>
      <w:r w:rsidRPr="00432BEA" w:rsidR="00432BEA">
        <w:rPr>
          <w:lang w:val="fr-FR"/>
        </w:rPr>
        <w:t>’</w:t>
      </w:r>
      <w:r w:rsidRPr="00432BEA" w:rsidR="005826CF">
        <w:rPr>
          <w:lang w:val="fr-FR"/>
        </w:rPr>
        <w:t>exigence de l</w:t>
      </w:r>
      <w:r w:rsidRPr="00432BEA" w:rsidR="00432BEA">
        <w:rPr>
          <w:lang w:val="fr-FR"/>
        </w:rPr>
        <w:t>’</w:t>
      </w:r>
      <w:r w:rsidRPr="00432BEA" w:rsidR="005826CF">
        <w:rPr>
          <w:lang w:val="fr-FR"/>
        </w:rPr>
        <w:t>égalité des armes implique l</w:t>
      </w:r>
      <w:r w:rsidRPr="00432BEA" w:rsidR="00432BEA">
        <w:rPr>
          <w:lang w:val="fr-FR"/>
        </w:rPr>
        <w:t>’</w:t>
      </w:r>
      <w:r w:rsidRPr="00432BEA" w:rsidR="005826CF">
        <w:rPr>
          <w:lang w:val="fr-FR"/>
        </w:rPr>
        <w:t>obligation d</w:t>
      </w:r>
      <w:r w:rsidRPr="00432BEA" w:rsidR="00432BEA">
        <w:rPr>
          <w:lang w:val="fr-FR"/>
        </w:rPr>
        <w:t>’</w:t>
      </w:r>
      <w:r w:rsidRPr="00432BEA" w:rsidR="005826CF">
        <w:rPr>
          <w:lang w:val="fr-FR"/>
        </w:rPr>
        <w:t xml:space="preserve">offrir à chaque partie une possibilité raisonnable de présenter sa cause dans des conditions qui ne la placent pas dans une situation de net désavantage par rapport à la partie adverse (voir notamment les arrêts </w:t>
      </w:r>
      <w:r w:rsidRPr="00432BEA" w:rsidR="005826CF">
        <w:rPr>
          <w:i/>
          <w:lang w:val="fr-FR"/>
        </w:rPr>
        <w:t>Dombo Beheer B.V. c. Pays-Bas</w:t>
      </w:r>
      <w:r w:rsidRPr="00432BEA" w:rsidR="00451E62">
        <w:rPr>
          <w:lang w:val="fr-FR"/>
        </w:rPr>
        <w:t xml:space="preserve"> du 27 octobre 1993, § </w:t>
      </w:r>
      <w:r w:rsidRPr="00432BEA" w:rsidR="005826CF">
        <w:rPr>
          <w:lang w:val="fr-FR"/>
        </w:rPr>
        <w:t>33, série A n</w:t>
      </w:r>
      <w:r w:rsidRPr="00432BEA" w:rsidR="007D22EB">
        <w:rPr>
          <w:vertAlign w:val="superscript"/>
          <w:lang w:val="fr-FR"/>
        </w:rPr>
        <w:t>o</w:t>
      </w:r>
      <w:r w:rsidRPr="00432BEA" w:rsidR="005826CF">
        <w:rPr>
          <w:lang w:val="fr-FR"/>
        </w:rPr>
        <w:t xml:space="preserve"> 274, et </w:t>
      </w:r>
      <w:r w:rsidRPr="00432BEA" w:rsidR="005826CF">
        <w:rPr>
          <w:i/>
          <w:lang w:val="fr-FR"/>
        </w:rPr>
        <w:t>Raffineries grecques Stran et Stratis Andreadis</w:t>
      </w:r>
      <w:r w:rsidRPr="00432BEA" w:rsidR="005826CF">
        <w:rPr>
          <w:lang w:val="fr-FR"/>
        </w:rPr>
        <w:t>, précité, § 46).</w:t>
      </w:r>
    </w:p>
    <w:p w:rsidRPr="00432BEA" w:rsidR="007D22EB" w:rsidP="00432BEA" w:rsidRDefault="00913CA5">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68</w:t>
      </w:r>
      <w:r w:rsidRPr="00432BEA">
        <w:rPr>
          <w:lang w:val="fr-FR"/>
        </w:rPr>
        <w:fldChar w:fldCharType="end"/>
      </w:r>
      <w:r w:rsidRPr="00432BEA">
        <w:rPr>
          <w:lang w:val="fr-FR"/>
        </w:rPr>
        <w:t>.  </w:t>
      </w:r>
      <w:r w:rsidRPr="00432BEA" w:rsidR="00C55EFB">
        <w:rPr>
          <w:lang w:val="fr-FR"/>
        </w:rPr>
        <w:t>La Cour est amenée à</w:t>
      </w:r>
      <w:r w:rsidRPr="00432BEA" w:rsidR="00165470">
        <w:rPr>
          <w:lang w:val="fr-FR"/>
        </w:rPr>
        <w:t xml:space="preserve"> </w:t>
      </w:r>
      <w:r w:rsidRPr="00432BEA" w:rsidR="00C55EFB">
        <w:rPr>
          <w:lang w:val="fr-FR"/>
        </w:rPr>
        <w:t>se prononcer sur la question de savoir si l</w:t>
      </w:r>
      <w:r w:rsidRPr="00432BEA" w:rsidR="00432BEA">
        <w:rPr>
          <w:lang w:val="fr-FR"/>
        </w:rPr>
        <w:t>’</w:t>
      </w:r>
      <w:r w:rsidRPr="00432BEA" w:rsidR="00C55EFB">
        <w:rPr>
          <w:lang w:val="fr-FR"/>
        </w:rPr>
        <w:t>intervention de la loi du 20 décembre 2010 a porté attei</w:t>
      </w:r>
      <w:r w:rsidRPr="00432BEA" w:rsidR="00D14E35">
        <w:rPr>
          <w:lang w:val="fr-FR"/>
        </w:rPr>
        <w:t>nte au caractère équitable des</w:t>
      </w:r>
      <w:r w:rsidRPr="00432BEA" w:rsidR="00C55EFB">
        <w:rPr>
          <w:lang w:val="fr-FR"/>
        </w:rPr>
        <w:t xml:space="preserve"> procédure</w:t>
      </w:r>
      <w:r w:rsidRPr="00432BEA" w:rsidR="00D14E35">
        <w:rPr>
          <w:lang w:val="fr-FR"/>
        </w:rPr>
        <w:t>s</w:t>
      </w:r>
      <w:r w:rsidRPr="00432BEA" w:rsidR="00C55EFB">
        <w:rPr>
          <w:lang w:val="fr-FR"/>
        </w:rPr>
        <w:t>, et à l</w:t>
      </w:r>
      <w:r w:rsidRPr="00432BEA" w:rsidR="00432BEA">
        <w:rPr>
          <w:lang w:val="fr-FR"/>
        </w:rPr>
        <w:t>’</w:t>
      </w:r>
      <w:r w:rsidRPr="00432BEA" w:rsidR="00C55EFB">
        <w:rPr>
          <w:lang w:val="fr-FR"/>
        </w:rPr>
        <w:t>égalité des armes, en modifiant, en cours d</w:t>
      </w:r>
      <w:r w:rsidRPr="00432BEA" w:rsidR="00432BEA">
        <w:rPr>
          <w:lang w:val="fr-FR"/>
        </w:rPr>
        <w:t>’</w:t>
      </w:r>
      <w:r w:rsidRPr="00432BEA" w:rsidR="00C55EFB">
        <w:rPr>
          <w:lang w:val="fr-FR"/>
        </w:rPr>
        <w:t>instance, l</w:t>
      </w:r>
      <w:r w:rsidRPr="00432BEA" w:rsidR="00432BEA">
        <w:rPr>
          <w:lang w:val="fr-FR"/>
        </w:rPr>
        <w:t>’</w:t>
      </w:r>
      <w:r w:rsidRPr="00432BEA" w:rsidR="00C55EFB">
        <w:rPr>
          <w:lang w:val="fr-FR"/>
        </w:rPr>
        <w:t>issue de celle</w:t>
      </w:r>
      <w:r w:rsidRPr="00432BEA" w:rsidR="00D14E35">
        <w:rPr>
          <w:lang w:val="fr-FR"/>
        </w:rPr>
        <w:t>s</w:t>
      </w:r>
      <w:r w:rsidRPr="00432BEA" w:rsidR="00C55EFB">
        <w:rPr>
          <w:lang w:val="fr-FR"/>
        </w:rPr>
        <w:t>-ci.</w:t>
      </w:r>
    </w:p>
    <w:p w:rsidRPr="00432BEA" w:rsidR="007D22EB" w:rsidP="00432BEA" w:rsidRDefault="00A23FD7">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69</w:t>
      </w:r>
      <w:r w:rsidRPr="00432BEA">
        <w:rPr>
          <w:lang w:val="fr-FR"/>
        </w:rPr>
        <w:fldChar w:fldCharType="end"/>
      </w:r>
      <w:r w:rsidRPr="00432BEA">
        <w:rPr>
          <w:lang w:val="fr-FR"/>
        </w:rPr>
        <w:t xml:space="preserve">.  La Cour note </w:t>
      </w:r>
      <w:r w:rsidRPr="00432BEA" w:rsidR="003E2973">
        <w:rPr>
          <w:lang w:val="fr-FR"/>
        </w:rPr>
        <w:t>que la loi du 20 décembre 2010 a été</w:t>
      </w:r>
      <w:r w:rsidRPr="00432BEA" w:rsidR="00ED247F">
        <w:rPr>
          <w:lang w:val="fr-FR"/>
        </w:rPr>
        <w:t xml:space="preserve"> promulguée</w:t>
      </w:r>
      <w:r w:rsidRPr="00432BEA" w:rsidR="003E2973">
        <w:rPr>
          <w:lang w:val="fr-FR"/>
        </w:rPr>
        <w:t xml:space="preserve"> alors qu</w:t>
      </w:r>
      <w:r w:rsidRPr="00432BEA" w:rsidR="00432BEA">
        <w:rPr>
          <w:lang w:val="fr-FR"/>
        </w:rPr>
        <w:t>’</w:t>
      </w:r>
      <w:r w:rsidRPr="00432BEA" w:rsidR="003E2973">
        <w:rPr>
          <w:lang w:val="fr-FR"/>
        </w:rPr>
        <w:t>aucune décision n</w:t>
      </w:r>
      <w:r w:rsidRPr="00432BEA" w:rsidR="00432BEA">
        <w:rPr>
          <w:lang w:val="fr-FR"/>
        </w:rPr>
        <w:t>’</w:t>
      </w:r>
      <w:r w:rsidRPr="00432BEA" w:rsidR="003E2973">
        <w:rPr>
          <w:lang w:val="fr-FR"/>
        </w:rPr>
        <w:t xml:space="preserve">avait été encore rendue par la Cour de cassation </w:t>
      </w:r>
      <w:r w:rsidRPr="00432BEA" w:rsidR="001B4D36">
        <w:rPr>
          <w:lang w:val="fr-FR"/>
        </w:rPr>
        <w:t>mais</w:t>
      </w:r>
      <w:r w:rsidRPr="00432BEA" w:rsidR="003E2973">
        <w:rPr>
          <w:lang w:val="fr-FR"/>
        </w:rPr>
        <w:t xml:space="preserve"> que plusieurs instances étaient pendantes devant les tribunaux des affaires de </w:t>
      </w:r>
      <w:r w:rsidRPr="00432BEA" w:rsidR="00632783">
        <w:rPr>
          <w:lang w:val="fr-FR"/>
        </w:rPr>
        <w:t>sécurité sociale</w:t>
      </w:r>
      <w:r w:rsidRPr="00432BEA" w:rsidR="003E2973">
        <w:rPr>
          <w:lang w:val="fr-FR"/>
        </w:rPr>
        <w:t xml:space="preserve"> et devant les cours d</w:t>
      </w:r>
      <w:r w:rsidRPr="00432BEA" w:rsidR="00432BEA">
        <w:rPr>
          <w:lang w:val="fr-FR"/>
        </w:rPr>
        <w:t>’</w:t>
      </w:r>
      <w:r w:rsidRPr="00432BEA" w:rsidR="003E2973">
        <w:rPr>
          <w:lang w:val="fr-FR"/>
        </w:rPr>
        <w:t xml:space="preserve">appel. </w:t>
      </w:r>
      <w:r w:rsidRPr="00432BEA" w:rsidR="00ED247F">
        <w:rPr>
          <w:lang w:val="fr-FR"/>
        </w:rPr>
        <w:t>L</w:t>
      </w:r>
      <w:r w:rsidRPr="00432BEA" w:rsidR="00432BEA">
        <w:rPr>
          <w:lang w:val="fr-FR"/>
        </w:rPr>
        <w:t>’</w:t>
      </w:r>
      <w:r w:rsidRPr="00432BEA" w:rsidR="00ED247F">
        <w:rPr>
          <w:lang w:val="fr-FR"/>
        </w:rPr>
        <w:t xml:space="preserve">article 14 de cette loi, en remplaçant les mots « chez les » par les mots « au domicile à usage privatif » était ainsi de nature à réduire les chances des requérants, en tant que structures collectives, </w:t>
      </w:r>
      <w:r w:rsidRPr="00432BEA" w:rsidR="00634F69">
        <w:rPr>
          <w:lang w:val="fr-FR"/>
        </w:rPr>
        <w:t>d</w:t>
      </w:r>
      <w:r w:rsidRPr="00432BEA" w:rsidR="00432BEA">
        <w:rPr>
          <w:lang w:val="fr-FR"/>
        </w:rPr>
        <w:t>’</w:t>
      </w:r>
      <w:r w:rsidRPr="00432BEA" w:rsidR="001B4D36">
        <w:rPr>
          <w:lang w:val="fr-FR"/>
        </w:rPr>
        <w:t>obtenir satisfaction dans leur</w:t>
      </w:r>
      <w:r w:rsidRPr="00432BEA" w:rsidR="00D112CE">
        <w:rPr>
          <w:lang w:val="fr-FR"/>
        </w:rPr>
        <w:t>s</w:t>
      </w:r>
      <w:r w:rsidRPr="00432BEA" w:rsidR="001B4D36">
        <w:rPr>
          <w:lang w:val="fr-FR"/>
        </w:rPr>
        <w:t xml:space="preserve"> </w:t>
      </w:r>
      <w:r w:rsidRPr="00432BEA" w:rsidR="00634F69">
        <w:rPr>
          <w:lang w:val="fr-FR"/>
        </w:rPr>
        <w:t>action</w:t>
      </w:r>
      <w:r w:rsidRPr="00432BEA" w:rsidR="00D112CE">
        <w:rPr>
          <w:lang w:val="fr-FR"/>
        </w:rPr>
        <w:t>s</w:t>
      </w:r>
      <w:r w:rsidRPr="00432BEA" w:rsidR="00634F69">
        <w:rPr>
          <w:lang w:val="fr-FR"/>
        </w:rPr>
        <w:t xml:space="preserve"> contre l</w:t>
      </w:r>
      <w:r w:rsidRPr="00432BEA" w:rsidR="00432BEA">
        <w:rPr>
          <w:lang w:val="fr-FR"/>
        </w:rPr>
        <w:t>’</w:t>
      </w:r>
      <w:r w:rsidRPr="00432BEA" w:rsidR="00634F69">
        <w:rPr>
          <w:lang w:val="fr-FR"/>
        </w:rPr>
        <w:t>URSSAF</w:t>
      </w:r>
      <w:r w:rsidRPr="00432BEA" w:rsidR="001B4D36">
        <w:rPr>
          <w:lang w:val="fr-FR"/>
        </w:rPr>
        <w:t>.</w:t>
      </w:r>
      <w:r w:rsidRPr="00432BEA" w:rsidR="008B4460">
        <w:rPr>
          <w:lang w:val="fr-FR"/>
        </w:rPr>
        <w:t xml:space="preserve"> </w:t>
      </w:r>
      <w:r w:rsidRPr="00432BEA" w:rsidR="00ED247F">
        <w:rPr>
          <w:lang w:val="fr-FR"/>
        </w:rPr>
        <w:t>L</w:t>
      </w:r>
      <w:r w:rsidRPr="00432BEA" w:rsidR="003E2973">
        <w:rPr>
          <w:lang w:val="fr-FR"/>
        </w:rPr>
        <w:t>es autorités de l</w:t>
      </w:r>
      <w:r w:rsidRPr="00432BEA" w:rsidR="00432BEA">
        <w:rPr>
          <w:lang w:val="fr-FR"/>
        </w:rPr>
        <w:t>’</w:t>
      </w:r>
      <w:r w:rsidRPr="00432BEA" w:rsidR="003E2973">
        <w:rPr>
          <w:lang w:val="fr-FR"/>
        </w:rPr>
        <w:t xml:space="preserve">État ont </w:t>
      </w:r>
      <w:r w:rsidRPr="00432BEA" w:rsidR="001B4D36">
        <w:rPr>
          <w:lang w:val="fr-FR"/>
        </w:rPr>
        <w:t>indiqué</w:t>
      </w:r>
      <w:r w:rsidRPr="00432BEA" w:rsidR="003E2973">
        <w:rPr>
          <w:lang w:val="fr-FR"/>
        </w:rPr>
        <w:t xml:space="preserve"> que l</w:t>
      </w:r>
      <w:r w:rsidRPr="00432BEA" w:rsidR="00432BEA">
        <w:rPr>
          <w:lang w:val="fr-FR"/>
        </w:rPr>
        <w:t>’</w:t>
      </w:r>
      <w:r w:rsidRPr="00432BEA" w:rsidR="003E2973">
        <w:rPr>
          <w:lang w:val="fr-FR"/>
        </w:rPr>
        <w:t>adoption de l</w:t>
      </w:r>
      <w:r w:rsidRPr="00432BEA" w:rsidR="00432BEA">
        <w:rPr>
          <w:lang w:val="fr-FR"/>
        </w:rPr>
        <w:t>’</w:t>
      </w:r>
      <w:r w:rsidRPr="00432BEA" w:rsidR="003E2973">
        <w:rPr>
          <w:lang w:val="fr-FR"/>
        </w:rPr>
        <w:t xml:space="preserve">article 14 de la loi du 20 décembre 2010 </w:t>
      </w:r>
      <w:r w:rsidRPr="00432BEA" w:rsidR="00456ECB">
        <w:rPr>
          <w:lang w:val="fr-FR"/>
        </w:rPr>
        <w:t>devait clarifier l</w:t>
      </w:r>
      <w:r w:rsidRPr="00432BEA" w:rsidR="00432BEA">
        <w:rPr>
          <w:lang w:val="fr-FR"/>
        </w:rPr>
        <w:t>’</w:t>
      </w:r>
      <w:r w:rsidRPr="00432BEA" w:rsidR="00456ECB">
        <w:rPr>
          <w:lang w:val="fr-FR"/>
        </w:rPr>
        <w:t>article L. 241-10 III du CSS, cette clarification visant « à prévenir tout litige » (paragraphe 45 ci-dessus)</w:t>
      </w:r>
      <w:r w:rsidRPr="00432BEA" w:rsidR="003E2973">
        <w:rPr>
          <w:lang w:val="fr-FR"/>
        </w:rPr>
        <w:t>.</w:t>
      </w:r>
    </w:p>
    <w:p w:rsidRPr="00432BEA" w:rsidR="00FF203A" w:rsidP="00432BEA" w:rsidRDefault="00FF203A">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70</w:t>
      </w:r>
      <w:r w:rsidRPr="00432BEA">
        <w:rPr>
          <w:lang w:val="fr-FR"/>
        </w:rPr>
        <w:fldChar w:fldCharType="end"/>
      </w:r>
      <w:r w:rsidRPr="00432BEA">
        <w:rPr>
          <w:lang w:val="fr-FR"/>
        </w:rPr>
        <w:t xml:space="preserve">.  Cela étant, la </w:t>
      </w:r>
      <w:r w:rsidRPr="00432BEA" w:rsidR="008B2AA9">
        <w:rPr>
          <w:lang w:val="fr-FR"/>
        </w:rPr>
        <w:t xml:space="preserve">Cour </w:t>
      </w:r>
      <w:r w:rsidRPr="00432BEA" w:rsidR="004C2EE4">
        <w:rPr>
          <w:lang w:val="fr-FR"/>
        </w:rPr>
        <w:t>constate que, à la date de l</w:t>
      </w:r>
      <w:r w:rsidRPr="00432BEA" w:rsidR="00432BEA">
        <w:rPr>
          <w:lang w:val="fr-FR"/>
        </w:rPr>
        <w:t>’</w:t>
      </w:r>
      <w:r w:rsidRPr="00432BEA" w:rsidR="004C2EE4">
        <w:rPr>
          <w:lang w:val="fr-FR"/>
        </w:rPr>
        <w:t>adoption de la disposition législative litigieuse, à l</w:t>
      </w:r>
      <w:r w:rsidRPr="00432BEA" w:rsidR="00432BEA">
        <w:rPr>
          <w:lang w:val="fr-FR"/>
        </w:rPr>
        <w:t>’</w:t>
      </w:r>
      <w:r w:rsidRPr="00432BEA" w:rsidR="004C2EE4">
        <w:rPr>
          <w:lang w:val="fr-FR"/>
        </w:rPr>
        <w:t>exception d</w:t>
      </w:r>
      <w:r w:rsidRPr="00432BEA" w:rsidR="00432BEA">
        <w:rPr>
          <w:lang w:val="fr-FR"/>
        </w:rPr>
        <w:t>’</w:t>
      </w:r>
      <w:r w:rsidRPr="00432BEA" w:rsidR="004C2EE4">
        <w:rPr>
          <w:lang w:val="fr-FR"/>
        </w:rPr>
        <w:t xml:space="preserve">un seul requérant (paragraphe </w:t>
      </w:r>
      <w:r w:rsidRPr="00432BEA" w:rsidR="00406AA7">
        <w:rPr>
          <w:lang w:val="fr-FR"/>
        </w:rPr>
        <w:t xml:space="preserve">34 </w:t>
      </w:r>
      <w:r w:rsidRPr="00432BEA" w:rsidR="004C2EE4">
        <w:rPr>
          <w:lang w:val="fr-FR"/>
        </w:rPr>
        <w:t>ci-dessus), aucun des intéressés n</w:t>
      </w:r>
      <w:r w:rsidRPr="00432BEA" w:rsidR="00432BEA">
        <w:rPr>
          <w:lang w:val="fr-FR"/>
        </w:rPr>
        <w:t>’</w:t>
      </w:r>
      <w:r w:rsidRPr="00432BEA" w:rsidR="004C2EE4">
        <w:rPr>
          <w:lang w:val="fr-FR"/>
        </w:rPr>
        <w:t xml:space="preserve">avait obtenu de jugement leur reconnaissant le droit à un remboursement de la cotisation litigieuse. </w:t>
      </w:r>
      <w:r w:rsidRPr="00432BEA" w:rsidR="003C2D4A">
        <w:rPr>
          <w:lang w:val="fr-FR"/>
        </w:rPr>
        <w:t>De plus, seul</w:t>
      </w:r>
      <w:r w:rsidRPr="00432BEA" w:rsidR="00C82878">
        <w:rPr>
          <w:lang w:val="fr-FR"/>
        </w:rPr>
        <w:t xml:space="preserve">es quelques décisions isolées de première instance et </w:t>
      </w:r>
      <w:r w:rsidRPr="00432BEA" w:rsidR="003877FF">
        <w:rPr>
          <w:lang w:val="fr-FR"/>
        </w:rPr>
        <w:t>un</w:t>
      </w:r>
      <w:r w:rsidRPr="00432BEA" w:rsidR="00C82878">
        <w:rPr>
          <w:lang w:val="fr-FR"/>
        </w:rPr>
        <w:t xml:space="preserve"> unique</w:t>
      </w:r>
      <w:r w:rsidRPr="00432BEA" w:rsidR="003877FF">
        <w:rPr>
          <w:lang w:val="fr-FR"/>
        </w:rPr>
        <w:t xml:space="preserve"> arrêt de cour d</w:t>
      </w:r>
      <w:r w:rsidRPr="00432BEA" w:rsidR="00432BEA">
        <w:rPr>
          <w:lang w:val="fr-FR"/>
        </w:rPr>
        <w:t>’</w:t>
      </w:r>
      <w:r w:rsidRPr="00432BEA" w:rsidR="003877FF">
        <w:rPr>
          <w:lang w:val="fr-FR"/>
        </w:rPr>
        <w:t>appel (paragraphe</w:t>
      </w:r>
      <w:r w:rsidRPr="00432BEA" w:rsidR="00406AA7">
        <w:rPr>
          <w:lang w:val="fr-FR"/>
        </w:rPr>
        <w:t xml:space="preserve"> 46</w:t>
      </w:r>
      <w:r w:rsidRPr="00432BEA" w:rsidR="003877FF">
        <w:rPr>
          <w:lang w:val="fr-FR"/>
        </w:rPr>
        <w:t xml:space="preserve"> ci-dessus)</w:t>
      </w:r>
      <w:r w:rsidRPr="00432BEA" w:rsidR="0023640D">
        <w:rPr>
          <w:lang w:val="fr-FR"/>
        </w:rPr>
        <w:t xml:space="preserve">, </w:t>
      </w:r>
      <w:r w:rsidRPr="00432BEA" w:rsidR="004C2EE4">
        <w:rPr>
          <w:lang w:val="fr-FR"/>
        </w:rPr>
        <w:t>avai</w:t>
      </w:r>
      <w:r w:rsidRPr="00432BEA" w:rsidR="005701DE">
        <w:rPr>
          <w:lang w:val="fr-FR"/>
        </w:rPr>
        <w:t>en</w:t>
      </w:r>
      <w:r w:rsidRPr="00432BEA" w:rsidR="004C2EE4">
        <w:rPr>
          <w:lang w:val="fr-FR"/>
        </w:rPr>
        <w:t xml:space="preserve">t reconnu </w:t>
      </w:r>
      <w:r w:rsidRPr="00432BEA" w:rsidR="003C2D4A">
        <w:rPr>
          <w:lang w:val="fr-FR"/>
        </w:rPr>
        <w:t>qu</w:t>
      </w:r>
      <w:r w:rsidRPr="00432BEA" w:rsidR="00432BEA">
        <w:rPr>
          <w:lang w:val="fr-FR"/>
        </w:rPr>
        <w:t>’</w:t>
      </w:r>
      <w:r w:rsidRPr="00432BEA" w:rsidR="003C2D4A">
        <w:rPr>
          <w:lang w:val="fr-FR"/>
        </w:rPr>
        <w:t>une structure collective d</w:t>
      </w:r>
      <w:r w:rsidRPr="00432BEA" w:rsidR="00432BEA">
        <w:rPr>
          <w:lang w:val="fr-FR"/>
        </w:rPr>
        <w:t>’</w:t>
      </w:r>
      <w:r w:rsidRPr="00432BEA" w:rsidR="003C2D4A">
        <w:rPr>
          <w:lang w:val="fr-FR"/>
        </w:rPr>
        <w:t xml:space="preserve">hébergement de personnes âgées constituait pour ses résidents leur domicile </w:t>
      </w:r>
      <w:r w:rsidRPr="00432BEA" w:rsidR="001E2B09">
        <w:rPr>
          <w:lang w:val="fr-FR"/>
        </w:rPr>
        <w:t>au sens de l</w:t>
      </w:r>
      <w:r w:rsidRPr="00432BEA" w:rsidR="00432BEA">
        <w:rPr>
          <w:lang w:val="fr-FR"/>
        </w:rPr>
        <w:t>’</w:t>
      </w:r>
      <w:r w:rsidRPr="00432BEA" w:rsidR="001E2B09">
        <w:rPr>
          <w:lang w:val="fr-FR"/>
        </w:rPr>
        <w:t>alinéa III de l</w:t>
      </w:r>
      <w:r w:rsidRPr="00432BEA" w:rsidR="00432BEA">
        <w:rPr>
          <w:lang w:val="fr-FR"/>
        </w:rPr>
        <w:t>’</w:t>
      </w:r>
      <w:r w:rsidRPr="00432BEA" w:rsidR="001E2B09">
        <w:rPr>
          <w:lang w:val="fr-FR"/>
        </w:rPr>
        <w:t xml:space="preserve">article L. 241-10 du CSS </w:t>
      </w:r>
      <w:r w:rsidRPr="00432BEA" w:rsidR="003C2D4A">
        <w:rPr>
          <w:lang w:val="fr-FR"/>
        </w:rPr>
        <w:t>et ouvrait ainsi droit au bénéfice de l</w:t>
      </w:r>
      <w:r w:rsidRPr="00432BEA" w:rsidR="00432BEA">
        <w:rPr>
          <w:lang w:val="fr-FR"/>
        </w:rPr>
        <w:t>’</w:t>
      </w:r>
      <w:r w:rsidRPr="00432BEA" w:rsidR="003C2D4A">
        <w:rPr>
          <w:lang w:val="fr-FR"/>
        </w:rPr>
        <w:t xml:space="preserve">exonération pour les rémunérations des salariés intervenant dans ces structures. </w:t>
      </w:r>
      <w:r w:rsidRPr="00432BEA" w:rsidR="00E80BB8">
        <w:rPr>
          <w:lang w:val="fr-FR"/>
        </w:rPr>
        <w:t xml:space="preserve">Enfin, </w:t>
      </w:r>
      <w:r w:rsidRPr="00432BEA" w:rsidR="00406AA7">
        <w:rPr>
          <w:lang w:val="fr-FR"/>
        </w:rPr>
        <w:t xml:space="preserve">la Cour observe que </w:t>
      </w:r>
      <w:r w:rsidRPr="00432BEA" w:rsidR="00E80BB8">
        <w:rPr>
          <w:lang w:val="fr-FR"/>
        </w:rPr>
        <w:t>l</w:t>
      </w:r>
      <w:r w:rsidRPr="00432BEA" w:rsidR="00432BEA">
        <w:rPr>
          <w:lang w:val="fr-FR"/>
        </w:rPr>
        <w:t>’</w:t>
      </w:r>
      <w:r w:rsidRPr="00432BEA" w:rsidR="00CF17E5">
        <w:rPr>
          <w:lang w:val="fr-FR"/>
        </w:rPr>
        <w:t>article 14 de la loi du 20 décembre 2010</w:t>
      </w:r>
      <w:r w:rsidRPr="00432BEA" w:rsidR="00E80BB8">
        <w:rPr>
          <w:lang w:val="fr-FR"/>
        </w:rPr>
        <w:t xml:space="preserve"> </w:t>
      </w:r>
      <w:r w:rsidRPr="00432BEA" w:rsidR="00CF17E5">
        <w:rPr>
          <w:lang w:val="fr-FR"/>
        </w:rPr>
        <w:t>avait pour but</w:t>
      </w:r>
      <w:r w:rsidRPr="00432BEA" w:rsidR="00E80BB8">
        <w:rPr>
          <w:lang w:val="fr-FR"/>
        </w:rPr>
        <w:t>, officiellement</w:t>
      </w:r>
      <w:r w:rsidRPr="00432BEA" w:rsidR="00CF17E5">
        <w:rPr>
          <w:lang w:val="fr-FR"/>
        </w:rPr>
        <w:t xml:space="preserve"> </w:t>
      </w:r>
      <w:r w:rsidRPr="00432BEA" w:rsidR="00E80BB8">
        <w:rPr>
          <w:lang w:val="fr-FR"/>
        </w:rPr>
        <w:t xml:space="preserve">reconnu, </w:t>
      </w:r>
      <w:r w:rsidRPr="00432BEA" w:rsidR="00CF17E5">
        <w:rPr>
          <w:lang w:val="fr-FR"/>
        </w:rPr>
        <w:t xml:space="preserve">de </w:t>
      </w:r>
      <w:r w:rsidRPr="00432BEA" w:rsidR="001B4D36">
        <w:rPr>
          <w:lang w:val="fr-FR"/>
        </w:rPr>
        <w:t>préciser</w:t>
      </w:r>
      <w:r w:rsidRPr="00432BEA" w:rsidR="00E80BB8">
        <w:rPr>
          <w:lang w:val="fr-FR"/>
        </w:rPr>
        <w:t xml:space="preserve"> que le dispositif d</w:t>
      </w:r>
      <w:r w:rsidRPr="00432BEA" w:rsidR="00432BEA">
        <w:rPr>
          <w:lang w:val="fr-FR"/>
        </w:rPr>
        <w:t>’</w:t>
      </w:r>
      <w:r w:rsidRPr="00432BEA" w:rsidR="00E80BB8">
        <w:rPr>
          <w:lang w:val="fr-FR"/>
        </w:rPr>
        <w:t>exonération était destiné à favoriser l</w:t>
      </w:r>
      <w:r w:rsidRPr="00432BEA" w:rsidR="00432BEA">
        <w:rPr>
          <w:lang w:val="fr-FR"/>
        </w:rPr>
        <w:t>’</w:t>
      </w:r>
      <w:r w:rsidRPr="00432BEA" w:rsidR="00E80BB8">
        <w:rPr>
          <w:lang w:val="fr-FR"/>
        </w:rPr>
        <w:t>aide à domicile pour les personnes âgées continuant de vivre chez elles.</w:t>
      </w:r>
      <w:r w:rsidRPr="00432BEA" w:rsidR="00CF17E5">
        <w:rPr>
          <w:lang w:val="fr-FR"/>
        </w:rPr>
        <w:t xml:space="preserve"> </w:t>
      </w:r>
      <w:r w:rsidRPr="00432BEA" w:rsidR="00406AA7">
        <w:rPr>
          <w:lang w:val="fr-FR"/>
        </w:rPr>
        <w:t>La Cour estime dès lors</w:t>
      </w:r>
      <w:r w:rsidRPr="00432BEA" w:rsidR="003C2D4A">
        <w:rPr>
          <w:lang w:val="fr-FR"/>
        </w:rPr>
        <w:t xml:space="preserve"> que la question se pose de savoir si, </w:t>
      </w:r>
      <w:r w:rsidRPr="00432BEA" w:rsidR="001E2B09">
        <w:rPr>
          <w:lang w:val="fr-FR"/>
        </w:rPr>
        <w:t>avant la loi nouvelle</w:t>
      </w:r>
      <w:r w:rsidRPr="00432BEA" w:rsidR="003C2D4A">
        <w:rPr>
          <w:lang w:val="fr-FR"/>
        </w:rPr>
        <w:t xml:space="preserve">, les requérants pouvaient </w:t>
      </w:r>
      <w:r w:rsidRPr="00432BEA" w:rsidR="001E2B09">
        <w:rPr>
          <w:lang w:val="fr-FR"/>
        </w:rPr>
        <w:t>de façon convaincante</w:t>
      </w:r>
      <w:r w:rsidRPr="00432BEA" w:rsidR="003C2D4A">
        <w:rPr>
          <w:lang w:val="fr-FR"/>
        </w:rPr>
        <w:t xml:space="preserve"> prétendre</w:t>
      </w:r>
      <w:r w:rsidRPr="00432BEA" w:rsidR="00681095">
        <w:rPr>
          <w:lang w:val="fr-FR"/>
        </w:rPr>
        <w:t xml:space="preserve"> que les salariés des structures d</w:t>
      </w:r>
      <w:r w:rsidRPr="00432BEA" w:rsidR="00432BEA">
        <w:rPr>
          <w:lang w:val="fr-FR"/>
        </w:rPr>
        <w:t>’</w:t>
      </w:r>
      <w:r w:rsidRPr="00432BEA" w:rsidR="00681095">
        <w:rPr>
          <w:lang w:val="fr-FR"/>
        </w:rPr>
        <w:t>hébergement collectif de personnes âgées ou dépendantes entraient dans le champ d</w:t>
      </w:r>
      <w:r w:rsidRPr="00432BEA" w:rsidR="00432BEA">
        <w:rPr>
          <w:lang w:val="fr-FR"/>
        </w:rPr>
        <w:t>’</w:t>
      </w:r>
      <w:r w:rsidRPr="00432BEA" w:rsidR="00681095">
        <w:rPr>
          <w:lang w:val="fr-FR"/>
        </w:rPr>
        <w:t>application de l</w:t>
      </w:r>
      <w:r w:rsidRPr="00432BEA" w:rsidR="00432BEA">
        <w:rPr>
          <w:lang w:val="fr-FR"/>
        </w:rPr>
        <w:t>’</w:t>
      </w:r>
      <w:r w:rsidRPr="00432BEA" w:rsidR="00681095">
        <w:rPr>
          <w:lang w:val="fr-FR"/>
        </w:rPr>
        <w:t>exonération, et obtenir le</w:t>
      </w:r>
      <w:r w:rsidRPr="00432BEA" w:rsidR="003C2D4A">
        <w:rPr>
          <w:lang w:val="fr-FR"/>
        </w:rPr>
        <w:t xml:space="preserve"> remboursement des cotisations en cause.</w:t>
      </w:r>
    </w:p>
    <w:p w:rsidRPr="00432BEA" w:rsidR="0052679D" w:rsidP="00432BEA" w:rsidRDefault="003C2D4A">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71</w:t>
      </w:r>
      <w:r w:rsidRPr="00432BEA">
        <w:rPr>
          <w:lang w:val="fr-FR"/>
        </w:rPr>
        <w:fldChar w:fldCharType="end"/>
      </w:r>
      <w:r w:rsidRPr="00432BEA">
        <w:rPr>
          <w:lang w:val="fr-FR"/>
        </w:rPr>
        <w:t>.  </w:t>
      </w:r>
      <w:r w:rsidRPr="00432BEA" w:rsidR="0023640D">
        <w:rPr>
          <w:lang w:val="fr-FR"/>
        </w:rPr>
        <w:t>Elle soulign</w:t>
      </w:r>
      <w:r w:rsidRPr="00432BEA" w:rsidR="00D67D83">
        <w:rPr>
          <w:lang w:val="fr-FR"/>
        </w:rPr>
        <w:t xml:space="preserve">e </w:t>
      </w:r>
      <w:r w:rsidRPr="00432BEA" w:rsidR="000A2B4F">
        <w:rPr>
          <w:lang w:val="fr-FR"/>
        </w:rPr>
        <w:t xml:space="preserve">à cet égard </w:t>
      </w:r>
      <w:r w:rsidRPr="00432BEA" w:rsidR="00D67D83">
        <w:rPr>
          <w:lang w:val="fr-FR"/>
        </w:rPr>
        <w:t>que l</w:t>
      </w:r>
      <w:r w:rsidRPr="00432BEA" w:rsidR="00432BEA">
        <w:rPr>
          <w:lang w:val="fr-FR"/>
        </w:rPr>
        <w:t>’</w:t>
      </w:r>
      <w:r w:rsidRPr="00432BEA" w:rsidR="00D67D83">
        <w:rPr>
          <w:lang w:val="fr-FR"/>
        </w:rPr>
        <w:t>historique du dispositif d</w:t>
      </w:r>
      <w:r w:rsidRPr="00432BEA" w:rsidR="00432BEA">
        <w:rPr>
          <w:lang w:val="fr-FR"/>
        </w:rPr>
        <w:t>’</w:t>
      </w:r>
      <w:r w:rsidRPr="00432BEA" w:rsidR="00D67D83">
        <w:rPr>
          <w:lang w:val="fr-FR"/>
        </w:rPr>
        <w:t>aide au maintien des personnes âgées à leur domicile et les débats parlementaires qui ont précédé l</w:t>
      </w:r>
      <w:r w:rsidRPr="00432BEA" w:rsidR="00432BEA">
        <w:rPr>
          <w:lang w:val="fr-FR"/>
        </w:rPr>
        <w:t>’</w:t>
      </w:r>
      <w:r w:rsidRPr="00432BEA" w:rsidR="00D67D83">
        <w:rPr>
          <w:lang w:val="fr-FR"/>
        </w:rPr>
        <w:t>adoption de la loi du 20 décembre 2010 démont</w:t>
      </w:r>
      <w:r w:rsidRPr="00432BEA" w:rsidR="00406AA7">
        <w:rPr>
          <w:lang w:val="fr-FR"/>
        </w:rPr>
        <w:t xml:space="preserve">rent que son article 14 ne visait pas </w:t>
      </w:r>
      <w:r w:rsidRPr="00432BEA" w:rsidR="00D67D83">
        <w:rPr>
          <w:lang w:val="fr-FR"/>
        </w:rPr>
        <w:t>à prendre</w:t>
      </w:r>
      <w:r w:rsidRPr="00432BEA" w:rsidR="005701DE">
        <w:rPr>
          <w:lang w:val="fr-FR"/>
        </w:rPr>
        <w:t xml:space="preserve"> po</w:t>
      </w:r>
      <w:r w:rsidRPr="00432BEA" w:rsidR="00F548F6">
        <w:rPr>
          <w:lang w:val="fr-FR"/>
        </w:rPr>
        <w:t>sition en faveur de l</w:t>
      </w:r>
      <w:r w:rsidRPr="00432BEA" w:rsidR="00432BEA">
        <w:rPr>
          <w:lang w:val="fr-FR"/>
        </w:rPr>
        <w:t>’</w:t>
      </w:r>
      <w:r w:rsidRPr="00432BEA" w:rsidR="00F548F6">
        <w:rPr>
          <w:lang w:val="fr-FR"/>
        </w:rPr>
        <w:t xml:space="preserve">URSSAF ni </w:t>
      </w:r>
      <w:r w:rsidRPr="00432BEA" w:rsidR="005701DE">
        <w:rPr>
          <w:lang w:val="fr-FR"/>
        </w:rPr>
        <w:t xml:space="preserve">à corriger une interprétation du texte qui aurait été </w:t>
      </w:r>
      <w:r w:rsidRPr="00432BEA" w:rsidR="00F548F6">
        <w:rPr>
          <w:lang w:val="fr-FR"/>
        </w:rPr>
        <w:t>favorable</w:t>
      </w:r>
      <w:r w:rsidRPr="00432BEA" w:rsidR="00406AA7">
        <w:rPr>
          <w:lang w:val="fr-FR"/>
        </w:rPr>
        <w:t xml:space="preserve"> aux requérants.</w:t>
      </w:r>
      <w:r w:rsidRPr="00432BEA" w:rsidR="00097A56">
        <w:rPr>
          <w:lang w:val="fr-FR"/>
        </w:rPr>
        <w:t xml:space="preserve"> L</w:t>
      </w:r>
      <w:r w:rsidRPr="00432BEA" w:rsidR="00CE7B82">
        <w:rPr>
          <w:lang w:val="fr-FR"/>
        </w:rPr>
        <w:t xml:space="preserve">es raisons avancées par les autorités publiques au cours des travaux parlementaires </w:t>
      </w:r>
      <w:r w:rsidRPr="00432BEA" w:rsidR="00097A56">
        <w:rPr>
          <w:lang w:val="fr-FR"/>
        </w:rPr>
        <w:t>soulignent très clairement la nécessité de remédier à une faille technique du droit</w:t>
      </w:r>
      <w:r w:rsidRPr="00432BEA" w:rsidR="007F7B49">
        <w:rPr>
          <w:lang w:val="fr-FR"/>
        </w:rPr>
        <w:t xml:space="preserve"> mi</w:t>
      </w:r>
      <w:r w:rsidRPr="00432BEA" w:rsidR="003554DD">
        <w:rPr>
          <w:lang w:val="fr-FR"/>
        </w:rPr>
        <w:t>s en évidence par le contentieux,</w:t>
      </w:r>
      <w:r w:rsidRPr="00432BEA" w:rsidR="007F7B49">
        <w:rPr>
          <w:lang w:val="fr-FR"/>
        </w:rPr>
        <w:t xml:space="preserve"> </w:t>
      </w:r>
      <w:r w:rsidRPr="00432BEA" w:rsidR="00097A56">
        <w:rPr>
          <w:lang w:val="fr-FR"/>
        </w:rPr>
        <w:t>afin de réaffirmer</w:t>
      </w:r>
      <w:r w:rsidRPr="00432BEA" w:rsidR="000C37C2">
        <w:rPr>
          <w:lang w:val="fr-FR"/>
        </w:rPr>
        <w:t xml:space="preserve"> l</w:t>
      </w:r>
      <w:r w:rsidRPr="00432BEA" w:rsidR="00432BEA">
        <w:rPr>
          <w:lang w:val="fr-FR"/>
        </w:rPr>
        <w:t>’</w:t>
      </w:r>
      <w:r w:rsidRPr="00432BEA" w:rsidR="000C37C2">
        <w:rPr>
          <w:lang w:val="fr-FR"/>
        </w:rPr>
        <w:t>inte</w:t>
      </w:r>
      <w:r w:rsidRPr="00432BEA" w:rsidR="00F548F6">
        <w:rPr>
          <w:lang w:val="fr-FR"/>
        </w:rPr>
        <w:t>ntion initiale du législateur quant au</w:t>
      </w:r>
      <w:r w:rsidRPr="00432BEA" w:rsidR="000C37C2">
        <w:rPr>
          <w:lang w:val="fr-FR"/>
        </w:rPr>
        <w:t xml:space="preserve"> mécanisme d</w:t>
      </w:r>
      <w:r w:rsidRPr="00432BEA" w:rsidR="00432BEA">
        <w:rPr>
          <w:lang w:val="fr-FR"/>
        </w:rPr>
        <w:t>’</w:t>
      </w:r>
      <w:r w:rsidRPr="00432BEA" w:rsidR="000C37C2">
        <w:rPr>
          <w:lang w:val="fr-FR"/>
        </w:rPr>
        <w:t xml:space="preserve">exonération sociale dans le secteur des services à la personne. </w:t>
      </w:r>
      <w:r w:rsidRPr="00432BEA" w:rsidR="007F7B49">
        <w:rPr>
          <w:lang w:val="fr-FR"/>
        </w:rPr>
        <w:t>Il ressort ainsi de ces débats que les requérants</w:t>
      </w:r>
      <w:r w:rsidRPr="00432BEA" w:rsidR="003A4FC3">
        <w:rPr>
          <w:lang w:val="fr-FR"/>
        </w:rPr>
        <w:t xml:space="preserve"> </w:t>
      </w:r>
      <w:r w:rsidRPr="00432BEA" w:rsidR="007F7B49">
        <w:rPr>
          <w:lang w:val="fr-FR"/>
        </w:rPr>
        <w:t xml:space="preserve">ne </w:t>
      </w:r>
      <w:r w:rsidRPr="00432BEA" w:rsidR="00EE4E8B">
        <w:rPr>
          <w:lang w:val="fr-FR"/>
        </w:rPr>
        <w:t>pouvaient escompter bénéficier de ce</w:t>
      </w:r>
      <w:r w:rsidRPr="00432BEA" w:rsidR="00786558">
        <w:rPr>
          <w:lang w:val="fr-FR"/>
        </w:rPr>
        <w:t xml:space="preserve"> mécanisme</w:t>
      </w:r>
      <w:r w:rsidRPr="00432BEA" w:rsidR="00EE4E8B">
        <w:rPr>
          <w:lang w:val="fr-FR"/>
        </w:rPr>
        <w:t xml:space="preserve"> con</w:t>
      </w:r>
      <w:r w:rsidRPr="00432BEA" w:rsidR="00786558">
        <w:rPr>
          <w:lang w:val="fr-FR"/>
        </w:rPr>
        <w:t>çu dès</w:t>
      </w:r>
      <w:r w:rsidRPr="00432BEA" w:rsidR="00EE4E8B">
        <w:rPr>
          <w:lang w:val="fr-FR"/>
        </w:rPr>
        <w:t xml:space="preserve"> l</w:t>
      </w:r>
      <w:r w:rsidRPr="00432BEA" w:rsidR="00432BEA">
        <w:rPr>
          <w:lang w:val="fr-FR"/>
        </w:rPr>
        <w:t>’</w:t>
      </w:r>
      <w:r w:rsidRPr="00432BEA" w:rsidR="00EE4E8B">
        <w:rPr>
          <w:lang w:val="fr-FR"/>
        </w:rPr>
        <w:t>origine pour que les personnes âgées ne quittent pas leur domicile privatif</w:t>
      </w:r>
      <w:r w:rsidRPr="00432BEA" w:rsidR="00786558">
        <w:rPr>
          <w:lang w:val="fr-FR"/>
        </w:rPr>
        <w:t>.</w:t>
      </w:r>
      <w:r w:rsidRPr="00432BEA" w:rsidR="003042C4">
        <w:rPr>
          <w:lang w:val="fr-FR"/>
        </w:rPr>
        <w:t xml:space="preserve"> Il en résulte notam</w:t>
      </w:r>
      <w:r w:rsidRPr="00432BEA" w:rsidR="00C62550">
        <w:rPr>
          <w:lang w:val="fr-FR"/>
        </w:rPr>
        <w:t xml:space="preserve">ment assez </w:t>
      </w:r>
      <w:r w:rsidRPr="00432BEA" w:rsidR="00B25F1E">
        <w:rPr>
          <w:lang w:val="fr-FR"/>
        </w:rPr>
        <w:t>précisément</w:t>
      </w:r>
      <w:r w:rsidRPr="00432BEA" w:rsidR="00C62550">
        <w:rPr>
          <w:lang w:val="fr-FR"/>
        </w:rPr>
        <w:t xml:space="preserve"> que </w:t>
      </w:r>
      <w:r w:rsidRPr="00432BEA" w:rsidR="003042C4">
        <w:rPr>
          <w:lang w:val="fr-FR"/>
        </w:rPr>
        <w:t>les</w:t>
      </w:r>
      <w:r w:rsidRPr="00432BEA" w:rsidR="00B25F1E">
        <w:rPr>
          <w:lang w:val="fr-FR"/>
        </w:rPr>
        <w:t xml:space="preserve"> EHPAD, à la différence des</w:t>
      </w:r>
      <w:r w:rsidRPr="00432BEA" w:rsidR="003042C4">
        <w:rPr>
          <w:lang w:val="fr-FR"/>
        </w:rPr>
        <w:t xml:space="preserve"> </w:t>
      </w:r>
      <w:r w:rsidRPr="00432BEA" w:rsidR="00451E62">
        <w:rPr>
          <w:lang w:val="fr-FR"/>
        </w:rPr>
        <w:t>foyers-logements</w:t>
      </w:r>
      <w:r w:rsidRPr="00432BEA" w:rsidR="003042C4">
        <w:rPr>
          <w:lang w:val="fr-FR"/>
        </w:rPr>
        <w:t xml:space="preserve">, </w:t>
      </w:r>
      <w:r w:rsidRPr="00432BEA" w:rsidR="00B25F1E">
        <w:rPr>
          <w:lang w:val="fr-FR"/>
        </w:rPr>
        <w:t>n</w:t>
      </w:r>
      <w:r w:rsidRPr="00432BEA" w:rsidR="00432BEA">
        <w:rPr>
          <w:lang w:val="fr-FR"/>
        </w:rPr>
        <w:t>’</w:t>
      </w:r>
      <w:r w:rsidRPr="00432BEA" w:rsidR="00B25F1E">
        <w:rPr>
          <w:lang w:val="fr-FR"/>
        </w:rPr>
        <w:t>avaient pas vocation à entrer dans le champ d</w:t>
      </w:r>
      <w:r w:rsidRPr="00432BEA" w:rsidR="00432BEA">
        <w:rPr>
          <w:lang w:val="fr-FR"/>
        </w:rPr>
        <w:t>’</w:t>
      </w:r>
      <w:r w:rsidRPr="00432BEA" w:rsidR="00B25F1E">
        <w:rPr>
          <w:lang w:val="fr-FR"/>
        </w:rPr>
        <w:t xml:space="preserve">application de </w:t>
      </w:r>
      <w:r w:rsidRPr="00432BEA" w:rsidR="003042C4">
        <w:rPr>
          <w:lang w:val="fr-FR"/>
        </w:rPr>
        <w:t>l</w:t>
      </w:r>
      <w:r w:rsidRPr="00432BEA" w:rsidR="00432BEA">
        <w:rPr>
          <w:lang w:val="fr-FR"/>
        </w:rPr>
        <w:t>’</w:t>
      </w:r>
      <w:r w:rsidRPr="00432BEA" w:rsidR="003042C4">
        <w:rPr>
          <w:lang w:val="fr-FR"/>
        </w:rPr>
        <w:t>exonération</w:t>
      </w:r>
      <w:r w:rsidRPr="00432BEA" w:rsidR="007F7B49">
        <w:rPr>
          <w:lang w:val="fr-FR"/>
        </w:rPr>
        <w:t xml:space="preserve"> </w:t>
      </w:r>
      <w:r w:rsidRPr="00432BEA" w:rsidR="00B25F1E">
        <w:rPr>
          <w:lang w:val="fr-FR"/>
        </w:rPr>
        <w:t>prévue à l</w:t>
      </w:r>
      <w:r w:rsidRPr="00432BEA" w:rsidR="00432BEA">
        <w:rPr>
          <w:lang w:val="fr-FR"/>
        </w:rPr>
        <w:t>’</w:t>
      </w:r>
      <w:r w:rsidRPr="00432BEA" w:rsidR="00B25F1E">
        <w:rPr>
          <w:lang w:val="fr-FR"/>
        </w:rPr>
        <w:t>alinéa III</w:t>
      </w:r>
      <w:r w:rsidRPr="00432BEA" w:rsidR="007F7B49">
        <w:rPr>
          <w:lang w:val="fr-FR"/>
        </w:rPr>
        <w:t xml:space="preserve"> de l</w:t>
      </w:r>
      <w:r w:rsidRPr="00432BEA" w:rsidR="00432BEA">
        <w:rPr>
          <w:lang w:val="fr-FR"/>
        </w:rPr>
        <w:t>’</w:t>
      </w:r>
      <w:r w:rsidRPr="00432BEA" w:rsidR="007F7B49">
        <w:rPr>
          <w:lang w:val="fr-FR"/>
        </w:rPr>
        <w:t>article L</w:t>
      </w:r>
      <w:r w:rsidRPr="00432BEA" w:rsidR="000F6C0E">
        <w:rPr>
          <w:lang w:val="fr-FR"/>
        </w:rPr>
        <w:t>.</w:t>
      </w:r>
      <w:r w:rsidRPr="00432BEA" w:rsidR="007F7B49">
        <w:rPr>
          <w:lang w:val="fr-FR"/>
        </w:rPr>
        <w:t xml:space="preserve"> 241-10 III du CSS</w:t>
      </w:r>
      <w:r w:rsidRPr="00432BEA" w:rsidR="000A2B4F">
        <w:rPr>
          <w:lang w:val="fr-FR"/>
        </w:rPr>
        <w:t xml:space="preserve"> (paragraphe</w:t>
      </w:r>
      <w:r w:rsidRPr="00432BEA" w:rsidR="007F7B49">
        <w:rPr>
          <w:lang w:val="fr-FR"/>
        </w:rPr>
        <w:t xml:space="preserve"> 45 ci-dessus, voir, également paragraphes 22 et 42 ci-dessus</w:t>
      </w:r>
      <w:r w:rsidRPr="00432BEA" w:rsidR="000A2B4F">
        <w:rPr>
          <w:lang w:val="fr-FR"/>
        </w:rPr>
        <w:t>)</w:t>
      </w:r>
      <w:r w:rsidRPr="00432BEA" w:rsidR="003042C4">
        <w:rPr>
          <w:lang w:val="fr-FR"/>
        </w:rPr>
        <w:t>.</w:t>
      </w:r>
      <w:r w:rsidRPr="00432BEA" w:rsidR="003877FF">
        <w:rPr>
          <w:lang w:val="fr-FR"/>
        </w:rPr>
        <w:t xml:space="preserve"> </w:t>
      </w:r>
      <w:r w:rsidRPr="00432BEA" w:rsidR="00B25F1E">
        <w:rPr>
          <w:lang w:val="fr-FR"/>
        </w:rPr>
        <w:t>Enfin,</w:t>
      </w:r>
      <w:r w:rsidRPr="00432BEA" w:rsidR="00866130">
        <w:rPr>
          <w:lang w:val="fr-FR"/>
        </w:rPr>
        <w:t xml:space="preserve"> </w:t>
      </w:r>
      <w:r w:rsidRPr="00432BEA" w:rsidR="00B25F1E">
        <w:rPr>
          <w:lang w:val="fr-FR"/>
        </w:rPr>
        <w:t xml:space="preserve">le </w:t>
      </w:r>
      <w:r w:rsidRPr="00432BEA" w:rsidR="00866130">
        <w:rPr>
          <w:lang w:val="fr-FR"/>
        </w:rPr>
        <w:t>Conseil constitutionnel a con</w:t>
      </w:r>
      <w:r w:rsidRPr="00432BEA" w:rsidR="001B4D36">
        <w:rPr>
          <w:lang w:val="fr-FR"/>
        </w:rPr>
        <w:t>s</w:t>
      </w:r>
      <w:r w:rsidRPr="00432BEA" w:rsidR="00866130">
        <w:rPr>
          <w:lang w:val="fr-FR"/>
        </w:rPr>
        <w:t>i</w:t>
      </w:r>
      <w:r w:rsidRPr="00432BEA" w:rsidR="001B4D36">
        <w:rPr>
          <w:lang w:val="fr-FR"/>
        </w:rPr>
        <w:t>d</w:t>
      </w:r>
      <w:r w:rsidRPr="00432BEA" w:rsidR="00866130">
        <w:rPr>
          <w:lang w:val="fr-FR"/>
        </w:rPr>
        <w:t>é</w:t>
      </w:r>
      <w:r w:rsidRPr="00432BEA" w:rsidR="001B4D36">
        <w:rPr>
          <w:lang w:val="fr-FR"/>
        </w:rPr>
        <w:t>ré</w:t>
      </w:r>
      <w:r w:rsidRPr="00432BEA" w:rsidR="003554DD">
        <w:rPr>
          <w:lang w:val="fr-FR"/>
        </w:rPr>
        <w:t xml:space="preserve"> que l</w:t>
      </w:r>
      <w:r w:rsidRPr="00432BEA" w:rsidR="00432BEA">
        <w:rPr>
          <w:lang w:val="fr-FR"/>
        </w:rPr>
        <w:t>’</w:t>
      </w:r>
      <w:r w:rsidRPr="00432BEA" w:rsidR="000E2169">
        <w:rPr>
          <w:lang w:val="fr-FR"/>
        </w:rPr>
        <w:t>objet de l</w:t>
      </w:r>
      <w:r w:rsidRPr="00432BEA" w:rsidR="00432BEA">
        <w:rPr>
          <w:lang w:val="fr-FR"/>
        </w:rPr>
        <w:t>’</w:t>
      </w:r>
      <w:r w:rsidRPr="00432BEA" w:rsidR="000E2169">
        <w:rPr>
          <w:lang w:val="fr-FR"/>
        </w:rPr>
        <w:t>exonération litigieuse était de favoriser le maintien à domicile de personnes en état de dépendance, et que l</w:t>
      </w:r>
      <w:r w:rsidRPr="00432BEA" w:rsidR="00432BEA">
        <w:rPr>
          <w:lang w:val="fr-FR"/>
        </w:rPr>
        <w:t>’</w:t>
      </w:r>
      <w:r w:rsidRPr="00432BEA" w:rsidR="003554DD">
        <w:rPr>
          <w:lang w:val="fr-FR"/>
        </w:rPr>
        <w:t>article 14 de la loi du 20 décembre 2010</w:t>
      </w:r>
      <w:r w:rsidRPr="00432BEA" w:rsidR="000E2169">
        <w:rPr>
          <w:lang w:val="fr-FR"/>
        </w:rPr>
        <w:t xml:space="preserve">, en </w:t>
      </w:r>
      <w:r w:rsidRPr="00432BEA" w:rsidR="008061FE">
        <w:rPr>
          <w:lang w:val="fr-FR"/>
        </w:rPr>
        <w:t>précisant</w:t>
      </w:r>
      <w:r w:rsidRPr="00432BEA" w:rsidR="000E2169">
        <w:rPr>
          <w:lang w:val="fr-FR"/>
        </w:rPr>
        <w:t xml:space="preserve"> qu</w:t>
      </w:r>
      <w:r w:rsidRPr="00432BEA" w:rsidR="00432BEA">
        <w:rPr>
          <w:lang w:val="fr-FR"/>
        </w:rPr>
        <w:t>’</w:t>
      </w:r>
      <w:r w:rsidRPr="00432BEA" w:rsidR="000E2169">
        <w:rPr>
          <w:lang w:val="fr-FR"/>
        </w:rPr>
        <w:t>elle n</w:t>
      </w:r>
      <w:r w:rsidRPr="00432BEA" w:rsidR="00432BEA">
        <w:rPr>
          <w:lang w:val="fr-FR"/>
        </w:rPr>
        <w:t>’</w:t>
      </w:r>
      <w:r w:rsidRPr="00432BEA" w:rsidR="000E2169">
        <w:rPr>
          <w:lang w:val="fr-FR"/>
        </w:rPr>
        <w:t>était applicable qu</w:t>
      </w:r>
      <w:r w:rsidRPr="00432BEA" w:rsidR="00432BEA">
        <w:rPr>
          <w:lang w:val="fr-FR"/>
        </w:rPr>
        <w:t>’</w:t>
      </w:r>
      <w:r w:rsidRPr="00432BEA" w:rsidR="000E2169">
        <w:rPr>
          <w:lang w:val="fr-FR"/>
        </w:rPr>
        <w:t xml:space="preserve">à la rémunération des tâches effectuées </w:t>
      </w:r>
      <w:r w:rsidRPr="00432BEA" w:rsidR="009E6CE2">
        <w:rPr>
          <w:lang w:val="fr-FR"/>
        </w:rPr>
        <w:t>au domicile privatif de ces personnes, ne faisait que rappeler cet objet.</w:t>
      </w:r>
    </w:p>
    <w:p w:rsidRPr="00432BEA" w:rsidR="007D22EB" w:rsidP="00432BEA" w:rsidRDefault="0052679D">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72</w:t>
      </w:r>
      <w:r w:rsidRPr="00432BEA">
        <w:rPr>
          <w:lang w:val="fr-FR"/>
        </w:rPr>
        <w:fldChar w:fldCharType="end"/>
      </w:r>
      <w:r w:rsidRPr="00432BEA" w:rsidR="000F6C0E">
        <w:rPr>
          <w:lang w:val="fr-FR"/>
        </w:rPr>
        <w:t>.  Eu égard à ce qui précède</w:t>
      </w:r>
      <w:r w:rsidRPr="00432BEA">
        <w:rPr>
          <w:lang w:val="fr-FR"/>
        </w:rPr>
        <w:t>, la Cour estime que l</w:t>
      </w:r>
      <w:r w:rsidRPr="00432BEA" w:rsidR="009E6CE2">
        <w:rPr>
          <w:lang w:val="fr-FR"/>
        </w:rPr>
        <w:t xml:space="preserve">e but </w:t>
      </w:r>
      <w:r w:rsidRPr="00432BEA">
        <w:rPr>
          <w:lang w:val="fr-FR"/>
        </w:rPr>
        <w:t>de l</w:t>
      </w:r>
      <w:r w:rsidRPr="00432BEA" w:rsidR="00432BEA">
        <w:rPr>
          <w:lang w:val="fr-FR"/>
        </w:rPr>
        <w:t>’</w:t>
      </w:r>
      <w:r w:rsidRPr="00432BEA">
        <w:rPr>
          <w:lang w:val="fr-FR"/>
        </w:rPr>
        <w:t>interven</w:t>
      </w:r>
      <w:r w:rsidRPr="00432BEA" w:rsidR="000F6C0E">
        <w:rPr>
          <w:lang w:val="fr-FR"/>
        </w:rPr>
        <w:t>tion législative était de clarifier</w:t>
      </w:r>
      <w:r w:rsidRPr="00432BEA" w:rsidR="00F5118E">
        <w:rPr>
          <w:lang w:val="fr-FR"/>
        </w:rPr>
        <w:t>, par une rédaction plus explicite</w:t>
      </w:r>
      <w:r w:rsidRPr="00432BEA" w:rsidR="000F6C0E">
        <w:rPr>
          <w:lang w:val="fr-FR"/>
        </w:rPr>
        <w:t>, le sens de l</w:t>
      </w:r>
      <w:r w:rsidRPr="00432BEA" w:rsidR="00432BEA">
        <w:rPr>
          <w:lang w:val="fr-FR"/>
        </w:rPr>
        <w:t>’</w:t>
      </w:r>
      <w:r w:rsidRPr="00432BEA" w:rsidR="000F6C0E">
        <w:rPr>
          <w:lang w:val="fr-FR"/>
        </w:rPr>
        <w:t>article L. 241-10 III du CSS, et</w:t>
      </w:r>
      <w:r w:rsidRPr="00432BEA" w:rsidR="000E2169">
        <w:rPr>
          <w:lang w:val="fr-FR"/>
        </w:rPr>
        <w:t xml:space="preserve"> </w:t>
      </w:r>
      <w:r w:rsidRPr="00432BEA" w:rsidR="000F6C0E">
        <w:rPr>
          <w:lang w:val="fr-FR"/>
        </w:rPr>
        <w:t>d</w:t>
      </w:r>
      <w:r w:rsidRPr="00432BEA" w:rsidR="009E6CE2">
        <w:rPr>
          <w:lang w:val="fr-FR"/>
        </w:rPr>
        <w:t xml:space="preserve">e restituer et réaffirmer la volonté initiale du législateur </w:t>
      </w:r>
      <w:r w:rsidRPr="00432BEA">
        <w:rPr>
          <w:lang w:val="fr-FR"/>
        </w:rPr>
        <w:t>d</w:t>
      </w:r>
      <w:r w:rsidRPr="00432BEA" w:rsidR="00432BEA">
        <w:rPr>
          <w:lang w:val="fr-FR"/>
        </w:rPr>
        <w:t>’</w:t>
      </w:r>
      <w:r w:rsidRPr="00432BEA">
        <w:rPr>
          <w:lang w:val="fr-FR"/>
        </w:rPr>
        <w:t>exonérer des cotisations patronales les rémunérations des aides au domicile d</w:t>
      </w:r>
      <w:r w:rsidRPr="00432BEA" w:rsidR="00432BEA">
        <w:rPr>
          <w:lang w:val="fr-FR"/>
        </w:rPr>
        <w:t>’</w:t>
      </w:r>
      <w:r w:rsidRPr="00432BEA">
        <w:rPr>
          <w:lang w:val="fr-FR"/>
        </w:rPr>
        <w:t>origine des personnes</w:t>
      </w:r>
      <w:r w:rsidRPr="00432BEA" w:rsidR="009E6CE2">
        <w:rPr>
          <w:lang w:val="fr-FR"/>
        </w:rPr>
        <w:t xml:space="preserve"> dépendantes</w:t>
      </w:r>
      <w:r w:rsidRPr="00432BEA">
        <w:rPr>
          <w:lang w:val="fr-FR"/>
        </w:rPr>
        <w:t xml:space="preserve"> dans le but de maintenir leur autonomie au sein de leur foyer personnel</w:t>
      </w:r>
      <w:r w:rsidRPr="00432BEA" w:rsidR="00F5118E">
        <w:rPr>
          <w:lang w:val="fr-FR"/>
        </w:rPr>
        <w:t>.</w:t>
      </w:r>
      <w:r w:rsidRPr="00432BEA" w:rsidR="00205937">
        <w:rPr>
          <w:lang w:val="fr-FR"/>
        </w:rPr>
        <w:t xml:space="preserve"> </w:t>
      </w:r>
      <w:r w:rsidRPr="00432BEA" w:rsidR="000F6C0E">
        <w:rPr>
          <w:lang w:val="fr-FR"/>
        </w:rPr>
        <w:t>La Cour considère dès lors que l</w:t>
      </w:r>
      <w:r w:rsidRPr="00432BEA" w:rsidR="004155DE">
        <w:rPr>
          <w:lang w:val="fr-FR"/>
        </w:rPr>
        <w:t>es requérants</w:t>
      </w:r>
      <w:r w:rsidRPr="00432BEA" w:rsidR="000F6C0E">
        <w:rPr>
          <w:lang w:val="fr-FR"/>
        </w:rPr>
        <w:t xml:space="preserve"> ne peuvent valablement invoquer la possibilité, dans le cadre d</w:t>
      </w:r>
      <w:r w:rsidRPr="00432BEA" w:rsidR="00432BEA">
        <w:rPr>
          <w:lang w:val="fr-FR"/>
        </w:rPr>
        <w:t>’</w:t>
      </w:r>
      <w:r w:rsidRPr="00432BEA" w:rsidR="000F6C0E">
        <w:rPr>
          <w:lang w:val="fr-FR"/>
        </w:rPr>
        <w:t>une procédure, de se prévaloir d</w:t>
      </w:r>
      <w:r w:rsidRPr="00432BEA" w:rsidR="00432BEA">
        <w:rPr>
          <w:lang w:val="fr-FR"/>
        </w:rPr>
        <w:t>’</w:t>
      </w:r>
      <w:r w:rsidRPr="00432BEA" w:rsidR="000F6C0E">
        <w:rPr>
          <w:lang w:val="fr-FR"/>
        </w:rPr>
        <w:t>un « droit » techniquement imparfait sans que, au nom du respect de l</w:t>
      </w:r>
      <w:r w:rsidRPr="00432BEA" w:rsidR="00432BEA">
        <w:rPr>
          <w:lang w:val="fr-FR"/>
        </w:rPr>
        <w:t>’</w:t>
      </w:r>
      <w:r w:rsidRPr="00432BEA" w:rsidR="000F6C0E">
        <w:rPr>
          <w:lang w:val="fr-FR"/>
        </w:rPr>
        <w:t>équité de la procédure, le législateur puisse intervenir pour préciser les conditions de ce droit et ses limites (</w:t>
      </w:r>
      <w:r w:rsidRPr="00432BEA" w:rsidR="00EB5D85">
        <w:rPr>
          <w:i/>
          <w:lang w:val="fr-FR"/>
        </w:rPr>
        <w:t>mutatis mutandis</w:t>
      </w:r>
      <w:r w:rsidRPr="00432BEA" w:rsidR="00EB5D85">
        <w:rPr>
          <w:lang w:val="fr-FR"/>
        </w:rPr>
        <w:t xml:space="preserve">, </w:t>
      </w:r>
      <w:r w:rsidRPr="00432BEA" w:rsidR="000F6C0E">
        <w:rPr>
          <w:i/>
          <w:lang w:val="fr-FR"/>
        </w:rPr>
        <w:t>OGIS-Institut Stanislas, OGEC Saint-Pie X et B</w:t>
      </w:r>
      <w:r w:rsidRPr="00432BEA" w:rsidR="00451E62">
        <w:rPr>
          <w:i/>
          <w:lang w:val="fr-FR"/>
        </w:rPr>
        <w:t>lanche de Castille et autres c. </w:t>
      </w:r>
      <w:r w:rsidRPr="00432BEA" w:rsidR="000F6C0E">
        <w:rPr>
          <w:i/>
          <w:lang w:val="fr-FR"/>
        </w:rPr>
        <w:t>France</w:t>
      </w:r>
      <w:r w:rsidRPr="00432BEA" w:rsidR="000F6C0E">
        <w:rPr>
          <w:lang w:val="fr-FR"/>
        </w:rPr>
        <w:t>, n</w:t>
      </w:r>
      <w:r w:rsidRPr="00432BEA" w:rsidR="000F6C0E">
        <w:rPr>
          <w:rFonts w:cs="Times New Roman"/>
          <w:vertAlign w:val="superscript"/>
          <w:lang w:val="fr-FR"/>
        </w:rPr>
        <w:t>os</w:t>
      </w:r>
      <w:r w:rsidRPr="00432BEA" w:rsidR="000F6C0E">
        <w:rPr>
          <w:lang w:val="fr-FR"/>
        </w:rPr>
        <w:t xml:space="preserve"> 42219/98 et 54563/00, § 69</w:t>
      </w:r>
      <w:r w:rsidRPr="00432BEA" w:rsidR="00632783">
        <w:rPr>
          <w:lang w:val="fr-FR"/>
        </w:rPr>
        <w:t>, 27 </w:t>
      </w:r>
      <w:r w:rsidRPr="00432BEA" w:rsidR="000F6C0E">
        <w:rPr>
          <w:lang w:val="fr-FR"/>
        </w:rPr>
        <w:t>mai 2004).</w:t>
      </w:r>
      <w:r w:rsidRPr="00432BEA" w:rsidR="004155DE">
        <w:rPr>
          <w:lang w:val="fr-FR"/>
        </w:rPr>
        <w:t xml:space="preserve"> </w:t>
      </w:r>
      <w:r w:rsidRPr="00432BEA" w:rsidR="00EB5D85">
        <w:rPr>
          <w:lang w:val="fr-FR"/>
        </w:rPr>
        <w:t>Elle note à cet égard que les débats parlementaires insistent sur le fait que les requérants ont</w:t>
      </w:r>
      <w:r w:rsidRPr="00432BEA" w:rsidR="00971652">
        <w:rPr>
          <w:lang w:val="fr-FR"/>
        </w:rPr>
        <w:t xml:space="preserve"> tenté de détourner l</w:t>
      </w:r>
      <w:r w:rsidRPr="00432BEA" w:rsidR="00432BEA">
        <w:rPr>
          <w:lang w:val="fr-FR"/>
        </w:rPr>
        <w:t>’</w:t>
      </w:r>
      <w:r w:rsidRPr="00432BEA" w:rsidR="00971652">
        <w:rPr>
          <w:lang w:val="fr-FR"/>
        </w:rPr>
        <w:t xml:space="preserve">esprit </w:t>
      </w:r>
      <w:r w:rsidRPr="00432BEA" w:rsidR="004155DE">
        <w:rPr>
          <w:lang w:val="fr-FR"/>
        </w:rPr>
        <w:t xml:space="preserve">de la loi </w:t>
      </w:r>
      <w:r w:rsidRPr="00432BEA" w:rsidR="002A5239">
        <w:rPr>
          <w:lang w:val="fr-FR"/>
        </w:rPr>
        <w:t>(</w:t>
      </w:r>
      <w:r w:rsidRPr="00432BEA" w:rsidR="009E6CE2">
        <w:rPr>
          <w:lang w:val="fr-FR"/>
        </w:rPr>
        <w:t xml:space="preserve">paragraphe 45 ci-dessus) </w:t>
      </w:r>
      <w:r w:rsidRPr="00432BEA" w:rsidR="00EB5D85">
        <w:rPr>
          <w:lang w:val="fr-FR"/>
        </w:rPr>
        <w:t>et en déduit qu</w:t>
      </w:r>
      <w:r w:rsidRPr="00432BEA" w:rsidR="00432BEA">
        <w:rPr>
          <w:lang w:val="fr-FR"/>
        </w:rPr>
        <w:t>’</w:t>
      </w:r>
      <w:r w:rsidRPr="00432BEA" w:rsidR="00EB5D85">
        <w:rPr>
          <w:lang w:val="fr-FR"/>
        </w:rPr>
        <w:t xml:space="preserve">ils ne pouvaient </w:t>
      </w:r>
      <w:r w:rsidRPr="00432BEA" w:rsidR="001E2B09">
        <w:rPr>
          <w:lang w:val="fr-FR"/>
        </w:rPr>
        <w:t xml:space="preserve">exclure que le législateur intervienne pour préciser les conditions </w:t>
      </w:r>
      <w:r w:rsidRPr="00432BEA" w:rsidR="00EB5D85">
        <w:rPr>
          <w:lang w:val="fr-FR"/>
        </w:rPr>
        <w:t>de remboursement des cotisations litigieuses</w:t>
      </w:r>
      <w:r w:rsidRPr="00432BEA" w:rsidR="009E6CE2">
        <w:rPr>
          <w:lang w:val="fr-FR"/>
        </w:rPr>
        <w:t xml:space="preserve"> (</w:t>
      </w:r>
      <w:r w:rsidRPr="00432BEA" w:rsidR="009E6CE2">
        <w:rPr>
          <w:i/>
          <w:lang w:val="fr-FR"/>
        </w:rPr>
        <w:t>mutatis mutandis</w:t>
      </w:r>
      <w:r w:rsidRPr="00432BEA" w:rsidR="009E6CE2">
        <w:rPr>
          <w:lang w:val="fr-FR"/>
        </w:rPr>
        <w:t xml:space="preserve">, </w:t>
      </w:r>
      <w:r w:rsidRPr="00432BEA" w:rsidR="009E6CE2">
        <w:rPr>
          <w:i/>
          <w:lang w:val="fr-FR"/>
        </w:rPr>
        <w:t>National &amp; Provincial Building Society, Leeds Permanent Building Society et </w:t>
      </w:r>
      <w:r w:rsidRPr="00432BEA" w:rsidR="00632783">
        <w:rPr>
          <w:i/>
          <w:lang w:val="fr-FR"/>
        </w:rPr>
        <w:t>Yorkshire Building Society c. </w:t>
      </w:r>
      <w:r w:rsidRPr="00432BEA" w:rsidR="009E6CE2">
        <w:rPr>
          <w:i/>
          <w:lang w:val="fr-FR"/>
        </w:rPr>
        <w:t>Royaume-Uni</w:t>
      </w:r>
      <w:r w:rsidRPr="00432BEA" w:rsidR="009E6CE2">
        <w:rPr>
          <w:lang w:val="fr-FR"/>
        </w:rPr>
        <w:t xml:space="preserve">, 23 octobre 1997, § 109, </w:t>
      </w:r>
      <w:r w:rsidRPr="00432BEA" w:rsidR="009E6CE2">
        <w:rPr>
          <w:i/>
          <w:lang w:val="fr-FR"/>
        </w:rPr>
        <w:t>Recueil des arrêts et décisions</w:t>
      </w:r>
      <w:r w:rsidRPr="00432BEA" w:rsidR="009E6CE2">
        <w:rPr>
          <w:lang w:val="fr-FR"/>
        </w:rPr>
        <w:t xml:space="preserve"> 1997</w:t>
      </w:r>
      <w:r w:rsidRPr="00432BEA" w:rsidR="009E6CE2">
        <w:rPr>
          <w:lang w:val="fr-FR"/>
        </w:rPr>
        <w:noBreakHyphen/>
        <w:t>VII)</w:t>
      </w:r>
      <w:r w:rsidRPr="00432BEA" w:rsidR="00EB5D85">
        <w:rPr>
          <w:lang w:val="fr-FR"/>
        </w:rPr>
        <w:t>.</w:t>
      </w:r>
    </w:p>
    <w:p w:rsidRPr="00432BEA" w:rsidR="007D22EB" w:rsidP="00432BEA" w:rsidRDefault="00EB5D85">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73</w:t>
      </w:r>
      <w:r w:rsidRPr="00432BEA">
        <w:rPr>
          <w:lang w:val="fr-FR"/>
        </w:rPr>
        <w:fldChar w:fldCharType="end"/>
      </w:r>
      <w:r w:rsidRPr="00432BEA">
        <w:rPr>
          <w:lang w:val="fr-FR"/>
        </w:rPr>
        <w:t>. </w:t>
      </w:r>
      <w:r w:rsidRPr="00432BEA" w:rsidR="00451E62">
        <w:rPr>
          <w:lang w:val="fr-FR"/>
        </w:rPr>
        <w:t> </w:t>
      </w:r>
      <w:r w:rsidRPr="00432BEA" w:rsidR="00264283">
        <w:rPr>
          <w:lang w:val="fr-FR"/>
        </w:rPr>
        <w:t>En conclusion</w:t>
      </w:r>
      <w:r w:rsidRPr="00432BEA">
        <w:rPr>
          <w:lang w:val="fr-FR"/>
        </w:rPr>
        <w:t>, la Cour partage l</w:t>
      </w:r>
      <w:r w:rsidRPr="00432BEA" w:rsidR="00432BEA">
        <w:rPr>
          <w:lang w:val="fr-FR"/>
        </w:rPr>
        <w:t>’</w:t>
      </w:r>
      <w:r w:rsidRPr="00432BEA">
        <w:rPr>
          <w:lang w:val="fr-FR"/>
        </w:rPr>
        <w:t>avis du Gouvernement selon lequel l</w:t>
      </w:r>
      <w:r w:rsidRPr="00432BEA" w:rsidR="00432BEA">
        <w:rPr>
          <w:lang w:val="fr-FR"/>
        </w:rPr>
        <w:t>’</w:t>
      </w:r>
      <w:r w:rsidRPr="00432BEA">
        <w:rPr>
          <w:lang w:val="fr-FR"/>
        </w:rPr>
        <w:t>intervention du législateur était prévisible et répondait à une impérieuse justification d</w:t>
      </w:r>
      <w:r w:rsidRPr="00432BEA" w:rsidR="00432BEA">
        <w:rPr>
          <w:lang w:val="fr-FR"/>
        </w:rPr>
        <w:t>’</w:t>
      </w:r>
      <w:r w:rsidRPr="00432BEA">
        <w:rPr>
          <w:lang w:val="fr-FR"/>
        </w:rPr>
        <w:t>intérêt général.</w:t>
      </w:r>
      <w:r w:rsidRPr="00432BEA" w:rsidR="00286465">
        <w:rPr>
          <w:lang w:val="fr-FR"/>
        </w:rPr>
        <w:t xml:space="preserve"> </w:t>
      </w:r>
      <w:r w:rsidRPr="00432BEA" w:rsidR="00820D38">
        <w:rPr>
          <w:lang w:val="fr-FR"/>
        </w:rPr>
        <w:t xml:space="preserve">Elle conclut </w:t>
      </w:r>
      <w:r w:rsidRPr="00432BEA" w:rsidR="00286465">
        <w:rPr>
          <w:lang w:val="fr-FR"/>
        </w:rPr>
        <w:t xml:space="preserve">dès lors </w:t>
      </w:r>
      <w:r w:rsidRPr="00432BEA" w:rsidR="00820D38">
        <w:rPr>
          <w:lang w:val="fr-FR"/>
        </w:rPr>
        <w:t>que</w:t>
      </w:r>
      <w:r w:rsidRPr="00432BEA" w:rsidR="00286465">
        <w:rPr>
          <w:lang w:val="fr-FR"/>
        </w:rPr>
        <w:t xml:space="preserve"> les requérants ne peuvent pas</w:t>
      </w:r>
      <w:r w:rsidRPr="00432BEA" w:rsidR="008B4460">
        <w:rPr>
          <w:lang w:val="fr-FR"/>
        </w:rPr>
        <w:t xml:space="preserve"> se plaindr</w:t>
      </w:r>
      <w:r w:rsidRPr="00432BEA" w:rsidR="00562B21">
        <w:rPr>
          <w:lang w:val="fr-FR"/>
        </w:rPr>
        <w:t>e d</w:t>
      </w:r>
      <w:r w:rsidRPr="00432BEA" w:rsidR="00432BEA">
        <w:rPr>
          <w:lang w:val="fr-FR"/>
        </w:rPr>
        <w:t>’</w:t>
      </w:r>
      <w:r w:rsidRPr="00432BEA" w:rsidR="00562B21">
        <w:rPr>
          <w:lang w:val="fr-FR"/>
        </w:rPr>
        <w:t>une atteinte à leur droit à un procès équitable.</w:t>
      </w:r>
    </w:p>
    <w:p w:rsidRPr="00432BEA" w:rsidR="00EA4939" w:rsidP="00432BEA" w:rsidRDefault="00451E62">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74</w:t>
      </w:r>
      <w:r w:rsidRPr="00432BEA">
        <w:rPr>
          <w:lang w:val="fr-FR"/>
        </w:rPr>
        <w:fldChar w:fldCharType="end"/>
      </w:r>
      <w:r w:rsidRPr="00432BEA">
        <w:rPr>
          <w:lang w:val="fr-FR"/>
        </w:rPr>
        <w:t>.  </w:t>
      </w:r>
      <w:r w:rsidRPr="00432BEA" w:rsidR="00EA4939">
        <w:rPr>
          <w:lang w:val="fr-FR"/>
        </w:rPr>
        <w:t xml:space="preserve">Partant, </w:t>
      </w:r>
      <w:r w:rsidRPr="00432BEA" w:rsidR="00286465">
        <w:rPr>
          <w:lang w:val="fr-FR"/>
        </w:rPr>
        <w:t>il n</w:t>
      </w:r>
      <w:r w:rsidRPr="00432BEA" w:rsidR="00432BEA">
        <w:rPr>
          <w:lang w:val="fr-FR"/>
        </w:rPr>
        <w:t>’</w:t>
      </w:r>
      <w:r w:rsidRPr="00432BEA" w:rsidR="00286465">
        <w:rPr>
          <w:lang w:val="fr-FR"/>
        </w:rPr>
        <w:t xml:space="preserve">y a pas eu </w:t>
      </w:r>
      <w:r w:rsidRPr="00432BEA" w:rsidR="00EA4939">
        <w:rPr>
          <w:lang w:val="fr-FR"/>
        </w:rPr>
        <w:t>violation de l</w:t>
      </w:r>
      <w:r w:rsidRPr="00432BEA" w:rsidR="00432BEA">
        <w:rPr>
          <w:lang w:val="fr-FR"/>
        </w:rPr>
        <w:t>’</w:t>
      </w:r>
      <w:r w:rsidRPr="00432BEA" w:rsidR="00EA4939">
        <w:rPr>
          <w:lang w:val="fr-FR"/>
        </w:rPr>
        <w:t>article 6 § 1 de la Convention.</w:t>
      </w:r>
    </w:p>
    <w:p w:rsidRPr="00432BEA" w:rsidR="00E77CB3" w:rsidP="00432BEA" w:rsidRDefault="00306B88">
      <w:pPr>
        <w:pStyle w:val="ECHRHeading1"/>
        <w:rPr>
          <w:lang w:val="fr-FR"/>
        </w:rPr>
      </w:pPr>
      <w:r w:rsidRPr="00432BEA">
        <w:rPr>
          <w:lang w:val="fr-FR"/>
        </w:rPr>
        <w:t>IV</w:t>
      </w:r>
      <w:r w:rsidRPr="00432BEA" w:rsidR="00E77CB3">
        <w:rPr>
          <w:lang w:val="fr-FR"/>
        </w:rPr>
        <w:t>.  SUR LA VIOLATION ALLÉGUÉE DE L</w:t>
      </w:r>
      <w:r w:rsidRPr="00432BEA" w:rsidR="00432BEA">
        <w:rPr>
          <w:lang w:val="fr-FR"/>
        </w:rPr>
        <w:t>’</w:t>
      </w:r>
      <w:r w:rsidRPr="00432BEA" w:rsidR="00E77CB3">
        <w:rPr>
          <w:lang w:val="fr-FR"/>
        </w:rPr>
        <w:t xml:space="preserve">ARTICLE </w:t>
      </w:r>
      <w:r w:rsidRPr="00432BEA" w:rsidR="00825EE5">
        <w:rPr>
          <w:lang w:val="fr-FR"/>
        </w:rPr>
        <w:t xml:space="preserve">6 § 1 </w:t>
      </w:r>
      <w:r w:rsidRPr="00432BEA" w:rsidR="00E77CB3">
        <w:rPr>
          <w:lang w:val="fr-FR"/>
        </w:rPr>
        <w:t>DE LA CONVENTION</w:t>
      </w:r>
      <w:r w:rsidRPr="00432BEA" w:rsidR="00825EE5">
        <w:rPr>
          <w:lang w:val="fr-FR"/>
        </w:rPr>
        <w:t xml:space="preserve"> DU FAIT DE LA MOTIVATION DE</w:t>
      </w:r>
      <w:r w:rsidRPr="00432BEA" w:rsidR="00B242F9">
        <w:rPr>
          <w:lang w:val="fr-FR"/>
        </w:rPr>
        <w:t>S ARR</w:t>
      </w:r>
      <w:r w:rsidRPr="00432BEA" w:rsidR="00451E62">
        <w:rPr>
          <w:lang w:val="fr-FR"/>
        </w:rPr>
        <w:t>Ê</w:t>
      </w:r>
      <w:r w:rsidRPr="00432BEA" w:rsidR="005623CA">
        <w:rPr>
          <w:lang w:val="fr-FR"/>
        </w:rPr>
        <w:t>TS DE LA COUR DE CASSATION (Requêtes n</w:t>
      </w:r>
      <w:r w:rsidRPr="00432BEA" w:rsidR="005623CA">
        <w:rPr>
          <w:vertAlign w:val="superscript"/>
          <w:lang w:val="fr-FR"/>
        </w:rPr>
        <w:t xml:space="preserve">os </w:t>
      </w:r>
      <w:r w:rsidRPr="00432BEA" w:rsidR="00B242F9">
        <w:rPr>
          <w:lang w:val="fr-FR"/>
        </w:rPr>
        <w:t>18096/12 et 53601/12)</w:t>
      </w:r>
    </w:p>
    <w:p w:rsidRPr="00432BEA" w:rsidR="007D22EB" w:rsidP="00432BEA" w:rsidRDefault="00A050D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75</w:t>
      </w:r>
      <w:r w:rsidRPr="00432BEA">
        <w:rPr>
          <w:lang w:val="fr-FR"/>
        </w:rPr>
        <w:fldChar w:fldCharType="end"/>
      </w:r>
      <w:r w:rsidRPr="00432BEA" w:rsidR="00E77CB3">
        <w:rPr>
          <w:lang w:val="fr-FR"/>
        </w:rPr>
        <w:t>.  </w:t>
      </w:r>
      <w:r w:rsidRPr="00432BEA">
        <w:rPr>
          <w:lang w:val="fr-FR"/>
        </w:rPr>
        <w:t>Les requérants</w:t>
      </w:r>
      <w:r w:rsidRPr="00432BEA" w:rsidR="00E77CB3">
        <w:rPr>
          <w:lang w:val="fr-FR"/>
        </w:rPr>
        <w:t xml:space="preserve"> dénonce</w:t>
      </w:r>
      <w:r w:rsidRPr="00432BEA">
        <w:rPr>
          <w:lang w:val="fr-FR"/>
        </w:rPr>
        <w:t>nt</w:t>
      </w:r>
      <w:r w:rsidRPr="00432BEA" w:rsidR="00E77CB3">
        <w:rPr>
          <w:lang w:val="fr-FR"/>
        </w:rPr>
        <w:t xml:space="preserve"> une violation de </w:t>
      </w:r>
      <w:r w:rsidRPr="00432BEA" w:rsidR="00B10139">
        <w:rPr>
          <w:lang w:val="fr-FR"/>
        </w:rPr>
        <w:t>l</w:t>
      </w:r>
      <w:r w:rsidRPr="00432BEA" w:rsidR="00432BEA">
        <w:rPr>
          <w:lang w:val="fr-FR"/>
        </w:rPr>
        <w:t>’</w:t>
      </w:r>
      <w:r w:rsidRPr="00432BEA" w:rsidR="00B10139">
        <w:rPr>
          <w:lang w:val="fr-FR"/>
        </w:rPr>
        <w:t>article 6 § 1 de la Convention en raison du défaut de motivation des arrêts rendus par la Cour de cassation les 22 septembre 2011 et 16 février 2012.</w:t>
      </w:r>
    </w:p>
    <w:p w:rsidRPr="00432BEA" w:rsidR="00632783" w:rsidP="00432BEA" w:rsidRDefault="00632783">
      <w:pPr>
        <w:jc w:val="left"/>
        <w:rPr>
          <w:lang w:val="fr-FR"/>
        </w:rPr>
      </w:pPr>
      <w:r w:rsidRPr="00432BEA">
        <w:rPr>
          <w:lang w:val="fr-FR"/>
        </w:rPr>
        <w:br w:type="page"/>
      </w:r>
    </w:p>
    <w:p w:rsidRPr="00432BEA" w:rsidR="007D22EB" w:rsidP="00432BEA" w:rsidRDefault="00166CBF">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76</w:t>
      </w:r>
      <w:r w:rsidRPr="00432BEA">
        <w:rPr>
          <w:lang w:val="fr-FR"/>
        </w:rPr>
        <w:fldChar w:fldCharType="end"/>
      </w:r>
      <w:r w:rsidRPr="00432BEA">
        <w:rPr>
          <w:lang w:val="fr-FR"/>
        </w:rPr>
        <w:t>.  La question posée par la Cour aux parties était la suivante :</w:t>
      </w:r>
    </w:p>
    <w:p w:rsidRPr="00432BEA" w:rsidR="00166CBF" w:rsidP="00432BEA" w:rsidRDefault="00166CBF">
      <w:pPr>
        <w:pStyle w:val="ECHRParaQuote"/>
        <w:rPr>
          <w:lang w:val="fr-FR"/>
        </w:rPr>
      </w:pPr>
      <w:r w:rsidRPr="00432BEA">
        <w:rPr>
          <w:lang w:val="fr-FR"/>
        </w:rPr>
        <w:t>« Les contestations sur les droits de caractère civil des requérants dans les requêtes n</w:t>
      </w:r>
      <w:r w:rsidRPr="00432BEA">
        <w:rPr>
          <w:vertAlign w:val="superscript"/>
          <w:lang w:val="fr-FR"/>
        </w:rPr>
        <w:t>os</w:t>
      </w:r>
      <w:r w:rsidRPr="00432BEA">
        <w:rPr>
          <w:lang w:val="fr-FR"/>
        </w:rPr>
        <w:t xml:space="preserve"> 18096/12 et 53601/12 ont-elles été entendues équitablement par la Cour de cassation, comme l</w:t>
      </w:r>
      <w:r w:rsidRPr="00432BEA" w:rsidR="00432BEA">
        <w:rPr>
          <w:lang w:val="fr-FR"/>
        </w:rPr>
        <w:t>’</w:t>
      </w:r>
      <w:r w:rsidRPr="00432BEA">
        <w:rPr>
          <w:lang w:val="fr-FR"/>
        </w:rPr>
        <w:t>exige l</w:t>
      </w:r>
      <w:r w:rsidRPr="00432BEA" w:rsidR="00432BEA">
        <w:rPr>
          <w:lang w:val="fr-FR"/>
        </w:rPr>
        <w:t>’</w:t>
      </w:r>
      <w:r w:rsidRPr="00432BEA">
        <w:rPr>
          <w:lang w:val="fr-FR"/>
        </w:rPr>
        <w:t>article 6 § 1 de la Convention ? En particulier, le droit de ces requérants à un examen effectif de leurs moyens, ainsi qu</w:t>
      </w:r>
      <w:r w:rsidRPr="00432BEA" w:rsidR="00432BEA">
        <w:rPr>
          <w:lang w:val="fr-FR"/>
        </w:rPr>
        <w:t>’</w:t>
      </w:r>
      <w:r w:rsidRPr="00432BEA">
        <w:rPr>
          <w:lang w:val="fr-FR"/>
        </w:rPr>
        <w:t>à une réponse motivée à leurs moyens essentiels, a-t-il été respecté ? »</w:t>
      </w:r>
    </w:p>
    <w:p w:rsidRPr="00432BEA" w:rsidR="007D22EB" w:rsidP="00432BEA" w:rsidRDefault="00797F0A">
      <w:pPr>
        <w:pStyle w:val="ECHRHeading2"/>
        <w:rPr>
          <w:lang w:val="fr-FR"/>
        </w:rPr>
      </w:pPr>
      <w:r w:rsidRPr="00432BEA">
        <w:rPr>
          <w:lang w:val="fr-FR"/>
        </w:rPr>
        <w:t>A.</w:t>
      </w:r>
      <w:r w:rsidRPr="00432BEA" w:rsidR="00451E62">
        <w:rPr>
          <w:lang w:val="fr-FR"/>
        </w:rPr>
        <w:t>  </w:t>
      </w:r>
      <w:r w:rsidRPr="00432BEA" w:rsidR="003D2A4C">
        <w:rPr>
          <w:lang w:val="fr-FR"/>
        </w:rPr>
        <w:t>Sur la recevabilité</w:t>
      </w:r>
    </w:p>
    <w:p w:rsidRPr="00432BEA" w:rsidR="003D2A4C" w:rsidP="00432BEA" w:rsidRDefault="003D2A4C">
      <w:pPr>
        <w:pStyle w:val="ECHRPara"/>
        <w:rPr>
          <w:lang w:val="fr-FR"/>
        </w:rPr>
      </w:pPr>
      <w:r w:rsidRPr="00432BEA">
        <w:fldChar w:fldCharType="begin"/>
      </w:r>
      <w:r w:rsidRPr="00432BEA">
        <w:rPr>
          <w:lang w:val="fr-FR"/>
        </w:rPr>
        <w:instrText xml:space="preserve"> SEQ level0 \*arabic </w:instrText>
      </w:r>
      <w:r w:rsidRPr="00432BEA">
        <w:fldChar w:fldCharType="separate"/>
      </w:r>
      <w:r w:rsidRPr="00432BEA" w:rsidR="00432BEA">
        <w:rPr>
          <w:noProof/>
          <w:lang w:val="fr-FR"/>
        </w:rPr>
        <w:t>77</w:t>
      </w:r>
      <w:r w:rsidRPr="00432BEA">
        <w:fldChar w:fldCharType="end"/>
      </w:r>
      <w:r w:rsidRPr="00432BEA">
        <w:rPr>
          <w:lang w:val="fr-FR"/>
        </w:rPr>
        <w:t>.  Constatant que ce grief n</w:t>
      </w:r>
      <w:r w:rsidRPr="00432BEA" w:rsidR="00432BEA">
        <w:rPr>
          <w:lang w:val="fr-FR"/>
        </w:rPr>
        <w:t>’</w:t>
      </w:r>
      <w:r w:rsidRPr="00432BEA">
        <w:rPr>
          <w:lang w:val="fr-FR"/>
        </w:rPr>
        <w:t>est pas manifestement mal fondé au sens de l</w:t>
      </w:r>
      <w:r w:rsidRPr="00432BEA" w:rsidR="00432BEA">
        <w:rPr>
          <w:lang w:val="fr-FR"/>
        </w:rPr>
        <w:t>’</w:t>
      </w:r>
      <w:r w:rsidRPr="00432BEA">
        <w:rPr>
          <w:lang w:val="fr-FR"/>
        </w:rPr>
        <w:t>article 35 § 3 a) de la Convention et qu</w:t>
      </w:r>
      <w:r w:rsidRPr="00432BEA" w:rsidR="00432BEA">
        <w:rPr>
          <w:lang w:val="fr-FR"/>
        </w:rPr>
        <w:t>’</w:t>
      </w:r>
      <w:r w:rsidRPr="00432BEA">
        <w:rPr>
          <w:lang w:val="fr-FR"/>
        </w:rPr>
        <w:t>il ne se heurte par ailleurs à aucun autre motif d</w:t>
      </w:r>
      <w:r w:rsidRPr="00432BEA" w:rsidR="00432BEA">
        <w:rPr>
          <w:lang w:val="fr-FR"/>
        </w:rPr>
        <w:t>’</w:t>
      </w:r>
      <w:r w:rsidRPr="00432BEA">
        <w:rPr>
          <w:lang w:val="fr-FR"/>
        </w:rPr>
        <w:t>irrecevabilité, la Cour le déclare recevable.</w:t>
      </w:r>
    </w:p>
    <w:p w:rsidRPr="00432BEA" w:rsidR="003D2A4C" w:rsidP="00432BEA" w:rsidRDefault="003D2A4C">
      <w:pPr>
        <w:pStyle w:val="ECHRHeading2"/>
        <w:rPr>
          <w:lang w:val="fr-FR"/>
        </w:rPr>
      </w:pPr>
      <w:r w:rsidRPr="00432BEA">
        <w:rPr>
          <w:lang w:val="fr-FR"/>
        </w:rPr>
        <w:t>B.</w:t>
      </w:r>
      <w:r w:rsidRPr="00432BEA" w:rsidR="00451E62">
        <w:rPr>
          <w:lang w:val="fr-FR"/>
        </w:rPr>
        <w:t>  </w:t>
      </w:r>
      <w:r w:rsidRPr="00432BEA">
        <w:rPr>
          <w:lang w:val="fr-FR"/>
        </w:rPr>
        <w:t>Sur le fond</w:t>
      </w:r>
    </w:p>
    <w:p w:rsidRPr="00432BEA" w:rsidR="007D22EB" w:rsidP="00432BEA" w:rsidRDefault="00451E62">
      <w:pPr>
        <w:pStyle w:val="ECHRHeading3"/>
        <w:rPr>
          <w:lang w:val="fr-FR"/>
        </w:rPr>
      </w:pPr>
      <w:r w:rsidRPr="00432BEA">
        <w:rPr>
          <w:lang w:val="fr-FR"/>
        </w:rPr>
        <w:t>1.  </w:t>
      </w:r>
      <w:r w:rsidRPr="00432BEA" w:rsidR="003D2A4C">
        <w:rPr>
          <w:lang w:val="fr-FR"/>
        </w:rPr>
        <w:t>Thèses des parties</w:t>
      </w:r>
    </w:p>
    <w:p w:rsidRPr="00432BEA" w:rsidR="003D2A4C" w:rsidP="00432BEA" w:rsidRDefault="00451E62">
      <w:pPr>
        <w:pStyle w:val="ECHRHeading4"/>
        <w:rPr>
          <w:lang w:val="fr-FR"/>
        </w:rPr>
      </w:pPr>
      <w:r w:rsidRPr="00432BEA">
        <w:rPr>
          <w:lang w:val="fr-FR"/>
        </w:rPr>
        <w:t>a)  </w:t>
      </w:r>
      <w:r w:rsidRPr="00432BEA" w:rsidR="00B242F9">
        <w:rPr>
          <w:lang w:val="fr-FR"/>
        </w:rPr>
        <w:t>L</w:t>
      </w:r>
      <w:r w:rsidRPr="00432BEA" w:rsidR="003D2A4C">
        <w:rPr>
          <w:lang w:val="fr-FR"/>
        </w:rPr>
        <w:t>es requérants</w:t>
      </w:r>
    </w:p>
    <w:p w:rsidRPr="00432BEA" w:rsidR="007D22EB" w:rsidP="00432BEA" w:rsidRDefault="00797F0A">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78</w:t>
      </w:r>
      <w:r w:rsidRPr="00432BEA">
        <w:rPr>
          <w:lang w:val="fr-FR"/>
        </w:rPr>
        <w:fldChar w:fldCharType="end"/>
      </w:r>
      <w:r w:rsidRPr="00432BEA">
        <w:rPr>
          <w:lang w:val="fr-FR"/>
        </w:rPr>
        <w:t>.  Le requérant</w:t>
      </w:r>
      <w:r w:rsidRPr="00432BEA" w:rsidR="00B242F9">
        <w:rPr>
          <w:lang w:val="fr-FR"/>
        </w:rPr>
        <w:t xml:space="preserve"> de la </w:t>
      </w:r>
      <w:r w:rsidRPr="00432BEA" w:rsidR="00CC6B76">
        <w:rPr>
          <w:lang w:val="fr-FR"/>
        </w:rPr>
        <w:t>requête n</w:t>
      </w:r>
      <w:r w:rsidRPr="00432BEA" w:rsidR="007D22EB">
        <w:rPr>
          <w:vertAlign w:val="superscript"/>
          <w:lang w:val="fr-FR"/>
        </w:rPr>
        <w:t>o</w:t>
      </w:r>
      <w:r w:rsidRPr="00432BEA" w:rsidR="00CC6B76">
        <w:rPr>
          <w:lang w:val="fr-FR"/>
        </w:rPr>
        <w:t xml:space="preserve"> 18096/12 dénonce</w:t>
      </w:r>
      <w:r w:rsidRPr="00432BEA">
        <w:rPr>
          <w:lang w:val="fr-FR"/>
        </w:rPr>
        <w:t xml:space="preserve"> la motivation lacunaire de</w:t>
      </w:r>
      <w:r w:rsidRPr="00432BEA" w:rsidR="00B242F9">
        <w:rPr>
          <w:lang w:val="fr-FR"/>
        </w:rPr>
        <w:t xml:space="preserve"> l</w:t>
      </w:r>
      <w:r w:rsidRPr="00432BEA" w:rsidR="00432BEA">
        <w:rPr>
          <w:lang w:val="fr-FR"/>
        </w:rPr>
        <w:t>’</w:t>
      </w:r>
      <w:r w:rsidRPr="00432BEA" w:rsidR="00B242F9">
        <w:rPr>
          <w:lang w:val="fr-FR"/>
        </w:rPr>
        <w:t xml:space="preserve">arrêt </w:t>
      </w:r>
      <w:r w:rsidRPr="00432BEA">
        <w:rPr>
          <w:lang w:val="fr-FR"/>
        </w:rPr>
        <w:t xml:space="preserve">du 22 septembre 2011. Il indique </w:t>
      </w:r>
      <w:r w:rsidRPr="00432BEA" w:rsidR="00913CA5">
        <w:rPr>
          <w:lang w:val="fr-FR"/>
        </w:rPr>
        <w:t>qu</w:t>
      </w:r>
      <w:r w:rsidRPr="00432BEA" w:rsidR="00432BEA">
        <w:rPr>
          <w:lang w:val="fr-FR"/>
        </w:rPr>
        <w:t>’</w:t>
      </w:r>
      <w:r w:rsidRPr="00432BEA" w:rsidR="00913CA5">
        <w:rPr>
          <w:lang w:val="fr-FR"/>
        </w:rPr>
        <w:t xml:space="preserve">elle </w:t>
      </w:r>
      <w:r w:rsidRPr="00432BEA">
        <w:rPr>
          <w:lang w:val="fr-FR"/>
        </w:rPr>
        <w:t>crée une conf</w:t>
      </w:r>
      <w:r w:rsidRPr="00432BEA" w:rsidR="00B242F9">
        <w:rPr>
          <w:lang w:val="fr-FR"/>
        </w:rPr>
        <w:t xml:space="preserve">usion puisque la Cour de cassation </w:t>
      </w:r>
      <w:r w:rsidRPr="00432BEA">
        <w:rPr>
          <w:lang w:val="fr-FR"/>
        </w:rPr>
        <w:t>se fonde sur l</w:t>
      </w:r>
      <w:r w:rsidRPr="00432BEA" w:rsidR="00432BEA">
        <w:rPr>
          <w:lang w:val="fr-FR"/>
        </w:rPr>
        <w:t>’</w:t>
      </w:r>
      <w:r w:rsidRPr="00432BEA">
        <w:rPr>
          <w:lang w:val="fr-FR"/>
        </w:rPr>
        <w:t>article L. 241-10 du CSS dans sa version antérieure à l</w:t>
      </w:r>
      <w:r w:rsidRPr="00432BEA" w:rsidR="00432BEA">
        <w:rPr>
          <w:lang w:val="fr-FR"/>
        </w:rPr>
        <w:t>’</w:t>
      </w:r>
      <w:r w:rsidRPr="00432BEA">
        <w:rPr>
          <w:lang w:val="fr-FR"/>
        </w:rPr>
        <w:t>entrée en vigueur de la loi de 2010 tout en employant les termes de la nouvelle loi sans s</w:t>
      </w:r>
      <w:r w:rsidRPr="00432BEA" w:rsidR="00432BEA">
        <w:rPr>
          <w:lang w:val="fr-FR"/>
        </w:rPr>
        <w:t>’</w:t>
      </w:r>
      <w:r w:rsidRPr="00432BEA">
        <w:rPr>
          <w:lang w:val="fr-FR"/>
        </w:rPr>
        <w:t>y</w:t>
      </w:r>
      <w:r w:rsidRPr="00432BEA" w:rsidR="00913CA5">
        <w:rPr>
          <w:lang w:val="fr-FR"/>
        </w:rPr>
        <w:t xml:space="preserve"> référer. Il déplore l</w:t>
      </w:r>
      <w:r w:rsidRPr="00432BEA" w:rsidR="00432BEA">
        <w:rPr>
          <w:lang w:val="fr-FR"/>
        </w:rPr>
        <w:t>’</w:t>
      </w:r>
      <w:r w:rsidRPr="00432BEA" w:rsidR="00913CA5">
        <w:rPr>
          <w:lang w:val="fr-FR"/>
        </w:rPr>
        <w:t xml:space="preserve">absence de réponse </w:t>
      </w:r>
      <w:r w:rsidRPr="00432BEA" w:rsidR="00195D0E">
        <w:rPr>
          <w:lang w:val="fr-FR"/>
        </w:rPr>
        <w:t>à son</w:t>
      </w:r>
      <w:r w:rsidRPr="00432BEA">
        <w:rPr>
          <w:lang w:val="fr-FR"/>
        </w:rPr>
        <w:t xml:space="preserve"> argument</w:t>
      </w:r>
      <w:r w:rsidRPr="00432BEA" w:rsidR="00195D0E">
        <w:rPr>
          <w:lang w:val="fr-FR"/>
        </w:rPr>
        <w:t xml:space="preserve"> tiré</w:t>
      </w:r>
      <w:r w:rsidRPr="00432BEA">
        <w:rPr>
          <w:lang w:val="fr-FR"/>
        </w:rPr>
        <w:t xml:space="preserve"> de</w:t>
      </w:r>
      <w:r w:rsidRPr="00432BEA" w:rsidR="00913CA5">
        <w:rPr>
          <w:lang w:val="fr-FR"/>
        </w:rPr>
        <w:t xml:space="preserve"> l</w:t>
      </w:r>
      <w:r w:rsidRPr="00432BEA" w:rsidR="00432BEA">
        <w:rPr>
          <w:lang w:val="fr-FR"/>
        </w:rPr>
        <w:t>’</w:t>
      </w:r>
      <w:r w:rsidRPr="00432BEA" w:rsidR="00913CA5">
        <w:rPr>
          <w:lang w:val="fr-FR"/>
        </w:rPr>
        <w:t>in</w:t>
      </w:r>
      <w:r w:rsidRPr="00432BEA">
        <w:rPr>
          <w:lang w:val="fr-FR"/>
        </w:rPr>
        <w:t>compatibilité de</w:t>
      </w:r>
      <w:r w:rsidRPr="00432BEA" w:rsidR="00913CA5">
        <w:rPr>
          <w:lang w:val="fr-FR"/>
        </w:rPr>
        <w:t xml:space="preserve"> l</w:t>
      </w:r>
      <w:r w:rsidRPr="00432BEA" w:rsidR="00432BEA">
        <w:rPr>
          <w:lang w:val="fr-FR"/>
        </w:rPr>
        <w:t>’</w:t>
      </w:r>
      <w:r w:rsidRPr="00432BEA" w:rsidR="00913CA5">
        <w:rPr>
          <w:lang w:val="fr-FR"/>
        </w:rPr>
        <w:t>intervention législative a</w:t>
      </w:r>
      <w:r w:rsidRPr="00432BEA">
        <w:rPr>
          <w:lang w:val="fr-FR"/>
        </w:rPr>
        <w:t>v</w:t>
      </w:r>
      <w:r w:rsidRPr="00432BEA" w:rsidR="00195D0E">
        <w:rPr>
          <w:lang w:val="fr-FR"/>
        </w:rPr>
        <w:t>ec l</w:t>
      </w:r>
      <w:r w:rsidRPr="00432BEA" w:rsidR="00432BEA">
        <w:rPr>
          <w:lang w:val="fr-FR"/>
        </w:rPr>
        <w:t>’</w:t>
      </w:r>
      <w:r w:rsidRPr="00432BEA" w:rsidR="00195D0E">
        <w:rPr>
          <w:lang w:val="fr-FR"/>
        </w:rPr>
        <w:t>article 6 de la Convention, alors que la Cour de cassation était amenée à statuer sur la question litigieuse pour la première fois et que des centaines de litiges étaient pendants.</w:t>
      </w:r>
      <w:r w:rsidRPr="00432BEA">
        <w:rPr>
          <w:lang w:val="fr-FR"/>
        </w:rPr>
        <w:t xml:space="preserve"> Il </w:t>
      </w:r>
      <w:r w:rsidRPr="00432BEA" w:rsidR="00913CA5">
        <w:rPr>
          <w:lang w:val="fr-FR"/>
        </w:rPr>
        <w:t>rappelle</w:t>
      </w:r>
      <w:r w:rsidRPr="00432BEA" w:rsidR="009661D6">
        <w:rPr>
          <w:lang w:val="fr-FR"/>
        </w:rPr>
        <w:t xml:space="preserve"> </w:t>
      </w:r>
      <w:r w:rsidRPr="00432BEA" w:rsidR="00913CA5">
        <w:rPr>
          <w:lang w:val="fr-FR"/>
        </w:rPr>
        <w:t>que la violation de la Convention</w:t>
      </w:r>
      <w:r w:rsidRPr="00432BEA" w:rsidR="00CC6B76">
        <w:rPr>
          <w:lang w:val="fr-FR"/>
        </w:rPr>
        <w:t xml:space="preserve"> a été soulevée devant la Cour de cass</w:t>
      </w:r>
      <w:r w:rsidRPr="00432BEA" w:rsidR="001E2B09">
        <w:rPr>
          <w:lang w:val="fr-FR"/>
        </w:rPr>
        <w:t>ation dans son mémoire</w:t>
      </w:r>
      <w:r w:rsidRPr="00432BEA" w:rsidR="00CC6B76">
        <w:rPr>
          <w:lang w:val="fr-FR"/>
        </w:rPr>
        <w:t xml:space="preserve"> en réplique puisque la loi litigieuse est intervenue après le dépôt de son mémoire ampliatif et avant que l</w:t>
      </w:r>
      <w:r w:rsidRPr="00432BEA" w:rsidR="00432BEA">
        <w:rPr>
          <w:lang w:val="fr-FR"/>
        </w:rPr>
        <w:t>’</w:t>
      </w:r>
      <w:r w:rsidRPr="00432BEA" w:rsidR="00CC6B76">
        <w:rPr>
          <w:lang w:val="fr-FR"/>
        </w:rPr>
        <w:t xml:space="preserve">URSSAF et le conseiller rapporteur soumettent </w:t>
      </w:r>
      <w:r w:rsidRPr="00432BEA" w:rsidR="00195D0E">
        <w:rPr>
          <w:lang w:val="fr-FR"/>
        </w:rPr>
        <w:t xml:space="preserve">respectivement </w:t>
      </w:r>
      <w:r w:rsidRPr="00432BEA" w:rsidR="00CC6B76">
        <w:rPr>
          <w:lang w:val="fr-FR"/>
        </w:rPr>
        <w:t>leur mémoire et rapport</w:t>
      </w:r>
      <w:r w:rsidRPr="00432BEA" w:rsidR="00195D0E">
        <w:rPr>
          <w:lang w:val="fr-FR"/>
        </w:rPr>
        <w:t>.</w:t>
      </w:r>
    </w:p>
    <w:p w:rsidRPr="00432BEA" w:rsidR="00797F0A" w:rsidP="00432BEA" w:rsidRDefault="00CC6B7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79</w:t>
      </w:r>
      <w:r w:rsidRPr="00432BEA">
        <w:rPr>
          <w:lang w:val="fr-FR"/>
        </w:rPr>
        <w:fldChar w:fldCharType="end"/>
      </w:r>
      <w:r w:rsidRPr="00432BEA">
        <w:rPr>
          <w:lang w:val="fr-FR"/>
        </w:rPr>
        <w:t>.  </w:t>
      </w:r>
      <w:r w:rsidRPr="00432BEA" w:rsidR="00B242F9">
        <w:rPr>
          <w:lang w:val="fr-FR"/>
        </w:rPr>
        <w:t>Le requérant de</w:t>
      </w:r>
      <w:r w:rsidRPr="00432BEA" w:rsidR="00797F0A">
        <w:rPr>
          <w:lang w:val="fr-FR"/>
        </w:rPr>
        <w:t xml:space="preserve"> la requête n</w:t>
      </w:r>
      <w:r w:rsidRPr="00432BEA" w:rsidR="007D22EB">
        <w:rPr>
          <w:vertAlign w:val="superscript"/>
          <w:lang w:val="fr-FR"/>
        </w:rPr>
        <w:t>o</w:t>
      </w:r>
      <w:r w:rsidRPr="00432BEA" w:rsidR="00797F0A">
        <w:rPr>
          <w:lang w:val="fr-FR"/>
        </w:rPr>
        <w:t xml:space="preserve"> 53601/12, </w:t>
      </w:r>
      <w:r w:rsidRPr="00432BEA">
        <w:rPr>
          <w:lang w:val="fr-FR"/>
        </w:rPr>
        <w:t>précise qu</w:t>
      </w:r>
      <w:r w:rsidRPr="00432BEA" w:rsidR="00432BEA">
        <w:rPr>
          <w:lang w:val="fr-FR"/>
        </w:rPr>
        <w:t>’</w:t>
      </w:r>
      <w:r w:rsidRPr="00432BEA">
        <w:rPr>
          <w:lang w:val="fr-FR"/>
        </w:rPr>
        <w:t xml:space="preserve">il ne </w:t>
      </w:r>
      <w:r w:rsidRPr="00432BEA" w:rsidR="00195D0E">
        <w:rPr>
          <w:lang w:val="fr-FR"/>
        </w:rPr>
        <w:t>se plaint pas</w:t>
      </w:r>
      <w:r w:rsidRPr="00432BEA">
        <w:rPr>
          <w:lang w:val="fr-FR"/>
        </w:rPr>
        <w:t xml:space="preserve"> de la conformité de la procédure de non admission</w:t>
      </w:r>
      <w:r w:rsidRPr="00432BEA" w:rsidR="00BC30D7">
        <w:rPr>
          <w:lang w:val="fr-FR"/>
        </w:rPr>
        <w:t xml:space="preserve"> des pourvois en cassation avec l</w:t>
      </w:r>
      <w:r w:rsidRPr="00432BEA" w:rsidR="00432BEA">
        <w:rPr>
          <w:lang w:val="fr-FR"/>
        </w:rPr>
        <w:t>’</w:t>
      </w:r>
      <w:r w:rsidRPr="00432BEA" w:rsidR="00BC30D7">
        <w:rPr>
          <w:lang w:val="fr-FR"/>
        </w:rPr>
        <w:t>art</w:t>
      </w:r>
      <w:r w:rsidRPr="00432BEA" w:rsidR="00195D0E">
        <w:rPr>
          <w:lang w:val="fr-FR"/>
        </w:rPr>
        <w:t>icle 6 § 1 de la Convention. S</w:t>
      </w:r>
      <w:r w:rsidRPr="00432BEA" w:rsidR="00BC30D7">
        <w:rPr>
          <w:lang w:val="fr-FR"/>
        </w:rPr>
        <w:t xml:space="preserve">on grief </w:t>
      </w:r>
      <w:r w:rsidRPr="00432BEA" w:rsidR="00B242F9">
        <w:rPr>
          <w:lang w:val="fr-FR"/>
        </w:rPr>
        <w:t>a</w:t>
      </w:r>
      <w:r w:rsidRPr="00432BEA" w:rsidR="00BC30D7">
        <w:rPr>
          <w:lang w:val="fr-FR"/>
        </w:rPr>
        <w:t xml:space="preserve"> trait à l</w:t>
      </w:r>
      <w:r w:rsidRPr="00432BEA" w:rsidR="00432BEA">
        <w:rPr>
          <w:lang w:val="fr-FR"/>
        </w:rPr>
        <w:t>’</w:t>
      </w:r>
      <w:r w:rsidRPr="00432BEA" w:rsidR="00BC30D7">
        <w:rPr>
          <w:lang w:val="fr-FR"/>
        </w:rPr>
        <w:t>absence de motivation à laquelle l</w:t>
      </w:r>
      <w:r w:rsidRPr="00432BEA" w:rsidR="00432BEA">
        <w:rPr>
          <w:lang w:val="fr-FR"/>
        </w:rPr>
        <w:t>’</w:t>
      </w:r>
      <w:r w:rsidRPr="00432BEA" w:rsidR="00BC30D7">
        <w:rPr>
          <w:lang w:val="fr-FR"/>
        </w:rPr>
        <w:t>usage de cette procédure a conduit dans son cas : la Cour de cassation s</w:t>
      </w:r>
      <w:r w:rsidRPr="00432BEA" w:rsidR="00432BEA">
        <w:rPr>
          <w:lang w:val="fr-FR"/>
        </w:rPr>
        <w:t>’</w:t>
      </w:r>
      <w:r w:rsidRPr="00432BEA" w:rsidR="00BC30D7">
        <w:rPr>
          <w:lang w:val="fr-FR"/>
        </w:rPr>
        <w:t xml:space="preserve">est retranchée derrière son arrêt de principe du </w:t>
      </w:r>
      <w:r w:rsidRPr="00432BEA" w:rsidR="00451E62">
        <w:rPr>
          <w:lang w:val="fr-FR"/>
        </w:rPr>
        <w:t>22 </w:t>
      </w:r>
      <w:r w:rsidRPr="00432BEA" w:rsidR="00797F0A">
        <w:rPr>
          <w:lang w:val="fr-FR"/>
        </w:rPr>
        <w:t xml:space="preserve">septembre 2011 </w:t>
      </w:r>
      <w:r w:rsidRPr="00432BEA" w:rsidR="00BC30D7">
        <w:rPr>
          <w:lang w:val="fr-FR"/>
        </w:rPr>
        <w:t xml:space="preserve">alors que ce dernier ne </w:t>
      </w:r>
      <w:r w:rsidRPr="00432BEA" w:rsidR="00195D0E">
        <w:rPr>
          <w:lang w:val="fr-FR"/>
        </w:rPr>
        <w:t>contient aucune motivation</w:t>
      </w:r>
      <w:r w:rsidRPr="00432BEA" w:rsidR="00BC30D7">
        <w:rPr>
          <w:lang w:val="fr-FR"/>
        </w:rPr>
        <w:t xml:space="preserve"> sur </w:t>
      </w:r>
      <w:r w:rsidRPr="00432BEA" w:rsidR="00797F0A">
        <w:rPr>
          <w:lang w:val="fr-FR"/>
        </w:rPr>
        <w:t>la compatibilité de l</w:t>
      </w:r>
      <w:r w:rsidRPr="00432BEA" w:rsidR="00432BEA">
        <w:rPr>
          <w:lang w:val="fr-FR"/>
        </w:rPr>
        <w:t>’</w:t>
      </w:r>
      <w:r w:rsidRPr="00432BEA" w:rsidR="00797F0A">
        <w:rPr>
          <w:lang w:val="fr-FR"/>
        </w:rPr>
        <w:t>application rétroactive de l</w:t>
      </w:r>
      <w:r w:rsidRPr="00432BEA" w:rsidR="00432BEA">
        <w:rPr>
          <w:lang w:val="fr-FR"/>
        </w:rPr>
        <w:t>’</w:t>
      </w:r>
      <w:r w:rsidRPr="00432BEA" w:rsidR="00451E62">
        <w:rPr>
          <w:lang w:val="fr-FR"/>
        </w:rPr>
        <w:t>article 14 de la loi du 20 </w:t>
      </w:r>
      <w:r w:rsidRPr="00432BEA" w:rsidR="00797F0A">
        <w:rPr>
          <w:lang w:val="fr-FR"/>
        </w:rPr>
        <w:t>décembre 2010 avec la Convention.</w:t>
      </w:r>
    </w:p>
    <w:p w:rsidRPr="00432BEA" w:rsidR="00797F0A" w:rsidP="00432BEA" w:rsidRDefault="00451E62">
      <w:pPr>
        <w:pStyle w:val="ECHRHeading4"/>
        <w:rPr>
          <w:lang w:val="fr-FR"/>
        </w:rPr>
      </w:pPr>
      <w:r w:rsidRPr="00432BEA">
        <w:rPr>
          <w:lang w:val="fr-FR"/>
        </w:rPr>
        <w:t>b)  </w:t>
      </w:r>
      <w:r w:rsidRPr="00432BEA" w:rsidR="003D2A4C">
        <w:rPr>
          <w:lang w:val="fr-FR"/>
        </w:rPr>
        <w:t>Le</w:t>
      </w:r>
      <w:r w:rsidRPr="00432BEA" w:rsidR="00797F0A">
        <w:rPr>
          <w:lang w:val="fr-FR"/>
        </w:rPr>
        <w:t xml:space="preserve"> Gouvernement</w:t>
      </w:r>
    </w:p>
    <w:p w:rsidRPr="00432BEA" w:rsidR="007D22EB" w:rsidP="00432BEA" w:rsidRDefault="00797F0A">
      <w:pPr>
        <w:pStyle w:val="ECHRPara"/>
        <w:rPr>
          <w:lang w:val="fr-FR"/>
        </w:rPr>
      </w:pPr>
      <w:r w:rsidRPr="00432BEA">
        <w:fldChar w:fldCharType="begin"/>
      </w:r>
      <w:r w:rsidRPr="00432BEA">
        <w:rPr>
          <w:lang w:val="fr-FR"/>
        </w:rPr>
        <w:instrText xml:space="preserve"> SEQ level0 \*arabic </w:instrText>
      </w:r>
      <w:r w:rsidRPr="00432BEA">
        <w:fldChar w:fldCharType="separate"/>
      </w:r>
      <w:r w:rsidRPr="00432BEA" w:rsidR="00432BEA">
        <w:rPr>
          <w:noProof/>
          <w:lang w:val="fr-FR"/>
        </w:rPr>
        <w:t>80</w:t>
      </w:r>
      <w:r w:rsidRPr="00432BEA">
        <w:fldChar w:fldCharType="end"/>
      </w:r>
      <w:r w:rsidRPr="00432BEA">
        <w:rPr>
          <w:lang w:val="fr-FR"/>
        </w:rPr>
        <w:t xml:space="preserve">.  Le Gouvernement ne répond </w:t>
      </w:r>
      <w:r w:rsidRPr="00432BEA" w:rsidR="00B242F9">
        <w:rPr>
          <w:lang w:val="fr-FR"/>
        </w:rPr>
        <w:t xml:space="preserve">pas </w:t>
      </w:r>
      <w:r w:rsidRPr="00432BEA">
        <w:rPr>
          <w:lang w:val="fr-FR"/>
        </w:rPr>
        <w:t>à la question posée s</w:t>
      </w:r>
      <w:r w:rsidRPr="00432BEA" w:rsidR="00432BEA">
        <w:rPr>
          <w:lang w:val="fr-FR"/>
        </w:rPr>
        <w:t>’</w:t>
      </w:r>
      <w:r w:rsidRPr="00432BEA">
        <w:rPr>
          <w:lang w:val="fr-FR"/>
        </w:rPr>
        <w:t>agissant de la requête n</w:t>
      </w:r>
      <w:r w:rsidRPr="00432BEA" w:rsidR="007D22EB">
        <w:rPr>
          <w:vertAlign w:val="superscript"/>
          <w:lang w:val="fr-FR"/>
        </w:rPr>
        <w:t>o</w:t>
      </w:r>
      <w:r w:rsidRPr="00432BEA">
        <w:rPr>
          <w:lang w:val="fr-FR"/>
        </w:rPr>
        <w:t xml:space="preserve"> 18096/12.</w:t>
      </w:r>
    </w:p>
    <w:p w:rsidRPr="00432BEA" w:rsidR="007D22EB" w:rsidP="00432BEA" w:rsidRDefault="00797F0A">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81</w:t>
      </w:r>
      <w:r w:rsidRPr="00432BEA">
        <w:rPr>
          <w:lang w:val="fr-FR"/>
        </w:rPr>
        <w:fldChar w:fldCharType="end"/>
      </w:r>
      <w:r w:rsidRPr="00432BEA">
        <w:rPr>
          <w:lang w:val="fr-FR"/>
        </w:rPr>
        <w:t>.  Quant à l</w:t>
      </w:r>
      <w:r w:rsidRPr="00432BEA" w:rsidR="00432BEA">
        <w:rPr>
          <w:lang w:val="fr-FR"/>
        </w:rPr>
        <w:t>’</w:t>
      </w:r>
      <w:r w:rsidRPr="00432BEA">
        <w:rPr>
          <w:lang w:val="fr-FR"/>
        </w:rPr>
        <w:t>arrêt de non-admission rendu par la Cour dans la requête n</w:t>
      </w:r>
      <w:r w:rsidRPr="00432BEA" w:rsidR="007D22EB">
        <w:rPr>
          <w:vertAlign w:val="superscript"/>
          <w:lang w:val="fr-FR"/>
        </w:rPr>
        <w:t>o</w:t>
      </w:r>
      <w:r w:rsidRPr="00432BEA">
        <w:rPr>
          <w:lang w:val="fr-FR"/>
        </w:rPr>
        <w:t xml:space="preserve"> 53601/12, il rappelle la jurisprudence de la Cour selon laquelle la Cour de cassation ne manque pas à son obligation de motivation lorsqu</w:t>
      </w:r>
      <w:r w:rsidRPr="00432BEA" w:rsidR="00432BEA">
        <w:rPr>
          <w:lang w:val="fr-FR"/>
        </w:rPr>
        <w:t>’</w:t>
      </w:r>
      <w:r w:rsidRPr="00432BEA">
        <w:rPr>
          <w:lang w:val="fr-FR"/>
        </w:rPr>
        <w:t>elle se fonde sur une disposition légale spécifique pour écarter un pourvoi comme dépourvu de chance de succès (</w:t>
      </w:r>
      <w:r w:rsidRPr="00432BEA" w:rsidR="009A55FD">
        <w:rPr>
          <w:i/>
          <w:lang w:val="fr-FR"/>
        </w:rPr>
        <w:t>Burg et autres c. France</w:t>
      </w:r>
      <w:r w:rsidRPr="00432BEA" w:rsidR="009A55FD">
        <w:rPr>
          <w:lang w:val="fr-FR"/>
        </w:rPr>
        <w:t xml:space="preserve"> (déc.), n</w:t>
      </w:r>
      <w:r w:rsidRPr="00432BEA" w:rsidR="007D22EB">
        <w:rPr>
          <w:vertAlign w:val="superscript"/>
          <w:lang w:val="fr-FR"/>
        </w:rPr>
        <w:t>o</w:t>
      </w:r>
      <w:r w:rsidRPr="00432BEA" w:rsidR="00451E62">
        <w:rPr>
          <w:lang w:val="fr-FR"/>
        </w:rPr>
        <w:t> </w:t>
      </w:r>
      <w:r w:rsidRPr="00432BEA" w:rsidR="009A55FD">
        <w:rPr>
          <w:lang w:val="fr-FR"/>
        </w:rPr>
        <w:t>34763/02, CEDH 2003</w:t>
      </w:r>
      <w:r w:rsidRPr="00432BEA" w:rsidR="009A55FD">
        <w:rPr>
          <w:lang w:val="fr-FR"/>
        </w:rPr>
        <w:noBreakHyphen/>
        <w:t>II).</w:t>
      </w:r>
      <w:r w:rsidRPr="00432BEA" w:rsidR="0053129A">
        <w:rPr>
          <w:lang w:val="fr-FR"/>
        </w:rPr>
        <w:t xml:space="preserve"> Le Gouvernement indique </w:t>
      </w:r>
      <w:r w:rsidRPr="00432BEA" w:rsidR="00743599">
        <w:rPr>
          <w:lang w:val="fr-FR"/>
        </w:rPr>
        <w:t xml:space="preserve">en tout état de cause </w:t>
      </w:r>
      <w:r w:rsidRPr="00432BEA" w:rsidR="0053129A">
        <w:rPr>
          <w:lang w:val="fr-FR"/>
        </w:rPr>
        <w:t xml:space="preserve">que le requérant était en mesure de </w:t>
      </w:r>
      <w:r w:rsidRPr="00432BEA" w:rsidR="00451E62">
        <w:rPr>
          <w:lang w:val="fr-FR"/>
        </w:rPr>
        <w:t>comprendre les motifs de la non-</w:t>
      </w:r>
      <w:r w:rsidRPr="00432BEA" w:rsidR="0053129A">
        <w:rPr>
          <w:lang w:val="fr-FR"/>
        </w:rPr>
        <w:t>admission de son pourvoi puisque le rapport du conseiller rapporteur fait référence à la motivation de l</w:t>
      </w:r>
      <w:r w:rsidRPr="00432BEA" w:rsidR="00432BEA">
        <w:rPr>
          <w:lang w:val="fr-FR"/>
        </w:rPr>
        <w:t>’</w:t>
      </w:r>
      <w:r w:rsidRPr="00432BEA" w:rsidR="0053129A">
        <w:rPr>
          <w:lang w:val="fr-FR"/>
        </w:rPr>
        <w:t>arrêt de principe rendu le 22 septembre 2011 dans la requête n</w:t>
      </w:r>
      <w:r w:rsidRPr="00432BEA" w:rsidR="007D22EB">
        <w:rPr>
          <w:vertAlign w:val="superscript"/>
          <w:lang w:val="fr-FR"/>
        </w:rPr>
        <w:t>o</w:t>
      </w:r>
      <w:r w:rsidRPr="00432BEA" w:rsidR="0053129A">
        <w:rPr>
          <w:lang w:val="fr-FR"/>
        </w:rPr>
        <w:t xml:space="preserve"> 18096/12.</w:t>
      </w:r>
      <w:r w:rsidRPr="00432BEA" w:rsidR="00743599">
        <w:rPr>
          <w:lang w:val="fr-FR"/>
        </w:rPr>
        <w:t xml:space="preserve"> </w:t>
      </w:r>
      <w:r w:rsidRPr="00432BEA" w:rsidR="00B242F9">
        <w:rPr>
          <w:lang w:val="fr-FR"/>
        </w:rPr>
        <w:t>Ce rapport démontre au demeurant que les moyens soulevés par le requérant ont fait l</w:t>
      </w:r>
      <w:r w:rsidRPr="00432BEA" w:rsidR="00432BEA">
        <w:rPr>
          <w:lang w:val="fr-FR"/>
        </w:rPr>
        <w:t>’</w:t>
      </w:r>
      <w:r w:rsidRPr="00432BEA" w:rsidR="00B242F9">
        <w:rPr>
          <w:lang w:val="fr-FR"/>
        </w:rPr>
        <w:t>objet d</w:t>
      </w:r>
      <w:r w:rsidRPr="00432BEA" w:rsidR="00432BEA">
        <w:rPr>
          <w:lang w:val="fr-FR"/>
        </w:rPr>
        <w:t>’</w:t>
      </w:r>
      <w:r w:rsidRPr="00432BEA" w:rsidR="00B242F9">
        <w:rPr>
          <w:lang w:val="fr-FR"/>
        </w:rPr>
        <w:t>un examen effectif de la Cour de cassation.</w:t>
      </w:r>
    </w:p>
    <w:p w:rsidRPr="00432BEA" w:rsidR="007D22EB" w:rsidP="00432BEA" w:rsidRDefault="003D2A4C">
      <w:pPr>
        <w:pStyle w:val="ECHRHeading3"/>
        <w:rPr>
          <w:lang w:val="fr-FR"/>
        </w:rPr>
      </w:pPr>
      <w:r w:rsidRPr="00432BEA">
        <w:rPr>
          <w:lang w:val="fr-FR"/>
        </w:rPr>
        <w:t>2</w:t>
      </w:r>
      <w:r w:rsidRPr="00432BEA" w:rsidR="00451E62">
        <w:rPr>
          <w:lang w:val="fr-FR"/>
        </w:rPr>
        <w:t>.  </w:t>
      </w:r>
      <w:r w:rsidRPr="00432BEA">
        <w:rPr>
          <w:lang w:val="fr-FR"/>
        </w:rPr>
        <w:t>Appréciation de la Cour</w:t>
      </w:r>
    </w:p>
    <w:p w:rsidRPr="00432BEA" w:rsidR="00561AD4" w:rsidP="00432BEA" w:rsidRDefault="00451E62">
      <w:pPr>
        <w:pStyle w:val="ECHRHeading4"/>
        <w:rPr>
          <w:lang w:val="fr-FR"/>
        </w:rPr>
      </w:pPr>
      <w:r w:rsidRPr="00432BEA">
        <w:rPr>
          <w:lang w:val="fr-FR"/>
        </w:rPr>
        <w:t>a)  </w:t>
      </w:r>
      <w:r w:rsidRPr="00432BEA" w:rsidR="00561AD4">
        <w:rPr>
          <w:lang w:val="fr-FR"/>
        </w:rPr>
        <w:t>Principes applicables</w:t>
      </w:r>
    </w:p>
    <w:p w:rsidRPr="00432BEA" w:rsidR="0016523E" w:rsidP="00432BEA" w:rsidRDefault="00561AD4">
      <w:pPr>
        <w:pStyle w:val="ECHRPara"/>
        <w:rPr>
          <w:lang w:val="fr-FR"/>
        </w:rPr>
      </w:pPr>
      <w:r w:rsidRPr="00432BEA">
        <w:fldChar w:fldCharType="begin"/>
      </w:r>
      <w:r w:rsidRPr="00432BEA">
        <w:rPr>
          <w:lang w:val="fr-FR"/>
        </w:rPr>
        <w:instrText xml:space="preserve"> SEQ level0 \*arabic </w:instrText>
      </w:r>
      <w:r w:rsidRPr="00432BEA">
        <w:fldChar w:fldCharType="separate"/>
      </w:r>
      <w:r w:rsidRPr="00432BEA" w:rsidR="00432BEA">
        <w:rPr>
          <w:noProof/>
          <w:lang w:val="fr-FR"/>
        </w:rPr>
        <w:t>82</w:t>
      </w:r>
      <w:r w:rsidRPr="00432BEA">
        <w:fldChar w:fldCharType="end"/>
      </w:r>
      <w:r w:rsidRPr="00432BEA">
        <w:rPr>
          <w:lang w:val="fr-FR"/>
        </w:rPr>
        <w:t>.  </w:t>
      </w:r>
      <w:r w:rsidRPr="00432BEA" w:rsidR="00195D0E">
        <w:rPr>
          <w:lang w:val="fr-FR"/>
        </w:rPr>
        <w:t xml:space="preserve">La Cour </w:t>
      </w:r>
      <w:r w:rsidRPr="00432BEA">
        <w:rPr>
          <w:lang w:val="fr-FR"/>
        </w:rPr>
        <w:t>a déjà jugé</w:t>
      </w:r>
      <w:r w:rsidRPr="00432BEA" w:rsidR="00195D0E">
        <w:rPr>
          <w:lang w:val="fr-FR"/>
        </w:rPr>
        <w:t xml:space="preserve"> à maintes reprises</w:t>
      </w:r>
      <w:r w:rsidRPr="00432BEA">
        <w:rPr>
          <w:lang w:val="fr-FR"/>
        </w:rPr>
        <w:t xml:space="preserve"> que la procédure préalable d</w:t>
      </w:r>
      <w:r w:rsidRPr="00432BEA" w:rsidR="00432BEA">
        <w:rPr>
          <w:lang w:val="fr-FR"/>
        </w:rPr>
        <w:t>’</w:t>
      </w:r>
      <w:r w:rsidRPr="00432BEA">
        <w:rPr>
          <w:lang w:val="fr-FR"/>
        </w:rPr>
        <w:t>ad</w:t>
      </w:r>
      <w:r w:rsidRPr="00432BEA" w:rsidR="0025323C">
        <w:rPr>
          <w:lang w:val="fr-FR"/>
        </w:rPr>
        <w:t>m</w:t>
      </w:r>
      <w:r w:rsidRPr="00432BEA">
        <w:rPr>
          <w:lang w:val="fr-FR"/>
        </w:rPr>
        <w:t>ission des pourvois en cassation est, en soi, conforme aux dispositions de l</w:t>
      </w:r>
      <w:r w:rsidRPr="00432BEA" w:rsidR="00432BEA">
        <w:rPr>
          <w:lang w:val="fr-FR"/>
        </w:rPr>
        <w:t>’</w:t>
      </w:r>
      <w:r w:rsidRPr="00432BEA">
        <w:rPr>
          <w:lang w:val="fr-FR"/>
        </w:rPr>
        <w:t>article 6 de la Convention, et qu</w:t>
      </w:r>
      <w:r w:rsidRPr="00432BEA" w:rsidR="00432BEA">
        <w:rPr>
          <w:lang w:val="fr-FR"/>
        </w:rPr>
        <w:t>’</w:t>
      </w:r>
      <w:r w:rsidRPr="00432BEA">
        <w:rPr>
          <w:lang w:val="fr-FR"/>
        </w:rPr>
        <w:t>elle ne contrevient pas, notamment à l</w:t>
      </w:r>
      <w:r w:rsidRPr="00432BEA" w:rsidR="00432BEA">
        <w:rPr>
          <w:lang w:val="fr-FR"/>
        </w:rPr>
        <w:t>’</w:t>
      </w:r>
      <w:r w:rsidRPr="00432BEA">
        <w:rPr>
          <w:lang w:val="fr-FR"/>
        </w:rPr>
        <w:t>obligation de motivation qui en découle (</w:t>
      </w:r>
      <w:r w:rsidRPr="00432BEA" w:rsidR="00195D0E">
        <w:rPr>
          <w:lang w:val="fr-FR"/>
        </w:rPr>
        <w:t xml:space="preserve">voir, par exemple, </w:t>
      </w:r>
      <w:r w:rsidRPr="00432BEA" w:rsidR="00451E62">
        <w:rPr>
          <w:i/>
          <w:lang w:val="fr-FR"/>
        </w:rPr>
        <w:t>Viard c. </w:t>
      </w:r>
      <w:r w:rsidRPr="00432BEA">
        <w:rPr>
          <w:i/>
          <w:lang w:val="fr-FR"/>
        </w:rPr>
        <w:t>France</w:t>
      </w:r>
      <w:r w:rsidRPr="00432BEA">
        <w:rPr>
          <w:snapToGrid w:val="0"/>
          <w:lang w:val="fr-FR"/>
        </w:rPr>
        <w:t>, n</w:t>
      </w:r>
      <w:r w:rsidRPr="00432BEA">
        <w:rPr>
          <w:snapToGrid w:val="0"/>
          <w:vertAlign w:val="superscript"/>
          <w:lang w:val="fr-FR"/>
        </w:rPr>
        <w:t>o</w:t>
      </w:r>
      <w:r w:rsidRPr="00432BEA">
        <w:rPr>
          <w:snapToGrid w:val="0"/>
          <w:lang w:val="fr-FR"/>
        </w:rPr>
        <w:t xml:space="preserve"> </w:t>
      </w:r>
      <w:r w:rsidRPr="00432BEA">
        <w:rPr>
          <w:lang w:val="fr-FR"/>
        </w:rPr>
        <w:t>71658/10</w:t>
      </w:r>
      <w:r w:rsidRPr="00432BEA">
        <w:rPr>
          <w:snapToGrid w:val="0"/>
          <w:lang w:val="fr-FR"/>
        </w:rPr>
        <w:t xml:space="preserve">, § 31, 9 </w:t>
      </w:r>
      <w:r w:rsidRPr="00432BEA">
        <w:rPr>
          <w:lang w:val="fr-FR"/>
        </w:rPr>
        <w:t>janvier</w:t>
      </w:r>
      <w:r w:rsidRPr="00432BEA">
        <w:rPr>
          <w:snapToGrid w:val="0"/>
          <w:lang w:val="fr-FR"/>
        </w:rPr>
        <w:t xml:space="preserve"> 2014). </w:t>
      </w:r>
      <w:r w:rsidRPr="00432BEA" w:rsidR="0025323C">
        <w:rPr>
          <w:snapToGrid w:val="0"/>
          <w:lang w:val="fr-FR"/>
        </w:rPr>
        <w:t>La Cour rappelle que</w:t>
      </w:r>
      <w:r w:rsidRPr="00432BEA" w:rsidR="0025323C">
        <w:rPr>
          <w:lang w:val="fr-FR"/>
        </w:rPr>
        <w:t>, devant la Cour de cassation, lorsqu</w:t>
      </w:r>
      <w:r w:rsidRPr="00432BEA" w:rsidR="00432BEA">
        <w:rPr>
          <w:lang w:val="fr-FR"/>
        </w:rPr>
        <w:t>’</w:t>
      </w:r>
      <w:r w:rsidRPr="00432BEA" w:rsidR="0025323C">
        <w:rPr>
          <w:lang w:val="fr-FR"/>
        </w:rPr>
        <w:t>il est fait app</w:t>
      </w:r>
      <w:r w:rsidRPr="00432BEA" w:rsidR="00632783">
        <w:rPr>
          <w:lang w:val="fr-FR"/>
        </w:rPr>
        <w:t>lication de la procédure de non</w:t>
      </w:r>
      <w:r w:rsidRPr="00432BEA" w:rsidR="00632783">
        <w:rPr>
          <w:lang w:val="fr-FR"/>
        </w:rPr>
        <w:noBreakHyphen/>
      </w:r>
      <w:r w:rsidRPr="00432BEA" w:rsidR="0025323C">
        <w:rPr>
          <w:lang w:val="fr-FR"/>
        </w:rPr>
        <w:t>admission, les parties reçoivent avant l</w:t>
      </w:r>
      <w:r w:rsidRPr="00432BEA" w:rsidR="00432BEA">
        <w:rPr>
          <w:lang w:val="fr-FR"/>
        </w:rPr>
        <w:t>’</w:t>
      </w:r>
      <w:r w:rsidRPr="00432BEA" w:rsidR="0025323C">
        <w:rPr>
          <w:lang w:val="fr-FR"/>
        </w:rPr>
        <w:t>audience une copie de l</w:t>
      </w:r>
      <w:r w:rsidRPr="00432BEA" w:rsidR="00432BEA">
        <w:rPr>
          <w:lang w:val="fr-FR"/>
        </w:rPr>
        <w:t>’</w:t>
      </w:r>
      <w:r w:rsidRPr="00432BEA" w:rsidR="0025323C">
        <w:rPr>
          <w:lang w:val="fr-FR"/>
        </w:rPr>
        <w:t>avis de non-admission établi par le rapporteur et que ce document indique les motifs pour lesquels les moyens à l</w:t>
      </w:r>
      <w:r w:rsidRPr="00432BEA" w:rsidR="00432BEA">
        <w:rPr>
          <w:lang w:val="fr-FR"/>
        </w:rPr>
        <w:t>’</w:t>
      </w:r>
      <w:r w:rsidRPr="00432BEA" w:rsidR="0025323C">
        <w:rPr>
          <w:lang w:val="fr-FR"/>
        </w:rPr>
        <w:t>appui du pourvoi ne sont pas de nature à entraîner la cassation de l</w:t>
      </w:r>
      <w:r w:rsidRPr="00432BEA" w:rsidR="00432BEA">
        <w:rPr>
          <w:lang w:val="fr-FR"/>
        </w:rPr>
        <w:t>’</w:t>
      </w:r>
      <w:r w:rsidRPr="00432BEA" w:rsidR="0025323C">
        <w:rPr>
          <w:lang w:val="fr-FR"/>
        </w:rPr>
        <w:t>arrêt attaqué. Cette transmission de l</w:t>
      </w:r>
      <w:r w:rsidRPr="00432BEA" w:rsidR="00432BEA">
        <w:rPr>
          <w:lang w:val="fr-FR"/>
        </w:rPr>
        <w:t>’</w:t>
      </w:r>
      <w:r w:rsidRPr="00432BEA" w:rsidR="0025323C">
        <w:rPr>
          <w:lang w:val="fr-FR"/>
        </w:rPr>
        <w:t>avis de non</w:t>
      </w:r>
      <w:r w:rsidRPr="00432BEA" w:rsidR="00632783">
        <w:rPr>
          <w:lang w:val="fr-FR"/>
        </w:rPr>
        <w:noBreakHyphen/>
      </w:r>
      <w:r w:rsidRPr="00432BEA" w:rsidR="0025323C">
        <w:rPr>
          <w:lang w:val="fr-FR"/>
        </w:rPr>
        <w:t>admission permet d</w:t>
      </w:r>
      <w:r w:rsidRPr="00432BEA" w:rsidR="00432BEA">
        <w:rPr>
          <w:lang w:val="fr-FR"/>
        </w:rPr>
        <w:t>’</w:t>
      </w:r>
      <w:r w:rsidRPr="00432BEA" w:rsidR="0025323C">
        <w:rPr>
          <w:lang w:val="fr-FR"/>
        </w:rPr>
        <w:t>assurer l</w:t>
      </w:r>
      <w:r w:rsidRPr="00432BEA" w:rsidR="00432BEA">
        <w:rPr>
          <w:lang w:val="fr-FR"/>
        </w:rPr>
        <w:t>’</w:t>
      </w:r>
      <w:r w:rsidRPr="00432BEA" w:rsidR="0025323C">
        <w:rPr>
          <w:lang w:val="fr-FR"/>
        </w:rPr>
        <w:t>exigence de motivation (</w:t>
      </w:r>
      <w:r w:rsidRPr="00432BEA" w:rsidR="00632783">
        <w:rPr>
          <w:i/>
          <w:lang w:val="fr-FR"/>
        </w:rPr>
        <w:t>Magnin c. </w:t>
      </w:r>
      <w:r w:rsidRPr="00432BEA" w:rsidR="00BB5C97">
        <w:rPr>
          <w:i/>
          <w:lang w:val="fr-FR"/>
        </w:rPr>
        <w:t xml:space="preserve">France </w:t>
      </w:r>
      <w:r w:rsidRPr="00432BEA" w:rsidR="00BB5C97">
        <w:rPr>
          <w:lang w:val="fr-FR"/>
        </w:rPr>
        <w:t>(déc.)</w:t>
      </w:r>
      <w:r w:rsidRPr="00432BEA" w:rsidR="0025323C">
        <w:rPr>
          <w:lang w:val="fr-FR"/>
        </w:rPr>
        <w:t>, n</w:t>
      </w:r>
      <w:r w:rsidRPr="00432BEA" w:rsidR="007D22EB">
        <w:rPr>
          <w:vertAlign w:val="superscript"/>
          <w:lang w:val="fr-FR"/>
        </w:rPr>
        <w:t>o</w:t>
      </w:r>
      <w:r w:rsidRPr="00432BEA" w:rsidR="0025323C">
        <w:rPr>
          <w:lang w:val="fr-FR"/>
        </w:rPr>
        <w:t xml:space="preserve"> </w:t>
      </w:r>
      <w:r w:rsidRPr="00432BEA" w:rsidR="00BB5C97">
        <w:rPr>
          <w:lang w:val="fr-FR"/>
        </w:rPr>
        <w:t>26219/08, 10 mai 2012)</w:t>
      </w:r>
      <w:r w:rsidRPr="00432BEA" w:rsidR="0016523E">
        <w:rPr>
          <w:lang w:val="fr-FR"/>
        </w:rPr>
        <w:t>.</w:t>
      </w:r>
    </w:p>
    <w:p w:rsidRPr="00432BEA" w:rsidR="007D22EB" w:rsidP="00432BEA" w:rsidRDefault="0016523E">
      <w:pPr>
        <w:pStyle w:val="ECHRPara"/>
        <w:rPr>
          <w:rFonts w:ascii="Times New Roman" w:hAnsi="Times New Roman" w:eastAsia="Times New Roman" w:cs="Times New Roman"/>
          <w:szCs w:val="24"/>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83</w:t>
      </w:r>
      <w:r w:rsidRPr="00432BEA">
        <w:rPr>
          <w:lang w:val="fr-FR"/>
        </w:rPr>
        <w:fldChar w:fldCharType="end"/>
      </w:r>
      <w:r w:rsidRPr="00432BEA">
        <w:rPr>
          <w:lang w:val="fr-FR"/>
        </w:rPr>
        <w:t>.  </w:t>
      </w:r>
      <w:r w:rsidRPr="00432BEA" w:rsidR="00A6707A">
        <w:rPr>
          <w:lang w:val="fr-FR"/>
        </w:rPr>
        <w:t>La Cour rappelle également que</w:t>
      </w:r>
      <w:r w:rsidRPr="00432BEA">
        <w:rPr>
          <w:lang w:val="fr-FR"/>
        </w:rPr>
        <w:t xml:space="preserve"> </w:t>
      </w:r>
      <w:r w:rsidRPr="00432BEA">
        <w:rPr>
          <w:rFonts w:ascii="Times New Roman" w:hAnsi="Times New Roman" w:eastAsia="Times New Roman" w:cs="Times New Roman"/>
          <w:szCs w:val="24"/>
          <w:lang w:val="fr-FR"/>
        </w:rPr>
        <w:t>le droit à un procès équitable ne peut passer pour effectif que si les demandes et les observations des parties sont vraiment « entendues », c</w:t>
      </w:r>
      <w:r w:rsidRPr="00432BEA" w:rsidR="00432BEA">
        <w:rPr>
          <w:rFonts w:ascii="Times New Roman" w:hAnsi="Times New Roman" w:eastAsia="Times New Roman" w:cs="Times New Roman"/>
          <w:szCs w:val="24"/>
          <w:lang w:val="fr-FR"/>
        </w:rPr>
        <w:t>’</w:t>
      </w:r>
      <w:r w:rsidRPr="00432BEA">
        <w:rPr>
          <w:rFonts w:ascii="Times New Roman" w:hAnsi="Times New Roman" w:eastAsia="Times New Roman" w:cs="Times New Roman"/>
          <w:szCs w:val="24"/>
          <w:lang w:val="fr-FR"/>
        </w:rPr>
        <w:t>est-à-dire dûment examinées par le tribunal saisi. Autrement dit, l</w:t>
      </w:r>
      <w:r w:rsidRPr="00432BEA" w:rsidR="00432BEA">
        <w:rPr>
          <w:rFonts w:ascii="Times New Roman" w:hAnsi="Times New Roman" w:eastAsia="Times New Roman" w:cs="Times New Roman"/>
          <w:szCs w:val="24"/>
          <w:lang w:val="fr-FR"/>
        </w:rPr>
        <w:t>’</w:t>
      </w:r>
      <w:r w:rsidRPr="00432BEA">
        <w:rPr>
          <w:rFonts w:ascii="Times New Roman" w:hAnsi="Times New Roman" w:eastAsia="Times New Roman" w:cs="Times New Roman"/>
          <w:szCs w:val="24"/>
          <w:lang w:val="fr-FR"/>
        </w:rPr>
        <w:t>article 6 implique à la charge du « tribunal » l</w:t>
      </w:r>
      <w:r w:rsidRPr="00432BEA" w:rsidR="00432BEA">
        <w:rPr>
          <w:rFonts w:ascii="Times New Roman" w:hAnsi="Times New Roman" w:eastAsia="Times New Roman" w:cs="Times New Roman"/>
          <w:szCs w:val="24"/>
          <w:lang w:val="fr-FR"/>
        </w:rPr>
        <w:t>’</w:t>
      </w:r>
      <w:r w:rsidRPr="00432BEA">
        <w:rPr>
          <w:rFonts w:ascii="Times New Roman" w:hAnsi="Times New Roman" w:eastAsia="Times New Roman" w:cs="Times New Roman"/>
          <w:szCs w:val="24"/>
          <w:lang w:val="fr-FR"/>
        </w:rPr>
        <w:t>obligation de se livrer à un examen effectif des moyens, arguments et offres de preuve des parties, sauf à en apprécier la pertinence (</w:t>
      </w:r>
      <w:r w:rsidRPr="00432BEA">
        <w:rPr>
          <w:rFonts w:ascii="Times New Roman" w:hAnsi="Times New Roman" w:eastAsia="Times New Roman" w:cs="Times New Roman"/>
          <w:i/>
          <w:szCs w:val="24"/>
          <w:lang w:val="fr-FR"/>
        </w:rPr>
        <w:t>Van de Hurk c. Pays-Bas</w:t>
      </w:r>
      <w:r w:rsidRPr="00432BEA">
        <w:rPr>
          <w:rFonts w:ascii="Times New Roman" w:hAnsi="Times New Roman" w:eastAsia="Times New Roman" w:cs="Times New Roman"/>
          <w:szCs w:val="24"/>
          <w:lang w:val="fr-FR"/>
        </w:rPr>
        <w:t>, 19 avril 1994, § 59, série A n</w:t>
      </w:r>
      <w:r w:rsidRPr="00432BEA">
        <w:rPr>
          <w:rFonts w:ascii="Times New Roman" w:hAnsi="Times New Roman" w:eastAsia="Times New Roman" w:cs="Times New Roman"/>
          <w:szCs w:val="24"/>
          <w:vertAlign w:val="superscript"/>
          <w:lang w:val="fr-FR"/>
        </w:rPr>
        <w:t>o</w:t>
      </w:r>
      <w:r w:rsidRPr="00432BEA">
        <w:rPr>
          <w:rFonts w:ascii="Times New Roman" w:hAnsi="Times New Roman" w:eastAsia="Times New Roman" w:cs="Times New Roman"/>
          <w:szCs w:val="24"/>
          <w:lang w:val="fr-FR"/>
        </w:rPr>
        <w:t xml:space="preserve"> 288, </w:t>
      </w:r>
      <w:r w:rsidRPr="00432BEA">
        <w:rPr>
          <w:i/>
          <w:lang w:val="fr-FR"/>
        </w:rPr>
        <w:t>Tourisme d</w:t>
      </w:r>
      <w:r w:rsidRPr="00432BEA" w:rsidR="00432BEA">
        <w:rPr>
          <w:i/>
          <w:lang w:val="fr-FR"/>
        </w:rPr>
        <w:t>’</w:t>
      </w:r>
      <w:r w:rsidRPr="00432BEA" w:rsidR="00451E62">
        <w:rPr>
          <w:i/>
          <w:lang w:val="fr-FR"/>
        </w:rPr>
        <w:t>affaires c. </w:t>
      </w:r>
      <w:r w:rsidRPr="00432BEA">
        <w:rPr>
          <w:i/>
          <w:lang w:val="fr-FR"/>
        </w:rPr>
        <w:t>France</w:t>
      </w:r>
      <w:r w:rsidRPr="00432BEA">
        <w:rPr>
          <w:lang w:val="fr-FR"/>
        </w:rPr>
        <w:t>, n</w:t>
      </w:r>
      <w:r w:rsidRPr="00432BEA">
        <w:rPr>
          <w:vertAlign w:val="superscript"/>
          <w:lang w:val="fr-FR"/>
        </w:rPr>
        <w:t>o</w:t>
      </w:r>
      <w:r w:rsidRPr="00432BEA">
        <w:rPr>
          <w:lang w:val="fr-FR"/>
        </w:rPr>
        <w:t xml:space="preserve"> 17814/10, § 25, 16 février 2012</w:t>
      </w:r>
      <w:r w:rsidRPr="00432BEA">
        <w:rPr>
          <w:rFonts w:ascii="Times New Roman" w:hAnsi="Times New Roman" w:eastAsia="Times New Roman" w:cs="Times New Roman"/>
          <w:szCs w:val="24"/>
          <w:lang w:val="fr-FR"/>
        </w:rPr>
        <w:t>).</w:t>
      </w:r>
    </w:p>
    <w:p w:rsidRPr="00432BEA" w:rsidR="00A6707A" w:rsidP="00432BEA" w:rsidRDefault="0016523E">
      <w:pPr>
        <w:pStyle w:val="ECHRPara"/>
        <w:rPr>
          <w:rFonts w:ascii="Times New Roman" w:hAnsi="Times New Roman" w:eastAsia="Times New Roman" w:cs="Times New Roman"/>
          <w:szCs w:val="24"/>
          <w:lang w:val="fr-FR"/>
        </w:rPr>
      </w:pPr>
      <w:r w:rsidRPr="00432BEA">
        <w:rPr>
          <w:rFonts w:ascii="Times New Roman" w:hAnsi="Times New Roman" w:eastAsia="Times New Roman" w:cs="Times New Roman"/>
          <w:szCs w:val="24"/>
          <w:lang w:val="fr-FR"/>
        </w:rPr>
        <w:fldChar w:fldCharType="begin"/>
      </w:r>
      <w:r w:rsidRPr="00432BEA">
        <w:rPr>
          <w:rFonts w:ascii="Times New Roman" w:hAnsi="Times New Roman" w:eastAsia="Times New Roman" w:cs="Times New Roman"/>
          <w:szCs w:val="24"/>
          <w:lang w:val="fr-FR"/>
        </w:rPr>
        <w:instrText xml:space="preserve"> SEQ level0 \*arabic </w:instrText>
      </w:r>
      <w:r w:rsidRPr="00432BEA">
        <w:rPr>
          <w:rFonts w:ascii="Times New Roman" w:hAnsi="Times New Roman" w:eastAsia="Times New Roman" w:cs="Times New Roman"/>
          <w:szCs w:val="24"/>
          <w:lang w:val="fr-FR"/>
        </w:rPr>
        <w:fldChar w:fldCharType="separate"/>
      </w:r>
      <w:r w:rsidRPr="00432BEA" w:rsidR="00432BEA">
        <w:rPr>
          <w:rFonts w:ascii="Times New Roman" w:hAnsi="Times New Roman" w:eastAsia="Times New Roman" w:cs="Times New Roman"/>
          <w:noProof/>
          <w:szCs w:val="24"/>
          <w:lang w:val="fr-FR"/>
        </w:rPr>
        <w:t>84</w:t>
      </w:r>
      <w:r w:rsidRPr="00432BEA">
        <w:rPr>
          <w:rFonts w:ascii="Times New Roman" w:hAnsi="Times New Roman" w:eastAsia="Times New Roman" w:cs="Times New Roman"/>
          <w:szCs w:val="24"/>
          <w:lang w:val="fr-FR"/>
        </w:rPr>
        <w:fldChar w:fldCharType="end"/>
      </w:r>
      <w:r w:rsidRPr="00432BEA">
        <w:rPr>
          <w:rFonts w:ascii="Times New Roman" w:hAnsi="Times New Roman" w:eastAsia="Times New Roman" w:cs="Times New Roman"/>
          <w:szCs w:val="24"/>
          <w:lang w:val="fr-FR"/>
        </w:rPr>
        <w:t>.  À ce titre, l</w:t>
      </w:r>
      <w:r w:rsidRPr="00432BEA" w:rsidR="00432BEA">
        <w:rPr>
          <w:rFonts w:ascii="Times New Roman" w:hAnsi="Times New Roman" w:eastAsia="Times New Roman" w:cs="Times New Roman"/>
          <w:szCs w:val="24"/>
          <w:lang w:val="fr-FR"/>
        </w:rPr>
        <w:t>’</w:t>
      </w:r>
      <w:r w:rsidRPr="00432BEA">
        <w:rPr>
          <w:rFonts w:ascii="Times New Roman" w:hAnsi="Times New Roman" w:eastAsia="Times New Roman" w:cs="Times New Roman"/>
          <w:szCs w:val="24"/>
          <w:lang w:val="fr-FR"/>
        </w:rPr>
        <w:t>article 6 § 1 oblige les tribunaux à motiver leurs décisions, mais il ne peut se comprendre comme exigeant une réponse détaillée à chaque argument. L</w:t>
      </w:r>
      <w:r w:rsidRPr="00432BEA" w:rsidR="00432BEA">
        <w:rPr>
          <w:rFonts w:ascii="Times New Roman" w:hAnsi="Times New Roman" w:eastAsia="Times New Roman" w:cs="Times New Roman"/>
          <w:szCs w:val="24"/>
          <w:lang w:val="fr-FR"/>
        </w:rPr>
        <w:t>’</w:t>
      </w:r>
      <w:r w:rsidRPr="00432BEA">
        <w:rPr>
          <w:rFonts w:ascii="Times New Roman" w:hAnsi="Times New Roman" w:eastAsia="Times New Roman" w:cs="Times New Roman"/>
          <w:szCs w:val="24"/>
          <w:lang w:val="fr-FR"/>
        </w:rPr>
        <w:t>étendue de ce devoir peut varier selon la nature de la décision. Il faut, en outre, tenir compte notamment de la diversité de moyens qu</w:t>
      </w:r>
      <w:r w:rsidRPr="00432BEA" w:rsidR="00432BEA">
        <w:rPr>
          <w:rFonts w:ascii="Times New Roman" w:hAnsi="Times New Roman" w:eastAsia="Times New Roman" w:cs="Times New Roman"/>
          <w:szCs w:val="24"/>
          <w:lang w:val="fr-FR"/>
        </w:rPr>
        <w:t>’</w:t>
      </w:r>
      <w:r w:rsidRPr="00432BEA">
        <w:rPr>
          <w:rFonts w:ascii="Times New Roman" w:hAnsi="Times New Roman" w:eastAsia="Times New Roman" w:cs="Times New Roman"/>
          <w:szCs w:val="24"/>
          <w:lang w:val="fr-FR"/>
        </w:rPr>
        <w:t>un plaideur peut soulever en justice et des différences dans les États contractants en matière de dispositions légales, coutumes, conceptions doctrinales, présentation et rédaction des jugements et arrêts. C</w:t>
      </w:r>
      <w:r w:rsidRPr="00432BEA" w:rsidR="00432BEA">
        <w:rPr>
          <w:rFonts w:ascii="Times New Roman" w:hAnsi="Times New Roman" w:eastAsia="Times New Roman" w:cs="Times New Roman"/>
          <w:szCs w:val="24"/>
          <w:lang w:val="fr-FR"/>
        </w:rPr>
        <w:t>’</w:t>
      </w:r>
      <w:r w:rsidRPr="00432BEA">
        <w:rPr>
          <w:rFonts w:ascii="Times New Roman" w:hAnsi="Times New Roman" w:eastAsia="Times New Roman" w:cs="Times New Roman"/>
          <w:szCs w:val="24"/>
          <w:lang w:val="fr-FR"/>
        </w:rPr>
        <w:t>est pourquoi la question de savoir si un tribunal a manqué à son obligation de motiver découlant de l</w:t>
      </w:r>
      <w:r w:rsidRPr="00432BEA" w:rsidR="00432BEA">
        <w:rPr>
          <w:rFonts w:ascii="Times New Roman" w:hAnsi="Times New Roman" w:eastAsia="Times New Roman" w:cs="Times New Roman"/>
          <w:szCs w:val="24"/>
          <w:lang w:val="fr-FR"/>
        </w:rPr>
        <w:t>’</w:t>
      </w:r>
      <w:r w:rsidRPr="00432BEA">
        <w:rPr>
          <w:rFonts w:ascii="Times New Roman" w:hAnsi="Times New Roman" w:eastAsia="Times New Roman" w:cs="Times New Roman"/>
          <w:szCs w:val="24"/>
          <w:lang w:val="fr-FR"/>
        </w:rPr>
        <w:t>article 6 de la Convention ne peut s</w:t>
      </w:r>
      <w:r w:rsidRPr="00432BEA" w:rsidR="00432BEA">
        <w:rPr>
          <w:rFonts w:ascii="Times New Roman" w:hAnsi="Times New Roman" w:eastAsia="Times New Roman" w:cs="Times New Roman"/>
          <w:szCs w:val="24"/>
          <w:lang w:val="fr-FR"/>
        </w:rPr>
        <w:t>’</w:t>
      </w:r>
      <w:r w:rsidRPr="00432BEA">
        <w:rPr>
          <w:rFonts w:ascii="Times New Roman" w:hAnsi="Times New Roman" w:eastAsia="Times New Roman" w:cs="Times New Roman"/>
          <w:szCs w:val="24"/>
          <w:lang w:val="fr-FR"/>
        </w:rPr>
        <w:t>analyser qu</w:t>
      </w:r>
      <w:r w:rsidRPr="00432BEA" w:rsidR="00432BEA">
        <w:rPr>
          <w:rFonts w:ascii="Times New Roman" w:hAnsi="Times New Roman" w:eastAsia="Times New Roman" w:cs="Times New Roman"/>
          <w:szCs w:val="24"/>
          <w:lang w:val="fr-FR"/>
        </w:rPr>
        <w:t>’</w:t>
      </w:r>
      <w:r w:rsidRPr="00432BEA">
        <w:rPr>
          <w:rFonts w:ascii="Times New Roman" w:hAnsi="Times New Roman" w:eastAsia="Times New Roman" w:cs="Times New Roman"/>
          <w:szCs w:val="24"/>
          <w:lang w:val="fr-FR"/>
        </w:rPr>
        <w:t>à la lumière des circonstances de l</w:t>
      </w:r>
      <w:r w:rsidRPr="00432BEA" w:rsidR="00432BEA">
        <w:rPr>
          <w:rFonts w:ascii="Times New Roman" w:hAnsi="Times New Roman" w:eastAsia="Times New Roman" w:cs="Times New Roman"/>
          <w:szCs w:val="24"/>
          <w:lang w:val="fr-FR"/>
        </w:rPr>
        <w:t>’</w:t>
      </w:r>
      <w:r w:rsidRPr="00432BEA">
        <w:rPr>
          <w:rFonts w:ascii="Times New Roman" w:hAnsi="Times New Roman" w:eastAsia="Times New Roman" w:cs="Times New Roman"/>
          <w:szCs w:val="24"/>
          <w:lang w:val="fr-FR"/>
        </w:rPr>
        <w:t>espèce (</w:t>
      </w:r>
      <w:r w:rsidRPr="00432BEA">
        <w:rPr>
          <w:rFonts w:ascii="Times New Roman" w:hAnsi="Times New Roman" w:eastAsia="Times New Roman" w:cs="Times New Roman"/>
          <w:i/>
          <w:szCs w:val="24"/>
          <w:lang w:val="fr-FR"/>
        </w:rPr>
        <w:t>Tourisme d</w:t>
      </w:r>
      <w:r w:rsidRPr="00432BEA" w:rsidR="00432BEA">
        <w:rPr>
          <w:rFonts w:ascii="Times New Roman" w:hAnsi="Times New Roman" w:eastAsia="Times New Roman" w:cs="Times New Roman"/>
          <w:i/>
          <w:szCs w:val="24"/>
          <w:lang w:val="fr-FR"/>
        </w:rPr>
        <w:t>’</w:t>
      </w:r>
      <w:r w:rsidRPr="00432BEA">
        <w:rPr>
          <w:rFonts w:ascii="Times New Roman" w:hAnsi="Times New Roman" w:eastAsia="Times New Roman" w:cs="Times New Roman"/>
          <w:i/>
          <w:szCs w:val="24"/>
          <w:lang w:val="fr-FR"/>
        </w:rPr>
        <w:t>affaires</w:t>
      </w:r>
      <w:r w:rsidRPr="00432BEA">
        <w:rPr>
          <w:rFonts w:ascii="Times New Roman" w:hAnsi="Times New Roman" w:eastAsia="Times New Roman" w:cs="Times New Roman"/>
          <w:szCs w:val="24"/>
          <w:lang w:val="fr-FR"/>
        </w:rPr>
        <w:t>, précité, § 26).</w:t>
      </w:r>
    </w:p>
    <w:p w:rsidRPr="00432BEA" w:rsidR="00561AD4" w:rsidP="00432BEA" w:rsidRDefault="00A6707A">
      <w:pPr>
        <w:pStyle w:val="ECHRPara"/>
        <w:rPr>
          <w:lang w:val="fr-FR"/>
        </w:rPr>
      </w:pPr>
      <w:r w:rsidRPr="00432BEA">
        <w:rPr>
          <w:snapToGrid w:val="0"/>
          <w:lang w:val="fr-FR"/>
        </w:rPr>
        <w:fldChar w:fldCharType="begin"/>
      </w:r>
      <w:r w:rsidRPr="00432BEA">
        <w:rPr>
          <w:snapToGrid w:val="0"/>
          <w:lang w:val="fr-FR"/>
        </w:rPr>
        <w:instrText xml:space="preserve"> SEQ level0 \*arabic </w:instrText>
      </w:r>
      <w:r w:rsidRPr="00432BEA">
        <w:rPr>
          <w:snapToGrid w:val="0"/>
          <w:lang w:val="fr-FR"/>
        </w:rPr>
        <w:fldChar w:fldCharType="separate"/>
      </w:r>
      <w:r w:rsidRPr="00432BEA" w:rsidR="00432BEA">
        <w:rPr>
          <w:noProof/>
          <w:snapToGrid w:val="0"/>
          <w:lang w:val="fr-FR"/>
        </w:rPr>
        <w:t>85</w:t>
      </w:r>
      <w:r w:rsidRPr="00432BEA">
        <w:rPr>
          <w:snapToGrid w:val="0"/>
          <w:lang w:val="fr-FR"/>
        </w:rPr>
        <w:fldChar w:fldCharType="end"/>
      </w:r>
      <w:r w:rsidRPr="00432BEA">
        <w:rPr>
          <w:snapToGrid w:val="0"/>
          <w:lang w:val="fr-FR"/>
        </w:rPr>
        <w:t xml:space="preserve">.  Enfin, </w:t>
      </w:r>
      <w:r w:rsidRPr="00432BEA" w:rsidR="00195D0E">
        <w:rPr>
          <w:snapToGrid w:val="0"/>
          <w:lang w:val="fr-FR"/>
        </w:rPr>
        <w:t xml:space="preserve">la Cour rappelle que </w:t>
      </w:r>
      <w:r w:rsidRPr="00432BEA">
        <w:rPr>
          <w:lang w:val="fr-FR"/>
        </w:rPr>
        <w:t>les tribunaux doivent examiner avec rigueur les moyens ayant trait aux « droits et libertés » garantis par la Convention dont ils sont saisis. Il s</w:t>
      </w:r>
      <w:r w:rsidRPr="00432BEA" w:rsidR="00432BEA">
        <w:rPr>
          <w:lang w:val="fr-FR"/>
        </w:rPr>
        <w:t>’</w:t>
      </w:r>
      <w:r w:rsidRPr="00432BEA">
        <w:rPr>
          <w:lang w:val="fr-FR"/>
        </w:rPr>
        <w:t>agit là d</w:t>
      </w:r>
      <w:r w:rsidRPr="00432BEA" w:rsidR="00432BEA">
        <w:rPr>
          <w:lang w:val="fr-FR"/>
        </w:rPr>
        <w:t>’</w:t>
      </w:r>
      <w:r w:rsidRPr="00432BEA">
        <w:rPr>
          <w:lang w:val="fr-FR"/>
        </w:rPr>
        <w:t>un corollaire du principe de subsidiarité (</w:t>
      </w:r>
      <w:r w:rsidRPr="00432BEA">
        <w:rPr>
          <w:i/>
          <w:lang w:val="fr-FR"/>
        </w:rPr>
        <w:t>Fabris c. France</w:t>
      </w:r>
      <w:r w:rsidRPr="00432BEA">
        <w:rPr>
          <w:lang w:val="fr-FR"/>
        </w:rPr>
        <w:t xml:space="preserve"> [GC], n</w:t>
      </w:r>
      <w:r w:rsidRPr="00432BEA">
        <w:rPr>
          <w:vertAlign w:val="superscript"/>
          <w:lang w:val="fr-FR"/>
        </w:rPr>
        <w:t>o</w:t>
      </w:r>
      <w:r w:rsidRPr="00432BEA">
        <w:rPr>
          <w:lang w:val="fr-FR"/>
        </w:rPr>
        <w:t xml:space="preserve"> 16574/08</w:t>
      </w:r>
      <w:r w:rsidRPr="00432BEA">
        <w:rPr>
          <w:snapToGrid w:val="0"/>
          <w:lang w:val="fr-FR"/>
        </w:rPr>
        <w:t>, §</w:t>
      </w:r>
      <w:r w:rsidRPr="00432BEA" w:rsidR="001B1C59">
        <w:rPr>
          <w:snapToGrid w:val="0"/>
          <w:lang w:val="fr-FR"/>
        </w:rPr>
        <w:t xml:space="preserve"> 72</w:t>
      </w:r>
      <w:r w:rsidRPr="00432BEA">
        <w:rPr>
          <w:snapToGrid w:val="0"/>
          <w:lang w:val="fr-FR"/>
        </w:rPr>
        <w:t xml:space="preserve">, </w:t>
      </w:r>
      <w:r w:rsidRPr="00432BEA">
        <w:rPr>
          <w:lang w:val="fr-FR"/>
        </w:rPr>
        <w:t>CEDH 2013 (extraits)</w:t>
      </w:r>
      <w:r w:rsidRPr="00432BEA" w:rsidR="001B1C59">
        <w:rPr>
          <w:lang w:val="fr-FR"/>
        </w:rPr>
        <w:t xml:space="preserve">, </w:t>
      </w:r>
      <w:r w:rsidRPr="00432BEA">
        <w:rPr>
          <w:i/>
          <w:lang w:val="fr-FR"/>
        </w:rPr>
        <w:t>Wagner et J.M.W.L. c. Luxembourg</w:t>
      </w:r>
      <w:r w:rsidRPr="00432BEA">
        <w:rPr>
          <w:lang w:val="fr-FR"/>
        </w:rPr>
        <w:t>, n</w:t>
      </w:r>
      <w:r w:rsidRPr="00432BEA" w:rsidR="007D22EB">
        <w:rPr>
          <w:vertAlign w:val="superscript"/>
          <w:lang w:val="fr-FR"/>
        </w:rPr>
        <w:t>o</w:t>
      </w:r>
      <w:r w:rsidRPr="00432BEA" w:rsidR="006D7F45">
        <w:rPr>
          <w:lang w:val="fr-FR"/>
        </w:rPr>
        <w:t xml:space="preserve"> </w:t>
      </w:r>
      <w:r w:rsidRPr="00432BEA" w:rsidR="001B1C59">
        <w:rPr>
          <w:lang w:val="fr-FR"/>
        </w:rPr>
        <w:t>76240/01,</w:t>
      </w:r>
      <w:r w:rsidRPr="00432BEA">
        <w:rPr>
          <w:lang w:val="fr-FR"/>
        </w:rPr>
        <w:t xml:space="preserve"> </w:t>
      </w:r>
      <w:r w:rsidRPr="00432BEA" w:rsidR="001B1C59">
        <w:rPr>
          <w:lang w:val="fr-FR"/>
        </w:rPr>
        <w:t>§ 96, 28 juin 2007,</w:t>
      </w:r>
      <w:r w:rsidRPr="00432BEA">
        <w:rPr>
          <w:lang w:val="fr-FR"/>
        </w:rPr>
        <w:t xml:space="preserve"> </w:t>
      </w:r>
      <w:r w:rsidRPr="00432BEA">
        <w:rPr>
          <w:i/>
          <w:lang w:val="fr-FR"/>
        </w:rPr>
        <w:t>Magnin,</w:t>
      </w:r>
      <w:r w:rsidRPr="00432BEA">
        <w:rPr>
          <w:lang w:val="fr-FR"/>
        </w:rPr>
        <w:t xml:space="preserve"> précité).</w:t>
      </w:r>
    </w:p>
    <w:p w:rsidRPr="00432BEA" w:rsidR="001B1C59" w:rsidP="00432BEA" w:rsidRDefault="003D2A4C">
      <w:pPr>
        <w:pStyle w:val="ECHRHeading4"/>
        <w:rPr>
          <w:lang w:val="fr-FR"/>
        </w:rPr>
      </w:pPr>
      <w:r w:rsidRPr="00432BEA">
        <w:rPr>
          <w:lang w:val="fr-FR"/>
        </w:rPr>
        <w:t>b)</w:t>
      </w:r>
      <w:r w:rsidRPr="00432BEA" w:rsidR="006D7F45">
        <w:rPr>
          <w:lang w:val="fr-FR"/>
        </w:rPr>
        <w:t>  </w:t>
      </w:r>
      <w:r w:rsidRPr="00432BEA" w:rsidR="001B1C59">
        <w:rPr>
          <w:lang w:val="fr-FR"/>
        </w:rPr>
        <w:t>Application en l</w:t>
      </w:r>
      <w:r w:rsidRPr="00432BEA" w:rsidR="00432BEA">
        <w:rPr>
          <w:lang w:val="fr-FR"/>
        </w:rPr>
        <w:t>’</w:t>
      </w:r>
      <w:r w:rsidRPr="00432BEA" w:rsidR="001B1C59">
        <w:rPr>
          <w:lang w:val="fr-FR"/>
        </w:rPr>
        <w:t>espèce</w:t>
      </w:r>
    </w:p>
    <w:p w:rsidRPr="00432BEA" w:rsidR="00541D6D" w:rsidP="00432BEA" w:rsidRDefault="001B1C59">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86</w:t>
      </w:r>
      <w:r w:rsidRPr="00432BEA">
        <w:rPr>
          <w:lang w:val="fr-FR"/>
        </w:rPr>
        <w:fldChar w:fldCharType="end"/>
      </w:r>
      <w:r w:rsidRPr="00432BEA">
        <w:rPr>
          <w:lang w:val="fr-FR"/>
        </w:rPr>
        <w:t>.  </w:t>
      </w:r>
      <w:r w:rsidRPr="00432BEA" w:rsidR="00F66456">
        <w:rPr>
          <w:lang w:val="fr-FR"/>
        </w:rPr>
        <w:t>S</w:t>
      </w:r>
      <w:r w:rsidRPr="00432BEA" w:rsidR="00432BEA">
        <w:rPr>
          <w:lang w:val="fr-FR"/>
        </w:rPr>
        <w:t>’</w:t>
      </w:r>
      <w:r w:rsidRPr="00432BEA" w:rsidR="00F66456">
        <w:rPr>
          <w:lang w:val="fr-FR"/>
        </w:rPr>
        <w:t>agissant de la requ</w:t>
      </w:r>
      <w:r w:rsidRPr="00432BEA" w:rsidR="00BC70E3">
        <w:rPr>
          <w:lang w:val="fr-FR"/>
        </w:rPr>
        <w:t>ête n</w:t>
      </w:r>
      <w:r w:rsidRPr="00432BEA" w:rsidR="007D22EB">
        <w:rPr>
          <w:vertAlign w:val="superscript"/>
          <w:lang w:val="fr-FR"/>
        </w:rPr>
        <w:t>o</w:t>
      </w:r>
      <w:r w:rsidRPr="00432BEA" w:rsidR="006D7F45">
        <w:rPr>
          <w:lang w:val="fr-FR"/>
        </w:rPr>
        <w:t xml:space="preserve"> </w:t>
      </w:r>
      <w:r w:rsidRPr="00432BEA" w:rsidR="00F66456">
        <w:rPr>
          <w:lang w:val="fr-FR"/>
        </w:rPr>
        <w:t>18096/12, la Cour observe que l</w:t>
      </w:r>
      <w:r w:rsidRPr="00432BEA" w:rsidR="00B406B0">
        <w:rPr>
          <w:lang w:val="fr-FR"/>
        </w:rPr>
        <w:t>e pourvoi, dirigé contre l</w:t>
      </w:r>
      <w:r w:rsidRPr="00432BEA" w:rsidR="00432BEA">
        <w:rPr>
          <w:lang w:val="fr-FR"/>
        </w:rPr>
        <w:t>’</w:t>
      </w:r>
      <w:r w:rsidRPr="00432BEA" w:rsidR="00B406B0">
        <w:rPr>
          <w:lang w:val="fr-FR"/>
        </w:rPr>
        <w:t>arrêt de la cour d</w:t>
      </w:r>
      <w:r w:rsidRPr="00432BEA" w:rsidR="00432BEA">
        <w:rPr>
          <w:lang w:val="fr-FR"/>
        </w:rPr>
        <w:t>’</w:t>
      </w:r>
      <w:r w:rsidRPr="00432BEA" w:rsidR="00B406B0">
        <w:rPr>
          <w:lang w:val="fr-FR"/>
        </w:rPr>
        <w:t>appel du</w:t>
      </w:r>
      <w:r w:rsidRPr="00432BEA" w:rsidR="00F66456">
        <w:rPr>
          <w:lang w:val="fr-FR"/>
        </w:rPr>
        <w:t xml:space="preserve"> 8 juin 2010,</w:t>
      </w:r>
      <w:r w:rsidRPr="00432BEA" w:rsidR="00B406B0">
        <w:rPr>
          <w:lang w:val="fr-FR"/>
        </w:rPr>
        <w:t xml:space="preserve"> tel que formulé par les moyens du mémoire ampliatif du requérant, avait pour objet l</w:t>
      </w:r>
      <w:r w:rsidRPr="00432BEA" w:rsidR="00432BEA">
        <w:rPr>
          <w:lang w:val="fr-FR"/>
        </w:rPr>
        <w:t>’</w:t>
      </w:r>
      <w:r w:rsidRPr="00432BEA" w:rsidR="00B406B0">
        <w:rPr>
          <w:lang w:val="fr-FR"/>
        </w:rPr>
        <w:t xml:space="preserve">interprétation de la loi dans sa version antérieure à la loi du </w:t>
      </w:r>
      <w:r w:rsidRPr="00432BEA" w:rsidR="00F66456">
        <w:rPr>
          <w:lang w:val="fr-FR"/>
        </w:rPr>
        <w:t>20 décembre 2010</w:t>
      </w:r>
      <w:r w:rsidRPr="00432BEA" w:rsidR="009871D5">
        <w:rPr>
          <w:lang w:val="fr-FR"/>
        </w:rPr>
        <w:t xml:space="preserve"> qui n</w:t>
      </w:r>
      <w:r w:rsidRPr="00432BEA" w:rsidR="00432BEA">
        <w:rPr>
          <w:lang w:val="fr-FR"/>
        </w:rPr>
        <w:t>’</w:t>
      </w:r>
      <w:r w:rsidRPr="00432BEA" w:rsidR="009871D5">
        <w:rPr>
          <w:lang w:val="fr-FR"/>
        </w:rPr>
        <w:t xml:space="preserve">était pas </w:t>
      </w:r>
      <w:r w:rsidRPr="00432BEA" w:rsidR="005E2944">
        <w:rPr>
          <w:lang w:val="fr-FR"/>
        </w:rPr>
        <w:t>encore promulguée</w:t>
      </w:r>
      <w:r w:rsidRPr="00432BEA" w:rsidR="00F66456">
        <w:rPr>
          <w:lang w:val="fr-FR"/>
        </w:rPr>
        <w:t>.</w:t>
      </w:r>
      <w:r w:rsidRPr="00432BEA" w:rsidR="00B406B0">
        <w:rPr>
          <w:lang w:val="fr-FR"/>
        </w:rPr>
        <w:t xml:space="preserve"> La Cour de cassation n</w:t>
      </w:r>
      <w:r w:rsidRPr="00432BEA" w:rsidR="00432BEA">
        <w:rPr>
          <w:lang w:val="fr-FR"/>
        </w:rPr>
        <w:t>’</w:t>
      </w:r>
      <w:r w:rsidRPr="00432BEA" w:rsidR="00B406B0">
        <w:rPr>
          <w:lang w:val="fr-FR"/>
        </w:rPr>
        <w:t>était donc pas saisie de cette loi, même si l</w:t>
      </w:r>
      <w:r w:rsidRPr="00432BEA" w:rsidR="00432BEA">
        <w:rPr>
          <w:lang w:val="fr-FR"/>
        </w:rPr>
        <w:t>’</w:t>
      </w:r>
      <w:r w:rsidRPr="00432BEA" w:rsidR="00B406B0">
        <w:rPr>
          <w:lang w:val="fr-FR"/>
        </w:rPr>
        <w:t xml:space="preserve">URSSAF et le requérant en ont débattu dans leurs écritures ultérieures. Cela a conduit la haute juridiction à refuser de suivre son conseiller rapporteur, qui faisait valoir </w:t>
      </w:r>
      <w:r w:rsidRPr="00432BEA" w:rsidR="00F66456">
        <w:rPr>
          <w:lang w:val="fr-FR"/>
        </w:rPr>
        <w:t>que l</w:t>
      </w:r>
      <w:r w:rsidRPr="00432BEA" w:rsidR="00432BEA">
        <w:rPr>
          <w:lang w:val="fr-FR"/>
        </w:rPr>
        <w:t>’</w:t>
      </w:r>
      <w:r w:rsidRPr="00432BEA" w:rsidR="00F66456">
        <w:rPr>
          <w:lang w:val="fr-FR"/>
        </w:rPr>
        <w:t>article 14 de la loi du 20 décembre 20</w:t>
      </w:r>
      <w:r w:rsidRPr="00432BEA" w:rsidR="00B406B0">
        <w:rPr>
          <w:lang w:val="fr-FR"/>
        </w:rPr>
        <w:t>10 réglait le problème d</w:t>
      </w:r>
      <w:r w:rsidRPr="00432BEA" w:rsidR="00432BEA">
        <w:rPr>
          <w:lang w:val="fr-FR"/>
        </w:rPr>
        <w:t>’</w:t>
      </w:r>
      <w:r w:rsidRPr="00432BEA" w:rsidR="00B406B0">
        <w:rPr>
          <w:lang w:val="fr-FR"/>
        </w:rPr>
        <w:t>interprétation posé par le requérant et proposait, en conséquence, d</w:t>
      </w:r>
      <w:r w:rsidRPr="00432BEA" w:rsidR="00432BEA">
        <w:rPr>
          <w:lang w:val="fr-FR"/>
        </w:rPr>
        <w:t>’</w:t>
      </w:r>
      <w:r w:rsidRPr="00432BEA" w:rsidR="00B406B0">
        <w:rPr>
          <w:lang w:val="fr-FR"/>
        </w:rPr>
        <w:t>écarter son moyen de cassation comme « inopérant », afin de déclarer le pourvoi non admis.</w:t>
      </w:r>
      <w:r w:rsidRPr="00432BEA" w:rsidR="009871D5">
        <w:rPr>
          <w:lang w:val="fr-FR"/>
        </w:rPr>
        <w:t xml:space="preserve"> Ce faisant, la Cour de cassation a indiqué de la façon la plus nette qu</w:t>
      </w:r>
      <w:r w:rsidRPr="00432BEA" w:rsidR="00432BEA">
        <w:rPr>
          <w:lang w:val="fr-FR"/>
        </w:rPr>
        <w:t>’</w:t>
      </w:r>
      <w:r w:rsidRPr="00432BEA" w:rsidR="009871D5">
        <w:rPr>
          <w:lang w:val="fr-FR"/>
        </w:rPr>
        <w:t>elle ne statuait pas sur le fondement de la loi nouvelle. La Cour estime que cette analyse n</w:t>
      </w:r>
      <w:r w:rsidRPr="00432BEA" w:rsidR="00432BEA">
        <w:rPr>
          <w:lang w:val="fr-FR"/>
        </w:rPr>
        <w:t>’</w:t>
      </w:r>
      <w:r w:rsidRPr="00432BEA" w:rsidR="009871D5">
        <w:rPr>
          <w:lang w:val="fr-FR"/>
        </w:rPr>
        <w:t>est pas remise en cause par le fait que l</w:t>
      </w:r>
      <w:r w:rsidRPr="00432BEA" w:rsidR="00432BEA">
        <w:rPr>
          <w:lang w:val="fr-FR"/>
        </w:rPr>
        <w:t>’</w:t>
      </w:r>
      <w:r w:rsidRPr="00432BEA" w:rsidR="009871D5">
        <w:rPr>
          <w:lang w:val="fr-FR"/>
        </w:rPr>
        <w:t>arrêt du 22 septembre 2011 a utilisé le terme « privatif » contenu dans l</w:t>
      </w:r>
      <w:r w:rsidRPr="00432BEA" w:rsidR="00432BEA">
        <w:rPr>
          <w:lang w:val="fr-FR"/>
        </w:rPr>
        <w:t>’</w:t>
      </w:r>
      <w:r w:rsidRPr="00432BEA" w:rsidR="009871D5">
        <w:rPr>
          <w:lang w:val="fr-FR"/>
        </w:rPr>
        <w:t>article 14 de la loi du 20 décembre 2010, ce mot étant particulièrement adapté pour exprimer, comme le voulait cette décision, que ne pouvait être prise en compte une résidence collective. La Cour retient donc qu</w:t>
      </w:r>
      <w:r w:rsidRPr="00432BEA" w:rsidR="00432BEA">
        <w:rPr>
          <w:lang w:val="fr-FR"/>
        </w:rPr>
        <w:t>’</w:t>
      </w:r>
      <w:r w:rsidRPr="00432BEA" w:rsidR="009871D5">
        <w:rPr>
          <w:lang w:val="fr-FR"/>
        </w:rPr>
        <w:t>il a été jugé, par l</w:t>
      </w:r>
      <w:r w:rsidRPr="00432BEA" w:rsidR="00432BEA">
        <w:rPr>
          <w:lang w:val="fr-FR"/>
        </w:rPr>
        <w:t>’</w:t>
      </w:r>
      <w:r w:rsidRPr="00432BEA" w:rsidR="009871D5">
        <w:rPr>
          <w:lang w:val="fr-FR"/>
        </w:rPr>
        <w:t>arrêt du 22 septembre 2011, que l</w:t>
      </w:r>
      <w:r w:rsidRPr="00432BEA" w:rsidR="00432BEA">
        <w:rPr>
          <w:lang w:val="fr-FR"/>
        </w:rPr>
        <w:t>’</w:t>
      </w:r>
      <w:r w:rsidRPr="00432BEA" w:rsidR="009871D5">
        <w:rPr>
          <w:lang w:val="fr-FR"/>
        </w:rPr>
        <w:t>interprétation de l</w:t>
      </w:r>
      <w:r w:rsidRPr="00432BEA" w:rsidR="00432BEA">
        <w:rPr>
          <w:lang w:val="fr-FR"/>
        </w:rPr>
        <w:t>’</w:t>
      </w:r>
      <w:r w:rsidRPr="00432BEA" w:rsidR="009871D5">
        <w:rPr>
          <w:lang w:val="fr-FR"/>
        </w:rPr>
        <w:t>article L. 241-10 III, dans sa version applicable aux faits de l</w:t>
      </w:r>
      <w:r w:rsidRPr="00432BEA" w:rsidR="00432BEA">
        <w:rPr>
          <w:lang w:val="fr-FR"/>
        </w:rPr>
        <w:t>’</w:t>
      </w:r>
      <w:r w:rsidRPr="00432BEA" w:rsidR="009871D5">
        <w:rPr>
          <w:lang w:val="fr-FR"/>
        </w:rPr>
        <w:t>espèce, ne permettait pas aux établissements hébergeant des personnes âgées dépendantes d</w:t>
      </w:r>
      <w:r w:rsidRPr="00432BEA" w:rsidR="00432BEA">
        <w:rPr>
          <w:lang w:val="fr-FR"/>
        </w:rPr>
        <w:t>’</w:t>
      </w:r>
      <w:r w:rsidRPr="00432BEA" w:rsidR="009871D5">
        <w:rPr>
          <w:lang w:val="fr-FR"/>
        </w:rPr>
        <w:t>obtenir le remboursement des cotisations qu</w:t>
      </w:r>
      <w:r w:rsidRPr="00432BEA" w:rsidR="00432BEA">
        <w:rPr>
          <w:lang w:val="fr-FR"/>
        </w:rPr>
        <w:t>’</w:t>
      </w:r>
      <w:r w:rsidRPr="00432BEA" w:rsidR="009871D5">
        <w:rPr>
          <w:lang w:val="fr-FR"/>
        </w:rPr>
        <w:t>ils sollicitaient.</w:t>
      </w:r>
    </w:p>
    <w:p w:rsidRPr="00432BEA" w:rsidR="00B406B0" w:rsidP="00432BEA" w:rsidRDefault="00BC70E3">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87</w:t>
      </w:r>
      <w:r w:rsidRPr="00432BEA">
        <w:rPr>
          <w:lang w:val="fr-FR"/>
        </w:rPr>
        <w:fldChar w:fldCharType="end"/>
      </w:r>
      <w:r w:rsidRPr="00432BEA">
        <w:rPr>
          <w:lang w:val="fr-FR"/>
        </w:rPr>
        <w:t>.  S</w:t>
      </w:r>
      <w:r w:rsidRPr="00432BEA" w:rsidR="00432BEA">
        <w:rPr>
          <w:lang w:val="fr-FR"/>
        </w:rPr>
        <w:t>’</w:t>
      </w:r>
      <w:r w:rsidRPr="00432BEA">
        <w:rPr>
          <w:lang w:val="fr-FR"/>
        </w:rPr>
        <w:t>agissant de la requête n</w:t>
      </w:r>
      <w:r w:rsidRPr="00432BEA" w:rsidR="007D22EB">
        <w:rPr>
          <w:vertAlign w:val="superscript"/>
          <w:lang w:val="fr-FR"/>
        </w:rPr>
        <w:t>o</w:t>
      </w:r>
      <w:r w:rsidRPr="00432BEA">
        <w:rPr>
          <w:lang w:val="fr-FR"/>
        </w:rPr>
        <w:t xml:space="preserve"> 53601/12, la Cour constate que l</w:t>
      </w:r>
      <w:r w:rsidRPr="00432BEA" w:rsidR="00B406B0">
        <w:rPr>
          <w:lang w:val="fr-FR"/>
        </w:rPr>
        <w:t>es moyens du pourvoi formé contre l</w:t>
      </w:r>
      <w:r w:rsidRPr="00432BEA" w:rsidR="00432BEA">
        <w:rPr>
          <w:lang w:val="fr-FR"/>
        </w:rPr>
        <w:t>’</w:t>
      </w:r>
      <w:r w:rsidRPr="00432BEA" w:rsidR="00B406B0">
        <w:rPr>
          <w:lang w:val="fr-FR"/>
        </w:rPr>
        <w:t>arrêt de la cour d</w:t>
      </w:r>
      <w:r w:rsidRPr="00432BEA" w:rsidR="00432BEA">
        <w:rPr>
          <w:lang w:val="fr-FR"/>
        </w:rPr>
        <w:t>’</w:t>
      </w:r>
      <w:r w:rsidRPr="00432BEA" w:rsidR="00B406B0">
        <w:rPr>
          <w:lang w:val="fr-FR"/>
        </w:rPr>
        <w:t>appel du 23</w:t>
      </w:r>
      <w:r w:rsidRPr="00432BEA">
        <w:rPr>
          <w:lang w:val="fr-FR"/>
        </w:rPr>
        <w:t xml:space="preserve"> décembre 2010</w:t>
      </w:r>
      <w:r w:rsidRPr="00432BEA" w:rsidR="00B406B0">
        <w:rPr>
          <w:lang w:val="fr-FR"/>
        </w:rPr>
        <w:t xml:space="preserve"> soutenaient également que l</w:t>
      </w:r>
      <w:r w:rsidRPr="00432BEA" w:rsidR="00432BEA">
        <w:rPr>
          <w:lang w:val="fr-FR"/>
        </w:rPr>
        <w:t>’</w:t>
      </w:r>
      <w:r w:rsidRPr="00432BEA" w:rsidR="00B406B0">
        <w:rPr>
          <w:lang w:val="fr-FR"/>
        </w:rPr>
        <w:t xml:space="preserve">article </w:t>
      </w:r>
      <w:r w:rsidRPr="00432BEA" w:rsidR="006D7F45">
        <w:rPr>
          <w:lang w:val="fr-FR"/>
        </w:rPr>
        <w:t>L. 241-10 III</w:t>
      </w:r>
      <w:r w:rsidRPr="00432BEA" w:rsidR="00B406B0">
        <w:rPr>
          <w:lang w:val="fr-FR"/>
        </w:rPr>
        <w:t xml:space="preserve"> du </w:t>
      </w:r>
      <w:r w:rsidRPr="00432BEA">
        <w:rPr>
          <w:lang w:val="fr-FR"/>
        </w:rPr>
        <w:t>CSS</w:t>
      </w:r>
      <w:r w:rsidRPr="00432BEA" w:rsidR="00B406B0">
        <w:rPr>
          <w:lang w:val="fr-FR"/>
        </w:rPr>
        <w:t xml:space="preserve"> devait être interprété dans sa version antérieure à la loi du 2</w:t>
      </w:r>
      <w:r w:rsidRPr="00432BEA" w:rsidR="00AF67DE">
        <w:rPr>
          <w:lang w:val="fr-FR"/>
        </w:rPr>
        <w:t>0</w:t>
      </w:r>
      <w:r w:rsidRPr="00432BEA">
        <w:rPr>
          <w:lang w:val="fr-FR"/>
        </w:rPr>
        <w:t xml:space="preserve"> décembre 2010</w:t>
      </w:r>
      <w:r w:rsidRPr="00432BEA" w:rsidR="00B406B0">
        <w:rPr>
          <w:lang w:val="fr-FR"/>
        </w:rPr>
        <w:t>. Or, c</w:t>
      </w:r>
      <w:r w:rsidRPr="00432BEA" w:rsidR="00432BEA">
        <w:rPr>
          <w:lang w:val="fr-FR"/>
        </w:rPr>
        <w:t>’</w:t>
      </w:r>
      <w:r w:rsidRPr="00432BEA" w:rsidR="00B406B0">
        <w:rPr>
          <w:lang w:val="fr-FR"/>
        </w:rPr>
        <w:t>est précisément ce qu</w:t>
      </w:r>
      <w:r w:rsidRPr="00432BEA" w:rsidR="00432BEA">
        <w:rPr>
          <w:lang w:val="fr-FR"/>
        </w:rPr>
        <w:t>’</w:t>
      </w:r>
      <w:r w:rsidRPr="00432BEA" w:rsidR="00B406B0">
        <w:rPr>
          <w:lang w:val="fr-FR"/>
        </w:rPr>
        <w:t>avait fait la Cour de cassation par son arrêt du 2</w:t>
      </w:r>
      <w:r w:rsidRPr="00432BEA" w:rsidR="00DB61CD">
        <w:rPr>
          <w:lang w:val="fr-FR"/>
        </w:rPr>
        <w:t>0</w:t>
      </w:r>
      <w:r w:rsidRPr="00432BEA" w:rsidR="006D7F45">
        <w:rPr>
          <w:lang w:val="fr-FR"/>
        </w:rPr>
        <w:t> </w:t>
      </w:r>
      <w:r w:rsidRPr="00432BEA">
        <w:rPr>
          <w:lang w:val="fr-FR"/>
        </w:rPr>
        <w:t>septembre 2011</w:t>
      </w:r>
      <w:r w:rsidRPr="00432BEA" w:rsidR="00B406B0">
        <w:rPr>
          <w:lang w:val="fr-FR"/>
        </w:rPr>
        <w:t>, à l</w:t>
      </w:r>
      <w:r w:rsidRPr="00432BEA" w:rsidR="00432BEA">
        <w:rPr>
          <w:lang w:val="fr-FR"/>
        </w:rPr>
        <w:t>’</w:t>
      </w:r>
      <w:r w:rsidRPr="00432BEA" w:rsidR="00B406B0">
        <w:rPr>
          <w:lang w:val="fr-FR"/>
        </w:rPr>
        <w:t>occasion du premier pourvoi. C</w:t>
      </w:r>
      <w:r w:rsidRPr="00432BEA" w:rsidR="00432BEA">
        <w:rPr>
          <w:lang w:val="fr-FR"/>
        </w:rPr>
        <w:t>’</w:t>
      </w:r>
      <w:r w:rsidRPr="00432BEA" w:rsidR="00B406B0">
        <w:rPr>
          <w:lang w:val="fr-FR"/>
        </w:rPr>
        <w:t>est pourquoi, contrairement au premier pourvoi, la Cour de cassation a suivi l</w:t>
      </w:r>
      <w:r w:rsidRPr="00432BEA" w:rsidR="00432BEA">
        <w:rPr>
          <w:lang w:val="fr-FR"/>
        </w:rPr>
        <w:t>’</w:t>
      </w:r>
      <w:r w:rsidRPr="00432BEA" w:rsidR="00B406B0">
        <w:rPr>
          <w:lang w:val="fr-FR"/>
        </w:rPr>
        <w:t>orientation de son conseiller rapporteur, qui, soulignant que l</w:t>
      </w:r>
      <w:r w:rsidRPr="00432BEA" w:rsidR="00432BEA">
        <w:rPr>
          <w:lang w:val="fr-FR"/>
        </w:rPr>
        <w:t>’</w:t>
      </w:r>
      <w:r w:rsidRPr="00432BEA" w:rsidR="00B406B0">
        <w:rPr>
          <w:lang w:val="fr-FR"/>
        </w:rPr>
        <w:t>objet du pourvoi avait été réglé par cet arrêt, avait proposé de déclarer ce second pourvoi non admis.</w:t>
      </w:r>
    </w:p>
    <w:p w:rsidRPr="00432BEA" w:rsidR="00B406B0" w:rsidP="00432BEA" w:rsidRDefault="00BC70E3">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88</w:t>
      </w:r>
      <w:r w:rsidRPr="00432BEA">
        <w:rPr>
          <w:lang w:val="fr-FR"/>
        </w:rPr>
        <w:fldChar w:fldCharType="end"/>
      </w:r>
      <w:r w:rsidRPr="00432BEA">
        <w:rPr>
          <w:lang w:val="fr-FR"/>
        </w:rPr>
        <w:t>.  </w:t>
      </w:r>
      <w:r w:rsidRPr="00432BEA" w:rsidR="00B406B0">
        <w:rPr>
          <w:lang w:val="fr-FR"/>
        </w:rPr>
        <w:t>Il résulte de ces éléments que les deux requérants, qui soutenaient que l</w:t>
      </w:r>
      <w:r w:rsidRPr="00432BEA" w:rsidR="00432BEA">
        <w:rPr>
          <w:lang w:val="fr-FR"/>
        </w:rPr>
        <w:t>’</w:t>
      </w:r>
      <w:r w:rsidRPr="00432BEA" w:rsidR="00B406B0">
        <w:rPr>
          <w:lang w:val="fr-FR"/>
        </w:rPr>
        <w:t>article L</w:t>
      </w:r>
      <w:r w:rsidRPr="00432BEA">
        <w:rPr>
          <w:lang w:val="fr-FR"/>
        </w:rPr>
        <w:t>.</w:t>
      </w:r>
      <w:r w:rsidRPr="00432BEA" w:rsidR="006D7F45">
        <w:rPr>
          <w:lang w:val="fr-FR"/>
        </w:rPr>
        <w:t xml:space="preserve"> </w:t>
      </w:r>
      <w:r w:rsidRPr="00432BEA" w:rsidR="00B406B0">
        <w:rPr>
          <w:lang w:val="fr-FR"/>
        </w:rPr>
        <w:t xml:space="preserve">241-10-III du code de la </w:t>
      </w:r>
      <w:r w:rsidRPr="00432BEA" w:rsidR="0040699C">
        <w:rPr>
          <w:lang w:val="fr-FR"/>
        </w:rPr>
        <w:t>s</w:t>
      </w:r>
      <w:r w:rsidRPr="00432BEA" w:rsidR="00632783">
        <w:rPr>
          <w:lang w:val="fr-FR"/>
        </w:rPr>
        <w:t>écurité sociale</w:t>
      </w:r>
      <w:r w:rsidRPr="00432BEA" w:rsidR="00B406B0">
        <w:rPr>
          <w:lang w:val="fr-FR"/>
        </w:rPr>
        <w:t>, interprété dans sa version antérieure à la loi du 2</w:t>
      </w:r>
      <w:r w:rsidRPr="00432BEA" w:rsidR="00DB61CD">
        <w:rPr>
          <w:lang w:val="fr-FR"/>
        </w:rPr>
        <w:t>0</w:t>
      </w:r>
      <w:r w:rsidRPr="00432BEA">
        <w:rPr>
          <w:lang w:val="fr-FR"/>
        </w:rPr>
        <w:t xml:space="preserve"> décembre 2010</w:t>
      </w:r>
      <w:r w:rsidRPr="00432BEA" w:rsidR="00B406B0">
        <w:rPr>
          <w:lang w:val="fr-FR"/>
        </w:rPr>
        <w:t>, leur donnaient le droit à bénéficier du remboursement de certaines cotisations, ont reçu une réponse claire et négative de la Cour de cassation.</w:t>
      </w:r>
    </w:p>
    <w:p w:rsidRPr="00432BEA" w:rsidR="00E45F36" w:rsidP="00432BEA" w:rsidRDefault="007974ED">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89</w:t>
      </w:r>
      <w:r w:rsidRPr="00432BEA">
        <w:rPr>
          <w:lang w:val="fr-FR"/>
        </w:rPr>
        <w:fldChar w:fldCharType="end"/>
      </w:r>
      <w:r w:rsidRPr="00432BEA" w:rsidR="00286465">
        <w:rPr>
          <w:lang w:val="fr-FR"/>
        </w:rPr>
        <w:t>.  Eu égard à ce qui précède, et</w:t>
      </w:r>
      <w:r w:rsidRPr="00432BEA">
        <w:rPr>
          <w:lang w:val="fr-FR"/>
        </w:rPr>
        <w:t xml:space="preserve"> </w:t>
      </w:r>
      <w:r w:rsidRPr="00432BEA" w:rsidR="00B755AF">
        <w:rPr>
          <w:lang w:val="fr-FR"/>
        </w:rPr>
        <w:t>dès lors qu</w:t>
      </w:r>
      <w:r w:rsidRPr="00432BEA" w:rsidR="00432BEA">
        <w:rPr>
          <w:lang w:val="fr-FR"/>
        </w:rPr>
        <w:t>’</w:t>
      </w:r>
      <w:r w:rsidRPr="00432BEA" w:rsidR="00B755AF">
        <w:rPr>
          <w:lang w:val="fr-FR"/>
        </w:rPr>
        <w:t>il n</w:t>
      </w:r>
      <w:r w:rsidRPr="00432BEA" w:rsidR="00432BEA">
        <w:rPr>
          <w:lang w:val="fr-FR"/>
        </w:rPr>
        <w:t>’</w:t>
      </w:r>
      <w:r w:rsidRPr="00432BEA" w:rsidR="00B755AF">
        <w:rPr>
          <w:lang w:val="fr-FR"/>
        </w:rPr>
        <w:t>est pas contesté que l</w:t>
      </w:r>
      <w:r w:rsidRPr="00432BEA" w:rsidR="001E2B09">
        <w:rPr>
          <w:lang w:val="fr-FR"/>
        </w:rPr>
        <w:t xml:space="preserve">es </w:t>
      </w:r>
      <w:r w:rsidRPr="00432BEA" w:rsidR="00B755AF">
        <w:rPr>
          <w:lang w:val="fr-FR"/>
        </w:rPr>
        <w:t>avocat</w:t>
      </w:r>
      <w:r w:rsidRPr="00432BEA" w:rsidR="001E2B09">
        <w:rPr>
          <w:lang w:val="fr-FR"/>
        </w:rPr>
        <w:t>s</w:t>
      </w:r>
      <w:r w:rsidRPr="00432BEA" w:rsidR="00B755AF">
        <w:rPr>
          <w:lang w:val="fr-FR"/>
        </w:rPr>
        <w:t xml:space="preserve"> aux Conseils qui représentaient les requérants devant la Co</w:t>
      </w:r>
      <w:r w:rsidRPr="00432BEA" w:rsidR="001E2B09">
        <w:rPr>
          <w:lang w:val="fr-FR"/>
        </w:rPr>
        <w:t>ur de cassation ont</w:t>
      </w:r>
      <w:r w:rsidRPr="00432BEA" w:rsidR="00286465">
        <w:rPr>
          <w:lang w:val="fr-FR"/>
        </w:rPr>
        <w:t xml:space="preserve"> dûment reçu les</w:t>
      </w:r>
      <w:r w:rsidRPr="00432BEA" w:rsidR="00B755AF">
        <w:rPr>
          <w:lang w:val="fr-FR"/>
        </w:rPr>
        <w:t xml:space="preserve"> fiche</w:t>
      </w:r>
      <w:r w:rsidRPr="00432BEA" w:rsidR="00286465">
        <w:rPr>
          <w:lang w:val="fr-FR"/>
        </w:rPr>
        <w:t>s</w:t>
      </w:r>
      <w:r w:rsidRPr="00432BEA" w:rsidR="00B755AF">
        <w:rPr>
          <w:lang w:val="fr-FR"/>
        </w:rPr>
        <w:t xml:space="preserve"> de non-admission des pourvois pour absence de moyens sérieux, </w:t>
      </w:r>
      <w:r w:rsidRPr="00432BEA">
        <w:rPr>
          <w:lang w:val="fr-FR"/>
        </w:rPr>
        <w:t>la Cour conclut</w:t>
      </w:r>
      <w:r w:rsidRPr="00432BEA" w:rsidR="00BC70E3">
        <w:rPr>
          <w:lang w:val="fr-FR"/>
        </w:rPr>
        <w:t xml:space="preserve"> </w:t>
      </w:r>
      <w:r w:rsidRPr="00432BEA" w:rsidR="00B755AF">
        <w:rPr>
          <w:lang w:val="fr-FR"/>
        </w:rPr>
        <w:t>que cette juridiction n</w:t>
      </w:r>
      <w:r w:rsidRPr="00432BEA" w:rsidR="00432BEA">
        <w:rPr>
          <w:lang w:val="fr-FR"/>
        </w:rPr>
        <w:t>’</w:t>
      </w:r>
      <w:r w:rsidRPr="00432BEA" w:rsidR="00B755AF">
        <w:rPr>
          <w:lang w:val="fr-FR"/>
        </w:rPr>
        <w:t>a pas manqué à l</w:t>
      </w:r>
      <w:r w:rsidRPr="00432BEA" w:rsidR="00432BEA">
        <w:rPr>
          <w:lang w:val="fr-FR"/>
        </w:rPr>
        <w:t>’</w:t>
      </w:r>
      <w:r w:rsidRPr="00432BEA" w:rsidR="00B755AF">
        <w:rPr>
          <w:lang w:val="fr-FR"/>
        </w:rPr>
        <w:t>obligation de motiver qui découle de l</w:t>
      </w:r>
      <w:r w:rsidRPr="00432BEA" w:rsidR="00432BEA">
        <w:rPr>
          <w:lang w:val="fr-FR"/>
        </w:rPr>
        <w:t>’</w:t>
      </w:r>
      <w:r w:rsidRPr="00432BEA" w:rsidR="00B755AF">
        <w:rPr>
          <w:lang w:val="fr-FR"/>
        </w:rPr>
        <w:t>article 6 § 1 de la Convention</w:t>
      </w:r>
      <w:r w:rsidRPr="00432BEA">
        <w:rPr>
          <w:lang w:val="fr-FR"/>
        </w:rPr>
        <w:t xml:space="preserve">. </w:t>
      </w:r>
      <w:r w:rsidRPr="00432BEA" w:rsidR="00264283">
        <w:rPr>
          <w:lang w:val="fr-FR"/>
        </w:rPr>
        <w:t>Partant, il n</w:t>
      </w:r>
      <w:r w:rsidRPr="00432BEA" w:rsidR="00432BEA">
        <w:rPr>
          <w:lang w:val="fr-FR"/>
        </w:rPr>
        <w:t>’</w:t>
      </w:r>
      <w:r w:rsidRPr="00432BEA" w:rsidR="00264283">
        <w:rPr>
          <w:lang w:val="fr-FR"/>
        </w:rPr>
        <w:t>y a pas eu violation de cette disposition.</w:t>
      </w:r>
    </w:p>
    <w:p w:rsidRPr="00432BEA" w:rsidR="007D22EB" w:rsidP="00432BEA" w:rsidRDefault="005623CA">
      <w:pPr>
        <w:pStyle w:val="ECHRHeading1"/>
        <w:rPr>
          <w:lang w:val="fr-FR"/>
        </w:rPr>
      </w:pPr>
      <w:r w:rsidRPr="00432BEA">
        <w:rPr>
          <w:lang w:val="fr-FR"/>
        </w:rPr>
        <w:t>V</w:t>
      </w:r>
      <w:r w:rsidRPr="00432BEA" w:rsidR="00E77CB3">
        <w:rPr>
          <w:lang w:val="fr-FR"/>
        </w:rPr>
        <w:t>.  SUR LA VIOLATION ALLÉGUÉE DE L</w:t>
      </w:r>
      <w:r w:rsidRPr="00432BEA" w:rsidR="00432BEA">
        <w:rPr>
          <w:lang w:val="fr-FR"/>
        </w:rPr>
        <w:t>’</w:t>
      </w:r>
      <w:r w:rsidRPr="00432BEA" w:rsidR="00E77CB3">
        <w:rPr>
          <w:lang w:val="fr-FR"/>
        </w:rPr>
        <w:t xml:space="preserve">ARTICLE </w:t>
      </w:r>
      <w:r w:rsidRPr="00432BEA">
        <w:rPr>
          <w:lang w:val="fr-FR"/>
        </w:rPr>
        <w:t>14 COMBIN</w:t>
      </w:r>
      <w:r w:rsidRPr="00432BEA" w:rsidR="006D7F45">
        <w:rPr>
          <w:lang w:val="fr-FR"/>
        </w:rPr>
        <w:t>É</w:t>
      </w:r>
      <w:r w:rsidRPr="00432BEA">
        <w:rPr>
          <w:lang w:val="fr-FR"/>
        </w:rPr>
        <w:t xml:space="preserve"> AVEC L</w:t>
      </w:r>
      <w:r w:rsidRPr="00432BEA" w:rsidR="00432BEA">
        <w:rPr>
          <w:lang w:val="fr-FR"/>
        </w:rPr>
        <w:t>’</w:t>
      </w:r>
      <w:r w:rsidRPr="00432BEA">
        <w:rPr>
          <w:lang w:val="fr-FR"/>
        </w:rPr>
        <w:t>ARTICLE 1</w:t>
      </w:r>
      <w:r w:rsidRPr="00432BEA" w:rsidR="0040699C">
        <w:rPr>
          <w:vertAlign w:val="superscript"/>
          <w:lang w:val="fr-FR"/>
        </w:rPr>
        <w:t>er</w:t>
      </w:r>
      <w:r w:rsidRPr="00432BEA">
        <w:rPr>
          <w:lang w:val="fr-FR"/>
        </w:rPr>
        <w:t xml:space="preserve"> DU PROTOCOLE N</w:t>
      </w:r>
      <w:r w:rsidRPr="00432BEA" w:rsidR="007D22EB">
        <w:rPr>
          <w:vertAlign w:val="superscript"/>
          <w:lang w:val="fr-FR"/>
        </w:rPr>
        <w:t>o</w:t>
      </w:r>
      <w:r w:rsidRPr="00432BEA">
        <w:rPr>
          <w:lang w:val="fr-FR"/>
        </w:rPr>
        <w:t xml:space="preserve"> 1</w:t>
      </w:r>
    </w:p>
    <w:p w:rsidRPr="00432BEA" w:rsidR="007D22EB" w:rsidP="00432BEA" w:rsidRDefault="00A050D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90</w:t>
      </w:r>
      <w:r w:rsidRPr="00432BEA">
        <w:rPr>
          <w:lang w:val="fr-FR"/>
        </w:rPr>
        <w:fldChar w:fldCharType="end"/>
      </w:r>
      <w:r w:rsidRPr="00432BEA" w:rsidR="00E77CB3">
        <w:rPr>
          <w:lang w:val="fr-FR"/>
        </w:rPr>
        <w:t>.  </w:t>
      </w:r>
      <w:r w:rsidRPr="00432BEA">
        <w:rPr>
          <w:lang w:val="fr-FR"/>
        </w:rPr>
        <w:t>Les requérants se plaignent</w:t>
      </w:r>
      <w:r w:rsidRPr="00432BEA" w:rsidR="00E77CB3">
        <w:rPr>
          <w:lang w:val="fr-FR"/>
        </w:rPr>
        <w:t xml:space="preserve"> </w:t>
      </w:r>
      <w:r w:rsidRPr="00432BEA" w:rsidR="0048467D">
        <w:rPr>
          <w:lang w:val="fr-FR"/>
        </w:rPr>
        <w:t>d</w:t>
      </w:r>
      <w:r w:rsidRPr="00432BEA" w:rsidR="00432BEA">
        <w:rPr>
          <w:lang w:val="fr-FR"/>
        </w:rPr>
        <w:t>’</w:t>
      </w:r>
      <w:r w:rsidRPr="00432BEA" w:rsidR="0048467D">
        <w:rPr>
          <w:lang w:val="fr-FR"/>
        </w:rPr>
        <w:t xml:space="preserve">une différence de traitement entre les organismes employant des aides à la personne fondée sur la notion de « domicile ». En particulier, </w:t>
      </w:r>
      <w:r w:rsidRPr="00432BEA" w:rsidR="00195D0E">
        <w:rPr>
          <w:lang w:val="fr-FR"/>
        </w:rPr>
        <w:t xml:space="preserve">ils font valoir que </w:t>
      </w:r>
      <w:r w:rsidRPr="00432BEA" w:rsidR="0048467D">
        <w:rPr>
          <w:lang w:val="fr-FR"/>
        </w:rPr>
        <w:t xml:space="preserve">la différence de traitement avec les </w:t>
      </w:r>
      <w:r w:rsidRPr="00432BEA" w:rsidR="00451E62">
        <w:rPr>
          <w:lang w:val="fr-FR"/>
        </w:rPr>
        <w:t>foyers-logements</w:t>
      </w:r>
      <w:r w:rsidRPr="00432BEA" w:rsidR="0048467D">
        <w:rPr>
          <w:lang w:val="fr-FR"/>
        </w:rPr>
        <w:t>, qui bénéficient de l</w:t>
      </w:r>
      <w:r w:rsidRPr="00432BEA" w:rsidR="00432BEA">
        <w:rPr>
          <w:lang w:val="fr-FR"/>
        </w:rPr>
        <w:t>’</w:t>
      </w:r>
      <w:r w:rsidRPr="00432BEA" w:rsidR="0048467D">
        <w:rPr>
          <w:lang w:val="fr-FR"/>
        </w:rPr>
        <w:t>exonération alors qu</w:t>
      </w:r>
      <w:r w:rsidRPr="00432BEA" w:rsidR="00432BEA">
        <w:rPr>
          <w:lang w:val="fr-FR"/>
        </w:rPr>
        <w:t>’</w:t>
      </w:r>
      <w:r w:rsidRPr="00432BEA" w:rsidR="0048467D">
        <w:rPr>
          <w:lang w:val="fr-FR"/>
        </w:rPr>
        <w:t>ils constituent aussi des structures d</w:t>
      </w:r>
      <w:r w:rsidRPr="00432BEA" w:rsidR="00432BEA">
        <w:rPr>
          <w:lang w:val="fr-FR"/>
        </w:rPr>
        <w:t>’</w:t>
      </w:r>
      <w:r w:rsidRPr="00432BEA" w:rsidR="0048467D">
        <w:rPr>
          <w:lang w:val="fr-FR"/>
        </w:rPr>
        <w:t>hébergement collectif, ne repose sur aucune justification objective et raisonnable.</w:t>
      </w:r>
      <w:r w:rsidRPr="00432BEA" w:rsidR="00E77CB3">
        <w:rPr>
          <w:lang w:val="fr-FR"/>
        </w:rPr>
        <w:t xml:space="preserve"> </w:t>
      </w:r>
      <w:r w:rsidRPr="00432BEA">
        <w:rPr>
          <w:lang w:val="fr-FR"/>
        </w:rPr>
        <w:t>Ils</w:t>
      </w:r>
      <w:r w:rsidRPr="00432BEA" w:rsidR="00E77CB3">
        <w:rPr>
          <w:lang w:val="fr-FR"/>
        </w:rPr>
        <w:t xml:space="preserve"> invoque</w:t>
      </w:r>
      <w:r w:rsidRPr="00432BEA">
        <w:rPr>
          <w:lang w:val="fr-FR"/>
        </w:rPr>
        <w:t>nt</w:t>
      </w:r>
      <w:r w:rsidRPr="00432BEA" w:rsidR="00E77CB3">
        <w:rPr>
          <w:lang w:val="fr-FR"/>
        </w:rPr>
        <w:t xml:space="preserve"> l</w:t>
      </w:r>
      <w:r w:rsidRPr="00432BEA" w:rsidR="00432BEA">
        <w:rPr>
          <w:lang w:val="fr-FR"/>
        </w:rPr>
        <w:t>’</w:t>
      </w:r>
      <w:r w:rsidRPr="00432BEA" w:rsidR="00E77CB3">
        <w:rPr>
          <w:lang w:val="fr-FR"/>
        </w:rPr>
        <w:t xml:space="preserve">article </w:t>
      </w:r>
      <w:r w:rsidRPr="00432BEA" w:rsidR="0048467D">
        <w:rPr>
          <w:lang w:val="fr-FR"/>
        </w:rPr>
        <w:t>14</w:t>
      </w:r>
      <w:r w:rsidRPr="00432BEA" w:rsidR="00E77CB3">
        <w:rPr>
          <w:lang w:val="fr-FR"/>
        </w:rPr>
        <w:t xml:space="preserve"> de la Convention</w:t>
      </w:r>
      <w:r w:rsidRPr="00432BEA" w:rsidR="0048467D">
        <w:rPr>
          <w:lang w:val="fr-FR"/>
        </w:rPr>
        <w:t xml:space="preserve"> combiné avec l</w:t>
      </w:r>
      <w:r w:rsidRPr="00432BEA" w:rsidR="00432BEA">
        <w:rPr>
          <w:lang w:val="fr-FR"/>
        </w:rPr>
        <w:t>’</w:t>
      </w:r>
      <w:r w:rsidRPr="00432BEA" w:rsidR="0048467D">
        <w:rPr>
          <w:lang w:val="fr-FR"/>
        </w:rPr>
        <w:t>article 1 du Protocole n</w:t>
      </w:r>
      <w:r w:rsidRPr="00432BEA" w:rsidR="007D22EB">
        <w:rPr>
          <w:vertAlign w:val="superscript"/>
          <w:lang w:val="fr-FR"/>
        </w:rPr>
        <w:t>o</w:t>
      </w:r>
      <w:r w:rsidRPr="00432BEA" w:rsidR="0048467D">
        <w:rPr>
          <w:lang w:val="fr-FR"/>
        </w:rPr>
        <w:t>1 ainsi libellés :</w:t>
      </w:r>
    </w:p>
    <w:p w:rsidRPr="00432BEA" w:rsidR="0048467D" w:rsidP="00432BEA" w:rsidRDefault="0048467D">
      <w:pPr>
        <w:pStyle w:val="ECHRTitleCentre3"/>
        <w:rPr>
          <w:lang w:val="fr-FR"/>
        </w:rPr>
      </w:pPr>
      <w:r w:rsidRPr="00432BEA">
        <w:rPr>
          <w:lang w:val="fr-FR"/>
        </w:rPr>
        <w:t>Article 14</w:t>
      </w:r>
    </w:p>
    <w:p w:rsidRPr="00432BEA" w:rsidR="0048467D" w:rsidP="00432BEA" w:rsidRDefault="0048467D">
      <w:pPr>
        <w:pStyle w:val="ECHRParaQuote"/>
        <w:rPr>
          <w:lang w:val="fr-FR"/>
        </w:rPr>
      </w:pPr>
      <w:r w:rsidRPr="00432BEA">
        <w:rPr>
          <w:lang w:val="fr-FR"/>
        </w:rPr>
        <w:t>« La jouissance des droits et libertés reconnus dans la (...) Convention doit être assurée, sans distinction aucune, fondée notamment sur le sexe, la race, la couleur, la langue, la religion, les opinions politiques ou toutes autres opinions, l</w:t>
      </w:r>
      <w:r w:rsidRPr="00432BEA" w:rsidR="00432BEA">
        <w:rPr>
          <w:lang w:val="fr-FR"/>
        </w:rPr>
        <w:t>’</w:t>
      </w:r>
      <w:r w:rsidRPr="00432BEA">
        <w:rPr>
          <w:lang w:val="fr-FR"/>
        </w:rPr>
        <w:t>origine nationale ou sociale, l</w:t>
      </w:r>
      <w:r w:rsidRPr="00432BEA" w:rsidR="00432BEA">
        <w:rPr>
          <w:lang w:val="fr-FR"/>
        </w:rPr>
        <w:t>’</w:t>
      </w:r>
      <w:r w:rsidRPr="00432BEA">
        <w:rPr>
          <w:lang w:val="fr-FR"/>
        </w:rPr>
        <w:t>appartenance à une minorité nationale, la fortune, la naissance ou toute autre situation. »</w:t>
      </w:r>
    </w:p>
    <w:p w:rsidRPr="00432BEA" w:rsidR="0048467D" w:rsidP="00432BEA" w:rsidRDefault="0048467D">
      <w:pPr>
        <w:pStyle w:val="ECHRTitleCentre3"/>
        <w:rPr>
          <w:lang w:val="fr-FR"/>
        </w:rPr>
      </w:pPr>
      <w:r w:rsidRPr="00432BEA">
        <w:rPr>
          <w:lang w:val="fr-FR"/>
        </w:rPr>
        <w:t>Article 1 du Protocole n</w:t>
      </w:r>
      <w:r w:rsidRPr="00432BEA" w:rsidR="007D22EB">
        <w:rPr>
          <w:vertAlign w:val="superscript"/>
          <w:lang w:val="fr-FR"/>
        </w:rPr>
        <w:t>o</w:t>
      </w:r>
      <w:r w:rsidRPr="00432BEA">
        <w:rPr>
          <w:lang w:val="fr-FR"/>
        </w:rPr>
        <w:t xml:space="preserve"> 1</w:t>
      </w:r>
    </w:p>
    <w:p w:rsidRPr="00432BEA" w:rsidR="0048467D" w:rsidP="00432BEA" w:rsidRDefault="0048467D">
      <w:pPr>
        <w:pStyle w:val="ECHRParaQuote"/>
        <w:rPr>
          <w:lang w:val="fr-FR"/>
        </w:rPr>
      </w:pPr>
      <w:r w:rsidRPr="00432BEA">
        <w:rPr>
          <w:lang w:val="fr-FR"/>
        </w:rPr>
        <w:t>« Toute personne physique ou morale a droit au respect de ses biens. Nul ne peut être privé de sa propriété que pour cause d</w:t>
      </w:r>
      <w:r w:rsidRPr="00432BEA" w:rsidR="00432BEA">
        <w:rPr>
          <w:lang w:val="fr-FR"/>
        </w:rPr>
        <w:t>’</w:t>
      </w:r>
      <w:r w:rsidRPr="00432BEA">
        <w:rPr>
          <w:lang w:val="fr-FR"/>
        </w:rPr>
        <w:t>utilité publique et dans les conditions prévues par la loi et les principes généraux du droit international.</w:t>
      </w:r>
    </w:p>
    <w:p w:rsidRPr="00432BEA" w:rsidR="0048467D" w:rsidP="00432BEA" w:rsidRDefault="0048467D">
      <w:pPr>
        <w:pStyle w:val="ECHRParaQuote"/>
        <w:rPr>
          <w:lang w:val="fr-FR"/>
        </w:rPr>
      </w:pPr>
      <w:r w:rsidRPr="00432BEA">
        <w:rPr>
          <w:lang w:val="fr-FR"/>
        </w:rPr>
        <w:t xml:space="preserve">Les dispositions précédentes ne portent pas atteinte au droit que possèdent les </w:t>
      </w:r>
      <w:r w:rsidRPr="00432BEA" w:rsidR="006D7F45">
        <w:rPr>
          <w:lang w:val="fr-FR"/>
        </w:rPr>
        <w:t>É</w:t>
      </w:r>
      <w:r w:rsidRPr="00432BEA">
        <w:rPr>
          <w:lang w:val="fr-FR"/>
        </w:rPr>
        <w:t>tats de mettre en vigueur les lois qu</w:t>
      </w:r>
      <w:r w:rsidRPr="00432BEA" w:rsidR="00432BEA">
        <w:rPr>
          <w:lang w:val="fr-FR"/>
        </w:rPr>
        <w:t>’</w:t>
      </w:r>
      <w:r w:rsidRPr="00432BEA">
        <w:rPr>
          <w:lang w:val="fr-FR"/>
        </w:rPr>
        <w:t>ils jugent nécessaires pour réglementer l</w:t>
      </w:r>
      <w:r w:rsidRPr="00432BEA" w:rsidR="00432BEA">
        <w:rPr>
          <w:lang w:val="fr-FR"/>
        </w:rPr>
        <w:t>’</w:t>
      </w:r>
      <w:r w:rsidRPr="00432BEA">
        <w:rPr>
          <w:lang w:val="fr-FR"/>
        </w:rPr>
        <w:t>usage des biens conformément à l</w:t>
      </w:r>
      <w:r w:rsidRPr="00432BEA" w:rsidR="00432BEA">
        <w:rPr>
          <w:lang w:val="fr-FR"/>
        </w:rPr>
        <w:t>’</w:t>
      </w:r>
      <w:r w:rsidRPr="00432BEA">
        <w:rPr>
          <w:lang w:val="fr-FR"/>
        </w:rPr>
        <w:t>intérêt général ou pour assurer le paiement des impôts ou d</w:t>
      </w:r>
      <w:r w:rsidRPr="00432BEA" w:rsidR="00432BEA">
        <w:rPr>
          <w:lang w:val="fr-FR"/>
        </w:rPr>
        <w:t>’</w:t>
      </w:r>
      <w:r w:rsidRPr="00432BEA">
        <w:rPr>
          <w:lang w:val="fr-FR"/>
        </w:rPr>
        <w:t>autres contributions ou des amendes. »</w:t>
      </w:r>
    </w:p>
    <w:p w:rsidRPr="00432BEA" w:rsidR="003042C4" w:rsidP="00432BEA" w:rsidRDefault="006D7F45">
      <w:pPr>
        <w:pStyle w:val="ECHRHeading2"/>
        <w:rPr>
          <w:lang w:val="fr-FR"/>
        </w:rPr>
      </w:pPr>
      <w:r w:rsidRPr="00432BEA">
        <w:rPr>
          <w:lang w:val="fr-FR"/>
        </w:rPr>
        <w:t>A.  </w:t>
      </w:r>
      <w:r w:rsidRPr="00432BEA" w:rsidR="006854BD">
        <w:rPr>
          <w:lang w:val="fr-FR"/>
        </w:rPr>
        <w:t>Thèses</w:t>
      </w:r>
      <w:r w:rsidRPr="00432BEA" w:rsidR="000A491C">
        <w:rPr>
          <w:lang w:val="fr-FR"/>
        </w:rPr>
        <w:t xml:space="preserve"> des</w:t>
      </w:r>
      <w:r w:rsidRPr="00432BEA" w:rsidR="006854BD">
        <w:rPr>
          <w:lang w:val="fr-FR"/>
        </w:rPr>
        <w:t xml:space="preserve"> parties</w:t>
      </w:r>
    </w:p>
    <w:p w:rsidRPr="00432BEA" w:rsidR="007D22EB" w:rsidP="00432BEA" w:rsidRDefault="006D7F45">
      <w:pPr>
        <w:pStyle w:val="ECHRHeading3"/>
        <w:rPr>
          <w:lang w:val="fr-FR"/>
        </w:rPr>
      </w:pPr>
      <w:r w:rsidRPr="00432BEA">
        <w:rPr>
          <w:lang w:val="fr-FR"/>
        </w:rPr>
        <w:t>1.  </w:t>
      </w:r>
      <w:r w:rsidRPr="00432BEA" w:rsidR="006854BD">
        <w:rPr>
          <w:lang w:val="fr-FR"/>
        </w:rPr>
        <w:t>Sur la recevabilité</w:t>
      </w:r>
    </w:p>
    <w:p w:rsidRPr="00432BEA" w:rsidR="003042C4" w:rsidP="00432BEA" w:rsidRDefault="006854BD">
      <w:pPr>
        <w:pStyle w:val="ECHRHeading4"/>
        <w:rPr>
          <w:lang w:val="fr-FR"/>
        </w:rPr>
      </w:pPr>
      <w:r w:rsidRPr="00432BEA">
        <w:rPr>
          <w:lang w:val="fr-FR"/>
        </w:rPr>
        <w:t>a)</w:t>
      </w:r>
      <w:r w:rsidRPr="00432BEA" w:rsidR="00B5594D">
        <w:rPr>
          <w:lang w:val="fr-FR"/>
        </w:rPr>
        <w:t>  </w:t>
      </w:r>
      <w:r w:rsidRPr="00432BEA" w:rsidR="00264283">
        <w:rPr>
          <w:lang w:val="fr-FR"/>
        </w:rPr>
        <w:t>Le Gouvernement</w:t>
      </w:r>
    </w:p>
    <w:p w:rsidRPr="00432BEA" w:rsidR="007D22EB" w:rsidP="00432BEA" w:rsidRDefault="00F6047D">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91</w:t>
      </w:r>
      <w:r w:rsidRPr="00432BEA">
        <w:rPr>
          <w:lang w:val="fr-FR"/>
        </w:rPr>
        <w:fldChar w:fldCharType="end"/>
      </w:r>
      <w:r w:rsidRPr="00432BEA">
        <w:rPr>
          <w:lang w:val="fr-FR"/>
        </w:rPr>
        <w:t>.  </w:t>
      </w:r>
      <w:r w:rsidRPr="00432BEA" w:rsidR="00347992">
        <w:rPr>
          <w:lang w:val="fr-FR"/>
        </w:rPr>
        <w:t>S</w:t>
      </w:r>
      <w:r w:rsidRPr="00432BEA" w:rsidR="00432BEA">
        <w:rPr>
          <w:lang w:val="fr-FR"/>
        </w:rPr>
        <w:t>’</w:t>
      </w:r>
      <w:r w:rsidRPr="00432BEA" w:rsidR="00347992">
        <w:rPr>
          <w:lang w:val="fr-FR"/>
        </w:rPr>
        <w:t>agissant des requ</w:t>
      </w:r>
      <w:r w:rsidRPr="00432BEA" w:rsidR="00195D0E">
        <w:rPr>
          <w:lang w:val="fr-FR"/>
        </w:rPr>
        <w:t>êtes mentionnées au paragraphe</w:t>
      </w:r>
      <w:r w:rsidRPr="00432BEA" w:rsidR="00347992">
        <w:rPr>
          <w:lang w:val="fr-FR"/>
        </w:rPr>
        <w:t xml:space="preserve"> 27 ci-dessus, le Gouvernement s</w:t>
      </w:r>
      <w:r w:rsidRPr="00432BEA" w:rsidR="00432BEA">
        <w:rPr>
          <w:lang w:val="fr-FR"/>
        </w:rPr>
        <w:t>’</w:t>
      </w:r>
      <w:r w:rsidRPr="00432BEA" w:rsidR="00347992">
        <w:rPr>
          <w:lang w:val="fr-FR"/>
        </w:rPr>
        <w:t>en remet à la sagesse de la Cour pour ce qui est de l</w:t>
      </w:r>
      <w:r w:rsidRPr="00432BEA" w:rsidR="00432BEA">
        <w:rPr>
          <w:lang w:val="fr-FR"/>
        </w:rPr>
        <w:t>’</w:t>
      </w:r>
      <w:r w:rsidRPr="00432BEA" w:rsidR="00347992">
        <w:rPr>
          <w:lang w:val="fr-FR"/>
        </w:rPr>
        <w:t>épuisement des voies de recours internes du grief tiré de l</w:t>
      </w:r>
      <w:r w:rsidRPr="00432BEA" w:rsidR="00432BEA">
        <w:rPr>
          <w:lang w:val="fr-FR"/>
        </w:rPr>
        <w:t>’</w:t>
      </w:r>
      <w:r w:rsidRPr="00432BEA" w:rsidR="006D7F45">
        <w:rPr>
          <w:lang w:val="fr-FR"/>
        </w:rPr>
        <w:t>article </w:t>
      </w:r>
      <w:r w:rsidRPr="00432BEA" w:rsidR="00347992">
        <w:rPr>
          <w:lang w:val="fr-FR"/>
        </w:rPr>
        <w:t>14 de la Convention combiné avec l</w:t>
      </w:r>
      <w:r w:rsidRPr="00432BEA" w:rsidR="00432BEA">
        <w:rPr>
          <w:lang w:val="fr-FR"/>
        </w:rPr>
        <w:t>’</w:t>
      </w:r>
      <w:r w:rsidRPr="00432BEA" w:rsidR="00347992">
        <w:rPr>
          <w:lang w:val="fr-FR"/>
        </w:rPr>
        <w:t>article 1 du Protocole n</w:t>
      </w:r>
      <w:r w:rsidRPr="00432BEA" w:rsidR="007D22EB">
        <w:rPr>
          <w:vertAlign w:val="superscript"/>
          <w:lang w:val="fr-FR"/>
        </w:rPr>
        <w:t>o</w:t>
      </w:r>
      <w:r w:rsidRPr="00432BEA" w:rsidR="00347992">
        <w:rPr>
          <w:lang w:val="fr-FR"/>
        </w:rPr>
        <w:t xml:space="preserve"> 1. En outre, pour le restant des requêtes, à l</w:t>
      </w:r>
      <w:r w:rsidRPr="00432BEA" w:rsidR="00432BEA">
        <w:rPr>
          <w:lang w:val="fr-FR"/>
        </w:rPr>
        <w:t>’</w:t>
      </w:r>
      <w:r w:rsidRPr="00432BEA" w:rsidR="00347992">
        <w:rPr>
          <w:lang w:val="fr-FR"/>
        </w:rPr>
        <w:t>exception de la requête n</w:t>
      </w:r>
      <w:r w:rsidRPr="00432BEA" w:rsidR="007D22EB">
        <w:rPr>
          <w:vertAlign w:val="superscript"/>
          <w:lang w:val="fr-FR"/>
        </w:rPr>
        <w:t>o</w:t>
      </w:r>
      <w:r w:rsidRPr="00432BEA" w:rsidR="00347992">
        <w:rPr>
          <w:lang w:val="fr-FR"/>
        </w:rPr>
        <w:t xml:space="preserve"> 30287/14</w:t>
      </w:r>
      <w:r w:rsidRPr="00432BEA" w:rsidR="00D80B0C">
        <w:rPr>
          <w:lang w:val="fr-FR"/>
        </w:rPr>
        <w:t xml:space="preserve"> (paragraphe 29 ci-dessus)</w:t>
      </w:r>
      <w:r w:rsidRPr="00432BEA" w:rsidR="00347992">
        <w:rPr>
          <w:lang w:val="fr-FR"/>
        </w:rPr>
        <w:t xml:space="preserve"> et des requêtes déclarées irrecevables au</w:t>
      </w:r>
      <w:r w:rsidRPr="00432BEA" w:rsidR="007D22EB">
        <w:rPr>
          <w:lang w:val="fr-FR"/>
        </w:rPr>
        <w:t xml:space="preserve"> </w:t>
      </w:r>
      <w:r w:rsidRPr="00432BEA" w:rsidR="00347992">
        <w:rPr>
          <w:lang w:val="fr-FR"/>
        </w:rPr>
        <w:t xml:space="preserve">paragraphe </w:t>
      </w:r>
      <w:r w:rsidRPr="00432BEA" w:rsidR="00D80B0C">
        <w:rPr>
          <w:lang w:val="fr-FR"/>
        </w:rPr>
        <w:t>5</w:t>
      </w:r>
      <w:r w:rsidRPr="00432BEA" w:rsidR="00286465">
        <w:rPr>
          <w:lang w:val="fr-FR"/>
        </w:rPr>
        <w:t>1</w:t>
      </w:r>
      <w:r w:rsidRPr="00432BEA" w:rsidR="00D80B0C">
        <w:rPr>
          <w:lang w:val="fr-FR"/>
        </w:rPr>
        <w:t xml:space="preserve"> </w:t>
      </w:r>
      <w:r w:rsidRPr="00432BEA" w:rsidR="00347992">
        <w:rPr>
          <w:lang w:val="fr-FR"/>
        </w:rPr>
        <w:t>ci-dessus, le Gouvernement soutient que le grief n</w:t>
      </w:r>
      <w:r w:rsidRPr="00432BEA" w:rsidR="00432BEA">
        <w:rPr>
          <w:lang w:val="fr-FR"/>
        </w:rPr>
        <w:t>’</w:t>
      </w:r>
      <w:r w:rsidRPr="00432BEA" w:rsidR="00347992">
        <w:rPr>
          <w:lang w:val="fr-FR"/>
        </w:rPr>
        <w:t>a pas été invoqué par les requérants devant la Cour de cassation.</w:t>
      </w:r>
      <w:r w:rsidRPr="00432BEA" w:rsidR="00DD0531">
        <w:rPr>
          <w:lang w:val="fr-FR"/>
        </w:rPr>
        <w:t xml:space="preserve"> En conséquence, il demand</w:t>
      </w:r>
      <w:r w:rsidRPr="00432BEA" w:rsidR="006D7F45">
        <w:rPr>
          <w:lang w:val="fr-FR"/>
        </w:rPr>
        <w:t>e le rejet de celui-ci pour non-</w:t>
      </w:r>
      <w:r w:rsidRPr="00432BEA" w:rsidR="00DD0531">
        <w:rPr>
          <w:lang w:val="fr-FR"/>
        </w:rPr>
        <w:t>épuisement des voies de recours internes.</w:t>
      </w:r>
    </w:p>
    <w:p w:rsidRPr="00432BEA" w:rsidR="007D22EB" w:rsidP="00432BEA" w:rsidRDefault="00DD0531">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92</w:t>
      </w:r>
      <w:r w:rsidRPr="00432BEA">
        <w:rPr>
          <w:lang w:val="fr-FR"/>
        </w:rPr>
        <w:fldChar w:fldCharType="end"/>
      </w:r>
      <w:r w:rsidRPr="00432BEA">
        <w:rPr>
          <w:lang w:val="fr-FR"/>
        </w:rPr>
        <w:t>.  </w:t>
      </w:r>
      <w:r w:rsidRPr="00432BEA" w:rsidR="0006089E">
        <w:rPr>
          <w:lang w:val="fr-FR"/>
        </w:rPr>
        <w:t>L</w:t>
      </w:r>
      <w:r w:rsidRPr="00432BEA" w:rsidR="0043595C">
        <w:rPr>
          <w:lang w:val="fr-FR"/>
        </w:rPr>
        <w:t>e Gouvernement soutient</w:t>
      </w:r>
      <w:r w:rsidRPr="00432BEA" w:rsidR="0006089E">
        <w:rPr>
          <w:lang w:val="fr-FR"/>
        </w:rPr>
        <w:t xml:space="preserve"> également</w:t>
      </w:r>
      <w:r w:rsidRPr="00432BEA" w:rsidR="0043595C">
        <w:rPr>
          <w:lang w:val="fr-FR"/>
        </w:rPr>
        <w:t xml:space="preserve"> que l</w:t>
      </w:r>
      <w:r w:rsidRPr="00432BEA" w:rsidR="00432BEA">
        <w:rPr>
          <w:lang w:val="fr-FR"/>
        </w:rPr>
        <w:t>’</w:t>
      </w:r>
      <w:r w:rsidRPr="00432BEA" w:rsidR="0043595C">
        <w:rPr>
          <w:lang w:val="fr-FR"/>
        </w:rPr>
        <w:t>article 14 de la Convention n</w:t>
      </w:r>
      <w:r w:rsidRPr="00432BEA" w:rsidR="00432BEA">
        <w:rPr>
          <w:lang w:val="fr-FR"/>
        </w:rPr>
        <w:t>’</w:t>
      </w:r>
      <w:r w:rsidRPr="00432BEA" w:rsidR="0043595C">
        <w:rPr>
          <w:lang w:val="fr-FR"/>
        </w:rPr>
        <w:t>est pas applicable car les faits de l</w:t>
      </w:r>
      <w:r w:rsidRPr="00432BEA" w:rsidR="00432BEA">
        <w:rPr>
          <w:lang w:val="fr-FR"/>
        </w:rPr>
        <w:t>’</w:t>
      </w:r>
      <w:r w:rsidRPr="00432BEA" w:rsidR="0043595C">
        <w:rPr>
          <w:lang w:val="fr-FR"/>
        </w:rPr>
        <w:t>espèce ne tombent pas sous l</w:t>
      </w:r>
      <w:r w:rsidRPr="00432BEA" w:rsidR="00432BEA">
        <w:rPr>
          <w:lang w:val="fr-FR"/>
        </w:rPr>
        <w:t>’</w:t>
      </w:r>
      <w:r w:rsidRPr="00432BEA" w:rsidR="0043595C">
        <w:rPr>
          <w:lang w:val="fr-FR"/>
        </w:rPr>
        <w:t>empire de l</w:t>
      </w:r>
      <w:r w:rsidRPr="00432BEA" w:rsidR="00432BEA">
        <w:rPr>
          <w:lang w:val="fr-FR"/>
        </w:rPr>
        <w:t>’</w:t>
      </w:r>
      <w:r w:rsidRPr="00432BEA" w:rsidR="0043595C">
        <w:rPr>
          <w:lang w:val="fr-FR"/>
        </w:rPr>
        <w:t>article 1 du Protocole n</w:t>
      </w:r>
      <w:r w:rsidRPr="00432BEA" w:rsidR="007D22EB">
        <w:rPr>
          <w:vertAlign w:val="superscript"/>
          <w:lang w:val="fr-FR"/>
        </w:rPr>
        <w:t>o</w:t>
      </w:r>
      <w:r w:rsidRPr="00432BEA" w:rsidR="0043595C">
        <w:rPr>
          <w:lang w:val="fr-FR"/>
        </w:rPr>
        <w:t xml:space="preserve"> 1, les requérants ne disposant pas d</w:t>
      </w:r>
      <w:r w:rsidRPr="00432BEA" w:rsidR="00432BEA">
        <w:rPr>
          <w:lang w:val="fr-FR"/>
        </w:rPr>
        <w:t>’</w:t>
      </w:r>
      <w:r w:rsidRPr="00432BEA" w:rsidR="0043595C">
        <w:rPr>
          <w:lang w:val="fr-FR"/>
        </w:rPr>
        <w:t>un « bien » au sens de cette disposition. Il indique que les requérants ne disposaient d</w:t>
      </w:r>
      <w:r w:rsidRPr="00432BEA" w:rsidR="00432BEA">
        <w:rPr>
          <w:lang w:val="fr-FR"/>
        </w:rPr>
        <w:t>’</w:t>
      </w:r>
      <w:r w:rsidRPr="00432BEA" w:rsidR="0043595C">
        <w:rPr>
          <w:lang w:val="fr-FR"/>
        </w:rPr>
        <w:t>aucun droit au bénéfice de l</w:t>
      </w:r>
      <w:r w:rsidRPr="00432BEA" w:rsidR="00432BEA">
        <w:rPr>
          <w:lang w:val="fr-FR"/>
        </w:rPr>
        <w:t>’</w:t>
      </w:r>
      <w:r w:rsidRPr="00432BEA" w:rsidR="0043595C">
        <w:rPr>
          <w:lang w:val="fr-FR"/>
        </w:rPr>
        <w:t xml:space="preserve">exonération litigieuse ni </w:t>
      </w:r>
      <w:r w:rsidRPr="00432BEA" w:rsidR="0006089E">
        <w:rPr>
          <w:lang w:val="fr-FR"/>
        </w:rPr>
        <w:t>d</w:t>
      </w:r>
      <w:r w:rsidRPr="00432BEA" w:rsidR="00432BEA">
        <w:rPr>
          <w:lang w:val="fr-FR"/>
        </w:rPr>
        <w:t>’</w:t>
      </w:r>
      <w:r w:rsidRPr="00432BEA" w:rsidR="0043595C">
        <w:rPr>
          <w:lang w:val="fr-FR"/>
        </w:rPr>
        <w:t xml:space="preserve">aucune </w:t>
      </w:r>
      <w:r w:rsidRPr="00432BEA" w:rsidR="0006089E">
        <w:rPr>
          <w:lang w:val="fr-FR"/>
        </w:rPr>
        <w:t>« </w:t>
      </w:r>
      <w:r w:rsidRPr="00432BEA" w:rsidR="0043595C">
        <w:rPr>
          <w:lang w:val="fr-FR"/>
        </w:rPr>
        <w:t>espérance légitime</w:t>
      </w:r>
      <w:r w:rsidRPr="00432BEA" w:rsidR="0006089E">
        <w:rPr>
          <w:lang w:val="fr-FR"/>
        </w:rPr>
        <w:t> »</w:t>
      </w:r>
      <w:r w:rsidRPr="00432BEA" w:rsidR="0043595C">
        <w:rPr>
          <w:lang w:val="fr-FR"/>
        </w:rPr>
        <w:t>. D</w:t>
      </w:r>
      <w:r w:rsidRPr="00432BEA" w:rsidR="00432BEA">
        <w:rPr>
          <w:lang w:val="fr-FR"/>
        </w:rPr>
        <w:t>’</w:t>
      </w:r>
      <w:r w:rsidRPr="00432BEA" w:rsidR="0043595C">
        <w:rPr>
          <w:lang w:val="fr-FR"/>
        </w:rPr>
        <w:t>une part, les dispositions en vigueur lors de la saisine des tribunaux étaient suffisamment claires en ce qui concerne les personnes concernées par le dispositif d</w:t>
      </w:r>
      <w:r w:rsidRPr="00432BEA" w:rsidR="00432BEA">
        <w:rPr>
          <w:lang w:val="fr-FR"/>
        </w:rPr>
        <w:t>’</w:t>
      </w:r>
      <w:r w:rsidRPr="00432BEA" w:rsidR="0043595C">
        <w:rPr>
          <w:lang w:val="fr-FR"/>
        </w:rPr>
        <w:t>exonération</w:t>
      </w:r>
      <w:r w:rsidRPr="00432BEA" w:rsidR="007B0890">
        <w:rPr>
          <w:lang w:val="fr-FR"/>
        </w:rPr>
        <w:t>. D</w:t>
      </w:r>
      <w:r w:rsidRPr="00432BEA" w:rsidR="00432BEA">
        <w:rPr>
          <w:lang w:val="fr-FR"/>
        </w:rPr>
        <w:t>’</w:t>
      </w:r>
      <w:r w:rsidRPr="00432BEA" w:rsidR="007B0890">
        <w:rPr>
          <w:lang w:val="fr-FR"/>
        </w:rPr>
        <w:t>autre part, les requérants, pour la plupart, avaient été déboutés de leurs demandes par les ju</w:t>
      </w:r>
      <w:r w:rsidRPr="00432BEA" w:rsidR="00D80B0C">
        <w:rPr>
          <w:lang w:val="fr-FR"/>
        </w:rPr>
        <w:t>ges du fond.</w:t>
      </w:r>
    </w:p>
    <w:p w:rsidRPr="00432BEA" w:rsidR="007D22EB" w:rsidP="00432BEA" w:rsidRDefault="00B5594D">
      <w:pPr>
        <w:pStyle w:val="ECHRHeading4"/>
        <w:rPr>
          <w:lang w:val="fr-FR"/>
        </w:rPr>
      </w:pPr>
      <w:r w:rsidRPr="00432BEA">
        <w:rPr>
          <w:lang w:val="fr-FR"/>
        </w:rPr>
        <w:t>b)  </w:t>
      </w:r>
      <w:r w:rsidRPr="00432BEA" w:rsidR="00264283">
        <w:rPr>
          <w:lang w:val="fr-FR"/>
        </w:rPr>
        <w:t>Les requérants</w:t>
      </w:r>
    </w:p>
    <w:p w:rsidRPr="00432BEA" w:rsidR="00E26CD7" w:rsidP="00432BEA" w:rsidRDefault="00E26CD7">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93</w:t>
      </w:r>
      <w:r w:rsidRPr="00432BEA">
        <w:rPr>
          <w:lang w:val="fr-FR"/>
        </w:rPr>
        <w:fldChar w:fldCharType="end"/>
      </w:r>
      <w:r w:rsidRPr="00432BEA">
        <w:rPr>
          <w:lang w:val="fr-FR"/>
        </w:rPr>
        <w:t>.  </w:t>
      </w:r>
      <w:r w:rsidRPr="00432BEA" w:rsidR="00EE4546">
        <w:rPr>
          <w:lang w:val="fr-FR"/>
        </w:rPr>
        <w:t>Les requérants soutiennent qu</w:t>
      </w:r>
      <w:r w:rsidRPr="00432BEA" w:rsidR="00432BEA">
        <w:rPr>
          <w:lang w:val="fr-FR"/>
        </w:rPr>
        <w:t>’</w:t>
      </w:r>
      <w:r w:rsidRPr="00432BEA" w:rsidR="00EE4546">
        <w:rPr>
          <w:lang w:val="fr-FR"/>
        </w:rPr>
        <w:t>il</w:t>
      </w:r>
      <w:r w:rsidRPr="00432BEA" w:rsidR="00EC60E2">
        <w:rPr>
          <w:lang w:val="fr-FR"/>
        </w:rPr>
        <w:t xml:space="preserve"> aurai</w:t>
      </w:r>
      <w:r w:rsidRPr="00432BEA" w:rsidR="00EE4546">
        <w:rPr>
          <w:lang w:val="fr-FR"/>
        </w:rPr>
        <w:t>t été vain de soulever le grief devant la Cour de cassation dès lors que le Conseil constitutionnel s</w:t>
      </w:r>
      <w:r w:rsidRPr="00432BEA" w:rsidR="00432BEA">
        <w:rPr>
          <w:lang w:val="fr-FR"/>
        </w:rPr>
        <w:t>’</w:t>
      </w:r>
      <w:r w:rsidRPr="00432BEA" w:rsidR="00EE4546">
        <w:rPr>
          <w:lang w:val="fr-FR"/>
        </w:rPr>
        <w:t>était déjà prononcé sur le principe d</w:t>
      </w:r>
      <w:r w:rsidRPr="00432BEA" w:rsidR="00432BEA">
        <w:rPr>
          <w:lang w:val="fr-FR"/>
        </w:rPr>
        <w:t>’</w:t>
      </w:r>
      <w:r w:rsidRPr="00432BEA" w:rsidR="00EE4546">
        <w:rPr>
          <w:lang w:val="fr-FR"/>
        </w:rPr>
        <w:t>égalité</w:t>
      </w:r>
      <w:r w:rsidRPr="00432BEA" w:rsidR="00427D3A">
        <w:rPr>
          <w:lang w:val="fr-FR"/>
        </w:rPr>
        <w:t xml:space="preserve"> de traitement concernant l</w:t>
      </w:r>
      <w:r w:rsidRPr="00432BEA" w:rsidR="00432BEA">
        <w:rPr>
          <w:lang w:val="fr-FR"/>
        </w:rPr>
        <w:t>’</w:t>
      </w:r>
      <w:r w:rsidRPr="00432BEA" w:rsidR="00427D3A">
        <w:rPr>
          <w:lang w:val="fr-FR"/>
        </w:rPr>
        <w:t>exonération des cotisations concernées.</w:t>
      </w:r>
      <w:r w:rsidRPr="00432BEA" w:rsidR="00EC60E2">
        <w:rPr>
          <w:lang w:val="fr-FR"/>
        </w:rPr>
        <w:t xml:space="preserve"> </w:t>
      </w:r>
      <w:r w:rsidRPr="00432BEA" w:rsidR="007B6625">
        <w:rPr>
          <w:lang w:val="fr-FR"/>
        </w:rPr>
        <w:t>Dans la requête n</w:t>
      </w:r>
      <w:r w:rsidRPr="00432BEA" w:rsidR="007D22EB">
        <w:rPr>
          <w:vertAlign w:val="superscript"/>
          <w:lang w:val="fr-FR"/>
        </w:rPr>
        <w:t>o</w:t>
      </w:r>
      <w:r w:rsidRPr="00432BEA" w:rsidR="007B6625">
        <w:rPr>
          <w:lang w:val="fr-FR"/>
        </w:rPr>
        <w:t xml:space="preserve"> 18096/12, le requérant</w:t>
      </w:r>
      <w:r w:rsidRPr="00432BEA" w:rsidR="00EC60E2">
        <w:rPr>
          <w:lang w:val="fr-FR"/>
        </w:rPr>
        <w:t xml:space="preserve"> souligne que la loi est intervenue en cours d</w:t>
      </w:r>
      <w:r w:rsidRPr="00432BEA" w:rsidR="00432BEA">
        <w:rPr>
          <w:lang w:val="fr-FR"/>
        </w:rPr>
        <w:t>’</w:t>
      </w:r>
      <w:r w:rsidRPr="00432BEA" w:rsidR="00EC60E2">
        <w:rPr>
          <w:lang w:val="fr-FR"/>
        </w:rPr>
        <w:t>instance devant la Cour de cassation, qu</w:t>
      </w:r>
      <w:r w:rsidRPr="00432BEA" w:rsidR="00432BEA">
        <w:rPr>
          <w:lang w:val="fr-FR"/>
        </w:rPr>
        <w:t>’</w:t>
      </w:r>
      <w:r w:rsidRPr="00432BEA" w:rsidR="00EC60E2">
        <w:rPr>
          <w:lang w:val="fr-FR"/>
        </w:rPr>
        <w:t>il a soulevé l</w:t>
      </w:r>
      <w:r w:rsidRPr="00432BEA" w:rsidR="00432BEA">
        <w:rPr>
          <w:lang w:val="fr-FR"/>
        </w:rPr>
        <w:t>’</w:t>
      </w:r>
      <w:r w:rsidRPr="00432BEA" w:rsidR="00EC60E2">
        <w:rPr>
          <w:lang w:val="fr-FR"/>
        </w:rPr>
        <w:t>article 6 de la Convention, sans qu</w:t>
      </w:r>
      <w:r w:rsidRPr="00432BEA" w:rsidR="00432BEA">
        <w:rPr>
          <w:lang w:val="fr-FR"/>
        </w:rPr>
        <w:t>’</w:t>
      </w:r>
      <w:r w:rsidRPr="00432BEA" w:rsidR="00EC60E2">
        <w:rPr>
          <w:lang w:val="fr-FR"/>
        </w:rPr>
        <w:t>il n</w:t>
      </w:r>
      <w:r w:rsidRPr="00432BEA" w:rsidR="00432BEA">
        <w:rPr>
          <w:lang w:val="fr-FR"/>
        </w:rPr>
        <w:t>’</w:t>
      </w:r>
      <w:r w:rsidRPr="00432BEA" w:rsidR="00EC60E2">
        <w:rPr>
          <w:lang w:val="fr-FR"/>
        </w:rPr>
        <w:t>obtienne de motivation sur ce point, et qu</w:t>
      </w:r>
      <w:r w:rsidRPr="00432BEA" w:rsidR="00432BEA">
        <w:rPr>
          <w:lang w:val="fr-FR"/>
        </w:rPr>
        <w:t>’</w:t>
      </w:r>
      <w:r w:rsidRPr="00432BEA" w:rsidR="00EC60E2">
        <w:rPr>
          <w:lang w:val="fr-FR"/>
        </w:rPr>
        <w:t>il n</w:t>
      </w:r>
      <w:r w:rsidRPr="00432BEA" w:rsidR="00432BEA">
        <w:rPr>
          <w:lang w:val="fr-FR"/>
        </w:rPr>
        <w:t>’</w:t>
      </w:r>
      <w:r w:rsidRPr="00432BEA" w:rsidR="00EC60E2">
        <w:rPr>
          <w:lang w:val="fr-FR"/>
        </w:rPr>
        <w:t xml:space="preserve">avait pas le temps </w:t>
      </w:r>
      <w:r w:rsidRPr="00432BEA" w:rsidR="006B7BE7">
        <w:rPr>
          <w:lang w:val="fr-FR"/>
        </w:rPr>
        <w:t>de penser à soulever un autre fondement juridique.</w:t>
      </w:r>
    </w:p>
    <w:p w:rsidRPr="00432BEA" w:rsidR="00347992" w:rsidP="00432BEA" w:rsidRDefault="00427D3A">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94</w:t>
      </w:r>
      <w:r w:rsidRPr="00432BEA">
        <w:rPr>
          <w:lang w:val="fr-FR"/>
        </w:rPr>
        <w:fldChar w:fldCharType="end"/>
      </w:r>
      <w:r w:rsidRPr="00432BEA">
        <w:rPr>
          <w:lang w:val="fr-FR"/>
        </w:rPr>
        <w:t>.  </w:t>
      </w:r>
      <w:r w:rsidRPr="00432BEA" w:rsidR="006B7BE7">
        <w:rPr>
          <w:lang w:val="fr-FR"/>
        </w:rPr>
        <w:t>Les requérants considèrent qu</w:t>
      </w:r>
      <w:r w:rsidRPr="00432BEA" w:rsidR="00432BEA">
        <w:rPr>
          <w:lang w:val="fr-FR"/>
        </w:rPr>
        <w:t>’</w:t>
      </w:r>
      <w:r w:rsidRPr="00432BEA" w:rsidR="006B7BE7">
        <w:rPr>
          <w:lang w:val="fr-FR"/>
        </w:rPr>
        <w:t>ils avaient une créance suffisamment établie en droit interne pour être considérée comme une valeur patrimoniale au sens de l</w:t>
      </w:r>
      <w:r w:rsidRPr="00432BEA" w:rsidR="00432BEA">
        <w:rPr>
          <w:lang w:val="fr-FR"/>
        </w:rPr>
        <w:t>’</w:t>
      </w:r>
      <w:r w:rsidRPr="00432BEA" w:rsidR="006B7BE7">
        <w:rPr>
          <w:lang w:val="fr-FR"/>
        </w:rPr>
        <w:t xml:space="preserve">article </w:t>
      </w:r>
      <w:r w:rsidRPr="00432BEA" w:rsidR="00D80B0C">
        <w:rPr>
          <w:lang w:val="fr-FR"/>
        </w:rPr>
        <w:t>1 du Protocole n</w:t>
      </w:r>
      <w:r w:rsidRPr="00432BEA" w:rsidR="007D22EB">
        <w:rPr>
          <w:vertAlign w:val="superscript"/>
          <w:lang w:val="fr-FR"/>
        </w:rPr>
        <w:t>o</w:t>
      </w:r>
      <w:r w:rsidRPr="00432BEA" w:rsidR="00D80B0C">
        <w:rPr>
          <w:lang w:val="fr-FR"/>
        </w:rPr>
        <w:t xml:space="preserve"> 1. Il</w:t>
      </w:r>
      <w:r w:rsidRPr="00432BEA" w:rsidR="006D7F45">
        <w:rPr>
          <w:lang w:val="fr-FR"/>
        </w:rPr>
        <w:t>s</w:t>
      </w:r>
      <w:r w:rsidRPr="00432BEA" w:rsidR="00E64431">
        <w:rPr>
          <w:lang w:val="fr-FR"/>
        </w:rPr>
        <w:t xml:space="preserve"> se réfè</w:t>
      </w:r>
      <w:r w:rsidRPr="00432BEA" w:rsidR="00D80B0C">
        <w:rPr>
          <w:lang w:val="fr-FR"/>
        </w:rPr>
        <w:t>rent</w:t>
      </w:r>
      <w:r w:rsidRPr="00432BEA" w:rsidR="00CB7BA9">
        <w:rPr>
          <w:lang w:val="fr-FR"/>
        </w:rPr>
        <w:t xml:space="preserve"> </w:t>
      </w:r>
      <w:r w:rsidRPr="00432BEA" w:rsidR="006B7BE7">
        <w:rPr>
          <w:lang w:val="fr-FR"/>
        </w:rPr>
        <w:t xml:space="preserve">à </w:t>
      </w:r>
      <w:r w:rsidRPr="00432BEA" w:rsidR="00583139">
        <w:rPr>
          <w:lang w:val="fr-FR"/>
        </w:rPr>
        <w:t>leur</w:t>
      </w:r>
      <w:r w:rsidRPr="00432BEA" w:rsidR="0006089E">
        <w:rPr>
          <w:lang w:val="fr-FR"/>
        </w:rPr>
        <w:t xml:space="preserve"> argumentation précédente </w:t>
      </w:r>
      <w:r w:rsidRPr="00432BEA" w:rsidR="006B7BE7">
        <w:rPr>
          <w:lang w:val="fr-FR"/>
        </w:rPr>
        <w:t>(paragraphe</w:t>
      </w:r>
      <w:r w:rsidRPr="00432BEA" w:rsidR="00286465">
        <w:rPr>
          <w:lang w:val="fr-FR"/>
        </w:rPr>
        <w:t xml:space="preserve"> 60</w:t>
      </w:r>
      <w:r w:rsidRPr="00432BEA" w:rsidR="006B7BE7">
        <w:rPr>
          <w:lang w:val="fr-FR"/>
        </w:rPr>
        <w:t xml:space="preserve"> ci-dessus) et </w:t>
      </w:r>
      <w:r w:rsidRPr="00432BEA" w:rsidR="00CB7BA9">
        <w:rPr>
          <w:lang w:val="fr-FR"/>
        </w:rPr>
        <w:t xml:space="preserve">à </w:t>
      </w:r>
      <w:r w:rsidRPr="00432BEA" w:rsidR="006B7BE7">
        <w:rPr>
          <w:lang w:val="fr-FR"/>
        </w:rPr>
        <w:t>l</w:t>
      </w:r>
      <w:r w:rsidRPr="00432BEA" w:rsidR="00432BEA">
        <w:rPr>
          <w:lang w:val="fr-FR"/>
        </w:rPr>
        <w:t>’</w:t>
      </w:r>
      <w:r w:rsidRPr="00432BEA" w:rsidR="006B7BE7">
        <w:rPr>
          <w:lang w:val="fr-FR"/>
        </w:rPr>
        <w:t>arrêt de la cour d</w:t>
      </w:r>
      <w:r w:rsidRPr="00432BEA" w:rsidR="00432BEA">
        <w:rPr>
          <w:lang w:val="fr-FR"/>
        </w:rPr>
        <w:t>’</w:t>
      </w:r>
      <w:r w:rsidRPr="00432BEA" w:rsidR="006B7BE7">
        <w:rPr>
          <w:lang w:val="fr-FR"/>
        </w:rPr>
        <w:t>appel de Pau du</w:t>
      </w:r>
      <w:r w:rsidRPr="00432BEA" w:rsidR="00583139">
        <w:rPr>
          <w:lang w:val="fr-FR"/>
        </w:rPr>
        <w:t xml:space="preserve"> 18 décembre</w:t>
      </w:r>
      <w:r w:rsidRPr="00432BEA" w:rsidR="006B7BE7">
        <w:rPr>
          <w:lang w:val="fr-FR"/>
        </w:rPr>
        <w:t xml:space="preserve"> 2008 (paragraphe </w:t>
      </w:r>
      <w:r w:rsidRPr="00432BEA" w:rsidR="00D80B0C">
        <w:rPr>
          <w:lang w:val="fr-FR"/>
        </w:rPr>
        <w:t>4</w:t>
      </w:r>
      <w:r w:rsidRPr="00432BEA" w:rsidR="00286465">
        <w:rPr>
          <w:lang w:val="fr-FR"/>
        </w:rPr>
        <w:t>6</w:t>
      </w:r>
      <w:r w:rsidRPr="00432BEA" w:rsidR="00D80B0C">
        <w:rPr>
          <w:lang w:val="fr-FR"/>
        </w:rPr>
        <w:t xml:space="preserve"> </w:t>
      </w:r>
      <w:r w:rsidRPr="00432BEA" w:rsidR="006B7BE7">
        <w:rPr>
          <w:lang w:val="fr-FR"/>
        </w:rPr>
        <w:t>ci-dessus)</w:t>
      </w:r>
      <w:r w:rsidRPr="00432BEA" w:rsidR="00D80B0C">
        <w:rPr>
          <w:lang w:val="fr-FR"/>
        </w:rPr>
        <w:t>.</w:t>
      </w:r>
    </w:p>
    <w:p w:rsidRPr="00432BEA" w:rsidR="00863D66" w:rsidP="00432BEA" w:rsidRDefault="00587B2A">
      <w:pPr>
        <w:pStyle w:val="ECHRHeading3"/>
        <w:rPr>
          <w:lang w:val="fr-FR"/>
        </w:rPr>
      </w:pPr>
      <w:r w:rsidRPr="00432BEA">
        <w:rPr>
          <w:lang w:val="fr-FR"/>
        </w:rPr>
        <w:t>2.  </w:t>
      </w:r>
      <w:r w:rsidRPr="00432BEA" w:rsidR="00863D66">
        <w:rPr>
          <w:lang w:val="fr-FR"/>
        </w:rPr>
        <w:t>Sur le fond</w:t>
      </w:r>
    </w:p>
    <w:p w:rsidRPr="00432BEA" w:rsidR="00411970" w:rsidP="00432BEA" w:rsidRDefault="00863D6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95</w:t>
      </w:r>
      <w:r w:rsidRPr="00432BEA">
        <w:rPr>
          <w:lang w:val="fr-FR"/>
        </w:rPr>
        <w:fldChar w:fldCharType="end"/>
      </w:r>
      <w:r w:rsidRPr="00432BEA">
        <w:rPr>
          <w:lang w:val="fr-FR"/>
        </w:rPr>
        <w:t>.  </w:t>
      </w:r>
      <w:r w:rsidRPr="00432BEA" w:rsidR="00411970">
        <w:rPr>
          <w:lang w:val="fr-FR"/>
        </w:rPr>
        <w:t>Les requérants font valoir qu</w:t>
      </w:r>
      <w:r w:rsidRPr="00432BEA" w:rsidR="00432BEA">
        <w:rPr>
          <w:lang w:val="fr-FR"/>
        </w:rPr>
        <w:t>’</w:t>
      </w:r>
      <w:r w:rsidRPr="00432BEA" w:rsidR="00411970">
        <w:rPr>
          <w:lang w:val="fr-FR"/>
        </w:rPr>
        <w:t>ils se trouvent dans une situation comparable à celle des foyers-logements. Les prestations délivrées au titre de l</w:t>
      </w:r>
      <w:r w:rsidRPr="00432BEA" w:rsidR="00432BEA">
        <w:rPr>
          <w:lang w:val="fr-FR"/>
        </w:rPr>
        <w:t>’</w:t>
      </w:r>
      <w:r w:rsidRPr="00432BEA" w:rsidR="00411970">
        <w:rPr>
          <w:lang w:val="fr-FR"/>
        </w:rPr>
        <w:t>aide à domicile sont identiques, que celles-ci soient à destination de personnes accueillies dans des foyers-logement</w:t>
      </w:r>
      <w:r w:rsidRPr="00432BEA" w:rsidR="00CC5E84">
        <w:rPr>
          <w:lang w:val="fr-FR"/>
        </w:rPr>
        <w:t>, foyers médicalisés</w:t>
      </w:r>
      <w:r w:rsidRPr="00432BEA" w:rsidR="00411970">
        <w:rPr>
          <w:lang w:val="fr-FR"/>
        </w:rPr>
        <w:t xml:space="preserve"> ou dans des maisons de retraite. De même, l</w:t>
      </w:r>
      <w:r w:rsidRPr="00432BEA" w:rsidR="00432BEA">
        <w:rPr>
          <w:lang w:val="fr-FR"/>
        </w:rPr>
        <w:t>’</w:t>
      </w:r>
      <w:r w:rsidRPr="00432BEA" w:rsidR="00411970">
        <w:rPr>
          <w:lang w:val="fr-FR"/>
        </w:rPr>
        <w:t xml:space="preserve">EHPAD comporte des locaux privatifs, les résidents disposant de leur propre chambre, et des locaux communs. </w:t>
      </w:r>
      <w:r w:rsidRPr="00432BEA" w:rsidR="004A1BCA">
        <w:rPr>
          <w:lang w:val="fr-FR"/>
        </w:rPr>
        <w:t>De plus, les résidents dans les foyers-logements signent un contrat de résidence qui, à l</w:t>
      </w:r>
      <w:r w:rsidRPr="00432BEA" w:rsidR="00432BEA">
        <w:rPr>
          <w:lang w:val="fr-FR"/>
        </w:rPr>
        <w:t>’</w:t>
      </w:r>
      <w:r w:rsidRPr="00432BEA" w:rsidR="004A1BCA">
        <w:rPr>
          <w:lang w:val="fr-FR"/>
        </w:rPr>
        <w:t xml:space="preserve">instar des contrats de séjour dans les autres structures, sont des contrats </w:t>
      </w:r>
      <w:r w:rsidRPr="00432BEA" w:rsidR="00411970">
        <w:rPr>
          <w:lang w:val="fr-FR"/>
        </w:rPr>
        <w:t>« </w:t>
      </w:r>
      <w:r w:rsidRPr="00432BEA" w:rsidR="00411970">
        <w:rPr>
          <w:i/>
          <w:lang w:val="fr-FR"/>
        </w:rPr>
        <w:t>sui generis</w:t>
      </w:r>
      <w:r w:rsidRPr="00432BEA" w:rsidR="00411970">
        <w:rPr>
          <w:lang w:val="fr-FR"/>
        </w:rPr>
        <w:t xml:space="preserve"> ». </w:t>
      </w:r>
      <w:r w:rsidRPr="00432BEA" w:rsidR="00CC5E84">
        <w:rPr>
          <w:lang w:val="fr-FR"/>
        </w:rPr>
        <w:t>E</w:t>
      </w:r>
      <w:r w:rsidRPr="00432BEA" w:rsidR="00411970">
        <w:rPr>
          <w:lang w:val="fr-FR"/>
        </w:rPr>
        <w:t>n outre, tout comme la résidence en foyer logement, celle de l</w:t>
      </w:r>
      <w:r w:rsidRPr="00432BEA" w:rsidR="00432BEA">
        <w:rPr>
          <w:lang w:val="fr-FR"/>
        </w:rPr>
        <w:t>’</w:t>
      </w:r>
      <w:r w:rsidRPr="00432BEA" w:rsidR="00411970">
        <w:rPr>
          <w:lang w:val="fr-FR"/>
        </w:rPr>
        <w:t>EHPAD ouvre droit à perception de l</w:t>
      </w:r>
      <w:r w:rsidRPr="00432BEA" w:rsidR="00432BEA">
        <w:rPr>
          <w:lang w:val="fr-FR"/>
        </w:rPr>
        <w:t>’</w:t>
      </w:r>
      <w:r w:rsidRPr="00432BEA" w:rsidR="00411970">
        <w:rPr>
          <w:lang w:val="fr-FR"/>
        </w:rPr>
        <w:t>aide personnalisée au logement.</w:t>
      </w:r>
      <w:r w:rsidRPr="00432BEA" w:rsidR="00AD2CCB">
        <w:rPr>
          <w:lang w:val="fr-FR"/>
        </w:rPr>
        <w:t xml:space="preserve"> S</w:t>
      </w:r>
      <w:r w:rsidRPr="00432BEA" w:rsidR="00432BEA">
        <w:rPr>
          <w:lang w:val="fr-FR"/>
        </w:rPr>
        <w:t>’</w:t>
      </w:r>
      <w:r w:rsidRPr="00432BEA" w:rsidR="00AD2CCB">
        <w:rPr>
          <w:lang w:val="fr-FR"/>
        </w:rPr>
        <w:t>agissant de la requête n</w:t>
      </w:r>
      <w:r w:rsidRPr="00432BEA" w:rsidR="007D22EB">
        <w:rPr>
          <w:vertAlign w:val="superscript"/>
          <w:lang w:val="fr-FR"/>
        </w:rPr>
        <w:t>o</w:t>
      </w:r>
      <w:r w:rsidRPr="00432BEA" w:rsidR="00AD2CCB">
        <w:rPr>
          <w:lang w:val="fr-FR"/>
        </w:rPr>
        <w:t xml:space="preserve"> 30287/14, la requérante fait valoir que l</w:t>
      </w:r>
      <w:r w:rsidRPr="00432BEA" w:rsidR="00432BEA">
        <w:rPr>
          <w:lang w:val="fr-FR"/>
        </w:rPr>
        <w:t>’</w:t>
      </w:r>
      <w:r w:rsidRPr="00432BEA" w:rsidR="00AD2CCB">
        <w:rPr>
          <w:lang w:val="fr-FR"/>
        </w:rPr>
        <w:t>association constitue le nouveau logement des personnes handicapées et que « le domicile figurant sur la carte électorale des résidents est l</w:t>
      </w:r>
      <w:r w:rsidRPr="00432BEA" w:rsidR="00432BEA">
        <w:rPr>
          <w:lang w:val="fr-FR"/>
        </w:rPr>
        <w:t>’</w:t>
      </w:r>
      <w:r w:rsidRPr="00432BEA" w:rsidR="00AD2CCB">
        <w:rPr>
          <w:lang w:val="fr-FR"/>
        </w:rPr>
        <w:t>adresse de l</w:t>
      </w:r>
      <w:r w:rsidRPr="00432BEA" w:rsidR="00432BEA">
        <w:rPr>
          <w:lang w:val="fr-FR"/>
        </w:rPr>
        <w:t>’</w:t>
      </w:r>
      <w:r w:rsidRPr="00432BEA" w:rsidR="00AD2CCB">
        <w:rPr>
          <w:lang w:val="fr-FR"/>
        </w:rPr>
        <w:t>EHPAD ».</w:t>
      </w:r>
    </w:p>
    <w:p w:rsidRPr="00432BEA" w:rsidR="00411970" w:rsidP="00432BEA" w:rsidRDefault="00725EED">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96</w:t>
      </w:r>
      <w:r w:rsidRPr="00432BEA">
        <w:rPr>
          <w:lang w:val="fr-FR"/>
        </w:rPr>
        <w:fldChar w:fldCharType="end"/>
      </w:r>
      <w:r w:rsidRPr="00432BEA">
        <w:rPr>
          <w:lang w:val="fr-FR"/>
        </w:rPr>
        <w:t>.  </w:t>
      </w:r>
      <w:r w:rsidRPr="00432BEA" w:rsidR="00411970">
        <w:rPr>
          <w:lang w:val="fr-FR"/>
        </w:rPr>
        <w:t>Les requérants considèrent que la différence de traitement fondée sur des considérations liées à la notion de domicile des personnes âgées ne repose sur aucune justification objective et raisonnable. En particulier, ils soulignent que l</w:t>
      </w:r>
      <w:r w:rsidRPr="00432BEA" w:rsidR="00432BEA">
        <w:rPr>
          <w:lang w:val="fr-FR"/>
        </w:rPr>
        <w:t>’</w:t>
      </w:r>
      <w:r w:rsidRPr="00432BEA" w:rsidR="00411970">
        <w:rPr>
          <w:lang w:val="fr-FR"/>
        </w:rPr>
        <w:t>exonération avait pour but de favoriser l</w:t>
      </w:r>
      <w:r w:rsidRPr="00432BEA" w:rsidR="00432BEA">
        <w:rPr>
          <w:lang w:val="fr-FR"/>
        </w:rPr>
        <w:t>’</w:t>
      </w:r>
      <w:r w:rsidRPr="00432BEA" w:rsidR="00411970">
        <w:rPr>
          <w:lang w:val="fr-FR"/>
        </w:rPr>
        <w:t>emploi des services à la personne et d</w:t>
      </w:r>
      <w:r w:rsidRPr="00432BEA" w:rsidR="00432BEA">
        <w:rPr>
          <w:lang w:val="fr-FR"/>
        </w:rPr>
        <w:t>’</w:t>
      </w:r>
      <w:r w:rsidRPr="00432BEA" w:rsidR="00411970">
        <w:rPr>
          <w:lang w:val="fr-FR"/>
        </w:rPr>
        <w:t>alléger la charge financière pesant sur les personnes âgées. Or, en refusant le bénéfice de l</w:t>
      </w:r>
      <w:r w:rsidRPr="00432BEA" w:rsidR="00432BEA">
        <w:rPr>
          <w:lang w:val="fr-FR"/>
        </w:rPr>
        <w:t>’</w:t>
      </w:r>
      <w:r w:rsidRPr="00432BEA" w:rsidR="00411970">
        <w:rPr>
          <w:lang w:val="fr-FR"/>
        </w:rPr>
        <w:t>exonération aux EHPAD, cette situation discriminatoire se répercute sur la charge financière pesant sur ces personnes.</w:t>
      </w:r>
    </w:p>
    <w:p w:rsidRPr="00432BEA" w:rsidR="00411970" w:rsidP="00432BEA" w:rsidRDefault="00725EED">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97</w:t>
      </w:r>
      <w:r w:rsidRPr="00432BEA">
        <w:rPr>
          <w:lang w:val="fr-FR"/>
        </w:rPr>
        <w:fldChar w:fldCharType="end"/>
      </w:r>
      <w:r w:rsidRPr="00432BEA">
        <w:rPr>
          <w:lang w:val="fr-FR"/>
        </w:rPr>
        <w:t>.  </w:t>
      </w:r>
      <w:r w:rsidRPr="00432BEA" w:rsidR="00411970">
        <w:rPr>
          <w:lang w:val="fr-FR"/>
        </w:rPr>
        <w:t>Le Gouvernement souligne la différence entre les EHPAD et les foyers-logements, qui ne se trouvent pas dans une situation comparable, ce qui justifie une différence de traitement :</w:t>
      </w:r>
    </w:p>
    <w:p w:rsidRPr="00432BEA" w:rsidR="00411970" w:rsidP="00432BEA" w:rsidRDefault="00411970">
      <w:pPr>
        <w:pStyle w:val="ECHRPara"/>
        <w:rPr>
          <w:lang w:val="fr-FR"/>
        </w:rPr>
      </w:pPr>
      <w:r w:rsidRPr="00432BEA">
        <w:rPr>
          <w:lang w:val="fr-FR"/>
        </w:rPr>
        <w:t>-  les foyers-logements sont des logements à usage privatif avec services collectifs dont l</w:t>
      </w:r>
      <w:r w:rsidRPr="00432BEA" w:rsidR="00432BEA">
        <w:rPr>
          <w:lang w:val="fr-FR"/>
        </w:rPr>
        <w:t>’</w:t>
      </w:r>
      <w:r w:rsidRPr="00432BEA">
        <w:rPr>
          <w:lang w:val="fr-FR"/>
        </w:rPr>
        <w:t>usage est facultatif alors que les EHPAD sont des structures collectives d</w:t>
      </w:r>
      <w:r w:rsidRPr="00432BEA" w:rsidR="00432BEA">
        <w:rPr>
          <w:lang w:val="fr-FR"/>
        </w:rPr>
        <w:t>’</w:t>
      </w:r>
      <w:r w:rsidRPr="00432BEA">
        <w:rPr>
          <w:lang w:val="fr-FR"/>
        </w:rPr>
        <w:t>hébergement ;</w:t>
      </w:r>
    </w:p>
    <w:p w:rsidRPr="00432BEA" w:rsidR="00411970" w:rsidP="00432BEA" w:rsidRDefault="00411970">
      <w:pPr>
        <w:pStyle w:val="ECHRPara"/>
        <w:rPr>
          <w:lang w:val="fr-FR"/>
        </w:rPr>
      </w:pPr>
      <w:r w:rsidRPr="00432BEA">
        <w:rPr>
          <w:lang w:val="fr-FR"/>
        </w:rPr>
        <w:t>-  les premiers sont soumis au code de l</w:t>
      </w:r>
      <w:r w:rsidRPr="00432BEA" w:rsidR="00432BEA">
        <w:rPr>
          <w:lang w:val="fr-FR"/>
        </w:rPr>
        <w:t>’</w:t>
      </w:r>
      <w:r w:rsidRPr="00432BEA">
        <w:rPr>
          <w:lang w:val="fr-FR"/>
        </w:rPr>
        <w:t xml:space="preserve">action sociale et des familles en tant que structures sociales alors que les seconds sont soumis au code de la </w:t>
      </w:r>
      <w:r w:rsidRPr="00432BEA" w:rsidR="00587B2A">
        <w:rPr>
          <w:lang w:val="fr-FR"/>
        </w:rPr>
        <w:t>s</w:t>
      </w:r>
      <w:r w:rsidRPr="00432BEA" w:rsidR="00632783">
        <w:rPr>
          <w:lang w:val="fr-FR"/>
        </w:rPr>
        <w:t>écurité sociale</w:t>
      </w:r>
      <w:r w:rsidRPr="00432BEA">
        <w:rPr>
          <w:lang w:val="fr-FR"/>
        </w:rPr>
        <w:t> ;</w:t>
      </w:r>
    </w:p>
    <w:p w:rsidRPr="00432BEA" w:rsidR="00411970" w:rsidP="00432BEA" w:rsidRDefault="00411970">
      <w:pPr>
        <w:pStyle w:val="ECHRPara"/>
        <w:rPr>
          <w:lang w:val="fr-FR"/>
        </w:rPr>
      </w:pPr>
      <w:r w:rsidRPr="00432BEA">
        <w:rPr>
          <w:lang w:val="fr-FR"/>
        </w:rPr>
        <w:t>-  les foyers-logements reçoivent des salariés de l</w:t>
      </w:r>
      <w:r w:rsidRPr="00432BEA" w:rsidR="00432BEA">
        <w:rPr>
          <w:lang w:val="fr-FR"/>
        </w:rPr>
        <w:t>’</w:t>
      </w:r>
      <w:r w:rsidRPr="00432BEA">
        <w:rPr>
          <w:lang w:val="fr-FR"/>
        </w:rPr>
        <w:t>extérieur dans le but de maintenir l</w:t>
      </w:r>
      <w:r w:rsidRPr="00432BEA" w:rsidR="00432BEA">
        <w:rPr>
          <w:lang w:val="fr-FR"/>
        </w:rPr>
        <w:t>’</w:t>
      </w:r>
      <w:r w:rsidRPr="00432BEA">
        <w:rPr>
          <w:lang w:val="fr-FR"/>
        </w:rPr>
        <w:t>autonomie des personnes concernées au sein du foyer tandis que les EHPAD hébergent et assurent toutes les prestations nécessaires à la survie des personnes âgées ;</w:t>
      </w:r>
    </w:p>
    <w:p w:rsidRPr="00432BEA" w:rsidR="00411970" w:rsidP="00432BEA" w:rsidRDefault="00411970">
      <w:pPr>
        <w:pStyle w:val="ECHRPara"/>
        <w:rPr>
          <w:lang w:val="fr-FR"/>
        </w:rPr>
      </w:pPr>
      <w:r w:rsidRPr="00432BEA">
        <w:rPr>
          <w:lang w:val="fr-FR"/>
        </w:rPr>
        <w:t>-  les prestations d</w:t>
      </w:r>
      <w:r w:rsidRPr="00432BEA" w:rsidR="00432BEA">
        <w:rPr>
          <w:lang w:val="fr-FR"/>
        </w:rPr>
        <w:t>’</w:t>
      </w:r>
      <w:r w:rsidRPr="00432BEA">
        <w:rPr>
          <w:lang w:val="fr-FR"/>
        </w:rPr>
        <w:t>aides ou de soins à domicile sont réalisées dans les foyers par des intervenants extérieurs pris en charge par les personnes âgées elles-mêmes soit directement, soit par le recours d</w:t>
      </w:r>
      <w:r w:rsidRPr="00432BEA" w:rsidR="00432BEA">
        <w:rPr>
          <w:lang w:val="fr-FR"/>
        </w:rPr>
        <w:t>’</w:t>
      </w:r>
      <w:r w:rsidRPr="00432BEA">
        <w:rPr>
          <w:lang w:val="fr-FR"/>
        </w:rPr>
        <w:t>un service d</w:t>
      </w:r>
      <w:r w:rsidRPr="00432BEA" w:rsidR="00432BEA">
        <w:rPr>
          <w:lang w:val="fr-FR"/>
        </w:rPr>
        <w:t>’</w:t>
      </w:r>
      <w:r w:rsidRPr="00432BEA">
        <w:rPr>
          <w:lang w:val="fr-FR"/>
        </w:rPr>
        <w:t>aide à domicile. Dans les EHPAD, les résidents bénéficient de prestations hôtelières mais aussi de matériels et de mobiliers permettant la prise en charge de la dépendance ainsi que d</w:t>
      </w:r>
      <w:r w:rsidRPr="00432BEA" w:rsidR="00432BEA">
        <w:rPr>
          <w:lang w:val="fr-FR"/>
        </w:rPr>
        <w:t>’</w:t>
      </w:r>
      <w:r w:rsidRPr="00432BEA">
        <w:rPr>
          <w:lang w:val="fr-FR"/>
        </w:rPr>
        <w:t>un personnel qualifié ;</w:t>
      </w:r>
    </w:p>
    <w:p w:rsidRPr="00432BEA" w:rsidR="00411970" w:rsidP="00432BEA" w:rsidRDefault="00411970">
      <w:pPr>
        <w:pStyle w:val="ECHRPara"/>
        <w:rPr>
          <w:lang w:val="fr-FR"/>
        </w:rPr>
      </w:pPr>
      <w:r w:rsidRPr="00432BEA">
        <w:rPr>
          <w:lang w:val="fr-FR"/>
        </w:rPr>
        <w:t>-  les personnes hébergées dans les EHPAD signent un contrat de séjour tandis que les personnes dans les foyers sont locataires de leur logement.</w:t>
      </w:r>
    </w:p>
    <w:p w:rsidRPr="00432BEA" w:rsidR="00AF2A1A" w:rsidP="00432BEA" w:rsidRDefault="00AF2A1A">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98</w:t>
      </w:r>
      <w:r w:rsidRPr="00432BEA">
        <w:rPr>
          <w:lang w:val="fr-FR"/>
        </w:rPr>
        <w:fldChar w:fldCharType="end"/>
      </w:r>
      <w:r w:rsidRPr="00432BEA">
        <w:rPr>
          <w:lang w:val="fr-FR"/>
        </w:rPr>
        <w:t>.  S</w:t>
      </w:r>
      <w:r w:rsidRPr="00432BEA" w:rsidR="00432BEA">
        <w:rPr>
          <w:lang w:val="fr-FR"/>
        </w:rPr>
        <w:t>’</w:t>
      </w:r>
      <w:r w:rsidRPr="00432BEA">
        <w:rPr>
          <w:lang w:val="fr-FR"/>
        </w:rPr>
        <w:t>agissant de la requête n</w:t>
      </w:r>
      <w:r w:rsidRPr="00432BEA" w:rsidR="007D22EB">
        <w:rPr>
          <w:vertAlign w:val="superscript"/>
          <w:lang w:val="fr-FR"/>
        </w:rPr>
        <w:t>o</w:t>
      </w:r>
      <w:r w:rsidRPr="00432BEA">
        <w:rPr>
          <w:lang w:val="fr-FR"/>
        </w:rPr>
        <w:t xml:space="preserve"> 30287/14, le Gouvernement relève que la requérante ne présente pas une argumentation spécifique au foyer d</w:t>
      </w:r>
      <w:r w:rsidRPr="00432BEA" w:rsidR="00432BEA">
        <w:rPr>
          <w:lang w:val="fr-FR"/>
        </w:rPr>
        <w:t>’</w:t>
      </w:r>
      <w:r w:rsidRPr="00432BEA">
        <w:rPr>
          <w:lang w:val="fr-FR"/>
        </w:rPr>
        <w:t>accueil médicalisé des personnes handicapées et qu</w:t>
      </w:r>
      <w:r w:rsidRPr="00432BEA" w:rsidR="00432BEA">
        <w:rPr>
          <w:lang w:val="fr-FR"/>
        </w:rPr>
        <w:t>’</w:t>
      </w:r>
      <w:r w:rsidRPr="00432BEA">
        <w:rPr>
          <w:lang w:val="fr-FR"/>
        </w:rPr>
        <w:t>elle reprend pour l</w:t>
      </w:r>
      <w:r w:rsidRPr="00432BEA" w:rsidR="00432BEA">
        <w:rPr>
          <w:lang w:val="fr-FR"/>
        </w:rPr>
        <w:t>’</w:t>
      </w:r>
      <w:r w:rsidRPr="00432BEA">
        <w:rPr>
          <w:lang w:val="fr-FR"/>
        </w:rPr>
        <w:t>essentiel sa motivation sur les EHPAD. En tout état de ca</w:t>
      </w:r>
      <w:r w:rsidRPr="00432BEA" w:rsidR="00587B2A">
        <w:rPr>
          <w:lang w:val="fr-FR"/>
        </w:rPr>
        <w:t>use, il précise que les foyers</w:t>
      </w:r>
      <w:r w:rsidRPr="00432BEA" w:rsidR="00587B2A">
        <w:rPr>
          <w:lang w:val="fr-FR"/>
        </w:rPr>
        <w:noBreakHyphen/>
      </w:r>
      <w:r w:rsidRPr="00432BEA">
        <w:rPr>
          <w:lang w:val="fr-FR"/>
        </w:rPr>
        <w:t>logements et les foyers médicalisés ne se trouvent pas dans une situation comparable. Les seconds sont des structures collectives d</w:t>
      </w:r>
      <w:r w:rsidRPr="00432BEA" w:rsidR="00432BEA">
        <w:rPr>
          <w:lang w:val="fr-FR"/>
        </w:rPr>
        <w:t>’</w:t>
      </w:r>
      <w:r w:rsidRPr="00432BEA">
        <w:rPr>
          <w:lang w:val="fr-FR"/>
        </w:rPr>
        <w:t>hébergement et ont pour objet d</w:t>
      </w:r>
      <w:r w:rsidRPr="00432BEA" w:rsidR="00432BEA">
        <w:rPr>
          <w:lang w:val="fr-FR"/>
        </w:rPr>
        <w:t>’</w:t>
      </w:r>
      <w:r w:rsidRPr="00432BEA" w:rsidR="005F53B1">
        <w:rPr>
          <w:lang w:val="fr-FR"/>
        </w:rPr>
        <w:t>accueillir</w:t>
      </w:r>
      <w:r w:rsidRPr="00432BEA">
        <w:rPr>
          <w:lang w:val="fr-FR"/>
        </w:rPr>
        <w:t xml:space="preserve"> les personnes gravement handicapées ayant besoin d</w:t>
      </w:r>
      <w:r w:rsidRPr="00432BEA" w:rsidR="00432BEA">
        <w:rPr>
          <w:lang w:val="fr-FR"/>
        </w:rPr>
        <w:t>’</w:t>
      </w:r>
      <w:r w:rsidRPr="00432BEA">
        <w:rPr>
          <w:lang w:val="fr-FR"/>
        </w:rPr>
        <w:t xml:space="preserve">un logement permanent pour effectuer la plupart des actes essentiels de la vie courante </w:t>
      </w:r>
      <w:r w:rsidRPr="00432BEA" w:rsidR="00543D50">
        <w:rPr>
          <w:lang w:val="fr-FR"/>
        </w:rPr>
        <w:t xml:space="preserve">et recevoir </w:t>
      </w:r>
      <w:r w:rsidRPr="00432BEA">
        <w:rPr>
          <w:lang w:val="fr-FR"/>
        </w:rPr>
        <w:t>une surveillance médicale et</w:t>
      </w:r>
      <w:r w:rsidRPr="00432BEA" w:rsidR="00543D50">
        <w:rPr>
          <w:lang w:val="fr-FR"/>
        </w:rPr>
        <w:t xml:space="preserve"> des</w:t>
      </w:r>
      <w:r w:rsidRPr="00432BEA">
        <w:rPr>
          <w:lang w:val="fr-FR"/>
        </w:rPr>
        <w:t xml:space="preserve"> soins constants. </w:t>
      </w:r>
      <w:r w:rsidRPr="00432BEA" w:rsidR="005F53B1">
        <w:rPr>
          <w:lang w:val="fr-FR"/>
        </w:rPr>
        <w:t>Ils sont des établissements sociaux ou médico-sociaux officiellement reconnus par le code de l</w:t>
      </w:r>
      <w:r w:rsidRPr="00432BEA" w:rsidR="00432BEA">
        <w:rPr>
          <w:lang w:val="fr-FR"/>
        </w:rPr>
        <w:t>’</w:t>
      </w:r>
      <w:r w:rsidRPr="00432BEA" w:rsidR="005F53B1">
        <w:rPr>
          <w:lang w:val="fr-FR"/>
        </w:rPr>
        <w:t>action sociale et des familles.</w:t>
      </w:r>
    </w:p>
    <w:p w:rsidRPr="00432BEA" w:rsidR="00411970" w:rsidP="00432BEA" w:rsidRDefault="00725EED">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99</w:t>
      </w:r>
      <w:r w:rsidRPr="00432BEA">
        <w:rPr>
          <w:lang w:val="fr-FR"/>
        </w:rPr>
        <w:fldChar w:fldCharType="end"/>
      </w:r>
      <w:r w:rsidRPr="00432BEA">
        <w:rPr>
          <w:lang w:val="fr-FR"/>
        </w:rPr>
        <w:t>.  </w:t>
      </w:r>
      <w:r w:rsidRPr="00432BEA" w:rsidR="00411970">
        <w:rPr>
          <w:lang w:val="fr-FR"/>
        </w:rPr>
        <w:t>En tout état de cause, le Gouvernement estime que la distinction opérée entre les bénéficiaires de l</w:t>
      </w:r>
      <w:r w:rsidRPr="00432BEA" w:rsidR="00432BEA">
        <w:rPr>
          <w:lang w:val="fr-FR"/>
        </w:rPr>
        <w:t>’</w:t>
      </w:r>
      <w:r w:rsidRPr="00432BEA" w:rsidR="00411970">
        <w:rPr>
          <w:lang w:val="fr-FR"/>
        </w:rPr>
        <w:t>exonération poursuit le but légitime de favoriser le maintien à domicile des personnes âgées et se justifie par le fait que les charges de personnel des EHPAD</w:t>
      </w:r>
      <w:r w:rsidRPr="00432BEA" w:rsidR="003B4CB0">
        <w:rPr>
          <w:lang w:val="fr-FR"/>
        </w:rPr>
        <w:t xml:space="preserve"> et des foyers médicalisés</w:t>
      </w:r>
      <w:r w:rsidRPr="00432BEA" w:rsidR="00411970">
        <w:rPr>
          <w:lang w:val="fr-FR"/>
        </w:rPr>
        <w:t xml:space="preserve"> font déjà l</w:t>
      </w:r>
      <w:r w:rsidRPr="00432BEA" w:rsidR="00432BEA">
        <w:rPr>
          <w:lang w:val="fr-FR"/>
        </w:rPr>
        <w:t>’</w:t>
      </w:r>
      <w:r w:rsidRPr="00432BEA" w:rsidR="00411970">
        <w:rPr>
          <w:lang w:val="fr-FR"/>
        </w:rPr>
        <w:t>objet de financements publics. Leur accorder l</w:t>
      </w:r>
      <w:r w:rsidRPr="00432BEA" w:rsidR="00432BEA">
        <w:rPr>
          <w:lang w:val="fr-FR"/>
        </w:rPr>
        <w:t>’</w:t>
      </w:r>
      <w:r w:rsidRPr="00432BEA" w:rsidR="00411970">
        <w:rPr>
          <w:lang w:val="fr-FR"/>
        </w:rPr>
        <w:t>exonération conduirait ces structures à cumuler deux financements publics pour couvrir les dépenses de personnel.</w:t>
      </w:r>
    </w:p>
    <w:p w:rsidRPr="00432BEA" w:rsidR="003042C4" w:rsidP="00432BEA" w:rsidRDefault="003C7C4D">
      <w:pPr>
        <w:pStyle w:val="ECHRHeading2"/>
        <w:rPr>
          <w:lang w:val="fr-FR"/>
        </w:rPr>
      </w:pPr>
      <w:r w:rsidRPr="00432BEA">
        <w:rPr>
          <w:lang w:val="fr-FR"/>
        </w:rPr>
        <w:t>B.  </w:t>
      </w:r>
      <w:r w:rsidRPr="00432BEA" w:rsidR="00863D66">
        <w:rPr>
          <w:lang w:val="fr-FR"/>
        </w:rPr>
        <w:t>Appréciation de la Cour</w:t>
      </w:r>
    </w:p>
    <w:p w:rsidRPr="00432BEA" w:rsidR="007D22EB" w:rsidP="00432BEA" w:rsidRDefault="00E172C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100</w:t>
      </w:r>
      <w:r w:rsidRPr="00432BEA">
        <w:rPr>
          <w:lang w:val="fr-FR"/>
        </w:rPr>
        <w:fldChar w:fldCharType="end"/>
      </w:r>
      <w:r w:rsidRPr="00432BEA">
        <w:rPr>
          <w:lang w:val="fr-FR"/>
        </w:rPr>
        <w:t>.  </w:t>
      </w:r>
      <w:r w:rsidRPr="00432BEA" w:rsidR="002D6177">
        <w:rPr>
          <w:lang w:val="fr-FR"/>
        </w:rPr>
        <w:t xml:space="preserve">La Cour </w:t>
      </w:r>
      <w:r w:rsidRPr="00432BEA" w:rsidR="00725EED">
        <w:rPr>
          <w:lang w:val="fr-FR"/>
        </w:rPr>
        <w:t>constate que le mémoire ampliatif du requérant, dans la requête n</w:t>
      </w:r>
      <w:r w:rsidRPr="00432BEA" w:rsidR="007D22EB">
        <w:rPr>
          <w:vertAlign w:val="superscript"/>
          <w:lang w:val="fr-FR"/>
        </w:rPr>
        <w:t>o</w:t>
      </w:r>
      <w:r w:rsidRPr="00432BEA" w:rsidR="00725EED">
        <w:rPr>
          <w:lang w:val="fr-FR"/>
        </w:rPr>
        <w:t xml:space="preserve"> 53601/12, ne contenait pas de moyen tiré des articles 1 du Protocole n</w:t>
      </w:r>
      <w:r w:rsidRPr="00432BEA" w:rsidR="00E54C36">
        <w:rPr>
          <w:vertAlign w:val="superscript"/>
          <w:lang w:val="fr-FR"/>
        </w:rPr>
        <w:t>o </w:t>
      </w:r>
      <w:r w:rsidRPr="00432BEA" w:rsidR="00725EED">
        <w:rPr>
          <w:lang w:val="fr-FR"/>
        </w:rPr>
        <w:t>1 et 14 de la Convention. Dans ces conditions,</w:t>
      </w:r>
      <w:r w:rsidRPr="00432BEA" w:rsidR="00F763F6">
        <w:rPr>
          <w:lang w:val="fr-FR"/>
        </w:rPr>
        <w:t xml:space="preserve"> </w:t>
      </w:r>
      <w:r w:rsidRPr="00432BEA" w:rsidR="003A7122">
        <w:rPr>
          <w:lang w:val="fr-FR"/>
        </w:rPr>
        <w:t>la Cour de cassation n</w:t>
      </w:r>
      <w:r w:rsidRPr="00432BEA" w:rsidR="00432BEA">
        <w:rPr>
          <w:lang w:val="fr-FR"/>
        </w:rPr>
        <w:t>’</w:t>
      </w:r>
      <w:r w:rsidRPr="00432BEA" w:rsidR="003A7122">
        <w:rPr>
          <w:lang w:val="fr-FR"/>
        </w:rPr>
        <w:t>ayant pas apprécié ce grief faute d</w:t>
      </w:r>
      <w:r w:rsidRPr="00432BEA" w:rsidR="00432BEA">
        <w:rPr>
          <w:lang w:val="fr-FR"/>
        </w:rPr>
        <w:t>’</w:t>
      </w:r>
      <w:r w:rsidRPr="00432BEA" w:rsidR="003A7122">
        <w:rPr>
          <w:lang w:val="fr-FR"/>
        </w:rPr>
        <w:t>en être saisie, la Cour estime que les requérants cités au paragraphe 27 ci-dessus ne peuvent se prévaloir de l</w:t>
      </w:r>
      <w:r w:rsidRPr="00432BEA" w:rsidR="00432BEA">
        <w:rPr>
          <w:lang w:val="fr-FR"/>
        </w:rPr>
        <w:t>’</w:t>
      </w:r>
      <w:r w:rsidRPr="00432BEA" w:rsidR="003A7122">
        <w:rPr>
          <w:lang w:val="fr-FR"/>
        </w:rPr>
        <w:t>arrêt de non-admission rendue par la Cour de cassation dans cette affaire pour justifier le fait qu</w:t>
      </w:r>
      <w:r w:rsidRPr="00432BEA" w:rsidR="00432BEA">
        <w:rPr>
          <w:lang w:val="fr-FR"/>
        </w:rPr>
        <w:t>’</w:t>
      </w:r>
      <w:r w:rsidRPr="00432BEA" w:rsidR="003A7122">
        <w:rPr>
          <w:lang w:val="fr-FR"/>
        </w:rPr>
        <w:t>elles n</w:t>
      </w:r>
      <w:r w:rsidRPr="00432BEA" w:rsidR="00432BEA">
        <w:rPr>
          <w:lang w:val="fr-FR"/>
        </w:rPr>
        <w:t>’</w:t>
      </w:r>
      <w:r w:rsidRPr="00432BEA" w:rsidR="003A7122">
        <w:rPr>
          <w:lang w:val="fr-FR"/>
        </w:rPr>
        <w:t>ont pas formé de pourvoi en cassation devant cette instance.</w:t>
      </w:r>
      <w:r w:rsidRPr="00432BEA" w:rsidR="00F763F6">
        <w:rPr>
          <w:lang w:val="fr-FR"/>
        </w:rPr>
        <w:t xml:space="preserve"> La Cour observe également, avec le Gouvernement, qu</w:t>
      </w:r>
      <w:r w:rsidRPr="00432BEA" w:rsidR="00432BEA">
        <w:rPr>
          <w:lang w:val="fr-FR"/>
        </w:rPr>
        <w:t>’</w:t>
      </w:r>
      <w:r w:rsidRPr="00432BEA" w:rsidR="00F763F6">
        <w:rPr>
          <w:lang w:val="fr-FR"/>
        </w:rPr>
        <w:t>à l</w:t>
      </w:r>
      <w:r w:rsidRPr="00432BEA" w:rsidR="00432BEA">
        <w:rPr>
          <w:lang w:val="fr-FR"/>
        </w:rPr>
        <w:t>’</w:t>
      </w:r>
      <w:r w:rsidRPr="00432BEA" w:rsidR="00F763F6">
        <w:rPr>
          <w:lang w:val="fr-FR"/>
        </w:rPr>
        <w:t>exception d</w:t>
      </w:r>
      <w:r w:rsidRPr="00432BEA" w:rsidR="00ED0345">
        <w:rPr>
          <w:lang w:val="fr-FR"/>
        </w:rPr>
        <w:t>e la</w:t>
      </w:r>
      <w:r w:rsidRPr="00432BEA" w:rsidR="00F763F6">
        <w:rPr>
          <w:lang w:val="fr-FR"/>
        </w:rPr>
        <w:t xml:space="preserve"> requérant</w:t>
      </w:r>
      <w:r w:rsidRPr="00432BEA" w:rsidR="00ED0345">
        <w:rPr>
          <w:lang w:val="fr-FR"/>
        </w:rPr>
        <w:t>e</w:t>
      </w:r>
      <w:r w:rsidRPr="00432BEA" w:rsidR="00F763F6">
        <w:rPr>
          <w:lang w:val="fr-FR"/>
        </w:rPr>
        <w:t xml:space="preserve"> dans la requête n</w:t>
      </w:r>
      <w:r w:rsidRPr="00432BEA" w:rsidR="007D22EB">
        <w:rPr>
          <w:vertAlign w:val="superscript"/>
          <w:lang w:val="fr-FR"/>
        </w:rPr>
        <w:t>o</w:t>
      </w:r>
      <w:r w:rsidRPr="00432BEA" w:rsidR="00F763F6">
        <w:rPr>
          <w:lang w:val="fr-FR"/>
        </w:rPr>
        <w:t xml:space="preserve"> 30287/14, aucun des intéressés n</w:t>
      </w:r>
      <w:r w:rsidRPr="00432BEA" w:rsidR="00432BEA">
        <w:rPr>
          <w:lang w:val="fr-FR"/>
        </w:rPr>
        <w:t>’</w:t>
      </w:r>
      <w:r w:rsidRPr="00432BEA" w:rsidR="00F763F6">
        <w:rPr>
          <w:lang w:val="fr-FR"/>
        </w:rPr>
        <w:t>a soulevé</w:t>
      </w:r>
      <w:r w:rsidRPr="00432BEA" w:rsidR="00AF67DE">
        <w:rPr>
          <w:lang w:val="fr-FR"/>
        </w:rPr>
        <w:t xml:space="preserve"> ni explicitement ni en substance </w:t>
      </w:r>
      <w:r w:rsidRPr="00432BEA" w:rsidR="00F763F6">
        <w:rPr>
          <w:lang w:val="fr-FR"/>
        </w:rPr>
        <w:t>devant la Cour de cassation la violation de l</w:t>
      </w:r>
      <w:r w:rsidRPr="00432BEA" w:rsidR="00432BEA">
        <w:rPr>
          <w:lang w:val="fr-FR"/>
        </w:rPr>
        <w:t>’</w:t>
      </w:r>
      <w:r w:rsidRPr="00432BEA" w:rsidR="00F763F6">
        <w:rPr>
          <w:lang w:val="fr-FR"/>
        </w:rPr>
        <w:t>article 14 combiné avec l</w:t>
      </w:r>
      <w:r w:rsidRPr="00432BEA" w:rsidR="00432BEA">
        <w:rPr>
          <w:lang w:val="fr-FR"/>
        </w:rPr>
        <w:t>’</w:t>
      </w:r>
      <w:r w:rsidRPr="00432BEA" w:rsidR="00F763F6">
        <w:rPr>
          <w:lang w:val="fr-FR"/>
        </w:rPr>
        <w:t>article 1 du protocole n</w:t>
      </w:r>
      <w:r w:rsidRPr="00432BEA" w:rsidR="007D22EB">
        <w:rPr>
          <w:vertAlign w:val="superscript"/>
          <w:lang w:val="fr-FR"/>
        </w:rPr>
        <w:t>o</w:t>
      </w:r>
      <w:r w:rsidRPr="00432BEA" w:rsidR="00587B2A">
        <w:rPr>
          <w:lang w:val="fr-FR"/>
        </w:rPr>
        <w:t> </w:t>
      </w:r>
      <w:r w:rsidRPr="00432BEA" w:rsidR="00F763F6">
        <w:rPr>
          <w:lang w:val="fr-FR"/>
        </w:rPr>
        <w:t>1 qu</w:t>
      </w:r>
      <w:r w:rsidRPr="00432BEA" w:rsidR="00432BEA">
        <w:rPr>
          <w:lang w:val="fr-FR"/>
        </w:rPr>
        <w:t>’</w:t>
      </w:r>
      <w:r w:rsidRPr="00432BEA" w:rsidR="00F763F6">
        <w:rPr>
          <w:lang w:val="fr-FR"/>
        </w:rPr>
        <w:t xml:space="preserve">ils invoquent maintenant devant la Cour. Ce constat a déjà été fait pour trois requêtes (paragraphe 51 ci-dessus). En conséquence, </w:t>
      </w:r>
      <w:r w:rsidRPr="00432BEA" w:rsidR="00ED0345">
        <w:rPr>
          <w:lang w:val="fr-FR"/>
        </w:rPr>
        <w:t xml:space="preserve">pour </w:t>
      </w:r>
      <w:r w:rsidRPr="00432BEA" w:rsidR="00F763F6">
        <w:rPr>
          <w:lang w:val="fr-FR"/>
        </w:rPr>
        <w:t>tous les autres requérants, à l</w:t>
      </w:r>
      <w:r w:rsidRPr="00432BEA" w:rsidR="00432BEA">
        <w:rPr>
          <w:lang w:val="fr-FR"/>
        </w:rPr>
        <w:t>’</w:t>
      </w:r>
      <w:r w:rsidRPr="00432BEA" w:rsidR="00F763F6">
        <w:rPr>
          <w:lang w:val="fr-FR"/>
        </w:rPr>
        <w:t>exception de la requête n</w:t>
      </w:r>
      <w:r w:rsidRPr="00432BEA" w:rsidR="007D22EB">
        <w:rPr>
          <w:vertAlign w:val="superscript"/>
          <w:lang w:val="fr-FR"/>
        </w:rPr>
        <w:t>o</w:t>
      </w:r>
      <w:r w:rsidRPr="00432BEA" w:rsidR="00F763F6">
        <w:rPr>
          <w:lang w:val="fr-FR"/>
        </w:rPr>
        <w:t xml:space="preserve"> 30287/14, ce grief est irrecevable </w:t>
      </w:r>
      <w:r w:rsidRPr="00432BEA" w:rsidR="00C66A35">
        <w:rPr>
          <w:lang w:val="fr-FR"/>
        </w:rPr>
        <w:t xml:space="preserve">et doit être rejeté </w:t>
      </w:r>
      <w:r w:rsidRPr="00432BEA" w:rsidR="00F763F6">
        <w:rPr>
          <w:lang w:val="fr-FR"/>
        </w:rPr>
        <w:t>pour non épuisement des voies de recours internes conformément à l</w:t>
      </w:r>
      <w:r w:rsidRPr="00432BEA" w:rsidR="00432BEA">
        <w:rPr>
          <w:lang w:val="fr-FR"/>
        </w:rPr>
        <w:t>’</w:t>
      </w:r>
      <w:r w:rsidRPr="00432BEA" w:rsidR="00F763F6">
        <w:rPr>
          <w:lang w:val="fr-FR"/>
        </w:rPr>
        <w:t xml:space="preserve">article 35 </w:t>
      </w:r>
      <w:r w:rsidRPr="00432BEA" w:rsidR="00C66A35">
        <w:rPr>
          <w:lang w:val="fr-FR"/>
        </w:rPr>
        <w:t>§</w:t>
      </w:r>
      <w:r w:rsidRPr="00432BEA" w:rsidR="00F763F6">
        <w:rPr>
          <w:lang w:val="fr-FR"/>
        </w:rPr>
        <w:t>§ 1</w:t>
      </w:r>
      <w:r w:rsidRPr="00432BEA" w:rsidR="00C66A35">
        <w:rPr>
          <w:lang w:val="fr-FR"/>
        </w:rPr>
        <w:t xml:space="preserve"> et 4</w:t>
      </w:r>
      <w:r w:rsidRPr="00432BEA" w:rsidR="00F763F6">
        <w:rPr>
          <w:lang w:val="fr-FR"/>
        </w:rPr>
        <w:t xml:space="preserve"> de la Convention.</w:t>
      </w:r>
    </w:p>
    <w:p w:rsidRPr="00432BEA" w:rsidR="00E2376F" w:rsidP="00432BEA" w:rsidRDefault="00F763F6">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101</w:t>
      </w:r>
      <w:r w:rsidRPr="00432BEA">
        <w:rPr>
          <w:lang w:val="fr-FR"/>
        </w:rPr>
        <w:fldChar w:fldCharType="end"/>
      </w:r>
      <w:r w:rsidRPr="00432BEA">
        <w:rPr>
          <w:lang w:val="fr-FR"/>
        </w:rPr>
        <w:t>.  </w:t>
      </w:r>
      <w:r w:rsidRPr="00432BEA" w:rsidR="00351B64">
        <w:rPr>
          <w:lang w:val="fr-FR"/>
        </w:rPr>
        <w:t>S</w:t>
      </w:r>
      <w:r w:rsidRPr="00432BEA" w:rsidR="00432BEA">
        <w:rPr>
          <w:lang w:val="fr-FR"/>
        </w:rPr>
        <w:t>’</w:t>
      </w:r>
      <w:r w:rsidRPr="00432BEA" w:rsidR="00351B64">
        <w:rPr>
          <w:lang w:val="fr-FR"/>
        </w:rPr>
        <w:t>agissant de la requête n</w:t>
      </w:r>
      <w:r w:rsidRPr="00432BEA" w:rsidR="007D22EB">
        <w:rPr>
          <w:vertAlign w:val="superscript"/>
          <w:lang w:val="fr-FR"/>
        </w:rPr>
        <w:t>o</w:t>
      </w:r>
      <w:r w:rsidRPr="00432BEA" w:rsidR="00351B64">
        <w:rPr>
          <w:lang w:val="fr-FR"/>
        </w:rPr>
        <w:t xml:space="preserve"> 30287/14, la Cour rappelle </w:t>
      </w:r>
      <w:r w:rsidRPr="00432BEA" w:rsidR="002D6177">
        <w:rPr>
          <w:lang w:val="fr-FR"/>
        </w:rPr>
        <w:t xml:space="preserve">que selon sa </w:t>
      </w:r>
      <w:r w:rsidRPr="00432BEA" w:rsidR="00DD0531">
        <w:rPr>
          <w:lang w:val="fr-FR"/>
        </w:rPr>
        <w:t>jurisprudence constante, l</w:t>
      </w:r>
      <w:r w:rsidRPr="00432BEA" w:rsidR="00432BEA">
        <w:rPr>
          <w:lang w:val="fr-FR"/>
        </w:rPr>
        <w:t>’</w:t>
      </w:r>
      <w:r w:rsidRPr="00432BEA" w:rsidR="00DD0531">
        <w:rPr>
          <w:lang w:val="fr-FR"/>
        </w:rPr>
        <w:t>article 14 de la Convention complète les autres clauses normatives de la Convention et des Protocoles. Il n</w:t>
      </w:r>
      <w:r w:rsidRPr="00432BEA" w:rsidR="00432BEA">
        <w:rPr>
          <w:lang w:val="fr-FR"/>
        </w:rPr>
        <w:t>’</w:t>
      </w:r>
      <w:r w:rsidRPr="00432BEA" w:rsidR="00DD0531">
        <w:rPr>
          <w:lang w:val="fr-FR"/>
        </w:rPr>
        <w:t>a pas d</w:t>
      </w:r>
      <w:r w:rsidRPr="00432BEA" w:rsidR="00432BEA">
        <w:rPr>
          <w:lang w:val="fr-FR"/>
        </w:rPr>
        <w:t>’</w:t>
      </w:r>
      <w:r w:rsidRPr="00432BEA" w:rsidR="00DD0531">
        <w:rPr>
          <w:lang w:val="fr-FR"/>
        </w:rPr>
        <w:t>existence indépendante, puisqu</w:t>
      </w:r>
      <w:r w:rsidRPr="00432BEA" w:rsidR="00432BEA">
        <w:rPr>
          <w:lang w:val="fr-FR"/>
        </w:rPr>
        <w:t>’</w:t>
      </w:r>
      <w:r w:rsidRPr="00432BEA" w:rsidR="00DD0531">
        <w:rPr>
          <w:lang w:val="fr-FR"/>
        </w:rPr>
        <w:t>il vaut uniquement pour « la jouissance des droits et libertés » qu</w:t>
      </w:r>
      <w:r w:rsidRPr="00432BEA" w:rsidR="00432BEA">
        <w:rPr>
          <w:lang w:val="fr-FR"/>
        </w:rPr>
        <w:t>’</w:t>
      </w:r>
      <w:r w:rsidRPr="00432BEA" w:rsidR="00DD0531">
        <w:rPr>
          <w:lang w:val="fr-FR"/>
        </w:rPr>
        <w:t>elles garantissent. Certes, il peut entrer en jeu même sans un manquement à leurs exigences et, dans cette mesure, il possède une portée autonome, mais il ne saurait trouver à s</w:t>
      </w:r>
      <w:r w:rsidRPr="00432BEA" w:rsidR="00432BEA">
        <w:rPr>
          <w:lang w:val="fr-FR"/>
        </w:rPr>
        <w:t>’</w:t>
      </w:r>
      <w:r w:rsidRPr="00432BEA" w:rsidR="00DD0531">
        <w:rPr>
          <w:lang w:val="fr-FR"/>
        </w:rPr>
        <w:t>appliquer si les faits du litige ne tombent pas sous l</w:t>
      </w:r>
      <w:r w:rsidRPr="00432BEA" w:rsidR="00432BEA">
        <w:rPr>
          <w:lang w:val="fr-FR"/>
        </w:rPr>
        <w:t>’</w:t>
      </w:r>
      <w:r w:rsidRPr="00432BEA" w:rsidR="00DD0531">
        <w:rPr>
          <w:lang w:val="fr-FR"/>
        </w:rPr>
        <w:t>empire de l</w:t>
      </w:r>
      <w:r w:rsidRPr="00432BEA" w:rsidR="00432BEA">
        <w:rPr>
          <w:lang w:val="fr-FR"/>
        </w:rPr>
        <w:t>’</w:t>
      </w:r>
      <w:r w:rsidRPr="00432BEA" w:rsidR="00DD0531">
        <w:rPr>
          <w:lang w:val="fr-FR"/>
        </w:rPr>
        <w:t>une au moins desdites clauses (voir, parmi beaucoup d</w:t>
      </w:r>
      <w:r w:rsidRPr="00432BEA" w:rsidR="00432BEA">
        <w:rPr>
          <w:lang w:val="fr-FR"/>
        </w:rPr>
        <w:t>’</w:t>
      </w:r>
      <w:r w:rsidRPr="00432BEA" w:rsidR="00DD0531">
        <w:rPr>
          <w:lang w:val="fr-FR"/>
        </w:rPr>
        <w:t>autres,</w:t>
      </w:r>
      <w:r w:rsidRPr="00432BEA" w:rsidR="00E2376F">
        <w:rPr>
          <w:i/>
          <w:lang w:val="fr-FR"/>
        </w:rPr>
        <w:t xml:space="preserve"> Fabris</w:t>
      </w:r>
      <w:r w:rsidRPr="00432BEA" w:rsidR="00E2376F">
        <w:rPr>
          <w:lang w:val="fr-FR"/>
        </w:rPr>
        <w:t>, précité, §</w:t>
      </w:r>
      <w:r w:rsidRPr="00432BEA" w:rsidR="007B6625">
        <w:rPr>
          <w:lang w:val="fr-FR"/>
        </w:rPr>
        <w:t xml:space="preserve"> 47</w:t>
      </w:r>
      <w:r w:rsidRPr="00432BEA" w:rsidR="00E2376F">
        <w:rPr>
          <w:lang w:val="fr-FR"/>
        </w:rPr>
        <w:t>).</w:t>
      </w:r>
    </w:p>
    <w:p w:rsidRPr="00432BEA" w:rsidR="00351B64" w:rsidP="00432BEA" w:rsidRDefault="00351B64">
      <w:pPr>
        <w:pStyle w:val="ECHRPara"/>
        <w:rPr>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102</w:t>
      </w:r>
      <w:r w:rsidRPr="00432BEA">
        <w:rPr>
          <w:lang w:val="fr-FR"/>
        </w:rPr>
        <w:fldChar w:fldCharType="end"/>
      </w:r>
      <w:r w:rsidRPr="00432BEA">
        <w:rPr>
          <w:lang w:val="fr-FR"/>
        </w:rPr>
        <w:t>.  Dans des cas où</w:t>
      </w:r>
      <w:r w:rsidRPr="00432BEA" w:rsidR="007657C3">
        <w:rPr>
          <w:lang w:val="fr-FR"/>
        </w:rPr>
        <w:t>, comme en l</w:t>
      </w:r>
      <w:r w:rsidRPr="00432BEA" w:rsidR="00432BEA">
        <w:rPr>
          <w:lang w:val="fr-FR"/>
        </w:rPr>
        <w:t>’</w:t>
      </w:r>
      <w:r w:rsidRPr="00432BEA" w:rsidR="007657C3">
        <w:rPr>
          <w:lang w:val="fr-FR"/>
        </w:rPr>
        <w:t>espèce,</w:t>
      </w:r>
      <w:r w:rsidRPr="00432BEA">
        <w:rPr>
          <w:lang w:val="fr-FR"/>
        </w:rPr>
        <w:t xml:space="preserve"> un requérant formule sur le terrain de l</w:t>
      </w:r>
      <w:r w:rsidRPr="00432BEA" w:rsidR="00432BEA">
        <w:rPr>
          <w:lang w:val="fr-FR"/>
        </w:rPr>
        <w:t>’</w:t>
      </w:r>
      <w:r w:rsidRPr="00432BEA">
        <w:rPr>
          <w:lang w:val="fr-FR"/>
        </w:rPr>
        <w:t>article 14 combiné avec l</w:t>
      </w:r>
      <w:r w:rsidRPr="00432BEA" w:rsidR="00432BEA">
        <w:rPr>
          <w:lang w:val="fr-FR"/>
        </w:rPr>
        <w:t>’</w:t>
      </w:r>
      <w:r w:rsidRPr="00432BEA">
        <w:rPr>
          <w:lang w:val="fr-FR"/>
        </w:rPr>
        <w:t>article 1 du Protocole n</w:t>
      </w:r>
      <w:r w:rsidRPr="00432BEA" w:rsidR="007D22EB">
        <w:rPr>
          <w:vertAlign w:val="superscript"/>
          <w:lang w:val="fr-FR"/>
        </w:rPr>
        <w:t>o</w:t>
      </w:r>
      <w:r w:rsidRPr="00432BEA" w:rsidR="007657C3">
        <w:rPr>
          <w:lang w:val="fr-FR"/>
        </w:rPr>
        <w:t xml:space="preserve"> </w:t>
      </w:r>
      <w:r w:rsidRPr="00432BEA">
        <w:rPr>
          <w:lang w:val="fr-FR"/>
        </w:rPr>
        <w:t>1 un grief aux termes duquel il a été privé, en tout ou en partie et pour un motif discriminatoire visé à l</w:t>
      </w:r>
      <w:r w:rsidRPr="00432BEA" w:rsidR="00432BEA">
        <w:rPr>
          <w:lang w:val="fr-FR"/>
        </w:rPr>
        <w:t>’</w:t>
      </w:r>
      <w:r w:rsidRPr="00432BEA">
        <w:rPr>
          <w:lang w:val="fr-FR"/>
        </w:rPr>
        <w:t>article 14, d</w:t>
      </w:r>
      <w:r w:rsidRPr="00432BEA" w:rsidR="00432BEA">
        <w:rPr>
          <w:lang w:val="fr-FR"/>
        </w:rPr>
        <w:t>’</w:t>
      </w:r>
      <w:r w:rsidRPr="00432BEA">
        <w:rPr>
          <w:lang w:val="fr-FR"/>
        </w:rPr>
        <w:t>une valeur patrimoniale, le critère pertinent consiste à rechercher si, n</w:t>
      </w:r>
      <w:r w:rsidRPr="00432BEA" w:rsidR="00432BEA">
        <w:rPr>
          <w:lang w:val="fr-FR"/>
        </w:rPr>
        <w:t>’</w:t>
      </w:r>
      <w:r w:rsidRPr="00432BEA">
        <w:rPr>
          <w:lang w:val="fr-FR"/>
        </w:rPr>
        <w:t>eût été ce motif discriminatoire, l</w:t>
      </w:r>
      <w:r w:rsidRPr="00432BEA" w:rsidR="00432BEA">
        <w:rPr>
          <w:lang w:val="fr-FR"/>
        </w:rPr>
        <w:t>’</w:t>
      </w:r>
      <w:r w:rsidRPr="00432BEA">
        <w:rPr>
          <w:lang w:val="fr-FR"/>
        </w:rPr>
        <w:t xml:space="preserve">intéressé aurait eu un droit, sanctionnable par les tribunaux internes, sur cette valeur patrimoniale (voir, </w:t>
      </w:r>
      <w:r w:rsidRPr="00432BEA">
        <w:rPr>
          <w:i/>
          <w:lang w:val="fr-FR"/>
        </w:rPr>
        <w:t>mutatis mutandis</w:t>
      </w:r>
      <w:r w:rsidRPr="00432BEA">
        <w:rPr>
          <w:lang w:val="fr-FR"/>
        </w:rPr>
        <w:t xml:space="preserve">, </w:t>
      </w:r>
      <w:r w:rsidRPr="00432BEA" w:rsidR="00587B2A">
        <w:rPr>
          <w:i/>
          <w:lang w:val="fr-FR"/>
        </w:rPr>
        <w:t>Stec et autres c. Royaume</w:t>
      </w:r>
      <w:r w:rsidRPr="00432BEA" w:rsidR="00587B2A">
        <w:rPr>
          <w:i/>
          <w:lang w:val="fr-FR"/>
        </w:rPr>
        <w:noBreakHyphen/>
      </w:r>
      <w:r w:rsidRPr="00432BEA">
        <w:rPr>
          <w:i/>
          <w:lang w:val="fr-FR"/>
        </w:rPr>
        <w:t xml:space="preserve">Uni </w:t>
      </w:r>
      <w:r w:rsidRPr="00432BEA" w:rsidR="0031654B">
        <w:rPr>
          <w:lang w:val="fr-FR"/>
        </w:rPr>
        <w:t>(déc.) [GC], n</w:t>
      </w:r>
      <w:r w:rsidRPr="00432BEA" w:rsidR="002B0690">
        <w:rPr>
          <w:vertAlign w:val="superscript"/>
          <w:lang w:val="fr-FR"/>
        </w:rPr>
        <w:t>o</w:t>
      </w:r>
      <w:r w:rsidRPr="00432BEA" w:rsidR="0031654B">
        <w:rPr>
          <w:vertAlign w:val="superscript"/>
          <w:lang w:val="fr-FR"/>
        </w:rPr>
        <w:t>s</w:t>
      </w:r>
      <w:r w:rsidRPr="00432BEA">
        <w:rPr>
          <w:lang w:val="fr-FR"/>
        </w:rPr>
        <w:t xml:space="preserve"> </w:t>
      </w:r>
      <w:hyperlink w:tgtFrame="_blank" w:history="1" w:anchor="{&quot;appno&quot;:[&quot;65731/01&quot;]}" r:id="rId11">
        <w:r w:rsidRPr="00432BEA">
          <w:rPr>
            <w:lang w:val="fr-FR"/>
          </w:rPr>
          <w:t>65731/01</w:t>
        </w:r>
      </w:hyperlink>
      <w:r w:rsidRPr="00432BEA">
        <w:rPr>
          <w:lang w:val="fr-FR"/>
        </w:rPr>
        <w:t xml:space="preserve"> et </w:t>
      </w:r>
      <w:hyperlink w:tgtFrame="_blank" w:history="1" w:anchor="{&quot;appno&quot;:[&quot;65900/01&quot;]}" r:id="rId12">
        <w:r w:rsidRPr="00432BEA">
          <w:rPr>
            <w:lang w:val="fr-FR"/>
          </w:rPr>
          <w:t>65900/01</w:t>
        </w:r>
      </w:hyperlink>
      <w:r w:rsidRPr="00432BEA">
        <w:rPr>
          <w:lang w:val="fr-FR"/>
        </w:rPr>
        <w:t>, § 55, CEDH 2005</w:t>
      </w:r>
      <w:r w:rsidRPr="00432BEA">
        <w:rPr>
          <w:lang w:val="fr-FR"/>
        </w:rPr>
        <w:noBreakHyphen/>
        <w:t xml:space="preserve">X ; </w:t>
      </w:r>
      <w:r w:rsidRPr="00432BEA">
        <w:rPr>
          <w:i/>
          <w:lang w:val="fr-FR"/>
        </w:rPr>
        <w:t>Fabris</w:t>
      </w:r>
      <w:r w:rsidRPr="00432BEA">
        <w:rPr>
          <w:lang w:val="fr-FR"/>
        </w:rPr>
        <w:t>, précité, § 52</w:t>
      </w:r>
      <w:r w:rsidRPr="00432BEA" w:rsidR="007657C3">
        <w:rPr>
          <w:lang w:val="fr-FR"/>
        </w:rPr>
        <w:t>).</w:t>
      </w:r>
    </w:p>
    <w:p w:rsidRPr="00432BEA" w:rsidR="001F194B" w:rsidP="00432BEA" w:rsidRDefault="007657C3">
      <w:pPr>
        <w:pStyle w:val="ECHRPara"/>
        <w:rPr>
          <w:i/>
          <w:lang w:val="pt-PT"/>
        </w:rPr>
      </w:pPr>
      <w:r w:rsidRPr="00432BEA">
        <w:fldChar w:fldCharType="begin"/>
      </w:r>
      <w:r w:rsidRPr="00432BEA">
        <w:rPr>
          <w:lang w:val="fr-FR"/>
        </w:rPr>
        <w:instrText xml:space="preserve"> SEQ level0 \*arabic </w:instrText>
      </w:r>
      <w:r w:rsidRPr="00432BEA">
        <w:fldChar w:fldCharType="separate"/>
      </w:r>
      <w:r w:rsidRPr="00432BEA" w:rsidR="00432BEA">
        <w:rPr>
          <w:noProof/>
          <w:lang w:val="fr-FR"/>
        </w:rPr>
        <w:t>103</w:t>
      </w:r>
      <w:r w:rsidRPr="00432BEA">
        <w:fldChar w:fldCharType="end"/>
      </w:r>
      <w:r w:rsidRPr="00432BEA">
        <w:rPr>
          <w:lang w:val="fr-FR"/>
        </w:rPr>
        <w:t>.  </w:t>
      </w:r>
      <w:r w:rsidRPr="00432BEA" w:rsidR="001E5E49">
        <w:rPr>
          <w:lang w:val="fr-FR"/>
        </w:rPr>
        <w:t>La Cour rappelle qu</w:t>
      </w:r>
      <w:r w:rsidRPr="00432BEA" w:rsidR="00432BEA">
        <w:rPr>
          <w:lang w:val="fr-FR"/>
        </w:rPr>
        <w:t>’</w:t>
      </w:r>
      <w:r w:rsidRPr="00432BEA" w:rsidR="001E5E49">
        <w:rPr>
          <w:lang w:val="fr-FR"/>
        </w:rPr>
        <w:t>une différence de traitement ne pourra soulever un problème du point de vue de l</w:t>
      </w:r>
      <w:r w:rsidRPr="00432BEA" w:rsidR="00432BEA">
        <w:rPr>
          <w:lang w:val="fr-FR"/>
        </w:rPr>
        <w:t>’</w:t>
      </w:r>
      <w:r w:rsidRPr="00432BEA" w:rsidR="001E5E49">
        <w:rPr>
          <w:lang w:val="fr-FR"/>
        </w:rPr>
        <w:t>interdiction de la discrimination telle que prévue à l</w:t>
      </w:r>
      <w:r w:rsidRPr="00432BEA" w:rsidR="00432BEA">
        <w:rPr>
          <w:lang w:val="fr-FR"/>
        </w:rPr>
        <w:t>’</w:t>
      </w:r>
      <w:r w:rsidRPr="00432BEA" w:rsidR="001E5E49">
        <w:rPr>
          <w:lang w:val="fr-FR"/>
        </w:rPr>
        <w:t xml:space="preserve">article 14 de la Convention que si les personnes soumises à des traitements différents se trouvent dans des situations comparables, compte tenu des éléments caractéristiques de leur situation dans le contexte donné </w:t>
      </w:r>
      <w:r w:rsidRPr="00432BEA" w:rsidR="001F194B">
        <w:rPr>
          <w:lang w:val="fr-FR"/>
        </w:rPr>
        <w:t>(</w:t>
      </w:r>
      <w:r w:rsidRPr="00432BEA" w:rsidR="002B1984">
        <w:rPr>
          <w:i/>
          <w:lang w:val="pt-PT"/>
        </w:rPr>
        <w:t xml:space="preserve">Fábián </w:t>
      </w:r>
      <w:r w:rsidRPr="00432BEA" w:rsidR="002B1984">
        <w:rPr>
          <w:i/>
          <w:iCs/>
          <w:lang w:val="pt-PT"/>
        </w:rPr>
        <w:t>c. Hongrie</w:t>
      </w:r>
      <w:r w:rsidRPr="00432BEA" w:rsidR="002B1984">
        <w:rPr>
          <w:iCs/>
          <w:lang w:val="pt-PT"/>
        </w:rPr>
        <w:t xml:space="preserve"> [GC]</w:t>
      </w:r>
      <w:r w:rsidRPr="00432BEA" w:rsidR="002B1984">
        <w:rPr>
          <w:lang w:val="pt-PT" w:eastAsia="en-GB"/>
        </w:rPr>
        <w:t xml:space="preserve">, </w:t>
      </w:r>
      <w:r w:rsidRPr="00432BEA" w:rsidR="002B1984">
        <w:rPr>
          <w:lang w:val="pt-PT"/>
        </w:rPr>
        <w:t>n</w:t>
      </w:r>
      <w:r w:rsidRPr="00432BEA" w:rsidR="002B1984">
        <w:rPr>
          <w:vertAlign w:val="superscript"/>
          <w:lang w:val="pt-PT"/>
        </w:rPr>
        <w:t>o</w:t>
      </w:r>
      <w:r w:rsidRPr="00432BEA" w:rsidR="0031654B">
        <w:rPr>
          <w:lang w:val="pt-PT"/>
        </w:rPr>
        <w:t xml:space="preserve"> 78117/13, § 121, 5 </w:t>
      </w:r>
      <w:r w:rsidRPr="00432BEA" w:rsidR="002B1984">
        <w:rPr>
          <w:lang w:val="pt-PT"/>
        </w:rPr>
        <w:t xml:space="preserve">septembre 2017, </w:t>
      </w:r>
      <w:r w:rsidRPr="00432BEA" w:rsidR="001F194B">
        <w:rPr>
          <w:i/>
          <w:lang w:val="fr-FR"/>
        </w:rPr>
        <w:t>D.H. et autres c. République tchèque</w:t>
      </w:r>
      <w:r w:rsidRPr="00432BEA" w:rsidR="0031654B">
        <w:rPr>
          <w:lang w:val="fr-FR"/>
        </w:rPr>
        <w:t xml:space="preserve"> [GC], n</w:t>
      </w:r>
      <w:r w:rsidRPr="00432BEA" w:rsidR="002B0690">
        <w:rPr>
          <w:vertAlign w:val="superscript"/>
          <w:lang w:val="fr-FR"/>
        </w:rPr>
        <w:t>o</w:t>
      </w:r>
      <w:r w:rsidRPr="00432BEA" w:rsidR="001F194B">
        <w:rPr>
          <w:lang w:val="fr-FR"/>
        </w:rPr>
        <w:t xml:space="preserve"> </w:t>
      </w:r>
      <w:hyperlink w:tgtFrame="_blank" w:history="1" w:anchor="{&quot;appno&quot;:[&quot;57325/00&quot;]}" r:id="rId13">
        <w:r w:rsidRPr="00432BEA" w:rsidR="001F194B">
          <w:rPr>
            <w:lang w:val="fr-FR"/>
          </w:rPr>
          <w:t>57325/00</w:t>
        </w:r>
      </w:hyperlink>
      <w:r w:rsidRPr="00432BEA" w:rsidR="001F194B">
        <w:rPr>
          <w:lang w:val="fr-FR"/>
        </w:rPr>
        <w:t xml:space="preserve">, </w:t>
      </w:r>
      <w:r w:rsidRPr="00432BEA" w:rsidR="0031654B">
        <w:rPr>
          <w:lang w:val="fr-FR"/>
        </w:rPr>
        <w:t>§ </w:t>
      </w:r>
      <w:r w:rsidRPr="00432BEA" w:rsidR="001F194B">
        <w:rPr>
          <w:lang w:val="fr-FR"/>
        </w:rPr>
        <w:t xml:space="preserve">175, CEDH 2007-IV). </w:t>
      </w:r>
      <w:r w:rsidRPr="00432BEA" w:rsidR="001E5E49">
        <w:rPr>
          <w:lang w:val="fr-FR"/>
        </w:rPr>
        <w:t>Les éléments qui caractérisent des situations différentes et déterminent leur comparabilité doivent être appréciés à la lumière du domaine concerné et de la finalité de la mesure qui opère la distinction en cause (</w:t>
      </w:r>
      <w:r w:rsidRPr="00432BEA" w:rsidR="001E5E49">
        <w:rPr>
          <w:i/>
          <w:lang w:val="fr-FR"/>
        </w:rPr>
        <w:t>Fabian</w:t>
      </w:r>
      <w:r w:rsidRPr="00432BEA" w:rsidR="001E5E49">
        <w:rPr>
          <w:lang w:val="fr-FR"/>
        </w:rPr>
        <w:t xml:space="preserve">, précité, § 121). </w:t>
      </w:r>
      <w:r w:rsidRPr="00432BEA" w:rsidR="001F194B">
        <w:rPr>
          <w:lang w:val="fr-FR"/>
        </w:rPr>
        <w:t>Une telle distinction est discriminatoire si elle manque de justification objective et raisonnable, c</w:t>
      </w:r>
      <w:r w:rsidRPr="00432BEA" w:rsidR="00432BEA">
        <w:rPr>
          <w:lang w:val="fr-FR"/>
        </w:rPr>
        <w:t>’</w:t>
      </w:r>
      <w:r w:rsidRPr="00432BEA" w:rsidR="001F194B">
        <w:rPr>
          <w:lang w:val="fr-FR"/>
        </w:rPr>
        <w:t>est-à-dire si elle ne poursuit pas un but légitime ou s</w:t>
      </w:r>
      <w:r w:rsidRPr="00432BEA" w:rsidR="00432BEA">
        <w:rPr>
          <w:lang w:val="fr-FR"/>
        </w:rPr>
        <w:t>’</w:t>
      </w:r>
      <w:r w:rsidRPr="00432BEA" w:rsidR="001F194B">
        <w:rPr>
          <w:lang w:val="fr-FR"/>
        </w:rPr>
        <w:t>il n</w:t>
      </w:r>
      <w:r w:rsidRPr="00432BEA" w:rsidR="00432BEA">
        <w:rPr>
          <w:lang w:val="fr-FR"/>
        </w:rPr>
        <w:t>’</w:t>
      </w:r>
      <w:r w:rsidRPr="00432BEA" w:rsidR="001F194B">
        <w:rPr>
          <w:lang w:val="fr-FR"/>
        </w:rPr>
        <w:t xml:space="preserve">y a pas un rapport raisonnable de proportionnalité entre les moyens employés et le but visé. Par ailleurs, les </w:t>
      </w:r>
      <w:r w:rsidRPr="00432BEA" w:rsidR="00587B2A">
        <w:rPr>
          <w:lang w:val="fr-FR"/>
        </w:rPr>
        <w:t>États</w:t>
      </w:r>
      <w:r w:rsidRPr="00432BEA" w:rsidR="001F194B">
        <w:rPr>
          <w:lang w:val="fr-FR"/>
        </w:rPr>
        <w:t xml:space="preserve"> contractants jouissent d</w:t>
      </w:r>
      <w:r w:rsidRPr="00432BEA" w:rsidR="00432BEA">
        <w:rPr>
          <w:lang w:val="fr-FR"/>
        </w:rPr>
        <w:t>’</w:t>
      </w:r>
      <w:r w:rsidRPr="00432BEA" w:rsidR="001F194B">
        <w:rPr>
          <w:lang w:val="fr-FR"/>
        </w:rPr>
        <w:t>une certaine marge d</w:t>
      </w:r>
      <w:r w:rsidRPr="00432BEA" w:rsidR="00432BEA">
        <w:rPr>
          <w:lang w:val="fr-FR"/>
        </w:rPr>
        <w:t>’</w:t>
      </w:r>
      <w:r w:rsidRPr="00432BEA" w:rsidR="001F194B">
        <w:rPr>
          <w:lang w:val="fr-FR"/>
        </w:rPr>
        <w:t>appréciation pour déterminer si et dans quelle mesure des différences entre des situations à d</w:t>
      </w:r>
      <w:r w:rsidRPr="00432BEA" w:rsidR="00432BEA">
        <w:rPr>
          <w:lang w:val="fr-FR"/>
        </w:rPr>
        <w:t>’</w:t>
      </w:r>
      <w:r w:rsidRPr="00432BEA" w:rsidR="001F194B">
        <w:rPr>
          <w:lang w:val="fr-FR"/>
        </w:rPr>
        <w:t>autres égards analogues justifient des distinctions de traitement ; cette marge est d</w:t>
      </w:r>
      <w:r w:rsidRPr="00432BEA" w:rsidR="00432BEA">
        <w:rPr>
          <w:lang w:val="fr-FR"/>
        </w:rPr>
        <w:t>’</w:t>
      </w:r>
      <w:r w:rsidRPr="00432BEA" w:rsidR="001F194B">
        <w:rPr>
          <w:lang w:val="fr-FR"/>
        </w:rPr>
        <w:t>ordinaire ample lorsqu</w:t>
      </w:r>
      <w:r w:rsidRPr="00432BEA" w:rsidR="00432BEA">
        <w:rPr>
          <w:lang w:val="fr-FR"/>
        </w:rPr>
        <w:t>’</w:t>
      </w:r>
      <w:r w:rsidRPr="00432BEA" w:rsidR="001F194B">
        <w:rPr>
          <w:lang w:val="fr-FR"/>
        </w:rPr>
        <w:t>il s</w:t>
      </w:r>
      <w:r w:rsidRPr="00432BEA" w:rsidR="00432BEA">
        <w:rPr>
          <w:lang w:val="fr-FR"/>
        </w:rPr>
        <w:t>’</w:t>
      </w:r>
      <w:r w:rsidRPr="00432BEA" w:rsidR="001F194B">
        <w:rPr>
          <w:lang w:val="fr-FR"/>
        </w:rPr>
        <w:t>agit de prendre des mesures d</w:t>
      </w:r>
      <w:r w:rsidRPr="00432BEA" w:rsidR="00432BEA">
        <w:rPr>
          <w:lang w:val="fr-FR"/>
        </w:rPr>
        <w:t>’</w:t>
      </w:r>
      <w:r w:rsidRPr="00432BEA" w:rsidR="001F194B">
        <w:rPr>
          <w:lang w:val="fr-FR"/>
        </w:rPr>
        <w:t>ordre général en matière économique ou sociale (</w:t>
      </w:r>
      <w:r w:rsidRPr="00432BEA" w:rsidR="001F194B">
        <w:rPr>
          <w:i/>
          <w:lang w:val="fr-FR"/>
        </w:rPr>
        <w:t>Stec et autres c.</w:t>
      </w:r>
      <w:r w:rsidRPr="00432BEA" w:rsidR="0031654B">
        <w:rPr>
          <w:i/>
          <w:lang w:val="fr-FR"/>
        </w:rPr>
        <w:t> </w:t>
      </w:r>
      <w:r w:rsidRPr="00432BEA">
        <w:rPr>
          <w:i/>
          <w:lang w:val="fr-FR"/>
        </w:rPr>
        <w:t>Royaume-Uni</w:t>
      </w:r>
      <w:r w:rsidRPr="00432BEA">
        <w:rPr>
          <w:lang w:val="fr-FR"/>
        </w:rPr>
        <w:t xml:space="preserve"> [GC], n</w:t>
      </w:r>
      <w:r w:rsidRPr="00432BEA">
        <w:rPr>
          <w:vertAlign w:val="superscript"/>
          <w:lang w:val="fr-FR"/>
        </w:rPr>
        <w:t xml:space="preserve">os </w:t>
      </w:r>
      <w:r w:rsidRPr="00432BEA">
        <w:rPr>
          <w:lang w:val="fr-FR"/>
        </w:rPr>
        <w:t>65731/01 et 65900/01</w:t>
      </w:r>
      <w:r w:rsidRPr="00432BEA" w:rsidR="001F194B">
        <w:rPr>
          <w:lang w:val="fr-FR"/>
        </w:rPr>
        <w:t>, §§ 51-52, CEDH 2006</w:t>
      </w:r>
      <w:r w:rsidRPr="00432BEA" w:rsidR="001F194B">
        <w:rPr>
          <w:lang w:val="fr-FR"/>
        </w:rPr>
        <w:noBreakHyphen/>
        <w:t>VI).</w:t>
      </w:r>
    </w:p>
    <w:p w:rsidRPr="00432BEA" w:rsidR="0079348F" w:rsidP="00432BEA" w:rsidRDefault="0079348F">
      <w:pPr>
        <w:pStyle w:val="ECHRPara"/>
        <w:rPr>
          <w:snapToGrid w:val="0"/>
          <w:lang w:val="fr-FR"/>
        </w:rPr>
      </w:pPr>
      <w:r w:rsidRPr="00432BEA">
        <w:rPr>
          <w:lang w:val="fr-FR"/>
        </w:rPr>
        <w:fldChar w:fldCharType="begin"/>
      </w:r>
      <w:r w:rsidRPr="00432BEA">
        <w:rPr>
          <w:lang w:val="fr-FR"/>
        </w:rPr>
        <w:instrText xml:space="preserve"> SEQ level0 \*arabic </w:instrText>
      </w:r>
      <w:r w:rsidRPr="00432BEA">
        <w:rPr>
          <w:lang w:val="fr-FR"/>
        </w:rPr>
        <w:fldChar w:fldCharType="separate"/>
      </w:r>
      <w:r w:rsidRPr="00432BEA" w:rsidR="00432BEA">
        <w:rPr>
          <w:noProof/>
          <w:lang w:val="fr-FR"/>
        </w:rPr>
        <w:t>104</w:t>
      </w:r>
      <w:r w:rsidRPr="00432BEA">
        <w:rPr>
          <w:lang w:val="fr-FR"/>
        </w:rPr>
        <w:fldChar w:fldCharType="end"/>
      </w:r>
      <w:r w:rsidRPr="00432BEA">
        <w:rPr>
          <w:lang w:val="fr-FR"/>
        </w:rPr>
        <w:t>.  </w:t>
      </w:r>
      <w:r w:rsidRPr="00432BEA" w:rsidR="00C6130F">
        <w:rPr>
          <w:lang w:val="fr-FR"/>
        </w:rPr>
        <w:t>À supposer que la requérante puisse se prétendre titulaire d</w:t>
      </w:r>
      <w:r w:rsidRPr="00432BEA" w:rsidR="00432BEA">
        <w:rPr>
          <w:lang w:val="fr-FR"/>
        </w:rPr>
        <w:t>’</w:t>
      </w:r>
      <w:r w:rsidRPr="00432BEA" w:rsidR="00C6130F">
        <w:rPr>
          <w:lang w:val="fr-FR"/>
        </w:rPr>
        <w:t>un « bien », qui rend l</w:t>
      </w:r>
      <w:r w:rsidRPr="00432BEA" w:rsidR="00432BEA">
        <w:rPr>
          <w:lang w:val="fr-FR"/>
        </w:rPr>
        <w:t>’</w:t>
      </w:r>
      <w:r w:rsidRPr="00432BEA" w:rsidR="00C6130F">
        <w:rPr>
          <w:lang w:val="fr-FR"/>
        </w:rPr>
        <w:t>article 14 de la Convention applicable à l</w:t>
      </w:r>
      <w:r w:rsidRPr="00432BEA" w:rsidR="00432BEA">
        <w:rPr>
          <w:lang w:val="fr-FR"/>
        </w:rPr>
        <w:t>’</w:t>
      </w:r>
      <w:r w:rsidRPr="00432BEA" w:rsidR="00C6130F">
        <w:rPr>
          <w:lang w:val="fr-FR"/>
        </w:rPr>
        <w:t xml:space="preserve">espèce, </w:t>
      </w:r>
      <w:r w:rsidRPr="00432BEA" w:rsidR="00A954A5">
        <w:rPr>
          <w:lang w:val="fr-FR"/>
        </w:rPr>
        <w:t>et que le motif discriminatoire qu</w:t>
      </w:r>
      <w:r w:rsidRPr="00432BEA" w:rsidR="00432BEA">
        <w:rPr>
          <w:lang w:val="fr-FR"/>
        </w:rPr>
        <w:t>’</w:t>
      </w:r>
      <w:r w:rsidRPr="00432BEA" w:rsidR="00A954A5">
        <w:rPr>
          <w:lang w:val="fr-FR"/>
        </w:rPr>
        <w:t xml:space="preserve">elle invoque constitue « une autre situation » au sens de cette disposition, </w:t>
      </w:r>
      <w:r w:rsidRPr="00432BEA" w:rsidR="00C6130F">
        <w:rPr>
          <w:lang w:val="fr-FR"/>
        </w:rPr>
        <w:t>la Cour estime en tout état de cause que le grief doit être rejeté pour défaut manifestement de fondement pour la raison suivante. La Cour relève que le</w:t>
      </w:r>
      <w:r w:rsidRPr="00432BEA" w:rsidR="00D2014C">
        <w:rPr>
          <w:lang w:val="fr-FR"/>
        </w:rPr>
        <w:t xml:space="preserve"> TASS et la cour d</w:t>
      </w:r>
      <w:r w:rsidRPr="00432BEA" w:rsidR="00432BEA">
        <w:rPr>
          <w:lang w:val="fr-FR"/>
        </w:rPr>
        <w:t>’</w:t>
      </w:r>
      <w:r w:rsidRPr="00432BEA" w:rsidR="00D2014C">
        <w:rPr>
          <w:lang w:val="fr-FR"/>
        </w:rPr>
        <w:t>appel</w:t>
      </w:r>
      <w:r w:rsidRPr="00432BEA" w:rsidR="00C6130F">
        <w:rPr>
          <w:lang w:val="fr-FR"/>
        </w:rPr>
        <w:t xml:space="preserve"> </w:t>
      </w:r>
      <w:r w:rsidRPr="00432BEA" w:rsidR="00D2014C">
        <w:rPr>
          <w:lang w:val="fr-FR"/>
        </w:rPr>
        <w:t xml:space="preserve">ont </w:t>
      </w:r>
      <w:r w:rsidRPr="00432BEA" w:rsidR="00A954A5">
        <w:rPr>
          <w:lang w:val="fr-FR"/>
        </w:rPr>
        <w:t>établi</w:t>
      </w:r>
      <w:r w:rsidRPr="00432BEA" w:rsidR="00D2014C">
        <w:rPr>
          <w:lang w:val="fr-FR"/>
        </w:rPr>
        <w:t xml:space="preserve"> la différence entre un foyer médicalisé</w:t>
      </w:r>
      <w:r w:rsidRPr="00432BEA" w:rsidR="00A954A5">
        <w:rPr>
          <w:lang w:val="fr-FR"/>
        </w:rPr>
        <w:t xml:space="preserve"> et un foyer-logement</w:t>
      </w:r>
      <w:r w:rsidRPr="00432BEA" w:rsidR="005F53B1">
        <w:rPr>
          <w:lang w:val="fr-FR"/>
        </w:rPr>
        <w:t>,</w:t>
      </w:r>
      <w:r w:rsidRPr="00432BEA" w:rsidR="00A954A5">
        <w:rPr>
          <w:lang w:val="fr-FR"/>
        </w:rPr>
        <w:t xml:space="preserve"> en soulignant que le contrat de séjour signé par les personnes hébergées dans le premier est exclusif d</w:t>
      </w:r>
      <w:r w:rsidRPr="00432BEA" w:rsidR="00432BEA">
        <w:rPr>
          <w:lang w:val="fr-FR"/>
        </w:rPr>
        <w:t>’</w:t>
      </w:r>
      <w:r w:rsidRPr="00432BEA" w:rsidR="00A954A5">
        <w:rPr>
          <w:lang w:val="fr-FR"/>
        </w:rPr>
        <w:t>un maintien à domicile proprement dit</w:t>
      </w:r>
      <w:r w:rsidRPr="00432BEA" w:rsidR="00AD2CCB">
        <w:rPr>
          <w:lang w:val="fr-FR"/>
        </w:rPr>
        <w:t xml:space="preserve"> (paragraphe</w:t>
      </w:r>
      <w:r w:rsidRPr="00432BEA" w:rsidR="005F53B1">
        <w:rPr>
          <w:lang w:val="fr-FR"/>
        </w:rPr>
        <w:t xml:space="preserve"> 29</w:t>
      </w:r>
      <w:r w:rsidRPr="00432BEA" w:rsidR="00AD2CCB">
        <w:rPr>
          <w:lang w:val="fr-FR"/>
        </w:rPr>
        <w:t xml:space="preserve"> ci-dessus). </w:t>
      </w:r>
      <w:r w:rsidRPr="00432BEA" w:rsidR="005F53B1">
        <w:rPr>
          <w:lang w:val="fr-FR"/>
        </w:rPr>
        <w:t xml:space="preserve">Elle note que le Gouvernement confirme que les foyers médicalisés </w:t>
      </w:r>
      <w:r w:rsidRPr="00432BEA" w:rsidR="006862E5">
        <w:rPr>
          <w:lang w:val="fr-FR"/>
        </w:rPr>
        <w:t xml:space="preserve">ne </w:t>
      </w:r>
      <w:r w:rsidRPr="00432BEA" w:rsidR="005F53B1">
        <w:rPr>
          <w:lang w:val="fr-FR"/>
        </w:rPr>
        <w:t xml:space="preserve">sont </w:t>
      </w:r>
      <w:r w:rsidRPr="00432BEA" w:rsidR="006862E5">
        <w:rPr>
          <w:lang w:val="fr-FR"/>
        </w:rPr>
        <w:t xml:space="preserve">pas </w:t>
      </w:r>
      <w:r w:rsidRPr="00432BEA" w:rsidR="005F53B1">
        <w:rPr>
          <w:lang w:val="fr-FR"/>
        </w:rPr>
        <w:t>des structures</w:t>
      </w:r>
      <w:r w:rsidRPr="00432BEA" w:rsidR="006862E5">
        <w:rPr>
          <w:lang w:val="fr-FR"/>
        </w:rPr>
        <w:t xml:space="preserve"> d</w:t>
      </w:r>
      <w:r w:rsidRPr="00432BEA" w:rsidR="00432BEA">
        <w:rPr>
          <w:lang w:val="fr-FR"/>
        </w:rPr>
        <w:t>’</w:t>
      </w:r>
      <w:r w:rsidRPr="00432BEA" w:rsidR="006862E5">
        <w:rPr>
          <w:lang w:val="fr-FR"/>
        </w:rPr>
        <w:t>hébergement à usage privatif</w:t>
      </w:r>
      <w:r w:rsidRPr="00432BEA" w:rsidR="00587B2A">
        <w:rPr>
          <w:lang w:val="fr-FR"/>
        </w:rPr>
        <w:t xml:space="preserve"> comme le sont les foyers</w:t>
      </w:r>
      <w:r w:rsidRPr="00432BEA" w:rsidR="00587B2A">
        <w:rPr>
          <w:lang w:val="fr-FR"/>
        </w:rPr>
        <w:noBreakHyphen/>
      </w:r>
      <w:r w:rsidRPr="00432BEA" w:rsidR="004422D2">
        <w:rPr>
          <w:lang w:val="fr-FR"/>
        </w:rPr>
        <w:t xml:space="preserve">logements. </w:t>
      </w:r>
      <w:r w:rsidRPr="00432BEA" w:rsidR="00AD2CCB">
        <w:rPr>
          <w:lang w:val="fr-FR"/>
        </w:rPr>
        <w:t>Dans ces conditions</w:t>
      </w:r>
      <w:r w:rsidRPr="00432BEA" w:rsidR="005F53B1">
        <w:rPr>
          <w:lang w:val="fr-FR"/>
        </w:rPr>
        <w:t>, et compte tenu du peu d</w:t>
      </w:r>
      <w:r w:rsidRPr="00432BEA" w:rsidR="00432BEA">
        <w:rPr>
          <w:lang w:val="fr-FR"/>
        </w:rPr>
        <w:t>’</w:t>
      </w:r>
      <w:r w:rsidRPr="00432BEA" w:rsidR="005F53B1">
        <w:rPr>
          <w:lang w:val="fr-FR"/>
        </w:rPr>
        <w:t>éléments apportés</w:t>
      </w:r>
      <w:r w:rsidRPr="00432BEA" w:rsidR="006862E5">
        <w:rPr>
          <w:lang w:val="fr-FR"/>
        </w:rPr>
        <w:t xml:space="preserve"> par</w:t>
      </w:r>
      <w:r w:rsidRPr="00432BEA" w:rsidR="004422D2">
        <w:rPr>
          <w:lang w:val="fr-FR"/>
        </w:rPr>
        <w:t xml:space="preserve"> la requérante pour justifier qu</w:t>
      </w:r>
      <w:r w:rsidRPr="00432BEA" w:rsidR="00432BEA">
        <w:rPr>
          <w:lang w:val="fr-FR"/>
        </w:rPr>
        <w:t>’</w:t>
      </w:r>
      <w:r w:rsidRPr="00432BEA" w:rsidR="004422D2">
        <w:rPr>
          <w:lang w:val="fr-FR"/>
        </w:rPr>
        <w:t>elle se trouve dans une situation analogue ou comparable aux structures bénéficiant de l</w:t>
      </w:r>
      <w:r w:rsidRPr="00432BEA" w:rsidR="00432BEA">
        <w:rPr>
          <w:lang w:val="fr-FR"/>
        </w:rPr>
        <w:t>’</w:t>
      </w:r>
      <w:r w:rsidRPr="00432BEA" w:rsidR="004422D2">
        <w:rPr>
          <w:lang w:val="fr-FR"/>
        </w:rPr>
        <w:t xml:space="preserve">exonération, </w:t>
      </w:r>
      <w:r w:rsidRPr="00432BEA" w:rsidR="005F53B1">
        <w:rPr>
          <w:lang w:val="fr-FR"/>
        </w:rPr>
        <w:t xml:space="preserve">la Cour </w:t>
      </w:r>
      <w:r w:rsidRPr="00432BEA" w:rsidR="004422D2">
        <w:rPr>
          <w:lang w:val="fr-FR"/>
        </w:rPr>
        <w:t>considère que tel n</w:t>
      </w:r>
      <w:r w:rsidRPr="00432BEA" w:rsidR="00432BEA">
        <w:rPr>
          <w:lang w:val="fr-FR"/>
        </w:rPr>
        <w:t>’</w:t>
      </w:r>
      <w:r w:rsidRPr="00432BEA" w:rsidR="004422D2">
        <w:rPr>
          <w:lang w:val="fr-FR"/>
        </w:rPr>
        <w:t>est pas le cas. Partant, le grief est irrecevable</w:t>
      </w:r>
      <w:r w:rsidRPr="00432BEA">
        <w:rPr>
          <w:lang w:val="fr-FR"/>
        </w:rPr>
        <w:t xml:space="preserve"> et</w:t>
      </w:r>
      <w:r w:rsidRPr="00432BEA" w:rsidR="004422D2">
        <w:rPr>
          <w:lang w:val="fr-FR"/>
        </w:rPr>
        <w:t xml:space="preserve"> </w:t>
      </w:r>
      <w:r w:rsidRPr="00432BEA">
        <w:rPr>
          <w:lang w:val="fr-FR"/>
        </w:rPr>
        <w:t>doit être rejeté en application de l</w:t>
      </w:r>
      <w:r w:rsidRPr="00432BEA" w:rsidR="00432BEA">
        <w:rPr>
          <w:lang w:val="fr-FR"/>
        </w:rPr>
        <w:t>’</w:t>
      </w:r>
      <w:r w:rsidRPr="00432BEA">
        <w:rPr>
          <w:lang w:val="fr-FR"/>
        </w:rPr>
        <w:t xml:space="preserve">article 35 </w:t>
      </w:r>
      <w:r w:rsidRPr="00432BEA" w:rsidR="004422D2">
        <w:rPr>
          <w:lang w:val="fr-FR"/>
        </w:rPr>
        <w:t>§</w:t>
      </w:r>
      <w:r w:rsidRPr="00432BEA">
        <w:rPr>
          <w:lang w:val="fr-FR"/>
        </w:rPr>
        <w:t>§</w:t>
      </w:r>
      <w:r w:rsidRPr="00432BEA" w:rsidR="004422D2">
        <w:rPr>
          <w:lang w:val="fr-FR"/>
        </w:rPr>
        <w:t xml:space="preserve"> 3 </w:t>
      </w:r>
      <w:r w:rsidRPr="00432BEA" w:rsidR="00AF67DE">
        <w:rPr>
          <w:lang w:val="fr-FR"/>
        </w:rPr>
        <w:t xml:space="preserve">a) </w:t>
      </w:r>
      <w:r w:rsidRPr="00432BEA" w:rsidR="004422D2">
        <w:rPr>
          <w:lang w:val="fr-FR"/>
        </w:rPr>
        <w:t>et</w:t>
      </w:r>
      <w:r w:rsidRPr="00432BEA">
        <w:rPr>
          <w:lang w:val="fr-FR"/>
        </w:rPr>
        <w:t xml:space="preserve"> 4 de la Convention</w:t>
      </w:r>
      <w:r w:rsidRPr="00432BEA" w:rsidR="004422D2">
        <w:rPr>
          <w:lang w:val="fr-FR"/>
        </w:rPr>
        <w:t>.</w:t>
      </w:r>
    </w:p>
    <w:p w:rsidRPr="00432BEA" w:rsidR="00E77CB3" w:rsidP="00432BEA" w:rsidRDefault="00E77CB3">
      <w:pPr>
        <w:pStyle w:val="ECHRTitle1"/>
        <w:rPr>
          <w:lang w:val="fr-FR"/>
        </w:rPr>
      </w:pPr>
      <w:r w:rsidRPr="00432BEA">
        <w:rPr>
          <w:lang w:val="fr-FR"/>
        </w:rPr>
        <w:t>PAR CES MOTIFS, LA COUR</w:t>
      </w:r>
      <w:r w:rsidRPr="00432BEA" w:rsidR="00A050D6">
        <w:rPr>
          <w:lang w:val="fr-FR"/>
        </w:rPr>
        <w:t>, À L</w:t>
      </w:r>
      <w:r w:rsidRPr="00432BEA" w:rsidR="00432BEA">
        <w:rPr>
          <w:lang w:val="fr-FR"/>
        </w:rPr>
        <w:t>’</w:t>
      </w:r>
      <w:r w:rsidRPr="00432BEA" w:rsidR="00CE3825">
        <w:rPr>
          <w:lang w:val="fr-FR"/>
        </w:rPr>
        <w:t>UNANIMITÉ,</w:t>
      </w:r>
    </w:p>
    <w:p w:rsidRPr="00432BEA" w:rsidR="001F194B" w:rsidP="00432BEA" w:rsidRDefault="00CA586F">
      <w:pPr>
        <w:rPr>
          <w:rFonts w:eastAsiaTheme="majorEastAsia"/>
          <w:lang w:val="fr-FR"/>
        </w:rPr>
      </w:pPr>
      <w:r w:rsidRPr="00432BEA">
        <w:rPr>
          <w:rFonts w:eastAsiaTheme="majorEastAsia"/>
          <w:lang w:val="fr-FR"/>
        </w:rPr>
        <w:t>1.  </w:t>
      </w:r>
      <w:r w:rsidRPr="00432BEA" w:rsidR="001F194B">
        <w:rPr>
          <w:i/>
          <w:lang w:val="fr-FR"/>
        </w:rPr>
        <w:t>Décide</w:t>
      </w:r>
      <w:r w:rsidRPr="00432BEA" w:rsidR="001F194B">
        <w:rPr>
          <w:rFonts w:eastAsiaTheme="majorEastAsia"/>
          <w:lang w:val="fr-FR"/>
        </w:rPr>
        <w:t xml:space="preserve"> de joindre les requêtes ;</w:t>
      </w:r>
    </w:p>
    <w:p w:rsidRPr="00432BEA" w:rsidR="00CA586F" w:rsidP="00432BEA" w:rsidRDefault="00CA586F">
      <w:pPr>
        <w:rPr>
          <w:lang w:val="fr-FR"/>
        </w:rPr>
      </w:pPr>
    </w:p>
    <w:p w:rsidRPr="00432BEA" w:rsidR="007D22EB" w:rsidP="00432BEA" w:rsidRDefault="001F194B">
      <w:pPr>
        <w:pStyle w:val="JuList"/>
        <w:rPr>
          <w:lang w:val="fr-FR"/>
        </w:rPr>
      </w:pPr>
      <w:r w:rsidRPr="00432BEA">
        <w:rPr>
          <w:lang w:val="fr-FR"/>
        </w:rPr>
        <w:t>2</w:t>
      </w:r>
      <w:r w:rsidRPr="00432BEA" w:rsidR="00FB2B45">
        <w:rPr>
          <w:lang w:val="fr-FR"/>
        </w:rPr>
        <w:t>.  </w:t>
      </w:r>
      <w:r w:rsidRPr="00432BEA" w:rsidR="00FB2B45">
        <w:rPr>
          <w:i/>
          <w:lang w:val="fr-FR"/>
        </w:rPr>
        <w:t>Déclare</w:t>
      </w:r>
      <w:r w:rsidRPr="00432BEA" w:rsidR="00FB2B45">
        <w:rPr>
          <w:lang w:val="fr-FR"/>
        </w:rPr>
        <w:t xml:space="preserve"> </w:t>
      </w:r>
      <w:r w:rsidRPr="00432BEA" w:rsidR="00A050D6">
        <w:rPr>
          <w:lang w:val="fr-FR"/>
        </w:rPr>
        <w:t>les requêtes</w:t>
      </w:r>
      <w:r w:rsidRPr="00432BEA" w:rsidR="00B011D9">
        <w:rPr>
          <w:lang w:val="fr-FR"/>
        </w:rPr>
        <w:t xml:space="preserve"> n</w:t>
      </w:r>
      <w:r w:rsidRPr="00432BEA" w:rsidR="00B011D9">
        <w:rPr>
          <w:vertAlign w:val="superscript"/>
          <w:lang w:val="fr-FR"/>
        </w:rPr>
        <w:t>os</w:t>
      </w:r>
      <w:r w:rsidRPr="00432BEA" w:rsidR="00A050D6">
        <w:rPr>
          <w:lang w:val="fr-FR"/>
        </w:rPr>
        <w:t xml:space="preserve"> </w:t>
      </w:r>
      <w:r w:rsidRPr="00432BEA" w:rsidR="00B011D9">
        <w:rPr>
          <w:lang w:val="fr-FR"/>
        </w:rPr>
        <w:t>59003/13, 68916/13 et 5485/14</w:t>
      </w:r>
      <w:r w:rsidRPr="00432BEA" w:rsidR="003D2A4C">
        <w:rPr>
          <w:lang w:val="fr-FR"/>
        </w:rPr>
        <w:t xml:space="preserve"> irr</w:t>
      </w:r>
      <w:r w:rsidRPr="00432BEA" w:rsidR="00A050D6">
        <w:rPr>
          <w:lang w:val="fr-FR"/>
        </w:rPr>
        <w:t>ecevables</w:t>
      </w:r>
      <w:r w:rsidRPr="00432BEA" w:rsidR="003D2A4C">
        <w:rPr>
          <w:lang w:val="fr-FR"/>
        </w:rPr>
        <w:t>,</w:t>
      </w:r>
      <w:r w:rsidRPr="00432BEA" w:rsidR="00ED212C">
        <w:rPr>
          <w:lang w:val="fr-FR"/>
        </w:rPr>
        <w:t xml:space="preserve"> et</w:t>
      </w:r>
      <w:r w:rsidRPr="00432BEA" w:rsidR="003D2A4C">
        <w:rPr>
          <w:lang w:val="fr-FR"/>
        </w:rPr>
        <w:t xml:space="preserve"> les vingt-et-une autres requêtes recevables quant au grief relatif à l</w:t>
      </w:r>
      <w:r w:rsidRPr="00432BEA" w:rsidR="00432BEA">
        <w:rPr>
          <w:lang w:val="fr-FR"/>
        </w:rPr>
        <w:t>’</w:t>
      </w:r>
      <w:r w:rsidRPr="00432BEA" w:rsidR="003D2A4C">
        <w:rPr>
          <w:lang w:val="fr-FR"/>
        </w:rPr>
        <w:t>interférence législative</w:t>
      </w:r>
      <w:r w:rsidRPr="00432BEA" w:rsidR="00ED212C">
        <w:rPr>
          <w:lang w:val="fr-FR"/>
        </w:rPr>
        <w:t xml:space="preserve"> et irrecevables quant au grief tiré de l</w:t>
      </w:r>
      <w:r w:rsidRPr="00432BEA" w:rsidR="00432BEA">
        <w:rPr>
          <w:lang w:val="fr-FR"/>
        </w:rPr>
        <w:t>’</w:t>
      </w:r>
      <w:r w:rsidRPr="00432BEA" w:rsidR="00ED212C">
        <w:rPr>
          <w:lang w:val="fr-FR"/>
        </w:rPr>
        <w:t>article 14 de la Convention combiné avec l</w:t>
      </w:r>
      <w:r w:rsidRPr="00432BEA" w:rsidR="00432BEA">
        <w:rPr>
          <w:lang w:val="fr-FR"/>
        </w:rPr>
        <w:t>’</w:t>
      </w:r>
      <w:r w:rsidRPr="00432BEA" w:rsidR="00ED212C">
        <w:rPr>
          <w:lang w:val="fr-FR"/>
        </w:rPr>
        <w:t>article 1 du Protocole n</w:t>
      </w:r>
      <w:r w:rsidRPr="00432BEA" w:rsidR="007D22EB">
        <w:rPr>
          <w:vertAlign w:val="superscript"/>
          <w:lang w:val="fr-FR"/>
        </w:rPr>
        <w:t>o</w:t>
      </w:r>
      <w:r w:rsidRPr="00432BEA" w:rsidR="00ED212C">
        <w:rPr>
          <w:lang w:val="fr-FR"/>
        </w:rPr>
        <w:t xml:space="preserve"> 1 ;</w:t>
      </w:r>
    </w:p>
    <w:p w:rsidRPr="00432BEA" w:rsidR="00ED212C" w:rsidP="00432BEA" w:rsidRDefault="00ED212C">
      <w:pPr>
        <w:pStyle w:val="JuList"/>
        <w:rPr>
          <w:lang w:val="fr-FR"/>
        </w:rPr>
      </w:pPr>
    </w:p>
    <w:p w:rsidRPr="00432BEA" w:rsidR="00E77CB3" w:rsidP="00432BEA" w:rsidRDefault="001F194B">
      <w:pPr>
        <w:pStyle w:val="JuList"/>
        <w:rPr>
          <w:b/>
          <w:lang w:val="fr-FR"/>
        </w:rPr>
      </w:pPr>
      <w:r w:rsidRPr="00432BEA">
        <w:rPr>
          <w:lang w:val="fr-FR"/>
        </w:rPr>
        <w:t>3</w:t>
      </w:r>
      <w:r w:rsidRPr="00432BEA" w:rsidR="00FB2B45">
        <w:rPr>
          <w:lang w:val="fr-FR"/>
        </w:rPr>
        <w:t>.  </w:t>
      </w:r>
      <w:r w:rsidRPr="00432BEA" w:rsidR="00FB2B45">
        <w:rPr>
          <w:i/>
          <w:lang w:val="fr-FR"/>
        </w:rPr>
        <w:t>Déclare</w:t>
      </w:r>
      <w:r w:rsidRPr="00432BEA" w:rsidR="00FB2B45">
        <w:rPr>
          <w:lang w:val="fr-FR"/>
        </w:rPr>
        <w:t xml:space="preserve"> </w:t>
      </w:r>
      <w:r w:rsidRPr="00432BEA" w:rsidR="00ED212C">
        <w:rPr>
          <w:lang w:val="fr-FR"/>
        </w:rPr>
        <w:t xml:space="preserve">les requêtes </w:t>
      </w:r>
      <w:r w:rsidRPr="00432BEA" w:rsidR="003C7C4D">
        <w:rPr>
          <w:lang w:val="fr-FR"/>
        </w:rPr>
        <w:t>n</w:t>
      </w:r>
      <w:r w:rsidRPr="00432BEA" w:rsidR="003C7C4D">
        <w:rPr>
          <w:vertAlign w:val="superscript"/>
          <w:lang w:val="fr-FR"/>
        </w:rPr>
        <w:t>os</w:t>
      </w:r>
      <w:r w:rsidRPr="00432BEA" w:rsidR="003C7C4D">
        <w:rPr>
          <w:lang w:val="fr-FR"/>
        </w:rPr>
        <w:t xml:space="preserve"> 18096/12 et </w:t>
      </w:r>
      <w:r w:rsidRPr="00432BEA" w:rsidR="00ED212C">
        <w:rPr>
          <w:lang w:val="fr-FR"/>
        </w:rPr>
        <w:t>53601/12 recevables quant au grief relatif à la motivation de la Cour de cassation</w:t>
      </w:r>
      <w:r w:rsidRPr="00432BEA" w:rsidR="003C7C4D">
        <w:rPr>
          <w:lang w:val="fr-FR"/>
        </w:rPr>
        <w:t> </w:t>
      </w:r>
      <w:r w:rsidRPr="00432BEA" w:rsidR="00FB2B45">
        <w:rPr>
          <w:lang w:val="fr-FR"/>
        </w:rPr>
        <w:t>;</w:t>
      </w:r>
    </w:p>
    <w:p w:rsidRPr="00432BEA" w:rsidR="00E77CB3" w:rsidP="00432BEA" w:rsidRDefault="00E77CB3">
      <w:pPr>
        <w:pStyle w:val="JuList"/>
        <w:rPr>
          <w:lang w:val="fr-FR"/>
        </w:rPr>
      </w:pPr>
    </w:p>
    <w:p w:rsidRPr="00432BEA" w:rsidR="00E77CB3" w:rsidP="00432BEA" w:rsidRDefault="001F194B">
      <w:pPr>
        <w:pStyle w:val="JuList"/>
        <w:rPr>
          <w:lang w:val="fr-FR"/>
        </w:rPr>
      </w:pPr>
      <w:r w:rsidRPr="00432BEA">
        <w:rPr>
          <w:lang w:val="fr-FR"/>
        </w:rPr>
        <w:t>4</w:t>
      </w:r>
      <w:r w:rsidRPr="00432BEA" w:rsidR="00E77CB3">
        <w:rPr>
          <w:lang w:val="fr-FR"/>
        </w:rPr>
        <w:t>.  </w:t>
      </w:r>
      <w:r w:rsidRPr="00432BEA" w:rsidR="00E77CB3">
        <w:rPr>
          <w:i/>
          <w:lang w:val="fr-FR"/>
        </w:rPr>
        <w:t>Dit</w:t>
      </w:r>
      <w:r w:rsidRPr="00432BEA" w:rsidR="00E77CB3">
        <w:rPr>
          <w:lang w:val="fr-FR"/>
        </w:rPr>
        <w:t xml:space="preserve"> qu</w:t>
      </w:r>
      <w:r w:rsidRPr="00432BEA" w:rsidR="00432BEA">
        <w:rPr>
          <w:lang w:val="fr-FR"/>
        </w:rPr>
        <w:t>’</w:t>
      </w:r>
      <w:r w:rsidRPr="00432BEA" w:rsidR="00E77CB3">
        <w:rPr>
          <w:lang w:val="fr-FR"/>
        </w:rPr>
        <w:t xml:space="preserve">il </w:t>
      </w:r>
      <w:r w:rsidRPr="00432BEA" w:rsidR="003042C4">
        <w:rPr>
          <w:lang w:val="fr-FR"/>
        </w:rPr>
        <w:t>n</w:t>
      </w:r>
      <w:r w:rsidRPr="00432BEA" w:rsidR="00432BEA">
        <w:rPr>
          <w:lang w:val="fr-FR"/>
        </w:rPr>
        <w:t>’</w:t>
      </w:r>
      <w:r w:rsidRPr="00432BEA" w:rsidR="00E77CB3">
        <w:rPr>
          <w:lang w:val="fr-FR"/>
        </w:rPr>
        <w:t>y a</w:t>
      </w:r>
      <w:r w:rsidRPr="00432BEA" w:rsidR="003042C4">
        <w:rPr>
          <w:lang w:val="fr-FR"/>
        </w:rPr>
        <w:t xml:space="preserve"> pas</w:t>
      </w:r>
      <w:r w:rsidRPr="00432BEA" w:rsidR="00E77CB3">
        <w:rPr>
          <w:lang w:val="fr-FR"/>
        </w:rPr>
        <w:t xml:space="preserve"> eu violation de l</w:t>
      </w:r>
      <w:r w:rsidRPr="00432BEA" w:rsidR="00432BEA">
        <w:rPr>
          <w:lang w:val="fr-FR"/>
        </w:rPr>
        <w:t>’</w:t>
      </w:r>
      <w:r w:rsidRPr="00432BEA" w:rsidR="00E77CB3">
        <w:rPr>
          <w:lang w:val="fr-FR"/>
        </w:rPr>
        <w:t xml:space="preserve">article </w:t>
      </w:r>
      <w:r w:rsidRPr="00432BEA" w:rsidR="003042C4">
        <w:rPr>
          <w:lang w:val="fr-FR"/>
        </w:rPr>
        <w:t>6 § 1</w:t>
      </w:r>
      <w:r w:rsidRPr="00432BEA" w:rsidR="00E77CB3">
        <w:rPr>
          <w:lang w:val="fr-FR"/>
        </w:rPr>
        <w:t xml:space="preserve"> de</w:t>
      </w:r>
      <w:r w:rsidRPr="00432BEA" w:rsidR="00B755AF">
        <w:rPr>
          <w:lang w:val="fr-FR"/>
        </w:rPr>
        <w:t xml:space="preserve"> la Convention s</w:t>
      </w:r>
      <w:r w:rsidRPr="00432BEA" w:rsidR="00432BEA">
        <w:rPr>
          <w:lang w:val="fr-FR"/>
        </w:rPr>
        <w:t>’</w:t>
      </w:r>
      <w:r w:rsidRPr="00432BEA" w:rsidR="00B755AF">
        <w:rPr>
          <w:lang w:val="fr-FR"/>
        </w:rPr>
        <w:t>agissant de l</w:t>
      </w:r>
      <w:r w:rsidRPr="00432BEA" w:rsidR="00432BEA">
        <w:rPr>
          <w:lang w:val="fr-FR"/>
        </w:rPr>
        <w:t>’</w:t>
      </w:r>
      <w:r w:rsidRPr="00432BEA" w:rsidR="00C725A0">
        <w:rPr>
          <w:lang w:val="fr-FR"/>
        </w:rPr>
        <w:t>interférence législative </w:t>
      </w:r>
      <w:r w:rsidRPr="00432BEA" w:rsidR="00E77CB3">
        <w:rPr>
          <w:lang w:val="fr-FR"/>
        </w:rPr>
        <w:t>;</w:t>
      </w:r>
    </w:p>
    <w:p w:rsidRPr="00432BEA" w:rsidR="00E77CB3" w:rsidP="00432BEA" w:rsidRDefault="00E77CB3">
      <w:pPr>
        <w:pStyle w:val="JuList"/>
        <w:rPr>
          <w:lang w:val="fr-FR"/>
        </w:rPr>
      </w:pPr>
    </w:p>
    <w:p w:rsidRPr="00432BEA" w:rsidR="00B755AF" w:rsidP="00432BEA" w:rsidRDefault="001F194B">
      <w:pPr>
        <w:pStyle w:val="JuList"/>
        <w:rPr>
          <w:lang w:val="fr-FR"/>
        </w:rPr>
      </w:pPr>
      <w:r w:rsidRPr="00432BEA">
        <w:rPr>
          <w:lang w:val="fr-FR"/>
        </w:rPr>
        <w:t>5</w:t>
      </w:r>
      <w:r w:rsidRPr="00432BEA" w:rsidR="00B755AF">
        <w:rPr>
          <w:lang w:val="fr-FR"/>
        </w:rPr>
        <w:t>.  </w:t>
      </w:r>
      <w:r w:rsidRPr="00432BEA" w:rsidR="00B755AF">
        <w:rPr>
          <w:i/>
          <w:lang w:val="fr-FR"/>
        </w:rPr>
        <w:t>Dit</w:t>
      </w:r>
      <w:r w:rsidRPr="00432BEA" w:rsidR="00B755AF">
        <w:rPr>
          <w:lang w:val="fr-FR"/>
        </w:rPr>
        <w:t xml:space="preserve"> qu</w:t>
      </w:r>
      <w:r w:rsidRPr="00432BEA" w:rsidR="00432BEA">
        <w:rPr>
          <w:lang w:val="fr-FR"/>
        </w:rPr>
        <w:t>’</w:t>
      </w:r>
      <w:r w:rsidRPr="00432BEA" w:rsidR="00B755AF">
        <w:rPr>
          <w:lang w:val="fr-FR"/>
        </w:rPr>
        <w:t>il n</w:t>
      </w:r>
      <w:r w:rsidRPr="00432BEA" w:rsidR="00432BEA">
        <w:rPr>
          <w:lang w:val="fr-FR"/>
        </w:rPr>
        <w:t>’</w:t>
      </w:r>
      <w:r w:rsidRPr="00432BEA" w:rsidR="00B755AF">
        <w:rPr>
          <w:lang w:val="fr-FR"/>
        </w:rPr>
        <w:t>y a pas eu violation de l</w:t>
      </w:r>
      <w:r w:rsidRPr="00432BEA" w:rsidR="00432BEA">
        <w:rPr>
          <w:lang w:val="fr-FR"/>
        </w:rPr>
        <w:t>’</w:t>
      </w:r>
      <w:r w:rsidRPr="00432BEA" w:rsidR="00B755AF">
        <w:rPr>
          <w:lang w:val="fr-FR"/>
        </w:rPr>
        <w:t>article 6 § 1 de la Convention s</w:t>
      </w:r>
      <w:r w:rsidRPr="00432BEA" w:rsidR="00432BEA">
        <w:rPr>
          <w:lang w:val="fr-FR"/>
        </w:rPr>
        <w:t>’</w:t>
      </w:r>
      <w:r w:rsidRPr="00432BEA" w:rsidR="00B755AF">
        <w:rPr>
          <w:lang w:val="fr-FR"/>
        </w:rPr>
        <w:t>agissant de la motivation des arrêts</w:t>
      </w:r>
      <w:r w:rsidRPr="00432BEA" w:rsidR="00CE3825">
        <w:rPr>
          <w:lang w:val="fr-FR"/>
        </w:rPr>
        <w:t xml:space="preserve"> de la Cour de cassation des 22 </w:t>
      </w:r>
      <w:r w:rsidRPr="00432BEA" w:rsidR="00B755AF">
        <w:rPr>
          <w:lang w:val="fr-FR"/>
        </w:rPr>
        <w:t>se</w:t>
      </w:r>
      <w:r w:rsidRPr="00432BEA" w:rsidR="00C725A0">
        <w:rPr>
          <w:lang w:val="fr-FR"/>
        </w:rPr>
        <w:t>ptembre 2011 et 16 février 2012.</w:t>
      </w:r>
    </w:p>
    <w:p w:rsidRPr="00432BEA" w:rsidR="00E77CB3" w:rsidP="00432BEA" w:rsidRDefault="00E77CB3">
      <w:pPr>
        <w:pStyle w:val="JuParaLast"/>
        <w:keepNext w:val="0"/>
        <w:keepLines w:val="0"/>
        <w:rPr>
          <w:lang w:val="fr-FR"/>
        </w:rPr>
      </w:pPr>
      <w:r w:rsidRPr="00432BEA">
        <w:rPr>
          <w:lang w:val="fr-FR"/>
        </w:rPr>
        <w:t>Fait en français, puis communiqué par écrit le </w:t>
      </w:r>
      <w:r w:rsidRPr="00432BEA" w:rsidR="00CA586F">
        <w:rPr>
          <w:lang w:val="fr-FR"/>
        </w:rPr>
        <w:t>8 novembre 2018</w:t>
      </w:r>
      <w:r w:rsidRPr="00432BEA">
        <w:rPr>
          <w:lang w:val="fr-FR"/>
        </w:rPr>
        <w:t>, en application de l</w:t>
      </w:r>
      <w:r w:rsidRPr="00432BEA" w:rsidR="00432BEA">
        <w:rPr>
          <w:lang w:val="fr-FR"/>
        </w:rPr>
        <w:t>’</w:t>
      </w:r>
      <w:r w:rsidRPr="00432BEA">
        <w:rPr>
          <w:lang w:val="fr-FR"/>
        </w:rPr>
        <w:t>article 77 §§ 2 et 3 du règlement</w:t>
      </w:r>
      <w:r w:rsidRPr="00432BEA" w:rsidR="00AC0824">
        <w:rPr>
          <w:lang w:val="fr-FR"/>
        </w:rPr>
        <w:t xml:space="preserve"> de la Cour</w:t>
      </w:r>
      <w:r w:rsidRPr="00432BEA">
        <w:rPr>
          <w:lang w:val="fr-FR"/>
        </w:rPr>
        <w:t>.</w:t>
      </w:r>
    </w:p>
    <w:p w:rsidRPr="00432BEA" w:rsidR="00C725A0" w:rsidP="00432BEA" w:rsidRDefault="00A050D6">
      <w:pPr>
        <w:pStyle w:val="JuSigned"/>
        <w:rPr>
          <w:lang w:val="fr-FR"/>
        </w:rPr>
      </w:pPr>
      <w:r w:rsidRPr="00432BEA">
        <w:rPr>
          <w:lang w:val="fr-FR"/>
        </w:rPr>
        <w:tab/>
        <w:t>Claudia Westerdiek</w:t>
      </w:r>
      <w:r w:rsidRPr="00432BEA" w:rsidR="00E77CB3">
        <w:rPr>
          <w:lang w:val="fr-FR"/>
        </w:rPr>
        <w:tab/>
      </w:r>
      <w:r w:rsidRPr="00432BEA">
        <w:rPr>
          <w:szCs w:val="24"/>
          <w:lang w:val="fr-FR"/>
        </w:rPr>
        <w:t>Angelika Nußberger</w:t>
      </w:r>
      <w:r w:rsidRPr="00432BEA" w:rsidR="00E77CB3">
        <w:rPr>
          <w:lang w:val="fr-FR"/>
        </w:rPr>
        <w:br/>
      </w:r>
      <w:r w:rsidRPr="00432BEA" w:rsidR="00E77CB3">
        <w:rPr>
          <w:lang w:val="fr-FR"/>
        </w:rPr>
        <w:tab/>
      </w:r>
      <w:r w:rsidRPr="00432BEA">
        <w:rPr>
          <w:lang w:val="fr-FR"/>
        </w:rPr>
        <w:t>Greffière</w:t>
      </w:r>
      <w:r w:rsidRPr="00432BEA" w:rsidR="00E77CB3">
        <w:rPr>
          <w:lang w:val="fr-FR"/>
        </w:rPr>
        <w:tab/>
      </w:r>
      <w:r w:rsidRPr="00432BEA">
        <w:rPr>
          <w:lang w:val="fr-FR"/>
        </w:rPr>
        <w:t>Présidente</w:t>
      </w:r>
    </w:p>
    <w:p w:rsidRPr="00432BEA" w:rsidR="0086295C" w:rsidP="00432BEA" w:rsidRDefault="0086295C">
      <w:pPr>
        <w:pStyle w:val="JuParaLast"/>
        <w:rPr>
          <w:lang w:val="fr-FR"/>
        </w:rPr>
      </w:pPr>
    </w:p>
    <w:p w:rsidRPr="00432BEA" w:rsidR="0039720B" w:rsidP="00432BEA" w:rsidRDefault="0039720B">
      <w:pPr>
        <w:pStyle w:val="JuSigned"/>
        <w:rPr>
          <w:lang w:val="fr-FR"/>
        </w:rPr>
      </w:pPr>
      <w:r w:rsidRPr="00432BEA">
        <w:rPr>
          <w:lang w:val="fr-FR"/>
        </w:rPr>
        <w:br w:type="page"/>
      </w:r>
    </w:p>
    <w:p w:rsidRPr="00432BEA" w:rsidR="00E77CB3" w:rsidP="00432BEA" w:rsidRDefault="0039720B">
      <w:pPr>
        <w:pStyle w:val="JuSigned"/>
        <w:jc w:val="center"/>
        <w:rPr>
          <w:lang w:val="fr-FR"/>
        </w:rPr>
      </w:pPr>
      <w:r w:rsidRPr="00432BEA">
        <w:rPr>
          <w:lang w:val="fr-FR"/>
        </w:rPr>
        <w:t>ANNEXE</w:t>
      </w:r>
    </w:p>
    <w:p w:rsidRPr="00432BEA" w:rsidR="0039720B" w:rsidP="00432BEA" w:rsidRDefault="0039720B">
      <w:pPr>
        <w:pStyle w:val="JuParaLast"/>
        <w:rPr>
          <w:lang w:val="fr-FR"/>
        </w:rPr>
      </w:pPr>
    </w:p>
    <w:tbl>
      <w:tblPr>
        <w:tblStyle w:val="ECHRListTable1"/>
        <w:tblW w:w="0" w:type="auto"/>
        <w:tblLayout w:type="fixed"/>
        <w:tblLook w:val="05E0" w:firstRow="1" w:lastRow="1" w:firstColumn="1" w:lastColumn="1" w:noHBand="0" w:noVBand="1"/>
      </w:tblPr>
      <w:tblGrid>
        <w:gridCol w:w="538"/>
        <w:gridCol w:w="1697"/>
        <w:gridCol w:w="1417"/>
        <w:gridCol w:w="3827"/>
      </w:tblGrid>
      <w:tr w:rsidRPr="00432BEA" w:rsidR="0039720B" w:rsidTr="00F92014">
        <w:trPr>
          <w:cnfStyle w:val="100000000000" w:firstRow="1" w:lastRow="0" w:firstColumn="0" w:lastColumn="0" w:oddVBand="0" w:evenVBand="0" w:oddHBand="0" w:evenHBand="0" w:firstRowFirstColumn="0" w:firstRowLastColumn="0" w:lastRowFirstColumn="0" w:lastRowLastColumn="0"/>
        </w:trPr>
        <w:tc>
          <w:tcPr>
            <w:tcW w:w="538" w:type="dxa"/>
          </w:tcPr>
          <w:p w:rsidRPr="00432BEA" w:rsidR="0039720B" w:rsidP="00432BEA" w:rsidRDefault="0039720B">
            <w:pPr>
              <w:jc w:val="left"/>
              <w:rPr>
                <w:rFonts w:ascii="Calibri" w:hAnsi="Calibri" w:eastAsia="Calibri" w:cs="Times New Roman"/>
                <w:sz w:val="20"/>
                <w:szCs w:val="20"/>
                <w:lang w:val="fr-FR"/>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N</w:t>
            </w:r>
            <w:r w:rsidRPr="00432BEA" w:rsidR="007D22EB">
              <w:rPr>
                <w:rFonts w:ascii="Calibri" w:hAnsi="Calibri" w:eastAsia="Calibri" w:cs="Times New Roman"/>
                <w:sz w:val="20"/>
                <w:szCs w:val="20"/>
                <w:vertAlign w:val="superscript"/>
              </w:rPr>
              <w:t>o</w:t>
            </w:r>
            <w:r w:rsidRPr="00432BEA">
              <w:rPr>
                <w:rFonts w:ascii="Calibri" w:hAnsi="Calibri" w:eastAsia="Calibri" w:cs="Times New Roman"/>
                <w:sz w:val="20"/>
                <w:szCs w:val="20"/>
              </w:rPr>
              <w:t xml:space="preserve"> de requête </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 xml:space="preserve">Introduite le </w:t>
            </w:r>
          </w:p>
        </w:tc>
        <w:tc>
          <w:tcPr>
            <w:tcW w:w="3827" w:type="dxa"/>
          </w:tcPr>
          <w:p w:rsidRPr="00432BEA" w:rsidR="007D22E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Requérant</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Lieu de résidence</w:t>
            </w: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18096/12</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20/03/2012</w:t>
            </w:r>
          </w:p>
        </w:tc>
        <w:tc>
          <w:tcPr>
            <w:tcW w:w="3827" w:type="dxa"/>
          </w:tcPr>
          <w:p w:rsidRPr="00432BEA" w:rsidR="0039720B" w:rsidP="00432BEA" w:rsidRDefault="00CA586F">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HÔ</w:t>
            </w:r>
            <w:r w:rsidRPr="00432BEA" w:rsidR="0039720B">
              <w:rPr>
                <w:rFonts w:ascii="Calibri" w:hAnsi="Calibri" w:eastAsia="Calibri" w:cs="Times New Roman"/>
                <w:b/>
                <w:sz w:val="20"/>
                <w:szCs w:val="20"/>
                <w:lang w:val="fr-FR"/>
              </w:rPr>
              <w:t>PITAL LOCAL SAINT-PIERRE D</w:t>
            </w:r>
            <w:r w:rsidRPr="00432BEA" w:rsidR="00432BEA">
              <w:rPr>
                <w:rFonts w:ascii="Calibri" w:hAnsi="Calibri" w:eastAsia="Calibri" w:cs="Times New Roman"/>
                <w:b/>
                <w:sz w:val="20"/>
                <w:szCs w:val="20"/>
                <w:lang w:val="fr-FR"/>
              </w:rPr>
              <w:t>’</w:t>
            </w:r>
            <w:r w:rsidRPr="00432BEA" w:rsidR="0039720B">
              <w:rPr>
                <w:rFonts w:ascii="Calibri" w:hAnsi="Calibri" w:eastAsia="Calibri" w:cs="Times New Roman"/>
                <w:b/>
                <w:sz w:val="20"/>
                <w:szCs w:val="20"/>
                <w:lang w:val="fr-FR"/>
              </w:rPr>
              <w:t>OLERON</w:t>
            </w:r>
          </w:p>
          <w:p w:rsidRPr="00432BEA" w:rsidR="0039720B" w:rsidP="00432BEA" w:rsidRDefault="0039720B">
            <w:pPr>
              <w:jc w:val="left"/>
              <w:rPr>
                <w:rFonts w:ascii="Calibri" w:hAnsi="Calibri" w:eastAsia="Calibri" w:cs="Times New Roman"/>
                <w:sz w:val="20"/>
                <w:szCs w:val="20"/>
                <w:lang w:val="fr-FR"/>
              </w:rPr>
            </w:pPr>
            <w:r w:rsidRPr="00432BEA">
              <w:rPr>
                <w:rFonts w:ascii="Calibri" w:hAnsi="Calibri" w:eastAsia="Calibri" w:cs="Times New Roman"/>
                <w:sz w:val="20"/>
                <w:szCs w:val="20"/>
                <w:lang w:val="fr-FR"/>
              </w:rPr>
              <w:t>17310 Saint-Pierre-d</w:t>
            </w:r>
            <w:r w:rsidRPr="00432BEA" w:rsidR="00432BEA">
              <w:rPr>
                <w:rFonts w:ascii="Calibri" w:hAnsi="Calibri" w:eastAsia="Calibri" w:cs="Times New Roman"/>
                <w:sz w:val="20"/>
                <w:szCs w:val="20"/>
                <w:lang w:val="fr-FR"/>
              </w:rPr>
              <w:t>’</w:t>
            </w:r>
            <w:r w:rsidRPr="00432BEA">
              <w:rPr>
                <w:rFonts w:ascii="Calibri" w:hAnsi="Calibri" w:eastAsia="Calibri" w:cs="Times New Roman"/>
                <w:sz w:val="20"/>
                <w:szCs w:val="20"/>
                <w:lang w:val="fr-FR"/>
              </w:rPr>
              <w:t>Oléron</w:t>
            </w: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lang w:val="fr-FR"/>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53601/12</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14/08/2012</w:t>
            </w:r>
          </w:p>
        </w:tc>
        <w:tc>
          <w:tcPr>
            <w:tcW w:w="3827" w:type="dxa"/>
          </w:tcPr>
          <w:p w:rsidRPr="00432BEA" w:rsidR="0039720B" w:rsidP="00432BEA" w:rsidRDefault="0039720B">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MAISON DE RETRAITE LE BON ACCUEIL</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01150 Lagnieu</w:t>
            </w: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lang w:val="fr-FR"/>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23542/13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25/03/2013</w:t>
            </w:r>
          </w:p>
        </w:tc>
        <w:tc>
          <w:tcPr>
            <w:tcW w:w="3827" w:type="dxa"/>
          </w:tcPr>
          <w:p w:rsidRPr="00432BEA" w:rsidR="0039720B" w:rsidP="00432BEA" w:rsidRDefault="00CA586F">
            <w:pPr>
              <w:jc w:val="left"/>
              <w:rPr>
                <w:rFonts w:ascii="Calibri" w:hAnsi="Calibri" w:eastAsia="Calibri" w:cs="Times New Roman"/>
                <w:b/>
                <w:sz w:val="20"/>
                <w:szCs w:val="20"/>
              </w:rPr>
            </w:pPr>
            <w:r w:rsidRPr="00432BEA">
              <w:rPr>
                <w:rFonts w:ascii="Calibri" w:hAnsi="Calibri" w:eastAsia="Calibri" w:cs="Times New Roman"/>
                <w:b/>
                <w:sz w:val="20"/>
                <w:szCs w:val="20"/>
              </w:rPr>
              <w:t>HÔ</w:t>
            </w:r>
            <w:r w:rsidRPr="00432BEA" w:rsidR="0039720B">
              <w:rPr>
                <w:rFonts w:ascii="Calibri" w:hAnsi="Calibri" w:eastAsia="Calibri" w:cs="Times New Roman"/>
                <w:b/>
                <w:sz w:val="20"/>
                <w:szCs w:val="20"/>
              </w:rPr>
              <w:t>PITAL LOCAL DES MEES</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04190 Les Mees</w:t>
            </w: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lang w:val="fr-FR"/>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32194/13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15/03/2013</w:t>
            </w:r>
          </w:p>
        </w:tc>
        <w:tc>
          <w:tcPr>
            <w:tcW w:w="3827" w:type="dxa"/>
          </w:tcPr>
          <w:p w:rsidRPr="00432BEA" w:rsidR="0039720B" w:rsidP="00432BEA" w:rsidRDefault="0039720B">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MAISON DE RETRAITE CHAMPDIEU</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42600 Champdieu</w:t>
            </w: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lang w:val="fr-FR"/>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39165/13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15/04/2013</w:t>
            </w:r>
          </w:p>
        </w:tc>
        <w:tc>
          <w:tcPr>
            <w:tcW w:w="3827" w:type="dxa"/>
          </w:tcPr>
          <w:p w:rsidRPr="00432BEA" w:rsidR="0039720B" w:rsidP="00432BEA" w:rsidRDefault="0039720B">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MAISON DE RETRAITE RENÉ ANDRIEU</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47150 Monflanquin</w:t>
            </w:r>
          </w:p>
          <w:p w:rsidRPr="00432BEA" w:rsidR="0039720B" w:rsidP="00432BEA" w:rsidRDefault="0039720B">
            <w:pPr>
              <w:jc w:val="left"/>
              <w:rPr>
                <w:rFonts w:ascii="Calibri" w:hAnsi="Calibri" w:eastAsia="Calibri" w:cs="Times New Roman"/>
                <w:sz w:val="20"/>
                <w:szCs w:val="20"/>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39173/13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15/04/2013</w:t>
            </w:r>
          </w:p>
        </w:tc>
        <w:tc>
          <w:tcPr>
            <w:tcW w:w="3827" w:type="dxa"/>
          </w:tcPr>
          <w:p w:rsidRPr="00432BEA" w:rsidR="0039720B" w:rsidP="00432BEA" w:rsidRDefault="0039720B">
            <w:pPr>
              <w:jc w:val="left"/>
              <w:rPr>
                <w:rFonts w:ascii="Calibri" w:hAnsi="Calibri" w:eastAsia="Calibri" w:cs="Times New Roman"/>
                <w:b/>
                <w:sz w:val="20"/>
                <w:szCs w:val="20"/>
              </w:rPr>
            </w:pPr>
            <w:r w:rsidRPr="00432BEA">
              <w:rPr>
                <w:rFonts w:ascii="Calibri" w:hAnsi="Calibri" w:eastAsia="Calibri" w:cs="Times New Roman"/>
                <w:b/>
                <w:sz w:val="20"/>
                <w:szCs w:val="20"/>
              </w:rPr>
              <w:t>MAISON DE RETRAITE CORDELIERS</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03130 Le Donjon</w:t>
            </w:r>
          </w:p>
          <w:p w:rsidRPr="00432BEA" w:rsidR="0039720B" w:rsidP="00432BEA" w:rsidRDefault="0039720B">
            <w:pPr>
              <w:jc w:val="left"/>
              <w:rPr>
                <w:rFonts w:ascii="Calibri" w:hAnsi="Calibri" w:eastAsia="Calibri" w:cs="Times New Roman"/>
                <w:sz w:val="20"/>
                <w:szCs w:val="20"/>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39180/13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15/04/2013</w:t>
            </w:r>
          </w:p>
        </w:tc>
        <w:tc>
          <w:tcPr>
            <w:tcW w:w="3827" w:type="dxa"/>
          </w:tcPr>
          <w:p w:rsidRPr="00432BEA" w:rsidR="0039720B" w:rsidP="00432BEA" w:rsidRDefault="0039720B">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MAISON DE RETRAITE RÉSIDENCE D</w:t>
            </w:r>
            <w:r w:rsidRPr="00432BEA" w:rsidR="00432BEA">
              <w:rPr>
                <w:rFonts w:ascii="Calibri" w:hAnsi="Calibri" w:eastAsia="Calibri" w:cs="Times New Roman"/>
                <w:b/>
                <w:sz w:val="20"/>
                <w:szCs w:val="20"/>
                <w:lang w:val="fr-FR"/>
              </w:rPr>
              <w:t>’</w:t>
            </w:r>
            <w:r w:rsidRPr="00432BEA">
              <w:rPr>
                <w:rFonts w:ascii="Calibri" w:hAnsi="Calibri" w:eastAsia="Calibri" w:cs="Times New Roman"/>
                <w:b/>
                <w:sz w:val="20"/>
                <w:szCs w:val="20"/>
                <w:lang w:val="fr-FR"/>
              </w:rPr>
              <w:t>EAWY SAINT SAENS</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76680 Saint Saens</w:t>
            </w:r>
          </w:p>
          <w:p w:rsidRPr="00432BEA" w:rsidR="0039720B" w:rsidP="00432BEA" w:rsidRDefault="0039720B">
            <w:pPr>
              <w:jc w:val="left"/>
              <w:rPr>
                <w:rFonts w:ascii="Calibri" w:hAnsi="Calibri" w:eastAsia="Calibri" w:cs="Times New Roman"/>
                <w:sz w:val="20"/>
                <w:szCs w:val="20"/>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39184/13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15/04/2013</w:t>
            </w:r>
          </w:p>
        </w:tc>
        <w:tc>
          <w:tcPr>
            <w:tcW w:w="3827" w:type="dxa"/>
          </w:tcPr>
          <w:p w:rsidRPr="00432BEA" w:rsidR="0039720B" w:rsidP="00432BEA" w:rsidRDefault="0039720B">
            <w:pPr>
              <w:jc w:val="left"/>
              <w:rPr>
                <w:rFonts w:ascii="Calibri" w:hAnsi="Calibri" w:eastAsia="Calibri" w:cs="Times New Roman"/>
                <w:b/>
                <w:sz w:val="20"/>
                <w:szCs w:val="20"/>
              </w:rPr>
            </w:pPr>
            <w:r w:rsidRPr="00432BEA">
              <w:rPr>
                <w:rFonts w:ascii="Calibri" w:hAnsi="Calibri" w:eastAsia="Calibri" w:cs="Times New Roman"/>
                <w:b/>
                <w:sz w:val="20"/>
                <w:szCs w:val="20"/>
              </w:rPr>
              <w:t>MAISON DE RETRAITE DE L</w:t>
            </w:r>
            <w:r w:rsidRPr="00432BEA" w:rsidR="00432BEA">
              <w:rPr>
                <w:rFonts w:ascii="Calibri" w:hAnsi="Calibri" w:eastAsia="Calibri" w:cs="Times New Roman"/>
                <w:b/>
                <w:sz w:val="20"/>
                <w:szCs w:val="20"/>
              </w:rPr>
              <w:t>’</w:t>
            </w:r>
            <w:r w:rsidRPr="00432BEA">
              <w:rPr>
                <w:rFonts w:ascii="Calibri" w:hAnsi="Calibri" w:eastAsia="Calibri" w:cs="Times New Roman"/>
                <w:b/>
                <w:sz w:val="20"/>
                <w:szCs w:val="20"/>
              </w:rPr>
              <w:t>HORTHUS</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34270 Claret</w:t>
            </w:r>
          </w:p>
          <w:p w:rsidRPr="00432BEA" w:rsidR="0039720B" w:rsidP="00432BEA" w:rsidRDefault="0039720B">
            <w:pPr>
              <w:jc w:val="left"/>
              <w:rPr>
                <w:rFonts w:ascii="Calibri" w:hAnsi="Calibri" w:eastAsia="Calibri" w:cs="Times New Roman"/>
                <w:sz w:val="20"/>
                <w:szCs w:val="20"/>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49923/13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31/07/2013</w:t>
            </w:r>
          </w:p>
        </w:tc>
        <w:tc>
          <w:tcPr>
            <w:tcW w:w="3827" w:type="dxa"/>
          </w:tcPr>
          <w:p w:rsidRPr="00432BEA" w:rsidR="0039720B" w:rsidP="00432BEA" w:rsidRDefault="0039720B">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MAISON DE RETRAITE LES OLIVIERS</w:t>
            </w:r>
          </w:p>
          <w:p w:rsidRPr="00432BEA" w:rsidR="0039720B" w:rsidP="00432BEA" w:rsidRDefault="0039720B">
            <w:pPr>
              <w:jc w:val="left"/>
              <w:rPr>
                <w:rFonts w:ascii="Calibri" w:hAnsi="Calibri" w:eastAsia="Calibri" w:cs="Times New Roman"/>
                <w:sz w:val="20"/>
                <w:szCs w:val="20"/>
                <w:lang w:val="fr-FR"/>
              </w:rPr>
            </w:pPr>
            <w:r w:rsidRPr="00432BEA">
              <w:rPr>
                <w:rFonts w:ascii="Calibri" w:hAnsi="Calibri" w:eastAsia="Calibri" w:cs="Times New Roman"/>
                <w:sz w:val="20"/>
                <w:szCs w:val="20"/>
                <w:lang w:val="fr-FR"/>
              </w:rPr>
              <w:t>34360 Saint Chinian</w:t>
            </w:r>
          </w:p>
          <w:p w:rsidRPr="00432BEA" w:rsidR="0039720B" w:rsidP="00432BEA" w:rsidRDefault="0039720B">
            <w:pPr>
              <w:jc w:val="left"/>
              <w:rPr>
                <w:rFonts w:ascii="Calibri" w:hAnsi="Calibri" w:eastAsia="Calibri" w:cs="Times New Roman"/>
                <w:sz w:val="20"/>
                <w:szCs w:val="20"/>
                <w:lang w:val="fr-FR"/>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lang w:val="fr-FR"/>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57424/13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31/07/2013</w:t>
            </w:r>
          </w:p>
        </w:tc>
        <w:tc>
          <w:tcPr>
            <w:tcW w:w="3827" w:type="dxa"/>
          </w:tcPr>
          <w:p w:rsidRPr="00432BEA" w:rsidR="0039720B" w:rsidP="00432BEA" w:rsidRDefault="0039720B">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MAISON DE RETRAITE DE STEENBECQUE</w:t>
            </w:r>
          </w:p>
          <w:p w:rsidRPr="00432BEA" w:rsidR="0039720B" w:rsidP="00432BEA" w:rsidRDefault="0039720B">
            <w:pPr>
              <w:jc w:val="left"/>
              <w:rPr>
                <w:rFonts w:ascii="Calibri" w:hAnsi="Calibri" w:eastAsia="Calibri" w:cs="Times New Roman"/>
                <w:sz w:val="20"/>
                <w:szCs w:val="20"/>
                <w:lang w:val="fr-FR"/>
              </w:rPr>
            </w:pPr>
            <w:r w:rsidRPr="00432BEA">
              <w:rPr>
                <w:rFonts w:ascii="Calibri" w:hAnsi="Calibri" w:eastAsia="Calibri" w:cs="Times New Roman"/>
                <w:sz w:val="20"/>
                <w:szCs w:val="20"/>
                <w:lang w:val="fr-FR"/>
              </w:rPr>
              <w:t>59189 Steenbecque</w:t>
            </w:r>
          </w:p>
          <w:p w:rsidRPr="00432BEA" w:rsidR="0039720B" w:rsidP="00432BEA" w:rsidRDefault="0039720B">
            <w:pPr>
              <w:jc w:val="left"/>
              <w:rPr>
                <w:rFonts w:ascii="Calibri" w:hAnsi="Calibri" w:eastAsia="Calibri" w:cs="Times New Roman"/>
                <w:sz w:val="20"/>
                <w:szCs w:val="20"/>
                <w:lang w:val="fr-FR"/>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lang w:val="fr-FR"/>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58995/13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12/09/2013</w:t>
            </w:r>
          </w:p>
        </w:tc>
        <w:tc>
          <w:tcPr>
            <w:tcW w:w="3827" w:type="dxa"/>
          </w:tcPr>
          <w:p w:rsidRPr="00432BEA" w:rsidR="0039720B" w:rsidP="00432BEA" w:rsidRDefault="00CA586F">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HÔ</w:t>
            </w:r>
            <w:r w:rsidRPr="00432BEA" w:rsidR="0039720B">
              <w:rPr>
                <w:rFonts w:ascii="Calibri" w:hAnsi="Calibri" w:eastAsia="Calibri" w:cs="Times New Roman"/>
                <w:b/>
                <w:sz w:val="20"/>
                <w:szCs w:val="20"/>
                <w:lang w:val="fr-FR"/>
              </w:rPr>
              <w:t>PITAL LOCAL DE SAINT-FELICIEN</w:t>
            </w:r>
          </w:p>
          <w:p w:rsidRPr="00432BEA" w:rsidR="0039720B" w:rsidP="00432BEA" w:rsidRDefault="0039720B">
            <w:pPr>
              <w:jc w:val="left"/>
              <w:rPr>
                <w:rFonts w:ascii="Calibri" w:hAnsi="Calibri" w:eastAsia="Calibri" w:cs="Times New Roman"/>
                <w:sz w:val="20"/>
                <w:szCs w:val="20"/>
                <w:lang w:val="fr-FR"/>
              </w:rPr>
            </w:pPr>
            <w:r w:rsidRPr="00432BEA">
              <w:rPr>
                <w:rFonts w:ascii="Calibri" w:hAnsi="Calibri" w:eastAsia="Calibri" w:cs="Times New Roman"/>
                <w:sz w:val="20"/>
                <w:szCs w:val="20"/>
                <w:lang w:val="fr-FR"/>
              </w:rPr>
              <w:t>07410 Saint-Félicien</w:t>
            </w:r>
          </w:p>
          <w:p w:rsidRPr="00432BEA" w:rsidR="0039720B" w:rsidP="00432BEA" w:rsidRDefault="0039720B">
            <w:pPr>
              <w:jc w:val="left"/>
              <w:rPr>
                <w:rFonts w:ascii="Calibri" w:hAnsi="Calibri" w:eastAsia="Calibri" w:cs="Times New Roman"/>
                <w:sz w:val="20"/>
                <w:szCs w:val="20"/>
                <w:lang w:val="fr-FR"/>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lang w:val="fr-FR"/>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59003/13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13/09/2013</w:t>
            </w:r>
          </w:p>
        </w:tc>
        <w:tc>
          <w:tcPr>
            <w:tcW w:w="3827" w:type="dxa"/>
          </w:tcPr>
          <w:p w:rsidRPr="00432BEA" w:rsidR="0039720B" w:rsidP="00432BEA" w:rsidRDefault="00CA586F">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HÔ</w:t>
            </w:r>
            <w:r w:rsidRPr="00432BEA" w:rsidR="0039720B">
              <w:rPr>
                <w:rFonts w:ascii="Calibri" w:hAnsi="Calibri" w:eastAsia="Calibri" w:cs="Times New Roman"/>
                <w:b/>
                <w:sz w:val="20"/>
                <w:szCs w:val="20"/>
                <w:lang w:val="fr-FR"/>
              </w:rPr>
              <w:t>PITAL LOCAL DE VIC-FEZENSAC</w:t>
            </w:r>
          </w:p>
          <w:p w:rsidRPr="00432BEA" w:rsidR="0039720B" w:rsidP="00432BEA" w:rsidRDefault="0039720B">
            <w:pPr>
              <w:jc w:val="left"/>
              <w:rPr>
                <w:rFonts w:ascii="Calibri" w:hAnsi="Calibri" w:eastAsia="Calibri" w:cs="Times New Roman"/>
                <w:sz w:val="20"/>
                <w:szCs w:val="20"/>
                <w:lang w:val="fr-FR"/>
              </w:rPr>
            </w:pPr>
            <w:r w:rsidRPr="00432BEA">
              <w:rPr>
                <w:rFonts w:ascii="Calibri" w:hAnsi="Calibri" w:eastAsia="Calibri" w:cs="Times New Roman"/>
                <w:sz w:val="20"/>
                <w:szCs w:val="20"/>
                <w:lang w:val="fr-FR"/>
              </w:rPr>
              <w:t>32190 Vic-Fezensac</w:t>
            </w:r>
          </w:p>
          <w:p w:rsidRPr="00432BEA" w:rsidR="0039720B" w:rsidP="00432BEA" w:rsidRDefault="0039720B">
            <w:pPr>
              <w:jc w:val="left"/>
              <w:rPr>
                <w:rFonts w:ascii="Calibri" w:hAnsi="Calibri" w:eastAsia="Calibri" w:cs="Times New Roman"/>
                <w:sz w:val="20"/>
                <w:szCs w:val="20"/>
                <w:lang w:val="fr-FR"/>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lang w:val="fr-FR"/>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68908/13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29/10/2013</w:t>
            </w:r>
          </w:p>
        </w:tc>
        <w:tc>
          <w:tcPr>
            <w:tcW w:w="3827" w:type="dxa"/>
          </w:tcPr>
          <w:p w:rsidRPr="00432BEA" w:rsidR="0039720B" w:rsidP="00432BEA" w:rsidRDefault="00CA586F">
            <w:pPr>
              <w:jc w:val="left"/>
              <w:rPr>
                <w:rFonts w:ascii="Calibri" w:hAnsi="Calibri" w:eastAsia="Calibri" w:cs="Times New Roman"/>
                <w:b/>
                <w:sz w:val="20"/>
                <w:szCs w:val="20"/>
              </w:rPr>
            </w:pPr>
            <w:r w:rsidRPr="00432BEA">
              <w:rPr>
                <w:rFonts w:ascii="Calibri" w:hAnsi="Calibri" w:eastAsia="Calibri" w:cs="Times New Roman"/>
                <w:b/>
                <w:sz w:val="20"/>
                <w:szCs w:val="20"/>
              </w:rPr>
              <w:t>HÔ</w:t>
            </w:r>
            <w:r w:rsidRPr="00432BEA" w:rsidR="0039720B">
              <w:rPr>
                <w:rFonts w:ascii="Calibri" w:hAnsi="Calibri" w:eastAsia="Calibri" w:cs="Times New Roman"/>
                <w:b/>
                <w:sz w:val="20"/>
                <w:szCs w:val="20"/>
              </w:rPr>
              <w:t>PITAL LOCAL DIEULEFIT</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26220 Dieulefit</w:t>
            </w:r>
          </w:p>
          <w:p w:rsidRPr="00432BEA" w:rsidR="0039720B" w:rsidP="00432BEA" w:rsidRDefault="0039720B">
            <w:pPr>
              <w:jc w:val="left"/>
              <w:rPr>
                <w:rFonts w:ascii="Calibri" w:hAnsi="Calibri" w:eastAsia="Calibri" w:cs="Times New Roman"/>
                <w:sz w:val="20"/>
                <w:szCs w:val="20"/>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68916/13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24/10/2013</w:t>
            </w:r>
          </w:p>
        </w:tc>
        <w:tc>
          <w:tcPr>
            <w:tcW w:w="3827" w:type="dxa"/>
          </w:tcPr>
          <w:p w:rsidRPr="00432BEA" w:rsidR="0039720B" w:rsidP="00432BEA" w:rsidRDefault="0039720B">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CENTRE COMMUNAL D</w:t>
            </w:r>
            <w:r w:rsidRPr="00432BEA" w:rsidR="00432BEA">
              <w:rPr>
                <w:rFonts w:ascii="Calibri" w:hAnsi="Calibri" w:eastAsia="Calibri" w:cs="Times New Roman"/>
                <w:b/>
                <w:sz w:val="20"/>
                <w:szCs w:val="20"/>
                <w:lang w:val="fr-FR"/>
              </w:rPr>
              <w:t>’</w:t>
            </w:r>
            <w:r w:rsidRPr="00432BEA">
              <w:rPr>
                <w:rFonts w:ascii="Calibri" w:hAnsi="Calibri" w:eastAsia="Calibri" w:cs="Times New Roman"/>
                <w:b/>
                <w:sz w:val="20"/>
                <w:szCs w:val="20"/>
                <w:lang w:val="fr-FR"/>
              </w:rPr>
              <w:t>ACTION SOCIALE DE PLESSALA (CCAS)</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22330 Plessala</w:t>
            </w:r>
          </w:p>
          <w:p w:rsidRPr="00432BEA" w:rsidR="0039720B" w:rsidP="00432BEA" w:rsidRDefault="0039720B">
            <w:pPr>
              <w:jc w:val="left"/>
              <w:rPr>
                <w:rFonts w:ascii="Calibri" w:hAnsi="Calibri" w:eastAsia="Calibri" w:cs="Times New Roman"/>
                <w:sz w:val="20"/>
                <w:szCs w:val="20"/>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68918/13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29/10/2013</w:t>
            </w:r>
          </w:p>
        </w:tc>
        <w:tc>
          <w:tcPr>
            <w:tcW w:w="3827" w:type="dxa"/>
          </w:tcPr>
          <w:p w:rsidRPr="00432BEA" w:rsidR="0039720B" w:rsidP="00432BEA" w:rsidRDefault="0039720B">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FONDATION LES VILLAGES DE SANTÉ ET D</w:t>
            </w:r>
            <w:r w:rsidRPr="00432BEA" w:rsidR="00432BEA">
              <w:rPr>
                <w:rFonts w:ascii="Calibri" w:hAnsi="Calibri" w:eastAsia="Calibri" w:cs="Times New Roman"/>
                <w:b/>
                <w:sz w:val="20"/>
                <w:szCs w:val="20"/>
                <w:lang w:val="fr-FR"/>
              </w:rPr>
              <w:t>’</w:t>
            </w:r>
            <w:r w:rsidRPr="00432BEA">
              <w:rPr>
                <w:rFonts w:ascii="Calibri" w:hAnsi="Calibri" w:eastAsia="Calibri" w:cs="Times New Roman"/>
                <w:b/>
                <w:sz w:val="20"/>
                <w:szCs w:val="20"/>
                <w:lang w:val="fr-FR"/>
              </w:rPr>
              <w:t>HOSPITALISATION EN ALTITUDE (VSHA)</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74730 Passy</w:t>
            </w:r>
          </w:p>
          <w:p w:rsidRPr="00432BEA" w:rsidR="0039720B" w:rsidP="00432BEA" w:rsidRDefault="0039720B">
            <w:pPr>
              <w:jc w:val="left"/>
              <w:rPr>
                <w:rFonts w:ascii="Calibri" w:hAnsi="Calibri" w:eastAsia="Calibri" w:cs="Times New Roman"/>
                <w:sz w:val="20"/>
                <w:szCs w:val="20"/>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76512/13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27/11/2013</w:t>
            </w:r>
          </w:p>
        </w:tc>
        <w:tc>
          <w:tcPr>
            <w:tcW w:w="3827" w:type="dxa"/>
          </w:tcPr>
          <w:p w:rsidRPr="00432BEA" w:rsidR="0039720B" w:rsidP="00432BEA" w:rsidRDefault="0039720B">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CENTRE COMMUNAL DE L</w:t>
            </w:r>
            <w:r w:rsidRPr="00432BEA" w:rsidR="00432BEA">
              <w:rPr>
                <w:rFonts w:ascii="Calibri" w:hAnsi="Calibri" w:eastAsia="Calibri" w:cs="Times New Roman"/>
                <w:b/>
                <w:sz w:val="20"/>
                <w:szCs w:val="20"/>
                <w:lang w:val="fr-FR"/>
              </w:rPr>
              <w:t>’</w:t>
            </w:r>
            <w:r w:rsidRPr="00432BEA">
              <w:rPr>
                <w:rFonts w:ascii="Calibri" w:hAnsi="Calibri" w:eastAsia="Calibri" w:cs="Times New Roman"/>
                <w:b/>
                <w:sz w:val="20"/>
                <w:szCs w:val="20"/>
                <w:lang w:val="fr-FR"/>
              </w:rPr>
              <w:t>ACTION SOCIALE NEZIGNAN L</w:t>
            </w:r>
            <w:r w:rsidRPr="00432BEA" w:rsidR="00432BEA">
              <w:rPr>
                <w:rFonts w:ascii="Calibri" w:hAnsi="Calibri" w:eastAsia="Calibri" w:cs="Times New Roman"/>
                <w:b/>
                <w:sz w:val="20"/>
                <w:szCs w:val="20"/>
                <w:lang w:val="fr-FR"/>
              </w:rPr>
              <w:t>’</w:t>
            </w:r>
            <w:r w:rsidRPr="00432BEA">
              <w:rPr>
                <w:rFonts w:ascii="Calibri" w:hAnsi="Calibri" w:eastAsia="Calibri" w:cs="Times New Roman"/>
                <w:b/>
                <w:sz w:val="20"/>
                <w:szCs w:val="20"/>
                <w:lang w:val="fr-FR"/>
              </w:rPr>
              <w:t>EVEQUE</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34120 Nézignan L</w:t>
            </w:r>
            <w:r w:rsidRPr="00432BEA" w:rsidR="00432BEA">
              <w:rPr>
                <w:rFonts w:ascii="Calibri" w:hAnsi="Calibri" w:eastAsia="Calibri" w:cs="Times New Roman"/>
                <w:sz w:val="20"/>
                <w:szCs w:val="20"/>
              </w:rPr>
              <w:t>’</w:t>
            </w:r>
            <w:r w:rsidRPr="00432BEA">
              <w:rPr>
                <w:rFonts w:ascii="Calibri" w:hAnsi="Calibri" w:eastAsia="Calibri" w:cs="Times New Roman"/>
                <w:sz w:val="20"/>
                <w:szCs w:val="20"/>
              </w:rPr>
              <w:t>Evêque</w:t>
            </w:r>
          </w:p>
          <w:p w:rsidRPr="00432BEA" w:rsidR="0039720B" w:rsidP="00432BEA" w:rsidRDefault="0039720B">
            <w:pPr>
              <w:jc w:val="left"/>
              <w:rPr>
                <w:rFonts w:ascii="Calibri" w:hAnsi="Calibri" w:eastAsia="Calibri" w:cs="Times New Roman"/>
                <w:sz w:val="20"/>
                <w:szCs w:val="20"/>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76519/13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27/11/2013</w:t>
            </w:r>
          </w:p>
        </w:tc>
        <w:tc>
          <w:tcPr>
            <w:tcW w:w="3827" w:type="dxa"/>
          </w:tcPr>
          <w:p w:rsidRPr="00432BEA" w:rsidR="0039720B" w:rsidP="00432BEA" w:rsidRDefault="00CA586F">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HÔ</w:t>
            </w:r>
            <w:r w:rsidRPr="00432BEA" w:rsidR="0039720B">
              <w:rPr>
                <w:rFonts w:ascii="Calibri" w:hAnsi="Calibri" w:eastAsia="Calibri" w:cs="Times New Roman"/>
                <w:b/>
                <w:sz w:val="20"/>
                <w:szCs w:val="20"/>
                <w:lang w:val="fr-FR"/>
              </w:rPr>
              <w:t>PITAL LOCAL DE MURAT</w:t>
            </w:r>
          </w:p>
          <w:p w:rsidRPr="00432BEA" w:rsidR="0039720B" w:rsidP="00432BEA" w:rsidRDefault="0039720B">
            <w:pPr>
              <w:jc w:val="left"/>
              <w:rPr>
                <w:rFonts w:ascii="Calibri" w:hAnsi="Calibri" w:eastAsia="Calibri" w:cs="Times New Roman"/>
                <w:sz w:val="20"/>
                <w:szCs w:val="20"/>
                <w:lang w:val="fr-FR"/>
              </w:rPr>
            </w:pPr>
            <w:r w:rsidRPr="00432BEA">
              <w:rPr>
                <w:rFonts w:ascii="Calibri" w:hAnsi="Calibri" w:eastAsia="Calibri" w:cs="Times New Roman"/>
                <w:sz w:val="20"/>
                <w:szCs w:val="20"/>
                <w:lang w:val="fr-FR"/>
              </w:rPr>
              <w:t>15300 Murat</w:t>
            </w: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lang w:val="fr-FR"/>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76527/13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27/11/2013</w:t>
            </w:r>
          </w:p>
        </w:tc>
        <w:tc>
          <w:tcPr>
            <w:tcW w:w="3827" w:type="dxa"/>
          </w:tcPr>
          <w:p w:rsidRPr="00432BEA" w:rsidR="0039720B" w:rsidP="00432BEA" w:rsidRDefault="0039720B">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CENTRE COMMUNAL D</w:t>
            </w:r>
            <w:r w:rsidRPr="00432BEA" w:rsidR="00432BEA">
              <w:rPr>
                <w:rFonts w:ascii="Calibri" w:hAnsi="Calibri" w:eastAsia="Calibri" w:cs="Times New Roman"/>
                <w:b/>
                <w:sz w:val="20"/>
                <w:szCs w:val="20"/>
                <w:lang w:val="fr-FR"/>
              </w:rPr>
              <w:t>’</w:t>
            </w:r>
            <w:r w:rsidRPr="00432BEA">
              <w:rPr>
                <w:rFonts w:ascii="Calibri" w:hAnsi="Calibri" w:eastAsia="Calibri" w:cs="Times New Roman"/>
                <w:b/>
                <w:sz w:val="20"/>
                <w:szCs w:val="20"/>
                <w:lang w:val="fr-FR"/>
              </w:rPr>
              <w:t>ACTION SOCIALE D</w:t>
            </w:r>
            <w:r w:rsidRPr="00432BEA" w:rsidR="00432BEA">
              <w:rPr>
                <w:rFonts w:ascii="Calibri" w:hAnsi="Calibri" w:eastAsia="Calibri" w:cs="Times New Roman"/>
                <w:b/>
                <w:sz w:val="20"/>
                <w:szCs w:val="20"/>
                <w:lang w:val="fr-FR"/>
              </w:rPr>
              <w:t>’</w:t>
            </w:r>
            <w:r w:rsidRPr="00432BEA">
              <w:rPr>
                <w:rFonts w:ascii="Calibri" w:hAnsi="Calibri" w:eastAsia="Calibri" w:cs="Times New Roman"/>
                <w:b/>
                <w:sz w:val="20"/>
                <w:szCs w:val="20"/>
                <w:lang w:val="fr-FR"/>
              </w:rPr>
              <w:t>UGINE</w:t>
            </w:r>
          </w:p>
          <w:p w:rsidRPr="00432BEA" w:rsidR="0039720B" w:rsidP="00432BEA" w:rsidRDefault="0039720B">
            <w:pPr>
              <w:jc w:val="left"/>
              <w:rPr>
                <w:rFonts w:ascii="Calibri" w:hAnsi="Calibri" w:eastAsia="Calibri" w:cs="Times New Roman"/>
                <w:sz w:val="20"/>
                <w:szCs w:val="20"/>
                <w:lang w:val="fr-FR"/>
              </w:rPr>
            </w:pPr>
            <w:r w:rsidRPr="00432BEA">
              <w:rPr>
                <w:rFonts w:ascii="Calibri" w:hAnsi="Calibri" w:eastAsia="Calibri" w:cs="Times New Roman"/>
                <w:sz w:val="20"/>
                <w:szCs w:val="20"/>
                <w:lang w:val="fr-FR"/>
              </w:rPr>
              <w:t>73400 Ugine</w:t>
            </w:r>
          </w:p>
          <w:p w:rsidRPr="00432BEA" w:rsidR="0039720B" w:rsidP="00432BEA" w:rsidRDefault="0039720B">
            <w:pPr>
              <w:jc w:val="left"/>
              <w:rPr>
                <w:rFonts w:ascii="Calibri" w:hAnsi="Calibri" w:eastAsia="Calibri" w:cs="Times New Roman"/>
                <w:sz w:val="20"/>
                <w:szCs w:val="20"/>
                <w:lang w:val="fr-FR"/>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lang w:val="fr-FR"/>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76530/13</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27/11/2013</w:t>
            </w:r>
          </w:p>
        </w:tc>
        <w:tc>
          <w:tcPr>
            <w:tcW w:w="3827" w:type="dxa"/>
          </w:tcPr>
          <w:p w:rsidRPr="00432BEA" w:rsidR="0039720B" w:rsidP="00432BEA" w:rsidRDefault="0039720B">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MAISON DE RETRAITE LIEVIN PETITPREZ</w:t>
            </w:r>
          </w:p>
          <w:p w:rsidRPr="00432BEA" w:rsidR="0039720B" w:rsidP="00432BEA" w:rsidRDefault="0039720B">
            <w:pPr>
              <w:jc w:val="left"/>
              <w:rPr>
                <w:rFonts w:ascii="Calibri" w:hAnsi="Calibri" w:eastAsia="Calibri" w:cs="Times New Roman"/>
                <w:sz w:val="20"/>
                <w:szCs w:val="20"/>
                <w:lang w:val="fr-FR"/>
              </w:rPr>
            </w:pPr>
            <w:r w:rsidRPr="00432BEA">
              <w:rPr>
                <w:rFonts w:ascii="Calibri" w:hAnsi="Calibri" w:eastAsia="Calibri" w:cs="Times New Roman"/>
                <w:sz w:val="20"/>
                <w:szCs w:val="20"/>
                <w:lang w:val="fr-FR"/>
              </w:rPr>
              <w:t>59190 Morbecque</w:t>
            </w:r>
          </w:p>
          <w:p w:rsidRPr="00432BEA" w:rsidR="0039720B" w:rsidP="00432BEA" w:rsidRDefault="0039720B">
            <w:pPr>
              <w:jc w:val="left"/>
              <w:rPr>
                <w:rFonts w:ascii="Calibri" w:hAnsi="Calibri" w:eastAsia="Calibri" w:cs="Times New Roman"/>
                <w:sz w:val="20"/>
                <w:szCs w:val="20"/>
                <w:lang w:val="fr-FR"/>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lang w:val="fr-FR"/>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5485/14</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11/01/2014</w:t>
            </w:r>
          </w:p>
        </w:tc>
        <w:tc>
          <w:tcPr>
            <w:tcW w:w="3827" w:type="dxa"/>
          </w:tcPr>
          <w:p w:rsidRPr="00432BEA" w:rsidR="0039720B" w:rsidP="00432BEA" w:rsidRDefault="0039720B">
            <w:pPr>
              <w:jc w:val="left"/>
              <w:rPr>
                <w:rFonts w:ascii="Calibri" w:hAnsi="Calibri" w:eastAsia="Calibri" w:cs="Times New Roman"/>
                <w:b/>
                <w:sz w:val="20"/>
                <w:szCs w:val="20"/>
              </w:rPr>
            </w:pPr>
            <w:r w:rsidRPr="00432BEA">
              <w:rPr>
                <w:rFonts w:ascii="Calibri" w:hAnsi="Calibri" w:eastAsia="Calibri" w:cs="Times New Roman"/>
                <w:b/>
                <w:sz w:val="20"/>
                <w:szCs w:val="20"/>
              </w:rPr>
              <w:t>EHPAD DE LALOUVESC</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07520 Lalouvesc</w:t>
            </w:r>
          </w:p>
          <w:p w:rsidRPr="00432BEA" w:rsidR="0039720B" w:rsidP="00432BEA" w:rsidRDefault="0039720B">
            <w:pPr>
              <w:jc w:val="left"/>
              <w:rPr>
                <w:rFonts w:ascii="Calibri" w:hAnsi="Calibri" w:eastAsia="Calibri" w:cs="Times New Roman"/>
                <w:sz w:val="20"/>
                <w:szCs w:val="20"/>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23544/14</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19/03/2014</w:t>
            </w:r>
          </w:p>
        </w:tc>
        <w:tc>
          <w:tcPr>
            <w:tcW w:w="3827" w:type="dxa"/>
          </w:tcPr>
          <w:p w:rsidRPr="00432BEA" w:rsidR="0039720B" w:rsidP="00432BEA" w:rsidRDefault="0039720B">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MAISON DE RETRAITE LA MERIDIENNE</w:t>
            </w:r>
          </w:p>
          <w:p w:rsidRPr="00432BEA" w:rsidR="0039720B" w:rsidP="00432BEA" w:rsidRDefault="0039720B">
            <w:pPr>
              <w:jc w:val="left"/>
              <w:rPr>
                <w:rFonts w:ascii="Calibri" w:hAnsi="Calibri" w:eastAsia="Calibri" w:cs="Times New Roman"/>
                <w:sz w:val="20"/>
                <w:szCs w:val="20"/>
                <w:lang w:val="fr-FR"/>
              </w:rPr>
            </w:pPr>
            <w:r w:rsidRPr="00432BEA">
              <w:rPr>
                <w:rFonts w:ascii="Calibri" w:hAnsi="Calibri" w:eastAsia="Calibri" w:cs="Times New Roman"/>
                <w:sz w:val="20"/>
                <w:szCs w:val="20"/>
                <w:lang w:val="fr-FR"/>
              </w:rPr>
              <w:t>92390 Villeneuve- la-Garenne</w:t>
            </w:r>
          </w:p>
          <w:p w:rsidRPr="00432BEA" w:rsidR="0039720B" w:rsidP="00432BEA" w:rsidRDefault="0039720B">
            <w:pPr>
              <w:jc w:val="left"/>
              <w:rPr>
                <w:rFonts w:ascii="Calibri" w:hAnsi="Calibri" w:eastAsia="Calibri" w:cs="Times New Roman"/>
                <w:sz w:val="20"/>
                <w:szCs w:val="20"/>
                <w:lang w:val="fr-FR"/>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lang w:val="fr-FR"/>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30287/14</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10/04/2014</w:t>
            </w:r>
          </w:p>
        </w:tc>
        <w:tc>
          <w:tcPr>
            <w:tcW w:w="3827" w:type="dxa"/>
          </w:tcPr>
          <w:p w:rsidRPr="00432BEA" w:rsidR="0039720B" w:rsidP="00432BEA" w:rsidRDefault="0039720B">
            <w:pPr>
              <w:jc w:val="left"/>
              <w:rPr>
                <w:rFonts w:ascii="Calibri" w:hAnsi="Calibri" w:eastAsia="Calibri" w:cs="Times New Roman"/>
                <w:b/>
                <w:sz w:val="20"/>
                <w:szCs w:val="20"/>
              </w:rPr>
            </w:pPr>
            <w:r w:rsidRPr="00432BEA">
              <w:rPr>
                <w:rFonts w:ascii="Calibri" w:hAnsi="Calibri" w:eastAsia="Calibri" w:cs="Times New Roman"/>
                <w:b/>
                <w:sz w:val="20"/>
                <w:szCs w:val="20"/>
              </w:rPr>
              <w:t>ADAPEI 35</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35044 Rennes</w:t>
            </w:r>
          </w:p>
          <w:p w:rsidRPr="00432BEA" w:rsidR="0039720B" w:rsidP="00432BEA" w:rsidRDefault="0039720B">
            <w:pPr>
              <w:jc w:val="left"/>
              <w:rPr>
                <w:rFonts w:ascii="Calibri" w:hAnsi="Calibri" w:eastAsia="Calibri" w:cs="Times New Roman"/>
                <w:sz w:val="20"/>
                <w:szCs w:val="20"/>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lang w:val="fr-FR"/>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46819/14</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19/06/2014</w:t>
            </w:r>
          </w:p>
        </w:tc>
        <w:tc>
          <w:tcPr>
            <w:tcW w:w="3827" w:type="dxa"/>
          </w:tcPr>
          <w:p w:rsidRPr="00432BEA" w:rsidR="0039720B" w:rsidP="00432BEA" w:rsidRDefault="0039720B">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CENTRE HOSPITALIER LOUIS JAILLON DE SAINT CLAUDE</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39200 Saint-Claude</w:t>
            </w:r>
          </w:p>
          <w:p w:rsidRPr="00432BEA" w:rsidR="0039720B" w:rsidP="00432BEA" w:rsidRDefault="0039720B">
            <w:pPr>
              <w:jc w:val="left"/>
              <w:rPr>
                <w:rFonts w:ascii="Calibri" w:hAnsi="Calibri" w:eastAsia="Calibri" w:cs="Times New Roman"/>
                <w:sz w:val="20"/>
                <w:szCs w:val="20"/>
              </w:rPr>
            </w:pPr>
          </w:p>
        </w:tc>
      </w:tr>
      <w:tr w:rsidRPr="00432BEA" w:rsidR="0039720B" w:rsidTr="00F92014">
        <w:tc>
          <w:tcPr>
            <w:tcW w:w="538" w:type="dxa"/>
          </w:tcPr>
          <w:p w:rsidRPr="00432BEA" w:rsidR="0039720B" w:rsidP="00432BEA" w:rsidRDefault="0039720B">
            <w:pPr>
              <w:numPr>
                <w:ilvl w:val="0"/>
                <w:numId w:val="23"/>
              </w:numPr>
              <w:tabs>
                <w:tab w:val="num" w:pos="283"/>
              </w:tabs>
              <w:ind w:left="0" w:firstLine="0"/>
              <w:contextualSpacing/>
              <w:jc w:val="left"/>
              <w:rPr>
                <w:rFonts w:ascii="Calibri" w:hAnsi="Calibri" w:eastAsia="Times New Roman" w:cs="Times New Roman"/>
                <w:sz w:val="20"/>
                <w:szCs w:val="20"/>
                <w:lang w:val="fr-FR"/>
              </w:rPr>
            </w:pPr>
          </w:p>
        </w:tc>
        <w:tc>
          <w:tcPr>
            <w:tcW w:w="169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46862/14</w:t>
            </w:r>
          </w:p>
        </w:tc>
        <w:tc>
          <w:tcPr>
            <w:tcW w:w="1417" w:type="dxa"/>
          </w:tcPr>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19/06/2014</w:t>
            </w:r>
          </w:p>
        </w:tc>
        <w:tc>
          <w:tcPr>
            <w:tcW w:w="3827" w:type="dxa"/>
          </w:tcPr>
          <w:p w:rsidRPr="00432BEA" w:rsidR="0039720B" w:rsidP="00432BEA" w:rsidRDefault="0039720B">
            <w:pPr>
              <w:jc w:val="left"/>
              <w:rPr>
                <w:rFonts w:ascii="Calibri" w:hAnsi="Calibri" w:eastAsia="Calibri" w:cs="Times New Roman"/>
                <w:b/>
                <w:sz w:val="20"/>
                <w:szCs w:val="20"/>
                <w:lang w:val="fr-FR"/>
              </w:rPr>
            </w:pPr>
            <w:r w:rsidRPr="00432BEA">
              <w:rPr>
                <w:rFonts w:ascii="Calibri" w:hAnsi="Calibri" w:eastAsia="Calibri" w:cs="Times New Roman"/>
                <w:b/>
                <w:sz w:val="20"/>
                <w:szCs w:val="20"/>
                <w:lang w:val="fr-FR"/>
              </w:rPr>
              <w:t>CENTRE HOSPITALIER INTERCOMMUNAL PIERRE FUTIN D</w:t>
            </w:r>
            <w:r w:rsidRPr="00432BEA" w:rsidR="00432BEA">
              <w:rPr>
                <w:rFonts w:ascii="Calibri" w:hAnsi="Calibri" w:eastAsia="Calibri" w:cs="Times New Roman"/>
                <w:b/>
                <w:sz w:val="20"/>
                <w:szCs w:val="20"/>
                <w:lang w:val="fr-FR"/>
              </w:rPr>
              <w:t>’</w:t>
            </w:r>
            <w:r w:rsidRPr="00432BEA">
              <w:rPr>
                <w:rFonts w:ascii="Calibri" w:hAnsi="Calibri" w:eastAsia="Calibri" w:cs="Times New Roman"/>
                <w:b/>
                <w:sz w:val="20"/>
                <w:szCs w:val="20"/>
                <w:lang w:val="fr-FR"/>
              </w:rPr>
              <w:t>ORGELET</w:t>
            </w:r>
          </w:p>
          <w:p w:rsidRPr="00432BEA" w:rsidR="0039720B" w:rsidP="00432BEA" w:rsidRDefault="0039720B">
            <w:pPr>
              <w:jc w:val="left"/>
              <w:rPr>
                <w:rFonts w:ascii="Calibri" w:hAnsi="Calibri" w:eastAsia="Calibri" w:cs="Times New Roman"/>
                <w:sz w:val="20"/>
                <w:szCs w:val="20"/>
              </w:rPr>
            </w:pPr>
            <w:r w:rsidRPr="00432BEA">
              <w:rPr>
                <w:rFonts w:ascii="Calibri" w:hAnsi="Calibri" w:eastAsia="Calibri" w:cs="Times New Roman"/>
                <w:sz w:val="20"/>
                <w:szCs w:val="20"/>
              </w:rPr>
              <w:t>39270 Orgelet</w:t>
            </w:r>
          </w:p>
          <w:p w:rsidRPr="00432BEA" w:rsidR="0039720B" w:rsidP="00432BEA" w:rsidRDefault="0039720B">
            <w:pPr>
              <w:jc w:val="left"/>
              <w:rPr>
                <w:rFonts w:ascii="Calibri" w:hAnsi="Calibri" w:eastAsia="Calibri" w:cs="Times New Roman"/>
                <w:sz w:val="20"/>
                <w:szCs w:val="20"/>
              </w:rPr>
            </w:pPr>
          </w:p>
        </w:tc>
        <w:bookmarkStart w:name="TableEnd" w:id="2"/>
        <w:bookmarkEnd w:id="2"/>
      </w:tr>
    </w:tbl>
    <w:p w:rsidRPr="00432BEA" w:rsidR="0039720B" w:rsidP="00432BEA" w:rsidRDefault="0039720B">
      <w:pPr>
        <w:rPr>
          <w:lang w:val="fr-FR"/>
        </w:rPr>
      </w:pPr>
    </w:p>
    <w:p w:rsidRPr="00432BEA" w:rsidR="004D15F3" w:rsidP="00432BEA" w:rsidRDefault="004D15F3">
      <w:pPr>
        <w:rPr>
          <w:lang w:val="fr-FR"/>
        </w:rPr>
      </w:pPr>
    </w:p>
    <w:sectPr w:rsidRPr="00432BEA" w:rsidR="004D15F3" w:rsidSect="00CA586F">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690" w:rsidRPr="001C3AE1" w:rsidRDefault="002B0690" w:rsidP="00E77CB3">
      <w:pPr>
        <w:rPr>
          <w:lang w:val="fr-FR"/>
        </w:rPr>
      </w:pPr>
      <w:r w:rsidRPr="001C3AE1">
        <w:rPr>
          <w:lang w:val="fr-FR"/>
        </w:rPr>
        <w:separator/>
      </w:r>
    </w:p>
  </w:endnote>
  <w:endnote w:type="continuationSeparator" w:id="0">
    <w:p w:rsidR="002B0690" w:rsidRPr="001C3AE1" w:rsidRDefault="002B0690" w:rsidP="00E77CB3">
      <w:pPr>
        <w:rPr>
          <w:lang w:val="fr-FR"/>
        </w:rPr>
      </w:pPr>
      <w:r w:rsidRPr="001C3AE1">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690" w:rsidRPr="00150BFA" w:rsidRDefault="002B0690" w:rsidP="00541D6D">
    <w:pPr>
      <w:jc w:val="center"/>
    </w:pPr>
    <w:r>
      <w:rPr>
        <w:noProof/>
        <w:lang w:val="en-US" w:eastAsia="ja-JP"/>
      </w:rPr>
      <w:drawing>
        <wp:inline distT="0" distB="0" distL="0" distR="0" wp14:anchorId="57E23ADF" wp14:editId="1CF963BE">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2B0690" w:rsidRDefault="002B0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690" w:rsidRPr="001C3AE1" w:rsidRDefault="002B0690" w:rsidP="00E77CB3">
      <w:pPr>
        <w:rPr>
          <w:lang w:val="fr-FR"/>
        </w:rPr>
      </w:pPr>
      <w:r w:rsidRPr="001C3AE1">
        <w:rPr>
          <w:lang w:val="fr-FR"/>
        </w:rPr>
        <w:separator/>
      </w:r>
    </w:p>
  </w:footnote>
  <w:footnote w:type="continuationSeparator" w:id="0">
    <w:p w:rsidR="002B0690" w:rsidRPr="001C3AE1" w:rsidRDefault="002B0690" w:rsidP="00E77CB3">
      <w:pPr>
        <w:rPr>
          <w:lang w:val="fr-FR"/>
        </w:rPr>
      </w:pPr>
      <w:r w:rsidRPr="001C3AE1">
        <w:rPr>
          <w:lang w:val="fr-F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690" w:rsidRPr="00541D6D" w:rsidRDefault="002B0690" w:rsidP="00541D6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690" w:rsidRPr="00A45145" w:rsidRDefault="002B0690" w:rsidP="00541D6D">
    <w:pPr>
      <w:jc w:val="center"/>
    </w:pPr>
    <w:r>
      <w:rPr>
        <w:noProof/>
        <w:lang w:val="en-US" w:eastAsia="ja-JP"/>
      </w:rPr>
      <w:drawing>
        <wp:inline distT="0" distB="0" distL="0" distR="0" wp14:anchorId="20EE038F" wp14:editId="660B3AF8">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2B0690" w:rsidRDefault="002B0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690" w:rsidRPr="00A050D6" w:rsidRDefault="002B0690" w:rsidP="00C611D8">
    <w:pPr>
      <w:pStyle w:val="ECHRHeader"/>
      <w:rPr>
        <w:lang w:val="fr-FR"/>
      </w:rPr>
    </w:pPr>
    <w:r>
      <w:rPr>
        <w:rStyle w:val="PageNumber"/>
        <w:lang w:val="en-US"/>
      </w:rPr>
      <w:fldChar w:fldCharType="begin"/>
    </w:r>
    <w:r w:rsidRPr="00A050D6">
      <w:rPr>
        <w:rStyle w:val="PageNumber"/>
        <w:lang w:val="fr-FR"/>
      </w:rPr>
      <w:instrText xml:space="preserve"> PAGE </w:instrText>
    </w:r>
    <w:r>
      <w:rPr>
        <w:rStyle w:val="PageNumber"/>
        <w:lang w:val="en-US"/>
      </w:rPr>
      <w:fldChar w:fldCharType="separate"/>
    </w:r>
    <w:r w:rsidR="00432BEA">
      <w:rPr>
        <w:rStyle w:val="PageNumber"/>
        <w:noProof/>
        <w:lang w:val="fr-FR"/>
      </w:rPr>
      <w:t>14</w:t>
    </w:r>
    <w:r>
      <w:rPr>
        <w:rStyle w:val="PageNumber"/>
        <w:lang w:val="en-US"/>
      </w:rPr>
      <w:fldChar w:fldCharType="end"/>
    </w:r>
    <w:r w:rsidRPr="00A050D6">
      <w:rPr>
        <w:rStyle w:val="PageNumber"/>
        <w:lang w:val="fr-FR"/>
      </w:rPr>
      <w:tab/>
    </w:r>
    <w:r>
      <w:rPr>
        <w:noProof/>
        <w:lang w:val="fr-FR"/>
      </w:rPr>
      <w:t>ARRÊT</w:t>
    </w:r>
    <w:r w:rsidRPr="00A050D6">
      <w:rPr>
        <w:lang w:val="fr-FR"/>
      </w:rPr>
      <w:t xml:space="preserve"> HÔPITAL LOCAL SAINT-PIERRE D'OLÉRON ET AUTRES c. FRANCE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690" w:rsidRPr="001C3AE1" w:rsidRDefault="002B0690" w:rsidP="00C63990">
    <w:pPr>
      <w:pStyle w:val="ECHRHeader"/>
      <w:rPr>
        <w:lang w:val="fr-FR"/>
      </w:rPr>
    </w:pPr>
    <w:r w:rsidRPr="001C3AE1">
      <w:rPr>
        <w:lang w:val="fr-FR"/>
      </w:rPr>
      <w:tab/>
    </w:r>
    <w:r>
      <w:rPr>
        <w:noProof/>
        <w:lang w:val="fr-FR"/>
      </w:rPr>
      <w:t>ARRÊT</w:t>
    </w:r>
    <w:r w:rsidRPr="00A050D6">
      <w:rPr>
        <w:lang w:val="fr-FR"/>
      </w:rPr>
      <w:t xml:space="preserve"> HÔPITAL LOCAL SAINT-PIERRE D'OLÉRON ET AUTRES c. FRANCE</w:t>
    </w:r>
    <w:r w:rsidRPr="00A050D6">
      <w:rPr>
        <w:lang w:val="fr-FR"/>
      </w:rPr>
      <w:tab/>
    </w:r>
    <w:r>
      <w:rPr>
        <w:rStyle w:val="PageNumber"/>
        <w:lang w:val="fr-FR"/>
      </w:rPr>
      <w:fldChar w:fldCharType="begin"/>
    </w:r>
    <w:r>
      <w:rPr>
        <w:rStyle w:val="PageNumber"/>
        <w:lang w:val="fr-FR"/>
      </w:rPr>
      <w:instrText xml:space="preserve"> PAGE </w:instrText>
    </w:r>
    <w:r>
      <w:rPr>
        <w:rStyle w:val="PageNumber"/>
        <w:lang w:val="fr-FR"/>
      </w:rPr>
      <w:fldChar w:fldCharType="separate"/>
    </w:r>
    <w:r w:rsidR="00432BEA">
      <w:rPr>
        <w:rStyle w:val="PageNumber"/>
        <w:noProof/>
        <w:lang w:val="fr-FR"/>
      </w:rPr>
      <w:t>13</w:t>
    </w:r>
    <w:r>
      <w:rPr>
        <w:rStyle w:val="PageNumbe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7847E2"/>
    <w:multiLevelType w:val="hybridMultilevel"/>
    <w:tmpl w:val="DD26BA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712558E4"/>
    <w:multiLevelType w:val="hybridMultilevel"/>
    <w:tmpl w:val="E59645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1"/>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num>
  <w:num w:numId="16">
    <w:abstractNumId w:val="15"/>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5"/>
  </w:num>
  <w:num w:numId="2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MM" w:val="0"/>
    <w:docVar w:name="NBEMMDOC" w:val="0"/>
  </w:docVars>
  <w:rsids>
    <w:rsidRoot w:val="00A050D6"/>
    <w:rsid w:val="000041F8"/>
    <w:rsid w:val="000042A8"/>
    <w:rsid w:val="00004308"/>
    <w:rsid w:val="000043E8"/>
    <w:rsid w:val="00005BF0"/>
    <w:rsid w:val="00006A8A"/>
    <w:rsid w:val="00007154"/>
    <w:rsid w:val="00007566"/>
    <w:rsid w:val="000103AE"/>
    <w:rsid w:val="00011D69"/>
    <w:rsid w:val="00012AD3"/>
    <w:rsid w:val="00015C2D"/>
    <w:rsid w:val="00015F00"/>
    <w:rsid w:val="00016811"/>
    <w:rsid w:val="000229F3"/>
    <w:rsid w:val="00022C1D"/>
    <w:rsid w:val="00025879"/>
    <w:rsid w:val="000264D8"/>
    <w:rsid w:val="00031347"/>
    <w:rsid w:val="00031B84"/>
    <w:rsid w:val="00034987"/>
    <w:rsid w:val="00035334"/>
    <w:rsid w:val="00040B99"/>
    <w:rsid w:val="00040BBF"/>
    <w:rsid w:val="00043A74"/>
    <w:rsid w:val="00045CB3"/>
    <w:rsid w:val="000602DF"/>
    <w:rsid w:val="00060790"/>
    <w:rsid w:val="0006089E"/>
    <w:rsid w:val="00061B05"/>
    <w:rsid w:val="000632D0"/>
    <w:rsid w:val="000632D5"/>
    <w:rsid w:val="000644EE"/>
    <w:rsid w:val="00066A71"/>
    <w:rsid w:val="00067B5E"/>
    <w:rsid w:val="000735AB"/>
    <w:rsid w:val="0008186F"/>
    <w:rsid w:val="000925AD"/>
    <w:rsid w:val="00095D8F"/>
    <w:rsid w:val="00097A56"/>
    <w:rsid w:val="000A24EB"/>
    <w:rsid w:val="000A2B4F"/>
    <w:rsid w:val="000A3D97"/>
    <w:rsid w:val="000A491C"/>
    <w:rsid w:val="000B1312"/>
    <w:rsid w:val="000B6923"/>
    <w:rsid w:val="000C37C2"/>
    <w:rsid w:val="000C5F3C"/>
    <w:rsid w:val="000C6DCC"/>
    <w:rsid w:val="000D47AA"/>
    <w:rsid w:val="000D721F"/>
    <w:rsid w:val="000E069B"/>
    <w:rsid w:val="000E0E82"/>
    <w:rsid w:val="000E1DC5"/>
    <w:rsid w:val="000E2169"/>
    <w:rsid w:val="000E223F"/>
    <w:rsid w:val="000E41FB"/>
    <w:rsid w:val="000E5A6B"/>
    <w:rsid w:val="000E7147"/>
    <w:rsid w:val="000E7D45"/>
    <w:rsid w:val="000F00EF"/>
    <w:rsid w:val="000F5E63"/>
    <w:rsid w:val="000F6995"/>
    <w:rsid w:val="000F6C0E"/>
    <w:rsid w:val="000F7851"/>
    <w:rsid w:val="00104E23"/>
    <w:rsid w:val="00110007"/>
    <w:rsid w:val="00111B0C"/>
    <w:rsid w:val="001124DF"/>
    <w:rsid w:val="00116DC2"/>
    <w:rsid w:val="00120D6C"/>
    <w:rsid w:val="001257EC"/>
    <w:rsid w:val="00126945"/>
    <w:rsid w:val="00127CF6"/>
    <w:rsid w:val="00132695"/>
    <w:rsid w:val="00133D33"/>
    <w:rsid w:val="00134D64"/>
    <w:rsid w:val="00135A30"/>
    <w:rsid w:val="0013612C"/>
    <w:rsid w:val="00137FF6"/>
    <w:rsid w:val="00141650"/>
    <w:rsid w:val="00141CFC"/>
    <w:rsid w:val="001516A3"/>
    <w:rsid w:val="00157924"/>
    <w:rsid w:val="00157FE9"/>
    <w:rsid w:val="0016174F"/>
    <w:rsid w:val="001619D7"/>
    <w:rsid w:val="00162A12"/>
    <w:rsid w:val="00163CB4"/>
    <w:rsid w:val="0016523E"/>
    <w:rsid w:val="00165470"/>
    <w:rsid w:val="00166530"/>
    <w:rsid w:val="00166CBF"/>
    <w:rsid w:val="0017753D"/>
    <w:rsid w:val="00177ECF"/>
    <w:rsid w:val="001832BD"/>
    <w:rsid w:val="001900CC"/>
    <w:rsid w:val="00190B2C"/>
    <w:rsid w:val="00191A49"/>
    <w:rsid w:val="001943B5"/>
    <w:rsid w:val="00195134"/>
    <w:rsid w:val="00195D0E"/>
    <w:rsid w:val="0019607A"/>
    <w:rsid w:val="001A145B"/>
    <w:rsid w:val="001A3EF2"/>
    <w:rsid w:val="001A4F00"/>
    <w:rsid w:val="001A674C"/>
    <w:rsid w:val="001B1C59"/>
    <w:rsid w:val="001B3B24"/>
    <w:rsid w:val="001B4D36"/>
    <w:rsid w:val="001B7851"/>
    <w:rsid w:val="001C0F98"/>
    <w:rsid w:val="001C2A42"/>
    <w:rsid w:val="001C3531"/>
    <w:rsid w:val="001C3AE1"/>
    <w:rsid w:val="001C41FA"/>
    <w:rsid w:val="001D63ED"/>
    <w:rsid w:val="001D7348"/>
    <w:rsid w:val="001E035B"/>
    <w:rsid w:val="001E0961"/>
    <w:rsid w:val="001E0B6D"/>
    <w:rsid w:val="001E2B09"/>
    <w:rsid w:val="001E2B9C"/>
    <w:rsid w:val="001E3EAE"/>
    <w:rsid w:val="001E5E49"/>
    <w:rsid w:val="001E63E3"/>
    <w:rsid w:val="001E6F32"/>
    <w:rsid w:val="001F194B"/>
    <w:rsid w:val="001F2145"/>
    <w:rsid w:val="001F4E43"/>
    <w:rsid w:val="001F6262"/>
    <w:rsid w:val="001F67B0"/>
    <w:rsid w:val="001F6F11"/>
    <w:rsid w:val="001F7B3D"/>
    <w:rsid w:val="002056CE"/>
    <w:rsid w:val="00205937"/>
    <w:rsid w:val="00205F9F"/>
    <w:rsid w:val="002075AF"/>
    <w:rsid w:val="00210326"/>
    <w:rsid w:val="00210338"/>
    <w:rsid w:val="002115FC"/>
    <w:rsid w:val="00213A89"/>
    <w:rsid w:val="0021423C"/>
    <w:rsid w:val="00230D00"/>
    <w:rsid w:val="00231DF7"/>
    <w:rsid w:val="00231FD1"/>
    <w:rsid w:val="002339E0"/>
    <w:rsid w:val="00233CF8"/>
    <w:rsid w:val="0023575D"/>
    <w:rsid w:val="00235897"/>
    <w:rsid w:val="00235AF1"/>
    <w:rsid w:val="0023640D"/>
    <w:rsid w:val="00237148"/>
    <w:rsid w:val="0024222D"/>
    <w:rsid w:val="00243432"/>
    <w:rsid w:val="00243563"/>
    <w:rsid w:val="00244B0E"/>
    <w:rsid w:val="00244F6C"/>
    <w:rsid w:val="00245437"/>
    <w:rsid w:val="00246ABB"/>
    <w:rsid w:val="0025323C"/>
    <w:rsid w:val="002532C5"/>
    <w:rsid w:val="002555E8"/>
    <w:rsid w:val="002576FF"/>
    <w:rsid w:val="00260C03"/>
    <w:rsid w:val="00264283"/>
    <w:rsid w:val="0026540E"/>
    <w:rsid w:val="00265A75"/>
    <w:rsid w:val="00265CED"/>
    <w:rsid w:val="00266B30"/>
    <w:rsid w:val="00275123"/>
    <w:rsid w:val="00282240"/>
    <w:rsid w:val="00282A0E"/>
    <w:rsid w:val="00286465"/>
    <w:rsid w:val="00290D7F"/>
    <w:rsid w:val="00291379"/>
    <w:rsid w:val="00293814"/>
    <w:rsid w:val="002948AD"/>
    <w:rsid w:val="002A01CC"/>
    <w:rsid w:val="002A5239"/>
    <w:rsid w:val="002A61B1"/>
    <w:rsid w:val="002A663C"/>
    <w:rsid w:val="002B0690"/>
    <w:rsid w:val="002B1984"/>
    <w:rsid w:val="002B207F"/>
    <w:rsid w:val="002B362A"/>
    <w:rsid w:val="002B444B"/>
    <w:rsid w:val="002B5887"/>
    <w:rsid w:val="002C0E27"/>
    <w:rsid w:val="002C3040"/>
    <w:rsid w:val="002C41E7"/>
    <w:rsid w:val="002D022D"/>
    <w:rsid w:val="002D23B6"/>
    <w:rsid w:val="002D24BB"/>
    <w:rsid w:val="002D5B5C"/>
    <w:rsid w:val="002D6177"/>
    <w:rsid w:val="002E02CB"/>
    <w:rsid w:val="002E0C87"/>
    <w:rsid w:val="002E51FA"/>
    <w:rsid w:val="002F2AF7"/>
    <w:rsid w:val="002F7E1C"/>
    <w:rsid w:val="00301A75"/>
    <w:rsid w:val="00302F70"/>
    <w:rsid w:val="0030336F"/>
    <w:rsid w:val="0030375E"/>
    <w:rsid w:val="00303DB3"/>
    <w:rsid w:val="003042C4"/>
    <w:rsid w:val="00306B88"/>
    <w:rsid w:val="00307203"/>
    <w:rsid w:val="00312A30"/>
    <w:rsid w:val="0031654B"/>
    <w:rsid w:val="003175BA"/>
    <w:rsid w:val="00320F72"/>
    <w:rsid w:val="0032463E"/>
    <w:rsid w:val="003252F0"/>
    <w:rsid w:val="00326224"/>
    <w:rsid w:val="00333F8E"/>
    <w:rsid w:val="00337EE4"/>
    <w:rsid w:val="00340FFD"/>
    <w:rsid w:val="003443EB"/>
    <w:rsid w:val="003466A0"/>
    <w:rsid w:val="00347339"/>
    <w:rsid w:val="00347357"/>
    <w:rsid w:val="00347992"/>
    <w:rsid w:val="0035041B"/>
    <w:rsid w:val="003506B1"/>
    <w:rsid w:val="00351B64"/>
    <w:rsid w:val="00354F8C"/>
    <w:rsid w:val="003554DD"/>
    <w:rsid w:val="00356AC7"/>
    <w:rsid w:val="00357F29"/>
    <w:rsid w:val="00360179"/>
    <w:rsid w:val="003609FA"/>
    <w:rsid w:val="003649C8"/>
    <w:rsid w:val="0036550D"/>
    <w:rsid w:val="003710C8"/>
    <w:rsid w:val="00372CE0"/>
    <w:rsid w:val="003750BE"/>
    <w:rsid w:val="00381206"/>
    <w:rsid w:val="00381941"/>
    <w:rsid w:val="00384D70"/>
    <w:rsid w:val="00386AA5"/>
    <w:rsid w:val="003877FF"/>
    <w:rsid w:val="00387B9D"/>
    <w:rsid w:val="0039364F"/>
    <w:rsid w:val="00396686"/>
    <w:rsid w:val="0039720B"/>
    <w:rsid w:val="0039778E"/>
    <w:rsid w:val="003A01CE"/>
    <w:rsid w:val="003A3AFC"/>
    <w:rsid w:val="003A3C9A"/>
    <w:rsid w:val="003A4313"/>
    <w:rsid w:val="003A4FC3"/>
    <w:rsid w:val="003A7122"/>
    <w:rsid w:val="003B257F"/>
    <w:rsid w:val="003B2814"/>
    <w:rsid w:val="003B2B50"/>
    <w:rsid w:val="003B3BEA"/>
    <w:rsid w:val="003B4941"/>
    <w:rsid w:val="003B4CB0"/>
    <w:rsid w:val="003C2D4A"/>
    <w:rsid w:val="003C5714"/>
    <w:rsid w:val="003C5851"/>
    <w:rsid w:val="003C6ACA"/>
    <w:rsid w:val="003C6B9F"/>
    <w:rsid w:val="003C6E2A"/>
    <w:rsid w:val="003C7C4D"/>
    <w:rsid w:val="003D0299"/>
    <w:rsid w:val="003D2A4C"/>
    <w:rsid w:val="003D52CE"/>
    <w:rsid w:val="003E172C"/>
    <w:rsid w:val="003E2973"/>
    <w:rsid w:val="003E6D80"/>
    <w:rsid w:val="003F05FA"/>
    <w:rsid w:val="003F244A"/>
    <w:rsid w:val="003F30B8"/>
    <w:rsid w:val="003F465D"/>
    <w:rsid w:val="003F4C45"/>
    <w:rsid w:val="003F5F7B"/>
    <w:rsid w:val="003F7D64"/>
    <w:rsid w:val="0040476E"/>
    <w:rsid w:val="0040699C"/>
    <w:rsid w:val="00406AA7"/>
    <w:rsid w:val="00410483"/>
    <w:rsid w:val="00411970"/>
    <w:rsid w:val="00412F82"/>
    <w:rsid w:val="004140F1"/>
    <w:rsid w:val="00414300"/>
    <w:rsid w:val="004147EA"/>
    <w:rsid w:val="004155DE"/>
    <w:rsid w:val="00425C67"/>
    <w:rsid w:val="00427D3A"/>
    <w:rsid w:val="00427E7A"/>
    <w:rsid w:val="00432BEA"/>
    <w:rsid w:val="00434EC4"/>
    <w:rsid w:val="0043595C"/>
    <w:rsid w:val="00436C49"/>
    <w:rsid w:val="00437B08"/>
    <w:rsid w:val="004420C7"/>
    <w:rsid w:val="004422D2"/>
    <w:rsid w:val="00443103"/>
    <w:rsid w:val="004452F5"/>
    <w:rsid w:val="00445366"/>
    <w:rsid w:val="00447F5B"/>
    <w:rsid w:val="0045067D"/>
    <w:rsid w:val="00450AD7"/>
    <w:rsid w:val="00451E62"/>
    <w:rsid w:val="00454A9D"/>
    <w:rsid w:val="00456ECB"/>
    <w:rsid w:val="00460996"/>
    <w:rsid w:val="00460A0D"/>
    <w:rsid w:val="00461BA0"/>
    <w:rsid w:val="00461DB0"/>
    <w:rsid w:val="00463926"/>
    <w:rsid w:val="004645A8"/>
    <w:rsid w:val="00464C9A"/>
    <w:rsid w:val="0046583F"/>
    <w:rsid w:val="00465ACA"/>
    <w:rsid w:val="004741F5"/>
    <w:rsid w:val="00474239"/>
    <w:rsid w:val="00474F3D"/>
    <w:rsid w:val="004763E8"/>
    <w:rsid w:val="00477E3A"/>
    <w:rsid w:val="0048306B"/>
    <w:rsid w:val="00483E5F"/>
    <w:rsid w:val="0048467D"/>
    <w:rsid w:val="00485FF9"/>
    <w:rsid w:val="004907F0"/>
    <w:rsid w:val="0049140B"/>
    <w:rsid w:val="004923A5"/>
    <w:rsid w:val="00496733"/>
    <w:rsid w:val="00496949"/>
    <w:rsid w:val="00496BFB"/>
    <w:rsid w:val="004A0BCB"/>
    <w:rsid w:val="004A15C7"/>
    <w:rsid w:val="004A1BCA"/>
    <w:rsid w:val="004B013B"/>
    <w:rsid w:val="004B0775"/>
    <w:rsid w:val="004B112B"/>
    <w:rsid w:val="004C01E4"/>
    <w:rsid w:val="004C086C"/>
    <w:rsid w:val="004C1F56"/>
    <w:rsid w:val="004C27BC"/>
    <w:rsid w:val="004C2EE4"/>
    <w:rsid w:val="004C636D"/>
    <w:rsid w:val="004D15F3"/>
    <w:rsid w:val="004D5311"/>
    <w:rsid w:val="004D54ED"/>
    <w:rsid w:val="004D5DCC"/>
    <w:rsid w:val="004E221A"/>
    <w:rsid w:val="004E35E1"/>
    <w:rsid w:val="004E4ABD"/>
    <w:rsid w:val="004E4FA0"/>
    <w:rsid w:val="004F10AF"/>
    <w:rsid w:val="004F11A4"/>
    <w:rsid w:val="004F2389"/>
    <w:rsid w:val="004F2979"/>
    <w:rsid w:val="004F304D"/>
    <w:rsid w:val="004F3D4F"/>
    <w:rsid w:val="004F61BE"/>
    <w:rsid w:val="004F66B1"/>
    <w:rsid w:val="004F718C"/>
    <w:rsid w:val="005029CE"/>
    <w:rsid w:val="00506DF7"/>
    <w:rsid w:val="00511C07"/>
    <w:rsid w:val="005173A6"/>
    <w:rsid w:val="00517A1E"/>
    <w:rsid w:val="00520BAA"/>
    <w:rsid w:val="00525208"/>
    <w:rsid w:val="005257A5"/>
    <w:rsid w:val="005264C0"/>
    <w:rsid w:val="0052679D"/>
    <w:rsid w:val="00526A8A"/>
    <w:rsid w:val="0053129A"/>
    <w:rsid w:val="00531DF2"/>
    <w:rsid w:val="0053758A"/>
    <w:rsid w:val="005402A2"/>
    <w:rsid w:val="00541D6D"/>
    <w:rsid w:val="00542142"/>
    <w:rsid w:val="00543D50"/>
    <w:rsid w:val="005442EE"/>
    <w:rsid w:val="00547353"/>
    <w:rsid w:val="005474E7"/>
    <w:rsid w:val="005512A3"/>
    <w:rsid w:val="00553E3F"/>
    <w:rsid w:val="005578CE"/>
    <w:rsid w:val="00561AD4"/>
    <w:rsid w:val="005623CA"/>
    <w:rsid w:val="00562781"/>
    <w:rsid w:val="00562B21"/>
    <w:rsid w:val="00566E67"/>
    <w:rsid w:val="00567E2C"/>
    <w:rsid w:val="005701DE"/>
    <w:rsid w:val="00571E85"/>
    <w:rsid w:val="0057271C"/>
    <w:rsid w:val="00572845"/>
    <w:rsid w:val="00574C83"/>
    <w:rsid w:val="00575A1D"/>
    <w:rsid w:val="005807AA"/>
    <w:rsid w:val="005826CF"/>
    <w:rsid w:val="00583139"/>
    <w:rsid w:val="00583E76"/>
    <w:rsid w:val="00584646"/>
    <w:rsid w:val="00587B2A"/>
    <w:rsid w:val="00592772"/>
    <w:rsid w:val="0059380C"/>
    <w:rsid w:val="0059574A"/>
    <w:rsid w:val="00596468"/>
    <w:rsid w:val="005A02CB"/>
    <w:rsid w:val="005A1B9B"/>
    <w:rsid w:val="005A25F1"/>
    <w:rsid w:val="005A6751"/>
    <w:rsid w:val="005B092E"/>
    <w:rsid w:val="005B152C"/>
    <w:rsid w:val="005B1EE0"/>
    <w:rsid w:val="005B2B24"/>
    <w:rsid w:val="005B34A0"/>
    <w:rsid w:val="005B4425"/>
    <w:rsid w:val="005B47D8"/>
    <w:rsid w:val="005B4B94"/>
    <w:rsid w:val="005C1109"/>
    <w:rsid w:val="005C3EE8"/>
    <w:rsid w:val="005C401E"/>
    <w:rsid w:val="005D34F9"/>
    <w:rsid w:val="005D4190"/>
    <w:rsid w:val="005D67A3"/>
    <w:rsid w:val="005E2944"/>
    <w:rsid w:val="005E2988"/>
    <w:rsid w:val="005E3085"/>
    <w:rsid w:val="005E3331"/>
    <w:rsid w:val="005E3412"/>
    <w:rsid w:val="005E37C6"/>
    <w:rsid w:val="005E6625"/>
    <w:rsid w:val="005E696A"/>
    <w:rsid w:val="005F51E1"/>
    <w:rsid w:val="005F53B1"/>
    <w:rsid w:val="0061038D"/>
    <w:rsid w:val="0061064F"/>
    <w:rsid w:val="00611C80"/>
    <w:rsid w:val="00617E0D"/>
    <w:rsid w:val="00620692"/>
    <w:rsid w:val="006242CA"/>
    <w:rsid w:val="00627507"/>
    <w:rsid w:val="00632783"/>
    <w:rsid w:val="00633717"/>
    <w:rsid w:val="006344E1"/>
    <w:rsid w:val="00634F69"/>
    <w:rsid w:val="00636192"/>
    <w:rsid w:val="00641676"/>
    <w:rsid w:val="00646454"/>
    <w:rsid w:val="0065298D"/>
    <w:rsid w:val="006545C4"/>
    <w:rsid w:val="0065553A"/>
    <w:rsid w:val="006611FB"/>
    <w:rsid w:val="0066157F"/>
    <w:rsid w:val="00661971"/>
    <w:rsid w:val="00661CE8"/>
    <w:rsid w:val="006623D9"/>
    <w:rsid w:val="0066550C"/>
    <w:rsid w:val="00667777"/>
    <w:rsid w:val="00667B26"/>
    <w:rsid w:val="00667EFE"/>
    <w:rsid w:val="00670DF6"/>
    <w:rsid w:val="006716F2"/>
    <w:rsid w:val="0067734C"/>
    <w:rsid w:val="00681095"/>
    <w:rsid w:val="00682BF2"/>
    <w:rsid w:val="006854BD"/>
    <w:rsid w:val="00685988"/>
    <w:rsid w:val="006859CE"/>
    <w:rsid w:val="00686124"/>
    <w:rsid w:val="006862E5"/>
    <w:rsid w:val="00691270"/>
    <w:rsid w:val="0069185B"/>
    <w:rsid w:val="00694973"/>
    <w:rsid w:val="00694A2E"/>
    <w:rsid w:val="00694BA8"/>
    <w:rsid w:val="00695E9B"/>
    <w:rsid w:val="006A037C"/>
    <w:rsid w:val="006A0513"/>
    <w:rsid w:val="006A0E9D"/>
    <w:rsid w:val="006A36F4"/>
    <w:rsid w:val="006A406F"/>
    <w:rsid w:val="006A415F"/>
    <w:rsid w:val="006A5D3A"/>
    <w:rsid w:val="006B59AE"/>
    <w:rsid w:val="006B7BE7"/>
    <w:rsid w:val="006C02D6"/>
    <w:rsid w:val="006C1BCB"/>
    <w:rsid w:val="006C23D4"/>
    <w:rsid w:val="006C2EDA"/>
    <w:rsid w:val="006C64BE"/>
    <w:rsid w:val="006C7BB0"/>
    <w:rsid w:val="006D1854"/>
    <w:rsid w:val="006D3237"/>
    <w:rsid w:val="006D7F45"/>
    <w:rsid w:val="006E2E37"/>
    <w:rsid w:val="006E3CF1"/>
    <w:rsid w:val="006E7E80"/>
    <w:rsid w:val="006F1FB6"/>
    <w:rsid w:val="006F48CA"/>
    <w:rsid w:val="006F64DD"/>
    <w:rsid w:val="0070238B"/>
    <w:rsid w:val="00702726"/>
    <w:rsid w:val="00711B9F"/>
    <w:rsid w:val="00715127"/>
    <w:rsid w:val="00715E8E"/>
    <w:rsid w:val="00723580"/>
    <w:rsid w:val="00723755"/>
    <w:rsid w:val="00725EED"/>
    <w:rsid w:val="00726002"/>
    <w:rsid w:val="00727260"/>
    <w:rsid w:val="00730A13"/>
    <w:rsid w:val="0073136C"/>
    <w:rsid w:val="00731F0F"/>
    <w:rsid w:val="00733250"/>
    <w:rsid w:val="00741404"/>
    <w:rsid w:val="00743599"/>
    <w:rsid w:val="007449E5"/>
    <w:rsid w:val="00745AF0"/>
    <w:rsid w:val="00747196"/>
    <w:rsid w:val="007474EF"/>
    <w:rsid w:val="00747FF0"/>
    <w:rsid w:val="007513B3"/>
    <w:rsid w:val="00763CD1"/>
    <w:rsid w:val="00764D4E"/>
    <w:rsid w:val="007657C3"/>
    <w:rsid w:val="00765A1F"/>
    <w:rsid w:val="00766753"/>
    <w:rsid w:val="00775B6D"/>
    <w:rsid w:val="00776339"/>
    <w:rsid w:val="00776D68"/>
    <w:rsid w:val="00781E61"/>
    <w:rsid w:val="00782FCD"/>
    <w:rsid w:val="00783E90"/>
    <w:rsid w:val="007850EE"/>
    <w:rsid w:val="00785B95"/>
    <w:rsid w:val="00786558"/>
    <w:rsid w:val="00790E96"/>
    <w:rsid w:val="00793366"/>
    <w:rsid w:val="0079348F"/>
    <w:rsid w:val="007952DA"/>
    <w:rsid w:val="007974ED"/>
    <w:rsid w:val="00797F0A"/>
    <w:rsid w:val="007A0725"/>
    <w:rsid w:val="007A716F"/>
    <w:rsid w:val="007B0890"/>
    <w:rsid w:val="007B189B"/>
    <w:rsid w:val="007B270A"/>
    <w:rsid w:val="007B4B56"/>
    <w:rsid w:val="007B6625"/>
    <w:rsid w:val="007C0695"/>
    <w:rsid w:val="007C1C7F"/>
    <w:rsid w:val="007C419A"/>
    <w:rsid w:val="007C4CC8"/>
    <w:rsid w:val="007C5300"/>
    <w:rsid w:val="007C5426"/>
    <w:rsid w:val="007C5798"/>
    <w:rsid w:val="007D22EB"/>
    <w:rsid w:val="007D2939"/>
    <w:rsid w:val="007D4832"/>
    <w:rsid w:val="007E21B2"/>
    <w:rsid w:val="007E2C4E"/>
    <w:rsid w:val="007E3ED4"/>
    <w:rsid w:val="007E48C2"/>
    <w:rsid w:val="007E5FBE"/>
    <w:rsid w:val="007E6488"/>
    <w:rsid w:val="007F1905"/>
    <w:rsid w:val="007F2337"/>
    <w:rsid w:val="007F4F51"/>
    <w:rsid w:val="007F7B49"/>
    <w:rsid w:val="00801300"/>
    <w:rsid w:val="00802C64"/>
    <w:rsid w:val="00805E52"/>
    <w:rsid w:val="008061D0"/>
    <w:rsid w:val="008061FE"/>
    <w:rsid w:val="00810B38"/>
    <w:rsid w:val="008204C7"/>
    <w:rsid w:val="00820992"/>
    <w:rsid w:val="00820BA5"/>
    <w:rsid w:val="00820D38"/>
    <w:rsid w:val="00822BDB"/>
    <w:rsid w:val="0082331A"/>
    <w:rsid w:val="00823602"/>
    <w:rsid w:val="008255F5"/>
    <w:rsid w:val="00825EE5"/>
    <w:rsid w:val="0083014E"/>
    <w:rsid w:val="0083214A"/>
    <w:rsid w:val="008322E6"/>
    <w:rsid w:val="008323C4"/>
    <w:rsid w:val="00834220"/>
    <w:rsid w:val="00837064"/>
    <w:rsid w:val="00841784"/>
    <w:rsid w:val="0084351A"/>
    <w:rsid w:val="00844C8F"/>
    <w:rsid w:val="00845723"/>
    <w:rsid w:val="00847738"/>
    <w:rsid w:val="00851EF9"/>
    <w:rsid w:val="008577FD"/>
    <w:rsid w:val="00860B03"/>
    <w:rsid w:val="0086295C"/>
    <w:rsid w:val="00863D66"/>
    <w:rsid w:val="0086497A"/>
    <w:rsid w:val="00866130"/>
    <w:rsid w:val="008713A1"/>
    <w:rsid w:val="00875398"/>
    <w:rsid w:val="008754AB"/>
    <w:rsid w:val="00875573"/>
    <w:rsid w:val="00875AB3"/>
    <w:rsid w:val="0088060C"/>
    <w:rsid w:val="008851E6"/>
    <w:rsid w:val="00890E90"/>
    <w:rsid w:val="008912A8"/>
    <w:rsid w:val="00891E03"/>
    <w:rsid w:val="00893576"/>
    <w:rsid w:val="00893E73"/>
    <w:rsid w:val="008A6A00"/>
    <w:rsid w:val="008B02DC"/>
    <w:rsid w:val="008B2AA9"/>
    <w:rsid w:val="008B4460"/>
    <w:rsid w:val="008B57CE"/>
    <w:rsid w:val="008C26DE"/>
    <w:rsid w:val="008C4077"/>
    <w:rsid w:val="008D2225"/>
    <w:rsid w:val="008D413D"/>
    <w:rsid w:val="008D4752"/>
    <w:rsid w:val="008D5F84"/>
    <w:rsid w:val="008D7298"/>
    <w:rsid w:val="008E271C"/>
    <w:rsid w:val="008E418E"/>
    <w:rsid w:val="008E5BC6"/>
    <w:rsid w:val="008E6A25"/>
    <w:rsid w:val="008F00C1"/>
    <w:rsid w:val="008F2506"/>
    <w:rsid w:val="008F5193"/>
    <w:rsid w:val="009013A7"/>
    <w:rsid w:val="009017FB"/>
    <w:rsid w:val="009017FC"/>
    <w:rsid w:val="00903E4E"/>
    <w:rsid w:val="0090506B"/>
    <w:rsid w:val="009050C9"/>
    <w:rsid w:val="009056F9"/>
    <w:rsid w:val="009066FC"/>
    <w:rsid w:val="00906FCB"/>
    <w:rsid w:val="00907A21"/>
    <w:rsid w:val="00913CA5"/>
    <w:rsid w:val="009140A3"/>
    <w:rsid w:val="009144A2"/>
    <w:rsid w:val="00914E42"/>
    <w:rsid w:val="0091510C"/>
    <w:rsid w:val="00915286"/>
    <w:rsid w:val="009259AC"/>
    <w:rsid w:val="00925C43"/>
    <w:rsid w:val="00926AD5"/>
    <w:rsid w:val="00926F38"/>
    <w:rsid w:val="009323FF"/>
    <w:rsid w:val="009335E5"/>
    <w:rsid w:val="00934301"/>
    <w:rsid w:val="009351B0"/>
    <w:rsid w:val="00936BAC"/>
    <w:rsid w:val="00936C2D"/>
    <w:rsid w:val="00936CD1"/>
    <w:rsid w:val="00941747"/>
    <w:rsid w:val="00941EFB"/>
    <w:rsid w:val="00947AFB"/>
    <w:rsid w:val="00951D7D"/>
    <w:rsid w:val="009562BC"/>
    <w:rsid w:val="009630C7"/>
    <w:rsid w:val="009661D6"/>
    <w:rsid w:val="009677B6"/>
    <w:rsid w:val="00971652"/>
    <w:rsid w:val="00971FEB"/>
    <w:rsid w:val="00972B55"/>
    <w:rsid w:val="009743B7"/>
    <w:rsid w:val="009745D3"/>
    <w:rsid w:val="009776A2"/>
    <w:rsid w:val="0098228B"/>
    <w:rsid w:val="009828DA"/>
    <w:rsid w:val="00985BAB"/>
    <w:rsid w:val="009871D5"/>
    <w:rsid w:val="009A0479"/>
    <w:rsid w:val="009A2331"/>
    <w:rsid w:val="009A4852"/>
    <w:rsid w:val="009A55FD"/>
    <w:rsid w:val="009A7E4D"/>
    <w:rsid w:val="009B1B5F"/>
    <w:rsid w:val="009B3CEB"/>
    <w:rsid w:val="009B43D3"/>
    <w:rsid w:val="009B6673"/>
    <w:rsid w:val="009C191B"/>
    <w:rsid w:val="009C1F15"/>
    <w:rsid w:val="009C1F1B"/>
    <w:rsid w:val="009C2BD6"/>
    <w:rsid w:val="009C5881"/>
    <w:rsid w:val="009C6484"/>
    <w:rsid w:val="009D16B0"/>
    <w:rsid w:val="009D2036"/>
    <w:rsid w:val="009D2A13"/>
    <w:rsid w:val="009E1AC9"/>
    <w:rsid w:val="009E1F32"/>
    <w:rsid w:val="009E6C7A"/>
    <w:rsid w:val="009E6CE2"/>
    <w:rsid w:val="009E776C"/>
    <w:rsid w:val="00A00144"/>
    <w:rsid w:val="00A050D6"/>
    <w:rsid w:val="00A1726E"/>
    <w:rsid w:val="00A204CF"/>
    <w:rsid w:val="00A23D49"/>
    <w:rsid w:val="00A23FD7"/>
    <w:rsid w:val="00A27004"/>
    <w:rsid w:val="00A27FBA"/>
    <w:rsid w:val="00A30C29"/>
    <w:rsid w:val="00A3247B"/>
    <w:rsid w:val="00A33742"/>
    <w:rsid w:val="00A34DD6"/>
    <w:rsid w:val="00A34FB7"/>
    <w:rsid w:val="00A36819"/>
    <w:rsid w:val="00A36989"/>
    <w:rsid w:val="00A41C64"/>
    <w:rsid w:val="00A43308"/>
    <w:rsid w:val="00A43628"/>
    <w:rsid w:val="00A52386"/>
    <w:rsid w:val="00A54192"/>
    <w:rsid w:val="00A55D2C"/>
    <w:rsid w:val="00A6035E"/>
    <w:rsid w:val="00A6144C"/>
    <w:rsid w:val="00A6538C"/>
    <w:rsid w:val="00A66617"/>
    <w:rsid w:val="00A6707A"/>
    <w:rsid w:val="00A671F8"/>
    <w:rsid w:val="00A673A4"/>
    <w:rsid w:val="00A67531"/>
    <w:rsid w:val="00A724AE"/>
    <w:rsid w:val="00A73329"/>
    <w:rsid w:val="00A74BC1"/>
    <w:rsid w:val="00A76CBD"/>
    <w:rsid w:val="00A82359"/>
    <w:rsid w:val="00A831FE"/>
    <w:rsid w:val="00A8486D"/>
    <w:rsid w:val="00A865D2"/>
    <w:rsid w:val="00A911F1"/>
    <w:rsid w:val="00A94C20"/>
    <w:rsid w:val="00A954A5"/>
    <w:rsid w:val="00AA0E2A"/>
    <w:rsid w:val="00AA227F"/>
    <w:rsid w:val="00AA39A0"/>
    <w:rsid w:val="00AA3BC7"/>
    <w:rsid w:val="00AA754A"/>
    <w:rsid w:val="00AA755B"/>
    <w:rsid w:val="00AB099E"/>
    <w:rsid w:val="00AB4328"/>
    <w:rsid w:val="00AB71BE"/>
    <w:rsid w:val="00AC0824"/>
    <w:rsid w:val="00AC4285"/>
    <w:rsid w:val="00AC4EBF"/>
    <w:rsid w:val="00AC4ECE"/>
    <w:rsid w:val="00AC7EA2"/>
    <w:rsid w:val="00AD1B6D"/>
    <w:rsid w:val="00AD2CCB"/>
    <w:rsid w:val="00AD412E"/>
    <w:rsid w:val="00AD7C0A"/>
    <w:rsid w:val="00AD7EA7"/>
    <w:rsid w:val="00AE0A2E"/>
    <w:rsid w:val="00AE263A"/>
    <w:rsid w:val="00AE2A15"/>
    <w:rsid w:val="00AE354C"/>
    <w:rsid w:val="00AE3FF9"/>
    <w:rsid w:val="00AE64A5"/>
    <w:rsid w:val="00AF2A1A"/>
    <w:rsid w:val="00AF4861"/>
    <w:rsid w:val="00AF4B07"/>
    <w:rsid w:val="00AF5CC8"/>
    <w:rsid w:val="00AF6186"/>
    <w:rsid w:val="00AF67DE"/>
    <w:rsid w:val="00AF7A3A"/>
    <w:rsid w:val="00B011D9"/>
    <w:rsid w:val="00B01AEE"/>
    <w:rsid w:val="00B0463C"/>
    <w:rsid w:val="00B04776"/>
    <w:rsid w:val="00B06AE2"/>
    <w:rsid w:val="00B10139"/>
    <w:rsid w:val="00B152B9"/>
    <w:rsid w:val="00B159B6"/>
    <w:rsid w:val="00B160DB"/>
    <w:rsid w:val="00B20798"/>
    <w:rsid w:val="00B20836"/>
    <w:rsid w:val="00B20929"/>
    <w:rsid w:val="00B2134F"/>
    <w:rsid w:val="00B219F0"/>
    <w:rsid w:val="00B235BB"/>
    <w:rsid w:val="00B242F9"/>
    <w:rsid w:val="00B25F1E"/>
    <w:rsid w:val="00B27A44"/>
    <w:rsid w:val="00B30BBF"/>
    <w:rsid w:val="00B33C03"/>
    <w:rsid w:val="00B406B0"/>
    <w:rsid w:val="00B42A44"/>
    <w:rsid w:val="00B44E56"/>
    <w:rsid w:val="00B457A3"/>
    <w:rsid w:val="00B46543"/>
    <w:rsid w:val="00B47D33"/>
    <w:rsid w:val="00B52BE0"/>
    <w:rsid w:val="00B54133"/>
    <w:rsid w:val="00B554BA"/>
    <w:rsid w:val="00B5594D"/>
    <w:rsid w:val="00B701ED"/>
    <w:rsid w:val="00B73992"/>
    <w:rsid w:val="00B755AF"/>
    <w:rsid w:val="00B757BA"/>
    <w:rsid w:val="00B8086C"/>
    <w:rsid w:val="00B85A04"/>
    <w:rsid w:val="00B861B4"/>
    <w:rsid w:val="00B86DFE"/>
    <w:rsid w:val="00B90990"/>
    <w:rsid w:val="00B922FF"/>
    <w:rsid w:val="00B9281E"/>
    <w:rsid w:val="00B93925"/>
    <w:rsid w:val="00B93ECF"/>
    <w:rsid w:val="00B94BB8"/>
    <w:rsid w:val="00B95187"/>
    <w:rsid w:val="00B9776F"/>
    <w:rsid w:val="00BA2D55"/>
    <w:rsid w:val="00BA71B1"/>
    <w:rsid w:val="00BB0637"/>
    <w:rsid w:val="00BB345F"/>
    <w:rsid w:val="00BB5C97"/>
    <w:rsid w:val="00BB68EA"/>
    <w:rsid w:val="00BC1C27"/>
    <w:rsid w:val="00BC30D7"/>
    <w:rsid w:val="00BC3D7D"/>
    <w:rsid w:val="00BC47F6"/>
    <w:rsid w:val="00BC4A8F"/>
    <w:rsid w:val="00BC6BBF"/>
    <w:rsid w:val="00BC70E3"/>
    <w:rsid w:val="00BD0653"/>
    <w:rsid w:val="00BD1572"/>
    <w:rsid w:val="00BD4B5F"/>
    <w:rsid w:val="00BE14E3"/>
    <w:rsid w:val="00BE1A3E"/>
    <w:rsid w:val="00BE314F"/>
    <w:rsid w:val="00BE3774"/>
    <w:rsid w:val="00BE41E5"/>
    <w:rsid w:val="00BE5914"/>
    <w:rsid w:val="00BE7246"/>
    <w:rsid w:val="00BE7EB1"/>
    <w:rsid w:val="00BF4109"/>
    <w:rsid w:val="00BF4CC3"/>
    <w:rsid w:val="00C023E2"/>
    <w:rsid w:val="00C054C7"/>
    <w:rsid w:val="00C057B5"/>
    <w:rsid w:val="00C06E15"/>
    <w:rsid w:val="00C07B1F"/>
    <w:rsid w:val="00C1262B"/>
    <w:rsid w:val="00C12AD8"/>
    <w:rsid w:val="00C17D0E"/>
    <w:rsid w:val="00C222AC"/>
    <w:rsid w:val="00C22687"/>
    <w:rsid w:val="00C24185"/>
    <w:rsid w:val="00C243C4"/>
    <w:rsid w:val="00C32E4D"/>
    <w:rsid w:val="00C333A0"/>
    <w:rsid w:val="00C36408"/>
    <w:rsid w:val="00C36A81"/>
    <w:rsid w:val="00C41974"/>
    <w:rsid w:val="00C41D9D"/>
    <w:rsid w:val="00C46ED0"/>
    <w:rsid w:val="00C53F4A"/>
    <w:rsid w:val="00C54125"/>
    <w:rsid w:val="00C55469"/>
    <w:rsid w:val="00C55B54"/>
    <w:rsid w:val="00C55EFB"/>
    <w:rsid w:val="00C6098E"/>
    <w:rsid w:val="00C611D8"/>
    <w:rsid w:val="00C6130F"/>
    <w:rsid w:val="00C6152C"/>
    <w:rsid w:val="00C62550"/>
    <w:rsid w:val="00C63990"/>
    <w:rsid w:val="00C64EF6"/>
    <w:rsid w:val="00C65050"/>
    <w:rsid w:val="00C66A35"/>
    <w:rsid w:val="00C7198C"/>
    <w:rsid w:val="00C725A0"/>
    <w:rsid w:val="00C74810"/>
    <w:rsid w:val="00C752A0"/>
    <w:rsid w:val="00C7530E"/>
    <w:rsid w:val="00C82878"/>
    <w:rsid w:val="00C83FD0"/>
    <w:rsid w:val="00C90D68"/>
    <w:rsid w:val="00C91601"/>
    <w:rsid w:val="00C939FE"/>
    <w:rsid w:val="00CA4BDA"/>
    <w:rsid w:val="00CA586F"/>
    <w:rsid w:val="00CB1133"/>
    <w:rsid w:val="00CB1F66"/>
    <w:rsid w:val="00CB2951"/>
    <w:rsid w:val="00CB7BA9"/>
    <w:rsid w:val="00CC3FE5"/>
    <w:rsid w:val="00CC5136"/>
    <w:rsid w:val="00CC5E84"/>
    <w:rsid w:val="00CC61B6"/>
    <w:rsid w:val="00CC6B76"/>
    <w:rsid w:val="00CC71E6"/>
    <w:rsid w:val="00CD16F8"/>
    <w:rsid w:val="00CD1815"/>
    <w:rsid w:val="00CD282B"/>
    <w:rsid w:val="00CD31BC"/>
    <w:rsid w:val="00CD4C35"/>
    <w:rsid w:val="00CD5BEE"/>
    <w:rsid w:val="00CD6DE5"/>
    <w:rsid w:val="00CD7369"/>
    <w:rsid w:val="00CD73BD"/>
    <w:rsid w:val="00CE0B0E"/>
    <w:rsid w:val="00CE3825"/>
    <w:rsid w:val="00CE3831"/>
    <w:rsid w:val="00CE4537"/>
    <w:rsid w:val="00CE7B82"/>
    <w:rsid w:val="00CF17E5"/>
    <w:rsid w:val="00D00ABB"/>
    <w:rsid w:val="00D02EEC"/>
    <w:rsid w:val="00D03551"/>
    <w:rsid w:val="00D06A63"/>
    <w:rsid w:val="00D07E0E"/>
    <w:rsid w:val="00D112CE"/>
    <w:rsid w:val="00D11478"/>
    <w:rsid w:val="00D14E35"/>
    <w:rsid w:val="00D15ED0"/>
    <w:rsid w:val="00D2014C"/>
    <w:rsid w:val="00D20D8D"/>
    <w:rsid w:val="00D21A48"/>
    <w:rsid w:val="00D21B3E"/>
    <w:rsid w:val="00D21FED"/>
    <w:rsid w:val="00D24251"/>
    <w:rsid w:val="00D250D7"/>
    <w:rsid w:val="00D2665D"/>
    <w:rsid w:val="00D33BF3"/>
    <w:rsid w:val="00D343E2"/>
    <w:rsid w:val="00D361A2"/>
    <w:rsid w:val="00D37C1F"/>
    <w:rsid w:val="00D42AFF"/>
    <w:rsid w:val="00D44C2E"/>
    <w:rsid w:val="00D45414"/>
    <w:rsid w:val="00D45633"/>
    <w:rsid w:val="00D51EEA"/>
    <w:rsid w:val="00D566BD"/>
    <w:rsid w:val="00D576CF"/>
    <w:rsid w:val="00D57A4D"/>
    <w:rsid w:val="00D60AA7"/>
    <w:rsid w:val="00D6435F"/>
    <w:rsid w:val="00D67D83"/>
    <w:rsid w:val="00D7187A"/>
    <w:rsid w:val="00D7281E"/>
    <w:rsid w:val="00D75E28"/>
    <w:rsid w:val="00D772C2"/>
    <w:rsid w:val="00D8008E"/>
    <w:rsid w:val="00D80B0C"/>
    <w:rsid w:val="00D82C45"/>
    <w:rsid w:val="00D908A8"/>
    <w:rsid w:val="00D96E3E"/>
    <w:rsid w:val="00D977B6"/>
    <w:rsid w:val="00DA4A31"/>
    <w:rsid w:val="00DA556D"/>
    <w:rsid w:val="00DA7B04"/>
    <w:rsid w:val="00DB36C2"/>
    <w:rsid w:val="00DB58F3"/>
    <w:rsid w:val="00DB61CD"/>
    <w:rsid w:val="00DC169B"/>
    <w:rsid w:val="00DC2AB9"/>
    <w:rsid w:val="00DC40F9"/>
    <w:rsid w:val="00DC63F0"/>
    <w:rsid w:val="00DD0531"/>
    <w:rsid w:val="00DD4AAB"/>
    <w:rsid w:val="00DD5146"/>
    <w:rsid w:val="00DD6EE5"/>
    <w:rsid w:val="00DE0CDA"/>
    <w:rsid w:val="00DE386C"/>
    <w:rsid w:val="00DE4D35"/>
    <w:rsid w:val="00DE572F"/>
    <w:rsid w:val="00DF02C1"/>
    <w:rsid w:val="00DF098B"/>
    <w:rsid w:val="00DF11C4"/>
    <w:rsid w:val="00DF210C"/>
    <w:rsid w:val="00DF4B6A"/>
    <w:rsid w:val="00E01E65"/>
    <w:rsid w:val="00E02C09"/>
    <w:rsid w:val="00E03F42"/>
    <w:rsid w:val="00E04D59"/>
    <w:rsid w:val="00E07DA1"/>
    <w:rsid w:val="00E123CB"/>
    <w:rsid w:val="00E172C6"/>
    <w:rsid w:val="00E177B5"/>
    <w:rsid w:val="00E20E13"/>
    <w:rsid w:val="00E21DBC"/>
    <w:rsid w:val="00E2376F"/>
    <w:rsid w:val="00E26CD7"/>
    <w:rsid w:val="00E275D7"/>
    <w:rsid w:val="00E27DBE"/>
    <w:rsid w:val="00E31471"/>
    <w:rsid w:val="00E32AB1"/>
    <w:rsid w:val="00E33EFD"/>
    <w:rsid w:val="00E36C71"/>
    <w:rsid w:val="00E373F5"/>
    <w:rsid w:val="00E37C32"/>
    <w:rsid w:val="00E40404"/>
    <w:rsid w:val="00E40595"/>
    <w:rsid w:val="00E4529A"/>
    <w:rsid w:val="00E459C6"/>
    <w:rsid w:val="00E45F36"/>
    <w:rsid w:val="00E47589"/>
    <w:rsid w:val="00E53215"/>
    <w:rsid w:val="00E54C36"/>
    <w:rsid w:val="00E55895"/>
    <w:rsid w:val="00E560FB"/>
    <w:rsid w:val="00E64431"/>
    <w:rsid w:val="00E64915"/>
    <w:rsid w:val="00E661D4"/>
    <w:rsid w:val="00E675F4"/>
    <w:rsid w:val="00E70091"/>
    <w:rsid w:val="00E720F5"/>
    <w:rsid w:val="00E75B06"/>
    <w:rsid w:val="00E76D47"/>
    <w:rsid w:val="00E77CB3"/>
    <w:rsid w:val="00E80BB8"/>
    <w:rsid w:val="00E81357"/>
    <w:rsid w:val="00E849F7"/>
    <w:rsid w:val="00E90302"/>
    <w:rsid w:val="00E90A7E"/>
    <w:rsid w:val="00E97396"/>
    <w:rsid w:val="00EA185E"/>
    <w:rsid w:val="00EA26E7"/>
    <w:rsid w:val="00EA4939"/>
    <w:rsid w:val="00EA592A"/>
    <w:rsid w:val="00EB14E4"/>
    <w:rsid w:val="00EB295A"/>
    <w:rsid w:val="00EB32A5"/>
    <w:rsid w:val="00EB34ED"/>
    <w:rsid w:val="00EB5D85"/>
    <w:rsid w:val="00EB7BE0"/>
    <w:rsid w:val="00EB7E63"/>
    <w:rsid w:val="00EC0B91"/>
    <w:rsid w:val="00EC315E"/>
    <w:rsid w:val="00EC60E2"/>
    <w:rsid w:val="00EC6609"/>
    <w:rsid w:val="00EC6C56"/>
    <w:rsid w:val="00ED0345"/>
    <w:rsid w:val="00ED077C"/>
    <w:rsid w:val="00ED1190"/>
    <w:rsid w:val="00ED212C"/>
    <w:rsid w:val="00ED247F"/>
    <w:rsid w:val="00ED2C1E"/>
    <w:rsid w:val="00ED6544"/>
    <w:rsid w:val="00EE0277"/>
    <w:rsid w:val="00EE3E00"/>
    <w:rsid w:val="00EE4546"/>
    <w:rsid w:val="00EE4E8B"/>
    <w:rsid w:val="00EE5DD2"/>
    <w:rsid w:val="00EE6DC0"/>
    <w:rsid w:val="00EE76FA"/>
    <w:rsid w:val="00EF0A2E"/>
    <w:rsid w:val="00EF175B"/>
    <w:rsid w:val="00EF63C2"/>
    <w:rsid w:val="00EF7F30"/>
    <w:rsid w:val="00F00A79"/>
    <w:rsid w:val="00F00E86"/>
    <w:rsid w:val="00F01C5A"/>
    <w:rsid w:val="00F06D88"/>
    <w:rsid w:val="00F07C1E"/>
    <w:rsid w:val="00F105DB"/>
    <w:rsid w:val="00F132BC"/>
    <w:rsid w:val="00F13D80"/>
    <w:rsid w:val="00F16AAA"/>
    <w:rsid w:val="00F21161"/>
    <w:rsid w:val="00F218EF"/>
    <w:rsid w:val="00F21BC7"/>
    <w:rsid w:val="00F266A2"/>
    <w:rsid w:val="00F32269"/>
    <w:rsid w:val="00F37BB1"/>
    <w:rsid w:val="00F43431"/>
    <w:rsid w:val="00F45BF5"/>
    <w:rsid w:val="00F5118E"/>
    <w:rsid w:val="00F548F6"/>
    <w:rsid w:val="00F559F3"/>
    <w:rsid w:val="00F56A6F"/>
    <w:rsid w:val="00F5709C"/>
    <w:rsid w:val="00F6047D"/>
    <w:rsid w:val="00F63B47"/>
    <w:rsid w:val="00F64EF1"/>
    <w:rsid w:val="00F66456"/>
    <w:rsid w:val="00F712B6"/>
    <w:rsid w:val="00F73C13"/>
    <w:rsid w:val="00F75DEB"/>
    <w:rsid w:val="00F763F6"/>
    <w:rsid w:val="00F8275C"/>
    <w:rsid w:val="00F8765F"/>
    <w:rsid w:val="00F8794E"/>
    <w:rsid w:val="00F90767"/>
    <w:rsid w:val="00F92014"/>
    <w:rsid w:val="00FA3C96"/>
    <w:rsid w:val="00FA685B"/>
    <w:rsid w:val="00FB0C01"/>
    <w:rsid w:val="00FB2B45"/>
    <w:rsid w:val="00FB4D81"/>
    <w:rsid w:val="00FB5243"/>
    <w:rsid w:val="00FC18F2"/>
    <w:rsid w:val="00FC39E5"/>
    <w:rsid w:val="00FC3A78"/>
    <w:rsid w:val="00FD1005"/>
    <w:rsid w:val="00FD4672"/>
    <w:rsid w:val="00FD6559"/>
    <w:rsid w:val="00FD6C75"/>
    <w:rsid w:val="00FE71B3"/>
    <w:rsid w:val="00FF203A"/>
    <w:rsid w:val="00FF245F"/>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541D6D"/>
    <w:pPr>
      <w:jc w:val="both"/>
    </w:pPr>
    <w:rPr>
      <w:rFonts w:eastAsiaTheme="minorEastAsia"/>
      <w:sz w:val="24"/>
      <w:lang w:val="en-GB"/>
    </w:rPr>
  </w:style>
  <w:style w:type="paragraph" w:styleId="Heading1">
    <w:name w:val="heading 1"/>
    <w:basedOn w:val="Normal"/>
    <w:next w:val="Normal"/>
    <w:link w:val="Heading1Char"/>
    <w:uiPriority w:val="99"/>
    <w:semiHidden/>
    <w:rsid w:val="00541D6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541D6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541D6D"/>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541D6D"/>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541D6D"/>
    <w:pPr>
      <w:spacing w:before="200"/>
      <w:outlineLvl w:val="4"/>
    </w:pPr>
    <w:rPr>
      <w:rFonts w:asciiTheme="majorHAnsi" w:eastAsiaTheme="majorEastAsia" w:hAnsiTheme="majorHAnsi" w:cstheme="majorBidi"/>
      <w:b/>
      <w:bCs/>
      <w:color w:val="808080"/>
      <w:sz w:val="22"/>
      <w:lang w:val="en-US"/>
    </w:rPr>
  </w:style>
  <w:style w:type="paragraph" w:styleId="Heading6">
    <w:name w:val="heading 6"/>
    <w:basedOn w:val="Normal"/>
    <w:next w:val="Normal"/>
    <w:link w:val="Heading6Char"/>
    <w:uiPriority w:val="99"/>
    <w:semiHidden/>
    <w:rsid w:val="00541D6D"/>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541D6D"/>
    <w:pPr>
      <w:outlineLvl w:val="6"/>
    </w:pPr>
    <w:rPr>
      <w:rFonts w:asciiTheme="majorHAnsi" w:eastAsiaTheme="majorEastAsia" w:hAnsiTheme="majorHAnsi" w:cstheme="majorBidi"/>
      <w:i/>
      <w:iCs/>
      <w:sz w:val="22"/>
      <w:lang w:val="en-US" w:bidi="en-US"/>
    </w:rPr>
  </w:style>
  <w:style w:type="paragraph" w:styleId="Heading8">
    <w:name w:val="heading 8"/>
    <w:basedOn w:val="Normal"/>
    <w:next w:val="Normal"/>
    <w:link w:val="Heading8Char"/>
    <w:uiPriority w:val="99"/>
    <w:semiHidden/>
    <w:qFormat/>
    <w:rsid w:val="00541D6D"/>
    <w:pPr>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9"/>
    <w:semiHidden/>
    <w:qFormat/>
    <w:rsid w:val="00541D6D"/>
    <w:pPr>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41D6D"/>
    <w:rPr>
      <w:rFonts w:ascii="Tahoma" w:hAnsi="Tahoma" w:cs="Tahoma"/>
      <w:sz w:val="16"/>
      <w:szCs w:val="16"/>
    </w:rPr>
  </w:style>
  <w:style w:type="character" w:customStyle="1" w:styleId="BalloonTextChar">
    <w:name w:val="Balloon Text Char"/>
    <w:basedOn w:val="DefaultParagraphFont"/>
    <w:link w:val="BalloonText"/>
    <w:uiPriority w:val="99"/>
    <w:semiHidden/>
    <w:rsid w:val="00541D6D"/>
    <w:rPr>
      <w:rFonts w:ascii="Tahoma" w:eastAsiaTheme="minorEastAsia" w:hAnsi="Tahoma" w:cs="Tahoma"/>
      <w:sz w:val="16"/>
      <w:szCs w:val="16"/>
      <w:lang w:val="en-GB"/>
    </w:rPr>
  </w:style>
  <w:style w:type="character" w:styleId="BookTitle">
    <w:name w:val="Book Title"/>
    <w:uiPriority w:val="99"/>
    <w:semiHidden/>
    <w:qFormat/>
    <w:rsid w:val="00541D6D"/>
    <w:rPr>
      <w:i/>
      <w:iCs/>
      <w:smallCaps/>
      <w:spacing w:val="5"/>
    </w:rPr>
  </w:style>
  <w:style w:type="paragraph" w:customStyle="1" w:styleId="ECHRHeader">
    <w:name w:val="ECHR_Header"/>
    <w:aliases w:val="Ju_Header"/>
    <w:basedOn w:val="Header"/>
    <w:uiPriority w:val="4"/>
    <w:qFormat/>
    <w:rsid w:val="00541D6D"/>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541D6D"/>
    <w:pPr>
      <w:jc w:val="left"/>
    </w:pPr>
    <w:rPr>
      <w:sz w:val="8"/>
    </w:rPr>
  </w:style>
  <w:style w:type="character" w:styleId="Strong">
    <w:name w:val="Strong"/>
    <w:uiPriority w:val="99"/>
    <w:semiHidden/>
    <w:qFormat/>
    <w:rsid w:val="00541D6D"/>
    <w:rPr>
      <w:b/>
      <w:bCs/>
    </w:rPr>
  </w:style>
  <w:style w:type="paragraph" w:styleId="NoSpacing">
    <w:name w:val="No Spacing"/>
    <w:basedOn w:val="Normal"/>
    <w:link w:val="NoSpacingChar"/>
    <w:semiHidden/>
    <w:qFormat/>
    <w:rsid w:val="00541D6D"/>
    <w:rPr>
      <w:sz w:val="22"/>
      <w:lang w:val="en-US"/>
    </w:rPr>
  </w:style>
  <w:style w:type="character" w:customStyle="1" w:styleId="NoSpacingChar">
    <w:name w:val="No Spacing Char"/>
    <w:basedOn w:val="DefaultParagraphFont"/>
    <w:link w:val="NoSpacing"/>
    <w:semiHidden/>
    <w:rsid w:val="00541D6D"/>
    <w:rPr>
      <w:rFonts w:eastAsiaTheme="minorEastAsia"/>
    </w:rPr>
  </w:style>
  <w:style w:type="paragraph" w:customStyle="1" w:styleId="ECHRFooterLine">
    <w:name w:val="ECHR_Footer_Line"/>
    <w:aliases w:val="Footer_Line"/>
    <w:basedOn w:val="Normal"/>
    <w:next w:val="ECHRFooter"/>
    <w:uiPriority w:val="57"/>
    <w:semiHidden/>
    <w:rsid w:val="00541D6D"/>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541D6D"/>
  </w:style>
  <w:style w:type="paragraph" w:customStyle="1" w:styleId="DecList">
    <w:name w:val="Dec_List"/>
    <w:basedOn w:val="Normal"/>
    <w:uiPriority w:val="9"/>
    <w:semiHidden/>
    <w:qFormat/>
    <w:rsid w:val="00541D6D"/>
    <w:pPr>
      <w:spacing w:before="240"/>
      <w:ind w:left="284"/>
    </w:pPr>
  </w:style>
  <w:style w:type="paragraph" w:customStyle="1" w:styleId="DummyStyle">
    <w:name w:val="Dummy_Style"/>
    <w:basedOn w:val="Normal"/>
    <w:semiHidden/>
    <w:qFormat/>
    <w:rsid w:val="00541D6D"/>
    <w:rPr>
      <w:color w:val="00B050"/>
    </w:rPr>
  </w:style>
  <w:style w:type="paragraph" w:customStyle="1" w:styleId="ECHRTitleCentre3">
    <w:name w:val="ECHR_Title_Centre_3"/>
    <w:aliases w:val="Ju_H_Article"/>
    <w:basedOn w:val="Normal"/>
    <w:next w:val="ECHRParaQuote"/>
    <w:uiPriority w:val="27"/>
    <w:qFormat/>
    <w:rsid w:val="00541D6D"/>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541D6D"/>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541D6D"/>
    <w:pPr>
      <w:numPr>
        <w:numId w:val="27"/>
      </w:numPr>
      <w:jc w:val="left"/>
    </w:pPr>
    <w:rPr>
      <w:b/>
    </w:rPr>
  </w:style>
  <w:style w:type="paragraph" w:customStyle="1" w:styleId="JuCourt">
    <w:name w:val="Ju_Court"/>
    <w:basedOn w:val="Normal"/>
    <w:next w:val="Normal"/>
    <w:uiPriority w:val="16"/>
    <w:qFormat/>
    <w:rsid w:val="00541D6D"/>
    <w:pPr>
      <w:tabs>
        <w:tab w:val="left" w:pos="907"/>
        <w:tab w:val="left" w:pos="1701"/>
        <w:tab w:val="right" w:pos="7371"/>
      </w:tabs>
      <w:spacing w:before="240"/>
      <w:ind w:left="397" w:hanging="397"/>
      <w:jc w:val="left"/>
    </w:pPr>
    <w:rPr>
      <w:lang w:bidi="en-US"/>
    </w:rPr>
  </w:style>
  <w:style w:type="paragraph" w:customStyle="1" w:styleId="JuInitialled">
    <w:name w:val="Ju_Initialled"/>
    <w:basedOn w:val="Normal"/>
    <w:uiPriority w:val="31"/>
    <w:qFormat/>
    <w:rsid w:val="00541D6D"/>
    <w:pPr>
      <w:tabs>
        <w:tab w:val="center" w:pos="6407"/>
      </w:tabs>
      <w:spacing w:before="720"/>
      <w:jc w:val="right"/>
    </w:pPr>
  </w:style>
  <w:style w:type="paragraph" w:customStyle="1" w:styleId="ECHRTitleCentre2">
    <w:name w:val="ECHR_Title_Centre_2"/>
    <w:aliases w:val="Dec_H_Case"/>
    <w:basedOn w:val="Normal"/>
    <w:next w:val="ECHRPara"/>
    <w:uiPriority w:val="8"/>
    <w:qFormat/>
    <w:rsid w:val="00541D6D"/>
    <w:pPr>
      <w:spacing w:after="240"/>
      <w:jc w:val="center"/>
      <w:outlineLvl w:val="0"/>
    </w:pPr>
    <w:rPr>
      <w:rFonts w:asciiTheme="majorHAnsi" w:hAnsiTheme="majorHAnsi"/>
    </w:rPr>
  </w:style>
  <w:style w:type="paragraph" w:customStyle="1" w:styleId="JuLista">
    <w:name w:val="Ju_List_a"/>
    <w:basedOn w:val="JuList"/>
    <w:uiPriority w:val="28"/>
    <w:qFormat/>
    <w:rsid w:val="00541D6D"/>
    <w:pPr>
      <w:ind w:left="346" w:firstLine="0"/>
    </w:pPr>
  </w:style>
  <w:style w:type="paragraph" w:styleId="Title">
    <w:name w:val="Title"/>
    <w:basedOn w:val="Normal"/>
    <w:next w:val="Normal"/>
    <w:link w:val="TitleChar"/>
    <w:uiPriority w:val="99"/>
    <w:semiHidden/>
    <w:qFormat/>
    <w:rsid w:val="00541D6D"/>
    <w:pPr>
      <w:pBdr>
        <w:bottom w:val="single" w:sz="4" w:space="1" w:color="auto"/>
      </w:pBdr>
      <w:contextualSpacing/>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uiPriority w:val="99"/>
    <w:semiHidden/>
    <w:rsid w:val="00541D6D"/>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541D6D"/>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541D6D"/>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541D6D"/>
    <w:pPr>
      <w:keepNext/>
      <w:keepLines/>
      <w:tabs>
        <w:tab w:val="left" w:pos="1191"/>
      </w:tabs>
      <w:spacing w:before="240" w:after="120"/>
      <w:ind w:left="1190" w:hanging="357"/>
    </w:pPr>
    <w:rPr>
      <w:b w:val="0"/>
      <w:i/>
      <w:color w:val="auto"/>
      <w:sz w:val="20"/>
      <w:lang w:val="en-GB"/>
    </w:rPr>
  </w:style>
  <w:style w:type="paragraph" w:customStyle="1" w:styleId="ECHRHeading6">
    <w:name w:val="ECHR_Heading_6"/>
    <w:aliases w:val="Ju_H_alpha"/>
    <w:basedOn w:val="Heading6"/>
    <w:next w:val="ECHRPara"/>
    <w:uiPriority w:val="24"/>
    <w:qFormat/>
    <w:rsid w:val="00541D6D"/>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541D6D"/>
    <w:pPr>
      <w:keepNext/>
      <w:keepLines/>
      <w:spacing w:before="240" w:after="120"/>
      <w:ind w:left="1236"/>
    </w:pPr>
    <w:rPr>
      <w:sz w:val="20"/>
      <w:lang w:val="en-GB"/>
    </w:rPr>
  </w:style>
  <w:style w:type="paragraph" w:customStyle="1" w:styleId="JuListi">
    <w:name w:val="Ju_List_i"/>
    <w:basedOn w:val="Normal"/>
    <w:next w:val="JuLista"/>
    <w:uiPriority w:val="28"/>
    <w:qFormat/>
    <w:rsid w:val="00541D6D"/>
    <w:pPr>
      <w:ind w:left="794"/>
    </w:pPr>
  </w:style>
  <w:style w:type="character" w:customStyle="1" w:styleId="JUNAMES">
    <w:name w:val="JU_NAMES"/>
    <w:uiPriority w:val="17"/>
    <w:qFormat/>
    <w:rsid w:val="00541D6D"/>
    <w:rPr>
      <w:caps w:val="0"/>
      <w:smallCaps/>
    </w:rPr>
  </w:style>
  <w:style w:type="paragraph" w:customStyle="1" w:styleId="JuParaSub">
    <w:name w:val="Ju_Para_Sub"/>
    <w:basedOn w:val="ECHRPara"/>
    <w:uiPriority w:val="13"/>
    <w:qFormat/>
    <w:rsid w:val="00541D6D"/>
    <w:pPr>
      <w:ind w:left="284"/>
    </w:pPr>
  </w:style>
  <w:style w:type="paragraph" w:styleId="Header">
    <w:name w:val="header"/>
    <w:basedOn w:val="Normal"/>
    <w:link w:val="HeaderChar"/>
    <w:uiPriority w:val="57"/>
    <w:semiHidden/>
    <w:rsid w:val="00541D6D"/>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541D6D"/>
    <w:rPr>
      <w:sz w:val="24"/>
      <w:lang w:val="en-GB"/>
    </w:rPr>
  </w:style>
  <w:style w:type="character" w:customStyle="1" w:styleId="Heading1Char">
    <w:name w:val="Heading 1 Char"/>
    <w:basedOn w:val="DefaultParagraphFont"/>
    <w:link w:val="Heading1"/>
    <w:uiPriority w:val="99"/>
    <w:semiHidden/>
    <w:rsid w:val="00541D6D"/>
    <w:rPr>
      <w:rFonts w:asciiTheme="majorHAnsi" w:eastAsiaTheme="majorEastAsia" w:hAnsiTheme="majorHAnsi" w:cstheme="majorBidi"/>
      <w:b/>
      <w:bCs/>
      <w:color w:val="333333"/>
      <w:sz w:val="28"/>
      <w:szCs w:val="28"/>
      <w:lang w:val="en-GB"/>
    </w:rPr>
  </w:style>
  <w:style w:type="paragraph" w:customStyle="1" w:styleId="ECHRHeading1">
    <w:name w:val="ECHR_Heading_1"/>
    <w:aliases w:val="Ju_H_I_Roman"/>
    <w:basedOn w:val="Heading1"/>
    <w:next w:val="ECHRPara"/>
    <w:uiPriority w:val="19"/>
    <w:qFormat/>
    <w:rsid w:val="00541D6D"/>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541D6D"/>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541D6D"/>
    <w:rPr>
      <w:rFonts w:asciiTheme="majorHAnsi" w:eastAsiaTheme="majorEastAsia" w:hAnsiTheme="majorHAnsi" w:cstheme="majorBidi"/>
      <w:b/>
      <w:bCs/>
      <w:color w:val="4D4D4D"/>
      <w:sz w:val="26"/>
      <w:szCs w:val="26"/>
      <w:lang w:val="en-GB"/>
    </w:rPr>
  </w:style>
  <w:style w:type="paragraph" w:customStyle="1" w:styleId="JuQuotSub">
    <w:name w:val="Ju_Quot_Sub"/>
    <w:basedOn w:val="ECHRParaQuote"/>
    <w:uiPriority w:val="15"/>
    <w:qFormat/>
    <w:rsid w:val="00541D6D"/>
    <w:pPr>
      <w:ind w:left="567"/>
    </w:pPr>
  </w:style>
  <w:style w:type="paragraph" w:customStyle="1" w:styleId="ECHRDecisionBody">
    <w:name w:val="ECHR_Decision_Body"/>
    <w:aliases w:val="Ju_Judges"/>
    <w:basedOn w:val="Normal"/>
    <w:uiPriority w:val="11"/>
    <w:qFormat/>
    <w:rsid w:val="00541D6D"/>
    <w:pPr>
      <w:tabs>
        <w:tab w:val="left" w:pos="567"/>
        <w:tab w:val="left" w:pos="1134"/>
      </w:tabs>
      <w:jc w:val="left"/>
    </w:pPr>
  </w:style>
  <w:style w:type="character" w:customStyle="1" w:styleId="Heading3Char">
    <w:name w:val="Heading 3 Char"/>
    <w:basedOn w:val="DefaultParagraphFont"/>
    <w:link w:val="Heading3"/>
    <w:uiPriority w:val="99"/>
    <w:semiHidden/>
    <w:rsid w:val="00541D6D"/>
    <w:rPr>
      <w:rFonts w:asciiTheme="majorHAnsi" w:eastAsiaTheme="majorEastAsia" w:hAnsiTheme="majorHAnsi" w:cstheme="majorBidi"/>
      <w:b/>
      <w:bCs/>
      <w:color w:val="5F5F5F"/>
      <w:sz w:val="24"/>
      <w:lang w:val="en-GB"/>
    </w:rPr>
  </w:style>
  <w:style w:type="paragraph" w:customStyle="1" w:styleId="ECHRPara">
    <w:name w:val="ECHR_Para"/>
    <w:aliases w:val="Ju_Para"/>
    <w:basedOn w:val="Normal"/>
    <w:link w:val="ECHRParaChar"/>
    <w:uiPriority w:val="12"/>
    <w:qFormat/>
    <w:rsid w:val="00541D6D"/>
    <w:pPr>
      <w:ind w:firstLine="284"/>
    </w:pPr>
  </w:style>
  <w:style w:type="character" w:customStyle="1" w:styleId="Heading4Char">
    <w:name w:val="Heading 4 Char"/>
    <w:basedOn w:val="DefaultParagraphFont"/>
    <w:link w:val="Heading4"/>
    <w:uiPriority w:val="99"/>
    <w:semiHidden/>
    <w:rsid w:val="00541D6D"/>
    <w:rPr>
      <w:rFonts w:asciiTheme="majorHAnsi" w:eastAsiaTheme="majorEastAsia" w:hAnsiTheme="majorHAnsi" w:cstheme="majorBidi"/>
      <w:b/>
      <w:bCs/>
      <w:i/>
      <w:iCs/>
      <w:color w:val="777777"/>
      <w:sz w:val="24"/>
      <w:lang w:val="en-GB"/>
    </w:rPr>
  </w:style>
  <w:style w:type="character" w:customStyle="1" w:styleId="Heading5Char">
    <w:name w:val="Heading 5 Char"/>
    <w:basedOn w:val="DefaultParagraphFont"/>
    <w:link w:val="Heading5"/>
    <w:uiPriority w:val="99"/>
    <w:semiHidden/>
    <w:rsid w:val="00541D6D"/>
    <w:rPr>
      <w:rFonts w:asciiTheme="majorHAnsi" w:eastAsiaTheme="majorEastAsia" w:hAnsiTheme="majorHAnsi" w:cstheme="majorBidi"/>
      <w:b/>
      <w:bCs/>
      <w:color w:val="808080"/>
    </w:rPr>
  </w:style>
  <w:style w:type="character" w:styleId="SubtleEmphasis">
    <w:name w:val="Subtle Emphasis"/>
    <w:uiPriority w:val="99"/>
    <w:semiHidden/>
    <w:qFormat/>
    <w:rsid w:val="00541D6D"/>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541D6D"/>
    <w:pPr>
      <w:keepNext/>
      <w:keepLines/>
      <w:spacing w:before="720" w:after="240"/>
      <w:outlineLvl w:val="0"/>
    </w:pPr>
    <w:rPr>
      <w:rFonts w:asciiTheme="majorHAnsi" w:hAnsiTheme="majorHAnsi"/>
      <w:sz w:val="28"/>
    </w:rPr>
  </w:style>
  <w:style w:type="character" w:styleId="Emphasis">
    <w:name w:val="Emphasis"/>
    <w:uiPriority w:val="99"/>
    <w:semiHidden/>
    <w:qFormat/>
    <w:rsid w:val="00541D6D"/>
    <w:rPr>
      <w:b/>
      <w:bCs/>
      <w:i/>
      <w:iCs/>
      <w:spacing w:val="10"/>
      <w:bdr w:val="none" w:sz="0" w:space="0" w:color="auto"/>
      <w:shd w:val="clear" w:color="auto" w:fill="auto"/>
    </w:rPr>
  </w:style>
  <w:style w:type="paragraph" w:styleId="Footer">
    <w:name w:val="footer"/>
    <w:basedOn w:val="Normal"/>
    <w:link w:val="FooterChar"/>
    <w:uiPriority w:val="57"/>
    <w:semiHidden/>
    <w:rsid w:val="00541D6D"/>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541D6D"/>
    <w:rPr>
      <w:sz w:val="24"/>
      <w:lang w:val="en-GB"/>
    </w:rPr>
  </w:style>
  <w:style w:type="character" w:styleId="FootnoteReference">
    <w:name w:val="footnote reference"/>
    <w:basedOn w:val="DefaultParagraphFont"/>
    <w:uiPriority w:val="99"/>
    <w:semiHidden/>
    <w:rsid w:val="00541D6D"/>
    <w:rPr>
      <w:vertAlign w:val="superscript"/>
    </w:rPr>
  </w:style>
  <w:style w:type="paragraph" w:styleId="FootnoteText">
    <w:name w:val="footnote text"/>
    <w:basedOn w:val="Normal"/>
    <w:link w:val="FootnoteTextChar"/>
    <w:uiPriority w:val="99"/>
    <w:semiHidden/>
    <w:rsid w:val="00541D6D"/>
    <w:rPr>
      <w:sz w:val="20"/>
      <w:szCs w:val="20"/>
    </w:rPr>
  </w:style>
  <w:style w:type="character" w:customStyle="1" w:styleId="FootnoteTextChar">
    <w:name w:val="Footnote Text Char"/>
    <w:basedOn w:val="DefaultParagraphFont"/>
    <w:link w:val="FootnoteText"/>
    <w:uiPriority w:val="99"/>
    <w:semiHidden/>
    <w:rsid w:val="00541D6D"/>
    <w:rPr>
      <w:rFonts w:eastAsiaTheme="minorEastAsia"/>
      <w:sz w:val="20"/>
      <w:szCs w:val="20"/>
      <w:lang w:val="en-GB"/>
    </w:rPr>
  </w:style>
  <w:style w:type="character" w:customStyle="1" w:styleId="Heading6Char">
    <w:name w:val="Heading 6 Char"/>
    <w:basedOn w:val="DefaultParagraphFont"/>
    <w:link w:val="Heading6"/>
    <w:uiPriority w:val="99"/>
    <w:semiHidden/>
    <w:rsid w:val="00541D6D"/>
    <w:rPr>
      <w:rFonts w:asciiTheme="majorHAnsi" w:eastAsiaTheme="majorEastAsia" w:hAnsiTheme="majorHAnsi" w:cstheme="majorBidi"/>
      <w:b/>
      <w:bCs/>
      <w:i/>
      <w:iCs/>
      <w:color w:val="7F7F7F" w:themeColor="text1" w:themeTint="80"/>
      <w:sz w:val="24"/>
      <w:lang w:val="en-GB" w:bidi="en-US"/>
    </w:rPr>
  </w:style>
  <w:style w:type="character" w:customStyle="1" w:styleId="Heading7Char">
    <w:name w:val="Heading 7 Char"/>
    <w:basedOn w:val="DefaultParagraphFont"/>
    <w:link w:val="Heading7"/>
    <w:uiPriority w:val="99"/>
    <w:semiHidden/>
    <w:rsid w:val="00541D6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541D6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541D6D"/>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541D6D"/>
    <w:rPr>
      <w:color w:val="0072BC" w:themeColor="hyperlink"/>
      <w:u w:val="single"/>
    </w:rPr>
  </w:style>
  <w:style w:type="character" w:styleId="IntenseEmphasis">
    <w:name w:val="Intense Emphasis"/>
    <w:uiPriority w:val="99"/>
    <w:semiHidden/>
    <w:qFormat/>
    <w:rsid w:val="00541D6D"/>
    <w:rPr>
      <w:b/>
      <w:bCs/>
    </w:rPr>
  </w:style>
  <w:style w:type="paragraph" w:styleId="IntenseQuote">
    <w:name w:val="Intense Quote"/>
    <w:basedOn w:val="Normal"/>
    <w:next w:val="Normal"/>
    <w:link w:val="IntenseQuoteChar"/>
    <w:uiPriority w:val="99"/>
    <w:semiHidden/>
    <w:qFormat/>
    <w:rsid w:val="00541D6D"/>
    <w:pPr>
      <w:pBdr>
        <w:bottom w:val="single" w:sz="4" w:space="1" w:color="auto"/>
      </w:pBdr>
      <w:spacing w:before="200" w:after="280"/>
      <w:ind w:left="1008" w:right="1152"/>
    </w:pPr>
    <w:rPr>
      <w:b/>
      <w:bCs/>
      <w:i/>
      <w:iCs/>
      <w:sz w:val="22"/>
      <w:lang w:val="en-US" w:bidi="en-US"/>
    </w:rPr>
  </w:style>
  <w:style w:type="character" w:customStyle="1" w:styleId="IntenseQuoteChar">
    <w:name w:val="Intense Quote Char"/>
    <w:basedOn w:val="DefaultParagraphFont"/>
    <w:link w:val="IntenseQuote"/>
    <w:uiPriority w:val="99"/>
    <w:semiHidden/>
    <w:rsid w:val="00541D6D"/>
    <w:rPr>
      <w:rFonts w:eastAsiaTheme="minorEastAsia"/>
      <w:b/>
      <w:bCs/>
      <w:i/>
      <w:iCs/>
      <w:lang w:bidi="en-US"/>
    </w:rPr>
  </w:style>
  <w:style w:type="character" w:styleId="IntenseReference">
    <w:name w:val="Intense Reference"/>
    <w:uiPriority w:val="99"/>
    <w:semiHidden/>
    <w:qFormat/>
    <w:rsid w:val="00541D6D"/>
    <w:rPr>
      <w:smallCaps/>
      <w:spacing w:val="5"/>
      <w:u w:val="single"/>
    </w:rPr>
  </w:style>
  <w:style w:type="paragraph" w:styleId="ListParagraph">
    <w:name w:val="List Paragraph"/>
    <w:basedOn w:val="Normal"/>
    <w:uiPriority w:val="99"/>
    <w:semiHidden/>
    <w:qFormat/>
    <w:rsid w:val="00541D6D"/>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541D6D"/>
    <w:pPr>
      <w:spacing w:before="200"/>
      <w:ind w:left="360" w:right="360"/>
    </w:pPr>
    <w:rPr>
      <w:i/>
      <w:iCs/>
      <w:sz w:val="22"/>
      <w:lang w:val="en-US" w:bidi="en-US"/>
    </w:rPr>
  </w:style>
  <w:style w:type="character" w:customStyle="1" w:styleId="QuoteChar">
    <w:name w:val="Quote Char"/>
    <w:basedOn w:val="DefaultParagraphFont"/>
    <w:link w:val="Quote"/>
    <w:uiPriority w:val="99"/>
    <w:semiHidden/>
    <w:rsid w:val="00541D6D"/>
    <w:rPr>
      <w:rFonts w:eastAsiaTheme="minorEastAsia"/>
      <w:i/>
      <w:iCs/>
      <w:lang w:bidi="en-US"/>
    </w:rPr>
  </w:style>
  <w:style w:type="character" w:styleId="SubtleReference">
    <w:name w:val="Subtle Reference"/>
    <w:uiPriority w:val="99"/>
    <w:semiHidden/>
    <w:qFormat/>
    <w:rsid w:val="00541D6D"/>
    <w:rPr>
      <w:smallCaps/>
    </w:rPr>
  </w:style>
  <w:style w:type="table" w:styleId="TableGrid">
    <w:name w:val="Table Grid"/>
    <w:basedOn w:val="TableNormal"/>
    <w:uiPriority w:val="59"/>
    <w:semiHidden/>
    <w:rsid w:val="00541D6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541D6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541D6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541D6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541D6D"/>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541D6D"/>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541D6D"/>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541D6D"/>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541D6D"/>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41D6D"/>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541D6D"/>
    <w:pPr>
      <w:tabs>
        <w:tab w:val="center" w:pos="851"/>
        <w:tab w:val="center" w:pos="6407"/>
      </w:tabs>
      <w:spacing w:before="720"/>
      <w:jc w:val="left"/>
    </w:pPr>
  </w:style>
  <w:style w:type="paragraph" w:customStyle="1" w:styleId="JuParaLast">
    <w:name w:val="Ju_Para_Last"/>
    <w:basedOn w:val="Normal"/>
    <w:next w:val="ECHRPara"/>
    <w:uiPriority w:val="30"/>
    <w:qFormat/>
    <w:rsid w:val="00541D6D"/>
    <w:pPr>
      <w:keepNext/>
      <w:keepLines/>
      <w:spacing w:before="240"/>
      <w:ind w:firstLine="284"/>
    </w:pPr>
  </w:style>
  <w:style w:type="paragraph" w:customStyle="1" w:styleId="JuCase">
    <w:name w:val="Ju_Case"/>
    <w:basedOn w:val="Normal"/>
    <w:next w:val="ECHRPara"/>
    <w:uiPriority w:val="10"/>
    <w:rsid w:val="00541D6D"/>
    <w:pPr>
      <w:ind w:firstLine="284"/>
    </w:pPr>
    <w:rPr>
      <w:b/>
    </w:rPr>
  </w:style>
  <w:style w:type="paragraph" w:customStyle="1" w:styleId="JuList">
    <w:name w:val="Ju_List"/>
    <w:basedOn w:val="Normal"/>
    <w:uiPriority w:val="28"/>
    <w:qFormat/>
    <w:rsid w:val="00541D6D"/>
    <w:pPr>
      <w:ind w:left="340" w:hanging="340"/>
    </w:pPr>
  </w:style>
  <w:style w:type="paragraph" w:customStyle="1" w:styleId="JuTitle">
    <w:name w:val="Ju_Title"/>
    <w:basedOn w:val="Normal"/>
    <w:next w:val="ECHRPara"/>
    <w:uiPriority w:val="3"/>
    <w:semiHidden/>
    <w:qFormat/>
    <w:rsid w:val="00541D6D"/>
    <w:pPr>
      <w:spacing w:before="720" w:after="240"/>
      <w:jc w:val="center"/>
      <w:outlineLvl w:val="0"/>
    </w:pPr>
    <w:rPr>
      <w:rFonts w:asciiTheme="majorHAnsi" w:hAnsiTheme="majorHAnsi"/>
      <w:b/>
      <w:caps/>
    </w:rPr>
  </w:style>
  <w:style w:type="character" w:styleId="PageNumber">
    <w:name w:val="page number"/>
    <w:uiPriority w:val="99"/>
    <w:semiHidden/>
    <w:rsid w:val="00E77CB3"/>
    <w:rPr>
      <w:rFonts w:ascii="Times New Roman" w:hAnsi="Times New Roman" w:cs="Times New Roman"/>
      <w:sz w:val="18"/>
    </w:rPr>
  </w:style>
  <w:style w:type="paragraph" w:customStyle="1" w:styleId="OpiH1">
    <w:name w:val="Opi_H_1"/>
    <w:basedOn w:val="ECHRHeading2"/>
    <w:uiPriority w:val="42"/>
    <w:qFormat/>
    <w:rsid w:val="00541D6D"/>
    <w:pPr>
      <w:ind w:left="635" w:hanging="357"/>
      <w:outlineLvl w:val="2"/>
    </w:pPr>
  </w:style>
  <w:style w:type="paragraph" w:customStyle="1" w:styleId="OpiHa">
    <w:name w:val="Opi_H_a"/>
    <w:basedOn w:val="ECHRHeading3"/>
    <w:uiPriority w:val="43"/>
    <w:qFormat/>
    <w:rsid w:val="00541D6D"/>
    <w:pPr>
      <w:ind w:left="833" w:hanging="357"/>
      <w:outlineLvl w:val="3"/>
    </w:pPr>
    <w:rPr>
      <w:b/>
      <w:i w:val="0"/>
      <w:sz w:val="20"/>
    </w:r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uiPriority w:val="99"/>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basedOn w:val="DefaultParagraphFont"/>
    <w:uiPriority w:val="99"/>
    <w:semiHidden/>
    <w:rsid w:val="00541D6D"/>
    <w:rPr>
      <w:vertAlign w:val="superscript"/>
    </w:rPr>
  </w:style>
  <w:style w:type="paragraph" w:styleId="EndnoteText">
    <w:name w:val="endnote text"/>
    <w:basedOn w:val="Normal"/>
    <w:link w:val="EndnoteTextChar"/>
    <w:uiPriority w:val="99"/>
    <w:semiHidden/>
    <w:rsid w:val="00541D6D"/>
    <w:rPr>
      <w:sz w:val="20"/>
      <w:szCs w:val="20"/>
    </w:rPr>
  </w:style>
  <w:style w:type="character" w:customStyle="1" w:styleId="EndnoteTextChar">
    <w:name w:val="Endnote Text Char"/>
    <w:basedOn w:val="DefaultParagraphFont"/>
    <w:link w:val="EndnoteText"/>
    <w:uiPriority w:val="99"/>
    <w:semiHidden/>
    <w:rsid w:val="00541D6D"/>
    <w:rPr>
      <w:rFonts w:eastAsiaTheme="minorEastAsia"/>
      <w:sz w:val="20"/>
      <w:szCs w:val="20"/>
      <w:lang w:val="en-GB"/>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HA0">
    <w:name w:val="Opi_H_A"/>
    <w:basedOn w:val="ECHRHeading1"/>
    <w:next w:val="OpiPara"/>
    <w:uiPriority w:val="41"/>
    <w:qFormat/>
    <w:rsid w:val="00541D6D"/>
    <w:pPr>
      <w:tabs>
        <w:tab w:val="clear" w:pos="357"/>
      </w:tabs>
      <w:outlineLvl w:val="1"/>
    </w:pPr>
    <w:rPr>
      <w:b/>
    </w:r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character" w:customStyle="1" w:styleId="JuITMark">
    <w:name w:val="Ju_ITMark"/>
    <w:basedOn w:val="DefaultParagraphFont"/>
    <w:uiPriority w:val="38"/>
    <w:qFormat/>
    <w:rsid w:val="00541D6D"/>
    <w:rPr>
      <w:vanish w:val="0"/>
      <w:color w:val="auto"/>
      <w:sz w:val="14"/>
      <w:bdr w:val="none" w:sz="0" w:space="0" w:color="auto"/>
      <w:shd w:val="clear" w:color="auto" w:fill="BEE5FF" w:themeFill="background1" w:themeFillTint="33"/>
    </w:rPr>
  </w:style>
  <w:style w:type="paragraph" w:styleId="Subtitle">
    <w:name w:val="Subtitle"/>
    <w:basedOn w:val="Normal"/>
    <w:next w:val="Normal"/>
    <w:link w:val="SubtitleChar"/>
    <w:uiPriority w:val="99"/>
    <w:semiHidden/>
    <w:qFormat/>
    <w:rsid w:val="00541D6D"/>
    <w:pPr>
      <w:spacing w:after="600"/>
    </w:pPr>
    <w:rPr>
      <w:rFonts w:asciiTheme="majorHAnsi" w:eastAsiaTheme="majorEastAsia" w:hAnsiTheme="majorHAnsi" w:cstheme="majorBidi"/>
      <w:i/>
      <w:iCs/>
      <w:spacing w:val="13"/>
      <w:szCs w:val="24"/>
      <w:lang w:val="en-US" w:bidi="en-US"/>
    </w:rPr>
  </w:style>
  <w:style w:type="character" w:customStyle="1" w:styleId="SubtitleChar">
    <w:name w:val="Subtitle Char"/>
    <w:basedOn w:val="DefaultParagraphFont"/>
    <w:link w:val="Subtitle"/>
    <w:uiPriority w:val="99"/>
    <w:semiHidden/>
    <w:rsid w:val="00541D6D"/>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541D6D"/>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541D6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541D6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paragraph" w:customStyle="1" w:styleId="OpiHi">
    <w:name w:val="Opi_H_i"/>
    <w:basedOn w:val="ECHRHeading4"/>
    <w:uiPriority w:val="44"/>
    <w:qFormat/>
    <w:rsid w:val="00541D6D"/>
    <w:pPr>
      <w:ind w:left="1037" w:hanging="357"/>
      <w:outlineLvl w:val="4"/>
    </w:pPr>
    <w:rPr>
      <w:b w:val="0"/>
      <w:i/>
    </w:rPr>
  </w:style>
  <w:style w:type="paragraph" w:customStyle="1" w:styleId="OpiPara">
    <w:name w:val="Opi_Para"/>
    <w:basedOn w:val="ECHRPara"/>
    <w:uiPriority w:val="46"/>
    <w:qFormat/>
    <w:rsid w:val="00541D6D"/>
  </w:style>
  <w:style w:type="paragraph" w:customStyle="1" w:styleId="OpiParaSub">
    <w:name w:val="Opi_Para_Sub"/>
    <w:basedOn w:val="JuParaSub"/>
    <w:uiPriority w:val="47"/>
    <w:qFormat/>
    <w:rsid w:val="00541D6D"/>
  </w:style>
  <w:style w:type="paragraph" w:customStyle="1" w:styleId="OpiQuot">
    <w:name w:val="Opi_Quot"/>
    <w:basedOn w:val="ECHRParaQuote"/>
    <w:uiPriority w:val="48"/>
    <w:qFormat/>
    <w:rsid w:val="00541D6D"/>
  </w:style>
  <w:style w:type="paragraph" w:customStyle="1" w:styleId="OpiQuotSub">
    <w:name w:val="Opi_Quot_Sub"/>
    <w:basedOn w:val="JuQuotSub"/>
    <w:uiPriority w:val="49"/>
    <w:qFormat/>
    <w:rsid w:val="00541D6D"/>
  </w:style>
  <w:style w:type="paragraph" w:customStyle="1" w:styleId="OpiTranslation">
    <w:name w:val="Opi_Translation"/>
    <w:basedOn w:val="Normal"/>
    <w:next w:val="OpiPara"/>
    <w:uiPriority w:val="40"/>
    <w:qFormat/>
    <w:rsid w:val="00541D6D"/>
    <w:pPr>
      <w:jc w:val="center"/>
      <w:outlineLvl w:val="0"/>
    </w:pPr>
    <w:rPr>
      <w:i/>
    </w:rPr>
  </w:style>
  <w:style w:type="paragraph" w:customStyle="1" w:styleId="JuHeaderLandscape">
    <w:name w:val="Ju_Header_Landscape"/>
    <w:basedOn w:val="ECHRHeader"/>
    <w:uiPriority w:val="4"/>
    <w:qFormat/>
    <w:rsid w:val="00541D6D"/>
    <w:pPr>
      <w:tabs>
        <w:tab w:val="clear" w:pos="3686"/>
        <w:tab w:val="clear" w:pos="7371"/>
        <w:tab w:val="center" w:pos="6146"/>
        <w:tab w:val="right" w:pos="12293"/>
      </w:tabs>
    </w:pPr>
  </w:style>
  <w:style w:type="paragraph" w:customStyle="1" w:styleId="ECHRSpacer">
    <w:name w:val="ECHR_Spacer"/>
    <w:basedOn w:val="Normal"/>
    <w:uiPriority w:val="45"/>
    <w:rsid w:val="00AA755B"/>
    <w:pPr>
      <w:jc w:val="left"/>
    </w:pPr>
    <w:rPr>
      <w:rFonts w:eastAsiaTheme="minorHAnsi"/>
      <w:sz w:val="4"/>
    </w:rPr>
  </w:style>
  <w:style w:type="character" w:customStyle="1" w:styleId="ECHRParaChar">
    <w:name w:val="ECHR_Para Char"/>
    <w:aliases w:val="Ju_Para Char"/>
    <w:link w:val="ECHRPara"/>
    <w:uiPriority w:val="12"/>
    <w:rsid w:val="00D96E3E"/>
    <w:rPr>
      <w:rFonts w:eastAsiaTheme="minorEastAsia"/>
      <w:sz w:val="24"/>
      <w:lang w:val="en-GB"/>
    </w:rPr>
  </w:style>
  <w:style w:type="table" w:customStyle="1" w:styleId="ECHRListTable1">
    <w:name w:val="ECHR_List_Table1"/>
    <w:basedOn w:val="TableNormal"/>
    <w:uiPriority w:val="99"/>
    <w:rsid w:val="0039720B"/>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Revision">
    <w:name w:val="Revision"/>
    <w:hidden/>
    <w:uiPriority w:val="99"/>
    <w:semiHidden/>
    <w:rsid w:val="001E5E49"/>
    <w:rPr>
      <w:rFonts w:eastAsiaTheme="minorEastAsia"/>
      <w:sz w:val="24"/>
      <w:lang w:val="en-GB"/>
    </w:rPr>
  </w:style>
  <w:style w:type="paragraph" w:customStyle="1" w:styleId="jupara">
    <w:name w:val="jupara"/>
    <w:basedOn w:val="Normal"/>
    <w:rsid w:val="00432BEA"/>
    <w:pPr>
      <w:ind w:firstLine="284"/>
    </w:pPr>
    <w:rPr>
      <w:rFonts w:ascii="Times New Roman" w:eastAsia="Times New Roman" w:hAnsi="Times New Roman" w:cs="Times New Roman"/>
      <w:szCs w:val="24"/>
      <w:lang w:eastAsia="en-GB"/>
    </w:rPr>
  </w:style>
  <w:style w:type="paragraph" w:customStyle="1" w:styleId="jucase0">
    <w:name w:val="jucase"/>
    <w:basedOn w:val="Normal"/>
    <w:rsid w:val="00432BEA"/>
    <w:pPr>
      <w:ind w:firstLine="284"/>
    </w:pPr>
    <w:rPr>
      <w:rFonts w:ascii="Times New Roman" w:eastAsia="Times New Roman" w:hAnsi="Times New Roman" w:cs="Times New Roman"/>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4230">
      <w:bodyDiv w:val="1"/>
      <w:marLeft w:val="0"/>
      <w:marRight w:val="0"/>
      <w:marTop w:val="0"/>
      <w:marBottom w:val="0"/>
      <w:divBdr>
        <w:top w:val="none" w:sz="0" w:space="0" w:color="auto"/>
        <w:left w:val="none" w:sz="0" w:space="0" w:color="auto"/>
        <w:bottom w:val="none" w:sz="0" w:space="0" w:color="auto"/>
        <w:right w:val="none" w:sz="0" w:space="0" w:color="auto"/>
      </w:divBdr>
      <w:divsChild>
        <w:div w:id="301614892">
          <w:marLeft w:val="0"/>
          <w:marRight w:val="0"/>
          <w:marTop w:val="0"/>
          <w:marBottom w:val="0"/>
          <w:divBdr>
            <w:top w:val="none" w:sz="0" w:space="0" w:color="auto"/>
            <w:left w:val="none" w:sz="0" w:space="0" w:color="auto"/>
            <w:bottom w:val="none" w:sz="0" w:space="0" w:color="auto"/>
            <w:right w:val="none" w:sz="0" w:space="0" w:color="auto"/>
          </w:divBdr>
          <w:divsChild>
            <w:div w:id="506988878">
              <w:marLeft w:val="0"/>
              <w:marRight w:val="0"/>
              <w:marTop w:val="0"/>
              <w:marBottom w:val="0"/>
              <w:divBdr>
                <w:top w:val="none" w:sz="0" w:space="0" w:color="auto"/>
                <w:left w:val="none" w:sz="0" w:space="0" w:color="auto"/>
                <w:bottom w:val="none" w:sz="0" w:space="0" w:color="auto"/>
                <w:right w:val="none" w:sz="0" w:space="0" w:color="auto"/>
              </w:divBdr>
              <w:divsChild>
                <w:div w:id="58134890">
                  <w:marLeft w:val="0"/>
                  <w:marRight w:val="0"/>
                  <w:marTop w:val="0"/>
                  <w:marBottom w:val="0"/>
                  <w:divBdr>
                    <w:top w:val="none" w:sz="0" w:space="0" w:color="auto"/>
                    <w:left w:val="none" w:sz="0" w:space="0" w:color="auto"/>
                    <w:bottom w:val="none" w:sz="0" w:space="0" w:color="auto"/>
                    <w:right w:val="none" w:sz="0" w:space="0" w:color="auto"/>
                  </w:divBdr>
                  <w:divsChild>
                    <w:div w:id="1542667969">
                      <w:marLeft w:val="0"/>
                      <w:marRight w:val="0"/>
                      <w:marTop w:val="0"/>
                      <w:marBottom w:val="0"/>
                      <w:divBdr>
                        <w:top w:val="none" w:sz="0" w:space="0" w:color="auto"/>
                        <w:left w:val="none" w:sz="0" w:space="0" w:color="auto"/>
                        <w:bottom w:val="none" w:sz="0" w:space="0" w:color="auto"/>
                        <w:right w:val="none" w:sz="0" w:space="0" w:color="auto"/>
                      </w:divBdr>
                      <w:divsChild>
                        <w:div w:id="377824141">
                          <w:marLeft w:val="0"/>
                          <w:marRight w:val="0"/>
                          <w:marTop w:val="0"/>
                          <w:marBottom w:val="0"/>
                          <w:divBdr>
                            <w:top w:val="none" w:sz="0" w:space="0" w:color="auto"/>
                            <w:left w:val="none" w:sz="0" w:space="0" w:color="auto"/>
                            <w:bottom w:val="none" w:sz="0" w:space="0" w:color="auto"/>
                            <w:right w:val="none" w:sz="0" w:space="0" w:color="auto"/>
                          </w:divBdr>
                          <w:divsChild>
                            <w:div w:id="15875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008659">
      <w:bodyDiv w:val="1"/>
      <w:marLeft w:val="0"/>
      <w:marRight w:val="0"/>
      <w:marTop w:val="0"/>
      <w:marBottom w:val="0"/>
      <w:divBdr>
        <w:top w:val="none" w:sz="0" w:space="0" w:color="auto"/>
        <w:left w:val="none" w:sz="0" w:space="0" w:color="auto"/>
        <w:bottom w:val="none" w:sz="0" w:space="0" w:color="auto"/>
        <w:right w:val="none" w:sz="0" w:space="0" w:color="auto"/>
      </w:divBdr>
      <w:divsChild>
        <w:div w:id="1187711497">
          <w:marLeft w:val="0"/>
          <w:marRight w:val="0"/>
          <w:marTop w:val="0"/>
          <w:marBottom w:val="0"/>
          <w:divBdr>
            <w:top w:val="none" w:sz="0" w:space="0" w:color="auto"/>
            <w:left w:val="none" w:sz="0" w:space="0" w:color="auto"/>
            <w:bottom w:val="none" w:sz="0" w:space="0" w:color="auto"/>
            <w:right w:val="none" w:sz="0" w:space="0" w:color="auto"/>
          </w:divBdr>
          <w:divsChild>
            <w:div w:id="1876379882">
              <w:marLeft w:val="0"/>
              <w:marRight w:val="0"/>
              <w:marTop w:val="0"/>
              <w:marBottom w:val="0"/>
              <w:divBdr>
                <w:top w:val="none" w:sz="0" w:space="0" w:color="auto"/>
                <w:left w:val="none" w:sz="0" w:space="0" w:color="auto"/>
                <w:bottom w:val="none" w:sz="0" w:space="0" w:color="auto"/>
                <w:right w:val="none" w:sz="0" w:space="0" w:color="auto"/>
              </w:divBdr>
              <w:divsChild>
                <w:div w:id="1021396593">
                  <w:marLeft w:val="0"/>
                  <w:marRight w:val="0"/>
                  <w:marTop w:val="0"/>
                  <w:marBottom w:val="0"/>
                  <w:divBdr>
                    <w:top w:val="none" w:sz="0" w:space="0" w:color="auto"/>
                    <w:left w:val="none" w:sz="0" w:space="0" w:color="auto"/>
                    <w:bottom w:val="none" w:sz="0" w:space="0" w:color="auto"/>
                    <w:right w:val="none" w:sz="0" w:space="0" w:color="auto"/>
                  </w:divBdr>
                  <w:divsChild>
                    <w:div w:id="733353333">
                      <w:marLeft w:val="0"/>
                      <w:marRight w:val="0"/>
                      <w:marTop w:val="0"/>
                      <w:marBottom w:val="0"/>
                      <w:divBdr>
                        <w:top w:val="none" w:sz="0" w:space="0" w:color="auto"/>
                        <w:left w:val="none" w:sz="0" w:space="0" w:color="auto"/>
                        <w:bottom w:val="none" w:sz="0" w:space="0" w:color="auto"/>
                        <w:right w:val="none" w:sz="0" w:space="0" w:color="auto"/>
                      </w:divBdr>
                      <w:divsChild>
                        <w:div w:id="1714231199">
                          <w:marLeft w:val="0"/>
                          <w:marRight w:val="0"/>
                          <w:marTop w:val="0"/>
                          <w:marBottom w:val="0"/>
                          <w:divBdr>
                            <w:top w:val="none" w:sz="0" w:space="0" w:color="auto"/>
                            <w:left w:val="none" w:sz="0" w:space="0" w:color="auto"/>
                            <w:bottom w:val="none" w:sz="0" w:space="0" w:color="auto"/>
                            <w:right w:val="none" w:sz="0" w:space="0" w:color="auto"/>
                          </w:divBdr>
                          <w:divsChild>
                            <w:div w:id="4241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980471">
      <w:bodyDiv w:val="1"/>
      <w:marLeft w:val="0"/>
      <w:marRight w:val="0"/>
      <w:marTop w:val="0"/>
      <w:marBottom w:val="0"/>
      <w:divBdr>
        <w:top w:val="none" w:sz="0" w:space="0" w:color="auto"/>
        <w:left w:val="none" w:sz="0" w:space="0" w:color="auto"/>
        <w:bottom w:val="none" w:sz="0" w:space="0" w:color="auto"/>
        <w:right w:val="none" w:sz="0" w:space="0" w:color="auto"/>
      </w:divBdr>
      <w:divsChild>
        <w:div w:id="1601601512">
          <w:marLeft w:val="0"/>
          <w:marRight w:val="0"/>
          <w:marTop w:val="0"/>
          <w:marBottom w:val="0"/>
          <w:divBdr>
            <w:top w:val="none" w:sz="0" w:space="0" w:color="auto"/>
            <w:left w:val="none" w:sz="0" w:space="0" w:color="auto"/>
            <w:bottom w:val="none" w:sz="0" w:space="0" w:color="auto"/>
            <w:right w:val="none" w:sz="0" w:space="0" w:color="auto"/>
          </w:divBdr>
          <w:divsChild>
            <w:div w:id="494342254">
              <w:marLeft w:val="0"/>
              <w:marRight w:val="0"/>
              <w:marTop w:val="0"/>
              <w:marBottom w:val="0"/>
              <w:divBdr>
                <w:top w:val="none" w:sz="0" w:space="0" w:color="auto"/>
                <w:left w:val="none" w:sz="0" w:space="0" w:color="auto"/>
                <w:bottom w:val="none" w:sz="0" w:space="0" w:color="auto"/>
                <w:right w:val="none" w:sz="0" w:space="0" w:color="auto"/>
              </w:divBdr>
              <w:divsChild>
                <w:div w:id="1654020203">
                  <w:marLeft w:val="0"/>
                  <w:marRight w:val="0"/>
                  <w:marTop w:val="0"/>
                  <w:marBottom w:val="0"/>
                  <w:divBdr>
                    <w:top w:val="none" w:sz="0" w:space="0" w:color="auto"/>
                    <w:left w:val="none" w:sz="0" w:space="0" w:color="auto"/>
                    <w:bottom w:val="none" w:sz="0" w:space="0" w:color="auto"/>
                    <w:right w:val="none" w:sz="0" w:space="0" w:color="auto"/>
                  </w:divBdr>
                  <w:divsChild>
                    <w:div w:id="1569731747">
                      <w:marLeft w:val="0"/>
                      <w:marRight w:val="0"/>
                      <w:marTop w:val="0"/>
                      <w:marBottom w:val="0"/>
                      <w:divBdr>
                        <w:top w:val="none" w:sz="0" w:space="0" w:color="auto"/>
                        <w:left w:val="none" w:sz="0" w:space="0" w:color="auto"/>
                        <w:bottom w:val="none" w:sz="0" w:space="0" w:color="auto"/>
                        <w:right w:val="none" w:sz="0" w:space="0" w:color="auto"/>
                      </w:divBdr>
                      <w:divsChild>
                        <w:div w:id="1120339791">
                          <w:marLeft w:val="0"/>
                          <w:marRight w:val="0"/>
                          <w:marTop w:val="0"/>
                          <w:marBottom w:val="0"/>
                          <w:divBdr>
                            <w:top w:val="none" w:sz="0" w:space="0" w:color="auto"/>
                            <w:left w:val="none" w:sz="0" w:space="0" w:color="auto"/>
                            <w:bottom w:val="none" w:sz="0" w:space="0" w:color="auto"/>
                            <w:right w:val="none" w:sz="0" w:space="0" w:color="auto"/>
                          </w:divBdr>
                          <w:divsChild>
                            <w:div w:id="1399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261282">
      <w:bodyDiv w:val="1"/>
      <w:marLeft w:val="0"/>
      <w:marRight w:val="0"/>
      <w:marTop w:val="0"/>
      <w:marBottom w:val="0"/>
      <w:divBdr>
        <w:top w:val="none" w:sz="0" w:space="0" w:color="auto"/>
        <w:left w:val="none" w:sz="0" w:space="0" w:color="auto"/>
        <w:bottom w:val="none" w:sz="0" w:space="0" w:color="auto"/>
        <w:right w:val="none" w:sz="0" w:space="0" w:color="auto"/>
      </w:divBdr>
      <w:divsChild>
        <w:div w:id="814495064">
          <w:marLeft w:val="0"/>
          <w:marRight w:val="0"/>
          <w:marTop w:val="0"/>
          <w:marBottom w:val="0"/>
          <w:divBdr>
            <w:top w:val="none" w:sz="0" w:space="0" w:color="auto"/>
            <w:left w:val="none" w:sz="0" w:space="0" w:color="auto"/>
            <w:bottom w:val="none" w:sz="0" w:space="0" w:color="auto"/>
            <w:right w:val="none" w:sz="0" w:space="0" w:color="auto"/>
          </w:divBdr>
          <w:divsChild>
            <w:div w:id="816460575">
              <w:marLeft w:val="0"/>
              <w:marRight w:val="0"/>
              <w:marTop w:val="0"/>
              <w:marBottom w:val="0"/>
              <w:divBdr>
                <w:top w:val="none" w:sz="0" w:space="0" w:color="auto"/>
                <w:left w:val="none" w:sz="0" w:space="0" w:color="auto"/>
                <w:bottom w:val="none" w:sz="0" w:space="0" w:color="auto"/>
                <w:right w:val="none" w:sz="0" w:space="0" w:color="auto"/>
              </w:divBdr>
              <w:divsChild>
                <w:div w:id="1269973214">
                  <w:marLeft w:val="0"/>
                  <w:marRight w:val="0"/>
                  <w:marTop w:val="0"/>
                  <w:marBottom w:val="0"/>
                  <w:divBdr>
                    <w:top w:val="none" w:sz="0" w:space="0" w:color="auto"/>
                    <w:left w:val="none" w:sz="0" w:space="0" w:color="auto"/>
                    <w:bottom w:val="none" w:sz="0" w:space="0" w:color="auto"/>
                    <w:right w:val="none" w:sz="0" w:space="0" w:color="auto"/>
                  </w:divBdr>
                  <w:divsChild>
                    <w:div w:id="28261832">
                      <w:marLeft w:val="0"/>
                      <w:marRight w:val="0"/>
                      <w:marTop w:val="0"/>
                      <w:marBottom w:val="0"/>
                      <w:divBdr>
                        <w:top w:val="none" w:sz="0" w:space="0" w:color="auto"/>
                        <w:left w:val="none" w:sz="0" w:space="0" w:color="auto"/>
                        <w:bottom w:val="none" w:sz="0" w:space="0" w:color="auto"/>
                        <w:right w:val="none" w:sz="0" w:space="0" w:color="auto"/>
                      </w:divBdr>
                      <w:divsChild>
                        <w:div w:id="429132517">
                          <w:marLeft w:val="0"/>
                          <w:marRight w:val="0"/>
                          <w:marTop w:val="0"/>
                          <w:marBottom w:val="0"/>
                          <w:divBdr>
                            <w:top w:val="none" w:sz="0" w:space="0" w:color="auto"/>
                            <w:left w:val="none" w:sz="0" w:space="0" w:color="auto"/>
                            <w:bottom w:val="none" w:sz="0" w:space="0" w:color="auto"/>
                            <w:right w:val="none" w:sz="0" w:space="0" w:color="auto"/>
                          </w:divBdr>
                          <w:divsChild>
                            <w:div w:id="1509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516874">
      <w:bodyDiv w:val="1"/>
      <w:marLeft w:val="0"/>
      <w:marRight w:val="0"/>
      <w:marTop w:val="0"/>
      <w:marBottom w:val="0"/>
      <w:divBdr>
        <w:top w:val="none" w:sz="0" w:space="0" w:color="auto"/>
        <w:left w:val="none" w:sz="0" w:space="0" w:color="auto"/>
        <w:bottom w:val="none" w:sz="0" w:space="0" w:color="auto"/>
        <w:right w:val="none" w:sz="0" w:space="0" w:color="auto"/>
      </w:divBdr>
      <w:divsChild>
        <w:div w:id="967711436">
          <w:marLeft w:val="0"/>
          <w:marRight w:val="0"/>
          <w:marTop w:val="0"/>
          <w:marBottom w:val="0"/>
          <w:divBdr>
            <w:top w:val="none" w:sz="0" w:space="0" w:color="auto"/>
            <w:left w:val="none" w:sz="0" w:space="0" w:color="auto"/>
            <w:bottom w:val="none" w:sz="0" w:space="0" w:color="auto"/>
            <w:right w:val="none" w:sz="0" w:space="0" w:color="auto"/>
          </w:divBdr>
          <w:divsChild>
            <w:div w:id="1831943484">
              <w:marLeft w:val="0"/>
              <w:marRight w:val="0"/>
              <w:marTop w:val="0"/>
              <w:marBottom w:val="0"/>
              <w:divBdr>
                <w:top w:val="none" w:sz="0" w:space="0" w:color="auto"/>
                <w:left w:val="none" w:sz="0" w:space="0" w:color="auto"/>
                <w:bottom w:val="none" w:sz="0" w:space="0" w:color="auto"/>
                <w:right w:val="none" w:sz="0" w:space="0" w:color="auto"/>
              </w:divBdr>
              <w:divsChild>
                <w:div w:id="1973897">
                  <w:marLeft w:val="0"/>
                  <w:marRight w:val="0"/>
                  <w:marTop w:val="0"/>
                  <w:marBottom w:val="0"/>
                  <w:divBdr>
                    <w:top w:val="none" w:sz="0" w:space="0" w:color="auto"/>
                    <w:left w:val="none" w:sz="0" w:space="0" w:color="auto"/>
                    <w:bottom w:val="none" w:sz="0" w:space="0" w:color="auto"/>
                    <w:right w:val="none" w:sz="0" w:space="0" w:color="auto"/>
                  </w:divBdr>
                  <w:divsChild>
                    <w:div w:id="1326737091">
                      <w:marLeft w:val="0"/>
                      <w:marRight w:val="0"/>
                      <w:marTop w:val="0"/>
                      <w:marBottom w:val="0"/>
                      <w:divBdr>
                        <w:top w:val="none" w:sz="0" w:space="0" w:color="auto"/>
                        <w:left w:val="none" w:sz="0" w:space="0" w:color="auto"/>
                        <w:bottom w:val="none" w:sz="0" w:space="0" w:color="auto"/>
                        <w:right w:val="none" w:sz="0" w:space="0" w:color="auto"/>
                      </w:divBdr>
                      <w:divsChild>
                        <w:div w:id="1564950558">
                          <w:marLeft w:val="0"/>
                          <w:marRight w:val="0"/>
                          <w:marTop w:val="0"/>
                          <w:marBottom w:val="0"/>
                          <w:divBdr>
                            <w:top w:val="none" w:sz="0" w:space="0" w:color="auto"/>
                            <w:left w:val="none" w:sz="0" w:space="0" w:color="auto"/>
                            <w:bottom w:val="none" w:sz="0" w:space="0" w:color="auto"/>
                            <w:right w:val="none" w:sz="0" w:space="0" w:color="auto"/>
                          </w:divBdr>
                          <w:divsChild>
                            <w:div w:id="18283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061562">
      <w:bodyDiv w:val="1"/>
      <w:marLeft w:val="0"/>
      <w:marRight w:val="0"/>
      <w:marTop w:val="0"/>
      <w:marBottom w:val="0"/>
      <w:divBdr>
        <w:top w:val="none" w:sz="0" w:space="0" w:color="auto"/>
        <w:left w:val="none" w:sz="0" w:space="0" w:color="auto"/>
        <w:bottom w:val="none" w:sz="0" w:space="0" w:color="auto"/>
        <w:right w:val="none" w:sz="0" w:space="0" w:color="auto"/>
      </w:divBdr>
    </w:div>
    <w:div w:id="1601373596">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852258430">
      <w:bodyDiv w:val="1"/>
      <w:marLeft w:val="0"/>
      <w:marRight w:val="0"/>
      <w:marTop w:val="0"/>
      <w:marBottom w:val="0"/>
      <w:divBdr>
        <w:top w:val="none" w:sz="0" w:space="0" w:color="auto"/>
        <w:left w:val="none" w:sz="0" w:space="0" w:color="auto"/>
        <w:bottom w:val="none" w:sz="0" w:space="0" w:color="auto"/>
        <w:right w:val="none" w:sz="0" w:space="0" w:color="auto"/>
      </w:divBdr>
      <w:divsChild>
        <w:div w:id="829978085">
          <w:marLeft w:val="0"/>
          <w:marRight w:val="0"/>
          <w:marTop w:val="0"/>
          <w:marBottom w:val="0"/>
          <w:divBdr>
            <w:top w:val="none" w:sz="0" w:space="0" w:color="auto"/>
            <w:left w:val="none" w:sz="0" w:space="0" w:color="auto"/>
            <w:bottom w:val="none" w:sz="0" w:space="0" w:color="auto"/>
            <w:right w:val="none" w:sz="0" w:space="0" w:color="auto"/>
          </w:divBdr>
          <w:divsChild>
            <w:div w:id="1482581841">
              <w:marLeft w:val="0"/>
              <w:marRight w:val="0"/>
              <w:marTop w:val="0"/>
              <w:marBottom w:val="0"/>
              <w:divBdr>
                <w:top w:val="none" w:sz="0" w:space="0" w:color="auto"/>
                <w:left w:val="none" w:sz="0" w:space="0" w:color="auto"/>
                <w:bottom w:val="none" w:sz="0" w:space="0" w:color="auto"/>
                <w:right w:val="none" w:sz="0" w:space="0" w:color="auto"/>
              </w:divBdr>
              <w:divsChild>
                <w:div w:id="1190752346">
                  <w:marLeft w:val="0"/>
                  <w:marRight w:val="0"/>
                  <w:marTop w:val="0"/>
                  <w:marBottom w:val="0"/>
                  <w:divBdr>
                    <w:top w:val="none" w:sz="0" w:space="0" w:color="auto"/>
                    <w:left w:val="none" w:sz="0" w:space="0" w:color="auto"/>
                    <w:bottom w:val="none" w:sz="0" w:space="0" w:color="auto"/>
                    <w:right w:val="none" w:sz="0" w:space="0" w:color="auto"/>
                  </w:divBdr>
                  <w:divsChild>
                    <w:div w:id="1013915135">
                      <w:marLeft w:val="0"/>
                      <w:marRight w:val="0"/>
                      <w:marTop w:val="0"/>
                      <w:marBottom w:val="0"/>
                      <w:divBdr>
                        <w:top w:val="none" w:sz="0" w:space="0" w:color="auto"/>
                        <w:left w:val="none" w:sz="0" w:space="0" w:color="auto"/>
                        <w:bottom w:val="none" w:sz="0" w:space="0" w:color="auto"/>
                        <w:right w:val="none" w:sz="0" w:space="0" w:color="auto"/>
                      </w:divBdr>
                      <w:divsChild>
                        <w:div w:id="1400322981">
                          <w:marLeft w:val="0"/>
                          <w:marRight w:val="0"/>
                          <w:marTop w:val="0"/>
                          <w:marBottom w:val="0"/>
                          <w:divBdr>
                            <w:top w:val="none" w:sz="0" w:space="0" w:color="auto"/>
                            <w:left w:val="none" w:sz="0" w:space="0" w:color="auto"/>
                            <w:bottom w:val="none" w:sz="0" w:space="0" w:color="auto"/>
                            <w:right w:val="none" w:sz="0" w:space="0" w:color="auto"/>
                          </w:divBdr>
                          <w:divsChild>
                            <w:div w:id="9308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06362">
      <w:bodyDiv w:val="1"/>
      <w:marLeft w:val="0"/>
      <w:marRight w:val="0"/>
      <w:marTop w:val="0"/>
      <w:marBottom w:val="0"/>
      <w:divBdr>
        <w:top w:val="none" w:sz="0" w:space="0" w:color="auto"/>
        <w:left w:val="none" w:sz="0" w:space="0" w:color="auto"/>
        <w:bottom w:val="none" w:sz="0" w:space="0" w:color="auto"/>
        <w:right w:val="none" w:sz="0" w:space="0" w:color="auto"/>
      </w:divBdr>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doc.echr.coe.int/en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28BB2-D2D3-413D-A775-26C906C81B1A}"/>
</file>

<file path=customXml/itemProps2.xml><?xml version="1.0" encoding="utf-8"?>
<ds:datastoreItem xmlns:ds="http://schemas.openxmlformats.org/officeDocument/2006/customXml" ds:itemID="{6D7A10C3-405B-4163-99CC-27BD2096648F}"/>
</file>

<file path=customXml/itemProps3.xml><?xml version="1.0" encoding="utf-8"?>
<ds:datastoreItem xmlns:ds="http://schemas.openxmlformats.org/officeDocument/2006/customXml" ds:itemID="{8052EE01-3A92-4013-AEBA-022BC0EAE2B3}"/>
</file>

<file path=customXml/itemProps4.xml><?xml version="1.0" encoding="utf-8"?>
<ds:datastoreItem xmlns:ds="http://schemas.openxmlformats.org/officeDocument/2006/customXml" ds:itemID="{D0F3AF59-B2BB-4288-8D01-FA3039F8A4FE}"/>
</file>

<file path=docProps/app.xml><?xml version="1.0" encoding="utf-8"?>
<Properties xmlns="http://schemas.openxmlformats.org/officeDocument/2006/extended-properties" xmlns:vt="http://schemas.openxmlformats.org/officeDocument/2006/docPropsVTypes">
  <Template>Normal.dotm</Template>
  <TotalTime>0</TotalTime>
  <Pages>1</Pages>
  <Words>13657</Words>
  <Characters>77850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91325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lastModifiedBy/>
  <cp:revision>1</cp:revision>
  <dcterms:created xsi:type="dcterms:W3CDTF">2019-12-03T10:54:00Z</dcterms:created>
  <dcterms:modified xsi:type="dcterms:W3CDTF">2019-12-03T10:54:00Z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18096/12</vt:lpwstr>
  </property>
  <property fmtid="{D5CDD505-2E9C-101B-9397-08002B2CF9AE}" pid="4" name="CASEID">
    <vt:lpwstr>786746</vt:lpwstr>
  </property>
  <property fmtid="{D5CDD505-2E9C-101B-9397-08002B2CF9AE}" pid="5" name="ContentTypeId">
    <vt:lpwstr>0x010100558EB02BDB9E204AB350EDD385B68E10</vt:lpwstr>
  </property>
</Properties>
</file>