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1BE" w:rsidRDefault="000761BE">
      <w:pPr>
        <w:jc w:val="center"/>
      </w:pPr>
    </w:p>
    <w:p w:rsidRPr="00465DC0" w:rsidR="006C5B9E" w:rsidRDefault="006C5B9E">
      <w:pPr>
        <w:jc w:val="center"/>
      </w:pPr>
    </w:p>
    <w:p w:rsidRPr="00465DC0" w:rsidR="006C5B9E" w:rsidRDefault="00465DC0">
      <w:pPr>
        <w:jc w:val="center"/>
      </w:pPr>
      <w:r w:rsidRPr="00465DC0">
        <w:t>PREMIÈRE SECTION</w:t>
      </w:r>
    </w:p>
    <w:p w:rsidR="000761BE" w:rsidRDefault="000761BE">
      <w:pPr>
        <w:jc w:val="center"/>
      </w:pPr>
    </w:p>
    <w:p w:rsidRPr="00465DC0" w:rsidR="006C5B9E" w:rsidRDefault="006C5B9E">
      <w:pPr>
        <w:jc w:val="center"/>
      </w:pPr>
    </w:p>
    <w:p w:rsidRPr="00465DC0" w:rsidR="006C5B9E" w:rsidRDefault="006C5B9E">
      <w:pPr>
        <w:jc w:val="center"/>
        <w:rPr>
          <w:b/>
        </w:rPr>
      </w:pPr>
      <w:bookmarkStart w:name="To" w:id="0"/>
      <w:r w:rsidRPr="00465DC0">
        <w:rPr>
          <w:b/>
        </w:rPr>
        <w:t xml:space="preserve">AFFAIRE </w:t>
      </w:r>
      <w:bookmarkEnd w:id="0"/>
      <w:r w:rsidRPr="00465DC0" w:rsidR="00465DC0">
        <w:rPr>
          <w:b/>
        </w:rPr>
        <w:t>EXAMILIOTIS (N</w:t>
      </w:r>
      <w:r w:rsidRPr="000761BE" w:rsidR="000761BE">
        <w:rPr>
          <w:b/>
          <w:vertAlign w:val="superscript"/>
        </w:rPr>
        <w:t>o</w:t>
      </w:r>
      <w:r w:rsidRPr="00465DC0" w:rsidR="00465DC0">
        <w:rPr>
          <w:b/>
        </w:rPr>
        <w:t xml:space="preserve"> 2) c. GRÈCE</w:t>
      </w:r>
    </w:p>
    <w:p w:rsidR="006C5B9E" w:rsidRDefault="006C5B9E">
      <w:pPr>
        <w:jc w:val="center"/>
      </w:pPr>
    </w:p>
    <w:p w:rsidRPr="00465DC0" w:rsidR="00CE225E" w:rsidRDefault="00CE225E">
      <w:pPr>
        <w:jc w:val="center"/>
      </w:pPr>
    </w:p>
    <w:p w:rsidRPr="00465DC0" w:rsidR="006C5B9E" w:rsidRDefault="006C5B9E">
      <w:pPr>
        <w:jc w:val="center"/>
        <w:rPr>
          <w:i/>
        </w:rPr>
      </w:pPr>
      <w:r w:rsidRPr="00465DC0">
        <w:rPr>
          <w:i/>
        </w:rPr>
        <w:t>(</w:t>
      </w:r>
      <w:r w:rsidRPr="00465DC0" w:rsidR="00465DC0">
        <w:rPr>
          <w:i/>
        </w:rPr>
        <w:t>Requête n</w:t>
      </w:r>
      <w:r w:rsidRPr="00465DC0" w:rsidR="00465DC0">
        <w:rPr>
          <w:i/>
          <w:vertAlign w:val="superscript"/>
        </w:rPr>
        <w:t>o</w:t>
      </w:r>
      <w:r w:rsidRPr="00465DC0" w:rsidR="00465DC0">
        <w:rPr>
          <w:i/>
        </w:rPr>
        <w:t xml:space="preserve"> 28340/02</w:t>
      </w:r>
      <w:r w:rsidRPr="00465DC0">
        <w:rPr>
          <w:i/>
        </w:rPr>
        <w:t>)</w:t>
      </w:r>
    </w:p>
    <w:p w:rsidR="000761BE" w:rsidP="000761BE" w:rsidRDefault="000761BE">
      <w:pPr>
        <w:pStyle w:val="JuPara"/>
        <w:ind w:firstLine="0"/>
        <w:jc w:val="center"/>
      </w:pPr>
    </w:p>
    <w:p w:rsidR="000761BE" w:rsidP="000761BE" w:rsidRDefault="000761BE">
      <w:pPr>
        <w:pStyle w:val="JuPara"/>
        <w:ind w:firstLine="0"/>
        <w:jc w:val="center"/>
      </w:pPr>
    </w:p>
    <w:p w:rsidR="000761BE" w:rsidP="000761BE" w:rsidRDefault="000761BE">
      <w:pPr>
        <w:pStyle w:val="JuPara"/>
        <w:ind w:firstLine="0"/>
        <w:jc w:val="center"/>
      </w:pPr>
      <w:r>
        <w:t>ARRÊT</w:t>
      </w:r>
    </w:p>
    <w:p w:rsidR="000761BE" w:rsidP="000761BE" w:rsidRDefault="000761BE">
      <w:pPr>
        <w:pStyle w:val="JuPara"/>
        <w:ind w:firstLine="0"/>
        <w:jc w:val="center"/>
      </w:pPr>
    </w:p>
    <w:p w:rsidR="000761BE" w:rsidP="000761BE" w:rsidRDefault="000761BE">
      <w:pPr>
        <w:pStyle w:val="JuPara"/>
        <w:ind w:firstLine="0"/>
        <w:jc w:val="center"/>
      </w:pPr>
    </w:p>
    <w:p w:rsidR="000761BE" w:rsidP="000761BE" w:rsidRDefault="000761BE">
      <w:pPr>
        <w:pStyle w:val="JuPara"/>
        <w:ind w:firstLine="0"/>
        <w:jc w:val="center"/>
      </w:pPr>
    </w:p>
    <w:p w:rsidR="000761BE" w:rsidP="000761BE" w:rsidRDefault="000761BE">
      <w:pPr>
        <w:pStyle w:val="JuPara"/>
        <w:ind w:firstLine="0"/>
        <w:jc w:val="center"/>
      </w:pPr>
      <w:r>
        <w:t>STRASBOURG</w:t>
      </w:r>
    </w:p>
    <w:p w:rsidR="000761BE" w:rsidP="000761BE" w:rsidRDefault="000761BE">
      <w:pPr>
        <w:pStyle w:val="JuPara"/>
        <w:ind w:firstLine="0"/>
        <w:jc w:val="center"/>
      </w:pPr>
    </w:p>
    <w:p w:rsidR="000761BE" w:rsidP="000761BE" w:rsidRDefault="007B0C5C">
      <w:pPr>
        <w:pStyle w:val="JuPara"/>
        <w:ind w:firstLine="0"/>
        <w:jc w:val="center"/>
      </w:pPr>
      <w:r>
        <w:t>4</w:t>
      </w:r>
      <w:r w:rsidR="000761BE">
        <w:t xml:space="preserve"> mai 2006</w:t>
      </w:r>
    </w:p>
    <w:p w:rsidR="000761BE" w:rsidP="000761BE" w:rsidRDefault="000761BE">
      <w:pPr>
        <w:pStyle w:val="JuPara"/>
        <w:ind w:firstLine="0"/>
        <w:jc w:val="center"/>
      </w:pPr>
    </w:p>
    <w:p w:rsidRPr="00F37211" w:rsidR="00CE225E" w:rsidP="00CE225E" w:rsidRDefault="00CE225E">
      <w:pPr>
        <w:jc w:val="center"/>
        <w:rPr>
          <w:color w:val="FF0000"/>
        </w:rPr>
      </w:pPr>
    </w:p>
    <w:p w:rsidRPr="00F37211" w:rsidR="00CE225E" w:rsidP="00CE225E" w:rsidRDefault="00CE225E">
      <w:pPr>
        <w:jc w:val="center"/>
        <w:rPr>
          <w:color w:val="FF0000"/>
        </w:rPr>
      </w:pPr>
    </w:p>
    <w:p w:rsidRPr="00F37211" w:rsidR="00CE225E" w:rsidP="00CE225E" w:rsidRDefault="00CE225E">
      <w:pPr>
        <w:jc w:val="center"/>
        <w:rPr>
          <w:b/>
          <w:color w:val="FF0000"/>
          <w:sz w:val="36"/>
          <w:u w:val="single"/>
        </w:rPr>
      </w:pPr>
      <w:r w:rsidRPr="00F37211">
        <w:rPr>
          <w:b/>
          <w:color w:val="FF0000"/>
          <w:sz w:val="36"/>
          <w:u w:val="single"/>
        </w:rPr>
        <w:t>DÉFINITIF</w:t>
      </w:r>
    </w:p>
    <w:p w:rsidRPr="00F37211" w:rsidR="00CE225E" w:rsidP="00CE225E" w:rsidRDefault="00CE225E">
      <w:pPr>
        <w:jc w:val="center"/>
        <w:rPr>
          <w:i/>
          <w:color w:val="FF0000"/>
        </w:rPr>
      </w:pPr>
    </w:p>
    <w:p w:rsidRPr="00F37211" w:rsidR="00CE225E" w:rsidP="00CE225E" w:rsidRDefault="00070DFE">
      <w:pPr>
        <w:jc w:val="center"/>
        <w:rPr>
          <w:i/>
          <w:color w:val="FF0000"/>
          <w:sz w:val="36"/>
        </w:rPr>
      </w:pPr>
      <w:r>
        <w:rPr>
          <w:i/>
          <w:color w:val="FF0000"/>
          <w:sz w:val="36"/>
        </w:rPr>
        <w:t>2</w:t>
      </w:r>
      <w:r w:rsidR="00CE225E">
        <w:rPr>
          <w:i/>
          <w:color w:val="FF0000"/>
          <w:sz w:val="36"/>
        </w:rPr>
        <w:t>3</w:t>
      </w:r>
      <w:r w:rsidRPr="00F37211" w:rsidR="00CE225E">
        <w:rPr>
          <w:i/>
          <w:color w:val="FF0000"/>
          <w:sz w:val="36"/>
        </w:rPr>
        <w:t>/</w:t>
      </w:r>
      <w:r>
        <w:rPr>
          <w:i/>
          <w:color w:val="FF0000"/>
          <w:sz w:val="36"/>
        </w:rPr>
        <w:t>1</w:t>
      </w:r>
      <w:r w:rsidR="00CE225E">
        <w:rPr>
          <w:i/>
          <w:color w:val="FF0000"/>
          <w:sz w:val="36"/>
        </w:rPr>
        <w:t>0</w:t>
      </w:r>
      <w:bookmarkStart w:name="_GoBack" w:id="1"/>
      <w:bookmarkEnd w:id="1"/>
      <w:r w:rsidR="00CE225E">
        <w:rPr>
          <w:i/>
          <w:color w:val="FF0000"/>
          <w:sz w:val="36"/>
        </w:rPr>
        <w:t>/2006</w:t>
      </w:r>
    </w:p>
    <w:p w:rsidRPr="00F37211" w:rsidR="00CE225E" w:rsidP="00CE225E" w:rsidRDefault="00CE225E">
      <w:pPr>
        <w:jc w:val="center"/>
        <w:rPr>
          <w:i/>
          <w:color w:val="FF0000"/>
        </w:rPr>
      </w:pPr>
    </w:p>
    <w:p w:rsidRPr="00F37211" w:rsidR="00CE225E" w:rsidP="00CE225E" w:rsidRDefault="00CE225E">
      <w:pPr>
        <w:jc w:val="center"/>
        <w:rPr>
          <w:color w:val="FF0000"/>
        </w:rPr>
      </w:pPr>
    </w:p>
    <w:p w:rsidRPr="00F37211" w:rsidR="00CE225E" w:rsidP="00CE225E" w:rsidRDefault="00CE225E">
      <w:pPr>
        <w:jc w:val="center"/>
        <w:rPr>
          <w:color w:val="FF0000"/>
        </w:rPr>
      </w:pPr>
    </w:p>
    <w:p w:rsidR="000761BE" w:rsidP="000761BE" w:rsidRDefault="000761BE">
      <w:pPr>
        <w:pStyle w:val="JuPara"/>
        <w:ind w:firstLine="0"/>
        <w:jc w:val="center"/>
      </w:pPr>
    </w:p>
    <w:p w:rsidRPr="00465DC0" w:rsidR="006C5B9E" w:rsidP="000761BE" w:rsidRDefault="000761BE">
      <w:pPr>
        <w:pStyle w:val="JuPara"/>
        <w:ind w:firstLine="0"/>
      </w:pPr>
      <w:r>
        <w:rPr>
          <w:i/>
        </w:rPr>
        <w:t>Cet arrêt deviendra définitif dans les conditions définies à l</w:t>
      </w:r>
      <w:r w:rsidR="00207187">
        <w:rPr>
          <w:i/>
        </w:rPr>
        <w:t>’</w:t>
      </w:r>
      <w:r>
        <w:rPr>
          <w:i/>
        </w:rPr>
        <w:t>article 44 § 2 de la Convention. Il peut subir des retouches de forme.</w:t>
      </w:r>
    </w:p>
    <w:p w:rsidR="000761BE" w:rsidP="00A07E28" w:rsidRDefault="000761BE">
      <w:pPr>
        <w:pStyle w:val="JuCase"/>
        <w:sectPr w:rsidR="000761BE" w:rsidSect="000761BE">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1701" w:left="2274" w:header="1701" w:footer="720" w:gutter="0"/>
          <w:pgNumType w:start="1"/>
          <w:cols w:space="720"/>
          <w:noEndnote/>
          <w:docGrid w:linePitch="326"/>
        </w:sectPr>
      </w:pPr>
    </w:p>
    <w:p w:rsidRPr="00465DC0" w:rsidR="006C5B9E" w:rsidP="00A07E28" w:rsidRDefault="006C5B9E">
      <w:pPr>
        <w:pStyle w:val="JuCase"/>
      </w:pPr>
      <w:r w:rsidRPr="00465DC0">
        <w:t>En l</w:t>
      </w:r>
      <w:r w:rsidR="00207187">
        <w:t>’</w:t>
      </w:r>
      <w:r w:rsidRPr="00465DC0">
        <w:t xml:space="preserve">affaire </w:t>
      </w:r>
      <w:r w:rsidRPr="00465DC0" w:rsidR="00465DC0">
        <w:t>Examiliotis (n</w:t>
      </w:r>
      <w:r w:rsidRPr="000761BE" w:rsidR="000761BE">
        <w:rPr>
          <w:vertAlign w:val="superscript"/>
        </w:rPr>
        <w:t>o</w:t>
      </w:r>
      <w:r w:rsidRPr="00465DC0" w:rsidR="00465DC0">
        <w:t xml:space="preserve"> 2) c. Grèce</w:t>
      </w:r>
      <w:r w:rsidRPr="00465DC0">
        <w:t>,</w:t>
      </w:r>
    </w:p>
    <w:p w:rsidRPr="00465DC0" w:rsidR="00011AA4" w:rsidP="00011AA4" w:rsidRDefault="006C5B9E">
      <w:pPr>
        <w:pStyle w:val="JuPara"/>
      </w:pPr>
      <w:r w:rsidRPr="00465DC0">
        <w:t>La Cour européenne des Droits de l</w:t>
      </w:r>
      <w:r w:rsidR="00207187">
        <w:t>’</w:t>
      </w:r>
      <w:r w:rsidRPr="00465DC0">
        <w:t>Homme</w:t>
      </w:r>
      <w:r w:rsidRPr="00465DC0" w:rsidR="00465DC0">
        <w:t xml:space="preserve"> (première section)</w:t>
      </w:r>
      <w:r w:rsidRPr="00465DC0">
        <w:t xml:space="preserve">, siégeant en une </w:t>
      </w:r>
      <w:r w:rsidRPr="00465DC0" w:rsidR="00465DC0">
        <w:t>chambre</w:t>
      </w:r>
      <w:r w:rsidRPr="00465DC0" w:rsidR="00011AA4">
        <w:t xml:space="preserve"> composée de :</w:t>
      </w:r>
    </w:p>
    <w:p w:rsidRPr="00465DC0" w:rsidR="006C5B9E" w:rsidP="00EB1509" w:rsidRDefault="000761BE">
      <w:pPr>
        <w:pStyle w:val="JuJudges"/>
      </w:pPr>
      <w:r w:rsidRPr="00B77F6B">
        <w:tab/>
        <w:t>MM.</w:t>
      </w:r>
      <w:r w:rsidRPr="00B77F6B">
        <w:tab/>
      </w:r>
      <w:r w:rsidRPr="00B77F6B">
        <w:rPr>
          <w:rStyle w:val="JuNames"/>
        </w:rPr>
        <w:t>L.</w:t>
      </w:r>
      <w:r w:rsidRPr="00B77F6B">
        <w:t xml:space="preserve"> </w:t>
      </w:r>
      <w:r w:rsidRPr="00B77F6B">
        <w:rPr>
          <w:rStyle w:val="JuNames"/>
        </w:rPr>
        <w:t>Loucaides</w:t>
      </w:r>
      <w:r w:rsidRPr="00B77F6B">
        <w:t xml:space="preserve">, </w:t>
      </w:r>
      <w:r w:rsidRPr="00B77F6B">
        <w:rPr>
          <w:i/>
        </w:rPr>
        <w:t>président</w:t>
      </w:r>
      <w:r w:rsidRPr="00B77F6B">
        <w:t>,</w:t>
      </w:r>
      <w:r w:rsidRPr="00B77F6B">
        <w:br/>
      </w:r>
      <w:r w:rsidRPr="00B77F6B">
        <w:tab/>
      </w:r>
      <w:r w:rsidRPr="00B77F6B">
        <w:tab/>
      </w:r>
      <w:r w:rsidRPr="00B77F6B">
        <w:rPr>
          <w:rStyle w:val="JuNames"/>
        </w:rPr>
        <w:t>C.L.</w:t>
      </w:r>
      <w:r w:rsidRPr="00B77F6B">
        <w:t xml:space="preserve"> </w:t>
      </w:r>
      <w:r w:rsidRPr="00B77F6B">
        <w:rPr>
          <w:rStyle w:val="JuNames"/>
        </w:rPr>
        <w:t>Rozakis</w:t>
      </w:r>
      <w:r w:rsidRPr="00B77F6B">
        <w:t>,</w:t>
      </w:r>
      <w:r w:rsidRPr="00B77F6B">
        <w:br/>
      </w:r>
      <w:r w:rsidRPr="00B77F6B">
        <w:tab/>
      </w:r>
      <w:r w:rsidRPr="00B77F6B">
        <w:tab/>
      </w:r>
      <w:r w:rsidRPr="00B77F6B">
        <w:rPr>
          <w:rStyle w:val="JuNames"/>
        </w:rPr>
        <w:t>A.</w:t>
      </w:r>
      <w:r w:rsidRPr="00B77F6B">
        <w:t xml:space="preserve"> </w:t>
      </w:r>
      <w:r w:rsidRPr="00B77F6B">
        <w:rPr>
          <w:rStyle w:val="JuNames"/>
        </w:rPr>
        <w:t>Kovler</w:t>
      </w:r>
      <w:r w:rsidRPr="00B77F6B">
        <w:t>,</w:t>
      </w:r>
      <w:r w:rsidRPr="00B77F6B">
        <w:br/>
      </w:r>
      <w:r w:rsidRPr="00B77F6B">
        <w:tab/>
        <w:t>M</w:t>
      </w:r>
      <w:r w:rsidRPr="00B77F6B">
        <w:rPr>
          <w:vertAlign w:val="superscript"/>
        </w:rPr>
        <w:t>me</w:t>
      </w:r>
      <w:r w:rsidRPr="00B77F6B">
        <w:tab/>
      </w:r>
      <w:r w:rsidRPr="00B77F6B">
        <w:rPr>
          <w:rStyle w:val="JuNames"/>
        </w:rPr>
        <w:t>E.</w:t>
      </w:r>
      <w:r w:rsidRPr="00B77F6B">
        <w:t xml:space="preserve"> </w:t>
      </w:r>
      <w:r w:rsidRPr="00B77F6B">
        <w:rPr>
          <w:rStyle w:val="JuNames"/>
        </w:rPr>
        <w:t>Steiner</w:t>
      </w:r>
      <w:r w:rsidRPr="00B77F6B">
        <w:t>,</w:t>
      </w:r>
      <w:r w:rsidRPr="00B77F6B">
        <w:br/>
      </w:r>
      <w:r w:rsidRPr="00B77F6B">
        <w:tab/>
        <w:t>MM.</w:t>
      </w:r>
      <w:r w:rsidRPr="00B77F6B">
        <w:tab/>
      </w:r>
      <w:r w:rsidRPr="00B77F6B">
        <w:rPr>
          <w:rStyle w:val="JuNames"/>
        </w:rPr>
        <w:t>K.</w:t>
      </w:r>
      <w:r w:rsidRPr="00B77F6B">
        <w:t xml:space="preserve"> </w:t>
      </w:r>
      <w:r w:rsidRPr="00B77F6B">
        <w:rPr>
          <w:rStyle w:val="JuNames"/>
        </w:rPr>
        <w:t>Hajiyev</w:t>
      </w:r>
      <w:r w:rsidRPr="00B77F6B">
        <w:t>,</w:t>
      </w:r>
      <w:r w:rsidRPr="00B77F6B">
        <w:br/>
      </w:r>
      <w:r w:rsidRPr="00B77F6B">
        <w:tab/>
      </w:r>
      <w:r w:rsidRPr="00B77F6B">
        <w:tab/>
      </w:r>
      <w:r w:rsidRPr="00B77F6B">
        <w:rPr>
          <w:rStyle w:val="JuNames"/>
        </w:rPr>
        <w:t>D.</w:t>
      </w:r>
      <w:r w:rsidRPr="00B77F6B">
        <w:t xml:space="preserve"> </w:t>
      </w:r>
      <w:r w:rsidRPr="00B77F6B">
        <w:rPr>
          <w:rStyle w:val="JuNames"/>
        </w:rPr>
        <w:t>Spielmann,</w:t>
      </w:r>
      <w:r w:rsidRPr="00B77F6B">
        <w:br/>
      </w:r>
      <w:r w:rsidRPr="00B77F6B">
        <w:tab/>
      </w:r>
      <w:r w:rsidRPr="00B77F6B">
        <w:tab/>
      </w:r>
      <w:r w:rsidRPr="00B77F6B">
        <w:rPr>
          <w:rStyle w:val="JuNames"/>
        </w:rPr>
        <w:t>S.E.</w:t>
      </w:r>
      <w:r w:rsidRPr="00B77F6B">
        <w:t xml:space="preserve"> </w:t>
      </w:r>
      <w:r w:rsidRPr="00B77F6B">
        <w:rPr>
          <w:rStyle w:val="JuNames"/>
        </w:rPr>
        <w:t>Jebens,</w:t>
      </w:r>
      <w:r w:rsidRPr="00B77F6B">
        <w:t xml:space="preserve"> </w:t>
      </w:r>
      <w:r w:rsidRPr="00B77F6B">
        <w:rPr>
          <w:i/>
        </w:rPr>
        <w:t>juges</w:t>
      </w:r>
      <w:r w:rsidRPr="00B77F6B">
        <w:t>,</w:t>
      </w:r>
      <w:r>
        <w:br/>
      </w:r>
      <w:r w:rsidRPr="00465DC0" w:rsidR="006C5B9E">
        <w:t>et de</w:t>
      </w:r>
      <w:r w:rsidRPr="00465DC0" w:rsidR="007F2BB0">
        <w:t xml:space="preserve"> </w:t>
      </w:r>
      <w:r w:rsidRPr="00465DC0" w:rsidR="00465DC0">
        <w:t>M.</w:t>
      </w:r>
      <w:r w:rsidRPr="00465DC0" w:rsidR="00A07E28">
        <w:t xml:space="preserve"> </w:t>
      </w:r>
      <w:r w:rsidRPr="00465DC0" w:rsidR="00465DC0">
        <w:rPr>
          <w:rStyle w:val="JuNames"/>
          <w:smallCaps w:val="0"/>
        </w:rPr>
        <w:t>S.</w:t>
      </w:r>
      <w:r w:rsidRPr="00465DC0" w:rsidR="00A07E28">
        <w:t xml:space="preserve"> </w:t>
      </w:r>
      <w:r w:rsidRPr="00465DC0" w:rsidR="00465DC0">
        <w:rPr>
          <w:rStyle w:val="JuNames"/>
        </w:rPr>
        <w:t>Nielsen</w:t>
      </w:r>
      <w:r w:rsidRPr="00465DC0" w:rsidR="00A07E28">
        <w:rPr>
          <w:rStyle w:val="JuNames"/>
        </w:rPr>
        <w:t>,</w:t>
      </w:r>
      <w:r w:rsidRPr="00465DC0" w:rsidR="00A07E28">
        <w:t xml:space="preserve"> </w:t>
      </w:r>
      <w:r w:rsidRPr="00465DC0" w:rsidR="00465DC0">
        <w:rPr>
          <w:i/>
        </w:rPr>
        <w:t>greffier de section</w:t>
      </w:r>
      <w:r w:rsidRPr="00465DC0" w:rsidR="006C5B9E">
        <w:t>,</w:t>
      </w:r>
    </w:p>
    <w:p w:rsidRPr="00465DC0" w:rsidR="006C5B9E" w:rsidRDefault="006C5B9E">
      <w:pPr>
        <w:pStyle w:val="JuPara"/>
      </w:pPr>
      <w:r w:rsidRPr="00465DC0">
        <w:t>Après en avoir délibéré en chambre du conseil le</w:t>
      </w:r>
      <w:r w:rsidR="007B412D">
        <w:t xml:space="preserve"> </w:t>
      </w:r>
      <w:r w:rsidR="000761BE">
        <w:t>11 avril 2006</w:t>
      </w:r>
      <w:r w:rsidRPr="00465DC0">
        <w:t>,</w:t>
      </w:r>
    </w:p>
    <w:p w:rsidRPr="00465DC0" w:rsidR="006C5B9E" w:rsidRDefault="006C5B9E">
      <w:pPr>
        <w:pStyle w:val="JuPara"/>
      </w:pPr>
      <w:r w:rsidRPr="00465DC0">
        <w:t>Rend l</w:t>
      </w:r>
      <w:r w:rsidR="00207187">
        <w:t>’</w:t>
      </w:r>
      <w:r w:rsidRPr="00465DC0">
        <w:t>arrêt que voici, adopté à cette dernière date :</w:t>
      </w:r>
    </w:p>
    <w:p w:rsidRPr="00465DC0" w:rsidR="006C5B9E" w:rsidRDefault="006C5B9E">
      <w:pPr>
        <w:pStyle w:val="JuHHead"/>
      </w:pPr>
      <w:r w:rsidRPr="00465DC0">
        <w:t>PROCÉDURE</w:t>
      </w:r>
    </w:p>
    <w:p w:rsidRPr="00465DC0" w:rsidR="006C5B9E" w:rsidP="002F7C6A" w:rsidRDefault="00465DC0">
      <w:pPr>
        <w:pStyle w:val="JuPara"/>
      </w:pPr>
      <w:r w:rsidRPr="00465DC0">
        <w:fldChar w:fldCharType="begin"/>
      </w:r>
      <w:r w:rsidRPr="00465DC0">
        <w:instrText xml:space="preserve"> SEQ level0 \*arabic </w:instrText>
      </w:r>
      <w:r w:rsidRPr="00465DC0">
        <w:fldChar w:fldCharType="separate"/>
      </w:r>
      <w:r w:rsidR="00157748">
        <w:rPr>
          <w:noProof/>
        </w:rPr>
        <w:t>1</w:t>
      </w:r>
      <w:r w:rsidRPr="00465DC0">
        <w:fldChar w:fldCharType="end"/>
      </w:r>
      <w:r w:rsidRPr="00465DC0" w:rsidR="006C5B9E">
        <w:t>.  A l</w:t>
      </w:r>
      <w:r w:rsidR="00207187">
        <w:t>’</w:t>
      </w:r>
      <w:r w:rsidRPr="00465DC0" w:rsidR="006C5B9E">
        <w:t>origine de l</w:t>
      </w:r>
      <w:r w:rsidR="00207187">
        <w:t>’</w:t>
      </w:r>
      <w:r w:rsidRPr="00465DC0" w:rsidR="006C5B9E">
        <w:t xml:space="preserve">affaire </w:t>
      </w:r>
      <w:r w:rsidRPr="00465DC0">
        <w:t>se trouve une requête (n</w:t>
      </w:r>
      <w:r w:rsidRPr="000761BE" w:rsidR="000761BE">
        <w:rPr>
          <w:vertAlign w:val="superscript"/>
        </w:rPr>
        <w:t>o</w:t>
      </w:r>
      <w:r w:rsidRPr="00465DC0">
        <w:t xml:space="preserve"> 28340/02) dirigée</w:t>
      </w:r>
      <w:r w:rsidRPr="00465DC0" w:rsidR="006C5B9E">
        <w:t xml:space="preserve"> contre </w:t>
      </w:r>
      <w:r w:rsidRPr="00465DC0">
        <w:t>la République hellénique</w:t>
      </w:r>
      <w:r w:rsidRPr="00465DC0" w:rsidR="006C5B9E">
        <w:t xml:space="preserve"> et dont </w:t>
      </w:r>
      <w:r w:rsidRPr="00465DC0">
        <w:t>u</w:t>
      </w:r>
      <w:r w:rsidR="00DE72F1">
        <w:t>n ressortissant de cet Etat, M. </w:t>
      </w:r>
      <w:r w:rsidRPr="00465DC0">
        <w:t>Dimitrios Examiliotis (« le requérant »), a saisi la Cour le 17 juillet 2002</w:t>
      </w:r>
      <w:r w:rsidRPr="00465DC0" w:rsidR="006C5B9E">
        <w:t xml:space="preserve"> en vertu de </w:t>
      </w:r>
      <w:r w:rsidRPr="00465DC0">
        <w:t>l</w:t>
      </w:r>
      <w:r w:rsidR="00207187">
        <w:t>’</w:t>
      </w:r>
      <w:r w:rsidRPr="00465DC0">
        <w:t>article 34</w:t>
      </w:r>
      <w:r w:rsidRPr="00465DC0" w:rsidR="006C5B9E">
        <w:t xml:space="preserve"> de la Convention de sauvegarde des Droits de l</w:t>
      </w:r>
      <w:r w:rsidR="00207187">
        <w:t>’</w:t>
      </w:r>
      <w:r w:rsidRPr="00465DC0" w:rsidR="006C5B9E">
        <w:t>Homme et des Libertés fon</w:t>
      </w:r>
      <w:r w:rsidR="000761BE">
        <w:t>damentales (« la Convention »).</w:t>
      </w:r>
    </w:p>
    <w:p w:rsidRPr="006374B2" w:rsidR="006C5B9E" w:rsidRDefault="00465DC0">
      <w:pPr>
        <w:pStyle w:val="JuPara"/>
      </w:pPr>
      <w:r w:rsidRPr="00465DC0">
        <w:fldChar w:fldCharType="begin"/>
      </w:r>
      <w:r w:rsidRPr="00465DC0">
        <w:instrText xml:space="preserve"> SEQ level0 \*arabic </w:instrText>
      </w:r>
      <w:r w:rsidRPr="00465DC0">
        <w:fldChar w:fldCharType="separate"/>
      </w:r>
      <w:r w:rsidR="00157748">
        <w:rPr>
          <w:noProof/>
        </w:rPr>
        <w:t>2</w:t>
      </w:r>
      <w:r w:rsidRPr="00465DC0">
        <w:fldChar w:fldCharType="end"/>
      </w:r>
      <w:r w:rsidRPr="00465DC0" w:rsidR="006C5B9E">
        <w:t>.  </w:t>
      </w:r>
      <w:r w:rsidRPr="00465DC0">
        <w:t>Le requérant est représenté par M</w:t>
      </w:r>
      <w:r w:rsidRPr="00465DC0">
        <w:rPr>
          <w:vertAlign w:val="superscript"/>
        </w:rPr>
        <w:t>e</w:t>
      </w:r>
      <w:r w:rsidR="000761BE">
        <w:rPr>
          <w:vertAlign w:val="superscript"/>
        </w:rPr>
        <w:t xml:space="preserve"> </w:t>
      </w:r>
      <w:r w:rsidRPr="00465DC0">
        <w:t>T.</w:t>
      </w:r>
      <w:r w:rsidR="00DF7F04">
        <w:t xml:space="preserve"> </w:t>
      </w:r>
      <w:r w:rsidRPr="00465DC0">
        <w:t xml:space="preserve">D. </w:t>
      </w:r>
      <w:proofErr w:type="spellStart"/>
      <w:r w:rsidRPr="00465DC0">
        <w:t>Antoniou</w:t>
      </w:r>
      <w:proofErr w:type="spellEnd"/>
      <w:r w:rsidRPr="00465DC0">
        <w:t>, avocat</w:t>
      </w:r>
      <w:r w:rsidR="00DE72F1">
        <w:t>e au barreau d</w:t>
      </w:r>
      <w:r w:rsidR="00207187">
        <w:t>’</w:t>
      </w:r>
      <w:r w:rsidR="00DE72F1">
        <w:t xml:space="preserve">Athènes. </w:t>
      </w:r>
      <w:r w:rsidRPr="00465DC0" w:rsidR="006C5B9E">
        <w:t xml:space="preserve">Le gouvernement </w:t>
      </w:r>
      <w:r w:rsidRPr="00465DC0">
        <w:t>grec</w:t>
      </w:r>
      <w:r w:rsidRPr="00465DC0" w:rsidR="006C5B9E">
        <w:t xml:space="preserve"> (« le Gouvernement ») est représenté par </w:t>
      </w:r>
      <w:r w:rsidR="00277AD3">
        <w:t xml:space="preserve">les délégués de </w:t>
      </w:r>
      <w:r w:rsidRPr="00465DC0" w:rsidR="006C5B9E">
        <w:t>son agent,</w:t>
      </w:r>
      <w:r w:rsidR="00277AD3">
        <w:t xml:space="preserve"> </w:t>
      </w:r>
      <w:r w:rsidRPr="006374B2" w:rsidR="006374B2">
        <w:t xml:space="preserve">M. V. </w:t>
      </w:r>
      <w:bookmarkStart w:name="HIT1" w:id="2"/>
      <w:bookmarkEnd w:id="2"/>
      <w:proofErr w:type="spellStart"/>
      <w:r w:rsidRPr="006374B2" w:rsidR="006374B2">
        <w:rPr>
          <w:bCs/>
        </w:rPr>
        <w:t>Kyriazopoulos</w:t>
      </w:r>
      <w:proofErr w:type="spellEnd"/>
      <w:r w:rsidRPr="006374B2" w:rsidR="006374B2">
        <w:t>, assesseur auprès du Conseil Juridique de l</w:t>
      </w:r>
      <w:r w:rsidR="00207187">
        <w:t>’</w:t>
      </w:r>
      <w:r w:rsidRPr="006374B2" w:rsidR="006374B2">
        <w:t>Etat et M</w:t>
      </w:r>
      <w:r w:rsidRPr="006374B2" w:rsidR="006374B2">
        <w:rPr>
          <w:rStyle w:val="ju-005fpara--char"/>
          <w:rFonts w:ascii="Times New (W1)" w:hAnsi="Times New (W1)"/>
          <w:vertAlign w:val="superscript"/>
        </w:rPr>
        <w:t>me</w:t>
      </w:r>
      <w:r w:rsidRPr="006374B2" w:rsidR="006374B2">
        <w:t xml:space="preserve"> M. </w:t>
      </w:r>
      <w:bookmarkStart w:name="HIT2" w:id="3"/>
      <w:bookmarkEnd w:id="3"/>
      <w:proofErr w:type="spellStart"/>
      <w:r w:rsidRPr="006374B2" w:rsidR="006374B2">
        <w:rPr>
          <w:bCs/>
        </w:rPr>
        <w:t>Papida</w:t>
      </w:r>
      <w:proofErr w:type="spellEnd"/>
      <w:r w:rsidRPr="006374B2" w:rsidR="006374B2">
        <w:t>, auditrice auprès du Conseil Juridique de l</w:t>
      </w:r>
      <w:r w:rsidR="00207187">
        <w:t>’</w:t>
      </w:r>
      <w:r w:rsidRPr="006374B2" w:rsidR="006374B2">
        <w:t>Etat</w:t>
      </w:r>
      <w:r w:rsidRPr="006374B2" w:rsidR="006C5B9E">
        <w:t>.</w:t>
      </w:r>
    </w:p>
    <w:p w:rsidRPr="00465DC0" w:rsidR="006C5B9E" w:rsidRDefault="00465DC0">
      <w:pPr>
        <w:pStyle w:val="JuPara"/>
      </w:pPr>
      <w:r w:rsidRPr="00465DC0">
        <w:fldChar w:fldCharType="begin"/>
      </w:r>
      <w:r w:rsidRPr="00465DC0">
        <w:instrText xml:space="preserve"> SEQ level0 \*arabic </w:instrText>
      </w:r>
      <w:r w:rsidRPr="00465DC0">
        <w:fldChar w:fldCharType="separate"/>
      </w:r>
      <w:r w:rsidR="00157748">
        <w:rPr>
          <w:noProof/>
        </w:rPr>
        <w:t>3</w:t>
      </w:r>
      <w:r w:rsidRPr="00465DC0">
        <w:fldChar w:fldCharType="end"/>
      </w:r>
      <w:r w:rsidRPr="00465DC0" w:rsidR="006C5B9E">
        <w:t>.  </w:t>
      </w:r>
      <w:r w:rsidRPr="00465DC0">
        <w:t>Le requérant alléguait</w:t>
      </w:r>
      <w:r w:rsidR="006374B2">
        <w:t xml:space="preserve"> en particulier</w:t>
      </w:r>
      <w:r w:rsidR="00E427BD">
        <w:t>, sous l</w:t>
      </w:r>
      <w:r w:rsidR="00207187">
        <w:t>’</w:t>
      </w:r>
      <w:r w:rsidR="00E427BD">
        <w:t>angle de l</w:t>
      </w:r>
      <w:r w:rsidR="00207187">
        <w:t>’</w:t>
      </w:r>
      <w:r w:rsidR="00E427BD">
        <w:t>article 6 § 1 de la Convention,</w:t>
      </w:r>
      <w:r w:rsidRPr="00465DC0" w:rsidR="006C5B9E">
        <w:t xml:space="preserve"> </w:t>
      </w:r>
      <w:r w:rsidR="006374B2">
        <w:t>une violation de son droit d</w:t>
      </w:r>
      <w:r w:rsidR="00207187">
        <w:t>’</w:t>
      </w:r>
      <w:r w:rsidR="006374B2">
        <w:t>accès à un tribunal</w:t>
      </w:r>
      <w:r w:rsidRPr="00465DC0" w:rsidR="006C5B9E">
        <w:t>.</w:t>
      </w:r>
    </w:p>
    <w:p w:rsidR="006374B2" w:rsidP="006374B2" w:rsidRDefault="006374B2">
      <w:pPr>
        <w:pStyle w:val="JuParaCharChar"/>
      </w:pPr>
      <w:r>
        <w:fldChar w:fldCharType="begin"/>
      </w:r>
      <w:r>
        <w:instrText xml:space="preserve"> SEQ level0 \*arabic </w:instrText>
      </w:r>
      <w:r>
        <w:fldChar w:fldCharType="separate"/>
      </w:r>
      <w:r w:rsidR="00157748">
        <w:rPr>
          <w:noProof/>
        </w:rPr>
        <w:t>4</w:t>
      </w:r>
      <w:r>
        <w:fldChar w:fldCharType="end"/>
      </w:r>
      <w:r>
        <w:t>.  </w:t>
      </w:r>
      <w:r w:rsidRPr="006E3C4E">
        <w:t>La requête a été attribuée à la première section</w:t>
      </w:r>
      <w:r>
        <w:t xml:space="preserve"> de la Cour (article 52 </w:t>
      </w:r>
      <w:r w:rsidRPr="006E3C4E">
        <w:t>§ 1 du règlement). Au sein de celle-ci, la chambre chargée d</w:t>
      </w:r>
      <w:r w:rsidR="00207187">
        <w:t>’</w:t>
      </w:r>
      <w:r w:rsidRPr="006E3C4E">
        <w:t>examiner l</w:t>
      </w:r>
      <w:r w:rsidR="00207187">
        <w:t>’</w:t>
      </w:r>
      <w:r w:rsidRPr="006E3C4E">
        <w:t>affaire (article 27 § 1 de la Convention) a été constituée conformément à l</w:t>
      </w:r>
      <w:r w:rsidR="00207187">
        <w:t>’</w:t>
      </w:r>
      <w:r w:rsidR="000761BE">
        <w:t>article 26 § 1 du règlement.</w:t>
      </w:r>
    </w:p>
    <w:p w:rsidRPr="003D1F96" w:rsidR="00E427BD" w:rsidP="00E427BD" w:rsidRDefault="00E427BD">
      <w:pPr>
        <w:pStyle w:val="JuParaCharChar"/>
      </w:pPr>
      <w:r>
        <w:fldChar w:fldCharType="begin"/>
      </w:r>
      <w:r>
        <w:instrText xml:space="preserve"> SEQ level0 \*arabic </w:instrText>
      </w:r>
      <w:r>
        <w:fldChar w:fldCharType="separate"/>
      </w:r>
      <w:r w:rsidR="00157748">
        <w:rPr>
          <w:noProof/>
        </w:rPr>
        <w:t>5</w:t>
      </w:r>
      <w:r>
        <w:fldChar w:fldCharType="end"/>
      </w:r>
      <w:r>
        <w:t>.  </w:t>
      </w:r>
      <w:r w:rsidRPr="003D1F96">
        <w:t>Le 1</w:t>
      </w:r>
      <w:r w:rsidRPr="003D1F96">
        <w:rPr>
          <w:vertAlign w:val="superscript"/>
        </w:rPr>
        <w:t>er</w:t>
      </w:r>
      <w:r w:rsidRPr="003D1F96">
        <w:t xml:space="preserve"> novembre 2004, la Cour a modifié la composition de ses sections (article 25 § 1 du règlement). La présente requête a été attribuée à la première section ainsi remaniée (article 52 § 1).</w:t>
      </w:r>
    </w:p>
    <w:p w:rsidRPr="006E3C4E" w:rsidR="006374B2" w:rsidP="006374B2" w:rsidRDefault="006374B2">
      <w:pPr>
        <w:pStyle w:val="JuPara"/>
      </w:pPr>
      <w:r>
        <w:fldChar w:fldCharType="begin"/>
      </w:r>
      <w:r>
        <w:instrText xml:space="preserve"> SEQ level0 \*arabic </w:instrText>
      </w:r>
      <w:r>
        <w:fldChar w:fldCharType="separate"/>
      </w:r>
      <w:r w:rsidR="00157748">
        <w:rPr>
          <w:noProof/>
        </w:rPr>
        <w:t>6</w:t>
      </w:r>
      <w:r>
        <w:fldChar w:fldCharType="end"/>
      </w:r>
      <w:r>
        <w:t>.  </w:t>
      </w:r>
      <w:r w:rsidRPr="00A36154">
        <w:t xml:space="preserve">Par une décision du </w:t>
      </w:r>
      <w:r>
        <w:t>9</w:t>
      </w:r>
      <w:r w:rsidRPr="00A36154">
        <w:t xml:space="preserve"> </w:t>
      </w:r>
      <w:r>
        <w:t>décembre</w:t>
      </w:r>
      <w:r w:rsidRPr="00A36154">
        <w:t xml:space="preserve"> 200</w:t>
      </w:r>
      <w:r>
        <w:t>4</w:t>
      </w:r>
      <w:r w:rsidRPr="00A36154">
        <w:t xml:space="preserve">, la Cour a déclaré </w:t>
      </w:r>
      <w:r>
        <w:t>la requête</w:t>
      </w:r>
      <w:r w:rsidRPr="00A36154">
        <w:t xml:space="preserve"> </w:t>
      </w:r>
      <w:r>
        <w:t>partiellement recevable et partiellement ir</w:t>
      </w:r>
      <w:r w:rsidRPr="00A36154">
        <w:t>recevable</w:t>
      </w:r>
      <w:r>
        <w:t>.</w:t>
      </w:r>
    </w:p>
    <w:p w:rsidRPr="00324557" w:rsidR="006374B2" w:rsidP="006374B2" w:rsidRDefault="006374B2">
      <w:pPr>
        <w:pStyle w:val="JuParaCharChar"/>
      </w:pPr>
      <w:r>
        <w:fldChar w:fldCharType="begin"/>
      </w:r>
      <w:r>
        <w:instrText xml:space="preserve"> SEQ level0 \*arabic </w:instrText>
      </w:r>
      <w:r>
        <w:fldChar w:fldCharType="separate"/>
      </w:r>
      <w:r w:rsidR="00157748">
        <w:rPr>
          <w:noProof/>
        </w:rPr>
        <w:t>7</w:t>
      </w:r>
      <w:r>
        <w:fldChar w:fldCharType="end"/>
      </w:r>
      <w:r>
        <w:t xml:space="preserve">.  Tant le </w:t>
      </w:r>
      <w:r w:rsidRPr="003D1F96">
        <w:t>requérant que le Gouvernement ont déposé des observations écrites sur le fond de l</w:t>
      </w:r>
      <w:r w:rsidR="00207187">
        <w:t>’</w:t>
      </w:r>
      <w:r w:rsidRPr="003D1F96">
        <w:t>affaire (article 59 § 1 du règlement</w:t>
      </w:r>
      <w:r>
        <w:t>)</w:t>
      </w:r>
      <w:r w:rsidRPr="003D1F96">
        <w:t>.</w:t>
      </w:r>
    </w:p>
    <w:p w:rsidRPr="00465DC0" w:rsidR="006C5B9E" w:rsidRDefault="006C5B9E">
      <w:pPr>
        <w:pStyle w:val="JuPara"/>
      </w:pPr>
    </w:p>
    <w:p w:rsidRPr="00465DC0" w:rsidR="006C5B9E" w:rsidP="00AC0A1A" w:rsidRDefault="006C5B9E">
      <w:pPr>
        <w:pStyle w:val="JuHHead"/>
      </w:pPr>
      <w:r w:rsidRPr="00465DC0">
        <w:t>EN FAIT</w:t>
      </w:r>
    </w:p>
    <w:p w:rsidRPr="00465DC0" w:rsidR="006C5B9E" w:rsidP="00AC0A1A" w:rsidRDefault="006C5B9E">
      <w:pPr>
        <w:pStyle w:val="JuHIRoman"/>
      </w:pPr>
      <w:r w:rsidRPr="00465DC0">
        <w:t>I.  LES CIRCONSTANCES DE L</w:t>
      </w:r>
      <w:r w:rsidR="00207187">
        <w:t>’</w:t>
      </w:r>
      <w:r w:rsidRPr="00465DC0">
        <w:t>ESPÈCE</w:t>
      </w:r>
    </w:p>
    <w:p w:rsidRPr="00EC4DCB" w:rsidR="006374B2" w:rsidP="006374B2" w:rsidRDefault="006374B2">
      <w:pPr>
        <w:pStyle w:val="JuHA"/>
      </w:pPr>
      <w:r>
        <w:t>A</w:t>
      </w:r>
      <w:r w:rsidRPr="00EC4DCB">
        <w:t>.  La genèse de l</w:t>
      </w:r>
      <w:r w:rsidR="00207187">
        <w:t>’</w:t>
      </w:r>
      <w:r w:rsidRPr="00EC4DCB">
        <w:t>affaire</w:t>
      </w:r>
    </w:p>
    <w:p w:rsidRPr="00EC4DCB" w:rsidR="006374B2" w:rsidP="006374B2" w:rsidRDefault="006374B2">
      <w:pPr>
        <w:pStyle w:val="JuPara"/>
      </w:pPr>
      <w:r>
        <w:fldChar w:fldCharType="begin"/>
      </w:r>
      <w:r>
        <w:instrText xml:space="preserve"> SEQ level0 \*arabic </w:instrText>
      </w:r>
      <w:r>
        <w:fldChar w:fldCharType="separate"/>
      </w:r>
      <w:r w:rsidR="00157748">
        <w:rPr>
          <w:noProof/>
        </w:rPr>
        <w:t>8</w:t>
      </w:r>
      <w:r>
        <w:fldChar w:fldCharType="end"/>
      </w:r>
      <w:r>
        <w:t>.  </w:t>
      </w:r>
      <w:r w:rsidRPr="00EC4DCB">
        <w:t>Le 11 février 1985, la caisse de la sécurité sociale de Corinthe porta plainte contre le requérant car celui-ci avait tardé à verser certaines cotisations salariales pour ses ouvriers travaillant sur un chantier à Corinthe. Selon le requérant, la plainte mentionnait son adresse exacte à Athènes ; toutefois, en raison d</w:t>
      </w:r>
      <w:r w:rsidR="00207187">
        <w:t>’</w:t>
      </w:r>
      <w:r w:rsidRPr="00EC4DCB">
        <w:t>une négligence du greffe du parquet de Corinthe, la citation à comparaître aurait été envoyée à une adresse portant le nom identique d</w:t>
      </w:r>
      <w:r w:rsidR="00207187">
        <w:t>’</w:t>
      </w:r>
      <w:r w:rsidRPr="00EC4DCB">
        <w:t>une rue se situant dans un autre quartier d</w:t>
      </w:r>
      <w:r w:rsidR="00207187">
        <w:t>’</w:t>
      </w:r>
      <w:r w:rsidRPr="00EC4DCB">
        <w:t xml:space="preserve">Athènes, à </w:t>
      </w:r>
      <w:proofErr w:type="spellStart"/>
      <w:r w:rsidRPr="00EC4DCB">
        <w:t>Ano</w:t>
      </w:r>
      <w:proofErr w:type="spellEnd"/>
      <w:r w:rsidRPr="00EC4DCB">
        <w:t xml:space="preserve"> </w:t>
      </w:r>
      <w:proofErr w:type="spellStart"/>
      <w:r w:rsidRPr="00EC4DCB">
        <w:t>Liossia</w:t>
      </w:r>
      <w:proofErr w:type="spellEnd"/>
      <w:r w:rsidRPr="00EC4DCB">
        <w:t>. L</w:t>
      </w:r>
      <w:r w:rsidR="00207187">
        <w:t>’</w:t>
      </w:r>
      <w:r w:rsidRPr="00EC4DCB">
        <w:t>officier de police qui effectua la notification rapporta que le requérant n</w:t>
      </w:r>
      <w:r w:rsidR="00207187">
        <w:t>’</w:t>
      </w:r>
      <w:r w:rsidRPr="00EC4DCB">
        <w:t>habitait pas à l</w:t>
      </w:r>
      <w:r w:rsidR="00207187">
        <w:t>’</w:t>
      </w:r>
      <w:r w:rsidRPr="00EC4DCB">
        <w:t>adresse indiquée. Par conséquent, le tribunal correctionnel de Corinthe ajourna l</w:t>
      </w:r>
      <w:r w:rsidR="00207187">
        <w:t>’</w:t>
      </w:r>
      <w:r w:rsidRPr="00EC4DCB">
        <w:t>audi</w:t>
      </w:r>
      <w:r>
        <w:t>ence prévue pour le 3</w:t>
      </w:r>
      <w:r w:rsidR="000761BE">
        <w:t xml:space="preserve"> </w:t>
      </w:r>
      <w:r w:rsidRPr="00EC4DCB">
        <w:t>février 1986.</w:t>
      </w:r>
    </w:p>
    <w:p w:rsidRPr="00EC4DCB" w:rsidR="006374B2" w:rsidP="006374B2" w:rsidRDefault="006374B2">
      <w:pPr>
        <w:pStyle w:val="JuPara"/>
      </w:pPr>
      <w:r>
        <w:fldChar w:fldCharType="begin"/>
      </w:r>
      <w:r>
        <w:instrText xml:space="preserve"> SEQ level0 \*arabic </w:instrText>
      </w:r>
      <w:r>
        <w:fldChar w:fldCharType="separate"/>
      </w:r>
      <w:r w:rsidR="00157748">
        <w:rPr>
          <w:noProof/>
        </w:rPr>
        <w:t>9</w:t>
      </w:r>
      <w:r>
        <w:fldChar w:fldCharType="end"/>
      </w:r>
      <w:r>
        <w:t>.  </w:t>
      </w:r>
      <w:r w:rsidRPr="00EC4DCB">
        <w:t>Le parquet de Corinthe procéda à une deuxième notification, mais à la même fausse adresse. Ayant constaté que le requérant était « inconnu » à cette adresse, l</w:t>
      </w:r>
      <w:r w:rsidR="00207187">
        <w:t>’</w:t>
      </w:r>
      <w:r w:rsidRPr="00EC4DCB">
        <w:t xml:space="preserve">officier de police déposa la citation à la mairie de </w:t>
      </w:r>
      <w:proofErr w:type="spellStart"/>
      <w:r w:rsidRPr="00EC4DCB">
        <w:t>Ano</w:t>
      </w:r>
      <w:proofErr w:type="spellEnd"/>
      <w:r w:rsidRPr="00EC4DCB">
        <w:t xml:space="preserve"> </w:t>
      </w:r>
      <w:proofErr w:type="spellStart"/>
      <w:r w:rsidRPr="00EC4DCB">
        <w:t>Liossia</w:t>
      </w:r>
      <w:proofErr w:type="spellEnd"/>
      <w:r w:rsidRPr="00EC4DCB">
        <w:t>.</w:t>
      </w:r>
    </w:p>
    <w:p w:rsidRPr="00EC4DCB" w:rsidR="006374B2" w:rsidP="006374B2" w:rsidRDefault="006374B2">
      <w:pPr>
        <w:pStyle w:val="JuPara"/>
      </w:pPr>
      <w:r>
        <w:fldChar w:fldCharType="begin"/>
      </w:r>
      <w:r>
        <w:instrText xml:space="preserve"> SEQ level0 \*arabic </w:instrText>
      </w:r>
      <w:r>
        <w:fldChar w:fldCharType="separate"/>
      </w:r>
      <w:r w:rsidR="00157748">
        <w:rPr>
          <w:noProof/>
        </w:rPr>
        <w:t>10</w:t>
      </w:r>
      <w:r>
        <w:fldChar w:fldCharType="end"/>
      </w:r>
      <w:r>
        <w:t>.  </w:t>
      </w:r>
      <w:r w:rsidRPr="00EC4DCB">
        <w:t xml:space="preserve">Le 17 octobre 1986, le tribunal correctionnel de Corinthe déclara le requérant coupable </w:t>
      </w:r>
      <w:r>
        <w:t>de</w:t>
      </w:r>
      <w:r w:rsidRPr="00EC4DCB">
        <w:t xml:space="preserve"> détournement de fonds et le condamna à trois mois d</w:t>
      </w:r>
      <w:r w:rsidR="00207187">
        <w:t>’</w:t>
      </w:r>
      <w:r w:rsidRPr="00EC4DCB">
        <w:t>emprisonnement (jugement n</w:t>
      </w:r>
      <w:r w:rsidRPr="000761BE" w:rsidR="000761BE">
        <w:rPr>
          <w:vertAlign w:val="superscript"/>
        </w:rPr>
        <w:t>o</w:t>
      </w:r>
      <w:r w:rsidRPr="00EC4DCB">
        <w:t xml:space="preserve"> 8284/1986). Ce jugement mentionnait l</w:t>
      </w:r>
      <w:r w:rsidR="00207187">
        <w:t>’</w:t>
      </w:r>
      <w:r w:rsidRPr="00EC4DCB">
        <w:t>adresse correcte du requérant, quoiqu</w:t>
      </w:r>
      <w:r w:rsidR="00207187">
        <w:t>’</w:t>
      </w:r>
      <w:r w:rsidRPr="00EC4DCB">
        <w:t>il précisait qu</w:t>
      </w:r>
      <w:r w:rsidR="00207187">
        <w:t>’</w:t>
      </w:r>
      <w:r w:rsidRPr="00EC4DCB">
        <w:t xml:space="preserve">actuellement son domicile était inconnu ; il fut cependant notifié </w:t>
      </w:r>
      <w:r>
        <w:t xml:space="preserve">le 20 décembre 1988 </w:t>
      </w:r>
      <w:r w:rsidRPr="00EC4DCB">
        <w:t>à la bonne adresse et c</w:t>
      </w:r>
      <w:r w:rsidR="00207187">
        <w:t>’</w:t>
      </w:r>
      <w:r w:rsidRPr="00EC4DCB">
        <w:t>est ainsi que le requérant prit connaissance de la procédure pénale engagée co</w:t>
      </w:r>
      <w:r w:rsidR="000761BE">
        <w:t>ntre lui et de sa condamnation.</w:t>
      </w:r>
    </w:p>
    <w:p w:rsidRPr="00EC4DCB" w:rsidR="006374B2" w:rsidP="00275291" w:rsidRDefault="00275291">
      <w:pPr>
        <w:pStyle w:val="JuHA"/>
      </w:pPr>
      <w:r>
        <w:t>B</w:t>
      </w:r>
      <w:r w:rsidRPr="00EC4DCB" w:rsidR="006374B2">
        <w:t>.  L</w:t>
      </w:r>
      <w:r w:rsidR="00207187">
        <w:t>’</w:t>
      </w:r>
      <w:r w:rsidRPr="00EC4DCB" w:rsidR="006374B2">
        <w:t>action en dommages-intérêts</w:t>
      </w:r>
    </w:p>
    <w:p w:rsidRPr="00EC4DCB" w:rsidR="006374B2" w:rsidP="006374B2" w:rsidRDefault="006374B2">
      <w:pPr>
        <w:pStyle w:val="JuPara"/>
      </w:pPr>
      <w:r>
        <w:fldChar w:fldCharType="begin"/>
      </w:r>
      <w:r>
        <w:instrText xml:space="preserve"> SEQ level0 \*arabic </w:instrText>
      </w:r>
      <w:r>
        <w:fldChar w:fldCharType="separate"/>
      </w:r>
      <w:r w:rsidR="00157748">
        <w:rPr>
          <w:noProof/>
        </w:rPr>
        <w:t>11</w:t>
      </w:r>
      <w:r>
        <w:fldChar w:fldCharType="end"/>
      </w:r>
      <w:r>
        <w:t>.  </w:t>
      </w:r>
      <w:r w:rsidRPr="00EC4DCB">
        <w:t>Le 3 juin 1991, le requérant introduisit une action en dommages-intérêts contre l</w:t>
      </w:r>
      <w:r w:rsidR="00207187">
        <w:t>’</w:t>
      </w:r>
      <w:r w:rsidRPr="00EC4DCB">
        <w:t>Etat devant le tribunal administratif d</w:t>
      </w:r>
      <w:r w:rsidR="00207187">
        <w:t>’</w:t>
      </w:r>
      <w:r w:rsidRPr="00EC4DCB">
        <w:t>Athènes</w:t>
      </w:r>
      <w:r w:rsidR="00B5422E">
        <w:t>, action qui fut notifiée à l</w:t>
      </w:r>
      <w:r w:rsidR="00207187">
        <w:t>’</w:t>
      </w:r>
      <w:r w:rsidR="00B5422E">
        <w:t>Etat en février 1992</w:t>
      </w:r>
      <w:r w:rsidRPr="00EC4DCB">
        <w:t> ; il réclamait 578 000 drachmes pour les dommages matériel et moral que lui auraient causés le comportement d</w:t>
      </w:r>
      <w:r w:rsidR="00207187">
        <w:t>’</w:t>
      </w:r>
      <w:r w:rsidRPr="00EC4DCB">
        <w:t xml:space="preserve">une fonctionnaire du parquet de Corinthe et certains policiers du commissariat de </w:t>
      </w:r>
      <w:proofErr w:type="spellStart"/>
      <w:r w:rsidRPr="00EC4DCB">
        <w:t>Ano</w:t>
      </w:r>
      <w:proofErr w:type="spellEnd"/>
      <w:r w:rsidRPr="00EC4DCB">
        <w:t xml:space="preserve"> </w:t>
      </w:r>
      <w:proofErr w:type="spellStart"/>
      <w:r w:rsidRPr="00EC4DCB">
        <w:t>Liossia</w:t>
      </w:r>
      <w:proofErr w:type="spellEnd"/>
      <w:r w:rsidRPr="00EC4DCB">
        <w:t>, qui avaient proc</w:t>
      </w:r>
      <w:r w:rsidR="000761BE">
        <w:t>édé aux diverses notifications.</w:t>
      </w:r>
    </w:p>
    <w:p w:rsidRPr="00EC4DCB" w:rsidR="006374B2" w:rsidP="006374B2" w:rsidRDefault="006374B2">
      <w:pPr>
        <w:pStyle w:val="JuPara"/>
      </w:pPr>
      <w:r>
        <w:fldChar w:fldCharType="begin"/>
      </w:r>
      <w:r>
        <w:instrText xml:space="preserve"> SEQ level0 \*arabic </w:instrText>
      </w:r>
      <w:r>
        <w:fldChar w:fldCharType="separate"/>
      </w:r>
      <w:r w:rsidR="00157748">
        <w:rPr>
          <w:noProof/>
        </w:rPr>
        <w:t>12</w:t>
      </w:r>
      <w:r>
        <w:fldChar w:fldCharType="end"/>
      </w:r>
      <w:r>
        <w:t>.  </w:t>
      </w:r>
      <w:r w:rsidRPr="00EC4DCB">
        <w:t>Le 30 septembre 1992, le tribunal rejeta l</w:t>
      </w:r>
      <w:r w:rsidR="00207187">
        <w:t>’</w:t>
      </w:r>
      <w:r w:rsidRPr="00EC4DCB">
        <w:t xml:space="preserve">action </w:t>
      </w:r>
      <w:r w:rsidR="00FA6DAF">
        <w:t xml:space="preserve">comme tardive, </w:t>
      </w:r>
      <w:r w:rsidRPr="00EC4DCB">
        <w:t>pour autant qu</w:t>
      </w:r>
      <w:r w:rsidR="00207187">
        <w:t>’</w:t>
      </w:r>
      <w:r w:rsidRPr="00EC4DCB">
        <w:t>elle se dirigeait contre les officiers de police au motif que ces prétentions étaient prescrites</w:t>
      </w:r>
      <w:r w:rsidR="000761BE">
        <w:t>,</w:t>
      </w:r>
      <w:r w:rsidRPr="00EC4DCB">
        <w:t xml:space="preserve"> car frappées de la prescription quinquennale de l</w:t>
      </w:r>
      <w:r w:rsidR="00207187">
        <w:t>’</w:t>
      </w:r>
      <w:r w:rsidRPr="00EC4DCB">
        <w:t>article 90 § 1 de la loi n</w:t>
      </w:r>
      <w:r w:rsidRPr="000761BE" w:rsidR="000761BE">
        <w:rPr>
          <w:vertAlign w:val="superscript"/>
        </w:rPr>
        <w:t>o</w:t>
      </w:r>
      <w:r w:rsidRPr="00EC4DCB">
        <w:t xml:space="preserve"> 2361/1995</w:t>
      </w:r>
      <w:r w:rsidR="00B5422E">
        <w:t>, compte tenu que le droit interne considère la date de notification comme date à laquelle l</w:t>
      </w:r>
      <w:r w:rsidR="00207187">
        <w:t>’</w:t>
      </w:r>
      <w:r w:rsidR="00B5422E">
        <w:t>action introduite prend effet (voir paragraphe</w:t>
      </w:r>
      <w:r w:rsidR="003E3AE7">
        <w:t>s</w:t>
      </w:r>
      <w:r w:rsidR="00B5422E">
        <w:t xml:space="preserve"> </w:t>
      </w:r>
      <w:r w:rsidR="00E427BD">
        <w:t>18</w:t>
      </w:r>
      <w:r w:rsidR="003E3AE7">
        <w:t>-19</w:t>
      </w:r>
      <w:r w:rsidR="00B5422E">
        <w:t xml:space="preserve"> ci-dessous</w:t>
      </w:r>
      <w:r w:rsidRPr="00EC4DCB">
        <w:t>). En effet, le tribunal administratif d</w:t>
      </w:r>
      <w:r w:rsidR="00207187">
        <w:t>’</w:t>
      </w:r>
      <w:r w:rsidRPr="00EC4DCB">
        <w:t>Athènes admit que le délai de prescription courait à compter du jour de la survenue du dommage et non pas du jour où le requéra</w:t>
      </w:r>
      <w:r>
        <w:t>nt en avait pris connaissance. L</w:t>
      </w:r>
      <w:r w:rsidRPr="00EC4DCB">
        <w:t xml:space="preserve">e tribunal administratif retint </w:t>
      </w:r>
      <w:r>
        <w:t>c</w:t>
      </w:r>
      <w:r w:rsidRPr="00EC4DCB">
        <w:t>omme date du d</w:t>
      </w:r>
      <w:r>
        <w:t>ommage</w:t>
      </w:r>
      <w:r w:rsidRPr="00EC4DCB">
        <w:t xml:space="preserve"> le 17 octobre 1986, </w:t>
      </w:r>
      <w:r>
        <w:t>date du</w:t>
      </w:r>
      <w:r w:rsidRPr="00EC4DCB">
        <w:t xml:space="preserve"> prononcé du jugement du tribunal correctionnel de Corinthe. Pour le reste, le tribunal administratif renvoya l</w:t>
      </w:r>
      <w:r w:rsidR="00207187">
        <w:t>’</w:t>
      </w:r>
      <w:r w:rsidRPr="00EC4DCB">
        <w:t>affaire devant le tribunal administratif de Corinthe (</w:t>
      </w:r>
      <w:r w:rsidR="00467559">
        <w:t>décision</w:t>
      </w:r>
      <w:r w:rsidRPr="00EC4DCB">
        <w:t xml:space="preserve"> n</w:t>
      </w:r>
      <w:r w:rsidRPr="000761BE" w:rsidR="000761BE">
        <w:rPr>
          <w:vertAlign w:val="superscript"/>
        </w:rPr>
        <w:t>o</w:t>
      </w:r>
      <w:r w:rsidRPr="00EC4DCB">
        <w:t> 11256/1992).</w:t>
      </w:r>
    </w:p>
    <w:p w:rsidRPr="00EC4DCB" w:rsidR="006374B2" w:rsidP="006374B2" w:rsidRDefault="009B41C1">
      <w:pPr>
        <w:pStyle w:val="JuPara"/>
      </w:pPr>
      <w:r>
        <w:fldChar w:fldCharType="begin"/>
      </w:r>
      <w:r>
        <w:instrText xml:space="preserve"> SEQ level0 \*arabic </w:instrText>
      </w:r>
      <w:r>
        <w:fldChar w:fldCharType="separate"/>
      </w:r>
      <w:r w:rsidR="00157748">
        <w:rPr>
          <w:noProof/>
        </w:rPr>
        <w:t>13</w:t>
      </w:r>
      <w:r>
        <w:fldChar w:fldCharType="end"/>
      </w:r>
      <w:r>
        <w:t>.  </w:t>
      </w:r>
      <w:r w:rsidRPr="00EC4DCB" w:rsidR="006374B2">
        <w:t xml:space="preserve">Le 31 décembre 1992, le requérant interjeta appel </w:t>
      </w:r>
      <w:r w:rsidR="006374B2">
        <w:t>du jugement n</w:t>
      </w:r>
      <w:r w:rsidRPr="000761BE" w:rsidR="000761BE">
        <w:rPr>
          <w:vertAlign w:val="superscript"/>
        </w:rPr>
        <w:t>o</w:t>
      </w:r>
      <w:r w:rsidR="006374B2">
        <w:t> 11256/1992. D</w:t>
      </w:r>
      <w:r w:rsidRPr="00EC4DCB" w:rsidR="006374B2">
        <w:t>ans son recours en appel</w:t>
      </w:r>
      <w:r w:rsidR="006374B2">
        <w:t>,</w:t>
      </w:r>
      <w:r w:rsidRPr="00EC4DCB" w:rsidR="006374B2">
        <w:t xml:space="preserve"> il souleva que l</w:t>
      </w:r>
      <w:r w:rsidR="00207187">
        <w:t>’</w:t>
      </w:r>
      <w:r w:rsidRPr="00EC4DCB" w:rsidR="006374B2">
        <w:t xml:space="preserve">acte dommageable </w:t>
      </w:r>
      <w:r w:rsidR="006374B2">
        <w:t>ne s</w:t>
      </w:r>
      <w:r w:rsidR="00207187">
        <w:t>’</w:t>
      </w:r>
      <w:r w:rsidR="006374B2">
        <w:t>était pas produit</w:t>
      </w:r>
      <w:r w:rsidRPr="00EC4DCB" w:rsidR="006374B2">
        <w:t xml:space="preserve"> à la date de prononcé du jugement du tribunal correctionnel de Corinthe mai</w:t>
      </w:r>
      <w:r w:rsidR="006374B2">
        <w:t>s</w:t>
      </w:r>
      <w:r w:rsidR="00787BCE">
        <w:t>, au contraire</w:t>
      </w:r>
      <w:r w:rsidRPr="00EC4DCB" w:rsidR="006374B2">
        <w:t xml:space="preserve">, à la date </w:t>
      </w:r>
      <w:r w:rsidR="006374B2">
        <w:t>à laquelle il en prit connaissance, à savoir le 20</w:t>
      </w:r>
      <w:r w:rsidRPr="00EC4DCB" w:rsidR="006374B2">
        <w:t xml:space="preserve"> décembre 1988.</w:t>
      </w:r>
    </w:p>
    <w:p w:rsidRPr="00EC4DCB" w:rsidR="006374B2" w:rsidP="006374B2" w:rsidRDefault="006374B2">
      <w:pPr>
        <w:pStyle w:val="JuPara"/>
      </w:pPr>
      <w:r>
        <w:fldChar w:fldCharType="begin"/>
      </w:r>
      <w:r>
        <w:instrText xml:space="preserve"> SEQ level0 \*arabic </w:instrText>
      </w:r>
      <w:r>
        <w:fldChar w:fldCharType="separate"/>
      </w:r>
      <w:r w:rsidR="00157748">
        <w:rPr>
          <w:noProof/>
        </w:rPr>
        <w:t>14</w:t>
      </w:r>
      <w:r>
        <w:fldChar w:fldCharType="end"/>
      </w:r>
      <w:r>
        <w:t>.  </w:t>
      </w:r>
      <w:r w:rsidRPr="00EC4DCB">
        <w:t>Le 21 novembre 1995, la cour administrative d</w:t>
      </w:r>
      <w:r w:rsidR="00207187">
        <w:t>’</w:t>
      </w:r>
      <w:r w:rsidRPr="00EC4DCB">
        <w:t>appel d</w:t>
      </w:r>
      <w:r w:rsidR="00207187">
        <w:t>’</w:t>
      </w:r>
      <w:r w:rsidRPr="00EC4DCB">
        <w:t>Athènes débouta le requérant (arrêt n</w:t>
      </w:r>
      <w:r w:rsidRPr="000761BE" w:rsidR="000761BE">
        <w:rPr>
          <w:vertAlign w:val="superscript"/>
        </w:rPr>
        <w:t>o</w:t>
      </w:r>
      <w:r w:rsidRPr="00EC4DCB">
        <w:t> 5379/1995).</w:t>
      </w:r>
      <w:r w:rsidR="00025484">
        <w:t xml:space="preserve"> Ladite juridiction</w:t>
      </w:r>
      <w:r w:rsidRPr="00EC4DCB" w:rsidR="00025484">
        <w:t xml:space="preserve"> </w:t>
      </w:r>
      <w:r w:rsidR="00467559">
        <w:t>considéra</w:t>
      </w:r>
      <w:r w:rsidRPr="00EC4DCB" w:rsidR="00025484">
        <w:t xml:space="preserve"> </w:t>
      </w:r>
      <w:r w:rsidR="00787BCE">
        <w:t xml:space="preserve">elle </w:t>
      </w:r>
      <w:r w:rsidR="00025484">
        <w:t>aussi c</w:t>
      </w:r>
      <w:r w:rsidRPr="00EC4DCB" w:rsidR="00025484">
        <w:t xml:space="preserve">omme </w:t>
      </w:r>
      <w:r w:rsidR="0074108D">
        <w:t>point de départ</w:t>
      </w:r>
      <w:r w:rsidRPr="00EC4DCB" w:rsidR="00025484">
        <w:t xml:space="preserve"> du d</w:t>
      </w:r>
      <w:r w:rsidR="00025484">
        <w:t>ommage</w:t>
      </w:r>
      <w:r w:rsidRPr="00EC4DCB" w:rsidR="00025484">
        <w:t xml:space="preserve"> le 17 octobre 1986, </w:t>
      </w:r>
      <w:r w:rsidR="00025484">
        <w:t>date du</w:t>
      </w:r>
      <w:r w:rsidRPr="00EC4DCB" w:rsidR="00025484">
        <w:t xml:space="preserve"> prononcé du jugement du tribunal correctionnel de Corinthe.</w:t>
      </w:r>
    </w:p>
    <w:p w:rsidRPr="00EC4DCB" w:rsidR="006374B2" w:rsidP="006374B2" w:rsidRDefault="00467559">
      <w:pPr>
        <w:pStyle w:val="JuPara"/>
      </w:pPr>
      <w:r>
        <w:fldChar w:fldCharType="begin"/>
      </w:r>
      <w:r>
        <w:instrText xml:space="preserve"> SEQ level0 \*arabic </w:instrText>
      </w:r>
      <w:r>
        <w:fldChar w:fldCharType="separate"/>
      </w:r>
      <w:r w:rsidR="00157748">
        <w:rPr>
          <w:noProof/>
        </w:rPr>
        <w:t>15</w:t>
      </w:r>
      <w:r>
        <w:fldChar w:fldCharType="end"/>
      </w:r>
      <w:r>
        <w:t>.  </w:t>
      </w:r>
      <w:r w:rsidRPr="00EC4DCB" w:rsidR="006374B2">
        <w:t>Le 26 août 1996, le requérant saisit le Conseil d</w:t>
      </w:r>
      <w:r w:rsidR="00207187">
        <w:t>’</w:t>
      </w:r>
      <w:r w:rsidRPr="00EC4DCB" w:rsidR="006374B2">
        <w:t xml:space="preserve">Etat. </w:t>
      </w:r>
      <w:r w:rsidR="006374B2">
        <w:t>Il affirmait notamment que le délai de la</w:t>
      </w:r>
      <w:r w:rsidRPr="00EC4DCB" w:rsidR="006374B2">
        <w:t xml:space="preserve"> prescription </w:t>
      </w:r>
      <w:r w:rsidR="006374B2">
        <w:t>quinquennale devrait commencer à courir</w:t>
      </w:r>
      <w:r w:rsidRPr="00EC4DCB" w:rsidR="006374B2">
        <w:t xml:space="preserve"> à compter du jour de la survenue du dommage</w:t>
      </w:r>
      <w:r w:rsidR="006374B2">
        <w:t xml:space="preserve">, à savoir du jour où il prit connaissance </w:t>
      </w:r>
      <w:r w:rsidRPr="00EC4DCB" w:rsidR="006374B2">
        <w:t>du jugement du tribunal correctionnel de Corinthe</w:t>
      </w:r>
      <w:r w:rsidR="000761BE">
        <w:t>.</w:t>
      </w:r>
    </w:p>
    <w:p w:rsidRPr="00EC4DCB" w:rsidR="006374B2" w:rsidP="006374B2" w:rsidRDefault="006374B2">
      <w:pPr>
        <w:pStyle w:val="JuPara"/>
      </w:pPr>
      <w:r>
        <w:fldChar w:fldCharType="begin"/>
      </w:r>
      <w:r>
        <w:instrText xml:space="preserve"> SEQ level0 \*arabic </w:instrText>
      </w:r>
      <w:r>
        <w:fldChar w:fldCharType="separate"/>
      </w:r>
      <w:r w:rsidR="00157748">
        <w:rPr>
          <w:noProof/>
        </w:rPr>
        <w:t>16</w:t>
      </w:r>
      <w:r>
        <w:fldChar w:fldCharType="end"/>
      </w:r>
      <w:r>
        <w:t>.  </w:t>
      </w:r>
      <w:r w:rsidRPr="00EC4DCB">
        <w:t>Par la suite, le Parlement grec adopta la loi n</w:t>
      </w:r>
      <w:r w:rsidRPr="000761BE" w:rsidR="000761BE">
        <w:rPr>
          <w:vertAlign w:val="superscript"/>
        </w:rPr>
        <w:t>o</w:t>
      </w:r>
      <w:r w:rsidRPr="00EC4DCB">
        <w:t xml:space="preserve"> </w:t>
      </w:r>
      <w:r>
        <w:t xml:space="preserve">2944/2001, publiée au Journal officiel du 8 octobre 2001, </w:t>
      </w:r>
      <w:r w:rsidRPr="00EC4DCB">
        <w:t>qui excluait le pourvoi en cassation devant le Conseil d</w:t>
      </w:r>
      <w:r w:rsidR="00207187">
        <w:t>’</w:t>
      </w:r>
      <w:r w:rsidRPr="00EC4DCB">
        <w:t>Etat pour les litiges aya</w:t>
      </w:r>
      <w:r>
        <w:t>nt un objet inférieur à 2</w:t>
      </w:r>
      <w:r w:rsidR="000761BE">
        <w:t> </w:t>
      </w:r>
      <w:r>
        <w:t>000</w:t>
      </w:r>
      <w:r w:rsidR="000761BE">
        <w:t> </w:t>
      </w:r>
      <w:r>
        <w:t>000</w:t>
      </w:r>
      <w:r w:rsidR="000761BE">
        <w:t> </w:t>
      </w:r>
      <w:r>
        <w:t>drachmes (environ 6</w:t>
      </w:r>
      <w:r w:rsidR="000761BE">
        <w:t> </w:t>
      </w:r>
      <w:r>
        <w:t>000</w:t>
      </w:r>
      <w:r w:rsidRPr="00EC4DCB">
        <w:t xml:space="preserve"> euros) et prononçait l</w:t>
      </w:r>
      <w:r w:rsidR="00207187">
        <w:t>’</w:t>
      </w:r>
      <w:r w:rsidRPr="00EC4DCB">
        <w:t>annulation de toute procédure judiciaire y afférente éventuellement pendante devant cette juridiction et pour laquelle une audience n</w:t>
      </w:r>
      <w:r w:rsidR="00207187">
        <w:t>’</w:t>
      </w:r>
      <w:r w:rsidRPr="00EC4DCB">
        <w:t>avait pas eu lieu.</w:t>
      </w:r>
    </w:p>
    <w:p w:rsidR="006374B2" w:rsidP="006374B2" w:rsidRDefault="001B1088">
      <w:pPr>
        <w:pStyle w:val="JuPara"/>
      </w:pPr>
      <w:r>
        <w:fldChar w:fldCharType="begin"/>
      </w:r>
      <w:r>
        <w:instrText xml:space="preserve"> SEQ level0 \*arabic </w:instrText>
      </w:r>
      <w:r>
        <w:fldChar w:fldCharType="separate"/>
      </w:r>
      <w:r w:rsidR="00157748">
        <w:rPr>
          <w:noProof/>
        </w:rPr>
        <w:t>17</w:t>
      </w:r>
      <w:r>
        <w:fldChar w:fldCharType="end"/>
      </w:r>
      <w:r>
        <w:t>.  </w:t>
      </w:r>
      <w:r w:rsidRPr="00EC4DCB" w:rsidR="006374B2">
        <w:t>Le 21 janvier 2002, le greffe du Conseil d</w:t>
      </w:r>
      <w:r w:rsidR="00207187">
        <w:t>’</w:t>
      </w:r>
      <w:r w:rsidRPr="00EC4DCB" w:rsidR="006374B2">
        <w:t>Etat informa le requérant que la procédure avait été annulée en applicatio</w:t>
      </w:r>
      <w:r w:rsidR="006374B2">
        <w:t>n des dispositions de la loi n</w:t>
      </w:r>
      <w:r w:rsidRPr="000761BE" w:rsidR="000761BE">
        <w:rPr>
          <w:vertAlign w:val="superscript"/>
        </w:rPr>
        <w:t>o</w:t>
      </w:r>
      <w:r w:rsidR="006374B2">
        <w:t xml:space="preserve"> 2944/2001 </w:t>
      </w:r>
      <w:r w:rsidRPr="00EC4DCB" w:rsidR="006374B2">
        <w:t>(décision n</w:t>
      </w:r>
      <w:r w:rsidRPr="000761BE" w:rsidR="000761BE">
        <w:rPr>
          <w:vertAlign w:val="superscript"/>
        </w:rPr>
        <w:t>o</w:t>
      </w:r>
      <w:r w:rsidR="000761BE">
        <w:t xml:space="preserve"> 56/2002).</w:t>
      </w:r>
    </w:p>
    <w:p w:rsidR="00AC52E7" w:rsidP="00AC52E7" w:rsidRDefault="00AC52E7">
      <w:pPr>
        <w:pStyle w:val="JuHIRoman"/>
      </w:pPr>
      <w:r>
        <w:t>II</w:t>
      </w:r>
      <w:r w:rsidRPr="00EC4DCB">
        <w:t>.  </w:t>
      </w:r>
      <w:r>
        <w:t>LE DROIT INTERNE PERTINENT</w:t>
      </w:r>
    </w:p>
    <w:p w:rsidRPr="00EC3A41" w:rsidR="00AC52E7" w:rsidP="001D520E" w:rsidRDefault="001D520E">
      <w:pPr>
        <w:pStyle w:val="JuHA"/>
      </w:pPr>
      <w:r>
        <w:t>A</w:t>
      </w:r>
      <w:r w:rsidR="00AC52E7">
        <w:t>.</w:t>
      </w:r>
      <w:r w:rsidR="000761BE">
        <w:t>  </w:t>
      </w:r>
      <w:r w:rsidR="00B5422E">
        <w:t>Calcul de la</w:t>
      </w:r>
      <w:r w:rsidR="00AC52E7">
        <w:t xml:space="preserve"> prescription quinquennale</w:t>
      </w:r>
    </w:p>
    <w:p w:rsidRPr="00EC4DCB" w:rsidR="00AC52E7" w:rsidP="00AC52E7" w:rsidRDefault="00E427BD">
      <w:pPr>
        <w:pStyle w:val="JuPara"/>
      </w:pPr>
      <w:r>
        <w:fldChar w:fldCharType="begin"/>
      </w:r>
      <w:r>
        <w:instrText xml:space="preserve"> SEQ level0 \*arabic </w:instrText>
      </w:r>
      <w:r>
        <w:fldChar w:fldCharType="separate"/>
      </w:r>
      <w:r w:rsidR="00157748">
        <w:rPr>
          <w:noProof/>
        </w:rPr>
        <w:t>18</w:t>
      </w:r>
      <w:r>
        <w:fldChar w:fldCharType="end"/>
      </w:r>
      <w:r>
        <w:t>.  </w:t>
      </w:r>
      <w:r w:rsidRPr="00EC4DCB" w:rsidR="00AC52E7">
        <w:t>L</w:t>
      </w:r>
      <w:r w:rsidR="00207187">
        <w:t>’</w:t>
      </w:r>
      <w:r w:rsidRPr="00EC4DCB" w:rsidR="00AC52E7">
        <w:t>article 90 § 1 de la loi 2362/1995 dispose :</w:t>
      </w:r>
    </w:p>
    <w:p w:rsidR="00AC52E7" w:rsidP="00AC52E7" w:rsidRDefault="00AC52E7">
      <w:pPr>
        <w:pStyle w:val="JuQuot"/>
      </w:pPr>
      <w:r w:rsidRPr="00EC4DCB">
        <w:t>« Toute prétention contre l</w:t>
      </w:r>
      <w:r w:rsidR="00207187">
        <w:t>’</w:t>
      </w:r>
      <w:r w:rsidRPr="00EC4DCB">
        <w:t>Etat est considérée prescrite après cinq ans (...)</w:t>
      </w:r>
      <w:r w:rsidR="000761BE">
        <w:t> </w:t>
      </w:r>
      <w:r w:rsidRPr="00EC4DCB">
        <w:t>».</w:t>
      </w:r>
    </w:p>
    <w:p w:rsidR="00B5422E" w:rsidP="00B5422E" w:rsidRDefault="00B5422E">
      <w:pPr>
        <w:pStyle w:val="JuPara"/>
      </w:pPr>
      <w:r>
        <w:fldChar w:fldCharType="begin"/>
      </w:r>
      <w:r>
        <w:instrText xml:space="preserve"> SEQ level0 \*arabic </w:instrText>
      </w:r>
      <w:r>
        <w:fldChar w:fldCharType="separate"/>
      </w:r>
      <w:r w:rsidR="00157748">
        <w:rPr>
          <w:noProof/>
        </w:rPr>
        <w:t>19</w:t>
      </w:r>
      <w:r>
        <w:fldChar w:fldCharType="end"/>
      </w:r>
      <w:r>
        <w:t>.  L</w:t>
      </w:r>
      <w:r w:rsidR="00207187">
        <w:t>’</w:t>
      </w:r>
      <w:r>
        <w:t>article 4 § 1 de la loi n</w:t>
      </w:r>
      <w:r w:rsidRPr="00207187" w:rsidR="00207187">
        <w:rPr>
          <w:vertAlign w:val="superscript"/>
        </w:rPr>
        <w:t>o</w:t>
      </w:r>
      <w:r>
        <w:t xml:space="preserve"> 1406/1983 dispose :</w:t>
      </w:r>
    </w:p>
    <w:p w:rsidR="00B5422E" w:rsidP="00B5422E" w:rsidRDefault="00B5422E">
      <w:pPr>
        <w:pStyle w:val="JuQuot"/>
      </w:pPr>
      <w:r>
        <w:t>« L</w:t>
      </w:r>
      <w:r w:rsidR="00207187">
        <w:t>’</w:t>
      </w:r>
      <w:r>
        <w:t>action introduite prend effet à compter de sa notification ».</w:t>
      </w:r>
    </w:p>
    <w:p w:rsidR="00AC52E7" w:rsidP="001D520E" w:rsidRDefault="001D520E">
      <w:pPr>
        <w:pStyle w:val="JuHA"/>
      </w:pPr>
      <w:r>
        <w:t>B</w:t>
      </w:r>
      <w:r w:rsidR="00AC52E7">
        <w:t>.</w:t>
      </w:r>
      <w:r w:rsidR="000761BE">
        <w:t>  </w:t>
      </w:r>
      <w:r w:rsidR="00AC52E7">
        <w:t>Condition d</w:t>
      </w:r>
      <w:r w:rsidR="00207187">
        <w:t>’</w:t>
      </w:r>
      <w:r w:rsidR="00AC52E7">
        <w:t>exercice du pourvoi en cassation devant le Conseil d</w:t>
      </w:r>
      <w:r w:rsidR="00207187">
        <w:t>’</w:t>
      </w:r>
      <w:r w:rsidR="00AC52E7">
        <w:t>Etat</w:t>
      </w:r>
    </w:p>
    <w:p w:rsidR="00AC52E7" w:rsidP="00AC52E7" w:rsidRDefault="00E427BD">
      <w:pPr>
        <w:pStyle w:val="JuPara"/>
      </w:pPr>
      <w:r>
        <w:fldChar w:fldCharType="begin"/>
      </w:r>
      <w:r>
        <w:instrText xml:space="preserve"> SEQ level0 \*arabic </w:instrText>
      </w:r>
      <w:r>
        <w:fldChar w:fldCharType="separate"/>
      </w:r>
      <w:r w:rsidR="00157748">
        <w:rPr>
          <w:noProof/>
        </w:rPr>
        <w:t>20</w:t>
      </w:r>
      <w:r>
        <w:fldChar w:fldCharType="end"/>
      </w:r>
      <w:r>
        <w:t>.  </w:t>
      </w:r>
      <w:r w:rsidR="00AC52E7">
        <w:t>L</w:t>
      </w:r>
      <w:r w:rsidR="00207187">
        <w:t>’</w:t>
      </w:r>
      <w:r w:rsidR="00AC52E7">
        <w:t>article 5 de la loi n</w:t>
      </w:r>
      <w:r w:rsidRPr="000761BE" w:rsidR="000761BE">
        <w:rPr>
          <w:vertAlign w:val="superscript"/>
        </w:rPr>
        <w:t>o</w:t>
      </w:r>
      <w:r w:rsidR="00AC52E7">
        <w:t xml:space="preserve"> 2944/2001 dispose :</w:t>
      </w:r>
    </w:p>
    <w:p w:rsidRPr="00EC3A41" w:rsidR="00AC52E7" w:rsidP="00AC52E7" w:rsidRDefault="00AC52E7">
      <w:pPr>
        <w:pStyle w:val="JuQuot"/>
      </w:pPr>
      <w:r>
        <w:t>« Est exclu tout pourvoi en cassation devant le Conseil d</w:t>
      </w:r>
      <w:r w:rsidR="00207187">
        <w:t>’</w:t>
      </w:r>
      <w:r>
        <w:t>Etat dont l</w:t>
      </w:r>
      <w:r w:rsidR="00207187">
        <w:t>’</w:t>
      </w:r>
      <w:r>
        <w:t>objet financier est inférieur à 2 000 000 drachmes ».</w:t>
      </w:r>
    </w:p>
    <w:p w:rsidRPr="00212CC9" w:rsidR="001D520E" w:rsidP="001D520E" w:rsidRDefault="001D520E">
      <w:pPr>
        <w:pStyle w:val="JuHHead"/>
      </w:pPr>
      <w:r w:rsidRPr="00212CC9">
        <w:t>EN DROIT</w:t>
      </w:r>
    </w:p>
    <w:p w:rsidRPr="00212CC9" w:rsidR="00FA6DAF" w:rsidP="00FA6DAF" w:rsidRDefault="00FA6DAF">
      <w:pPr>
        <w:pStyle w:val="JuHIRoman"/>
      </w:pPr>
      <w:r>
        <w:t>I</w:t>
      </w:r>
      <w:r w:rsidRPr="00212CC9">
        <w:t>.  SUR LA VIOLATION ALLÉGUÉE DE L</w:t>
      </w:r>
      <w:r w:rsidR="00207187">
        <w:t>’</w:t>
      </w:r>
      <w:r w:rsidRPr="00212CC9">
        <w:t xml:space="preserve">ARTICLE </w:t>
      </w:r>
      <w:r>
        <w:t>6 § 1</w:t>
      </w:r>
      <w:r w:rsidRPr="00212CC9">
        <w:t xml:space="preserve"> DE LA CONVENTION</w:t>
      </w:r>
    </w:p>
    <w:p w:rsidRPr="005E309F" w:rsidR="00FA6DAF" w:rsidP="00FA6DAF" w:rsidRDefault="00C36150">
      <w:pPr>
        <w:pStyle w:val="JuParaCharChar"/>
      </w:pPr>
      <w:r>
        <w:fldChar w:fldCharType="begin"/>
      </w:r>
      <w:r>
        <w:instrText xml:space="preserve"> SEQ level0 \*arabic </w:instrText>
      </w:r>
      <w:r>
        <w:fldChar w:fldCharType="separate"/>
      </w:r>
      <w:r w:rsidR="00157748">
        <w:rPr>
          <w:noProof/>
        </w:rPr>
        <w:t>21</w:t>
      </w:r>
      <w:r>
        <w:fldChar w:fldCharType="end"/>
      </w:r>
      <w:r>
        <w:t>.  </w:t>
      </w:r>
      <w:r w:rsidR="00FA6DAF">
        <w:t>Le requérant</w:t>
      </w:r>
      <w:r w:rsidRPr="005E309F" w:rsidR="00FA6DAF">
        <w:t xml:space="preserve"> </w:t>
      </w:r>
      <w:r w:rsidR="00FA6DAF">
        <w:t>se plaint que le rejet d</w:t>
      </w:r>
      <w:r w:rsidR="00207187">
        <w:t>’</w:t>
      </w:r>
      <w:r w:rsidR="00FA6DAF">
        <w:t>une partie de son action pour tardiveté viola son droit d</w:t>
      </w:r>
      <w:r w:rsidR="00207187">
        <w:t>’</w:t>
      </w:r>
      <w:r w:rsidR="00FA6DAF">
        <w:t>accès à un tribunal. Il invoque</w:t>
      </w:r>
      <w:r w:rsidRPr="005E309F" w:rsidR="00FA6DAF">
        <w:t xml:space="preserve"> l</w:t>
      </w:r>
      <w:r w:rsidR="00207187">
        <w:t>’</w:t>
      </w:r>
      <w:r w:rsidRPr="005E309F" w:rsidR="00FA6DAF">
        <w:t xml:space="preserve">article </w:t>
      </w:r>
      <w:r w:rsidR="00FA6DAF">
        <w:t>6</w:t>
      </w:r>
      <w:r w:rsidR="000761BE">
        <w:t xml:space="preserve"> </w:t>
      </w:r>
      <w:r w:rsidR="00FA6DAF">
        <w:t>§</w:t>
      </w:r>
      <w:r w:rsidR="000761BE">
        <w:t xml:space="preserve"> </w:t>
      </w:r>
      <w:r w:rsidR="00FA6DAF">
        <w:t>1</w:t>
      </w:r>
      <w:r w:rsidRPr="005E309F" w:rsidR="00FA6DAF">
        <w:t xml:space="preserve"> de la Convention, </w:t>
      </w:r>
      <w:r w:rsidR="00FA6DAF">
        <w:t xml:space="preserve">disposition </w:t>
      </w:r>
      <w:r w:rsidRPr="005E309F" w:rsidR="00FA6DAF">
        <w:t>ainsi libellé :</w:t>
      </w:r>
    </w:p>
    <w:p w:rsidR="00FA6DAF" w:rsidP="00FA6DAF" w:rsidRDefault="00FA6DAF">
      <w:pPr>
        <w:pStyle w:val="JuQuot"/>
      </w:pPr>
      <w:r>
        <w:t>« 1.  Toute personne a droit à ce que sa cause soit entendue équitablement (</w:t>
      </w:r>
      <w:r w:rsidR="000761BE">
        <w:t>...</w:t>
      </w:r>
      <w:r>
        <w:t>)</w:t>
      </w:r>
      <w:r w:rsidR="00235B5B">
        <w:t xml:space="preserve">, </w:t>
      </w:r>
      <w:r>
        <w:t>par un tribunal (</w:t>
      </w:r>
      <w:r w:rsidR="000761BE">
        <w:t>...</w:t>
      </w:r>
      <w:r>
        <w:t>) qui décidera (</w:t>
      </w:r>
      <w:r w:rsidR="000761BE">
        <w:t>...</w:t>
      </w:r>
      <w:r>
        <w:t>) des contestations sur ses droits et obligations de caractère civil (</w:t>
      </w:r>
      <w:r w:rsidR="000761BE">
        <w:t>...</w:t>
      </w:r>
      <w:r>
        <w:t>). »</w:t>
      </w:r>
    </w:p>
    <w:p w:rsidR="005155AA" w:rsidP="005155AA" w:rsidRDefault="005155AA">
      <w:pPr>
        <w:pStyle w:val="JuHA"/>
      </w:pPr>
      <w:r>
        <w:t>A.</w:t>
      </w:r>
      <w:r w:rsidR="000761BE">
        <w:t>  </w:t>
      </w:r>
      <w:r>
        <w:t>Arguments des parties</w:t>
      </w:r>
    </w:p>
    <w:p w:rsidRPr="00EC4DCB" w:rsidR="00793939" w:rsidP="00793939" w:rsidRDefault="0002741E">
      <w:pPr>
        <w:pStyle w:val="JuPara"/>
      </w:pPr>
      <w:r>
        <w:fldChar w:fldCharType="begin"/>
      </w:r>
      <w:r>
        <w:instrText xml:space="preserve"> SEQ level0 \*arabic </w:instrText>
      </w:r>
      <w:r>
        <w:fldChar w:fldCharType="separate"/>
      </w:r>
      <w:r w:rsidR="00157748">
        <w:rPr>
          <w:noProof/>
        </w:rPr>
        <w:t>22</w:t>
      </w:r>
      <w:r>
        <w:fldChar w:fldCharType="end"/>
      </w:r>
      <w:r>
        <w:t>.  </w:t>
      </w:r>
      <w:r w:rsidR="00793939">
        <w:t>L</w:t>
      </w:r>
      <w:r w:rsidRPr="00EC4DCB" w:rsidR="00793939">
        <w:t>e Gouvernement avance</w:t>
      </w:r>
      <w:r w:rsidR="00793939">
        <w:t>, en premier lieu,</w:t>
      </w:r>
      <w:r w:rsidRPr="00EC4DCB" w:rsidR="00793939">
        <w:t xml:space="preserve"> </w:t>
      </w:r>
      <w:r w:rsidRPr="00EC4DCB" w:rsidR="0044284A">
        <w:t>que devant la cour admi</w:t>
      </w:r>
      <w:r w:rsidR="0044284A">
        <w:t>nistrative d</w:t>
      </w:r>
      <w:r w:rsidR="00207187">
        <w:t>’</w:t>
      </w:r>
      <w:r w:rsidR="0044284A">
        <w:t>appel d</w:t>
      </w:r>
      <w:r w:rsidR="00207187">
        <w:t>’</w:t>
      </w:r>
      <w:r w:rsidR="0044284A">
        <w:t>Athènes et</w:t>
      </w:r>
      <w:r w:rsidRPr="00EC4DCB" w:rsidR="0044284A">
        <w:t xml:space="preserve"> ultérieurem</w:t>
      </w:r>
      <w:r w:rsidR="0044284A">
        <w:t>ent devant le Conseil d</w:t>
      </w:r>
      <w:r w:rsidR="00207187">
        <w:t>’</w:t>
      </w:r>
      <w:r w:rsidR="0044284A">
        <w:t>Etat, le requérant</w:t>
      </w:r>
      <w:r w:rsidRPr="00EC4DCB" w:rsidR="0044284A">
        <w:t xml:space="preserve"> ne s</w:t>
      </w:r>
      <w:r w:rsidR="00207187">
        <w:t>’</w:t>
      </w:r>
      <w:r w:rsidRPr="00EC4DCB" w:rsidR="0044284A">
        <w:t>est pas plaint d</w:t>
      </w:r>
      <w:r w:rsidR="00207187">
        <w:t>’</w:t>
      </w:r>
      <w:r w:rsidRPr="00EC4DCB" w:rsidR="0044284A">
        <w:t>une atteint</w:t>
      </w:r>
      <w:r w:rsidR="0044284A">
        <w:t>e</w:t>
      </w:r>
      <w:r w:rsidRPr="00EC4DCB" w:rsidR="0044284A">
        <w:t xml:space="preserve"> à son droit d</w:t>
      </w:r>
      <w:r w:rsidR="00207187">
        <w:t>’</w:t>
      </w:r>
      <w:r w:rsidRPr="00EC4DCB" w:rsidR="0044284A">
        <w:t xml:space="preserve">accès à un tribunal en raison de la prescription de son action. </w:t>
      </w:r>
      <w:r w:rsidR="0044284A">
        <w:t xml:space="preserve">En outre, le Gouvernement plaide </w:t>
      </w:r>
      <w:r w:rsidRPr="00EC4DCB" w:rsidR="00793939">
        <w:t>que</w:t>
      </w:r>
      <w:r w:rsidR="00793939">
        <w:t xml:space="preserve"> </w:t>
      </w:r>
      <w:r w:rsidRPr="00EC4DCB" w:rsidR="00793939">
        <w:t xml:space="preserve">le requérant était </w:t>
      </w:r>
      <w:r w:rsidR="00793939">
        <w:t>parfaitement informé</w:t>
      </w:r>
      <w:r w:rsidRPr="00EC4DCB" w:rsidR="00793939">
        <w:t xml:space="preserve"> de l</w:t>
      </w:r>
      <w:r w:rsidR="00207187">
        <w:t>’</w:t>
      </w:r>
      <w:r w:rsidRPr="00EC4DCB" w:rsidR="00793939">
        <w:t>article</w:t>
      </w:r>
      <w:r w:rsidR="000761BE">
        <w:t> </w:t>
      </w:r>
      <w:r w:rsidRPr="00EC4DCB" w:rsidR="00793939">
        <w:t xml:space="preserve">90 § 1 de la loi </w:t>
      </w:r>
      <w:r w:rsidR="00793939">
        <w:t>n</w:t>
      </w:r>
      <w:r w:rsidRPr="000761BE" w:rsidR="000761BE">
        <w:rPr>
          <w:vertAlign w:val="superscript"/>
        </w:rPr>
        <w:t>o</w:t>
      </w:r>
      <w:r w:rsidR="00793939">
        <w:t xml:space="preserve"> </w:t>
      </w:r>
      <w:r w:rsidRPr="00EC4DCB" w:rsidR="00793939">
        <w:t>2362/1995 prévoyant une prescription quinquennale à l</w:t>
      </w:r>
      <w:r w:rsidR="00207187">
        <w:t>’</w:t>
      </w:r>
      <w:r w:rsidRPr="00EC4DCB" w:rsidR="00793939">
        <w:t xml:space="preserve">égard de ses prétentions. </w:t>
      </w:r>
      <w:r w:rsidR="0044284A">
        <w:t>De plus</w:t>
      </w:r>
      <w:r w:rsidRPr="00EC4DCB" w:rsidR="00793939">
        <w:t xml:space="preserve">, selon la jurisprudence </w:t>
      </w:r>
      <w:r w:rsidR="00793939">
        <w:t xml:space="preserve">constante </w:t>
      </w:r>
      <w:r w:rsidRPr="00EC4DCB" w:rsidR="00793939">
        <w:t xml:space="preserve">des juridictions internes, </w:t>
      </w:r>
      <w:r w:rsidRPr="00EC4DCB" w:rsidR="00FF1B44">
        <w:t xml:space="preserve">le point de départ du délai de prescription </w:t>
      </w:r>
      <w:r w:rsidR="00FF1B44">
        <w:t xml:space="preserve">était </w:t>
      </w:r>
      <w:r w:rsidRPr="00EC4DCB" w:rsidR="00793939">
        <w:t xml:space="preserve">le jour de la survenue du dommage et non pas le jour où le requérant en avait pris connaissance. </w:t>
      </w:r>
      <w:r w:rsidR="0044284A">
        <w:t>Au demeurant</w:t>
      </w:r>
      <w:r w:rsidRPr="00EC4DCB" w:rsidR="00793939">
        <w:t>, le Gouvernement plaide que trois ans environ se sont écoulés entre la date à laquelle le requérant a pris connaissa</w:t>
      </w:r>
      <w:r w:rsidR="00C36150">
        <w:t xml:space="preserve">nce du jugement </w:t>
      </w:r>
      <w:r w:rsidRPr="00EC4DCB" w:rsidR="00793939">
        <w:t>n</w:t>
      </w:r>
      <w:r w:rsidRPr="000761BE" w:rsidR="000761BE">
        <w:rPr>
          <w:vertAlign w:val="superscript"/>
        </w:rPr>
        <w:t>o</w:t>
      </w:r>
      <w:r w:rsidRPr="00EC4DCB" w:rsidR="00793939">
        <w:t xml:space="preserve"> 8284/1986 du tribunal cor</w:t>
      </w:r>
      <w:r w:rsidR="0044284A">
        <w:t>rectionnel de Corinthe et le 31</w:t>
      </w:r>
      <w:r w:rsidR="000761BE">
        <w:t xml:space="preserve"> </w:t>
      </w:r>
      <w:r w:rsidRPr="00EC4DCB" w:rsidR="00793939">
        <w:t xml:space="preserve">décembre 1991, date à laquelle expirait légalement la prescription quinquennale </w:t>
      </w:r>
      <w:r w:rsidR="00793939">
        <w:t>prévue par</w:t>
      </w:r>
      <w:r w:rsidRPr="00EC4DCB" w:rsidR="00793939">
        <w:t xml:space="preserve"> l</w:t>
      </w:r>
      <w:r w:rsidR="00207187">
        <w:t>’</w:t>
      </w:r>
      <w:r w:rsidRPr="00EC4DCB" w:rsidR="00793939">
        <w:t xml:space="preserve">article 90 § 1 de la loi </w:t>
      </w:r>
      <w:r w:rsidR="00793939">
        <w:t>n</w:t>
      </w:r>
      <w:r w:rsidRPr="000761BE" w:rsidR="000761BE">
        <w:rPr>
          <w:vertAlign w:val="superscript"/>
        </w:rPr>
        <w:t>o</w:t>
      </w:r>
      <w:r w:rsidR="00793939">
        <w:t xml:space="preserve"> </w:t>
      </w:r>
      <w:r w:rsidRPr="00EC4DCB" w:rsidR="00793939">
        <w:t>2362/1995. De l</w:t>
      </w:r>
      <w:r w:rsidR="00207187">
        <w:t>’</w:t>
      </w:r>
      <w:r w:rsidRPr="00EC4DCB" w:rsidR="00793939">
        <w:t>avis du Gouvernement, le requérant n</w:t>
      </w:r>
      <w:r w:rsidR="00207187">
        <w:t>’</w:t>
      </w:r>
      <w:r w:rsidRPr="00EC4DCB" w:rsidR="00793939">
        <w:t xml:space="preserve">a pas </w:t>
      </w:r>
      <w:r w:rsidR="0074108D">
        <w:t>fait preuve</w:t>
      </w:r>
      <w:r w:rsidRPr="00EC4DCB" w:rsidR="00793939">
        <w:t xml:space="preserve"> de diligence pour introduire son action en dommages-intérêts devant le tribunal administratif d</w:t>
      </w:r>
      <w:r w:rsidR="00207187">
        <w:t>’</w:t>
      </w:r>
      <w:r w:rsidRPr="00EC4DCB" w:rsidR="00793939">
        <w:t>Athènes durant cette période de trois ans.</w:t>
      </w:r>
    </w:p>
    <w:p w:rsidR="00793939" w:rsidP="00793939" w:rsidRDefault="0002741E">
      <w:pPr>
        <w:pStyle w:val="JuPara"/>
      </w:pPr>
      <w:r>
        <w:fldChar w:fldCharType="begin"/>
      </w:r>
      <w:r>
        <w:instrText xml:space="preserve"> SEQ level0 \*arabic </w:instrText>
      </w:r>
      <w:r>
        <w:fldChar w:fldCharType="separate"/>
      </w:r>
      <w:r w:rsidR="00157748">
        <w:rPr>
          <w:noProof/>
        </w:rPr>
        <w:t>23</w:t>
      </w:r>
      <w:r>
        <w:fldChar w:fldCharType="end"/>
      </w:r>
      <w:r>
        <w:t>.  </w:t>
      </w:r>
      <w:r w:rsidR="00480706">
        <w:t xml:space="preserve">Le requérant soutient que le </w:t>
      </w:r>
      <w:r w:rsidRPr="00EC4DCB" w:rsidR="00480706">
        <w:t xml:space="preserve">point de départ du délai de la prescription </w:t>
      </w:r>
      <w:r w:rsidR="00480706">
        <w:t>quinquennale de ses prétentions aurait dû commencer à courir à partir de la date à laquelle</w:t>
      </w:r>
      <w:r w:rsidRPr="00EC4DCB" w:rsidR="00480706">
        <w:t xml:space="preserve"> </w:t>
      </w:r>
      <w:r w:rsidR="00480706">
        <w:t xml:space="preserve">il </w:t>
      </w:r>
      <w:r w:rsidRPr="00EC4DCB" w:rsidR="00480706">
        <w:t>a p</w:t>
      </w:r>
      <w:r w:rsidR="00480706">
        <w:t>ris connaissance</w:t>
      </w:r>
      <w:r w:rsidRPr="00EC4DCB" w:rsidR="00480706">
        <w:t xml:space="preserve"> </w:t>
      </w:r>
      <w:r w:rsidR="0044284A">
        <w:t>du jugement n</w:t>
      </w:r>
      <w:r w:rsidRPr="000761BE" w:rsidR="000761BE">
        <w:rPr>
          <w:vertAlign w:val="superscript"/>
        </w:rPr>
        <w:t>o</w:t>
      </w:r>
      <w:r w:rsidR="0044284A">
        <w:t xml:space="preserve"> </w:t>
      </w:r>
      <w:r w:rsidRPr="00EC4DCB" w:rsidR="00480706">
        <w:t>8284/1986 du tribunal correctionnel de Corinthe</w:t>
      </w:r>
      <w:r w:rsidR="00480706">
        <w:t>. Il allègue, de plus,</w:t>
      </w:r>
      <w:r w:rsidRPr="00EC4DCB" w:rsidR="00793939">
        <w:t xml:space="preserve"> que dans son recours en appel devant la cour administrative d</w:t>
      </w:r>
      <w:r w:rsidR="00207187">
        <w:t>’</w:t>
      </w:r>
      <w:r w:rsidRPr="00EC4DCB" w:rsidR="00793939">
        <w:t>appel d</w:t>
      </w:r>
      <w:r w:rsidR="00207187">
        <w:t>’</w:t>
      </w:r>
      <w:r w:rsidRPr="00EC4DCB" w:rsidR="00793939">
        <w:t>Athènes, il souleva explicitement que l</w:t>
      </w:r>
      <w:r w:rsidR="00207187">
        <w:t>’</w:t>
      </w:r>
      <w:r w:rsidRPr="00EC4DCB" w:rsidR="00793939">
        <w:t xml:space="preserve">acte dommageable </w:t>
      </w:r>
      <w:r w:rsidR="00793939">
        <w:t>ne s</w:t>
      </w:r>
      <w:r w:rsidR="00207187">
        <w:t>’</w:t>
      </w:r>
      <w:r w:rsidR="00793939">
        <w:t>était pas produit</w:t>
      </w:r>
      <w:r w:rsidRPr="00EC4DCB" w:rsidR="00793939">
        <w:t xml:space="preserve"> à la date d</w:t>
      </w:r>
      <w:r w:rsidR="000761BE">
        <w:t>u</w:t>
      </w:r>
      <w:r w:rsidRPr="00EC4DCB" w:rsidR="00793939">
        <w:t xml:space="preserve"> prononcé du jugement du tribunal correctionnel de Corinthe mai</w:t>
      </w:r>
      <w:r w:rsidR="00793939">
        <w:t>s</w:t>
      </w:r>
      <w:r w:rsidRPr="00EC4DCB" w:rsidR="00793939">
        <w:t xml:space="preserve">, </w:t>
      </w:r>
      <w:r w:rsidR="0074108D">
        <w:t>bien au contraire</w:t>
      </w:r>
      <w:r w:rsidRPr="00EC4DCB" w:rsidR="00793939">
        <w:t xml:space="preserve">, à la date </w:t>
      </w:r>
      <w:r w:rsidR="00793939">
        <w:t>à laquelle il</w:t>
      </w:r>
      <w:r w:rsidRPr="00EC4DCB" w:rsidR="00793939">
        <w:t xml:space="preserve"> en a p</w:t>
      </w:r>
      <w:r w:rsidR="00793939">
        <w:t>ris connaissance, à savoir le 20</w:t>
      </w:r>
      <w:r w:rsidR="001D78F2">
        <w:t> </w:t>
      </w:r>
      <w:r w:rsidRPr="00EC4DCB" w:rsidR="00793939">
        <w:t xml:space="preserve">décembre 1988. En outre, le requérant </w:t>
      </w:r>
      <w:r w:rsidR="00793939">
        <w:t xml:space="preserve">affirme </w:t>
      </w:r>
      <w:r w:rsidRPr="00EC4DCB" w:rsidR="00793939">
        <w:t>que dans son pourvoi en cassation devant le Conseil d</w:t>
      </w:r>
      <w:r w:rsidR="00207187">
        <w:t>’</w:t>
      </w:r>
      <w:r w:rsidRPr="00EC4DCB" w:rsidR="00793939">
        <w:t>Etat,</w:t>
      </w:r>
      <w:r w:rsidR="000761BE">
        <w:t xml:space="preserve"> il a soulevé le même argument.</w:t>
      </w:r>
    </w:p>
    <w:p w:rsidR="005155AA" w:rsidP="005155AA" w:rsidRDefault="005155AA">
      <w:pPr>
        <w:pStyle w:val="JuHA"/>
      </w:pPr>
      <w:r>
        <w:t>B.</w:t>
      </w:r>
      <w:r w:rsidR="000761BE">
        <w:t>  </w:t>
      </w:r>
      <w:r>
        <w:t>Appréciation de la Cour</w:t>
      </w:r>
    </w:p>
    <w:p w:rsidR="001D78F2" w:rsidP="001D78F2" w:rsidRDefault="00720A3B">
      <w:pPr>
        <w:pStyle w:val="JuParaChar"/>
      </w:pPr>
      <w:r>
        <w:fldChar w:fldCharType="begin"/>
      </w:r>
      <w:r>
        <w:instrText xml:space="preserve"> SEQ level0 \*arabic </w:instrText>
      </w:r>
      <w:r>
        <w:fldChar w:fldCharType="separate"/>
      </w:r>
      <w:r w:rsidR="00157748">
        <w:rPr>
          <w:noProof/>
        </w:rPr>
        <w:t>24</w:t>
      </w:r>
      <w:r>
        <w:fldChar w:fldCharType="end"/>
      </w:r>
      <w:r>
        <w:t>.  </w:t>
      </w:r>
      <w:r w:rsidRPr="005E309F" w:rsidR="001D78F2">
        <w:t xml:space="preserve">La Cour rappelle que </w:t>
      </w:r>
      <w:r w:rsidR="001D78F2">
        <w:t>le droit à un procès équitable, garanti par l</w:t>
      </w:r>
      <w:r w:rsidR="00207187">
        <w:t>’</w:t>
      </w:r>
      <w:r w:rsidR="001D78F2">
        <w:t>article 6 § 1 de la Convention, doit s</w:t>
      </w:r>
      <w:r w:rsidR="00207187">
        <w:t>’</w:t>
      </w:r>
      <w:r w:rsidR="001D78F2">
        <w:t xml:space="preserve">interpréter à la lumière de la prééminence du droit dont </w:t>
      </w:r>
      <w:r w:rsidR="0074108D">
        <w:t>l</w:t>
      </w:r>
      <w:r w:rsidR="00207187">
        <w:t>’</w:t>
      </w:r>
      <w:r w:rsidR="001D78F2">
        <w:t xml:space="preserve">un des éléments fondamentaux est le principe de la sécurité des rapports juridiques, qui exige </w:t>
      </w:r>
      <w:r w:rsidR="0074108D">
        <w:t>l</w:t>
      </w:r>
      <w:r w:rsidR="00207187">
        <w:t>’</w:t>
      </w:r>
      <w:r w:rsidR="0074108D">
        <w:t>existence d</w:t>
      </w:r>
      <w:r w:rsidR="00207187">
        <w:t>’</w:t>
      </w:r>
      <w:r w:rsidR="0074108D">
        <w:t>une voie</w:t>
      </w:r>
      <w:r w:rsidR="001D78F2">
        <w:t xml:space="preserve"> judiciaire effective permettant de revendiquer les droits civils (</w:t>
      </w:r>
      <w:proofErr w:type="spellStart"/>
      <w:r w:rsidR="001D78F2">
        <w:rPr>
          <w:i/>
        </w:rPr>
        <w:t>Běleš</w:t>
      </w:r>
      <w:proofErr w:type="spellEnd"/>
      <w:r w:rsidR="001D78F2">
        <w:rPr>
          <w:i/>
        </w:rPr>
        <w:t xml:space="preserve"> et autres c. République tchèque</w:t>
      </w:r>
      <w:r w:rsidR="001D78F2">
        <w:t>, n</w:t>
      </w:r>
      <w:r w:rsidRPr="000761BE" w:rsidR="000761BE">
        <w:rPr>
          <w:vertAlign w:val="superscript"/>
        </w:rPr>
        <w:t>o</w:t>
      </w:r>
      <w:r w:rsidR="001D78F2">
        <w:t> 47273/99, § 49, CEDH 2002-IX). En effet, chaque justiciable possède le droit à ce qu</w:t>
      </w:r>
      <w:r w:rsidR="00207187">
        <w:t>’</w:t>
      </w:r>
      <w:r w:rsidR="001D78F2">
        <w:t>un tribunal connaisse de toute contestation relative à ses droits et obligations de caractère civil. C</w:t>
      </w:r>
      <w:r w:rsidR="00207187">
        <w:t>’</w:t>
      </w:r>
      <w:r w:rsidR="001D78F2">
        <w:t>est ainsi que l</w:t>
      </w:r>
      <w:r w:rsidR="00207187">
        <w:t>’</w:t>
      </w:r>
      <w:r w:rsidR="001D78F2">
        <w:t>article 6 § 1 consacre le « droit à un tribunal », dont le droit d</w:t>
      </w:r>
      <w:r w:rsidR="00207187">
        <w:t>’</w:t>
      </w:r>
      <w:r w:rsidR="001D78F2">
        <w:t>accès, à savoir le droit de saisir le tribunal en matière civil ne constitue qu</w:t>
      </w:r>
      <w:r w:rsidR="00207187">
        <w:t>’</w:t>
      </w:r>
      <w:r w:rsidR="001D78F2">
        <w:t>un aspect (</w:t>
      </w:r>
      <w:r w:rsidR="001D78F2">
        <w:rPr>
          <w:i/>
        </w:rPr>
        <w:t>Golder c. Royaume-Uni</w:t>
      </w:r>
      <w:r w:rsidR="001D78F2">
        <w:t>, arrêt du 21 février 1975, série A n</w:t>
      </w:r>
      <w:r w:rsidRPr="000761BE" w:rsidR="000761BE">
        <w:rPr>
          <w:vertAlign w:val="superscript"/>
        </w:rPr>
        <w:t>o</w:t>
      </w:r>
      <w:r w:rsidR="001D78F2">
        <w:t xml:space="preserve"> 18, p. 18, § 36 ; </w:t>
      </w:r>
      <w:r w:rsidR="001D78F2">
        <w:rPr>
          <w:i/>
        </w:rPr>
        <w:t>Prince Hans-Adam II de Liechtenstein c. Allemagne</w:t>
      </w:r>
      <w:r w:rsidR="001D78F2">
        <w:t xml:space="preserve"> [GC], n</w:t>
      </w:r>
      <w:r w:rsidRPr="000761BE" w:rsidR="000761BE">
        <w:rPr>
          <w:vertAlign w:val="superscript"/>
        </w:rPr>
        <w:t>o</w:t>
      </w:r>
      <w:r w:rsidR="001D78F2">
        <w:t> 4</w:t>
      </w:r>
      <w:r w:rsidR="000761BE">
        <w:t>2527/98, § 43, CEDH 2001-VIII).</w:t>
      </w:r>
    </w:p>
    <w:p w:rsidRPr="006F5B7F" w:rsidR="001D78F2" w:rsidP="001D78F2" w:rsidRDefault="001D78F2">
      <w:pPr>
        <w:pStyle w:val="JuParaChar"/>
        <w:rPr>
          <w:szCs w:val="24"/>
        </w:rPr>
      </w:pPr>
      <w:r>
        <w:fldChar w:fldCharType="begin"/>
      </w:r>
      <w:r>
        <w:instrText xml:space="preserve"> SEQ level0 \*arabic </w:instrText>
      </w:r>
      <w:r>
        <w:fldChar w:fldCharType="separate"/>
      </w:r>
      <w:r w:rsidR="00157748">
        <w:rPr>
          <w:noProof/>
        </w:rPr>
        <w:t>25</w:t>
      </w:r>
      <w:r>
        <w:fldChar w:fldCharType="end"/>
      </w:r>
      <w:r>
        <w:t>.  Le droit d</w:t>
      </w:r>
      <w:r w:rsidR="00207187">
        <w:t>’</w:t>
      </w:r>
      <w:r>
        <w:t>accès à un tribunal, reconnu par l</w:t>
      </w:r>
      <w:r w:rsidR="00207187">
        <w:t>’</w:t>
      </w:r>
      <w:r>
        <w:t>article 6 § 1 de la Convention, n</w:t>
      </w:r>
      <w:r w:rsidR="00207187">
        <w:t>’</w:t>
      </w:r>
      <w:r>
        <w:t>est pas absolu : il se prête à des limitations implicitement admises</w:t>
      </w:r>
      <w:r w:rsidR="000761BE">
        <w:t>,</w:t>
      </w:r>
      <w:r>
        <w:t xml:space="preserve"> car il commande de par sa nature même une réglementation par l</w:t>
      </w:r>
      <w:r w:rsidR="00207187">
        <w:t>’</w:t>
      </w:r>
      <w:r>
        <w:t>Etat. Les Etats contractants jouissent en la matière d</w:t>
      </w:r>
      <w:r w:rsidR="00207187">
        <w:t>’</w:t>
      </w:r>
      <w:r>
        <w:t>une certaine marge d</w:t>
      </w:r>
      <w:r w:rsidR="00207187">
        <w:t>’</w:t>
      </w:r>
      <w:r>
        <w:t>appréciation. En effet, la tâche de la Cour ne consiste pas à se substituer aux juridictions internes. C</w:t>
      </w:r>
      <w:r w:rsidR="00207187">
        <w:t>’</w:t>
      </w:r>
      <w:r>
        <w:t>est au premier chef aux autorités nationales, et notamment aux cours et tribunaux, qu</w:t>
      </w:r>
      <w:r w:rsidR="00207187">
        <w:t>’</w:t>
      </w:r>
      <w:r>
        <w:t>il incombe d</w:t>
      </w:r>
      <w:r w:rsidR="00207187">
        <w:t>’</w:t>
      </w:r>
      <w:r>
        <w:t xml:space="preserve">interpréter la législation interne (voir, </w:t>
      </w:r>
      <w:r>
        <w:rPr>
          <w:i/>
        </w:rPr>
        <w:t>mutatis mutandis</w:t>
      </w:r>
      <w:r>
        <w:t xml:space="preserve">, les arrêts </w:t>
      </w:r>
      <w:r>
        <w:rPr>
          <w:i/>
        </w:rPr>
        <w:t>Brualla Gómez de la Torre c. Espagne</w:t>
      </w:r>
      <w:r>
        <w:t xml:space="preserve"> du 19 décembre 1997, </w:t>
      </w:r>
      <w:r>
        <w:rPr>
          <w:i/>
        </w:rPr>
        <w:t>Recueil</w:t>
      </w:r>
      <w:r>
        <w:t xml:space="preserve"> </w:t>
      </w:r>
      <w:r w:rsidR="00720A3B">
        <w:rPr>
          <w:i/>
        </w:rPr>
        <w:t xml:space="preserve">des arrêts et décisions </w:t>
      </w:r>
      <w:r>
        <w:t xml:space="preserve">1997-VIII, p. 2955, § 31, </w:t>
      </w:r>
      <w:r>
        <w:rPr>
          <w:i/>
        </w:rPr>
        <w:t xml:space="preserve">Edificaciones March Gallego S.A. c. Espagne </w:t>
      </w:r>
      <w:r>
        <w:t xml:space="preserve">du 19 février 1998, </w:t>
      </w:r>
      <w:r>
        <w:rPr>
          <w:i/>
        </w:rPr>
        <w:t>Recueil</w:t>
      </w:r>
      <w:r>
        <w:t xml:space="preserve"> 1998-I, p. 290, § 33, et </w:t>
      </w:r>
      <w:r w:rsidRPr="006F5B7F">
        <w:rPr>
          <w:i/>
          <w:szCs w:val="24"/>
        </w:rPr>
        <w:t>Saez Maeso c. Espagne</w:t>
      </w:r>
      <w:r w:rsidRPr="006F5B7F">
        <w:rPr>
          <w:szCs w:val="24"/>
        </w:rPr>
        <w:t>, n</w:t>
      </w:r>
      <w:r w:rsidRPr="006F5B7F">
        <w:rPr>
          <w:szCs w:val="24"/>
          <w:vertAlign w:val="superscript"/>
        </w:rPr>
        <w:t>o</w:t>
      </w:r>
      <w:r w:rsidRPr="006F5B7F">
        <w:rPr>
          <w:szCs w:val="24"/>
        </w:rPr>
        <w:t xml:space="preserve"> 77837/01, § </w:t>
      </w:r>
      <w:r>
        <w:rPr>
          <w:szCs w:val="24"/>
        </w:rPr>
        <w:t>22</w:t>
      </w:r>
      <w:r w:rsidRPr="006F5B7F">
        <w:rPr>
          <w:szCs w:val="24"/>
        </w:rPr>
        <w:t>, 9</w:t>
      </w:r>
      <w:r w:rsidR="000761BE">
        <w:rPr>
          <w:szCs w:val="24"/>
        </w:rPr>
        <w:t xml:space="preserve"> </w:t>
      </w:r>
      <w:r w:rsidRPr="006F5B7F">
        <w:rPr>
          <w:szCs w:val="24"/>
        </w:rPr>
        <w:t>novembre 2004</w:t>
      </w:r>
      <w:r>
        <w:rPr>
          <w:szCs w:val="24"/>
        </w:rPr>
        <w:t>).</w:t>
      </w:r>
    </w:p>
    <w:p w:rsidR="001D78F2" w:rsidP="001D78F2" w:rsidRDefault="001D78F2">
      <w:pPr>
        <w:pStyle w:val="JuParaChar"/>
      </w:pPr>
      <w:r>
        <w:fldChar w:fldCharType="begin"/>
      </w:r>
      <w:r>
        <w:instrText xml:space="preserve"> SEQ level0 \*arabic </w:instrText>
      </w:r>
      <w:r>
        <w:fldChar w:fldCharType="separate"/>
      </w:r>
      <w:r w:rsidR="00157748">
        <w:rPr>
          <w:noProof/>
        </w:rPr>
        <w:t>26</w:t>
      </w:r>
      <w:r>
        <w:fldChar w:fldCharType="end"/>
      </w:r>
      <w:r>
        <w:t xml:space="preserve">.  Il appartient </w:t>
      </w:r>
      <w:r w:rsidR="0074108D">
        <w:t>en revanche</w:t>
      </w:r>
      <w:r>
        <w:t xml:space="preserve"> à la Cour de statuer en dernier ressort sur le respect des exigences </w:t>
      </w:r>
      <w:r w:rsidR="0074108D">
        <w:t xml:space="preserve">de la Convention ; elle se doit de vérifier </w:t>
      </w:r>
      <w:r>
        <w:t>que les limitations mises en œuvre ne restreignent pas l</w:t>
      </w:r>
      <w:r w:rsidR="00207187">
        <w:t>’</w:t>
      </w:r>
      <w:r>
        <w:t>accès offert à l</w:t>
      </w:r>
      <w:r w:rsidR="00207187">
        <w:t>’</w:t>
      </w:r>
      <w:r>
        <w:t>individu d</w:t>
      </w:r>
      <w:r w:rsidR="00207187">
        <w:t>’</w:t>
      </w:r>
      <w:r>
        <w:t>une manière ou à un point tels que le droit s</w:t>
      </w:r>
      <w:r w:rsidR="00207187">
        <w:t>’</w:t>
      </w:r>
      <w:r>
        <w:t>en trouve atteint dans sa substance même. En outre, pareille limitation au droit d</w:t>
      </w:r>
      <w:r w:rsidR="00207187">
        <w:t>’</w:t>
      </w:r>
      <w:r>
        <w:t>accès à un tribunal ne se concilie avec l</w:t>
      </w:r>
      <w:r w:rsidR="00207187">
        <w:t>’</w:t>
      </w:r>
      <w:r>
        <w:t>article 6</w:t>
      </w:r>
      <w:r w:rsidR="000761BE">
        <w:t xml:space="preserve"> </w:t>
      </w:r>
      <w:r>
        <w:t>§ 1 que si elle tend à un but légitime et s</w:t>
      </w:r>
      <w:r w:rsidR="00207187">
        <w:t>’</w:t>
      </w:r>
      <w:r>
        <w:t>il existe un rapport raisonnable de proportionnalité entre les moyens employés et le but visé (</w:t>
      </w:r>
      <w:r w:rsidRPr="006F5B7F">
        <w:rPr>
          <w:i/>
        </w:rPr>
        <w:t>Waite et Kennedy c. Allemagne</w:t>
      </w:r>
      <w:r w:rsidRPr="006F5B7F">
        <w:t xml:space="preserve">, </w:t>
      </w:r>
      <w:r>
        <w:t xml:space="preserve">précité, </w:t>
      </w:r>
      <w:r w:rsidRPr="006F5B7F">
        <w:t xml:space="preserve">§ </w:t>
      </w:r>
      <w:r>
        <w:t>59</w:t>
      </w:r>
      <w:r w:rsidRPr="006F5B7F">
        <w:t xml:space="preserve">, </w:t>
      </w:r>
      <w:r>
        <w:rPr>
          <w:i/>
        </w:rPr>
        <w:t>T.P. et K.M. c. Royaume-Uni</w:t>
      </w:r>
      <w:r>
        <w:t xml:space="preserve"> [GC], n</w:t>
      </w:r>
      <w:r>
        <w:rPr>
          <w:vertAlign w:val="superscript"/>
        </w:rPr>
        <w:t>o</w:t>
      </w:r>
      <w:r>
        <w:t xml:space="preserve"> 28945/95, § 98, CEDH 2001-V, et </w:t>
      </w:r>
      <w:r>
        <w:rPr>
          <w:i/>
        </w:rPr>
        <w:t>Z et autres c. Royaume-Uni</w:t>
      </w:r>
      <w:r>
        <w:t xml:space="preserve"> [GC], n</w:t>
      </w:r>
      <w:r>
        <w:rPr>
          <w:vertAlign w:val="superscript"/>
        </w:rPr>
        <w:t>o</w:t>
      </w:r>
      <w:r>
        <w:t xml:space="preserve"> 29392/95, § 93, CEDH 2001-V). En effet, le droit d</w:t>
      </w:r>
      <w:r w:rsidR="00207187">
        <w:t>’</w:t>
      </w:r>
      <w:r>
        <w:t>accès à un tribunal se trouve atteint au cas où sa réglementation cesse de servir les buts de la sécurité juridique et de la bonne administration de la justice et constitue une sorte de barri</w:t>
      </w:r>
      <w:r w:rsidR="0074108D">
        <w:t>ère qui empêche le justiciable de</w:t>
      </w:r>
      <w:r>
        <w:t xml:space="preserve"> voir son litige tranché au fond par la juridiction compétente.</w:t>
      </w:r>
    </w:p>
    <w:p w:rsidR="001D78F2" w:rsidP="001D78F2" w:rsidRDefault="001D78F2">
      <w:pPr>
        <w:pStyle w:val="JuParaChar"/>
        <w:tabs>
          <w:tab w:val="left" w:pos="1635"/>
        </w:tabs>
      </w:pPr>
      <w:r>
        <w:fldChar w:fldCharType="begin"/>
      </w:r>
      <w:r>
        <w:instrText xml:space="preserve"> SEQ level0 \*arabic </w:instrText>
      </w:r>
      <w:r>
        <w:fldChar w:fldCharType="separate"/>
      </w:r>
      <w:r w:rsidR="00157748">
        <w:rPr>
          <w:noProof/>
        </w:rPr>
        <w:t>27</w:t>
      </w:r>
      <w:r>
        <w:fldChar w:fldCharType="end"/>
      </w:r>
      <w:r>
        <w:t>.  La réglementation relative aux formalités à respecter pour former un recours pose, par excellence, cette question par rapport au droit d</w:t>
      </w:r>
      <w:r w:rsidR="00207187">
        <w:t>’</w:t>
      </w:r>
      <w:r>
        <w:t>accès à un tribunal ; d</w:t>
      </w:r>
      <w:r w:rsidR="00207187">
        <w:t>’</w:t>
      </w:r>
      <w:r>
        <w:t>une part, elle vise à assurer la bonne administration de la justice et le respect, en particulier, du principe de la sécurité juridique susmentionné.</w:t>
      </w:r>
      <w:r w:rsidRPr="00FC6049">
        <w:t xml:space="preserve"> </w:t>
      </w:r>
      <w:r>
        <w:t>Cela étant, le réglementation en question, ou l</w:t>
      </w:r>
      <w:r w:rsidR="00207187">
        <w:t>’</w:t>
      </w:r>
      <w:r>
        <w:t>application qui en est faite, ne devrait pas empêcher le justiciable d</w:t>
      </w:r>
      <w:r w:rsidR="00207187">
        <w:t>’</w:t>
      </w:r>
      <w:r>
        <w:t>utiliser une voie de recours disponible (voir l</w:t>
      </w:r>
      <w:r w:rsidR="00207187">
        <w:t>’</w:t>
      </w:r>
      <w:r>
        <w:t xml:space="preserve">arrêt </w:t>
      </w:r>
      <w:r>
        <w:rPr>
          <w:i/>
        </w:rPr>
        <w:t>Miragall Escolano et autres c. Espagne</w:t>
      </w:r>
      <w:r>
        <w:t>, n</w:t>
      </w:r>
      <w:r w:rsidRPr="000761BE" w:rsidR="000761BE">
        <w:rPr>
          <w:vertAlign w:val="superscript"/>
        </w:rPr>
        <w:t>o</w:t>
      </w:r>
      <w:r>
        <w:t> 38366</w:t>
      </w:r>
      <w:r w:rsidR="000761BE">
        <w:t>/97, §§ 33 et 36, CEDH 2000-I).</w:t>
      </w:r>
    </w:p>
    <w:p w:rsidRPr="00B12BB4" w:rsidR="001D78F2" w:rsidP="00B12BB4" w:rsidRDefault="001D78F2">
      <w:pPr>
        <w:pStyle w:val="JuPara"/>
        <w:rPr>
          <w:lang w:val="pt-BR"/>
        </w:rPr>
      </w:pPr>
      <w:r>
        <w:fldChar w:fldCharType="begin"/>
      </w:r>
      <w:r>
        <w:instrText xml:space="preserve"> SEQ level0 \*arabic </w:instrText>
      </w:r>
      <w:r>
        <w:fldChar w:fldCharType="separate"/>
      </w:r>
      <w:r w:rsidR="00157748">
        <w:rPr>
          <w:noProof/>
        </w:rPr>
        <w:t>28</w:t>
      </w:r>
      <w:r>
        <w:fldChar w:fldCharType="end"/>
      </w:r>
      <w:r>
        <w:t>.  A ce jour, la Cour a</w:t>
      </w:r>
      <w:r w:rsidR="000761BE">
        <w:t>,</w:t>
      </w:r>
      <w:r>
        <w:t xml:space="preserve"> à plusieurs </w:t>
      </w:r>
      <w:r w:rsidR="0074108D">
        <w:t>reprises</w:t>
      </w:r>
      <w:r w:rsidR="000761BE">
        <w:t>,</w:t>
      </w:r>
      <w:r>
        <w:t xml:space="preserve"> conclu que l</w:t>
      </w:r>
      <w:r w:rsidR="00207187">
        <w:t>’</w:t>
      </w:r>
      <w:r>
        <w:t>application par les juridictions internes de formalités à respecter pour former un recours est susceptible de violer le droit d</w:t>
      </w:r>
      <w:r w:rsidR="00207187">
        <w:t>’</w:t>
      </w:r>
      <w:r>
        <w:t xml:space="preserve">accès à un tribunal. Il en est ainsi, quand </w:t>
      </w:r>
      <w:r w:rsidR="001D2CE4">
        <w:t>l</w:t>
      </w:r>
      <w:r w:rsidR="00207187">
        <w:t>’</w:t>
      </w:r>
      <w:r w:rsidR="001D2CE4">
        <w:t>irrecevabilité d</w:t>
      </w:r>
      <w:r w:rsidR="00207187">
        <w:t>’</w:t>
      </w:r>
      <w:r w:rsidR="001D2CE4">
        <w:t>un recours résulte de l</w:t>
      </w:r>
      <w:r w:rsidR="00207187">
        <w:t>’</w:t>
      </w:r>
      <w:r w:rsidR="001D2CE4">
        <w:t>imputation d</w:t>
      </w:r>
      <w:r w:rsidR="00207187">
        <w:t>’</w:t>
      </w:r>
      <w:r w:rsidR="001D2CE4">
        <w:t>une faute au requérant dont celui-ci n</w:t>
      </w:r>
      <w:r w:rsidR="00207187">
        <w:t>’</w:t>
      </w:r>
      <w:r w:rsidR="001D2CE4">
        <w:t xml:space="preserve">était </w:t>
      </w:r>
      <w:r w:rsidR="0025108F">
        <w:t>objectivement pas responsable (</w:t>
      </w:r>
      <w:r w:rsidR="001D2CE4">
        <w:t xml:space="preserve">voir </w:t>
      </w:r>
      <w:r w:rsidR="0025108F">
        <w:t xml:space="preserve">en ce sens </w:t>
      </w:r>
      <w:r w:rsidRPr="00A16AB9" w:rsidR="0025108F">
        <w:rPr>
          <w:i/>
        </w:rPr>
        <w:t>Platakou c. Grèce</w:t>
      </w:r>
      <w:r w:rsidRPr="00A16AB9" w:rsidR="0025108F">
        <w:t>, n</w:t>
      </w:r>
      <w:r w:rsidRPr="00A16AB9" w:rsidR="0025108F">
        <w:rPr>
          <w:vertAlign w:val="superscript"/>
        </w:rPr>
        <w:t>o</w:t>
      </w:r>
      <w:r w:rsidRPr="00A16AB9" w:rsidR="0025108F">
        <w:t xml:space="preserve"> 38460/97, </w:t>
      </w:r>
      <w:r w:rsidR="0025108F">
        <w:t>§§ 36-39</w:t>
      </w:r>
      <w:r w:rsidRPr="00A16AB9" w:rsidR="0025108F">
        <w:t>, CEDH 2001</w:t>
      </w:r>
      <w:r w:rsidRPr="00A16AB9" w:rsidR="0025108F">
        <w:noBreakHyphen/>
        <w:t>I</w:t>
      </w:r>
      <w:r w:rsidR="0025108F">
        <w:t xml:space="preserve"> ; </w:t>
      </w:r>
      <w:r w:rsidRPr="00277D51" w:rsidR="0025108F">
        <w:rPr>
          <w:i/>
          <w:lang w:val="pt-BR"/>
        </w:rPr>
        <w:t>Société Anonyme Sotiris et Nikos Koutras Attee c. Grèce</w:t>
      </w:r>
      <w:r w:rsidRPr="00277D51" w:rsidR="0025108F">
        <w:rPr>
          <w:lang w:val="pt-BR"/>
        </w:rPr>
        <w:t>, n</w:t>
      </w:r>
      <w:r w:rsidRPr="00277D51" w:rsidR="0025108F">
        <w:rPr>
          <w:vertAlign w:val="superscript"/>
          <w:lang w:val="pt-BR"/>
        </w:rPr>
        <w:t>o</w:t>
      </w:r>
      <w:r w:rsidRPr="00277D51" w:rsidR="0025108F">
        <w:rPr>
          <w:lang w:val="pt-BR"/>
        </w:rPr>
        <w:t xml:space="preserve"> 39442/98, </w:t>
      </w:r>
      <w:r w:rsidR="0025108F">
        <w:rPr>
          <w:lang w:val="pt-BR"/>
        </w:rPr>
        <w:t>§§ 19-23</w:t>
      </w:r>
      <w:r w:rsidRPr="00277D51" w:rsidR="0025108F">
        <w:rPr>
          <w:lang w:val="pt-BR"/>
        </w:rPr>
        <w:t>, CEDH 2000</w:t>
      </w:r>
      <w:r w:rsidRPr="00277D51" w:rsidR="0025108F">
        <w:rPr>
          <w:lang w:val="pt-BR"/>
        </w:rPr>
        <w:noBreakHyphen/>
        <w:t>XII</w:t>
      </w:r>
      <w:r w:rsidR="0025108F">
        <w:rPr>
          <w:lang w:val="pt-BR"/>
        </w:rPr>
        <w:t>).</w:t>
      </w:r>
    </w:p>
    <w:p w:rsidR="00720A3B" w:rsidP="00C442FD" w:rsidRDefault="005155AA">
      <w:pPr>
        <w:pStyle w:val="JuPara"/>
      </w:pPr>
      <w:r>
        <w:fldChar w:fldCharType="begin"/>
      </w:r>
      <w:r>
        <w:instrText xml:space="preserve"> SEQ level0 \*arabic </w:instrText>
      </w:r>
      <w:r>
        <w:fldChar w:fldCharType="separate"/>
      </w:r>
      <w:r w:rsidR="00157748">
        <w:rPr>
          <w:noProof/>
        </w:rPr>
        <w:t>29</w:t>
      </w:r>
      <w:r>
        <w:fldChar w:fldCharType="end"/>
      </w:r>
      <w:r>
        <w:t>.  </w:t>
      </w:r>
      <w:r w:rsidR="008361A9">
        <w:t>En l</w:t>
      </w:r>
      <w:r w:rsidR="00207187">
        <w:t>’</w:t>
      </w:r>
      <w:r w:rsidR="008361A9">
        <w:t>occurrence, la Cour observe, tout d</w:t>
      </w:r>
      <w:r w:rsidR="00207187">
        <w:t>’</w:t>
      </w:r>
      <w:r w:rsidR="008361A9">
        <w:t>abord, que le requérant avait formulé, tant dans son recours en appel que dans son pourvoi en cassation, l</w:t>
      </w:r>
      <w:r w:rsidR="00207187">
        <w:t>’</w:t>
      </w:r>
      <w:r w:rsidR="008361A9">
        <w:t>argument selon lequel le délai de la</w:t>
      </w:r>
      <w:r w:rsidRPr="00EC4DCB" w:rsidR="008361A9">
        <w:t xml:space="preserve"> prescription </w:t>
      </w:r>
      <w:r w:rsidR="008361A9">
        <w:t>quinquennale devrait commencer à courir</w:t>
      </w:r>
      <w:r w:rsidRPr="00EC4DCB" w:rsidR="008361A9">
        <w:t xml:space="preserve"> à compter du jour de la survenue du dommage</w:t>
      </w:r>
      <w:r w:rsidR="008361A9">
        <w:t xml:space="preserve">, à savoir du jour où il prit connaissance </w:t>
      </w:r>
      <w:r w:rsidRPr="00EC4DCB" w:rsidR="008361A9">
        <w:t>du jugement du tribunal correctionnel de Corinthe</w:t>
      </w:r>
      <w:r w:rsidR="008361A9">
        <w:t>. Par conséquent, il s</w:t>
      </w:r>
      <w:r w:rsidR="00207187">
        <w:t>’</w:t>
      </w:r>
      <w:r w:rsidR="008361A9">
        <w:t>était plaint devant les juridictions internes de la manière dont les juridictions internes avaient, en l</w:t>
      </w:r>
      <w:r w:rsidR="00207187">
        <w:t>’</w:t>
      </w:r>
      <w:r w:rsidR="008361A9">
        <w:t>espèce, interprété le droit pertinent, interprétation qui serait la cause d</w:t>
      </w:r>
      <w:r w:rsidR="00207187">
        <w:t>’</w:t>
      </w:r>
      <w:r w:rsidR="008361A9">
        <w:t>une atteinte à son droit d</w:t>
      </w:r>
      <w:r w:rsidR="00207187">
        <w:t>’</w:t>
      </w:r>
      <w:r w:rsidR="008361A9">
        <w:t>accès à un tribun</w:t>
      </w:r>
      <w:r w:rsidR="000761BE">
        <w:t>al.</w:t>
      </w:r>
    </w:p>
    <w:p w:rsidRPr="003D1F96" w:rsidR="00C442FD" w:rsidP="00C442FD" w:rsidRDefault="008E61FA">
      <w:pPr>
        <w:pStyle w:val="JuPara"/>
      </w:pPr>
      <w:r>
        <w:fldChar w:fldCharType="begin"/>
      </w:r>
      <w:r>
        <w:instrText xml:space="preserve"> SEQ level0 \*arabic </w:instrText>
      </w:r>
      <w:r>
        <w:fldChar w:fldCharType="separate"/>
      </w:r>
      <w:r w:rsidR="00157748">
        <w:rPr>
          <w:noProof/>
        </w:rPr>
        <w:t>30</w:t>
      </w:r>
      <w:r>
        <w:fldChar w:fldCharType="end"/>
      </w:r>
      <w:r>
        <w:t>.  </w:t>
      </w:r>
      <w:r w:rsidR="008361A9">
        <w:t xml:space="preserve">En outre, la Cour note que </w:t>
      </w:r>
      <w:r w:rsidRPr="00EC4DCB" w:rsidR="00B12BB4">
        <w:t>le requérant n</w:t>
      </w:r>
      <w:r w:rsidR="00207187">
        <w:t>’</w:t>
      </w:r>
      <w:r w:rsidRPr="00EC4DCB" w:rsidR="00B12BB4">
        <w:t>a pas eu connaissance de la date d</w:t>
      </w:r>
      <w:r w:rsidR="00207187">
        <w:t>’</w:t>
      </w:r>
      <w:r w:rsidRPr="00EC4DCB" w:rsidR="00B12BB4">
        <w:t>audience du tribunal correctionnel, en raison des négligences des organes étatiques. Il en résulte qu</w:t>
      </w:r>
      <w:r w:rsidR="00207187">
        <w:t>’</w:t>
      </w:r>
      <w:r w:rsidRPr="00EC4DCB" w:rsidR="00B12BB4">
        <w:t>exiger de lui d</w:t>
      </w:r>
      <w:r w:rsidR="00207187">
        <w:t>’</w:t>
      </w:r>
      <w:r w:rsidRPr="00EC4DCB" w:rsidR="00B12BB4">
        <w:t>intenter une action en dommages-intérêts, dans un délai qui commençait à courir à partir de la date du prononcé du jugement le condamnant en son absence, alors qu</w:t>
      </w:r>
      <w:r w:rsidR="00207187">
        <w:t>’</w:t>
      </w:r>
      <w:r w:rsidRPr="00EC4DCB" w:rsidR="00B12BB4">
        <w:t>il n</w:t>
      </w:r>
      <w:r w:rsidR="00207187">
        <w:t>’</w:t>
      </w:r>
      <w:r w:rsidRPr="00EC4DCB" w:rsidR="00B12BB4">
        <w:t>avait aucune possibilité d</w:t>
      </w:r>
      <w:r w:rsidR="00207187">
        <w:t>’</w:t>
      </w:r>
      <w:r w:rsidRPr="00EC4DCB" w:rsidR="00B12BB4">
        <w:t>avoir connaissance de la date d</w:t>
      </w:r>
      <w:r w:rsidR="00207187">
        <w:t>’</w:t>
      </w:r>
      <w:r w:rsidRPr="00EC4DCB" w:rsidR="00B12BB4">
        <w:t xml:space="preserve">audience, paraît déraisonnable. Et cela, parce que cette interprétation de la législation par les juridictions internes </w:t>
      </w:r>
      <w:r w:rsidR="00C442FD">
        <w:t>a mis</w:t>
      </w:r>
      <w:r w:rsidRPr="00EC4DCB" w:rsidR="00B12BB4">
        <w:t xml:space="preserve"> à la charge du requérant une obligation que celui-ci </w:t>
      </w:r>
      <w:r w:rsidR="00235B5B">
        <w:t>n</w:t>
      </w:r>
      <w:r w:rsidR="00207187">
        <w:t>’</w:t>
      </w:r>
      <w:r w:rsidR="00235B5B">
        <w:t>était</w:t>
      </w:r>
      <w:r w:rsidRPr="00EC4DCB" w:rsidR="00B12BB4">
        <w:t xml:space="preserve"> pas en </w:t>
      </w:r>
      <w:r w:rsidR="0074108D">
        <w:t>mesure</w:t>
      </w:r>
      <w:r w:rsidRPr="00EC4DCB" w:rsidR="00B12BB4">
        <w:t xml:space="preserve"> d</w:t>
      </w:r>
      <w:r w:rsidR="00207187">
        <w:t>’</w:t>
      </w:r>
      <w:r w:rsidRPr="00EC4DCB" w:rsidR="00B12BB4">
        <w:t>accomplir.</w:t>
      </w:r>
      <w:r w:rsidRPr="00755B51" w:rsidR="00C442FD">
        <w:t xml:space="preserve"> </w:t>
      </w:r>
      <w:r w:rsidR="008361A9">
        <w:t>Partant</w:t>
      </w:r>
      <w:r w:rsidR="00C442FD">
        <w:t>, la limitation imposée au droit d</w:t>
      </w:r>
      <w:r w:rsidR="00207187">
        <w:t>’</w:t>
      </w:r>
      <w:r w:rsidR="00C442FD">
        <w:t>accès du requérant à un tribunal n</w:t>
      </w:r>
      <w:r w:rsidR="00207187">
        <w:t>’</w:t>
      </w:r>
      <w:r w:rsidR="00C442FD">
        <w:t>a pas été proportionnelle au but de garantir la sécurité juridique et la bonne administration de la justice.</w:t>
      </w:r>
    </w:p>
    <w:p w:rsidRPr="00EC4DCB" w:rsidR="00AC52E7" w:rsidP="00C442FD" w:rsidRDefault="0044284A">
      <w:pPr>
        <w:pStyle w:val="JuPara"/>
      </w:pPr>
      <w:r>
        <w:fldChar w:fldCharType="begin"/>
      </w:r>
      <w:r>
        <w:instrText xml:space="preserve"> SEQ level0 \*arabic </w:instrText>
      </w:r>
      <w:r>
        <w:fldChar w:fldCharType="separate"/>
      </w:r>
      <w:r w:rsidR="00157748">
        <w:rPr>
          <w:noProof/>
        </w:rPr>
        <w:t>31</w:t>
      </w:r>
      <w:r>
        <w:fldChar w:fldCharType="end"/>
      </w:r>
      <w:r>
        <w:t>.  </w:t>
      </w:r>
      <w:r w:rsidR="008361A9">
        <w:t>Au vu de ce qui précède</w:t>
      </w:r>
      <w:r w:rsidRPr="003D1F96" w:rsidR="00C442FD">
        <w:t>, il y a eu violation de l</w:t>
      </w:r>
      <w:r w:rsidR="00207187">
        <w:t>’</w:t>
      </w:r>
      <w:r w:rsidR="00C442FD">
        <w:t>article 6 § 1 de la Convention au regard du droit du requérant d</w:t>
      </w:r>
      <w:r w:rsidR="00207187">
        <w:t>’</w:t>
      </w:r>
      <w:r w:rsidR="00C442FD">
        <w:t>avoir accès à un tribunal.</w:t>
      </w:r>
    </w:p>
    <w:p w:rsidRPr="00465DC0" w:rsidR="006C5B9E" w:rsidRDefault="006374B2">
      <w:pPr>
        <w:pStyle w:val="JuHIRoman"/>
      </w:pPr>
      <w:r>
        <w:t>II</w:t>
      </w:r>
      <w:r w:rsidRPr="00465DC0" w:rsidR="006C5B9E">
        <w:t>.  SUR L</w:t>
      </w:r>
      <w:r w:rsidR="00207187">
        <w:t>’</w:t>
      </w:r>
      <w:r w:rsidRPr="00465DC0" w:rsidR="006C5B9E">
        <w:t>APPLICATION DE L</w:t>
      </w:r>
      <w:r w:rsidR="00207187">
        <w:t>’</w:t>
      </w:r>
      <w:r w:rsidRPr="00465DC0" w:rsidR="006C5B9E">
        <w:t>ARTICLE 41 DE LA CONVENTION</w:t>
      </w:r>
    </w:p>
    <w:p w:rsidRPr="00465DC0" w:rsidR="006C5B9E" w:rsidRDefault="00465DC0">
      <w:pPr>
        <w:pStyle w:val="JuPara"/>
        <w:keepNext/>
        <w:keepLines/>
      </w:pPr>
      <w:r w:rsidRPr="00465DC0">
        <w:fldChar w:fldCharType="begin"/>
      </w:r>
      <w:r w:rsidRPr="00465DC0">
        <w:instrText xml:space="preserve"> SEQ level0 \*arabic </w:instrText>
      </w:r>
      <w:r w:rsidRPr="00465DC0">
        <w:fldChar w:fldCharType="separate"/>
      </w:r>
      <w:r w:rsidR="00157748">
        <w:rPr>
          <w:noProof/>
        </w:rPr>
        <w:t>32</w:t>
      </w:r>
      <w:r w:rsidRPr="00465DC0">
        <w:fldChar w:fldCharType="end"/>
      </w:r>
      <w:r w:rsidRPr="00465DC0" w:rsidR="006C5B9E">
        <w:t>.  Aux termes de l</w:t>
      </w:r>
      <w:r w:rsidR="00207187">
        <w:rPr>
          <w:rStyle w:val="JuNames"/>
        </w:rPr>
        <w:t>’</w:t>
      </w:r>
      <w:r w:rsidRPr="00465DC0" w:rsidR="006C5B9E">
        <w:t>article 41 de la Convention,</w:t>
      </w:r>
    </w:p>
    <w:p w:rsidRPr="00465DC0" w:rsidR="006C5B9E" w:rsidRDefault="006C5B9E">
      <w:pPr>
        <w:pStyle w:val="JuQuot"/>
        <w:keepNext/>
        <w:keepLines/>
      </w:pPr>
      <w:r w:rsidRPr="00465DC0">
        <w:t>« Si la Cour déclare qu</w:t>
      </w:r>
      <w:r w:rsidR="00207187">
        <w:t>’</w:t>
      </w:r>
      <w:r w:rsidRPr="00465DC0">
        <w:t>il y a eu violation de la Convention ou de ses Protocoles, et si le droit interne de la Haute Partie contractante ne permet d</w:t>
      </w:r>
      <w:r w:rsidR="00207187">
        <w:t>’</w:t>
      </w:r>
      <w:r w:rsidRPr="00465DC0">
        <w:t>effacer qu</w:t>
      </w:r>
      <w:r w:rsidR="00207187">
        <w:t>’</w:t>
      </w:r>
      <w:r w:rsidRPr="00465DC0">
        <w:t>imparfaitement les conséquences de cette violation, la Cour accorde à la partie lésée, s</w:t>
      </w:r>
      <w:r w:rsidR="00207187">
        <w:t>’</w:t>
      </w:r>
      <w:r w:rsidRPr="00465DC0">
        <w:t>il y a lieu, une satisfaction équitable. »</w:t>
      </w:r>
    </w:p>
    <w:p w:rsidRPr="00465DC0" w:rsidR="006C5B9E" w:rsidRDefault="006C5B9E">
      <w:pPr>
        <w:pStyle w:val="JuHA"/>
      </w:pPr>
      <w:r w:rsidRPr="00465DC0">
        <w:t>A.  Dommage</w:t>
      </w:r>
    </w:p>
    <w:p w:rsidR="006C5B9E" w:rsidRDefault="00465DC0">
      <w:pPr>
        <w:pStyle w:val="JuPara"/>
      </w:pPr>
      <w:r w:rsidRPr="00465DC0">
        <w:fldChar w:fldCharType="begin"/>
      </w:r>
      <w:r w:rsidRPr="00465DC0">
        <w:instrText xml:space="preserve"> SEQ level0 \*arabic </w:instrText>
      </w:r>
      <w:r w:rsidRPr="00465DC0">
        <w:fldChar w:fldCharType="separate"/>
      </w:r>
      <w:r w:rsidR="00157748">
        <w:rPr>
          <w:noProof/>
        </w:rPr>
        <w:t>33</w:t>
      </w:r>
      <w:r w:rsidRPr="00465DC0">
        <w:fldChar w:fldCharType="end"/>
      </w:r>
      <w:r w:rsidRPr="00465DC0" w:rsidR="006C5B9E">
        <w:t>.  </w:t>
      </w:r>
      <w:r w:rsidR="00F71099">
        <w:t>Le requérant demande 750 000 euros (EUR) au titre du dommage moral pour les désagréments et l</w:t>
      </w:r>
      <w:r w:rsidR="00207187">
        <w:t>’</w:t>
      </w:r>
      <w:r w:rsidR="00F71099">
        <w:t>atteinte à sa dignité que lui ont causé les juridictions nationales en rejetant son action en dommages-intérêts.</w:t>
      </w:r>
    </w:p>
    <w:p w:rsidR="00F71099" w:rsidRDefault="00F71099">
      <w:pPr>
        <w:pStyle w:val="JuPara"/>
      </w:pPr>
      <w:r>
        <w:fldChar w:fldCharType="begin"/>
      </w:r>
      <w:r>
        <w:instrText xml:space="preserve"> SEQ level0 \*arabic </w:instrText>
      </w:r>
      <w:r>
        <w:fldChar w:fldCharType="separate"/>
      </w:r>
      <w:r w:rsidR="00157748">
        <w:rPr>
          <w:noProof/>
        </w:rPr>
        <w:t>34</w:t>
      </w:r>
      <w:r>
        <w:fldChar w:fldCharType="end"/>
      </w:r>
      <w:r>
        <w:t>.  Le Gouvernement estime que la somme sollicitée est exagérée et que seul le constat de violation constituerait en soi une réparation suffisante au titre du préjudice moral. Alternativement, il affirme que la somme allouée à ce titre ne saurait dépasser 1 000 EUR.</w:t>
      </w:r>
    </w:p>
    <w:p w:rsidRPr="00465DC0" w:rsidR="00F71099" w:rsidRDefault="00F71099">
      <w:pPr>
        <w:pStyle w:val="JuPara"/>
      </w:pPr>
      <w:r>
        <w:fldChar w:fldCharType="begin"/>
      </w:r>
      <w:r>
        <w:instrText xml:space="preserve"> SEQ level0 \*arabic </w:instrText>
      </w:r>
      <w:r>
        <w:fldChar w:fldCharType="separate"/>
      </w:r>
      <w:r w:rsidR="00157748">
        <w:rPr>
          <w:noProof/>
        </w:rPr>
        <w:t>35</w:t>
      </w:r>
      <w:r>
        <w:fldChar w:fldCharType="end"/>
      </w:r>
      <w:r>
        <w:t>.  </w:t>
      </w:r>
      <w:r w:rsidR="00A87A15">
        <w:t>La Cour considère que le requérant a vraisemblablement subi une frustration en raison du rejet de son action en dommages-intérêts comme irrecevable. Statuant en équité, la Cour lui octroie</w:t>
      </w:r>
      <w:r w:rsidR="00997E39">
        <w:t xml:space="preserve"> 5 000 EUR </w:t>
      </w:r>
      <w:r w:rsidR="008361A9">
        <w:t>au titre du</w:t>
      </w:r>
      <w:r w:rsidR="00997E39">
        <w:t xml:space="preserve"> préjudice moral, plus tout montant pouvant être dû à titre d</w:t>
      </w:r>
      <w:r w:rsidR="00207187">
        <w:t>’</w:t>
      </w:r>
      <w:r w:rsidR="00997E39">
        <w:t>impôt sur ladite somme</w:t>
      </w:r>
      <w:r w:rsidRPr="000117AD" w:rsidR="00997E39">
        <w:t>.</w:t>
      </w:r>
    </w:p>
    <w:p w:rsidRPr="00465DC0" w:rsidR="006C5B9E" w:rsidRDefault="006C5B9E">
      <w:pPr>
        <w:pStyle w:val="JuHA"/>
      </w:pPr>
      <w:r w:rsidRPr="00465DC0">
        <w:t>B.  Frais et dépens</w:t>
      </w:r>
    </w:p>
    <w:p w:rsidR="006C5B9E" w:rsidRDefault="00465DC0">
      <w:pPr>
        <w:pStyle w:val="JuPara"/>
      </w:pPr>
      <w:r w:rsidRPr="00465DC0">
        <w:fldChar w:fldCharType="begin"/>
      </w:r>
      <w:r w:rsidRPr="00465DC0">
        <w:instrText xml:space="preserve"> SEQ level0 \*arabic </w:instrText>
      </w:r>
      <w:r w:rsidRPr="00465DC0">
        <w:fldChar w:fldCharType="separate"/>
      </w:r>
      <w:r w:rsidR="00157748">
        <w:rPr>
          <w:noProof/>
        </w:rPr>
        <w:t>36</w:t>
      </w:r>
      <w:r w:rsidRPr="00465DC0">
        <w:fldChar w:fldCharType="end"/>
      </w:r>
      <w:r w:rsidRPr="00465DC0" w:rsidR="006C5B9E">
        <w:t>.  </w:t>
      </w:r>
      <w:r w:rsidR="00235B5B">
        <w:t>Le requérant</w:t>
      </w:r>
      <w:r w:rsidR="007B0B54">
        <w:t xml:space="preserve"> demande également 4 600 </w:t>
      </w:r>
      <w:r w:rsidR="00997E39">
        <w:t>EUR</w:t>
      </w:r>
      <w:r w:rsidR="007B0B54">
        <w:t xml:space="preserve"> pour les frais et dépens encourus devant la Cour. </w:t>
      </w:r>
      <w:r w:rsidR="00235B5B">
        <w:t>Il</w:t>
      </w:r>
      <w:r w:rsidR="00997E39">
        <w:t xml:space="preserve"> fournit une facture de son avocat pour la même somme.</w:t>
      </w:r>
    </w:p>
    <w:p w:rsidR="00997E39" w:rsidRDefault="00997E39">
      <w:pPr>
        <w:pStyle w:val="JuPara"/>
      </w:pPr>
      <w:r>
        <w:fldChar w:fldCharType="begin"/>
      </w:r>
      <w:r>
        <w:instrText xml:space="preserve"> SEQ level0 \*arabic </w:instrText>
      </w:r>
      <w:r>
        <w:fldChar w:fldCharType="separate"/>
      </w:r>
      <w:r w:rsidR="00157748">
        <w:rPr>
          <w:noProof/>
        </w:rPr>
        <w:t>37</w:t>
      </w:r>
      <w:r>
        <w:fldChar w:fldCharType="end"/>
      </w:r>
      <w:r>
        <w:t>.  Le Gouvernement soutient que les prétentions du requérant ne sont pas accompagnées des justificatifs nécessaires. Il estime que la somme allouée à ce titre ne saurait dépasser 500 EUR.</w:t>
      </w:r>
    </w:p>
    <w:p w:rsidR="00997E39" w:rsidP="00997E39" w:rsidRDefault="00997E39">
      <w:pPr>
        <w:pStyle w:val="JuPara"/>
      </w:pPr>
      <w:r>
        <w:fldChar w:fldCharType="begin"/>
      </w:r>
      <w:r>
        <w:instrText xml:space="preserve"> SEQ level0 \*arabic </w:instrText>
      </w:r>
      <w:r>
        <w:fldChar w:fldCharType="separate"/>
      </w:r>
      <w:r w:rsidR="00157748">
        <w:rPr>
          <w:noProof/>
        </w:rPr>
        <w:t>38</w:t>
      </w:r>
      <w:r>
        <w:fldChar w:fldCharType="end"/>
      </w:r>
      <w:r>
        <w:t>.  Selon la jurisprudence constante de la Cour, l</w:t>
      </w:r>
      <w:r w:rsidR="00207187">
        <w:t>’</w:t>
      </w:r>
      <w:r>
        <w:t>allocation de frais et dépens au titre de l</w:t>
      </w:r>
      <w:r w:rsidR="00207187">
        <w:t>’</w:t>
      </w:r>
      <w:r>
        <w:t>article 41 présuppose que se trouvent établis leur réalité, leur nécessité et, de plus, le caractère raisonnable de leur taux (</w:t>
      </w:r>
      <w:r>
        <w:rPr>
          <w:rStyle w:val="ju-005fpara--char"/>
          <w:i/>
          <w:iCs/>
        </w:rPr>
        <w:t>Iatridis c. Grèce</w:t>
      </w:r>
      <w:r>
        <w:t xml:space="preserve"> (satisfaction équitable) [GC], n</w:t>
      </w:r>
      <w:r>
        <w:rPr>
          <w:vertAlign w:val="superscript"/>
        </w:rPr>
        <w:t>o</w:t>
      </w:r>
      <w:r>
        <w:t xml:space="preserve"> 31107/96, § 54, CEDH 2000-XI).</w:t>
      </w:r>
    </w:p>
    <w:p w:rsidRPr="00997E39" w:rsidR="00997E39" w:rsidP="00997E39" w:rsidRDefault="00997E39">
      <w:pPr>
        <w:pStyle w:val="JuPara"/>
      </w:pPr>
      <w:r>
        <w:fldChar w:fldCharType="begin"/>
      </w:r>
      <w:r>
        <w:instrText xml:space="preserve"> SEQ level0 \*arabic </w:instrText>
      </w:r>
      <w:r>
        <w:fldChar w:fldCharType="separate"/>
      </w:r>
      <w:r w:rsidR="00157748">
        <w:rPr>
          <w:noProof/>
        </w:rPr>
        <w:t>39</w:t>
      </w:r>
      <w:r>
        <w:fldChar w:fldCharType="end"/>
      </w:r>
      <w:r>
        <w:t>.  La Cour observe que les prétentions du requérant sont accompagnées des justificatifs nécessaires. De plus, la Cour ne voit pas de raison de douter de leur caractère nécessaire. Elle décide donc d</w:t>
      </w:r>
      <w:r w:rsidR="00207187">
        <w:t>’</w:t>
      </w:r>
      <w:r>
        <w:t xml:space="preserve">allouer </w:t>
      </w:r>
      <w:r w:rsidR="00235B5B">
        <w:t xml:space="preserve">au requérant </w:t>
      </w:r>
      <w:r>
        <w:t xml:space="preserve">la totalité de la </w:t>
      </w:r>
      <w:bookmarkStart w:name="HIT5" w:id="4"/>
      <w:bookmarkEnd w:id="4"/>
      <w:r w:rsidRPr="00997E39">
        <w:rPr>
          <w:bCs/>
        </w:rPr>
        <w:t>somme</w:t>
      </w:r>
      <w:r w:rsidRPr="00997E39">
        <w:t xml:space="preserve"> revendiquée</w:t>
      </w:r>
      <w:r>
        <w:t>, à savoir 4 600 EUR, plus tout montant pouvant être dû à titre d</w:t>
      </w:r>
      <w:r w:rsidR="00207187">
        <w:t>’</w:t>
      </w:r>
      <w:r>
        <w:t>impôt sur ladite somme</w:t>
      </w:r>
      <w:r w:rsidRPr="000117AD">
        <w:t>.</w:t>
      </w:r>
    </w:p>
    <w:p w:rsidRPr="00465DC0" w:rsidR="006C5B9E" w:rsidRDefault="006C5B9E">
      <w:pPr>
        <w:pStyle w:val="JuHA"/>
      </w:pPr>
      <w:r w:rsidRPr="00465DC0">
        <w:t>C.  Intérêts moratoires</w:t>
      </w:r>
    </w:p>
    <w:p w:rsidRPr="00465DC0" w:rsidR="006C5B9E" w:rsidRDefault="00536F0C">
      <w:pPr>
        <w:pStyle w:val="JuPara"/>
      </w:pPr>
      <w:r>
        <w:fldChar w:fldCharType="begin"/>
      </w:r>
      <w:r>
        <w:instrText xml:space="preserve"> SEQ level0 \*arabic </w:instrText>
      </w:r>
      <w:r>
        <w:fldChar w:fldCharType="separate"/>
      </w:r>
      <w:r w:rsidR="00157748">
        <w:rPr>
          <w:noProof/>
        </w:rPr>
        <w:t>40</w:t>
      </w:r>
      <w:r>
        <w:fldChar w:fldCharType="end"/>
      </w:r>
      <w:r>
        <w:t>.  </w:t>
      </w:r>
      <w:r w:rsidRPr="00465DC0" w:rsidR="006C5B9E">
        <w:t>La Cour juge approprié de baser le taux des intérêts moratoires sur le taux d</w:t>
      </w:r>
      <w:r w:rsidR="00207187">
        <w:t>’</w:t>
      </w:r>
      <w:r w:rsidRPr="00465DC0" w:rsidR="006C5B9E">
        <w:t>intérêt de la facilité de prêt marginal de la Banque centrale européenne majoré de trois points de pourcentage.</w:t>
      </w:r>
    </w:p>
    <w:p w:rsidRPr="00465DC0" w:rsidR="006C5B9E" w:rsidP="008361A9" w:rsidRDefault="006C5B9E">
      <w:pPr>
        <w:pStyle w:val="JuHHead"/>
      </w:pPr>
      <w:r w:rsidRPr="00465DC0">
        <w:t>PAR CES MOTIFS, LA COUR, À l</w:t>
      </w:r>
      <w:r w:rsidR="00207187">
        <w:t>’</w:t>
      </w:r>
      <w:r w:rsidRPr="00465DC0">
        <w:t>UNANIMITÉ,</w:t>
      </w:r>
    </w:p>
    <w:p w:rsidRPr="00465DC0" w:rsidR="006C5B9E" w:rsidRDefault="008361A9">
      <w:pPr>
        <w:pStyle w:val="JuList"/>
      </w:pPr>
      <w:r>
        <w:t>1</w:t>
      </w:r>
      <w:r w:rsidRPr="00465DC0" w:rsidR="006C5B9E">
        <w:t>.  </w:t>
      </w:r>
      <w:r w:rsidRPr="00465DC0" w:rsidR="006C5B9E">
        <w:rPr>
          <w:i/>
        </w:rPr>
        <w:t>Dit</w:t>
      </w:r>
      <w:r w:rsidRPr="00465DC0" w:rsidR="006C5B9E">
        <w:t xml:space="preserve"> qu</w:t>
      </w:r>
      <w:r w:rsidR="00207187">
        <w:t>’</w:t>
      </w:r>
      <w:r w:rsidR="00997E39">
        <w:t xml:space="preserve">il y a </w:t>
      </w:r>
      <w:r w:rsidRPr="00465DC0" w:rsidR="006C5B9E">
        <w:t>eu violation de l</w:t>
      </w:r>
      <w:r w:rsidR="00207187">
        <w:t>’</w:t>
      </w:r>
      <w:r w:rsidRPr="00465DC0" w:rsidR="006C5B9E">
        <w:t xml:space="preserve">article </w:t>
      </w:r>
      <w:r w:rsidR="00997E39">
        <w:t>6 § 1</w:t>
      </w:r>
      <w:r w:rsidRPr="00465DC0" w:rsidR="006C5B9E">
        <w:t xml:space="preserve"> de la Convention ;</w:t>
      </w:r>
    </w:p>
    <w:p w:rsidRPr="00465DC0" w:rsidR="006C5B9E" w:rsidP="00997E39" w:rsidRDefault="006C5B9E">
      <w:pPr>
        <w:pStyle w:val="JuList"/>
        <w:ind w:left="0" w:firstLine="0"/>
      </w:pPr>
    </w:p>
    <w:p w:rsidRPr="00465DC0" w:rsidR="006C5B9E" w:rsidRDefault="008361A9">
      <w:pPr>
        <w:pStyle w:val="JuList"/>
      </w:pPr>
      <w:r>
        <w:t>2</w:t>
      </w:r>
      <w:r w:rsidRPr="00465DC0" w:rsidR="006C5B9E">
        <w:t>.  </w:t>
      </w:r>
      <w:r w:rsidRPr="00465DC0" w:rsidR="006C5B9E">
        <w:rPr>
          <w:i/>
        </w:rPr>
        <w:t>Dit</w:t>
      </w:r>
    </w:p>
    <w:p w:rsidR="00207187" w:rsidP="00997E39" w:rsidRDefault="006C5B9E">
      <w:pPr>
        <w:pStyle w:val="JuLista"/>
      </w:pPr>
      <w:r w:rsidRPr="00465DC0">
        <w:t>a)  que l</w:t>
      </w:r>
      <w:r w:rsidR="00207187">
        <w:rPr>
          <w:rStyle w:val="JuNames"/>
        </w:rPr>
        <w:t>’</w:t>
      </w:r>
      <w:r w:rsidRPr="00465DC0">
        <w:t xml:space="preserve">Etat défendeur doit verser </w:t>
      </w:r>
      <w:r w:rsidRPr="00465DC0" w:rsidR="00465DC0">
        <w:t>au requérant</w:t>
      </w:r>
      <w:r w:rsidRPr="00465DC0">
        <w:t>, dans les trois mois</w:t>
      </w:r>
      <w:r w:rsidRPr="00465DC0" w:rsidR="00465DC0">
        <w:t xml:space="preserve"> </w:t>
      </w:r>
      <w:r w:rsidR="00997E39">
        <w:t xml:space="preserve">à </w:t>
      </w:r>
      <w:r w:rsidRPr="00465DC0" w:rsidR="00465DC0">
        <w:t>compter du jour où l</w:t>
      </w:r>
      <w:r w:rsidR="00207187">
        <w:t>’</w:t>
      </w:r>
      <w:r w:rsidRPr="00465DC0" w:rsidR="00465DC0">
        <w:t>arrêt sera devenu définitif conformément à l</w:t>
      </w:r>
      <w:r w:rsidR="00207187">
        <w:t>’</w:t>
      </w:r>
      <w:r w:rsidR="00C93ECA">
        <w:t>article 44 § 2 de la Convention</w:t>
      </w:r>
      <w:r w:rsidR="00997E39">
        <w:t>, 5 000 EUR (cinq mille</w:t>
      </w:r>
      <w:r w:rsidRPr="00465DC0">
        <w:t xml:space="preserve"> </w:t>
      </w:r>
      <w:r w:rsidR="00997E39">
        <w:t>euros) pour dommage moral et 4 600 EUR (quatre mille six cents euros) pour frais et dépens</w:t>
      </w:r>
      <w:r w:rsidRPr="00465DC0">
        <w:t>, plus tout montant pouvant être dû à titre d</w:t>
      </w:r>
      <w:r w:rsidR="00207187">
        <w:t>’</w:t>
      </w:r>
      <w:r w:rsidR="00997E39">
        <w:t>impôt ;</w:t>
      </w:r>
    </w:p>
    <w:p w:rsidRPr="00465DC0" w:rsidR="006C5B9E" w:rsidRDefault="006C5B9E">
      <w:pPr>
        <w:pStyle w:val="JuLista"/>
      </w:pPr>
      <w:r w:rsidRPr="00465DC0">
        <w:t>b)  qu</w:t>
      </w:r>
      <w:r w:rsidR="00207187">
        <w:t>’</w:t>
      </w:r>
      <w:r w:rsidRPr="00465DC0">
        <w:t>à compter de l</w:t>
      </w:r>
      <w:r w:rsidR="00207187">
        <w:t>’</w:t>
      </w:r>
      <w:r w:rsidRPr="00465DC0">
        <w:t>expiration dudit délai et jusqu</w:t>
      </w:r>
      <w:r w:rsidR="00207187">
        <w:t>’</w:t>
      </w:r>
      <w:r w:rsidR="00C93ECA">
        <w:t>au versement, ces montants ser</w:t>
      </w:r>
      <w:r w:rsidRPr="00465DC0">
        <w:t>ont à majorer d</w:t>
      </w:r>
      <w:r w:rsidR="00207187">
        <w:t>’</w:t>
      </w:r>
      <w:r w:rsidRPr="00465DC0">
        <w:t>un intérêt simple à un taux égal à celui de la facilité de prêt marginal de la Banque centrale européenne applicable pendant cette période, augmenté de trois points de pourcentage ;</w:t>
      </w:r>
    </w:p>
    <w:p w:rsidRPr="00465DC0" w:rsidR="006C5B9E" w:rsidRDefault="006C5B9E">
      <w:pPr>
        <w:pStyle w:val="JuLista"/>
      </w:pPr>
    </w:p>
    <w:p w:rsidRPr="00465DC0" w:rsidR="006C5B9E" w:rsidRDefault="008361A9">
      <w:pPr>
        <w:pStyle w:val="JuList"/>
      </w:pPr>
      <w:r>
        <w:t>3</w:t>
      </w:r>
      <w:r w:rsidRPr="00465DC0" w:rsidR="006C5B9E">
        <w:t>.  </w:t>
      </w:r>
      <w:r w:rsidRPr="00465DC0" w:rsidR="006C5B9E">
        <w:rPr>
          <w:i/>
        </w:rPr>
        <w:t>Rejette</w:t>
      </w:r>
      <w:r w:rsidRPr="00465DC0" w:rsidR="006C5B9E">
        <w:t xml:space="preserve"> la demande de satisfaction équitable pour le surplus.</w:t>
      </w:r>
    </w:p>
    <w:p w:rsidRPr="00465DC0" w:rsidR="00D97ADD" w:rsidP="00D97ADD" w:rsidRDefault="006C5B9E">
      <w:pPr>
        <w:pStyle w:val="JuParaLast"/>
      </w:pPr>
      <w:r w:rsidRPr="00465DC0">
        <w:t xml:space="preserve">Fait en français, puis communiqué par écrit le </w:t>
      </w:r>
      <w:r w:rsidR="007B0C5C">
        <w:t>4</w:t>
      </w:r>
      <w:r w:rsidR="000761BE">
        <w:t xml:space="preserve"> mai 2006 </w:t>
      </w:r>
      <w:r w:rsidRPr="00465DC0">
        <w:t>en application de l</w:t>
      </w:r>
      <w:r w:rsidR="00207187">
        <w:t>’</w:t>
      </w:r>
      <w:r w:rsidRPr="00465DC0">
        <w:t>article 77 §§ 2 et 3 du règlement.</w:t>
      </w:r>
    </w:p>
    <w:p w:rsidRPr="00465DC0" w:rsidR="006C5B9E" w:rsidP="000761BE" w:rsidRDefault="00D97ADD">
      <w:pPr>
        <w:pStyle w:val="JuSigned"/>
        <w:keepNext/>
        <w:keepLines/>
      </w:pPr>
      <w:r w:rsidRPr="00465DC0">
        <w:tab/>
      </w:r>
      <w:r w:rsidRPr="00465DC0" w:rsidR="00465DC0">
        <w:t xml:space="preserve">Søren </w:t>
      </w:r>
      <w:r w:rsidRPr="00465DC0" w:rsidR="00465DC0">
        <w:rPr>
          <w:rStyle w:val="JuNames"/>
        </w:rPr>
        <w:t>Nielsen</w:t>
      </w:r>
      <w:r w:rsidRPr="00465DC0" w:rsidR="00465DC0">
        <w:rPr>
          <w:rStyle w:val="JuNames"/>
        </w:rPr>
        <w:tab/>
      </w:r>
      <w:r w:rsidRPr="00465DC0" w:rsidR="00465DC0">
        <w:t xml:space="preserve">Loukis </w:t>
      </w:r>
      <w:r w:rsidRPr="00465DC0" w:rsidR="00465DC0">
        <w:rPr>
          <w:rStyle w:val="JuNames"/>
        </w:rPr>
        <w:t>Loucaides</w:t>
      </w:r>
      <w:r w:rsidRPr="00465DC0" w:rsidR="00465DC0">
        <w:br/>
      </w:r>
      <w:r w:rsidRPr="00465DC0" w:rsidR="00465DC0">
        <w:tab/>
        <w:t>Greffier</w:t>
      </w:r>
      <w:r w:rsidRPr="00465DC0" w:rsidR="00465DC0">
        <w:tab/>
        <w:t>Président</w:t>
      </w:r>
    </w:p>
    <w:sectPr w:rsidRPr="00465DC0" w:rsidR="006C5B9E" w:rsidSect="000761BE">
      <w:headerReference w:type="even" r:id="rId13"/>
      <w:headerReference w:type="default" r:id="rId14"/>
      <w:footnotePr>
        <w:numRestart w:val="eachPage"/>
      </w:footnotePr>
      <w:pgSz w:w="11906" w:h="16838" w:code="9"/>
      <w:pgMar w:top="2274" w:right="2274" w:bottom="1701" w:left="2274" w:header="1701"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25E" w:rsidRDefault="00CE225E">
      <w:r>
        <w:separator/>
      </w:r>
    </w:p>
  </w:endnote>
  <w:endnote w:type="continuationSeparator" w:id="0">
    <w:p w:rsidR="00CE225E" w:rsidRDefault="00CE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83" w:rsidRDefault="00B64B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83" w:rsidRDefault="00B64B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83" w:rsidRDefault="00B64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B83" w:rsidRDefault="00B64B83">
      <w:r>
        <w:separator/>
      </w:r>
    </w:p>
  </w:footnote>
  <w:footnote w:type="continuationSeparator" w:id="0">
    <w:p w:rsidR="00CE225E" w:rsidRDefault="00CE2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83" w:rsidRPr="000761BE" w:rsidRDefault="00B64B83" w:rsidP="000761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83" w:rsidRDefault="00B64B83">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B64B83" w:rsidRPr="000761BE" w:rsidRDefault="00B64B83" w:rsidP="000761B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83" w:rsidRDefault="00B64B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83" w:rsidRPr="006C5B9E" w:rsidRDefault="00B64B83">
    <w:pPr>
      <w:pStyle w:val="JuHeader"/>
      <w:rPr>
        <w:lang w:val="en-GB"/>
      </w:rPr>
    </w:pPr>
    <w:r>
      <w:rPr>
        <w:rStyle w:val="PageNumber"/>
        <w:lang w:val="en-GB"/>
      </w:rPr>
      <w:fldChar w:fldCharType="begin"/>
    </w:r>
    <w:r>
      <w:rPr>
        <w:rStyle w:val="PageNumber"/>
        <w:lang w:val="en-GB"/>
      </w:rPr>
      <w:instrText xml:space="preserve"> PAGE </w:instrText>
    </w:r>
    <w:r>
      <w:rPr>
        <w:rStyle w:val="PageNumber"/>
        <w:lang w:val="en-GB"/>
      </w:rPr>
      <w:fldChar w:fldCharType="separate"/>
    </w:r>
    <w:r w:rsidR="00070DFE">
      <w:rPr>
        <w:rStyle w:val="PageNumber"/>
        <w:noProof/>
        <w:lang w:val="en-GB"/>
      </w:rPr>
      <w:t>8</w:t>
    </w:r>
    <w:r>
      <w:rPr>
        <w:rStyle w:val="PageNumber"/>
        <w:lang w:val="en-GB"/>
      </w:rPr>
      <w:fldChar w:fldCharType="end"/>
    </w:r>
    <w:r w:rsidRPr="006C5B9E">
      <w:rPr>
        <w:lang w:val="en-GB"/>
      </w:rPr>
      <w:tab/>
    </w:r>
    <w:r>
      <w:rPr>
        <w:noProof/>
        <w:lang w:val="en-GB"/>
      </w:rPr>
      <w:t>ARRÊT</w:t>
    </w:r>
    <w:r w:rsidRPr="006C5B9E">
      <w:rPr>
        <w:lang w:val="en-GB"/>
      </w:rPr>
      <w:t xml:space="preserve"> </w:t>
    </w:r>
    <w:r>
      <w:rPr>
        <w:lang w:val="en-GB"/>
      </w:rPr>
      <w:t>EXAMILIOTIS (N° 2) c. GRÈCE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83" w:rsidRPr="00686A6F" w:rsidRDefault="00B64B83">
    <w:pPr>
      <w:pStyle w:val="JuHeader"/>
      <w:rPr>
        <w:lang w:val="en-GB"/>
      </w:rPr>
    </w:pPr>
    <w:r>
      <w:tab/>
    </w:r>
    <w:r>
      <w:rPr>
        <w:noProof/>
        <w:lang w:val="en-GB"/>
      </w:rPr>
      <w:t>ARRÊT</w:t>
    </w:r>
    <w:r w:rsidRPr="006C5B9E">
      <w:rPr>
        <w:lang w:val="en-GB"/>
      </w:rPr>
      <w:t xml:space="preserve"> </w:t>
    </w:r>
    <w:r>
      <w:rPr>
        <w:lang w:val="en-GB"/>
      </w:rPr>
      <w:t>EXAMILIOTIS (N° 2) c. GRÈCE</w:t>
    </w:r>
    <w:r w:rsidRPr="006C5B9E">
      <w:rPr>
        <w:lang w:val="en-GB"/>
      </w:rPr>
      <w:tab/>
    </w:r>
    <w:r>
      <w:rPr>
        <w:rStyle w:val="PageNumber"/>
        <w:lang w:val="en-GB"/>
      </w:rPr>
      <w:fldChar w:fldCharType="begin"/>
    </w:r>
    <w:r>
      <w:rPr>
        <w:rStyle w:val="PageNumber"/>
        <w:lang w:val="en-GB"/>
      </w:rPr>
      <w:instrText xml:space="preserve"> PAGE </w:instrText>
    </w:r>
    <w:r>
      <w:rPr>
        <w:rStyle w:val="PageNumber"/>
        <w:lang w:val="en-GB"/>
      </w:rPr>
      <w:fldChar w:fldCharType="separate"/>
    </w:r>
    <w:r w:rsidR="00CE225E">
      <w:rPr>
        <w:rStyle w:val="PageNumber"/>
        <w:noProof/>
        <w:lang w:val="en-GB"/>
      </w:rPr>
      <w:t>1</w:t>
    </w:r>
    <w:r>
      <w:rPr>
        <w:rStyle w:val="PageNumber"/>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fr-FR" w:vendorID="9" w:dllVersion="512" w:checkStyle="1"/>
  <w:activeWritingStyle w:appName="MSWord" w:lang="en-GB" w:vendorID="8" w:dllVersion="513" w:checkStyle="1"/>
  <w:activeWritingStyle w:appName="MSWord" w:lang="pt-PT" w:vendorID="13"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evenAndOddHeaders/>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B9E"/>
    <w:rsid w:val="00002AAE"/>
    <w:rsid w:val="00011AA4"/>
    <w:rsid w:val="00025484"/>
    <w:rsid w:val="0002741E"/>
    <w:rsid w:val="000346C1"/>
    <w:rsid w:val="00070DFE"/>
    <w:rsid w:val="000761BE"/>
    <w:rsid w:val="000967DE"/>
    <w:rsid w:val="000B24E4"/>
    <w:rsid w:val="000D142C"/>
    <w:rsid w:val="000F7168"/>
    <w:rsid w:val="00157748"/>
    <w:rsid w:val="001B1088"/>
    <w:rsid w:val="001C5388"/>
    <w:rsid w:val="001D2CE4"/>
    <w:rsid w:val="001D3DA0"/>
    <w:rsid w:val="001D520E"/>
    <w:rsid w:val="001D720D"/>
    <w:rsid w:val="001D7281"/>
    <w:rsid w:val="001D78F2"/>
    <w:rsid w:val="00207187"/>
    <w:rsid w:val="00235B5B"/>
    <w:rsid w:val="00240D81"/>
    <w:rsid w:val="00247C05"/>
    <w:rsid w:val="0025108F"/>
    <w:rsid w:val="00275291"/>
    <w:rsid w:val="00277AD3"/>
    <w:rsid w:val="0029129D"/>
    <w:rsid w:val="002C50CF"/>
    <w:rsid w:val="002F7C6A"/>
    <w:rsid w:val="00324D2D"/>
    <w:rsid w:val="00327C5B"/>
    <w:rsid w:val="00330E7D"/>
    <w:rsid w:val="0033385A"/>
    <w:rsid w:val="0035540C"/>
    <w:rsid w:val="00361EC1"/>
    <w:rsid w:val="003E1F5A"/>
    <w:rsid w:val="003E3AE7"/>
    <w:rsid w:val="00400AEA"/>
    <w:rsid w:val="0044284A"/>
    <w:rsid w:val="00465DC0"/>
    <w:rsid w:val="00467559"/>
    <w:rsid w:val="00471449"/>
    <w:rsid w:val="00480706"/>
    <w:rsid w:val="004A0E08"/>
    <w:rsid w:val="004A53FE"/>
    <w:rsid w:val="004A6230"/>
    <w:rsid w:val="004C0043"/>
    <w:rsid w:val="005155AA"/>
    <w:rsid w:val="0051573B"/>
    <w:rsid w:val="00535D22"/>
    <w:rsid w:val="00536F0C"/>
    <w:rsid w:val="00553CB4"/>
    <w:rsid w:val="00556AE0"/>
    <w:rsid w:val="00561FF5"/>
    <w:rsid w:val="005627BE"/>
    <w:rsid w:val="005A629D"/>
    <w:rsid w:val="005E0C1A"/>
    <w:rsid w:val="005E3EFD"/>
    <w:rsid w:val="005E4BEF"/>
    <w:rsid w:val="00617B68"/>
    <w:rsid w:val="006374B2"/>
    <w:rsid w:val="00686A6F"/>
    <w:rsid w:val="006C5B9E"/>
    <w:rsid w:val="006C5EB0"/>
    <w:rsid w:val="006D6799"/>
    <w:rsid w:val="006E5F4D"/>
    <w:rsid w:val="00720A3B"/>
    <w:rsid w:val="0074108D"/>
    <w:rsid w:val="00745BF4"/>
    <w:rsid w:val="007530C0"/>
    <w:rsid w:val="007714C2"/>
    <w:rsid w:val="00775E6C"/>
    <w:rsid w:val="00787BCE"/>
    <w:rsid w:val="00793939"/>
    <w:rsid w:val="007B0B54"/>
    <w:rsid w:val="007B0C5C"/>
    <w:rsid w:val="007B412D"/>
    <w:rsid w:val="007D5F54"/>
    <w:rsid w:val="007F2BB0"/>
    <w:rsid w:val="007F68B7"/>
    <w:rsid w:val="00833601"/>
    <w:rsid w:val="008361A9"/>
    <w:rsid w:val="00837F9C"/>
    <w:rsid w:val="008A46C3"/>
    <w:rsid w:val="008B09B6"/>
    <w:rsid w:val="008B363E"/>
    <w:rsid w:val="008E61FA"/>
    <w:rsid w:val="00997927"/>
    <w:rsid w:val="00997E39"/>
    <w:rsid w:val="009A503E"/>
    <w:rsid w:val="009B12A9"/>
    <w:rsid w:val="009B41C1"/>
    <w:rsid w:val="009E7CC1"/>
    <w:rsid w:val="00A07E28"/>
    <w:rsid w:val="00A11B23"/>
    <w:rsid w:val="00A6553D"/>
    <w:rsid w:val="00A87A15"/>
    <w:rsid w:val="00AA2034"/>
    <w:rsid w:val="00AC0A1A"/>
    <w:rsid w:val="00AC52E7"/>
    <w:rsid w:val="00AD315F"/>
    <w:rsid w:val="00B0641F"/>
    <w:rsid w:val="00B12BB4"/>
    <w:rsid w:val="00B5422E"/>
    <w:rsid w:val="00B62FF1"/>
    <w:rsid w:val="00B64B83"/>
    <w:rsid w:val="00B81F43"/>
    <w:rsid w:val="00BE274E"/>
    <w:rsid w:val="00BF2451"/>
    <w:rsid w:val="00BF430C"/>
    <w:rsid w:val="00BF5D10"/>
    <w:rsid w:val="00C26617"/>
    <w:rsid w:val="00C32BA8"/>
    <w:rsid w:val="00C36150"/>
    <w:rsid w:val="00C432BF"/>
    <w:rsid w:val="00C442FD"/>
    <w:rsid w:val="00C93ECA"/>
    <w:rsid w:val="00CC3057"/>
    <w:rsid w:val="00CE225E"/>
    <w:rsid w:val="00CF31F0"/>
    <w:rsid w:val="00CF5AB0"/>
    <w:rsid w:val="00D0209B"/>
    <w:rsid w:val="00D0450D"/>
    <w:rsid w:val="00D13A6A"/>
    <w:rsid w:val="00D166B2"/>
    <w:rsid w:val="00D2537D"/>
    <w:rsid w:val="00D36BCF"/>
    <w:rsid w:val="00D3781B"/>
    <w:rsid w:val="00D62CD8"/>
    <w:rsid w:val="00D66AAF"/>
    <w:rsid w:val="00D84CE1"/>
    <w:rsid w:val="00D97ADD"/>
    <w:rsid w:val="00DA04C0"/>
    <w:rsid w:val="00DE72F1"/>
    <w:rsid w:val="00DF7F04"/>
    <w:rsid w:val="00E14052"/>
    <w:rsid w:val="00E427BD"/>
    <w:rsid w:val="00E60885"/>
    <w:rsid w:val="00E62BF9"/>
    <w:rsid w:val="00EB1509"/>
    <w:rsid w:val="00F24FE3"/>
    <w:rsid w:val="00F65197"/>
    <w:rsid w:val="00F71099"/>
    <w:rsid w:val="00FA3E6B"/>
    <w:rsid w:val="00FA6DAF"/>
    <w:rsid w:val="00FD2779"/>
    <w:rsid w:val="00FD6E72"/>
    <w:rsid w:val="00FF1B44"/>
    <w:rsid w:val="00FF3E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E72"/>
    <w:pPr>
      <w:suppressAutoHyphens/>
    </w:pPr>
    <w:rPr>
      <w:sz w:val="24"/>
      <w:lang w:val="fr-FR" w:eastAsia="fr-FR"/>
    </w:rPr>
  </w:style>
  <w:style w:type="paragraph" w:styleId="Heading1">
    <w:name w:val="heading 1"/>
    <w:basedOn w:val="Normal"/>
    <w:next w:val="Normal"/>
    <w:qFormat/>
    <w:rsid w:val="00FD6E72"/>
    <w:pPr>
      <w:keepNext/>
      <w:spacing w:before="360" w:after="240"/>
      <w:jc w:val="center"/>
      <w:outlineLvl w:val="0"/>
    </w:pPr>
    <w:rPr>
      <w:b/>
      <w:sz w:val="28"/>
    </w:rPr>
  </w:style>
  <w:style w:type="paragraph" w:styleId="Heading2">
    <w:name w:val="heading 2"/>
    <w:basedOn w:val="Normal"/>
    <w:next w:val="Normal"/>
    <w:qFormat/>
    <w:rsid w:val="00FD6E72"/>
    <w:pPr>
      <w:keepNext/>
      <w:spacing w:before="240" w:after="120"/>
      <w:ind w:left="284" w:hanging="284"/>
      <w:outlineLvl w:val="1"/>
    </w:pPr>
    <w:rPr>
      <w:b/>
    </w:rPr>
  </w:style>
  <w:style w:type="paragraph" w:styleId="Heading3">
    <w:name w:val="heading 3"/>
    <w:basedOn w:val="Normal"/>
    <w:next w:val="Normal"/>
    <w:qFormat/>
    <w:rsid w:val="00FD6E72"/>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FD6E72"/>
  </w:style>
  <w:style w:type="table" w:default="1" w:styleId="TableNormal">
    <w:name w:val="Normal Table"/>
    <w:semiHidden/>
    <w:rsid w:val="00FD6E72"/>
    <w:tblPr>
      <w:tblInd w:w="0" w:type="dxa"/>
      <w:tblCellMar>
        <w:top w:w="0" w:type="dxa"/>
        <w:left w:w="108" w:type="dxa"/>
        <w:bottom w:w="0" w:type="dxa"/>
        <w:right w:w="108" w:type="dxa"/>
      </w:tblCellMar>
    </w:tblPr>
  </w:style>
  <w:style w:type="numbering" w:default="1" w:styleId="NoList">
    <w:name w:val="No List"/>
    <w:semiHidden/>
    <w:rsid w:val="00FD6E72"/>
  </w:style>
  <w:style w:type="paragraph" w:customStyle="1" w:styleId="JuPara">
    <w:name w:val="Ju_Para"/>
    <w:basedOn w:val="Normal"/>
    <w:rsid w:val="00FD6E72"/>
    <w:pPr>
      <w:ind w:firstLine="284"/>
      <w:jc w:val="both"/>
    </w:pPr>
  </w:style>
  <w:style w:type="paragraph" w:customStyle="1" w:styleId="JuHIRoman">
    <w:name w:val="Ju_H_I_Roman"/>
    <w:basedOn w:val="JuHHead"/>
    <w:next w:val="JuPara"/>
    <w:link w:val="JuHIRomanChar"/>
    <w:rsid w:val="00FD6E72"/>
    <w:pPr>
      <w:tabs>
        <w:tab w:val="left" w:pos="357"/>
      </w:tabs>
      <w:spacing w:before="360"/>
      <w:ind w:left="357" w:hanging="357"/>
    </w:pPr>
    <w:rPr>
      <w:sz w:val="24"/>
    </w:rPr>
  </w:style>
  <w:style w:type="paragraph" w:customStyle="1" w:styleId="JuHHead">
    <w:name w:val="Ju_H_Head"/>
    <w:basedOn w:val="Normal"/>
    <w:next w:val="JuPara"/>
    <w:rsid w:val="00FD6E72"/>
    <w:pPr>
      <w:keepNext/>
      <w:keepLines/>
      <w:spacing w:before="720" w:after="240"/>
      <w:jc w:val="both"/>
    </w:pPr>
    <w:rPr>
      <w:sz w:val="28"/>
    </w:rPr>
  </w:style>
  <w:style w:type="paragraph" w:styleId="Footer">
    <w:name w:val="footer"/>
    <w:basedOn w:val="Normal"/>
    <w:rsid w:val="00FD6E72"/>
    <w:pPr>
      <w:tabs>
        <w:tab w:val="center" w:pos="3686"/>
        <w:tab w:val="right" w:pos="7371"/>
      </w:tabs>
    </w:pPr>
    <w:rPr>
      <w:sz w:val="18"/>
    </w:rPr>
  </w:style>
  <w:style w:type="paragraph" w:customStyle="1" w:styleId="JuJudges">
    <w:name w:val="Ju_Judges"/>
    <w:basedOn w:val="Normal"/>
    <w:rsid w:val="00AA2034"/>
    <w:pPr>
      <w:tabs>
        <w:tab w:val="left" w:pos="567"/>
        <w:tab w:val="left" w:pos="1134"/>
      </w:tabs>
    </w:pPr>
  </w:style>
  <w:style w:type="character" w:customStyle="1" w:styleId="JuNames">
    <w:name w:val="Ju_Names"/>
    <w:basedOn w:val="DefaultParagraphFont"/>
    <w:rsid w:val="00FD6E72"/>
    <w:rPr>
      <w:smallCaps/>
    </w:rPr>
  </w:style>
  <w:style w:type="paragraph" w:customStyle="1" w:styleId="JuHA">
    <w:name w:val="Ju_H_A"/>
    <w:basedOn w:val="JuHIRoman"/>
    <w:next w:val="JuPara"/>
    <w:rsid w:val="00FD6E72"/>
    <w:pPr>
      <w:tabs>
        <w:tab w:val="clear" w:pos="357"/>
        <w:tab w:val="left" w:pos="584"/>
      </w:tabs>
      <w:ind w:left="584" w:hanging="352"/>
    </w:pPr>
    <w:rPr>
      <w:b/>
    </w:rPr>
  </w:style>
  <w:style w:type="paragraph" w:customStyle="1" w:styleId="JuQuot">
    <w:name w:val="Ju_Quot"/>
    <w:basedOn w:val="JuPara"/>
    <w:rsid w:val="00FD6E72"/>
    <w:pPr>
      <w:spacing w:before="120" w:after="120"/>
      <w:ind w:left="425" w:firstLine="142"/>
    </w:pPr>
    <w:rPr>
      <w:sz w:val="20"/>
    </w:rPr>
  </w:style>
  <w:style w:type="paragraph" w:customStyle="1" w:styleId="JuSigned">
    <w:name w:val="Ju_Signed"/>
    <w:basedOn w:val="Normal"/>
    <w:next w:val="JuParaLast"/>
    <w:rsid w:val="00C26617"/>
    <w:pPr>
      <w:tabs>
        <w:tab w:val="center" w:pos="851"/>
        <w:tab w:val="center" w:pos="6407"/>
      </w:tabs>
      <w:spacing w:before="720"/>
    </w:pPr>
  </w:style>
  <w:style w:type="paragraph" w:customStyle="1" w:styleId="JuParaLast">
    <w:name w:val="Ju_Para_Last"/>
    <w:basedOn w:val="JuPara"/>
    <w:next w:val="JuPara"/>
    <w:rsid w:val="00FD6E72"/>
    <w:pPr>
      <w:spacing w:before="240"/>
    </w:pPr>
  </w:style>
  <w:style w:type="paragraph" w:customStyle="1" w:styleId="JuCase">
    <w:name w:val="Ju_Case"/>
    <w:basedOn w:val="JuPara"/>
    <w:next w:val="JuPara"/>
    <w:rsid w:val="00FD6E72"/>
    <w:rPr>
      <w:b/>
    </w:rPr>
  </w:style>
  <w:style w:type="paragraph" w:customStyle="1" w:styleId="JuList">
    <w:name w:val="Ju_List"/>
    <w:basedOn w:val="JuPara"/>
    <w:rsid w:val="00FD6E72"/>
    <w:pPr>
      <w:ind w:left="340" w:hanging="340"/>
    </w:pPr>
  </w:style>
  <w:style w:type="paragraph" w:customStyle="1" w:styleId="JuHArticle">
    <w:name w:val="Ju_H_Article"/>
    <w:basedOn w:val="JuHa0"/>
    <w:next w:val="JuQuot"/>
    <w:rsid w:val="00FD6E72"/>
    <w:pPr>
      <w:ind w:left="0" w:firstLine="0"/>
      <w:jc w:val="center"/>
    </w:pPr>
  </w:style>
  <w:style w:type="paragraph" w:customStyle="1" w:styleId="JuHa0">
    <w:name w:val="Ju_H_a"/>
    <w:basedOn w:val="JuH1"/>
    <w:next w:val="JuPara"/>
    <w:rsid w:val="00FD6E72"/>
    <w:pPr>
      <w:tabs>
        <w:tab w:val="clear" w:pos="731"/>
        <w:tab w:val="left" w:pos="975"/>
      </w:tabs>
      <w:ind w:left="975" w:hanging="340"/>
    </w:pPr>
    <w:rPr>
      <w:b/>
      <w:i w:val="0"/>
      <w:sz w:val="20"/>
    </w:rPr>
  </w:style>
  <w:style w:type="paragraph" w:customStyle="1" w:styleId="JuH1">
    <w:name w:val="Ju_H_1."/>
    <w:basedOn w:val="JuHA"/>
    <w:next w:val="JuPara"/>
    <w:rsid w:val="00FD6E72"/>
    <w:pPr>
      <w:tabs>
        <w:tab w:val="clear" w:pos="584"/>
        <w:tab w:val="left" w:pos="731"/>
      </w:tabs>
      <w:spacing w:before="240" w:after="120"/>
      <w:ind w:left="732" w:hanging="301"/>
    </w:pPr>
    <w:rPr>
      <w:b w:val="0"/>
      <w:i/>
    </w:rPr>
  </w:style>
  <w:style w:type="paragraph" w:styleId="CommentSubject">
    <w:name w:val="annotation subject"/>
    <w:basedOn w:val="CommentText"/>
    <w:next w:val="CommentText"/>
    <w:semiHidden/>
    <w:rsid w:val="00FD2779"/>
    <w:rPr>
      <w:b/>
      <w:bCs/>
    </w:rPr>
  </w:style>
  <w:style w:type="paragraph" w:styleId="CommentText">
    <w:name w:val="annotation text"/>
    <w:basedOn w:val="Normal"/>
    <w:semiHidden/>
    <w:rPr>
      <w:sz w:val="20"/>
    </w:rPr>
  </w:style>
  <w:style w:type="paragraph" w:customStyle="1" w:styleId="JuCourt">
    <w:name w:val="Ju_Court"/>
    <w:basedOn w:val="JuJudges"/>
    <w:rsid w:val="00FD6E72"/>
    <w:pPr>
      <w:tabs>
        <w:tab w:val="clear" w:pos="567"/>
        <w:tab w:val="clear" w:pos="1134"/>
        <w:tab w:val="left" w:pos="907"/>
        <w:tab w:val="left" w:pos="1701"/>
        <w:tab w:val="right" w:pos="7371"/>
      </w:tabs>
      <w:spacing w:before="240"/>
      <w:ind w:left="397" w:hanging="397"/>
    </w:pPr>
  </w:style>
  <w:style w:type="paragraph" w:customStyle="1" w:styleId="OpiHHead">
    <w:name w:val="Opi_H_Head"/>
    <w:basedOn w:val="JuHHead"/>
    <w:next w:val="OpiPara"/>
    <w:rsid w:val="00FD6E72"/>
    <w:pPr>
      <w:spacing w:before="0"/>
      <w:jc w:val="center"/>
    </w:pPr>
  </w:style>
  <w:style w:type="paragraph" w:customStyle="1" w:styleId="OpiPara">
    <w:name w:val="Opi_Para"/>
    <w:basedOn w:val="JuPara"/>
    <w:rsid w:val="00FD6E72"/>
  </w:style>
  <w:style w:type="paragraph" w:customStyle="1" w:styleId="OpiTranslation">
    <w:name w:val="Opi_Translation"/>
    <w:basedOn w:val="OpiHHead"/>
    <w:next w:val="OpiPara"/>
    <w:rsid w:val="00FD6E72"/>
    <w:rPr>
      <w:sz w:val="24"/>
    </w:rPr>
  </w:style>
  <w:style w:type="paragraph" w:customStyle="1" w:styleId="OpiQuot">
    <w:name w:val="Opi_Quot"/>
    <w:basedOn w:val="JuQuot"/>
    <w:rsid w:val="00FD6E72"/>
  </w:style>
  <w:style w:type="paragraph" w:customStyle="1" w:styleId="OpiHA">
    <w:name w:val="Opi_H_A"/>
    <w:basedOn w:val="JuHIRoman"/>
    <w:next w:val="OpiPara"/>
    <w:rsid w:val="00FD6E72"/>
    <w:pPr>
      <w:tabs>
        <w:tab w:val="clear" w:pos="357"/>
      </w:tabs>
    </w:pPr>
    <w:rPr>
      <w:b/>
    </w:rPr>
  </w:style>
  <w:style w:type="paragraph" w:customStyle="1" w:styleId="OpiH1">
    <w:name w:val="Opi_H_1."/>
    <w:basedOn w:val="OpiHA"/>
    <w:next w:val="OpiPara"/>
    <w:rsid w:val="00FD6E72"/>
    <w:pPr>
      <w:spacing w:before="240" w:after="120"/>
      <w:ind w:left="635"/>
    </w:pPr>
    <w:rPr>
      <w:b w:val="0"/>
      <w:i/>
    </w:rPr>
  </w:style>
  <w:style w:type="paragraph" w:styleId="FootnoteText">
    <w:name w:val="footnote text"/>
    <w:basedOn w:val="Normal"/>
    <w:semiHidden/>
    <w:rsid w:val="00FD6E72"/>
    <w:pPr>
      <w:jc w:val="both"/>
    </w:pPr>
    <w:rPr>
      <w:sz w:val="20"/>
    </w:rPr>
  </w:style>
  <w:style w:type="character" w:styleId="FootnoteReference">
    <w:name w:val="footnote reference"/>
    <w:basedOn w:val="DefaultParagraphFont"/>
    <w:semiHidden/>
    <w:rsid w:val="00FD6E72"/>
    <w:rPr>
      <w:vertAlign w:val="superscript"/>
    </w:rPr>
  </w:style>
  <w:style w:type="paragraph" w:customStyle="1" w:styleId="JuHi">
    <w:name w:val="Ju_H_i"/>
    <w:basedOn w:val="JuHa0"/>
    <w:next w:val="JuPara"/>
    <w:rsid w:val="00FD6E72"/>
    <w:pPr>
      <w:tabs>
        <w:tab w:val="clear" w:pos="975"/>
        <w:tab w:val="left" w:pos="1191"/>
      </w:tabs>
      <w:ind w:left="1190" w:hanging="357"/>
    </w:pPr>
    <w:rPr>
      <w:b w:val="0"/>
      <w:i/>
    </w:rPr>
  </w:style>
  <w:style w:type="paragraph" w:styleId="Header">
    <w:name w:val="header"/>
    <w:basedOn w:val="Normal"/>
    <w:rsid w:val="00FD6E72"/>
    <w:pPr>
      <w:tabs>
        <w:tab w:val="center" w:pos="3686"/>
        <w:tab w:val="right" w:pos="7371"/>
      </w:tabs>
    </w:pPr>
    <w:rPr>
      <w:sz w:val="18"/>
    </w:rPr>
  </w:style>
  <w:style w:type="character" w:styleId="PageNumber">
    <w:name w:val="page number"/>
    <w:basedOn w:val="DefaultParagraphFont"/>
    <w:rsid w:val="00FD6E72"/>
    <w:rPr>
      <w:sz w:val="18"/>
    </w:rPr>
  </w:style>
  <w:style w:type="paragraph" w:customStyle="1" w:styleId="JuLista">
    <w:name w:val="Ju_List_a"/>
    <w:basedOn w:val="JuList"/>
    <w:rsid w:val="00FD6E72"/>
    <w:pPr>
      <w:ind w:left="346" w:firstLine="0"/>
    </w:pPr>
  </w:style>
  <w:style w:type="paragraph" w:customStyle="1" w:styleId="JuHalpha">
    <w:name w:val="Ju_H_alpha"/>
    <w:basedOn w:val="JuHi"/>
    <w:next w:val="JuPara"/>
    <w:rsid w:val="00FD6E72"/>
    <w:pPr>
      <w:tabs>
        <w:tab w:val="clear" w:pos="1191"/>
        <w:tab w:val="left" w:pos="1372"/>
      </w:tabs>
      <w:ind w:left="1373" w:hanging="335"/>
    </w:pPr>
    <w:rPr>
      <w:i w:val="0"/>
    </w:rPr>
  </w:style>
  <w:style w:type="paragraph" w:customStyle="1" w:styleId="JuListi">
    <w:name w:val="Ju_List_i"/>
    <w:basedOn w:val="JuLista"/>
    <w:rsid w:val="00FD6E72"/>
    <w:pPr>
      <w:ind w:left="794"/>
    </w:pPr>
  </w:style>
  <w:style w:type="paragraph" w:customStyle="1" w:styleId="OpiHa0">
    <w:name w:val="Opi_H_a"/>
    <w:basedOn w:val="OpiH1"/>
    <w:next w:val="OpiPara"/>
    <w:rsid w:val="00FD6E72"/>
    <w:pPr>
      <w:ind w:left="834"/>
    </w:pPr>
    <w:rPr>
      <w:b/>
      <w:i w:val="0"/>
      <w:sz w:val="20"/>
    </w:rPr>
  </w:style>
  <w:style w:type="paragraph" w:customStyle="1" w:styleId="OpiHi">
    <w:name w:val="Opi_H_i"/>
    <w:basedOn w:val="OpiHa0"/>
    <w:next w:val="OpiPara"/>
    <w:rsid w:val="00FD6E72"/>
    <w:pPr>
      <w:ind w:left="1038"/>
    </w:pPr>
    <w:rPr>
      <w:b w:val="0"/>
      <w:i/>
    </w:rPr>
  </w:style>
  <w:style w:type="paragraph" w:customStyle="1" w:styleId="JuH">
    <w:name w:val="Ju_H_–"/>
    <w:basedOn w:val="JuHalpha"/>
    <w:next w:val="JuPara"/>
    <w:rsid w:val="00FD6E72"/>
    <w:pPr>
      <w:tabs>
        <w:tab w:val="clear" w:pos="1372"/>
      </w:tabs>
      <w:ind w:left="1236" w:firstLine="0"/>
    </w:pPr>
    <w:rPr>
      <w:i/>
    </w:rPr>
  </w:style>
  <w:style w:type="character" w:styleId="CommentReference">
    <w:name w:val="annotation reference"/>
    <w:basedOn w:val="DefaultParagraphFont"/>
    <w:semiHidden/>
    <w:rPr>
      <w:sz w:val="16"/>
    </w:rPr>
  </w:style>
  <w:style w:type="paragraph" w:customStyle="1" w:styleId="JuInitialled">
    <w:name w:val="Ju_Initialled"/>
    <w:basedOn w:val="JuSigned"/>
    <w:rsid w:val="00FD6E72"/>
    <w:pPr>
      <w:tabs>
        <w:tab w:val="clear" w:pos="851"/>
      </w:tabs>
      <w:jc w:val="right"/>
    </w:pPr>
  </w:style>
  <w:style w:type="paragraph" w:customStyle="1" w:styleId="JuHeader">
    <w:name w:val="Ju_Header"/>
    <w:basedOn w:val="Header"/>
    <w:rsid w:val="00FD6E72"/>
  </w:style>
  <w:style w:type="paragraph" w:customStyle="1" w:styleId="DecHTitle">
    <w:name w:val="Dec_H_Title"/>
    <w:basedOn w:val="Normal"/>
    <w:rsid w:val="00FD6E72"/>
    <w:pPr>
      <w:spacing w:after="240"/>
      <w:jc w:val="center"/>
    </w:pPr>
    <w:rPr>
      <w:sz w:val="28"/>
    </w:rPr>
  </w:style>
  <w:style w:type="paragraph" w:customStyle="1" w:styleId="DecHCase">
    <w:name w:val="Dec_H_Case"/>
    <w:basedOn w:val="DecHTitle"/>
    <w:next w:val="JuPara"/>
    <w:rsid w:val="00FD6E72"/>
    <w:rPr>
      <w:sz w:val="24"/>
    </w:rPr>
  </w:style>
  <w:style w:type="paragraph" w:customStyle="1" w:styleId="DecList">
    <w:name w:val="Dec_List"/>
    <w:basedOn w:val="Normal"/>
    <w:rsid w:val="00FD6E72"/>
    <w:pPr>
      <w:spacing w:before="240"/>
      <w:ind w:left="284"/>
      <w:jc w:val="both"/>
    </w:pPr>
  </w:style>
  <w:style w:type="paragraph" w:customStyle="1" w:styleId="SuCoverTitle1">
    <w:name w:val="Su_Cover_Title1"/>
    <w:basedOn w:val="Normal"/>
    <w:next w:val="SuCoverTitle2"/>
    <w:rsid w:val="00FD6E72"/>
    <w:pPr>
      <w:spacing w:before="2500"/>
      <w:jc w:val="center"/>
    </w:pPr>
    <w:rPr>
      <w:sz w:val="22"/>
    </w:rPr>
  </w:style>
  <w:style w:type="paragraph" w:customStyle="1" w:styleId="SuCoverTitle2">
    <w:name w:val="Su_Cover_Title2"/>
    <w:basedOn w:val="SuCoverTitle1"/>
    <w:next w:val="Normal"/>
    <w:rsid w:val="00FD6E72"/>
    <w:pPr>
      <w:spacing w:before="240"/>
    </w:pPr>
    <w:rPr>
      <w:sz w:val="18"/>
    </w:rPr>
  </w:style>
  <w:style w:type="paragraph" w:customStyle="1" w:styleId="JuQuotSub">
    <w:name w:val="Ju_Quot_Sub"/>
    <w:basedOn w:val="JuQuot"/>
    <w:rsid w:val="00FD6E72"/>
    <w:pPr>
      <w:ind w:left="567"/>
    </w:pPr>
  </w:style>
  <w:style w:type="paragraph" w:customStyle="1" w:styleId="JuParaSub">
    <w:name w:val="Ju_Para_Sub"/>
    <w:basedOn w:val="JuPara"/>
    <w:rsid w:val="00FD6E72"/>
    <w:pPr>
      <w:ind w:left="284"/>
    </w:pPr>
  </w:style>
  <w:style w:type="paragraph" w:customStyle="1" w:styleId="SuPara">
    <w:name w:val="Su_Para"/>
    <w:basedOn w:val="SuKeywords"/>
    <w:rsid w:val="00FD6E72"/>
    <w:pPr>
      <w:spacing w:before="0" w:after="0"/>
    </w:pPr>
    <w:rPr>
      <w:i w:val="0"/>
    </w:rPr>
  </w:style>
  <w:style w:type="paragraph" w:customStyle="1" w:styleId="SuKeywords">
    <w:name w:val="Su_Keywords"/>
    <w:basedOn w:val="SuHHead"/>
    <w:rsid w:val="00FD6E72"/>
    <w:pPr>
      <w:spacing w:before="120"/>
    </w:pPr>
    <w:rPr>
      <w:b w:val="0"/>
      <w:i/>
    </w:rPr>
  </w:style>
  <w:style w:type="paragraph" w:customStyle="1" w:styleId="SuHHead">
    <w:name w:val="Su_H_Head"/>
    <w:basedOn w:val="SuSubject"/>
    <w:rsid w:val="00FD6E72"/>
    <w:pPr>
      <w:spacing w:after="120"/>
    </w:pPr>
  </w:style>
  <w:style w:type="paragraph" w:customStyle="1" w:styleId="SuSubject">
    <w:name w:val="Su_Subject"/>
    <w:basedOn w:val="SuSummary"/>
    <w:rsid w:val="00FD6E72"/>
    <w:pPr>
      <w:spacing w:before="360"/>
      <w:jc w:val="both"/>
    </w:pPr>
    <w:rPr>
      <w:b/>
      <w:sz w:val="22"/>
    </w:rPr>
  </w:style>
  <w:style w:type="paragraph" w:customStyle="1" w:styleId="SuSummary">
    <w:name w:val="Su_Summary"/>
    <w:basedOn w:val="Normal"/>
    <w:next w:val="SuSubject"/>
    <w:rsid w:val="00FD6E72"/>
    <w:pPr>
      <w:spacing w:after="240"/>
      <w:jc w:val="center"/>
    </w:pPr>
  </w:style>
  <w:style w:type="paragraph" w:styleId="BalloonText">
    <w:name w:val="Balloon Text"/>
    <w:basedOn w:val="Normal"/>
    <w:semiHidden/>
    <w:rsid w:val="006C5B9E"/>
    <w:rPr>
      <w:rFonts w:ascii="Tahoma" w:hAnsi="Tahoma" w:cs="Tahoma"/>
      <w:sz w:val="16"/>
      <w:szCs w:val="16"/>
    </w:rPr>
  </w:style>
  <w:style w:type="paragraph" w:customStyle="1" w:styleId="PJuPara">
    <w:name w:val="P_Ju_Para"/>
    <w:basedOn w:val="Normal"/>
    <w:rsid w:val="00FD6E72"/>
    <w:pPr>
      <w:ind w:firstLine="284"/>
      <w:jc w:val="both"/>
    </w:pPr>
  </w:style>
  <w:style w:type="paragraph" w:customStyle="1" w:styleId="PJuQuot">
    <w:name w:val="P_Ju_Quot"/>
    <w:basedOn w:val="Normal"/>
    <w:rsid w:val="00FD6E72"/>
    <w:pPr>
      <w:spacing w:before="120" w:after="120"/>
      <w:ind w:left="403" w:firstLine="176"/>
      <w:jc w:val="both"/>
    </w:pPr>
    <w:rPr>
      <w:sz w:val="20"/>
    </w:rPr>
  </w:style>
  <w:style w:type="paragraph" w:customStyle="1" w:styleId="PListArticleSubject">
    <w:name w:val="P_List_ArticleSubject"/>
    <w:basedOn w:val="Normal"/>
    <w:rsid w:val="00FD6E72"/>
    <w:pPr>
      <w:tabs>
        <w:tab w:val="left" w:pos="2977"/>
      </w:tabs>
      <w:ind w:left="2977" w:hanging="2977"/>
    </w:pPr>
  </w:style>
  <w:style w:type="paragraph" w:customStyle="1" w:styleId="PListCaseNo">
    <w:name w:val="P_List_CaseNo"/>
    <w:basedOn w:val="Normal"/>
    <w:rsid w:val="00FD6E72"/>
    <w:pPr>
      <w:tabs>
        <w:tab w:val="left" w:pos="1276"/>
      </w:tabs>
      <w:spacing w:line="288" w:lineRule="auto"/>
      <w:ind w:left="1276" w:hanging="1276"/>
    </w:pPr>
  </w:style>
  <w:style w:type="paragraph" w:customStyle="1" w:styleId="PListCases">
    <w:name w:val="P_List_Cases"/>
    <w:basedOn w:val="Normal"/>
    <w:rsid w:val="00FD6E72"/>
    <w:pPr>
      <w:spacing w:line="288" w:lineRule="auto"/>
    </w:pPr>
  </w:style>
  <w:style w:type="paragraph" w:customStyle="1" w:styleId="PTextIntro">
    <w:name w:val="P_Text_Intro"/>
    <w:basedOn w:val="Normal"/>
    <w:rsid w:val="00FD6E72"/>
    <w:pPr>
      <w:jc w:val="both"/>
    </w:pPr>
    <w:rPr>
      <w:i/>
      <w:sz w:val="20"/>
    </w:rPr>
  </w:style>
  <w:style w:type="paragraph" w:customStyle="1" w:styleId="PTitleCover">
    <w:name w:val="P_Title_Cover"/>
    <w:basedOn w:val="Normal"/>
    <w:rsid w:val="00FD6E72"/>
    <w:pPr>
      <w:spacing w:before="2500"/>
      <w:jc w:val="center"/>
    </w:pPr>
    <w:rPr>
      <w:b/>
      <w:smallCaps/>
      <w:sz w:val="30"/>
    </w:rPr>
  </w:style>
  <w:style w:type="paragraph" w:customStyle="1" w:styleId="PTitle1Alpha">
    <w:name w:val="P_Title1_Alpha"/>
    <w:basedOn w:val="Normal"/>
    <w:next w:val="Normal"/>
    <w:rsid w:val="00FD6E72"/>
    <w:pPr>
      <w:spacing w:after="120"/>
      <w:jc w:val="center"/>
    </w:pPr>
    <w:rPr>
      <w:b/>
      <w:smallCaps/>
      <w:sz w:val="30"/>
    </w:rPr>
  </w:style>
  <w:style w:type="paragraph" w:customStyle="1" w:styleId="PTitle1IndexArticle">
    <w:name w:val="P_Title1_IndexArticle"/>
    <w:basedOn w:val="Normal"/>
    <w:rsid w:val="00FD6E72"/>
    <w:pPr>
      <w:spacing w:after="120"/>
      <w:jc w:val="center"/>
    </w:pPr>
    <w:rPr>
      <w:b/>
      <w:smallCaps/>
      <w:sz w:val="30"/>
    </w:rPr>
  </w:style>
  <w:style w:type="paragraph" w:customStyle="1" w:styleId="PTitle1IndexKey">
    <w:name w:val="P_Title1_IndexKey"/>
    <w:basedOn w:val="Normal"/>
    <w:rsid w:val="00FD6E72"/>
    <w:pPr>
      <w:spacing w:after="600"/>
      <w:jc w:val="center"/>
    </w:pPr>
    <w:rPr>
      <w:b/>
      <w:smallCaps/>
      <w:sz w:val="30"/>
      <w:lang w:val="en-GB"/>
    </w:rPr>
  </w:style>
  <w:style w:type="paragraph" w:customStyle="1" w:styleId="PTitle1Num">
    <w:name w:val="P_Title1_Num"/>
    <w:basedOn w:val="Normal"/>
    <w:next w:val="PListCaseNo"/>
    <w:rsid w:val="00FD6E72"/>
    <w:pPr>
      <w:spacing w:after="720"/>
      <w:jc w:val="center"/>
    </w:pPr>
    <w:rPr>
      <w:b/>
      <w:smallCaps/>
      <w:sz w:val="30"/>
    </w:rPr>
  </w:style>
  <w:style w:type="paragraph" w:customStyle="1" w:styleId="PTitle2Country">
    <w:name w:val="P_Title2_Country"/>
    <w:basedOn w:val="Normal"/>
    <w:next w:val="PListCases"/>
    <w:rsid w:val="00FD6E72"/>
    <w:pPr>
      <w:keepNext/>
      <w:keepLines/>
      <w:spacing w:before="600" w:after="360"/>
    </w:pPr>
    <w:rPr>
      <w:b/>
    </w:rPr>
  </w:style>
  <w:style w:type="paragraph" w:customStyle="1" w:styleId="PTitle2Letters">
    <w:name w:val="P_Title2_Letters"/>
    <w:basedOn w:val="Normal"/>
    <w:next w:val="PListCases"/>
    <w:rsid w:val="00FD6E72"/>
    <w:pPr>
      <w:keepNext/>
      <w:keepLines/>
      <w:spacing w:before="600" w:after="360"/>
    </w:pPr>
    <w:rPr>
      <w:b/>
      <w:sz w:val="28"/>
    </w:rPr>
  </w:style>
  <w:style w:type="paragraph" w:customStyle="1" w:styleId="PTitle2Part">
    <w:name w:val="P_Title2_Part"/>
    <w:basedOn w:val="Normal"/>
    <w:rsid w:val="00FD6E72"/>
    <w:pPr>
      <w:keepNext/>
      <w:keepLines/>
      <w:spacing w:before="600" w:after="240"/>
      <w:jc w:val="center"/>
    </w:pPr>
    <w:rPr>
      <w:b/>
      <w:caps/>
    </w:rPr>
  </w:style>
  <w:style w:type="paragraph" w:customStyle="1" w:styleId="PTitle3Article">
    <w:name w:val="P_Title3_Article"/>
    <w:basedOn w:val="Normal"/>
    <w:rsid w:val="00FD6E72"/>
    <w:pPr>
      <w:keepNext/>
      <w:keepLines/>
      <w:spacing w:before="360" w:after="120"/>
      <w:jc w:val="center"/>
    </w:pPr>
    <w:rPr>
      <w:b/>
      <w:smallCaps/>
      <w:sz w:val="22"/>
    </w:rPr>
  </w:style>
  <w:style w:type="paragraph" w:customStyle="1" w:styleId="PTitle4ArticleSub">
    <w:name w:val="P_Title4_Article_Sub"/>
    <w:basedOn w:val="PTitle3Article"/>
    <w:rsid w:val="00FD6E72"/>
    <w:pPr>
      <w:spacing w:before="240"/>
    </w:pPr>
    <w:rPr>
      <w:smallCaps w:val="0"/>
      <w:sz w:val="20"/>
    </w:rPr>
  </w:style>
  <w:style w:type="paragraph" w:customStyle="1" w:styleId="PTitle5Subject">
    <w:name w:val="P_Title5_Subject"/>
    <w:basedOn w:val="Normal"/>
    <w:rsid w:val="00FD6E72"/>
    <w:pPr>
      <w:keepNext/>
      <w:keepLines/>
      <w:spacing w:before="240" w:after="120"/>
      <w:jc w:val="both"/>
    </w:pPr>
    <w:rPr>
      <w:b/>
      <w:i/>
    </w:rPr>
  </w:style>
  <w:style w:type="paragraph" w:customStyle="1" w:styleId="PTitle6SubjectSub">
    <w:name w:val="P_Title6_Subject_Sub"/>
    <w:basedOn w:val="Normal"/>
    <w:rsid w:val="00FD6E72"/>
    <w:pPr>
      <w:keepNext/>
      <w:keepLines/>
      <w:spacing w:before="240" w:after="120"/>
      <w:ind w:left="284"/>
      <w:jc w:val="both"/>
    </w:pPr>
    <w:rPr>
      <w:b/>
      <w:sz w:val="20"/>
    </w:rPr>
  </w:style>
  <w:style w:type="paragraph" w:customStyle="1" w:styleId="PTitle7CaseName">
    <w:name w:val="P_Title7_CaseName"/>
    <w:basedOn w:val="Normal"/>
    <w:rsid w:val="00FD6E72"/>
    <w:pPr>
      <w:keepLines/>
      <w:spacing w:after="240"/>
      <w:jc w:val="right"/>
    </w:pPr>
    <w:rPr>
      <w:sz w:val="22"/>
    </w:rPr>
  </w:style>
  <w:style w:type="paragraph" w:customStyle="1" w:styleId="OpiParaSub">
    <w:name w:val="Opi_Para_Sub"/>
    <w:basedOn w:val="JuParaSub"/>
    <w:rsid w:val="00FD6E72"/>
  </w:style>
  <w:style w:type="paragraph" w:customStyle="1" w:styleId="OpiQuotSub">
    <w:name w:val="Opi_Quot_Sub"/>
    <w:basedOn w:val="JuQuotSub"/>
    <w:rsid w:val="00FD6E72"/>
  </w:style>
  <w:style w:type="character" w:customStyle="1" w:styleId="ju-005fpara--char">
    <w:name w:val="ju-005fpara--char"/>
    <w:basedOn w:val="DefaultParagraphFont"/>
    <w:rsid w:val="006374B2"/>
  </w:style>
  <w:style w:type="paragraph" w:customStyle="1" w:styleId="JuParaCharChar">
    <w:name w:val="Ju_Para Char Char"/>
    <w:basedOn w:val="Normal"/>
    <w:link w:val="JuParaCharCharChar"/>
    <w:rsid w:val="006374B2"/>
    <w:pPr>
      <w:ind w:firstLine="284"/>
      <w:jc w:val="both"/>
    </w:pPr>
  </w:style>
  <w:style w:type="character" w:customStyle="1" w:styleId="JuParaCharCharChar">
    <w:name w:val="Ju_Para Char Char Char"/>
    <w:basedOn w:val="DefaultParagraphFont"/>
    <w:link w:val="JuParaCharChar"/>
    <w:rsid w:val="006374B2"/>
    <w:rPr>
      <w:sz w:val="24"/>
      <w:lang w:val="fr-FR" w:eastAsia="fr-FR" w:bidi="ar-SA"/>
    </w:rPr>
  </w:style>
  <w:style w:type="character" w:customStyle="1" w:styleId="JuHIRomanChar">
    <w:name w:val="Ju_H_I_Roman Char"/>
    <w:basedOn w:val="DefaultParagraphFont"/>
    <w:link w:val="JuHIRoman"/>
    <w:rsid w:val="00FA6DAF"/>
    <w:rPr>
      <w:sz w:val="24"/>
      <w:lang w:val="fr-FR" w:eastAsia="fr-FR" w:bidi="ar-SA"/>
    </w:rPr>
  </w:style>
  <w:style w:type="paragraph" w:customStyle="1" w:styleId="JuParaChar">
    <w:name w:val="Ju_Para Char"/>
    <w:basedOn w:val="Normal"/>
    <w:rsid w:val="001D78F2"/>
    <w:pPr>
      <w:ind w:firstLine="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4D111-FB62-4B0D-AFD6-F4121AACDF8A}"/>
</file>

<file path=customXml/itemProps2.xml><?xml version="1.0" encoding="utf-8"?>
<ds:datastoreItem xmlns:ds="http://schemas.openxmlformats.org/officeDocument/2006/customXml" ds:itemID="{810A471C-0A58-4430-8E99-EA8145AAB1BE}"/>
</file>

<file path=customXml/itemProps3.xml><?xml version="1.0" encoding="utf-8"?>
<ds:datastoreItem xmlns:ds="http://schemas.openxmlformats.org/officeDocument/2006/customXml" ds:itemID="{D52F4564-9132-421E-BB8E-AAE0BA10196D}"/>
</file>

<file path=docProps/app.xml><?xml version="1.0" encoding="utf-8"?>
<Properties xmlns="http://schemas.openxmlformats.org/officeDocument/2006/extended-properties" xmlns:vt="http://schemas.openxmlformats.org/officeDocument/2006/docPropsVTypes">
  <Template>Normal.dotm</Template>
  <TotalTime>756</TotalTime>
  <Pages>1</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DJF</dc:subject>
  <dc:creator/>
  <cp:keywords/>
  <dc:description/>
  <cp:lastModifiedBy/>
  <cp:revision>5</cp:revision>
  <cp:lastPrinted>2006-04-25T14:32:00Z</cp:lastPrinted>
  <dcterms:created xsi:type="dcterms:W3CDTF">2016-08-18T09:28:00Z</dcterms:created>
  <dcterms:modified xsi:type="dcterms:W3CDTF">2016-08-18T09:28:00Z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