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8F2" w:rsidRDefault="00C21EB1">
      <w:pPr>
        <w:pStyle w:val="ClinEditionNumber"/>
      </w:pPr>
      <w:r>
        <w:t>Information Note on the Court’s case-law No. 173</w:t>
      </w:r>
    </w:p>
    <w:p w:rsidR="00C318F2" w:rsidRDefault="00C21EB1">
      <w:pPr>
        <w:pStyle w:val="ClinEditionMonth"/>
      </w:pPr>
      <w:r>
        <w:t>April 2014</w:t>
      </w:r>
    </w:p>
    <w:p w:rsidR="00C318F2" w:rsidRDefault="00C21EB1">
      <w:r>
        <w:rPr>
          <w:rStyle w:val="ClinCaseTitle"/>
        </w:rPr>
        <w:t>Lagutin and Others v. Russia</w:t>
      </w:r>
      <w:r>
        <w:rPr>
          <w:rStyle w:val="ClinApplicationNumber"/>
        </w:rPr>
        <w:t xml:space="preserve"> - 19678/07, 52340/08, 6228/09 et al.</w:t>
      </w:r>
    </w:p>
    <w:p w:rsidR="00C318F2" w:rsidRDefault="00C21EB1">
      <w:r>
        <w:rPr>
          <w:rStyle w:val="ClinHudocDocumentTitle"/>
        </w:rPr>
        <w:t>Judgment 24.4.2014</w:t>
      </w:r>
      <w:r>
        <w:rPr>
          <w:rStyle w:val="ClinSectionName"/>
        </w:rPr>
        <w:t xml:space="preserve"> [Section I]</w:t>
      </w:r>
    </w:p>
    <w:p w:rsidR="00C318F2" w:rsidRDefault="00C21EB1">
      <w:pPr>
        <w:pStyle w:val="ClinMainKeywordCode"/>
      </w:pPr>
      <w:r>
        <w:t>Article 6</w:t>
      </w:r>
    </w:p>
    <w:p w:rsidR="00C318F2" w:rsidRDefault="00C21EB1">
      <w:pPr>
        <w:pStyle w:val="ClinKeyword"/>
      </w:pPr>
      <w:r>
        <w:t>Criminal proceedings</w:t>
      </w:r>
    </w:p>
    <w:p w:rsidR="00C318F2" w:rsidRDefault="00C21EB1">
      <w:pPr>
        <w:pStyle w:val="ClinChildKeywordCode"/>
      </w:pPr>
      <w:r>
        <w:t>Article 6-1</w:t>
      </w:r>
    </w:p>
    <w:p w:rsidR="00C318F2" w:rsidRDefault="00C21EB1">
      <w:pPr>
        <w:pStyle w:val="ClinKeyword"/>
      </w:pPr>
      <w:r>
        <w:t>Fair hearing</w:t>
      </w:r>
    </w:p>
    <w:p w:rsidR="00C318F2" w:rsidRDefault="00C21EB1">
      <w:r>
        <w:rPr>
          <w:rStyle w:val="ClinHeadNote"/>
        </w:rPr>
        <w:t xml:space="preserve">Failure by domestic courts adequately to examine allegations of police entrapment: </w:t>
      </w:r>
      <w:r>
        <w:rPr>
          <w:rStyle w:val="ClinConclusions"/>
        </w:rPr>
        <w:t>violation</w:t>
      </w:r>
    </w:p>
    <w:p w:rsidR="00C318F2" w:rsidRDefault="00C21EB1">
      <w:pPr>
        <w:pStyle w:val="ClinContent"/>
      </w:pPr>
      <w:r>
        <w:rPr>
          <w:i/>
        </w:rPr>
        <w:t>Facts</w:t>
      </w:r>
      <w:r>
        <w:t xml:space="preserve"> – The five applicants were convicted, in four unrelated sets of proceedings, of drug dealing after their pleas of police entrapment were rejected by the dome</w:t>
      </w:r>
      <w:r>
        <w:t>stic courts. In each case, the police had testified that they had ordered the test purchases because they had received preliminary “operational information” that the applicants had previously been involved in drug dealing. This allegation was denied by the</w:t>
      </w:r>
      <w:r>
        <w:t xml:space="preserve"> applicants, who said that they would not have become involved in dealing, as opposed to mere possession of drugs for their personal use, had they not being lured into it by the police and their informants. They were, however, unable to challenge the alleg</w:t>
      </w:r>
      <w:r>
        <w:t>ed operational information at trial because it was classified as confidential.</w:t>
      </w:r>
    </w:p>
    <w:p w:rsidR="00C318F2" w:rsidRDefault="00C21EB1">
      <w:pPr>
        <w:pStyle w:val="ClinContent"/>
      </w:pPr>
      <w:r>
        <w:t>In their applications to the European Court, the applicants complained that they had been unfairly convicted of the offences following police incitement and that their plea of e</w:t>
      </w:r>
      <w:r>
        <w:t>ntrapment had not been properly examined by the domestic courts.</w:t>
      </w:r>
    </w:p>
    <w:p w:rsidR="00C318F2" w:rsidRDefault="00C21EB1">
      <w:pPr>
        <w:pStyle w:val="ClinContent"/>
      </w:pPr>
      <w:r>
        <w:rPr>
          <w:i/>
        </w:rPr>
        <w:t>Law</w:t>
      </w:r>
      <w:r>
        <w:t xml:space="preserve"> – Article 6 § 1: The Court reiterated that while the use of undercover agents could be a legitimate investigative technique for combating serious crime, adequate safeguards against abuse </w:t>
      </w:r>
      <w:r>
        <w:t>had to be in place. In cases where the main evidence originated from a covert operation, such as a test purchase of drugs, the authorities had to be able to demonstrate good reasons for mounting the operation. In particular, they had to have concrete and o</w:t>
      </w:r>
      <w:r>
        <w:t>bjective evidence to show that initial steps had already been taken to commit the offence. Any investigation of this type had to be conducted in an essentially passive manner. Further, any allegation by an accused of police incitement had to be examined by</w:t>
      </w:r>
      <w:r>
        <w:t xml:space="preserve"> the courts in an adversarial procedure that was thorough, comprehensive and conclusive and it was for the prosecution to demonstrate the absence of incitement. If, owing to a failure to disclose the case file or the conflicting nature of the parties’ inte</w:t>
      </w:r>
      <w:r>
        <w:t>rpretation of the events, the Court was unable to establish whether an accused had in fact been subjected to police incitement, the question of the procedural review by the domestic courts assumed decisive importance.</w:t>
      </w:r>
    </w:p>
    <w:p w:rsidR="00C318F2" w:rsidRDefault="00C21EB1">
      <w:pPr>
        <w:pStyle w:val="ClinContent"/>
      </w:pPr>
      <w:r>
        <w:t>In each of the applicants’ cases the p</w:t>
      </w:r>
      <w:r>
        <w:t>olice had referred to preliminary “operational information” that the applicants had previously been involved in drug dealing. However, the trial courts had not sought to clarify the content of the allegedly incriminating operational files and the Governmen</w:t>
      </w:r>
      <w:r>
        <w:t>t had not provided any further details. The Court was therefore unable to determine whether the authorities had had good reasons for mounting the covert operations or whether pressure had been exerted on the applicants to commit the offences.</w:t>
      </w:r>
    </w:p>
    <w:p w:rsidR="00C318F2" w:rsidRDefault="00C21EB1">
      <w:pPr>
        <w:pStyle w:val="ClinContent"/>
      </w:pPr>
      <w:r>
        <w:t>Turning to th</w:t>
      </w:r>
      <w:r>
        <w:t>e procedural test, the Court noted that the applicants’ convictions had in each case been based entirely or predominantly on evidence obtained through police controlled test purchases with the direct participation of undercover police officers or informers</w:t>
      </w:r>
      <w:r>
        <w:t>. In previous cases against Russia, the Court had found that test purchases and operative experiments fell entirely within the competence of the operational search bodies and that the system revealed a structural failure to provide safeguards against polic</w:t>
      </w:r>
      <w:r>
        <w:t>e provocation. In these circumstances, the trial courts – confronted with an arguable allegation that undercover police officers and informants had not acted in a passive manner – had been under an obligation to establish in adversarial proceedings the rea</w:t>
      </w:r>
      <w:r>
        <w:t>sons why the operation had been mounted, the extent of the police’s involvement in the offence and the nature of any incitement or pressure to which the applicants had been subjected. Given the lack of a sufficient legal framework or adequate safeguards ag</w:t>
      </w:r>
      <w:r>
        <w:t>ainst police provocation, the judicial examination of an entrapment plea had been the only means of verifying whether there were valid reasons for an undercover operation and whether the police or the informants had remained essentially passive.</w:t>
      </w:r>
    </w:p>
    <w:p w:rsidR="00C318F2" w:rsidRDefault="00C21EB1">
      <w:pPr>
        <w:pStyle w:val="ClinContent"/>
      </w:pPr>
      <w:r>
        <w:t>However, t</w:t>
      </w:r>
      <w:r>
        <w:t>he trial courts had made no attempt to check police assertions that they had pre-existing “operational information” and had accepted the police officers’ unconfirmed statements that they had good reasons to suspect the applicants. This failure to address t</w:t>
      </w:r>
      <w:r>
        <w:t>he allegations of entrapment, which in the applicants’ cases were inseparable from the determination of their guilt, had compromised the outcome of the trials beyond repair, and was at odds with the fundamental guarantees of a fair trial, in particular the</w:t>
      </w:r>
      <w:r>
        <w:t xml:space="preserve"> principles of adversarial proceedings and the equality of arms between the prosecution and the defence.</w:t>
      </w:r>
    </w:p>
    <w:p w:rsidR="00C318F2" w:rsidRDefault="00C21EB1">
      <w:pPr>
        <w:pStyle w:val="ClinContent"/>
      </w:pPr>
      <w:r>
        <w:rPr>
          <w:i/>
        </w:rPr>
        <w:t>Conclusion</w:t>
      </w:r>
      <w:r>
        <w:t>: violation (unanimously).</w:t>
      </w:r>
    </w:p>
    <w:p w:rsidR="00C318F2" w:rsidRDefault="00C21EB1">
      <w:pPr>
        <w:pStyle w:val="ClinContent"/>
      </w:pPr>
      <w:r>
        <w:t>Article 41: EUR 3,000 each in respect of non-pecuniary damage with the exception of the fourth applicant, who made</w:t>
      </w:r>
      <w:r>
        <w:t xml:space="preserve"> no claim for just satisfaction.</w:t>
      </w:r>
    </w:p>
    <w:p w:rsidR="00C318F2" w:rsidRDefault="00C21EB1">
      <w:pPr>
        <w:pStyle w:val="ClinContent"/>
      </w:pPr>
      <w:r>
        <w:t xml:space="preserve">(For a case where the judicial examination of the plea of incitement was found by the Court to have been sufficient, see </w:t>
      </w:r>
      <w:r>
        <w:rPr>
          <w:i/>
        </w:rPr>
        <w:t>Bannikova v. Russia</w:t>
      </w:r>
      <w:r>
        <w:t xml:space="preserve">, 18757/06, 4 November 2010, </w:t>
      </w:r>
      <w:hyperlink w:history="1" r:id="rId4">
        <w:r>
          <w:rPr>
            <w:rStyle w:val="Hyperlink"/>
          </w:rPr>
          <w:t>Information Note 135</w:t>
        </w:r>
      </w:hyperlink>
      <w:r>
        <w:t xml:space="preserve">; and for a case concerning the absence of a regulatory framework in Russia for authorising test purchases, see: </w:t>
      </w:r>
      <w:r>
        <w:rPr>
          <w:i/>
        </w:rPr>
        <w:t>Veselov and Others v. Russia</w:t>
      </w:r>
      <w:r>
        <w:t xml:space="preserve">, 23200/10, 24009/07 and 556/10, 2 October 2012, </w:t>
      </w:r>
      <w:hyperlink w:history="1" r:id="rId5">
        <w:r>
          <w:rPr>
            <w:rStyle w:val="Hyperlink"/>
          </w:rPr>
          <w:t>Information Note 156</w:t>
        </w:r>
      </w:hyperlink>
      <w:r>
        <w:t>)</w:t>
      </w:r>
    </w:p>
    <w:p w:rsidR="00C318F2" w:rsidRDefault="00C318F2">
      <w:pPr>
        <w:pBdr>
          <w:bottom w:val="single" w:color="auto" w:sz="8" w:space="1"/>
        </w:pBdr>
      </w:pPr>
    </w:p>
    <w:p w:rsidR="00C318F2" w:rsidRDefault="00C21EB1">
      <w:pPr>
        <w:pStyle w:val="ClinFooter"/>
      </w:pPr>
      <w:r>
        <w:t>© Council of Europe/European Court of Human Rights</w:t>
      </w:r>
      <w:r>
        <w:br/>
        <w:t>This summary by the Registry does not bind the Court.</w:t>
      </w:r>
    </w:p>
    <w:p w:rsidR="00C318F2" w:rsidRDefault="00C21EB1">
      <w:pPr>
        <w:pStyle w:val="ClinFooter"/>
      </w:pPr>
      <w:r>
        <w:t xml:space="preserve">Click here for the </w:t>
      </w:r>
      <w:hyperlink w:history="1" r:id="rId6">
        <w:r>
          <w:rPr>
            <w:rStyle w:val="Hyperlink"/>
          </w:rPr>
          <w:t>Case-Law Information Notes</w:t>
        </w:r>
      </w:hyperlink>
    </w:p>
    <w:p w:rsidR="00C318F2" w:rsidRDefault="00C318F2">
      <w:pPr>
        <w:pStyle w:val="ClinFooter"/>
      </w:pPr>
    </w:p>
    <w:sectPr w:rsidR="00C318F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97888"/>
    <w:rsid w:val="000F13B5"/>
    <w:rsid w:val="00107377"/>
    <w:rsid w:val="00143602"/>
    <w:rsid w:val="00186560"/>
    <w:rsid w:val="00212E83"/>
    <w:rsid w:val="002966E7"/>
    <w:rsid w:val="0030264F"/>
    <w:rsid w:val="003450B3"/>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21EB1"/>
    <w:rsid w:val="00C318F2"/>
    <w:rsid w:val="00C37433"/>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C470C3-13FA-4E8E-8618-D2616158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C37433"/>
    <w:pPr>
      <w:spacing w:after="240"/>
    </w:pPr>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Pr>
      <w:color w:val="0000FF" w:themeColor="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hr.coe.int/ECHR/EN/Header/Case-Law/Case-law+analysis/Information+notes/" TargetMode="External"/><Relationship Id="rId11" Type="http://schemas.openxmlformats.org/officeDocument/2006/relationships/customXml" Target="../customXml/item3.xml"/><Relationship Id="rId5" Type="http://schemas.openxmlformats.org/officeDocument/2006/relationships/hyperlink" Target="http://hudoc.echr.coe.int/sites/eng/pages/search.aspx?i=002-7240" TargetMode="External"/><Relationship Id="rId10" Type="http://schemas.openxmlformats.org/officeDocument/2006/relationships/customXml" Target="../customXml/item2.xml"/><Relationship Id="rId4" Type="http://schemas.openxmlformats.org/officeDocument/2006/relationships/hyperlink" Target="http://hudoc.echr.coe.int/sites/eng/pages/search.aspx?i=002-714"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6A7140-76D6-4534-914E-4BCFAE70FD4C}"/>
</file>

<file path=customXml/itemProps2.xml><?xml version="1.0" encoding="utf-8"?>
<ds:datastoreItem xmlns:ds="http://schemas.openxmlformats.org/officeDocument/2006/customXml" ds:itemID="{29C7CB16-EC99-426D-9F7A-DF1FF90507A6}"/>
</file>

<file path=customXml/itemProps3.xml><?xml version="1.0" encoding="utf-8"?>
<ds:datastoreItem xmlns:ds="http://schemas.openxmlformats.org/officeDocument/2006/customXml" ds:itemID="{4CEA171B-7BC3-494B-A69B-5FC7811A227B}"/>
</file>

<file path=docProps/app.xml><?xml version="1.0" encoding="utf-8"?>
<Properties xmlns="http://schemas.openxmlformats.org/officeDocument/2006/extended-properties" xmlns:vt="http://schemas.openxmlformats.org/officeDocument/2006/docPropsVTypes">
  <Template>Normal.dotm</Template>
  <TotalTime>3</TotalTime>
  <Pages>1</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ECHRDev1</cp:lastModifiedBy>
  <cp:revision>4</cp:revision>
  <dcterms:created xsi:type="dcterms:W3CDTF">2015-05-27T10:14:00Z</dcterms:created>
  <dcterms:modified xsi:type="dcterms:W3CDTF">2015-05-27T10:14:00Z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