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C37" w:rsidRDefault="00907C37">
      <w:pPr>
        <w:jc w:val="center"/>
        <w:rPr>
          <w:b/>
          <w:snapToGrid w:val="0"/>
          <w:sz w:val="28"/>
          <w:lang w:val="fr-FR" w:eastAsia="en-US"/>
        </w:rPr>
      </w:pPr>
      <w:bookmarkStart w:name="_GoBack" w:id="0"/>
      <w:bookmarkEnd w:id="0"/>
    </w:p>
    <w:p w:rsidR="00907C37" w:rsidRDefault="00907C37">
      <w:pPr>
        <w:jc w:val="center"/>
        <w:rPr>
          <w:b/>
          <w:snapToGrid w:val="0"/>
          <w:sz w:val="28"/>
          <w:lang w:val="fr-FR" w:eastAsia="en-US"/>
        </w:rPr>
      </w:pPr>
    </w:p>
    <w:p w:rsidRPr="00D84DAD" w:rsidR="00260DD7" w:rsidRDefault="00260DD7">
      <w:pPr>
        <w:jc w:val="center"/>
      </w:pPr>
    </w:p>
    <w:p w:rsidRPr="00D84DAD" w:rsidR="00260DD7" w:rsidRDefault="00D84DAD">
      <w:pPr>
        <w:jc w:val="center"/>
      </w:pPr>
      <w:r w:rsidRPr="00D84DAD">
        <w:t>FIRST SECTION</w:t>
      </w:r>
    </w:p>
    <w:p w:rsidR="00907C37" w:rsidRDefault="00907C37">
      <w:pPr>
        <w:jc w:val="center"/>
      </w:pPr>
    </w:p>
    <w:p w:rsidR="00907C37" w:rsidRDefault="00907C37">
      <w:pPr>
        <w:jc w:val="center"/>
      </w:pPr>
    </w:p>
    <w:p w:rsidR="00907C37" w:rsidRDefault="00907C37">
      <w:pPr>
        <w:jc w:val="center"/>
      </w:pPr>
    </w:p>
    <w:p w:rsidR="00907C37" w:rsidRDefault="00907C37">
      <w:pPr>
        <w:jc w:val="center"/>
      </w:pPr>
    </w:p>
    <w:p w:rsidR="00907C37" w:rsidRDefault="00907C37">
      <w:pPr>
        <w:jc w:val="center"/>
      </w:pPr>
    </w:p>
    <w:p w:rsidRPr="00D84DAD" w:rsidR="00260DD7" w:rsidRDefault="00260DD7">
      <w:pPr>
        <w:jc w:val="center"/>
      </w:pPr>
    </w:p>
    <w:p w:rsidRPr="00D84DAD" w:rsidR="00260DD7" w:rsidRDefault="00260DD7">
      <w:pPr>
        <w:jc w:val="center"/>
        <w:rPr>
          <w:b/>
        </w:rPr>
      </w:pPr>
      <w:bookmarkStart w:name="To" w:id="1"/>
      <w:r w:rsidRPr="00D84DAD">
        <w:rPr>
          <w:b/>
        </w:rPr>
        <w:t xml:space="preserve">CASE OF </w:t>
      </w:r>
      <w:bookmarkEnd w:id="1"/>
      <w:r w:rsidRPr="00D84DAD" w:rsidR="00D84DAD">
        <w:rPr>
          <w:b/>
        </w:rPr>
        <w:t xml:space="preserve">KAMMERER v. </w:t>
      </w:r>
      <w:smartTag w:uri="urn:schemas-microsoft-com:office:smarttags" w:element="place">
        <w:smartTag w:uri="urn:schemas-microsoft-com:office:smarttags" w:element="country-region">
          <w:r w:rsidR="00D84DAD" w:rsidRPr="00D84DAD">
            <w:rPr>
              <w:b/>
            </w:rPr>
            <w:t>AUSTRIA</w:t>
          </w:r>
        </w:smartTag>
      </w:smartTag>
    </w:p>
    <w:p w:rsidRPr="00D84DAD" w:rsidR="00260DD7" w:rsidRDefault="00260DD7">
      <w:pPr>
        <w:jc w:val="center"/>
      </w:pPr>
    </w:p>
    <w:p w:rsidRPr="00D84DAD" w:rsidR="00260DD7" w:rsidRDefault="00260DD7">
      <w:pPr>
        <w:jc w:val="center"/>
        <w:rPr>
          <w:i/>
        </w:rPr>
      </w:pPr>
      <w:r w:rsidRPr="00D84DAD">
        <w:rPr>
          <w:i/>
        </w:rPr>
        <w:t>(</w:t>
      </w:r>
      <w:r w:rsidRPr="00D84DAD" w:rsidR="00D84DAD">
        <w:rPr>
          <w:i/>
        </w:rPr>
        <w:t>Application no. 32435/06</w:t>
      </w:r>
      <w:r w:rsidRPr="00D84DAD">
        <w:rPr>
          <w:i/>
        </w:rPr>
        <w:t>)</w:t>
      </w:r>
    </w:p>
    <w:p w:rsidR="00907C37" w:rsidP="00907C37" w:rsidRDefault="00907C37">
      <w:pPr>
        <w:ind w:left="284"/>
        <w:jc w:val="center"/>
      </w:pPr>
    </w:p>
    <w:p w:rsidR="00907C37" w:rsidP="00907C37" w:rsidRDefault="00907C37">
      <w:pPr>
        <w:ind w:left="284"/>
        <w:jc w:val="center"/>
      </w:pPr>
    </w:p>
    <w:p w:rsidR="00907C37" w:rsidP="00907C37" w:rsidRDefault="00907C37">
      <w:pPr>
        <w:ind w:left="284"/>
        <w:jc w:val="center"/>
      </w:pPr>
    </w:p>
    <w:p w:rsidR="00907C37" w:rsidP="00907C37" w:rsidRDefault="00907C37">
      <w:pPr>
        <w:ind w:left="284"/>
        <w:jc w:val="center"/>
      </w:pPr>
    </w:p>
    <w:p w:rsidR="00907C37" w:rsidP="00907C37" w:rsidRDefault="00907C37">
      <w:pPr>
        <w:ind w:left="284"/>
        <w:jc w:val="center"/>
      </w:pPr>
    </w:p>
    <w:p w:rsidR="00907C37" w:rsidP="00907C37" w:rsidRDefault="00907C37">
      <w:pPr>
        <w:ind w:left="284"/>
        <w:jc w:val="center"/>
      </w:pPr>
    </w:p>
    <w:p w:rsidR="00907C37" w:rsidP="00907C37" w:rsidRDefault="00907C37">
      <w:pPr>
        <w:ind w:left="284"/>
        <w:jc w:val="center"/>
      </w:pPr>
      <w:r>
        <w:t>JUDGMENT</w:t>
      </w:r>
    </w:p>
    <w:p w:rsidR="00907C37" w:rsidP="00907C37" w:rsidRDefault="00907C37">
      <w:pPr>
        <w:ind w:left="284"/>
        <w:jc w:val="center"/>
      </w:pPr>
    </w:p>
    <w:p w:rsidR="00907C37" w:rsidP="00907C37" w:rsidRDefault="00907C37">
      <w:pPr>
        <w:ind w:left="284"/>
        <w:jc w:val="center"/>
      </w:pPr>
    </w:p>
    <w:p w:rsidR="00907C37" w:rsidP="00907C37" w:rsidRDefault="00907C37">
      <w:pPr>
        <w:ind w:left="284"/>
        <w:jc w:val="center"/>
      </w:pPr>
    </w:p>
    <w:p w:rsidR="00907C37" w:rsidP="00907C37" w:rsidRDefault="00907C37">
      <w:pPr>
        <w:ind w:left="284"/>
        <w:jc w:val="center"/>
      </w:pPr>
      <w:smartTag w:uri="urn:schemas-microsoft-com:office:smarttags" w:element="City">
        <w:smartTag w:uri="urn:schemas-microsoft-com:office:smarttags" w:element="place">
          <w:r>
            <w:t>STRASBOURG</w:t>
          </w:r>
        </w:smartTag>
      </w:smartTag>
    </w:p>
    <w:p w:rsidR="00907C37" w:rsidP="00907C37" w:rsidRDefault="00907C37">
      <w:pPr>
        <w:ind w:left="284"/>
        <w:jc w:val="center"/>
      </w:pPr>
    </w:p>
    <w:p w:rsidR="00907C37" w:rsidP="00907C37" w:rsidRDefault="00907C37">
      <w:pPr>
        <w:ind w:left="284"/>
        <w:jc w:val="center"/>
      </w:pPr>
      <w:r>
        <w:t>12 May 2010</w:t>
      </w:r>
    </w:p>
    <w:p w:rsidR="00907C37" w:rsidP="00907C37" w:rsidRDefault="00907C37">
      <w:pPr>
        <w:ind w:left="284"/>
        <w:jc w:val="center"/>
      </w:pPr>
    </w:p>
    <w:p w:rsidR="00527C54" w:rsidP="00527C54" w:rsidRDefault="00527C54">
      <w:pPr>
        <w:jc w:val="center"/>
        <w:rPr>
          <w:b/>
          <w:color w:val="FF0000"/>
          <w:szCs w:val="24"/>
          <w:u w:val="single"/>
        </w:rPr>
      </w:pPr>
      <w:bookmarkStart w:name="OLE_LINK1" w:id="2"/>
      <w:bookmarkStart w:name="OLE_LINK2" w:id="3"/>
      <w:bookmarkStart w:name="OLE_LINK14" w:id="4"/>
      <w:bookmarkStart w:name="OLE_LINK15" w:id="5"/>
      <w:r w:rsidRPr="008F13C5">
        <w:rPr>
          <w:b/>
          <w:color w:val="FF0000"/>
          <w:szCs w:val="24"/>
          <w:u w:val="single"/>
        </w:rPr>
        <w:t>FINAL</w:t>
      </w:r>
    </w:p>
    <w:p w:rsidRPr="008F13C5" w:rsidR="00527C54" w:rsidP="00527C54" w:rsidRDefault="00527C54">
      <w:pPr>
        <w:jc w:val="center"/>
        <w:rPr>
          <w:b/>
          <w:color w:val="FF0000"/>
          <w:szCs w:val="24"/>
          <w:u w:val="single"/>
        </w:rPr>
      </w:pPr>
    </w:p>
    <w:p w:rsidR="00527C54" w:rsidP="00527C54" w:rsidRDefault="00527C54">
      <w:pPr>
        <w:jc w:val="center"/>
        <w:rPr>
          <w:i/>
          <w:color w:val="FF0000"/>
          <w:szCs w:val="24"/>
        </w:rPr>
      </w:pPr>
      <w:r>
        <w:rPr>
          <w:i/>
          <w:color w:val="FF0000"/>
          <w:szCs w:val="24"/>
        </w:rPr>
        <w:t>12/08</w:t>
      </w:r>
      <w:r w:rsidRPr="008F13C5">
        <w:rPr>
          <w:i/>
          <w:color w:val="FF0000"/>
          <w:szCs w:val="24"/>
        </w:rPr>
        <w:t>/2010</w:t>
      </w:r>
    </w:p>
    <w:p w:rsidR="00527C54" w:rsidP="00527C54" w:rsidRDefault="00527C54">
      <w:pPr>
        <w:jc w:val="center"/>
        <w:rPr>
          <w:i/>
          <w:color w:val="FF0000"/>
          <w:szCs w:val="24"/>
        </w:rPr>
      </w:pPr>
    </w:p>
    <w:p w:rsidRPr="006540F9" w:rsidR="00527C54" w:rsidP="00527C54" w:rsidRDefault="00527C54">
      <w:pPr>
        <w:rPr>
          <w:i/>
          <w:color w:val="000000"/>
          <w:szCs w:val="24"/>
        </w:rPr>
      </w:pPr>
      <w:r w:rsidRPr="006540F9">
        <w:rPr>
          <w:i/>
          <w:color w:val="000000"/>
          <w:szCs w:val="24"/>
        </w:rPr>
        <w:t xml:space="preserve">This judgment </w:t>
      </w:r>
      <w:r>
        <w:rPr>
          <w:i/>
          <w:color w:val="000000"/>
          <w:szCs w:val="24"/>
        </w:rPr>
        <w:t>has become</w:t>
      </w:r>
      <w:r w:rsidRPr="006540F9">
        <w:rPr>
          <w:i/>
          <w:color w:val="000000"/>
          <w:szCs w:val="24"/>
        </w:rPr>
        <w:t xml:space="preserve"> final </w:t>
      </w:r>
      <w:r>
        <w:rPr>
          <w:i/>
          <w:color w:val="000000"/>
          <w:szCs w:val="24"/>
        </w:rPr>
        <w:t>under</w:t>
      </w:r>
      <w:r w:rsidRPr="006540F9">
        <w:rPr>
          <w:i/>
          <w:color w:val="000000"/>
          <w:szCs w:val="24"/>
        </w:rPr>
        <w:t xml:space="preserve"> Article 44 § 2 of the Convention. It may be subject to editorial revision.</w:t>
      </w:r>
    </w:p>
    <w:bookmarkEnd w:id="2"/>
    <w:bookmarkEnd w:id="3"/>
    <w:bookmarkEnd w:id="4"/>
    <w:bookmarkEnd w:id="5"/>
    <w:p w:rsidR="00907C37" w:rsidP="00B47052" w:rsidRDefault="00907C37">
      <w:pPr>
        <w:pStyle w:val="JuCase"/>
        <w:sectPr w:rsidR="00907C37" w:rsidSect="00907C37">
          <w:headerReference w:type="default" r:id="rId7"/>
          <w:footnotePr>
            <w:numRestart w:val="eachPage"/>
          </w:footnotePr>
          <w:pgSz w:w="11906" w:h="16838" w:code="9"/>
          <w:pgMar w:top="2274" w:right="2274" w:bottom="2274" w:left="2274" w:header="1701" w:footer="720" w:gutter="0"/>
          <w:pgNumType w:start="1"/>
          <w:cols w:space="720"/>
          <w:docGrid w:linePitch="254"/>
        </w:sectPr>
      </w:pPr>
    </w:p>
    <w:p w:rsidRPr="00D84DAD" w:rsidR="00260DD7" w:rsidP="00B47052" w:rsidRDefault="00260DD7">
      <w:pPr>
        <w:pStyle w:val="JuCase"/>
      </w:pPr>
      <w:r w:rsidRPr="00D84DAD">
        <w:t xml:space="preserve">In the case of </w:t>
      </w:r>
      <w:r w:rsidRPr="00D84DAD" w:rsidR="00D84DAD">
        <w:rPr>
          <w:rStyle w:val="JuCaseChar"/>
        </w:rPr>
        <w:t xml:space="preserve">Kammerer v. </w:t>
      </w:r>
      <w:smartTag w:uri="urn:schemas-microsoft-com:office:smarttags" w:element="place">
        <w:smartTag w:uri="urn:schemas-microsoft-com:office:smarttags" w:element="country-region">
          <w:r w:rsidR="00D84DAD" w:rsidRPr="00D84DAD">
            <w:rPr>
              <w:rStyle w:val="JuCaseChar"/>
            </w:rPr>
            <w:t>Austria</w:t>
          </w:r>
        </w:smartTag>
      </w:smartTag>
      <w:r w:rsidRPr="00D84DAD">
        <w:t>,</w:t>
      </w:r>
    </w:p>
    <w:p w:rsidRPr="00D84DAD" w:rsidR="002D0345" w:rsidP="002D0345" w:rsidRDefault="00260DD7">
      <w:pPr>
        <w:pStyle w:val="JuPara"/>
      </w:pPr>
      <w:r w:rsidRPr="00D84DAD">
        <w:t>The European Court of Human Rights</w:t>
      </w:r>
      <w:r w:rsidRPr="00D84DAD" w:rsidR="00D84DAD">
        <w:t xml:space="preserve"> (First Section)</w:t>
      </w:r>
      <w:r w:rsidRPr="00D84DAD">
        <w:t xml:space="preserve">, sitting as a </w:t>
      </w:r>
      <w:r w:rsidRPr="00D84DAD" w:rsidR="00D84DAD">
        <w:t>Chamber</w:t>
      </w:r>
      <w:r w:rsidRPr="00D84DAD" w:rsidR="002D0345">
        <w:t xml:space="preserve"> composed of:</w:t>
      </w:r>
    </w:p>
    <w:p w:rsidRPr="00D84DAD" w:rsidR="00260DD7" w:rsidP="002D0345" w:rsidRDefault="00907C37">
      <w:pPr>
        <w:pStyle w:val="JuJudges"/>
      </w:pPr>
      <w:r w:rsidRPr="00907C37">
        <w:tab/>
        <w:t>Christos</w:t>
      </w:r>
      <w:r>
        <w:t xml:space="preserve"> </w:t>
      </w:r>
      <w:r w:rsidRPr="00907C37">
        <w:t>Rozakis</w:t>
      </w:r>
      <w:r>
        <w:t>,</w:t>
      </w:r>
      <w:r w:rsidRPr="00907C37">
        <w:rPr>
          <w:i/>
        </w:rPr>
        <w:t xml:space="preserve"> President,</w:t>
      </w:r>
      <w:r>
        <w:rPr>
          <w:i/>
        </w:rPr>
        <w:br/>
      </w:r>
      <w:r w:rsidRPr="00907C37">
        <w:tab/>
        <w:t>Nina</w:t>
      </w:r>
      <w:r>
        <w:t xml:space="preserve"> </w:t>
      </w:r>
      <w:r w:rsidRPr="00907C37">
        <w:t>Vajić</w:t>
      </w:r>
      <w:r>
        <w:t>,</w:t>
      </w:r>
      <w:r>
        <w:rPr>
          <w:i/>
        </w:rPr>
        <w:br/>
      </w:r>
      <w:r w:rsidRPr="00907C37">
        <w:tab/>
        <w:t>Anatoly</w:t>
      </w:r>
      <w:r>
        <w:t xml:space="preserve"> </w:t>
      </w:r>
      <w:r w:rsidRPr="00907C37">
        <w:t>Kovler</w:t>
      </w:r>
      <w:r>
        <w:t>,</w:t>
      </w:r>
      <w:r>
        <w:rPr>
          <w:i/>
        </w:rPr>
        <w:br/>
      </w:r>
      <w:r w:rsidRPr="00907C37">
        <w:tab/>
        <w:t>Elisabeth</w:t>
      </w:r>
      <w:r>
        <w:t xml:space="preserve"> </w:t>
      </w:r>
      <w:r w:rsidRPr="00907C37">
        <w:t>Steiner</w:t>
      </w:r>
      <w:r>
        <w:t>,</w:t>
      </w:r>
      <w:r>
        <w:rPr>
          <w:i/>
        </w:rPr>
        <w:br/>
      </w:r>
      <w:r w:rsidRPr="00907C37">
        <w:tab/>
        <w:t>Khanlar</w:t>
      </w:r>
      <w:r>
        <w:t xml:space="preserve"> </w:t>
      </w:r>
      <w:r w:rsidRPr="00907C37">
        <w:t>Hajiyev</w:t>
      </w:r>
      <w:r>
        <w:t>,</w:t>
      </w:r>
      <w:r>
        <w:rPr>
          <w:i/>
        </w:rPr>
        <w:br/>
      </w:r>
      <w:r w:rsidRPr="00907C37">
        <w:tab/>
        <w:t>Dean</w:t>
      </w:r>
      <w:r>
        <w:t xml:space="preserve"> </w:t>
      </w:r>
      <w:r w:rsidRPr="00907C37">
        <w:t>Spielmann</w:t>
      </w:r>
      <w:r>
        <w:t>,</w:t>
      </w:r>
      <w:r>
        <w:rPr>
          <w:i/>
        </w:rPr>
        <w:br/>
      </w:r>
      <w:r w:rsidRPr="00907C37">
        <w:tab/>
        <w:t>Giorgio</w:t>
      </w:r>
      <w:r>
        <w:t xml:space="preserve"> </w:t>
      </w:r>
      <w:r w:rsidRPr="00907C37">
        <w:t>Malinverni</w:t>
      </w:r>
      <w:r>
        <w:t>,</w:t>
      </w:r>
      <w:r w:rsidRPr="00907C37">
        <w:rPr>
          <w:i/>
        </w:rPr>
        <w:t xml:space="preserve"> judges,</w:t>
      </w:r>
      <w:r w:rsidRPr="00D84DAD" w:rsidR="002D0345">
        <w:br/>
      </w:r>
      <w:r w:rsidRPr="00D84DAD" w:rsidR="00260DD7">
        <w:t>and</w:t>
      </w:r>
      <w:r w:rsidRPr="00D84DAD" w:rsidR="00FA0C4E">
        <w:t xml:space="preserve"> </w:t>
      </w:r>
      <w:r w:rsidRPr="00D84DAD" w:rsidR="00D84DAD">
        <w:t>Søren</w:t>
      </w:r>
      <w:r w:rsidRPr="00D84DAD" w:rsidR="00FA0C4E">
        <w:rPr>
          <w:rStyle w:val="JuSignedChar"/>
        </w:rPr>
        <w:t xml:space="preserve"> </w:t>
      </w:r>
      <w:r w:rsidRPr="00D84DAD" w:rsidR="00D84DAD">
        <w:t>Nielsen</w:t>
      </w:r>
      <w:r w:rsidRPr="00D84DAD" w:rsidR="00FA0C4E">
        <w:rPr>
          <w:rStyle w:val="JuSignedChar"/>
        </w:rPr>
        <w:t xml:space="preserve">, </w:t>
      </w:r>
      <w:r w:rsidRPr="00D84DAD" w:rsidR="00D84DAD">
        <w:rPr>
          <w:i/>
        </w:rPr>
        <w:t>Section Registrar</w:t>
      </w:r>
      <w:r w:rsidRPr="00D84DAD" w:rsidR="00260DD7">
        <w:t>,</w:t>
      </w:r>
    </w:p>
    <w:p w:rsidRPr="00D84DAD" w:rsidR="00260DD7" w:rsidRDefault="00260DD7">
      <w:pPr>
        <w:pStyle w:val="JuPara"/>
      </w:pPr>
      <w:r w:rsidRPr="00D84DAD">
        <w:t xml:space="preserve">Having deliberated in private on </w:t>
      </w:r>
      <w:r w:rsidR="00907C37">
        <w:t>22 April 2010</w:t>
      </w:r>
      <w:r w:rsidRPr="00D84DAD">
        <w:t>,</w:t>
      </w:r>
    </w:p>
    <w:p w:rsidRPr="00D84DAD" w:rsidR="00260DD7" w:rsidRDefault="00260DD7">
      <w:pPr>
        <w:pStyle w:val="JuPara"/>
      </w:pPr>
      <w:r w:rsidRPr="00D84DAD">
        <w:t>Delivers the following judgment, which was adopted on that date:</w:t>
      </w:r>
    </w:p>
    <w:p w:rsidRPr="00D84DAD" w:rsidR="00260DD7" w:rsidRDefault="00260DD7">
      <w:pPr>
        <w:pStyle w:val="JuHHead"/>
      </w:pPr>
      <w:r w:rsidRPr="00D84DAD">
        <w:t>PROCEDURE</w:t>
      </w:r>
    </w:p>
    <w:p w:rsidRPr="00D84DAD" w:rsidR="00260DD7" w:rsidP="00DC17B0" w:rsidRDefault="00E30FA3">
      <w:pPr>
        <w:pStyle w:val="JuPara"/>
      </w:pPr>
      <w:r>
        <w:fldChar w:fldCharType="begin"/>
      </w:r>
      <w:r>
        <w:instrText xml:space="preserve"> SEQ level0 \*arabic </w:instrText>
      </w:r>
      <w:r>
        <w:fldChar w:fldCharType="separate"/>
      </w:r>
      <w:r w:rsidR="0068274B">
        <w:rPr>
          <w:noProof/>
        </w:rPr>
        <w:t>1</w:t>
      </w:r>
      <w:r>
        <w:fldChar w:fldCharType="end"/>
      </w:r>
      <w:r>
        <w:t>.  </w:t>
      </w:r>
      <w:r w:rsidR="00076D89">
        <w:t>Th</w:t>
      </w:r>
      <w:r w:rsidRPr="00D84DAD" w:rsidR="00260DD7">
        <w:t xml:space="preserve">e case originated in </w:t>
      </w:r>
      <w:r w:rsidRPr="00D84DAD" w:rsidR="00D84DAD">
        <w:t>an application (no. 32435/06)</w:t>
      </w:r>
      <w:r w:rsidRPr="00D84DAD" w:rsidR="00260DD7">
        <w:t xml:space="preserve"> against </w:t>
      </w:r>
      <w:r w:rsidRPr="00D84DAD" w:rsidR="00D84DAD">
        <w:t xml:space="preserve">the </w:t>
      </w:r>
      <w:smartTag w:uri="urn:schemas-microsoft-com:office:smarttags" w:element="place">
        <w:smartTag w:uri="urn:schemas-microsoft-com:office:smarttags" w:element="PlaceType">
          <w:r w:rsidR="00D84DAD" w:rsidRPr="00D84DAD">
            <w:t>Republic</w:t>
          </w:r>
        </w:smartTag>
        <w:r w:rsidR="00D84DAD" w:rsidRPr="00D84DAD">
          <w:t xml:space="preserve"> of </w:t>
        </w:r>
        <w:smartTag w:uri="urn:schemas-microsoft-com:office:smarttags" w:element="PlaceName">
          <w:r w:rsidR="00D84DAD" w:rsidRPr="00D84DAD">
            <w:t>Austria</w:t>
          </w:r>
        </w:smartTag>
      </w:smartTag>
      <w:r w:rsidRPr="00D84DAD" w:rsidR="00260DD7">
        <w:t xml:space="preserve"> lodged with the </w:t>
      </w:r>
      <w:r w:rsidRPr="00D84DAD" w:rsidR="00D84DAD">
        <w:t>Court under Article 34</w:t>
      </w:r>
      <w:r w:rsidRPr="00D84DAD" w:rsidR="00260DD7">
        <w:t xml:space="preserve"> of the Convention for the Protection of Human Rights and Fundamental Freedoms (“the Convention”) by </w:t>
      </w:r>
      <w:r w:rsidR="00F94F11">
        <w:t xml:space="preserve">an </w:t>
      </w:r>
      <w:r w:rsidRPr="00D84DAD" w:rsidR="00D84DAD">
        <w:t>Austrian national, Mr Hermann Kammerer (“the applicant”), on 30 July 2006</w:t>
      </w:r>
      <w:r w:rsidRPr="00D84DAD" w:rsidR="00260DD7">
        <w:t>.</w:t>
      </w:r>
    </w:p>
    <w:p w:rsidR="00F94F11" w:rsidRDefault="00D84DAD">
      <w:pPr>
        <w:pStyle w:val="JuPara"/>
        <w:rPr>
          <w:color w:val="000000"/>
        </w:rPr>
      </w:pPr>
      <w:r w:rsidRPr="00D84DAD">
        <w:fldChar w:fldCharType="begin"/>
      </w:r>
      <w:r w:rsidRPr="00D84DAD">
        <w:instrText xml:space="preserve"> SEQ level0 \*arabic </w:instrText>
      </w:r>
      <w:r w:rsidRPr="00D84DAD">
        <w:fldChar w:fldCharType="separate"/>
      </w:r>
      <w:r w:rsidR="0068274B">
        <w:rPr>
          <w:noProof/>
        </w:rPr>
        <w:t>2</w:t>
      </w:r>
      <w:r w:rsidRPr="00D84DAD">
        <w:fldChar w:fldCharType="end"/>
      </w:r>
      <w:r w:rsidRPr="00D84DAD" w:rsidR="00260DD7">
        <w:t>.  </w:t>
      </w:r>
      <w:r w:rsidRPr="00D84DAD">
        <w:t xml:space="preserve">The applicant was represented by Mr W. Rainer, a lawyer practising in </w:t>
      </w:r>
      <w:smartTag w:uri="urn:schemas-microsoft-com:office:smarttags" w:element="place">
        <w:smartTag w:uri="urn:schemas-microsoft-com:office:smarttags" w:element="City">
          <w:r w:rsidRPr="00D84DAD">
            <w:t>Vienna</w:t>
          </w:r>
        </w:smartTag>
      </w:smartTag>
      <w:r w:rsidRPr="00D84DAD">
        <w:t xml:space="preserve">. </w:t>
      </w:r>
      <w:r w:rsidRPr="00D84DAD" w:rsidR="00260DD7">
        <w:t xml:space="preserve">The </w:t>
      </w:r>
      <w:r w:rsidRPr="00D84DAD">
        <w:t>Austrian</w:t>
      </w:r>
      <w:r w:rsidRPr="00D84DAD" w:rsidR="00260DD7">
        <w:t xml:space="preserve"> Government (“the Government”) were represented by their Agent, </w:t>
      </w:r>
      <w:r w:rsidR="00F94F11">
        <w:rPr>
          <w:color w:val="000000"/>
        </w:rPr>
        <w:t xml:space="preserve">Ambassador </w:t>
      </w:r>
      <w:r w:rsidR="00A61266">
        <w:rPr>
          <w:color w:val="000000"/>
        </w:rPr>
        <w:t>H. Tichy</w:t>
      </w:r>
      <w:r w:rsidR="00F94F11">
        <w:rPr>
          <w:color w:val="000000"/>
        </w:rPr>
        <w:t>, Head of the International Law Department at the Federal Ministry for Foreign Affairs.</w:t>
      </w:r>
    </w:p>
    <w:p w:rsidRPr="00D84DAD" w:rsidR="00260DD7" w:rsidRDefault="00D84DAD">
      <w:pPr>
        <w:pStyle w:val="JuPara"/>
      </w:pPr>
      <w:r w:rsidRPr="00D84DAD">
        <w:fldChar w:fldCharType="begin"/>
      </w:r>
      <w:r w:rsidRPr="00D84DAD">
        <w:instrText xml:space="preserve"> SEQ level0 \*arabic </w:instrText>
      </w:r>
      <w:r w:rsidRPr="00D84DAD">
        <w:fldChar w:fldCharType="separate"/>
      </w:r>
      <w:r w:rsidR="0068274B">
        <w:rPr>
          <w:noProof/>
        </w:rPr>
        <w:t>3</w:t>
      </w:r>
      <w:r w:rsidRPr="00D84DAD">
        <w:fldChar w:fldCharType="end"/>
      </w:r>
      <w:r w:rsidRPr="00D84DAD" w:rsidR="00260DD7">
        <w:t xml:space="preserve">.  The </w:t>
      </w:r>
      <w:r w:rsidRPr="00D84DAD">
        <w:t>applicant</w:t>
      </w:r>
      <w:r w:rsidRPr="00D84DAD" w:rsidR="00260DD7">
        <w:t xml:space="preserve"> alleged</w:t>
      </w:r>
      <w:r w:rsidR="00F94F11">
        <w:t>,</w:t>
      </w:r>
      <w:r w:rsidRPr="00D84DAD" w:rsidR="00260DD7">
        <w:t xml:space="preserve"> </w:t>
      </w:r>
      <w:r w:rsidR="00F94F11">
        <w:t>invoking Article 6 of the Convention, that his right to be heard had been infringed.</w:t>
      </w:r>
    </w:p>
    <w:p w:rsidRPr="00D84DAD" w:rsidR="00260DD7" w:rsidRDefault="00D84DAD">
      <w:pPr>
        <w:pStyle w:val="JuPara"/>
      </w:pPr>
      <w:r w:rsidRPr="00D84DAD">
        <w:fldChar w:fldCharType="begin"/>
      </w:r>
      <w:r w:rsidRPr="00D84DAD">
        <w:instrText xml:space="preserve"> SEQ level0 \*arabic </w:instrText>
      </w:r>
      <w:r w:rsidRPr="00D84DAD">
        <w:fldChar w:fldCharType="separate"/>
      </w:r>
      <w:r w:rsidR="0068274B">
        <w:rPr>
          <w:noProof/>
        </w:rPr>
        <w:t>4</w:t>
      </w:r>
      <w:r w:rsidRPr="00D84DAD">
        <w:fldChar w:fldCharType="end"/>
      </w:r>
      <w:r w:rsidRPr="00D84DAD" w:rsidR="00260DD7">
        <w:t>.  </w:t>
      </w:r>
      <w:r w:rsidR="00F94F11">
        <w:rPr>
          <w:color w:val="000000"/>
        </w:rPr>
        <w:t xml:space="preserve">On </w:t>
      </w:r>
      <w:r w:rsidR="003D1754">
        <w:rPr>
          <w:color w:val="000000"/>
        </w:rPr>
        <w:t>18 September 2008</w:t>
      </w:r>
      <w:r w:rsidR="00F94F11">
        <w:rPr>
          <w:color w:val="000000"/>
        </w:rPr>
        <w:t xml:space="preserve"> the Court decided to give notice of the application to the Government. Under the provision of Article 29 § 3 of the Convention, it decided to examine the merits of the application at the same time as its admissibility.</w:t>
      </w:r>
    </w:p>
    <w:p w:rsidRPr="00D84DAD" w:rsidR="00260DD7" w:rsidRDefault="00260DD7">
      <w:pPr>
        <w:pStyle w:val="JuHHead"/>
      </w:pPr>
      <w:r w:rsidRPr="00D84DAD">
        <w:t>THE FACTS</w:t>
      </w:r>
    </w:p>
    <w:p w:rsidRPr="00D84DAD" w:rsidR="00260DD7" w:rsidRDefault="00260DD7">
      <w:pPr>
        <w:pStyle w:val="JuHIRoman"/>
      </w:pPr>
      <w:r w:rsidRPr="00D84DAD">
        <w:t>THE CIRCUMSTANCES OF THE CASE</w:t>
      </w:r>
    </w:p>
    <w:p w:rsidRPr="00D84DAD" w:rsidR="00260DD7" w:rsidRDefault="00D84DAD">
      <w:pPr>
        <w:pStyle w:val="JuPara"/>
      </w:pPr>
      <w:r w:rsidRPr="00D84DAD">
        <w:fldChar w:fldCharType="begin"/>
      </w:r>
      <w:r w:rsidRPr="00D84DAD">
        <w:instrText xml:space="preserve"> SEQ level0 \*arabic </w:instrText>
      </w:r>
      <w:r w:rsidRPr="00D84DAD">
        <w:fldChar w:fldCharType="separate"/>
      </w:r>
      <w:r w:rsidR="0068274B">
        <w:rPr>
          <w:noProof/>
        </w:rPr>
        <w:t>5</w:t>
      </w:r>
      <w:r w:rsidRPr="00D84DAD">
        <w:fldChar w:fldCharType="end"/>
      </w:r>
      <w:r w:rsidRPr="00D84DAD" w:rsidR="00260DD7">
        <w:t xml:space="preserve">.  The </w:t>
      </w:r>
      <w:r w:rsidRPr="00D84DAD">
        <w:t>applicant was born in 1955 and lives</w:t>
      </w:r>
      <w:r w:rsidRPr="00D84DAD" w:rsidR="00260DD7">
        <w:t xml:space="preserve"> in </w:t>
      </w:r>
      <w:r w:rsidRPr="00D84DAD">
        <w:t>Axams</w:t>
      </w:r>
      <w:r w:rsidRPr="00D84DAD" w:rsidR="00260DD7">
        <w:t>.</w:t>
      </w:r>
    </w:p>
    <w:p w:rsidR="009468C1" w:rsidP="009468C1" w:rsidRDefault="00D84DAD">
      <w:pPr>
        <w:pStyle w:val="JuPara"/>
      </w:pPr>
      <w:r w:rsidRPr="00D84DAD">
        <w:fldChar w:fldCharType="begin"/>
      </w:r>
      <w:r w:rsidRPr="00D84DAD">
        <w:instrText xml:space="preserve"> SEQ level0 \*arabic </w:instrText>
      </w:r>
      <w:r w:rsidRPr="00D84DAD">
        <w:fldChar w:fldCharType="separate"/>
      </w:r>
      <w:r w:rsidR="0068274B">
        <w:rPr>
          <w:noProof/>
        </w:rPr>
        <w:t>6</w:t>
      </w:r>
      <w:r w:rsidRPr="00D84DAD">
        <w:fldChar w:fldCharType="end"/>
      </w:r>
      <w:r w:rsidRPr="00D84DAD" w:rsidR="00260DD7">
        <w:t>.  </w:t>
      </w:r>
      <w:r w:rsidR="009468C1">
        <w:t>On 30 June 2004 the Innsbruck District Administrative Authority (</w:t>
      </w:r>
      <w:r w:rsidRPr="006A5753" w:rsidR="009468C1">
        <w:rPr>
          <w:i/>
        </w:rPr>
        <w:t>Bezirkshauptmannschaft</w:t>
      </w:r>
      <w:r w:rsidR="009468C1">
        <w:t>, DAA) issued a provisional penal order (</w:t>
      </w:r>
      <w:r w:rsidRPr="006A5753" w:rsidR="009468C1">
        <w:rPr>
          <w:i/>
        </w:rPr>
        <w:t>Strafverfügung</w:t>
      </w:r>
      <w:r w:rsidR="009468C1">
        <w:t>) against the applicant</w:t>
      </w:r>
      <w:r w:rsidR="00411755">
        <w:t>,</w:t>
      </w:r>
      <w:r w:rsidR="009468C1">
        <w:t xml:space="preserve"> imposing a fine under the Motor Vehicles Act (</w:t>
      </w:r>
      <w:r w:rsidRPr="006A5753" w:rsidR="009468C1">
        <w:rPr>
          <w:i/>
        </w:rPr>
        <w:t>Kraftfahrzeuggesetz</w:t>
      </w:r>
      <w:r w:rsidR="009468C1">
        <w:t>) for non</w:t>
      </w:r>
      <w:r w:rsidR="00411755">
        <w:t>-</w:t>
      </w:r>
      <w:r w:rsidR="009468C1">
        <w:t>compliance with the obligations of registered owners to have their cars inspected on a regular basis for security reasons.</w:t>
      </w:r>
    </w:p>
    <w:p w:rsidR="009468C1" w:rsidP="009468C1" w:rsidRDefault="009468C1">
      <w:pPr>
        <w:pStyle w:val="JuPara"/>
      </w:pPr>
      <w:r>
        <w:fldChar w:fldCharType="begin"/>
      </w:r>
      <w:r>
        <w:instrText xml:space="preserve"> SEQ level0 \*arabic </w:instrText>
      </w:r>
      <w:r>
        <w:fldChar w:fldCharType="separate"/>
      </w:r>
      <w:r w:rsidR="0068274B">
        <w:rPr>
          <w:noProof/>
        </w:rPr>
        <w:t>7</w:t>
      </w:r>
      <w:r>
        <w:fldChar w:fldCharType="end"/>
      </w:r>
      <w:r>
        <w:t xml:space="preserve">.  On 6 July 2004 the applicant </w:t>
      </w:r>
      <w:r w:rsidR="00411755">
        <w:t>lodged</w:t>
      </w:r>
      <w:r>
        <w:t xml:space="preserve"> an objection </w:t>
      </w:r>
      <w:r w:rsidR="00411755">
        <w:t>to</w:t>
      </w:r>
      <w:r>
        <w:t xml:space="preserve"> this decision.</w:t>
      </w:r>
    </w:p>
    <w:p w:rsidR="009468C1" w:rsidP="009468C1" w:rsidRDefault="009468C1">
      <w:pPr>
        <w:pStyle w:val="JuPara"/>
      </w:pPr>
      <w:r>
        <w:fldChar w:fldCharType="begin"/>
      </w:r>
      <w:r>
        <w:instrText xml:space="preserve"> SEQ level0 \*arabic </w:instrText>
      </w:r>
      <w:r>
        <w:fldChar w:fldCharType="separate"/>
      </w:r>
      <w:r w:rsidR="0068274B">
        <w:rPr>
          <w:noProof/>
        </w:rPr>
        <w:t>8</w:t>
      </w:r>
      <w:r>
        <w:fldChar w:fldCharType="end"/>
      </w:r>
      <w:r>
        <w:t>.  On 12 July 2004 the DAA issued a penal order (</w:t>
      </w:r>
      <w:r w:rsidRPr="006A5753">
        <w:rPr>
          <w:i/>
        </w:rPr>
        <w:t>Straferkenntnis</w:t>
      </w:r>
      <w:r>
        <w:t>) confirming its previous decision and imposing a fine of 72</w:t>
      </w:r>
      <w:r w:rsidR="00411755">
        <w:t xml:space="preserve"> euros (EUR)</w:t>
      </w:r>
      <w:r>
        <w:t xml:space="preserve">, with </w:t>
      </w:r>
      <w:r w:rsidR="00411755">
        <w:t>twenty-four</w:t>
      </w:r>
      <w:r w:rsidR="00076D89">
        <w:t> </w:t>
      </w:r>
      <w:r>
        <w:t>hours</w:t>
      </w:r>
      <w:r w:rsidR="00527C54">
        <w:t>'</w:t>
      </w:r>
      <w:r>
        <w:t xml:space="preserve"> imprisonment in </w:t>
      </w:r>
      <w:r w:rsidR="00411755">
        <w:t xml:space="preserve">case of </w:t>
      </w:r>
      <w:r>
        <w:t>default, on the applicant.</w:t>
      </w:r>
    </w:p>
    <w:p w:rsidR="009468C1" w:rsidP="009468C1" w:rsidRDefault="009468C1">
      <w:pPr>
        <w:pStyle w:val="JuPara"/>
      </w:pPr>
      <w:r>
        <w:fldChar w:fldCharType="begin"/>
      </w:r>
      <w:r>
        <w:instrText xml:space="preserve"> SEQ level0 \*arabic </w:instrText>
      </w:r>
      <w:r>
        <w:fldChar w:fldCharType="separate"/>
      </w:r>
      <w:r w:rsidR="0068274B">
        <w:rPr>
          <w:noProof/>
        </w:rPr>
        <w:t>9</w:t>
      </w:r>
      <w:r>
        <w:fldChar w:fldCharType="end"/>
      </w:r>
      <w:r>
        <w:t>.  Assisted by counsel, the applicant appealed on 28 July 2004 to the Tirol Independent Administrative Panel (</w:t>
      </w:r>
      <w:r w:rsidRPr="00D817DE">
        <w:rPr>
          <w:i/>
        </w:rPr>
        <w:t>Unabhängiger Verwaltungssenat</w:t>
      </w:r>
      <w:r>
        <w:t>, IAP) alleging that he was not responsible for the regular car inspection since the car was permanently used by another person. Furthermore he argued that the car had been park</w:t>
      </w:r>
      <w:r w:rsidR="00411755">
        <w:t>ed at</w:t>
      </w:r>
      <w:r>
        <w:t xml:space="preserve"> the same spot for more than five weeks and was not </w:t>
      </w:r>
      <w:r w:rsidR="00411755">
        <w:t xml:space="preserve">in </w:t>
      </w:r>
      <w:r>
        <w:t xml:space="preserve">active use at the relevant time. He also requested that an oral hearing be held in which he and the actual user of the car </w:t>
      </w:r>
      <w:r w:rsidR="00411755">
        <w:t>c</w:t>
      </w:r>
      <w:r>
        <w:t>ould be heard as witness</w:t>
      </w:r>
      <w:r w:rsidR="00411755">
        <w:t>es</w:t>
      </w:r>
      <w:r>
        <w:t>.</w:t>
      </w:r>
    </w:p>
    <w:p w:rsidR="009468C1" w:rsidP="009468C1" w:rsidRDefault="009468C1">
      <w:pPr>
        <w:pStyle w:val="JuPara"/>
      </w:pPr>
      <w:r>
        <w:fldChar w:fldCharType="begin"/>
      </w:r>
      <w:r>
        <w:instrText xml:space="preserve"> SEQ level0 \*arabic </w:instrText>
      </w:r>
      <w:r>
        <w:fldChar w:fldCharType="separate"/>
      </w:r>
      <w:r w:rsidR="0068274B">
        <w:rPr>
          <w:noProof/>
        </w:rPr>
        <w:t>10</w:t>
      </w:r>
      <w:r>
        <w:fldChar w:fldCharType="end"/>
      </w:r>
      <w:r>
        <w:t>.  On 31 January 2005 the IAP scheduled an oral hearing for 22</w:t>
      </w:r>
      <w:r w:rsidR="00076D89">
        <w:t> </w:t>
      </w:r>
      <w:r>
        <w:t>February 2005.</w:t>
      </w:r>
    </w:p>
    <w:p w:rsidR="009468C1" w:rsidP="009468C1" w:rsidRDefault="007F417C">
      <w:pPr>
        <w:pStyle w:val="JuPara"/>
      </w:pPr>
      <w:r>
        <w:fldChar w:fldCharType="begin"/>
      </w:r>
      <w:r>
        <w:instrText xml:space="preserve"> SEQ level0 \*arabic </w:instrText>
      </w:r>
      <w:r>
        <w:fldChar w:fldCharType="separate"/>
      </w:r>
      <w:r w:rsidR="0068274B">
        <w:rPr>
          <w:noProof/>
        </w:rPr>
        <w:t>11</w:t>
      </w:r>
      <w:r>
        <w:fldChar w:fldCharType="end"/>
      </w:r>
      <w:r>
        <w:t>.  A</w:t>
      </w:r>
      <w:r w:rsidR="009468C1">
        <w:t xml:space="preserve"> summons was served on the applicant</w:t>
      </w:r>
      <w:r w:rsidR="00527C54">
        <w:t>'</w:t>
      </w:r>
      <w:r w:rsidR="009468C1">
        <w:t xml:space="preserve">s counsel </w:t>
      </w:r>
      <w:r>
        <w:t>on 3 February 2005</w:t>
      </w:r>
      <w:r w:rsidR="00411755">
        <w:t>,</w:t>
      </w:r>
      <w:r>
        <w:t xml:space="preserve"> </w:t>
      </w:r>
      <w:r w:rsidR="009468C1">
        <w:t>containing the standard text that the accused does not have to appear before the IAP personally but is free to send a representative instead.</w:t>
      </w:r>
    </w:p>
    <w:p w:rsidR="009468C1" w:rsidP="009468C1" w:rsidRDefault="007F417C">
      <w:pPr>
        <w:pStyle w:val="JuPara"/>
      </w:pPr>
      <w:r>
        <w:fldChar w:fldCharType="begin"/>
      </w:r>
      <w:r>
        <w:instrText xml:space="preserve"> SEQ level0 \*arabic </w:instrText>
      </w:r>
      <w:r>
        <w:fldChar w:fldCharType="separate"/>
      </w:r>
      <w:r w:rsidR="0068274B">
        <w:rPr>
          <w:noProof/>
        </w:rPr>
        <w:t>12</w:t>
      </w:r>
      <w:r>
        <w:fldChar w:fldCharType="end"/>
      </w:r>
      <w:r>
        <w:t>.  </w:t>
      </w:r>
      <w:r w:rsidR="00411755">
        <w:t>O</w:t>
      </w:r>
      <w:r w:rsidR="009468C1">
        <w:t>n the morning of 22 February 2005 the replacement of the applicant</w:t>
      </w:r>
      <w:r w:rsidR="00527C54">
        <w:t>'</w:t>
      </w:r>
      <w:r w:rsidR="009468C1">
        <w:t xml:space="preserve">s counsel informed the IAP that the applicant had been informed about the hearing only </w:t>
      </w:r>
      <w:r w:rsidR="00BF11E7">
        <w:t xml:space="preserve">a </w:t>
      </w:r>
      <w:r w:rsidR="009468C1">
        <w:t xml:space="preserve">few days before and that he could not attend the hearing since he was ill, neither could the requested witness appear as she was on holiday. He requested </w:t>
      </w:r>
      <w:r w:rsidR="00E91F50">
        <w:t>an</w:t>
      </w:r>
      <w:r w:rsidR="009468C1">
        <w:t xml:space="preserve"> adjourn</w:t>
      </w:r>
      <w:r w:rsidR="00E91F50">
        <w:t xml:space="preserve">ment of </w:t>
      </w:r>
      <w:r w:rsidR="009468C1">
        <w:t>the hearing, but the IAP refused.</w:t>
      </w:r>
    </w:p>
    <w:p w:rsidR="009468C1" w:rsidP="009468C1" w:rsidRDefault="007F417C">
      <w:pPr>
        <w:pStyle w:val="JuPara"/>
      </w:pPr>
      <w:r>
        <w:fldChar w:fldCharType="begin"/>
      </w:r>
      <w:r>
        <w:instrText xml:space="preserve"> SEQ level0 \*arabic </w:instrText>
      </w:r>
      <w:r>
        <w:fldChar w:fldCharType="separate"/>
      </w:r>
      <w:r w:rsidR="0068274B">
        <w:rPr>
          <w:noProof/>
        </w:rPr>
        <w:t>13</w:t>
      </w:r>
      <w:r>
        <w:fldChar w:fldCharType="end"/>
      </w:r>
      <w:r>
        <w:t>.  </w:t>
      </w:r>
      <w:r w:rsidR="009468C1">
        <w:t>On 22 February 2005 the hearing took place in the absence of the applicant but in the presence of his counsel, who again requested that the hearing be adjourned to hear the applicant and the witness. The IAP dismissed the applicant</w:t>
      </w:r>
      <w:r w:rsidR="00527C54">
        <w:t>'</w:t>
      </w:r>
      <w:r w:rsidR="009468C1">
        <w:t>s appeal and only amended a citation of the DAA</w:t>
      </w:r>
      <w:r w:rsidR="00527C54">
        <w:t>'</w:t>
      </w:r>
      <w:r w:rsidR="009468C1">
        <w:t>s decision. It found that even though the car was used by somebody else the applicant</w:t>
      </w:r>
      <w:r w:rsidR="00411755">
        <w:t>,</w:t>
      </w:r>
      <w:r w:rsidR="009468C1">
        <w:t xml:space="preserve"> as the registered owner has to </w:t>
      </w:r>
      <w:r w:rsidR="009B5B96">
        <w:t xml:space="preserve">check </w:t>
      </w:r>
      <w:r w:rsidR="009468C1">
        <w:t xml:space="preserve">that the car undergoes regular inspections. Therefore, the IAP </w:t>
      </w:r>
      <w:r w:rsidR="009B5B96">
        <w:t xml:space="preserve">did not </w:t>
      </w:r>
      <w:r w:rsidR="009468C1">
        <w:t>consider</w:t>
      </w:r>
      <w:r w:rsidR="009B5B96">
        <w:t xml:space="preserve"> it</w:t>
      </w:r>
      <w:r w:rsidR="009468C1">
        <w:t xml:space="preserve"> necessary</w:t>
      </w:r>
      <w:r w:rsidR="009B5B96">
        <w:t xml:space="preserve"> to question the witness</w:t>
      </w:r>
      <w:r w:rsidR="009468C1">
        <w:t xml:space="preserve">. As regards the request for </w:t>
      </w:r>
      <w:r w:rsidR="00BF11E7">
        <w:t>an</w:t>
      </w:r>
      <w:r w:rsidR="009468C1">
        <w:t xml:space="preserve"> adjournment of the hearing, the IAP found that the applicant</w:t>
      </w:r>
      <w:r w:rsidR="00527C54">
        <w:t>'</w:t>
      </w:r>
      <w:r w:rsidR="009468C1">
        <w:t xml:space="preserve">s interests had been taken care of by his counsel and that his presence had therefore not been necessary, all the more </w:t>
      </w:r>
      <w:r w:rsidR="00BF11E7">
        <w:t xml:space="preserve">so </w:t>
      </w:r>
      <w:r w:rsidR="009468C1">
        <w:t xml:space="preserve">as the facts were clear and </w:t>
      </w:r>
      <w:r w:rsidR="009B5B96">
        <w:t xml:space="preserve">it was </w:t>
      </w:r>
      <w:r w:rsidR="009468C1">
        <w:t xml:space="preserve">only questions of law </w:t>
      </w:r>
      <w:r w:rsidR="009B5B96">
        <w:t xml:space="preserve">which </w:t>
      </w:r>
      <w:r w:rsidR="009468C1">
        <w:t>had to be decided.</w:t>
      </w:r>
    </w:p>
    <w:p w:rsidR="009468C1" w:rsidP="009468C1" w:rsidRDefault="007F417C">
      <w:pPr>
        <w:pStyle w:val="JuPara"/>
      </w:pPr>
      <w:r>
        <w:fldChar w:fldCharType="begin"/>
      </w:r>
      <w:r>
        <w:instrText xml:space="preserve"> SEQ level0 \*arabic </w:instrText>
      </w:r>
      <w:r>
        <w:fldChar w:fldCharType="separate"/>
      </w:r>
      <w:r w:rsidR="0068274B">
        <w:rPr>
          <w:noProof/>
        </w:rPr>
        <w:t>14</w:t>
      </w:r>
      <w:r>
        <w:fldChar w:fldCharType="end"/>
      </w:r>
      <w:r>
        <w:t>.  </w:t>
      </w:r>
      <w:r w:rsidR="009468C1">
        <w:t xml:space="preserve">On 4 May 2005 the applicant lodged a complaint with the </w:t>
      </w:r>
      <w:smartTag w:uri="urn:schemas-microsoft-com:office:smarttags" w:element="Street">
        <w:smartTag w:uri="urn:schemas-microsoft-com:office:smarttags" w:element="address">
          <w:r w:rsidR="009468C1">
            <w:t>Constitutional Court</w:t>
          </w:r>
        </w:smartTag>
      </w:smartTag>
      <w:r w:rsidR="009468C1">
        <w:t xml:space="preserve"> in which he complained, </w:t>
      </w:r>
      <w:r w:rsidRPr="006122FF" w:rsidR="009468C1">
        <w:rPr>
          <w:i/>
        </w:rPr>
        <w:t>inter alia</w:t>
      </w:r>
      <w:r w:rsidR="009468C1">
        <w:t xml:space="preserve">, that the IAP had convicted him </w:t>
      </w:r>
      <w:r w:rsidRPr="006122FF" w:rsidR="009468C1">
        <w:rPr>
          <w:i/>
        </w:rPr>
        <w:t>in</w:t>
      </w:r>
      <w:r w:rsidR="009468C1">
        <w:t xml:space="preserve"> </w:t>
      </w:r>
      <w:r w:rsidRPr="006122FF" w:rsidR="009468C1">
        <w:rPr>
          <w:i/>
        </w:rPr>
        <w:t>absentia</w:t>
      </w:r>
      <w:r w:rsidR="009468C1">
        <w:t>.</w:t>
      </w:r>
    </w:p>
    <w:p w:rsidR="009468C1" w:rsidP="009468C1" w:rsidRDefault="007F417C">
      <w:pPr>
        <w:pStyle w:val="JuPara"/>
      </w:pPr>
      <w:r>
        <w:fldChar w:fldCharType="begin"/>
      </w:r>
      <w:r>
        <w:instrText xml:space="preserve"> SEQ level0 \*arabic </w:instrText>
      </w:r>
      <w:r>
        <w:fldChar w:fldCharType="separate"/>
      </w:r>
      <w:r w:rsidR="0068274B">
        <w:rPr>
          <w:noProof/>
        </w:rPr>
        <w:t>15</w:t>
      </w:r>
      <w:r>
        <w:fldChar w:fldCharType="end"/>
      </w:r>
      <w:r>
        <w:t>.  </w:t>
      </w:r>
      <w:r w:rsidR="009468C1">
        <w:t xml:space="preserve">On 13 June 2005 the </w:t>
      </w:r>
      <w:smartTag w:uri="urn:schemas-microsoft-com:office:smarttags" w:element="Street">
        <w:smartTag w:uri="urn:schemas-microsoft-com:office:smarttags" w:element="address">
          <w:r w:rsidR="009468C1">
            <w:t>Constitutional Court</w:t>
          </w:r>
        </w:smartTag>
      </w:smartTag>
      <w:r w:rsidR="009468C1">
        <w:t xml:space="preserve"> declined to deal with the applicant</w:t>
      </w:r>
      <w:r w:rsidR="00527C54">
        <w:t>'</w:t>
      </w:r>
      <w:r w:rsidR="009468C1">
        <w:t xml:space="preserve">s case since it did not involve a </w:t>
      </w:r>
      <w:r w:rsidR="00076D89">
        <w:t>question o</w:t>
      </w:r>
      <w:r w:rsidR="00987CBC">
        <w:t>f</w:t>
      </w:r>
      <w:r w:rsidR="00076D89">
        <w:t xml:space="preserve"> fundamental rights.</w:t>
      </w:r>
    </w:p>
    <w:p w:rsidR="009468C1" w:rsidP="009468C1" w:rsidRDefault="00342907">
      <w:pPr>
        <w:pStyle w:val="JuPara"/>
      </w:pPr>
      <w:r>
        <w:fldChar w:fldCharType="begin"/>
      </w:r>
      <w:r>
        <w:instrText xml:space="preserve"> SEQ level0 \*arabic </w:instrText>
      </w:r>
      <w:r>
        <w:fldChar w:fldCharType="separate"/>
      </w:r>
      <w:r w:rsidR="0068274B">
        <w:rPr>
          <w:noProof/>
        </w:rPr>
        <w:t>16</w:t>
      </w:r>
      <w:r>
        <w:fldChar w:fldCharType="end"/>
      </w:r>
      <w:r>
        <w:t>.  </w:t>
      </w:r>
      <w:r w:rsidR="009B5B96">
        <w:t xml:space="preserve">At the </w:t>
      </w:r>
      <w:r w:rsidR="009468C1">
        <w:t xml:space="preserve">request of the applicant the </w:t>
      </w:r>
      <w:smartTag w:uri="urn:schemas-microsoft-com:office:smarttags" w:element="Street">
        <w:smartTag w:uri="urn:schemas-microsoft-com:office:smarttags" w:element="address">
          <w:r w:rsidR="009468C1">
            <w:t>Constitutional Court</w:t>
          </w:r>
        </w:smartTag>
      </w:smartTag>
      <w:r w:rsidR="009468C1">
        <w:t xml:space="preserve"> transmitted the case on 29 July 2005 to the </w:t>
      </w:r>
      <w:smartTag w:uri="urn:schemas-microsoft-com:office:smarttags" w:element="Street">
        <w:smartTag w:uri="urn:schemas-microsoft-com:office:smarttags" w:element="address">
          <w:r w:rsidR="009468C1">
            <w:t>Administrative Court</w:t>
          </w:r>
        </w:smartTag>
      </w:smartTag>
      <w:r w:rsidR="009468C1">
        <w:t>.</w:t>
      </w:r>
    </w:p>
    <w:p w:rsidR="009468C1" w:rsidP="009468C1" w:rsidRDefault="00342907">
      <w:pPr>
        <w:pStyle w:val="JuPara"/>
      </w:pPr>
      <w:r>
        <w:fldChar w:fldCharType="begin"/>
      </w:r>
      <w:r>
        <w:instrText xml:space="preserve"> SEQ level0 \*arabic </w:instrText>
      </w:r>
      <w:r>
        <w:fldChar w:fldCharType="separate"/>
      </w:r>
      <w:r w:rsidR="0068274B">
        <w:rPr>
          <w:noProof/>
        </w:rPr>
        <w:t>17</w:t>
      </w:r>
      <w:r>
        <w:fldChar w:fldCharType="end"/>
      </w:r>
      <w:r>
        <w:t>.  </w:t>
      </w:r>
      <w:r w:rsidR="009468C1">
        <w:t xml:space="preserve">On 15 September 2005 the applicant modified his complaint </w:t>
      </w:r>
      <w:r w:rsidR="00E91F50">
        <w:t xml:space="preserve">lodged </w:t>
      </w:r>
      <w:r w:rsidR="009468C1">
        <w:t xml:space="preserve">with the </w:t>
      </w:r>
      <w:smartTag w:uri="urn:schemas-microsoft-com:office:smarttags" w:element="Street">
        <w:smartTag w:uri="urn:schemas-microsoft-com:office:smarttags" w:element="address">
          <w:r w:rsidR="009468C1">
            <w:t>Administrative Court</w:t>
          </w:r>
        </w:smartTag>
      </w:smartTag>
      <w:r w:rsidR="009468C1">
        <w:t>.</w:t>
      </w:r>
    </w:p>
    <w:p w:rsidR="009468C1" w:rsidP="009468C1" w:rsidRDefault="00342907">
      <w:pPr>
        <w:pStyle w:val="JuPara"/>
      </w:pPr>
      <w:r>
        <w:fldChar w:fldCharType="begin"/>
      </w:r>
      <w:r>
        <w:instrText xml:space="preserve"> SEQ level0 \*arabic </w:instrText>
      </w:r>
      <w:r>
        <w:fldChar w:fldCharType="separate"/>
      </w:r>
      <w:r w:rsidR="0068274B">
        <w:rPr>
          <w:noProof/>
        </w:rPr>
        <w:t>18</w:t>
      </w:r>
      <w:r>
        <w:fldChar w:fldCharType="end"/>
      </w:r>
      <w:r>
        <w:t>.  </w:t>
      </w:r>
      <w:r w:rsidR="009468C1">
        <w:t xml:space="preserve">On 27 January 2006 the </w:t>
      </w:r>
      <w:smartTag w:uri="urn:schemas-microsoft-com:office:smarttags" w:element="Street">
        <w:smartTag w:uri="urn:schemas-microsoft-com:office:smarttags" w:element="address">
          <w:r w:rsidR="009468C1">
            <w:t>Administrative Court</w:t>
          </w:r>
        </w:smartTag>
      </w:smartTag>
      <w:r w:rsidR="009468C1">
        <w:t xml:space="preserve"> refused to deal with the applicant</w:t>
      </w:r>
      <w:r w:rsidR="00527C54">
        <w:t>'</w:t>
      </w:r>
      <w:r w:rsidR="009468C1">
        <w:t xml:space="preserve">s complaint </w:t>
      </w:r>
      <w:r w:rsidR="009B5B96">
        <w:t>under</w:t>
      </w:r>
      <w:r w:rsidR="009468C1">
        <w:t xml:space="preserve"> section 33a of the Administrative Court Act since the amount of the penalty did not exceed </w:t>
      </w:r>
      <w:r w:rsidR="00E91F50">
        <w:t xml:space="preserve">EUR </w:t>
      </w:r>
      <w:r w:rsidR="009468C1">
        <w:t>750</w:t>
      </w:r>
      <w:r w:rsidR="00E91F50">
        <w:t xml:space="preserve"> </w:t>
      </w:r>
      <w:r w:rsidR="009468C1">
        <w:t>and no important legal issue was at stake</w:t>
      </w:r>
    </w:p>
    <w:p w:rsidRPr="00D84DAD" w:rsidR="00260DD7" w:rsidRDefault="00260DD7">
      <w:pPr>
        <w:pStyle w:val="JuHHead"/>
      </w:pPr>
      <w:r w:rsidRPr="00D84DAD">
        <w:t>THE LAW</w:t>
      </w:r>
    </w:p>
    <w:p w:rsidRPr="00D84DAD" w:rsidR="00D84DAD" w:rsidRDefault="00D84DAD">
      <w:pPr>
        <w:pStyle w:val="JuHIRoman"/>
      </w:pPr>
      <w:r w:rsidRPr="00D84DAD">
        <w:t xml:space="preserve">I.  ALLEGED VIOLATION OF ARTICLE </w:t>
      </w:r>
      <w:r w:rsidR="00936997">
        <w:t>6</w:t>
      </w:r>
      <w:r w:rsidRPr="00D84DAD">
        <w:t xml:space="preserve"> OF THE CONVENTION</w:t>
      </w:r>
    </w:p>
    <w:p w:rsidR="00936997" w:rsidP="00076D89" w:rsidRDefault="00342907">
      <w:pPr>
        <w:pStyle w:val="JuPara"/>
        <w:rPr>
          <w:color w:val="000000"/>
          <w:szCs w:val="24"/>
          <w:lang w:eastAsia="en-GB"/>
        </w:rPr>
      </w:pPr>
      <w:r>
        <w:fldChar w:fldCharType="begin"/>
      </w:r>
      <w:r>
        <w:instrText xml:space="preserve"> SEQ level0 \*arabic </w:instrText>
      </w:r>
      <w:r>
        <w:fldChar w:fldCharType="separate"/>
      </w:r>
      <w:r w:rsidR="0068274B">
        <w:rPr>
          <w:noProof/>
        </w:rPr>
        <w:t>19</w:t>
      </w:r>
      <w:r>
        <w:fldChar w:fldCharType="end"/>
      </w:r>
      <w:r>
        <w:t>.  </w:t>
      </w:r>
      <w:r w:rsidR="00936997">
        <w:t xml:space="preserve">The applicant complained that the IAP </w:t>
      </w:r>
      <w:r w:rsidR="009B5B96">
        <w:t xml:space="preserve">had </w:t>
      </w:r>
      <w:r w:rsidR="00936997">
        <w:t xml:space="preserve">held its hearing in his absence. </w:t>
      </w:r>
      <w:r w:rsidR="00936997">
        <w:rPr>
          <w:color w:val="000000"/>
          <w:szCs w:val="24"/>
          <w:lang w:eastAsia="en-GB"/>
        </w:rPr>
        <w:t>He</w:t>
      </w:r>
      <w:r w:rsidRPr="00BD7F40" w:rsidR="00936997">
        <w:rPr>
          <w:color w:val="000000"/>
          <w:szCs w:val="24"/>
          <w:lang w:eastAsia="en-GB"/>
        </w:rPr>
        <w:t xml:space="preserve"> relied on Article 6 of the Convention, which, in</w:t>
      </w:r>
      <w:r w:rsidR="00936997">
        <w:rPr>
          <w:color w:val="000000"/>
          <w:szCs w:val="24"/>
          <w:lang w:eastAsia="en-GB"/>
        </w:rPr>
        <w:t xml:space="preserve"> </w:t>
      </w:r>
      <w:r w:rsidRPr="00BD7F40" w:rsidR="00936997">
        <w:rPr>
          <w:color w:val="000000"/>
          <w:szCs w:val="24"/>
          <w:lang w:eastAsia="en-GB"/>
        </w:rPr>
        <w:t>so</w:t>
      </w:r>
      <w:r w:rsidR="00936997">
        <w:rPr>
          <w:color w:val="000000"/>
          <w:szCs w:val="24"/>
          <w:lang w:eastAsia="en-GB"/>
        </w:rPr>
        <w:t xml:space="preserve"> </w:t>
      </w:r>
      <w:r w:rsidRPr="00BD7F40" w:rsidR="00936997">
        <w:rPr>
          <w:color w:val="000000"/>
          <w:szCs w:val="24"/>
          <w:lang w:eastAsia="en-GB"/>
        </w:rPr>
        <w:t>far</w:t>
      </w:r>
      <w:r w:rsidR="00076D89">
        <w:rPr>
          <w:color w:val="000000"/>
          <w:szCs w:val="24"/>
          <w:lang w:eastAsia="en-GB"/>
        </w:rPr>
        <w:t xml:space="preserve"> as relevant, reads as follows:</w:t>
      </w:r>
    </w:p>
    <w:p w:rsidR="00936997" w:rsidP="00936997" w:rsidRDefault="00936997">
      <w:pPr>
        <w:pStyle w:val="JuQuot"/>
      </w:pPr>
      <w:r>
        <w:t>“1.</w:t>
      </w:r>
      <w:r w:rsidR="00076D89">
        <w:t> </w:t>
      </w:r>
      <w:r>
        <w:t xml:space="preserve"> In the determination of </w:t>
      </w:r>
      <w:r w:rsidR="00907C37">
        <w:t>...</w:t>
      </w:r>
      <w:r>
        <w:t xml:space="preserve"> any criminal charge against him, everyone is entitled to a fair and public hearing within a reasonable time by an independent and impartial tribunal established by law. (</w:t>
      </w:r>
      <w:r w:rsidR="00907C37">
        <w:t>...</w:t>
      </w:r>
      <w:r>
        <w:t>)</w:t>
      </w:r>
    </w:p>
    <w:p w:rsidR="00936997" w:rsidP="00936997" w:rsidRDefault="00907C37">
      <w:pPr>
        <w:pStyle w:val="JuQuot"/>
      </w:pPr>
      <w:r>
        <w:t>...</w:t>
      </w:r>
    </w:p>
    <w:p w:rsidR="00936997" w:rsidP="00936997" w:rsidRDefault="00936997">
      <w:pPr>
        <w:pStyle w:val="JuQuot"/>
      </w:pPr>
      <w:r>
        <w:t>3.  Everyone charged with a criminal offence has the following minimum rights:</w:t>
      </w:r>
    </w:p>
    <w:p w:rsidR="00936997" w:rsidP="00936997" w:rsidRDefault="00907C37">
      <w:pPr>
        <w:pStyle w:val="JuQuot"/>
      </w:pPr>
      <w:r>
        <w:t>...</w:t>
      </w:r>
    </w:p>
    <w:p w:rsidRPr="00D84DAD" w:rsidR="00936997" w:rsidP="00936997" w:rsidRDefault="00936997">
      <w:pPr>
        <w:pStyle w:val="JuQuot"/>
      </w:pPr>
      <w:r>
        <w:t>(c)  to defend himself in person or through legal assistance of his own choosing or, if he has not sufficient means to pay for legal assistance, to be given it free when the interests of justice so require;</w:t>
      </w:r>
    </w:p>
    <w:p w:rsidRPr="00D84DAD" w:rsidR="00D84DAD" w:rsidRDefault="00D84DAD">
      <w:pPr>
        <w:pStyle w:val="JuHA"/>
      </w:pPr>
      <w:r w:rsidRPr="00D84DAD">
        <w:t>A.  </w:t>
      </w:r>
      <w:r w:rsidR="00936997">
        <w:t>Admissibility</w:t>
      </w:r>
    </w:p>
    <w:p w:rsidRPr="00D84DAD" w:rsidR="00D84DAD" w:rsidRDefault="00D84DAD">
      <w:pPr>
        <w:pStyle w:val="JuPara"/>
      </w:pPr>
      <w:r w:rsidRPr="00D84DAD">
        <w:fldChar w:fldCharType="begin"/>
      </w:r>
      <w:r w:rsidRPr="00D84DAD">
        <w:instrText xml:space="preserve"> SEQ level0 \*arabic </w:instrText>
      </w:r>
      <w:r w:rsidRPr="00D84DAD">
        <w:fldChar w:fldCharType="separate"/>
      </w:r>
      <w:r w:rsidR="0068274B">
        <w:rPr>
          <w:noProof/>
        </w:rPr>
        <w:t>20</w:t>
      </w:r>
      <w:r w:rsidRPr="00D84DAD">
        <w:fldChar w:fldCharType="end"/>
      </w:r>
      <w:r w:rsidRPr="00D84DAD">
        <w:t>.  </w:t>
      </w:r>
      <w:r w:rsidRPr="00D46311" w:rsidR="00936997">
        <w:t>The Court notes that this complaint is not manifestly ill-founded within the meaning of Article 35 § 3 of the Convention. It further notes that it is not inadmissible on any other grounds. It must therefore be declared admissible.</w:t>
      </w:r>
    </w:p>
    <w:p w:rsidRPr="00D84DAD" w:rsidR="00D84DAD" w:rsidRDefault="00D84DAD">
      <w:pPr>
        <w:pStyle w:val="JuHA"/>
      </w:pPr>
      <w:r w:rsidRPr="00D84DAD">
        <w:t>B.  </w:t>
      </w:r>
      <w:r w:rsidR="00936997">
        <w:t>Merits</w:t>
      </w:r>
    </w:p>
    <w:p w:rsidR="00D84DAD" w:rsidRDefault="00936997">
      <w:pPr>
        <w:pStyle w:val="JuPara"/>
      </w:pPr>
      <w:r>
        <w:fldChar w:fldCharType="begin"/>
      </w:r>
      <w:r>
        <w:instrText xml:space="preserve"> SEQ level0 \*arabic </w:instrText>
      </w:r>
      <w:r>
        <w:fldChar w:fldCharType="separate"/>
      </w:r>
      <w:r w:rsidR="0068274B">
        <w:rPr>
          <w:noProof/>
        </w:rPr>
        <w:t>21</w:t>
      </w:r>
      <w:r>
        <w:fldChar w:fldCharType="end"/>
      </w:r>
      <w:r>
        <w:t>.  </w:t>
      </w:r>
      <w:r w:rsidR="00D3782D">
        <w:t xml:space="preserve">The applicant </w:t>
      </w:r>
      <w:r w:rsidR="00C0198E">
        <w:t xml:space="preserve">submitted </w:t>
      </w:r>
      <w:r w:rsidR="00D3782D">
        <w:t xml:space="preserve">that even though he had </w:t>
      </w:r>
      <w:r w:rsidR="009B5B96">
        <w:t xml:space="preserve">made </w:t>
      </w:r>
      <w:r w:rsidR="00D3782D">
        <w:t>repeated request</w:t>
      </w:r>
      <w:r w:rsidR="009B5B96">
        <w:t>s</w:t>
      </w:r>
      <w:r w:rsidR="00D3782D">
        <w:t xml:space="preserve">, he had never </w:t>
      </w:r>
      <w:r w:rsidR="00E91F50">
        <w:t xml:space="preserve">been </w:t>
      </w:r>
      <w:r w:rsidR="00D3782D">
        <w:t>he</w:t>
      </w:r>
      <w:r w:rsidR="00C0198E">
        <w:t xml:space="preserve">ard in person </w:t>
      </w:r>
      <w:r w:rsidR="009B5B96">
        <w:t xml:space="preserve">throughout </w:t>
      </w:r>
      <w:r w:rsidR="00C0198E">
        <w:t xml:space="preserve">the </w:t>
      </w:r>
      <w:r w:rsidR="00D3782D">
        <w:t>administrative criminal proceedings against him.</w:t>
      </w:r>
      <w:r w:rsidR="00C0198E">
        <w:t xml:space="preserve"> Furthermore his counsel had </w:t>
      </w:r>
      <w:r w:rsidR="009B5B96">
        <w:t xml:space="preserve">twice </w:t>
      </w:r>
      <w:r w:rsidR="00C0198E">
        <w:t xml:space="preserve">requested </w:t>
      </w:r>
      <w:r w:rsidR="009B5B96">
        <w:t xml:space="preserve">that </w:t>
      </w:r>
      <w:r w:rsidR="00C0198E">
        <w:t>the hear</w:t>
      </w:r>
      <w:r w:rsidR="007B5844">
        <w:t xml:space="preserve">ing </w:t>
      </w:r>
      <w:r w:rsidR="009B5B96">
        <w:t>be adjourned</w:t>
      </w:r>
      <w:r w:rsidR="00E91F50">
        <w:t>,</w:t>
      </w:r>
      <w:r w:rsidR="009B5B96">
        <w:t xml:space="preserve"> </w:t>
      </w:r>
      <w:r w:rsidR="007B5844">
        <w:t>since the applicant could no</w:t>
      </w:r>
      <w:r w:rsidR="00C0198E">
        <w:t xml:space="preserve">t take part </w:t>
      </w:r>
      <w:r w:rsidR="009B5B96">
        <w:t>for</w:t>
      </w:r>
      <w:r w:rsidR="00C0198E">
        <w:t xml:space="preserve"> health reasons. </w:t>
      </w:r>
      <w:r w:rsidR="00FF6E1B">
        <w:t xml:space="preserve">In this regard he referred to the cases </w:t>
      </w:r>
      <w:r w:rsidR="009B5B96">
        <w:t xml:space="preserve">of </w:t>
      </w:r>
      <w:r w:rsidRPr="00FF6E1B" w:rsidR="00FF6E1B">
        <w:rPr>
          <w:i/>
        </w:rPr>
        <w:t>Yavuz v</w:t>
      </w:r>
      <w:r w:rsidR="00FF6E1B">
        <w:rPr>
          <w:i/>
        </w:rPr>
        <w:t>.</w:t>
      </w:r>
      <w:r w:rsidRPr="00FF6E1B" w:rsidR="00FF6E1B">
        <w:rPr>
          <w:i/>
        </w:rPr>
        <w:t xml:space="preserve"> </w:t>
      </w:r>
      <w:smartTag w:uri="urn:schemas-microsoft-com:office:smarttags" w:element="country-region">
        <w:r w:rsidR="00FF6E1B" w:rsidRPr="00FF6E1B">
          <w:rPr>
            <w:i/>
          </w:rPr>
          <w:t>Austria</w:t>
        </w:r>
      </w:smartTag>
      <w:r w:rsidR="00FF6E1B">
        <w:t xml:space="preserve"> (no. 46549/99, judgment of 27 May 2004) and </w:t>
      </w:r>
      <w:r w:rsidR="00A61266">
        <w:rPr>
          <w:i/>
        </w:rPr>
        <w:t>Kaya v. </w:t>
      </w:r>
      <w:r w:rsidRPr="002B2A58" w:rsidR="00FF6E1B">
        <w:rPr>
          <w:i/>
        </w:rPr>
        <w:t>Austria</w:t>
      </w:r>
      <w:r w:rsidR="00FF6E1B">
        <w:t xml:space="preserve"> (no.</w:t>
      </w:r>
      <w:r w:rsidR="00076D89">
        <w:t> </w:t>
      </w:r>
      <w:r w:rsidR="00FF6E1B">
        <w:t>54698/00, judgment of 8 June 2006).</w:t>
      </w:r>
    </w:p>
    <w:p w:rsidR="00EF0CFE" w:rsidP="00EF0CFE" w:rsidRDefault="00FF6E1B">
      <w:pPr>
        <w:pStyle w:val="JuPara"/>
      </w:pPr>
      <w:r>
        <w:fldChar w:fldCharType="begin"/>
      </w:r>
      <w:r>
        <w:instrText xml:space="preserve"> SEQ level0 \*arabic </w:instrText>
      </w:r>
      <w:r>
        <w:fldChar w:fldCharType="separate"/>
      </w:r>
      <w:r w:rsidR="0068274B">
        <w:rPr>
          <w:noProof/>
        </w:rPr>
        <w:t>22</w:t>
      </w:r>
      <w:r>
        <w:fldChar w:fldCharType="end"/>
      </w:r>
      <w:r>
        <w:t>.  The Government argued that a hearing held in the absence of the defendant did not violate Article 6</w:t>
      </w:r>
      <w:r w:rsidR="007B5844">
        <w:t xml:space="preserve"> of the Convention</w:t>
      </w:r>
      <w:r>
        <w:t xml:space="preserve"> if the defendant </w:t>
      </w:r>
      <w:r w:rsidR="00827510">
        <w:t>was</w:t>
      </w:r>
      <w:r>
        <w:t xml:space="preserve"> not punished for his absence in the proceedings and if his right to legal assistance </w:t>
      </w:r>
      <w:r w:rsidR="00827510">
        <w:t>was</w:t>
      </w:r>
      <w:r>
        <w:t xml:space="preserve"> not restricted</w:t>
      </w:r>
      <w:r w:rsidR="00917272">
        <w:t xml:space="preserve">, on account </w:t>
      </w:r>
      <w:r w:rsidR="00827510">
        <w:t xml:space="preserve">of the fact </w:t>
      </w:r>
      <w:r w:rsidR="00917272">
        <w:t>that the defendant was represented in the proceedings by legal counsel. Moreover</w:t>
      </w:r>
      <w:r w:rsidR="00827510">
        <w:t>,</w:t>
      </w:r>
      <w:r w:rsidR="00917272">
        <w:t xml:space="preserve"> the presence of the defendant at an oral hearing</w:t>
      </w:r>
      <w:r w:rsidR="007B5844">
        <w:t xml:space="preserve"> was</w:t>
      </w:r>
      <w:r w:rsidR="00917272">
        <w:t xml:space="preserve"> not necessary when </w:t>
      </w:r>
      <w:r w:rsidR="00827510">
        <w:t xml:space="preserve">the </w:t>
      </w:r>
      <w:r w:rsidR="00917272">
        <w:t xml:space="preserve">only questions </w:t>
      </w:r>
      <w:r w:rsidR="00ED6863">
        <w:t xml:space="preserve">addressed </w:t>
      </w:r>
      <w:r w:rsidR="00827510">
        <w:t xml:space="preserve">were those </w:t>
      </w:r>
      <w:r w:rsidR="00ED6863">
        <w:t xml:space="preserve">which merely required an </w:t>
      </w:r>
      <w:r w:rsidR="00917272">
        <w:t>assessment of evidence and did not relate to the personality of the defendant.</w:t>
      </w:r>
      <w:r w:rsidR="00095E34">
        <w:t xml:space="preserve"> According to the applicant</w:t>
      </w:r>
      <w:r w:rsidR="00527C54">
        <w:t>'</w:t>
      </w:r>
      <w:r w:rsidR="00095E34">
        <w:t xml:space="preserve">s written submission, which </w:t>
      </w:r>
      <w:r w:rsidR="00827510">
        <w:t>was</w:t>
      </w:r>
      <w:r w:rsidR="00095E34">
        <w:t xml:space="preserve"> completely identical </w:t>
      </w:r>
      <w:r w:rsidR="00827510">
        <w:t>to</w:t>
      </w:r>
      <w:r w:rsidR="00095E34">
        <w:t xml:space="preserve"> the counsel</w:t>
      </w:r>
      <w:r w:rsidR="00527C54">
        <w:t>'</w:t>
      </w:r>
      <w:r w:rsidR="00095E34">
        <w:t xml:space="preserve">s oral pleadings, he merely claimed that he had left the motor vehicle </w:t>
      </w:r>
      <w:r w:rsidR="00E91F50">
        <w:t>with</w:t>
      </w:r>
      <w:r w:rsidR="00095E34">
        <w:t xml:space="preserve"> a third person</w:t>
      </w:r>
      <w:r w:rsidR="00827510">
        <w:t xml:space="preserve"> and that </w:t>
      </w:r>
      <w:r w:rsidR="00095E34">
        <w:t xml:space="preserve">therefore </w:t>
      </w:r>
      <w:r w:rsidRPr="006F35D0" w:rsidR="00795DB7">
        <w:t>t</w:t>
      </w:r>
      <w:r w:rsidRPr="006F35D0" w:rsidR="00095E34">
        <w:t>h</w:t>
      </w:r>
      <w:r w:rsidRPr="006F35D0" w:rsidR="00795DB7">
        <w:t>e applicant</w:t>
      </w:r>
      <w:r w:rsidR="00527C54">
        <w:t>'</w:t>
      </w:r>
      <w:r w:rsidRPr="006F35D0" w:rsidR="00795DB7">
        <w:t>s</w:t>
      </w:r>
      <w:r w:rsidR="00095E34">
        <w:t xml:space="preserve"> presence was not necessary. Moreover the IAP took full account of the applicant</w:t>
      </w:r>
      <w:r w:rsidR="00527C54">
        <w:t>'</w:t>
      </w:r>
      <w:r w:rsidR="00095E34">
        <w:t>s submissions. Lastly</w:t>
      </w:r>
      <w:r w:rsidR="00827510">
        <w:t>,</w:t>
      </w:r>
      <w:r w:rsidR="00095E34">
        <w:t xml:space="preserve"> the Government argued that the applicant had waived his right to attend the hearing on 22 February 2005, since he had not presented any medical certificate </w:t>
      </w:r>
      <w:r w:rsidR="00827510">
        <w:t>as evidence</w:t>
      </w:r>
      <w:r w:rsidR="007B5844">
        <w:t xml:space="preserve"> of</w:t>
      </w:r>
      <w:r w:rsidR="00095E34">
        <w:t xml:space="preserve"> his sudden illness.</w:t>
      </w:r>
    </w:p>
    <w:p w:rsidR="00812650" w:rsidP="00812650" w:rsidRDefault="00812650">
      <w:pPr>
        <w:pStyle w:val="JuPara"/>
      </w:pPr>
      <w:r>
        <w:fldChar w:fldCharType="begin"/>
      </w:r>
      <w:r>
        <w:instrText xml:space="preserve"> SEQ level0 \*arabic </w:instrText>
      </w:r>
      <w:r>
        <w:fldChar w:fldCharType="separate"/>
      </w:r>
      <w:r w:rsidR="0068274B">
        <w:rPr>
          <w:noProof/>
        </w:rPr>
        <w:t>23</w:t>
      </w:r>
      <w:r>
        <w:fldChar w:fldCharType="end"/>
      </w:r>
      <w:r>
        <w:t>.  The Court reiterates that an oral, and public, hearing constitutes a fundamental principle enshrined in Article 6 § 1. This principle is particularly important in the criminal context, where generally there must be at first instance a tribunal which fully me</w:t>
      </w:r>
      <w:r w:rsidR="00A61266">
        <w:t>ets the requirements of Article </w:t>
      </w:r>
      <w:r>
        <w:t xml:space="preserve">6 (see </w:t>
      </w:r>
      <w:r>
        <w:rPr>
          <w:rStyle w:val="ju-005fpara--char"/>
          <w:i/>
          <w:iCs/>
        </w:rPr>
        <w:t>Findlay v. the United Kingdom</w:t>
      </w:r>
      <w:r>
        <w:t xml:space="preserve">, judgment of 25 February 1997, </w:t>
      </w:r>
      <w:r>
        <w:rPr>
          <w:rStyle w:val="ju-005fpara--char"/>
          <w:i/>
          <w:iCs/>
        </w:rPr>
        <w:t>Reports of Judgments and Decisions</w:t>
      </w:r>
      <w:r>
        <w:t xml:space="preserve"> 1997-I, § 79). Moreover, the right of an accused to participate in person in the proceedings is a fundamental element of a fair trial (see </w:t>
      </w:r>
      <w:r>
        <w:rPr>
          <w:rStyle w:val="ju-005fpara--char"/>
          <w:i/>
          <w:iCs/>
        </w:rPr>
        <w:t>Colozza v. Italy</w:t>
      </w:r>
      <w:r>
        <w:t>, judgment of 12 February 1985, S</w:t>
      </w:r>
      <w:r w:rsidR="00A61266">
        <w:t>eries A no. </w:t>
      </w:r>
      <w:r>
        <w:t xml:space="preserve">89, p. 14, § 27; </w:t>
      </w:r>
      <w:r w:rsidRPr="00EF7681">
        <w:rPr>
          <w:i/>
          <w:szCs w:val="24"/>
          <w:lang w:eastAsia="en-US"/>
        </w:rPr>
        <w:t xml:space="preserve">Stoichkov v. </w:t>
      </w:r>
      <w:smartTag w:uri="urn:schemas-microsoft-com:office:smarttags" w:element="country-region">
        <w:smartTag w:uri="urn:schemas-microsoft-com:office:smarttags" w:element="place">
          <w:r w:rsidRPr="00EF7681">
            <w:rPr>
              <w:i/>
              <w:szCs w:val="24"/>
              <w:lang w:eastAsia="en-US"/>
            </w:rPr>
            <w:t>Bulgaria</w:t>
          </w:r>
        </w:smartTag>
      </w:smartTag>
      <w:r w:rsidRPr="00EF7681">
        <w:rPr>
          <w:szCs w:val="24"/>
          <w:lang w:eastAsia="en-US"/>
        </w:rPr>
        <w:t>, no. 9808/0</w:t>
      </w:r>
      <w:r>
        <w:rPr>
          <w:szCs w:val="24"/>
          <w:lang w:eastAsia="en-US"/>
        </w:rPr>
        <w:t>2, § 55</w:t>
      </w:r>
      <w:r w:rsidR="00A61266">
        <w:rPr>
          <w:szCs w:val="24"/>
          <w:lang w:eastAsia="en-US"/>
        </w:rPr>
        <w:t>, 24 </w:t>
      </w:r>
      <w:r w:rsidRPr="00EF7681">
        <w:rPr>
          <w:szCs w:val="24"/>
          <w:lang w:eastAsia="en-US"/>
        </w:rPr>
        <w:t>March 2005</w:t>
      </w:r>
      <w:r>
        <w:rPr>
          <w:szCs w:val="24"/>
          <w:lang w:eastAsia="en-US"/>
        </w:rPr>
        <w:t>).</w:t>
      </w:r>
    </w:p>
    <w:p w:rsidRPr="00D16877" w:rsidR="00812650" w:rsidP="00A61266" w:rsidRDefault="00812650">
      <w:pPr>
        <w:pStyle w:val="JuPara"/>
        <w:rPr>
          <w:szCs w:val="24"/>
          <w:lang w:eastAsia="en-US"/>
        </w:rPr>
      </w:pPr>
      <w:r>
        <w:fldChar w:fldCharType="begin"/>
      </w:r>
      <w:r>
        <w:instrText xml:space="preserve"> SEQ level0 \*arabic </w:instrText>
      </w:r>
      <w:r>
        <w:fldChar w:fldCharType="separate"/>
      </w:r>
      <w:r w:rsidR="0068274B">
        <w:rPr>
          <w:noProof/>
        </w:rPr>
        <w:t>24</w:t>
      </w:r>
      <w:r>
        <w:fldChar w:fldCharType="end"/>
      </w:r>
      <w:r>
        <w:t>.  That said, these obligations are not absolute. There may be proceedings in which an oral hearing may not be required, for example where there are no issues of credibility or con</w:t>
      </w:r>
      <w:smartTag w:uri="urn:schemas-microsoft-com:office:smarttags" w:element="PersonName">
        <w:r>
          <w:t>test</w:t>
        </w:r>
      </w:smartTag>
      <w:r>
        <w:t>ed facts which necessitate a hearing and the courts may fairly and reasonably decide the case on the basis of the parties</w:t>
      </w:r>
      <w:r w:rsidR="00527C54">
        <w:t>'</w:t>
      </w:r>
      <w:r>
        <w:t xml:space="preserve"> submissions and other written materials (</w:t>
      </w:r>
      <w:r w:rsidR="00A61266">
        <w:rPr>
          <w:i/>
          <w:szCs w:val="24"/>
          <w:lang w:eastAsia="en-US"/>
        </w:rPr>
        <w:t>Jussila </w:t>
      </w:r>
      <w:r w:rsidRPr="00D16877">
        <w:rPr>
          <w:i/>
          <w:szCs w:val="24"/>
          <w:lang w:eastAsia="en-US"/>
        </w:rPr>
        <w:t xml:space="preserve">v. </w:t>
      </w:r>
      <w:smartTag w:uri="urn:schemas-microsoft-com:office:smarttags" w:element="place">
        <w:smartTag w:uri="urn:schemas-microsoft-com:office:smarttags" w:element="country-region">
          <w:r w:rsidRPr="00D16877">
            <w:rPr>
              <w:i/>
              <w:szCs w:val="24"/>
              <w:lang w:eastAsia="en-US"/>
            </w:rPr>
            <w:t>Finland</w:t>
          </w:r>
        </w:smartTag>
      </w:smartTag>
      <w:r w:rsidRPr="00D16877">
        <w:rPr>
          <w:szCs w:val="24"/>
          <w:lang w:eastAsia="en-US"/>
        </w:rPr>
        <w:t xml:space="preserve"> [GC], no. 73053/01, § </w:t>
      </w:r>
      <w:r>
        <w:rPr>
          <w:szCs w:val="24"/>
          <w:lang w:eastAsia="en-US"/>
        </w:rPr>
        <w:t>41</w:t>
      </w:r>
      <w:r w:rsidRPr="00D16877">
        <w:rPr>
          <w:szCs w:val="24"/>
          <w:lang w:eastAsia="en-US"/>
        </w:rPr>
        <w:t>, ECHR 2006</w:t>
      </w:r>
      <w:r w:rsidRPr="00D16877">
        <w:rPr>
          <w:szCs w:val="24"/>
          <w:lang w:eastAsia="en-US"/>
        </w:rPr>
        <w:noBreakHyphen/>
        <w:t>XIII</w:t>
      </w:r>
      <w:r>
        <w:rPr>
          <w:szCs w:val="24"/>
          <w:lang w:eastAsia="en-US"/>
        </w:rPr>
        <w:t xml:space="preserve">). </w:t>
      </w:r>
      <w:r>
        <w:t xml:space="preserve">Likewise, an </w:t>
      </w:r>
      <w:r>
        <w:rPr>
          <w:szCs w:val="24"/>
          <w:lang w:eastAsia="en-US"/>
        </w:rPr>
        <w:t xml:space="preserve">accused may waive the exercise of his right </w:t>
      </w:r>
      <w:r>
        <w:t>to participate in person in the proceedings</w:t>
      </w:r>
      <w:r>
        <w:rPr>
          <w:szCs w:val="24"/>
          <w:lang w:eastAsia="en-US"/>
        </w:rPr>
        <w:t xml:space="preserve">, even though this waiver must be established unequivocally (see, as a recent authority, </w:t>
      </w:r>
      <w:r w:rsidRPr="00EF7681">
        <w:rPr>
          <w:i/>
          <w:szCs w:val="24"/>
          <w:lang w:eastAsia="en-US"/>
        </w:rPr>
        <w:t>Stoichkov v. Bulgaria</w:t>
      </w:r>
      <w:r>
        <w:rPr>
          <w:i/>
          <w:szCs w:val="24"/>
          <w:lang w:eastAsia="en-US"/>
        </w:rPr>
        <w:t xml:space="preserve">, </w:t>
      </w:r>
      <w:r>
        <w:rPr>
          <w:szCs w:val="24"/>
          <w:lang w:eastAsia="en-US"/>
        </w:rPr>
        <w:t>cited above).</w:t>
      </w:r>
    </w:p>
    <w:p w:rsidR="00D676DF" w:rsidP="00812650" w:rsidRDefault="00812650">
      <w:pPr>
        <w:pStyle w:val="JuPara"/>
      </w:pPr>
      <w:r>
        <w:rPr>
          <w:szCs w:val="24"/>
          <w:lang w:eastAsia="en-US"/>
        </w:rPr>
        <w:fldChar w:fldCharType="begin"/>
      </w:r>
      <w:r>
        <w:rPr>
          <w:szCs w:val="24"/>
          <w:lang w:eastAsia="en-US"/>
        </w:rPr>
        <w:instrText xml:space="preserve"> SEQ level0 \*arabic </w:instrText>
      </w:r>
      <w:r>
        <w:rPr>
          <w:szCs w:val="24"/>
          <w:lang w:eastAsia="en-US"/>
        </w:rPr>
        <w:fldChar w:fldCharType="separate"/>
      </w:r>
      <w:r w:rsidR="0068274B">
        <w:rPr>
          <w:noProof/>
          <w:szCs w:val="24"/>
          <w:lang w:eastAsia="en-US"/>
        </w:rPr>
        <w:t>25</w:t>
      </w:r>
      <w:r>
        <w:rPr>
          <w:szCs w:val="24"/>
          <w:lang w:eastAsia="en-US"/>
        </w:rPr>
        <w:fldChar w:fldCharType="end"/>
      </w:r>
      <w:r>
        <w:rPr>
          <w:szCs w:val="24"/>
          <w:lang w:eastAsia="en-US"/>
        </w:rPr>
        <w:t xml:space="preserve">.  In arguing that his absence </w:t>
      </w:r>
      <w:r w:rsidR="00A61266">
        <w:rPr>
          <w:szCs w:val="24"/>
          <w:lang w:eastAsia="en-US"/>
        </w:rPr>
        <w:t>from the hearing of 22 February </w:t>
      </w:r>
      <w:r>
        <w:rPr>
          <w:szCs w:val="24"/>
          <w:lang w:eastAsia="en-US"/>
        </w:rPr>
        <w:t xml:space="preserve">2005 was in breach of Article 6 of the Convention the applicant </w:t>
      </w:r>
      <w:r>
        <w:t xml:space="preserve">relied on the cases of </w:t>
      </w:r>
      <w:r w:rsidRPr="00092753">
        <w:rPr>
          <w:i/>
        </w:rPr>
        <w:t>Yavuz</w:t>
      </w:r>
      <w:r>
        <w:t xml:space="preserve"> (cited above) and </w:t>
      </w:r>
      <w:r w:rsidRPr="002B2A58">
        <w:rPr>
          <w:i/>
        </w:rPr>
        <w:t xml:space="preserve">Kaya </w:t>
      </w:r>
      <w:r>
        <w:t>(cited above).</w:t>
      </w:r>
      <w:r w:rsidR="001927AA">
        <w:rPr>
          <w:lang w:eastAsia="en-US"/>
        </w:rPr>
        <w:t xml:space="preserve"> </w:t>
      </w:r>
      <w:r>
        <w:rPr>
          <w:szCs w:val="24"/>
          <w:lang w:eastAsia="en-US"/>
        </w:rPr>
        <w:t>The Government</w:t>
      </w:r>
      <w:r w:rsidR="001927AA">
        <w:rPr>
          <w:szCs w:val="24"/>
          <w:lang w:eastAsia="en-US"/>
        </w:rPr>
        <w:t>, for their part,</w:t>
      </w:r>
      <w:r>
        <w:rPr>
          <w:szCs w:val="24"/>
          <w:lang w:eastAsia="en-US"/>
        </w:rPr>
        <w:t xml:space="preserve"> maintained that the applicant</w:t>
      </w:r>
      <w:r w:rsidR="00527C54">
        <w:rPr>
          <w:szCs w:val="24"/>
          <w:lang w:eastAsia="en-US"/>
        </w:rPr>
        <w:t>'</w:t>
      </w:r>
      <w:r w:rsidR="00A61266">
        <w:rPr>
          <w:szCs w:val="24"/>
          <w:lang w:eastAsia="en-US"/>
        </w:rPr>
        <w:t>s presence at the hearing of 22 </w:t>
      </w:r>
      <w:r>
        <w:rPr>
          <w:szCs w:val="24"/>
          <w:lang w:eastAsia="en-US"/>
        </w:rPr>
        <w:t>February 2005 had not been necessary because he</w:t>
      </w:r>
      <w:r>
        <w:t xml:space="preserve"> was represented in the proceedings by legal counsel and the only questions addressed at the hearing were those which merely required an assessment of evidence and did not relate to the personality of the defendant.</w:t>
      </w:r>
    </w:p>
    <w:p w:rsidR="00812650" w:rsidP="00812650" w:rsidRDefault="00812650">
      <w:pPr>
        <w:pStyle w:val="JuPara"/>
      </w:pPr>
      <w:r>
        <w:rPr>
          <w:szCs w:val="24"/>
          <w:lang w:eastAsia="en-US"/>
        </w:rPr>
        <w:fldChar w:fldCharType="begin"/>
      </w:r>
      <w:r>
        <w:rPr>
          <w:szCs w:val="24"/>
          <w:lang w:eastAsia="en-US"/>
        </w:rPr>
        <w:instrText xml:space="preserve"> SEQ level0 \*arabic </w:instrText>
      </w:r>
      <w:r>
        <w:rPr>
          <w:szCs w:val="24"/>
          <w:lang w:eastAsia="en-US"/>
        </w:rPr>
        <w:fldChar w:fldCharType="separate"/>
      </w:r>
      <w:r w:rsidR="0068274B">
        <w:rPr>
          <w:noProof/>
          <w:szCs w:val="24"/>
          <w:lang w:eastAsia="en-US"/>
        </w:rPr>
        <w:t>26</w:t>
      </w:r>
      <w:r>
        <w:rPr>
          <w:szCs w:val="24"/>
          <w:lang w:eastAsia="en-US"/>
        </w:rPr>
        <w:fldChar w:fldCharType="end"/>
      </w:r>
      <w:r>
        <w:rPr>
          <w:szCs w:val="24"/>
          <w:lang w:eastAsia="en-US"/>
        </w:rPr>
        <w:t>.  </w:t>
      </w:r>
      <w:r w:rsidR="001927AA">
        <w:rPr>
          <w:szCs w:val="24"/>
          <w:lang w:eastAsia="en-US"/>
        </w:rPr>
        <w:t>T</w:t>
      </w:r>
      <w:r>
        <w:rPr>
          <w:szCs w:val="24"/>
          <w:lang w:eastAsia="en-US"/>
        </w:rPr>
        <w:t xml:space="preserve">he Court observes that in the case of </w:t>
      </w:r>
      <w:r w:rsidRPr="00E22AFA">
        <w:rPr>
          <w:i/>
          <w:szCs w:val="24"/>
          <w:lang w:eastAsia="en-US"/>
        </w:rPr>
        <w:t>Jussila v. Finland</w:t>
      </w:r>
      <w:r w:rsidRPr="00E22AFA">
        <w:rPr>
          <w:szCs w:val="24"/>
          <w:lang w:eastAsia="en-US"/>
        </w:rPr>
        <w:t xml:space="preserve"> </w:t>
      </w:r>
      <w:r>
        <w:rPr>
          <w:szCs w:val="24"/>
          <w:lang w:eastAsia="en-US"/>
        </w:rPr>
        <w:t xml:space="preserve">the Court qualified </w:t>
      </w:r>
      <w:r>
        <w:t xml:space="preserve">tax surcharge proceedings against the applicant as falling under the criminal law limb of Article 6 § 1 of the Convention </w:t>
      </w:r>
      <w:r>
        <w:rPr>
          <w:szCs w:val="24"/>
          <w:lang w:eastAsia="en-US"/>
        </w:rPr>
        <w:t>(cited above § 38)</w:t>
      </w:r>
      <w:r>
        <w:t>. However, as regards compliance with Article 6</w:t>
      </w:r>
      <w:r w:rsidR="00AB38D5">
        <w:t xml:space="preserve"> </w:t>
      </w:r>
      <w:r>
        <w:t>§ 1, the Court found no breach of that provision on account of a lack of a</w:t>
      </w:r>
      <w:r w:rsidR="001927AA">
        <w:t>n oral</w:t>
      </w:r>
      <w:r>
        <w:t xml:space="preserve"> hearing. </w:t>
      </w:r>
      <w:r>
        <w:rPr>
          <w:szCs w:val="24"/>
          <w:lang w:eastAsia="en-US"/>
        </w:rPr>
        <w:t xml:space="preserve">It emphasised that the </w:t>
      </w:r>
      <w:r>
        <w:t>obligation to hold a hearing was not absolute and, in particular, acknowledged that the national authorities may have regard to the demands of efficiency and economy in deciding whether or not to hold a</w:t>
      </w:r>
      <w:r w:rsidR="001927AA">
        <w:t>n oral</w:t>
      </w:r>
      <w:r>
        <w:t xml:space="preserve"> hearing (cited above § 42). Even though requirements of a fair hearing under Article 6 § 1 for the sphere of criminal law were stricter than civil law, the Court did not exclude that in the criminal sphere the nature of the issues to be dealt with before the tribunal or court may not require an oral hearing. Notwithstanding the consideration that a certain gravity attaches to criminal proceedings, which are concerned with the allocation of criminal responsibility and the imposition of a punitive and deterrent sanction, it was self-evident that there were criminal cases which did not carry any </w:t>
      </w:r>
      <w:r w:rsidRPr="00CA14F8">
        <w:t>significant degree of stigma. There were clearly “criminal charges” of differing weight and</w:t>
      </w:r>
      <w:r>
        <w:t>,</w:t>
      </w:r>
      <w:r w:rsidRPr="00CA14F8">
        <w:t xml:space="preserve"> consequently, the criminal-head guarantees did not necessarily apply with their</w:t>
      </w:r>
      <w:r w:rsidR="00A61266">
        <w:t xml:space="preserve"> full stringency (cited above § </w:t>
      </w:r>
      <w:r w:rsidRPr="00CA14F8">
        <w:t>43). The Court concluded that the requirements of fairness were complied with and did not necessitate an oral hearing</w:t>
      </w:r>
      <w:r>
        <w:t>,</w:t>
      </w:r>
      <w:r w:rsidRPr="00CA14F8">
        <w:t xml:space="preserve"> since no issue of credibility arose in the proceedings which required oral presentation of evidence or cross-examination of witnesses</w:t>
      </w:r>
      <w:r>
        <w:t>. Further,</w:t>
      </w:r>
      <w:r w:rsidRPr="00CA14F8">
        <w:t xml:space="preserve"> a minor sum of money was at stake and the applicant was given ample opportunity to put forward his case in writing, (cited above §§ 46-49).</w:t>
      </w:r>
    </w:p>
    <w:p w:rsidR="00D676DF" w:rsidP="00812650" w:rsidRDefault="008C4130">
      <w:pPr>
        <w:pStyle w:val="JuPara"/>
      </w:pPr>
      <w:r>
        <w:rPr>
          <w:lang w:eastAsia="en-US"/>
        </w:rPr>
        <w:fldChar w:fldCharType="begin"/>
      </w:r>
      <w:r>
        <w:rPr>
          <w:lang w:eastAsia="en-US"/>
        </w:rPr>
        <w:instrText xml:space="preserve"> SEQ level0 \*arabic </w:instrText>
      </w:r>
      <w:r>
        <w:rPr>
          <w:lang w:eastAsia="en-US"/>
        </w:rPr>
        <w:fldChar w:fldCharType="separate"/>
      </w:r>
      <w:r w:rsidR="0068274B">
        <w:rPr>
          <w:noProof/>
          <w:lang w:eastAsia="en-US"/>
        </w:rPr>
        <w:t>27</w:t>
      </w:r>
      <w:r>
        <w:rPr>
          <w:lang w:eastAsia="en-US"/>
        </w:rPr>
        <w:fldChar w:fldCharType="end"/>
      </w:r>
      <w:r>
        <w:rPr>
          <w:lang w:eastAsia="en-US"/>
        </w:rPr>
        <w:t>.  </w:t>
      </w:r>
      <w:r w:rsidRPr="006F35D0" w:rsidR="00AB38D5">
        <w:t xml:space="preserve">The approach adopted in the </w:t>
      </w:r>
      <w:r w:rsidRPr="006F35D0" w:rsidR="000B2F3A">
        <w:rPr>
          <w:i/>
          <w:szCs w:val="24"/>
          <w:lang w:eastAsia="en-US"/>
        </w:rPr>
        <w:t>Jussila v. Finland</w:t>
      </w:r>
      <w:r w:rsidRPr="006F35D0" w:rsidR="000B2F3A">
        <w:rPr>
          <w:szCs w:val="24"/>
          <w:lang w:eastAsia="en-US"/>
        </w:rPr>
        <w:t xml:space="preserve"> </w:t>
      </w:r>
      <w:r w:rsidRPr="006F35D0" w:rsidR="00AB38D5">
        <w:t xml:space="preserve">case, namely </w:t>
      </w:r>
      <w:r w:rsidRPr="006F35D0" w:rsidR="000B2F3A">
        <w:t>to apply the criminal head guarantees of Article 6 in a differentiated manner depending on the nature of the issue and the degree of stigma certain criminal cases carried, is, in the Court</w:t>
      </w:r>
      <w:r w:rsidR="00527C54">
        <w:t>'</w:t>
      </w:r>
      <w:r w:rsidRPr="006F35D0" w:rsidR="000B2F3A">
        <w:t xml:space="preserve">s view, not limited to the issue of the lack of an oral hearing but </w:t>
      </w:r>
      <w:r w:rsidR="0068274B">
        <w:t>may</w:t>
      </w:r>
      <w:r w:rsidRPr="006F35D0" w:rsidR="000B2F3A">
        <w:t xml:space="preserve"> be extended</w:t>
      </w:r>
      <w:r w:rsidRPr="006F35D0">
        <w:t xml:space="preserve"> </w:t>
      </w:r>
      <w:r w:rsidRPr="006F35D0" w:rsidR="000B2F3A">
        <w:t xml:space="preserve">to other procedural issues </w:t>
      </w:r>
      <w:r w:rsidRPr="006F35D0">
        <w:t>covered by Article 6, such as, in the present case, the presence of a accused at a hearing.</w:t>
      </w:r>
    </w:p>
    <w:p w:rsidRPr="006F35D0" w:rsidR="008C4130" w:rsidP="00812650" w:rsidRDefault="008C4130">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8274B">
        <w:rPr>
          <w:noProof/>
          <w:lang w:eastAsia="en-US"/>
        </w:rPr>
        <w:t>28</w:t>
      </w:r>
      <w:r>
        <w:rPr>
          <w:lang w:eastAsia="en-US"/>
        </w:rPr>
        <w:fldChar w:fldCharType="end"/>
      </w:r>
      <w:r>
        <w:rPr>
          <w:lang w:eastAsia="en-US"/>
        </w:rPr>
        <w:t>.  T</w:t>
      </w:r>
      <w:r w:rsidR="00812650">
        <w:rPr>
          <w:lang w:eastAsia="en-US"/>
        </w:rPr>
        <w:t xml:space="preserve">he Court observes at the outset that </w:t>
      </w:r>
      <w:r w:rsidR="00812650">
        <w:t xml:space="preserve">a fine order under the Motor Vehicles Act for non-compliance with the obligations of registered owners to have their cars duly inspected, does not belong to the traditional categories of the criminal law and, under </w:t>
      </w:r>
      <w:r w:rsidR="00812650">
        <w:rPr>
          <w:lang w:eastAsia="en-US"/>
        </w:rPr>
        <w:t xml:space="preserve">domestic law, does not fall within the jurisdiction of ordinary criminal courts but of the Independent Administrative Panel which has jurisdiction in administrative criminal cases (see </w:t>
      </w:r>
      <w:r w:rsidR="00812650">
        <w:rPr>
          <w:i/>
          <w:lang w:eastAsia="en-US"/>
        </w:rPr>
        <w:t>Hubner v. Austria</w:t>
      </w:r>
      <w:r w:rsidR="00812650">
        <w:rPr>
          <w:lang w:eastAsia="en-US"/>
        </w:rPr>
        <w:t xml:space="preserve"> (dec.), no. 34311/96,</w:t>
      </w:r>
      <w:r>
        <w:rPr>
          <w:lang w:eastAsia="en-US"/>
        </w:rPr>
        <w:t xml:space="preserve"> </w:t>
      </w:r>
      <w:r w:rsidR="00812650">
        <w:rPr>
          <w:lang w:eastAsia="en-US"/>
        </w:rPr>
        <w:t xml:space="preserve">31 August 1999). </w:t>
      </w:r>
      <w:r w:rsidRPr="006F35D0" w:rsidR="00AB38D5">
        <w:rPr>
          <w:lang w:eastAsia="en-US"/>
        </w:rPr>
        <w:t xml:space="preserve">The Court therefore finds that </w:t>
      </w:r>
      <w:r w:rsidRPr="006F35D0">
        <w:rPr>
          <w:lang w:eastAsia="en-US"/>
        </w:rPr>
        <w:t xml:space="preserve">such an accusation </w:t>
      </w:r>
      <w:r w:rsidRPr="006F35D0">
        <w:t>did not carry any significant degree of stigma.</w:t>
      </w:r>
    </w:p>
    <w:p w:rsidR="00812650" w:rsidP="00812650" w:rsidRDefault="008C4130">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8274B">
        <w:rPr>
          <w:noProof/>
          <w:lang w:eastAsia="en-US"/>
        </w:rPr>
        <w:t>29</w:t>
      </w:r>
      <w:r>
        <w:rPr>
          <w:lang w:eastAsia="en-US"/>
        </w:rPr>
        <w:fldChar w:fldCharType="end"/>
      </w:r>
      <w:r>
        <w:rPr>
          <w:lang w:eastAsia="en-US"/>
        </w:rPr>
        <w:t>.  </w:t>
      </w:r>
      <w:r w:rsidR="00812650">
        <w:rPr>
          <w:lang w:eastAsia="en-US"/>
        </w:rPr>
        <w:t>The applicant, who had</w:t>
      </w:r>
      <w:r>
        <w:rPr>
          <w:lang w:eastAsia="en-US"/>
        </w:rPr>
        <w:t xml:space="preserve"> also</w:t>
      </w:r>
      <w:r w:rsidR="00812650">
        <w:rPr>
          <w:lang w:eastAsia="en-US"/>
        </w:rPr>
        <w:t xml:space="preserve"> </w:t>
      </w:r>
      <w:r w:rsidR="00A61266">
        <w:rPr>
          <w:lang w:eastAsia="en-US"/>
        </w:rPr>
        <w:t>been aware of the hearing of 22 </w:t>
      </w:r>
      <w:r w:rsidR="00812650">
        <w:rPr>
          <w:lang w:eastAsia="en-US"/>
        </w:rPr>
        <w:t>February 2005, was represented by counsel throughout the proceedings and counsel attended the hearing in which he had been able to argue the applicant</w:t>
      </w:r>
      <w:r w:rsidR="00527C54">
        <w:rPr>
          <w:lang w:eastAsia="en-US"/>
        </w:rPr>
        <w:t>'</w:t>
      </w:r>
      <w:r w:rsidR="00812650">
        <w:rPr>
          <w:lang w:eastAsia="en-US"/>
        </w:rPr>
        <w:t xml:space="preserve">s case. Moreover, in the course of the hearing no witnesses were examined. Lastly the Court observes that the proceedings before the IAP concerned a minor sum of money, namely </w:t>
      </w:r>
      <w:r w:rsidR="00812650">
        <w:t>a fine of EUR 72.</w:t>
      </w:r>
    </w:p>
    <w:p w:rsidR="00D676DF" w:rsidP="00812650" w:rsidRDefault="00812650">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8274B">
        <w:rPr>
          <w:noProof/>
          <w:lang w:eastAsia="en-US"/>
        </w:rPr>
        <w:t>30</w:t>
      </w:r>
      <w:r>
        <w:rPr>
          <w:lang w:eastAsia="en-US"/>
        </w:rPr>
        <w:fldChar w:fldCharType="end"/>
      </w:r>
      <w:r>
        <w:rPr>
          <w:lang w:eastAsia="en-US"/>
        </w:rPr>
        <w:t xml:space="preserve">.  In such circumstances the Court </w:t>
      </w:r>
      <w:r w:rsidR="00EA33F9">
        <w:rPr>
          <w:lang w:eastAsia="en-US"/>
        </w:rPr>
        <w:t xml:space="preserve">cannot </w:t>
      </w:r>
      <w:r>
        <w:rPr>
          <w:lang w:eastAsia="en-US"/>
        </w:rPr>
        <w:t>find</w:t>
      </w:r>
      <w:r w:rsidR="00EA33F9">
        <w:rPr>
          <w:lang w:eastAsia="en-US"/>
        </w:rPr>
        <w:t xml:space="preserve"> t</w:t>
      </w:r>
      <w:r>
        <w:rPr>
          <w:lang w:eastAsia="en-US"/>
        </w:rPr>
        <w:t>hat the administrative criminal proceedings against the applicant had been unfair on account of his absence from the hearing before the IAP.</w:t>
      </w:r>
    </w:p>
    <w:p w:rsidRPr="00D84DAD" w:rsidR="00812650" w:rsidP="00812650" w:rsidRDefault="00CB0D03">
      <w:pPr>
        <w:pStyle w:val="JuPara"/>
        <w:rPr>
          <w:lang w:eastAsia="en-US"/>
        </w:rPr>
      </w:pPr>
      <w:r>
        <w:rPr>
          <w:lang w:eastAsia="en-US"/>
        </w:rPr>
        <w:fldChar w:fldCharType="begin"/>
      </w:r>
      <w:r>
        <w:rPr>
          <w:lang w:eastAsia="en-US"/>
        </w:rPr>
        <w:instrText xml:space="preserve"> SEQ level0 \*arabic </w:instrText>
      </w:r>
      <w:r>
        <w:rPr>
          <w:lang w:eastAsia="en-US"/>
        </w:rPr>
        <w:fldChar w:fldCharType="separate"/>
      </w:r>
      <w:r w:rsidR="0068274B">
        <w:rPr>
          <w:noProof/>
          <w:lang w:eastAsia="en-US"/>
        </w:rPr>
        <w:t>31</w:t>
      </w:r>
      <w:r>
        <w:rPr>
          <w:lang w:eastAsia="en-US"/>
        </w:rPr>
        <w:fldChar w:fldCharType="end"/>
      </w:r>
      <w:r>
        <w:rPr>
          <w:lang w:eastAsia="en-US"/>
        </w:rPr>
        <w:t>.  </w:t>
      </w:r>
      <w:r w:rsidR="00EA33F9">
        <w:rPr>
          <w:lang w:eastAsia="en-US"/>
        </w:rPr>
        <w:t>There has, accordingly, been no</w:t>
      </w:r>
      <w:r w:rsidR="00812650">
        <w:rPr>
          <w:lang w:eastAsia="en-US"/>
        </w:rPr>
        <w:t xml:space="preserve"> violation of Article 6 §§ 1 and 3 (c) of the Convention.</w:t>
      </w:r>
    </w:p>
    <w:p w:rsidRPr="00D84DAD" w:rsidR="00D84DAD" w:rsidRDefault="00EB1177">
      <w:pPr>
        <w:pStyle w:val="JuHIRoman"/>
      </w:pPr>
      <w:r>
        <w:t>II</w:t>
      </w:r>
      <w:r w:rsidRPr="00D84DAD" w:rsidR="00D84DAD">
        <w:t>.  </w:t>
      </w:r>
      <w:r>
        <w:t xml:space="preserve">OTHER </w:t>
      </w:r>
      <w:r w:rsidRPr="00D84DAD" w:rsidR="00D84DAD">
        <w:t xml:space="preserve">ALLEGED VIOLATION OF ARTICLE </w:t>
      </w:r>
      <w:r>
        <w:t>6</w:t>
      </w:r>
      <w:r w:rsidRPr="00D84DAD" w:rsidR="00D84DAD">
        <w:t xml:space="preserve"> OF THE CONVENTION</w:t>
      </w:r>
    </w:p>
    <w:p w:rsidR="00EB1177" w:rsidP="00EB1177" w:rsidRDefault="00D84DAD">
      <w:pPr>
        <w:pStyle w:val="JuPara"/>
      </w:pPr>
      <w:r w:rsidRPr="00D84DAD">
        <w:fldChar w:fldCharType="begin"/>
      </w:r>
      <w:r w:rsidRPr="00D84DAD">
        <w:instrText xml:space="preserve"> SEQ level0 \*arabic </w:instrText>
      </w:r>
      <w:r w:rsidRPr="00D84DAD">
        <w:fldChar w:fldCharType="separate"/>
      </w:r>
      <w:r w:rsidR="0068274B">
        <w:rPr>
          <w:noProof/>
        </w:rPr>
        <w:t>32</w:t>
      </w:r>
      <w:r w:rsidRPr="00D84DAD">
        <w:fldChar w:fldCharType="end"/>
      </w:r>
      <w:r w:rsidRPr="00D84DAD">
        <w:t>.  </w:t>
      </w:r>
      <w:r w:rsidR="00EB1177">
        <w:t>The applicant further complained under Article 6 that he did not have enough time to prepare his defence before the IAP</w:t>
      </w:r>
      <w:r w:rsidR="0056075A">
        <w:t xml:space="preserve"> and that</w:t>
      </w:r>
      <w:r w:rsidR="00EB1177">
        <w:t xml:space="preserve"> the IAP </w:t>
      </w:r>
      <w:r w:rsidR="00E91F50">
        <w:t xml:space="preserve">had </w:t>
      </w:r>
      <w:r w:rsidR="00EB1177">
        <w:t>failed to hear a witness</w:t>
      </w:r>
      <w:r w:rsidRPr="00343409" w:rsidR="00343409">
        <w:t xml:space="preserve"> </w:t>
      </w:r>
      <w:r w:rsidR="00343409">
        <w:t>requested by him</w:t>
      </w:r>
      <w:r w:rsidR="00EB1177">
        <w:t>.</w:t>
      </w:r>
    </w:p>
    <w:p w:rsidR="0056075A" w:rsidP="0056075A" w:rsidRDefault="0056075A">
      <w:pPr>
        <w:pStyle w:val="JuPara"/>
      </w:pPr>
      <w:r>
        <w:fldChar w:fldCharType="begin"/>
      </w:r>
      <w:r>
        <w:instrText xml:space="preserve"> SEQ level0 \*arabic </w:instrText>
      </w:r>
      <w:r>
        <w:fldChar w:fldCharType="separate"/>
      </w:r>
      <w:r w:rsidR="0068274B">
        <w:rPr>
          <w:noProof/>
        </w:rPr>
        <w:t>33</w:t>
      </w:r>
      <w:r>
        <w:fldChar w:fldCharType="end"/>
      </w:r>
      <w:r>
        <w:t>.  However, in the light of all the material in its possession, and in so far as the matters complained of are within its competence, the Court finds that they do not disclose any appearance of a violation of the rights and freedoms set out in the Convention or its Protocols.</w:t>
      </w:r>
    </w:p>
    <w:p w:rsidR="0056075A" w:rsidP="0056075A" w:rsidRDefault="0056075A">
      <w:pPr>
        <w:pStyle w:val="JuPara"/>
      </w:pPr>
      <w:r>
        <w:fldChar w:fldCharType="begin"/>
      </w:r>
      <w:r>
        <w:instrText xml:space="preserve"> SEQ level0 \*arabic </w:instrText>
      </w:r>
      <w:r>
        <w:fldChar w:fldCharType="separate"/>
      </w:r>
      <w:r w:rsidR="0068274B">
        <w:rPr>
          <w:noProof/>
        </w:rPr>
        <w:t>34</w:t>
      </w:r>
      <w:r>
        <w:fldChar w:fldCharType="end"/>
      </w:r>
      <w:r>
        <w:t>.  It follows that this part of the application is manifestly ill-founded and must be rejected in accordance with Article 35 §§ 3 and 4 of the Convention.</w:t>
      </w:r>
    </w:p>
    <w:p w:rsidRPr="00D84DAD" w:rsidR="00260DD7" w:rsidRDefault="00A61266">
      <w:pPr>
        <w:pStyle w:val="JuHHead"/>
      </w:pPr>
      <w:r>
        <w:t>FOR THESE REASONS, THE COURT UNANIMOUSLY</w:t>
      </w:r>
    </w:p>
    <w:p w:rsidR="0065520C" w:rsidP="0065520C" w:rsidRDefault="0065520C">
      <w:pPr>
        <w:pStyle w:val="JuList"/>
      </w:pPr>
      <w:r w:rsidRPr="00D46311">
        <w:t>1.  </w:t>
      </w:r>
      <w:r w:rsidRPr="00D46311">
        <w:rPr>
          <w:i/>
        </w:rPr>
        <w:t>Declares</w:t>
      </w:r>
      <w:r w:rsidRPr="00D46311">
        <w:t xml:space="preserve"> the complaint concerning </w:t>
      </w:r>
      <w:r>
        <w:t>his right to be heard admissible</w:t>
      </w:r>
      <w:r w:rsidRPr="00D46311">
        <w:t xml:space="preserve"> and the remainder of the application inadmissible;</w:t>
      </w:r>
    </w:p>
    <w:p w:rsidR="00C73E7F" w:rsidRDefault="00C73E7F">
      <w:pPr>
        <w:pStyle w:val="JuList"/>
      </w:pPr>
    </w:p>
    <w:p w:rsidRPr="00D84DAD" w:rsidR="00D84DAD" w:rsidRDefault="0065520C">
      <w:pPr>
        <w:pStyle w:val="JuList"/>
      </w:pPr>
      <w:r>
        <w:t>2</w:t>
      </w:r>
      <w:r w:rsidRPr="00D84DAD" w:rsidR="00D84DAD">
        <w:t>.  </w:t>
      </w:r>
      <w:r w:rsidRPr="00D84DAD" w:rsidR="00D84DAD">
        <w:rPr>
          <w:i/>
        </w:rPr>
        <w:t>Holds</w:t>
      </w:r>
      <w:r>
        <w:t xml:space="preserve"> that there has been </w:t>
      </w:r>
      <w:r w:rsidR="001B2102">
        <w:t>no</w:t>
      </w:r>
      <w:r w:rsidRPr="00D84DAD" w:rsidR="00D84DAD">
        <w:t xml:space="preserve"> violation of </w:t>
      </w:r>
      <w:r w:rsidRPr="00AB1525">
        <w:t>Article </w:t>
      </w:r>
      <w:r>
        <w:t>6 §§ 1 and 3 (c)</w:t>
      </w:r>
      <w:r w:rsidRPr="00AB1525">
        <w:t xml:space="preserve"> </w:t>
      </w:r>
      <w:r w:rsidRPr="00D84DAD" w:rsidR="00D84DAD">
        <w:t>of the Convention;</w:t>
      </w:r>
    </w:p>
    <w:p w:rsidRPr="00D84DAD" w:rsidR="00260DD7" w:rsidRDefault="00260DD7">
      <w:pPr>
        <w:pStyle w:val="JuParaLast"/>
      </w:pPr>
      <w:r w:rsidRPr="00D84DAD">
        <w:t xml:space="preserve">Done in English, and notified in writing on </w:t>
      </w:r>
      <w:r w:rsidR="00A61266">
        <w:t>12 May 2010</w:t>
      </w:r>
      <w:r w:rsidR="00B10314">
        <w:t>, pursuant to Rule </w:t>
      </w:r>
      <w:r w:rsidRPr="00D84DAD">
        <w:t>77 §§ 2 and 3 of the Rules of Court.</w:t>
      </w:r>
    </w:p>
    <w:p w:rsidRPr="00D84DAD" w:rsidR="00FA0C4E" w:rsidP="00FA0C4E" w:rsidRDefault="00207A53">
      <w:pPr>
        <w:pStyle w:val="JuSigned"/>
        <w:keepNext/>
        <w:keepLines/>
      </w:pPr>
      <w:r w:rsidRPr="00D84DAD">
        <w:tab/>
      </w:r>
      <w:r w:rsidRPr="00D84DAD" w:rsidR="00D84DAD">
        <w:t>Søren</w:t>
      </w:r>
      <w:r w:rsidRPr="00D84DAD" w:rsidR="00FA0C4E">
        <w:t xml:space="preserve"> </w:t>
      </w:r>
      <w:r w:rsidRPr="00D84DAD" w:rsidR="00D84DAD">
        <w:t>Nielsen</w:t>
      </w:r>
      <w:r w:rsidRPr="00D84DAD" w:rsidR="00FA0C4E">
        <w:tab/>
      </w:r>
      <w:r w:rsidR="00A61266">
        <w:t>Christos Rozakis</w:t>
      </w:r>
      <w:r w:rsidRPr="00D84DAD" w:rsidR="00FA0C4E">
        <w:br/>
      </w:r>
      <w:r w:rsidRPr="00D84DAD" w:rsidR="00FA0C4E">
        <w:tab/>
      </w:r>
      <w:r w:rsidRPr="00D84DAD" w:rsidR="00D84DAD">
        <w:t>Registrar</w:t>
      </w:r>
      <w:r w:rsidRPr="00D84DAD" w:rsidR="00FA0C4E">
        <w:tab/>
        <w:t>President</w:t>
      </w:r>
    </w:p>
    <w:sectPr w:rsidRPr="00D84DAD" w:rsidR="00FA0C4E" w:rsidSect="00907C37">
      <w:headerReference w:type="even" r:id="rId8"/>
      <w:headerReference w:type="default" r:id="rId9"/>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3EFA" w:rsidRDefault="00B83EFA">
      <w:r>
        <w:separator/>
      </w:r>
    </w:p>
  </w:endnote>
  <w:endnote w:type="continuationSeparator" w:id="0">
    <w:p w:rsidR="00B83EFA" w:rsidRDefault="00B83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3EFA" w:rsidRDefault="00B83EFA">
      <w:r>
        <w:separator/>
      </w:r>
    </w:p>
  </w:footnote>
  <w:footnote w:type="continuationSeparator" w:id="0">
    <w:p w:rsidR="00B83EFA" w:rsidRDefault="00B83E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EFA" w:rsidRPr="00C00F0F" w:rsidRDefault="00B83EFA">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6pt;height:164.3pt">
          <v:imagedata r:id="rId1" o:title="TranspDocHeaderBigBlack"/>
        </v:shape>
      </w:pict>
    </w:r>
  </w:p>
  <w:p w:rsidR="00B83EFA" w:rsidRDefault="00B83EFA" w:rsidP="00907C37">
    <w:pPr>
      <w:pStyle w:val="Ju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EFA" w:rsidRDefault="00B83EFA">
    <w:pPr>
      <w:pStyle w:val="JuHeader"/>
    </w:pPr>
    <w:r>
      <w:rPr>
        <w:rStyle w:val="PageNumber"/>
      </w:rPr>
      <w:fldChar w:fldCharType="begin"/>
    </w:r>
    <w:r>
      <w:rPr>
        <w:rStyle w:val="PageNumber"/>
      </w:rPr>
      <w:instrText xml:space="preserve"> PAGE </w:instrText>
    </w:r>
    <w:r>
      <w:rPr>
        <w:rStyle w:val="PageNumber"/>
      </w:rPr>
      <w:fldChar w:fldCharType="separate"/>
    </w:r>
    <w:r w:rsidR="00527C54">
      <w:rPr>
        <w:rStyle w:val="PageNumber"/>
        <w:noProof/>
      </w:rPr>
      <w:t>6</w:t>
    </w:r>
    <w:r>
      <w:rPr>
        <w:rStyle w:val="PageNumber"/>
      </w:rPr>
      <w:fldChar w:fldCharType="end"/>
    </w:r>
    <w:r>
      <w:tab/>
      <w:t xml:space="preserve">KAMMERER v. </w:t>
    </w:r>
    <w:smartTag w:uri="urn:schemas-microsoft-com:office:smarttags" w:element="place">
      <w:smartTag w:uri="urn:schemas-microsoft-com:office:smarttags" w:element="country-region">
        <w:r>
          <w:t>AUSTRIA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3EFA" w:rsidRDefault="00B83EFA">
    <w:pPr>
      <w:pStyle w:val="JuHeader"/>
    </w:pPr>
    <w:r>
      <w:tab/>
      <w:t xml:space="preserve">KAMMERER v. </w:t>
    </w:r>
    <w:smartTag w:uri="urn:schemas-microsoft-com:office:smarttags" w:element="place">
      <w:smartTag w:uri="urn:schemas-microsoft-com:office:smarttags" w:element="country-region">
        <w:r>
          <w:t>AUSTRIA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527C54">
      <w:rPr>
        <w:rStyle w:val="PageNumber"/>
        <w:noProof/>
      </w:rPr>
      <w:t>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4DAD"/>
    <w:rsid w:val="00010832"/>
    <w:rsid w:val="0001538A"/>
    <w:rsid w:val="0005328B"/>
    <w:rsid w:val="00076D89"/>
    <w:rsid w:val="00095C5C"/>
    <w:rsid w:val="00095E34"/>
    <w:rsid w:val="00096A82"/>
    <w:rsid w:val="000B2F3A"/>
    <w:rsid w:val="000E0876"/>
    <w:rsid w:val="000F1596"/>
    <w:rsid w:val="000F1D34"/>
    <w:rsid w:val="00100A31"/>
    <w:rsid w:val="00105E52"/>
    <w:rsid w:val="00125162"/>
    <w:rsid w:val="001270BB"/>
    <w:rsid w:val="001512C8"/>
    <w:rsid w:val="001927AA"/>
    <w:rsid w:val="001969BC"/>
    <w:rsid w:val="001B2102"/>
    <w:rsid w:val="001E3ED0"/>
    <w:rsid w:val="001F2873"/>
    <w:rsid w:val="00207A53"/>
    <w:rsid w:val="00220E13"/>
    <w:rsid w:val="00246198"/>
    <w:rsid w:val="0025413D"/>
    <w:rsid w:val="00260941"/>
    <w:rsid w:val="00260DD7"/>
    <w:rsid w:val="002B2A58"/>
    <w:rsid w:val="002D0345"/>
    <w:rsid w:val="002D1C7C"/>
    <w:rsid w:val="003112AA"/>
    <w:rsid w:val="00323792"/>
    <w:rsid w:val="00342907"/>
    <w:rsid w:val="00343409"/>
    <w:rsid w:val="00347195"/>
    <w:rsid w:val="00360040"/>
    <w:rsid w:val="003652FC"/>
    <w:rsid w:val="00397002"/>
    <w:rsid w:val="003A34C2"/>
    <w:rsid w:val="003C1273"/>
    <w:rsid w:val="003D1754"/>
    <w:rsid w:val="003D6D9C"/>
    <w:rsid w:val="00411755"/>
    <w:rsid w:val="0042087D"/>
    <w:rsid w:val="00420F76"/>
    <w:rsid w:val="00433A39"/>
    <w:rsid w:val="00433BBE"/>
    <w:rsid w:val="00444FA3"/>
    <w:rsid w:val="004607E9"/>
    <w:rsid w:val="00462D28"/>
    <w:rsid w:val="00464FC3"/>
    <w:rsid w:val="0046620F"/>
    <w:rsid w:val="004F0800"/>
    <w:rsid w:val="00505528"/>
    <w:rsid w:val="00527C54"/>
    <w:rsid w:val="00531C09"/>
    <w:rsid w:val="00556CD6"/>
    <w:rsid w:val="0056075A"/>
    <w:rsid w:val="005620B9"/>
    <w:rsid w:val="00577930"/>
    <w:rsid w:val="005D7E63"/>
    <w:rsid w:val="005F0433"/>
    <w:rsid w:val="005F6BD4"/>
    <w:rsid w:val="00634B72"/>
    <w:rsid w:val="0065520C"/>
    <w:rsid w:val="00656360"/>
    <w:rsid w:val="0068274B"/>
    <w:rsid w:val="0069276B"/>
    <w:rsid w:val="00696253"/>
    <w:rsid w:val="006C632C"/>
    <w:rsid w:val="006E3C4A"/>
    <w:rsid w:val="006F35D0"/>
    <w:rsid w:val="006F6BE8"/>
    <w:rsid w:val="00711F61"/>
    <w:rsid w:val="00744564"/>
    <w:rsid w:val="007566BB"/>
    <w:rsid w:val="007665BE"/>
    <w:rsid w:val="00795DB7"/>
    <w:rsid w:val="007B5844"/>
    <w:rsid w:val="007C57CF"/>
    <w:rsid w:val="007D2831"/>
    <w:rsid w:val="007F417C"/>
    <w:rsid w:val="00812650"/>
    <w:rsid w:val="008219BE"/>
    <w:rsid w:val="00827510"/>
    <w:rsid w:val="00833443"/>
    <w:rsid w:val="008920C5"/>
    <w:rsid w:val="00893DBF"/>
    <w:rsid w:val="0089543B"/>
    <w:rsid w:val="008C4130"/>
    <w:rsid w:val="008D2BAC"/>
    <w:rsid w:val="00907C37"/>
    <w:rsid w:val="00910967"/>
    <w:rsid w:val="00917272"/>
    <w:rsid w:val="00936997"/>
    <w:rsid w:val="009468C1"/>
    <w:rsid w:val="0097140D"/>
    <w:rsid w:val="0098079A"/>
    <w:rsid w:val="00981416"/>
    <w:rsid w:val="00987CBC"/>
    <w:rsid w:val="009A274C"/>
    <w:rsid w:val="009B4547"/>
    <w:rsid w:val="009B5B96"/>
    <w:rsid w:val="009F0395"/>
    <w:rsid w:val="009F6D49"/>
    <w:rsid w:val="00A10D67"/>
    <w:rsid w:val="00A57513"/>
    <w:rsid w:val="00A61266"/>
    <w:rsid w:val="00A73A05"/>
    <w:rsid w:val="00A810B7"/>
    <w:rsid w:val="00A81F4B"/>
    <w:rsid w:val="00AB38D5"/>
    <w:rsid w:val="00AC5860"/>
    <w:rsid w:val="00AE49D7"/>
    <w:rsid w:val="00B042B3"/>
    <w:rsid w:val="00B05EBD"/>
    <w:rsid w:val="00B10314"/>
    <w:rsid w:val="00B47052"/>
    <w:rsid w:val="00B56146"/>
    <w:rsid w:val="00B74DD8"/>
    <w:rsid w:val="00B76A07"/>
    <w:rsid w:val="00B83EFA"/>
    <w:rsid w:val="00B84CF4"/>
    <w:rsid w:val="00BB4C30"/>
    <w:rsid w:val="00BC7FD7"/>
    <w:rsid w:val="00BD261D"/>
    <w:rsid w:val="00BE35CD"/>
    <w:rsid w:val="00BF11E7"/>
    <w:rsid w:val="00C0198E"/>
    <w:rsid w:val="00C31149"/>
    <w:rsid w:val="00C42110"/>
    <w:rsid w:val="00C738BB"/>
    <w:rsid w:val="00C73E7F"/>
    <w:rsid w:val="00C76E9D"/>
    <w:rsid w:val="00C7799F"/>
    <w:rsid w:val="00CB0D03"/>
    <w:rsid w:val="00CF6DF1"/>
    <w:rsid w:val="00CF7BB8"/>
    <w:rsid w:val="00D20E5F"/>
    <w:rsid w:val="00D3782D"/>
    <w:rsid w:val="00D40EAE"/>
    <w:rsid w:val="00D45BA6"/>
    <w:rsid w:val="00D676DF"/>
    <w:rsid w:val="00D84DAD"/>
    <w:rsid w:val="00D87F1C"/>
    <w:rsid w:val="00D936E2"/>
    <w:rsid w:val="00DC17B0"/>
    <w:rsid w:val="00DE6E4A"/>
    <w:rsid w:val="00E11AA3"/>
    <w:rsid w:val="00E30FA3"/>
    <w:rsid w:val="00E423B3"/>
    <w:rsid w:val="00E469E6"/>
    <w:rsid w:val="00E50CDF"/>
    <w:rsid w:val="00E6339C"/>
    <w:rsid w:val="00E65B38"/>
    <w:rsid w:val="00E86759"/>
    <w:rsid w:val="00E91F50"/>
    <w:rsid w:val="00EA33F9"/>
    <w:rsid w:val="00EB1177"/>
    <w:rsid w:val="00ED6863"/>
    <w:rsid w:val="00EE04AC"/>
    <w:rsid w:val="00EF0CFE"/>
    <w:rsid w:val="00EF73B1"/>
    <w:rsid w:val="00F35031"/>
    <w:rsid w:val="00F40933"/>
    <w:rsid w:val="00F42508"/>
    <w:rsid w:val="00F43C03"/>
    <w:rsid w:val="00F5139E"/>
    <w:rsid w:val="00F74F62"/>
    <w:rsid w:val="00F94F11"/>
    <w:rsid w:val="00FA0C4E"/>
    <w:rsid w:val="00FD083A"/>
    <w:rsid w:val="00FF6E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61D"/>
    <w:pPr>
      <w:suppressAutoHyphens/>
    </w:pPr>
    <w:rPr>
      <w:sz w:val="24"/>
      <w:lang w:val="en-GB" w:eastAsia="fr-FR"/>
    </w:rPr>
  </w:style>
  <w:style w:type="paragraph" w:styleId="Heading1">
    <w:name w:val="heading 1"/>
    <w:basedOn w:val="Normal"/>
    <w:next w:val="Normal"/>
    <w:qFormat/>
    <w:rsid w:val="00BD261D"/>
    <w:pPr>
      <w:keepNext/>
      <w:spacing w:before="360" w:after="240"/>
      <w:jc w:val="center"/>
      <w:outlineLvl w:val="0"/>
    </w:pPr>
    <w:rPr>
      <w:b/>
      <w:sz w:val="28"/>
    </w:rPr>
  </w:style>
  <w:style w:type="paragraph" w:styleId="Heading2">
    <w:name w:val="heading 2"/>
    <w:basedOn w:val="Normal"/>
    <w:next w:val="Normal"/>
    <w:qFormat/>
    <w:rsid w:val="00BD261D"/>
    <w:pPr>
      <w:keepNext/>
      <w:spacing w:before="240" w:after="120"/>
      <w:ind w:left="284" w:hanging="284"/>
      <w:outlineLvl w:val="1"/>
    </w:pPr>
    <w:rPr>
      <w:b/>
    </w:rPr>
  </w:style>
  <w:style w:type="paragraph" w:styleId="Heading3">
    <w:name w:val="heading 3"/>
    <w:basedOn w:val="Normal"/>
    <w:next w:val="Normal"/>
    <w:qFormat/>
    <w:rsid w:val="00BD261D"/>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BD261D"/>
  </w:style>
  <w:style w:type="table" w:default="1" w:styleId="TableNormal">
    <w:name w:val="Normal Table"/>
    <w:semiHidden/>
    <w:rsid w:val="00BD261D"/>
    <w:tblPr>
      <w:tblInd w:w="0" w:type="dxa"/>
      <w:tblCellMar>
        <w:top w:w="0" w:type="dxa"/>
        <w:left w:w="108" w:type="dxa"/>
        <w:bottom w:w="0" w:type="dxa"/>
        <w:right w:w="108" w:type="dxa"/>
      </w:tblCellMar>
    </w:tblPr>
  </w:style>
  <w:style w:type="numbering" w:default="1" w:styleId="NoList">
    <w:name w:val="No List"/>
    <w:semiHidden/>
    <w:rsid w:val="00BD261D"/>
  </w:style>
  <w:style w:type="paragraph" w:customStyle="1" w:styleId="OpiHHead">
    <w:name w:val="Opi_H_Head"/>
    <w:basedOn w:val="JuHHead"/>
    <w:next w:val="OpiPara"/>
    <w:rsid w:val="00BD261D"/>
    <w:pPr>
      <w:spacing w:before="0"/>
      <w:jc w:val="center"/>
    </w:pPr>
  </w:style>
  <w:style w:type="paragraph" w:customStyle="1" w:styleId="JuHHead">
    <w:name w:val="Ju_H_Head"/>
    <w:basedOn w:val="Normal"/>
    <w:next w:val="JuPara"/>
    <w:rsid w:val="00BD261D"/>
    <w:pPr>
      <w:keepNext/>
      <w:keepLines/>
      <w:spacing w:before="720" w:after="240"/>
      <w:jc w:val="both"/>
    </w:pPr>
    <w:rPr>
      <w:sz w:val="28"/>
    </w:rPr>
  </w:style>
  <w:style w:type="paragraph" w:customStyle="1" w:styleId="JuPara">
    <w:name w:val="Ju_Para"/>
    <w:aliases w:val="Left,First line:  0 cm"/>
    <w:basedOn w:val="Normal"/>
    <w:link w:val="JuParaChar"/>
    <w:rsid w:val="00BD261D"/>
    <w:pPr>
      <w:ind w:firstLine="284"/>
      <w:jc w:val="both"/>
    </w:pPr>
  </w:style>
  <w:style w:type="paragraph" w:customStyle="1" w:styleId="OpiPara">
    <w:name w:val="Opi_Para"/>
    <w:basedOn w:val="JuPara"/>
    <w:rsid w:val="00BD261D"/>
  </w:style>
  <w:style w:type="paragraph" w:customStyle="1" w:styleId="JuHIRoman">
    <w:name w:val="Ju_H_I_Roman"/>
    <w:basedOn w:val="JuHHead"/>
    <w:next w:val="JuPara"/>
    <w:rsid w:val="00BD261D"/>
    <w:pPr>
      <w:tabs>
        <w:tab w:val="left" w:pos="357"/>
      </w:tabs>
      <w:spacing w:before="360"/>
      <w:ind w:left="357" w:hanging="357"/>
    </w:pPr>
    <w:rPr>
      <w:sz w:val="24"/>
    </w:rPr>
  </w:style>
  <w:style w:type="paragraph" w:customStyle="1" w:styleId="OpiTranslation">
    <w:name w:val="Opi_Translation"/>
    <w:basedOn w:val="OpiHHead"/>
    <w:next w:val="OpiPara"/>
    <w:rsid w:val="00BD261D"/>
    <w:rPr>
      <w:sz w:val="24"/>
    </w:rPr>
  </w:style>
  <w:style w:type="paragraph" w:styleId="Footer">
    <w:name w:val="footer"/>
    <w:basedOn w:val="Normal"/>
    <w:rsid w:val="00BD261D"/>
    <w:pPr>
      <w:tabs>
        <w:tab w:val="center" w:pos="3686"/>
        <w:tab w:val="right" w:pos="7371"/>
      </w:tabs>
    </w:pPr>
    <w:rPr>
      <w:sz w:val="18"/>
    </w:rPr>
  </w:style>
  <w:style w:type="paragraph" w:customStyle="1" w:styleId="JuJudges">
    <w:name w:val="Ju_Judges"/>
    <w:basedOn w:val="Normal"/>
    <w:link w:val="JuJudgesChar"/>
    <w:rsid w:val="00BD261D"/>
    <w:pPr>
      <w:tabs>
        <w:tab w:val="left" w:pos="567"/>
        <w:tab w:val="left" w:pos="1134"/>
      </w:tabs>
    </w:pPr>
  </w:style>
  <w:style w:type="character" w:customStyle="1" w:styleId="JuParaChar">
    <w:name w:val="Ju_Para Char"/>
    <w:basedOn w:val="DefaultParagraphFont"/>
    <w:link w:val="JuPara"/>
    <w:rsid w:val="00577930"/>
    <w:rPr>
      <w:sz w:val="24"/>
      <w:lang w:val="en-GB" w:eastAsia="fr-FR" w:bidi="ar-SA"/>
    </w:rPr>
  </w:style>
  <w:style w:type="paragraph" w:customStyle="1" w:styleId="JuHA">
    <w:name w:val="Ju_H_A"/>
    <w:basedOn w:val="JuHIRoman"/>
    <w:next w:val="JuPara"/>
    <w:rsid w:val="00BD261D"/>
    <w:pPr>
      <w:tabs>
        <w:tab w:val="clear" w:pos="357"/>
        <w:tab w:val="left" w:pos="584"/>
      </w:tabs>
      <w:ind w:left="584" w:hanging="352"/>
    </w:pPr>
    <w:rPr>
      <w:b/>
    </w:rPr>
  </w:style>
  <w:style w:type="paragraph" w:customStyle="1" w:styleId="JuQuot">
    <w:name w:val="Ju_Quot"/>
    <w:basedOn w:val="JuPara"/>
    <w:rsid w:val="00BD261D"/>
    <w:pPr>
      <w:spacing w:before="120" w:after="120"/>
      <w:ind w:left="425" w:firstLine="142"/>
    </w:pPr>
    <w:rPr>
      <w:sz w:val="20"/>
    </w:rPr>
  </w:style>
  <w:style w:type="paragraph" w:customStyle="1" w:styleId="JuSigned">
    <w:name w:val="Ju_Signed"/>
    <w:basedOn w:val="Normal"/>
    <w:next w:val="JuParaLast"/>
    <w:link w:val="JuSignedChar"/>
    <w:rsid w:val="00100A31"/>
    <w:pPr>
      <w:tabs>
        <w:tab w:val="center" w:pos="1219"/>
        <w:tab w:val="center" w:pos="6379"/>
      </w:tabs>
      <w:spacing w:before="720"/>
    </w:pPr>
  </w:style>
  <w:style w:type="paragraph" w:customStyle="1" w:styleId="JuParaLast">
    <w:name w:val="Ju_Para_Last"/>
    <w:basedOn w:val="JuPara"/>
    <w:next w:val="JuPara"/>
    <w:rsid w:val="00BD261D"/>
    <w:pPr>
      <w:spacing w:before="240"/>
    </w:pPr>
  </w:style>
  <w:style w:type="paragraph" w:customStyle="1" w:styleId="JuCase">
    <w:name w:val="Ju_Case"/>
    <w:basedOn w:val="JuPara"/>
    <w:next w:val="JuPara"/>
    <w:link w:val="JuCaseChar"/>
    <w:rsid w:val="00BD261D"/>
    <w:rPr>
      <w:b/>
    </w:rPr>
  </w:style>
  <w:style w:type="paragraph" w:customStyle="1" w:styleId="JuList">
    <w:name w:val="Ju_List"/>
    <w:basedOn w:val="JuPara"/>
    <w:rsid w:val="00BD261D"/>
    <w:pPr>
      <w:ind w:left="340" w:hanging="340"/>
    </w:pPr>
  </w:style>
  <w:style w:type="paragraph" w:customStyle="1" w:styleId="JuHArticle">
    <w:name w:val="Ju_H_Article"/>
    <w:basedOn w:val="JuHa0"/>
    <w:next w:val="JuQuot"/>
    <w:rsid w:val="00BD261D"/>
    <w:pPr>
      <w:ind w:left="0" w:firstLine="0"/>
      <w:jc w:val="center"/>
    </w:pPr>
  </w:style>
  <w:style w:type="paragraph" w:customStyle="1" w:styleId="JuHa0">
    <w:name w:val="Ju_H_a"/>
    <w:basedOn w:val="JuH1"/>
    <w:next w:val="JuPara"/>
    <w:rsid w:val="00BD261D"/>
    <w:pPr>
      <w:tabs>
        <w:tab w:val="clear" w:pos="731"/>
        <w:tab w:val="left" w:pos="975"/>
      </w:tabs>
      <w:ind w:left="975" w:hanging="340"/>
    </w:pPr>
    <w:rPr>
      <w:b/>
      <w:i w:val="0"/>
      <w:sz w:val="20"/>
    </w:rPr>
  </w:style>
  <w:style w:type="paragraph" w:customStyle="1" w:styleId="JuH1">
    <w:name w:val="Ju_H_1."/>
    <w:basedOn w:val="JuHA"/>
    <w:next w:val="JuPara"/>
    <w:rsid w:val="00BD261D"/>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E469E6"/>
    <w:rPr>
      <w:b/>
      <w:bCs/>
    </w:rPr>
  </w:style>
  <w:style w:type="paragraph" w:styleId="CommentText">
    <w:name w:val="annotation text"/>
    <w:basedOn w:val="Normal"/>
    <w:semiHidden/>
    <w:rPr>
      <w:sz w:val="20"/>
    </w:rPr>
  </w:style>
  <w:style w:type="paragraph" w:customStyle="1" w:styleId="JuCourt">
    <w:name w:val="Ju_Court"/>
    <w:basedOn w:val="JuJudges"/>
    <w:rsid w:val="00BD261D"/>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BD261D"/>
    <w:pPr>
      <w:jc w:val="both"/>
    </w:pPr>
    <w:rPr>
      <w:sz w:val="20"/>
    </w:rPr>
  </w:style>
  <w:style w:type="character" w:styleId="FootnoteReference">
    <w:name w:val="footnote reference"/>
    <w:basedOn w:val="DefaultParagraphFont"/>
    <w:semiHidden/>
    <w:rsid w:val="00BD261D"/>
    <w:rPr>
      <w:vertAlign w:val="superscript"/>
    </w:rPr>
  </w:style>
  <w:style w:type="paragraph" w:customStyle="1" w:styleId="JuHi">
    <w:name w:val="Ju_H_i"/>
    <w:basedOn w:val="JuHa0"/>
    <w:next w:val="JuPara"/>
    <w:rsid w:val="00BD261D"/>
    <w:pPr>
      <w:tabs>
        <w:tab w:val="clear" w:pos="975"/>
        <w:tab w:val="left" w:pos="1191"/>
      </w:tabs>
      <w:ind w:left="1190" w:hanging="357"/>
    </w:pPr>
    <w:rPr>
      <w:b w:val="0"/>
      <w:i/>
    </w:rPr>
  </w:style>
  <w:style w:type="paragraph" w:styleId="Header">
    <w:name w:val="header"/>
    <w:basedOn w:val="Normal"/>
    <w:rsid w:val="00BD261D"/>
    <w:pPr>
      <w:tabs>
        <w:tab w:val="center" w:pos="3686"/>
        <w:tab w:val="right" w:pos="7371"/>
      </w:tabs>
    </w:pPr>
    <w:rPr>
      <w:sz w:val="18"/>
    </w:rPr>
  </w:style>
  <w:style w:type="character" w:styleId="PageNumber">
    <w:name w:val="page number"/>
    <w:basedOn w:val="DefaultParagraphFont"/>
    <w:rsid w:val="00BD261D"/>
    <w:rPr>
      <w:sz w:val="18"/>
    </w:rPr>
  </w:style>
  <w:style w:type="paragraph" w:customStyle="1" w:styleId="JuH">
    <w:name w:val="Ju_H_–"/>
    <w:basedOn w:val="JuHalpha"/>
    <w:next w:val="JuPara"/>
    <w:rsid w:val="00BD261D"/>
    <w:pPr>
      <w:tabs>
        <w:tab w:val="clear" w:pos="1372"/>
      </w:tabs>
      <w:ind w:left="1236" w:firstLine="0"/>
    </w:pPr>
    <w:rPr>
      <w:i/>
    </w:rPr>
  </w:style>
  <w:style w:type="paragraph" w:customStyle="1" w:styleId="JuHalpha">
    <w:name w:val="Ju_H_alpha"/>
    <w:basedOn w:val="JuHi"/>
    <w:next w:val="JuPara"/>
    <w:rsid w:val="00BD261D"/>
    <w:pPr>
      <w:tabs>
        <w:tab w:val="clear" w:pos="1191"/>
        <w:tab w:val="left" w:pos="1372"/>
      </w:tabs>
      <w:ind w:left="1373" w:hanging="335"/>
    </w:pPr>
    <w:rPr>
      <w:i w:val="0"/>
    </w:rPr>
  </w:style>
  <w:style w:type="paragraph" w:customStyle="1" w:styleId="JuLista">
    <w:name w:val="Ju_List_a"/>
    <w:basedOn w:val="JuList"/>
    <w:rsid w:val="00BD261D"/>
    <w:pPr>
      <w:ind w:left="346" w:firstLine="0"/>
    </w:pPr>
  </w:style>
  <w:style w:type="paragraph" w:customStyle="1" w:styleId="JuListi">
    <w:name w:val="Ju_List_i"/>
    <w:basedOn w:val="JuLista"/>
    <w:rsid w:val="00BD261D"/>
    <w:pPr>
      <w:ind w:left="794"/>
    </w:pPr>
  </w:style>
  <w:style w:type="character" w:styleId="CommentReference">
    <w:name w:val="annotation reference"/>
    <w:basedOn w:val="DefaultParagraphFont"/>
    <w:semiHidden/>
    <w:rPr>
      <w:sz w:val="16"/>
    </w:rPr>
  </w:style>
  <w:style w:type="paragraph" w:customStyle="1" w:styleId="JuInitialled">
    <w:name w:val="Ju_Initialled"/>
    <w:basedOn w:val="JuSigned"/>
    <w:rsid w:val="00BD261D"/>
    <w:pPr>
      <w:jc w:val="right"/>
    </w:pPr>
  </w:style>
  <w:style w:type="paragraph" w:customStyle="1" w:styleId="JuHeader">
    <w:name w:val="Ju_Header"/>
    <w:basedOn w:val="Header"/>
    <w:rsid w:val="00BD261D"/>
  </w:style>
  <w:style w:type="paragraph" w:customStyle="1" w:styleId="DecHTitle">
    <w:name w:val="Dec_H_Title"/>
    <w:basedOn w:val="Normal"/>
    <w:rsid w:val="00BD261D"/>
    <w:pPr>
      <w:spacing w:after="240"/>
      <w:jc w:val="center"/>
    </w:pPr>
    <w:rPr>
      <w:sz w:val="28"/>
    </w:rPr>
  </w:style>
  <w:style w:type="paragraph" w:customStyle="1" w:styleId="DecHCase">
    <w:name w:val="Dec_H_Case"/>
    <w:basedOn w:val="DecHTitle"/>
    <w:next w:val="JuPara"/>
    <w:rsid w:val="00BD261D"/>
    <w:rPr>
      <w:sz w:val="24"/>
    </w:rPr>
  </w:style>
  <w:style w:type="paragraph" w:customStyle="1" w:styleId="DecList">
    <w:name w:val="Dec_List"/>
    <w:basedOn w:val="Normal"/>
    <w:rsid w:val="00BD261D"/>
    <w:pPr>
      <w:spacing w:before="240"/>
      <w:ind w:left="284"/>
      <w:jc w:val="both"/>
    </w:pPr>
  </w:style>
  <w:style w:type="paragraph" w:customStyle="1" w:styleId="JuParaSub">
    <w:name w:val="Ju_Para_Sub"/>
    <w:basedOn w:val="JuPara"/>
    <w:rsid w:val="00BD261D"/>
    <w:pPr>
      <w:ind w:left="284"/>
    </w:pPr>
    <w:rPr>
      <w:szCs w:val="24"/>
    </w:rPr>
  </w:style>
  <w:style w:type="paragraph" w:customStyle="1" w:styleId="JuQuotSub">
    <w:name w:val="Ju_Quot_Sub"/>
    <w:basedOn w:val="JuQuot"/>
    <w:rsid w:val="00BD261D"/>
    <w:pPr>
      <w:ind w:left="567"/>
    </w:pPr>
  </w:style>
  <w:style w:type="paragraph" w:styleId="BalloonText">
    <w:name w:val="Balloon Text"/>
    <w:basedOn w:val="Normal"/>
    <w:semiHidden/>
    <w:rsid w:val="009B4547"/>
    <w:rPr>
      <w:rFonts w:ascii="Tahoma" w:hAnsi="Tahoma" w:cs="Tahoma"/>
      <w:sz w:val="16"/>
      <w:szCs w:val="16"/>
    </w:rPr>
  </w:style>
  <w:style w:type="paragraph" w:customStyle="1" w:styleId="PJuPara">
    <w:name w:val="P_Ju_Para"/>
    <w:basedOn w:val="Normal"/>
    <w:rsid w:val="00BD261D"/>
    <w:pPr>
      <w:ind w:firstLine="284"/>
      <w:jc w:val="both"/>
    </w:pPr>
  </w:style>
  <w:style w:type="paragraph" w:customStyle="1" w:styleId="PJuQuot">
    <w:name w:val="P_Ju_Quot"/>
    <w:basedOn w:val="Normal"/>
    <w:rsid w:val="00BD261D"/>
    <w:pPr>
      <w:spacing w:before="120" w:after="120"/>
      <w:ind w:left="403" w:firstLine="176"/>
      <w:jc w:val="both"/>
    </w:pPr>
    <w:rPr>
      <w:sz w:val="20"/>
    </w:rPr>
  </w:style>
  <w:style w:type="paragraph" w:customStyle="1" w:styleId="OpiHA">
    <w:name w:val="Opi_H_A"/>
    <w:basedOn w:val="JuHIRoman"/>
    <w:next w:val="OpiPara"/>
    <w:rsid w:val="00BD261D"/>
    <w:pPr>
      <w:tabs>
        <w:tab w:val="clear" w:pos="357"/>
      </w:tabs>
    </w:pPr>
    <w:rPr>
      <w:b/>
    </w:rPr>
  </w:style>
  <w:style w:type="paragraph" w:customStyle="1" w:styleId="OpiH1">
    <w:name w:val="Opi_H_1."/>
    <w:basedOn w:val="OpiHA"/>
    <w:next w:val="OpiPara"/>
    <w:rsid w:val="00BD261D"/>
    <w:pPr>
      <w:spacing w:before="240" w:after="120"/>
      <w:ind w:left="635"/>
    </w:pPr>
    <w:rPr>
      <w:b w:val="0"/>
      <w:i/>
    </w:rPr>
  </w:style>
  <w:style w:type="paragraph" w:customStyle="1" w:styleId="OpiHa0">
    <w:name w:val="Opi_H_a"/>
    <w:basedOn w:val="OpiH1"/>
    <w:next w:val="OpiPara"/>
    <w:rsid w:val="00BD261D"/>
    <w:pPr>
      <w:ind w:left="834"/>
    </w:pPr>
    <w:rPr>
      <w:b/>
      <w:i w:val="0"/>
      <w:sz w:val="20"/>
    </w:rPr>
  </w:style>
  <w:style w:type="paragraph" w:customStyle="1" w:styleId="OpiHi">
    <w:name w:val="Opi_H_i"/>
    <w:basedOn w:val="OpiHa0"/>
    <w:next w:val="OpiPara"/>
    <w:rsid w:val="00BD261D"/>
    <w:pPr>
      <w:ind w:left="1038"/>
    </w:pPr>
    <w:rPr>
      <w:b w:val="0"/>
      <w:i/>
    </w:rPr>
  </w:style>
  <w:style w:type="paragraph" w:customStyle="1" w:styleId="PListArticleSubject">
    <w:name w:val="P_List_ArticleSubject"/>
    <w:basedOn w:val="Normal"/>
    <w:rsid w:val="00BD261D"/>
    <w:pPr>
      <w:tabs>
        <w:tab w:val="left" w:pos="2977"/>
      </w:tabs>
      <w:ind w:left="2977" w:hanging="2977"/>
    </w:pPr>
  </w:style>
  <w:style w:type="paragraph" w:customStyle="1" w:styleId="OpiQuot">
    <w:name w:val="Opi_Quot"/>
    <w:basedOn w:val="JuQuot"/>
    <w:rsid w:val="00BD261D"/>
  </w:style>
  <w:style w:type="paragraph" w:customStyle="1" w:styleId="SuCoverTitle1">
    <w:name w:val="Su_Cover_Title1"/>
    <w:basedOn w:val="Normal"/>
    <w:next w:val="SuCoverTitle2"/>
    <w:rsid w:val="00BD261D"/>
    <w:pPr>
      <w:spacing w:before="2500"/>
      <w:jc w:val="center"/>
    </w:pPr>
    <w:rPr>
      <w:sz w:val="22"/>
    </w:rPr>
  </w:style>
  <w:style w:type="paragraph" w:customStyle="1" w:styleId="SuCoverTitle2">
    <w:name w:val="Su_Cover_Title2"/>
    <w:basedOn w:val="SuCoverTitle1"/>
    <w:next w:val="Normal"/>
    <w:rsid w:val="00BD261D"/>
    <w:pPr>
      <w:spacing w:before="240"/>
    </w:pPr>
    <w:rPr>
      <w:sz w:val="18"/>
    </w:rPr>
  </w:style>
  <w:style w:type="paragraph" w:customStyle="1" w:styleId="SuPara">
    <w:name w:val="Su_Para"/>
    <w:basedOn w:val="SuKeywords"/>
    <w:rsid w:val="00BD261D"/>
    <w:pPr>
      <w:spacing w:before="0" w:after="0"/>
    </w:pPr>
    <w:rPr>
      <w:i w:val="0"/>
    </w:rPr>
  </w:style>
  <w:style w:type="paragraph" w:customStyle="1" w:styleId="SuKeywords">
    <w:name w:val="Su_Keywords"/>
    <w:basedOn w:val="SuHHead"/>
    <w:rsid w:val="00BD261D"/>
    <w:pPr>
      <w:spacing w:before="120"/>
    </w:pPr>
    <w:rPr>
      <w:b w:val="0"/>
      <w:i/>
    </w:rPr>
  </w:style>
  <w:style w:type="paragraph" w:customStyle="1" w:styleId="SuHHead">
    <w:name w:val="Su_H_Head"/>
    <w:basedOn w:val="SuSubject"/>
    <w:rsid w:val="00BD261D"/>
    <w:pPr>
      <w:spacing w:after="120"/>
    </w:pPr>
  </w:style>
  <w:style w:type="paragraph" w:customStyle="1" w:styleId="SuSubject">
    <w:name w:val="Su_Subject"/>
    <w:basedOn w:val="SuSummary"/>
    <w:rsid w:val="00BD261D"/>
    <w:pPr>
      <w:spacing w:before="360"/>
      <w:jc w:val="both"/>
    </w:pPr>
    <w:rPr>
      <w:b/>
      <w:sz w:val="22"/>
    </w:rPr>
  </w:style>
  <w:style w:type="paragraph" w:customStyle="1" w:styleId="SuSummary">
    <w:name w:val="Su_Summary"/>
    <w:basedOn w:val="Normal"/>
    <w:next w:val="SuSubject"/>
    <w:rsid w:val="00BD261D"/>
    <w:pPr>
      <w:spacing w:after="240"/>
      <w:jc w:val="center"/>
    </w:pPr>
  </w:style>
  <w:style w:type="paragraph" w:customStyle="1" w:styleId="PListCaseNo">
    <w:name w:val="P_List_CaseNo"/>
    <w:basedOn w:val="Normal"/>
    <w:rsid w:val="00BD261D"/>
    <w:pPr>
      <w:tabs>
        <w:tab w:val="left" w:pos="1276"/>
      </w:tabs>
      <w:spacing w:line="288" w:lineRule="auto"/>
      <w:ind w:left="1276" w:hanging="1276"/>
    </w:pPr>
  </w:style>
  <w:style w:type="paragraph" w:customStyle="1" w:styleId="PListCases">
    <w:name w:val="P_List_Cases"/>
    <w:basedOn w:val="Normal"/>
    <w:rsid w:val="00BD261D"/>
    <w:pPr>
      <w:spacing w:line="288" w:lineRule="auto"/>
    </w:pPr>
  </w:style>
  <w:style w:type="paragraph" w:customStyle="1" w:styleId="PTextIntro">
    <w:name w:val="P_Text_Intro"/>
    <w:basedOn w:val="Normal"/>
    <w:rsid w:val="00BD261D"/>
    <w:pPr>
      <w:jc w:val="both"/>
    </w:pPr>
    <w:rPr>
      <w:i/>
      <w:sz w:val="20"/>
    </w:rPr>
  </w:style>
  <w:style w:type="paragraph" w:customStyle="1" w:styleId="PTitleCover">
    <w:name w:val="P_Title_Cover"/>
    <w:basedOn w:val="Normal"/>
    <w:rsid w:val="00BD261D"/>
    <w:pPr>
      <w:spacing w:before="2500"/>
      <w:jc w:val="center"/>
    </w:pPr>
    <w:rPr>
      <w:b/>
      <w:smallCaps/>
      <w:sz w:val="30"/>
    </w:rPr>
  </w:style>
  <w:style w:type="paragraph" w:customStyle="1" w:styleId="PTitle1Alpha">
    <w:name w:val="P_Title1_Alpha"/>
    <w:basedOn w:val="Normal"/>
    <w:next w:val="Normal"/>
    <w:rsid w:val="00BD261D"/>
    <w:pPr>
      <w:spacing w:after="120"/>
      <w:jc w:val="center"/>
    </w:pPr>
    <w:rPr>
      <w:b/>
      <w:smallCaps/>
      <w:sz w:val="30"/>
    </w:rPr>
  </w:style>
  <w:style w:type="paragraph" w:customStyle="1" w:styleId="PTitle1IndexArticle">
    <w:name w:val="P_Title1_IndexArticle"/>
    <w:basedOn w:val="Normal"/>
    <w:rsid w:val="00BD261D"/>
    <w:pPr>
      <w:spacing w:after="120"/>
      <w:jc w:val="center"/>
    </w:pPr>
    <w:rPr>
      <w:b/>
      <w:smallCaps/>
      <w:sz w:val="30"/>
    </w:rPr>
  </w:style>
  <w:style w:type="paragraph" w:customStyle="1" w:styleId="PTitle1IndexKey">
    <w:name w:val="P_Title1_IndexKey"/>
    <w:basedOn w:val="Normal"/>
    <w:rsid w:val="00BD261D"/>
    <w:pPr>
      <w:spacing w:after="600"/>
      <w:jc w:val="center"/>
    </w:pPr>
    <w:rPr>
      <w:b/>
      <w:smallCaps/>
      <w:sz w:val="30"/>
    </w:rPr>
  </w:style>
  <w:style w:type="paragraph" w:customStyle="1" w:styleId="PTitle1Num">
    <w:name w:val="P_Title1_Num"/>
    <w:basedOn w:val="Normal"/>
    <w:next w:val="PListCaseNo"/>
    <w:rsid w:val="00BD261D"/>
    <w:pPr>
      <w:spacing w:after="720"/>
      <w:jc w:val="center"/>
    </w:pPr>
    <w:rPr>
      <w:b/>
      <w:smallCaps/>
      <w:sz w:val="30"/>
    </w:rPr>
  </w:style>
  <w:style w:type="paragraph" w:customStyle="1" w:styleId="PTitle2Country">
    <w:name w:val="P_Title2_Country"/>
    <w:basedOn w:val="Normal"/>
    <w:next w:val="PListCases"/>
    <w:rsid w:val="00BD261D"/>
    <w:pPr>
      <w:keepNext/>
      <w:keepLines/>
      <w:spacing w:before="600" w:after="360"/>
    </w:pPr>
    <w:rPr>
      <w:b/>
    </w:rPr>
  </w:style>
  <w:style w:type="paragraph" w:customStyle="1" w:styleId="PTitle2Letters">
    <w:name w:val="P_Title2_Letters"/>
    <w:basedOn w:val="Normal"/>
    <w:next w:val="PListCases"/>
    <w:rsid w:val="00BD261D"/>
    <w:pPr>
      <w:keepNext/>
      <w:keepLines/>
      <w:spacing w:before="600" w:after="360"/>
    </w:pPr>
    <w:rPr>
      <w:b/>
      <w:sz w:val="28"/>
    </w:rPr>
  </w:style>
  <w:style w:type="paragraph" w:customStyle="1" w:styleId="PTitle2Part">
    <w:name w:val="P_Title2_Part"/>
    <w:basedOn w:val="Normal"/>
    <w:rsid w:val="00BD261D"/>
    <w:pPr>
      <w:keepNext/>
      <w:keepLines/>
      <w:spacing w:before="600" w:after="240"/>
      <w:jc w:val="center"/>
    </w:pPr>
    <w:rPr>
      <w:b/>
      <w:caps/>
    </w:rPr>
  </w:style>
  <w:style w:type="paragraph" w:customStyle="1" w:styleId="PTitle3Article">
    <w:name w:val="P_Title3_Article"/>
    <w:basedOn w:val="Normal"/>
    <w:rsid w:val="00BD261D"/>
    <w:pPr>
      <w:keepNext/>
      <w:keepLines/>
      <w:spacing w:before="360" w:after="120"/>
      <w:jc w:val="center"/>
    </w:pPr>
    <w:rPr>
      <w:b/>
      <w:smallCaps/>
      <w:sz w:val="22"/>
    </w:rPr>
  </w:style>
  <w:style w:type="paragraph" w:customStyle="1" w:styleId="PTitle4ArticleSub">
    <w:name w:val="P_Title4_Article_Sub"/>
    <w:basedOn w:val="PTitle3Article"/>
    <w:rsid w:val="00BD261D"/>
    <w:pPr>
      <w:spacing w:before="240"/>
    </w:pPr>
    <w:rPr>
      <w:smallCaps w:val="0"/>
      <w:sz w:val="20"/>
    </w:rPr>
  </w:style>
  <w:style w:type="paragraph" w:customStyle="1" w:styleId="PTitle5Subject">
    <w:name w:val="P_Title5_Subject"/>
    <w:basedOn w:val="Normal"/>
    <w:rsid w:val="00BD261D"/>
    <w:pPr>
      <w:keepNext/>
      <w:keepLines/>
      <w:spacing w:before="240" w:after="120"/>
      <w:jc w:val="both"/>
    </w:pPr>
    <w:rPr>
      <w:b/>
      <w:i/>
    </w:rPr>
  </w:style>
  <w:style w:type="paragraph" w:customStyle="1" w:styleId="PTitle6SubjectSub">
    <w:name w:val="P_Title6_Subject_Sub"/>
    <w:basedOn w:val="Normal"/>
    <w:rsid w:val="00BD261D"/>
    <w:pPr>
      <w:keepNext/>
      <w:keepLines/>
      <w:spacing w:before="240" w:after="120"/>
      <w:ind w:left="284"/>
      <w:jc w:val="both"/>
    </w:pPr>
    <w:rPr>
      <w:b/>
      <w:sz w:val="20"/>
    </w:rPr>
  </w:style>
  <w:style w:type="paragraph" w:customStyle="1" w:styleId="PTitle7CaseName">
    <w:name w:val="P_Title7_CaseName"/>
    <w:basedOn w:val="Normal"/>
    <w:rsid w:val="00BD261D"/>
    <w:pPr>
      <w:keepLines/>
      <w:spacing w:after="240"/>
      <w:jc w:val="right"/>
    </w:pPr>
    <w:rPr>
      <w:sz w:val="22"/>
    </w:rPr>
  </w:style>
  <w:style w:type="paragraph" w:customStyle="1" w:styleId="OpiParaSub">
    <w:name w:val="Opi_Para_Sub"/>
    <w:basedOn w:val="JuParaSub"/>
    <w:rsid w:val="00BD261D"/>
  </w:style>
  <w:style w:type="paragraph" w:customStyle="1" w:styleId="OpiQuotSub">
    <w:name w:val="Opi_Quot_Sub"/>
    <w:basedOn w:val="JuQuotSub"/>
    <w:rsid w:val="00BD261D"/>
  </w:style>
  <w:style w:type="character" w:customStyle="1" w:styleId="JuSignedChar">
    <w:name w:val="Ju_Signed Char"/>
    <w:basedOn w:val="DefaultParagraphFont"/>
    <w:link w:val="JuSigned"/>
    <w:rsid w:val="00FA0C4E"/>
    <w:rPr>
      <w:sz w:val="24"/>
      <w:lang w:val="en-GB" w:eastAsia="fr-FR" w:bidi="ar-SA"/>
    </w:rPr>
  </w:style>
  <w:style w:type="character" w:customStyle="1" w:styleId="JuJudgesChar">
    <w:name w:val="Ju_Judges Char"/>
    <w:basedOn w:val="DefaultParagraphFont"/>
    <w:link w:val="JuJudges"/>
    <w:locked/>
    <w:rsid w:val="00A81F4B"/>
    <w:rPr>
      <w:sz w:val="24"/>
      <w:lang w:val="en-GB" w:eastAsia="fr-FR" w:bidi="ar-SA"/>
    </w:rPr>
  </w:style>
  <w:style w:type="character" w:customStyle="1" w:styleId="JuCaseChar">
    <w:name w:val="Ju_Case Char"/>
    <w:basedOn w:val="JuParaChar"/>
    <w:link w:val="JuCase"/>
    <w:rsid w:val="00577930"/>
    <w:rPr>
      <w:b/>
      <w:sz w:val="24"/>
      <w:lang w:val="en-GB" w:eastAsia="fr-FR" w:bidi="ar-SA"/>
    </w:rPr>
  </w:style>
  <w:style w:type="character" w:styleId="Hyperlink">
    <w:name w:val="Hyperlink"/>
    <w:basedOn w:val="DefaultParagraphFont"/>
    <w:rsid w:val="00D84DAD"/>
    <w:rPr>
      <w:color w:val="0000FF"/>
      <w:u w:val="single"/>
    </w:rPr>
  </w:style>
  <w:style w:type="character" w:customStyle="1" w:styleId="JuParaCharChar1">
    <w:name w:val="Ju_Para Char Char1"/>
    <w:basedOn w:val="DefaultParagraphFont"/>
    <w:rsid w:val="00EF0CFE"/>
    <w:rPr>
      <w:sz w:val="24"/>
      <w:lang w:val="en-GB" w:eastAsia="fr-FR" w:bidi="ar-SA"/>
    </w:rPr>
  </w:style>
  <w:style w:type="character" w:customStyle="1" w:styleId="ju-005fpara--char">
    <w:name w:val="ju-005fpara--char"/>
    <w:basedOn w:val="DefaultParagraphFont"/>
    <w:rsid w:val="00EF0CFE"/>
  </w:style>
  <w:style w:type="character" w:customStyle="1" w:styleId="JuParaCar">
    <w:name w:val="Ju_Para Car"/>
    <w:basedOn w:val="DefaultParagraphFont"/>
    <w:rsid w:val="0056075A"/>
    <w:rPr>
      <w:sz w:val="24"/>
      <w:lang w:val="en-GB" w:eastAsia="fr-FR" w:bidi="ar-SA"/>
    </w:rPr>
  </w:style>
  <w:style w:type="paragraph" w:customStyle="1" w:styleId="ju-005fpara">
    <w:name w:val="ju-005fpara"/>
    <w:basedOn w:val="Normal"/>
    <w:rsid w:val="00EA33F9"/>
    <w:pPr>
      <w:suppressAutoHyphens w:val="0"/>
      <w:spacing w:before="100" w:beforeAutospacing="1" w:after="100" w:afterAutospacing="1"/>
    </w:pPr>
    <w:rPr>
      <w:szCs w:val="24"/>
      <w:lang w:eastAsia="en-GB"/>
    </w:rPr>
  </w:style>
  <w:style w:type="character" w:styleId="FollowedHyperlink">
    <w:name w:val="FollowedHyperlink"/>
    <w:basedOn w:val="DefaultParagraphFont"/>
    <w:rsid w:val="006C632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044298">
      <w:bodyDiv w:val="1"/>
      <w:marLeft w:val="0"/>
      <w:marRight w:val="0"/>
      <w:marTop w:val="0"/>
      <w:marBottom w:val="0"/>
      <w:divBdr>
        <w:top w:val="none" w:sz="0" w:space="0" w:color="auto"/>
        <w:left w:val="none" w:sz="0" w:space="0" w:color="auto"/>
        <w:bottom w:val="none" w:sz="0" w:space="0" w:color="auto"/>
        <w:right w:val="none" w:sz="0" w:space="0" w:color="auto"/>
      </w:divBdr>
    </w:div>
    <w:div w:id="211026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21E130-E56C-4D41-836E-CF6777E7BEB3}"/>
</file>

<file path=customXml/itemProps2.xml><?xml version="1.0" encoding="utf-8"?>
<ds:datastoreItem xmlns:ds="http://schemas.openxmlformats.org/officeDocument/2006/customXml" ds:itemID="{FF4362F0-3947-4955-9BD3-AC278E8F810A}"/>
</file>

<file path=customXml/itemProps3.xml><?xml version="1.0" encoding="utf-8"?>
<ds:datastoreItem xmlns:ds="http://schemas.openxmlformats.org/officeDocument/2006/customXml" ds:itemID="{FEDBF440-E242-4345-820C-F266AE307F16}"/>
</file>

<file path=docProps/app.xml><?xml version="1.0" encoding="utf-8"?>
<Properties xmlns="http://schemas.openxmlformats.org/officeDocument/2006/extended-properties" xmlns:vt="http://schemas.openxmlformats.org/officeDocument/2006/docPropsVTypes">
  <Template>Normal.dotm</Template>
  <TotalTime>1</TotalTime>
  <Pages>1</Pages>
  <Words>2244</Words>
  <Characters>12796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2010-04-28T07:34:00Z</cp:lastPrinted>
  <dcterms:created xsi:type="dcterms:W3CDTF">2016-05-11T15:39:00Z</dcterms:created>
  <dcterms:modified xsi:type="dcterms:W3CDTF">2016-05-11T15:39:00Z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