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814" w:rsidRDefault="00611814">
      <w:pPr>
        <w:jc w:val="center"/>
      </w:pPr>
      <w:bookmarkStart w:name="_GoBack" w:id="0"/>
      <w:bookmarkEnd w:id="0"/>
    </w:p>
    <w:p w:rsidR="00611814" w:rsidRDefault="00611814">
      <w:pPr>
        <w:jc w:val="center"/>
      </w:pPr>
    </w:p>
    <w:p w:rsidRPr="00DA06F7" w:rsidR="00F71A6A" w:rsidRDefault="00F71A6A">
      <w:pPr>
        <w:jc w:val="center"/>
      </w:pPr>
    </w:p>
    <w:p w:rsidRPr="00DA06F7" w:rsidR="00F71A6A" w:rsidRDefault="00DA06F7">
      <w:pPr>
        <w:jc w:val="center"/>
      </w:pPr>
      <w:r w:rsidRPr="00DA06F7">
        <w:t>FOURTH SECTION</w:t>
      </w:r>
    </w:p>
    <w:p w:rsidR="00611814" w:rsidRDefault="00611814">
      <w:pPr>
        <w:jc w:val="center"/>
      </w:pPr>
    </w:p>
    <w:p w:rsidR="00611814" w:rsidRDefault="00611814">
      <w:pPr>
        <w:jc w:val="center"/>
      </w:pPr>
    </w:p>
    <w:p w:rsidR="00611814" w:rsidRDefault="00611814">
      <w:pPr>
        <w:jc w:val="center"/>
      </w:pPr>
    </w:p>
    <w:p w:rsidR="00611814" w:rsidRDefault="00611814">
      <w:pPr>
        <w:jc w:val="center"/>
      </w:pPr>
    </w:p>
    <w:p w:rsidR="00611814" w:rsidRDefault="00611814">
      <w:pPr>
        <w:jc w:val="center"/>
      </w:pPr>
    </w:p>
    <w:p w:rsidRPr="00DA06F7" w:rsidR="00F71A6A" w:rsidRDefault="00F71A6A">
      <w:pPr>
        <w:jc w:val="center"/>
      </w:pPr>
    </w:p>
    <w:p w:rsidRPr="00DA06F7" w:rsidR="00F71A6A" w:rsidRDefault="00F71A6A">
      <w:pPr>
        <w:jc w:val="center"/>
        <w:rPr>
          <w:b/>
        </w:rPr>
      </w:pPr>
      <w:bookmarkStart w:name="To" w:id="1"/>
      <w:r w:rsidRPr="00DA06F7">
        <w:rPr>
          <w:b/>
        </w:rPr>
        <w:t xml:space="preserve">CASE OF </w:t>
      </w:r>
      <w:bookmarkEnd w:id="1"/>
      <w:r w:rsidRPr="00DA06F7" w:rsidR="00DA06F7">
        <w:rPr>
          <w:b/>
        </w:rPr>
        <w:t>HUD</w:t>
      </w:r>
      <w:r w:rsidR="0074151D">
        <w:rPr>
          <w:b/>
        </w:rPr>
        <w:t>Á</w:t>
      </w:r>
      <w:r w:rsidRPr="00DA06F7" w:rsidR="00DA06F7">
        <w:rPr>
          <w:b/>
        </w:rPr>
        <w:t>KOV</w:t>
      </w:r>
      <w:r w:rsidR="0074151D">
        <w:rPr>
          <w:b/>
        </w:rPr>
        <w:t>Á</w:t>
      </w:r>
      <w:r w:rsidRPr="00DA06F7" w:rsidR="00DA06F7">
        <w:rPr>
          <w:b/>
        </w:rPr>
        <w:t xml:space="preserve"> AND OTHERS v. </w:t>
      </w:r>
      <w:smartTag w:uri="urn:schemas-microsoft-com:office:smarttags" w:element="place">
        <w:smartTag w:uri="urn:schemas-microsoft-com:office:smarttags" w:element="country-region">
          <w:r w:rsidR="00DA06F7" w:rsidRPr="00DA06F7">
            <w:rPr>
              <w:b/>
            </w:rPr>
            <w:t>SLOVAKIA</w:t>
          </w:r>
        </w:smartTag>
      </w:smartTag>
    </w:p>
    <w:p w:rsidRPr="00DA06F7" w:rsidR="00F71A6A" w:rsidRDefault="00F71A6A">
      <w:pPr>
        <w:jc w:val="center"/>
      </w:pPr>
    </w:p>
    <w:p w:rsidRPr="00DA06F7" w:rsidR="00F71A6A" w:rsidRDefault="00F71A6A">
      <w:pPr>
        <w:jc w:val="center"/>
        <w:rPr>
          <w:i/>
        </w:rPr>
      </w:pPr>
      <w:r w:rsidRPr="00DA06F7">
        <w:rPr>
          <w:i/>
        </w:rPr>
        <w:t>(</w:t>
      </w:r>
      <w:r w:rsidRPr="00DA06F7" w:rsidR="00DA06F7">
        <w:rPr>
          <w:i/>
        </w:rPr>
        <w:t>Application no. 23083/05</w:t>
      </w:r>
      <w:r w:rsidRPr="00DA06F7">
        <w:rPr>
          <w:i/>
        </w:rPr>
        <w:t>)</w:t>
      </w:r>
    </w:p>
    <w:p w:rsidR="00611814" w:rsidP="00611814" w:rsidRDefault="00611814">
      <w:pPr>
        <w:jc w:val="center"/>
      </w:pPr>
    </w:p>
    <w:p w:rsidR="00611814" w:rsidP="00611814" w:rsidRDefault="00611814">
      <w:pPr>
        <w:jc w:val="center"/>
      </w:pPr>
    </w:p>
    <w:p w:rsidR="00611814" w:rsidP="00611814" w:rsidRDefault="00611814">
      <w:pPr>
        <w:jc w:val="center"/>
      </w:pPr>
    </w:p>
    <w:p w:rsidR="00611814" w:rsidP="00611814" w:rsidRDefault="00611814">
      <w:pPr>
        <w:jc w:val="center"/>
      </w:pPr>
    </w:p>
    <w:p w:rsidR="00611814" w:rsidP="00611814" w:rsidRDefault="00611814">
      <w:pPr>
        <w:jc w:val="center"/>
      </w:pPr>
    </w:p>
    <w:p w:rsidR="00611814" w:rsidP="00611814" w:rsidRDefault="00611814">
      <w:pPr>
        <w:jc w:val="center"/>
      </w:pPr>
    </w:p>
    <w:p w:rsidR="00611814" w:rsidP="00611814" w:rsidRDefault="00611814">
      <w:pPr>
        <w:jc w:val="center"/>
      </w:pPr>
    </w:p>
    <w:p w:rsidR="00611814" w:rsidP="00611814" w:rsidRDefault="00611814">
      <w:pPr>
        <w:jc w:val="center"/>
      </w:pPr>
      <w:r>
        <w:t>JUDGMENT</w:t>
      </w:r>
    </w:p>
    <w:p w:rsidR="00611814" w:rsidP="00611814" w:rsidRDefault="00611814">
      <w:pPr>
        <w:jc w:val="center"/>
      </w:pPr>
    </w:p>
    <w:p w:rsidR="00611814" w:rsidP="00611814" w:rsidRDefault="00611814">
      <w:pPr>
        <w:jc w:val="center"/>
      </w:pPr>
    </w:p>
    <w:p w:rsidR="00611814" w:rsidP="00611814" w:rsidRDefault="00611814">
      <w:pPr>
        <w:jc w:val="center"/>
      </w:pPr>
      <w:smartTag w:uri="urn:schemas-microsoft-com:office:smarttags" w:element="place">
        <w:smartTag w:uri="urn:schemas-microsoft-com:office:smarttags" w:element="City">
          <w:r>
            <w:t>STRASBOURG</w:t>
          </w:r>
        </w:smartTag>
      </w:smartTag>
    </w:p>
    <w:p w:rsidR="00611814" w:rsidP="00611814" w:rsidRDefault="00611814">
      <w:pPr>
        <w:jc w:val="center"/>
      </w:pPr>
    </w:p>
    <w:p w:rsidR="00611814" w:rsidP="00611814" w:rsidRDefault="00950B9E">
      <w:pPr>
        <w:jc w:val="center"/>
      </w:pPr>
      <w:r>
        <w:t>27 April 2010</w:t>
      </w:r>
    </w:p>
    <w:p w:rsidR="00611814" w:rsidP="00611814" w:rsidRDefault="00611814">
      <w:pPr>
        <w:jc w:val="center"/>
      </w:pPr>
    </w:p>
    <w:p w:rsidR="00E72DA8" w:rsidP="00E72DA8" w:rsidRDefault="00E72DA8">
      <w:pPr>
        <w:jc w:val="center"/>
        <w:rPr>
          <w:b/>
          <w:color w:val="FF0000"/>
          <w:szCs w:val="24"/>
          <w:u w:val="single"/>
        </w:rPr>
      </w:pPr>
      <w:bookmarkStart w:name="OLE_LINK1" w:id="2"/>
      <w:bookmarkStart w:name="OLE_LINK2" w:id="3"/>
      <w:bookmarkStart w:name="OLE_LINK14" w:id="4"/>
      <w:bookmarkStart w:name="OLE_LINK15" w:id="5"/>
      <w:r w:rsidRPr="008F13C5">
        <w:rPr>
          <w:b/>
          <w:color w:val="FF0000"/>
          <w:szCs w:val="24"/>
          <w:u w:val="single"/>
        </w:rPr>
        <w:t>FINAL</w:t>
      </w:r>
    </w:p>
    <w:p w:rsidRPr="008F13C5" w:rsidR="00E72DA8" w:rsidP="00E72DA8" w:rsidRDefault="00E72DA8">
      <w:pPr>
        <w:jc w:val="center"/>
        <w:rPr>
          <w:b/>
          <w:color w:val="FF0000"/>
          <w:szCs w:val="24"/>
          <w:u w:val="single"/>
        </w:rPr>
      </w:pPr>
    </w:p>
    <w:p w:rsidR="00E72DA8" w:rsidP="00E72DA8" w:rsidRDefault="00E72DA8">
      <w:pPr>
        <w:jc w:val="center"/>
        <w:rPr>
          <w:i/>
          <w:color w:val="FF0000"/>
          <w:szCs w:val="24"/>
        </w:rPr>
      </w:pPr>
      <w:r>
        <w:rPr>
          <w:i/>
          <w:color w:val="FF0000"/>
          <w:szCs w:val="24"/>
        </w:rPr>
        <w:t>27/07</w:t>
      </w:r>
      <w:r w:rsidRPr="008F13C5">
        <w:rPr>
          <w:i/>
          <w:color w:val="FF0000"/>
          <w:szCs w:val="24"/>
        </w:rPr>
        <w:t>/2010</w:t>
      </w:r>
    </w:p>
    <w:p w:rsidR="00E72DA8" w:rsidP="00E72DA8" w:rsidRDefault="00E72DA8">
      <w:pPr>
        <w:jc w:val="center"/>
        <w:rPr>
          <w:i/>
          <w:color w:val="FF0000"/>
          <w:szCs w:val="24"/>
        </w:rPr>
      </w:pPr>
    </w:p>
    <w:p w:rsidRPr="00611814" w:rsidR="00B921A8" w:rsidP="00E72DA8" w:rsidRDefault="00E72DA8">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bookmarkEnd w:id="2"/>
      <w:bookmarkEnd w:id="3"/>
      <w:bookmarkEnd w:id="4"/>
      <w:bookmarkEnd w:id="5"/>
    </w:p>
    <w:p w:rsidR="00611814" w:rsidP="00B921A8" w:rsidRDefault="00611814">
      <w:pPr>
        <w:pStyle w:val="JuCase"/>
        <w:sectPr w:rsidR="00611814" w:rsidSect="00611814">
          <w:headerReference w:type="default" r:id="rId7"/>
          <w:footnotePr>
            <w:numRestart w:val="eachPage"/>
          </w:footnotePr>
          <w:pgSz w:w="11906" w:h="16838" w:code="9"/>
          <w:pgMar w:top="2274" w:right="2274" w:bottom="2274" w:left="2274" w:header="1701" w:footer="720" w:gutter="0"/>
          <w:pgNumType w:start="1"/>
          <w:cols w:space="720"/>
          <w:docGrid w:linePitch="254"/>
        </w:sectPr>
      </w:pPr>
    </w:p>
    <w:p w:rsidRPr="00DA06F7" w:rsidR="00F71A6A" w:rsidP="00B921A8" w:rsidRDefault="00F71A6A">
      <w:pPr>
        <w:pStyle w:val="JuCase"/>
      </w:pPr>
      <w:r w:rsidRPr="00DA06F7">
        <w:t xml:space="preserve">In the case of </w:t>
      </w:r>
      <w:r w:rsidRPr="00DA06F7" w:rsidR="00DA06F7">
        <w:rPr>
          <w:rStyle w:val="JuCaseChar"/>
        </w:rPr>
        <w:t xml:space="preserve">Hudakova and Others v. </w:t>
      </w:r>
      <w:smartTag w:uri="urn:schemas-microsoft-com:office:smarttags" w:element="place">
        <w:smartTag w:uri="urn:schemas-microsoft-com:office:smarttags" w:element="country-region">
          <w:r w:rsidR="00DA06F7" w:rsidRPr="00DA06F7">
            <w:rPr>
              <w:rStyle w:val="JuCaseChar"/>
            </w:rPr>
            <w:t>Slovakia</w:t>
          </w:r>
        </w:smartTag>
      </w:smartTag>
      <w:r w:rsidRPr="00DA06F7">
        <w:t>,</w:t>
      </w:r>
    </w:p>
    <w:p w:rsidRPr="00DA06F7" w:rsidR="00730433" w:rsidP="00730433" w:rsidRDefault="00F71A6A">
      <w:pPr>
        <w:pStyle w:val="JuPara"/>
      </w:pPr>
      <w:r w:rsidRPr="00DA06F7">
        <w:t>The European Court of Human Rights (</w:t>
      </w:r>
      <w:r w:rsidRPr="00DA06F7" w:rsidR="00DA06F7">
        <w:t>Fourth Section</w:t>
      </w:r>
      <w:r w:rsidR="0074151D">
        <w:t>), sitting as a </w:t>
      </w:r>
      <w:r w:rsidRPr="00DA06F7" w:rsidR="00DA06F7">
        <w:t>Chamber</w:t>
      </w:r>
      <w:r w:rsidRPr="00DA06F7" w:rsidR="00730433">
        <w:t xml:space="preserve"> composed of:</w:t>
      </w:r>
    </w:p>
    <w:p w:rsidRPr="00AF35E7" w:rsidR="004679A9" w:rsidP="004679A9" w:rsidRDefault="00611814">
      <w:pPr>
        <w:pStyle w:val="JuJudges"/>
      </w:pPr>
      <w:r w:rsidRPr="00907F9E">
        <w:rPr>
          <w:rStyle w:val="JuJudgesChar"/>
        </w:rPr>
        <w:tab/>
        <w:t>Nicolas</w:t>
      </w:r>
      <w:r>
        <w:rPr>
          <w:rStyle w:val="JuJudgesChar"/>
        </w:rPr>
        <w:t xml:space="preserve"> </w:t>
      </w:r>
      <w:r w:rsidRPr="00907F9E">
        <w:rPr>
          <w:rStyle w:val="JuJudgesChar"/>
        </w:rPr>
        <w:t>Bratza</w:t>
      </w:r>
      <w:r>
        <w:rPr>
          <w:rStyle w:val="JuJudgesChar"/>
        </w:rPr>
        <w:t>,</w:t>
      </w:r>
      <w:r w:rsidRPr="00907F9E">
        <w:rPr>
          <w:rStyle w:val="JuJudgesChar"/>
          <w:i/>
        </w:rPr>
        <w:t xml:space="preserve"> President,</w:t>
      </w:r>
      <w:r>
        <w:rPr>
          <w:rStyle w:val="JuJudgesChar"/>
          <w:i/>
        </w:rPr>
        <w:br/>
      </w:r>
      <w:r w:rsidRPr="00907F9E">
        <w:rPr>
          <w:rStyle w:val="JuJudgesChar"/>
        </w:rPr>
        <w:tab/>
        <w:t>Giovanni</w:t>
      </w:r>
      <w:r>
        <w:rPr>
          <w:rStyle w:val="JuJudgesChar"/>
        </w:rPr>
        <w:t xml:space="preserve"> </w:t>
      </w:r>
      <w:r w:rsidRPr="00907F9E">
        <w:rPr>
          <w:rStyle w:val="JuJudgesChar"/>
        </w:rPr>
        <w:t>Bonello</w:t>
      </w:r>
      <w:r>
        <w:rPr>
          <w:rStyle w:val="JuJudgesChar"/>
        </w:rPr>
        <w:t>,</w:t>
      </w:r>
      <w:r>
        <w:rPr>
          <w:rStyle w:val="JuJudgesChar"/>
          <w:i/>
        </w:rPr>
        <w:br/>
      </w:r>
      <w:r w:rsidRPr="00907F9E">
        <w:rPr>
          <w:rStyle w:val="JuJudgesChar"/>
        </w:rPr>
        <w:tab/>
        <w:t>David Thór</w:t>
      </w:r>
      <w:r>
        <w:rPr>
          <w:rStyle w:val="JuJudgesChar"/>
        </w:rPr>
        <w:t xml:space="preserve"> </w:t>
      </w:r>
      <w:r w:rsidRPr="00907F9E">
        <w:rPr>
          <w:rStyle w:val="JuJudgesChar"/>
        </w:rPr>
        <w:t>Björgvinsson</w:t>
      </w:r>
      <w:r>
        <w:rPr>
          <w:rStyle w:val="JuJudgesChar"/>
        </w:rPr>
        <w:t>,</w:t>
      </w:r>
      <w:r>
        <w:rPr>
          <w:rStyle w:val="JuJudgesChar"/>
          <w:i/>
        </w:rPr>
        <w:br/>
      </w:r>
      <w:r w:rsidRPr="00907F9E">
        <w:rPr>
          <w:rStyle w:val="JuJudgesChar"/>
        </w:rPr>
        <w:tab/>
        <w:t>Ján</w:t>
      </w:r>
      <w:r>
        <w:rPr>
          <w:rStyle w:val="JuJudgesChar"/>
        </w:rPr>
        <w:t xml:space="preserve"> </w:t>
      </w:r>
      <w:r w:rsidRPr="00907F9E">
        <w:rPr>
          <w:rStyle w:val="JuJudgesChar"/>
        </w:rPr>
        <w:t>Šikuta</w:t>
      </w:r>
      <w:r>
        <w:rPr>
          <w:rStyle w:val="JuJudgesChar"/>
        </w:rPr>
        <w:t>,</w:t>
      </w:r>
      <w:r>
        <w:rPr>
          <w:rStyle w:val="JuJudgesChar"/>
          <w:i/>
        </w:rPr>
        <w:br/>
      </w:r>
      <w:r w:rsidRPr="00907F9E">
        <w:rPr>
          <w:rStyle w:val="JuJudgesChar"/>
        </w:rPr>
        <w:tab/>
        <w:t>Päivi</w:t>
      </w:r>
      <w:r>
        <w:rPr>
          <w:rStyle w:val="JuJudgesChar"/>
        </w:rPr>
        <w:t xml:space="preserve"> </w:t>
      </w:r>
      <w:r w:rsidRPr="00907F9E">
        <w:rPr>
          <w:rStyle w:val="JuJudgesChar"/>
        </w:rPr>
        <w:t>Hirvelä</w:t>
      </w:r>
      <w:r>
        <w:rPr>
          <w:rStyle w:val="JuJudgesChar"/>
        </w:rPr>
        <w:t>,</w:t>
      </w:r>
      <w:r>
        <w:rPr>
          <w:rStyle w:val="JuJudgesChar"/>
          <w:i/>
        </w:rPr>
        <w:br/>
      </w:r>
      <w:r w:rsidRPr="00907F9E">
        <w:rPr>
          <w:rStyle w:val="JuJudgesChar"/>
        </w:rPr>
        <w:tab/>
        <w:t>Ledi</w:t>
      </w:r>
      <w:r>
        <w:rPr>
          <w:rStyle w:val="JuJudgesChar"/>
        </w:rPr>
        <w:t xml:space="preserve"> </w:t>
      </w:r>
      <w:r w:rsidRPr="00907F9E">
        <w:rPr>
          <w:rStyle w:val="JuJudgesChar"/>
        </w:rPr>
        <w:t>Bianku</w:t>
      </w:r>
      <w:r>
        <w:rPr>
          <w:rStyle w:val="JuJudgesChar"/>
        </w:rPr>
        <w:t>,</w:t>
      </w:r>
      <w:r>
        <w:rPr>
          <w:rStyle w:val="JuJudgesChar"/>
          <w:i/>
        </w:rPr>
        <w:br/>
      </w:r>
      <w:r w:rsidRPr="00907F9E">
        <w:rPr>
          <w:rStyle w:val="JuJudgesChar"/>
        </w:rPr>
        <w:tab/>
        <w:t>Nebojša</w:t>
      </w:r>
      <w:r>
        <w:rPr>
          <w:rStyle w:val="JuJudgesChar"/>
        </w:rPr>
        <w:t xml:space="preserve"> </w:t>
      </w:r>
      <w:r w:rsidRPr="00907F9E">
        <w:rPr>
          <w:rStyle w:val="JuJudgesChar"/>
        </w:rPr>
        <w:t>Vučinić</w:t>
      </w:r>
      <w:r>
        <w:rPr>
          <w:rStyle w:val="JuJudgesChar"/>
        </w:rPr>
        <w:t>,</w:t>
      </w:r>
      <w:r w:rsidRPr="00907F9E">
        <w:rPr>
          <w:rStyle w:val="JuJudgesChar"/>
          <w:i/>
        </w:rPr>
        <w:t xml:space="preserve"> judges,</w:t>
      </w:r>
      <w:r>
        <w:rPr>
          <w:rStyle w:val="JuJudgesChar"/>
          <w:i/>
        </w:rPr>
        <w:br/>
      </w:r>
      <w:r w:rsidRPr="00AF35E7" w:rsidR="004679A9">
        <w:t xml:space="preserve">and </w:t>
      </w:r>
      <w:r w:rsidRPr="00A2376F" w:rsidR="004679A9">
        <w:t>Fatoş Aracı</w:t>
      </w:r>
      <w:r w:rsidRPr="00AF35E7" w:rsidR="004679A9">
        <w:rPr>
          <w:rStyle w:val="JuJudgesChar"/>
        </w:rPr>
        <w:t xml:space="preserve">, </w:t>
      </w:r>
      <w:r w:rsidR="004679A9">
        <w:rPr>
          <w:rStyle w:val="JuJudgesChar"/>
          <w:i/>
        </w:rPr>
        <w:t>Deputy S</w:t>
      </w:r>
      <w:r w:rsidRPr="00AF35E7" w:rsidR="004679A9">
        <w:rPr>
          <w:rStyle w:val="JuJudgesChar"/>
          <w:i/>
        </w:rPr>
        <w:t>ection Registrar</w:t>
      </w:r>
      <w:r w:rsidRPr="00AF35E7" w:rsidR="004679A9">
        <w:t>,</w:t>
      </w:r>
    </w:p>
    <w:p w:rsidRPr="00DA06F7" w:rsidR="00F71A6A" w:rsidP="004679A9" w:rsidRDefault="00F71A6A">
      <w:pPr>
        <w:pStyle w:val="JuJudges"/>
      </w:pPr>
      <w:r w:rsidRPr="00DA06F7">
        <w:t xml:space="preserve">Having deliberated in private on </w:t>
      </w:r>
      <w:r w:rsidR="008F00C6">
        <w:t>30 March 2010</w:t>
      </w:r>
      <w:r w:rsidRPr="00DA06F7">
        <w:t>,</w:t>
      </w:r>
    </w:p>
    <w:p w:rsidRPr="00DA06F7" w:rsidR="00F71A6A" w:rsidRDefault="00F71A6A">
      <w:pPr>
        <w:pStyle w:val="JuPara"/>
      </w:pPr>
      <w:r w:rsidRPr="00DA06F7">
        <w:t>Delivers the following judgment, which was adopted on that date:</w:t>
      </w:r>
    </w:p>
    <w:p w:rsidRPr="00DA06F7" w:rsidR="00F71A6A" w:rsidRDefault="00F71A6A">
      <w:pPr>
        <w:pStyle w:val="JuHHead"/>
      </w:pPr>
      <w:r w:rsidRPr="00DA06F7">
        <w:t>PROCEDURE</w:t>
      </w:r>
    </w:p>
    <w:p w:rsidR="00444D89" w:rsidP="00EC348E" w:rsidRDefault="00DA06F7">
      <w:pPr>
        <w:pStyle w:val="JuPara"/>
      </w:pPr>
      <w:r w:rsidRPr="00DA06F7">
        <w:fldChar w:fldCharType="begin"/>
      </w:r>
      <w:r w:rsidRPr="00DA06F7">
        <w:instrText xml:space="preserve"> SEQ level0 \*arabic </w:instrText>
      </w:r>
      <w:r w:rsidRPr="00DA06F7">
        <w:fldChar w:fldCharType="separate"/>
      </w:r>
      <w:r w:rsidR="0020029F">
        <w:rPr>
          <w:noProof/>
        </w:rPr>
        <w:t>1</w:t>
      </w:r>
      <w:r w:rsidRPr="00DA06F7">
        <w:fldChar w:fldCharType="end"/>
      </w:r>
      <w:r w:rsidRPr="00DA06F7" w:rsidR="00F71A6A">
        <w:t xml:space="preserve">.  The case originated in </w:t>
      </w:r>
      <w:r w:rsidRPr="00DA06F7">
        <w:t>an application (no. 23083/05)</w:t>
      </w:r>
      <w:r w:rsidRPr="00DA06F7" w:rsidR="00F71A6A">
        <w:t xml:space="preserve"> against </w:t>
      </w:r>
      <w:r w:rsidRPr="00DA06F7">
        <w:t>the Slovak Republic</w:t>
      </w:r>
      <w:r w:rsidRPr="00DA06F7" w:rsidR="00F71A6A">
        <w:t xml:space="preserve"> lodged with the </w:t>
      </w:r>
      <w:r w:rsidRPr="00DA06F7">
        <w:t>Court under Article 34</w:t>
      </w:r>
      <w:r w:rsidRPr="00DA06F7" w:rsidR="00F71A6A">
        <w:t xml:space="preserve"> of the Convention for the Protection of Human Rights and Fundamental Freedoms (“the Convention”) </w:t>
      </w:r>
      <w:r w:rsidRPr="00DA06F7" w:rsidR="0074151D">
        <w:t xml:space="preserve">on 15 </w:t>
      </w:r>
      <w:r w:rsidR="0074151D">
        <w:t>June</w:t>
      </w:r>
      <w:r w:rsidRPr="00DA06F7" w:rsidR="0074151D">
        <w:t xml:space="preserve"> 2005</w:t>
      </w:r>
      <w:r w:rsidR="0074151D">
        <w:t xml:space="preserve"> </w:t>
      </w:r>
      <w:r w:rsidRPr="00DA06F7" w:rsidR="00F71A6A">
        <w:t xml:space="preserve">by </w:t>
      </w:r>
      <w:r w:rsidR="00C8400D">
        <w:t>three</w:t>
      </w:r>
      <w:r w:rsidRPr="00DA06F7">
        <w:t xml:space="preserve"> Slovak nationals</w:t>
      </w:r>
      <w:r w:rsidR="00E007EC">
        <w:t>, Ms Helena Hud</w:t>
      </w:r>
      <w:r w:rsidR="00E007EC">
        <w:rPr>
          <w:lang w:val="sk-SK"/>
        </w:rPr>
        <w:t>áková, born in 1956 and residing in Košice, Ms Lea Bessenyeyová, born in 1977 and residing in Malý Ruskov</w:t>
      </w:r>
      <w:r w:rsidR="00BB5231">
        <w:rPr>
          <w:lang w:val="sk-SK"/>
        </w:rPr>
        <w:t>,</w:t>
      </w:r>
      <w:r w:rsidR="00E007EC">
        <w:rPr>
          <w:lang w:val="sk-SK"/>
        </w:rPr>
        <w:t xml:space="preserve"> and Mr Martin Sabó, born in 1954 and </w:t>
      </w:r>
      <w:r w:rsidR="00E007EC">
        <w:t>residing in Milhos</w:t>
      </w:r>
      <w:r w:rsidR="00E007EC">
        <w:rPr>
          <w:lang w:val="sk-SK"/>
        </w:rPr>
        <w:t xml:space="preserve">ťov, </w:t>
      </w:r>
      <w:r w:rsidRPr="00DA06F7">
        <w:t>(“the applicants”)</w:t>
      </w:r>
      <w:r w:rsidRPr="00DA06F7" w:rsidR="00F71A6A">
        <w:t>.</w:t>
      </w:r>
    </w:p>
    <w:p w:rsidRPr="00DA06F7" w:rsidR="00DA06F7" w:rsidP="00252B31" w:rsidRDefault="00DA06F7">
      <w:pPr>
        <w:pStyle w:val="JuPara"/>
      </w:pPr>
      <w:r w:rsidRPr="00DA06F7">
        <w:fldChar w:fldCharType="begin"/>
      </w:r>
      <w:r w:rsidRPr="00DA06F7">
        <w:instrText xml:space="preserve"> SEQ level0 \*arabic </w:instrText>
      </w:r>
      <w:r w:rsidRPr="00DA06F7">
        <w:fldChar w:fldCharType="separate"/>
      </w:r>
      <w:r w:rsidR="0020029F">
        <w:rPr>
          <w:noProof/>
        </w:rPr>
        <w:t>2</w:t>
      </w:r>
      <w:r w:rsidRPr="00DA06F7">
        <w:fldChar w:fldCharType="end"/>
      </w:r>
      <w:r w:rsidRPr="00DA06F7" w:rsidR="00F71A6A">
        <w:t>.  </w:t>
      </w:r>
      <w:r w:rsidRPr="00DA06F7">
        <w:t xml:space="preserve">The applicants </w:t>
      </w:r>
      <w:r w:rsidR="00C8400D">
        <w:t>were represented before the Court by</w:t>
      </w:r>
      <w:r w:rsidRPr="00797DD6" w:rsidR="00C8400D">
        <w:t xml:space="preserve"> Mr </w:t>
      </w:r>
      <w:r w:rsidR="00C8400D">
        <w:t>A.</w:t>
      </w:r>
      <w:r w:rsidRPr="00797DD6" w:rsidR="00C8400D">
        <w:t xml:space="preserve"> Fuchs, a</w:t>
      </w:r>
      <w:r w:rsidR="0074151D">
        <w:t> </w:t>
      </w:r>
      <w:r w:rsidRPr="00797DD6" w:rsidR="00C8400D">
        <w:t>lawyer practising in Ko</w:t>
      </w:r>
      <w:r w:rsidR="00C8400D">
        <w:rPr>
          <w:lang w:val="sk-SK"/>
        </w:rPr>
        <w:t>š</w:t>
      </w:r>
      <w:r w:rsidRPr="00797DD6" w:rsidR="00C8400D">
        <w:t>ice.</w:t>
      </w:r>
      <w:r w:rsidRPr="00DA06F7">
        <w:t xml:space="preserve"> </w:t>
      </w:r>
      <w:r w:rsidRPr="00DA06F7" w:rsidR="00F71A6A">
        <w:t xml:space="preserve">The </w:t>
      </w:r>
      <w:r w:rsidRPr="00DA06F7">
        <w:t>Slovak</w:t>
      </w:r>
      <w:r w:rsidRPr="00DA06F7" w:rsidR="00F71A6A">
        <w:t xml:space="preserve"> Government (“the Government”) were</w:t>
      </w:r>
      <w:r w:rsidR="00C8400D">
        <w:t xml:space="preserve"> represented by their Agent, Ms</w:t>
      </w:r>
      <w:r w:rsidRPr="00DA06F7" w:rsidR="00F71A6A">
        <w:t xml:space="preserve"> </w:t>
      </w:r>
      <w:r w:rsidR="00C8400D">
        <w:t>M. Pirošíková</w:t>
      </w:r>
      <w:r w:rsidRPr="00DA06F7" w:rsidR="00F71A6A">
        <w:t>.</w:t>
      </w:r>
    </w:p>
    <w:p w:rsidR="00C8400D" w:rsidP="00C8400D" w:rsidRDefault="00DA06F7">
      <w:pPr>
        <w:pStyle w:val="JuPara"/>
      </w:pPr>
      <w:r w:rsidRPr="00DA06F7">
        <w:fldChar w:fldCharType="begin"/>
      </w:r>
      <w:r w:rsidRPr="00DA06F7">
        <w:instrText xml:space="preserve"> SEQ level0 \*arabic </w:instrText>
      </w:r>
      <w:r w:rsidRPr="00DA06F7">
        <w:fldChar w:fldCharType="separate"/>
      </w:r>
      <w:r w:rsidR="0020029F">
        <w:rPr>
          <w:noProof/>
        </w:rPr>
        <w:t>3</w:t>
      </w:r>
      <w:r w:rsidRPr="00DA06F7">
        <w:fldChar w:fldCharType="end"/>
      </w:r>
      <w:r w:rsidRPr="00DA06F7">
        <w:t xml:space="preserve">.  The applicants alleged </w:t>
      </w:r>
      <w:r w:rsidRPr="00797DD6" w:rsidR="00C8400D">
        <w:t>that</w:t>
      </w:r>
      <w:r w:rsidR="00C8400D">
        <w:t xml:space="preserve"> their right to a fair hearing </w:t>
      </w:r>
      <w:r w:rsidR="00BB5231">
        <w:t>had been</w:t>
      </w:r>
      <w:r w:rsidR="00C8400D">
        <w:t xml:space="preserve"> violated</w:t>
      </w:r>
      <w:r w:rsidR="00BB5231">
        <w:t xml:space="preserve"> by the failure of the Supreme Court to communicate to them the plaintiffs</w:t>
      </w:r>
      <w:r w:rsidR="00E72DA8">
        <w:t>'</w:t>
      </w:r>
      <w:r w:rsidR="00BB5231">
        <w:t xml:space="preserve"> written </w:t>
      </w:r>
      <w:r w:rsidR="00D36EB3">
        <w:t>observations on their appeal</w:t>
      </w:r>
      <w:r w:rsidR="00C8400D">
        <w:t xml:space="preserve">. They also alleged a violation of </w:t>
      </w:r>
      <w:r w:rsidR="00BB5231">
        <w:t xml:space="preserve">Article 6 § 1 and </w:t>
      </w:r>
      <w:r w:rsidR="00C8400D">
        <w:t>Article 1 of Protocol No. 1 in that they had lost ownership of the real property in issue as a result of the domestic courts</w:t>
      </w:r>
      <w:r w:rsidR="00E72DA8">
        <w:t>'</w:t>
      </w:r>
      <w:r w:rsidR="00C8400D">
        <w:t xml:space="preserve"> judgments.</w:t>
      </w:r>
    </w:p>
    <w:p w:rsidRPr="00DA06F7" w:rsidR="00F71A6A" w:rsidP="003E319C" w:rsidRDefault="00DA06F7">
      <w:pPr>
        <w:pStyle w:val="JuPara"/>
      </w:pPr>
      <w:r w:rsidRPr="00DA06F7">
        <w:fldChar w:fldCharType="begin"/>
      </w:r>
      <w:r w:rsidRPr="00DA06F7">
        <w:instrText xml:space="preserve"> SEQ level0 \*arabic </w:instrText>
      </w:r>
      <w:r w:rsidRPr="00DA06F7">
        <w:fldChar w:fldCharType="separate"/>
      </w:r>
      <w:r w:rsidR="0020029F">
        <w:rPr>
          <w:noProof/>
        </w:rPr>
        <w:t>4</w:t>
      </w:r>
      <w:r w:rsidRPr="00DA06F7">
        <w:fldChar w:fldCharType="end"/>
      </w:r>
      <w:r w:rsidRPr="00DA06F7" w:rsidR="00F71A6A">
        <w:t xml:space="preserve">.  On </w:t>
      </w:r>
      <w:r w:rsidR="00C8400D">
        <w:t>18 March 2007</w:t>
      </w:r>
      <w:r w:rsidRPr="00DA06F7" w:rsidR="00F71A6A">
        <w:t xml:space="preserve"> </w:t>
      </w:r>
      <w:r w:rsidRPr="00DA06F7">
        <w:t>the President of the Fourth Section</w:t>
      </w:r>
      <w:r w:rsidR="00C8400D">
        <w:t xml:space="preserve"> </w:t>
      </w:r>
      <w:r w:rsidRPr="00DA06F7" w:rsidR="00F71A6A">
        <w:t xml:space="preserve">decided to </w:t>
      </w:r>
      <w:r w:rsidRPr="00DA06F7" w:rsidR="00756D5B">
        <w:t>give notice of the application</w:t>
      </w:r>
      <w:r w:rsidRPr="00DA06F7" w:rsidR="00F71A6A">
        <w:t xml:space="preserve"> to the Gove</w:t>
      </w:r>
      <w:r w:rsidRPr="00DA06F7" w:rsidR="00485A6F">
        <w:t>rnment. I</w:t>
      </w:r>
      <w:r w:rsidRPr="00DA06F7" w:rsidR="00F71A6A">
        <w:t>t</w:t>
      </w:r>
      <w:r w:rsidRPr="00DA06F7">
        <w:t xml:space="preserve"> was</w:t>
      </w:r>
      <w:r w:rsidRPr="00DA06F7" w:rsidR="001A0EBE">
        <w:t xml:space="preserve"> </w:t>
      </w:r>
      <w:r w:rsidRPr="00DA06F7" w:rsidR="00485A6F">
        <w:t xml:space="preserve">also </w:t>
      </w:r>
      <w:r w:rsidRPr="00DA06F7" w:rsidR="00F71A6A">
        <w:t xml:space="preserve">decided to examine the merits of the </w:t>
      </w:r>
      <w:r w:rsidRPr="00DA06F7">
        <w:t>application</w:t>
      </w:r>
      <w:r w:rsidRPr="00DA06F7" w:rsidR="00F71A6A">
        <w:t xml:space="preserve"> at the same time as </w:t>
      </w:r>
      <w:r w:rsidRPr="00DA06F7">
        <w:t>its</w:t>
      </w:r>
      <w:r w:rsidRPr="00DA06F7" w:rsidR="00F71A6A">
        <w:t xml:space="preserve"> admissibility</w:t>
      </w:r>
      <w:r w:rsidRPr="00DA06F7" w:rsidR="00485A6F">
        <w:t xml:space="preserve"> (Article 29 § 3)</w:t>
      </w:r>
      <w:r w:rsidRPr="00DA06F7" w:rsidR="00F71A6A">
        <w:t>.</w:t>
      </w:r>
    </w:p>
    <w:p w:rsidRPr="00DA06F7" w:rsidR="00F71A6A" w:rsidRDefault="00F71A6A">
      <w:pPr>
        <w:pStyle w:val="JuHHead"/>
      </w:pPr>
      <w:r w:rsidRPr="00DA06F7">
        <w:t>THE FACTS</w:t>
      </w:r>
    </w:p>
    <w:p w:rsidRPr="00DA06F7" w:rsidR="00D353F4" w:rsidP="00D353F4" w:rsidRDefault="007352DD">
      <w:pPr>
        <w:pStyle w:val="JuHIRoman"/>
      </w:pPr>
      <w:r w:rsidRPr="00DA06F7">
        <w:t xml:space="preserve">I.  THE CIRCUMSTANCES OF THE </w:t>
      </w:r>
      <w:r w:rsidRPr="00DA06F7" w:rsidR="00D353F4">
        <w:t>CASE</w:t>
      </w:r>
    </w:p>
    <w:p w:rsidR="00C8400D" w:rsidP="00C8400D" w:rsidRDefault="00E007EC">
      <w:pPr>
        <w:pStyle w:val="JuPara"/>
      </w:pPr>
      <w:r>
        <w:fldChar w:fldCharType="begin"/>
      </w:r>
      <w:r>
        <w:instrText xml:space="preserve"> SEQ level0 \*arabic </w:instrText>
      </w:r>
      <w:r>
        <w:fldChar w:fldCharType="separate"/>
      </w:r>
      <w:r w:rsidR="0020029F">
        <w:rPr>
          <w:noProof/>
        </w:rPr>
        <w:t>5</w:t>
      </w:r>
      <w:r>
        <w:fldChar w:fldCharType="end"/>
      </w:r>
      <w:r>
        <w:t>.  T</w:t>
      </w:r>
      <w:r w:rsidR="00C8400D">
        <w:t>he applicants</w:t>
      </w:r>
      <w:r w:rsidR="00E72DA8">
        <w:t>'</w:t>
      </w:r>
      <w:r w:rsidR="00C8400D">
        <w:t xml:space="preserve"> relative and another person </w:t>
      </w:r>
      <w:r>
        <w:t>were sued in</w:t>
      </w:r>
      <w:r w:rsidR="00C8400D">
        <w:t xml:space="preserve"> the District Court in Trebi</w:t>
      </w:r>
      <w:r w:rsidR="00C8400D">
        <w:rPr>
          <w:lang w:val="sk-SK"/>
        </w:rPr>
        <w:t>šov</w:t>
      </w:r>
      <w:r w:rsidR="00C8400D">
        <w:t>. The plaintiffs</w:t>
      </w:r>
      <w:r>
        <w:t xml:space="preserve"> in the case</w:t>
      </w:r>
      <w:r w:rsidR="00C8400D">
        <w:t xml:space="preserve"> claimed that real property in respect of which the defendants were registered as owners belonged to the estate of the plaintiffs</w:t>
      </w:r>
      <w:r w:rsidR="00E72DA8">
        <w:t>'</w:t>
      </w:r>
      <w:r w:rsidR="00C8400D">
        <w:t xml:space="preserve"> predecessors.</w:t>
      </w:r>
    </w:p>
    <w:p w:rsidR="00C8400D" w:rsidP="00C8400D" w:rsidRDefault="00E007EC">
      <w:pPr>
        <w:pStyle w:val="JuPara"/>
      </w:pPr>
      <w:r>
        <w:fldChar w:fldCharType="begin"/>
      </w:r>
      <w:r>
        <w:instrText xml:space="preserve"> SEQ level0 \*arabic </w:instrText>
      </w:r>
      <w:r>
        <w:fldChar w:fldCharType="separate"/>
      </w:r>
      <w:r w:rsidR="0020029F">
        <w:rPr>
          <w:noProof/>
        </w:rPr>
        <w:t>6</w:t>
      </w:r>
      <w:r>
        <w:fldChar w:fldCharType="end"/>
      </w:r>
      <w:r>
        <w:t>.  </w:t>
      </w:r>
      <w:r w:rsidR="00C8400D">
        <w:t>On 5 October 1999 the District Court dismissed the action.</w:t>
      </w:r>
    </w:p>
    <w:p w:rsidR="00C8400D" w:rsidP="00D36EB3" w:rsidRDefault="00E007EC">
      <w:pPr>
        <w:pStyle w:val="JuPara"/>
      </w:pPr>
      <w:r>
        <w:fldChar w:fldCharType="begin"/>
      </w:r>
      <w:r>
        <w:instrText xml:space="preserve"> SEQ level0 \*arabic </w:instrText>
      </w:r>
      <w:r>
        <w:fldChar w:fldCharType="separate"/>
      </w:r>
      <w:r w:rsidR="0020029F">
        <w:rPr>
          <w:noProof/>
        </w:rPr>
        <w:t>7</w:t>
      </w:r>
      <w:r>
        <w:fldChar w:fldCharType="end"/>
      </w:r>
      <w:r>
        <w:t>.  </w:t>
      </w:r>
      <w:r w:rsidR="00C8400D">
        <w:t xml:space="preserve">On 26 October 2000 the </w:t>
      </w:r>
      <w:smartTag w:uri="urn:schemas-microsoft-com:office:smarttags" w:element="Street">
        <w:smartTag w:uri="urn:schemas-microsoft-com:office:smarttags" w:element="stockticker">
          <w:smartTag w:uri="urn:schemas-microsoft-com:office:smarttags" w:element="address">
            <w:r w:rsidR="00C8400D">
              <w:t>Regional Court</w:t>
            </w:r>
          </w:smartTag>
        </w:smartTag>
      </w:smartTag>
      <w:r w:rsidR="00C8400D">
        <w:t xml:space="preserve"> in Ko</w:t>
      </w:r>
      <w:r w:rsidR="00C8400D">
        <w:rPr>
          <w:lang w:val="sk-SK"/>
        </w:rPr>
        <w:t>šice</w:t>
      </w:r>
      <w:r w:rsidR="00C8400D">
        <w:t xml:space="preserve"> qua</w:t>
      </w:r>
      <w:r w:rsidR="00BB5231">
        <w:t>shed the first</w:t>
      </w:r>
      <w:r w:rsidR="00BB5231">
        <w:noBreakHyphen/>
        <w:t>instance judgment</w:t>
      </w:r>
      <w:r w:rsidR="00C8400D">
        <w:t>.</w:t>
      </w:r>
    </w:p>
    <w:p w:rsidR="00444D89" w:rsidP="00C8400D" w:rsidRDefault="00E007EC">
      <w:pPr>
        <w:pStyle w:val="JuPara"/>
      </w:pPr>
      <w:r>
        <w:fldChar w:fldCharType="begin"/>
      </w:r>
      <w:r>
        <w:instrText xml:space="preserve"> SEQ level0 \*arabic </w:instrText>
      </w:r>
      <w:r>
        <w:fldChar w:fldCharType="separate"/>
      </w:r>
      <w:r w:rsidR="0020029F">
        <w:rPr>
          <w:noProof/>
        </w:rPr>
        <w:t>8</w:t>
      </w:r>
      <w:r>
        <w:fldChar w:fldCharType="end"/>
      </w:r>
      <w:r>
        <w:t>.  </w:t>
      </w:r>
      <w:r w:rsidR="00C8400D">
        <w:t>On 9 October 2001 the applicants joined the proceedings as defendants.</w:t>
      </w:r>
    </w:p>
    <w:p w:rsidR="00830AE4" w:rsidP="00C8400D" w:rsidRDefault="00830AE4">
      <w:pPr>
        <w:pStyle w:val="JuPara"/>
      </w:pPr>
      <w:r>
        <w:fldChar w:fldCharType="begin"/>
      </w:r>
      <w:r>
        <w:instrText xml:space="preserve"> SEQ level0 \*arabic </w:instrText>
      </w:r>
      <w:r>
        <w:fldChar w:fldCharType="separate"/>
      </w:r>
      <w:r w:rsidR="0020029F">
        <w:rPr>
          <w:noProof/>
        </w:rPr>
        <w:t>9</w:t>
      </w:r>
      <w:r>
        <w:fldChar w:fldCharType="end"/>
      </w:r>
      <w:r>
        <w:t>.  </w:t>
      </w:r>
      <w:r w:rsidR="00C8400D">
        <w:t xml:space="preserve">On 18 September 2002 the District Court </w:t>
      </w:r>
      <w:r w:rsidR="00D36EB3">
        <w:t>allowed the plaintiffs</w:t>
      </w:r>
      <w:r w:rsidR="00E72DA8">
        <w:t>'</w:t>
      </w:r>
      <w:r w:rsidR="00D36EB3">
        <w:t xml:space="preserve"> action.</w:t>
      </w:r>
    </w:p>
    <w:p w:rsidR="00C8400D" w:rsidP="00C8400D" w:rsidRDefault="00830AE4">
      <w:pPr>
        <w:pStyle w:val="JuPara"/>
      </w:pPr>
      <w:r>
        <w:fldChar w:fldCharType="begin"/>
      </w:r>
      <w:r>
        <w:instrText xml:space="preserve"> SEQ level0 \*arabic </w:instrText>
      </w:r>
      <w:r>
        <w:fldChar w:fldCharType="separate"/>
      </w:r>
      <w:r w:rsidR="0020029F">
        <w:rPr>
          <w:noProof/>
        </w:rPr>
        <w:t>10</w:t>
      </w:r>
      <w:r>
        <w:fldChar w:fldCharType="end"/>
      </w:r>
      <w:r>
        <w:t>.  </w:t>
      </w:r>
      <w:r w:rsidR="00C8400D">
        <w:t xml:space="preserve">On 16 September 2003 the </w:t>
      </w:r>
      <w:smartTag w:uri="urn:schemas-microsoft-com:office:smarttags" w:element="Street">
        <w:smartTag w:uri="urn:schemas-microsoft-com:office:smarttags" w:element="stockticker">
          <w:smartTag w:uri="urn:schemas-microsoft-com:office:smarttags" w:element="address">
            <w:r w:rsidR="00C8400D">
              <w:t>Regional Court</w:t>
            </w:r>
          </w:smartTag>
        </w:smartTag>
      </w:smartTag>
      <w:r w:rsidR="00C8400D">
        <w:t xml:space="preserve"> upheld </w:t>
      </w:r>
      <w:r>
        <w:t>the</w:t>
      </w:r>
      <w:r w:rsidR="00C8400D">
        <w:t xml:space="preserve"> decision</w:t>
      </w:r>
      <w:r>
        <w:t xml:space="preserve"> of the District Court</w:t>
      </w:r>
      <w:r w:rsidR="00C8400D">
        <w:t>.</w:t>
      </w:r>
    </w:p>
    <w:p w:rsidR="00C8400D" w:rsidP="00C8400D" w:rsidRDefault="00830AE4">
      <w:pPr>
        <w:pStyle w:val="JuPara"/>
      </w:pPr>
      <w:r>
        <w:fldChar w:fldCharType="begin"/>
      </w:r>
      <w:r>
        <w:instrText xml:space="preserve"> SEQ level0 \*arabic </w:instrText>
      </w:r>
      <w:r>
        <w:fldChar w:fldCharType="separate"/>
      </w:r>
      <w:r w:rsidR="0020029F">
        <w:rPr>
          <w:noProof/>
        </w:rPr>
        <w:t>11</w:t>
      </w:r>
      <w:r>
        <w:fldChar w:fldCharType="end"/>
      </w:r>
      <w:r>
        <w:t>.  </w:t>
      </w:r>
      <w:r w:rsidR="00C8400D">
        <w:t xml:space="preserve">The applicants filed an appeal </w:t>
      </w:r>
      <w:r w:rsidR="00BB5231">
        <w:t xml:space="preserve">with the Supreme Court </w:t>
      </w:r>
      <w:r w:rsidR="00C8400D">
        <w:t xml:space="preserve">on points of law. They alleged that the </w:t>
      </w:r>
      <w:smartTag w:uri="urn:schemas-microsoft-com:office:smarttags" w:element="Street">
        <w:smartTag w:uri="urn:schemas-microsoft-com:office:smarttags" w:element="stockticker">
          <w:smartTag w:uri="urn:schemas-microsoft-com:office:smarttags" w:element="address">
            <w:r>
              <w:t>Regional Court</w:t>
            </w:r>
          </w:smartTag>
        </w:smartTag>
      </w:smartTag>
      <w:r w:rsidR="00C8400D">
        <w:t xml:space="preserve"> had not assessed the relevant facts correctly. In particular, the applicants challenged the conclusion that the predecessors of the plaintiffs had acquired the property </w:t>
      </w:r>
      <w:r>
        <w:t xml:space="preserve">in question </w:t>
      </w:r>
      <w:r w:rsidR="00C8400D">
        <w:t xml:space="preserve">pursuant to a document issued on 6 April 1948. In any event, </w:t>
      </w:r>
      <w:r>
        <w:t>they argued that the</w:t>
      </w:r>
      <w:r w:rsidR="00C8400D">
        <w:t xml:space="preserve"> document was invalid as it contained incorrect information. Finally, the applicants alleged that the property in </w:t>
      </w:r>
      <w:r>
        <w:t>question</w:t>
      </w:r>
      <w:r w:rsidR="00C8400D">
        <w:t xml:space="preserve"> had not been specified with sufficient certainty in th</w:t>
      </w:r>
      <w:r>
        <w:t xml:space="preserve">e </w:t>
      </w:r>
      <w:r w:rsidR="00C8400D">
        <w:t>document.</w:t>
      </w:r>
    </w:p>
    <w:p w:rsidR="00C8400D" w:rsidP="00C8400D" w:rsidRDefault="00830AE4">
      <w:pPr>
        <w:pStyle w:val="JuPara"/>
      </w:pPr>
      <w:r>
        <w:fldChar w:fldCharType="begin"/>
      </w:r>
      <w:r>
        <w:instrText xml:space="preserve"> SEQ level0 \*arabic </w:instrText>
      </w:r>
      <w:r>
        <w:fldChar w:fldCharType="separate"/>
      </w:r>
      <w:r w:rsidR="0020029F">
        <w:rPr>
          <w:noProof/>
        </w:rPr>
        <w:t>12</w:t>
      </w:r>
      <w:r>
        <w:fldChar w:fldCharType="end"/>
      </w:r>
      <w:r>
        <w:t>.  </w:t>
      </w:r>
      <w:r w:rsidR="00C8400D">
        <w:t>On 27 July 2004 the Supreme Court publicly delivered a judgment dismissing the applicants</w:t>
      </w:r>
      <w:r w:rsidR="00E72DA8">
        <w:t>'</w:t>
      </w:r>
      <w:r w:rsidR="00C8400D">
        <w:t xml:space="preserve"> appeal on points of law. The judgment stated that the Supreme Court had examined the case without a hearing pursuant to Article 243a § 1 of the Code of Civil Procedure. It indicated that the plaintiffs had submitted observations on the applicants</w:t>
      </w:r>
      <w:r w:rsidR="00E72DA8">
        <w:t>'</w:t>
      </w:r>
      <w:r w:rsidR="00C8400D">
        <w:t xml:space="preserve"> appeal on points of law. In their observations the plaintiffs had alleged that their predecessors had acquired the property in </w:t>
      </w:r>
      <w:r>
        <w:t>question</w:t>
      </w:r>
      <w:r w:rsidR="00C8400D">
        <w:t xml:space="preserve"> by virtue of the document of 6 April 1948 or, in any event, by prescription.</w:t>
      </w:r>
    </w:p>
    <w:p w:rsidR="00C8400D" w:rsidP="00C8400D" w:rsidRDefault="00830AE4">
      <w:pPr>
        <w:pStyle w:val="JuPara"/>
      </w:pPr>
      <w:r>
        <w:fldChar w:fldCharType="begin"/>
      </w:r>
      <w:r>
        <w:instrText xml:space="preserve"> SEQ level0 \*arabic </w:instrText>
      </w:r>
      <w:r>
        <w:fldChar w:fldCharType="separate"/>
      </w:r>
      <w:r w:rsidR="0020029F">
        <w:rPr>
          <w:noProof/>
        </w:rPr>
        <w:t>13</w:t>
      </w:r>
      <w:r>
        <w:fldChar w:fldCharType="end"/>
      </w:r>
      <w:r>
        <w:t>.  </w:t>
      </w:r>
      <w:r w:rsidR="00C8400D">
        <w:t xml:space="preserve">The Supreme Court upheld the conclusions reached by the </w:t>
      </w:r>
      <w:smartTag w:uri="urn:schemas-microsoft-com:office:smarttags" w:element="Street">
        <w:smartTag w:uri="urn:schemas-microsoft-com:office:smarttags" w:element="stockticker">
          <w:smartTag w:uri="urn:schemas-microsoft-com:office:smarttags" w:element="address">
            <w:r w:rsidR="00C8400D">
              <w:t>Regional Court</w:t>
            </w:r>
          </w:smartTag>
        </w:smartTag>
      </w:smartTag>
      <w:r w:rsidR="00C8400D">
        <w:t xml:space="preserve">. It held that, despite several inconsistencies in the text of the administrative document of 6 April 1948, it was evident that the land in </w:t>
      </w:r>
      <w:r w:rsidR="00BB5231">
        <w:t>question</w:t>
      </w:r>
      <w:r w:rsidR="00C8400D">
        <w:t xml:space="preserve"> had been allocated to the plaintiffs</w:t>
      </w:r>
      <w:r w:rsidR="00E72DA8">
        <w:t>'</w:t>
      </w:r>
      <w:r w:rsidR="00C8400D">
        <w:t xml:space="preserve"> predecessors. Similar administrative documents were to be presumed correct and binding to the extent that they had been delivered by a competent authority and had become final. The ordinary courts could not subsequently review the merits of such decisions. The fact that, according to the document, further action had been needed with a view to completing the allocation of the property to the persons concerned was irrelevant as regards the acquisition of the property by the plaintiffs</w:t>
      </w:r>
      <w:r w:rsidR="00E72DA8">
        <w:t>'</w:t>
      </w:r>
      <w:r w:rsidR="00C8400D">
        <w:t xml:space="preserve"> predecessors by virtue of that document. Such situation was in conformity with the law in force at that time.</w:t>
      </w:r>
    </w:p>
    <w:p w:rsidR="00C8400D" w:rsidP="00BB5231" w:rsidRDefault="00830AE4">
      <w:pPr>
        <w:pStyle w:val="JuPara"/>
      </w:pPr>
      <w:r>
        <w:fldChar w:fldCharType="begin"/>
      </w:r>
      <w:r>
        <w:instrText xml:space="preserve"> SEQ level0 \*arabic </w:instrText>
      </w:r>
      <w:r>
        <w:fldChar w:fldCharType="separate"/>
      </w:r>
      <w:r w:rsidR="0020029F">
        <w:rPr>
          <w:noProof/>
        </w:rPr>
        <w:t>14</w:t>
      </w:r>
      <w:r>
        <w:fldChar w:fldCharType="end"/>
      </w:r>
      <w:r>
        <w:t>.  </w:t>
      </w:r>
      <w:r w:rsidR="00C8400D">
        <w:t xml:space="preserve">The applicants filed a complaint with the </w:t>
      </w:r>
      <w:smartTag w:uri="urn:schemas-microsoft-com:office:smarttags" w:element="Street">
        <w:smartTag w:uri="urn:schemas-microsoft-com:office:smarttags" w:element="stockticker">
          <w:smartTag w:uri="urn:schemas-microsoft-com:office:smarttags" w:element="address">
            <w:r w:rsidR="00C8400D">
              <w:t>Constitutional Court</w:t>
            </w:r>
          </w:smartTag>
        </w:smartTag>
      </w:smartTag>
      <w:r w:rsidR="00C8400D">
        <w:t>. They relied on Article 6 § 1 of the Convention and Article 1 of Protocol No. 1. They complained that the Supreme Court had had before it observations submitted by the plaintiffs which</w:t>
      </w:r>
      <w:r w:rsidR="00BB5231">
        <w:t xml:space="preserve"> had not been communicated to</w:t>
      </w:r>
      <w:r w:rsidR="00C8400D">
        <w:t xml:space="preserve"> the applicants. The</w:t>
      </w:r>
      <w:r w:rsidR="008D75DF">
        <w:t>y further contended that the</w:t>
      </w:r>
      <w:r w:rsidR="00C8400D">
        <w:t xml:space="preserve"> </w:t>
      </w:r>
      <w:smartTag w:uri="urn:schemas-microsoft-com:office:smarttags" w:element="Street">
        <w:smartTag w:uri="urn:schemas-microsoft-com:office:smarttags" w:element="stockticker">
          <w:smartTag w:uri="urn:schemas-microsoft-com:office:smarttags" w:element="address">
            <w:r w:rsidR="00C8400D">
              <w:t>Regional Court</w:t>
            </w:r>
          </w:smartTag>
        </w:smartTag>
      </w:smartTag>
      <w:r w:rsidR="00C8400D">
        <w:t xml:space="preserve"> had not taken into account the fact that the document in issue did not clearly indicate the persons to w</w:t>
      </w:r>
      <w:r w:rsidR="008D75DF">
        <w:t>hom the land had been allocated</w:t>
      </w:r>
      <w:r w:rsidR="00C8400D">
        <w:t xml:space="preserve"> and </w:t>
      </w:r>
      <w:r w:rsidR="008D75DF">
        <w:t xml:space="preserve">that </w:t>
      </w:r>
      <w:r w:rsidR="00C8400D">
        <w:t>the Supreme Court had not remedied that shortcoming.</w:t>
      </w:r>
    </w:p>
    <w:p w:rsidRPr="009478AD" w:rsidR="00C8400D" w:rsidP="00C8400D" w:rsidRDefault="008D75DF">
      <w:pPr>
        <w:pStyle w:val="JuPara"/>
      </w:pPr>
      <w:r>
        <w:fldChar w:fldCharType="begin"/>
      </w:r>
      <w:r>
        <w:instrText xml:space="preserve"> SEQ level0 \*arabic </w:instrText>
      </w:r>
      <w:r>
        <w:fldChar w:fldCharType="separate"/>
      </w:r>
      <w:r w:rsidR="0020029F">
        <w:rPr>
          <w:noProof/>
        </w:rPr>
        <w:t>15</w:t>
      </w:r>
      <w:r>
        <w:fldChar w:fldCharType="end"/>
      </w:r>
      <w:r>
        <w:t>.  </w:t>
      </w:r>
      <w:r w:rsidR="00C8400D">
        <w:t xml:space="preserve">On 2 February 2005 the </w:t>
      </w:r>
      <w:smartTag w:uri="urn:schemas-microsoft-com:office:smarttags" w:element="Street">
        <w:smartTag w:uri="urn:schemas-microsoft-com:office:smarttags" w:element="stockticker">
          <w:smartTag w:uri="urn:schemas-microsoft-com:office:smarttags" w:element="address">
            <w:r w:rsidR="00C8400D">
              <w:t>Constitutional Court</w:t>
            </w:r>
          </w:smartTag>
        </w:smartTag>
      </w:smartTag>
      <w:r w:rsidR="00C8400D">
        <w:t xml:space="preserve"> dismissed the applicants</w:t>
      </w:r>
      <w:r w:rsidR="00E72DA8">
        <w:t>'</w:t>
      </w:r>
      <w:r w:rsidR="00C8400D">
        <w:t xml:space="preserve"> complaint. </w:t>
      </w:r>
      <w:r w:rsidR="008B6C99">
        <w:t>It found</w:t>
      </w:r>
      <w:r w:rsidR="00C8400D">
        <w:t xml:space="preserve"> that the parti</w:t>
      </w:r>
      <w:r w:rsidR="0074151D">
        <w:t>es had had ample opportunity to </w:t>
      </w:r>
      <w:r w:rsidR="00C8400D">
        <w:t xml:space="preserve">submit their arguments on the relevant issues before </w:t>
      </w:r>
      <w:r>
        <w:t xml:space="preserve">the </w:t>
      </w:r>
      <w:r w:rsidR="00C8400D">
        <w:t>ordinary courts at two levels. With reference to the judgment of the Supreme Court</w:t>
      </w:r>
      <w:r>
        <w:t>,</w:t>
      </w:r>
      <w:r w:rsidR="00C8400D">
        <w:t xml:space="preserve"> the </w:t>
      </w:r>
      <w:smartTag w:uri="urn:schemas-microsoft-com:office:smarttags" w:element="Street">
        <w:smartTag w:uri="urn:schemas-microsoft-com:office:smarttags" w:element="stockticker">
          <w:smartTag w:uri="urn:schemas-microsoft-com:office:smarttags" w:element="address">
            <w:r w:rsidR="00C8400D">
              <w:t>Constitutional Court</w:t>
            </w:r>
          </w:smartTag>
        </w:smartTag>
      </w:smartTag>
      <w:r w:rsidR="00C8400D">
        <w:t xml:space="preserve"> held that the plaintiffs</w:t>
      </w:r>
      <w:r w:rsidR="00E72DA8">
        <w:t>'</w:t>
      </w:r>
      <w:r w:rsidR="00C8400D">
        <w:t xml:space="preserve"> observations in </w:t>
      </w:r>
      <w:r>
        <w:t>those</w:t>
      </w:r>
      <w:r w:rsidR="00C8400D">
        <w:t xml:space="preserve"> proceedings had contained no new arguments. The reasons for the Supreme Court</w:t>
      </w:r>
      <w:r w:rsidR="00E72DA8">
        <w:t>'</w:t>
      </w:r>
      <w:r w:rsidR="00C8400D">
        <w:t>s judgment relied on facts and arguments which had been known to the applicants and on which they had been able to comment at an earlier stage of the proceedings. The Supreme Court had taken no evidence. It had addressed the relevant issues and had given sufficient reasons for the conclusions reached, which did</w:t>
      </w:r>
      <w:r>
        <w:t xml:space="preserve"> not appear arbitrary. The fact</w:t>
      </w:r>
      <w:r w:rsidR="00C8400D">
        <w:t xml:space="preserve"> that the applicants had not been able to comment on the plaintiffs</w:t>
      </w:r>
      <w:r w:rsidR="00E72DA8">
        <w:t>'</w:t>
      </w:r>
      <w:r w:rsidR="00C8400D">
        <w:t xml:space="preserve"> submissions to the </w:t>
      </w:r>
      <w:r>
        <w:t>Supreme Court,</w:t>
      </w:r>
      <w:r w:rsidR="00C8400D">
        <w:t xml:space="preserve"> and that the latter had dismissed their appeal on points of law</w:t>
      </w:r>
      <w:r>
        <w:t>,</w:t>
      </w:r>
      <w:r w:rsidR="00C8400D">
        <w:t xml:space="preserve"> </w:t>
      </w:r>
      <w:r>
        <w:t>was</w:t>
      </w:r>
      <w:r w:rsidR="00C8400D">
        <w:t xml:space="preserve"> not contrary to the applicants</w:t>
      </w:r>
      <w:r w:rsidR="00E72DA8">
        <w:t>'</w:t>
      </w:r>
      <w:r w:rsidR="00C8400D">
        <w:t xml:space="preserve"> right to a fair hearing. The </w:t>
      </w:r>
      <w:smartTag w:uri="urn:schemas-microsoft-com:office:smarttags" w:element="Street">
        <w:smartTag w:uri="urn:schemas-microsoft-com:office:smarttags" w:element="stockticker">
          <w:smartTag w:uri="urn:schemas-microsoft-com:office:smarttags" w:element="address">
            <w:r w:rsidR="00C8400D">
              <w:t>Constitutional Court</w:t>
            </w:r>
          </w:smartTag>
        </w:smartTag>
      </w:smartTag>
      <w:r w:rsidR="00C8400D">
        <w:t xml:space="preserve"> further held that, in view of its above conclusions, the applicants</w:t>
      </w:r>
      <w:r w:rsidR="00E72DA8">
        <w:t>'</w:t>
      </w:r>
      <w:r w:rsidR="00C8400D">
        <w:t xml:space="preserve"> complaint </w:t>
      </w:r>
      <w:r w:rsidR="008B6C99">
        <w:t>regarding the alleged</w:t>
      </w:r>
      <w:r w:rsidR="00C8400D">
        <w:t xml:space="preserve"> violation of their property rights as a result of the Supreme Court</w:t>
      </w:r>
      <w:r w:rsidR="00E72DA8">
        <w:t>'</w:t>
      </w:r>
      <w:r w:rsidR="00C8400D">
        <w:t>s decision was manifestly ill-founded.</w:t>
      </w:r>
    </w:p>
    <w:p w:rsidR="00444D89" w:rsidP="007352DD" w:rsidRDefault="00C8400D">
      <w:pPr>
        <w:pStyle w:val="JuHIRoman"/>
      </w:pPr>
      <w:r>
        <w:t>II.  RELEVANT DOMESTIC LAW</w:t>
      </w:r>
    </w:p>
    <w:p w:rsidRPr="00DA06F7" w:rsidR="007352DD" w:rsidP="00C8400D" w:rsidRDefault="00DA06F7">
      <w:pPr>
        <w:pStyle w:val="JuPara"/>
      </w:pPr>
      <w:r w:rsidRPr="00DA06F7">
        <w:fldChar w:fldCharType="begin"/>
      </w:r>
      <w:r w:rsidRPr="00DA06F7">
        <w:instrText xml:space="preserve"> SEQ level0 \*arabic </w:instrText>
      </w:r>
      <w:r w:rsidRPr="00DA06F7">
        <w:fldChar w:fldCharType="separate"/>
      </w:r>
      <w:r w:rsidR="0020029F">
        <w:rPr>
          <w:noProof/>
        </w:rPr>
        <w:t>16</w:t>
      </w:r>
      <w:r w:rsidRPr="00DA06F7">
        <w:fldChar w:fldCharType="end"/>
      </w:r>
      <w:r w:rsidRPr="00DA06F7" w:rsidR="007352DD">
        <w:t>.  </w:t>
      </w:r>
      <w:r w:rsidR="00C8400D">
        <w:t xml:space="preserve">Article 243(a) § 1 permits the court </w:t>
      </w:r>
      <w:r w:rsidR="0074151D">
        <w:t>of cassation to dispense with a </w:t>
      </w:r>
      <w:r w:rsidR="00C8400D">
        <w:t xml:space="preserve">hearing, </w:t>
      </w:r>
      <w:r w:rsidR="00C8400D">
        <w:rPr>
          <w:i/>
        </w:rPr>
        <w:t>inter alia</w:t>
      </w:r>
      <w:r w:rsidR="00C8400D">
        <w:t>, where an appeal on points of law is based on the argument that the lower court had incorrectly assessed the case. Paragraph 2 of Article 243(a) provides that no evidence is taken in cassation proceedings.</w:t>
      </w:r>
    </w:p>
    <w:p w:rsidRPr="00DA06F7" w:rsidR="00F71A6A" w:rsidP="00090C82" w:rsidRDefault="00F71A6A">
      <w:pPr>
        <w:pStyle w:val="JuHHead"/>
      </w:pPr>
      <w:r w:rsidRPr="00DA06F7">
        <w:t>THE LAW</w:t>
      </w:r>
    </w:p>
    <w:p w:rsidRPr="00DA06F7" w:rsidR="00F71A6A" w:rsidRDefault="00F71A6A">
      <w:pPr>
        <w:pStyle w:val="JuHIRoman"/>
      </w:pPr>
      <w:r w:rsidRPr="00DA06F7">
        <w:t xml:space="preserve">I.  ALLEGED VIOLATION OF ARTICLE </w:t>
      </w:r>
      <w:r w:rsidR="00C8400D">
        <w:t>6 § 1</w:t>
      </w:r>
      <w:r w:rsidRPr="00DA06F7">
        <w:t xml:space="preserve"> OF THE CONVENTION</w:t>
      </w:r>
    </w:p>
    <w:p w:rsidRPr="00DA06F7" w:rsidR="00F71A6A" w:rsidRDefault="00DA06F7">
      <w:pPr>
        <w:pStyle w:val="JuPara"/>
      </w:pPr>
      <w:r w:rsidRPr="00DA06F7">
        <w:fldChar w:fldCharType="begin"/>
      </w:r>
      <w:r w:rsidRPr="00DA06F7">
        <w:instrText xml:space="preserve"> SEQ level0 \*arabic </w:instrText>
      </w:r>
      <w:r w:rsidRPr="00DA06F7">
        <w:fldChar w:fldCharType="separate"/>
      </w:r>
      <w:r w:rsidR="0020029F">
        <w:rPr>
          <w:noProof/>
        </w:rPr>
        <w:t>17</w:t>
      </w:r>
      <w:r w:rsidRPr="00DA06F7">
        <w:fldChar w:fldCharType="end"/>
      </w:r>
      <w:r w:rsidRPr="00DA06F7" w:rsidR="00F71A6A">
        <w:t xml:space="preserve">.  The </w:t>
      </w:r>
      <w:r w:rsidRPr="00DA06F7">
        <w:t>applicants</w:t>
      </w:r>
      <w:r w:rsidRPr="00DA06F7" w:rsidR="00F71A6A">
        <w:t xml:space="preserve"> complained that </w:t>
      </w:r>
      <w:r w:rsidR="008D75DF">
        <w:t xml:space="preserve">they had not had a fair hearing in that the </w:t>
      </w:r>
      <w:r w:rsidR="008B6C99">
        <w:t>plaintiffs</w:t>
      </w:r>
      <w:r w:rsidR="00E72DA8">
        <w:t>'</w:t>
      </w:r>
      <w:r w:rsidR="008D75DF">
        <w:t xml:space="preserve"> </w:t>
      </w:r>
      <w:r w:rsidR="00D36EB3">
        <w:t>observations</w:t>
      </w:r>
      <w:r w:rsidR="008D75DF">
        <w:t xml:space="preserve"> to the Supreme Court</w:t>
      </w:r>
      <w:r w:rsidRPr="00DA06F7" w:rsidR="00F71A6A">
        <w:t xml:space="preserve"> </w:t>
      </w:r>
      <w:r w:rsidR="008D75DF">
        <w:t>had not been communicated to them</w:t>
      </w:r>
      <w:r w:rsidR="00D36EB3">
        <w:t xml:space="preserve"> to allow them an opportunity to comment</w:t>
      </w:r>
      <w:r w:rsidR="008D75DF">
        <w:t>. They relied on</w:t>
      </w:r>
      <w:r w:rsidRPr="00DA06F7" w:rsidR="00F71A6A">
        <w:t xml:space="preserve"> Article </w:t>
      </w:r>
      <w:r w:rsidR="008D75DF">
        <w:t>6 § 1</w:t>
      </w:r>
      <w:r w:rsidRPr="00DA06F7" w:rsidR="00F71A6A">
        <w:t xml:space="preserve"> of the Convention, which reads as follows:</w:t>
      </w:r>
    </w:p>
    <w:p w:rsidRPr="00DA06F7" w:rsidR="005B16A8" w:rsidRDefault="00C8400D">
      <w:pPr>
        <w:pStyle w:val="JuQuot"/>
      </w:pPr>
      <w:r>
        <w:t>“In the determination of his civil rights and obligations ... everyone is entitled to a fair ... hearing ... by [a] ... tribunal ...”</w:t>
      </w:r>
    </w:p>
    <w:p w:rsidRPr="00DA06F7" w:rsidR="00F71A6A" w:rsidP="008D75DF" w:rsidRDefault="00DA06F7">
      <w:pPr>
        <w:pStyle w:val="JuPara"/>
      </w:pPr>
      <w:r w:rsidRPr="00DA06F7">
        <w:fldChar w:fldCharType="begin"/>
      </w:r>
      <w:r w:rsidRPr="00DA06F7">
        <w:instrText xml:space="preserve"> SEQ level0 \*arabic </w:instrText>
      </w:r>
      <w:r w:rsidRPr="00DA06F7">
        <w:fldChar w:fldCharType="separate"/>
      </w:r>
      <w:r w:rsidR="0020029F">
        <w:rPr>
          <w:noProof/>
        </w:rPr>
        <w:t>18</w:t>
      </w:r>
      <w:r w:rsidRPr="00DA06F7">
        <w:fldChar w:fldCharType="end"/>
      </w:r>
      <w:r w:rsidRPr="00DA06F7" w:rsidR="00F71A6A">
        <w:t>.  The Government contested that argument</w:t>
      </w:r>
      <w:r w:rsidR="008D75DF">
        <w:t>.</w:t>
      </w:r>
    </w:p>
    <w:p w:rsidRPr="00DA06F7" w:rsidR="00F71A6A" w:rsidRDefault="00F71A6A">
      <w:pPr>
        <w:pStyle w:val="JuHA"/>
      </w:pPr>
      <w:r w:rsidRPr="00DA06F7">
        <w:t>A.  Admissibility</w:t>
      </w:r>
    </w:p>
    <w:p w:rsidR="00F71A6A" w:rsidP="00EB41E9" w:rsidRDefault="00DA06F7">
      <w:pPr>
        <w:pStyle w:val="JuPara"/>
      </w:pPr>
      <w:r w:rsidRPr="00DA06F7">
        <w:fldChar w:fldCharType="begin"/>
      </w:r>
      <w:r w:rsidRPr="00DA06F7">
        <w:instrText xml:space="preserve"> SEQ level0 \*arabic </w:instrText>
      </w:r>
      <w:r w:rsidRPr="00DA06F7">
        <w:fldChar w:fldCharType="separate"/>
      </w:r>
      <w:r w:rsidR="0020029F">
        <w:rPr>
          <w:noProof/>
        </w:rPr>
        <w:t>19</w:t>
      </w:r>
      <w:r w:rsidRPr="00DA06F7">
        <w:fldChar w:fldCharType="end"/>
      </w:r>
      <w:r w:rsidR="008D75DF">
        <w:t xml:space="preserve">.  The Court notes that </w:t>
      </w:r>
      <w:r w:rsidRPr="00DA06F7" w:rsidR="00F71A6A">
        <w:t>this complaint is not manifestly ill-founded within the meaning of Article 35 § 3 of the Convention. It further notes that it is not inadmissible on any other grounds. It must therefore be declared admissible.</w:t>
      </w:r>
    </w:p>
    <w:p w:rsidR="00F71A6A" w:rsidRDefault="00F71A6A">
      <w:pPr>
        <w:pStyle w:val="JuHA"/>
      </w:pPr>
      <w:r w:rsidRPr="00DA06F7">
        <w:t>B.  Merits</w:t>
      </w:r>
    </w:p>
    <w:p w:rsidRPr="008D75DF" w:rsidR="008D75DF" w:rsidP="008D75DF" w:rsidRDefault="008D75DF">
      <w:pPr>
        <w:pStyle w:val="JuH1"/>
      </w:pPr>
      <w:r>
        <w:t>1. The parties</w:t>
      </w:r>
      <w:r w:rsidR="00E72DA8">
        <w:t>'</w:t>
      </w:r>
      <w:r>
        <w:t xml:space="preserve"> submissions</w:t>
      </w:r>
    </w:p>
    <w:p w:rsidR="00444D89" w:rsidRDefault="00DA06F7">
      <w:pPr>
        <w:pStyle w:val="JuPara"/>
      </w:pPr>
      <w:r w:rsidRPr="00DA06F7">
        <w:fldChar w:fldCharType="begin"/>
      </w:r>
      <w:r w:rsidRPr="00DA06F7">
        <w:instrText xml:space="preserve"> SEQ level0 \*arabic </w:instrText>
      </w:r>
      <w:r w:rsidRPr="00DA06F7">
        <w:fldChar w:fldCharType="separate"/>
      </w:r>
      <w:r w:rsidR="0020029F">
        <w:rPr>
          <w:noProof/>
        </w:rPr>
        <w:t>20</w:t>
      </w:r>
      <w:r w:rsidRPr="00DA06F7">
        <w:fldChar w:fldCharType="end"/>
      </w:r>
      <w:r w:rsidRPr="00DA06F7" w:rsidR="00F71A6A">
        <w:t xml:space="preserve">.  The </w:t>
      </w:r>
      <w:r w:rsidRPr="00DA06F7">
        <w:t>applicants</w:t>
      </w:r>
      <w:r w:rsidRPr="00DA06F7" w:rsidR="00F71A6A">
        <w:t xml:space="preserve"> </w:t>
      </w:r>
      <w:r w:rsidR="000868DB">
        <w:t xml:space="preserve">maintained that the failure to communicate to them the </w:t>
      </w:r>
      <w:r w:rsidR="008B6C99">
        <w:t>observations</w:t>
      </w:r>
      <w:r w:rsidR="000868DB">
        <w:t xml:space="preserve"> of the plaintiffs in the proceedings before the Supreme Court rendered the proceedings unfair.</w:t>
      </w:r>
      <w:r w:rsidR="008B6C99">
        <w:t xml:space="preserve"> The unfairness was all the greater in light of the fact </w:t>
      </w:r>
      <w:r w:rsidR="009E26D4">
        <w:t xml:space="preserve">that </w:t>
      </w:r>
      <w:r w:rsidR="008B6C99">
        <w:t>the</w:t>
      </w:r>
      <w:r w:rsidR="000868DB">
        <w:t xml:space="preserve"> plaintiffs </w:t>
      </w:r>
      <w:r w:rsidR="008B6C99">
        <w:t>were provided with all relevant information in the proceedings</w:t>
      </w:r>
      <w:r w:rsidR="000868DB">
        <w:t>.</w:t>
      </w:r>
    </w:p>
    <w:p w:rsidRPr="00DA06F7" w:rsidR="000868DB" w:rsidRDefault="008B657D">
      <w:pPr>
        <w:pStyle w:val="JuPara"/>
      </w:pPr>
      <w:r>
        <w:fldChar w:fldCharType="begin"/>
      </w:r>
      <w:r>
        <w:instrText xml:space="preserve"> SEQ level0 \*arabic </w:instrText>
      </w:r>
      <w:r>
        <w:fldChar w:fldCharType="separate"/>
      </w:r>
      <w:r w:rsidR="0020029F">
        <w:rPr>
          <w:noProof/>
        </w:rPr>
        <w:t>21</w:t>
      </w:r>
      <w:r>
        <w:fldChar w:fldCharType="end"/>
      </w:r>
      <w:r>
        <w:t>.  </w:t>
      </w:r>
      <w:r w:rsidR="000868DB">
        <w:t>The applicants considered</w:t>
      </w:r>
      <w:r w:rsidR="008B6C99">
        <w:t xml:space="preserve"> irrelevant</w:t>
      </w:r>
      <w:r w:rsidR="000868DB">
        <w:t xml:space="preserve"> the finding of the </w:t>
      </w:r>
      <w:smartTag w:uri="urn:schemas-microsoft-com:office:smarttags" w:element="Street">
        <w:smartTag w:uri="urn:schemas-microsoft-com:office:smarttags" w:element="stockticker">
          <w:smartTag w:uri="urn:schemas-microsoft-com:office:smarttags" w:element="address">
            <w:r w:rsidR="000868DB">
              <w:t>Constitutional Court</w:t>
            </w:r>
          </w:smartTag>
        </w:smartTag>
      </w:smartTag>
      <w:r w:rsidR="000868DB">
        <w:t xml:space="preserve"> that the written submissions of the plaintiffs were insignificant as the substance of the submissions was already known to the applicants.</w:t>
      </w:r>
    </w:p>
    <w:p w:rsidR="00444D89" w:rsidP="008E05A3" w:rsidRDefault="00DA06F7">
      <w:pPr>
        <w:pStyle w:val="JuPara"/>
        <w:rPr>
          <w:szCs w:val="24"/>
          <w:lang w:eastAsia="en-US"/>
        </w:rPr>
      </w:pPr>
      <w:r w:rsidRPr="00DA06F7">
        <w:fldChar w:fldCharType="begin"/>
      </w:r>
      <w:r w:rsidRPr="00DA06F7">
        <w:instrText xml:space="preserve"> SEQ level0 \*arabic </w:instrText>
      </w:r>
      <w:r w:rsidRPr="00DA06F7">
        <w:fldChar w:fldCharType="separate"/>
      </w:r>
      <w:r w:rsidR="0020029F">
        <w:rPr>
          <w:noProof/>
        </w:rPr>
        <w:t>22</w:t>
      </w:r>
      <w:r w:rsidRPr="00DA06F7">
        <w:fldChar w:fldCharType="end"/>
      </w:r>
      <w:r w:rsidRPr="00DA06F7" w:rsidR="008E05A3">
        <w:t xml:space="preserve">.  The Government </w:t>
      </w:r>
      <w:r w:rsidR="00CB5114">
        <w:t>emphasised that two courts had considered the applicants</w:t>
      </w:r>
      <w:r w:rsidR="00E72DA8">
        <w:t>'</w:t>
      </w:r>
      <w:r w:rsidR="00CB5114">
        <w:t xml:space="preserve"> case before the matter came before the Supreme Court. They </w:t>
      </w:r>
      <w:r w:rsidR="008B657D">
        <w:t>argued that the Court</w:t>
      </w:r>
      <w:r w:rsidR="00E72DA8">
        <w:t>'</w:t>
      </w:r>
      <w:r w:rsidR="008B657D">
        <w:t>s approach in</w:t>
      </w:r>
      <w:r w:rsidR="00CB5114">
        <w:t xml:space="preserve"> </w:t>
      </w:r>
      <w:r w:rsidRPr="00CB5114" w:rsidR="00CB5114">
        <w:rPr>
          <w:i/>
          <w:szCs w:val="24"/>
          <w:lang w:eastAsia="en-US"/>
        </w:rPr>
        <w:t>Milatová and Others v. the Czech Republic</w:t>
      </w:r>
      <w:r w:rsidRPr="00CB5114" w:rsidR="00CB5114">
        <w:rPr>
          <w:szCs w:val="24"/>
          <w:lang w:eastAsia="en-US"/>
        </w:rPr>
        <w:t>, no. 61811/00, ECHR 2005</w:t>
      </w:r>
      <w:r w:rsidRPr="00CB5114" w:rsidR="00CB5114">
        <w:rPr>
          <w:szCs w:val="24"/>
          <w:lang w:eastAsia="en-US"/>
        </w:rPr>
        <w:noBreakHyphen/>
        <w:t>V</w:t>
      </w:r>
      <w:r w:rsidR="00CB5114">
        <w:rPr>
          <w:szCs w:val="24"/>
          <w:lang w:eastAsia="en-US"/>
        </w:rPr>
        <w:t xml:space="preserve"> and </w:t>
      </w:r>
      <w:r w:rsidRPr="00CB5114" w:rsidR="00CB5114">
        <w:rPr>
          <w:i/>
          <w:lang w:eastAsia="en-US"/>
        </w:rPr>
        <w:t>Mareš v. the Czech Republic</w:t>
      </w:r>
      <w:r w:rsidRPr="00CB5114" w:rsidR="00CB5114">
        <w:rPr>
          <w:lang w:eastAsia="en-US"/>
        </w:rPr>
        <w:t xml:space="preserve">, no. 1414/03, </w:t>
      </w:r>
      <w:r w:rsidR="00CB5114">
        <w:rPr>
          <w:lang w:eastAsia="en-US"/>
        </w:rPr>
        <w:t>26 October 2006</w:t>
      </w:r>
      <w:r w:rsidR="008B657D">
        <w:rPr>
          <w:lang w:eastAsia="en-US"/>
        </w:rPr>
        <w:t xml:space="preserve">, in which violations of Article 6 § 1 were found, was too absolutist and formal. </w:t>
      </w:r>
      <w:r w:rsidR="002E210C">
        <w:rPr>
          <w:lang w:eastAsia="en-US"/>
        </w:rPr>
        <w:t>They referred to the Court</w:t>
      </w:r>
      <w:r w:rsidR="00E72DA8">
        <w:rPr>
          <w:lang w:eastAsia="en-US"/>
        </w:rPr>
        <w:t>'</w:t>
      </w:r>
      <w:r w:rsidR="002E210C">
        <w:rPr>
          <w:lang w:eastAsia="en-US"/>
        </w:rPr>
        <w:t xml:space="preserve">s judgment in </w:t>
      </w:r>
      <w:r w:rsidRPr="005F3E86" w:rsidR="002E210C">
        <w:rPr>
          <w:i/>
          <w:szCs w:val="24"/>
          <w:lang w:eastAsia="en-US"/>
        </w:rPr>
        <w:t>Verdú Verdú v. Spain</w:t>
      </w:r>
      <w:r w:rsidRPr="005F3E86" w:rsidR="002E210C">
        <w:rPr>
          <w:szCs w:val="24"/>
          <w:lang w:eastAsia="en-US"/>
        </w:rPr>
        <w:t xml:space="preserve">, no. 43432/02, 15 </w:t>
      </w:r>
      <w:r w:rsidR="002E210C">
        <w:rPr>
          <w:szCs w:val="24"/>
          <w:lang w:eastAsia="en-US"/>
        </w:rPr>
        <w:t>February 2007, in which no violation of Article 6 § 1 was found, and argued that in th</w:t>
      </w:r>
      <w:r w:rsidR="00D36EB3">
        <w:rPr>
          <w:szCs w:val="24"/>
          <w:lang w:eastAsia="en-US"/>
        </w:rPr>
        <w:t>at</w:t>
      </w:r>
      <w:r w:rsidR="002E210C">
        <w:rPr>
          <w:szCs w:val="24"/>
          <w:lang w:eastAsia="en-US"/>
        </w:rPr>
        <w:t xml:space="preserve"> case the Court had deviated from its existing case-law.</w:t>
      </w:r>
    </w:p>
    <w:p w:rsidR="00444D89" w:rsidP="008E05A3" w:rsidRDefault="002E210C">
      <w:pPr>
        <w:pStyle w:val="JuPara"/>
        <w:rPr>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20029F">
        <w:rPr>
          <w:noProof/>
          <w:szCs w:val="24"/>
          <w:lang w:eastAsia="en-US"/>
        </w:rPr>
        <w:t>23</w:t>
      </w:r>
      <w:r>
        <w:rPr>
          <w:szCs w:val="24"/>
          <w:lang w:eastAsia="en-US"/>
        </w:rPr>
        <w:fldChar w:fldCharType="end"/>
      </w:r>
      <w:r>
        <w:rPr>
          <w:szCs w:val="24"/>
          <w:lang w:eastAsia="en-US"/>
        </w:rPr>
        <w:t>.  </w:t>
      </w:r>
      <w:r w:rsidR="008B657D">
        <w:rPr>
          <w:lang w:eastAsia="en-US"/>
        </w:rPr>
        <w:t xml:space="preserve">In any event, the </w:t>
      </w:r>
      <w:r>
        <w:rPr>
          <w:lang w:eastAsia="en-US"/>
        </w:rPr>
        <w:t xml:space="preserve">Czech </w:t>
      </w:r>
      <w:r w:rsidR="008B657D">
        <w:rPr>
          <w:lang w:eastAsia="en-US"/>
        </w:rPr>
        <w:t>cases were distinguished</w:t>
      </w:r>
      <w:r w:rsidR="00D36EB3">
        <w:rPr>
          <w:lang w:eastAsia="en-US"/>
        </w:rPr>
        <w:t xml:space="preserve"> by the Government </w:t>
      </w:r>
      <w:r w:rsidR="008B657D">
        <w:rPr>
          <w:lang w:eastAsia="en-US"/>
        </w:rPr>
        <w:t>on the ground that they involved a failure to communicate the submissions of State authorities</w:t>
      </w:r>
      <w:r>
        <w:rPr>
          <w:lang w:eastAsia="en-US"/>
        </w:rPr>
        <w:t xml:space="preserve"> to one of the parties. However, t</w:t>
      </w:r>
      <w:r w:rsidR="008B657D">
        <w:rPr>
          <w:lang w:eastAsia="en-US"/>
        </w:rPr>
        <w:t xml:space="preserve">he plaintiffs in the present case were </w:t>
      </w:r>
      <w:smartTag w:uri="urn:schemas-microsoft-com:office:smarttags" w:element="place">
        <w:smartTag w:uri="urn:schemas-microsoft-com:office:smarttags" w:element="PlaceName">
          <w:r w:rsidR="008B657D">
            <w:rPr>
              <w:lang w:eastAsia="en-US"/>
            </w:rPr>
            <w:t>not</w:t>
          </w:r>
        </w:smartTag>
        <w:r w:rsidR="008B657D">
          <w:rPr>
            <w:lang w:eastAsia="en-US"/>
          </w:rPr>
          <w:t xml:space="preserve"> </w:t>
        </w:r>
        <w:smartTag w:uri="urn:schemas-microsoft-com:office:smarttags" w:element="PlaceType">
          <w:r w:rsidR="008B657D">
            <w:rPr>
              <w:lang w:eastAsia="en-US"/>
            </w:rPr>
            <w:t>State</w:t>
          </w:r>
        </w:smartTag>
      </w:smartTag>
      <w:r w:rsidR="008B657D">
        <w:rPr>
          <w:lang w:eastAsia="en-US"/>
        </w:rPr>
        <w:t xml:space="preserve"> authorities. The Government argued that if the case-law were extended to cover submissions by opposing parties, it would result in a never-ending chain of comments being exchanged.</w:t>
      </w:r>
      <w:r w:rsidR="00401C9E">
        <w:rPr>
          <w:lang w:eastAsia="en-US"/>
        </w:rPr>
        <w:t> </w:t>
      </w:r>
      <w:r w:rsidR="008B657D">
        <w:rPr>
          <w:lang w:eastAsia="en-US"/>
        </w:rPr>
        <w:t>T</w:t>
      </w:r>
      <w:r w:rsidR="00401C9E">
        <w:rPr>
          <w:lang w:eastAsia="en-US"/>
        </w:rPr>
        <w:t>he</w:t>
      </w:r>
      <w:r w:rsidR="008B657D">
        <w:rPr>
          <w:lang w:eastAsia="en-US"/>
        </w:rPr>
        <w:t xml:space="preserve"> </w:t>
      </w:r>
      <w:r w:rsidR="00401C9E">
        <w:rPr>
          <w:lang w:eastAsia="en-US"/>
        </w:rPr>
        <w:t>Government further</w:t>
      </w:r>
      <w:r w:rsidR="008B657D">
        <w:rPr>
          <w:lang w:eastAsia="en-US"/>
        </w:rPr>
        <w:t xml:space="preserve"> distinguished the </w:t>
      </w:r>
      <w:r>
        <w:rPr>
          <w:lang w:eastAsia="en-US"/>
        </w:rPr>
        <w:t>Czech</w:t>
      </w:r>
      <w:r w:rsidR="008B657D">
        <w:rPr>
          <w:lang w:eastAsia="en-US"/>
        </w:rPr>
        <w:t xml:space="preserve"> cases on the basis that they involved </w:t>
      </w:r>
      <w:r w:rsidR="0074151D">
        <w:rPr>
          <w:lang w:eastAsia="en-US"/>
        </w:rPr>
        <w:t xml:space="preserve">a </w:t>
      </w:r>
      <w:r w:rsidR="008B657D">
        <w:rPr>
          <w:lang w:eastAsia="en-US"/>
        </w:rPr>
        <w:t xml:space="preserve">failure to communicate submissions </w:t>
      </w:r>
      <w:r w:rsidR="00401C9E">
        <w:rPr>
          <w:lang w:eastAsia="en-US"/>
        </w:rPr>
        <w:t xml:space="preserve">in the context of proceedings </w:t>
      </w:r>
      <w:r w:rsidR="008B657D">
        <w:rPr>
          <w:lang w:eastAsia="en-US"/>
        </w:rPr>
        <w:t xml:space="preserve">before the </w:t>
      </w:r>
      <w:smartTag w:uri="urn:schemas-microsoft-com:office:smarttags" w:element="Street">
        <w:smartTag w:uri="urn:schemas-microsoft-com:office:smarttags" w:element="stockticker">
          <w:smartTag w:uri="urn:schemas-microsoft-com:office:smarttags" w:element="address">
            <w:r w:rsidR="008B657D">
              <w:rPr>
                <w:lang w:eastAsia="en-US"/>
              </w:rPr>
              <w:t>Constitutional Court</w:t>
            </w:r>
          </w:smartTag>
        </w:smartTag>
      </w:smartTag>
      <w:r w:rsidR="008B657D">
        <w:rPr>
          <w:lang w:eastAsia="en-US"/>
        </w:rPr>
        <w:t>, in which new complaints of a constitutional nature were raised.</w:t>
      </w:r>
      <w:r w:rsidR="00401C9E">
        <w:rPr>
          <w:lang w:eastAsia="en-US"/>
        </w:rPr>
        <w:t xml:space="preserve"> In contrast, the present application concerned cassation proceedings directly related to the arguments advanced in the lower courts.</w:t>
      </w:r>
    </w:p>
    <w:p w:rsidRPr="00CB5114" w:rsidR="00401C9E" w:rsidP="008E05A3" w:rsidRDefault="00401C9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20029F">
        <w:rPr>
          <w:noProof/>
          <w:lang w:eastAsia="en-US"/>
        </w:rPr>
        <w:t>24</w:t>
      </w:r>
      <w:r>
        <w:rPr>
          <w:lang w:eastAsia="en-US"/>
        </w:rPr>
        <w:fldChar w:fldCharType="end"/>
      </w:r>
      <w:r>
        <w:rPr>
          <w:lang w:eastAsia="en-US"/>
        </w:rPr>
        <w:t>.  The Government concluded that the applicants</w:t>
      </w:r>
      <w:r w:rsidR="00E72DA8">
        <w:rPr>
          <w:lang w:eastAsia="en-US"/>
        </w:rPr>
        <w:t>'</w:t>
      </w:r>
      <w:r>
        <w:rPr>
          <w:lang w:eastAsia="en-US"/>
        </w:rPr>
        <w:t xml:space="preserve"> right to react to the comments of the opposing party in the cassation proceedings was not absolute. A margin of appreciation should be afforded to the domestic courts in this regard. There was</w:t>
      </w:r>
      <w:r w:rsidR="00D51617">
        <w:rPr>
          <w:lang w:eastAsia="en-US"/>
        </w:rPr>
        <w:t>, in the Government</w:t>
      </w:r>
      <w:r w:rsidR="00E72DA8">
        <w:rPr>
          <w:lang w:eastAsia="en-US"/>
        </w:rPr>
        <w:t>'</w:t>
      </w:r>
      <w:r w:rsidR="00D51617">
        <w:rPr>
          <w:lang w:eastAsia="en-US"/>
        </w:rPr>
        <w:t>s view,</w:t>
      </w:r>
      <w:r>
        <w:rPr>
          <w:lang w:eastAsia="en-US"/>
        </w:rPr>
        <w:t xml:space="preserve"> no violation of Article 6 § 1 in the present case.</w:t>
      </w:r>
    </w:p>
    <w:p w:rsidRPr="00DA06F7" w:rsidR="008D75DF" w:rsidP="008D75DF" w:rsidRDefault="008D75DF">
      <w:pPr>
        <w:pStyle w:val="JuH1"/>
      </w:pPr>
      <w:r>
        <w:t>2. The Court</w:t>
      </w:r>
      <w:r w:rsidR="00E72DA8">
        <w:t>'</w:t>
      </w:r>
      <w:r>
        <w:t>s assessment</w:t>
      </w:r>
    </w:p>
    <w:p w:rsidR="00D51617" w:rsidP="00D51617" w:rsidRDefault="00D51617">
      <w:pPr>
        <w:pStyle w:val="JuHa0"/>
      </w:pPr>
      <w:r>
        <w:t>a. General principles</w:t>
      </w:r>
    </w:p>
    <w:p w:rsidR="00444D89" w:rsidP="00B85D2A" w:rsidRDefault="00DA06F7">
      <w:pPr>
        <w:pStyle w:val="JuPara"/>
      </w:pPr>
      <w:r w:rsidRPr="00DA06F7">
        <w:fldChar w:fldCharType="begin"/>
      </w:r>
      <w:r w:rsidRPr="00DA06F7">
        <w:instrText xml:space="preserve"> SEQ level0 \*arabic </w:instrText>
      </w:r>
      <w:r w:rsidRPr="00DA06F7">
        <w:fldChar w:fldCharType="separate"/>
      </w:r>
      <w:r w:rsidR="0020029F">
        <w:rPr>
          <w:noProof/>
        </w:rPr>
        <w:t>25</w:t>
      </w:r>
      <w:r w:rsidRPr="00DA06F7">
        <w:fldChar w:fldCharType="end"/>
      </w:r>
      <w:r w:rsidRPr="00DA06F7" w:rsidR="00F71A6A">
        <w:t>.  </w:t>
      </w:r>
      <w:r w:rsidRPr="005D0A3A" w:rsidR="00401C9E">
        <w:t xml:space="preserve">The Court reiterates that </w:t>
      </w:r>
      <w:r w:rsidR="00D51617">
        <w:t>th</w:t>
      </w:r>
      <w:r w:rsidRPr="00715DB6" w:rsidR="00D51617">
        <w:t>e</w:t>
      </w:r>
      <w:r w:rsidR="00D51617">
        <w:t xml:space="preserve"> principle of equality of arms,</w:t>
      </w:r>
      <w:r w:rsidRPr="00715DB6" w:rsidR="00D51617">
        <w:t xml:space="preserve"> one of the elements of the</w:t>
      </w:r>
      <w:r w:rsidR="00D51617">
        <w:t xml:space="preserve"> broader concept of </w:t>
      </w:r>
      <w:r w:rsidR="009E26D4">
        <w:t xml:space="preserve">a </w:t>
      </w:r>
      <w:r w:rsidR="00D51617">
        <w:t xml:space="preserve">fair trial, </w:t>
      </w:r>
      <w:r w:rsidRPr="00715DB6" w:rsidR="00D51617">
        <w:t>requires each party to be given a</w:t>
      </w:r>
      <w:r w:rsidR="00D51617">
        <w:t xml:space="preserve"> </w:t>
      </w:r>
      <w:r w:rsidRPr="00715DB6" w:rsidR="00D51617">
        <w:t>reasonable opportunity to present his case under conditions that do not</w:t>
      </w:r>
      <w:r w:rsidR="00D51617">
        <w:t xml:space="preserve"> </w:t>
      </w:r>
      <w:r w:rsidRPr="00715DB6" w:rsidR="00D51617">
        <w:t xml:space="preserve">place him at a substantial disadvantage </w:t>
      </w:r>
      <w:r w:rsidRPr="00715DB6" w:rsidR="00D51617">
        <w:rPr>
          <w:i/>
        </w:rPr>
        <w:t>vis-à-vis</w:t>
      </w:r>
      <w:r w:rsidRPr="00715DB6" w:rsidR="00D51617">
        <w:t xml:space="preserve"> his opponent</w:t>
      </w:r>
      <w:r w:rsidR="00D51617">
        <w:t xml:space="preserve"> </w:t>
      </w:r>
      <w:r w:rsidRPr="00715DB6" w:rsidR="00D51617">
        <w:t xml:space="preserve">(see, </w:t>
      </w:r>
      <w:r w:rsidR="00D51617">
        <w:t>for example</w:t>
      </w:r>
      <w:r w:rsidRPr="00715DB6" w:rsidR="00D51617">
        <w:t xml:space="preserve">, </w:t>
      </w:r>
      <w:r w:rsidRPr="005D0A3A" w:rsidR="00D51617">
        <w:rPr>
          <w:i/>
        </w:rPr>
        <w:t>Nideröst-Huber v. Switzerland</w:t>
      </w:r>
      <w:r w:rsidR="00D51617">
        <w:t>, 18 February 1997, § 23</w:t>
      </w:r>
      <w:r w:rsidRPr="005D0A3A" w:rsidR="00D51617">
        <w:t xml:space="preserve">, </w:t>
      </w:r>
      <w:r w:rsidRPr="005D0A3A" w:rsidR="00D51617">
        <w:rPr>
          <w:i/>
        </w:rPr>
        <w:t>Reports of Judgments and Decisions</w:t>
      </w:r>
      <w:r w:rsidRPr="005D0A3A" w:rsidR="00D51617">
        <w:t xml:space="preserve"> 1997</w:t>
      </w:r>
      <w:r w:rsidRPr="005D0A3A" w:rsidR="00D51617">
        <w:noBreakHyphen/>
        <w:t>I</w:t>
      </w:r>
      <w:r w:rsidRPr="00715DB6" w:rsidR="00D51617">
        <w:t>).</w:t>
      </w:r>
    </w:p>
    <w:p w:rsidR="00444D89" w:rsidP="00715DB6" w:rsidRDefault="00D51617">
      <w:pPr>
        <w:pStyle w:val="JuPara"/>
        <w:rPr>
          <w:lang w:eastAsia="en-US"/>
        </w:rPr>
      </w:pPr>
      <w:r>
        <w:fldChar w:fldCharType="begin"/>
      </w:r>
      <w:r>
        <w:instrText xml:space="preserve"> SEQ level0 \*arabic </w:instrText>
      </w:r>
      <w:r>
        <w:fldChar w:fldCharType="separate"/>
      </w:r>
      <w:r w:rsidR="0020029F">
        <w:rPr>
          <w:noProof/>
        </w:rPr>
        <w:t>26</w:t>
      </w:r>
      <w:r>
        <w:fldChar w:fldCharType="end"/>
      </w:r>
      <w:r>
        <w:t xml:space="preserve">.  In addition to this requirement, </w:t>
      </w:r>
      <w:r w:rsidRPr="005D0A3A" w:rsidR="00401C9E">
        <w:t xml:space="preserve">the concept of a fair hearing implies the right to adversarial proceedings, according to which the parties must have the opportunity not only to </w:t>
      </w:r>
      <w:r>
        <w:t>be made aware of</w:t>
      </w:r>
      <w:r w:rsidRPr="005D0A3A" w:rsidR="00401C9E">
        <w:t xml:space="preserve"> any evidence needed for their claims to succeed, but also to have knowledge of, and comment on, all evidence adduced or observations filed, with a view to influencing the court</w:t>
      </w:r>
      <w:r w:rsidR="00E72DA8">
        <w:t>'</w:t>
      </w:r>
      <w:r w:rsidRPr="005D0A3A" w:rsidR="00401C9E">
        <w:t>s decision (see</w:t>
      </w:r>
      <w:r w:rsidR="00401C9E">
        <w:t xml:space="preserve"> </w:t>
      </w:r>
      <w:r w:rsidRPr="005D0A3A" w:rsidR="00401C9E">
        <w:rPr>
          <w:i/>
        </w:rPr>
        <w:t>Nideröst-Huber</w:t>
      </w:r>
      <w:r>
        <w:t>, cited above, § </w:t>
      </w:r>
      <w:r w:rsidR="00401C9E">
        <w:t xml:space="preserve">24; and </w:t>
      </w:r>
      <w:r w:rsidR="00401C9E">
        <w:rPr>
          <w:i/>
        </w:rPr>
        <w:t>Milatová</w:t>
      </w:r>
      <w:r w:rsidR="00401C9E">
        <w:t>, cited above, § 59).</w:t>
      </w:r>
      <w:r w:rsidR="00B85D2A">
        <w:t>  </w:t>
      </w:r>
      <w:r w:rsidR="005F3E86">
        <w:t>However, t</w:t>
      </w:r>
      <w:r w:rsidR="00401C9E">
        <w:t>he right to adversarial proceedings is not absolute</w:t>
      </w:r>
      <w:r w:rsidR="005F3E86">
        <w:t xml:space="preserve"> and its scope may vary depending on the specific featur</w:t>
      </w:r>
      <w:r w:rsidR="001F79EA">
        <w:t>es of the case in question (see</w:t>
      </w:r>
      <w:r w:rsidR="00401C9E">
        <w:t xml:space="preserve"> </w:t>
      </w:r>
      <w:r w:rsidRPr="005F3E86" w:rsidR="005F3E86">
        <w:rPr>
          <w:i/>
          <w:lang w:eastAsia="en-US"/>
        </w:rPr>
        <w:t xml:space="preserve">Asnar v. </w:t>
      </w:r>
      <w:smartTag w:uri="urn:schemas-microsoft-com:office:smarttags" w:element="place">
        <w:smartTag w:uri="urn:schemas-microsoft-com:office:smarttags" w:element="country-region">
          <w:r w:rsidR="005F3E86" w:rsidRPr="005F3E86">
            <w:rPr>
              <w:i/>
              <w:lang w:eastAsia="en-US"/>
            </w:rPr>
            <w:t>France</w:t>
          </w:r>
        </w:smartTag>
      </w:smartTag>
      <w:r w:rsidRPr="005F3E86" w:rsidR="005F3E86">
        <w:rPr>
          <w:i/>
          <w:lang w:eastAsia="en-US"/>
        </w:rPr>
        <w:t xml:space="preserve"> (no. 2)</w:t>
      </w:r>
      <w:r w:rsidRPr="005F3E86" w:rsidR="005F3E86">
        <w:rPr>
          <w:lang w:eastAsia="en-US"/>
        </w:rPr>
        <w:t xml:space="preserve">, no. 12316/04, § </w:t>
      </w:r>
      <w:r w:rsidR="005F3E86">
        <w:rPr>
          <w:lang w:eastAsia="en-US"/>
        </w:rPr>
        <w:t>26</w:t>
      </w:r>
      <w:r w:rsidRPr="005F3E86" w:rsidR="005F3E86">
        <w:rPr>
          <w:lang w:eastAsia="en-US"/>
        </w:rPr>
        <w:t xml:space="preserve">, 18 </w:t>
      </w:r>
      <w:r w:rsidR="005F3E86">
        <w:rPr>
          <w:lang w:eastAsia="en-US"/>
        </w:rPr>
        <w:t>October 2007</w:t>
      </w:r>
      <w:r w:rsidR="00B85D2A">
        <w:rPr>
          <w:lang w:eastAsia="en-US"/>
        </w:rPr>
        <w:t xml:space="preserve">; and </w:t>
      </w:r>
      <w:r w:rsidRPr="00B85D2A" w:rsidR="00B85D2A">
        <w:rPr>
          <w:i/>
          <w:lang w:eastAsia="en-US"/>
        </w:rPr>
        <w:t>Vokoun v. the Czech Republic</w:t>
      </w:r>
      <w:r w:rsidRPr="00B85D2A" w:rsidR="00B85D2A">
        <w:rPr>
          <w:lang w:eastAsia="en-US"/>
        </w:rPr>
        <w:t xml:space="preserve">, no. 20728/05, § </w:t>
      </w:r>
      <w:r w:rsidR="00B85D2A">
        <w:rPr>
          <w:lang w:eastAsia="en-US"/>
        </w:rPr>
        <w:t>26</w:t>
      </w:r>
      <w:r w:rsidRPr="00B85D2A" w:rsidR="00B85D2A">
        <w:rPr>
          <w:lang w:eastAsia="en-US"/>
        </w:rPr>
        <w:t>, 3 July 2008</w:t>
      </w:r>
      <w:r w:rsidR="005F3E86">
        <w:rPr>
          <w:lang w:eastAsia="en-US"/>
        </w:rPr>
        <w:t>).</w:t>
      </w:r>
    </w:p>
    <w:p w:rsidR="005F3E86" w:rsidP="005F3E86" w:rsidRDefault="005F3E86">
      <w:pPr>
        <w:pStyle w:val="JuPara"/>
        <w:rPr>
          <w:lang w:eastAsia="en-US"/>
        </w:rPr>
      </w:pPr>
      <w:r>
        <w:fldChar w:fldCharType="begin"/>
      </w:r>
      <w:r>
        <w:instrText xml:space="preserve"> SEQ level0 \*arabic </w:instrText>
      </w:r>
      <w:r>
        <w:fldChar w:fldCharType="separate"/>
      </w:r>
      <w:r w:rsidR="0020029F">
        <w:rPr>
          <w:noProof/>
        </w:rPr>
        <w:t>27</w:t>
      </w:r>
      <w:r>
        <w:fldChar w:fldCharType="end"/>
      </w:r>
      <w:r>
        <w:t xml:space="preserve">.  Finally, the Court has indicated that the concrete effect of the observations </w:t>
      </w:r>
      <w:r w:rsidR="008664A4">
        <w:t xml:space="preserve">in question </w:t>
      </w:r>
      <w:r>
        <w:t>on the judgment of the domestic court concerned is of little importance. I</w:t>
      </w:r>
      <w:r w:rsidRPr="005D0A3A">
        <w:t>t is for</w:t>
      </w:r>
      <w:r>
        <w:t xml:space="preserve"> the parties to the case</w:t>
      </w:r>
      <w:r w:rsidRPr="005D0A3A">
        <w:t xml:space="preserve"> to </w:t>
      </w:r>
      <w:r w:rsidR="008664A4">
        <w:t>judge</w:t>
      </w:r>
      <w:r w:rsidR="0074151D">
        <w:t xml:space="preserve"> whether or not a </w:t>
      </w:r>
      <w:r w:rsidRPr="005D0A3A">
        <w:t>docu</w:t>
      </w:r>
      <w:r>
        <w:t>ment calls for their comments</w:t>
      </w:r>
      <w:r w:rsidR="00B85D2A">
        <w:t xml:space="preserve"> (see </w:t>
      </w:r>
      <w:r w:rsidRPr="00715DB6" w:rsidR="00B85D2A">
        <w:rPr>
          <w:i/>
          <w:iCs/>
        </w:rPr>
        <w:t>Nideröst-Huber</w:t>
      </w:r>
      <w:r w:rsidRPr="00715DB6" w:rsidR="00B85D2A">
        <w:t>, cited above, § 29</w:t>
      </w:r>
      <w:r w:rsidR="00B85D2A">
        <w:t xml:space="preserve">; </w:t>
      </w:r>
      <w:r w:rsidR="008664A4">
        <w:rPr>
          <w:i/>
        </w:rPr>
        <w:t>Milatová</w:t>
      </w:r>
      <w:r w:rsidR="008664A4">
        <w:t xml:space="preserve">, cited above, § 65; </w:t>
      </w:r>
      <w:r w:rsidR="00B85D2A">
        <w:t xml:space="preserve">and </w:t>
      </w:r>
      <w:r w:rsidRPr="00B85D2A" w:rsidR="00B85D2A">
        <w:rPr>
          <w:i/>
          <w:lang w:val="pt-BR" w:eastAsia="en-US"/>
        </w:rPr>
        <w:t>Gaspari v. Slovenia</w:t>
      </w:r>
      <w:r w:rsidRPr="00B85D2A" w:rsidR="00B85D2A">
        <w:rPr>
          <w:lang w:val="pt-BR" w:eastAsia="en-US"/>
        </w:rPr>
        <w:t>, no. 21055/03</w:t>
      </w:r>
      <w:r w:rsidRPr="00B85D2A" w:rsidR="00B85D2A">
        <w:rPr>
          <w:snapToGrid w:val="0"/>
          <w:lang w:val="pt-BR" w:eastAsia="en-US"/>
        </w:rPr>
        <w:t xml:space="preserve">, </w:t>
      </w:r>
      <w:r w:rsidRPr="00B85D2A" w:rsidR="00B85D2A">
        <w:rPr>
          <w:snapToGrid w:val="0"/>
          <w:lang w:eastAsia="en-US"/>
        </w:rPr>
        <w:t xml:space="preserve">§ </w:t>
      </w:r>
      <w:r w:rsidR="00B85D2A">
        <w:rPr>
          <w:snapToGrid w:val="0"/>
          <w:lang w:eastAsia="en-US"/>
        </w:rPr>
        <w:t>52</w:t>
      </w:r>
      <w:r w:rsidR="00EC348E">
        <w:rPr>
          <w:snapToGrid w:val="0"/>
          <w:lang w:eastAsia="en-US"/>
        </w:rPr>
        <w:t>, 21 </w:t>
      </w:r>
      <w:r w:rsidRPr="00B85D2A" w:rsidR="00B85D2A">
        <w:rPr>
          <w:snapToGrid w:val="0"/>
          <w:lang w:eastAsia="en-US"/>
        </w:rPr>
        <w:t>July 2009</w:t>
      </w:r>
      <w:r w:rsidR="00B85D2A">
        <w:rPr>
          <w:snapToGrid w:val="0"/>
          <w:lang w:eastAsia="en-US"/>
        </w:rPr>
        <w:t>)</w:t>
      </w:r>
      <w:r>
        <w:t>. </w:t>
      </w:r>
      <w:r w:rsidRPr="005D0A3A">
        <w:t>What</w:t>
      </w:r>
      <w:r>
        <w:t xml:space="preserve"> </w:t>
      </w:r>
      <w:r w:rsidRPr="005D0A3A">
        <w:t>is particularly at stake here is litigants</w:t>
      </w:r>
      <w:r w:rsidR="00E72DA8">
        <w:t>'</w:t>
      </w:r>
      <w:r w:rsidRPr="005D0A3A">
        <w:t xml:space="preserve"> confidence in the workings</w:t>
      </w:r>
      <w:r>
        <w:t xml:space="preserve"> </w:t>
      </w:r>
      <w:r w:rsidRPr="005D0A3A">
        <w:t>of justice, which is based on</w:t>
      </w:r>
      <w:r>
        <w:t xml:space="preserve"> </w:t>
      </w:r>
      <w:r w:rsidRPr="005D0A3A">
        <w:t>the knowledge that they have</w:t>
      </w:r>
      <w:r>
        <w:t xml:space="preserve"> </w:t>
      </w:r>
      <w:r w:rsidRPr="005D0A3A">
        <w:t>had the opportunity to express their views on every document in the</w:t>
      </w:r>
      <w:r>
        <w:t xml:space="preserve"> </w:t>
      </w:r>
      <w:r w:rsidRPr="005D0A3A">
        <w:t>file</w:t>
      </w:r>
      <w:r>
        <w:t xml:space="preserve"> (see </w:t>
      </w:r>
      <w:r w:rsidRPr="00715DB6">
        <w:rPr>
          <w:i/>
          <w:iCs/>
        </w:rPr>
        <w:t>Nideröst-Huber</w:t>
      </w:r>
      <w:r w:rsidRPr="00715DB6">
        <w:t>, cited above,</w:t>
      </w:r>
      <w:r>
        <w:t xml:space="preserve"> § 29; and</w:t>
      </w:r>
      <w:r w:rsidR="008664A4">
        <w:t xml:space="preserve"> </w:t>
      </w:r>
      <w:r w:rsidRPr="005F3E86" w:rsidR="008664A4">
        <w:rPr>
          <w:i/>
          <w:lang w:eastAsia="en-US"/>
        </w:rPr>
        <w:t>Asnar</w:t>
      </w:r>
      <w:r w:rsidR="008664A4">
        <w:rPr>
          <w:lang w:eastAsia="en-US"/>
        </w:rPr>
        <w:t>, cited above, § 25</w:t>
      </w:r>
      <w:r>
        <w:t>).</w:t>
      </w:r>
      <w:r w:rsidR="008664A4">
        <w:t xml:space="preserve"> </w:t>
      </w:r>
      <w:r w:rsidR="00035663">
        <w:t>Accordingly, the Court has found a violation of Article 6 § 1 even where the unseen observations were favourable to the applicant (</w:t>
      </w:r>
      <w:r w:rsidRPr="00035663" w:rsidR="00035663">
        <w:rPr>
          <w:i/>
          <w:lang w:eastAsia="en-US"/>
        </w:rPr>
        <w:t>Göç v. Turkey</w:t>
      </w:r>
      <w:r w:rsidRPr="00035663" w:rsidR="00035663">
        <w:rPr>
          <w:lang w:eastAsia="en-US"/>
        </w:rPr>
        <w:t xml:space="preserve"> [GC], no. 36590/97, § </w:t>
      </w:r>
      <w:r w:rsidR="00035663">
        <w:rPr>
          <w:lang w:eastAsia="en-US"/>
        </w:rPr>
        <w:t>55</w:t>
      </w:r>
      <w:r w:rsidRPr="00035663" w:rsidR="00035663">
        <w:rPr>
          <w:lang w:eastAsia="en-US"/>
        </w:rPr>
        <w:t xml:space="preserve">, </w:t>
      </w:r>
      <w:r w:rsidR="00035663">
        <w:rPr>
          <w:lang w:eastAsia="en-US"/>
        </w:rPr>
        <w:t>ECHR 2002</w:t>
      </w:r>
      <w:r w:rsidR="00035663">
        <w:rPr>
          <w:lang w:eastAsia="en-US"/>
        </w:rPr>
        <w:noBreakHyphen/>
        <w:t xml:space="preserve">V). </w:t>
      </w:r>
      <w:r w:rsidR="008664A4">
        <w:t>However, t</w:t>
      </w:r>
      <w:r w:rsidR="008664A4">
        <w:rPr>
          <w:lang w:eastAsia="en-US"/>
        </w:rPr>
        <w:t>he Court has in the past found that the non-communication of written observations or documents in the proceedings and the impossibility for the applicant to comment on them did not constitut</w:t>
      </w:r>
      <w:r w:rsidR="0074151D">
        <w:rPr>
          <w:lang w:eastAsia="en-US"/>
        </w:rPr>
        <w:t>e a violation of the right to a </w:t>
      </w:r>
      <w:r w:rsidR="008664A4">
        <w:rPr>
          <w:lang w:eastAsia="en-US"/>
        </w:rPr>
        <w:t xml:space="preserve">fair hearing. In its reasoning, the Court explained that, in the particular cases in question, granting to the applicant such rights and opportunities would have had no effect on the </w:t>
      </w:r>
      <w:r w:rsidR="00DE0842">
        <w:rPr>
          <w:lang w:eastAsia="en-US"/>
        </w:rPr>
        <w:t>outcome of the proceedings as the legal approach adopted was not open to discussion</w:t>
      </w:r>
      <w:r w:rsidR="008664A4">
        <w:rPr>
          <w:lang w:eastAsia="en-US"/>
        </w:rPr>
        <w:t xml:space="preserve"> (see, for example, </w:t>
      </w:r>
      <w:r w:rsidRPr="00B85D2A" w:rsidR="008664A4">
        <w:rPr>
          <w:i/>
          <w:lang w:eastAsia="en-US"/>
        </w:rPr>
        <w:t xml:space="preserve">Stepinska v. </w:t>
      </w:r>
      <w:smartTag w:uri="urn:schemas-microsoft-com:office:smarttags" w:element="place">
        <w:smartTag w:uri="urn:schemas-microsoft-com:office:smarttags" w:element="country-region">
          <w:r w:rsidR="008664A4" w:rsidRPr="00B85D2A">
            <w:rPr>
              <w:i/>
              <w:lang w:eastAsia="en-US"/>
            </w:rPr>
            <w:t>France</w:t>
          </w:r>
        </w:smartTag>
      </w:smartTag>
      <w:r w:rsidRPr="00B85D2A" w:rsidR="008664A4">
        <w:rPr>
          <w:lang w:eastAsia="en-US"/>
        </w:rPr>
        <w:t xml:space="preserve">, no. 1814/02, § </w:t>
      </w:r>
      <w:r w:rsidR="00EC348E">
        <w:rPr>
          <w:lang w:eastAsia="en-US"/>
        </w:rPr>
        <w:t>18, 15 </w:t>
      </w:r>
      <w:r w:rsidR="008664A4">
        <w:rPr>
          <w:lang w:eastAsia="en-US"/>
        </w:rPr>
        <w:t xml:space="preserve">June 2004; </w:t>
      </w:r>
      <w:r w:rsidRPr="00B85D2A" w:rsidR="008664A4">
        <w:rPr>
          <w:i/>
          <w:szCs w:val="24"/>
          <w:lang w:eastAsia="en-US"/>
        </w:rPr>
        <w:t>Sale v. France</w:t>
      </w:r>
      <w:r w:rsidRPr="00B85D2A" w:rsidR="008664A4">
        <w:rPr>
          <w:szCs w:val="24"/>
          <w:lang w:eastAsia="en-US"/>
        </w:rPr>
        <w:t>, no. 39765/04, §</w:t>
      </w:r>
      <w:r w:rsidR="008664A4">
        <w:rPr>
          <w:szCs w:val="24"/>
          <w:lang w:eastAsia="en-US"/>
        </w:rPr>
        <w:t>§ 18 to 19, 21 March 2006; and</w:t>
      </w:r>
      <w:r w:rsidR="008664A4">
        <w:rPr>
          <w:lang w:eastAsia="en-US"/>
        </w:rPr>
        <w:t xml:space="preserve"> </w:t>
      </w:r>
      <w:r w:rsidRPr="005F3E86" w:rsidR="008664A4">
        <w:rPr>
          <w:i/>
          <w:szCs w:val="24"/>
          <w:lang w:eastAsia="en-US"/>
        </w:rPr>
        <w:t>Verdú Verdú</w:t>
      </w:r>
      <w:r w:rsidR="008664A4">
        <w:rPr>
          <w:szCs w:val="24"/>
          <w:lang w:eastAsia="en-US"/>
        </w:rPr>
        <w:t>, cited above, §§ 26 to 28).</w:t>
      </w:r>
    </w:p>
    <w:p w:rsidRPr="00B85D2A" w:rsidR="008664A4" w:rsidP="008664A4" w:rsidRDefault="008664A4">
      <w:pPr>
        <w:pStyle w:val="JuHa0"/>
        <w:rPr>
          <w:i/>
          <w:lang w:val="pt-BR" w:eastAsia="en-US"/>
        </w:rPr>
      </w:pPr>
      <w:r>
        <w:t>b. Application of the general principles to the facts of the case</w:t>
      </w:r>
    </w:p>
    <w:p w:rsidR="00444D89" w:rsidP="00715DB6" w:rsidRDefault="00B85D2A">
      <w:pPr>
        <w:pStyle w:val="JuPara"/>
      </w:pPr>
      <w:r>
        <w:fldChar w:fldCharType="begin"/>
      </w:r>
      <w:r>
        <w:instrText xml:space="preserve"> SEQ level0 \*arabic </w:instrText>
      </w:r>
      <w:r>
        <w:fldChar w:fldCharType="separate"/>
      </w:r>
      <w:r w:rsidR="0020029F">
        <w:rPr>
          <w:noProof/>
        </w:rPr>
        <w:t>28</w:t>
      </w:r>
      <w:r>
        <w:fldChar w:fldCharType="end"/>
      </w:r>
      <w:r>
        <w:t>.  </w:t>
      </w:r>
      <w:r w:rsidRPr="00401C9E" w:rsidR="00401C9E">
        <w:t xml:space="preserve">The Court observes that in the present case, the Supreme Court did not expressly rely </w:t>
      </w:r>
      <w:r w:rsidR="008664A4">
        <w:t xml:space="preserve">in its decision </w:t>
      </w:r>
      <w:r w:rsidRPr="00401C9E" w:rsidR="00401C9E">
        <w:t xml:space="preserve">on the </w:t>
      </w:r>
      <w:r w:rsidR="008664A4">
        <w:t>observations</w:t>
      </w:r>
      <w:r w:rsidRPr="00401C9E" w:rsidR="00401C9E">
        <w:t xml:space="preserve"> of the plaintiff</w:t>
      </w:r>
      <w:r w:rsidR="008664A4">
        <w:t>s</w:t>
      </w:r>
      <w:r w:rsidRPr="00401C9E" w:rsidR="00401C9E">
        <w:t xml:space="preserve"> which had not been communicated to the applicants. However</w:t>
      </w:r>
      <w:r>
        <w:t>,</w:t>
      </w:r>
      <w:r w:rsidRPr="00715DB6" w:rsidR="00715DB6">
        <w:t xml:space="preserve"> the observations in que</w:t>
      </w:r>
      <w:r w:rsidR="008664A4">
        <w:t>stion constituted the plaintiff</w:t>
      </w:r>
      <w:r w:rsidRPr="00715DB6" w:rsidR="00715DB6">
        <w:t>s</w:t>
      </w:r>
      <w:r w:rsidR="00E72DA8">
        <w:t>'</w:t>
      </w:r>
      <w:r w:rsidRPr="00715DB6" w:rsidR="00715DB6">
        <w:t xml:space="preserve"> views on the applicants</w:t>
      </w:r>
      <w:r w:rsidR="00E72DA8">
        <w:t>'</w:t>
      </w:r>
      <w:r w:rsidRPr="00715DB6" w:rsidR="00715DB6">
        <w:t xml:space="preserve"> appeal and thus manifestly aimed to influence the decision of the Supreme Court by calling for the appeal to be dismissed. </w:t>
      </w:r>
      <w:r>
        <w:t xml:space="preserve">The applicants clearly had an interest in receiving </w:t>
      </w:r>
      <w:r w:rsidRPr="00715DB6">
        <w:t>a copy of the written observations of the plaintiffs</w:t>
      </w:r>
      <w:r>
        <w:t xml:space="preserve"> and, if appropriate, seeking to make comments on those observations.</w:t>
      </w:r>
    </w:p>
    <w:p w:rsidR="00444D89" w:rsidP="00EE1066" w:rsidRDefault="00EE1066">
      <w:pPr>
        <w:pStyle w:val="JuPara"/>
      </w:pPr>
      <w:r>
        <w:fldChar w:fldCharType="begin"/>
      </w:r>
      <w:r>
        <w:instrText xml:space="preserve"> SEQ level0 \*arabic </w:instrText>
      </w:r>
      <w:r>
        <w:fldChar w:fldCharType="separate"/>
      </w:r>
      <w:r w:rsidR="0020029F">
        <w:rPr>
          <w:noProof/>
        </w:rPr>
        <w:t>29</w:t>
      </w:r>
      <w:r>
        <w:fldChar w:fldCharType="end"/>
      </w:r>
      <w:r>
        <w:t xml:space="preserve">.  The </w:t>
      </w:r>
      <w:r w:rsidR="00024E99">
        <w:t>Court notes</w:t>
      </w:r>
      <w:r w:rsidR="002C1D1A">
        <w:t xml:space="preserve"> in this regard</w:t>
      </w:r>
      <w:r w:rsidR="00024E99">
        <w:t xml:space="preserve"> that </w:t>
      </w:r>
      <w:r w:rsidR="009E26D4">
        <w:t xml:space="preserve">the </w:t>
      </w:r>
      <w:r w:rsidR="008262C0">
        <w:t>applicants</w:t>
      </w:r>
      <w:r w:rsidR="00E72DA8">
        <w:t>'</w:t>
      </w:r>
      <w:r w:rsidR="008262C0">
        <w:t xml:space="preserve"> appeal</w:t>
      </w:r>
      <w:r>
        <w:t xml:space="preserve"> </w:t>
      </w:r>
      <w:r w:rsidR="009F1CC2">
        <w:t>wa</w:t>
      </w:r>
      <w:r>
        <w:t xml:space="preserve">s not </w:t>
      </w:r>
      <w:r w:rsidR="009F1CC2">
        <w:t>rejected</w:t>
      </w:r>
      <w:r w:rsidR="00024E99">
        <w:t xml:space="preserve"> by the court</w:t>
      </w:r>
      <w:r w:rsidR="009F1CC2">
        <w:t xml:space="preserve"> on the grounds that it failed to meet </w:t>
      </w:r>
      <w:r w:rsidR="00024E99">
        <w:t>the</w:t>
      </w:r>
      <w:r w:rsidR="009F1CC2">
        <w:t xml:space="preserve"> requirements </w:t>
      </w:r>
      <w:r w:rsidR="00024E99">
        <w:t>for</w:t>
      </w:r>
      <w:r w:rsidR="009F1CC2">
        <w:t xml:space="preserve"> admissibility</w:t>
      </w:r>
      <w:r w:rsidR="002C1D1A">
        <w:t xml:space="preserve"> of the appeal:</w:t>
      </w:r>
      <w:r w:rsidR="00024E99">
        <w:t xml:space="preserve"> the Supreme Court judgment dismissed the appeal on its merits </w:t>
      </w:r>
      <w:r w:rsidR="00BB31A9">
        <w:t>(cf.</w:t>
      </w:r>
      <w:r w:rsidR="00D84E51">
        <w:t xml:space="preserve"> </w:t>
      </w:r>
      <w:r w:rsidRPr="00D84E51" w:rsidR="00D84E51">
        <w:rPr>
          <w:i/>
        </w:rPr>
        <w:t>Stepinska</w:t>
      </w:r>
      <w:r w:rsidR="00D84E51">
        <w:t>, cited above, §</w:t>
      </w:r>
      <w:r w:rsidR="00024E99">
        <w:t xml:space="preserve">§ 8, 10 and 18; and </w:t>
      </w:r>
      <w:r w:rsidRPr="00D84E51" w:rsidR="00BB31A9">
        <w:rPr>
          <w:i/>
        </w:rPr>
        <w:t>Sale</w:t>
      </w:r>
      <w:r w:rsidR="00BB31A9">
        <w:t xml:space="preserve">, cited above, §§ 9 and </w:t>
      </w:r>
      <w:r w:rsidR="00D84E51">
        <w:t>17 to 19)</w:t>
      </w:r>
      <w:r w:rsidR="009F1CC2">
        <w:t>.</w:t>
      </w:r>
      <w:r w:rsidR="00024E99">
        <w:t xml:space="preserve"> A</w:t>
      </w:r>
      <w:r w:rsidR="009F1CC2">
        <w:t xml:space="preserve">ccordingly </w:t>
      </w:r>
      <w:r>
        <w:t>it can</w:t>
      </w:r>
      <w:r w:rsidR="009F1CC2">
        <w:t>not</w:t>
      </w:r>
      <w:r>
        <w:t xml:space="preserve"> be said that </w:t>
      </w:r>
      <w:r w:rsidR="009F1CC2">
        <w:t>the plaintiffs</w:t>
      </w:r>
      <w:r w:rsidR="00E72DA8">
        <w:t>'</w:t>
      </w:r>
      <w:r w:rsidR="009F1CC2">
        <w:t xml:space="preserve"> </w:t>
      </w:r>
      <w:r>
        <w:t xml:space="preserve">observations on the merits of the appeal could have no impact on the </w:t>
      </w:r>
      <w:r w:rsidR="00024E99">
        <w:t xml:space="preserve">outcome of the </w:t>
      </w:r>
      <w:r w:rsidR="009F1CC2">
        <w:t xml:space="preserve">litigation. </w:t>
      </w:r>
      <w:r>
        <w:t xml:space="preserve">The Court </w:t>
      </w:r>
      <w:r w:rsidR="009F1CC2">
        <w:t xml:space="preserve">further </w:t>
      </w:r>
      <w:r>
        <w:t>considers irrelevant the fact that, in the Government</w:t>
      </w:r>
      <w:r w:rsidR="00E72DA8">
        <w:t>'</w:t>
      </w:r>
      <w:r>
        <w:t>s submission, no new matte</w:t>
      </w:r>
      <w:r w:rsidR="00024E99">
        <w:t>rs were raised in the plaintiff</w:t>
      </w:r>
      <w:r>
        <w:t>s</w:t>
      </w:r>
      <w:r w:rsidR="00E72DA8">
        <w:t>'</w:t>
      </w:r>
      <w:r>
        <w:t xml:space="preserve"> observations to the Supreme Court. </w:t>
      </w:r>
      <w:r w:rsidR="009F1CC2">
        <w:t>The requirement that parties</w:t>
      </w:r>
      <w:r w:rsidR="0074151D">
        <w:t xml:space="preserve"> to </w:t>
      </w:r>
      <w:r w:rsidR="00024E99">
        <w:t>court proceedings</w:t>
      </w:r>
      <w:r w:rsidR="009F1CC2">
        <w:t xml:space="preserve"> </w:t>
      </w:r>
      <w:r w:rsidRPr="005D0A3A" w:rsidR="009F1CC2">
        <w:t xml:space="preserve">have the opportunity to have knowledge of, and </w:t>
      </w:r>
      <w:r w:rsidR="0074151D">
        <w:t>to </w:t>
      </w:r>
      <w:r w:rsidRPr="005D0A3A" w:rsidR="009F1CC2">
        <w:t>comment on, all evidence adduced or observations filed</w:t>
      </w:r>
      <w:r w:rsidR="009F1CC2">
        <w:t xml:space="preserve"> in their case applies to appeal proceedings as well as to proceedings at first instance</w:t>
      </w:r>
      <w:r w:rsidR="008262C0">
        <w:t>, notwithstanding the fact that the appeal may raise no new arguments</w:t>
      </w:r>
      <w:r w:rsidR="009F1CC2">
        <w:t xml:space="preserve">. </w:t>
      </w:r>
      <w:r w:rsidR="001F79EA">
        <w:t xml:space="preserve">Finally, the Court does </w:t>
      </w:r>
      <w:r w:rsidR="00873C31">
        <w:t xml:space="preserve">not </w:t>
      </w:r>
      <w:r w:rsidR="001F79EA">
        <w:t xml:space="preserve">consider that there is any reason to distinguish between cases where the non-communicated observations are submitted by a State authority and those where they are submitted by a private individual. </w:t>
      </w:r>
      <w:r w:rsidR="009F1CC2">
        <w:t>As noted above,</w:t>
      </w:r>
      <w:r w:rsidR="008262C0">
        <w:t xml:space="preserve"> th</w:t>
      </w:r>
      <w:r w:rsidR="001F79EA">
        <w:t xml:space="preserve">e importance of the requirement that </w:t>
      </w:r>
      <w:r w:rsidRPr="005D0A3A" w:rsidR="001F79EA">
        <w:t>observations</w:t>
      </w:r>
      <w:r w:rsidR="001F79EA">
        <w:t xml:space="preserve"> be communicated to all parties to the proceedings</w:t>
      </w:r>
      <w:r w:rsidR="008262C0">
        <w:t xml:space="preserve"> lies in the need to ensure that</w:t>
      </w:r>
      <w:r w:rsidR="009F1CC2">
        <w:t xml:space="preserve"> parties have </w:t>
      </w:r>
      <w:r w:rsidRPr="005D0A3A" w:rsidR="009F1CC2">
        <w:t>confidence in the workings</w:t>
      </w:r>
      <w:r w:rsidR="009F1CC2">
        <w:t xml:space="preserve"> </w:t>
      </w:r>
      <w:r w:rsidRPr="005D0A3A" w:rsidR="009F1CC2">
        <w:t>of justice</w:t>
      </w:r>
      <w:r w:rsidR="008262C0">
        <w:t xml:space="preserve"> and that they have not been denied the opportunity to comment on matters which may have influenced the judgment of the court.</w:t>
      </w:r>
      <w:r w:rsidR="002C1D1A">
        <w:t xml:space="preserve"> </w:t>
      </w:r>
      <w:r w:rsidRPr="00715DB6" w:rsidR="002C1D1A">
        <w:t>The onus was on the Supreme Court to afford the applicants an opportunity to comment on the written observations prior to its decision.</w:t>
      </w:r>
    </w:p>
    <w:p w:rsidR="00B85D2A" w:rsidP="00715DB6" w:rsidRDefault="00672D9E">
      <w:pPr>
        <w:pStyle w:val="JuPara"/>
      </w:pPr>
      <w:r>
        <w:fldChar w:fldCharType="begin"/>
      </w:r>
      <w:r>
        <w:instrText xml:space="preserve"> SEQ level0 \*arabic </w:instrText>
      </w:r>
      <w:r>
        <w:fldChar w:fldCharType="separate"/>
      </w:r>
      <w:r w:rsidR="0020029F">
        <w:rPr>
          <w:noProof/>
        </w:rPr>
        <w:t>30</w:t>
      </w:r>
      <w:r>
        <w:fldChar w:fldCharType="end"/>
      </w:r>
      <w:r>
        <w:t>.  </w:t>
      </w:r>
      <w:r w:rsidR="00506B47">
        <w:t>The</w:t>
      </w:r>
      <w:r w:rsidR="009F1CC2">
        <w:t xml:space="preserve"> Court </w:t>
      </w:r>
      <w:r w:rsidR="00506B47">
        <w:t xml:space="preserve">also </w:t>
      </w:r>
      <w:r w:rsidR="008262C0">
        <w:t>considers it significant</w:t>
      </w:r>
      <w:r w:rsidR="009F1CC2">
        <w:t xml:space="preserve"> that the observations in question were submitted by the opposing party in the proceedings, who, unlike the applicants, had access to all the information in the case file. </w:t>
      </w:r>
      <w:r w:rsidR="002C1D1A">
        <w:t>In permitting the plaintiffs to submit written observations on the applicants</w:t>
      </w:r>
      <w:r w:rsidR="00E72DA8">
        <w:t>'</w:t>
      </w:r>
      <w:r w:rsidR="002C1D1A">
        <w:t xml:space="preserve"> appeal and denying the applicants sight of, and the opportunity to comment on, these observations, the Supreme Court failed to treat the parties equally.</w:t>
      </w:r>
    </w:p>
    <w:p w:rsidR="00444D89" w:rsidP="00401C9E" w:rsidRDefault="00672D9E">
      <w:pPr>
        <w:pStyle w:val="JuPara"/>
      </w:pPr>
      <w:r>
        <w:fldChar w:fldCharType="begin"/>
      </w:r>
      <w:r>
        <w:instrText xml:space="preserve"> SEQ level0 \*arabic </w:instrText>
      </w:r>
      <w:r>
        <w:fldChar w:fldCharType="separate"/>
      </w:r>
      <w:r w:rsidR="0020029F">
        <w:rPr>
          <w:noProof/>
        </w:rPr>
        <w:t>31</w:t>
      </w:r>
      <w:r>
        <w:fldChar w:fldCharType="end"/>
      </w:r>
      <w:r>
        <w:t>.  </w:t>
      </w:r>
      <w:r w:rsidR="009F1CC2">
        <w:t>In light of the above, the Court concludes that</w:t>
      </w:r>
      <w:r w:rsidRPr="00715DB6" w:rsidR="00715DB6">
        <w:t xml:space="preserve"> the </w:t>
      </w:r>
      <w:r w:rsidR="002D464E">
        <w:t xml:space="preserve">failure to </w:t>
      </w:r>
      <w:r w:rsidR="009F1CC2">
        <w:t>forward a copy of the plaintiff</w:t>
      </w:r>
      <w:r w:rsidR="002D464E">
        <w:t>s</w:t>
      </w:r>
      <w:r w:rsidR="00E72DA8">
        <w:t>'</w:t>
      </w:r>
      <w:r w:rsidR="002D464E">
        <w:t xml:space="preserve"> written </w:t>
      </w:r>
      <w:r w:rsidR="002C1D1A">
        <w:t>observations</w:t>
      </w:r>
      <w:r w:rsidR="002D464E">
        <w:t xml:space="preserve"> to the applicants denied </w:t>
      </w:r>
      <w:r w:rsidRPr="00715DB6" w:rsidR="00715DB6">
        <w:t xml:space="preserve">the applicants </w:t>
      </w:r>
      <w:r w:rsidR="009F1CC2">
        <w:t>the right to a fair hearing before the Supreme Court</w:t>
      </w:r>
      <w:r>
        <w:t>.</w:t>
      </w:r>
    </w:p>
    <w:p w:rsidRPr="00DA06F7" w:rsidR="00F71A6A" w:rsidRDefault="00B85D2A">
      <w:pPr>
        <w:pStyle w:val="JuPara"/>
      </w:pPr>
      <w:r>
        <w:fldChar w:fldCharType="begin"/>
      </w:r>
      <w:r>
        <w:instrText xml:space="preserve"> SEQ level0 \*arabic </w:instrText>
      </w:r>
      <w:r>
        <w:fldChar w:fldCharType="separate"/>
      </w:r>
      <w:r w:rsidR="0020029F">
        <w:rPr>
          <w:noProof/>
        </w:rPr>
        <w:t>32</w:t>
      </w:r>
      <w:r>
        <w:fldChar w:fldCharType="end"/>
      </w:r>
      <w:r>
        <w:t>.  </w:t>
      </w:r>
      <w:r w:rsidRPr="00DA06F7" w:rsidR="00F71A6A">
        <w:t xml:space="preserve">There has </w:t>
      </w:r>
      <w:r w:rsidR="00672D9E">
        <w:t>therefore</w:t>
      </w:r>
      <w:r w:rsidRPr="00DA06F7" w:rsidR="00F71A6A">
        <w:t xml:space="preserve"> been a violation of Article </w:t>
      </w:r>
      <w:r w:rsidR="008D75DF">
        <w:t xml:space="preserve">6 § 1 </w:t>
      </w:r>
      <w:r w:rsidRPr="00DA06F7" w:rsidR="00F71A6A">
        <w:t>of the Convention.</w:t>
      </w:r>
    </w:p>
    <w:p w:rsidRPr="00DA06F7" w:rsidR="00F71A6A" w:rsidRDefault="00B85D2A">
      <w:pPr>
        <w:pStyle w:val="JuHIRoman"/>
      </w:pPr>
      <w:r>
        <w:t>II</w:t>
      </w:r>
      <w:r w:rsidRPr="00DA06F7" w:rsidR="00F71A6A">
        <w:t>.  OTHER ALLEGED VIOLATIONS OF THE CONVENTION</w:t>
      </w:r>
    </w:p>
    <w:p w:rsidR="00F71A6A" w:rsidRDefault="00DA06F7">
      <w:pPr>
        <w:pStyle w:val="JuPara"/>
      </w:pPr>
      <w:r w:rsidRPr="00DA06F7">
        <w:fldChar w:fldCharType="begin"/>
      </w:r>
      <w:r w:rsidRPr="00DA06F7">
        <w:instrText xml:space="preserve"> SEQ level0 \*arabic </w:instrText>
      </w:r>
      <w:r w:rsidRPr="00DA06F7">
        <w:fldChar w:fldCharType="separate"/>
      </w:r>
      <w:r w:rsidR="0020029F">
        <w:rPr>
          <w:noProof/>
        </w:rPr>
        <w:t>33</w:t>
      </w:r>
      <w:r w:rsidRPr="00DA06F7">
        <w:fldChar w:fldCharType="end"/>
      </w:r>
      <w:r w:rsidRPr="00DA06F7" w:rsidR="00F71A6A">
        <w:t>.  </w:t>
      </w:r>
      <w:r w:rsidR="00B85D2A">
        <w:t>T</w:t>
      </w:r>
      <w:r w:rsidRPr="00DA06F7" w:rsidR="00F71A6A">
        <w:t xml:space="preserve">he </w:t>
      </w:r>
      <w:r w:rsidRPr="00DA06F7">
        <w:t>applicants</w:t>
      </w:r>
      <w:r w:rsidRPr="00DA06F7" w:rsidR="00F71A6A">
        <w:t xml:space="preserve"> </w:t>
      </w:r>
      <w:r w:rsidR="00B85D2A">
        <w:t xml:space="preserve">also </w:t>
      </w:r>
      <w:r w:rsidRPr="00DA06F7" w:rsidR="00F71A6A">
        <w:t xml:space="preserve">complained </w:t>
      </w:r>
      <w:r w:rsidR="00B85D2A">
        <w:t xml:space="preserve">under Article 1 of Protocol No. 1 that </w:t>
      </w:r>
      <w:r w:rsidR="009F1CC2">
        <w:t xml:space="preserve">they had lost ownership of the disputed property </w:t>
      </w:r>
      <w:r w:rsidR="00B85D2A">
        <w:t>and under Article 6 § 1 that the decisions of the domestic courts were incorrect.</w:t>
      </w:r>
    </w:p>
    <w:p w:rsidR="00444D89" w:rsidRDefault="00672D9E">
      <w:pPr>
        <w:pStyle w:val="JuPara"/>
      </w:pPr>
      <w:r>
        <w:fldChar w:fldCharType="begin"/>
      </w:r>
      <w:r>
        <w:instrText xml:space="preserve"> SEQ level0 \*arabic </w:instrText>
      </w:r>
      <w:r>
        <w:fldChar w:fldCharType="separate"/>
      </w:r>
      <w:r w:rsidR="0020029F">
        <w:rPr>
          <w:noProof/>
        </w:rPr>
        <w:t>34</w:t>
      </w:r>
      <w:r>
        <w:fldChar w:fldCharType="end"/>
      </w:r>
      <w:r>
        <w:t>.  </w:t>
      </w:r>
      <w:r w:rsidR="009F1CC2">
        <w:t xml:space="preserve">The applicants have not </w:t>
      </w:r>
      <w:r w:rsidR="002C1D1A">
        <w:t>submitted</w:t>
      </w:r>
      <w:r w:rsidR="009F1CC2">
        <w:t xml:space="preserve"> any detailed argument in support of their allegation that there has been an unjustified interference with their property rights. Nor </w:t>
      </w:r>
      <w:r w:rsidR="00873C31">
        <w:t>did</w:t>
      </w:r>
      <w:r w:rsidR="009F1CC2">
        <w:t xml:space="preserve"> they provide any details of any alleged unfairness in the proceedings, aside from the complaint regarding the Supreme Court</w:t>
      </w:r>
      <w:r w:rsidR="00E72DA8">
        <w:t>'</w:t>
      </w:r>
      <w:r w:rsidR="009F1CC2">
        <w:t>s failure to provide them with a copy of the plaintiffs</w:t>
      </w:r>
      <w:r w:rsidR="00E72DA8">
        <w:t>'</w:t>
      </w:r>
      <w:r w:rsidR="009F1CC2">
        <w:t xml:space="preserve"> </w:t>
      </w:r>
      <w:r w:rsidR="002C1D1A">
        <w:t>observations</w:t>
      </w:r>
      <w:r w:rsidR="009F1CC2">
        <w:t xml:space="preserve">, in respect of which the Court has already found a violation of Article 6 § 1. </w:t>
      </w:r>
      <w:r w:rsidRPr="00CB5114" w:rsidR="00085C69">
        <w:t xml:space="preserve">In this connection, the </w:t>
      </w:r>
      <w:bookmarkStart w:name="HIT34" w:id="6"/>
      <w:bookmarkEnd w:id="6"/>
      <w:r w:rsidRPr="00CB5114" w:rsidR="00085C69">
        <w:rPr>
          <w:bCs/>
        </w:rPr>
        <w:t>Court</w:t>
      </w:r>
      <w:r w:rsidRPr="00CB5114" w:rsidR="00085C69">
        <w:t xml:space="preserve"> reiterates that it is not its task to act as an appeal </w:t>
      </w:r>
      <w:bookmarkStart w:name="HIT35" w:id="7"/>
      <w:bookmarkEnd w:id="7"/>
      <w:r w:rsidRPr="00CB5114" w:rsidR="00085C69">
        <w:rPr>
          <w:bCs/>
        </w:rPr>
        <w:t>court</w:t>
      </w:r>
      <w:r w:rsidRPr="00CB5114" w:rsidR="00085C69">
        <w:t xml:space="preserve"> of “</w:t>
      </w:r>
      <w:bookmarkStart w:name="HIT36" w:id="8"/>
      <w:bookmarkEnd w:id="8"/>
      <w:r w:rsidRPr="00CB5114" w:rsidR="00085C69">
        <w:rPr>
          <w:bCs/>
        </w:rPr>
        <w:t>fourth</w:t>
      </w:r>
      <w:r w:rsidRPr="00CB5114" w:rsidR="00085C69">
        <w:t xml:space="preserve"> </w:t>
      </w:r>
      <w:bookmarkStart w:name="HIT37" w:id="9"/>
      <w:bookmarkEnd w:id="9"/>
      <w:r w:rsidRPr="00CB5114" w:rsidR="00085C69">
        <w:rPr>
          <w:bCs/>
        </w:rPr>
        <w:t>instance</w:t>
      </w:r>
      <w:r w:rsidRPr="00CB5114" w:rsidR="00085C69">
        <w:t>” by calling into question the outco</w:t>
      </w:r>
      <w:r w:rsidR="002C1D1A">
        <w:t xml:space="preserve">me of the domestic proceedings in the absence of any evidence of a violation of the Convention </w:t>
      </w:r>
      <w:r w:rsidRPr="00CB5114" w:rsidR="00085C69">
        <w:t>(see</w:t>
      </w:r>
      <w:r w:rsidR="002C1D1A">
        <w:rPr>
          <w:lang w:eastAsia="en-US"/>
        </w:rPr>
        <w:t xml:space="preserve">, </w:t>
      </w:r>
      <w:r w:rsidR="002C1D1A">
        <w:rPr>
          <w:i/>
          <w:lang w:eastAsia="en-US"/>
        </w:rPr>
        <w:t>inter alia</w:t>
      </w:r>
      <w:r w:rsidR="002C1D1A">
        <w:rPr>
          <w:lang w:eastAsia="en-US"/>
        </w:rPr>
        <w:t xml:space="preserve">, </w:t>
      </w:r>
      <w:r>
        <w:rPr>
          <w:i/>
        </w:rPr>
        <w:t>Mehmet Ali Kaçar</w:t>
      </w:r>
      <w:r>
        <w:t xml:space="preserve"> </w:t>
      </w:r>
      <w:r>
        <w:rPr>
          <w:rStyle w:val="p-005fju-005fpara--char"/>
          <w:i/>
          <w:iCs/>
        </w:rPr>
        <w:t xml:space="preserve">v. </w:t>
      </w:r>
      <w:smartTag w:uri="urn:schemas-microsoft-com:office:smarttags" w:element="country-region">
        <w:smartTag w:uri="urn:schemas-microsoft-com:office:smarttags" w:element="place">
          <w:r>
            <w:rPr>
              <w:rStyle w:val="p-005fju-005fpara--char"/>
              <w:i/>
              <w:iCs/>
            </w:rPr>
            <w:t>Turkey</w:t>
          </w:r>
        </w:smartTag>
      </w:smartTag>
      <w:r>
        <w:t xml:space="preserve"> (dec.), no. 11326/03, 24 June 2008</w:t>
      </w:r>
      <w:r w:rsidRPr="00CB5114" w:rsidR="00085C69">
        <w:t>).</w:t>
      </w:r>
    </w:p>
    <w:p w:rsidRPr="00DA06F7" w:rsidR="008D75DF" w:rsidP="0039487D" w:rsidRDefault="00672D9E">
      <w:pPr>
        <w:pStyle w:val="JuPara"/>
      </w:pPr>
      <w:r>
        <w:fldChar w:fldCharType="begin"/>
      </w:r>
      <w:r>
        <w:instrText xml:space="preserve"> SEQ level0 \*arabic </w:instrText>
      </w:r>
      <w:r>
        <w:fldChar w:fldCharType="separate"/>
      </w:r>
      <w:r w:rsidR="0020029F">
        <w:rPr>
          <w:noProof/>
        </w:rPr>
        <w:t>35</w:t>
      </w:r>
      <w:r>
        <w:fldChar w:fldCharType="end"/>
      </w:r>
      <w:r>
        <w:t>.  </w:t>
      </w:r>
      <w:r w:rsidR="009F1CC2">
        <w:rPr>
          <w:color w:val="000000"/>
          <w:szCs w:val="24"/>
          <w:lang w:eastAsia="en-GB"/>
        </w:rPr>
        <w:t xml:space="preserve">In the light of all the material in its possession, and in so far as the matters complained of </w:t>
      </w:r>
      <w:r w:rsidR="009E26D4">
        <w:rPr>
          <w:color w:val="000000"/>
          <w:szCs w:val="24"/>
          <w:lang w:eastAsia="en-GB"/>
        </w:rPr>
        <w:t>are</w:t>
      </w:r>
      <w:r w:rsidR="009F1CC2">
        <w:rPr>
          <w:color w:val="000000"/>
          <w:szCs w:val="24"/>
          <w:lang w:eastAsia="en-GB"/>
        </w:rPr>
        <w:t xml:space="preserve"> within its competence, the Court finds no appearance of a violation of the rights and freedoms set out in the Convention or its Protocols arising from these complaints.</w:t>
      </w:r>
      <w:r w:rsidR="0039487D">
        <w:rPr>
          <w:color w:val="000000"/>
          <w:szCs w:val="24"/>
          <w:lang w:eastAsia="en-GB"/>
        </w:rPr>
        <w:t xml:space="preserve"> The Court therefore concludes that the complaints are manifestly ill-founded within the meaning of Article 35 § 3 of the Convention and must be declared inadmissible under Article 35 § 4 of the Convention.</w:t>
      </w:r>
    </w:p>
    <w:p w:rsidRPr="00DA06F7" w:rsidR="00F71A6A" w:rsidRDefault="00085C69">
      <w:pPr>
        <w:pStyle w:val="JuHIRoman"/>
      </w:pPr>
      <w:r>
        <w:t>III</w:t>
      </w:r>
      <w:r w:rsidRPr="00DA06F7" w:rsidR="00F71A6A">
        <w:t>.  APPLICATION OF ARTICLE 41 OF THE CONVENTION</w:t>
      </w:r>
    </w:p>
    <w:p w:rsidRPr="00DA06F7" w:rsidR="00F71A6A" w:rsidRDefault="00DA06F7">
      <w:pPr>
        <w:pStyle w:val="JuPara"/>
        <w:keepNext/>
        <w:keepLines/>
      </w:pPr>
      <w:r w:rsidRPr="00DA06F7">
        <w:fldChar w:fldCharType="begin"/>
      </w:r>
      <w:r w:rsidRPr="00DA06F7">
        <w:instrText xml:space="preserve"> SEQ level0 \*arabic </w:instrText>
      </w:r>
      <w:r w:rsidRPr="00DA06F7">
        <w:fldChar w:fldCharType="separate"/>
      </w:r>
      <w:r w:rsidR="0020029F">
        <w:rPr>
          <w:noProof/>
        </w:rPr>
        <w:t>36</w:t>
      </w:r>
      <w:r w:rsidRPr="00DA06F7">
        <w:fldChar w:fldCharType="end"/>
      </w:r>
      <w:r w:rsidRPr="00DA06F7" w:rsidR="00F71A6A">
        <w:t>.  Article 41 of the Convention provides:</w:t>
      </w:r>
    </w:p>
    <w:p w:rsidRPr="00DA06F7" w:rsidR="00F71A6A" w:rsidRDefault="00F71A6A">
      <w:pPr>
        <w:pStyle w:val="JuQuot"/>
        <w:keepNext/>
        <w:keepLines/>
      </w:pPr>
      <w:r w:rsidRPr="00DA06F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A06F7" w:rsidR="00F71A6A" w:rsidP="00522362" w:rsidRDefault="00F71A6A">
      <w:pPr>
        <w:pStyle w:val="JuHA"/>
        <w:keepLines w:val="0"/>
      </w:pPr>
      <w:r w:rsidRPr="00DA06F7">
        <w:t>A.  Damage</w:t>
      </w:r>
    </w:p>
    <w:p w:rsidRPr="00DA06F7" w:rsidR="00F71A6A" w:rsidRDefault="00DA06F7">
      <w:pPr>
        <w:pStyle w:val="JuPara"/>
      </w:pPr>
      <w:r w:rsidRPr="00DA06F7">
        <w:fldChar w:fldCharType="begin"/>
      </w:r>
      <w:r w:rsidRPr="00DA06F7">
        <w:instrText xml:space="preserve"> SEQ level0 \*arabic </w:instrText>
      </w:r>
      <w:r w:rsidRPr="00DA06F7">
        <w:fldChar w:fldCharType="separate"/>
      </w:r>
      <w:r w:rsidR="0020029F">
        <w:rPr>
          <w:noProof/>
        </w:rPr>
        <w:t>37</w:t>
      </w:r>
      <w:r w:rsidRPr="00DA06F7">
        <w:fldChar w:fldCharType="end"/>
      </w:r>
      <w:r w:rsidRPr="00DA06F7" w:rsidR="00F71A6A">
        <w:t xml:space="preserve">.  The </w:t>
      </w:r>
      <w:r w:rsidRPr="00DA06F7">
        <w:t>applicants</w:t>
      </w:r>
      <w:r w:rsidRPr="00DA06F7" w:rsidR="00F71A6A">
        <w:t xml:space="preserve"> claimed </w:t>
      </w:r>
      <w:r w:rsidR="0074151D">
        <w:t xml:space="preserve">the sum of </w:t>
      </w:r>
      <w:r w:rsidR="000868DB">
        <w:t>5,000 euros (EUR) in respect of</w:t>
      </w:r>
      <w:r w:rsidRPr="00DA06F7" w:rsidR="00F71A6A">
        <w:t xml:space="preserve"> non</w:t>
      </w:r>
      <w:r w:rsidR="0074151D">
        <w:t>-</w:t>
      </w:r>
      <w:r w:rsidRPr="00DA06F7" w:rsidR="00F71A6A">
        <w:t>pecuniary damage.</w:t>
      </w:r>
    </w:p>
    <w:p w:rsidRPr="00DA06F7" w:rsidR="00F71A6A" w:rsidRDefault="00DA06F7">
      <w:pPr>
        <w:pStyle w:val="JuPara"/>
      </w:pPr>
      <w:r w:rsidRPr="00DA06F7">
        <w:fldChar w:fldCharType="begin"/>
      </w:r>
      <w:r w:rsidRPr="00DA06F7">
        <w:instrText xml:space="preserve"> SEQ level0 \*arabic </w:instrText>
      </w:r>
      <w:r w:rsidRPr="00DA06F7">
        <w:fldChar w:fldCharType="separate"/>
      </w:r>
      <w:r w:rsidR="0020029F">
        <w:rPr>
          <w:noProof/>
        </w:rPr>
        <w:t>38</w:t>
      </w:r>
      <w:r w:rsidRPr="00DA06F7">
        <w:fldChar w:fldCharType="end"/>
      </w:r>
      <w:r w:rsidRPr="00DA06F7" w:rsidR="00F71A6A">
        <w:t xml:space="preserve">.  The Government </w:t>
      </w:r>
      <w:r w:rsidR="003976CD">
        <w:t>considered the amount claimed to be excessive.</w:t>
      </w:r>
    </w:p>
    <w:p w:rsidR="00444D89" w:rsidRDefault="00DA06F7">
      <w:pPr>
        <w:pStyle w:val="JuPara"/>
      </w:pPr>
      <w:r w:rsidRPr="00DA06F7">
        <w:fldChar w:fldCharType="begin"/>
      </w:r>
      <w:r w:rsidRPr="00DA06F7">
        <w:instrText xml:space="preserve"> SEQ level0 \*arabic </w:instrText>
      </w:r>
      <w:r w:rsidRPr="00DA06F7">
        <w:fldChar w:fldCharType="separate"/>
      </w:r>
      <w:r w:rsidR="0020029F">
        <w:rPr>
          <w:noProof/>
        </w:rPr>
        <w:t>39</w:t>
      </w:r>
      <w:r w:rsidRPr="00DA06F7">
        <w:fldChar w:fldCharType="end"/>
      </w:r>
      <w:r w:rsidR="003976CD">
        <w:t>.  The Court</w:t>
      </w:r>
      <w:r w:rsidR="00035663">
        <w:t>,</w:t>
      </w:r>
      <w:r w:rsidRPr="00DA06F7" w:rsidR="00F71A6A">
        <w:t xml:space="preserve"> </w:t>
      </w:r>
      <w:r w:rsidRPr="00035663" w:rsidR="00035663">
        <w:t xml:space="preserve">having regard to the technical nature of its finding of a violation of Article </w:t>
      </w:r>
      <w:r w:rsidR="00035663">
        <w:t>6</w:t>
      </w:r>
      <w:r w:rsidRPr="00035663" w:rsidR="00035663">
        <w:t xml:space="preserve"> § 1 of the Convention, </w:t>
      </w:r>
      <w:r w:rsidR="002D464E">
        <w:t xml:space="preserve">considers that </w:t>
      </w:r>
      <w:r w:rsidRPr="00035663" w:rsidR="00035663">
        <w:t>this finding</w:t>
      </w:r>
      <w:r w:rsidR="00035663">
        <w:t xml:space="preserve"> in itself</w:t>
      </w:r>
      <w:r w:rsidR="002D464E">
        <w:t xml:space="preserve"> constitutes sufficient just satisfaction in the present case.</w:t>
      </w:r>
    </w:p>
    <w:p w:rsidRPr="00DA06F7" w:rsidR="00F71A6A" w:rsidRDefault="00F71A6A">
      <w:pPr>
        <w:pStyle w:val="JuHA"/>
      </w:pPr>
      <w:r w:rsidRPr="00DA06F7">
        <w:t>B.  Costs and expenses</w:t>
      </w:r>
    </w:p>
    <w:p w:rsidRPr="00DA06F7" w:rsidR="00F71A6A" w:rsidRDefault="00DA06F7">
      <w:pPr>
        <w:pStyle w:val="JuPara"/>
      </w:pPr>
      <w:r w:rsidRPr="00DA06F7">
        <w:fldChar w:fldCharType="begin"/>
      </w:r>
      <w:r w:rsidRPr="00DA06F7">
        <w:instrText xml:space="preserve"> SEQ level0 \*arabic </w:instrText>
      </w:r>
      <w:r w:rsidRPr="00DA06F7">
        <w:fldChar w:fldCharType="separate"/>
      </w:r>
      <w:r w:rsidR="0020029F">
        <w:rPr>
          <w:noProof/>
        </w:rPr>
        <w:t>40</w:t>
      </w:r>
      <w:r w:rsidRPr="00DA06F7">
        <w:fldChar w:fldCharType="end"/>
      </w:r>
      <w:r w:rsidRPr="00DA06F7" w:rsidR="00F71A6A">
        <w:t xml:space="preserve">.  The </w:t>
      </w:r>
      <w:r w:rsidRPr="00DA06F7">
        <w:t>applicants</w:t>
      </w:r>
      <w:r w:rsidRPr="00DA06F7" w:rsidR="00F71A6A">
        <w:t xml:space="preserve"> also claimed EUR </w:t>
      </w:r>
      <w:r w:rsidR="000868DB">
        <w:t>2,000</w:t>
      </w:r>
      <w:r w:rsidRPr="00DA06F7" w:rsidR="00F71A6A">
        <w:t xml:space="preserve"> </w:t>
      </w:r>
      <w:r w:rsidR="003976CD">
        <w:t>in legal costs and expenses. No detailed claim was submitted and, in particular, no receipts or invoices were provided in support of the sum claimed.</w:t>
      </w:r>
    </w:p>
    <w:p w:rsidRPr="00DA06F7" w:rsidR="00F71A6A" w:rsidRDefault="00DA06F7">
      <w:pPr>
        <w:pStyle w:val="JuPara"/>
      </w:pPr>
      <w:r w:rsidRPr="00DA06F7">
        <w:fldChar w:fldCharType="begin"/>
      </w:r>
      <w:r w:rsidRPr="00DA06F7">
        <w:instrText xml:space="preserve"> SEQ level0 \*arabic </w:instrText>
      </w:r>
      <w:r w:rsidRPr="00DA06F7">
        <w:fldChar w:fldCharType="separate"/>
      </w:r>
      <w:r w:rsidR="0020029F">
        <w:rPr>
          <w:noProof/>
        </w:rPr>
        <w:t>41</w:t>
      </w:r>
      <w:r w:rsidRPr="00DA06F7">
        <w:fldChar w:fldCharType="end"/>
      </w:r>
      <w:r w:rsidRPr="00DA06F7" w:rsidR="00F71A6A">
        <w:t>.  The Government</w:t>
      </w:r>
      <w:r w:rsidR="003976CD">
        <w:t xml:space="preserve"> highlighted that the applicants had failed to provide any evidence to support their claim as to legal costs. Accordingly, the Government invited the Court to grant to the applicants only those costs and expenses which it considered reas</w:t>
      </w:r>
      <w:r w:rsidR="002D464E">
        <w:t>onable and to dismiss the remainder of the claim.</w:t>
      </w:r>
    </w:p>
    <w:p w:rsidR="00F71A6A" w:rsidP="00FF672E" w:rsidRDefault="00DA06F7">
      <w:pPr>
        <w:pStyle w:val="JuPara"/>
      </w:pPr>
      <w:r w:rsidRPr="00DA06F7">
        <w:fldChar w:fldCharType="begin"/>
      </w:r>
      <w:r w:rsidRPr="00DA06F7">
        <w:instrText xml:space="preserve"> SEQ level0 \*arabic </w:instrText>
      </w:r>
      <w:r w:rsidRPr="00DA06F7">
        <w:fldChar w:fldCharType="separate"/>
      </w:r>
      <w:r w:rsidR="0020029F">
        <w:rPr>
          <w:noProof/>
        </w:rPr>
        <w:t>42</w:t>
      </w:r>
      <w:r w:rsidRPr="00DA06F7">
        <w:fldChar w:fldCharType="end"/>
      </w:r>
      <w:r w:rsidRPr="00DA06F7" w:rsidR="00F71A6A">
        <w:t>.  </w:t>
      </w:r>
      <w:r w:rsidRPr="00DA06F7" w:rsidR="00F22F33">
        <w:t>According to the Court</w:t>
      </w:r>
      <w:r w:rsidR="00E72DA8">
        <w:t>'</w:t>
      </w:r>
      <w:r w:rsidRPr="00DA06F7" w:rsidR="00F22F33">
        <w:t xml:space="preserve">s case-law, an applicant is entitled to the reimbursement of costs and expenses only in so far as it has been shown that these have been actually and necessarily incurred and were reasonable as to quantum. In </w:t>
      </w:r>
      <w:r w:rsidR="00F22F33">
        <w:t>the absence of any evidence to support the applicants</w:t>
      </w:r>
      <w:r w:rsidR="00E72DA8">
        <w:t>'</w:t>
      </w:r>
      <w:r w:rsidR="00F22F33">
        <w:t xml:space="preserve"> claim as to costs and expenses, no award is made under this head.</w:t>
      </w:r>
    </w:p>
    <w:p w:rsidRPr="00DA06F7" w:rsidR="00F71A6A" w:rsidRDefault="00EC348E">
      <w:pPr>
        <w:pStyle w:val="JuHHead"/>
      </w:pPr>
      <w:r>
        <w:t xml:space="preserve">FOR THESE REASONS, THE COURT </w:t>
      </w:r>
      <w:r w:rsidRPr="00DA06F7" w:rsidR="00F71A6A">
        <w:t>UNANIMOUSLY</w:t>
      </w:r>
    </w:p>
    <w:p w:rsidRPr="00DA06F7" w:rsidR="00F71A6A" w:rsidRDefault="00F71A6A">
      <w:pPr>
        <w:pStyle w:val="JuList"/>
      </w:pPr>
      <w:r w:rsidRPr="00DA06F7">
        <w:t>1.  </w:t>
      </w:r>
      <w:r w:rsidRPr="00DA06F7">
        <w:rPr>
          <w:i/>
        </w:rPr>
        <w:t>Declares</w:t>
      </w:r>
      <w:r w:rsidRPr="00DA06F7">
        <w:t xml:space="preserve"> the complaint concerning </w:t>
      </w:r>
      <w:r w:rsidR="00085C69">
        <w:t xml:space="preserve">the failure to communicate </w:t>
      </w:r>
      <w:r w:rsidR="002C1D1A">
        <w:t>to the applicants the plaintiff</w:t>
      </w:r>
      <w:r w:rsidR="002D464E">
        <w:t>s</w:t>
      </w:r>
      <w:r w:rsidR="00E72DA8">
        <w:t>'</w:t>
      </w:r>
      <w:r w:rsidR="002D464E">
        <w:t xml:space="preserve"> written </w:t>
      </w:r>
      <w:r w:rsidR="002C1D1A">
        <w:t>observations</w:t>
      </w:r>
      <w:r w:rsidR="00085C69">
        <w:t xml:space="preserve"> to the Supreme Court</w:t>
      </w:r>
      <w:r w:rsidRPr="00DA06F7">
        <w:t xml:space="preserve"> admissible and the remainder of the </w:t>
      </w:r>
      <w:r w:rsidRPr="00DA06F7" w:rsidR="00DA06F7">
        <w:t>application</w:t>
      </w:r>
      <w:r w:rsidRPr="00DA06F7" w:rsidR="0011665B">
        <w:t xml:space="preserve"> inadmissible;</w:t>
      </w:r>
    </w:p>
    <w:p w:rsidRPr="00DA06F7" w:rsidR="00F71A6A" w:rsidRDefault="00F71A6A">
      <w:pPr>
        <w:pStyle w:val="JuList"/>
      </w:pPr>
    </w:p>
    <w:p w:rsidRPr="00DA06F7" w:rsidR="00F71A6A" w:rsidRDefault="00F71A6A">
      <w:pPr>
        <w:pStyle w:val="JuList"/>
      </w:pPr>
      <w:r w:rsidRPr="00DA06F7">
        <w:t>2.  </w:t>
      </w:r>
      <w:r w:rsidRPr="00DA06F7">
        <w:rPr>
          <w:i/>
        </w:rPr>
        <w:t>Holds</w:t>
      </w:r>
      <w:r w:rsidRPr="00DA06F7">
        <w:t xml:space="preserve"> that there has been a violation of Article </w:t>
      </w:r>
      <w:r w:rsidR="00085C69">
        <w:t>6 § 1</w:t>
      </w:r>
      <w:r w:rsidRPr="00DA06F7">
        <w:t xml:space="preserve"> of the Convention;</w:t>
      </w:r>
    </w:p>
    <w:p w:rsidRPr="00DA06F7" w:rsidR="00F71A6A" w:rsidP="002D464E" w:rsidRDefault="00F71A6A">
      <w:pPr>
        <w:pStyle w:val="JuList"/>
        <w:ind w:left="0" w:firstLine="0"/>
      </w:pPr>
    </w:p>
    <w:p w:rsidRPr="005E01C4" w:rsidR="005E01C4" w:rsidP="00834EBB" w:rsidRDefault="002D464E">
      <w:pPr>
        <w:pStyle w:val="JuList"/>
      </w:pPr>
      <w:r>
        <w:t>3</w:t>
      </w:r>
      <w:r w:rsidRPr="00DA06F7" w:rsidR="00F71A6A">
        <w:t>.  </w:t>
      </w:r>
      <w:r w:rsidR="005E01C4">
        <w:rPr>
          <w:i/>
        </w:rPr>
        <w:t xml:space="preserve">Holds </w:t>
      </w:r>
      <w:r w:rsidR="005E01C4">
        <w:t>that the finding of a violation constitutes sufficient just satisfaction;</w:t>
      </w:r>
    </w:p>
    <w:p w:rsidR="005E01C4" w:rsidP="00834EBB" w:rsidRDefault="005E01C4">
      <w:pPr>
        <w:pStyle w:val="JuList"/>
      </w:pPr>
    </w:p>
    <w:p w:rsidRPr="007262B4" w:rsidR="00834EBB" w:rsidP="00834EBB" w:rsidRDefault="004679A9">
      <w:pPr>
        <w:pStyle w:val="JuList"/>
      </w:pPr>
      <w:r>
        <w:t>4.  </w:t>
      </w:r>
      <w:r w:rsidRPr="00DA06F7" w:rsidR="00F22F33">
        <w:rPr>
          <w:i/>
        </w:rPr>
        <w:t>Dismisses</w:t>
      </w:r>
      <w:r w:rsidRPr="00DA06F7" w:rsidR="00F22F33">
        <w:t xml:space="preserve"> the </w:t>
      </w:r>
      <w:r w:rsidR="005E01C4">
        <w:t xml:space="preserve">remainder of the </w:t>
      </w:r>
      <w:r w:rsidRPr="00DA06F7" w:rsidR="00F22F33">
        <w:t>applicants</w:t>
      </w:r>
      <w:r w:rsidR="00E72DA8">
        <w:t>'</w:t>
      </w:r>
      <w:r w:rsidR="00F22F33">
        <w:t xml:space="preserve"> claim for just satisfaction</w:t>
      </w:r>
      <w:r w:rsidRPr="007262B4" w:rsidR="00834EBB">
        <w:t>.</w:t>
      </w:r>
    </w:p>
    <w:p w:rsidRPr="00DA06F7" w:rsidR="00325C2B" w:rsidP="00325C2B" w:rsidRDefault="00F71A6A">
      <w:pPr>
        <w:pStyle w:val="JuParaLast"/>
      </w:pPr>
      <w:r w:rsidRPr="00DA06F7">
        <w:t xml:space="preserve">Done in English, and notified in writing on </w:t>
      </w:r>
      <w:r w:rsidR="00950B9E">
        <w:t>27 April 2010</w:t>
      </w:r>
      <w:r w:rsidRPr="00DA06F7">
        <w:t>, pursuant to Rule</w:t>
      </w:r>
      <w:r w:rsidRPr="00DA06F7" w:rsidR="0011665B">
        <w:t xml:space="preserve"> </w:t>
      </w:r>
      <w:r w:rsidRPr="00DA06F7">
        <w:t>77</w:t>
      </w:r>
      <w:r w:rsidRPr="00DA06F7" w:rsidR="0011665B">
        <w:t xml:space="preserve"> </w:t>
      </w:r>
      <w:r w:rsidRPr="00DA06F7">
        <w:t>§§</w:t>
      </w:r>
      <w:r w:rsidRPr="00DA06F7" w:rsidR="0011665B">
        <w:t xml:space="preserve"> </w:t>
      </w:r>
      <w:r w:rsidRPr="00DA06F7">
        <w:t>2 and</w:t>
      </w:r>
      <w:r w:rsidRPr="00DA06F7" w:rsidR="0011665B">
        <w:t xml:space="preserve"> </w:t>
      </w:r>
      <w:r w:rsidRPr="00DA06F7">
        <w:t>3 of the Rules of Court.</w:t>
      </w:r>
    </w:p>
    <w:p w:rsidR="00F30727" w:rsidP="00EC348E" w:rsidRDefault="00325C2B">
      <w:pPr>
        <w:pStyle w:val="JuSigned"/>
        <w:keepNext/>
        <w:keepLines/>
      </w:pPr>
      <w:r w:rsidRPr="00DA06F7">
        <w:tab/>
      </w:r>
      <w:r w:rsidRPr="00A2376F" w:rsidR="004679A9">
        <w:t>Fatoş Aracı</w:t>
      </w:r>
      <w:r w:rsidRPr="00DA06F7" w:rsidR="000726F6">
        <w:tab/>
      </w:r>
      <w:r w:rsidR="00E007EC">
        <w:t>Nicolas Bratza</w:t>
      </w:r>
      <w:r w:rsidRPr="00DA06F7" w:rsidR="000726F6">
        <w:br/>
      </w:r>
      <w:r w:rsidRPr="00DA06F7" w:rsidR="000726F6">
        <w:tab/>
      </w:r>
      <w:r w:rsidR="004679A9">
        <w:t xml:space="preserve">Deputy </w:t>
      </w:r>
      <w:r w:rsidRPr="00DA06F7" w:rsidR="00DA06F7">
        <w:t>Registrar</w:t>
      </w:r>
      <w:r w:rsidRPr="00DA06F7" w:rsidR="000726F6">
        <w:tab/>
        <w:t>President</w:t>
      </w:r>
    </w:p>
    <w:sectPr w:rsidR="00F30727" w:rsidSect="00611814">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D89" w:rsidRDefault="00444D89">
      <w:r>
        <w:separator/>
      </w:r>
    </w:p>
  </w:endnote>
  <w:endnote w:type="continuationSeparator" w:id="0">
    <w:p w:rsidR="00444D89" w:rsidRDefault="00444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D89" w:rsidRDefault="00444D89">
      <w:r>
        <w:separator/>
      </w:r>
    </w:p>
  </w:footnote>
  <w:footnote w:type="continuationSeparator" w:id="0">
    <w:p w:rsidR="00444D89" w:rsidRDefault="00444D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D89" w:rsidRPr="00C00F0F" w:rsidRDefault="00444D89">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444D89" w:rsidRPr="00611814" w:rsidRDefault="00444D89" w:rsidP="0061181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D89" w:rsidRDefault="00444D89">
    <w:pPr>
      <w:pStyle w:val="JuHeader"/>
    </w:pPr>
    <w:r>
      <w:rPr>
        <w:rStyle w:val="PageNumber"/>
      </w:rPr>
      <w:fldChar w:fldCharType="begin"/>
    </w:r>
    <w:r>
      <w:rPr>
        <w:rStyle w:val="PageNumber"/>
      </w:rPr>
      <w:instrText xml:space="preserve"> PAGE </w:instrText>
    </w:r>
    <w:r>
      <w:rPr>
        <w:rStyle w:val="PageNumber"/>
      </w:rPr>
      <w:fldChar w:fldCharType="separate"/>
    </w:r>
    <w:r w:rsidR="00E72DA8">
      <w:rPr>
        <w:rStyle w:val="PageNumber"/>
        <w:noProof/>
      </w:rPr>
      <w:t>8</w:t>
    </w:r>
    <w:r>
      <w:rPr>
        <w:rStyle w:val="PageNumber"/>
      </w:rPr>
      <w:fldChar w:fldCharType="end"/>
    </w:r>
    <w:r>
      <w:tab/>
      <w:t xml:space="preserve">HUDÁKOVÁ AND OTHERS v. </w:t>
    </w:r>
    <w:smartTag w:uri="urn:schemas-microsoft-com:office:smarttags" w:element="place">
      <w:smartTag w:uri="urn:schemas-microsoft-com:office:smarttags" w:element="country-region">
        <w:r>
          <w:t>SLOVAKIA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D89" w:rsidRDefault="00444D89">
    <w:pPr>
      <w:pStyle w:val="JuHeader"/>
    </w:pPr>
    <w:r>
      <w:tab/>
      <w:t xml:space="preserve">HUDÁKOVÁ AND OTHERS v. </w:t>
    </w:r>
    <w:smartTag w:uri="urn:schemas-microsoft-com:office:smarttags" w:element="place">
      <w:smartTag w:uri="urn:schemas-microsoft-com:office:smarttags" w:element="country-region">
        <w:r>
          <w:t>SLOVAKIA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E72DA8">
      <w:rPr>
        <w:rStyle w:val="PageNumber"/>
        <w:noProof/>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 "/>
    <w:docVar w:name="L4_1Annex" w:val="0"/>
    <w:docVar w:name="L4_1Anonymity" w:val="0"/>
    <w:docVar w:name="SignForeName" w:val="0"/>
  </w:docVars>
  <w:rsids>
    <w:rsidRoot w:val="00DA06F7"/>
    <w:rsid w:val="00024E99"/>
    <w:rsid w:val="00035663"/>
    <w:rsid w:val="0003679E"/>
    <w:rsid w:val="00055AC1"/>
    <w:rsid w:val="000726F6"/>
    <w:rsid w:val="00076A67"/>
    <w:rsid w:val="00076F61"/>
    <w:rsid w:val="00085837"/>
    <w:rsid w:val="00085C69"/>
    <w:rsid w:val="000868DB"/>
    <w:rsid w:val="00090C82"/>
    <w:rsid w:val="000D6108"/>
    <w:rsid w:val="000E1449"/>
    <w:rsid w:val="000F699D"/>
    <w:rsid w:val="00104AD1"/>
    <w:rsid w:val="0011665B"/>
    <w:rsid w:val="00126213"/>
    <w:rsid w:val="001812B2"/>
    <w:rsid w:val="00197C29"/>
    <w:rsid w:val="001A0EBE"/>
    <w:rsid w:val="001B62B1"/>
    <w:rsid w:val="001B74F7"/>
    <w:rsid w:val="001F5586"/>
    <w:rsid w:val="001F79EA"/>
    <w:rsid w:val="0020029F"/>
    <w:rsid w:val="002266CD"/>
    <w:rsid w:val="002339E4"/>
    <w:rsid w:val="00252B31"/>
    <w:rsid w:val="00262C9A"/>
    <w:rsid w:val="002C1D1A"/>
    <w:rsid w:val="002D464E"/>
    <w:rsid w:val="002E210C"/>
    <w:rsid w:val="002F6FE9"/>
    <w:rsid w:val="0031573C"/>
    <w:rsid w:val="0032093A"/>
    <w:rsid w:val="00325C2B"/>
    <w:rsid w:val="00332547"/>
    <w:rsid w:val="00336887"/>
    <w:rsid w:val="00337600"/>
    <w:rsid w:val="00371277"/>
    <w:rsid w:val="0039487D"/>
    <w:rsid w:val="003976CD"/>
    <w:rsid w:val="003E319C"/>
    <w:rsid w:val="003F3BFD"/>
    <w:rsid w:val="00401C9E"/>
    <w:rsid w:val="00444D89"/>
    <w:rsid w:val="004469ED"/>
    <w:rsid w:val="00457A18"/>
    <w:rsid w:val="00460FAD"/>
    <w:rsid w:val="004679A9"/>
    <w:rsid w:val="00485A6F"/>
    <w:rsid w:val="004E5DFC"/>
    <w:rsid w:val="00506B47"/>
    <w:rsid w:val="00516EBF"/>
    <w:rsid w:val="00522362"/>
    <w:rsid w:val="005419B6"/>
    <w:rsid w:val="00546F49"/>
    <w:rsid w:val="0056771C"/>
    <w:rsid w:val="005777BA"/>
    <w:rsid w:val="00577E6A"/>
    <w:rsid w:val="00597152"/>
    <w:rsid w:val="005B16A8"/>
    <w:rsid w:val="005B4233"/>
    <w:rsid w:val="005C1929"/>
    <w:rsid w:val="005E01C4"/>
    <w:rsid w:val="005E384F"/>
    <w:rsid w:val="005F3E86"/>
    <w:rsid w:val="005F7A10"/>
    <w:rsid w:val="006111FF"/>
    <w:rsid w:val="00611814"/>
    <w:rsid w:val="0062787C"/>
    <w:rsid w:val="00640B82"/>
    <w:rsid w:val="00655126"/>
    <w:rsid w:val="00672D9E"/>
    <w:rsid w:val="006C2B52"/>
    <w:rsid w:val="006C35C5"/>
    <w:rsid w:val="007156E0"/>
    <w:rsid w:val="00715DB6"/>
    <w:rsid w:val="00730053"/>
    <w:rsid w:val="00730433"/>
    <w:rsid w:val="007352DD"/>
    <w:rsid w:val="0074151D"/>
    <w:rsid w:val="00750E5E"/>
    <w:rsid w:val="00756D5B"/>
    <w:rsid w:val="007814CA"/>
    <w:rsid w:val="007827E7"/>
    <w:rsid w:val="0079187F"/>
    <w:rsid w:val="007A6DBA"/>
    <w:rsid w:val="007C1CE3"/>
    <w:rsid w:val="007D0D75"/>
    <w:rsid w:val="007F19AB"/>
    <w:rsid w:val="00806E5F"/>
    <w:rsid w:val="008262C0"/>
    <w:rsid w:val="00830AE4"/>
    <w:rsid w:val="00834EBB"/>
    <w:rsid w:val="00846856"/>
    <w:rsid w:val="00853345"/>
    <w:rsid w:val="008664A4"/>
    <w:rsid w:val="00873C31"/>
    <w:rsid w:val="0088315D"/>
    <w:rsid w:val="00886BB5"/>
    <w:rsid w:val="008B657D"/>
    <w:rsid w:val="008B6C99"/>
    <w:rsid w:val="008C6F68"/>
    <w:rsid w:val="008D75DF"/>
    <w:rsid w:val="008E05A3"/>
    <w:rsid w:val="008F00C6"/>
    <w:rsid w:val="0094239F"/>
    <w:rsid w:val="00950B9E"/>
    <w:rsid w:val="00956501"/>
    <w:rsid w:val="00965BD4"/>
    <w:rsid w:val="0098535B"/>
    <w:rsid w:val="00995F44"/>
    <w:rsid w:val="009B039E"/>
    <w:rsid w:val="009E26D4"/>
    <w:rsid w:val="009F1CC2"/>
    <w:rsid w:val="009F5625"/>
    <w:rsid w:val="00A012A5"/>
    <w:rsid w:val="00A32B81"/>
    <w:rsid w:val="00A34DA0"/>
    <w:rsid w:val="00A5331A"/>
    <w:rsid w:val="00AB2166"/>
    <w:rsid w:val="00AC5FF6"/>
    <w:rsid w:val="00AD57B2"/>
    <w:rsid w:val="00AE2F4F"/>
    <w:rsid w:val="00B0594B"/>
    <w:rsid w:val="00B64488"/>
    <w:rsid w:val="00B662B2"/>
    <w:rsid w:val="00B6763B"/>
    <w:rsid w:val="00B77A84"/>
    <w:rsid w:val="00B8114A"/>
    <w:rsid w:val="00B85D2A"/>
    <w:rsid w:val="00B921A8"/>
    <w:rsid w:val="00BB31A9"/>
    <w:rsid w:val="00BB5231"/>
    <w:rsid w:val="00BD19AE"/>
    <w:rsid w:val="00BE50FE"/>
    <w:rsid w:val="00BE5958"/>
    <w:rsid w:val="00C01E1C"/>
    <w:rsid w:val="00C27EF9"/>
    <w:rsid w:val="00C30671"/>
    <w:rsid w:val="00C8400D"/>
    <w:rsid w:val="00C96EBF"/>
    <w:rsid w:val="00CB5114"/>
    <w:rsid w:val="00CD5D90"/>
    <w:rsid w:val="00CE1C9D"/>
    <w:rsid w:val="00D102A7"/>
    <w:rsid w:val="00D15473"/>
    <w:rsid w:val="00D353F4"/>
    <w:rsid w:val="00D357B5"/>
    <w:rsid w:val="00D36EB3"/>
    <w:rsid w:val="00D51617"/>
    <w:rsid w:val="00D63793"/>
    <w:rsid w:val="00D73DFF"/>
    <w:rsid w:val="00D84E51"/>
    <w:rsid w:val="00D90810"/>
    <w:rsid w:val="00D9581E"/>
    <w:rsid w:val="00DA06F7"/>
    <w:rsid w:val="00DB6D67"/>
    <w:rsid w:val="00DC2093"/>
    <w:rsid w:val="00DC5C22"/>
    <w:rsid w:val="00DE0842"/>
    <w:rsid w:val="00DE5E8F"/>
    <w:rsid w:val="00E007EC"/>
    <w:rsid w:val="00E26A95"/>
    <w:rsid w:val="00E32971"/>
    <w:rsid w:val="00E526A4"/>
    <w:rsid w:val="00E72DA8"/>
    <w:rsid w:val="00E81663"/>
    <w:rsid w:val="00EB41E9"/>
    <w:rsid w:val="00EC348E"/>
    <w:rsid w:val="00ED12C3"/>
    <w:rsid w:val="00ED3AC7"/>
    <w:rsid w:val="00EE1066"/>
    <w:rsid w:val="00EE47FF"/>
    <w:rsid w:val="00EE7911"/>
    <w:rsid w:val="00EF2384"/>
    <w:rsid w:val="00EF7290"/>
    <w:rsid w:val="00F22F33"/>
    <w:rsid w:val="00F30727"/>
    <w:rsid w:val="00F43FF3"/>
    <w:rsid w:val="00F5124B"/>
    <w:rsid w:val="00F71A6A"/>
    <w:rsid w:val="00F73D18"/>
    <w:rsid w:val="00FE04BB"/>
    <w:rsid w:val="00FE6E31"/>
    <w:rsid w:val="00FF67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City"/>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aliases w:val="Left,First line:  0 cm"/>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customStyle="1" w:styleId="JuParaCar">
    <w:name w:val="Ju_Para Car"/>
    <w:basedOn w:val="DefaultParagraphFont"/>
    <w:rsid w:val="00F73D18"/>
    <w:rPr>
      <w:sz w:val="24"/>
      <w:lang w:val="en-GB" w:eastAsia="fr-FR" w:bidi="ar-SA"/>
    </w:rPr>
  </w:style>
  <w:style w:type="character" w:styleId="Hyperlink">
    <w:name w:val="Hyperlink"/>
    <w:basedOn w:val="DefaultParagraphFont"/>
    <w:rsid w:val="00DA06F7"/>
    <w:rPr>
      <w:color w:val="0000FF"/>
      <w:u w:val="single"/>
    </w:rPr>
  </w:style>
  <w:style w:type="character" w:customStyle="1" w:styleId="p-005fju-005fpara--char">
    <w:name w:val="p-005fju-005fpara--char"/>
    <w:basedOn w:val="DefaultParagraphFont"/>
    <w:rsid w:val="00672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8808CB-58B0-4EE1-B7AF-669A0CBFEBA7}"/>
</file>

<file path=customXml/itemProps2.xml><?xml version="1.0" encoding="utf-8"?>
<ds:datastoreItem xmlns:ds="http://schemas.openxmlformats.org/officeDocument/2006/customXml" ds:itemID="{4F83202A-4B9E-4CA0-993D-7DE77095EE08}"/>
</file>

<file path=customXml/itemProps3.xml><?xml version="1.0" encoding="utf-8"?>
<ds:datastoreItem xmlns:ds="http://schemas.openxmlformats.org/officeDocument/2006/customXml" ds:itemID="{A75295CF-0921-4321-9BC8-2BCB61A6375D}"/>
</file>

<file path=docProps/app.xml><?xml version="1.0" encoding="utf-8"?>
<Properties xmlns="http://schemas.openxmlformats.org/officeDocument/2006/extended-properties" xmlns:vt="http://schemas.openxmlformats.org/officeDocument/2006/docPropsVTypes">
  <Template>Normal.dotm</Template>
  <TotalTime>2</TotalTime>
  <Pages>1</Pages>
  <Words>3053</Words>
  <Characters>17408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20421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5</cp:revision>
  <cp:lastPrinted>2010-04-01T10:16:00Z</cp:lastPrinted>
  <dcterms:created xsi:type="dcterms:W3CDTF">2015-03-18T16:35:00Z</dcterms:created>
  <dcterms:modified xsi:type="dcterms:W3CDTF">2015-03-18T16:35:00Z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