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61CA" w:rsidP="000361CA" w:rsidRDefault="000361CA">
      <w:pPr>
        <w:pStyle w:val="DecHTitle"/>
      </w:pPr>
      <w:bookmarkStart w:name="_GoBack" w:id="0"/>
      <w:bookmarkEnd w:id="0"/>
      <w:r w:rsidRPr="00253CBB">
        <w:t>CINQUIÈME SECTION</w:t>
      </w:r>
    </w:p>
    <w:p w:rsidRPr="00253CBB" w:rsidR="000361CA" w:rsidP="000361CA" w:rsidRDefault="000361CA">
      <w:pPr>
        <w:pStyle w:val="DecHTitle"/>
      </w:pPr>
      <w:r>
        <w:t>DÉCISION</w:t>
      </w:r>
    </w:p>
    <w:p w:rsidR="000361CA" w:rsidP="000361CA" w:rsidRDefault="000361CA">
      <w:pPr>
        <w:pStyle w:val="DecHTitle"/>
      </w:pPr>
      <w:r>
        <w:t>SUR LA RECEVABILITÉ</w:t>
      </w:r>
    </w:p>
    <w:p w:rsidR="000361CA" w:rsidP="000361CA" w:rsidRDefault="000361CA">
      <w:pPr>
        <w:pStyle w:val="DecHCase"/>
      </w:pPr>
      <w:r>
        <w:t>de la requête</w:t>
      </w:r>
      <w:r w:rsidRPr="00253CBB">
        <w:t xml:space="preserve"> n</w:t>
      </w:r>
      <w:r w:rsidRPr="00253CBB">
        <w:rPr>
          <w:vertAlign w:val="superscript"/>
        </w:rPr>
        <w:t>o</w:t>
      </w:r>
      <w:r w:rsidRPr="00253CBB">
        <w:t xml:space="preserve"> 45827/07</w:t>
      </w:r>
      <w:r w:rsidRPr="00253CBB">
        <w:br/>
        <w:t>présentée par Ma</w:t>
      </w:r>
      <w:r>
        <w:t>thieu JACQUIER</w:t>
      </w:r>
      <w:r>
        <w:br/>
        <w:t>contre la France</w:t>
      </w:r>
    </w:p>
    <w:p w:rsidR="000361CA" w:rsidP="00BC6ABC" w:rsidRDefault="000361CA">
      <w:pPr>
        <w:pStyle w:val="JuPara"/>
      </w:pPr>
      <w:r>
        <w:t>La Cour européenne des d</w:t>
      </w:r>
      <w:r w:rsidRPr="001268D6">
        <w:t>roits de l</w:t>
      </w:r>
      <w:r w:rsidR="00AA357F">
        <w:t>’</w:t>
      </w:r>
      <w:r>
        <w:t>h</w:t>
      </w:r>
      <w:r w:rsidRPr="001268D6">
        <w:t>omme</w:t>
      </w:r>
      <w:r>
        <w:t xml:space="preserve"> (cinquième section)</w:t>
      </w:r>
      <w:r w:rsidRPr="001268D6">
        <w:t xml:space="preserve">, siégeant le </w:t>
      </w:r>
      <w:r>
        <w:t>1</w:t>
      </w:r>
      <w:r w:rsidRPr="000361CA">
        <w:rPr>
          <w:vertAlign w:val="superscript"/>
        </w:rPr>
        <w:t>er</w:t>
      </w:r>
      <w:r>
        <w:t xml:space="preserve"> septembre 2009</w:t>
      </w:r>
      <w:r w:rsidRPr="001268D6">
        <w:t xml:space="preserve"> en une </w:t>
      </w:r>
      <w:r>
        <w:t>chambre</w:t>
      </w:r>
      <w:r w:rsidRPr="001268D6">
        <w:t xml:space="preserve"> composée de :</w:t>
      </w:r>
    </w:p>
    <w:p w:rsidRPr="000361CA" w:rsidR="000361CA" w:rsidP="000361CA" w:rsidRDefault="000361CA">
      <w:pPr>
        <w:tabs>
          <w:tab w:val="left" w:pos="567"/>
          <w:tab w:val="left" w:pos="1134"/>
        </w:tabs>
        <w:suppressAutoHyphens w:val="0"/>
        <w:autoSpaceDE w:val="0"/>
        <w:autoSpaceDN w:val="0"/>
        <w:adjustRightInd w:val="0"/>
        <w:rPr>
          <w:i/>
          <w:iCs/>
          <w:color w:val="000000"/>
          <w:szCs w:val="24"/>
          <w:lang w:eastAsia="en-GB"/>
        </w:rPr>
      </w:pPr>
      <w:r>
        <w:rPr>
          <w:color w:val="000000"/>
          <w:szCs w:val="24"/>
          <w:lang w:eastAsia="en-GB"/>
        </w:rPr>
        <w:tab/>
      </w:r>
      <w:r w:rsidRPr="000361CA">
        <w:rPr>
          <w:color w:val="000000"/>
          <w:szCs w:val="24"/>
          <w:lang w:eastAsia="en-GB"/>
        </w:rPr>
        <w:t>Peer Lorenzen,</w:t>
      </w:r>
      <w:r w:rsidRPr="000361CA">
        <w:rPr>
          <w:i/>
          <w:iCs/>
          <w:color w:val="000000"/>
          <w:szCs w:val="24"/>
          <w:lang w:eastAsia="en-GB"/>
        </w:rPr>
        <w:t xml:space="preserve"> président,</w:t>
      </w:r>
      <w:r w:rsidRPr="000361CA">
        <w:rPr>
          <w:i/>
          <w:iCs/>
          <w:color w:val="000000"/>
          <w:szCs w:val="24"/>
          <w:lang w:eastAsia="en-GB"/>
        </w:rPr>
        <w:br/>
      </w:r>
      <w:r w:rsidRPr="000361CA">
        <w:rPr>
          <w:i/>
          <w:iCs/>
          <w:color w:val="000000"/>
          <w:szCs w:val="24"/>
          <w:lang w:eastAsia="en-GB"/>
        </w:rPr>
        <w:tab/>
      </w:r>
      <w:r w:rsidRPr="000361CA">
        <w:rPr>
          <w:color w:val="000000"/>
          <w:szCs w:val="24"/>
          <w:lang w:eastAsia="en-GB"/>
        </w:rPr>
        <w:t>Jean-Paul Costa,</w:t>
      </w:r>
      <w:r w:rsidRPr="000361CA">
        <w:rPr>
          <w:color w:val="000000"/>
          <w:szCs w:val="24"/>
          <w:lang w:eastAsia="en-GB"/>
        </w:rPr>
        <w:br/>
      </w:r>
      <w:r w:rsidRPr="000361CA">
        <w:rPr>
          <w:color w:val="000000"/>
          <w:szCs w:val="24"/>
          <w:lang w:eastAsia="en-GB"/>
        </w:rPr>
        <w:tab/>
        <w:t>Karel Jungwiert,</w:t>
      </w:r>
      <w:r w:rsidRPr="000361CA">
        <w:rPr>
          <w:color w:val="000000"/>
          <w:szCs w:val="24"/>
          <w:lang w:eastAsia="en-GB"/>
        </w:rPr>
        <w:br/>
      </w:r>
      <w:r w:rsidRPr="000361CA">
        <w:rPr>
          <w:color w:val="000000"/>
          <w:szCs w:val="24"/>
          <w:lang w:eastAsia="en-GB"/>
        </w:rPr>
        <w:tab/>
        <w:t>Rait Maruste,</w:t>
      </w:r>
      <w:r w:rsidRPr="000361CA">
        <w:rPr>
          <w:color w:val="000000"/>
          <w:szCs w:val="24"/>
          <w:lang w:eastAsia="en-GB"/>
        </w:rPr>
        <w:br/>
      </w:r>
      <w:r w:rsidRPr="000361CA">
        <w:rPr>
          <w:color w:val="000000"/>
          <w:szCs w:val="24"/>
          <w:lang w:eastAsia="en-GB"/>
        </w:rPr>
        <w:tab/>
        <w:t>Mark Villiger,</w:t>
      </w:r>
      <w:r w:rsidRPr="000361CA">
        <w:rPr>
          <w:color w:val="000000"/>
          <w:szCs w:val="24"/>
          <w:lang w:eastAsia="en-GB"/>
        </w:rPr>
        <w:br/>
      </w:r>
      <w:r w:rsidRPr="000361CA">
        <w:rPr>
          <w:color w:val="000000"/>
          <w:szCs w:val="24"/>
          <w:lang w:eastAsia="en-GB"/>
        </w:rPr>
        <w:tab/>
        <w:t>Isabelle Berro-Lefèvre,</w:t>
      </w:r>
      <w:r w:rsidRPr="000361CA">
        <w:rPr>
          <w:color w:val="000000"/>
          <w:szCs w:val="24"/>
          <w:lang w:eastAsia="en-GB"/>
        </w:rPr>
        <w:br/>
      </w:r>
      <w:r w:rsidRPr="000361CA">
        <w:rPr>
          <w:color w:val="000000"/>
          <w:szCs w:val="24"/>
          <w:lang w:eastAsia="en-GB"/>
        </w:rPr>
        <w:tab/>
        <w:t>Mirjana Lazarova Trajkovska,</w:t>
      </w:r>
      <w:r w:rsidRPr="000361CA">
        <w:rPr>
          <w:i/>
          <w:iCs/>
          <w:color w:val="000000"/>
          <w:szCs w:val="24"/>
          <w:lang w:eastAsia="en-GB"/>
        </w:rPr>
        <w:t xml:space="preserve"> juges,</w:t>
      </w:r>
    </w:p>
    <w:p w:rsidRPr="000361CA" w:rsidR="000361CA" w:rsidRDefault="000361CA">
      <w:pPr>
        <w:pStyle w:val="JuJudges"/>
        <w:rPr>
          <w:i/>
        </w:rPr>
      </w:pPr>
      <w:r>
        <w:t>et de </w:t>
      </w:r>
      <w:r>
        <w:rPr>
          <w:color w:val="000000"/>
        </w:rPr>
        <w:t>Claudia Westerdiek</w:t>
      </w:r>
      <w:r>
        <w:t xml:space="preserve">, </w:t>
      </w:r>
      <w:r>
        <w:rPr>
          <w:i/>
        </w:rPr>
        <w:t>greffière,</w:t>
      </w:r>
    </w:p>
    <w:p w:rsidRPr="001268D6" w:rsidR="000361CA" w:rsidP="00BC6ABC" w:rsidRDefault="000361CA">
      <w:pPr>
        <w:pStyle w:val="JuPara"/>
      </w:pPr>
      <w:r w:rsidRPr="001268D6">
        <w:t xml:space="preserve">Vu la requête susmentionnée introduite le </w:t>
      </w:r>
      <w:r>
        <w:t>12 octobre 2007</w:t>
      </w:r>
      <w:r w:rsidRPr="001268D6">
        <w:t>,</w:t>
      </w:r>
    </w:p>
    <w:p w:rsidR="000361CA" w:rsidP="00BC6ABC" w:rsidRDefault="000361CA">
      <w:pPr>
        <w:pStyle w:val="JuPara"/>
      </w:pPr>
      <w:r w:rsidRPr="001268D6">
        <w:t>Après en avoir délibéré</w:t>
      </w:r>
      <w:r>
        <w:t>,</w:t>
      </w:r>
      <w:r w:rsidRPr="001268D6">
        <w:t xml:space="preserve"> </w:t>
      </w:r>
      <w:r>
        <w:t>rend la décision suivante :</w:t>
      </w:r>
    </w:p>
    <w:p w:rsidRPr="00253CBB" w:rsidR="000361CA" w:rsidP="000361CA" w:rsidRDefault="000361CA">
      <w:pPr>
        <w:pStyle w:val="JuHHead"/>
      </w:pPr>
      <w:r w:rsidRPr="00253CBB">
        <w:t>EN FAIT</w:t>
      </w:r>
    </w:p>
    <w:p w:rsidRPr="00253CBB" w:rsidR="000361CA" w:rsidP="000361CA" w:rsidRDefault="000361CA">
      <w:pPr>
        <w:pStyle w:val="JuPara"/>
      </w:pPr>
      <w:r w:rsidRPr="00253CBB">
        <w:t>Le requérant, M. Mathieu Jacquier, est u</w:t>
      </w:r>
      <w:r>
        <w:t>n ressortissant français, né en </w:t>
      </w:r>
      <w:r w:rsidRPr="00253CBB">
        <w:t>1975 et résidant à Marseille.</w:t>
      </w:r>
    </w:p>
    <w:p w:rsidRPr="00253CBB" w:rsidR="000361CA" w:rsidP="000361CA" w:rsidRDefault="000361CA">
      <w:pPr>
        <w:pStyle w:val="JuHA"/>
      </w:pPr>
      <w:r w:rsidRPr="00253CBB">
        <w:t>A.  Les circonstances de l</w:t>
      </w:r>
      <w:r w:rsidR="00AA357F">
        <w:t>’</w:t>
      </w:r>
      <w:r w:rsidRPr="00253CBB">
        <w:t>espèce</w:t>
      </w:r>
    </w:p>
    <w:p w:rsidRPr="00253CBB" w:rsidR="000361CA" w:rsidP="000361CA" w:rsidRDefault="000361CA">
      <w:pPr>
        <w:pStyle w:val="JuPara"/>
      </w:pPr>
      <w:r w:rsidRPr="00253CBB">
        <w:t>Les faits de la cause, tels qu</w:t>
      </w:r>
      <w:r w:rsidR="00AA357F">
        <w:t>’</w:t>
      </w:r>
      <w:r w:rsidRPr="00253CBB">
        <w:t>ils ont été exposés par le requérant, peuvent se résumer comme suit.</w:t>
      </w:r>
    </w:p>
    <w:p w:rsidR="000361CA" w:rsidP="000361CA" w:rsidRDefault="000361CA">
      <w:pPr>
        <w:pStyle w:val="JuPara"/>
      </w:pPr>
      <w:r w:rsidRPr="00253CBB">
        <w:t>Le requérant est un avocat inscrit au B</w:t>
      </w:r>
      <w:r>
        <w:t>arreau de Marseille. En janvier </w:t>
      </w:r>
      <w:r w:rsidRPr="00253CBB">
        <w:t>2007, il prit en charge les intérêts d</w:t>
      </w:r>
      <w:r w:rsidR="00AA357F">
        <w:t>’</w:t>
      </w:r>
      <w:r w:rsidRPr="00253CBB">
        <w:t>un client, X, qui avait fait l</w:t>
      </w:r>
      <w:r w:rsidR="00AA357F">
        <w:t>’</w:t>
      </w:r>
      <w:r w:rsidRPr="00253CBB">
        <w:t>objet d</w:t>
      </w:r>
      <w:r w:rsidR="00AA357F">
        <w:t>’</w:t>
      </w:r>
      <w:r w:rsidRPr="00253CBB">
        <w:t xml:space="preserve">une </w:t>
      </w:r>
      <w:r w:rsidRPr="000361CA">
        <w:rPr>
          <w:color w:val="000000"/>
        </w:rPr>
        <w:t>plainte pour coups et blessures déposée par M</w:t>
      </w:r>
      <w:r w:rsidRPr="000361CA">
        <w:rPr>
          <w:color w:val="000000"/>
          <w:vertAlign w:val="superscript"/>
        </w:rPr>
        <w:t>me</w:t>
      </w:r>
      <w:r w:rsidRPr="000361CA">
        <w:rPr>
          <w:color w:val="000000"/>
        </w:rPr>
        <w:t xml:space="preserve"> M. A.</w:t>
      </w:r>
      <w:r>
        <w:rPr>
          <w:color w:val="000000"/>
        </w:rPr>
        <w:t xml:space="preserve"> épouse </w:t>
      </w:r>
      <w:r w:rsidRPr="000361CA">
        <w:rPr>
          <w:color w:val="000000"/>
        </w:rPr>
        <w:t>C. Parti</w:t>
      </w:r>
      <w:r w:rsidRPr="00253CBB">
        <w:t xml:space="preserve"> plusieurs mois dans son pays d</w:t>
      </w:r>
      <w:r w:rsidR="00AA357F">
        <w:t>’</w:t>
      </w:r>
      <w:r w:rsidRPr="00253CBB">
        <w:t>origin</w:t>
      </w:r>
      <w:r>
        <w:t>e en raison de cette plainte, X </w:t>
      </w:r>
      <w:r w:rsidRPr="00253CBB">
        <w:t>souhaita dans un premier temps obtenir des informations sur les suites de cette procédure.</w:t>
      </w:r>
    </w:p>
    <w:p w:rsidRPr="00253CBB" w:rsidR="000361CA" w:rsidP="000361CA" w:rsidRDefault="000361CA">
      <w:pPr>
        <w:pStyle w:val="JuPara"/>
      </w:pPr>
      <w:r w:rsidRPr="00253CBB">
        <w:t>En sa qualité d</w:t>
      </w:r>
      <w:r w:rsidR="00AA357F">
        <w:t>’</w:t>
      </w:r>
      <w:r w:rsidRPr="00253CBB">
        <w:t>avocat de X, le requérant écrivit au Casier judiciaire national, ainsi qu</w:t>
      </w:r>
      <w:r w:rsidR="00AA357F">
        <w:t>’</w:t>
      </w:r>
      <w:r w:rsidRPr="00253CBB">
        <w:t>aux services d</w:t>
      </w:r>
      <w:r w:rsidR="00AA357F">
        <w:t>’</w:t>
      </w:r>
      <w:r w:rsidRPr="00253CBB">
        <w:t>état civil de la commune de naissance de son client. Il lui fut répondu que ce dernier n</w:t>
      </w:r>
      <w:r w:rsidR="00AA357F">
        <w:t>’</w:t>
      </w:r>
      <w:r w:rsidRPr="00253CBB">
        <w:t>avait jamais été condamné et que son état civil n</w:t>
      </w:r>
      <w:r w:rsidR="00AA357F">
        <w:t>’</w:t>
      </w:r>
      <w:r w:rsidRPr="00253CBB">
        <w:t>avait pas été modifié. Le requérant transmit ces informations à son client au cours d</w:t>
      </w:r>
      <w:r w:rsidR="00AA357F">
        <w:t>’</w:t>
      </w:r>
      <w:r w:rsidRPr="00253CBB">
        <w:t>un rendez-vous en février 2007. Il fut convenu de garder le dossier ouvert dans l</w:t>
      </w:r>
      <w:r w:rsidR="00AA357F">
        <w:t>’</w:t>
      </w:r>
      <w:r w:rsidRPr="00253CBB">
        <w:t>attente d</w:t>
      </w:r>
      <w:r w:rsidR="00AA357F">
        <w:t>’</w:t>
      </w:r>
      <w:r>
        <w:t>éventuelles</w:t>
      </w:r>
      <w:r w:rsidRPr="00253CBB">
        <w:t xml:space="preserve"> suites judiciaires.</w:t>
      </w:r>
    </w:p>
    <w:p w:rsidRPr="00253CBB" w:rsidR="000361CA" w:rsidP="000361CA" w:rsidRDefault="000361CA">
      <w:pPr>
        <w:pStyle w:val="JuPara"/>
      </w:pPr>
      <w:r w:rsidRPr="00253CBB">
        <w:t>Le 13 avril 2007 vers 8 h 45, alors qu</w:t>
      </w:r>
      <w:r w:rsidR="00AA357F">
        <w:t>’</w:t>
      </w:r>
      <w:r w:rsidRPr="00253CBB">
        <w:t xml:space="preserve">il sortait du palais de justice, le </w:t>
      </w:r>
      <w:r w:rsidRPr="000361CA">
        <w:rPr>
          <w:color w:val="000000"/>
        </w:rPr>
        <w:t>requérant fut abordé par M</w:t>
      </w:r>
      <w:r w:rsidRPr="000361CA">
        <w:rPr>
          <w:color w:val="000000"/>
          <w:vertAlign w:val="superscript"/>
        </w:rPr>
        <w:t>me</w:t>
      </w:r>
      <w:r w:rsidRPr="000361CA">
        <w:rPr>
          <w:color w:val="000000"/>
        </w:rPr>
        <w:t xml:space="preserve"> AG., juge d</w:t>
      </w:r>
      <w:r w:rsidR="00AA357F">
        <w:rPr>
          <w:color w:val="000000"/>
        </w:rPr>
        <w:t>’</w:t>
      </w:r>
      <w:r w:rsidRPr="000361CA">
        <w:rPr>
          <w:color w:val="000000"/>
        </w:rPr>
        <w:t>instruction chargée du dossier</w:t>
      </w:r>
      <w:r w:rsidRPr="00253CBB">
        <w:t xml:space="preserve"> visant les faits de coups et blessures repro</w:t>
      </w:r>
      <w:r>
        <w:t xml:space="preserve">chés à X, qui </w:t>
      </w:r>
      <w:r w:rsidRPr="00253CBB">
        <w:t>lui demanda de la suivre afin de procéder à une perquisition à son cabinet.</w:t>
      </w:r>
    </w:p>
    <w:p w:rsidRPr="000361CA" w:rsidR="000361CA" w:rsidP="000361CA" w:rsidRDefault="000361CA">
      <w:pPr>
        <w:pStyle w:val="JuPara"/>
        <w:rPr>
          <w:color w:val="000000"/>
        </w:rPr>
      </w:pPr>
      <w:r w:rsidRPr="00253CBB">
        <w:t>La perquisition se déroula en présence du juge d</w:t>
      </w:r>
      <w:r w:rsidR="00AA357F">
        <w:t>’</w:t>
      </w:r>
      <w:r w:rsidRPr="00253CBB">
        <w:t>instruction, de son greffier, de deux policiers en civils mandatés par le magistrat et du bâtonnier de l</w:t>
      </w:r>
      <w:r w:rsidR="00AA357F">
        <w:t>’</w:t>
      </w:r>
      <w:r w:rsidRPr="00253CBB">
        <w:t>Ordre des avocats du Barreau de Marseille. La perquisition visait « la recherche par tout moyen de tous éléments permettant de localiser [X] », la juge d</w:t>
      </w:r>
      <w:r w:rsidR="00AA357F">
        <w:t>’</w:t>
      </w:r>
      <w:r w:rsidRPr="00253CBB">
        <w:t xml:space="preserve">instruction ayant été informée de la démarche du requérant </w:t>
      </w:r>
      <w:r w:rsidRPr="000361CA">
        <w:rPr>
          <w:color w:val="000000"/>
        </w:rPr>
        <w:t>auprès du Casier judiciaire national par ce dernier.</w:t>
      </w:r>
    </w:p>
    <w:p w:rsidRPr="00253CBB" w:rsidR="000361CA" w:rsidP="000361CA" w:rsidRDefault="000361CA">
      <w:pPr>
        <w:pStyle w:val="JuPara"/>
      </w:pPr>
      <w:r w:rsidRPr="00253CBB">
        <w:t>Sur indications données par le requérant, la juge consulta une pochette contenant des documents relatifs à plusieurs dossiers en attente, dont celui de X. Elle décida de saisir les documents suivants : les lettres envoyées par le requérant au Casier judiciaire national et aux services d</w:t>
      </w:r>
      <w:r w:rsidR="00AA357F">
        <w:t>’</w:t>
      </w:r>
      <w:r w:rsidRPr="00253CBB">
        <w:t>état civil de la commune de naissance de X ; une lettre</w:t>
      </w:r>
      <w:r>
        <w:t>-</w:t>
      </w:r>
      <w:r w:rsidRPr="00253CBB">
        <w:t>type rédigée par le requérant pour X</w:t>
      </w:r>
      <w:r>
        <w:t>,</w:t>
      </w:r>
      <w:r w:rsidRPr="00253CBB">
        <w:t xml:space="preserve"> sollicitant une copie de son acte de mariage, lettre que X n</w:t>
      </w:r>
      <w:r w:rsidR="00AA357F">
        <w:t>’</w:t>
      </w:r>
      <w:r w:rsidRPr="00253CBB">
        <w:t>avait pas souhaité envoyer pour ne pas déclarer son adresse ; une feuille manuscrite rédigée par le requérant</w:t>
      </w:r>
      <w:r>
        <w:t>,</w:t>
      </w:r>
      <w:r w:rsidRPr="00253CBB">
        <w:t xml:space="preserve"> comportant l</w:t>
      </w:r>
      <w:r w:rsidR="00AA357F">
        <w:t>’</w:t>
      </w:r>
      <w:r w:rsidRPr="00253CBB">
        <w:t>adresse du bureau des étrangers de Marseille, ainsi que les numéros de téléphone des membre</w:t>
      </w:r>
      <w:r>
        <w:t>s</w:t>
      </w:r>
      <w:r w:rsidRPr="00253CBB">
        <w:t xml:space="preserve"> de la famille de son client.</w:t>
      </w:r>
    </w:p>
    <w:p w:rsidRPr="00253CBB" w:rsidR="000361CA" w:rsidP="000361CA" w:rsidRDefault="000361CA">
      <w:pPr>
        <w:pStyle w:val="JuPara"/>
      </w:pPr>
      <w:r w:rsidRPr="00253CBB">
        <w:t>Le bâtonnier ne s</w:t>
      </w:r>
      <w:r w:rsidR="00AA357F">
        <w:t>’</w:t>
      </w:r>
      <w:r w:rsidRPr="00253CBB">
        <w:t>opposa pas à cette saisie, estimant que les documents concernés n</w:t>
      </w:r>
      <w:r w:rsidR="00AA357F">
        <w:t>’</w:t>
      </w:r>
      <w:r w:rsidRPr="00253CBB">
        <w:t>étaient pas couverts par le secret professionnel.</w:t>
      </w:r>
    </w:p>
    <w:p w:rsidRPr="00253CBB" w:rsidR="000361CA" w:rsidP="000361CA" w:rsidRDefault="000361CA">
      <w:pPr>
        <w:pStyle w:val="JuHA"/>
      </w:pPr>
      <w:r w:rsidRPr="00253CBB">
        <w:t>B.  Le droit interne pertinent</w:t>
      </w:r>
    </w:p>
    <w:p w:rsidRPr="001F493A" w:rsidR="000361CA" w:rsidP="000361CA" w:rsidRDefault="00154C6A">
      <w:pPr>
        <w:pStyle w:val="JuPara"/>
        <w:rPr>
          <w:rStyle w:val="JuParaCar"/>
        </w:rPr>
      </w:pPr>
      <w:r>
        <w:rPr>
          <w:rStyle w:val="JuH1Char"/>
          <w:i w:val="0"/>
        </w:rPr>
        <w:t>1.</w:t>
      </w:r>
      <w:r>
        <w:rPr>
          <w:rStyle w:val="JuParaCar"/>
        </w:rPr>
        <w:t>  </w:t>
      </w:r>
      <w:r w:rsidRPr="001F493A" w:rsidR="000361CA">
        <w:rPr>
          <w:rStyle w:val="JuParaCar"/>
        </w:rPr>
        <w:t>Les dispositions des articles 56, 56-1, 57 et 59 du code de procédure pénale, telles qu</w:t>
      </w:r>
      <w:r w:rsidR="00AA357F">
        <w:rPr>
          <w:rStyle w:val="JuParaCar"/>
        </w:rPr>
        <w:t>’</w:t>
      </w:r>
      <w:r w:rsidRPr="001F493A" w:rsidR="000361CA">
        <w:rPr>
          <w:rStyle w:val="JuParaCar"/>
        </w:rPr>
        <w:t>applicables à l</w:t>
      </w:r>
      <w:r w:rsidR="00AA357F">
        <w:rPr>
          <w:rStyle w:val="JuParaCar"/>
        </w:rPr>
        <w:t>’</w:t>
      </w:r>
      <w:r w:rsidRPr="001F493A" w:rsidR="000361CA">
        <w:rPr>
          <w:rStyle w:val="JuParaCar"/>
        </w:rPr>
        <w:t>époque des faits, se lisent comme suit :</w:t>
      </w:r>
    </w:p>
    <w:p w:rsidRPr="00253CBB" w:rsidR="000361CA" w:rsidP="000361CA" w:rsidRDefault="000361CA">
      <w:pPr>
        <w:pStyle w:val="JuHArticle"/>
      </w:pPr>
      <w:r w:rsidRPr="00253CBB">
        <w:t>Article 56</w:t>
      </w:r>
    </w:p>
    <w:p w:rsidR="000361CA" w:rsidP="000361CA" w:rsidRDefault="000361CA">
      <w:pPr>
        <w:pStyle w:val="JuQuot"/>
      </w:pPr>
      <w:r w:rsidRPr="00253CBB">
        <w:t>« Si la nature du crime est telle que la preuve en puisse être acquise par la saisie des papiers, documents, données informatiques ou autres objets en la possession des personnes qui paraissent avoir participé au crime ou détenir des pièces, informations ou objets relatifs aux faits incriminés, l</w:t>
      </w:r>
      <w:r w:rsidR="00AA357F">
        <w:t>’</w:t>
      </w:r>
      <w:r w:rsidRPr="00253CBB">
        <w:t>officier de police judiciaire se transporte sans désemparer au domicile de ces derniers pour y procéder à une perquisition dont il dresse procès-verbal.</w:t>
      </w:r>
    </w:p>
    <w:p w:rsidR="000361CA" w:rsidP="000361CA" w:rsidRDefault="000361CA">
      <w:pPr>
        <w:pStyle w:val="JuQuot"/>
      </w:pPr>
      <w:r w:rsidRPr="00253CBB">
        <w:t>Il a seul, avec les personnes désignées à l</w:t>
      </w:r>
      <w:r w:rsidR="00AA357F">
        <w:t>’</w:t>
      </w:r>
      <w:r w:rsidRPr="00253CBB">
        <w:t>article 57 et celles auxquelles il a éventuellement recours en application de l</w:t>
      </w:r>
      <w:r w:rsidR="00AA357F">
        <w:t>’</w:t>
      </w:r>
      <w:r w:rsidRPr="00253CBB">
        <w:t>article 60, le droit de prendre connaissance des papiers, documents ou données informatiques avant de procéder à leur saisie.</w:t>
      </w:r>
    </w:p>
    <w:p w:rsidR="000361CA" w:rsidP="000361CA" w:rsidRDefault="000361CA">
      <w:pPr>
        <w:pStyle w:val="JuQuot"/>
      </w:pPr>
      <w:r w:rsidRPr="00253CBB">
        <w:t>Toutefois, il a l</w:t>
      </w:r>
      <w:r w:rsidR="00AA357F">
        <w:t>’</w:t>
      </w:r>
      <w:r w:rsidRPr="00253CBB">
        <w:t>obligation de provoquer préalablement toutes mesures utiles pour que soit assuré le respect du secret professionnel et des droits de la défense.</w:t>
      </w:r>
    </w:p>
    <w:p w:rsidRPr="00253CBB" w:rsidR="000361CA" w:rsidP="000361CA" w:rsidRDefault="000361CA">
      <w:pPr>
        <w:pStyle w:val="JuQuot"/>
      </w:pPr>
      <w:r>
        <w:t>(...) »</w:t>
      </w:r>
    </w:p>
    <w:p w:rsidRPr="00253CBB" w:rsidR="000361CA" w:rsidP="000361CA" w:rsidRDefault="000361CA">
      <w:pPr>
        <w:pStyle w:val="JuHArticle"/>
      </w:pPr>
      <w:r w:rsidRPr="00253CBB">
        <w:t>Article 56-1</w:t>
      </w:r>
    </w:p>
    <w:p w:rsidR="000361CA" w:rsidP="000361CA" w:rsidRDefault="000361CA">
      <w:pPr>
        <w:pStyle w:val="JuQuot"/>
      </w:pPr>
      <w:r w:rsidRPr="00253CBB">
        <w:t>« Les perquisitions dans le cabinet d</w:t>
      </w:r>
      <w:r w:rsidR="00AA357F">
        <w:t>’</w:t>
      </w:r>
      <w:r w:rsidRPr="00253CBB">
        <w:t>un avocat ou à son domicile ne peuvent être effectuées que par un magistrat et en présence du bâtonnier ou de son délégué, à la suite d</w:t>
      </w:r>
      <w:r w:rsidR="00AA357F">
        <w:t>’</w:t>
      </w:r>
      <w:r w:rsidRPr="00253CBB">
        <w:t>une décision écrite et motivée prise par ce magistrat, qui indique la nature de l</w:t>
      </w:r>
      <w:r w:rsidR="00AA357F">
        <w:t>’</w:t>
      </w:r>
      <w:r w:rsidRPr="00253CBB">
        <w:t>infraction ou des infractions sur lesquelles portent les investigations, les raisons justifiant la perquisition et l</w:t>
      </w:r>
      <w:r w:rsidR="00AA357F">
        <w:t>’</w:t>
      </w:r>
      <w:r w:rsidRPr="00253CBB">
        <w:t>objet de celle-ci. Le contenu de cette décision est porté dès le début de la perquisition à la connaissance du bâtonnier ou de son délégué par le magistrat. Celui-ci et le bâtonnier ou son délégué ont seuls le droit de consulter ou de prendre connaissance des documents se trouvant sur les lieux préalablement à leur éventuelle saisie. Aucune saisie ne peut concerner des documents relatifs à d</w:t>
      </w:r>
      <w:r w:rsidR="00AA357F">
        <w:t>’</w:t>
      </w:r>
      <w:r w:rsidRPr="00253CBB">
        <w:t>autres infractions que celles mentionnées dans la décision précitée. Les dispositions du présent alinéa sont édictées à peine de nullité.</w:t>
      </w:r>
    </w:p>
    <w:p w:rsidR="000361CA" w:rsidP="000361CA" w:rsidRDefault="000361CA">
      <w:pPr>
        <w:pStyle w:val="JuQuot"/>
      </w:pPr>
      <w:r w:rsidRPr="00253CBB">
        <w:t>Le magistrat qui effectue la perquisition veille à ce que les investigations conduites ne portent pas atteinte au libre exercice de la profession d</w:t>
      </w:r>
      <w:r w:rsidR="00AA357F">
        <w:t>’</w:t>
      </w:r>
      <w:r w:rsidRPr="00253CBB">
        <w:t>avocat.</w:t>
      </w:r>
    </w:p>
    <w:p w:rsidR="000361CA" w:rsidP="000361CA" w:rsidRDefault="000361CA">
      <w:pPr>
        <w:pStyle w:val="JuQuot"/>
      </w:pPr>
      <w:r w:rsidRPr="00253CBB">
        <w:t>Le bâtonnier ou son délégué peut s</w:t>
      </w:r>
      <w:r w:rsidR="00AA357F">
        <w:t>’</w:t>
      </w:r>
      <w:r w:rsidRPr="00253CBB">
        <w:t>opposer à la saisie d</w:t>
      </w:r>
      <w:r w:rsidR="00AA357F">
        <w:t>’</w:t>
      </w:r>
      <w:r w:rsidRPr="00253CBB">
        <w:t>un document à laquelle le magistrat a l</w:t>
      </w:r>
      <w:r w:rsidR="00AA357F">
        <w:t>’</w:t>
      </w:r>
      <w:r w:rsidRPr="00253CBB">
        <w:t>intention de procéder s</w:t>
      </w:r>
      <w:r w:rsidR="00AA357F">
        <w:t>’</w:t>
      </w:r>
      <w:r w:rsidRPr="00253CBB">
        <w:t>il estime que cette saisie serait irrégulière. Le document doit alors être placé sous scellé fermé. Ces opérations font l</w:t>
      </w:r>
      <w:r w:rsidR="00AA357F">
        <w:t>’</w:t>
      </w:r>
      <w:r w:rsidRPr="00253CBB">
        <w:t>objet d</w:t>
      </w:r>
      <w:r w:rsidR="00AA357F">
        <w:t>’</w:t>
      </w:r>
      <w:r w:rsidRPr="00253CBB">
        <w:t>un procès-verbal mentionnant les objections du bâtonnier ou de son délégué, qui n</w:t>
      </w:r>
      <w:r w:rsidR="00AA357F">
        <w:t>’</w:t>
      </w:r>
      <w:r w:rsidRPr="00253CBB">
        <w:t>est pas joint au dossier de la procédure. Si d</w:t>
      </w:r>
      <w:r w:rsidR="00AA357F">
        <w:t>’</w:t>
      </w:r>
      <w:r w:rsidRPr="00253CBB">
        <w:t>autres documents ont été saisis au cours de la perquisition sans soulever de contestation, ce procès-verbal est distinct de celui prévu par l</w:t>
      </w:r>
      <w:r w:rsidR="00AA357F">
        <w:t>’</w:t>
      </w:r>
      <w:r w:rsidRPr="00253CBB">
        <w:t>article 57. Ce procès-verbal ainsi que le document placé sous scellé fermé sont transmis sans délai au juge des libertés et de la détention, avec l</w:t>
      </w:r>
      <w:r w:rsidR="00AA357F">
        <w:t>’</w:t>
      </w:r>
      <w:r w:rsidRPr="00253CBB">
        <w:t>original ou une copie du dossier de la procédure.</w:t>
      </w:r>
    </w:p>
    <w:p w:rsidR="000361CA" w:rsidP="000361CA" w:rsidRDefault="000361CA">
      <w:pPr>
        <w:pStyle w:val="JuQuot"/>
      </w:pPr>
      <w:r w:rsidRPr="00253CBB">
        <w:t>Dans les cinq jours de la réception de ces pièces, le juge des libertés et de la détention statue sur la contestation par ordonnance motivée non susceptible de recours.</w:t>
      </w:r>
    </w:p>
    <w:p w:rsidR="000361CA" w:rsidP="000361CA" w:rsidRDefault="000361CA">
      <w:pPr>
        <w:pStyle w:val="JuQuot"/>
      </w:pPr>
      <w:r w:rsidRPr="00253CBB">
        <w:t>A cette fin, il entend le magistrat qui a procédé à la perquisition et, le cas échéant, le procureur de la République, ainsi que l</w:t>
      </w:r>
      <w:r w:rsidR="00AA357F">
        <w:t>’</w:t>
      </w:r>
      <w:r w:rsidRPr="00253CBB">
        <w:t>avocat au cabinet ou au domicile duquel elle a été effectuée et le bâtonnier ou son délégué. Il peut ouvrir le scellé en présence de ces personnes.</w:t>
      </w:r>
    </w:p>
    <w:p w:rsidR="000361CA" w:rsidP="000361CA" w:rsidRDefault="000361CA">
      <w:pPr>
        <w:pStyle w:val="JuQuot"/>
      </w:pPr>
      <w:r w:rsidRPr="00253CBB">
        <w:t>S</w:t>
      </w:r>
      <w:r w:rsidR="00AA357F">
        <w:t>’</w:t>
      </w:r>
      <w:r w:rsidRPr="00253CBB">
        <w:t>il estime qu</w:t>
      </w:r>
      <w:r w:rsidR="00AA357F">
        <w:t>’</w:t>
      </w:r>
      <w:r w:rsidRPr="00253CBB">
        <w:t>il n</w:t>
      </w:r>
      <w:r w:rsidR="00AA357F">
        <w:t>’</w:t>
      </w:r>
      <w:r w:rsidRPr="00253CBB">
        <w:t>y a pas lieu à saisir le document, le juge des libertés et de la détention ordonne sa restitution immédiate, ainsi que la destruction du procès-verbal des opérations et, le cas échéant, la cancellation de toute référence à ce document ou à son contenu qui figurerait dans le dossier de la procédure.</w:t>
      </w:r>
    </w:p>
    <w:p w:rsidR="000361CA" w:rsidP="000361CA" w:rsidRDefault="000361CA">
      <w:pPr>
        <w:pStyle w:val="JuQuot"/>
      </w:pPr>
      <w:r w:rsidRPr="00253CBB">
        <w:t>Dans le cas contraire, il ordonne le versement du scellé et du procès-verbal au dossier de la procédure. Cette décision n</w:t>
      </w:r>
      <w:r w:rsidR="00AA357F">
        <w:t>’</w:t>
      </w:r>
      <w:r w:rsidRPr="00253CBB">
        <w:t>exclut pas la possibilité ultérieure pour les parties de demander la nullité de la saisie devant, selon les cas, la juridiction de jugement ou la chambre de l</w:t>
      </w:r>
      <w:r w:rsidR="00AA357F">
        <w:t>’</w:t>
      </w:r>
      <w:r w:rsidRPr="00253CBB">
        <w:t>instruction.</w:t>
      </w:r>
    </w:p>
    <w:p w:rsidRPr="00253CBB" w:rsidR="000361CA" w:rsidP="000361CA" w:rsidRDefault="000361CA">
      <w:pPr>
        <w:pStyle w:val="JuQuot"/>
      </w:pPr>
      <w:r>
        <w:t>(...)</w:t>
      </w:r>
      <w:r w:rsidRPr="00253CBB">
        <w:t xml:space="preserve">  »</w:t>
      </w:r>
    </w:p>
    <w:p w:rsidRPr="001F493A" w:rsidR="000361CA" w:rsidP="000361CA" w:rsidRDefault="000361CA">
      <w:pPr>
        <w:pStyle w:val="JuHArticle"/>
      </w:pPr>
      <w:r w:rsidRPr="001F493A">
        <w:t>Article 57</w:t>
      </w:r>
    </w:p>
    <w:p w:rsidR="000361CA" w:rsidP="000361CA" w:rsidRDefault="000361CA">
      <w:pPr>
        <w:pStyle w:val="JuQuot"/>
      </w:pPr>
      <w:r w:rsidRPr="00253CBB">
        <w:t>« Sous réserve de ce qui est dit à l</w:t>
      </w:r>
      <w:r w:rsidR="00AA357F">
        <w:t>’</w:t>
      </w:r>
      <w:r w:rsidRPr="00253CBB">
        <w:t>article précédent [art. 56] concernant le respect du secret professionnel et des droits de la défense, les opérations prescrites par ledit article sont faites en présence de la personne au domicile de laquelle la perquisition a lieu.</w:t>
      </w:r>
    </w:p>
    <w:p w:rsidR="000361CA" w:rsidP="000361CA" w:rsidRDefault="000361CA">
      <w:pPr>
        <w:pStyle w:val="JuQuot"/>
      </w:pPr>
      <w:r w:rsidRPr="00253CBB">
        <w:t>En cas d</w:t>
      </w:r>
      <w:r w:rsidR="00AA357F">
        <w:t>’</w:t>
      </w:r>
      <w:r w:rsidRPr="00253CBB">
        <w:t>impossibilité, l</w:t>
      </w:r>
      <w:r w:rsidR="00AA357F">
        <w:t>’</w:t>
      </w:r>
      <w:r w:rsidRPr="00253CBB">
        <w:t>officier de police judiciaire aura l</w:t>
      </w:r>
      <w:r w:rsidR="00AA357F">
        <w:t>’</w:t>
      </w:r>
      <w:r w:rsidRPr="00253CBB">
        <w:t>obligation de l</w:t>
      </w:r>
      <w:r w:rsidR="00AA357F">
        <w:t>’</w:t>
      </w:r>
      <w:r w:rsidRPr="00253CBB">
        <w:t>inviter à désigner un représentant de son choix ; à défaut, l</w:t>
      </w:r>
      <w:r w:rsidR="00AA357F">
        <w:t>’</w:t>
      </w:r>
      <w:r w:rsidRPr="00253CBB">
        <w:t>officier de police judiciaire choisira deux témoins requis à cet effet par lui, en dehors des personnes relevant de son autorité administrative.</w:t>
      </w:r>
    </w:p>
    <w:p w:rsidR="000361CA" w:rsidP="000361CA" w:rsidRDefault="000361CA">
      <w:pPr>
        <w:pStyle w:val="JuQuot"/>
      </w:pPr>
      <w:r w:rsidRPr="00253CBB">
        <w:t>Le procès-verbal de ces opérations, dressé ainsi qu</w:t>
      </w:r>
      <w:r w:rsidR="00AA357F">
        <w:t>’</w:t>
      </w:r>
      <w:r w:rsidRPr="00253CBB">
        <w:t>il est dit à l</w:t>
      </w:r>
      <w:r w:rsidR="00AA357F">
        <w:t>’</w:t>
      </w:r>
      <w:r w:rsidRPr="00253CBB">
        <w:t>article 66, est signé par les personnes visées au présent article ; au cas de refus, il en est fait mention au procès-verbal. »</w:t>
      </w:r>
    </w:p>
    <w:p w:rsidRPr="001F493A" w:rsidR="000361CA" w:rsidP="000361CA" w:rsidRDefault="000361CA">
      <w:pPr>
        <w:pStyle w:val="JuHArticle"/>
      </w:pPr>
      <w:r w:rsidRPr="001F493A">
        <w:t>Article 59</w:t>
      </w:r>
    </w:p>
    <w:p w:rsidR="000361CA" w:rsidP="000361CA" w:rsidRDefault="000361CA">
      <w:pPr>
        <w:pStyle w:val="JuQuot"/>
      </w:pPr>
      <w:r w:rsidRPr="00253CBB">
        <w:t>« Sauf réclamation faite de l</w:t>
      </w:r>
      <w:r w:rsidR="00AA357F">
        <w:t>’</w:t>
      </w:r>
      <w:r w:rsidRPr="00253CBB">
        <w:t>intérieur de la maison ou exceptions prévues par la loi, les perquisitions et les visites domiciliaires ne peuvent être commencées avant 6 heures et après 21 heures.</w:t>
      </w:r>
    </w:p>
    <w:p w:rsidRPr="00253CBB" w:rsidR="000361CA" w:rsidP="000361CA" w:rsidRDefault="000361CA">
      <w:pPr>
        <w:pStyle w:val="JuQuot"/>
      </w:pPr>
      <w:r w:rsidRPr="00253CBB">
        <w:t>Les formalités mentionnées aux articles 56, 56-1, 57 et au présent article sont prescrites à peine de nullité. »</w:t>
      </w:r>
    </w:p>
    <w:p w:rsidRPr="00BC6ABC" w:rsidR="000361CA" w:rsidP="000361CA" w:rsidRDefault="00154C6A">
      <w:pPr>
        <w:pStyle w:val="JuPara"/>
        <w:rPr>
          <w:rStyle w:val="JuParaCar"/>
        </w:rPr>
      </w:pPr>
      <w:r w:rsidRPr="00BC6ABC">
        <w:rPr>
          <w:rStyle w:val="JuParaCar"/>
        </w:rPr>
        <w:t>2.</w:t>
      </w:r>
      <w:r w:rsidRPr="00BC6ABC" w:rsidR="000361CA">
        <w:rPr>
          <w:rStyle w:val="JuParaCar"/>
        </w:rPr>
        <w:t>  Les articles 92, 94 et 96 du code de procédure pénale sont ainsi libellés :</w:t>
      </w:r>
    </w:p>
    <w:p w:rsidRPr="001F493A" w:rsidR="000361CA" w:rsidP="000361CA" w:rsidRDefault="000361CA">
      <w:pPr>
        <w:pStyle w:val="JuHArticle"/>
      </w:pPr>
      <w:r w:rsidRPr="001F493A">
        <w:t>Article 92</w:t>
      </w:r>
    </w:p>
    <w:p w:rsidR="000361CA" w:rsidP="000361CA" w:rsidRDefault="000361CA">
      <w:pPr>
        <w:pStyle w:val="JuQuot"/>
      </w:pPr>
      <w:r w:rsidRPr="00253CBB">
        <w:t>« Le juge d</w:t>
      </w:r>
      <w:r w:rsidR="00AA357F">
        <w:t>’</w:t>
      </w:r>
      <w:r w:rsidRPr="00253CBB">
        <w:t>instruction peut se transporter sur les lieux pour y effectuer toutes constatations utiles ou procéder à des perquisitions. Il en donne avis au procureur de la République, qui a la faculté de l</w:t>
      </w:r>
      <w:r w:rsidR="00AA357F">
        <w:t>’</w:t>
      </w:r>
      <w:r w:rsidRPr="00253CBB">
        <w:t>accompagner.</w:t>
      </w:r>
    </w:p>
    <w:p w:rsidR="000361CA" w:rsidP="000361CA" w:rsidRDefault="000361CA">
      <w:pPr>
        <w:pStyle w:val="JuQuot"/>
      </w:pPr>
      <w:r w:rsidRPr="00253CBB">
        <w:t>Le juge d</w:t>
      </w:r>
      <w:r w:rsidR="00AA357F">
        <w:t>’</w:t>
      </w:r>
      <w:r w:rsidRPr="00253CBB">
        <w:t>instruction est toujours assisté d</w:t>
      </w:r>
      <w:r w:rsidR="00AA357F">
        <w:t>’</w:t>
      </w:r>
      <w:r w:rsidRPr="00253CBB">
        <w:t>un greffier.</w:t>
      </w:r>
    </w:p>
    <w:p w:rsidRPr="00253CBB" w:rsidR="000361CA" w:rsidP="000361CA" w:rsidRDefault="000361CA">
      <w:pPr>
        <w:pStyle w:val="JuQuot"/>
      </w:pPr>
      <w:r w:rsidRPr="00253CBB">
        <w:t>Il dresse un procès-verbal de ses opérations. »</w:t>
      </w:r>
    </w:p>
    <w:p w:rsidRPr="001F493A" w:rsidR="000361CA" w:rsidP="000361CA" w:rsidRDefault="000361CA">
      <w:pPr>
        <w:pStyle w:val="JuHArticle"/>
      </w:pPr>
      <w:r w:rsidRPr="001F493A">
        <w:t>Article 94</w:t>
      </w:r>
    </w:p>
    <w:p w:rsidRPr="00253CBB" w:rsidR="000361CA" w:rsidP="000361CA" w:rsidRDefault="000361CA">
      <w:pPr>
        <w:pStyle w:val="JuQuot"/>
      </w:pPr>
      <w:r w:rsidRPr="00253CBB">
        <w:t>« Les perquisitions sont effectuées dans tous les lieux où peuvent se trouver des objets ou des données informatiques dont la découverte serait utile à la manifestation de la vérité. »</w:t>
      </w:r>
    </w:p>
    <w:p w:rsidRPr="00253CBB" w:rsidR="000361CA" w:rsidP="000361CA" w:rsidRDefault="000361CA">
      <w:pPr>
        <w:pStyle w:val="JuHArticle"/>
      </w:pPr>
      <w:r w:rsidRPr="001F493A">
        <w:t>Article 96</w:t>
      </w:r>
    </w:p>
    <w:p w:rsidR="000361CA" w:rsidP="000361CA" w:rsidRDefault="000361CA">
      <w:pPr>
        <w:pStyle w:val="JuQuot"/>
      </w:pPr>
      <w:r w:rsidRPr="00253CBB">
        <w:t>« Si la perquisition a lieu dans un domicile autre que celui de la personne mise en examen, la personne chez laquelle elle doit s</w:t>
      </w:r>
      <w:r w:rsidR="00AA357F">
        <w:t>’</w:t>
      </w:r>
      <w:r w:rsidRPr="00253CBB">
        <w:t>effectuer est invitée à y assister. Si cette personne est absente ou refuse d</w:t>
      </w:r>
      <w:r w:rsidR="00AA357F">
        <w:t>’</w:t>
      </w:r>
      <w:r w:rsidRPr="00253CBB">
        <w:t>y assister, la perquisition a lieu en présence de deux de ses parents ou alliés présents sur les lieux, ou à défaut, en présence de deux témoins.</w:t>
      </w:r>
    </w:p>
    <w:p w:rsidR="000361CA" w:rsidP="000361CA" w:rsidRDefault="000361CA">
      <w:pPr>
        <w:pStyle w:val="JuQuot"/>
      </w:pPr>
      <w:r w:rsidRPr="00253CBB">
        <w:t>Le juge d</w:t>
      </w:r>
      <w:r w:rsidR="00AA357F">
        <w:t>’</w:t>
      </w:r>
      <w:r w:rsidRPr="00253CBB">
        <w:t>instruction doit se conformer aux dispositions des articles 57 (alinéa 2) et 59.</w:t>
      </w:r>
    </w:p>
    <w:p w:rsidR="000361CA" w:rsidP="000361CA" w:rsidRDefault="000361CA">
      <w:pPr>
        <w:pStyle w:val="JuQuot"/>
      </w:pPr>
      <w:r w:rsidRPr="00253CBB">
        <w:t>Toutefois, il a l</w:t>
      </w:r>
      <w:r w:rsidR="00AA357F">
        <w:t>’</w:t>
      </w:r>
      <w:r w:rsidRPr="00253CBB">
        <w:t>obligation de provoquer préalablement toutes mesures utiles pour que soit assuré le respect du secret professionnel et des droits de la défense.</w:t>
      </w:r>
    </w:p>
    <w:p w:rsidR="000361CA" w:rsidP="000361CA" w:rsidRDefault="000361CA">
      <w:pPr>
        <w:pStyle w:val="JuQuot"/>
      </w:pPr>
      <w:r w:rsidRPr="00253CBB">
        <w:t>Les dispositions des articles 56, 56-1, 56-2 et 56-3 sont applicables aux perquisitions effectuées par le juge d</w:t>
      </w:r>
      <w:r w:rsidR="00AA357F">
        <w:t>’</w:t>
      </w:r>
      <w:r w:rsidRPr="00253CBB">
        <w:t>instruction. »</w:t>
      </w:r>
    </w:p>
    <w:p w:rsidR="000361CA" w:rsidP="000361CA" w:rsidRDefault="00154C6A">
      <w:pPr>
        <w:pStyle w:val="JuPara"/>
        <w:rPr>
          <w:rStyle w:val="JuParaCar"/>
        </w:rPr>
      </w:pPr>
      <w:r w:rsidRPr="00BC6ABC">
        <w:rPr>
          <w:rStyle w:val="JuH1Char"/>
          <w:i w:val="0"/>
        </w:rPr>
        <w:t>3.</w:t>
      </w:r>
      <w:r>
        <w:rPr>
          <w:rStyle w:val="JuParaCar"/>
        </w:rPr>
        <w:t>  </w:t>
      </w:r>
      <w:r w:rsidRPr="001F493A" w:rsidR="000361CA">
        <w:rPr>
          <w:rStyle w:val="JuParaCar"/>
        </w:rPr>
        <w:t>L</w:t>
      </w:r>
      <w:r w:rsidR="000361CA">
        <w:rPr>
          <w:rStyle w:val="JuParaCar"/>
        </w:rPr>
        <w:t>e code de l</w:t>
      </w:r>
      <w:r w:rsidR="00AA357F">
        <w:rPr>
          <w:rStyle w:val="JuParaCar"/>
        </w:rPr>
        <w:t>’</w:t>
      </w:r>
      <w:r w:rsidR="000361CA">
        <w:rPr>
          <w:rStyle w:val="JuParaCar"/>
        </w:rPr>
        <w:t>organisation judiciaire prévoit notamment ce qui suit :</w:t>
      </w:r>
    </w:p>
    <w:p w:rsidRPr="00651A9F" w:rsidR="000361CA" w:rsidP="000361CA" w:rsidRDefault="000361CA">
      <w:pPr>
        <w:pStyle w:val="JuHArticle"/>
        <w:rPr>
          <w:rStyle w:val="JuParaCar"/>
        </w:rPr>
      </w:pPr>
      <w:r w:rsidRPr="00651A9F">
        <w:rPr>
          <w:rStyle w:val="JuParaCar"/>
        </w:rPr>
        <w:t>Article L. 141-1</w:t>
      </w:r>
    </w:p>
    <w:p w:rsidR="000361CA" w:rsidP="000361CA" w:rsidRDefault="000361CA">
      <w:pPr>
        <w:pStyle w:val="JuQuot"/>
      </w:pPr>
      <w:r>
        <w:t>« L</w:t>
      </w:r>
      <w:r w:rsidR="00AA357F">
        <w:t>’</w:t>
      </w:r>
      <w:r>
        <w:t>Etat est tenu de réparer le dommage causé par le fonctionnement défectueux du service de la justice.</w:t>
      </w:r>
    </w:p>
    <w:p w:rsidR="000361CA" w:rsidP="000361CA" w:rsidRDefault="000361CA">
      <w:pPr>
        <w:pStyle w:val="JuQuot"/>
      </w:pPr>
      <w:r>
        <w:t>Sauf dispositions particulières, cette responsabilité n</w:t>
      </w:r>
      <w:r w:rsidR="00AA357F">
        <w:t>’</w:t>
      </w:r>
      <w:r>
        <w:t>est engagée que par une faute lourde ou par un déni de justice. »</w:t>
      </w:r>
    </w:p>
    <w:p w:rsidRPr="00096134" w:rsidR="000361CA" w:rsidP="000361CA" w:rsidRDefault="000361CA">
      <w:pPr>
        <w:pStyle w:val="JuHHead"/>
        <w:rPr>
          <w:color w:val="000000"/>
        </w:rPr>
      </w:pPr>
      <w:r w:rsidRPr="00096134">
        <w:rPr>
          <w:color w:val="000000"/>
        </w:rPr>
        <w:t>GRIEFS</w:t>
      </w:r>
    </w:p>
    <w:p w:rsidRPr="00096134" w:rsidR="000361CA" w:rsidP="000361CA" w:rsidRDefault="000361CA">
      <w:pPr>
        <w:pStyle w:val="JuPara"/>
        <w:rPr>
          <w:rStyle w:val="JuParaCar"/>
          <w:color w:val="000000"/>
        </w:rPr>
      </w:pPr>
      <w:r w:rsidRPr="00096134">
        <w:rPr>
          <w:rStyle w:val="JuParaCar"/>
          <w:noProof/>
          <w:color w:val="000000"/>
        </w:rPr>
        <w:t>1</w:t>
      </w:r>
      <w:r w:rsidRPr="00096134">
        <w:rPr>
          <w:rStyle w:val="JuParaCar"/>
          <w:color w:val="000000"/>
        </w:rPr>
        <w:t>.  Invoquant l</w:t>
      </w:r>
      <w:r w:rsidR="00AA357F">
        <w:rPr>
          <w:rStyle w:val="JuParaCar"/>
          <w:color w:val="000000"/>
        </w:rPr>
        <w:t>’</w:t>
      </w:r>
      <w:r w:rsidRPr="00096134">
        <w:rPr>
          <w:rStyle w:val="JuParaCar"/>
          <w:color w:val="000000"/>
        </w:rPr>
        <w:t>article 8 de la Convention, le requérant conteste, en l</w:t>
      </w:r>
      <w:r w:rsidR="00AA357F">
        <w:rPr>
          <w:rStyle w:val="JuParaCar"/>
          <w:color w:val="000000"/>
        </w:rPr>
        <w:t>’</w:t>
      </w:r>
      <w:r w:rsidRPr="00096134">
        <w:rPr>
          <w:rStyle w:val="JuParaCar"/>
          <w:color w:val="000000"/>
        </w:rPr>
        <w:t>absence de poursuites criminelles contre son client et de soupçons contre lui-même, la légalité de l</w:t>
      </w:r>
      <w:r w:rsidR="00AA357F">
        <w:rPr>
          <w:rStyle w:val="JuParaCar"/>
          <w:color w:val="000000"/>
        </w:rPr>
        <w:t>’</w:t>
      </w:r>
      <w:r w:rsidRPr="00096134">
        <w:rPr>
          <w:rStyle w:val="JuParaCar"/>
          <w:color w:val="000000"/>
        </w:rPr>
        <w:t>ingérence litigieuse au regard des articles 56 et 56-1 du code de procédure pénale. Il considère que cette ingérence, qui a porté atteinte à son droit au respect de son domicile et à sa correspondance dans l</w:t>
      </w:r>
      <w:r w:rsidR="00AA357F">
        <w:rPr>
          <w:rStyle w:val="JuParaCar"/>
          <w:color w:val="000000"/>
        </w:rPr>
        <w:t>’</w:t>
      </w:r>
      <w:r w:rsidRPr="00096134">
        <w:rPr>
          <w:rStyle w:val="JuParaCar"/>
          <w:color w:val="000000"/>
        </w:rPr>
        <w:t>exercice de sa mission de défense, n</w:t>
      </w:r>
      <w:r w:rsidR="00AA357F">
        <w:rPr>
          <w:rStyle w:val="JuParaCar"/>
          <w:color w:val="000000"/>
        </w:rPr>
        <w:t>’</w:t>
      </w:r>
      <w:r w:rsidRPr="00096134">
        <w:rPr>
          <w:rStyle w:val="JuParaCar"/>
          <w:color w:val="000000"/>
        </w:rPr>
        <w:t>était fondée sur aucun besoin social impérieux.</w:t>
      </w:r>
    </w:p>
    <w:p w:rsidRPr="00096134" w:rsidR="000361CA" w:rsidP="000361CA" w:rsidRDefault="000361CA">
      <w:pPr>
        <w:pStyle w:val="JuPara"/>
        <w:rPr>
          <w:rStyle w:val="JuParaCar"/>
          <w:color w:val="000000"/>
        </w:rPr>
      </w:pPr>
      <w:r w:rsidRPr="00096134">
        <w:rPr>
          <w:rStyle w:val="JuParaCar"/>
          <w:noProof/>
          <w:color w:val="000000"/>
        </w:rPr>
        <w:t>2</w:t>
      </w:r>
      <w:r w:rsidRPr="00096134">
        <w:rPr>
          <w:rStyle w:val="JuParaCar"/>
          <w:color w:val="000000"/>
        </w:rPr>
        <w:t>.  Invoquant l</w:t>
      </w:r>
      <w:r w:rsidR="00AA357F">
        <w:rPr>
          <w:rStyle w:val="JuParaCar"/>
          <w:color w:val="000000"/>
        </w:rPr>
        <w:t>’</w:t>
      </w:r>
      <w:r w:rsidRPr="00096134">
        <w:rPr>
          <w:rStyle w:val="JuParaCar"/>
          <w:color w:val="000000"/>
        </w:rPr>
        <w:t>article 6 de la Convention, il se plaint également d</w:t>
      </w:r>
      <w:r w:rsidR="00AA357F">
        <w:rPr>
          <w:rStyle w:val="JuParaCar"/>
          <w:color w:val="000000"/>
        </w:rPr>
        <w:t>’</w:t>
      </w:r>
      <w:r w:rsidRPr="00096134">
        <w:rPr>
          <w:rStyle w:val="JuParaCar"/>
          <w:color w:val="000000"/>
        </w:rPr>
        <w:t>un défaut d</w:t>
      </w:r>
      <w:r w:rsidR="00AA357F">
        <w:rPr>
          <w:rStyle w:val="JuParaCar"/>
          <w:color w:val="000000"/>
        </w:rPr>
        <w:t>’</w:t>
      </w:r>
      <w:r w:rsidRPr="00096134">
        <w:rPr>
          <w:rStyle w:val="JuParaCar"/>
          <w:color w:val="000000"/>
        </w:rPr>
        <w:t>accès à un tribunal pour se plaindre de la perquisition et des saisies, ainsi que d</w:t>
      </w:r>
      <w:r w:rsidR="00AA357F">
        <w:rPr>
          <w:rStyle w:val="JuParaCar"/>
          <w:color w:val="000000"/>
        </w:rPr>
        <w:t>’</w:t>
      </w:r>
      <w:r w:rsidRPr="00096134">
        <w:rPr>
          <w:rStyle w:val="JuParaCar"/>
          <w:color w:val="000000"/>
        </w:rPr>
        <w:t>une atteinte aux droits de la défense résultant de la violation du secret professionnel et de sa correspondance, et de l</w:t>
      </w:r>
      <w:r w:rsidR="00AA357F">
        <w:rPr>
          <w:rStyle w:val="JuParaCar"/>
          <w:color w:val="000000"/>
        </w:rPr>
        <w:t>’</w:t>
      </w:r>
      <w:r w:rsidRPr="00096134">
        <w:rPr>
          <w:rStyle w:val="JuParaCar"/>
          <w:color w:val="000000"/>
        </w:rPr>
        <w:t>impossibilité dans laquelle l</w:t>
      </w:r>
      <w:r w:rsidR="00AA357F">
        <w:rPr>
          <w:rStyle w:val="JuParaCar"/>
          <w:color w:val="000000"/>
        </w:rPr>
        <w:t>’</w:t>
      </w:r>
      <w:r w:rsidRPr="00096134">
        <w:rPr>
          <w:rStyle w:val="JuParaCar"/>
          <w:color w:val="000000"/>
        </w:rPr>
        <w:t>a mise la saisie de certains documents de communiquer avec son client.</w:t>
      </w:r>
    </w:p>
    <w:p w:rsidRPr="00096134" w:rsidR="000361CA" w:rsidP="000361CA" w:rsidRDefault="000361CA">
      <w:pPr>
        <w:pStyle w:val="JuHHead"/>
        <w:rPr>
          <w:color w:val="000000"/>
        </w:rPr>
      </w:pPr>
      <w:r w:rsidRPr="00096134">
        <w:rPr>
          <w:color w:val="000000"/>
        </w:rPr>
        <w:t>EN DROIT</w:t>
      </w:r>
    </w:p>
    <w:p w:rsidRPr="00096134" w:rsidR="000361CA" w:rsidP="000361CA" w:rsidRDefault="00BC6ABC">
      <w:pPr>
        <w:pStyle w:val="JuPara"/>
        <w:rPr>
          <w:rStyle w:val="JuParaCar"/>
          <w:color w:val="000000"/>
        </w:rPr>
      </w:pPr>
      <w:r>
        <w:rPr>
          <w:rStyle w:val="JuParaCar"/>
          <w:color w:val="000000"/>
        </w:rPr>
        <w:t>1.  </w:t>
      </w:r>
      <w:r w:rsidRPr="00096134" w:rsidR="000361CA">
        <w:rPr>
          <w:rStyle w:val="JuParaCar"/>
          <w:color w:val="000000"/>
        </w:rPr>
        <w:t>Le requérant se plaint de la perquisition réalisée à son cabinet et des saisies y afférentes. Il invoque l</w:t>
      </w:r>
      <w:r w:rsidR="00AA357F">
        <w:rPr>
          <w:rStyle w:val="JuParaCar"/>
          <w:color w:val="000000"/>
        </w:rPr>
        <w:t>’</w:t>
      </w:r>
      <w:r w:rsidRPr="00096134" w:rsidR="000361CA">
        <w:rPr>
          <w:rStyle w:val="JuParaCar"/>
          <w:color w:val="000000"/>
        </w:rPr>
        <w:t>article 8 de la Convention, aux termes duquel :</w:t>
      </w:r>
    </w:p>
    <w:p w:rsidRPr="00096134" w:rsidR="000361CA" w:rsidP="000361CA" w:rsidRDefault="000361CA">
      <w:pPr>
        <w:pStyle w:val="JuQuot"/>
        <w:rPr>
          <w:color w:val="000000"/>
        </w:rPr>
      </w:pPr>
      <w:r w:rsidRPr="00096134">
        <w:rPr>
          <w:color w:val="000000"/>
        </w:rPr>
        <w:t>« 1.  Toute personne a droit au respect de sa vie privée et familiale, de son domicile et de sa correspondance.</w:t>
      </w:r>
    </w:p>
    <w:p w:rsidRPr="00096134" w:rsidR="000361CA" w:rsidP="000361CA" w:rsidRDefault="000361CA">
      <w:pPr>
        <w:pStyle w:val="JuQuot"/>
        <w:rPr>
          <w:color w:val="000000"/>
        </w:rPr>
      </w:pPr>
      <w:r w:rsidRPr="00096134">
        <w:rPr>
          <w:color w:val="000000"/>
        </w:rPr>
        <w:t>2.  Il ne peut y avoir ingérence d</w:t>
      </w:r>
      <w:r w:rsidR="00AA357F">
        <w:rPr>
          <w:color w:val="000000"/>
        </w:rPr>
        <w:t>’</w:t>
      </w:r>
      <w:r w:rsidRPr="00096134">
        <w:rPr>
          <w:color w:val="000000"/>
        </w:rPr>
        <w:t>une autorité publique dans l</w:t>
      </w:r>
      <w:r w:rsidR="00AA357F">
        <w:rPr>
          <w:color w:val="000000"/>
        </w:rPr>
        <w:t>’</w:t>
      </w:r>
      <w:r w:rsidRPr="00096134">
        <w:rPr>
          <w:color w:val="000000"/>
        </w:rPr>
        <w:t>exercice de ce droit que pour autant que cette ingérence est prévue par la loi et qu</w:t>
      </w:r>
      <w:r w:rsidR="00AA357F">
        <w:rPr>
          <w:color w:val="000000"/>
        </w:rPr>
        <w:t>’</w:t>
      </w:r>
      <w:r w:rsidRPr="00096134">
        <w:rPr>
          <w:color w:val="000000"/>
        </w:rPr>
        <w:t>elle constitue une mesure qui, dans une société démocratique, est nécessaire à la sécurité nationale, à la sûreté publique, au bien</w:t>
      </w:r>
      <w:r w:rsidRPr="00096134">
        <w:rPr>
          <w:color w:val="000000"/>
        </w:rPr>
        <w:noBreakHyphen/>
        <w:t>être économique du pays, à la défense de l</w:t>
      </w:r>
      <w:r w:rsidR="00AA357F">
        <w:rPr>
          <w:color w:val="000000"/>
        </w:rPr>
        <w:t>’</w:t>
      </w:r>
      <w:r w:rsidRPr="00096134">
        <w:rPr>
          <w:color w:val="000000"/>
        </w:rPr>
        <w:t>ordre et à la prévention des infractions pénales, à la protection de la santé ou de la morale, ou à la protection des droits et libertés d</w:t>
      </w:r>
      <w:r w:rsidR="00AA357F">
        <w:rPr>
          <w:color w:val="000000"/>
        </w:rPr>
        <w:t>’</w:t>
      </w:r>
      <w:r w:rsidRPr="00096134">
        <w:rPr>
          <w:color w:val="000000"/>
        </w:rPr>
        <w:t>autrui. »</w:t>
      </w:r>
    </w:p>
    <w:p w:rsidRPr="00096134" w:rsidR="000361CA" w:rsidP="000361CA" w:rsidRDefault="000361CA">
      <w:pPr>
        <w:pStyle w:val="JuPara"/>
        <w:rPr>
          <w:color w:val="000000"/>
        </w:rPr>
      </w:pPr>
      <w:r w:rsidRPr="00096134">
        <w:rPr>
          <w:color w:val="000000"/>
        </w:rPr>
        <w:t>Le requérant, estimant ne pas avoir qualité pour demander la nullité de cette perquisition et des saisies effectuées, indique ne disposer d</w:t>
      </w:r>
      <w:r w:rsidR="00AA357F">
        <w:rPr>
          <w:color w:val="000000"/>
        </w:rPr>
        <w:t>’</w:t>
      </w:r>
      <w:r w:rsidRPr="00096134">
        <w:rPr>
          <w:color w:val="000000"/>
        </w:rPr>
        <w:t>aucun recours contre les mesures prises.</w:t>
      </w:r>
    </w:p>
    <w:p w:rsidRPr="00096134" w:rsidR="000361CA" w:rsidP="000361CA" w:rsidRDefault="000361CA">
      <w:pPr>
        <w:pStyle w:val="JuPara"/>
        <w:rPr>
          <w:rStyle w:val="JuParaCar"/>
          <w:color w:val="000000"/>
        </w:rPr>
      </w:pPr>
      <w:r w:rsidRPr="00096134">
        <w:rPr>
          <w:rStyle w:val="JuParaCar"/>
          <w:color w:val="000000"/>
        </w:rPr>
        <w:t>La Cour considère qu</w:t>
      </w:r>
      <w:r w:rsidR="00AA357F">
        <w:rPr>
          <w:rStyle w:val="JuParaCar"/>
          <w:color w:val="000000"/>
        </w:rPr>
        <w:t>’</w:t>
      </w:r>
      <w:r w:rsidRPr="00096134">
        <w:rPr>
          <w:rStyle w:val="JuParaCar"/>
          <w:color w:val="000000"/>
        </w:rPr>
        <w:t>il n</w:t>
      </w:r>
      <w:r w:rsidR="00AA357F">
        <w:rPr>
          <w:rStyle w:val="JuParaCar"/>
          <w:color w:val="000000"/>
        </w:rPr>
        <w:t>’</w:t>
      </w:r>
      <w:r w:rsidRPr="00096134">
        <w:rPr>
          <w:rStyle w:val="JuParaCar"/>
          <w:color w:val="000000"/>
        </w:rPr>
        <w:t>est pas nécessaire de trancher la question de savoir si le requérant disposait de recours internes efficaces pour soulever ce grief tiré et s</w:t>
      </w:r>
      <w:r w:rsidR="00AA357F">
        <w:rPr>
          <w:rStyle w:val="JuParaCar"/>
          <w:color w:val="000000"/>
        </w:rPr>
        <w:t>’</w:t>
      </w:r>
      <w:r w:rsidRPr="00096134">
        <w:rPr>
          <w:rStyle w:val="JuParaCar"/>
          <w:color w:val="000000"/>
        </w:rPr>
        <w:t>il devait dès lors les épuiser par application de l</w:t>
      </w:r>
      <w:r w:rsidR="00AA357F">
        <w:rPr>
          <w:rStyle w:val="JuParaCar"/>
          <w:color w:val="000000"/>
        </w:rPr>
        <w:t>’</w:t>
      </w:r>
      <w:r w:rsidRPr="00096134">
        <w:rPr>
          <w:rStyle w:val="JuParaCar"/>
          <w:color w:val="000000"/>
        </w:rPr>
        <w:t xml:space="preserve">article 35 § 1 de la Convention, ce grief devant, en tout état de cause, être rejeté comme étant manifestement mal fondé pour les raisons suivantes (voir, </w:t>
      </w:r>
      <w:r w:rsidRPr="00096134">
        <w:rPr>
          <w:rStyle w:val="JuParaCar"/>
          <w:i/>
          <w:color w:val="000000"/>
        </w:rPr>
        <w:t>mutatis mutandis</w:t>
      </w:r>
      <w:r w:rsidRPr="00096134">
        <w:rPr>
          <w:rStyle w:val="JuParaCar"/>
          <w:color w:val="000000"/>
        </w:rPr>
        <w:t xml:space="preserve">, </w:t>
      </w:r>
      <w:r w:rsidRPr="00096134">
        <w:rPr>
          <w:rStyle w:val="JuParaCar"/>
          <w:i/>
          <w:color w:val="000000"/>
        </w:rPr>
        <w:t>Turcon c. France</w:t>
      </w:r>
      <w:r w:rsidRPr="00096134">
        <w:rPr>
          <w:rStyle w:val="JuParaCar"/>
          <w:color w:val="000000"/>
        </w:rPr>
        <w:t xml:space="preserve"> (déc.), no 34514/02, 30 janvier 2007).</w:t>
      </w:r>
    </w:p>
    <w:p w:rsidRPr="00096134" w:rsidR="000361CA" w:rsidP="000361CA" w:rsidRDefault="000361CA">
      <w:pPr>
        <w:pStyle w:val="JuPara"/>
        <w:rPr>
          <w:rStyle w:val="JuParaCar"/>
          <w:color w:val="000000"/>
        </w:rPr>
      </w:pPr>
      <w:r w:rsidRPr="00096134">
        <w:rPr>
          <w:rStyle w:val="JuParaCar"/>
          <w:color w:val="000000"/>
        </w:rPr>
        <w:t>La Cour rappelle en premier lieu que le terme de « domicile » figurant à l</w:t>
      </w:r>
      <w:r w:rsidR="00AA357F">
        <w:rPr>
          <w:rStyle w:val="JuParaCar"/>
          <w:color w:val="000000"/>
        </w:rPr>
        <w:t>’</w:t>
      </w:r>
      <w:r w:rsidRPr="00096134">
        <w:rPr>
          <w:rStyle w:val="JuParaCar"/>
          <w:color w:val="000000"/>
        </w:rPr>
        <w:t>article 8 peut englober, par exemple, le bureau d</w:t>
      </w:r>
      <w:r w:rsidR="00AA357F">
        <w:rPr>
          <w:rStyle w:val="JuParaCar"/>
          <w:color w:val="000000"/>
        </w:rPr>
        <w:t>’</w:t>
      </w:r>
      <w:r w:rsidRPr="00096134">
        <w:rPr>
          <w:rStyle w:val="JuParaCar"/>
          <w:color w:val="000000"/>
        </w:rPr>
        <w:t>un membre d</w:t>
      </w:r>
      <w:r w:rsidR="00AA357F">
        <w:rPr>
          <w:rStyle w:val="JuParaCar"/>
          <w:color w:val="000000"/>
        </w:rPr>
        <w:t>’</w:t>
      </w:r>
      <w:r w:rsidRPr="00096134">
        <w:rPr>
          <w:rStyle w:val="JuParaCar"/>
          <w:color w:val="000000"/>
        </w:rPr>
        <w:t>une profession libérale, notamment d</w:t>
      </w:r>
      <w:r w:rsidR="00AA357F">
        <w:rPr>
          <w:rStyle w:val="JuParaCar"/>
          <w:color w:val="000000"/>
        </w:rPr>
        <w:t>’</w:t>
      </w:r>
      <w:r w:rsidRPr="00096134">
        <w:rPr>
          <w:rStyle w:val="JuParaCar"/>
          <w:color w:val="000000"/>
        </w:rPr>
        <w:t>un avocat (</w:t>
      </w:r>
      <w:r w:rsidRPr="00096134">
        <w:rPr>
          <w:rStyle w:val="JuParaCar"/>
          <w:i/>
          <w:color w:val="000000"/>
        </w:rPr>
        <w:t>Niemietz c. Allemagne</w:t>
      </w:r>
      <w:r w:rsidRPr="00096134">
        <w:rPr>
          <w:rStyle w:val="JuParaCar"/>
          <w:color w:val="000000"/>
        </w:rPr>
        <w:t>, 16 décembre 1992, § 30</w:t>
      </w:r>
      <w:bookmarkStart w:name="HIT1" w:id="1"/>
      <w:bookmarkEnd w:id="1"/>
      <w:r w:rsidRPr="00096134">
        <w:rPr>
          <w:rStyle w:val="JuParaCar"/>
          <w:color w:val="000000"/>
        </w:rPr>
        <w:t>, série A n</w:t>
      </w:r>
      <w:r w:rsidRPr="00096134">
        <w:rPr>
          <w:rStyle w:val="JuParaCar"/>
          <w:color w:val="000000"/>
          <w:vertAlign w:val="superscript"/>
        </w:rPr>
        <w:t>o</w:t>
      </w:r>
      <w:r w:rsidRPr="00096134">
        <w:rPr>
          <w:rStyle w:val="JuParaCar"/>
          <w:color w:val="000000"/>
        </w:rPr>
        <w:t xml:space="preserve"> 251-B, </w:t>
      </w:r>
      <w:r w:rsidR="00154C6A">
        <w:rPr>
          <w:rStyle w:val="JuParaCar"/>
          <w:i/>
          <w:color w:val="000000"/>
        </w:rPr>
        <w:t>Roemen et Schmit </w:t>
      </w:r>
      <w:r w:rsidRPr="00096134">
        <w:rPr>
          <w:rStyle w:val="JuParaCar"/>
          <w:i/>
          <w:color w:val="000000"/>
        </w:rPr>
        <w:t>c. Luxembourg</w:t>
      </w:r>
      <w:r w:rsidRPr="00096134">
        <w:rPr>
          <w:rStyle w:val="JuParaCar"/>
          <w:color w:val="000000"/>
        </w:rPr>
        <w:t>, n</w:t>
      </w:r>
      <w:r w:rsidRPr="00096134">
        <w:rPr>
          <w:rStyle w:val="JuParaCar"/>
          <w:color w:val="000000"/>
          <w:vertAlign w:val="superscript"/>
        </w:rPr>
        <w:t xml:space="preserve">o </w:t>
      </w:r>
      <w:r w:rsidRPr="00096134">
        <w:rPr>
          <w:rStyle w:val="JuParaCar"/>
          <w:color w:val="000000"/>
        </w:rPr>
        <w:t xml:space="preserve">51772/99, § 64, CEDH 2003-IV, et </w:t>
      </w:r>
      <w:r w:rsidRPr="00096134">
        <w:rPr>
          <w:rStyle w:val="JuParaCar"/>
          <w:i/>
          <w:color w:val="000000"/>
        </w:rPr>
        <w:t>André et autre c. France</w:t>
      </w:r>
      <w:r w:rsidRPr="00096134">
        <w:rPr>
          <w:rStyle w:val="JuParaCar"/>
          <w:color w:val="000000"/>
        </w:rPr>
        <w:t>, n</w:t>
      </w:r>
      <w:r w:rsidRPr="00096134">
        <w:rPr>
          <w:rStyle w:val="JuParaCar"/>
          <w:color w:val="000000"/>
          <w:vertAlign w:val="superscript"/>
        </w:rPr>
        <w:t>o</w:t>
      </w:r>
      <w:r w:rsidRPr="00096134">
        <w:rPr>
          <w:rStyle w:val="JuParaCar"/>
          <w:color w:val="000000"/>
        </w:rPr>
        <w:t> 18603/03, § 36, CEDH 2008-...).</w:t>
      </w:r>
    </w:p>
    <w:p w:rsidRPr="00096134" w:rsidR="000361CA" w:rsidP="000361CA" w:rsidRDefault="000361CA">
      <w:pPr>
        <w:pStyle w:val="JuPara"/>
        <w:rPr>
          <w:rStyle w:val="JuParaCar"/>
          <w:color w:val="000000"/>
        </w:rPr>
      </w:pPr>
      <w:r w:rsidRPr="00096134">
        <w:rPr>
          <w:rStyle w:val="JuParaCar"/>
          <w:color w:val="000000"/>
        </w:rPr>
        <w:t>Dès lors, elle considère que la perquisition opérée au cabinet du requérant et les saisies effectuées s</w:t>
      </w:r>
      <w:r w:rsidR="00AA357F">
        <w:rPr>
          <w:rStyle w:val="JuParaCar"/>
          <w:color w:val="000000"/>
        </w:rPr>
        <w:t>’</w:t>
      </w:r>
      <w:r w:rsidRPr="00096134">
        <w:rPr>
          <w:rStyle w:val="JuParaCar"/>
          <w:color w:val="000000"/>
        </w:rPr>
        <w:t>analysent en une ingérence dans l</w:t>
      </w:r>
      <w:r w:rsidR="00AA357F">
        <w:rPr>
          <w:rStyle w:val="JuParaCar"/>
          <w:color w:val="000000"/>
        </w:rPr>
        <w:t>’</w:t>
      </w:r>
      <w:r w:rsidRPr="00096134">
        <w:rPr>
          <w:rStyle w:val="JuParaCar"/>
          <w:color w:val="000000"/>
        </w:rPr>
        <w:t>exercice des droits du requérant découlant du paragraphe 1 de l</w:t>
      </w:r>
      <w:r w:rsidR="00AA357F">
        <w:rPr>
          <w:rStyle w:val="JuParaCar"/>
          <w:color w:val="000000"/>
        </w:rPr>
        <w:t>’</w:t>
      </w:r>
      <w:r w:rsidRPr="00096134">
        <w:rPr>
          <w:rStyle w:val="JuParaCar"/>
          <w:color w:val="000000"/>
        </w:rPr>
        <w:t>article 8 de la Convention.</w:t>
      </w:r>
    </w:p>
    <w:p w:rsidRPr="00096134" w:rsidR="000361CA" w:rsidP="000361CA" w:rsidRDefault="000361CA">
      <w:pPr>
        <w:pStyle w:val="JuPara"/>
        <w:rPr>
          <w:rStyle w:val="JuParaCar"/>
          <w:color w:val="000000"/>
        </w:rPr>
      </w:pPr>
      <w:r w:rsidRPr="00096134">
        <w:rPr>
          <w:rStyle w:val="JuParaCar"/>
          <w:color w:val="000000"/>
        </w:rPr>
        <w:t>Elle estime que pareille ingérence était « prévue par la loi », à savoir notamment par les dispositions des articles 56-1, 92 et suivants du code de procédure pénale.</w:t>
      </w:r>
    </w:p>
    <w:p w:rsidRPr="00096134" w:rsidR="000361CA" w:rsidP="000361CA" w:rsidRDefault="000361CA">
      <w:pPr>
        <w:pStyle w:val="JuPara"/>
        <w:rPr>
          <w:rStyle w:val="JuParaCar"/>
          <w:color w:val="000000"/>
        </w:rPr>
      </w:pPr>
      <w:r w:rsidRPr="00096134">
        <w:rPr>
          <w:rStyle w:val="JuParaCar"/>
          <w:color w:val="000000"/>
        </w:rPr>
        <w:t>Elle juge par ailleurs que l</w:t>
      </w:r>
      <w:r w:rsidR="00AA357F">
        <w:rPr>
          <w:rStyle w:val="JuParaCar"/>
          <w:color w:val="000000"/>
        </w:rPr>
        <w:t>’</w:t>
      </w:r>
      <w:r w:rsidRPr="00096134">
        <w:rPr>
          <w:rStyle w:val="JuParaCar"/>
          <w:color w:val="000000"/>
        </w:rPr>
        <w:t>ingérence, destinée à localiser une personne poursuivie pénalement dans le cadre d</w:t>
      </w:r>
      <w:r w:rsidR="00AA357F">
        <w:rPr>
          <w:rStyle w:val="JuParaCar"/>
          <w:color w:val="000000"/>
        </w:rPr>
        <w:t>’</w:t>
      </w:r>
      <w:r w:rsidRPr="00096134">
        <w:rPr>
          <w:rStyle w:val="JuParaCar"/>
          <w:color w:val="000000"/>
        </w:rPr>
        <w:t>une information judiciaire, poursuivait un « but légitime », à savoir celui de la défense de l</w:t>
      </w:r>
      <w:r w:rsidR="00AA357F">
        <w:rPr>
          <w:rStyle w:val="JuParaCar"/>
          <w:color w:val="000000"/>
        </w:rPr>
        <w:t>’</w:t>
      </w:r>
      <w:r w:rsidRPr="00096134">
        <w:rPr>
          <w:rStyle w:val="JuParaCar"/>
          <w:color w:val="000000"/>
        </w:rPr>
        <w:t>ordre public et de la prévention des infractions pénales (</w:t>
      </w:r>
      <w:r w:rsidRPr="00096134">
        <w:rPr>
          <w:rStyle w:val="JuParaCar"/>
          <w:i/>
          <w:color w:val="000000"/>
        </w:rPr>
        <w:t>Turcon</w:t>
      </w:r>
      <w:r w:rsidRPr="00096134">
        <w:rPr>
          <w:rStyle w:val="JuParaCar"/>
          <w:color w:val="000000"/>
        </w:rPr>
        <w:t>, précitée).</w:t>
      </w:r>
    </w:p>
    <w:p w:rsidRPr="00096134" w:rsidR="000361CA" w:rsidP="000361CA" w:rsidRDefault="000361CA">
      <w:pPr>
        <w:pStyle w:val="JuPara"/>
        <w:rPr>
          <w:rStyle w:val="JuParaCar"/>
          <w:color w:val="000000"/>
        </w:rPr>
      </w:pPr>
      <w:r w:rsidRPr="00096134">
        <w:rPr>
          <w:rStyle w:val="JuParaCar"/>
          <w:color w:val="000000"/>
        </w:rPr>
        <w:t>Quant à la question de la « nécessité » de cette ingérence, la Cour rappelle que « les exceptions que ménage le paragraphe 2 de l</w:t>
      </w:r>
      <w:r w:rsidR="00AA357F">
        <w:rPr>
          <w:rStyle w:val="JuParaCar"/>
          <w:color w:val="000000"/>
        </w:rPr>
        <w:t>’</w:t>
      </w:r>
      <w:r w:rsidRPr="00096134">
        <w:rPr>
          <w:rStyle w:val="JuParaCar"/>
          <w:color w:val="000000"/>
        </w:rPr>
        <w:t>article 8 appellent une interprétation étroite et [que] leur nécessité dans un cas donné doit se trouver établie de manière convaincante » (</w:t>
      </w:r>
      <w:r w:rsidRPr="00096134">
        <w:rPr>
          <w:rStyle w:val="JuParaCar"/>
          <w:i/>
          <w:color w:val="000000"/>
        </w:rPr>
        <w:t>Crémieux c. France</w:t>
      </w:r>
      <w:r w:rsidRPr="00096134">
        <w:rPr>
          <w:rStyle w:val="JuParaCar"/>
          <w:color w:val="000000"/>
        </w:rPr>
        <w:t>, 25 février 1993, § 38, série A n</w:t>
      </w:r>
      <w:r w:rsidRPr="00096134">
        <w:rPr>
          <w:rStyle w:val="JuParaCar"/>
          <w:color w:val="000000"/>
          <w:vertAlign w:val="superscript"/>
        </w:rPr>
        <w:t xml:space="preserve">o </w:t>
      </w:r>
      <w:r w:rsidRPr="00096134">
        <w:rPr>
          <w:rStyle w:val="JuParaCar"/>
          <w:color w:val="000000"/>
        </w:rPr>
        <w:t xml:space="preserve">256-B, </w:t>
      </w:r>
      <w:r w:rsidRPr="00096134">
        <w:rPr>
          <w:rStyle w:val="JuParaCar"/>
          <w:i/>
          <w:color w:val="000000"/>
        </w:rPr>
        <w:t>Roemen et Schmit</w:t>
      </w:r>
      <w:r w:rsidRPr="00096134">
        <w:rPr>
          <w:rStyle w:val="JuParaCar"/>
          <w:color w:val="000000"/>
        </w:rPr>
        <w:t xml:space="preserve">, précité, § 68, et </w:t>
      </w:r>
      <w:r w:rsidRPr="00096134">
        <w:rPr>
          <w:rStyle w:val="JuParaCar"/>
          <w:i/>
          <w:color w:val="000000"/>
        </w:rPr>
        <w:t>André et autre</w:t>
      </w:r>
      <w:r w:rsidRPr="00096134">
        <w:rPr>
          <w:rStyle w:val="JuParaCar"/>
          <w:color w:val="000000"/>
        </w:rPr>
        <w:t>, précité, § 40).</w:t>
      </w:r>
    </w:p>
    <w:p w:rsidRPr="00096134" w:rsidR="000361CA" w:rsidP="000361CA" w:rsidRDefault="000361CA">
      <w:pPr>
        <w:pStyle w:val="JuPara"/>
        <w:rPr>
          <w:rStyle w:val="JuParaCar"/>
          <w:color w:val="000000"/>
        </w:rPr>
      </w:pPr>
      <w:r w:rsidRPr="00096134">
        <w:rPr>
          <w:rStyle w:val="JuParaCar"/>
          <w:color w:val="000000"/>
        </w:rPr>
        <w:t>La Cour rappelle que des perquisitions et des saisies chez un avocat sont susceptibles de porter atteinte au secret professionnel, qui est la base de</w:t>
      </w:r>
      <w:r w:rsidRPr="00096134">
        <w:rPr>
          <w:color w:val="000000"/>
        </w:rPr>
        <w:t xml:space="preserve"> </w:t>
      </w:r>
      <w:r w:rsidRPr="00096134">
        <w:rPr>
          <w:rStyle w:val="JuParaCar"/>
          <w:color w:val="000000"/>
        </w:rPr>
        <w:t>la relation de confiance qui existe entre l</w:t>
      </w:r>
      <w:r w:rsidR="00AA357F">
        <w:rPr>
          <w:rStyle w:val="JuParaCar"/>
          <w:color w:val="000000"/>
        </w:rPr>
        <w:t>’</w:t>
      </w:r>
      <w:r w:rsidRPr="00096134">
        <w:rPr>
          <w:rStyle w:val="JuParaCar"/>
          <w:color w:val="000000"/>
        </w:rPr>
        <w:t>avocat et son client (</w:t>
      </w:r>
      <w:r w:rsidRPr="00096134">
        <w:rPr>
          <w:rStyle w:val="JuParaCar"/>
          <w:i/>
          <w:color w:val="000000"/>
        </w:rPr>
        <w:t>André et autre</w:t>
      </w:r>
      <w:r w:rsidRPr="00096134">
        <w:rPr>
          <w:rStyle w:val="JuParaCar"/>
          <w:color w:val="000000"/>
        </w:rPr>
        <w:t>, précité, § 41). Partant, si le droit interne peut prévoir la possibilité de perquisitions ou de visites domiciliaires dans le cabinet d</w:t>
      </w:r>
      <w:r w:rsidR="00AA357F">
        <w:rPr>
          <w:rStyle w:val="JuParaCar"/>
          <w:color w:val="000000"/>
        </w:rPr>
        <w:t>’</w:t>
      </w:r>
      <w:r w:rsidRPr="00096134">
        <w:rPr>
          <w:rStyle w:val="JuParaCar"/>
          <w:color w:val="000000"/>
        </w:rPr>
        <w:t>un avocat, celles-ci doivent impérativement être assorties de garanties particulières. De même, la Convention n</w:t>
      </w:r>
      <w:r w:rsidR="00AA357F">
        <w:rPr>
          <w:rStyle w:val="JuParaCar"/>
          <w:color w:val="000000"/>
        </w:rPr>
        <w:t>’</w:t>
      </w:r>
      <w:r w:rsidRPr="00096134">
        <w:rPr>
          <w:rStyle w:val="JuParaCar"/>
          <w:color w:val="000000"/>
        </w:rPr>
        <w:t>interdit pas d</w:t>
      </w:r>
      <w:r w:rsidR="00AA357F">
        <w:rPr>
          <w:rStyle w:val="JuParaCar"/>
          <w:color w:val="000000"/>
        </w:rPr>
        <w:t>’</w:t>
      </w:r>
      <w:r w:rsidRPr="00096134">
        <w:rPr>
          <w:rStyle w:val="JuParaCar"/>
          <w:color w:val="000000"/>
        </w:rPr>
        <w:t>imposer aux avocats un certain nombre d</w:t>
      </w:r>
      <w:r w:rsidR="00AA357F">
        <w:rPr>
          <w:rStyle w:val="JuParaCar"/>
          <w:color w:val="000000"/>
        </w:rPr>
        <w:t>’</w:t>
      </w:r>
      <w:r w:rsidRPr="00096134">
        <w:rPr>
          <w:rStyle w:val="JuParaCar"/>
          <w:color w:val="000000"/>
        </w:rPr>
        <w:t xml:space="preserve">obligations susceptibles de concerner les relations avec leurs clients. </w:t>
      </w:r>
      <w:r w:rsidRPr="00096134">
        <w:rPr>
          <w:rStyle w:val="JuParaCar"/>
          <w:rFonts w:ascii="Times New (W1)" w:hAnsi="Times New (W1)"/>
          <w:color w:val="000000"/>
        </w:rPr>
        <w:t>Il en va ainsi notamment en cas de constat de l</w:t>
      </w:r>
      <w:r w:rsidR="00AA357F">
        <w:rPr>
          <w:rStyle w:val="JuParaCar"/>
          <w:rFonts w:ascii="Times New (W1)" w:hAnsi="Times New (W1)"/>
          <w:color w:val="000000"/>
        </w:rPr>
        <w:t>’</w:t>
      </w:r>
      <w:r w:rsidRPr="00096134">
        <w:rPr>
          <w:rStyle w:val="JuParaCar"/>
          <w:rFonts w:ascii="Times New (W1)" w:hAnsi="Times New (W1)"/>
          <w:color w:val="000000"/>
        </w:rPr>
        <w:t>existence d</w:t>
      </w:r>
      <w:r w:rsidR="00AA357F">
        <w:rPr>
          <w:rStyle w:val="JuParaCar"/>
          <w:rFonts w:ascii="Times New (W1)" w:hAnsi="Times New (W1)"/>
          <w:color w:val="000000"/>
        </w:rPr>
        <w:t>’</w:t>
      </w:r>
      <w:r w:rsidRPr="00096134">
        <w:rPr>
          <w:rStyle w:val="JuParaCar"/>
          <w:rFonts w:ascii="Times New (W1)" w:hAnsi="Times New (W1)"/>
          <w:color w:val="000000"/>
        </w:rPr>
        <w:t>indices plausibles de participation d</w:t>
      </w:r>
      <w:r w:rsidR="00AA357F">
        <w:rPr>
          <w:rStyle w:val="JuParaCar"/>
          <w:rFonts w:ascii="Times New (W1)" w:hAnsi="Times New (W1)"/>
          <w:color w:val="000000"/>
        </w:rPr>
        <w:t>’</w:t>
      </w:r>
      <w:r w:rsidRPr="00096134">
        <w:rPr>
          <w:rStyle w:val="JuParaCar"/>
          <w:rFonts w:ascii="Times New (W1)" w:hAnsi="Times New (W1)"/>
          <w:color w:val="000000"/>
        </w:rPr>
        <w:t>un avocat à une infraction.</w:t>
      </w:r>
      <w:r w:rsidRPr="00096134">
        <w:rPr>
          <w:rStyle w:val="JuParaCar"/>
          <w:color w:val="000000"/>
        </w:rPr>
        <w:t xml:space="preserve"> Reste qu</w:t>
      </w:r>
      <w:r w:rsidR="00AA357F">
        <w:rPr>
          <w:rStyle w:val="JuParaCar"/>
          <w:color w:val="000000"/>
        </w:rPr>
        <w:t>’</w:t>
      </w:r>
      <w:r w:rsidRPr="00096134">
        <w:rPr>
          <w:rStyle w:val="JuParaCar"/>
          <w:color w:val="000000"/>
        </w:rPr>
        <w:t>il est alors impératif d</w:t>
      </w:r>
      <w:r w:rsidR="00AA357F">
        <w:rPr>
          <w:rStyle w:val="JuParaCar"/>
          <w:color w:val="000000"/>
        </w:rPr>
        <w:t>’</w:t>
      </w:r>
      <w:r w:rsidRPr="00096134">
        <w:rPr>
          <w:rStyle w:val="JuParaCar"/>
          <w:color w:val="000000"/>
        </w:rPr>
        <w:t>encadrer strictement de telles mesures, les avocats occupant une situation centrale dans l</w:t>
      </w:r>
      <w:r w:rsidR="00AA357F">
        <w:rPr>
          <w:rStyle w:val="JuParaCar"/>
          <w:color w:val="000000"/>
        </w:rPr>
        <w:t>’</w:t>
      </w:r>
      <w:r w:rsidRPr="00096134">
        <w:rPr>
          <w:rStyle w:val="JuParaCar"/>
          <w:color w:val="000000"/>
        </w:rPr>
        <w:t>administration de la justice et leur qualité d</w:t>
      </w:r>
      <w:r w:rsidR="00AA357F">
        <w:rPr>
          <w:rStyle w:val="JuParaCar"/>
          <w:color w:val="000000"/>
        </w:rPr>
        <w:t>’</w:t>
      </w:r>
      <w:r w:rsidRPr="00096134">
        <w:rPr>
          <w:rStyle w:val="JuParaCar"/>
          <w:color w:val="000000"/>
        </w:rPr>
        <w:t>intermédiaires entre les justiciables et les tribunaux permettant de les qualifier d</w:t>
      </w:r>
      <w:r w:rsidR="00AA357F">
        <w:rPr>
          <w:rStyle w:val="JuParaCar"/>
          <w:color w:val="000000"/>
        </w:rPr>
        <w:t>’</w:t>
      </w:r>
      <w:r w:rsidRPr="00096134">
        <w:rPr>
          <w:rStyle w:val="JuParaCar"/>
          <w:color w:val="000000"/>
        </w:rPr>
        <w:t>auxiliaires de justice (</w:t>
      </w:r>
      <w:r w:rsidRPr="00096134">
        <w:rPr>
          <w:rStyle w:val="JuParaCar"/>
          <w:i/>
          <w:color w:val="000000"/>
        </w:rPr>
        <w:t>André et autre</w:t>
      </w:r>
      <w:r w:rsidRPr="00096134">
        <w:rPr>
          <w:rStyle w:val="JuParaCar"/>
          <w:color w:val="000000"/>
        </w:rPr>
        <w:t>, précité, § 42).</w:t>
      </w:r>
    </w:p>
    <w:p w:rsidRPr="00096134" w:rsidR="000361CA" w:rsidP="000361CA" w:rsidRDefault="000361CA">
      <w:pPr>
        <w:pStyle w:val="JuPara"/>
        <w:rPr>
          <w:rStyle w:val="JuParaCar"/>
          <w:color w:val="000000"/>
        </w:rPr>
      </w:pPr>
      <w:r w:rsidRPr="00096134">
        <w:rPr>
          <w:rStyle w:val="JuParaCar"/>
          <w:color w:val="000000"/>
        </w:rPr>
        <w:t>En l</w:t>
      </w:r>
      <w:r w:rsidR="00AA357F">
        <w:rPr>
          <w:rStyle w:val="JuParaCar"/>
          <w:color w:val="000000"/>
        </w:rPr>
        <w:t>’</w:t>
      </w:r>
      <w:r w:rsidRPr="00096134">
        <w:rPr>
          <w:rStyle w:val="JuParaCar"/>
          <w:color w:val="000000"/>
        </w:rPr>
        <w:t>espèce, la Cour note que la visite domiciliaire s</w:t>
      </w:r>
      <w:r w:rsidR="00AA357F">
        <w:rPr>
          <w:rStyle w:val="JuParaCar"/>
          <w:color w:val="000000"/>
        </w:rPr>
        <w:t>’</w:t>
      </w:r>
      <w:r w:rsidRPr="00096134">
        <w:rPr>
          <w:rStyle w:val="JuParaCar"/>
          <w:color w:val="000000"/>
        </w:rPr>
        <w:t>est précisément accompagnée d</w:t>
      </w:r>
      <w:r w:rsidR="00AA357F">
        <w:rPr>
          <w:rStyle w:val="JuParaCar"/>
          <w:color w:val="000000"/>
        </w:rPr>
        <w:t>’</w:t>
      </w:r>
      <w:r w:rsidRPr="00096134">
        <w:rPr>
          <w:rStyle w:val="JuParaCar"/>
          <w:color w:val="000000"/>
        </w:rPr>
        <w:t>une garantie spéciale de procédure, puisqu</w:t>
      </w:r>
      <w:r w:rsidR="00AA357F">
        <w:rPr>
          <w:rStyle w:val="JuParaCar"/>
          <w:color w:val="000000"/>
        </w:rPr>
        <w:t>’</w:t>
      </w:r>
      <w:r w:rsidRPr="00096134">
        <w:rPr>
          <w:rStyle w:val="JuParaCar"/>
          <w:color w:val="000000"/>
        </w:rPr>
        <w:t>elle fut exécutée en présence du bâtonnier de l</w:t>
      </w:r>
      <w:r w:rsidR="00AA357F">
        <w:rPr>
          <w:rStyle w:val="JuParaCar"/>
          <w:color w:val="000000"/>
        </w:rPr>
        <w:t>’</w:t>
      </w:r>
      <w:r w:rsidRPr="00096134">
        <w:rPr>
          <w:rStyle w:val="JuParaCar"/>
          <w:color w:val="000000"/>
        </w:rPr>
        <w:t>Ordre des avocats dont relevait le requérant.</w:t>
      </w:r>
    </w:p>
    <w:p w:rsidRPr="00096134" w:rsidR="000361CA" w:rsidP="000361CA" w:rsidRDefault="000361CA">
      <w:pPr>
        <w:pStyle w:val="JuPara"/>
        <w:rPr>
          <w:rStyle w:val="JuParaCar"/>
          <w:color w:val="000000"/>
        </w:rPr>
      </w:pPr>
      <w:r w:rsidRPr="00096134">
        <w:rPr>
          <w:rStyle w:val="JuParaCar"/>
          <w:color w:val="000000"/>
        </w:rPr>
        <w:t>A ce titre, le bâtonnier ne s</w:t>
      </w:r>
      <w:r w:rsidR="00AA357F">
        <w:rPr>
          <w:rStyle w:val="JuParaCar"/>
          <w:color w:val="000000"/>
        </w:rPr>
        <w:t>’</w:t>
      </w:r>
      <w:r w:rsidRPr="00096134">
        <w:rPr>
          <w:rStyle w:val="JuParaCar"/>
          <w:color w:val="000000"/>
        </w:rPr>
        <w:t>est pas opposé aux saisies, estimant au contraire que les documents concernés n</w:t>
      </w:r>
      <w:r w:rsidR="00AA357F">
        <w:rPr>
          <w:rStyle w:val="JuParaCar"/>
          <w:color w:val="000000"/>
        </w:rPr>
        <w:t>’</w:t>
      </w:r>
      <w:r w:rsidRPr="00096134">
        <w:rPr>
          <w:rStyle w:val="JuParaCar"/>
          <w:color w:val="000000"/>
        </w:rPr>
        <w:t xml:space="preserve">étaient pas couverts par le secret professionnel (cf., </w:t>
      </w:r>
      <w:r w:rsidRPr="00096134">
        <w:rPr>
          <w:rStyle w:val="JuParaCar"/>
          <w:i/>
          <w:color w:val="000000"/>
        </w:rPr>
        <w:t>mutatis mutandis</w:t>
      </w:r>
      <w:r w:rsidRPr="00096134">
        <w:rPr>
          <w:rStyle w:val="JuParaCar"/>
          <w:color w:val="000000"/>
        </w:rPr>
        <w:t xml:space="preserve">, </w:t>
      </w:r>
      <w:r w:rsidRPr="00096134">
        <w:rPr>
          <w:rStyle w:val="JuParaCar"/>
          <w:i/>
          <w:color w:val="000000"/>
        </w:rPr>
        <w:t>André et autre</w:t>
      </w:r>
      <w:r w:rsidRPr="00096134">
        <w:rPr>
          <w:rStyle w:val="JuParaCar"/>
          <w:color w:val="000000"/>
        </w:rPr>
        <w:t xml:space="preserve">, précité, § 44, ainsi que </w:t>
      </w:r>
      <w:r w:rsidRPr="00096134">
        <w:rPr>
          <w:rStyle w:val="JuParaCar"/>
          <w:i/>
          <w:color w:val="000000"/>
        </w:rPr>
        <w:t>Turcon</w:t>
      </w:r>
      <w:r w:rsidRPr="00096134">
        <w:rPr>
          <w:rStyle w:val="JuParaCar"/>
          <w:color w:val="000000"/>
        </w:rPr>
        <w:t>, précitée).</w:t>
      </w:r>
    </w:p>
    <w:p w:rsidRPr="00096134" w:rsidR="000361CA" w:rsidP="000361CA" w:rsidRDefault="000361CA">
      <w:pPr>
        <w:pStyle w:val="JuPara"/>
        <w:rPr>
          <w:rStyle w:val="JuParaCar"/>
          <w:color w:val="000000"/>
        </w:rPr>
      </w:pPr>
      <w:r w:rsidRPr="00096134">
        <w:rPr>
          <w:rStyle w:val="JuParaCar"/>
          <w:color w:val="000000"/>
        </w:rPr>
        <w:t>Force est de constater que, dans les pièces saisies, les lettres ne concernaient pas des échanges entre X et le requérant, son avocat, mais uniquement des demandes officielles destinées à des administrations publiques, ainsi qu</w:t>
      </w:r>
      <w:r w:rsidR="00AA357F">
        <w:rPr>
          <w:rStyle w:val="JuParaCar"/>
          <w:color w:val="000000"/>
        </w:rPr>
        <w:t>’</w:t>
      </w:r>
      <w:r w:rsidRPr="00096134">
        <w:rPr>
          <w:rStyle w:val="JuParaCar"/>
          <w:color w:val="000000"/>
        </w:rPr>
        <w:t>une note manuscrite ne contenant quant à elle que l</w:t>
      </w:r>
      <w:r w:rsidR="00AA357F">
        <w:rPr>
          <w:rStyle w:val="JuParaCar"/>
          <w:color w:val="000000"/>
        </w:rPr>
        <w:t>’</w:t>
      </w:r>
      <w:r w:rsidRPr="00096134">
        <w:rPr>
          <w:rStyle w:val="JuParaCar"/>
          <w:color w:val="000000"/>
        </w:rPr>
        <w:t>adresse d</w:t>
      </w:r>
      <w:r w:rsidR="00AA357F">
        <w:rPr>
          <w:rStyle w:val="JuParaCar"/>
          <w:color w:val="000000"/>
        </w:rPr>
        <w:t>’</w:t>
      </w:r>
      <w:r w:rsidRPr="00096134">
        <w:rPr>
          <w:rStyle w:val="JuParaCar"/>
          <w:color w:val="000000"/>
        </w:rPr>
        <w:t>une autre administration publique, outre les numéros de téléphone de membres de la famille de X, soit autant d</w:t>
      </w:r>
      <w:r w:rsidR="00AA357F">
        <w:rPr>
          <w:rStyle w:val="JuParaCar"/>
          <w:color w:val="000000"/>
        </w:rPr>
        <w:t>’</w:t>
      </w:r>
      <w:r w:rsidRPr="00096134">
        <w:rPr>
          <w:rStyle w:val="JuParaCar"/>
          <w:color w:val="000000"/>
        </w:rPr>
        <w:t>éléments normalement accessibles au magistrat et dont il était en tout état de cause susceptible d</w:t>
      </w:r>
      <w:r w:rsidR="00AA357F">
        <w:rPr>
          <w:rStyle w:val="JuParaCar"/>
          <w:color w:val="000000"/>
        </w:rPr>
        <w:t>’</w:t>
      </w:r>
      <w:r w:rsidRPr="00096134">
        <w:rPr>
          <w:rStyle w:val="JuParaCar"/>
          <w:color w:val="000000"/>
        </w:rPr>
        <w:t>avoir connaissance par ailleurs, comme en atteste l</w:t>
      </w:r>
      <w:r w:rsidR="00AA357F">
        <w:rPr>
          <w:rStyle w:val="JuParaCar"/>
          <w:color w:val="000000"/>
        </w:rPr>
        <w:t>’</w:t>
      </w:r>
      <w:r w:rsidRPr="00096134">
        <w:rPr>
          <w:rStyle w:val="JuParaCar"/>
          <w:color w:val="000000"/>
        </w:rPr>
        <w:t>information que lui avait directement transmise le service du Casier judiciaire national.</w:t>
      </w:r>
    </w:p>
    <w:p w:rsidRPr="00096134" w:rsidR="000361CA" w:rsidP="000361CA" w:rsidRDefault="000361CA">
      <w:pPr>
        <w:pStyle w:val="JuPara"/>
        <w:rPr>
          <w:rStyle w:val="JuParaCar"/>
          <w:color w:val="000000"/>
        </w:rPr>
      </w:pPr>
      <w:r w:rsidRPr="00096134">
        <w:rPr>
          <w:rStyle w:val="JuParaCar"/>
          <w:color w:val="000000"/>
        </w:rPr>
        <w:t>Par ailleurs, la Cour relève que l</w:t>
      </w:r>
      <w:r w:rsidR="00AA357F">
        <w:rPr>
          <w:rStyle w:val="JuParaCar"/>
          <w:color w:val="000000"/>
        </w:rPr>
        <w:t>’</w:t>
      </w:r>
      <w:r w:rsidRPr="00096134">
        <w:rPr>
          <w:rStyle w:val="JuParaCar"/>
          <w:color w:val="000000"/>
        </w:rPr>
        <w:t>ordonnance de perquisition n</w:t>
      </w:r>
      <w:r w:rsidR="00AA357F">
        <w:rPr>
          <w:rStyle w:val="JuParaCar"/>
          <w:color w:val="000000"/>
        </w:rPr>
        <w:t>’</w:t>
      </w:r>
      <w:r w:rsidRPr="00096134">
        <w:rPr>
          <w:rStyle w:val="JuParaCar"/>
          <w:color w:val="000000"/>
        </w:rPr>
        <w:t>était pas rédigée en termes trop larges, puisqu</w:t>
      </w:r>
      <w:r w:rsidR="00AA357F">
        <w:rPr>
          <w:rStyle w:val="JuParaCar"/>
          <w:color w:val="000000"/>
        </w:rPr>
        <w:t>’</w:t>
      </w:r>
      <w:r w:rsidRPr="00096134">
        <w:rPr>
          <w:rStyle w:val="JuParaCar"/>
          <w:color w:val="000000"/>
        </w:rPr>
        <w:t>elle ne visait que la recherche d</w:t>
      </w:r>
      <w:r w:rsidR="00AA357F">
        <w:rPr>
          <w:rStyle w:val="JuParaCar"/>
          <w:color w:val="000000"/>
        </w:rPr>
        <w:t>’</w:t>
      </w:r>
      <w:r w:rsidRPr="00096134">
        <w:rPr>
          <w:rStyle w:val="JuParaCar"/>
          <w:color w:val="000000"/>
        </w:rPr>
        <w:t>éléments permettant de localiser X. Il n</w:t>
      </w:r>
      <w:r w:rsidR="00AA357F">
        <w:rPr>
          <w:rStyle w:val="JuParaCar"/>
          <w:color w:val="000000"/>
        </w:rPr>
        <w:t>’</w:t>
      </w:r>
      <w:r w:rsidRPr="00096134">
        <w:rPr>
          <w:rStyle w:val="JuParaCar"/>
          <w:color w:val="000000"/>
        </w:rPr>
        <w:t>est d</w:t>
      </w:r>
      <w:r w:rsidR="00AA357F">
        <w:rPr>
          <w:rStyle w:val="JuParaCar"/>
          <w:color w:val="000000"/>
        </w:rPr>
        <w:t>’</w:t>
      </w:r>
      <w:r w:rsidRPr="00096134">
        <w:rPr>
          <w:rStyle w:val="JuParaCar"/>
          <w:color w:val="000000"/>
        </w:rPr>
        <w:t>ailleurs pas allégué par le requérant que la magistrate aurait consulté d</w:t>
      </w:r>
      <w:r w:rsidR="00AA357F">
        <w:rPr>
          <w:rStyle w:val="JuParaCar"/>
          <w:color w:val="000000"/>
        </w:rPr>
        <w:t>’</w:t>
      </w:r>
      <w:r w:rsidRPr="00096134">
        <w:rPr>
          <w:rStyle w:val="JuParaCar"/>
          <w:color w:val="000000"/>
        </w:rPr>
        <w:t>autres dossiers sans rapport avec l</w:t>
      </w:r>
      <w:r w:rsidR="00AA357F">
        <w:rPr>
          <w:rStyle w:val="JuParaCar"/>
          <w:color w:val="000000"/>
        </w:rPr>
        <w:t>’</w:t>
      </w:r>
      <w:r w:rsidRPr="00096134">
        <w:rPr>
          <w:rStyle w:val="JuParaCar"/>
          <w:color w:val="000000"/>
        </w:rPr>
        <w:t>objet de la perquisition, à l</w:t>
      </w:r>
      <w:r w:rsidR="00AA357F">
        <w:rPr>
          <w:rStyle w:val="JuParaCar"/>
          <w:color w:val="000000"/>
        </w:rPr>
        <w:t>’</w:t>
      </w:r>
      <w:r w:rsidRPr="00096134">
        <w:rPr>
          <w:rStyle w:val="JuParaCar"/>
          <w:color w:val="000000"/>
        </w:rPr>
        <w:t>exception du dossier désigné par le requérant lui-même au cours de la perquisition et contenant les affaires en attente, dont celle de X.</w:t>
      </w:r>
    </w:p>
    <w:p w:rsidRPr="00096134" w:rsidR="000361CA" w:rsidP="000361CA" w:rsidRDefault="000361CA">
      <w:pPr>
        <w:pStyle w:val="JuPara"/>
        <w:rPr>
          <w:rStyle w:val="JuParaCar"/>
          <w:color w:val="000000"/>
        </w:rPr>
      </w:pPr>
      <w:r w:rsidRPr="00096134">
        <w:rPr>
          <w:rStyle w:val="JuParaCar"/>
          <w:color w:val="000000"/>
        </w:rPr>
        <w:t>Compte tenu de ce qui précède, la Cour estime que la perquisition au domicile professionnel du requérant, n</w:t>
      </w:r>
      <w:r w:rsidR="00AA357F">
        <w:rPr>
          <w:rStyle w:val="JuParaCar"/>
          <w:color w:val="000000"/>
        </w:rPr>
        <w:t>’</w:t>
      </w:r>
      <w:r w:rsidRPr="00096134">
        <w:rPr>
          <w:rStyle w:val="JuParaCar"/>
          <w:color w:val="000000"/>
        </w:rPr>
        <w:t>était pas, dans les circonstances particulières de l</w:t>
      </w:r>
      <w:r w:rsidR="00AA357F">
        <w:rPr>
          <w:rStyle w:val="JuParaCar"/>
          <w:color w:val="000000"/>
        </w:rPr>
        <w:t>’</w:t>
      </w:r>
      <w:r w:rsidRPr="00096134">
        <w:rPr>
          <w:rStyle w:val="JuParaCar"/>
          <w:color w:val="000000"/>
        </w:rPr>
        <w:t>espèce, disproportionnée par rapport au but visé et elle ne relève aucune apparence de violation des dispositions de l</w:t>
      </w:r>
      <w:r w:rsidR="00AA357F">
        <w:rPr>
          <w:rStyle w:val="JuParaCar"/>
          <w:color w:val="000000"/>
        </w:rPr>
        <w:t>’</w:t>
      </w:r>
      <w:r w:rsidRPr="00096134">
        <w:rPr>
          <w:rStyle w:val="JuParaCar"/>
          <w:color w:val="000000"/>
        </w:rPr>
        <w:t>article 8 de la Convention.</w:t>
      </w:r>
    </w:p>
    <w:p w:rsidRPr="00096134" w:rsidR="000361CA" w:rsidP="000361CA" w:rsidRDefault="000361CA">
      <w:pPr>
        <w:pStyle w:val="JuPara"/>
        <w:rPr>
          <w:rStyle w:val="JuParaCar"/>
          <w:color w:val="000000"/>
        </w:rPr>
      </w:pPr>
      <w:r w:rsidRPr="00096134">
        <w:rPr>
          <w:rStyle w:val="JuParaCar"/>
          <w:color w:val="000000"/>
        </w:rPr>
        <w:t>Il s</w:t>
      </w:r>
      <w:r w:rsidR="00AA357F">
        <w:rPr>
          <w:rStyle w:val="JuParaCar"/>
          <w:color w:val="000000"/>
        </w:rPr>
        <w:t>’</w:t>
      </w:r>
      <w:r w:rsidRPr="00096134">
        <w:rPr>
          <w:rStyle w:val="JuParaCar"/>
          <w:color w:val="000000"/>
        </w:rPr>
        <w:t>ensuit que ce grief est manifestement mal fondé et doit être rejeté en application de l</w:t>
      </w:r>
      <w:r w:rsidR="00AA357F">
        <w:rPr>
          <w:rStyle w:val="JuParaCar"/>
          <w:color w:val="000000"/>
        </w:rPr>
        <w:t>’</w:t>
      </w:r>
      <w:r w:rsidRPr="00096134">
        <w:rPr>
          <w:rStyle w:val="JuParaCar"/>
          <w:color w:val="000000"/>
        </w:rPr>
        <w:t>article 35 §§ 3 et 4 de la Convention.</w:t>
      </w:r>
    </w:p>
    <w:p w:rsidRPr="00096134" w:rsidR="000361CA" w:rsidP="000361CA" w:rsidRDefault="00BC6ABC">
      <w:pPr>
        <w:pStyle w:val="LtrBody"/>
        <w:rPr>
          <w:rStyle w:val="JuParaCar"/>
          <w:color w:val="000000"/>
        </w:rPr>
      </w:pPr>
      <w:r>
        <w:rPr>
          <w:rStyle w:val="JuParaCar"/>
          <w:color w:val="000000"/>
        </w:rPr>
        <w:t>2.  </w:t>
      </w:r>
      <w:r w:rsidRPr="00096134" w:rsidR="000361CA">
        <w:rPr>
          <w:rStyle w:val="JuParaCar"/>
          <w:color w:val="000000"/>
        </w:rPr>
        <w:t>Le requérant invoque également des violations de l</w:t>
      </w:r>
      <w:r w:rsidR="00AA357F">
        <w:rPr>
          <w:rStyle w:val="JuParaCar"/>
          <w:color w:val="000000"/>
        </w:rPr>
        <w:t>’</w:t>
      </w:r>
      <w:r w:rsidRPr="00096134" w:rsidR="000361CA">
        <w:rPr>
          <w:rStyle w:val="JuParaCar"/>
          <w:color w:val="000000"/>
        </w:rPr>
        <w:t>article 6 § 1 de la Convention.</w:t>
      </w:r>
    </w:p>
    <w:p w:rsidRPr="00096134" w:rsidR="000361CA" w:rsidP="000361CA" w:rsidRDefault="000361CA">
      <w:pPr>
        <w:pStyle w:val="JuPara"/>
        <w:rPr>
          <w:rStyle w:val="JuParaCar"/>
          <w:color w:val="000000"/>
        </w:rPr>
      </w:pPr>
      <w:r w:rsidRPr="00096134">
        <w:rPr>
          <w:rStyle w:val="JuParaCar"/>
          <w:color w:val="000000"/>
        </w:rPr>
        <w:t>S</w:t>
      </w:r>
      <w:r w:rsidR="00AA357F">
        <w:rPr>
          <w:rStyle w:val="JuParaCar"/>
          <w:color w:val="000000"/>
        </w:rPr>
        <w:t>’</w:t>
      </w:r>
      <w:r w:rsidRPr="00096134">
        <w:rPr>
          <w:rStyle w:val="JuParaCar"/>
          <w:color w:val="000000"/>
        </w:rPr>
        <w:t>agissant du défaut allégué d</w:t>
      </w:r>
      <w:r w:rsidR="00AA357F">
        <w:rPr>
          <w:rStyle w:val="JuParaCar"/>
          <w:color w:val="000000"/>
        </w:rPr>
        <w:t>’</w:t>
      </w:r>
      <w:r w:rsidRPr="00096134">
        <w:rPr>
          <w:rStyle w:val="JuParaCar"/>
          <w:color w:val="000000"/>
        </w:rPr>
        <w:t>accès à un tribunal, la Cour rappelle qu</w:t>
      </w:r>
      <w:r w:rsidR="00AA357F">
        <w:rPr>
          <w:rStyle w:val="JuParaCar"/>
          <w:color w:val="000000"/>
        </w:rPr>
        <w:t>’</w:t>
      </w:r>
      <w:r w:rsidRPr="00096134">
        <w:rPr>
          <w:rStyle w:val="JuParaCar"/>
          <w:color w:val="000000"/>
        </w:rPr>
        <w:t>elle a déjà considéré, dans une affaire similaire, qu</w:t>
      </w:r>
      <w:r w:rsidR="00AA357F">
        <w:rPr>
          <w:rStyle w:val="JuParaCar"/>
          <w:color w:val="000000"/>
        </w:rPr>
        <w:t>’</w:t>
      </w:r>
      <w:r w:rsidRPr="00096134">
        <w:rPr>
          <w:rStyle w:val="JuParaCar"/>
          <w:color w:val="000000"/>
        </w:rPr>
        <w:t>un requérant pouvait avoir accès à un tribunal pour contester une perquisition litigieuse en exerçant le recours fondé sur l</w:t>
      </w:r>
      <w:r w:rsidR="00AA357F">
        <w:rPr>
          <w:rStyle w:val="JuParaCar"/>
          <w:color w:val="000000"/>
        </w:rPr>
        <w:t>’</w:t>
      </w:r>
      <w:r w:rsidRPr="00096134">
        <w:rPr>
          <w:rStyle w:val="JuParaCar"/>
          <w:color w:val="000000"/>
        </w:rPr>
        <w:t>article L. 141-1 du code de l</w:t>
      </w:r>
      <w:r w:rsidR="00AA357F">
        <w:rPr>
          <w:rStyle w:val="JuParaCar"/>
          <w:color w:val="000000"/>
        </w:rPr>
        <w:t>’</w:t>
      </w:r>
      <w:r w:rsidRPr="00096134">
        <w:rPr>
          <w:rStyle w:val="JuParaCar"/>
          <w:color w:val="000000"/>
        </w:rPr>
        <w:t>organisation judiciaire (</w:t>
      </w:r>
      <w:r w:rsidRPr="00096134">
        <w:rPr>
          <w:rStyle w:val="JuParaCar"/>
          <w:i/>
          <w:color w:val="000000"/>
        </w:rPr>
        <w:t>Turcon</w:t>
      </w:r>
      <w:r w:rsidRPr="00096134">
        <w:rPr>
          <w:rStyle w:val="JuParaCar"/>
          <w:color w:val="000000"/>
        </w:rPr>
        <w:t>, précitée). Elle ne voit aucune raison de s</w:t>
      </w:r>
      <w:r w:rsidR="00AA357F">
        <w:rPr>
          <w:rStyle w:val="JuParaCar"/>
          <w:color w:val="000000"/>
        </w:rPr>
        <w:t>’</w:t>
      </w:r>
      <w:r w:rsidRPr="00096134">
        <w:rPr>
          <w:rStyle w:val="JuParaCar"/>
          <w:color w:val="000000"/>
        </w:rPr>
        <w:t>écarter de ce constat en l</w:t>
      </w:r>
      <w:r w:rsidR="00AA357F">
        <w:rPr>
          <w:rStyle w:val="JuParaCar"/>
          <w:color w:val="000000"/>
        </w:rPr>
        <w:t>’</w:t>
      </w:r>
      <w:r w:rsidRPr="00096134">
        <w:rPr>
          <w:rStyle w:val="JuParaCar"/>
          <w:color w:val="000000"/>
        </w:rPr>
        <w:t>espèce, le requérant n</w:t>
      </w:r>
      <w:r w:rsidR="00AA357F">
        <w:rPr>
          <w:rStyle w:val="JuParaCar"/>
          <w:color w:val="000000"/>
        </w:rPr>
        <w:t>’</w:t>
      </w:r>
      <w:r w:rsidRPr="00096134">
        <w:rPr>
          <w:rStyle w:val="JuParaCar"/>
          <w:color w:val="000000"/>
        </w:rPr>
        <w:t>ayant pas davantage tenté d</w:t>
      </w:r>
      <w:r w:rsidR="00AA357F">
        <w:rPr>
          <w:rStyle w:val="JuParaCar"/>
          <w:color w:val="000000"/>
        </w:rPr>
        <w:t>’</w:t>
      </w:r>
      <w:r w:rsidRPr="00096134">
        <w:rPr>
          <w:rStyle w:val="JuParaCar"/>
          <w:color w:val="000000"/>
        </w:rPr>
        <w:t>exercer ce recours (ibidem).</w:t>
      </w:r>
    </w:p>
    <w:p w:rsidRPr="00096134" w:rsidR="000361CA" w:rsidP="00BC6ABC" w:rsidRDefault="000361CA">
      <w:pPr>
        <w:pStyle w:val="JuPara"/>
        <w:keepNext/>
        <w:keepLines/>
        <w:rPr>
          <w:rStyle w:val="JuParaCar"/>
          <w:color w:val="000000"/>
        </w:rPr>
      </w:pPr>
      <w:r w:rsidRPr="00096134">
        <w:rPr>
          <w:rStyle w:val="JuParaCar"/>
          <w:color w:val="000000"/>
        </w:rPr>
        <w:t>Pour le surplus, au vu de l</w:t>
      </w:r>
      <w:r w:rsidR="00AA357F">
        <w:rPr>
          <w:rStyle w:val="JuParaCar"/>
          <w:color w:val="000000"/>
        </w:rPr>
        <w:t>’</w:t>
      </w:r>
      <w:r w:rsidRPr="00096134">
        <w:rPr>
          <w:rStyle w:val="JuParaCar"/>
          <w:color w:val="000000"/>
        </w:rPr>
        <w:t>ensemble des éléments en sa possession, et dans la mesure où elle est compétente pour connaître des allégations formulées, la Cour n</w:t>
      </w:r>
      <w:r w:rsidR="00AA357F">
        <w:rPr>
          <w:rStyle w:val="JuParaCar"/>
          <w:color w:val="000000"/>
        </w:rPr>
        <w:t>’</w:t>
      </w:r>
      <w:r w:rsidRPr="00096134">
        <w:rPr>
          <w:rStyle w:val="JuParaCar"/>
          <w:color w:val="000000"/>
        </w:rPr>
        <w:t>a relevé aucune apparence de violation des dispositions de l</w:t>
      </w:r>
      <w:r w:rsidR="00AA357F">
        <w:rPr>
          <w:rStyle w:val="JuParaCar"/>
          <w:color w:val="000000"/>
        </w:rPr>
        <w:t>’</w:t>
      </w:r>
      <w:r w:rsidRPr="00096134">
        <w:rPr>
          <w:rStyle w:val="JuParaCar"/>
          <w:color w:val="000000"/>
        </w:rPr>
        <w:t>article 6 de la Convention.</w:t>
      </w:r>
    </w:p>
    <w:p w:rsidRPr="00096134" w:rsidR="000361CA" w:rsidP="000361CA" w:rsidRDefault="000361CA">
      <w:pPr>
        <w:pStyle w:val="JuPara"/>
        <w:rPr>
          <w:rStyle w:val="JuParaCar"/>
          <w:color w:val="000000"/>
        </w:rPr>
      </w:pPr>
      <w:r w:rsidRPr="00096134">
        <w:rPr>
          <w:rStyle w:val="JuParaCar"/>
          <w:color w:val="000000"/>
        </w:rPr>
        <w:t>Il s</w:t>
      </w:r>
      <w:r w:rsidR="00AA357F">
        <w:rPr>
          <w:rStyle w:val="JuParaCar"/>
          <w:color w:val="000000"/>
        </w:rPr>
        <w:t>’</w:t>
      </w:r>
      <w:r w:rsidRPr="00096134">
        <w:rPr>
          <w:rStyle w:val="JuParaCar"/>
          <w:color w:val="000000"/>
        </w:rPr>
        <w:t>ensuit que cette partie de la requête doit être rejetée pour non</w:t>
      </w:r>
      <w:r w:rsidR="00BC6ABC">
        <w:rPr>
          <w:rStyle w:val="JuParaCar"/>
          <w:color w:val="000000"/>
        </w:rPr>
        <w:noBreakHyphen/>
      </w:r>
      <w:r w:rsidRPr="00096134">
        <w:rPr>
          <w:rStyle w:val="JuParaCar"/>
          <w:color w:val="000000"/>
        </w:rPr>
        <w:t>épuisement des voies de recours internes et défaut manifeste de fondement, en application de l</w:t>
      </w:r>
      <w:r w:rsidR="00AA357F">
        <w:rPr>
          <w:rStyle w:val="JuParaCar"/>
          <w:color w:val="000000"/>
        </w:rPr>
        <w:t>’</w:t>
      </w:r>
      <w:r w:rsidRPr="00096134">
        <w:rPr>
          <w:rStyle w:val="JuParaCar"/>
          <w:color w:val="000000"/>
        </w:rPr>
        <w:t>article 35 §§ 1, 3 et 4 de la Convention.</w:t>
      </w:r>
    </w:p>
    <w:p w:rsidRPr="00096134" w:rsidR="000361CA" w:rsidP="000361CA" w:rsidRDefault="000361CA">
      <w:pPr>
        <w:pStyle w:val="JuParaLast"/>
        <w:rPr>
          <w:color w:val="000000"/>
        </w:rPr>
      </w:pPr>
      <w:r w:rsidRPr="00096134">
        <w:rPr>
          <w:color w:val="000000"/>
        </w:rPr>
        <w:t xml:space="preserve">Par ces motifs, la Cour, </w:t>
      </w:r>
      <w:r w:rsidR="00096134">
        <w:rPr>
          <w:color w:val="000000"/>
        </w:rPr>
        <w:t>à la majorité,</w:t>
      </w:r>
    </w:p>
    <w:p w:rsidRPr="00096134" w:rsidR="000361CA" w:rsidP="000361CA" w:rsidRDefault="000361CA">
      <w:pPr>
        <w:pStyle w:val="JuParaLast"/>
        <w:rPr>
          <w:color w:val="000000"/>
        </w:rPr>
      </w:pPr>
      <w:r w:rsidRPr="00096134">
        <w:rPr>
          <w:i/>
          <w:color w:val="000000"/>
        </w:rPr>
        <w:t>Déclare</w:t>
      </w:r>
      <w:r w:rsidRPr="00096134">
        <w:rPr>
          <w:color w:val="000000"/>
        </w:rPr>
        <w:t xml:space="preserve"> la requête irrecevable.</w:t>
      </w:r>
    </w:p>
    <w:p w:rsidRPr="00096134" w:rsidR="00A945B7" w:rsidP="00096134" w:rsidRDefault="00096134">
      <w:pPr>
        <w:pStyle w:val="JuSigned"/>
        <w:keepNext/>
        <w:keepLines/>
        <w:rPr>
          <w:color w:val="000000"/>
        </w:rPr>
      </w:pPr>
      <w:r>
        <w:tab/>
        <w:t>Claudia Westerdiek</w:t>
      </w:r>
      <w:r>
        <w:tab/>
      </w:r>
      <w:r w:rsidRPr="000361CA">
        <w:rPr>
          <w:color w:val="000000"/>
          <w:szCs w:val="24"/>
          <w:lang w:eastAsia="en-GB"/>
        </w:rPr>
        <w:t>Peer Lorenzen</w:t>
      </w:r>
      <w:r w:rsidRPr="00096134" w:rsidR="000361CA">
        <w:br/>
      </w:r>
      <w:r w:rsidRPr="00096134" w:rsidR="000361CA">
        <w:tab/>
        <w:t>Greffière</w:t>
      </w:r>
      <w:r w:rsidRPr="00096134" w:rsidR="000361CA">
        <w:tab/>
        <w:t>Président</w:t>
      </w:r>
    </w:p>
    <w:sectPr w:rsidRPr="00096134" w:rsidR="00A945B7" w:rsidSect="000361CA">
      <w:headerReference w:type="even" r:id="rId7"/>
      <w:headerReference w:type="default" r:id="rId8"/>
      <w:headerReference w:type="first" r:id="rId9"/>
      <w:footnotePr>
        <w:numRestart w:val="eachPage"/>
      </w:footnotePr>
      <w:pgSz w:w="11906" w:h="16838"/>
      <w:pgMar w:top="2273" w:right="2273" w:bottom="2273" w:left="2273" w:header="1701" w:footer="720" w:gutter="0"/>
      <w:pgNumType w:start="1"/>
      <w:cols w:space="720"/>
      <w:titlePg/>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558A" w:rsidRDefault="0035558A">
      <w:r>
        <w:separator/>
      </w:r>
    </w:p>
  </w:endnote>
  <w:endnote w:type="continuationSeparator" w:id="0">
    <w:p w:rsidR="0035558A" w:rsidRDefault="00355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W1)">
    <w:charset w:val="00"/>
    <w:family w:val="roman"/>
    <w:pitch w:val="variable"/>
    <w:sig w:usb0="20007A87"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558A" w:rsidRDefault="0035558A">
      <w:r>
        <w:separator/>
      </w:r>
    </w:p>
  </w:footnote>
  <w:footnote w:type="continuationSeparator" w:id="0">
    <w:p w:rsidR="0035558A" w:rsidRDefault="003555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558A" w:rsidRDefault="0035558A">
    <w:pPr>
      <w:pStyle w:val="JuHeader"/>
    </w:pPr>
    <w:r>
      <w:rPr>
        <w:rStyle w:val="PageNumber"/>
      </w:rPr>
      <w:fldChar w:fldCharType="begin"/>
    </w:r>
    <w:r>
      <w:rPr>
        <w:rStyle w:val="PageNumber"/>
      </w:rPr>
      <w:instrText xml:space="preserve"> PAGE </w:instrText>
    </w:r>
    <w:r>
      <w:rPr>
        <w:rStyle w:val="PageNumber"/>
      </w:rPr>
      <w:fldChar w:fldCharType="separate"/>
    </w:r>
    <w:r w:rsidR="00AA357F">
      <w:rPr>
        <w:rStyle w:val="PageNumber"/>
        <w:noProof/>
      </w:rPr>
      <w:t>8</w:t>
    </w:r>
    <w:r>
      <w:rPr>
        <w:rStyle w:val="PageNumber"/>
      </w:rPr>
      <w:fldChar w:fldCharType="end"/>
    </w:r>
    <w:r w:rsidRPr="00311EFF">
      <w:tab/>
    </w:r>
    <w:r>
      <w:t>DÉCISION JACQUIER c. FRANCE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558A" w:rsidRDefault="0035558A">
    <w:pPr>
      <w:pStyle w:val="JuHeader"/>
    </w:pPr>
    <w:r>
      <w:tab/>
      <w:t>DÉCISION JACQUIER c. FRANCE</w:t>
    </w:r>
    <w:r w:rsidRPr="00A85D97">
      <w:tab/>
    </w:r>
    <w:r>
      <w:rPr>
        <w:rStyle w:val="PageNumber"/>
      </w:rPr>
      <w:fldChar w:fldCharType="begin"/>
    </w:r>
    <w:r>
      <w:rPr>
        <w:rStyle w:val="PageNumber"/>
      </w:rPr>
      <w:instrText xml:space="preserve"> PAGE </w:instrText>
    </w:r>
    <w:r>
      <w:rPr>
        <w:rStyle w:val="PageNumber"/>
      </w:rPr>
      <w:fldChar w:fldCharType="separate"/>
    </w:r>
    <w:r w:rsidR="00AA357F">
      <w:rPr>
        <w:rStyle w:val="PageNumber"/>
        <w:noProof/>
      </w:rPr>
      <w:t>7</w:t>
    </w:r>
    <w:r>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558A" w:rsidRPr="00C00F0F" w:rsidRDefault="0035558A">
    <w:pPr>
      <w:pStyle w:val="Header"/>
      <w:jc w:val="center"/>
      <w:rPr>
        <w:sz w:val="4"/>
        <w:szCs w:val="4"/>
      </w:rPr>
    </w:pPr>
    <w:r w:rsidRPr="000624B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50DocHeaderBigBlack"/>
        </v:shape>
      </w:pict>
    </w:r>
  </w:p>
  <w:p w:rsidR="0035558A" w:rsidRDefault="003555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59BCE804"/>
    <w:lvl w:ilvl="0">
      <w:start w:val="1"/>
      <w:numFmt w:val="decimal"/>
      <w:lvlText w:val="%1."/>
      <w:lvlJc w:val="left"/>
      <w:pPr>
        <w:tabs>
          <w:tab w:val="num" w:pos="1492"/>
        </w:tabs>
        <w:ind w:left="1492" w:hanging="360"/>
      </w:pPr>
    </w:lvl>
  </w:abstractNum>
  <w:abstractNum w:abstractNumId="1">
    <w:nsid w:val="FFFFFF7D"/>
    <w:multiLevelType w:val="singleLevel"/>
    <w:tmpl w:val="8B86FD3C"/>
    <w:lvl w:ilvl="0">
      <w:start w:val="1"/>
      <w:numFmt w:val="decimal"/>
      <w:lvlText w:val="%1."/>
      <w:lvlJc w:val="left"/>
      <w:pPr>
        <w:tabs>
          <w:tab w:val="num" w:pos="1209"/>
        </w:tabs>
        <w:ind w:left="1209" w:hanging="360"/>
      </w:pPr>
    </w:lvl>
  </w:abstractNum>
  <w:abstractNum w:abstractNumId="2">
    <w:nsid w:val="FFFFFF7E"/>
    <w:multiLevelType w:val="singleLevel"/>
    <w:tmpl w:val="1E3E8A12"/>
    <w:lvl w:ilvl="0">
      <w:start w:val="1"/>
      <w:numFmt w:val="decimal"/>
      <w:lvlText w:val="%1."/>
      <w:lvlJc w:val="left"/>
      <w:pPr>
        <w:tabs>
          <w:tab w:val="num" w:pos="926"/>
        </w:tabs>
        <w:ind w:left="926" w:hanging="360"/>
      </w:pPr>
    </w:lvl>
  </w:abstractNum>
  <w:abstractNum w:abstractNumId="3">
    <w:nsid w:val="FFFFFF7F"/>
    <w:multiLevelType w:val="singleLevel"/>
    <w:tmpl w:val="78CCC57A"/>
    <w:lvl w:ilvl="0">
      <w:start w:val="1"/>
      <w:numFmt w:val="decimal"/>
      <w:lvlText w:val="%1."/>
      <w:lvlJc w:val="left"/>
      <w:pPr>
        <w:tabs>
          <w:tab w:val="num" w:pos="643"/>
        </w:tabs>
        <w:ind w:left="643" w:hanging="360"/>
      </w:pPr>
    </w:lvl>
  </w:abstractNum>
  <w:abstractNum w:abstractNumId="4">
    <w:nsid w:val="FFFFFF80"/>
    <w:multiLevelType w:val="singleLevel"/>
    <w:tmpl w:val="DB141A2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9729D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CC02C4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5D2070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5DCDA5E"/>
    <w:lvl w:ilvl="0">
      <w:start w:val="1"/>
      <w:numFmt w:val="decimal"/>
      <w:lvlText w:val="%1."/>
      <w:lvlJc w:val="left"/>
      <w:pPr>
        <w:tabs>
          <w:tab w:val="num" w:pos="360"/>
        </w:tabs>
        <w:ind w:left="360" w:hanging="360"/>
      </w:pPr>
    </w:lvl>
  </w:abstractNum>
  <w:abstractNum w:abstractNumId="9">
    <w:nsid w:val="FFFFFF89"/>
    <w:multiLevelType w:val="singleLevel"/>
    <w:tmpl w:val="3B54598C"/>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evenAndOddHeaders/>
  <w:drawingGridHorizontalSpacing w:val="57"/>
  <w:noPunctuationKerning/>
  <w:characterSpacingControl w:val="doNotCompress"/>
  <w:footnotePr>
    <w:numRestart w:val="eachPage"/>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361CA"/>
    <w:rsid w:val="00004443"/>
    <w:rsid w:val="00004A13"/>
    <w:rsid w:val="000163B2"/>
    <w:rsid w:val="00016C62"/>
    <w:rsid w:val="000232D7"/>
    <w:rsid w:val="0002331C"/>
    <w:rsid w:val="000244FA"/>
    <w:rsid w:val="00024860"/>
    <w:rsid w:val="00026CFF"/>
    <w:rsid w:val="00026E72"/>
    <w:rsid w:val="00027A18"/>
    <w:rsid w:val="00032BF4"/>
    <w:rsid w:val="000361CA"/>
    <w:rsid w:val="000364BD"/>
    <w:rsid w:val="00041925"/>
    <w:rsid w:val="000526C7"/>
    <w:rsid w:val="00053B6B"/>
    <w:rsid w:val="00054442"/>
    <w:rsid w:val="000625D8"/>
    <w:rsid w:val="00063045"/>
    <w:rsid w:val="00067E65"/>
    <w:rsid w:val="00073349"/>
    <w:rsid w:val="000760FE"/>
    <w:rsid w:val="000779C8"/>
    <w:rsid w:val="00080118"/>
    <w:rsid w:val="00081D79"/>
    <w:rsid w:val="00083B65"/>
    <w:rsid w:val="000843A2"/>
    <w:rsid w:val="00085D1E"/>
    <w:rsid w:val="000874BD"/>
    <w:rsid w:val="00095221"/>
    <w:rsid w:val="000953D9"/>
    <w:rsid w:val="0009599E"/>
    <w:rsid w:val="00096134"/>
    <w:rsid w:val="00097938"/>
    <w:rsid w:val="000A2F21"/>
    <w:rsid w:val="000A4DAE"/>
    <w:rsid w:val="000A6F06"/>
    <w:rsid w:val="000A7D52"/>
    <w:rsid w:val="000B01CE"/>
    <w:rsid w:val="000B675D"/>
    <w:rsid w:val="000B6A21"/>
    <w:rsid w:val="000D522E"/>
    <w:rsid w:val="000D7125"/>
    <w:rsid w:val="000E2128"/>
    <w:rsid w:val="000E3D9B"/>
    <w:rsid w:val="000E5B89"/>
    <w:rsid w:val="000E5D88"/>
    <w:rsid w:val="000F2441"/>
    <w:rsid w:val="000F2FAC"/>
    <w:rsid w:val="000F7500"/>
    <w:rsid w:val="000F7FD4"/>
    <w:rsid w:val="00105077"/>
    <w:rsid w:val="00116646"/>
    <w:rsid w:val="00116A0A"/>
    <w:rsid w:val="00126932"/>
    <w:rsid w:val="0012797A"/>
    <w:rsid w:val="001326D0"/>
    <w:rsid w:val="00134F23"/>
    <w:rsid w:val="00141CB8"/>
    <w:rsid w:val="00142D48"/>
    <w:rsid w:val="00144730"/>
    <w:rsid w:val="00145713"/>
    <w:rsid w:val="00153DE5"/>
    <w:rsid w:val="00154C6A"/>
    <w:rsid w:val="00155593"/>
    <w:rsid w:val="0015768B"/>
    <w:rsid w:val="00161C86"/>
    <w:rsid w:val="0016239D"/>
    <w:rsid w:val="00162D23"/>
    <w:rsid w:val="00164687"/>
    <w:rsid w:val="00164B24"/>
    <w:rsid w:val="00165226"/>
    <w:rsid w:val="001709C2"/>
    <w:rsid w:val="0017197D"/>
    <w:rsid w:val="00173AA4"/>
    <w:rsid w:val="00173D83"/>
    <w:rsid w:val="00176123"/>
    <w:rsid w:val="001828B5"/>
    <w:rsid w:val="00182BF8"/>
    <w:rsid w:val="001839F4"/>
    <w:rsid w:val="0018527D"/>
    <w:rsid w:val="001852C8"/>
    <w:rsid w:val="00185411"/>
    <w:rsid w:val="00186DFC"/>
    <w:rsid w:val="001A28FC"/>
    <w:rsid w:val="001A5CD1"/>
    <w:rsid w:val="001A75F6"/>
    <w:rsid w:val="001B0DE9"/>
    <w:rsid w:val="001B2791"/>
    <w:rsid w:val="001B3707"/>
    <w:rsid w:val="001C0C5A"/>
    <w:rsid w:val="001C15F4"/>
    <w:rsid w:val="001C33DA"/>
    <w:rsid w:val="001C41C9"/>
    <w:rsid w:val="001D1181"/>
    <w:rsid w:val="001D4F65"/>
    <w:rsid w:val="001D6A36"/>
    <w:rsid w:val="001D7EDA"/>
    <w:rsid w:val="001E2F0A"/>
    <w:rsid w:val="001E6DE3"/>
    <w:rsid w:val="001F0801"/>
    <w:rsid w:val="001F3D22"/>
    <w:rsid w:val="001F4A99"/>
    <w:rsid w:val="001F7F65"/>
    <w:rsid w:val="00200B09"/>
    <w:rsid w:val="00202DC4"/>
    <w:rsid w:val="0020606C"/>
    <w:rsid w:val="00210F6D"/>
    <w:rsid w:val="002119EB"/>
    <w:rsid w:val="00213105"/>
    <w:rsid w:val="00214F4E"/>
    <w:rsid w:val="00215657"/>
    <w:rsid w:val="00217891"/>
    <w:rsid w:val="002227A1"/>
    <w:rsid w:val="00226BBD"/>
    <w:rsid w:val="002337A1"/>
    <w:rsid w:val="002365B8"/>
    <w:rsid w:val="0023766F"/>
    <w:rsid w:val="0024307B"/>
    <w:rsid w:val="00243F2B"/>
    <w:rsid w:val="00250254"/>
    <w:rsid w:val="002505A5"/>
    <w:rsid w:val="002519A3"/>
    <w:rsid w:val="00262453"/>
    <w:rsid w:val="002666FC"/>
    <w:rsid w:val="00271169"/>
    <w:rsid w:val="0027297E"/>
    <w:rsid w:val="002863A4"/>
    <w:rsid w:val="00291774"/>
    <w:rsid w:val="002921D9"/>
    <w:rsid w:val="00295423"/>
    <w:rsid w:val="002A0DCB"/>
    <w:rsid w:val="002A39DA"/>
    <w:rsid w:val="002B360B"/>
    <w:rsid w:val="002B3854"/>
    <w:rsid w:val="002C0653"/>
    <w:rsid w:val="002C2284"/>
    <w:rsid w:val="002C280B"/>
    <w:rsid w:val="002C4CA6"/>
    <w:rsid w:val="002C5B8D"/>
    <w:rsid w:val="002D0C22"/>
    <w:rsid w:val="002D50C5"/>
    <w:rsid w:val="002D510F"/>
    <w:rsid w:val="002E4CB8"/>
    <w:rsid w:val="002E63FE"/>
    <w:rsid w:val="002F3709"/>
    <w:rsid w:val="002F4231"/>
    <w:rsid w:val="002F42AB"/>
    <w:rsid w:val="002F507C"/>
    <w:rsid w:val="00307344"/>
    <w:rsid w:val="00326432"/>
    <w:rsid w:val="00330075"/>
    <w:rsid w:val="00332497"/>
    <w:rsid w:val="00333A4E"/>
    <w:rsid w:val="00334207"/>
    <w:rsid w:val="003343C2"/>
    <w:rsid w:val="0033484C"/>
    <w:rsid w:val="003366EA"/>
    <w:rsid w:val="0033673C"/>
    <w:rsid w:val="003428B9"/>
    <w:rsid w:val="0034339D"/>
    <w:rsid w:val="00346224"/>
    <w:rsid w:val="0034686F"/>
    <w:rsid w:val="00347A89"/>
    <w:rsid w:val="00350EDC"/>
    <w:rsid w:val="003512D1"/>
    <w:rsid w:val="003540FD"/>
    <w:rsid w:val="0035558A"/>
    <w:rsid w:val="00356D35"/>
    <w:rsid w:val="00357AE4"/>
    <w:rsid w:val="0036023A"/>
    <w:rsid w:val="00361AFA"/>
    <w:rsid w:val="00365185"/>
    <w:rsid w:val="003664E9"/>
    <w:rsid w:val="00372D0D"/>
    <w:rsid w:val="003742F4"/>
    <w:rsid w:val="003762B2"/>
    <w:rsid w:val="003906D3"/>
    <w:rsid w:val="00395579"/>
    <w:rsid w:val="003A2B73"/>
    <w:rsid w:val="003A73FA"/>
    <w:rsid w:val="003B5EB9"/>
    <w:rsid w:val="003C0F1C"/>
    <w:rsid w:val="003C48EE"/>
    <w:rsid w:val="003C50D9"/>
    <w:rsid w:val="003C66D1"/>
    <w:rsid w:val="003D2C4C"/>
    <w:rsid w:val="003D2EFF"/>
    <w:rsid w:val="003F0550"/>
    <w:rsid w:val="003F1116"/>
    <w:rsid w:val="003F19DE"/>
    <w:rsid w:val="003F247E"/>
    <w:rsid w:val="003F2E40"/>
    <w:rsid w:val="00405388"/>
    <w:rsid w:val="00407D7D"/>
    <w:rsid w:val="00414CB4"/>
    <w:rsid w:val="00414F58"/>
    <w:rsid w:val="00416DE4"/>
    <w:rsid w:val="00417D0D"/>
    <w:rsid w:val="0042253D"/>
    <w:rsid w:val="004240BF"/>
    <w:rsid w:val="00425300"/>
    <w:rsid w:val="00426889"/>
    <w:rsid w:val="0043279F"/>
    <w:rsid w:val="00432BAB"/>
    <w:rsid w:val="00441CFC"/>
    <w:rsid w:val="004454FA"/>
    <w:rsid w:val="00451F71"/>
    <w:rsid w:val="00455CBD"/>
    <w:rsid w:val="004602B6"/>
    <w:rsid w:val="0046049A"/>
    <w:rsid w:val="0046249F"/>
    <w:rsid w:val="004632F4"/>
    <w:rsid w:val="00463715"/>
    <w:rsid w:val="004651E3"/>
    <w:rsid w:val="0046689F"/>
    <w:rsid w:val="004674A5"/>
    <w:rsid w:val="00471BED"/>
    <w:rsid w:val="004722D8"/>
    <w:rsid w:val="00474443"/>
    <w:rsid w:val="004839CA"/>
    <w:rsid w:val="00485253"/>
    <w:rsid w:val="00486399"/>
    <w:rsid w:val="00491990"/>
    <w:rsid w:val="00492D90"/>
    <w:rsid w:val="00492FED"/>
    <w:rsid w:val="0049389A"/>
    <w:rsid w:val="00497E8D"/>
    <w:rsid w:val="004A059F"/>
    <w:rsid w:val="004A313B"/>
    <w:rsid w:val="004A3CF6"/>
    <w:rsid w:val="004A4BAF"/>
    <w:rsid w:val="004B55F7"/>
    <w:rsid w:val="004B5A49"/>
    <w:rsid w:val="004B7AE0"/>
    <w:rsid w:val="004C1691"/>
    <w:rsid w:val="004C76F9"/>
    <w:rsid w:val="004D1A60"/>
    <w:rsid w:val="004D23D0"/>
    <w:rsid w:val="004D31DE"/>
    <w:rsid w:val="004D3A15"/>
    <w:rsid w:val="004D4150"/>
    <w:rsid w:val="004D4F17"/>
    <w:rsid w:val="004E3954"/>
    <w:rsid w:val="004E5984"/>
    <w:rsid w:val="004E6E36"/>
    <w:rsid w:val="004F3E30"/>
    <w:rsid w:val="004F4E5E"/>
    <w:rsid w:val="004F7F11"/>
    <w:rsid w:val="005003D2"/>
    <w:rsid w:val="00504360"/>
    <w:rsid w:val="005050D9"/>
    <w:rsid w:val="0050660F"/>
    <w:rsid w:val="00510FF4"/>
    <w:rsid w:val="005123F7"/>
    <w:rsid w:val="005170F8"/>
    <w:rsid w:val="00517348"/>
    <w:rsid w:val="00521126"/>
    <w:rsid w:val="005218EE"/>
    <w:rsid w:val="00530DD4"/>
    <w:rsid w:val="00531DDB"/>
    <w:rsid w:val="005332EF"/>
    <w:rsid w:val="00536783"/>
    <w:rsid w:val="00537D48"/>
    <w:rsid w:val="00541329"/>
    <w:rsid w:val="00550D1B"/>
    <w:rsid w:val="005513F0"/>
    <w:rsid w:val="00554772"/>
    <w:rsid w:val="0056228D"/>
    <w:rsid w:val="00567BE1"/>
    <w:rsid w:val="005706C7"/>
    <w:rsid w:val="00577C3B"/>
    <w:rsid w:val="00582FEB"/>
    <w:rsid w:val="00584A7D"/>
    <w:rsid w:val="00585F22"/>
    <w:rsid w:val="00586C48"/>
    <w:rsid w:val="0059377E"/>
    <w:rsid w:val="0059484F"/>
    <w:rsid w:val="005957DA"/>
    <w:rsid w:val="005A20B5"/>
    <w:rsid w:val="005A382A"/>
    <w:rsid w:val="005A4276"/>
    <w:rsid w:val="005A4529"/>
    <w:rsid w:val="005B02A5"/>
    <w:rsid w:val="005B70CC"/>
    <w:rsid w:val="005C2439"/>
    <w:rsid w:val="005C43CA"/>
    <w:rsid w:val="005D0FA1"/>
    <w:rsid w:val="005D1775"/>
    <w:rsid w:val="005D180A"/>
    <w:rsid w:val="005D24AF"/>
    <w:rsid w:val="005D67E9"/>
    <w:rsid w:val="005D7557"/>
    <w:rsid w:val="005E0840"/>
    <w:rsid w:val="005E4112"/>
    <w:rsid w:val="005E5528"/>
    <w:rsid w:val="005E633B"/>
    <w:rsid w:val="005F11B2"/>
    <w:rsid w:val="005F1C20"/>
    <w:rsid w:val="005F2FF0"/>
    <w:rsid w:val="005F3450"/>
    <w:rsid w:val="005F69E3"/>
    <w:rsid w:val="00605340"/>
    <w:rsid w:val="00610A7C"/>
    <w:rsid w:val="00614ABC"/>
    <w:rsid w:val="00617852"/>
    <w:rsid w:val="0062130E"/>
    <w:rsid w:val="006223A2"/>
    <w:rsid w:val="00623A74"/>
    <w:rsid w:val="00645171"/>
    <w:rsid w:val="006521FF"/>
    <w:rsid w:val="0065344F"/>
    <w:rsid w:val="00655DCC"/>
    <w:rsid w:val="00660E5B"/>
    <w:rsid w:val="00661872"/>
    <w:rsid w:val="006631F9"/>
    <w:rsid w:val="00663433"/>
    <w:rsid w:val="00665768"/>
    <w:rsid w:val="00665DB3"/>
    <w:rsid w:val="0066658D"/>
    <w:rsid w:val="00666DB7"/>
    <w:rsid w:val="00672397"/>
    <w:rsid w:val="006743CE"/>
    <w:rsid w:val="006815E8"/>
    <w:rsid w:val="00684571"/>
    <w:rsid w:val="0068499B"/>
    <w:rsid w:val="00685F0B"/>
    <w:rsid w:val="00686DAB"/>
    <w:rsid w:val="00690A5B"/>
    <w:rsid w:val="006931DD"/>
    <w:rsid w:val="006971CB"/>
    <w:rsid w:val="006A410F"/>
    <w:rsid w:val="006B218B"/>
    <w:rsid w:val="006B4234"/>
    <w:rsid w:val="006B5996"/>
    <w:rsid w:val="006C3535"/>
    <w:rsid w:val="006C3925"/>
    <w:rsid w:val="006C59E0"/>
    <w:rsid w:val="006D1B3D"/>
    <w:rsid w:val="006D39B7"/>
    <w:rsid w:val="006D46E5"/>
    <w:rsid w:val="006D63D5"/>
    <w:rsid w:val="006E01D9"/>
    <w:rsid w:val="006E2654"/>
    <w:rsid w:val="006E460C"/>
    <w:rsid w:val="007044EF"/>
    <w:rsid w:val="007103DC"/>
    <w:rsid w:val="00710FB8"/>
    <w:rsid w:val="00711336"/>
    <w:rsid w:val="00711570"/>
    <w:rsid w:val="007142C6"/>
    <w:rsid w:val="007206A7"/>
    <w:rsid w:val="0072261D"/>
    <w:rsid w:val="007239F2"/>
    <w:rsid w:val="00727169"/>
    <w:rsid w:val="007318E2"/>
    <w:rsid w:val="00735088"/>
    <w:rsid w:val="00743AB1"/>
    <w:rsid w:val="00747228"/>
    <w:rsid w:val="007472C5"/>
    <w:rsid w:val="00747463"/>
    <w:rsid w:val="00750E58"/>
    <w:rsid w:val="007517AD"/>
    <w:rsid w:val="00763B5F"/>
    <w:rsid w:val="00767768"/>
    <w:rsid w:val="00771482"/>
    <w:rsid w:val="00772094"/>
    <w:rsid w:val="007736F6"/>
    <w:rsid w:val="00773704"/>
    <w:rsid w:val="00773DD3"/>
    <w:rsid w:val="00777F29"/>
    <w:rsid w:val="00782894"/>
    <w:rsid w:val="00784C90"/>
    <w:rsid w:val="00786195"/>
    <w:rsid w:val="00790B4D"/>
    <w:rsid w:val="00791C5B"/>
    <w:rsid w:val="00791FB3"/>
    <w:rsid w:val="007941D1"/>
    <w:rsid w:val="007A0E62"/>
    <w:rsid w:val="007A7353"/>
    <w:rsid w:val="007A73CB"/>
    <w:rsid w:val="007B33F9"/>
    <w:rsid w:val="007B5F48"/>
    <w:rsid w:val="007C5C66"/>
    <w:rsid w:val="007C6709"/>
    <w:rsid w:val="007D135F"/>
    <w:rsid w:val="007D4C22"/>
    <w:rsid w:val="007E3E16"/>
    <w:rsid w:val="007E578E"/>
    <w:rsid w:val="007E669D"/>
    <w:rsid w:val="007F323C"/>
    <w:rsid w:val="007F3569"/>
    <w:rsid w:val="007F4B4E"/>
    <w:rsid w:val="008004EE"/>
    <w:rsid w:val="0080076B"/>
    <w:rsid w:val="00804027"/>
    <w:rsid w:val="00806A12"/>
    <w:rsid w:val="008070B1"/>
    <w:rsid w:val="0081047B"/>
    <w:rsid w:val="00811641"/>
    <w:rsid w:val="008265A5"/>
    <w:rsid w:val="008338CC"/>
    <w:rsid w:val="008402FB"/>
    <w:rsid w:val="0084171F"/>
    <w:rsid w:val="00842F03"/>
    <w:rsid w:val="00844B41"/>
    <w:rsid w:val="00851E20"/>
    <w:rsid w:val="00860E73"/>
    <w:rsid w:val="00864DD5"/>
    <w:rsid w:val="0087118E"/>
    <w:rsid w:val="00871719"/>
    <w:rsid w:val="00874BF5"/>
    <w:rsid w:val="0088183E"/>
    <w:rsid w:val="00881FC4"/>
    <w:rsid w:val="00882384"/>
    <w:rsid w:val="008876C2"/>
    <w:rsid w:val="0089204F"/>
    <w:rsid w:val="00893F9F"/>
    <w:rsid w:val="00896693"/>
    <w:rsid w:val="008A19BA"/>
    <w:rsid w:val="008A2276"/>
    <w:rsid w:val="008B03DC"/>
    <w:rsid w:val="008B1F6A"/>
    <w:rsid w:val="008B4487"/>
    <w:rsid w:val="008B73AD"/>
    <w:rsid w:val="008C2D45"/>
    <w:rsid w:val="008D1A1C"/>
    <w:rsid w:val="008D20A3"/>
    <w:rsid w:val="008D3027"/>
    <w:rsid w:val="008D47F8"/>
    <w:rsid w:val="008E07BE"/>
    <w:rsid w:val="008E1274"/>
    <w:rsid w:val="008F0CCB"/>
    <w:rsid w:val="008F3F2D"/>
    <w:rsid w:val="00900984"/>
    <w:rsid w:val="00900FB5"/>
    <w:rsid w:val="009016F5"/>
    <w:rsid w:val="00905505"/>
    <w:rsid w:val="009058C9"/>
    <w:rsid w:val="00916845"/>
    <w:rsid w:val="00924A06"/>
    <w:rsid w:val="00926B66"/>
    <w:rsid w:val="009273FC"/>
    <w:rsid w:val="0092765D"/>
    <w:rsid w:val="009403C9"/>
    <w:rsid w:val="00942B08"/>
    <w:rsid w:val="00943058"/>
    <w:rsid w:val="00945873"/>
    <w:rsid w:val="009550FB"/>
    <w:rsid w:val="009576DC"/>
    <w:rsid w:val="00966048"/>
    <w:rsid w:val="00971FCC"/>
    <w:rsid w:val="0097317A"/>
    <w:rsid w:val="009757F7"/>
    <w:rsid w:val="0099700B"/>
    <w:rsid w:val="009A16CF"/>
    <w:rsid w:val="009A3A7B"/>
    <w:rsid w:val="009A5502"/>
    <w:rsid w:val="009A7A71"/>
    <w:rsid w:val="009B1318"/>
    <w:rsid w:val="009C0540"/>
    <w:rsid w:val="009C1E14"/>
    <w:rsid w:val="009C2B57"/>
    <w:rsid w:val="009C32FD"/>
    <w:rsid w:val="009C7952"/>
    <w:rsid w:val="009D3DF3"/>
    <w:rsid w:val="009D4575"/>
    <w:rsid w:val="009D5ABC"/>
    <w:rsid w:val="009E7106"/>
    <w:rsid w:val="009F2E4E"/>
    <w:rsid w:val="009F7501"/>
    <w:rsid w:val="00A0111C"/>
    <w:rsid w:val="00A034DA"/>
    <w:rsid w:val="00A050DD"/>
    <w:rsid w:val="00A13A0A"/>
    <w:rsid w:val="00A14597"/>
    <w:rsid w:val="00A20DF7"/>
    <w:rsid w:val="00A2637D"/>
    <w:rsid w:val="00A314BA"/>
    <w:rsid w:val="00A361E7"/>
    <w:rsid w:val="00A42951"/>
    <w:rsid w:val="00A4581C"/>
    <w:rsid w:val="00A46CF1"/>
    <w:rsid w:val="00A47AB8"/>
    <w:rsid w:val="00A52599"/>
    <w:rsid w:val="00A53702"/>
    <w:rsid w:val="00A5587D"/>
    <w:rsid w:val="00A55BC6"/>
    <w:rsid w:val="00A7120E"/>
    <w:rsid w:val="00A73BB3"/>
    <w:rsid w:val="00A75120"/>
    <w:rsid w:val="00A759DE"/>
    <w:rsid w:val="00A82FEF"/>
    <w:rsid w:val="00A84B18"/>
    <w:rsid w:val="00A8587D"/>
    <w:rsid w:val="00A908D4"/>
    <w:rsid w:val="00A91AA8"/>
    <w:rsid w:val="00A945B7"/>
    <w:rsid w:val="00A96765"/>
    <w:rsid w:val="00A9736E"/>
    <w:rsid w:val="00AA357F"/>
    <w:rsid w:val="00AA753B"/>
    <w:rsid w:val="00AB041B"/>
    <w:rsid w:val="00AB0EC9"/>
    <w:rsid w:val="00AB2CDA"/>
    <w:rsid w:val="00AB34D0"/>
    <w:rsid w:val="00AB5CB6"/>
    <w:rsid w:val="00AB5F17"/>
    <w:rsid w:val="00AB705F"/>
    <w:rsid w:val="00AC18D0"/>
    <w:rsid w:val="00AC30D5"/>
    <w:rsid w:val="00AC3F6F"/>
    <w:rsid w:val="00AC79A8"/>
    <w:rsid w:val="00AD1A63"/>
    <w:rsid w:val="00AD3E52"/>
    <w:rsid w:val="00AD46A2"/>
    <w:rsid w:val="00AE0E49"/>
    <w:rsid w:val="00AE11CE"/>
    <w:rsid w:val="00AE3BAB"/>
    <w:rsid w:val="00AF2B08"/>
    <w:rsid w:val="00AF3655"/>
    <w:rsid w:val="00AF4C68"/>
    <w:rsid w:val="00AF7B6E"/>
    <w:rsid w:val="00B01A32"/>
    <w:rsid w:val="00B045D0"/>
    <w:rsid w:val="00B058E5"/>
    <w:rsid w:val="00B05CB1"/>
    <w:rsid w:val="00B06AD7"/>
    <w:rsid w:val="00B12B0B"/>
    <w:rsid w:val="00B159E0"/>
    <w:rsid w:val="00B16998"/>
    <w:rsid w:val="00B21088"/>
    <w:rsid w:val="00B257A3"/>
    <w:rsid w:val="00B301AA"/>
    <w:rsid w:val="00B30C78"/>
    <w:rsid w:val="00B3124C"/>
    <w:rsid w:val="00B32847"/>
    <w:rsid w:val="00B33188"/>
    <w:rsid w:val="00B339A3"/>
    <w:rsid w:val="00B33CD8"/>
    <w:rsid w:val="00B36F9A"/>
    <w:rsid w:val="00B41F2E"/>
    <w:rsid w:val="00B46636"/>
    <w:rsid w:val="00B5651E"/>
    <w:rsid w:val="00B56610"/>
    <w:rsid w:val="00B618FA"/>
    <w:rsid w:val="00B64B97"/>
    <w:rsid w:val="00B70525"/>
    <w:rsid w:val="00B71564"/>
    <w:rsid w:val="00B71A6B"/>
    <w:rsid w:val="00B75E58"/>
    <w:rsid w:val="00B8069B"/>
    <w:rsid w:val="00B80DB1"/>
    <w:rsid w:val="00B81499"/>
    <w:rsid w:val="00B82C31"/>
    <w:rsid w:val="00B8769C"/>
    <w:rsid w:val="00B90AC9"/>
    <w:rsid w:val="00B91223"/>
    <w:rsid w:val="00B91AAB"/>
    <w:rsid w:val="00B96D39"/>
    <w:rsid w:val="00B96F45"/>
    <w:rsid w:val="00B973E6"/>
    <w:rsid w:val="00BA09B8"/>
    <w:rsid w:val="00BA445E"/>
    <w:rsid w:val="00BA6B85"/>
    <w:rsid w:val="00BA7CF5"/>
    <w:rsid w:val="00BB0C74"/>
    <w:rsid w:val="00BB4BE8"/>
    <w:rsid w:val="00BB64FE"/>
    <w:rsid w:val="00BB7361"/>
    <w:rsid w:val="00BB75DB"/>
    <w:rsid w:val="00BC05D3"/>
    <w:rsid w:val="00BC0A77"/>
    <w:rsid w:val="00BC64C4"/>
    <w:rsid w:val="00BC6ABC"/>
    <w:rsid w:val="00BD06CB"/>
    <w:rsid w:val="00BD49AC"/>
    <w:rsid w:val="00BD5430"/>
    <w:rsid w:val="00BE2375"/>
    <w:rsid w:val="00BE4905"/>
    <w:rsid w:val="00BE5054"/>
    <w:rsid w:val="00BE6CA4"/>
    <w:rsid w:val="00BF36C5"/>
    <w:rsid w:val="00BF4664"/>
    <w:rsid w:val="00BF611F"/>
    <w:rsid w:val="00BF65CD"/>
    <w:rsid w:val="00C005E2"/>
    <w:rsid w:val="00C0270F"/>
    <w:rsid w:val="00C10945"/>
    <w:rsid w:val="00C10E39"/>
    <w:rsid w:val="00C13928"/>
    <w:rsid w:val="00C226E6"/>
    <w:rsid w:val="00C24577"/>
    <w:rsid w:val="00C33265"/>
    <w:rsid w:val="00C41ACA"/>
    <w:rsid w:val="00C41DE4"/>
    <w:rsid w:val="00C436E0"/>
    <w:rsid w:val="00C442B2"/>
    <w:rsid w:val="00C50634"/>
    <w:rsid w:val="00C52172"/>
    <w:rsid w:val="00C54416"/>
    <w:rsid w:val="00C56F17"/>
    <w:rsid w:val="00C61496"/>
    <w:rsid w:val="00C629D6"/>
    <w:rsid w:val="00C62D0E"/>
    <w:rsid w:val="00C733E4"/>
    <w:rsid w:val="00C73D0C"/>
    <w:rsid w:val="00C73FC8"/>
    <w:rsid w:val="00C76F1D"/>
    <w:rsid w:val="00C80E7C"/>
    <w:rsid w:val="00C86EB2"/>
    <w:rsid w:val="00C87452"/>
    <w:rsid w:val="00C876F9"/>
    <w:rsid w:val="00C90513"/>
    <w:rsid w:val="00C9186A"/>
    <w:rsid w:val="00C92655"/>
    <w:rsid w:val="00C960C5"/>
    <w:rsid w:val="00C968FD"/>
    <w:rsid w:val="00CA0FC9"/>
    <w:rsid w:val="00CA744F"/>
    <w:rsid w:val="00CA75F7"/>
    <w:rsid w:val="00CB2DD7"/>
    <w:rsid w:val="00CB3EBA"/>
    <w:rsid w:val="00CB7AD7"/>
    <w:rsid w:val="00CC116E"/>
    <w:rsid w:val="00CC2B45"/>
    <w:rsid w:val="00CC73D8"/>
    <w:rsid w:val="00CD0EB2"/>
    <w:rsid w:val="00CD14C7"/>
    <w:rsid w:val="00CD21E1"/>
    <w:rsid w:val="00CE02FA"/>
    <w:rsid w:val="00CE50DC"/>
    <w:rsid w:val="00CE5289"/>
    <w:rsid w:val="00CE7300"/>
    <w:rsid w:val="00CF04D9"/>
    <w:rsid w:val="00CF2E71"/>
    <w:rsid w:val="00CF3F4D"/>
    <w:rsid w:val="00CF408A"/>
    <w:rsid w:val="00CF4552"/>
    <w:rsid w:val="00CF5B09"/>
    <w:rsid w:val="00D00F72"/>
    <w:rsid w:val="00D01C8C"/>
    <w:rsid w:val="00D046AD"/>
    <w:rsid w:val="00D12E63"/>
    <w:rsid w:val="00D15598"/>
    <w:rsid w:val="00D166DD"/>
    <w:rsid w:val="00D206A1"/>
    <w:rsid w:val="00D20BB0"/>
    <w:rsid w:val="00D222D3"/>
    <w:rsid w:val="00D23200"/>
    <w:rsid w:val="00D26EB6"/>
    <w:rsid w:val="00D42F3B"/>
    <w:rsid w:val="00D44640"/>
    <w:rsid w:val="00D45110"/>
    <w:rsid w:val="00D5016D"/>
    <w:rsid w:val="00D52586"/>
    <w:rsid w:val="00D546C7"/>
    <w:rsid w:val="00D54E73"/>
    <w:rsid w:val="00D6020E"/>
    <w:rsid w:val="00D66144"/>
    <w:rsid w:val="00D66BFC"/>
    <w:rsid w:val="00D7215D"/>
    <w:rsid w:val="00D84819"/>
    <w:rsid w:val="00D86CA9"/>
    <w:rsid w:val="00D92987"/>
    <w:rsid w:val="00D9539B"/>
    <w:rsid w:val="00D95E42"/>
    <w:rsid w:val="00DA3B64"/>
    <w:rsid w:val="00DA40DE"/>
    <w:rsid w:val="00DB0695"/>
    <w:rsid w:val="00DB2BFF"/>
    <w:rsid w:val="00DB3B01"/>
    <w:rsid w:val="00DB5835"/>
    <w:rsid w:val="00DC0C17"/>
    <w:rsid w:val="00DC3285"/>
    <w:rsid w:val="00DC53F3"/>
    <w:rsid w:val="00DC7AA1"/>
    <w:rsid w:val="00DC7FA4"/>
    <w:rsid w:val="00DE062E"/>
    <w:rsid w:val="00DE31DC"/>
    <w:rsid w:val="00DE3D5E"/>
    <w:rsid w:val="00DE728D"/>
    <w:rsid w:val="00DF0369"/>
    <w:rsid w:val="00DF2DF0"/>
    <w:rsid w:val="00DF3CFD"/>
    <w:rsid w:val="00DF44F3"/>
    <w:rsid w:val="00E01CEA"/>
    <w:rsid w:val="00E10C24"/>
    <w:rsid w:val="00E12C78"/>
    <w:rsid w:val="00E147A2"/>
    <w:rsid w:val="00E14A72"/>
    <w:rsid w:val="00E14D48"/>
    <w:rsid w:val="00E178FA"/>
    <w:rsid w:val="00E21055"/>
    <w:rsid w:val="00E214FE"/>
    <w:rsid w:val="00E22124"/>
    <w:rsid w:val="00E23658"/>
    <w:rsid w:val="00E2591F"/>
    <w:rsid w:val="00E26D48"/>
    <w:rsid w:val="00E32D53"/>
    <w:rsid w:val="00E376B3"/>
    <w:rsid w:val="00E408AE"/>
    <w:rsid w:val="00E52A3E"/>
    <w:rsid w:val="00E52C7D"/>
    <w:rsid w:val="00E57253"/>
    <w:rsid w:val="00E60FE6"/>
    <w:rsid w:val="00E70EA5"/>
    <w:rsid w:val="00E74357"/>
    <w:rsid w:val="00E80DA4"/>
    <w:rsid w:val="00E80E16"/>
    <w:rsid w:val="00E81895"/>
    <w:rsid w:val="00E864EC"/>
    <w:rsid w:val="00E91A54"/>
    <w:rsid w:val="00E93249"/>
    <w:rsid w:val="00E95B09"/>
    <w:rsid w:val="00E97CAC"/>
    <w:rsid w:val="00EA079E"/>
    <w:rsid w:val="00EA1111"/>
    <w:rsid w:val="00EA1D85"/>
    <w:rsid w:val="00EA1F57"/>
    <w:rsid w:val="00EA31B0"/>
    <w:rsid w:val="00EB10EF"/>
    <w:rsid w:val="00EB2DD5"/>
    <w:rsid w:val="00EB37FC"/>
    <w:rsid w:val="00EB47D9"/>
    <w:rsid w:val="00EB7279"/>
    <w:rsid w:val="00EC2AB4"/>
    <w:rsid w:val="00EC58ED"/>
    <w:rsid w:val="00ED2DB8"/>
    <w:rsid w:val="00ED4B34"/>
    <w:rsid w:val="00EE28A9"/>
    <w:rsid w:val="00EE3B7B"/>
    <w:rsid w:val="00EE5695"/>
    <w:rsid w:val="00EE6D85"/>
    <w:rsid w:val="00F00A43"/>
    <w:rsid w:val="00F00E55"/>
    <w:rsid w:val="00F02242"/>
    <w:rsid w:val="00F02DBA"/>
    <w:rsid w:val="00F0625A"/>
    <w:rsid w:val="00F14626"/>
    <w:rsid w:val="00F14804"/>
    <w:rsid w:val="00F165F8"/>
    <w:rsid w:val="00F169C6"/>
    <w:rsid w:val="00F16C62"/>
    <w:rsid w:val="00F231C6"/>
    <w:rsid w:val="00F2419A"/>
    <w:rsid w:val="00F32D5F"/>
    <w:rsid w:val="00F3304F"/>
    <w:rsid w:val="00F403DB"/>
    <w:rsid w:val="00F42D00"/>
    <w:rsid w:val="00F43BF0"/>
    <w:rsid w:val="00F450A2"/>
    <w:rsid w:val="00F508C5"/>
    <w:rsid w:val="00F510B7"/>
    <w:rsid w:val="00F52443"/>
    <w:rsid w:val="00F54469"/>
    <w:rsid w:val="00F54D13"/>
    <w:rsid w:val="00F55D08"/>
    <w:rsid w:val="00F56050"/>
    <w:rsid w:val="00F608FB"/>
    <w:rsid w:val="00F60F94"/>
    <w:rsid w:val="00F641D4"/>
    <w:rsid w:val="00F64FDF"/>
    <w:rsid w:val="00F650A6"/>
    <w:rsid w:val="00F65FD5"/>
    <w:rsid w:val="00F711CE"/>
    <w:rsid w:val="00F71F4D"/>
    <w:rsid w:val="00F7379A"/>
    <w:rsid w:val="00F80348"/>
    <w:rsid w:val="00F804F6"/>
    <w:rsid w:val="00F83EA2"/>
    <w:rsid w:val="00F84E77"/>
    <w:rsid w:val="00F85AF8"/>
    <w:rsid w:val="00F91E2E"/>
    <w:rsid w:val="00F94AC8"/>
    <w:rsid w:val="00FA006C"/>
    <w:rsid w:val="00FA04CA"/>
    <w:rsid w:val="00FA15AB"/>
    <w:rsid w:val="00FA3B93"/>
    <w:rsid w:val="00FB1A05"/>
    <w:rsid w:val="00FB5BA1"/>
    <w:rsid w:val="00FC0CDE"/>
    <w:rsid w:val="00FC3033"/>
    <w:rsid w:val="00FD05EC"/>
    <w:rsid w:val="00FD0AA1"/>
    <w:rsid w:val="00FD1594"/>
    <w:rsid w:val="00FD7739"/>
    <w:rsid w:val="00FD7DF8"/>
    <w:rsid w:val="00FE17AE"/>
    <w:rsid w:val="00FE5BD6"/>
    <w:rsid w:val="00FF2E55"/>
    <w:rsid w:val="00FF7603"/>
    <w:rsid w:val="00FF79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61CA"/>
    <w:pPr>
      <w:suppressAutoHyphens/>
    </w:pPr>
    <w:rPr>
      <w:sz w:val="24"/>
      <w:lang w:val="fr-FR" w:eastAsia="fr-FR"/>
    </w:rPr>
  </w:style>
  <w:style w:type="paragraph" w:styleId="Heading1">
    <w:name w:val="heading 1"/>
    <w:basedOn w:val="Normal"/>
    <w:next w:val="Normal"/>
    <w:qFormat/>
    <w:rsid w:val="000361CA"/>
    <w:pPr>
      <w:keepNext/>
      <w:spacing w:before="360" w:after="240"/>
      <w:jc w:val="center"/>
      <w:outlineLvl w:val="0"/>
    </w:pPr>
    <w:rPr>
      <w:b/>
      <w:sz w:val="28"/>
    </w:rPr>
  </w:style>
  <w:style w:type="paragraph" w:styleId="Heading2">
    <w:name w:val="heading 2"/>
    <w:basedOn w:val="Normal"/>
    <w:next w:val="Normal"/>
    <w:qFormat/>
    <w:rsid w:val="000361CA"/>
    <w:pPr>
      <w:keepNext/>
      <w:spacing w:before="240" w:after="120"/>
      <w:ind w:left="284" w:hanging="284"/>
      <w:outlineLvl w:val="1"/>
    </w:pPr>
    <w:rPr>
      <w:b/>
    </w:rPr>
  </w:style>
  <w:style w:type="paragraph" w:styleId="Heading3">
    <w:name w:val="heading 3"/>
    <w:basedOn w:val="Normal"/>
    <w:next w:val="Normal"/>
    <w:qFormat/>
    <w:rsid w:val="000361CA"/>
    <w:pPr>
      <w:keepNext/>
      <w:spacing w:before="120" w:after="60"/>
      <w:ind w:left="1418" w:hanging="851"/>
      <w:outlineLvl w:val="2"/>
    </w:pPr>
    <w:rPr>
      <w:i/>
    </w:rPr>
  </w:style>
  <w:style w:type="character" w:default="1" w:styleId="DefaultParagraphFont">
    <w:name w:val="Default Paragraph Font"/>
    <w:semiHidden/>
    <w:rsid w:val="000361C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0361CA"/>
  </w:style>
  <w:style w:type="paragraph" w:customStyle="1" w:styleId="JuPara">
    <w:name w:val="Ju_Para"/>
    <w:aliases w:val="Left,First line:  0 cm"/>
    <w:basedOn w:val="Normal"/>
    <w:link w:val="JuParaChar"/>
    <w:rsid w:val="000361CA"/>
    <w:pPr>
      <w:ind w:firstLine="284"/>
      <w:jc w:val="both"/>
    </w:pPr>
  </w:style>
  <w:style w:type="paragraph" w:customStyle="1" w:styleId="JuCase">
    <w:name w:val="Ju_Case"/>
    <w:basedOn w:val="JuPara"/>
    <w:next w:val="JuPara"/>
    <w:rsid w:val="000361CA"/>
    <w:rPr>
      <w:b/>
    </w:rPr>
  </w:style>
  <w:style w:type="paragraph" w:customStyle="1" w:styleId="JuJudges">
    <w:name w:val="Ju_Judges"/>
    <w:basedOn w:val="Normal"/>
    <w:rsid w:val="000361CA"/>
    <w:pPr>
      <w:tabs>
        <w:tab w:val="left" w:pos="567"/>
        <w:tab w:val="left" w:pos="1134"/>
      </w:tabs>
    </w:pPr>
  </w:style>
  <w:style w:type="paragraph" w:customStyle="1" w:styleId="JuCourt">
    <w:name w:val="Ju_Court"/>
    <w:basedOn w:val="JuJudges"/>
    <w:rsid w:val="000361CA"/>
    <w:pPr>
      <w:tabs>
        <w:tab w:val="clear" w:pos="567"/>
        <w:tab w:val="clear" w:pos="1134"/>
        <w:tab w:val="left" w:pos="907"/>
        <w:tab w:val="left" w:pos="1701"/>
        <w:tab w:val="right" w:pos="7371"/>
      </w:tabs>
      <w:spacing w:before="240"/>
      <w:ind w:left="397" w:hanging="397"/>
    </w:pPr>
  </w:style>
  <w:style w:type="paragraph" w:customStyle="1" w:styleId="JuHHead">
    <w:name w:val="Ju_H_Head"/>
    <w:basedOn w:val="Normal"/>
    <w:next w:val="JuPara"/>
    <w:link w:val="JuHHeadChar"/>
    <w:rsid w:val="000361CA"/>
    <w:pPr>
      <w:keepNext/>
      <w:keepLines/>
      <w:spacing w:before="720" w:after="240"/>
      <w:jc w:val="both"/>
    </w:pPr>
    <w:rPr>
      <w:sz w:val="28"/>
    </w:rPr>
  </w:style>
  <w:style w:type="paragraph" w:customStyle="1" w:styleId="JuHIRoman">
    <w:name w:val="Ju_H_I_Roman"/>
    <w:basedOn w:val="JuHHead"/>
    <w:next w:val="JuPara"/>
    <w:link w:val="JuHIRomanChar"/>
    <w:rsid w:val="000361CA"/>
    <w:pPr>
      <w:tabs>
        <w:tab w:val="left" w:pos="357"/>
      </w:tabs>
      <w:spacing w:before="360"/>
      <w:ind w:left="357" w:hanging="357"/>
    </w:pPr>
    <w:rPr>
      <w:sz w:val="24"/>
    </w:rPr>
  </w:style>
  <w:style w:type="paragraph" w:customStyle="1" w:styleId="JuHA">
    <w:name w:val="Ju_H_A"/>
    <w:basedOn w:val="JuHIRoman"/>
    <w:next w:val="JuPara"/>
    <w:link w:val="JuHAChar"/>
    <w:rsid w:val="000361CA"/>
    <w:pPr>
      <w:tabs>
        <w:tab w:val="clear" w:pos="357"/>
        <w:tab w:val="left" w:pos="584"/>
      </w:tabs>
      <w:ind w:left="584" w:hanging="352"/>
    </w:pPr>
    <w:rPr>
      <w:b/>
    </w:rPr>
  </w:style>
  <w:style w:type="paragraph" w:customStyle="1" w:styleId="JuHa0">
    <w:name w:val="Ju_H_a"/>
    <w:basedOn w:val="JuH1"/>
    <w:next w:val="JuPara"/>
    <w:rsid w:val="000361CA"/>
    <w:pPr>
      <w:tabs>
        <w:tab w:val="clear" w:pos="731"/>
        <w:tab w:val="left" w:pos="975"/>
      </w:tabs>
      <w:ind w:left="975" w:hanging="340"/>
    </w:pPr>
    <w:rPr>
      <w:b/>
      <w:i w:val="0"/>
      <w:sz w:val="20"/>
    </w:rPr>
  </w:style>
  <w:style w:type="paragraph" w:customStyle="1" w:styleId="JuH1">
    <w:name w:val="Ju_H_1."/>
    <w:basedOn w:val="JuHA"/>
    <w:next w:val="JuPara"/>
    <w:link w:val="JuH1Char"/>
    <w:rsid w:val="000361CA"/>
    <w:pPr>
      <w:tabs>
        <w:tab w:val="clear" w:pos="584"/>
        <w:tab w:val="left" w:pos="731"/>
      </w:tabs>
      <w:spacing w:before="240" w:after="120"/>
      <w:ind w:left="732" w:hanging="301"/>
    </w:pPr>
    <w:rPr>
      <w:b w:val="0"/>
      <w:i/>
    </w:rPr>
  </w:style>
  <w:style w:type="paragraph" w:customStyle="1" w:styleId="JuHi">
    <w:name w:val="Ju_H_i"/>
    <w:basedOn w:val="JuHa0"/>
    <w:next w:val="JuPara"/>
    <w:rsid w:val="000361CA"/>
    <w:pPr>
      <w:tabs>
        <w:tab w:val="clear" w:pos="975"/>
        <w:tab w:val="left" w:pos="1191"/>
      </w:tabs>
      <w:ind w:left="1190" w:hanging="357"/>
    </w:pPr>
    <w:rPr>
      <w:b w:val="0"/>
      <w:i/>
    </w:rPr>
  </w:style>
  <w:style w:type="paragraph" w:customStyle="1" w:styleId="JuHalpha">
    <w:name w:val="Ju_H_alpha"/>
    <w:basedOn w:val="JuHi"/>
    <w:next w:val="JuPara"/>
    <w:rsid w:val="000361CA"/>
    <w:pPr>
      <w:tabs>
        <w:tab w:val="clear" w:pos="1191"/>
        <w:tab w:val="left" w:pos="1372"/>
      </w:tabs>
      <w:ind w:left="1373" w:hanging="335"/>
    </w:pPr>
    <w:rPr>
      <w:i w:val="0"/>
    </w:rPr>
  </w:style>
  <w:style w:type="paragraph" w:customStyle="1" w:styleId="JuH">
    <w:name w:val="Ju_H_–"/>
    <w:basedOn w:val="JuHalpha"/>
    <w:next w:val="JuPara"/>
    <w:rsid w:val="000361CA"/>
    <w:pPr>
      <w:tabs>
        <w:tab w:val="clear" w:pos="1372"/>
      </w:tabs>
      <w:ind w:left="1236" w:firstLine="0"/>
    </w:pPr>
    <w:rPr>
      <w:i/>
    </w:rPr>
  </w:style>
  <w:style w:type="paragraph" w:customStyle="1" w:styleId="PJuPara">
    <w:name w:val="P_Ju_Para"/>
    <w:basedOn w:val="Normal"/>
    <w:rsid w:val="000361CA"/>
    <w:pPr>
      <w:ind w:firstLine="284"/>
      <w:jc w:val="both"/>
    </w:pPr>
  </w:style>
  <w:style w:type="paragraph" w:customStyle="1" w:styleId="PJuQuot">
    <w:name w:val="P_Ju_Quot"/>
    <w:basedOn w:val="Normal"/>
    <w:rsid w:val="000361CA"/>
    <w:pPr>
      <w:spacing w:before="120" w:after="120"/>
      <w:ind w:left="403" w:firstLine="176"/>
      <w:jc w:val="both"/>
    </w:pPr>
    <w:rPr>
      <w:sz w:val="20"/>
    </w:rPr>
  </w:style>
  <w:style w:type="paragraph" w:styleId="Header">
    <w:name w:val="header"/>
    <w:basedOn w:val="Normal"/>
    <w:rsid w:val="000361CA"/>
    <w:pPr>
      <w:tabs>
        <w:tab w:val="center" w:pos="3686"/>
        <w:tab w:val="right" w:pos="7371"/>
      </w:tabs>
    </w:pPr>
    <w:rPr>
      <w:sz w:val="18"/>
    </w:rPr>
  </w:style>
  <w:style w:type="paragraph" w:customStyle="1" w:styleId="JuSigned">
    <w:name w:val="Ju_Signed"/>
    <w:basedOn w:val="Normal"/>
    <w:next w:val="JuParaLast"/>
    <w:rsid w:val="000361CA"/>
    <w:pPr>
      <w:tabs>
        <w:tab w:val="center" w:pos="851"/>
        <w:tab w:val="center" w:pos="6407"/>
      </w:tabs>
      <w:spacing w:before="720"/>
    </w:pPr>
  </w:style>
  <w:style w:type="paragraph" w:customStyle="1" w:styleId="JuParaLast">
    <w:name w:val="Ju_Para_Last"/>
    <w:basedOn w:val="JuPara"/>
    <w:next w:val="JuPara"/>
    <w:rsid w:val="000361CA"/>
    <w:pPr>
      <w:keepNext/>
      <w:keepLines/>
      <w:spacing w:before="240"/>
    </w:pPr>
  </w:style>
  <w:style w:type="paragraph" w:customStyle="1" w:styleId="JuInitialled">
    <w:name w:val="Ju_Initialled"/>
    <w:basedOn w:val="JuSigned"/>
    <w:rsid w:val="000361CA"/>
    <w:pPr>
      <w:tabs>
        <w:tab w:val="clear" w:pos="851"/>
      </w:tabs>
      <w:jc w:val="right"/>
    </w:pPr>
  </w:style>
  <w:style w:type="paragraph" w:customStyle="1" w:styleId="JuList">
    <w:name w:val="Ju_List"/>
    <w:basedOn w:val="JuPara"/>
    <w:rsid w:val="000361CA"/>
    <w:pPr>
      <w:ind w:left="340" w:hanging="340"/>
    </w:pPr>
  </w:style>
  <w:style w:type="paragraph" w:customStyle="1" w:styleId="JuLista">
    <w:name w:val="Ju_List_a"/>
    <w:basedOn w:val="JuList"/>
    <w:rsid w:val="000361CA"/>
    <w:pPr>
      <w:ind w:left="346" w:firstLine="0"/>
    </w:pPr>
  </w:style>
  <w:style w:type="paragraph" w:customStyle="1" w:styleId="JuListi">
    <w:name w:val="Ju_List_i"/>
    <w:basedOn w:val="JuLista"/>
    <w:rsid w:val="000361CA"/>
    <w:pPr>
      <w:ind w:left="794"/>
    </w:pPr>
  </w:style>
  <w:style w:type="character" w:customStyle="1" w:styleId="JuNames">
    <w:name w:val="Ju_Names"/>
    <w:basedOn w:val="DefaultParagraphFont"/>
    <w:rsid w:val="000361CA"/>
    <w:rPr>
      <w:smallCaps/>
    </w:rPr>
  </w:style>
  <w:style w:type="paragraph" w:customStyle="1" w:styleId="JuQuot">
    <w:name w:val="Ju_Quot"/>
    <w:basedOn w:val="JuPara"/>
    <w:link w:val="JuQuotChar"/>
    <w:rsid w:val="000361CA"/>
    <w:pPr>
      <w:spacing w:before="120" w:after="120"/>
      <w:ind w:left="425" w:firstLine="142"/>
    </w:pPr>
    <w:rPr>
      <w:sz w:val="20"/>
    </w:rPr>
  </w:style>
  <w:style w:type="paragraph" w:customStyle="1" w:styleId="PListArticleSubject">
    <w:name w:val="P_List_ArticleSubject"/>
    <w:basedOn w:val="Normal"/>
    <w:rsid w:val="000361CA"/>
    <w:pPr>
      <w:tabs>
        <w:tab w:val="left" w:pos="2977"/>
      </w:tabs>
      <w:ind w:left="2977" w:hanging="2977"/>
    </w:pPr>
  </w:style>
  <w:style w:type="paragraph" w:customStyle="1" w:styleId="OpiPara">
    <w:name w:val="Opi_Para"/>
    <w:basedOn w:val="JuPara"/>
    <w:rsid w:val="000361CA"/>
  </w:style>
  <w:style w:type="paragraph" w:customStyle="1" w:styleId="OpiHA">
    <w:name w:val="Opi_H_A"/>
    <w:basedOn w:val="JuHIRoman"/>
    <w:next w:val="OpiPara"/>
    <w:rsid w:val="000361CA"/>
    <w:pPr>
      <w:tabs>
        <w:tab w:val="clear" w:pos="357"/>
      </w:tabs>
    </w:pPr>
    <w:rPr>
      <w:b/>
    </w:rPr>
  </w:style>
  <w:style w:type="paragraph" w:customStyle="1" w:styleId="OpiH1">
    <w:name w:val="Opi_H_1."/>
    <w:basedOn w:val="OpiHA"/>
    <w:next w:val="OpiPara"/>
    <w:rsid w:val="000361CA"/>
    <w:pPr>
      <w:spacing w:before="240" w:after="120"/>
      <w:ind w:left="635"/>
    </w:pPr>
    <w:rPr>
      <w:b w:val="0"/>
      <w:i/>
    </w:rPr>
  </w:style>
  <w:style w:type="paragraph" w:customStyle="1" w:styleId="OpiHa0">
    <w:name w:val="Opi_H_a"/>
    <w:basedOn w:val="OpiH1"/>
    <w:next w:val="OpiPara"/>
    <w:rsid w:val="000361CA"/>
    <w:pPr>
      <w:ind w:left="834"/>
    </w:pPr>
    <w:rPr>
      <w:b/>
      <w:i w:val="0"/>
      <w:sz w:val="20"/>
    </w:rPr>
  </w:style>
  <w:style w:type="paragraph" w:customStyle="1" w:styleId="OpiHHead">
    <w:name w:val="Opi_H_Head"/>
    <w:basedOn w:val="JuHHead"/>
    <w:next w:val="OpiPara"/>
    <w:rsid w:val="000361CA"/>
    <w:pPr>
      <w:spacing w:before="0"/>
      <w:jc w:val="center"/>
    </w:pPr>
  </w:style>
  <w:style w:type="paragraph" w:customStyle="1" w:styleId="OpiTranslation">
    <w:name w:val="Opi_Translation"/>
    <w:basedOn w:val="OpiHHead"/>
    <w:next w:val="OpiPara"/>
    <w:rsid w:val="000361CA"/>
    <w:rPr>
      <w:i/>
      <w:sz w:val="24"/>
    </w:rPr>
  </w:style>
  <w:style w:type="paragraph" w:customStyle="1" w:styleId="OpiHi">
    <w:name w:val="Opi_H_i"/>
    <w:basedOn w:val="OpiHa0"/>
    <w:next w:val="OpiPara"/>
    <w:rsid w:val="000361CA"/>
    <w:pPr>
      <w:ind w:left="1038"/>
    </w:pPr>
    <w:rPr>
      <w:b w:val="0"/>
      <w:i/>
    </w:rPr>
  </w:style>
  <w:style w:type="paragraph" w:customStyle="1" w:styleId="PListCaseNo">
    <w:name w:val="P_List_CaseNo"/>
    <w:basedOn w:val="Normal"/>
    <w:rsid w:val="000361CA"/>
    <w:pPr>
      <w:tabs>
        <w:tab w:val="left" w:pos="1276"/>
      </w:tabs>
      <w:spacing w:line="288" w:lineRule="auto"/>
      <w:ind w:left="1276" w:hanging="1276"/>
    </w:pPr>
  </w:style>
  <w:style w:type="paragraph" w:customStyle="1" w:styleId="OpiQuot">
    <w:name w:val="Opi_Quot"/>
    <w:basedOn w:val="JuQuot"/>
    <w:rsid w:val="000361CA"/>
  </w:style>
  <w:style w:type="character" w:styleId="PageNumber">
    <w:name w:val="page number"/>
    <w:basedOn w:val="DefaultParagraphFont"/>
    <w:rsid w:val="000361CA"/>
    <w:rPr>
      <w:sz w:val="18"/>
    </w:rPr>
  </w:style>
  <w:style w:type="character" w:styleId="FootnoteReference">
    <w:name w:val="footnote reference"/>
    <w:basedOn w:val="DefaultParagraphFont"/>
    <w:semiHidden/>
    <w:rsid w:val="000361CA"/>
    <w:rPr>
      <w:vertAlign w:val="superscript"/>
    </w:rPr>
  </w:style>
  <w:style w:type="paragraph" w:customStyle="1" w:styleId="SuCoverTitle1">
    <w:name w:val="Su_Cover_Title1"/>
    <w:basedOn w:val="Normal"/>
    <w:next w:val="SuCoverTitle2"/>
    <w:rsid w:val="000361CA"/>
    <w:pPr>
      <w:spacing w:before="2500"/>
      <w:jc w:val="center"/>
    </w:pPr>
    <w:rPr>
      <w:sz w:val="22"/>
    </w:rPr>
  </w:style>
  <w:style w:type="paragraph" w:customStyle="1" w:styleId="SuCoverTitle2">
    <w:name w:val="Su_Cover_Title2"/>
    <w:basedOn w:val="SuCoverTitle1"/>
    <w:next w:val="Normal"/>
    <w:rsid w:val="000361CA"/>
    <w:pPr>
      <w:spacing w:before="240"/>
    </w:pPr>
    <w:rPr>
      <w:sz w:val="18"/>
    </w:rPr>
  </w:style>
  <w:style w:type="paragraph" w:customStyle="1" w:styleId="JuQuotSub">
    <w:name w:val="Ju_Quot_Sub"/>
    <w:basedOn w:val="JuQuot"/>
    <w:rsid w:val="000361CA"/>
    <w:pPr>
      <w:ind w:left="567"/>
    </w:pPr>
  </w:style>
  <w:style w:type="paragraph" w:customStyle="1" w:styleId="JuParaSub">
    <w:name w:val="Ju_Para_Sub"/>
    <w:basedOn w:val="JuPara"/>
    <w:rsid w:val="000361CA"/>
    <w:pPr>
      <w:ind w:left="284"/>
    </w:pPr>
  </w:style>
  <w:style w:type="paragraph" w:customStyle="1" w:styleId="SuPara">
    <w:name w:val="Su_Para"/>
    <w:basedOn w:val="SuKeywords"/>
    <w:rsid w:val="000361CA"/>
    <w:pPr>
      <w:spacing w:before="0" w:after="0"/>
    </w:pPr>
    <w:rPr>
      <w:i w:val="0"/>
    </w:rPr>
  </w:style>
  <w:style w:type="paragraph" w:customStyle="1" w:styleId="SuKeywords">
    <w:name w:val="Su_Keywords"/>
    <w:basedOn w:val="SuHHead"/>
    <w:rsid w:val="000361CA"/>
    <w:pPr>
      <w:spacing w:before="120"/>
    </w:pPr>
    <w:rPr>
      <w:b w:val="0"/>
      <w:i/>
    </w:rPr>
  </w:style>
  <w:style w:type="paragraph" w:customStyle="1" w:styleId="SuHHead">
    <w:name w:val="Su_H_Head"/>
    <w:basedOn w:val="SuSubject"/>
    <w:rsid w:val="000361CA"/>
    <w:pPr>
      <w:spacing w:after="120"/>
    </w:pPr>
  </w:style>
  <w:style w:type="paragraph" w:customStyle="1" w:styleId="SuSubject">
    <w:name w:val="Su_Subject"/>
    <w:basedOn w:val="SuSummary"/>
    <w:rsid w:val="000361CA"/>
    <w:pPr>
      <w:spacing w:before="360"/>
      <w:jc w:val="both"/>
    </w:pPr>
    <w:rPr>
      <w:b/>
      <w:sz w:val="22"/>
    </w:rPr>
  </w:style>
  <w:style w:type="paragraph" w:customStyle="1" w:styleId="SuSummary">
    <w:name w:val="Su_Summary"/>
    <w:basedOn w:val="Normal"/>
    <w:next w:val="SuSubject"/>
    <w:rsid w:val="000361CA"/>
    <w:pPr>
      <w:spacing w:after="240"/>
      <w:jc w:val="center"/>
    </w:pPr>
  </w:style>
  <w:style w:type="paragraph" w:customStyle="1" w:styleId="DecHTitle">
    <w:name w:val="Dec_H_Title"/>
    <w:basedOn w:val="Normal"/>
    <w:rsid w:val="000361CA"/>
    <w:pPr>
      <w:spacing w:after="240"/>
      <w:jc w:val="center"/>
    </w:pPr>
    <w:rPr>
      <w:sz w:val="28"/>
    </w:rPr>
  </w:style>
  <w:style w:type="paragraph" w:customStyle="1" w:styleId="DecHCase">
    <w:name w:val="Dec_H_Case"/>
    <w:basedOn w:val="DecHTitle"/>
    <w:next w:val="JuPara"/>
    <w:rsid w:val="000361CA"/>
    <w:rPr>
      <w:sz w:val="24"/>
    </w:rPr>
  </w:style>
  <w:style w:type="paragraph" w:customStyle="1" w:styleId="DecList">
    <w:name w:val="Dec_List"/>
    <w:basedOn w:val="Normal"/>
    <w:rsid w:val="000361CA"/>
    <w:pPr>
      <w:spacing w:before="240"/>
      <w:ind w:left="284"/>
      <w:jc w:val="both"/>
    </w:pPr>
  </w:style>
  <w:style w:type="paragraph" w:styleId="Footer">
    <w:name w:val="footer"/>
    <w:basedOn w:val="Normal"/>
    <w:rsid w:val="000361CA"/>
    <w:pPr>
      <w:tabs>
        <w:tab w:val="center" w:pos="3686"/>
        <w:tab w:val="right" w:pos="7371"/>
      </w:tabs>
    </w:pPr>
    <w:rPr>
      <w:sz w:val="18"/>
    </w:rPr>
  </w:style>
  <w:style w:type="paragraph" w:styleId="FootnoteText">
    <w:name w:val="footnote text"/>
    <w:basedOn w:val="Normal"/>
    <w:semiHidden/>
    <w:rsid w:val="000361CA"/>
    <w:pPr>
      <w:jc w:val="both"/>
    </w:pPr>
    <w:rPr>
      <w:sz w:val="20"/>
    </w:rPr>
  </w:style>
  <w:style w:type="paragraph" w:customStyle="1" w:styleId="JuHeader">
    <w:name w:val="Ju_Header"/>
    <w:basedOn w:val="Header"/>
    <w:rsid w:val="000361CA"/>
  </w:style>
  <w:style w:type="paragraph" w:customStyle="1" w:styleId="PListCases">
    <w:name w:val="P_List_Cases"/>
    <w:basedOn w:val="Normal"/>
    <w:rsid w:val="000361CA"/>
    <w:pPr>
      <w:spacing w:line="288" w:lineRule="auto"/>
    </w:pPr>
  </w:style>
  <w:style w:type="paragraph" w:customStyle="1" w:styleId="PTextIntro">
    <w:name w:val="P_Text_Intro"/>
    <w:basedOn w:val="Normal"/>
    <w:rsid w:val="000361CA"/>
    <w:pPr>
      <w:jc w:val="both"/>
    </w:pPr>
    <w:rPr>
      <w:i/>
      <w:sz w:val="20"/>
    </w:rPr>
  </w:style>
  <w:style w:type="paragraph" w:customStyle="1" w:styleId="PTitleCover">
    <w:name w:val="P_Title_Cover"/>
    <w:basedOn w:val="Normal"/>
    <w:rsid w:val="000361CA"/>
    <w:pPr>
      <w:spacing w:before="2500"/>
      <w:jc w:val="center"/>
    </w:pPr>
    <w:rPr>
      <w:b/>
      <w:smallCaps/>
      <w:sz w:val="30"/>
    </w:rPr>
  </w:style>
  <w:style w:type="paragraph" w:customStyle="1" w:styleId="PTitle1Alpha">
    <w:name w:val="P_Title1_Alpha"/>
    <w:basedOn w:val="Normal"/>
    <w:next w:val="Normal"/>
    <w:rsid w:val="000361CA"/>
    <w:pPr>
      <w:spacing w:after="120"/>
      <w:jc w:val="center"/>
    </w:pPr>
    <w:rPr>
      <w:b/>
      <w:smallCaps/>
      <w:sz w:val="30"/>
    </w:rPr>
  </w:style>
  <w:style w:type="paragraph" w:customStyle="1" w:styleId="PTitle1IndexArticle">
    <w:name w:val="P_Title1_IndexArticle"/>
    <w:basedOn w:val="Normal"/>
    <w:rsid w:val="000361CA"/>
    <w:pPr>
      <w:spacing w:after="120"/>
      <w:jc w:val="center"/>
    </w:pPr>
    <w:rPr>
      <w:b/>
      <w:smallCaps/>
      <w:sz w:val="30"/>
    </w:rPr>
  </w:style>
  <w:style w:type="paragraph" w:customStyle="1" w:styleId="PTitle1IndexKey">
    <w:name w:val="P_Title1_IndexKey"/>
    <w:basedOn w:val="Normal"/>
    <w:rsid w:val="000361CA"/>
    <w:pPr>
      <w:spacing w:after="600"/>
      <w:jc w:val="center"/>
    </w:pPr>
    <w:rPr>
      <w:b/>
      <w:smallCaps/>
      <w:sz w:val="30"/>
      <w:lang w:val="en-GB"/>
    </w:rPr>
  </w:style>
  <w:style w:type="paragraph" w:customStyle="1" w:styleId="PTitle1Num">
    <w:name w:val="P_Title1_Num"/>
    <w:basedOn w:val="Normal"/>
    <w:next w:val="PListCaseNo"/>
    <w:rsid w:val="000361CA"/>
    <w:pPr>
      <w:spacing w:after="720"/>
      <w:jc w:val="center"/>
    </w:pPr>
    <w:rPr>
      <w:b/>
      <w:smallCaps/>
      <w:sz w:val="30"/>
    </w:rPr>
  </w:style>
  <w:style w:type="paragraph" w:customStyle="1" w:styleId="PTitle2Country">
    <w:name w:val="P_Title2_Country"/>
    <w:basedOn w:val="Normal"/>
    <w:next w:val="PListCases"/>
    <w:rsid w:val="000361CA"/>
    <w:pPr>
      <w:keepNext/>
      <w:keepLines/>
      <w:spacing w:before="600" w:after="360"/>
    </w:pPr>
    <w:rPr>
      <w:b/>
    </w:rPr>
  </w:style>
  <w:style w:type="paragraph" w:customStyle="1" w:styleId="PTitle2Letters">
    <w:name w:val="P_Title2_Letters"/>
    <w:basedOn w:val="Normal"/>
    <w:next w:val="PListCases"/>
    <w:rsid w:val="000361CA"/>
    <w:pPr>
      <w:keepNext/>
      <w:keepLines/>
      <w:spacing w:before="600" w:after="360"/>
    </w:pPr>
    <w:rPr>
      <w:b/>
      <w:sz w:val="28"/>
    </w:rPr>
  </w:style>
  <w:style w:type="paragraph" w:customStyle="1" w:styleId="PTitle2Part">
    <w:name w:val="P_Title2_Part"/>
    <w:basedOn w:val="Normal"/>
    <w:rsid w:val="000361CA"/>
    <w:pPr>
      <w:keepNext/>
      <w:keepLines/>
      <w:spacing w:before="600" w:after="240"/>
      <w:jc w:val="center"/>
    </w:pPr>
    <w:rPr>
      <w:b/>
      <w:caps/>
    </w:rPr>
  </w:style>
  <w:style w:type="paragraph" w:customStyle="1" w:styleId="PTitle3Article">
    <w:name w:val="P_Title3_Article"/>
    <w:basedOn w:val="Normal"/>
    <w:rsid w:val="000361CA"/>
    <w:pPr>
      <w:keepNext/>
      <w:keepLines/>
      <w:spacing w:before="360" w:after="120"/>
      <w:jc w:val="center"/>
    </w:pPr>
    <w:rPr>
      <w:b/>
      <w:smallCaps/>
      <w:sz w:val="22"/>
    </w:rPr>
  </w:style>
  <w:style w:type="paragraph" w:customStyle="1" w:styleId="PTitle4ArticleSub">
    <w:name w:val="P_Title4_Article_Sub"/>
    <w:basedOn w:val="PTitle3Article"/>
    <w:rsid w:val="000361CA"/>
    <w:pPr>
      <w:spacing w:before="240"/>
    </w:pPr>
    <w:rPr>
      <w:smallCaps w:val="0"/>
      <w:sz w:val="20"/>
    </w:rPr>
  </w:style>
  <w:style w:type="paragraph" w:customStyle="1" w:styleId="PTitle5Subject">
    <w:name w:val="P_Title5_Subject"/>
    <w:basedOn w:val="Normal"/>
    <w:rsid w:val="000361CA"/>
    <w:pPr>
      <w:keepNext/>
      <w:keepLines/>
      <w:spacing w:before="240" w:after="120"/>
      <w:jc w:val="both"/>
    </w:pPr>
    <w:rPr>
      <w:b/>
      <w:i/>
    </w:rPr>
  </w:style>
  <w:style w:type="paragraph" w:customStyle="1" w:styleId="PTitle6SubjectSub">
    <w:name w:val="P_Title6_Subject_Sub"/>
    <w:basedOn w:val="Normal"/>
    <w:rsid w:val="000361CA"/>
    <w:pPr>
      <w:keepNext/>
      <w:keepLines/>
      <w:spacing w:before="240" w:after="120"/>
      <w:ind w:left="284"/>
      <w:jc w:val="both"/>
    </w:pPr>
    <w:rPr>
      <w:b/>
      <w:sz w:val="20"/>
    </w:rPr>
  </w:style>
  <w:style w:type="paragraph" w:customStyle="1" w:styleId="PTitle7CaseName">
    <w:name w:val="P_Title7_CaseName"/>
    <w:basedOn w:val="Normal"/>
    <w:rsid w:val="000361CA"/>
    <w:pPr>
      <w:keepLines/>
      <w:spacing w:after="240"/>
      <w:jc w:val="right"/>
    </w:pPr>
    <w:rPr>
      <w:sz w:val="22"/>
    </w:rPr>
  </w:style>
  <w:style w:type="paragraph" w:customStyle="1" w:styleId="OpiParaSub">
    <w:name w:val="Opi_Para_Sub"/>
    <w:basedOn w:val="JuParaSub"/>
    <w:rsid w:val="000361CA"/>
  </w:style>
  <w:style w:type="paragraph" w:customStyle="1" w:styleId="OpiQuotSub">
    <w:name w:val="Opi_Quot_Sub"/>
    <w:basedOn w:val="JuQuotSub"/>
    <w:rsid w:val="000361CA"/>
  </w:style>
  <w:style w:type="paragraph" w:customStyle="1" w:styleId="JuHArticle">
    <w:name w:val="Ju_H_Article"/>
    <w:basedOn w:val="JuHa0"/>
    <w:next w:val="JuQuot"/>
    <w:rsid w:val="000361CA"/>
    <w:pPr>
      <w:ind w:left="0" w:firstLine="0"/>
      <w:jc w:val="center"/>
    </w:pPr>
  </w:style>
  <w:style w:type="character" w:customStyle="1" w:styleId="JuParaChar">
    <w:name w:val="Ju_Para Char"/>
    <w:basedOn w:val="DefaultParagraphFont"/>
    <w:link w:val="JuPara"/>
    <w:rsid w:val="000361CA"/>
    <w:rPr>
      <w:sz w:val="24"/>
      <w:lang w:val="fr-FR" w:eastAsia="fr-FR" w:bidi="ar-SA"/>
    </w:rPr>
  </w:style>
  <w:style w:type="character" w:customStyle="1" w:styleId="JuParaCar">
    <w:name w:val="Ju_Para Car"/>
    <w:basedOn w:val="DefaultParagraphFont"/>
    <w:rsid w:val="000361CA"/>
    <w:rPr>
      <w:sz w:val="24"/>
      <w:lang w:val="fr-FR" w:eastAsia="en-US" w:bidi="ar-SA"/>
    </w:rPr>
  </w:style>
  <w:style w:type="character" w:styleId="CommentReference">
    <w:name w:val="annotation reference"/>
    <w:basedOn w:val="DefaultParagraphFont"/>
    <w:semiHidden/>
    <w:rsid w:val="000361CA"/>
    <w:rPr>
      <w:sz w:val="16"/>
    </w:rPr>
  </w:style>
  <w:style w:type="paragraph" w:styleId="CommentText">
    <w:name w:val="annotation text"/>
    <w:basedOn w:val="Normal"/>
    <w:semiHidden/>
    <w:rsid w:val="000361CA"/>
    <w:rPr>
      <w:sz w:val="20"/>
    </w:rPr>
  </w:style>
  <w:style w:type="paragraph" w:customStyle="1" w:styleId="LtrBody">
    <w:name w:val="Ltr_Body"/>
    <w:basedOn w:val="Normal"/>
    <w:rsid w:val="000361CA"/>
    <w:pPr>
      <w:suppressAutoHyphens w:val="0"/>
      <w:ind w:firstLine="567"/>
      <w:jc w:val="both"/>
    </w:pPr>
    <w:rPr>
      <w:lang w:eastAsia="en-GB"/>
    </w:rPr>
  </w:style>
  <w:style w:type="character" w:customStyle="1" w:styleId="JuQuotChar">
    <w:name w:val="Ju_Quot Char"/>
    <w:basedOn w:val="JuParaChar"/>
    <w:link w:val="JuQuot"/>
    <w:rsid w:val="000361CA"/>
    <w:rPr>
      <w:sz w:val="24"/>
      <w:lang w:val="fr-FR" w:eastAsia="fr-FR" w:bidi="ar-SA"/>
    </w:rPr>
  </w:style>
  <w:style w:type="paragraph" w:styleId="BalloonText">
    <w:name w:val="Balloon Text"/>
    <w:basedOn w:val="Normal"/>
    <w:semiHidden/>
    <w:rsid w:val="000361CA"/>
    <w:rPr>
      <w:rFonts w:ascii="Tahoma" w:hAnsi="Tahoma" w:cs="Tahoma"/>
      <w:sz w:val="16"/>
      <w:szCs w:val="16"/>
    </w:rPr>
  </w:style>
  <w:style w:type="character" w:customStyle="1" w:styleId="JuHHeadChar">
    <w:name w:val="Ju_H_Head Char"/>
    <w:basedOn w:val="DefaultParagraphFont"/>
    <w:link w:val="JuHHead"/>
    <w:rsid w:val="00154C6A"/>
    <w:rPr>
      <w:sz w:val="28"/>
      <w:lang w:val="fr-FR" w:eastAsia="fr-FR" w:bidi="ar-SA"/>
    </w:rPr>
  </w:style>
  <w:style w:type="character" w:customStyle="1" w:styleId="JuHIRomanChar">
    <w:name w:val="Ju_H_I_Roman Char"/>
    <w:basedOn w:val="JuHHeadChar"/>
    <w:link w:val="JuHIRoman"/>
    <w:rsid w:val="00154C6A"/>
    <w:rPr>
      <w:sz w:val="24"/>
      <w:lang w:val="fr-FR" w:eastAsia="fr-FR" w:bidi="ar-SA"/>
    </w:rPr>
  </w:style>
  <w:style w:type="character" w:customStyle="1" w:styleId="JuHAChar">
    <w:name w:val="Ju_H_A Char"/>
    <w:basedOn w:val="JuHIRomanChar"/>
    <w:link w:val="JuHA"/>
    <w:rsid w:val="00154C6A"/>
    <w:rPr>
      <w:b/>
      <w:sz w:val="24"/>
      <w:lang w:val="fr-FR" w:eastAsia="fr-FR" w:bidi="ar-SA"/>
    </w:rPr>
  </w:style>
  <w:style w:type="character" w:customStyle="1" w:styleId="JuH1Char">
    <w:name w:val="Ju_H_1. Char"/>
    <w:basedOn w:val="JuHAChar"/>
    <w:link w:val="JuH1"/>
    <w:rsid w:val="00154C6A"/>
    <w:rPr>
      <w:b/>
      <w:i/>
      <w:sz w:val="24"/>
      <w:lang w:val="fr-FR"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953BC2-2438-42D9-842A-DA6DEC57579F}"/>
</file>

<file path=customXml/itemProps2.xml><?xml version="1.0" encoding="utf-8"?>
<ds:datastoreItem xmlns:ds="http://schemas.openxmlformats.org/officeDocument/2006/customXml" ds:itemID="{2899D38A-E5E9-4F39-90F4-B44E10B58FA3}"/>
</file>

<file path=customXml/itemProps3.xml><?xml version="1.0" encoding="utf-8"?>
<ds:datastoreItem xmlns:ds="http://schemas.openxmlformats.org/officeDocument/2006/customXml" ds:itemID="{27918231-6148-4E1D-8ABA-A9ABA13B1A38}"/>
</file>

<file path=docProps/app.xml><?xml version="1.0" encoding="utf-8"?>
<Properties xmlns="http://schemas.openxmlformats.org/officeDocument/2006/extended-properties" xmlns:vt="http://schemas.openxmlformats.org/officeDocument/2006/docPropsVTypes">
  <Template>Normal.dotm</Template>
  <TotalTime>1</TotalTime>
  <Pages>1</Pages>
  <Words>2648</Words>
  <Characters>15094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17707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2</cp:revision>
  <dcterms:created xsi:type="dcterms:W3CDTF">2015-03-18T15:26:00Z</dcterms:created>
  <dcterms:modified xsi:type="dcterms:W3CDTF">2015-03-18T15:26:00Z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