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0251F" w:rsidR="00257354" w:rsidRDefault="00257354">
      <w:pPr>
        <w:jc w:val="center"/>
        <w:rPr>
          <w:szCs w:val="24"/>
        </w:rPr>
      </w:pPr>
      <w:bookmarkStart w:name="_GoBack" w:id="0"/>
      <w:bookmarkEnd w:id="0"/>
    </w:p>
    <w:p w:rsidRPr="0000251F" w:rsidR="00257354" w:rsidRDefault="00257354">
      <w:pPr>
        <w:jc w:val="center"/>
        <w:rPr>
          <w:szCs w:val="24"/>
        </w:rPr>
      </w:pPr>
    </w:p>
    <w:p w:rsidRPr="0000251F" w:rsidR="00260DD7" w:rsidRDefault="00260DD7">
      <w:pPr>
        <w:jc w:val="center"/>
        <w:rPr>
          <w:szCs w:val="24"/>
        </w:rPr>
      </w:pPr>
    </w:p>
    <w:p w:rsidRPr="0000251F" w:rsidR="00260DD7" w:rsidRDefault="00094FB2">
      <w:pPr>
        <w:jc w:val="center"/>
        <w:rPr>
          <w:szCs w:val="24"/>
        </w:rPr>
      </w:pPr>
      <w:r w:rsidRPr="0000251F">
        <w:rPr>
          <w:szCs w:val="24"/>
        </w:rPr>
        <w:t>FIRST SECTION</w:t>
      </w:r>
    </w:p>
    <w:p w:rsidRPr="0000251F" w:rsidR="00257354" w:rsidRDefault="00257354">
      <w:pPr>
        <w:jc w:val="center"/>
        <w:rPr>
          <w:szCs w:val="24"/>
        </w:rPr>
      </w:pPr>
    </w:p>
    <w:p w:rsidRPr="0000251F" w:rsidR="00257354" w:rsidRDefault="00257354">
      <w:pPr>
        <w:jc w:val="center"/>
        <w:rPr>
          <w:szCs w:val="24"/>
        </w:rPr>
      </w:pPr>
    </w:p>
    <w:p w:rsidRPr="0000251F" w:rsidR="00257354" w:rsidRDefault="00257354">
      <w:pPr>
        <w:jc w:val="center"/>
        <w:rPr>
          <w:szCs w:val="24"/>
        </w:rPr>
      </w:pPr>
    </w:p>
    <w:p w:rsidRPr="0000251F" w:rsidR="00257354" w:rsidRDefault="00257354">
      <w:pPr>
        <w:jc w:val="center"/>
        <w:rPr>
          <w:szCs w:val="24"/>
        </w:rPr>
      </w:pPr>
    </w:p>
    <w:p w:rsidRPr="0000251F" w:rsidR="00260DD7" w:rsidRDefault="00260DD7">
      <w:pPr>
        <w:jc w:val="center"/>
        <w:rPr>
          <w:szCs w:val="24"/>
        </w:rPr>
      </w:pPr>
    </w:p>
    <w:p w:rsidRPr="0000251F" w:rsidR="00260DD7" w:rsidRDefault="00260DD7">
      <w:pPr>
        <w:jc w:val="center"/>
        <w:rPr>
          <w:b/>
          <w:szCs w:val="24"/>
        </w:rPr>
      </w:pPr>
      <w:bookmarkStart w:name="To" w:id="1"/>
      <w:r w:rsidRPr="0000251F">
        <w:rPr>
          <w:b/>
          <w:szCs w:val="24"/>
        </w:rPr>
        <w:t xml:space="preserve">CASE OF </w:t>
      </w:r>
      <w:bookmarkEnd w:id="1"/>
      <w:r w:rsidRPr="0000251F" w:rsidR="00094FB2">
        <w:rPr>
          <w:b/>
          <w:szCs w:val="24"/>
        </w:rPr>
        <w:t xml:space="preserve">ROMANENKO AND OTHERS v. </w:t>
      </w:r>
      <w:smartTag w:uri="urn:schemas-microsoft-com:office:smarttags" w:element="country-region">
        <w:smartTag w:uri="urn:schemas-microsoft-com:office:smarttags" w:element="place">
          <w:r w:rsidR="00094FB2" w:rsidRPr="0000251F">
            <w:rPr>
              <w:b/>
              <w:szCs w:val="24"/>
            </w:rPr>
            <w:t>RUSSIA</w:t>
          </w:r>
        </w:smartTag>
      </w:smartTag>
    </w:p>
    <w:p w:rsidRPr="0000251F" w:rsidR="00260DD7" w:rsidRDefault="00260DD7">
      <w:pPr>
        <w:jc w:val="center"/>
        <w:rPr>
          <w:szCs w:val="24"/>
        </w:rPr>
      </w:pPr>
    </w:p>
    <w:p w:rsidRPr="0000251F" w:rsidR="00260DD7" w:rsidRDefault="00260DD7">
      <w:pPr>
        <w:jc w:val="center"/>
        <w:rPr>
          <w:i/>
          <w:szCs w:val="24"/>
        </w:rPr>
      </w:pPr>
      <w:r w:rsidRPr="0000251F">
        <w:rPr>
          <w:i/>
          <w:szCs w:val="24"/>
        </w:rPr>
        <w:t>(</w:t>
      </w:r>
      <w:r w:rsidRPr="0000251F" w:rsidR="00094FB2">
        <w:rPr>
          <w:i/>
          <w:szCs w:val="24"/>
        </w:rPr>
        <w:t>Application no. 11751/03</w:t>
      </w:r>
      <w:r w:rsidRPr="0000251F">
        <w:rPr>
          <w:i/>
          <w:szCs w:val="24"/>
        </w:rPr>
        <w:t>)</w:t>
      </w:r>
    </w:p>
    <w:p w:rsidRPr="0000251F" w:rsidR="00257354" w:rsidP="00257354" w:rsidRDefault="00257354">
      <w:pPr>
        <w:jc w:val="center"/>
        <w:rPr>
          <w:szCs w:val="24"/>
        </w:rPr>
      </w:pPr>
    </w:p>
    <w:p w:rsidRPr="0000251F" w:rsidR="00257354" w:rsidP="00257354" w:rsidRDefault="00257354">
      <w:pPr>
        <w:jc w:val="center"/>
        <w:rPr>
          <w:szCs w:val="24"/>
        </w:rPr>
      </w:pPr>
    </w:p>
    <w:p w:rsidRPr="0000251F" w:rsidR="00257354" w:rsidP="00257354" w:rsidRDefault="00257354">
      <w:pPr>
        <w:jc w:val="center"/>
        <w:rPr>
          <w:szCs w:val="24"/>
        </w:rPr>
      </w:pPr>
    </w:p>
    <w:p w:rsidR="00257354" w:rsidP="00257354" w:rsidRDefault="00257354">
      <w:pPr>
        <w:jc w:val="center"/>
        <w:rPr>
          <w:szCs w:val="24"/>
        </w:rPr>
      </w:pPr>
    </w:p>
    <w:p w:rsidRPr="0000251F" w:rsidR="0000251F" w:rsidP="00257354" w:rsidRDefault="0000251F">
      <w:pPr>
        <w:jc w:val="center"/>
        <w:rPr>
          <w:szCs w:val="24"/>
        </w:rPr>
      </w:pPr>
    </w:p>
    <w:p w:rsidRPr="0000251F" w:rsidR="00257354" w:rsidP="00257354" w:rsidRDefault="00257354">
      <w:pPr>
        <w:jc w:val="center"/>
        <w:rPr>
          <w:szCs w:val="24"/>
        </w:rPr>
      </w:pPr>
    </w:p>
    <w:p w:rsidRPr="0000251F" w:rsidR="00257354" w:rsidP="00257354" w:rsidRDefault="00257354">
      <w:pPr>
        <w:jc w:val="center"/>
        <w:rPr>
          <w:szCs w:val="24"/>
        </w:rPr>
      </w:pPr>
    </w:p>
    <w:p w:rsidRPr="0000251F" w:rsidR="00257354" w:rsidP="00257354" w:rsidRDefault="00257354">
      <w:pPr>
        <w:jc w:val="center"/>
        <w:rPr>
          <w:szCs w:val="24"/>
        </w:rPr>
      </w:pPr>
    </w:p>
    <w:p w:rsidRPr="0000251F" w:rsidR="00257354" w:rsidP="00257354" w:rsidRDefault="00257354">
      <w:pPr>
        <w:jc w:val="center"/>
        <w:rPr>
          <w:szCs w:val="24"/>
        </w:rPr>
      </w:pPr>
      <w:r w:rsidRPr="0000251F">
        <w:rPr>
          <w:szCs w:val="24"/>
        </w:rPr>
        <w:t>JUDGMENT</w:t>
      </w:r>
    </w:p>
    <w:p w:rsidRPr="0000251F" w:rsidR="00257354" w:rsidP="00257354" w:rsidRDefault="00257354">
      <w:pPr>
        <w:jc w:val="center"/>
        <w:rPr>
          <w:szCs w:val="24"/>
        </w:rPr>
      </w:pPr>
    </w:p>
    <w:p w:rsidRPr="0000251F" w:rsidR="00257354" w:rsidP="00257354" w:rsidRDefault="00257354">
      <w:pPr>
        <w:jc w:val="center"/>
        <w:rPr>
          <w:szCs w:val="24"/>
        </w:rPr>
      </w:pPr>
    </w:p>
    <w:p w:rsidRPr="0000251F" w:rsidR="00257354" w:rsidP="00257354" w:rsidRDefault="00257354">
      <w:pPr>
        <w:jc w:val="center"/>
        <w:rPr>
          <w:szCs w:val="24"/>
        </w:rPr>
      </w:pPr>
    </w:p>
    <w:p w:rsidRPr="0000251F" w:rsidR="00257354" w:rsidP="00257354" w:rsidRDefault="00257354">
      <w:pPr>
        <w:jc w:val="center"/>
        <w:rPr>
          <w:szCs w:val="24"/>
        </w:rPr>
      </w:pPr>
      <w:smartTag w:uri="urn:schemas-microsoft-com:office:smarttags" w:element="City">
        <w:smartTag w:uri="urn:schemas-microsoft-com:office:smarttags" w:element="place">
          <w:r w:rsidRPr="0000251F">
            <w:rPr>
              <w:szCs w:val="24"/>
            </w:rPr>
            <w:t>STRASBOURG</w:t>
          </w:r>
        </w:smartTag>
      </w:smartTag>
    </w:p>
    <w:p w:rsidRPr="0000251F" w:rsidR="00257354" w:rsidP="00257354" w:rsidRDefault="00257354">
      <w:pPr>
        <w:jc w:val="center"/>
        <w:rPr>
          <w:szCs w:val="24"/>
        </w:rPr>
      </w:pPr>
    </w:p>
    <w:p w:rsidRPr="0000251F" w:rsidR="00257354" w:rsidP="00257354" w:rsidRDefault="00257354">
      <w:pPr>
        <w:jc w:val="center"/>
        <w:rPr>
          <w:szCs w:val="24"/>
        </w:rPr>
      </w:pPr>
      <w:r w:rsidRPr="0000251F">
        <w:rPr>
          <w:szCs w:val="24"/>
        </w:rPr>
        <w:t>8 October 2009</w:t>
      </w:r>
    </w:p>
    <w:p w:rsidRPr="0000251F" w:rsidR="00257354" w:rsidP="00257354" w:rsidRDefault="00257354">
      <w:pPr>
        <w:jc w:val="center"/>
        <w:rPr>
          <w:szCs w:val="24"/>
        </w:rPr>
      </w:pPr>
    </w:p>
    <w:p w:rsidRPr="0000251F" w:rsidR="000D2AE4" w:rsidP="000D2AE4" w:rsidRDefault="000D2AE4">
      <w:pPr>
        <w:jc w:val="center"/>
        <w:rPr>
          <w:b/>
          <w:color w:val="FF0000"/>
          <w:szCs w:val="24"/>
          <w:u w:val="single"/>
        </w:rPr>
      </w:pPr>
      <w:r w:rsidRPr="0000251F">
        <w:rPr>
          <w:b/>
          <w:color w:val="FF0000"/>
          <w:szCs w:val="24"/>
          <w:u w:val="single"/>
        </w:rPr>
        <w:t>FINAL</w:t>
      </w:r>
    </w:p>
    <w:p w:rsidRPr="0000251F" w:rsidR="000D2AE4" w:rsidP="000D2AE4" w:rsidRDefault="000D2AE4">
      <w:pPr>
        <w:jc w:val="center"/>
        <w:rPr>
          <w:b/>
          <w:color w:val="FF0000"/>
          <w:szCs w:val="24"/>
          <w:u w:val="single"/>
        </w:rPr>
      </w:pPr>
    </w:p>
    <w:p w:rsidRPr="0000251F" w:rsidR="000D2AE4" w:rsidP="000D2AE4" w:rsidRDefault="000D2AE4">
      <w:pPr>
        <w:jc w:val="center"/>
        <w:rPr>
          <w:i/>
          <w:color w:val="FF0000"/>
          <w:szCs w:val="24"/>
        </w:rPr>
      </w:pPr>
      <w:r w:rsidRPr="0000251F">
        <w:rPr>
          <w:i/>
          <w:color w:val="FF0000"/>
          <w:szCs w:val="24"/>
        </w:rPr>
        <w:t>08/01/2010</w:t>
      </w:r>
    </w:p>
    <w:p w:rsidRPr="0000251F" w:rsidR="00257354" w:rsidP="00257354" w:rsidRDefault="00257354">
      <w:pPr>
        <w:jc w:val="center"/>
        <w:rPr>
          <w:szCs w:val="24"/>
        </w:rPr>
      </w:pPr>
    </w:p>
    <w:p w:rsidRPr="00257354" w:rsidR="00981416" w:rsidP="00257354" w:rsidRDefault="00257354">
      <w:pPr>
        <w:jc w:val="both"/>
      </w:pPr>
      <w:r>
        <w:rPr>
          <w:i/>
          <w:sz w:val="22"/>
        </w:rPr>
        <w:t>This judgment will become final in the circumstances set out in Article 44 § 2 of the Convention. It may be subject to editorial revision.</w:t>
      </w:r>
    </w:p>
    <w:p w:rsidR="00257354" w:rsidP="00FE58AA" w:rsidRDefault="00257354">
      <w:pPr>
        <w:pStyle w:val="JuCase"/>
        <w:sectPr w:rsidR="00257354" w:rsidSect="00257354">
          <w:headerReference w:type="default" r:id="rId7"/>
          <w:footnotePr>
            <w:numRestart w:val="eachPage"/>
          </w:footnotePr>
          <w:pgSz w:w="11906" w:h="16838" w:code="9"/>
          <w:pgMar w:top="2274" w:right="2274" w:bottom="2274" w:left="2274" w:header="1701" w:footer="720" w:gutter="0"/>
          <w:pgNumType w:start="1"/>
          <w:cols w:space="720"/>
          <w:docGrid w:linePitch="78"/>
        </w:sectPr>
      </w:pPr>
    </w:p>
    <w:p w:rsidRPr="00B65997" w:rsidR="00FE58AA" w:rsidP="00FE58AA" w:rsidRDefault="00FE58AA">
      <w:pPr>
        <w:pStyle w:val="JuCase"/>
      </w:pPr>
      <w:r w:rsidRPr="00B65997">
        <w:t xml:space="preserve">In the case of </w:t>
      </w:r>
      <w:r w:rsidRPr="00B65997">
        <w:rPr>
          <w:rStyle w:val="JuCaseChar"/>
        </w:rPr>
        <w:t xml:space="preserve">Romanenko and Others v. </w:t>
      </w:r>
      <w:smartTag w:uri="urn:schemas-microsoft-com:office:smarttags" w:element="place">
        <w:smartTag w:uri="urn:schemas-microsoft-com:office:smarttags" w:element="country-region">
          <w:r w:rsidRPr="00B65997">
            <w:rPr>
              <w:rStyle w:val="JuCaseChar"/>
            </w:rPr>
            <w:t>Russia</w:t>
          </w:r>
        </w:smartTag>
      </w:smartTag>
      <w:r w:rsidRPr="00B65997">
        <w:t>,</w:t>
      </w:r>
    </w:p>
    <w:p w:rsidRPr="00B65997" w:rsidR="00FE58AA" w:rsidP="00FE58AA" w:rsidRDefault="00FE58AA">
      <w:pPr>
        <w:pStyle w:val="JuPara"/>
      </w:pPr>
      <w:r w:rsidRPr="00B65997">
        <w:t>The European Court of Human Rights (First Section), sitting as a Chamber composed of:</w:t>
      </w:r>
    </w:p>
    <w:p w:rsidRPr="00B65997" w:rsidR="00FE58AA" w:rsidP="00FE58AA" w:rsidRDefault="007A2051">
      <w:pPr>
        <w:pStyle w:val="JuJudges"/>
      </w:pPr>
      <w:r w:rsidRPr="002F04AB">
        <w:rPr>
          <w:rStyle w:val="JuJudgesChar"/>
        </w:rPr>
        <w:tab/>
        <w:t>Nina</w:t>
      </w:r>
      <w:r>
        <w:rPr>
          <w:rStyle w:val="JuJudgesChar"/>
        </w:rPr>
        <w:t xml:space="preserve"> </w:t>
      </w:r>
      <w:r w:rsidRPr="002F04AB">
        <w:rPr>
          <w:rStyle w:val="JuJudgesChar"/>
        </w:rPr>
        <w:t>Vajić</w:t>
      </w:r>
      <w:r>
        <w:rPr>
          <w:rStyle w:val="JuJudgesChar"/>
        </w:rPr>
        <w:t>,</w:t>
      </w:r>
      <w:r w:rsidRPr="002F04AB">
        <w:rPr>
          <w:rStyle w:val="JuJudgesChar"/>
          <w:i/>
        </w:rPr>
        <w:t xml:space="preserve"> President,</w:t>
      </w:r>
      <w:r>
        <w:rPr>
          <w:rStyle w:val="JuJudgesChar"/>
          <w:i/>
        </w:rPr>
        <w:br/>
      </w:r>
      <w:r w:rsidRPr="002F04AB">
        <w:rPr>
          <w:rStyle w:val="JuJudgesChar"/>
        </w:rPr>
        <w:tab/>
        <w:t>Anatoly</w:t>
      </w:r>
      <w:r>
        <w:rPr>
          <w:rStyle w:val="JuJudgesChar"/>
        </w:rPr>
        <w:t xml:space="preserve"> </w:t>
      </w:r>
      <w:r w:rsidRPr="002F04AB">
        <w:rPr>
          <w:rStyle w:val="JuJudgesChar"/>
        </w:rPr>
        <w:t>Kovler</w:t>
      </w:r>
      <w:r>
        <w:rPr>
          <w:rStyle w:val="JuJudgesChar"/>
        </w:rPr>
        <w:t>,</w:t>
      </w:r>
      <w:r>
        <w:rPr>
          <w:rStyle w:val="JuJudgesChar"/>
          <w:i/>
        </w:rPr>
        <w:br/>
      </w:r>
      <w:r w:rsidRPr="002F04AB">
        <w:rPr>
          <w:rStyle w:val="JuJudgesChar"/>
        </w:rPr>
        <w:tab/>
        <w:t>Elisabeth</w:t>
      </w:r>
      <w:r>
        <w:rPr>
          <w:rStyle w:val="JuJudgesChar"/>
        </w:rPr>
        <w:t xml:space="preserve"> </w:t>
      </w:r>
      <w:r w:rsidRPr="002F04AB">
        <w:rPr>
          <w:rStyle w:val="JuJudgesChar"/>
        </w:rPr>
        <w:t>Steiner</w:t>
      </w:r>
      <w:r>
        <w:rPr>
          <w:rStyle w:val="JuJudgesChar"/>
        </w:rPr>
        <w:t>,</w:t>
      </w:r>
      <w:r>
        <w:rPr>
          <w:rStyle w:val="JuJudgesChar"/>
          <w:i/>
        </w:rPr>
        <w:br/>
      </w:r>
      <w:r w:rsidRPr="002F04AB">
        <w:rPr>
          <w:rStyle w:val="JuJudgesChar"/>
        </w:rPr>
        <w:tab/>
        <w:t>Khanlar</w:t>
      </w:r>
      <w:r>
        <w:rPr>
          <w:rStyle w:val="JuJudgesChar"/>
        </w:rPr>
        <w:t xml:space="preserve"> </w:t>
      </w:r>
      <w:r w:rsidRPr="002F04AB">
        <w:rPr>
          <w:rStyle w:val="JuJudgesChar"/>
        </w:rPr>
        <w:t>Hajiyev</w:t>
      </w:r>
      <w:r>
        <w:rPr>
          <w:rStyle w:val="JuJudgesChar"/>
        </w:rPr>
        <w:t>,</w:t>
      </w:r>
      <w:r>
        <w:rPr>
          <w:rStyle w:val="JuJudgesChar"/>
          <w:i/>
        </w:rPr>
        <w:br/>
      </w:r>
      <w:r w:rsidRPr="002F04AB">
        <w:rPr>
          <w:rStyle w:val="JuJudgesChar"/>
        </w:rPr>
        <w:tab/>
        <w:t>Dean</w:t>
      </w:r>
      <w:r>
        <w:rPr>
          <w:rStyle w:val="JuJudgesChar"/>
        </w:rPr>
        <w:t xml:space="preserve"> </w:t>
      </w:r>
      <w:r w:rsidRPr="002F04AB">
        <w:rPr>
          <w:rStyle w:val="JuJudgesChar"/>
        </w:rPr>
        <w:t>Spielmann</w:t>
      </w:r>
      <w:r>
        <w:rPr>
          <w:rStyle w:val="JuJudgesChar"/>
        </w:rPr>
        <w:t>,</w:t>
      </w:r>
      <w:r>
        <w:rPr>
          <w:rStyle w:val="JuJudgesChar"/>
          <w:i/>
        </w:rPr>
        <w:br/>
      </w:r>
      <w:r w:rsidRPr="002F04AB">
        <w:rPr>
          <w:rStyle w:val="JuJudgesChar"/>
        </w:rPr>
        <w:tab/>
        <w:t>Sverre Erik</w:t>
      </w:r>
      <w:r>
        <w:rPr>
          <w:rStyle w:val="JuJudgesChar"/>
        </w:rPr>
        <w:t xml:space="preserve"> </w:t>
      </w:r>
      <w:r w:rsidRPr="002F04AB">
        <w:rPr>
          <w:rStyle w:val="JuJudgesChar"/>
        </w:rPr>
        <w:t>Jebens</w:t>
      </w:r>
      <w:r>
        <w:rPr>
          <w:rStyle w:val="JuJudgesChar"/>
        </w:rPr>
        <w:t>,</w:t>
      </w:r>
      <w:r>
        <w:rPr>
          <w:rStyle w:val="JuJudgesChar"/>
          <w:i/>
        </w:rPr>
        <w:br/>
      </w:r>
      <w:r w:rsidRPr="002F04AB">
        <w:rPr>
          <w:rStyle w:val="JuJudgesChar"/>
        </w:rPr>
        <w:tab/>
        <w:t>Giorgio</w:t>
      </w:r>
      <w:r>
        <w:rPr>
          <w:rStyle w:val="JuJudgesChar"/>
        </w:rPr>
        <w:t xml:space="preserve"> </w:t>
      </w:r>
      <w:r w:rsidRPr="002F04AB">
        <w:rPr>
          <w:rStyle w:val="JuJudgesChar"/>
        </w:rPr>
        <w:t>Malinverni</w:t>
      </w:r>
      <w:r>
        <w:rPr>
          <w:rStyle w:val="JuJudgesChar"/>
        </w:rPr>
        <w:t>,</w:t>
      </w:r>
      <w:r w:rsidRPr="002F04AB">
        <w:rPr>
          <w:rStyle w:val="JuJudgesChar"/>
          <w:i/>
        </w:rPr>
        <w:t xml:space="preserve"> judges,</w:t>
      </w:r>
      <w:r>
        <w:rPr>
          <w:rStyle w:val="JuJudgesChar"/>
          <w:i/>
        </w:rPr>
        <w:br/>
      </w:r>
      <w:r w:rsidRPr="003C6A93">
        <w:t xml:space="preserve">and </w:t>
      </w:r>
      <w:r>
        <w:rPr>
          <w:rStyle w:val="JuNames"/>
          <w:rFonts w:ascii="Times New (W1)" w:hAnsi="Times New (W1)"/>
          <w:smallCaps w:val="0"/>
        </w:rPr>
        <w:t>André Wampach</w:t>
      </w:r>
      <w:r w:rsidRPr="003C6A93">
        <w:t xml:space="preserve">, </w:t>
      </w:r>
      <w:r w:rsidRPr="008B0D80">
        <w:rPr>
          <w:i/>
        </w:rPr>
        <w:t>Deputy</w:t>
      </w:r>
      <w:r>
        <w:t xml:space="preserve"> </w:t>
      </w:r>
      <w:r w:rsidRPr="003C6A93">
        <w:rPr>
          <w:i/>
        </w:rPr>
        <w:t>Section Registrar</w:t>
      </w:r>
      <w:r w:rsidRPr="003C6A93">
        <w:t>,</w:t>
      </w:r>
    </w:p>
    <w:p w:rsidRPr="00B65997" w:rsidR="00FE58AA" w:rsidP="00FE58AA" w:rsidRDefault="00FE58AA">
      <w:pPr>
        <w:pStyle w:val="JuPara"/>
      </w:pPr>
      <w:r w:rsidRPr="00B65997">
        <w:t xml:space="preserve">Having deliberated in private on </w:t>
      </w:r>
      <w:r w:rsidR="00257354">
        <w:t>17 September 2009</w:t>
      </w:r>
      <w:r w:rsidRPr="00B65997">
        <w:t>,</w:t>
      </w:r>
    </w:p>
    <w:p w:rsidRPr="00094FB2" w:rsidR="00260DD7" w:rsidRDefault="00FE58AA">
      <w:pPr>
        <w:pStyle w:val="JuPara"/>
      </w:pPr>
      <w:r w:rsidRPr="00B65997">
        <w:t xml:space="preserve">Delivers the following judgment, </w:t>
      </w:r>
      <w:r>
        <w:t>which was adopted on that date:</w:t>
      </w:r>
    </w:p>
    <w:p w:rsidRPr="00094FB2" w:rsidR="00260DD7" w:rsidRDefault="00260DD7">
      <w:pPr>
        <w:pStyle w:val="JuHHead"/>
      </w:pPr>
      <w:r w:rsidRPr="00094FB2">
        <w:t>PROCEDURE</w:t>
      </w:r>
    </w:p>
    <w:p w:rsidRPr="00094FB2" w:rsidR="00260DD7" w:rsidP="00DC17B0" w:rsidRDefault="00094FB2">
      <w:pPr>
        <w:pStyle w:val="JuPara"/>
      </w:pPr>
      <w:r w:rsidRPr="00094FB2">
        <w:fldChar w:fldCharType="begin"/>
      </w:r>
      <w:r w:rsidRPr="00094FB2">
        <w:instrText xml:space="preserve"> SEQ level0 \*arabic </w:instrText>
      </w:r>
      <w:r w:rsidRPr="00094FB2">
        <w:fldChar w:fldCharType="separate"/>
      </w:r>
      <w:r w:rsidR="00303682">
        <w:rPr>
          <w:noProof/>
        </w:rPr>
        <w:t>1</w:t>
      </w:r>
      <w:r w:rsidRPr="00094FB2">
        <w:fldChar w:fldCharType="end"/>
      </w:r>
      <w:r w:rsidRPr="00094FB2" w:rsidR="00260DD7">
        <w:t xml:space="preserve">.  The case originated in </w:t>
      </w:r>
      <w:r w:rsidRPr="00094FB2">
        <w:t>an application (no. 11751/03)</w:t>
      </w:r>
      <w:r w:rsidRPr="00094FB2" w:rsidR="00260DD7">
        <w:t xml:space="preserve"> against </w:t>
      </w:r>
      <w:r w:rsidRPr="00094FB2">
        <w:t xml:space="preserve">the </w:t>
      </w:r>
      <w:smartTag w:uri="urn:schemas-microsoft-com:office:smarttags" w:element="place">
        <w:smartTag w:uri="urn:schemas-microsoft-com:office:smarttags" w:element="country-region">
          <w:r w:rsidRPr="00094FB2">
            <w:t>Russian Federation</w:t>
          </w:r>
        </w:smartTag>
      </w:smartTag>
      <w:r w:rsidRPr="00094FB2" w:rsidR="00260DD7">
        <w:t xml:space="preserve"> lodged with the </w:t>
      </w:r>
      <w:r w:rsidRPr="00094FB2">
        <w:t>Court under Article 34</w:t>
      </w:r>
      <w:r w:rsidRPr="00094FB2" w:rsidR="00260DD7">
        <w:t xml:space="preserve"> of the Convention for the Protection of Human Rights and Fundamental Freedoms (“the Convention”) by </w:t>
      </w:r>
      <w:r>
        <w:t>three</w:t>
      </w:r>
      <w:r w:rsidRPr="00094FB2">
        <w:t xml:space="preserve"> Russian nationals, Mrs Tatyana Gavriilovna Romanenko</w:t>
      </w:r>
      <w:r>
        <w:t>,</w:t>
      </w:r>
      <w:r w:rsidRPr="00094FB2">
        <w:t xml:space="preserve"> </w:t>
      </w:r>
      <w:r w:rsidRPr="00404CF0">
        <w:t>M</w:t>
      </w:r>
      <w:r>
        <w:t>r</w:t>
      </w:r>
      <w:r w:rsidRPr="00404CF0">
        <w:t>s Irina Georgievna Grebneva and Mr Vladimir Fedorovich Trubitsyn</w:t>
      </w:r>
      <w:r w:rsidRPr="00094FB2">
        <w:t xml:space="preserve"> (“the applicants”), on 26 </w:t>
      </w:r>
      <w:r>
        <w:t xml:space="preserve">February </w:t>
      </w:r>
      <w:r w:rsidRPr="00094FB2">
        <w:t>2003</w:t>
      </w:r>
      <w:r>
        <w:t>.</w:t>
      </w:r>
    </w:p>
    <w:p w:rsidRPr="00094FB2" w:rsidR="00260DD7" w:rsidRDefault="00094FB2">
      <w:pPr>
        <w:pStyle w:val="JuPara"/>
      </w:pPr>
      <w:r w:rsidRPr="00094FB2">
        <w:fldChar w:fldCharType="begin"/>
      </w:r>
      <w:r w:rsidRPr="00094FB2">
        <w:instrText xml:space="preserve"> SEQ level0 \*arabic </w:instrText>
      </w:r>
      <w:r w:rsidRPr="00094FB2">
        <w:fldChar w:fldCharType="separate"/>
      </w:r>
      <w:r w:rsidR="00303682">
        <w:rPr>
          <w:noProof/>
        </w:rPr>
        <w:t>2</w:t>
      </w:r>
      <w:r w:rsidRPr="00094FB2">
        <w:fldChar w:fldCharType="end"/>
      </w:r>
      <w:r w:rsidRPr="00094FB2" w:rsidR="00260DD7">
        <w:t>.  </w:t>
      </w:r>
      <w:r w:rsidRPr="00094FB2">
        <w:t xml:space="preserve">The applicants were represented by Ms </w:t>
      </w:r>
      <w:r>
        <w:t>A.</w:t>
      </w:r>
      <w:r w:rsidRPr="00094FB2">
        <w:t xml:space="preserve"> Soboleva</w:t>
      </w:r>
      <w:r>
        <w:t xml:space="preserve"> and Mr V. Monakhov</w:t>
      </w:r>
      <w:r w:rsidRPr="00094FB2">
        <w:t>, lawyer</w:t>
      </w:r>
      <w:r>
        <w:t>s</w:t>
      </w:r>
      <w:r w:rsidRPr="00094FB2">
        <w:t xml:space="preserve"> </w:t>
      </w:r>
      <w:r>
        <w:t>with Jurists for Constitutional Rights and Freedoms (JURIX)</w:t>
      </w:r>
      <w:r w:rsidR="00DC1154">
        <w:t>, a</w:t>
      </w:r>
      <w:r>
        <w:t xml:space="preserve"> non-governmental organisation </w:t>
      </w:r>
      <w:r w:rsidRPr="00094FB2">
        <w:t xml:space="preserve">in </w:t>
      </w:r>
      <w:smartTag w:uri="urn:schemas-microsoft-com:office:smarttags" w:element="place">
        <w:smartTag w:uri="urn:schemas-microsoft-com:office:smarttags" w:element="City">
          <w:r w:rsidRPr="00094FB2">
            <w:t>Moscow</w:t>
          </w:r>
        </w:smartTag>
      </w:smartTag>
      <w:r w:rsidRPr="00094FB2">
        <w:t xml:space="preserve">. </w:t>
      </w:r>
      <w:r w:rsidRPr="00094FB2" w:rsidR="00260DD7">
        <w:t xml:space="preserve">The </w:t>
      </w:r>
      <w:r w:rsidRPr="00094FB2">
        <w:t>Russian</w:t>
      </w:r>
      <w:r w:rsidRPr="00094FB2" w:rsidR="00260DD7">
        <w:t xml:space="preserve"> Government (“the Government”) were represented by </w:t>
      </w:r>
      <w:r>
        <w:t xml:space="preserve">Mr P. Laptev, </w:t>
      </w:r>
      <w:r w:rsidR="00FE58AA">
        <w:t xml:space="preserve">former </w:t>
      </w:r>
      <w:r>
        <w:t xml:space="preserve">Representative of the </w:t>
      </w:r>
      <w:smartTag w:uri="urn:schemas-microsoft-com:office:smarttags" w:element="place">
        <w:smartTag w:uri="urn:schemas-microsoft-com:office:smarttags" w:element="country-region">
          <w:r>
            <w:t>Russian Federation</w:t>
          </w:r>
        </w:smartTag>
      </w:smartTag>
      <w:r>
        <w:t xml:space="preserve"> at the European Court of Human Rights</w:t>
      </w:r>
      <w:r w:rsidRPr="00094FB2" w:rsidR="00260DD7">
        <w:t>.</w:t>
      </w:r>
    </w:p>
    <w:p w:rsidR="00094FB2" w:rsidRDefault="00094FB2">
      <w:pPr>
        <w:pStyle w:val="JuPara"/>
      </w:pPr>
      <w:r w:rsidRPr="00094FB2">
        <w:fldChar w:fldCharType="begin"/>
      </w:r>
      <w:r w:rsidRPr="00094FB2">
        <w:instrText xml:space="preserve"> SEQ level0 \*arabic </w:instrText>
      </w:r>
      <w:r w:rsidRPr="00094FB2">
        <w:fldChar w:fldCharType="separate"/>
      </w:r>
      <w:r w:rsidR="00303682">
        <w:rPr>
          <w:noProof/>
        </w:rPr>
        <w:t>3</w:t>
      </w:r>
      <w:r w:rsidRPr="00094FB2">
        <w:fldChar w:fldCharType="end"/>
      </w:r>
      <w:r w:rsidRPr="00094FB2" w:rsidR="00260DD7">
        <w:t xml:space="preserve">.  The </w:t>
      </w:r>
      <w:r w:rsidRPr="00094FB2">
        <w:t>applicants</w:t>
      </w:r>
      <w:r w:rsidRPr="00094FB2" w:rsidR="00260DD7">
        <w:t xml:space="preserve"> </w:t>
      </w:r>
      <w:r>
        <w:t>complained under Article 10 about a violation of their right to impart information</w:t>
      </w:r>
      <w:r w:rsidRPr="00094FB2" w:rsidR="00260DD7">
        <w:t>.</w:t>
      </w:r>
    </w:p>
    <w:p w:rsidRPr="00094FB2" w:rsidR="00FE58AA" w:rsidRDefault="00FE58AA">
      <w:pPr>
        <w:pStyle w:val="JuPara"/>
      </w:pPr>
      <w:r>
        <w:fldChar w:fldCharType="begin"/>
      </w:r>
      <w:r>
        <w:instrText xml:space="preserve"> SEQ level0 \*arabic </w:instrText>
      </w:r>
      <w:r>
        <w:fldChar w:fldCharType="separate"/>
      </w:r>
      <w:r w:rsidR="00303682">
        <w:rPr>
          <w:noProof/>
        </w:rPr>
        <w:t>4</w:t>
      </w:r>
      <w:r>
        <w:fldChar w:fldCharType="end"/>
      </w:r>
      <w:r>
        <w:t xml:space="preserve">.  On 23 May 2005 the President of the Section granted the Open Society Justice Initiative and </w:t>
      </w:r>
      <w:r w:rsidR="00DC1154">
        <w:t xml:space="preserve">the </w:t>
      </w:r>
      <w:r>
        <w:t xml:space="preserve">Moscow Media Law and Policy Institute leave to intervene </w:t>
      </w:r>
      <w:r w:rsidR="003219C9">
        <w:t>as third parties in the proceedings (Article 36 § 2 of the Convention and Rule 44 § 2 of the Rules of Court).</w:t>
      </w:r>
    </w:p>
    <w:p w:rsidRPr="00094FB2" w:rsidR="00260DD7" w:rsidRDefault="00094FB2">
      <w:pPr>
        <w:pStyle w:val="JuPara"/>
      </w:pPr>
      <w:r w:rsidRPr="00094FB2">
        <w:fldChar w:fldCharType="begin"/>
      </w:r>
      <w:r w:rsidRPr="00094FB2">
        <w:instrText xml:space="preserve"> SEQ level0 \*arabic </w:instrText>
      </w:r>
      <w:r w:rsidRPr="00094FB2">
        <w:fldChar w:fldCharType="separate"/>
      </w:r>
      <w:r w:rsidR="00303682">
        <w:rPr>
          <w:noProof/>
        </w:rPr>
        <w:t>5</w:t>
      </w:r>
      <w:r w:rsidRPr="00094FB2">
        <w:fldChar w:fldCharType="end"/>
      </w:r>
      <w:r w:rsidRPr="00094FB2">
        <w:t>.  By a decision of 17 November 2005 the Court declared the application admissible.</w:t>
      </w:r>
    </w:p>
    <w:p w:rsidRPr="00094FB2" w:rsidR="00260DD7" w:rsidRDefault="00094FB2">
      <w:pPr>
        <w:pStyle w:val="JuPara"/>
      </w:pPr>
      <w:r w:rsidRPr="00094FB2">
        <w:fldChar w:fldCharType="begin"/>
      </w:r>
      <w:r w:rsidRPr="00094FB2">
        <w:instrText xml:space="preserve"> SEQ level0 \*arabic </w:instrText>
      </w:r>
      <w:r w:rsidRPr="00094FB2">
        <w:fldChar w:fldCharType="separate"/>
      </w:r>
      <w:r w:rsidR="00303682">
        <w:rPr>
          <w:noProof/>
        </w:rPr>
        <w:t>6</w:t>
      </w:r>
      <w:r w:rsidRPr="00094FB2">
        <w:fldChar w:fldCharType="end"/>
      </w:r>
      <w:r w:rsidRPr="00094FB2" w:rsidR="00260DD7">
        <w:t xml:space="preserve">.  The </w:t>
      </w:r>
      <w:r w:rsidRPr="00094FB2">
        <w:t>applicants</w:t>
      </w:r>
      <w:r w:rsidRPr="00094FB2" w:rsidR="00260DD7">
        <w:t xml:space="preserve"> and the Government each filed observations on the merits (Rule 59 § 1).</w:t>
      </w:r>
    </w:p>
    <w:p w:rsidRPr="00094FB2" w:rsidR="00260DD7" w:rsidRDefault="00260DD7">
      <w:pPr>
        <w:pStyle w:val="JuHHead"/>
      </w:pPr>
      <w:r w:rsidRPr="00094FB2">
        <w:t>THE FACTS</w:t>
      </w:r>
    </w:p>
    <w:p w:rsidRPr="00094FB2" w:rsidR="00260DD7" w:rsidRDefault="00260DD7">
      <w:pPr>
        <w:pStyle w:val="JuHIRoman"/>
      </w:pPr>
      <w:r w:rsidRPr="00094FB2">
        <w:t>I.  THE CIRCUMSTANCES OF THE CASE</w:t>
      </w:r>
    </w:p>
    <w:p w:rsidRPr="00094FB2" w:rsidR="00260DD7" w:rsidRDefault="00094FB2">
      <w:pPr>
        <w:pStyle w:val="JuPara"/>
      </w:pPr>
      <w:r w:rsidRPr="00094FB2">
        <w:fldChar w:fldCharType="begin"/>
      </w:r>
      <w:r w:rsidRPr="00094FB2">
        <w:instrText xml:space="preserve"> SEQ level0 \*arabic </w:instrText>
      </w:r>
      <w:r w:rsidRPr="00094FB2">
        <w:fldChar w:fldCharType="separate"/>
      </w:r>
      <w:r w:rsidR="00303682">
        <w:rPr>
          <w:noProof/>
        </w:rPr>
        <w:t>7</w:t>
      </w:r>
      <w:r w:rsidRPr="00094FB2">
        <w:fldChar w:fldCharType="end"/>
      </w:r>
      <w:r w:rsidRPr="00094FB2" w:rsidR="00260DD7">
        <w:t xml:space="preserve">.  The </w:t>
      </w:r>
      <w:r w:rsidRPr="00094FB2">
        <w:t xml:space="preserve">applicants </w:t>
      </w:r>
      <w:r w:rsidRPr="00404CF0">
        <w:t xml:space="preserve">live in </w:t>
      </w:r>
      <w:smartTag w:uri="urn:schemas-microsoft-com:office:smarttags" w:element="place">
        <w:smartTag w:uri="urn:schemas-microsoft-com:office:smarttags" w:element="City">
          <w:r w:rsidRPr="00404CF0">
            <w:t>Vladivostok</w:t>
          </w:r>
        </w:smartTag>
      </w:smartTag>
      <w:r w:rsidRPr="00404CF0">
        <w:t xml:space="preserve"> and Arsenyev</w:t>
      </w:r>
      <w:r>
        <w:t xml:space="preserve"> in the Primorskiy Region</w:t>
      </w:r>
      <w:r w:rsidRPr="00404CF0">
        <w:t xml:space="preserve">. </w:t>
      </w:r>
      <w:r>
        <w:t xml:space="preserve">They </w:t>
      </w:r>
      <w:r w:rsidRPr="00404CF0">
        <w:t xml:space="preserve">are founders </w:t>
      </w:r>
      <w:r w:rsidR="00F05B62">
        <w:t xml:space="preserve">of </w:t>
      </w:r>
      <w:r>
        <w:t xml:space="preserve">the </w:t>
      </w:r>
      <w:r>
        <w:rPr>
          <w:i/>
        </w:rPr>
        <w:t>Arsenyevskie Vesti</w:t>
      </w:r>
      <w:r w:rsidRPr="00404CF0">
        <w:t xml:space="preserve"> weekly newspaper.</w:t>
      </w:r>
    </w:p>
    <w:p w:rsidRPr="00404CF0" w:rsidR="00094FB2" w:rsidP="002979A4" w:rsidRDefault="002979A4">
      <w:pPr>
        <w:pStyle w:val="JuHA"/>
      </w:pPr>
      <w:r>
        <w:t>A</w:t>
      </w:r>
      <w:r w:rsidRPr="00404CF0" w:rsidR="00094FB2">
        <w:t>.  The first article and the department</w:t>
      </w:r>
      <w:r w:rsidR="0000251F">
        <w:t>'</w:t>
      </w:r>
      <w:r w:rsidRPr="00404CF0" w:rsidR="00094FB2">
        <w:t>s defamation action</w:t>
      </w:r>
    </w:p>
    <w:p w:rsidR="00044460" w:rsidP="00094FB2" w:rsidRDefault="002979A4">
      <w:pPr>
        <w:pStyle w:val="JuPara"/>
      </w:pPr>
      <w:r>
        <w:fldChar w:fldCharType="begin"/>
      </w:r>
      <w:r>
        <w:instrText xml:space="preserve"> SEQ level0 \*arabic </w:instrText>
      </w:r>
      <w:r>
        <w:fldChar w:fldCharType="separate"/>
      </w:r>
      <w:r w:rsidR="00303682">
        <w:rPr>
          <w:noProof/>
        </w:rPr>
        <w:t>8</w:t>
      </w:r>
      <w:r>
        <w:fldChar w:fldCharType="end"/>
      </w:r>
      <w:r>
        <w:t>.  </w:t>
      </w:r>
      <w:r w:rsidR="002C3640">
        <w:t>Ms P.</w:t>
      </w:r>
      <w:r w:rsidRPr="00404CF0" w:rsidR="00094FB2">
        <w:t xml:space="preserve"> published an article under the title “All Power Comes from </w:t>
      </w:r>
      <w:r w:rsidR="00EE730C">
        <w:t xml:space="preserve">the </w:t>
      </w:r>
      <w:smartTag w:uri="urn:schemas-microsoft-com:office:smarttags" w:element="place">
        <w:r w:rsidR="00094FB2" w:rsidRPr="00404CF0">
          <w:t>Forest</w:t>
        </w:r>
      </w:smartTag>
      <w:r w:rsidRPr="00404CF0" w:rsidR="00094FB2">
        <w:t>” (</w:t>
      </w:r>
      <w:r w:rsidRPr="00257354" w:rsidR="00257354">
        <w:t>«</w:t>
      </w:r>
      <w:r w:rsidRPr="00404CF0" w:rsidR="00094FB2">
        <w:rPr>
          <w:i/>
        </w:rPr>
        <w:t>Вся власть из леса</w:t>
      </w:r>
      <w:r w:rsidRPr="00257354" w:rsidR="00257354">
        <w:rPr>
          <w:i/>
        </w:rPr>
        <w:t>»</w:t>
      </w:r>
      <w:r w:rsidRPr="00404CF0" w:rsidR="00094FB2">
        <w:t xml:space="preserve">) in issue no. 4 of the </w:t>
      </w:r>
      <w:r w:rsidR="002C3640">
        <w:t>applicants</w:t>
      </w:r>
      <w:r w:rsidR="0000251F">
        <w:t>'</w:t>
      </w:r>
      <w:r w:rsidR="002C3640">
        <w:t xml:space="preserve"> </w:t>
      </w:r>
      <w:r w:rsidRPr="00404CF0" w:rsidR="00094FB2">
        <w:t xml:space="preserve">newspaper, dated 24-30 January 2002. The article </w:t>
      </w:r>
      <w:r w:rsidR="00DB5343">
        <w:t xml:space="preserve">stated that, while the town of </w:t>
      </w:r>
      <w:smartTag w:uri="urn:schemas-microsoft-com:office:smarttags" w:element="City">
        <w:r w:rsidR="00DB5343">
          <w:t>Dalnerechensk</w:t>
        </w:r>
      </w:smartTag>
      <w:r w:rsidR="00DB5343">
        <w:t xml:space="preserve"> suffered from underfunding, massive and unlawful felling of trees and</w:t>
      </w:r>
      <w:r w:rsidR="00A6052E">
        <w:t xml:space="preserve"> illegal sale</w:t>
      </w:r>
      <w:r w:rsidR="00DC1154">
        <w:t>s</w:t>
      </w:r>
      <w:r w:rsidR="00A6052E">
        <w:t xml:space="preserve"> of timber to </w:t>
      </w:r>
      <w:smartTag w:uri="urn:schemas-microsoft-com:office:smarttags" w:element="place">
        <w:smartTag w:uri="urn:schemas-microsoft-com:office:smarttags" w:element="country-region">
          <w:r w:rsidR="00A6052E">
            <w:t>China</w:t>
          </w:r>
        </w:smartTag>
      </w:smartTag>
      <w:r w:rsidR="00DB5343">
        <w:t xml:space="preserve"> thrived.</w:t>
      </w:r>
      <w:r w:rsidR="005613D0">
        <w:t xml:space="preserve"> A</w:t>
      </w:r>
      <w:r w:rsidR="00DB5343">
        <w:t xml:space="preserve"> regional </w:t>
      </w:r>
      <w:r w:rsidR="00B83342">
        <w:t>round</w:t>
      </w:r>
      <w:r w:rsidRPr="00B83342" w:rsidR="00B83342">
        <w:t>table (panel)</w:t>
      </w:r>
      <w:r w:rsidR="00DC1154">
        <w:t xml:space="preserve"> </w:t>
      </w:r>
      <w:r w:rsidR="00DB5343">
        <w:t>on the rational use and protection of forests revealed that representatives of Chinese companies were constantly present at many timber yards in Dalnerechensk and offered cash dollars for timber, whether documented or not. Such companies were reg</w:t>
      </w:r>
      <w:r w:rsidR="0098123F">
        <w:t>istered at fictitious addresses outside the region.</w:t>
      </w:r>
    </w:p>
    <w:p w:rsidR="005613D0" w:rsidP="00094FB2" w:rsidRDefault="002C0430">
      <w:pPr>
        <w:pStyle w:val="JuPara"/>
      </w:pPr>
      <w:r>
        <w:fldChar w:fldCharType="begin"/>
      </w:r>
      <w:r>
        <w:instrText xml:space="preserve"> SEQ level0 \*arabic </w:instrText>
      </w:r>
      <w:r>
        <w:fldChar w:fldCharType="separate"/>
      </w:r>
      <w:r w:rsidR="00303682">
        <w:rPr>
          <w:noProof/>
        </w:rPr>
        <w:t>9</w:t>
      </w:r>
      <w:r>
        <w:fldChar w:fldCharType="end"/>
      </w:r>
      <w:r>
        <w:t>.  </w:t>
      </w:r>
      <w:r w:rsidR="00DB5343">
        <w:t xml:space="preserve">The article went on to quote from </w:t>
      </w:r>
      <w:r w:rsidRPr="00DD533F" w:rsidR="00DD533F">
        <w:t xml:space="preserve">an open letter </w:t>
      </w:r>
      <w:r w:rsidR="00EA6E82">
        <w:t xml:space="preserve">which had been adopted by the participants </w:t>
      </w:r>
      <w:r w:rsidR="00DC1154">
        <w:t xml:space="preserve">in </w:t>
      </w:r>
      <w:r w:rsidR="00EA6E82">
        <w:t xml:space="preserve">the </w:t>
      </w:r>
      <w:r w:rsidR="00DC1154">
        <w:t>panel</w:t>
      </w:r>
      <w:r w:rsidR="005613D0">
        <w:t>:</w:t>
      </w:r>
    </w:p>
    <w:p w:rsidR="00094FB2" w:rsidP="00094FB2" w:rsidRDefault="00094FB2">
      <w:pPr>
        <w:pStyle w:val="JuQuot"/>
      </w:pPr>
      <w:r w:rsidRPr="00404CF0">
        <w:t xml:space="preserve">“All these irregularities have clearly </w:t>
      </w:r>
      <w:r w:rsidRPr="00404CF0" w:rsidR="00CF4CA7">
        <w:t xml:space="preserve">been </w:t>
      </w:r>
      <w:r w:rsidRPr="00404CF0">
        <w:t>on the rise since the town</w:t>
      </w:r>
      <w:r w:rsidR="0000251F">
        <w:t>'</w:t>
      </w:r>
      <w:r w:rsidR="00DC1154">
        <w:t>s</w:t>
      </w:r>
      <w:r w:rsidRPr="00404CF0">
        <w:t xml:space="preserve"> police department (</w:t>
      </w:r>
      <w:r w:rsidR="00C162C0">
        <w:t>timber</w:t>
      </w:r>
      <w:r>
        <w:t xml:space="preserve"> </w:t>
      </w:r>
      <w:r w:rsidRPr="00404CF0">
        <w:t>purchasing quota of 4,500 cubic metres) and the courts</w:t>
      </w:r>
      <w:r w:rsidR="0000251F">
        <w:t>'</w:t>
      </w:r>
      <w:r w:rsidRPr="00404CF0">
        <w:t xml:space="preserve"> </w:t>
      </w:r>
      <w:r w:rsidR="00C162C0">
        <w:t xml:space="preserve">management </w:t>
      </w:r>
      <w:r w:rsidRPr="00404CF0">
        <w:t xml:space="preserve">department </w:t>
      </w:r>
      <w:r>
        <w:t>of</w:t>
      </w:r>
      <w:r w:rsidRPr="00404CF0">
        <w:t xml:space="preserve"> the Supreme Court of the </w:t>
      </w:r>
      <w:smartTag w:uri="urn:schemas-microsoft-com:office:smarttags" w:element="place">
        <w:smartTag w:uri="urn:schemas-microsoft-com:office:smarttags" w:element="country-region">
          <w:r w:rsidRPr="00404CF0">
            <w:t>Russian Federation</w:t>
          </w:r>
        </w:smartTag>
      </w:smartTag>
      <w:r w:rsidRPr="00404CF0">
        <w:t xml:space="preserve"> (</w:t>
      </w:r>
      <w:r w:rsidR="00C162C0">
        <w:t xml:space="preserve">timber </w:t>
      </w:r>
      <w:r w:rsidRPr="00404CF0">
        <w:t xml:space="preserve">purchasing quota of 3,000 cubic metres) </w:t>
      </w:r>
      <w:r>
        <w:t xml:space="preserve">became </w:t>
      </w:r>
      <w:r w:rsidRPr="00404CF0">
        <w:t xml:space="preserve">the </w:t>
      </w:r>
      <w:r>
        <w:t>forest operators</w:t>
      </w:r>
      <w:r w:rsidRPr="00404CF0">
        <w:t>.”</w:t>
      </w:r>
    </w:p>
    <w:p w:rsidRPr="00404CF0" w:rsidR="00094FB2" w:rsidP="00094FB2" w:rsidRDefault="005613D0">
      <w:pPr>
        <w:pStyle w:val="JuPara"/>
      </w:pPr>
      <w:r w:rsidRPr="00404CF0">
        <w:t>The quotation was bold-faced and the source was clearly identified.</w:t>
      </w:r>
      <w:r>
        <w:t xml:space="preserve"> </w:t>
      </w:r>
      <w:r w:rsidR="00094FB2">
        <w:t xml:space="preserve">The </w:t>
      </w:r>
      <w:r w:rsidR="00D73998">
        <w:t xml:space="preserve">letter </w:t>
      </w:r>
      <w:r>
        <w:t xml:space="preserve">had been signed by </w:t>
      </w:r>
      <w:r w:rsidR="00094FB2">
        <w:t xml:space="preserve">seventeen </w:t>
      </w:r>
      <w:r>
        <w:t>individuals</w:t>
      </w:r>
      <w:r w:rsidR="00094FB2">
        <w:t xml:space="preserve">, including the head of </w:t>
      </w:r>
      <w:r>
        <w:t xml:space="preserve">the </w:t>
      </w:r>
      <w:r w:rsidR="00094FB2">
        <w:t xml:space="preserve">Dalnerechensk municipal council and his first deputy, </w:t>
      </w:r>
      <w:r w:rsidR="00DC1154">
        <w:t xml:space="preserve">the </w:t>
      </w:r>
      <w:r w:rsidR="00094FB2">
        <w:t xml:space="preserve">deputy head of the town police, </w:t>
      </w:r>
      <w:r w:rsidR="00DC1154">
        <w:t xml:space="preserve">the </w:t>
      </w:r>
      <w:r w:rsidR="00094FB2">
        <w:t xml:space="preserve">deputy head of the local department of the Federal Security Service, </w:t>
      </w:r>
      <w:r w:rsidR="00DC1154">
        <w:t xml:space="preserve">the </w:t>
      </w:r>
      <w:r w:rsidR="00094FB2">
        <w:t xml:space="preserve">deputy head of the tax police, a senior State tax inspector, </w:t>
      </w:r>
      <w:r w:rsidR="00DC1154">
        <w:t xml:space="preserve">the </w:t>
      </w:r>
      <w:r w:rsidR="00094FB2">
        <w:t>deputy head of the department for environmental resources, two directors of regional forest operators</w:t>
      </w:r>
      <w:r>
        <w:t>, and others</w:t>
      </w:r>
      <w:r w:rsidR="00094FB2">
        <w:t xml:space="preserve">. The letter </w:t>
      </w:r>
      <w:r>
        <w:t xml:space="preserve">had been </w:t>
      </w:r>
      <w:r w:rsidRPr="00404CF0" w:rsidR="00094FB2">
        <w:t xml:space="preserve">sent on behalf of the Dalnerechensk </w:t>
      </w:r>
      <w:r w:rsidR="00094FB2">
        <w:t xml:space="preserve">municipal council </w:t>
      </w:r>
      <w:r w:rsidRPr="00404CF0" w:rsidR="00094FB2">
        <w:t xml:space="preserve">to the </w:t>
      </w:r>
      <w:r w:rsidR="00094FB2">
        <w:t xml:space="preserve">Presidential </w:t>
      </w:r>
      <w:r w:rsidRPr="00404CF0" w:rsidR="00094FB2">
        <w:t xml:space="preserve">Envoy </w:t>
      </w:r>
      <w:r w:rsidR="00094FB2">
        <w:t>in</w:t>
      </w:r>
      <w:r w:rsidRPr="00404CF0" w:rsidR="00094FB2">
        <w:t xml:space="preserve"> the Far Eastern Federal </w:t>
      </w:r>
      <w:r w:rsidR="00094FB2">
        <w:t xml:space="preserve">Region and also made public at a press-conference held </w:t>
      </w:r>
      <w:r w:rsidR="00B65179">
        <w:t xml:space="preserve">on </w:t>
      </w:r>
      <w:r w:rsidR="00094FB2">
        <w:t>the premises of the Press Development Institute.</w:t>
      </w:r>
    </w:p>
    <w:p w:rsidRPr="00404CF0" w:rsidR="00094FB2" w:rsidP="00094FB2" w:rsidRDefault="00D73998">
      <w:pPr>
        <w:pStyle w:val="JuPara"/>
      </w:pPr>
      <w:r>
        <w:fldChar w:fldCharType="begin"/>
      </w:r>
      <w:r>
        <w:instrText xml:space="preserve"> SEQ level0 \*arabic </w:instrText>
      </w:r>
      <w:r>
        <w:fldChar w:fldCharType="separate"/>
      </w:r>
      <w:r w:rsidR="00303682">
        <w:rPr>
          <w:noProof/>
        </w:rPr>
        <w:t>10</w:t>
      </w:r>
      <w:r>
        <w:fldChar w:fldCharType="end"/>
      </w:r>
      <w:r>
        <w:t>.  </w:t>
      </w:r>
      <w:r w:rsidRPr="00404CF0" w:rsidR="00094FB2">
        <w:t>On 28 March 2002 the courts</w:t>
      </w:r>
      <w:r w:rsidR="0000251F">
        <w:t>'</w:t>
      </w:r>
      <w:r w:rsidRPr="00404CF0" w:rsidR="00094FB2">
        <w:t xml:space="preserve"> </w:t>
      </w:r>
      <w:r w:rsidR="00F05B62">
        <w:t>management</w:t>
      </w:r>
      <w:r w:rsidRPr="00404CF0" w:rsidR="00094FB2">
        <w:t xml:space="preserve"> department of the Primorskiy Region (</w:t>
      </w:r>
      <w:r w:rsidRPr="00404CF0" w:rsidR="00094FB2">
        <w:rPr>
          <w:i/>
        </w:rPr>
        <w:t>Управление судебного департамента при Верховном Суде РФ в Приморском крае</w:t>
      </w:r>
      <w:r w:rsidRPr="00404CF0" w:rsidR="00094FB2">
        <w:t xml:space="preserve">) brought a civil action against the applicants </w:t>
      </w:r>
      <w:r w:rsidR="002C3640">
        <w:t xml:space="preserve">– as the founders of the newspaper – </w:t>
      </w:r>
      <w:r w:rsidRPr="00404CF0" w:rsidR="00094FB2">
        <w:t>for the protection of its professional reputation and compensation for non-pecuniary damage. The</w:t>
      </w:r>
      <w:r w:rsidR="00F05B62">
        <w:t>y</w:t>
      </w:r>
      <w:r w:rsidRPr="00404CF0" w:rsidR="00094FB2">
        <w:t xml:space="preserve"> submitted that the </w:t>
      </w:r>
      <w:r w:rsidR="00C162C0">
        <w:t xml:space="preserve">impugned </w:t>
      </w:r>
      <w:r w:rsidRPr="00404CF0" w:rsidR="00094FB2">
        <w:t xml:space="preserve">extract </w:t>
      </w:r>
      <w:r w:rsidR="00C162C0">
        <w:t xml:space="preserve">had </w:t>
      </w:r>
      <w:r w:rsidRPr="00404CF0" w:rsidR="00094FB2">
        <w:t xml:space="preserve">impaired the professional reputation of the department and undermined </w:t>
      </w:r>
      <w:r w:rsidR="00094FB2">
        <w:t xml:space="preserve">the authority of </w:t>
      </w:r>
      <w:r w:rsidRPr="00404CF0" w:rsidR="00094FB2">
        <w:t>the courts</w:t>
      </w:r>
      <w:r w:rsidR="0000251F">
        <w:t>'</w:t>
      </w:r>
      <w:r w:rsidRPr="00404CF0" w:rsidR="00094FB2">
        <w:t xml:space="preserve"> </w:t>
      </w:r>
      <w:r w:rsidR="00F05B62">
        <w:t>management</w:t>
      </w:r>
      <w:r w:rsidRPr="00404CF0" w:rsidR="00094FB2">
        <w:t xml:space="preserve"> </w:t>
      </w:r>
      <w:r w:rsidR="002161B4">
        <w:t xml:space="preserve">department </w:t>
      </w:r>
      <w:r w:rsidRPr="00404CF0" w:rsidR="00094FB2">
        <w:t xml:space="preserve">of the Primorskiy Region and </w:t>
      </w:r>
      <w:r w:rsidR="00094FB2">
        <w:t xml:space="preserve">that of </w:t>
      </w:r>
      <w:r w:rsidRPr="00404CF0" w:rsidR="00094FB2">
        <w:t>the judicial system as a whole.</w:t>
      </w:r>
    </w:p>
    <w:p w:rsidRPr="00404CF0" w:rsidR="00094FB2" w:rsidP="002979A4" w:rsidRDefault="002979A4">
      <w:pPr>
        <w:pStyle w:val="JuHA"/>
      </w:pPr>
      <w:r>
        <w:t>B</w:t>
      </w:r>
      <w:r w:rsidRPr="00404CF0" w:rsidR="00094FB2">
        <w:t xml:space="preserve">.  Publication of </w:t>
      </w:r>
      <w:r w:rsidR="002C0430">
        <w:t>a</w:t>
      </w:r>
      <w:r w:rsidRPr="00404CF0" w:rsidR="00094FB2">
        <w:t xml:space="preserve"> refutation and Mr Shulga</w:t>
      </w:r>
      <w:r w:rsidR="0000251F">
        <w:t>'</w:t>
      </w:r>
      <w:r w:rsidRPr="00404CF0" w:rsidR="00094FB2">
        <w:t>s defamation action</w:t>
      </w:r>
    </w:p>
    <w:p w:rsidRPr="00404CF0" w:rsidR="00094FB2" w:rsidP="00094FB2" w:rsidRDefault="002979A4">
      <w:pPr>
        <w:pStyle w:val="JuPara"/>
      </w:pPr>
      <w:r>
        <w:fldChar w:fldCharType="begin"/>
      </w:r>
      <w:r>
        <w:instrText xml:space="preserve"> SEQ level0 \*arabic </w:instrText>
      </w:r>
      <w:r>
        <w:fldChar w:fldCharType="separate"/>
      </w:r>
      <w:r w:rsidR="00303682">
        <w:rPr>
          <w:noProof/>
        </w:rPr>
        <w:t>11</w:t>
      </w:r>
      <w:r>
        <w:fldChar w:fldCharType="end"/>
      </w:r>
      <w:r>
        <w:t>.  </w:t>
      </w:r>
      <w:r w:rsidR="00094FB2">
        <w:t xml:space="preserve">Following the institution of the civil action, the applicants </w:t>
      </w:r>
      <w:r w:rsidRPr="00404CF0" w:rsidR="00094FB2">
        <w:t xml:space="preserve">printed the </w:t>
      </w:r>
      <w:r w:rsidR="00094FB2">
        <w:t>letter</w:t>
      </w:r>
      <w:r w:rsidRPr="00404CF0" w:rsidR="00094FB2">
        <w:t xml:space="preserve"> in full in issue no. 17 of the newspaper, dated 25 April – 1 May 2002, under the </w:t>
      </w:r>
      <w:r w:rsidR="00094FB2">
        <w:t>headline</w:t>
      </w:r>
      <w:r w:rsidRPr="00404CF0" w:rsidR="00094FB2">
        <w:t xml:space="preserve"> “Ghost Companies and Courts</w:t>
      </w:r>
      <w:r w:rsidR="0000251F">
        <w:t>'</w:t>
      </w:r>
      <w:r w:rsidRPr="00404CF0" w:rsidR="00094FB2">
        <w:t xml:space="preserve"> </w:t>
      </w:r>
      <w:r w:rsidR="00F05B62">
        <w:t>Management</w:t>
      </w:r>
      <w:r w:rsidRPr="00404CF0" w:rsidR="00094FB2">
        <w:t xml:space="preserve"> Department </w:t>
      </w:r>
      <w:r w:rsidR="00C162C0">
        <w:t>at Timber Yards</w:t>
      </w:r>
      <w:r w:rsidRPr="00404CF0" w:rsidR="00094FB2">
        <w:t>” (</w:t>
      </w:r>
      <w:r w:rsidRPr="00257354" w:rsidR="00257354">
        <w:t>«</w:t>
      </w:r>
      <w:r w:rsidRPr="00404CF0" w:rsidR="00094FB2">
        <w:rPr>
          <w:i/>
        </w:rPr>
        <w:t>Фирмы-призраки и Управление судебного департамента на лесозаготовках</w:t>
      </w:r>
      <w:r w:rsidRPr="00257354" w:rsidR="00257354">
        <w:rPr>
          <w:i/>
        </w:rPr>
        <w:t>»</w:t>
      </w:r>
      <w:r w:rsidRPr="00404CF0" w:rsidR="00094FB2">
        <w:t xml:space="preserve">). The </w:t>
      </w:r>
      <w:r w:rsidR="00094FB2">
        <w:t xml:space="preserve">letter </w:t>
      </w:r>
      <w:r w:rsidRPr="00404CF0" w:rsidR="00094FB2">
        <w:t>was followed by an editor</w:t>
      </w:r>
      <w:r w:rsidR="0000251F">
        <w:t>'</w:t>
      </w:r>
      <w:r w:rsidRPr="00404CF0" w:rsidR="00094FB2">
        <w:t xml:space="preserve">s note </w:t>
      </w:r>
      <w:r w:rsidR="00094FB2">
        <w:t xml:space="preserve">under the headline </w:t>
      </w:r>
      <w:r w:rsidRPr="00404CF0" w:rsidR="00094FB2">
        <w:t>“It was not about you. Refutation” (</w:t>
      </w:r>
      <w:r w:rsidRPr="000F65C4" w:rsidR="00257354">
        <w:t>«</w:t>
      </w:r>
      <w:r w:rsidRPr="00404CF0" w:rsidR="00094FB2">
        <w:rPr>
          <w:i/>
        </w:rPr>
        <w:t>Вас тут не стояло. Опровержение</w:t>
      </w:r>
      <w:r w:rsidRPr="000F65C4" w:rsidR="00257354">
        <w:rPr>
          <w:i/>
        </w:rPr>
        <w:t>»</w:t>
      </w:r>
      <w:r w:rsidRPr="00404CF0" w:rsidR="00094FB2">
        <w:t xml:space="preserve">). The note emphasised that the quoted </w:t>
      </w:r>
      <w:r w:rsidR="00094FB2">
        <w:t>letter</w:t>
      </w:r>
      <w:r w:rsidRPr="00404CF0" w:rsidR="00094FB2">
        <w:t xml:space="preserve"> </w:t>
      </w:r>
      <w:r w:rsidR="00094FB2">
        <w:t>did</w:t>
      </w:r>
      <w:r w:rsidRPr="00404CF0" w:rsidR="00094FB2">
        <w:t xml:space="preserve"> not speci</w:t>
      </w:r>
      <w:r w:rsidR="00094FB2">
        <w:t>fy</w:t>
      </w:r>
      <w:r w:rsidRPr="00404CF0" w:rsidR="00094FB2">
        <w:t xml:space="preserve"> which courts</w:t>
      </w:r>
      <w:r w:rsidR="0000251F">
        <w:t>'</w:t>
      </w:r>
      <w:r w:rsidRPr="00404CF0" w:rsidR="00094FB2">
        <w:t xml:space="preserve"> </w:t>
      </w:r>
      <w:r w:rsidR="00F05B62">
        <w:t>management</w:t>
      </w:r>
      <w:r w:rsidRPr="00404CF0" w:rsidR="00094FB2">
        <w:t xml:space="preserve"> department had purchased </w:t>
      </w:r>
      <w:r w:rsidR="00C162C0">
        <w:t>timber</w:t>
      </w:r>
      <w:r w:rsidRPr="00404CF0" w:rsidR="00094FB2">
        <w:t>. It went on as follows:</w:t>
      </w:r>
    </w:p>
    <w:p w:rsidRPr="00404CF0" w:rsidR="00094FB2" w:rsidP="00094FB2" w:rsidRDefault="00094FB2">
      <w:pPr>
        <w:pStyle w:val="JuQuot"/>
      </w:pPr>
      <w:r w:rsidRPr="00404CF0">
        <w:t xml:space="preserve">“It is certainly easier for the head of the Department, Mr V.A. Shulga, who lodged the [defamation] action, to tell who[se department], in addition to its principal functions, </w:t>
      </w:r>
      <w:r>
        <w:t xml:space="preserve">has been </w:t>
      </w:r>
      <w:r w:rsidRPr="00404CF0">
        <w:t xml:space="preserve">a </w:t>
      </w:r>
      <w:r>
        <w:t>forest operator</w:t>
      </w:r>
      <w:r w:rsidRPr="00404CF0">
        <w:t xml:space="preserve"> and whose professional reputation </w:t>
      </w:r>
      <w:r>
        <w:t>has been</w:t>
      </w:r>
      <w:r w:rsidRPr="00404CF0">
        <w:t xml:space="preserve"> impaired when a newspaper </w:t>
      </w:r>
      <w:r>
        <w:t xml:space="preserve">brought </w:t>
      </w:r>
      <w:r w:rsidRPr="00404CF0">
        <w:t>this fact into the limelight...</w:t>
      </w:r>
    </w:p>
    <w:p w:rsidRPr="00404CF0" w:rsidR="00094FB2" w:rsidP="00094FB2" w:rsidRDefault="00094FB2">
      <w:pPr>
        <w:pStyle w:val="JuQuot"/>
      </w:pPr>
      <w:r w:rsidRPr="00404CF0">
        <w:t>This is why the editor</w:t>
      </w:r>
      <w:r w:rsidR="0000251F">
        <w:t>'</w:t>
      </w:r>
      <w:r w:rsidRPr="00404CF0">
        <w:t>s office decided not to wait for a court decision and considered it necessary to refute conjectures that readers might have made about the Department of the Primorskiy Region. Having regard to potential adverse consequences of the publication, we officially announce</w:t>
      </w:r>
      <w:r>
        <w:t xml:space="preserve"> -</w:t>
      </w:r>
    </w:p>
    <w:p w:rsidRPr="00404CF0" w:rsidR="00094FB2" w:rsidP="00094FB2" w:rsidRDefault="00094FB2">
      <w:pPr>
        <w:pStyle w:val="JuQuot"/>
      </w:pPr>
      <w:r w:rsidRPr="00404CF0">
        <w:t>THAT WE DID NOT MEAN THE COURTS</w:t>
      </w:r>
      <w:r w:rsidR="0000251F">
        <w:t>'</w:t>
      </w:r>
      <w:r w:rsidRPr="00404CF0">
        <w:t xml:space="preserve"> </w:t>
      </w:r>
      <w:r w:rsidR="00F05B62">
        <w:t xml:space="preserve">MANAGEMENT </w:t>
      </w:r>
      <w:r w:rsidRPr="00404CF0">
        <w:t>DEPARTMENT OF THE PRIMORSKIY REGION.”</w:t>
      </w:r>
    </w:p>
    <w:p w:rsidRPr="00404CF0" w:rsidR="00094FB2" w:rsidP="00094FB2" w:rsidRDefault="002979A4">
      <w:pPr>
        <w:pStyle w:val="JuPara"/>
      </w:pPr>
      <w:r>
        <w:fldChar w:fldCharType="begin"/>
      </w:r>
      <w:r>
        <w:instrText xml:space="preserve"> SEQ level0 \*arabic </w:instrText>
      </w:r>
      <w:r>
        <w:fldChar w:fldCharType="separate"/>
      </w:r>
      <w:r w:rsidR="00303682">
        <w:rPr>
          <w:noProof/>
        </w:rPr>
        <w:t>12</w:t>
      </w:r>
      <w:r>
        <w:fldChar w:fldCharType="end"/>
      </w:r>
      <w:r>
        <w:t>.  </w:t>
      </w:r>
      <w:r w:rsidRPr="00404CF0" w:rsidR="00094FB2">
        <w:t>On an unspecified date Mr Shulga, the director of the courts</w:t>
      </w:r>
      <w:r w:rsidR="0000251F">
        <w:t>'</w:t>
      </w:r>
      <w:r w:rsidRPr="00404CF0" w:rsidR="00094FB2">
        <w:t xml:space="preserve"> </w:t>
      </w:r>
      <w:r w:rsidR="00F05B62">
        <w:t>management</w:t>
      </w:r>
      <w:r w:rsidRPr="00404CF0" w:rsidR="00094FB2">
        <w:t xml:space="preserve"> department of the Primorskiy Region, filed a civil action</w:t>
      </w:r>
      <w:r w:rsidR="00F05B62">
        <w:t>,</w:t>
      </w:r>
      <w:r w:rsidRPr="00404CF0" w:rsidR="00094FB2">
        <w:t xml:space="preserve"> in his </w:t>
      </w:r>
      <w:r w:rsidR="00F05B62">
        <w:t xml:space="preserve">personal capacity, </w:t>
      </w:r>
      <w:r w:rsidRPr="00404CF0" w:rsidR="00094FB2">
        <w:t>for the protection of his honour, dignity and professional reputation</w:t>
      </w:r>
      <w:r w:rsidR="00094FB2">
        <w:t xml:space="preserve"> and</w:t>
      </w:r>
      <w:r w:rsidRPr="00404CF0" w:rsidR="00094FB2">
        <w:t xml:space="preserve"> compensation for non-pecuniary damage. He alleged that the refutation had not been valid because it had been clear for a reasonable reader that his department had been targeted in the publication. He contended that he was personally responsible for his department and that the publication had caused substantial non-pecuniary damage to his reputation.</w:t>
      </w:r>
    </w:p>
    <w:p w:rsidRPr="00404CF0" w:rsidR="00094FB2" w:rsidP="002979A4" w:rsidRDefault="002979A4">
      <w:pPr>
        <w:pStyle w:val="JuHA"/>
      </w:pPr>
      <w:r>
        <w:t>C</w:t>
      </w:r>
      <w:r w:rsidRPr="00404CF0" w:rsidR="00094FB2">
        <w:t>.  </w:t>
      </w:r>
      <w:r>
        <w:t>Judgment</w:t>
      </w:r>
      <w:r w:rsidR="00F05B62">
        <w:t>s</w:t>
      </w:r>
      <w:r>
        <w:t xml:space="preserve"> in</w:t>
      </w:r>
      <w:r w:rsidRPr="00404CF0" w:rsidR="00094FB2">
        <w:t xml:space="preserve"> Mr Shulga</w:t>
      </w:r>
      <w:r w:rsidR="0000251F">
        <w:t>'</w:t>
      </w:r>
      <w:r w:rsidRPr="00404CF0" w:rsidR="00094FB2">
        <w:t>s defamation action</w:t>
      </w:r>
    </w:p>
    <w:p w:rsidR="00094FB2" w:rsidP="00094FB2" w:rsidRDefault="002979A4">
      <w:pPr>
        <w:pStyle w:val="JuPara"/>
      </w:pPr>
      <w:r>
        <w:fldChar w:fldCharType="begin"/>
      </w:r>
      <w:r>
        <w:instrText xml:space="preserve"> SEQ level0 \*arabic </w:instrText>
      </w:r>
      <w:r>
        <w:fldChar w:fldCharType="separate"/>
      </w:r>
      <w:r w:rsidR="00303682">
        <w:rPr>
          <w:noProof/>
        </w:rPr>
        <w:t>13</w:t>
      </w:r>
      <w:r>
        <w:fldChar w:fldCharType="end"/>
      </w:r>
      <w:r>
        <w:t>.  </w:t>
      </w:r>
      <w:r w:rsidRPr="00404CF0" w:rsidR="00094FB2">
        <w:t>On 14 June 2002 the Arsenyev Town Court of the Primorskiy Region granted Mr Shulga</w:t>
      </w:r>
      <w:r w:rsidR="0000251F">
        <w:t>'</w:t>
      </w:r>
      <w:r w:rsidRPr="00404CF0" w:rsidR="00094FB2">
        <w:t>s action against the applicants. The court found that the publication had targeted Mr Shulga</w:t>
      </w:r>
      <w:r w:rsidR="0000251F">
        <w:t>'</w:t>
      </w:r>
      <w:r w:rsidRPr="00404CF0" w:rsidR="00094FB2">
        <w:t>s department because it had been the only courts</w:t>
      </w:r>
      <w:r w:rsidR="0000251F">
        <w:t>'</w:t>
      </w:r>
      <w:r w:rsidRPr="00404CF0" w:rsidR="00094FB2">
        <w:t xml:space="preserve"> </w:t>
      </w:r>
      <w:r w:rsidR="00F05B62">
        <w:t>management</w:t>
      </w:r>
      <w:r w:rsidRPr="00404CF0" w:rsidR="00094FB2">
        <w:t xml:space="preserve"> department in the region that had been allocated a </w:t>
      </w:r>
      <w:r w:rsidR="00C162C0">
        <w:t>timber</w:t>
      </w:r>
      <w:r w:rsidRPr="00404CF0" w:rsidR="00094FB2">
        <w:t xml:space="preserve"> purchasing quota of 3,000 cubic metres for construction of a new courthouse. </w:t>
      </w:r>
      <w:r w:rsidR="00094FB2">
        <w:t>On the other hand,</w:t>
      </w:r>
      <w:r w:rsidRPr="00404CF0" w:rsidR="00094FB2">
        <w:t xml:space="preserve"> the applicants had failed to show that the inclusion of the department in the number of </w:t>
      </w:r>
      <w:r w:rsidR="00094FB2">
        <w:t xml:space="preserve">forest operators </w:t>
      </w:r>
      <w:r w:rsidRPr="00404CF0" w:rsidR="00094FB2">
        <w:t xml:space="preserve">had given rise to “irregularities”. </w:t>
      </w:r>
      <w:r w:rsidR="00094FB2">
        <w:t xml:space="preserve">The court </w:t>
      </w:r>
      <w:r w:rsidRPr="00404CF0" w:rsidR="00094FB2">
        <w:t xml:space="preserve">held that the disseminated information </w:t>
      </w:r>
      <w:r w:rsidR="00F05B62">
        <w:t>could</w:t>
      </w:r>
      <w:r w:rsidRPr="00404CF0" w:rsidR="00094FB2">
        <w:t xml:space="preserve"> not </w:t>
      </w:r>
      <w:r w:rsidR="00F05B62">
        <w:t xml:space="preserve">have been </w:t>
      </w:r>
      <w:r w:rsidRPr="00404CF0" w:rsidR="00094FB2">
        <w:t>the applicants</w:t>
      </w:r>
      <w:r w:rsidR="0000251F">
        <w:t>'</w:t>
      </w:r>
      <w:r w:rsidRPr="00404CF0" w:rsidR="00094FB2">
        <w:t xml:space="preserve"> opinion or value</w:t>
      </w:r>
      <w:r w:rsidR="002161B4">
        <w:t xml:space="preserve"> </w:t>
      </w:r>
      <w:r w:rsidRPr="00404CF0" w:rsidR="00094FB2">
        <w:t xml:space="preserve">judgment because they had disseminated it without verifying its </w:t>
      </w:r>
      <w:r w:rsidR="00094FB2">
        <w:t>truthfulness</w:t>
      </w:r>
      <w:r w:rsidRPr="00404CF0" w:rsidR="00094FB2">
        <w:t>.</w:t>
      </w:r>
    </w:p>
    <w:p w:rsidRPr="00404CF0" w:rsidR="00094FB2" w:rsidP="00094FB2" w:rsidRDefault="002979A4">
      <w:pPr>
        <w:pStyle w:val="JuPara"/>
      </w:pPr>
      <w:r>
        <w:fldChar w:fldCharType="begin"/>
      </w:r>
      <w:r>
        <w:instrText xml:space="preserve"> SEQ level0 \*arabic </w:instrText>
      </w:r>
      <w:r>
        <w:fldChar w:fldCharType="separate"/>
      </w:r>
      <w:r w:rsidR="00303682">
        <w:rPr>
          <w:noProof/>
        </w:rPr>
        <w:t>14</w:t>
      </w:r>
      <w:r>
        <w:fldChar w:fldCharType="end"/>
      </w:r>
      <w:r>
        <w:t>.  </w:t>
      </w:r>
      <w:r w:rsidR="00786F4E">
        <w:t>T</w:t>
      </w:r>
      <w:r w:rsidRPr="00404CF0" w:rsidR="00094FB2">
        <w:t xml:space="preserve">he court </w:t>
      </w:r>
      <w:r w:rsidR="00786F4E">
        <w:t>rejected the applicants</w:t>
      </w:r>
      <w:r w:rsidR="0000251F">
        <w:t>'</w:t>
      </w:r>
      <w:r w:rsidR="00786F4E">
        <w:t xml:space="preserve"> defence that they had quoted from an official statement which did not require additional verification under s</w:t>
      </w:r>
      <w:r w:rsidR="00094FB2">
        <w:t>ection 57</w:t>
      </w:r>
      <w:r w:rsidRPr="00404CF0" w:rsidR="00094FB2">
        <w:t xml:space="preserve"> §§ 3 and 4 of the Mass-Media</w:t>
      </w:r>
      <w:r w:rsidR="00094FB2">
        <w:t xml:space="preserve"> Act</w:t>
      </w:r>
      <w:r w:rsidRPr="00404CF0" w:rsidR="00094FB2">
        <w:t xml:space="preserve">. </w:t>
      </w:r>
      <w:r w:rsidR="00094FB2">
        <w:t xml:space="preserve">In </w:t>
      </w:r>
      <w:r w:rsidRPr="00404CF0" w:rsidR="00094FB2">
        <w:t>the court</w:t>
      </w:r>
      <w:r w:rsidR="0000251F">
        <w:t>'</w:t>
      </w:r>
      <w:r w:rsidR="00094FB2">
        <w:t>s view</w:t>
      </w:r>
      <w:r w:rsidRPr="00404CF0" w:rsidR="00094FB2">
        <w:t xml:space="preserve">, the Press Development Institute that had circulated the </w:t>
      </w:r>
      <w:r w:rsidR="00094FB2">
        <w:t>letter</w:t>
      </w:r>
      <w:r w:rsidRPr="00404CF0" w:rsidR="00094FB2">
        <w:t xml:space="preserve"> was an “autonomous non-commercial organisation” </w:t>
      </w:r>
      <w:r w:rsidR="00094FB2">
        <w:t>rather than</w:t>
      </w:r>
      <w:r w:rsidRPr="00404CF0" w:rsidR="00094FB2">
        <w:t xml:space="preserve"> a </w:t>
      </w:r>
      <w:r w:rsidR="00786F4E">
        <w:t>“</w:t>
      </w:r>
      <w:r w:rsidRPr="00404CF0" w:rsidR="00094FB2">
        <w:t>public association</w:t>
      </w:r>
      <w:r w:rsidR="00786F4E">
        <w:t>”</w:t>
      </w:r>
      <w:r w:rsidRPr="00404CF0" w:rsidR="00094FB2">
        <w:t xml:space="preserve">, as provided in </w:t>
      </w:r>
      <w:r w:rsidR="00786F4E">
        <w:t>s</w:t>
      </w:r>
      <w:r w:rsidR="00094FB2">
        <w:t>ection 57</w:t>
      </w:r>
      <w:r w:rsidRPr="00404CF0" w:rsidR="00094FB2">
        <w:t xml:space="preserve"> § 3, and the head of </w:t>
      </w:r>
      <w:r w:rsidR="00094FB2">
        <w:t>the municipal council</w:t>
      </w:r>
      <w:r w:rsidRPr="00404CF0" w:rsidR="00094FB2">
        <w:t xml:space="preserve"> who had signed the letter was a municipal employee </w:t>
      </w:r>
      <w:r w:rsidR="00094FB2">
        <w:t>rather than</w:t>
      </w:r>
      <w:r w:rsidRPr="00404CF0" w:rsidR="00094FB2">
        <w:t xml:space="preserve"> an official of a State authority, as </w:t>
      </w:r>
      <w:r w:rsidR="00094FB2">
        <w:t>required by the same section</w:t>
      </w:r>
      <w:r w:rsidRPr="00404CF0" w:rsidR="00094FB2">
        <w:t>.</w:t>
      </w:r>
    </w:p>
    <w:p w:rsidRPr="00404CF0" w:rsidR="00094FB2" w:rsidP="00094FB2" w:rsidRDefault="002979A4">
      <w:pPr>
        <w:pStyle w:val="JuPara"/>
      </w:pPr>
      <w:r>
        <w:fldChar w:fldCharType="begin"/>
      </w:r>
      <w:r>
        <w:instrText xml:space="preserve"> SEQ level0 \*arabic </w:instrText>
      </w:r>
      <w:r>
        <w:fldChar w:fldCharType="separate"/>
      </w:r>
      <w:r w:rsidR="00303682">
        <w:rPr>
          <w:noProof/>
        </w:rPr>
        <w:t>15</w:t>
      </w:r>
      <w:r>
        <w:fldChar w:fldCharType="end"/>
      </w:r>
      <w:r>
        <w:t>.  </w:t>
      </w:r>
      <w:r w:rsidRPr="00404CF0" w:rsidR="00094FB2">
        <w:t xml:space="preserve">The court ordered the applicants to publish a refutation and each of them to pay 10,000 Russian roubles </w:t>
      </w:r>
      <w:r w:rsidR="00094FB2">
        <w:t>to</w:t>
      </w:r>
      <w:r w:rsidRPr="00404CF0" w:rsidR="00094FB2">
        <w:t xml:space="preserve"> Mr Shulga.</w:t>
      </w:r>
    </w:p>
    <w:p w:rsidRPr="00404CF0" w:rsidR="00094FB2" w:rsidP="00094FB2" w:rsidRDefault="002979A4">
      <w:pPr>
        <w:pStyle w:val="JuPara"/>
      </w:pPr>
      <w:r>
        <w:fldChar w:fldCharType="begin"/>
      </w:r>
      <w:r>
        <w:instrText xml:space="preserve"> SEQ level0 \*arabic </w:instrText>
      </w:r>
      <w:r>
        <w:fldChar w:fldCharType="separate"/>
      </w:r>
      <w:r w:rsidR="00303682">
        <w:rPr>
          <w:noProof/>
        </w:rPr>
        <w:t>16</w:t>
      </w:r>
      <w:r>
        <w:fldChar w:fldCharType="end"/>
      </w:r>
      <w:r>
        <w:t>.  </w:t>
      </w:r>
      <w:r w:rsidRPr="00404CF0" w:rsidR="00094FB2">
        <w:t xml:space="preserve">On 28 August 2002 the </w:t>
      </w:r>
      <w:smartTag w:uri="urn:schemas-microsoft-com:office:smarttags" w:element="Street">
        <w:smartTag w:uri="urn:schemas-microsoft-com:office:smarttags" w:element="address">
          <w:r w:rsidR="00094FB2" w:rsidRPr="00404CF0">
            <w:t>Primorskiy Regional Court</w:t>
          </w:r>
        </w:smartTag>
      </w:smartTag>
      <w:r w:rsidRPr="00404CF0" w:rsidR="00094FB2">
        <w:t xml:space="preserve"> upheld</w:t>
      </w:r>
      <w:r w:rsidR="00094FB2">
        <w:t>,</w:t>
      </w:r>
      <w:r w:rsidRPr="00404CF0" w:rsidR="00094FB2">
        <w:t xml:space="preserve"> on </w:t>
      </w:r>
      <w:r w:rsidR="00094FB2">
        <w:t xml:space="preserve">an appeal by </w:t>
      </w:r>
      <w:r w:rsidRPr="00404CF0" w:rsidR="00094FB2">
        <w:t>the applicants</w:t>
      </w:r>
      <w:r w:rsidR="00094FB2">
        <w:t xml:space="preserve">, </w:t>
      </w:r>
      <w:r w:rsidRPr="00404CF0" w:rsidR="00094FB2">
        <w:t xml:space="preserve">the </w:t>
      </w:r>
      <w:r w:rsidR="00094FB2">
        <w:t>judgment</w:t>
      </w:r>
      <w:r w:rsidRPr="00404CF0" w:rsidR="00094FB2">
        <w:t xml:space="preserve"> of 14 June 2002.</w:t>
      </w:r>
    </w:p>
    <w:p w:rsidRPr="00404CF0" w:rsidR="00094FB2" w:rsidP="002979A4" w:rsidRDefault="002979A4">
      <w:pPr>
        <w:pStyle w:val="JuHA"/>
      </w:pPr>
      <w:r>
        <w:t>D</w:t>
      </w:r>
      <w:r w:rsidRPr="00404CF0" w:rsidR="00094FB2">
        <w:t>.  </w:t>
      </w:r>
      <w:r>
        <w:t>Judgment</w:t>
      </w:r>
      <w:r w:rsidR="00F05B62">
        <w:t>s</w:t>
      </w:r>
      <w:r>
        <w:t xml:space="preserve"> in </w:t>
      </w:r>
      <w:r w:rsidRPr="00404CF0" w:rsidR="00094FB2">
        <w:t>the department</w:t>
      </w:r>
      <w:r w:rsidR="0000251F">
        <w:t>'</w:t>
      </w:r>
      <w:r w:rsidRPr="00404CF0" w:rsidR="00094FB2">
        <w:t>s defamation action</w:t>
      </w:r>
    </w:p>
    <w:p w:rsidR="00044460" w:rsidP="00094FB2" w:rsidRDefault="002979A4">
      <w:pPr>
        <w:pStyle w:val="JuPara"/>
      </w:pPr>
      <w:r>
        <w:fldChar w:fldCharType="begin"/>
      </w:r>
      <w:r>
        <w:instrText xml:space="preserve"> SEQ level0 \*arabic </w:instrText>
      </w:r>
      <w:r>
        <w:fldChar w:fldCharType="separate"/>
      </w:r>
      <w:r w:rsidR="00303682">
        <w:rPr>
          <w:noProof/>
        </w:rPr>
        <w:t>17</w:t>
      </w:r>
      <w:r>
        <w:fldChar w:fldCharType="end"/>
      </w:r>
      <w:r>
        <w:t>.  </w:t>
      </w:r>
      <w:r w:rsidRPr="00404CF0" w:rsidR="00094FB2">
        <w:t xml:space="preserve">On 11 October 2002 the </w:t>
      </w:r>
      <w:smartTag w:uri="urn:schemas-microsoft-com:office:smarttags" w:element="Street">
        <w:smartTag w:uri="urn:schemas-microsoft-com:office:smarttags" w:element="address">
          <w:r w:rsidR="00094FB2" w:rsidRPr="00404CF0">
            <w:t>Arsenyev Town Court</w:t>
          </w:r>
        </w:smartTag>
      </w:smartTag>
      <w:r w:rsidRPr="00404CF0" w:rsidR="00094FB2">
        <w:t xml:space="preserve"> granted the defamation action lodged by the courts</w:t>
      </w:r>
      <w:r w:rsidR="0000251F">
        <w:t>'</w:t>
      </w:r>
      <w:r w:rsidRPr="00404CF0" w:rsidR="00094FB2">
        <w:t xml:space="preserve"> </w:t>
      </w:r>
      <w:r w:rsidR="00786F4E">
        <w:t xml:space="preserve">management </w:t>
      </w:r>
      <w:r w:rsidRPr="00404CF0" w:rsidR="00094FB2">
        <w:t xml:space="preserve">department. The court held that the contested information had originated from a letter </w:t>
      </w:r>
      <w:r w:rsidR="00094FB2">
        <w:t>approved</w:t>
      </w:r>
      <w:r w:rsidRPr="00404CF0" w:rsidR="00094FB2">
        <w:t xml:space="preserve"> by </w:t>
      </w:r>
      <w:r w:rsidR="00094FB2">
        <w:t xml:space="preserve">the </w:t>
      </w:r>
      <w:r w:rsidRPr="00404CF0" w:rsidR="00094FB2">
        <w:t xml:space="preserve">participants </w:t>
      </w:r>
      <w:r w:rsidR="00094FB2">
        <w:t xml:space="preserve">in </w:t>
      </w:r>
      <w:r w:rsidRPr="00404CF0" w:rsidR="00094FB2">
        <w:t xml:space="preserve">a regional </w:t>
      </w:r>
      <w:r w:rsidR="00B83342">
        <w:t>roundtable (panel) held in the Press Development Institute</w:t>
      </w:r>
      <w:r w:rsidRPr="00404CF0" w:rsidR="00094FB2">
        <w:t>, which was not a State authority, organisation or a public association. Therefore, in the court</w:t>
      </w:r>
      <w:r w:rsidR="0000251F">
        <w:t>'</w:t>
      </w:r>
      <w:r w:rsidRPr="00404CF0" w:rsidR="00094FB2">
        <w:t xml:space="preserve">s opinion, it was incumbent on the applicants to </w:t>
      </w:r>
      <w:r w:rsidR="00094FB2">
        <w:t xml:space="preserve">verify </w:t>
      </w:r>
      <w:r w:rsidRPr="00404CF0" w:rsidR="00094FB2">
        <w:t xml:space="preserve">the </w:t>
      </w:r>
      <w:r w:rsidR="00094FB2">
        <w:t>truthfulness</w:t>
      </w:r>
      <w:r w:rsidRPr="00404CF0" w:rsidR="00094FB2">
        <w:t xml:space="preserve"> of the information before publishing it. Since the applicants</w:t>
      </w:r>
      <w:r w:rsidR="00B65179">
        <w:t xml:space="preserve"> had</w:t>
      </w:r>
      <w:r w:rsidRPr="00404CF0" w:rsidR="00094FB2">
        <w:t xml:space="preserve"> failed to do so and</w:t>
      </w:r>
      <w:r w:rsidR="00B65179">
        <w:t xml:space="preserve"> had</w:t>
      </w:r>
      <w:r w:rsidRPr="00404CF0" w:rsidR="00094FB2">
        <w:t xml:space="preserve"> also failed to </w:t>
      </w:r>
      <w:r w:rsidR="00094FB2">
        <w:t>prove</w:t>
      </w:r>
      <w:r w:rsidRPr="00404CF0" w:rsidR="00094FB2">
        <w:t xml:space="preserve"> </w:t>
      </w:r>
      <w:r w:rsidR="00094FB2">
        <w:t>before</w:t>
      </w:r>
      <w:r w:rsidRPr="00404CF0" w:rsidR="00094FB2">
        <w:t xml:space="preserve"> the court that the information had been true, they were at fault for </w:t>
      </w:r>
      <w:r w:rsidR="00094FB2">
        <w:t xml:space="preserve">the </w:t>
      </w:r>
      <w:r w:rsidRPr="00404CF0" w:rsidR="00094FB2">
        <w:t>dissemination of information damaging the reputation of the courts</w:t>
      </w:r>
      <w:r w:rsidR="0000251F">
        <w:t>'</w:t>
      </w:r>
      <w:r w:rsidRPr="00404CF0" w:rsidR="00094FB2">
        <w:t xml:space="preserve"> </w:t>
      </w:r>
      <w:r w:rsidR="00C162C0">
        <w:t>management</w:t>
      </w:r>
      <w:r w:rsidRPr="00404CF0" w:rsidR="00094FB2">
        <w:t xml:space="preserve"> department.</w:t>
      </w:r>
    </w:p>
    <w:p w:rsidRPr="00404CF0" w:rsidR="00094FB2" w:rsidP="00094FB2" w:rsidRDefault="00786F4E">
      <w:pPr>
        <w:pStyle w:val="JuPara"/>
      </w:pPr>
      <w:r>
        <w:fldChar w:fldCharType="begin"/>
      </w:r>
      <w:r>
        <w:instrText xml:space="preserve"> SEQ level0 \*arabic </w:instrText>
      </w:r>
      <w:r>
        <w:fldChar w:fldCharType="separate"/>
      </w:r>
      <w:r w:rsidR="00303682">
        <w:rPr>
          <w:noProof/>
        </w:rPr>
        <w:t>18</w:t>
      </w:r>
      <w:r>
        <w:fldChar w:fldCharType="end"/>
      </w:r>
      <w:r>
        <w:t>.  </w:t>
      </w:r>
      <w:r w:rsidRPr="00404CF0" w:rsidR="00094FB2">
        <w:t xml:space="preserve">The court ordered the applicants to publish a refutation and each of them to pay 15,000 Russian roubles </w:t>
      </w:r>
      <w:r w:rsidR="00094FB2">
        <w:t xml:space="preserve">to </w:t>
      </w:r>
      <w:r w:rsidRPr="00404CF0" w:rsidR="00094FB2">
        <w:t>the department and also bear the legal costs and expenses.</w:t>
      </w:r>
    </w:p>
    <w:p w:rsidRPr="00404CF0" w:rsidR="00094FB2" w:rsidP="00094FB2" w:rsidRDefault="002979A4">
      <w:pPr>
        <w:pStyle w:val="JuPara"/>
      </w:pPr>
      <w:r>
        <w:fldChar w:fldCharType="begin"/>
      </w:r>
      <w:r>
        <w:instrText xml:space="preserve"> SEQ level0 \*arabic </w:instrText>
      </w:r>
      <w:r>
        <w:fldChar w:fldCharType="separate"/>
      </w:r>
      <w:r w:rsidR="00303682">
        <w:rPr>
          <w:noProof/>
        </w:rPr>
        <w:t>19</w:t>
      </w:r>
      <w:r>
        <w:fldChar w:fldCharType="end"/>
      </w:r>
      <w:r>
        <w:t>.  </w:t>
      </w:r>
      <w:r w:rsidRPr="00404CF0" w:rsidR="00094FB2">
        <w:t xml:space="preserve">On 15 January 2003 the </w:t>
      </w:r>
      <w:smartTag w:uri="urn:schemas-microsoft-com:office:smarttags" w:element="Street">
        <w:smartTag w:uri="urn:schemas-microsoft-com:office:smarttags" w:element="address">
          <w:r w:rsidR="00094FB2" w:rsidRPr="00404CF0">
            <w:t>Primorskiy Regional Court</w:t>
          </w:r>
        </w:smartTag>
      </w:smartTag>
      <w:r w:rsidRPr="00404CF0" w:rsidR="00094FB2">
        <w:t xml:space="preserve"> upheld</w:t>
      </w:r>
      <w:r w:rsidR="00094FB2">
        <w:t xml:space="preserve">, </w:t>
      </w:r>
      <w:r w:rsidRPr="00404CF0" w:rsidR="00094FB2">
        <w:t xml:space="preserve">on </w:t>
      </w:r>
      <w:r w:rsidR="00094FB2">
        <w:t xml:space="preserve">an appeal by </w:t>
      </w:r>
      <w:r w:rsidRPr="00404CF0" w:rsidR="00094FB2">
        <w:t>the applicants</w:t>
      </w:r>
      <w:r w:rsidR="00094FB2">
        <w:t xml:space="preserve">, </w:t>
      </w:r>
      <w:r w:rsidRPr="00404CF0" w:rsidR="00094FB2">
        <w:t xml:space="preserve">the </w:t>
      </w:r>
      <w:r w:rsidR="00094FB2">
        <w:t xml:space="preserve">judgment </w:t>
      </w:r>
      <w:r w:rsidRPr="00404CF0" w:rsidR="00094FB2">
        <w:t>of 11 October 2002.</w:t>
      </w:r>
    </w:p>
    <w:p w:rsidRPr="00094FB2" w:rsidR="00260DD7" w:rsidRDefault="002979A4">
      <w:pPr>
        <w:pStyle w:val="JuHIRoman"/>
      </w:pPr>
      <w:r>
        <w:t>II.  RELEVANT DOMESTIC LAW</w:t>
      </w:r>
    </w:p>
    <w:p w:rsidRPr="009303CE" w:rsidR="009418ED" w:rsidP="009418ED" w:rsidRDefault="009418ED">
      <w:pPr>
        <w:pStyle w:val="JuHA"/>
      </w:pPr>
      <w:r>
        <w:t xml:space="preserve">A.  Constitution of the </w:t>
      </w:r>
      <w:smartTag w:uri="urn:schemas-microsoft-com:office:smarttags" w:element="place">
        <w:smartTag w:uri="urn:schemas-microsoft-com:office:smarttags" w:element="country-region">
          <w:r>
            <w:t>Russian Federation</w:t>
          </w:r>
        </w:smartTag>
      </w:smartTag>
    </w:p>
    <w:p w:rsidRPr="004A740E" w:rsidR="009418ED" w:rsidP="009418ED" w:rsidRDefault="009418ED">
      <w:pPr>
        <w:pStyle w:val="JuPara"/>
      </w:pPr>
      <w:r>
        <w:fldChar w:fldCharType="begin"/>
      </w:r>
      <w:r>
        <w:instrText xml:space="preserve"> SEQ level0 \*arabic </w:instrText>
      </w:r>
      <w:r>
        <w:fldChar w:fldCharType="separate"/>
      </w:r>
      <w:r w:rsidR="00303682">
        <w:rPr>
          <w:noProof/>
        </w:rPr>
        <w:t>20</w:t>
      </w:r>
      <w:r>
        <w:fldChar w:fldCharType="end"/>
      </w:r>
      <w:r>
        <w:t>.  </w:t>
      </w:r>
      <w:r w:rsidRPr="004A740E">
        <w:t xml:space="preserve">Article 29 guarantees freedom of </w:t>
      </w:r>
      <w:r>
        <w:t xml:space="preserve">thought </w:t>
      </w:r>
      <w:r w:rsidRPr="004A740E">
        <w:t xml:space="preserve">and expression, </w:t>
      </w:r>
      <w:r>
        <w:t xml:space="preserve">together with </w:t>
      </w:r>
      <w:r w:rsidRPr="004A740E">
        <w:t xml:space="preserve">freedom of </w:t>
      </w:r>
      <w:r>
        <w:t xml:space="preserve">the </w:t>
      </w:r>
      <w:r w:rsidRPr="004A740E">
        <w:t>mass media.</w:t>
      </w:r>
    </w:p>
    <w:p w:rsidRPr="009303CE" w:rsidR="009418ED" w:rsidP="009418ED" w:rsidRDefault="009418ED">
      <w:pPr>
        <w:pStyle w:val="JuHA"/>
      </w:pPr>
      <w:r>
        <w:t>B.  </w:t>
      </w:r>
      <w:r w:rsidRPr="009303CE">
        <w:t xml:space="preserve">Civil Code of the </w:t>
      </w:r>
      <w:smartTag w:uri="urn:schemas-microsoft-com:office:smarttags" w:element="place">
        <w:smartTag w:uri="urn:schemas-microsoft-com:office:smarttags" w:element="country-region">
          <w:r w:rsidRPr="009303CE">
            <w:t>Russian Federation</w:t>
          </w:r>
        </w:smartTag>
      </w:smartTag>
    </w:p>
    <w:bookmarkStart w:name="art152" w:id="2"/>
    <w:p w:rsidR="009418ED" w:rsidP="009418ED" w:rsidRDefault="009418ED">
      <w:pPr>
        <w:pStyle w:val="JuPara"/>
      </w:pPr>
      <w:r>
        <w:fldChar w:fldCharType="begin"/>
      </w:r>
      <w:r>
        <w:instrText xml:space="preserve"> SEQ level0 \*arabic </w:instrText>
      </w:r>
      <w:r>
        <w:fldChar w:fldCharType="separate"/>
      </w:r>
      <w:r w:rsidR="00303682">
        <w:rPr>
          <w:noProof/>
        </w:rPr>
        <w:t>21</w:t>
      </w:r>
      <w:r>
        <w:fldChar w:fldCharType="end"/>
      </w:r>
      <w:bookmarkEnd w:id="2"/>
      <w:r>
        <w:t>.  Article 152 provides that an</w:t>
      </w:r>
      <w:r w:rsidRPr="009303CE">
        <w:t xml:space="preserve"> individual may </w:t>
      </w:r>
      <w:r>
        <w:t xml:space="preserve">apply to </w:t>
      </w:r>
      <w:r w:rsidRPr="009303CE">
        <w:t xml:space="preserve">a court with a request for </w:t>
      </w:r>
      <w:r>
        <w:t>the rectification</w:t>
      </w:r>
      <w:r w:rsidRPr="009303CE">
        <w:t xml:space="preserve"> of </w:t>
      </w:r>
      <w:r>
        <w:t>statements (</w:t>
      </w:r>
      <w:r>
        <w:rPr>
          <w:i/>
        </w:rPr>
        <w:t>svedeniya</w:t>
      </w:r>
      <w:r>
        <w:t xml:space="preserve">) that are </w:t>
      </w:r>
      <w:r w:rsidRPr="009303CE">
        <w:t xml:space="preserve">damaging </w:t>
      </w:r>
      <w:r>
        <w:t xml:space="preserve">to </w:t>
      </w:r>
      <w:r w:rsidRPr="009303CE">
        <w:t xml:space="preserve">his or her honour, dignity or professional reputation </w:t>
      </w:r>
      <w:r>
        <w:t xml:space="preserve">if </w:t>
      </w:r>
      <w:r w:rsidRPr="009303CE">
        <w:t xml:space="preserve">the person who disseminated such </w:t>
      </w:r>
      <w:r>
        <w:t>statements</w:t>
      </w:r>
      <w:r w:rsidRPr="009303CE">
        <w:t xml:space="preserve"> </w:t>
      </w:r>
      <w:r>
        <w:t xml:space="preserve">does not </w:t>
      </w:r>
      <w:r w:rsidRPr="009303CE">
        <w:t xml:space="preserve">prove </w:t>
      </w:r>
      <w:r>
        <w:t>their truthfulness</w:t>
      </w:r>
      <w:r w:rsidRPr="009303CE">
        <w:t xml:space="preserve">. The </w:t>
      </w:r>
      <w:r>
        <w:t>aggrieved person</w:t>
      </w:r>
      <w:r w:rsidRPr="009303CE">
        <w:t xml:space="preserve"> may also claim compensation for losses and non-pecuniary damage sustained as a result of </w:t>
      </w:r>
      <w:r>
        <w:t xml:space="preserve">the </w:t>
      </w:r>
      <w:r w:rsidRPr="009303CE">
        <w:t xml:space="preserve">dissemination of such </w:t>
      </w:r>
      <w:r>
        <w:t>statements</w:t>
      </w:r>
      <w:r w:rsidRPr="009303CE">
        <w:t>.</w:t>
      </w:r>
      <w:r w:rsidR="000966D6">
        <w:t xml:space="preserve"> The same rules are applicable in case</w:t>
      </w:r>
      <w:r w:rsidR="00B65179">
        <w:t>s</w:t>
      </w:r>
      <w:r w:rsidR="000966D6">
        <w:t xml:space="preserve"> where the plaintiff is a legal entity.</w:t>
      </w:r>
    </w:p>
    <w:p w:rsidR="009418ED" w:rsidP="009418ED" w:rsidRDefault="009418ED">
      <w:pPr>
        <w:pStyle w:val="JuHA"/>
      </w:pPr>
      <w:r>
        <w:rPr>
          <w:snapToGrid w:val="0"/>
          <w:lang w:eastAsia="en-US"/>
        </w:rPr>
        <w:t>C.  </w:t>
      </w:r>
      <w:r w:rsidRPr="009303CE">
        <w:rPr>
          <w:snapToGrid w:val="0"/>
          <w:lang w:eastAsia="en-US"/>
        </w:rPr>
        <w:t xml:space="preserve">Resolution of the Plenary </w:t>
      </w:r>
      <w:r>
        <w:rPr>
          <w:snapToGrid w:val="0"/>
          <w:lang w:eastAsia="en-US"/>
        </w:rPr>
        <w:t>Supreme Court</w:t>
      </w:r>
      <w:r>
        <w:t xml:space="preserve"> of the Russian Federation, no. 11 of </w:t>
      </w:r>
      <w:smartTag w:uri="urn:schemas-microsoft-com:office:smarttags" w:element="date">
        <w:smartTagPr>
          <w:attr w:name="Month" w:val="8"/>
          <w:attr w:name="Day" w:val="18"/>
          <w:attr w:name="Year" w:val="1992"/>
        </w:smartTagPr>
        <w:r>
          <w:t>18 August 1992</w:t>
        </w:r>
      </w:smartTag>
      <w:r>
        <w:t xml:space="preserve"> (amended on </w:t>
      </w:r>
      <w:smartTag w:uri="urn:schemas-microsoft-com:office:smarttags" w:element="date">
        <w:smartTagPr>
          <w:attr w:name="Month" w:val="4"/>
          <w:attr w:name="Day" w:val="25"/>
          <w:attr w:name="Year" w:val="1995"/>
        </w:smartTagPr>
        <w:r>
          <w:t>25 April 1995</w:t>
        </w:r>
      </w:smartTag>
      <w:r>
        <w:t>)</w:t>
      </w:r>
    </w:p>
    <w:bookmarkStart w:name="resolution11" w:id="3"/>
    <w:p w:rsidRPr="00DD380C" w:rsidR="009418ED" w:rsidP="009418ED" w:rsidRDefault="009418ED">
      <w:pPr>
        <w:pStyle w:val="JuPara"/>
      </w:pPr>
      <w:r>
        <w:fldChar w:fldCharType="begin"/>
      </w:r>
      <w:r>
        <w:instrText xml:space="preserve"> SEQ level0 \*arabic </w:instrText>
      </w:r>
      <w:r>
        <w:fldChar w:fldCharType="separate"/>
      </w:r>
      <w:r w:rsidR="00303682">
        <w:rPr>
          <w:noProof/>
        </w:rPr>
        <w:t>22</w:t>
      </w:r>
      <w:r>
        <w:fldChar w:fldCharType="end"/>
      </w:r>
      <w:bookmarkEnd w:id="3"/>
      <w:r>
        <w:t>.  The R</w:t>
      </w:r>
      <w:r w:rsidRPr="009303CE">
        <w:t xml:space="preserve">esolution </w:t>
      </w:r>
      <w:r>
        <w:t xml:space="preserve">(in force at the material time) </w:t>
      </w:r>
      <w:r w:rsidRPr="009303CE">
        <w:t>provide</w:t>
      </w:r>
      <w:r>
        <w:t>d</w:t>
      </w:r>
      <w:r w:rsidRPr="009303CE">
        <w:t xml:space="preserve"> that</w:t>
      </w:r>
      <w:r>
        <w:t xml:space="preserve">, in order </w:t>
      </w:r>
      <w:r w:rsidRPr="009303CE">
        <w:t>to be considered damaging</w:t>
      </w:r>
      <w:r>
        <w:t>,</w:t>
      </w:r>
      <w:r w:rsidRPr="009303CE">
        <w:t xml:space="preserve"> </w:t>
      </w:r>
      <w:r>
        <w:t xml:space="preserve">statements had to </w:t>
      </w:r>
      <w:r w:rsidRPr="009303CE">
        <w:t xml:space="preserve">be untrue and contain </w:t>
      </w:r>
      <w:r>
        <w:t>allegations of a breach of laws or moral principles (commission of a dishonest act, improper behaviour at the workplace or in everyday life, etc.). Dissemination of statements was understood as the publication of statements or their broadcasting (section 2). The burden of proof was on the defendant to show that the disseminated statements had been true and accurate (section 7).</w:t>
      </w:r>
    </w:p>
    <w:p w:rsidR="009418ED" w:rsidP="009418ED" w:rsidRDefault="009418ED">
      <w:pPr>
        <w:pStyle w:val="JuHA"/>
      </w:pPr>
      <w:r>
        <w:t xml:space="preserve">D.  The Mass-Media Act (Federal Law </w:t>
      </w:r>
      <w:r w:rsidRPr="00404CF0">
        <w:t>no.</w:t>
      </w:r>
      <w:r w:rsidRPr="00786F4E">
        <w:t> </w:t>
      </w:r>
      <w:r w:rsidRPr="00404CF0">
        <w:t>2124-I of 27</w:t>
      </w:r>
      <w:r>
        <w:t> </w:t>
      </w:r>
      <w:r w:rsidRPr="00404CF0">
        <w:t>December 1991</w:t>
      </w:r>
      <w:r>
        <w:t>)</w:t>
      </w:r>
    </w:p>
    <w:bookmarkStart w:name="founders" w:id="4"/>
    <w:p w:rsidRPr="00864590" w:rsidR="00864590" w:rsidP="00094FB2" w:rsidRDefault="00864590">
      <w:pPr>
        <w:pStyle w:val="JuPara"/>
      </w:pPr>
      <w:r>
        <w:fldChar w:fldCharType="begin"/>
      </w:r>
      <w:r>
        <w:instrText xml:space="preserve"> SEQ level0 \*arabic </w:instrText>
      </w:r>
      <w:r>
        <w:fldChar w:fldCharType="separate"/>
      </w:r>
      <w:r w:rsidR="00303682">
        <w:rPr>
          <w:noProof/>
        </w:rPr>
        <w:t>23</w:t>
      </w:r>
      <w:r>
        <w:fldChar w:fldCharType="end"/>
      </w:r>
      <w:bookmarkEnd w:id="4"/>
      <w:r>
        <w:t>.  The founder (co-founders) of a newspaper is a person or a group of persons who applied for registration of the newspaper (section 7). The founder may not interfere with the functioning of the newspaper unless otherwise provided by law and by the articles of association (section 18). The founders</w:t>
      </w:r>
      <w:r w:rsidR="00D43D0D">
        <w:t xml:space="preserve">, editors, publishers, journalists, and authors, </w:t>
      </w:r>
      <w:r>
        <w:t xml:space="preserve">may be held liable for </w:t>
      </w:r>
      <w:r w:rsidR="00D43D0D">
        <w:t>breaches of Russian legislation on mass-media (section 56).</w:t>
      </w:r>
    </w:p>
    <w:p w:rsidR="00094FB2" w:rsidP="00094FB2" w:rsidRDefault="009418ED">
      <w:pPr>
        <w:pStyle w:val="JuPara"/>
      </w:pPr>
      <w:r>
        <w:fldChar w:fldCharType="begin"/>
      </w:r>
      <w:r>
        <w:instrText xml:space="preserve"> SEQ level0 \*arabic </w:instrText>
      </w:r>
      <w:r>
        <w:fldChar w:fldCharType="separate"/>
      </w:r>
      <w:r w:rsidR="00303682">
        <w:rPr>
          <w:noProof/>
        </w:rPr>
        <w:t>24</w:t>
      </w:r>
      <w:r>
        <w:fldChar w:fldCharType="end"/>
      </w:r>
      <w:r>
        <w:t>.  </w:t>
      </w:r>
      <w:r w:rsidR="00094FB2">
        <w:t>T</w:t>
      </w:r>
      <w:r w:rsidRPr="00404CF0" w:rsidR="00094FB2">
        <w:t>he editor</w:t>
      </w:r>
      <w:r w:rsidR="0000251F">
        <w:t>'</w:t>
      </w:r>
      <w:r w:rsidRPr="00404CF0" w:rsidR="00094FB2">
        <w:t xml:space="preserve">s office and journalists may not be held liable for dissemination of information which is untrue and </w:t>
      </w:r>
      <w:r w:rsidR="00786F4E">
        <w:t>damaging to</w:t>
      </w:r>
      <w:r w:rsidRPr="00404CF0" w:rsidR="00094FB2">
        <w:t xml:space="preserve"> </w:t>
      </w:r>
      <w:r w:rsidR="00B65179">
        <w:t xml:space="preserve">the </w:t>
      </w:r>
      <w:r w:rsidRPr="00404CF0" w:rsidR="00094FB2">
        <w:t>honour or reputation of citizens and organisations if such information originate</w:t>
      </w:r>
      <w:r w:rsidR="00094FB2">
        <w:t>d</w:t>
      </w:r>
      <w:r w:rsidRPr="00404CF0" w:rsidR="00094FB2">
        <w:t xml:space="preserve"> in press-releases of State </w:t>
      </w:r>
      <w:r w:rsidR="00BC1135">
        <w:t>bodies</w:t>
      </w:r>
      <w:r w:rsidRPr="00404CF0" w:rsidR="00094FB2">
        <w:t>, organisations, agencies, com</w:t>
      </w:r>
      <w:r w:rsidR="00094FB2">
        <w:t>panies or public associations (</w:t>
      </w:r>
      <w:r w:rsidR="00BC1135">
        <w:t>s</w:t>
      </w:r>
      <w:r w:rsidR="00094FB2">
        <w:t>ection</w:t>
      </w:r>
      <w:r w:rsidRPr="00404CF0" w:rsidR="00094FB2">
        <w:t xml:space="preserve"> 57 </w:t>
      </w:r>
      <w:r w:rsidR="00BC1135">
        <w:t xml:space="preserve">§ </w:t>
      </w:r>
      <w:r w:rsidRPr="00404CF0" w:rsidR="00094FB2">
        <w:t xml:space="preserve">3) or </w:t>
      </w:r>
      <w:r w:rsidR="00094FB2">
        <w:t xml:space="preserve">if </w:t>
      </w:r>
      <w:r w:rsidRPr="00404CF0" w:rsidR="00094FB2">
        <w:t xml:space="preserve">such information is </w:t>
      </w:r>
      <w:r w:rsidR="00094FB2">
        <w:t xml:space="preserve">a </w:t>
      </w:r>
      <w:r w:rsidRPr="00404CF0" w:rsidR="00094FB2">
        <w:t xml:space="preserve">verbatim reproduction of </w:t>
      </w:r>
      <w:r w:rsidR="00BC1135">
        <w:t xml:space="preserve">official </w:t>
      </w:r>
      <w:r w:rsidRPr="00404CF0" w:rsidR="00094FB2">
        <w:t xml:space="preserve">statements by officials of State </w:t>
      </w:r>
      <w:r w:rsidR="009D2208">
        <w:t>bodies</w:t>
      </w:r>
      <w:r w:rsidRPr="00404CF0" w:rsidR="00094FB2">
        <w:t>, organisations or public associations (</w:t>
      </w:r>
      <w:r w:rsidR="00BC1135">
        <w:t>s</w:t>
      </w:r>
      <w:r w:rsidR="00094FB2">
        <w:t xml:space="preserve">ection </w:t>
      </w:r>
      <w:r w:rsidRPr="00404CF0" w:rsidR="00094FB2">
        <w:t xml:space="preserve">57 </w:t>
      </w:r>
      <w:r w:rsidR="00BC1135">
        <w:t xml:space="preserve">§ </w:t>
      </w:r>
      <w:r w:rsidRPr="00404CF0" w:rsidR="00094FB2">
        <w:t>4).</w:t>
      </w:r>
    </w:p>
    <w:p w:rsidR="002979A4" w:rsidP="002979A4" w:rsidRDefault="002979A4">
      <w:pPr>
        <w:pStyle w:val="JuHIRoman"/>
      </w:pPr>
      <w:r>
        <w:t xml:space="preserve">III.  RELEVANT COUNCIL OF </w:t>
      </w:r>
      <w:smartTag w:uri="urn:schemas-microsoft-com:office:smarttags" w:element="place">
        <w:r>
          <w:t>EUROPE</w:t>
        </w:r>
      </w:smartTag>
      <w:r>
        <w:t xml:space="preserve"> DOCUMENTS</w:t>
      </w:r>
    </w:p>
    <w:bookmarkStart w:name="pace" w:id="5"/>
    <w:p w:rsidR="00E23E22" w:rsidP="00E23E22" w:rsidRDefault="00E23E22">
      <w:pPr>
        <w:pStyle w:val="JuPara"/>
      </w:pPr>
      <w:r>
        <w:fldChar w:fldCharType="begin"/>
      </w:r>
      <w:r>
        <w:instrText xml:space="preserve"> SEQ level0 \*arabic </w:instrText>
      </w:r>
      <w:r>
        <w:fldChar w:fldCharType="separate"/>
      </w:r>
      <w:r w:rsidR="00303682">
        <w:rPr>
          <w:noProof/>
        </w:rPr>
        <w:t>25</w:t>
      </w:r>
      <w:r>
        <w:fldChar w:fldCharType="end"/>
      </w:r>
      <w:bookmarkEnd w:id="5"/>
      <w:r>
        <w:t>.  </w:t>
      </w:r>
      <w:r w:rsidR="00B65179">
        <w:t xml:space="preserve">A report </w:t>
      </w:r>
      <w:r>
        <w:t>on the h</w:t>
      </w:r>
      <w:r w:rsidRPr="0073299D">
        <w:t>onouring of obligations and commitments by the Russian Federation</w:t>
      </w:r>
      <w:r>
        <w:t>, presented by co-rapporteurs of the Monitoring Committee to the Parliamentary Assembly of the Council of Europe (doc. 10568, 3 June 2005), noted as follows:</w:t>
      </w:r>
    </w:p>
    <w:p w:rsidR="00E23E22" w:rsidP="00E23E22" w:rsidRDefault="00E23E22">
      <w:pPr>
        <w:pStyle w:val="JuQuot"/>
      </w:pPr>
      <w:r>
        <w:t>“</w:t>
      </w:r>
      <w:r w:rsidRPr="0073299D">
        <w:rPr>
          <w:i/>
        </w:rPr>
        <w:t>Libel lawsuits</w:t>
      </w:r>
    </w:p>
    <w:p w:rsidR="00E23E22" w:rsidP="00E23E22" w:rsidRDefault="00E23E22">
      <w:pPr>
        <w:pStyle w:val="JuQuot"/>
      </w:pPr>
      <w:r w:rsidRPr="0073299D">
        <w:t>389. We are concerned by the current defamation legislation and its application by the Russian judiciary and executive powers. Journalists are often prosecuted through libel suits (approximately 8-10,000 lawsuits a year)</w:t>
      </w:r>
      <w:r>
        <w:t>...</w:t>
      </w:r>
    </w:p>
    <w:p w:rsidR="00E23E22" w:rsidP="00E23E22" w:rsidRDefault="00E23E22">
      <w:pPr>
        <w:pStyle w:val="JuQuot"/>
      </w:pPr>
      <w:r w:rsidRPr="0073299D">
        <w:t>392. Also the legislation concerned should not grant any special protection against criticism to public officials</w:t>
      </w:r>
      <w:r>
        <w:t xml:space="preserve">... </w:t>
      </w:r>
      <w:r w:rsidRPr="0073299D">
        <w:t xml:space="preserve">Finally, the possibility of filing lawsuits against media and journalists by public authorities should be abolished as the latter </w:t>
      </w:r>
      <w:r w:rsidRPr="005407E2">
        <w:rPr>
          <w:i/>
        </w:rPr>
        <w:t xml:space="preserve">per se </w:t>
      </w:r>
      <w:r w:rsidRPr="0073299D">
        <w:t>cannot possess any dignity, honour, or reputation.</w:t>
      </w:r>
    </w:p>
    <w:p w:rsidRPr="00E23E22" w:rsidR="00E23E22" w:rsidP="00E23E22" w:rsidRDefault="00E23E22">
      <w:pPr>
        <w:pStyle w:val="JuQuot"/>
      </w:pPr>
      <w:r w:rsidRPr="0073299D">
        <w:t xml:space="preserve">393. Therefore, we urge the Russian authorities to reform its defamation legislation, </w:t>
      </w:r>
      <w:r w:rsidRPr="0073299D">
        <w:rPr>
          <w:i/>
        </w:rPr>
        <w:t>inter alia</w:t>
      </w:r>
      <w:r w:rsidRPr="0073299D">
        <w:t xml:space="preserve">: </w:t>
      </w:r>
      <w:r>
        <w:t>...</w:t>
      </w:r>
      <w:r w:rsidRPr="0073299D">
        <w:t xml:space="preserve"> to introduce a clear ban on public bodies to institute civil proceedings in order to protect their </w:t>
      </w:r>
      <w:r w:rsidR="0000251F">
        <w:t>'</w:t>
      </w:r>
      <w:r w:rsidRPr="0073299D">
        <w:t>reputation</w:t>
      </w:r>
      <w:r w:rsidR="0000251F">
        <w:t>'</w:t>
      </w:r>
      <w:r w:rsidRPr="0073299D">
        <w:t xml:space="preserve"> (without hindrance to the right of public officials to litigate in their private capacity), to clearly establish that no one should be liable under defamation law for the expression of an opinion (</w:t>
      </w:r>
      <w:r w:rsidR="0000251F">
        <w:t>'</w:t>
      </w:r>
      <w:r w:rsidRPr="0073299D">
        <w:t>value judgements</w:t>
      </w:r>
      <w:r w:rsidR="0000251F">
        <w:t>'</w:t>
      </w:r>
      <w:r w:rsidRPr="0073299D">
        <w:t>)</w:t>
      </w:r>
      <w:r>
        <w:t>...”</w:t>
      </w:r>
    </w:p>
    <w:p w:rsidRPr="00094FB2" w:rsidR="00260DD7" w:rsidRDefault="00260DD7">
      <w:pPr>
        <w:pStyle w:val="JuHHead"/>
      </w:pPr>
      <w:r w:rsidRPr="00094FB2">
        <w:t>THE LAW</w:t>
      </w:r>
    </w:p>
    <w:p w:rsidRPr="00094FB2" w:rsidR="00094FB2" w:rsidRDefault="00094FB2">
      <w:pPr>
        <w:pStyle w:val="JuHIRoman"/>
      </w:pPr>
      <w:r w:rsidRPr="00094FB2">
        <w:t xml:space="preserve">I.  ALLEGED VIOLATION OF ARTICLE </w:t>
      </w:r>
      <w:r>
        <w:t>10</w:t>
      </w:r>
      <w:r w:rsidRPr="00094FB2">
        <w:t xml:space="preserve"> OF THE CONVENTION</w:t>
      </w:r>
    </w:p>
    <w:p w:rsidRPr="00404CF0" w:rsidR="00E23E22" w:rsidP="00E23E22" w:rsidRDefault="00786F4E">
      <w:pPr>
        <w:pStyle w:val="JuPara"/>
      </w:pPr>
      <w:r>
        <w:fldChar w:fldCharType="begin"/>
      </w:r>
      <w:r>
        <w:instrText xml:space="preserve"> SEQ level0 \*arabic </w:instrText>
      </w:r>
      <w:r>
        <w:fldChar w:fldCharType="separate"/>
      </w:r>
      <w:r w:rsidR="00303682">
        <w:rPr>
          <w:noProof/>
        </w:rPr>
        <w:t>26</w:t>
      </w:r>
      <w:r>
        <w:fldChar w:fldCharType="end"/>
      </w:r>
      <w:r>
        <w:t>.  </w:t>
      </w:r>
      <w:r w:rsidRPr="00404CF0" w:rsidR="00E23E22">
        <w:t>The applicants complained about a violation of their right to freedom of expression. This complaint falls to be examined under Article 10 of the Convention</w:t>
      </w:r>
      <w:r w:rsidR="00744808">
        <w:t>,</w:t>
      </w:r>
      <w:r w:rsidRPr="00404CF0" w:rsidR="00E23E22">
        <w:t xml:space="preserve"> which reads as follows:</w:t>
      </w:r>
    </w:p>
    <w:p w:rsidRPr="00404CF0" w:rsidR="00E23E22" w:rsidP="00E23E22" w:rsidRDefault="00E23E22">
      <w:pPr>
        <w:pStyle w:val="JuQuot"/>
      </w:pPr>
      <w:r w:rsidRPr="00404CF0">
        <w:t>“1.  Everyone has the right to freedom of expression. This right shall include freedom to hold opinions and to receive and impart information and ideas without interference by public authority</w:t>
      </w:r>
      <w:r>
        <w:t>...</w:t>
      </w:r>
    </w:p>
    <w:p w:rsidR="00E23E22" w:rsidP="000F65C4" w:rsidRDefault="00E23E22">
      <w:pPr>
        <w:pStyle w:val="JuQuot"/>
      </w:pPr>
      <w:r w:rsidRPr="00404CF0">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404CF0" w:rsidR="00786F4E" w:rsidP="006F2730" w:rsidRDefault="00786F4E">
      <w:pPr>
        <w:pStyle w:val="JuHA"/>
        <w:keepNext w:val="0"/>
        <w:keepLines w:val="0"/>
        <w:widowControl w:val="0"/>
      </w:pPr>
      <w:r>
        <w:t>A.  Submissions by the parties</w:t>
      </w:r>
    </w:p>
    <w:p w:rsidR="00786F4E" w:rsidP="006F2730" w:rsidRDefault="00786F4E">
      <w:pPr>
        <w:pStyle w:val="JuH1"/>
        <w:keepNext w:val="0"/>
        <w:keepLines w:val="0"/>
        <w:widowControl w:val="0"/>
      </w:pPr>
      <w:r>
        <w:t>1.  The applicants</w:t>
      </w:r>
    </w:p>
    <w:p w:rsidR="00582CBE" w:rsidP="006F2730" w:rsidRDefault="00956742">
      <w:pPr>
        <w:pStyle w:val="JuPara"/>
        <w:widowControl w:val="0"/>
      </w:pPr>
      <w:r>
        <w:fldChar w:fldCharType="begin"/>
      </w:r>
      <w:r>
        <w:instrText xml:space="preserve"> SEQ level0 \*arabic </w:instrText>
      </w:r>
      <w:r>
        <w:fldChar w:fldCharType="separate"/>
      </w:r>
      <w:r w:rsidR="00303682">
        <w:rPr>
          <w:noProof/>
        </w:rPr>
        <w:t>27</w:t>
      </w:r>
      <w:r>
        <w:fldChar w:fldCharType="end"/>
      </w:r>
      <w:r>
        <w:t>.  </w:t>
      </w:r>
      <w:r w:rsidRPr="00404CF0" w:rsidR="00786F4E">
        <w:t>The applicants</w:t>
      </w:r>
      <w:r w:rsidR="00786F4E">
        <w:t xml:space="preserve"> </w:t>
      </w:r>
      <w:r w:rsidR="009418ED">
        <w:t xml:space="preserve">submitted </w:t>
      </w:r>
      <w:r w:rsidR="00582CBE">
        <w:t xml:space="preserve">that the interference with their right to freedom of expression was not </w:t>
      </w:r>
      <w:r w:rsidR="00BC7435">
        <w:t>“</w:t>
      </w:r>
      <w:r w:rsidR="00582CBE">
        <w:t>prescribed by law</w:t>
      </w:r>
      <w:r w:rsidR="00BC7435">
        <w:t>”</w:t>
      </w:r>
      <w:r w:rsidR="00582CBE">
        <w:t>. The wording of section</w:t>
      </w:r>
      <w:r w:rsidR="00BC7435">
        <w:t> </w:t>
      </w:r>
      <w:r w:rsidR="00582CBE">
        <w:t xml:space="preserve">57 of the Mass-Media Act was not sufficiently clear and foreseeable in its effects to enable journalists to </w:t>
      </w:r>
      <w:r w:rsidR="00CC171A">
        <w:t xml:space="preserve">anticipate the distinction drawn by the domestic courts between State officials and municipal employees. At the time the Mass-Media Act </w:t>
      </w:r>
      <w:r w:rsidR="00744808">
        <w:t>was</w:t>
      </w:r>
      <w:r w:rsidR="00CC171A">
        <w:t xml:space="preserve"> enacted in 1991, Russian constitutional and administrative law </w:t>
      </w:r>
      <w:r w:rsidR="00744808">
        <w:t xml:space="preserve">classified </w:t>
      </w:r>
      <w:r w:rsidR="00CC171A">
        <w:t>municipal employees as State officials. Even though the 1993 Constitution drew a distinction between State bodies and bodies of local self-government, there was no evidence that the status of municipal employee</w:t>
      </w:r>
      <w:r w:rsidR="002E72C3">
        <w:t>s</w:t>
      </w:r>
      <w:r w:rsidR="00CC171A">
        <w:t xml:space="preserve"> </w:t>
      </w:r>
      <w:r w:rsidR="00744808">
        <w:t xml:space="preserve">had undergone </w:t>
      </w:r>
      <w:r w:rsidR="00CC171A">
        <w:t xml:space="preserve">any changes or that the Mass-Media Act needed to be amended in the light of the new legal status of municipal employees. In any event, the open letter had been signed not just </w:t>
      </w:r>
      <w:r w:rsidR="00BC7435">
        <w:t xml:space="preserve">by </w:t>
      </w:r>
      <w:r w:rsidR="00CC171A">
        <w:t xml:space="preserve">municipal employees, but also by public officials of the tax </w:t>
      </w:r>
      <w:r w:rsidR="00744808">
        <w:t>inspectorate</w:t>
      </w:r>
      <w:r w:rsidR="00CC171A">
        <w:t xml:space="preserve">, Federal Security Service and the police. </w:t>
      </w:r>
      <w:r w:rsidR="004044C5">
        <w:t>Furthermore, municipal bodies and commercial companies were covered by the notion of “organisation” in paragraph 3 of section 57. The applicant</w:t>
      </w:r>
      <w:r w:rsidR="00BC7435">
        <w:t>s</w:t>
      </w:r>
      <w:r w:rsidR="004044C5">
        <w:t xml:space="preserve"> pointed out that no one could reasonably expect that a statute</w:t>
      </w:r>
      <w:r w:rsidR="0000251F">
        <w:t>'</w:t>
      </w:r>
      <w:r w:rsidR="004044C5">
        <w:t>s provision should list for the purposes of regulating public discourse all types and varieties of existing legal entities, organisations, bodies, agencies, etc.</w:t>
      </w:r>
    </w:p>
    <w:p w:rsidR="004044C5" w:rsidP="00786F4E" w:rsidRDefault="004044C5">
      <w:pPr>
        <w:pStyle w:val="JuPara"/>
      </w:pPr>
      <w:r>
        <w:fldChar w:fldCharType="begin"/>
      </w:r>
      <w:r>
        <w:instrText xml:space="preserve"> SEQ level0 \*arabic </w:instrText>
      </w:r>
      <w:r>
        <w:fldChar w:fldCharType="separate"/>
      </w:r>
      <w:r w:rsidR="00303682">
        <w:rPr>
          <w:noProof/>
        </w:rPr>
        <w:t>28</w:t>
      </w:r>
      <w:r>
        <w:fldChar w:fldCharType="end"/>
      </w:r>
      <w:r>
        <w:t xml:space="preserve">.  The first applicant argued in addition that </w:t>
      </w:r>
      <w:r w:rsidR="002C3640">
        <w:t>imposing pecuniary sanctions on the newspaper</w:t>
      </w:r>
      <w:r w:rsidR="0000251F">
        <w:t>'</w:t>
      </w:r>
      <w:r w:rsidR="00744808">
        <w:t>s</w:t>
      </w:r>
      <w:r w:rsidR="002C3640">
        <w:t xml:space="preserve"> founders in their personal capacity for damage caused by publications of which they had not been personally cognisant, should be considered as </w:t>
      </w:r>
      <w:r w:rsidR="00A2413F">
        <w:t xml:space="preserve">an </w:t>
      </w:r>
      <w:r w:rsidR="002C3640">
        <w:t xml:space="preserve">unjustified restriction on freedom of the press. It was not appropriate to hold the founder liable for defamation </w:t>
      </w:r>
      <w:r w:rsidR="00744808">
        <w:t xml:space="preserve">when </w:t>
      </w:r>
      <w:r w:rsidR="002C3640">
        <w:t>he had not made any personal attacks on the plaintiffs as a journalist and had taken no part in the editing or publishing process.</w:t>
      </w:r>
      <w:r w:rsidR="001F7F28">
        <w:t xml:space="preserve"> Nor had he been obliged by law to read all the articles in the newspaper, to review their content or to verify personally the accuracy of</w:t>
      </w:r>
      <w:r w:rsidR="00A2413F">
        <w:t xml:space="preserve"> the</w:t>
      </w:r>
      <w:r w:rsidR="001F7F28">
        <w:t xml:space="preserve"> facts.</w:t>
      </w:r>
    </w:p>
    <w:p w:rsidR="00CC171A" w:rsidP="00786F4E" w:rsidRDefault="001F7F28">
      <w:pPr>
        <w:pStyle w:val="JuPara"/>
      </w:pPr>
      <w:r w:rsidRPr="00BD33C5">
        <w:fldChar w:fldCharType="begin"/>
      </w:r>
      <w:r w:rsidRPr="00BD33C5">
        <w:instrText xml:space="preserve"> SEQ level0 \*arabic </w:instrText>
      </w:r>
      <w:r w:rsidRPr="00BD33C5">
        <w:fldChar w:fldCharType="separate"/>
      </w:r>
      <w:r w:rsidR="00303682">
        <w:rPr>
          <w:noProof/>
        </w:rPr>
        <w:t>29</w:t>
      </w:r>
      <w:r w:rsidRPr="00BD33C5">
        <w:fldChar w:fldCharType="end"/>
      </w:r>
      <w:r w:rsidRPr="00BD33C5">
        <w:t>.  </w:t>
      </w:r>
      <w:r w:rsidRPr="00BD33C5" w:rsidR="00BD33C5">
        <w:t xml:space="preserve">The </w:t>
      </w:r>
      <w:r w:rsidR="00BD33C5">
        <w:t xml:space="preserve">applicants </w:t>
      </w:r>
      <w:r w:rsidR="00BC7435">
        <w:t xml:space="preserve">also </w:t>
      </w:r>
      <w:r w:rsidR="00BD33C5">
        <w:t xml:space="preserve">claimed that the interference did not pursue any legitimate aim. </w:t>
      </w:r>
      <w:r w:rsidR="00B14ABF">
        <w:t xml:space="preserve">The main objective of the defamation claim was to prevent the newspaper from criticising State bodies and officials in the future. Had it been otherwise, the litigation </w:t>
      </w:r>
      <w:r w:rsidR="00FD3AAD">
        <w:t>sh</w:t>
      </w:r>
      <w:r w:rsidR="00B14ABF">
        <w:t xml:space="preserve">ould have targeted the </w:t>
      </w:r>
      <w:r w:rsidR="00AB5B9C">
        <w:t>panel</w:t>
      </w:r>
      <w:r w:rsidR="00B14ABF">
        <w:t xml:space="preserve"> participants who had signed the open letter and present</w:t>
      </w:r>
      <w:r w:rsidR="00FD3AAD">
        <w:t xml:space="preserve">ed it to the public rather than the newspaper that merely reprinted it. The interference could not be said to have pursued the aim of “maintaining the authority of the </w:t>
      </w:r>
      <w:r w:rsidR="00AB5B9C">
        <w:t>judiciary</w:t>
      </w:r>
      <w:r w:rsidR="00FD3AAD">
        <w:t>” because the courts</w:t>
      </w:r>
      <w:r w:rsidR="0000251F">
        <w:t>'</w:t>
      </w:r>
      <w:r w:rsidR="00FD3AAD">
        <w:t xml:space="preserve"> management department was in charge of the maintenance of court buildings and the proper organisational functioning of the judicial system; it did not adjudicate any cases. </w:t>
      </w:r>
      <w:r w:rsidR="00351653">
        <w:t>The</w:t>
      </w:r>
      <w:r w:rsidR="00CA5C2D">
        <w:t xml:space="preserve"> argument as to the</w:t>
      </w:r>
      <w:r w:rsidR="00351653">
        <w:t xml:space="preserve"> legitimate aim of “protecti</w:t>
      </w:r>
      <w:r w:rsidR="00CA5C2D">
        <w:t>ng</w:t>
      </w:r>
      <w:r w:rsidR="00351653">
        <w:t xml:space="preserve"> </w:t>
      </w:r>
      <w:r w:rsidR="00CA5C2D">
        <w:t xml:space="preserve">the </w:t>
      </w:r>
      <w:r w:rsidR="00351653">
        <w:t xml:space="preserve">reputation and rights of others” was </w:t>
      </w:r>
      <w:r w:rsidR="00014154">
        <w:t xml:space="preserve">misconceived </w:t>
      </w:r>
      <w:r w:rsidR="00351653">
        <w:t>because the word “others” should, in the applicants</w:t>
      </w:r>
      <w:r w:rsidR="0000251F">
        <w:t>'</w:t>
      </w:r>
      <w:r w:rsidR="00351653">
        <w:t xml:space="preserve"> view, apply only to individuals or legal entities and could not extend to State bodies such as the courts</w:t>
      </w:r>
      <w:r w:rsidR="0000251F">
        <w:t>'</w:t>
      </w:r>
      <w:r w:rsidR="00351653">
        <w:t xml:space="preserve"> management department.</w:t>
      </w:r>
    </w:p>
    <w:p w:rsidRPr="00BD33C5" w:rsidR="0021017B" w:rsidP="00786F4E" w:rsidRDefault="0021017B">
      <w:pPr>
        <w:pStyle w:val="JuPara"/>
      </w:pPr>
      <w:r>
        <w:fldChar w:fldCharType="begin"/>
      </w:r>
      <w:r>
        <w:instrText xml:space="preserve"> SEQ level0 \*arabic </w:instrText>
      </w:r>
      <w:r>
        <w:fldChar w:fldCharType="separate"/>
      </w:r>
      <w:r w:rsidR="00303682">
        <w:rPr>
          <w:noProof/>
        </w:rPr>
        <w:t>30</w:t>
      </w:r>
      <w:r>
        <w:fldChar w:fldCharType="end"/>
      </w:r>
      <w:r>
        <w:t xml:space="preserve">.  The applicants </w:t>
      </w:r>
      <w:r w:rsidR="00BC7435">
        <w:t xml:space="preserve">further </w:t>
      </w:r>
      <w:r>
        <w:t xml:space="preserve">contended that the interference at issue was not </w:t>
      </w:r>
      <w:r w:rsidR="00014154">
        <w:t>“</w:t>
      </w:r>
      <w:r>
        <w:t>necessary in a democratic society</w:t>
      </w:r>
      <w:r w:rsidR="00014154">
        <w:t>”</w:t>
      </w:r>
      <w:r>
        <w:t xml:space="preserve">. The </w:t>
      </w:r>
      <w:r w:rsidR="00CF4CA7">
        <w:t xml:space="preserve">libel proceedings </w:t>
      </w:r>
      <w:r>
        <w:t xml:space="preserve">against them </w:t>
      </w:r>
      <w:r w:rsidR="00AB5B9C">
        <w:t xml:space="preserve">had </w:t>
      </w:r>
      <w:r>
        <w:t xml:space="preserve">had </w:t>
      </w:r>
      <w:r w:rsidR="00AB5B9C">
        <w:t xml:space="preserve">the aim </w:t>
      </w:r>
      <w:r>
        <w:t xml:space="preserve">of discouraging open discussion </w:t>
      </w:r>
      <w:r w:rsidR="00AB5B9C">
        <w:t xml:space="preserve">on </w:t>
      </w:r>
      <w:r>
        <w:t>important matters of public concern in the Primorskiy Region. The disputed statement had been part of an open letter which had not been an attack against the courts</w:t>
      </w:r>
      <w:r w:rsidR="0000251F">
        <w:t>'</w:t>
      </w:r>
      <w:r>
        <w:t xml:space="preserve"> management department or its officials but rather an appeal for a thorough and comprehensive investigation </w:t>
      </w:r>
      <w:r w:rsidR="00CF4CA7">
        <w:t xml:space="preserve">into </w:t>
      </w:r>
      <w:r>
        <w:t xml:space="preserve">the activities of companies that cut down timber. </w:t>
      </w:r>
      <w:r w:rsidR="00014154">
        <w:t>Referring to the Court</w:t>
      </w:r>
      <w:r w:rsidR="0000251F">
        <w:t>'</w:t>
      </w:r>
      <w:r w:rsidR="00014154">
        <w:t>s case</w:t>
      </w:r>
      <w:r w:rsidR="00CF4CA7">
        <w:t>-law</w:t>
      </w:r>
      <w:r w:rsidR="00014154">
        <w:rPr>
          <w:lang w:eastAsia="en-US"/>
        </w:rPr>
        <w:t xml:space="preserve">, the applicants insisted that the press should be able to rely on the content of official reports without having to undertake independent research </w:t>
      </w:r>
      <w:r w:rsidR="00014154">
        <w:t xml:space="preserve">(see </w:t>
      </w:r>
      <w:r w:rsidRPr="00BC7435" w:rsidR="00014154">
        <w:rPr>
          <w:i/>
          <w:lang w:eastAsia="en-US"/>
        </w:rPr>
        <w:t>Colombani and Others v.</w:t>
      </w:r>
      <w:r w:rsidR="00CA5C2D">
        <w:rPr>
          <w:i/>
          <w:lang w:eastAsia="en-US"/>
        </w:rPr>
        <w:t> </w:t>
      </w:r>
      <w:r w:rsidRPr="00BC7435" w:rsidR="00014154">
        <w:rPr>
          <w:i/>
          <w:lang w:eastAsia="en-US"/>
        </w:rPr>
        <w:t>France</w:t>
      </w:r>
      <w:r w:rsidRPr="00BC7435" w:rsidR="00014154">
        <w:rPr>
          <w:lang w:eastAsia="en-US"/>
        </w:rPr>
        <w:t xml:space="preserve">, no. 51279/99, § </w:t>
      </w:r>
      <w:r w:rsidR="00014154">
        <w:rPr>
          <w:lang w:eastAsia="en-US"/>
        </w:rPr>
        <w:t>65</w:t>
      </w:r>
      <w:r w:rsidRPr="00BC7435" w:rsidR="00014154">
        <w:rPr>
          <w:lang w:eastAsia="en-US"/>
        </w:rPr>
        <w:t>, ECHR 2002</w:t>
      </w:r>
      <w:r w:rsidRPr="00BC7435" w:rsidR="00014154">
        <w:rPr>
          <w:lang w:eastAsia="en-US"/>
        </w:rPr>
        <w:noBreakHyphen/>
        <w:t>V</w:t>
      </w:r>
      <w:r w:rsidR="00014154">
        <w:rPr>
          <w:lang w:eastAsia="en-US"/>
        </w:rPr>
        <w:t xml:space="preserve">). </w:t>
      </w:r>
      <w:r w:rsidR="00777C1E">
        <w:t xml:space="preserve">In the context of the letter as a whole, the </w:t>
      </w:r>
      <w:r w:rsidR="00CF4CA7">
        <w:t xml:space="preserve">expression </w:t>
      </w:r>
      <w:r w:rsidR="00777C1E">
        <w:t xml:space="preserve">“irregularities have clearly </w:t>
      </w:r>
      <w:r w:rsidR="00CF4CA7">
        <w:t xml:space="preserve">been </w:t>
      </w:r>
      <w:r w:rsidR="00777C1E">
        <w:t xml:space="preserve">on the rise” should be </w:t>
      </w:r>
      <w:r w:rsidR="00CF4CA7">
        <w:t xml:space="preserve">regarded </w:t>
      </w:r>
      <w:r w:rsidR="00777C1E">
        <w:t>as a value</w:t>
      </w:r>
      <w:r w:rsidR="00CF4CA7">
        <w:t xml:space="preserve"> </w:t>
      </w:r>
      <w:r w:rsidR="00777C1E">
        <w:t>judgment, not as an asserted fact. The domestic courts</w:t>
      </w:r>
      <w:r w:rsidR="004741B7">
        <w:t xml:space="preserve"> </w:t>
      </w:r>
      <w:r w:rsidR="00CF4CA7">
        <w:t xml:space="preserve">had </w:t>
      </w:r>
      <w:r w:rsidR="004741B7">
        <w:t xml:space="preserve">failed to </w:t>
      </w:r>
      <w:r w:rsidR="00BC7435">
        <w:t>weigh the rights and interests of the courts</w:t>
      </w:r>
      <w:r w:rsidR="0000251F">
        <w:t>'</w:t>
      </w:r>
      <w:r w:rsidR="00BC7435">
        <w:t xml:space="preserve"> management department and </w:t>
      </w:r>
      <w:r w:rsidR="00CF4CA7">
        <w:t xml:space="preserve">of </w:t>
      </w:r>
      <w:r w:rsidR="00BC7435">
        <w:t xml:space="preserve">its head Mr Shulga in relation to </w:t>
      </w:r>
      <w:r w:rsidR="004741B7">
        <w:t xml:space="preserve">the </w:t>
      </w:r>
      <w:r w:rsidR="00BC7435">
        <w:t xml:space="preserve">public interest in receiving information of public concern. Moreover, the protection </w:t>
      </w:r>
      <w:r w:rsidR="00CF4CA7">
        <w:t xml:space="preserve">afforded by </w:t>
      </w:r>
      <w:r w:rsidR="00BC7435">
        <w:t>Article 10 would be undermined if public officials responsible for the operation of a State body were allowed to substitute themselves for that body</w:t>
      </w:r>
      <w:r w:rsidR="00014154">
        <w:t xml:space="preserve">, as </w:t>
      </w:r>
      <w:r w:rsidR="00CF4CA7">
        <w:t xml:space="preserve">had </w:t>
      </w:r>
      <w:r w:rsidR="00014154">
        <w:t>happened with Mr Shulga</w:t>
      </w:r>
      <w:r w:rsidR="0000251F">
        <w:t>'</w:t>
      </w:r>
      <w:r w:rsidR="00014154">
        <w:t xml:space="preserve">s filing </w:t>
      </w:r>
      <w:r w:rsidR="00CF4CA7">
        <w:t xml:space="preserve">of </w:t>
      </w:r>
      <w:r w:rsidR="00014154">
        <w:t>a defamation claim in his personal capacity</w:t>
      </w:r>
      <w:r w:rsidR="00BC7435">
        <w:t xml:space="preserve">. </w:t>
      </w:r>
      <w:r w:rsidR="00BC7435">
        <w:rPr>
          <w:lang w:eastAsia="en-US"/>
        </w:rPr>
        <w:t>Finally, the applicants pointed out that t</w:t>
      </w:r>
      <w:r>
        <w:t xml:space="preserve">he amounts </w:t>
      </w:r>
      <w:r w:rsidR="007A10F1">
        <w:t>awarded against</w:t>
      </w:r>
      <w:r>
        <w:t xml:space="preserve"> the</w:t>
      </w:r>
      <w:r w:rsidR="00CF4CA7">
        <w:t>m had been</w:t>
      </w:r>
      <w:r>
        <w:t xml:space="preserve"> so excessive </w:t>
      </w:r>
      <w:r w:rsidR="00CF4CA7">
        <w:t xml:space="preserve">compared </w:t>
      </w:r>
      <w:r>
        <w:t>to their income – approximately one third of the</w:t>
      </w:r>
      <w:r w:rsidR="00CF4CA7">
        <w:t>ir</w:t>
      </w:r>
      <w:r>
        <w:t xml:space="preserve"> annual income – that </w:t>
      </w:r>
      <w:r w:rsidR="00CF4CA7">
        <w:t xml:space="preserve">the proceedings had </w:t>
      </w:r>
      <w:r>
        <w:t xml:space="preserve">definitely had </w:t>
      </w:r>
      <w:r w:rsidR="00CF4CA7">
        <w:t>the aim of</w:t>
      </w:r>
      <w:r>
        <w:t xml:space="preserve"> prevent</w:t>
      </w:r>
      <w:r w:rsidR="00CF4CA7">
        <w:t>ing</w:t>
      </w:r>
      <w:r>
        <w:t xml:space="preserve"> future critical coverage.</w:t>
      </w:r>
    </w:p>
    <w:p w:rsidR="00786F4E" w:rsidP="00786F4E" w:rsidRDefault="00786F4E">
      <w:pPr>
        <w:pStyle w:val="JuH1"/>
      </w:pPr>
      <w:r>
        <w:t>2.  The Government</w:t>
      </w:r>
    </w:p>
    <w:p w:rsidR="00E23E22" w:rsidP="00E23E22" w:rsidRDefault="00956742">
      <w:pPr>
        <w:pStyle w:val="JuPara"/>
      </w:pPr>
      <w:r>
        <w:fldChar w:fldCharType="begin"/>
      </w:r>
      <w:r>
        <w:instrText xml:space="preserve"> SEQ level0 \*arabic </w:instrText>
      </w:r>
      <w:r>
        <w:fldChar w:fldCharType="separate"/>
      </w:r>
      <w:r w:rsidR="00303682">
        <w:rPr>
          <w:noProof/>
        </w:rPr>
        <w:t>31</w:t>
      </w:r>
      <w:r>
        <w:fldChar w:fldCharType="end"/>
      </w:r>
      <w:r>
        <w:t>.  </w:t>
      </w:r>
      <w:r w:rsidRPr="00404CF0" w:rsidR="00E23E22">
        <w:t>The Government</w:t>
      </w:r>
      <w:r w:rsidR="00E23E22">
        <w:t xml:space="preserve"> submitted that the interference with the applicants</w:t>
      </w:r>
      <w:r w:rsidR="0000251F">
        <w:t>'</w:t>
      </w:r>
      <w:r w:rsidR="00E23E22">
        <w:t xml:space="preserve"> right to freedom of expression had been prescribed by law, notably Article</w:t>
      </w:r>
      <w:r w:rsidR="009418ED">
        <w:t> </w:t>
      </w:r>
      <w:r w:rsidR="00E23E22">
        <w:t xml:space="preserve">152 of the Civil Code which governed the protection of </w:t>
      </w:r>
      <w:r w:rsidR="006B4504">
        <w:t xml:space="preserve">the </w:t>
      </w:r>
      <w:r w:rsidR="00E23E22">
        <w:t xml:space="preserve">professional reputation of both citizens and legal entities. The domestic courts found that the facts set out in the publications were not shown to have been true and that there were no grounds to </w:t>
      </w:r>
      <w:r w:rsidR="00014154">
        <w:t>exempt</w:t>
      </w:r>
      <w:r w:rsidR="00E23E22">
        <w:t xml:space="preserve"> the applicants from responsibility by virtue of section 57 of the Mass-Media Act.</w:t>
      </w:r>
    </w:p>
    <w:p w:rsidR="00786F4E" w:rsidP="00786F4E" w:rsidRDefault="00786F4E">
      <w:pPr>
        <w:pStyle w:val="JuH1"/>
      </w:pPr>
      <w:r>
        <w:t>3.  The third part</w:t>
      </w:r>
      <w:r w:rsidR="00EE730C">
        <w:t>ies</w:t>
      </w:r>
    </w:p>
    <w:p w:rsidR="00E23E22" w:rsidP="00E23E22" w:rsidRDefault="00956742">
      <w:pPr>
        <w:pStyle w:val="JuPara"/>
      </w:pPr>
      <w:r>
        <w:fldChar w:fldCharType="begin"/>
      </w:r>
      <w:r>
        <w:instrText xml:space="preserve"> SEQ level0 \*arabic </w:instrText>
      </w:r>
      <w:r>
        <w:fldChar w:fldCharType="separate"/>
      </w:r>
      <w:r w:rsidR="00303682">
        <w:rPr>
          <w:noProof/>
        </w:rPr>
        <w:t>32</w:t>
      </w:r>
      <w:r>
        <w:fldChar w:fldCharType="end"/>
      </w:r>
      <w:r>
        <w:t>.  </w:t>
      </w:r>
      <w:r w:rsidR="00E23E22">
        <w:t>The</w:t>
      </w:r>
      <w:r w:rsidRPr="00786F4E" w:rsidR="00786F4E">
        <w:t xml:space="preserve"> third </w:t>
      </w:r>
      <w:r w:rsidRPr="00786F4E" w:rsidR="00EE730C">
        <w:t>part</w:t>
      </w:r>
      <w:r w:rsidR="00EE730C">
        <w:t xml:space="preserve">ies </w:t>
      </w:r>
      <w:r w:rsidR="00E23E22">
        <w:t xml:space="preserve">submitted, firstly, that </w:t>
      </w:r>
      <w:r w:rsidR="00EE730C">
        <w:t xml:space="preserve">government </w:t>
      </w:r>
      <w:r w:rsidR="00E23E22">
        <w:t xml:space="preserve">agencies were fully equipped, and should be expected, to defend their reputation before the court of public opinion rather than a court of law. The PACE Report urged </w:t>
      </w:r>
      <w:smartTag w:uri="urn:schemas-microsoft-com:office:smarttags" w:element="place">
        <w:smartTag w:uri="urn:schemas-microsoft-com:office:smarttags" w:element="country-region">
          <w:r w:rsidR="00E23E22">
            <w:t>Russia</w:t>
          </w:r>
        </w:smartTag>
      </w:smartTag>
      <w:r w:rsidR="00E23E22">
        <w:t xml:space="preserve"> to introduce a clear ban on the ability of public authorities to institute civil proceedings in order to protect their “reputation” (cited above, § 393). If public authorities were to be included within the meaning of “others” whose reputation or rights Article 10 § 2 was designed to protect, it would subject journalists to a constant risk of harassment through lawsuits and frustrate the media</w:t>
      </w:r>
      <w:r w:rsidR="0000251F">
        <w:t>'</w:t>
      </w:r>
      <w:r w:rsidR="00E23E22">
        <w:t xml:space="preserve">s ability to act as a watchdog of public administration. Mindful of that danger, courts of many jurisdictions barred public authorities from suing in defamation because of the public interest that such authorities must be open to uninhibited public criticism (United Kingdom: </w:t>
      </w:r>
      <w:r w:rsidR="00E23E22">
        <w:rPr>
          <w:i/>
        </w:rPr>
        <w:t xml:space="preserve">Derbyshire County Council v. Times Newspapers Ltd </w:t>
      </w:r>
      <w:r w:rsidR="00E23E22">
        <w:t xml:space="preserve">[1993] AC 534; India: </w:t>
      </w:r>
      <w:r w:rsidR="00E23E22">
        <w:rPr>
          <w:i/>
        </w:rPr>
        <w:t>Rajagopal v. State of Tamil Nadu</w:t>
      </w:r>
      <w:r w:rsidR="00E23E22">
        <w:t xml:space="preserve"> (1994) 6 SCC 632; United States: </w:t>
      </w:r>
      <w:r w:rsidR="00E23E22">
        <w:rPr>
          <w:i/>
        </w:rPr>
        <w:t>City of Chicago v. Tribune Co.</w:t>
      </w:r>
      <w:r w:rsidR="00E23E22">
        <w:t xml:space="preserve">, 307 Ill. 595 (1923); South Africa: </w:t>
      </w:r>
      <w:r w:rsidR="00E23E22">
        <w:rPr>
          <w:i/>
        </w:rPr>
        <w:t xml:space="preserve">Die Spoorbond v. South African Railways </w:t>
      </w:r>
      <w:r w:rsidR="00E23E22">
        <w:t xml:space="preserve">[1946] AD 999). Some new European democracies have also taken steps to bar government bodies from claiming </w:t>
      </w:r>
      <w:r w:rsidR="00EE730C">
        <w:t xml:space="preserve">damages for </w:t>
      </w:r>
      <w:r w:rsidR="00E23E22">
        <w:t>defamation.</w:t>
      </w:r>
    </w:p>
    <w:p w:rsidR="00E23E22" w:rsidP="00E23E22" w:rsidRDefault="00956742">
      <w:pPr>
        <w:pStyle w:val="JuPara"/>
      </w:pPr>
      <w:r>
        <w:fldChar w:fldCharType="begin"/>
      </w:r>
      <w:r>
        <w:instrText xml:space="preserve"> SEQ level0 \*arabic </w:instrText>
      </w:r>
      <w:r>
        <w:fldChar w:fldCharType="separate"/>
      </w:r>
      <w:r w:rsidR="00303682">
        <w:rPr>
          <w:noProof/>
        </w:rPr>
        <w:t>33</w:t>
      </w:r>
      <w:r>
        <w:fldChar w:fldCharType="end"/>
      </w:r>
      <w:r>
        <w:t>.  </w:t>
      </w:r>
      <w:r w:rsidR="00E23E22">
        <w:t>Secondly, the</w:t>
      </w:r>
      <w:r w:rsidR="00786F4E">
        <w:t xml:space="preserve"> third part</w:t>
      </w:r>
      <w:r w:rsidR="00EE730C">
        <w:t>ies</w:t>
      </w:r>
      <w:r w:rsidR="00E23E22">
        <w:t xml:space="preserve"> indicated that Article 10 would be hollowed out if public officials could substitute themselves for their respective bodies in taking legal action. Here, the relevant test for entertaining a defamation action against the media would be whether the statement at issue was unequivocally “of and concerning” that official. The “group defamation” doctrine has deep roots in the common-law legal tradition (</w:t>
      </w:r>
      <w:r w:rsidR="00CA5C2D">
        <w:t xml:space="preserve">see </w:t>
      </w:r>
      <w:r w:rsidR="00E23E22">
        <w:rPr>
          <w:i/>
        </w:rPr>
        <w:t>King v. Alme &amp; Nott</w:t>
      </w:r>
      <w:r w:rsidR="00E23E22">
        <w:t xml:space="preserve">, 91 </w:t>
      </w:r>
      <w:smartTag w:uri="urn:schemas-microsoft-com:office:smarttags" w:element="country-region">
        <w:r w:rsidR="00E23E22">
          <w:t>Eng.</w:t>
        </w:r>
      </w:smartTag>
      <w:r w:rsidR="00E23E22">
        <w:t xml:space="preserve"> Rep. 790 (1700) (per curiam); </w:t>
      </w:r>
      <w:r w:rsidR="00E23E22">
        <w:rPr>
          <w:i/>
        </w:rPr>
        <w:t>Eastwood v. Holmes</w:t>
      </w:r>
      <w:r w:rsidR="00E23E22">
        <w:t xml:space="preserve">, 1 F. &amp; F. 347, 175 </w:t>
      </w:r>
      <w:smartTag w:uri="urn:schemas-microsoft-com:office:smarttags" w:element="place">
        <w:smartTag w:uri="urn:schemas-microsoft-com:office:smarttags" w:element="country-region">
          <w:r w:rsidR="00E23E22">
            <w:t>Eng.</w:t>
          </w:r>
        </w:smartTag>
      </w:smartTag>
      <w:r w:rsidR="00E23E22">
        <w:t xml:space="preserve"> Rep. 758 (1858); </w:t>
      </w:r>
      <w:r w:rsidR="00E23E22">
        <w:rPr>
          <w:i/>
        </w:rPr>
        <w:t>New York Times Co. v. Sullivan</w:t>
      </w:r>
      <w:r w:rsidR="00E23E22">
        <w:t>, 376 U.S. 254 (1964)). Defamation laws in the continental legal system have similar identification requirements; a plaintiff must be identifiable by name or image or otherwise, in order to have standing to sue for defamation.</w:t>
      </w:r>
    </w:p>
    <w:p w:rsidR="00E23E22" w:rsidP="00E23E22" w:rsidRDefault="00956742">
      <w:pPr>
        <w:pStyle w:val="JuPara"/>
        <w:rPr>
          <w:szCs w:val="24"/>
          <w:lang w:eastAsia="en-US"/>
        </w:rPr>
      </w:pPr>
      <w:r>
        <w:fldChar w:fldCharType="begin"/>
      </w:r>
      <w:r>
        <w:instrText xml:space="preserve"> SEQ level0 \*arabic </w:instrText>
      </w:r>
      <w:r>
        <w:fldChar w:fldCharType="separate"/>
      </w:r>
      <w:r w:rsidR="00303682">
        <w:rPr>
          <w:noProof/>
        </w:rPr>
        <w:t>34</w:t>
      </w:r>
      <w:r>
        <w:fldChar w:fldCharType="end"/>
      </w:r>
      <w:r>
        <w:t>.  </w:t>
      </w:r>
      <w:r w:rsidR="00E23E22">
        <w:t>Finally, the</w:t>
      </w:r>
      <w:r w:rsidR="00786F4E">
        <w:t xml:space="preserve"> third party</w:t>
      </w:r>
      <w:r w:rsidR="00E23E22">
        <w:t xml:space="preserve"> pointed out that journalists should not be held liable for defamation for accurately publishing statements contained in non-confidential government documents. The Court has constantly held the view that the press “should normally be entitled, when contributing to public debate on matters of legitimate concern, to rely on the content of official reports without having to undertake independent research” (</w:t>
      </w:r>
      <w:r w:rsidR="00CA5C2D">
        <w:t xml:space="preserve">see </w:t>
      </w:r>
      <w:r w:rsidRPr="005C2DB9" w:rsidR="00E23E22">
        <w:rPr>
          <w:i/>
          <w:lang w:eastAsia="en-US"/>
        </w:rPr>
        <w:t xml:space="preserve">Colombani and Others v. </w:t>
      </w:r>
      <w:smartTag w:uri="urn:schemas-microsoft-com:office:smarttags" w:element="country-region">
        <w:smartTag w:uri="urn:schemas-microsoft-com:office:smarttags" w:element="place">
          <w:r w:rsidR="00E23E22" w:rsidRPr="005C2DB9">
            <w:rPr>
              <w:i/>
              <w:lang w:eastAsia="en-US"/>
            </w:rPr>
            <w:t>France</w:t>
          </w:r>
        </w:smartTag>
      </w:smartTag>
      <w:r w:rsidRPr="005C2DB9" w:rsidR="00E23E22">
        <w:rPr>
          <w:lang w:eastAsia="en-US"/>
        </w:rPr>
        <w:t xml:space="preserve">, no. 51279/99, § </w:t>
      </w:r>
      <w:r w:rsidR="00E23E22">
        <w:rPr>
          <w:lang w:eastAsia="en-US"/>
        </w:rPr>
        <w:t>47</w:t>
      </w:r>
      <w:r w:rsidRPr="005C2DB9" w:rsidR="00E23E22">
        <w:rPr>
          <w:lang w:eastAsia="en-US"/>
        </w:rPr>
        <w:t>, ECHR 2002</w:t>
      </w:r>
      <w:r w:rsidRPr="005C2DB9" w:rsidR="00E23E22">
        <w:rPr>
          <w:lang w:eastAsia="en-US"/>
        </w:rPr>
        <w:noBreakHyphen/>
        <w:t>V</w:t>
      </w:r>
      <w:r w:rsidR="00E23E22">
        <w:rPr>
          <w:lang w:eastAsia="en-US"/>
        </w:rPr>
        <w:t xml:space="preserve">; also </w:t>
      </w:r>
      <w:r w:rsidRPr="005C2DB9" w:rsidR="00E23E22">
        <w:rPr>
          <w:i/>
          <w:szCs w:val="24"/>
          <w:lang w:eastAsia="en-US"/>
        </w:rPr>
        <w:t>Selistö v.</w:t>
      </w:r>
      <w:r w:rsidR="00CA5C2D">
        <w:rPr>
          <w:i/>
          <w:szCs w:val="24"/>
          <w:lang w:eastAsia="en-US"/>
        </w:rPr>
        <w:t> </w:t>
      </w:r>
      <w:r w:rsidRPr="005C2DB9" w:rsidR="00E23E22">
        <w:rPr>
          <w:i/>
          <w:szCs w:val="24"/>
          <w:lang w:eastAsia="en-US"/>
        </w:rPr>
        <w:t>Finland</w:t>
      </w:r>
      <w:r w:rsidRPr="005C2DB9" w:rsidR="00E23E22">
        <w:rPr>
          <w:szCs w:val="24"/>
          <w:lang w:eastAsia="en-US"/>
        </w:rPr>
        <w:t xml:space="preserve">, no. 56767/00, § </w:t>
      </w:r>
      <w:r w:rsidR="00E23E22">
        <w:rPr>
          <w:szCs w:val="24"/>
          <w:lang w:eastAsia="en-US"/>
        </w:rPr>
        <w:t>60</w:t>
      </w:r>
      <w:r w:rsidRPr="005C2DB9" w:rsidR="00E23E22">
        <w:rPr>
          <w:szCs w:val="24"/>
          <w:lang w:eastAsia="en-US"/>
        </w:rPr>
        <w:t>, 16 November 2004</w:t>
      </w:r>
      <w:r w:rsidR="00E23E22">
        <w:rPr>
          <w:szCs w:val="24"/>
          <w:lang w:eastAsia="en-US"/>
        </w:rPr>
        <w:t xml:space="preserve">). A similar well-developed legal doctrine known as the “fair report privilege” has long been entrenched in the </w:t>
      </w:r>
      <w:smartTag w:uri="urn:schemas-microsoft-com:office:smarttags" w:element="place">
        <w:smartTag w:uri="urn:schemas-microsoft-com:office:smarttags" w:element="country-region">
          <w:r w:rsidR="00E23E22">
            <w:rPr>
              <w:szCs w:val="24"/>
              <w:lang w:eastAsia="en-US"/>
            </w:rPr>
            <w:t>United States</w:t>
          </w:r>
        </w:smartTag>
      </w:smartTag>
      <w:r w:rsidR="00E23E22">
        <w:rPr>
          <w:szCs w:val="24"/>
          <w:lang w:eastAsia="en-US"/>
        </w:rPr>
        <w:t xml:space="preserve"> jurisprudence (</w:t>
      </w:r>
      <w:r w:rsidR="00E23E22">
        <w:rPr>
          <w:i/>
          <w:szCs w:val="24"/>
          <w:lang w:eastAsia="en-US"/>
        </w:rPr>
        <w:t>Restatement (Second) Torts</w:t>
      </w:r>
      <w:r w:rsidR="00E23E22">
        <w:rPr>
          <w:szCs w:val="24"/>
          <w:lang w:eastAsia="en-US"/>
        </w:rPr>
        <w:t xml:space="preserve">, § 611 (1977)). It </w:t>
      </w:r>
      <w:r w:rsidR="00CA5C2D">
        <w:rPr>
          <w:szCs w:val="24"/>
          <w:lang w:eastAsia="en-US"/>
        </w:rPr>
        <w:t xml:space="preserve">followed </w:t>
      </w:r>
      <w:r w:rsidR="00E23E22">
        <w:rPr>
          <w:szCs w:val="24"/>
          <w:lang w:eastAsia="en-US"/>
        </w:rPr>
        <w:t xml:space="preserve">that journalists </w:t>
      </w:r>
      <w:r w:rsidR="00CA5C2D">
        <w:rPr>
          <w:szCs w:val="24"/>
          <w:lang w:eastAsia="en-US"/>
        </w:rPr>
        <w:t xml:space="preserve">had </w:t>
      </w:r>
      <w:r w:rsidR="00E23E22">
        <w:rPr>
          <w:szCs w:val="24"/>
          <w:lang w:eastAsia="en-US"/>
        </w:rPr>
        <w:t xml:space="preserve">a right under Article 10 to publish statements from a non-confidential document </w:t>
      </w:r>
      <w:r w:rsidR="00395638">
        <w:rPr>
          <w:szCs w:val="24"/>
          <w:lang w:eastAsia="en-US"/>
        </w:rPr>
        <w:t xml:space="preserve">accurately </w:t>
      </w:r>
      <w:r w:rsidR="00E23E22">
        <w:rPr>
          <w:szCs w:val="24"/>
          <w:lang w:eastAsia="en-US"/>
        </w:rPr>
        <w:t>without being liable for the content of such statements.</w:t>
      </w:r>
    </w:p>
    <w:p w:rsidR="00956742" w:rsidP="00956742" w:rsidRDefault="00956742">
      <w:pPr>
        <w:pStyle w:val="JuHA"/>
        <w:rPr>
          <w:lang w:eastAsia="en-US"/>
        </w:rPr>
      </w:pPr>
      <w:r>
        <w:rPr>
          <w:lang w:eastAsia="en-US"/>
        </w:rPr>
        <w:t>B.  The Court</w:t>
      </w:r>
      <w:r w:rsidR="0000251F">
        <w:rPr>
          <w:lang w:eastAsia="en-US"/>
        </w:rPr>
        <w:t>'</w:t>
      </w:r>
      <w:r>
        <w:rPr>
          <w:lang w:eastAsia="en-US"/>
        </w:rPr>
        <w:t>s assessment</w:t>
      </w:r>
    </w:p>
    <w:p w:rsidR="00A52C9B" w:rsidP="00A52C9B" w:rsidRDefault="00A52C9B">
      <w:pPr>
        <w:pStyle w:val="JuPara"/>
        <w:outlineLvl w:val="0"/>
      </w:pPr>
      <w:r w:rsidRPr="004F711B">
        <w:fldChar w:fldCharType="begin"/>
      </w:r>
      <w:r w:rsidRPr="004F711B">
        <w:instrText xml:space="preserve"> SEQ level0 \*arabic </w:instrText>
      </w:r>
      <w:r w:rsidRPr="004F711B">
        <w:fldChar w:fldCharType="separate"/>
      </w:r>
      <w:r w:rsidR="00303682">
        <w:rPr>
          <w:noProof/>
        </w:rPr>
        <w:t>35</w:t>
      </w:r>
      <w:r w:rsidRPr="004F711B">
        <w:fldChar w:fldCharType="end"/>
      </w:r>
      <w:r w:rsidRPr="004F711B">
        <w:t>.  </w:t>
      </w:r>
      <w:r>
        <w:t>The Court reiterates that</w:t>
      </w:r>
      <w:r w:rsidRPr="004F711B">
        <w:t xml:space="preserve"> freedom of expression constitutes one of the essential foundations of a democratic society and one of the basic conditions for its progress. Subject to paragraph 2 of Article 10,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(see </w:t>
      </w:r>
      <w:r w:rsidRPr="004F711B">
        <w:rPr>
          <w:i/>
        </w:rPr>
        <w:t>Handyside v. the United Kingdom</w:t>
      </w:r>
      <w:r w:rsidRPr="004F711B">
        <w:t xml:space="preserve">, 7 December 1976, </w:t>
      </w:r>
      <w:r w:rsidRPr="004F711B" w:rsidR="00395638">
        <w:t>§ 49</w:t>
      </w:r>
      <w:r w:rsidR="00395638">
        <w:t xml:space="preserve">, </w:t>
      </w:r>
      <w:r w:rsidRPr="004F711B">
        <w:t>Series A no. 24,</w:t>
      </w:r>
      <w:r>
        <w:t xml:space="preserve"> </w:t>
      </w:r>
      <w:r w:rsidRPr="004F711B">
        <w:t xml:space="preserve">and </w:t>
      </w:r>
      <w:r w:rsidRPr="004F711B">
        <w:rPr>
          <w:i/>
        </w:rPr>
        <w:t>Jersild v. Denmark</w:t>
      </w:r>
      <w:r w:rsidRPr="004F711B">
        <w:t xml:space="preserve">, 23 September 1994, </w:t>
      </w:r>
      <w:r w:rsidRPr="004F711B" w:rsidR="00395638">
        <w:t>§ 37</w:t>
      </w:r>
      <w:r w:rsidR="00395638">
        <w:t xml:space="preserve">, </w:t>
      </w:r>
      <w:r w:rsidRPr="004F711B">
        <w:t>Series A no. 298).</w:t>
      </w:r>
    </w:p>
    <w:p w:rsidRPr="00F41845" w:rsidR="00E1174B" w:rsidP="00E1174B" w:rsidRDefault="00E1174B">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303682">
        <w:rPr>
          <w:noProof/>
          <w:lang w:eastAsia="en-US"/>
        </w:rPr>
        <w:t>36</w:t>
      </w:r>
      <w:r>
        <w:rPr>
          <w:lang w:eastAsia="en-US"/>
        </w:rPr>
        <w:fldChar w:fldCharType="end"/>
      </w:r>
      <w:r>
        <w:rPr>
          <w:lang w:eastAsia="en-US"/>
        </w:rPr>
        <w:t>.  </w:t>
      </w:r>
      <w:r w:rsidR="00F41845">
        <w:rPr>
          <w:lang w:eastAsia="en-US"/>
        </w:rPr>
        <w:t xml:space="preserve">The Court notes that the three applicants were the co-defendants in a civil defamation </w:t>
      </w:r>
      <w:r w:rsidR="00395638">
        <w:rPr>
          <w:lang w:eastAsia="en-US"/>
        </w:rPr>
        <w:t xml:space="preserve">case </w:t>
      </w:r>
      <w:r w:rsidR="00F41845">
        <w:rPr>
          <w:lang w:eastAsia="en-US"/>
        </w:rPr>
        <w:t xml:space="preserve">in connection with two publications in the newspaper of which they were the founders. The Russian courts found them liable for the </w:t>
      </w:r>
      <w:r w:rsidR="00DE3B13">
        <w:rPr>
          <w:lang w:eastAsia="en-US"/>
        </w:rPr>
        <w:t>alleged</w:t>
      </w:r>
      <w:r w:rsidR="00395638">
        <w:rPr>
          <w:lang w:eastAsia="en-US"/>
        </w:rPr>
        <w:t xml:space="preserve"> defamation</w:t>
      </w:r>
      <w:r w:rsidR="00F41845">
        <w:rPr>
          <w:lang w:eastAsia="en-US"/>
        </w:rPr>
        <w:t xml:space="preserve"> and </w:t>
      </w:r>
      <w:r w:rsidR="00395638">
        <w:rPr>
          <w:lang w:eastAsia="en-US"/>
        </w:rPr>
        <w:t xml:space="preserve">ordered </w:t>
      </w:r>
      <w:r w:rsidR="00DE3B13">
        <w:rPr>
          <w:lang w:eastAsia="en-US"/>
        </w:rPr>
        <w:t>them to pay damages to the plaintiffs</w:t>
      </w:r>
      <w:r w:rsidR="00F41845">
        <w:rPr>
          <w:lang w:eastAsia="en-US"/>
        </w:rPr>
        <w:t xml:space="preserve">. </w:t>
      </w:r>
      <w:r w:rsidRPr="00F41845" w:rsidR="00F41845">
        <w:rPr>
          <w:lang w:eastAsia="en-US"/>
        </w:rPr>
        <w:t>It follows that the applicant</w:t>
      </w:r>
      <w:r w:rsidR="00F41845">
        <w:rPr>
          <w:lang w:eastAsia="en-US"/>
        </w:rPr>
        <w:t>s</w:t>
      </w:r>
      <w:r w:rsidRPr="00F41845" w:rsidR="00F41845">
        <w:rPr>
          <w:lang w:eastAsia="en-US"/>
        </w:rPr>
        <w:t xml:space="preserve"> </w:t>
      </w:r>
      <w:r w:rsidR="00F41845">
        <w:rPr>
          <w:lang w:eastAsia="en-US"/>
        </w:rPr>
        <w:t xml:space="preserve">were </w:t>
      </w:r>
      <w:r w:rsidRPr="00F41845" w:rsidR="00F41845">
        <w:rPr>
          <w:lang w:eastAsia="en-US"/>
        </w:rPr>
        <w:t xml:space="preserve">directly affected by the impugned </w:t>
      </w:r>
      <w:r w:rsidR="00F41845">
        <w:rPr>
          <w:lang w:eastAsia="en-US"/>
        </w:rPr>
        <w:t xml:space="preserve">judgments </w:t>
      </w:r>
      <w:r w:rsidRPr="00F41845" w:rsidR="00F41845">
        <w:rPr>
          <w:lang w:eastAsia="en-US"/>
        </w:rPr>
        <w:t xml:space="preserve">which constituted an interference with </w:t>
      </w:r>
      <w:r w:rsidR="00F41845">
        <w:rPr>
          <w:lang w:eastAsia="en-US"/>
        </w:rPr>
        <w:t xml:space="preserve">their </w:t>
      </w:r>
      <w:r w:rsidRPr="00F41845" w:rsidR="00F41845">
        <w:rPr>
          <w:lang w:eastAsia="en-US"/>
        </w:rPr>
        <w:t>right to freedom of expression within the meaning of Article 10 § 1 of the Convention.</w:t>
      </w:r>
      <w:r w:rsidR="008100FD">
        <w:rPr>
          <w:lang w:eastAsia="en-US"/>
        </w:rPr>
        <w:t xml:space="preserve"> </w:t>
      </w:r>
      <w:r w:rsidR="008100FD">
        <w:t>Accordingly, the Court</w:t>
      </w:r>
      <w:r w:rsidR="0000251F">
        <w:t>'</w:t>
      </w:r>
      <w:r w:rsidR="008100FD">
        <w:t>s task is to determine whether the interference was justified.</w:t>
      </w:r>
    </w:p>
    <w:p w:rsidR="00DE3B13" w:rsidP="009418ED" w:rsidRDefault="00DE3B13">
      <w:pPr>
        <w:pStyle w:val="JuPara"/>
      </w:pPr>
      <w:r>
        <w:fldChar w:fldCharType="begin"/>
      </w:r>
      <w:r>
        <w:instrText xml:space="preserve"> SEQ level0 \*arabic </w:instrText>
      </w:r>
      <w:r>
        <w:fldChar w:fldCharType="separate"/>
      </w:r>
      <w:r w:rsidR="00303682">
        <w:rPr>
          <w:noProof/>
        </w:rPr>
        <w:t>37</w:t>
      </w:r>
      <w:r>
        <w:fldChar w:fldCharType="end"/>
      </w:r>
      <w:r>
        <w:t>.  </w:t>
      </w:r>
      <w:r w:rsidR="008100FD">
        <w:t>The Court reiterates that an interference will constitute a breach of Article 10 unless it was “prescribed by law”, pursued one or more legitimate aims under paragraph 2 and was “necessary in a democratic society” for the achievement of those aims.</w:t>
      </w:r>
    </w:p>
    <w:p w:rsidR="008100FD" w:rsidP="009418ED" w:rsidRDefault="008100FD">
      <w:pPr>
        <w:pStyle w:val="JuPara"/>
      </w:pPr>
      <w:r>
        <w:fldChar w:fldCharType="begin"/>
      </w:r>
      <w:r>
        <w:instrText xml:space="preserve"> SEQ level0 \*arabic </w:instrText>
      </w:r>
      <w:r>
        <w:fldChar w:fldCharType="separate"/>
      </w:r>
      <w:r w:rsidR="00303682">
        <w:rPr>
          <w:noProof/>
        </w:rPr>
        <w:t>38</w:t>
      </w:r>
      <w:r>
        <w:fldChar w:fldCharType="end"/>
      </w:r>
      <w:r>
        <w:t>.  </w:t>
      </w:r>
      <w:r w:rsidR="00A1500A">
        <w:t>The parties agreed that civil liability for publication of untrue statements was foreseen by Article 152 of the Civil Code</w:t>
      </w:r>
      <w:r w:rsidR="001B16D3">
        <w:t xml:space="preserve"> and in that sense the interference was “prescribed by law”</w:t>
      </w:r>
      <w:r w:rsidR="00A1500A">
        <w:t xml:space="preserve">. The applicants, however, argued that they should have benefited from the protection afforded by </w:t>
      </w:r>
      <w:r w:rsidR="00ED0E14">
        <w:t xml:space="preserve">the </w:t>
      </w:r>
      <w:r w:rsidR="00A1500A">
        <w:t>fair-reporting exception in section 57 of the Mass-Media Act</w:t>
      </w:r>
      <w:r w:rsidR="00CA5C2D">
        <w:t>,</w:t>
      </w:r>
      <w:r w:rsidR="00A1500A">
        <w:t xml:space="preserve"> since the statement </w:t>
      </w:r>
      <w:r w:rsidR="00CA5C2D">
        <w:t xml:space="preserve">in question </w:t>
      </w:r>
      <w:r w:rsidR="00A1500A">
        <w:t xml:space="preserve">had been taken out of an official document. </w:t>
      </w:r>
      <w:r w:rsidR="001B16D3">
        <w:t>The domestic courts held that exception to be inapplicable in the applicants</w:t>
      </w:r>
      <w:r w:rsidR="0000251F">
        <w:t>'</w:t>
      </w:r>
      <w:r w:rsidR="001B16D3">
        <w:t xml:space="preserve"> case because the document at issue had been signed by “municipal officials” rather than “State officials” and had been circulated by an “autonomous non-commercial organisation” rather than a “public association”. While the Court cannot but note the artificial nature of the distinction made, it considers that this issue will be more appropriately dealt with below, under the proportionality limb of </w:t>
      </w:r>
      <w:r w:rsidR="00ED0E14">
        <w:t xml:space="preserve">its </w:t>
      </w:r>
      <w:r w:rsidR="001B16D3">
        <w:t>analysis.</w:t>
      </w:r>
    </w:p>
    <w:p w:rsidR="008100FD" w:rsidP="009418ED" w:rsidRDefault="001B16D3">
      <w:pPr>
        <w:pStyle w:val="JuPara"/>
        <w:rPr>
          <w:lang w:eastAsia="en-US"/>
        </w:rPr>
      </w:pPr>
      <w:r>
        <w:fldChar w:fldCharType="begin"/>
      </w:r>
      <w:r>
        <w:instrText xml:space="preserve"> SEQ level0 \*arabic </w:instrText>
      </w:r>
      <w:r>
        <w:fldChar w:fldCharType="separate"/>
      </w:r>
      <w:r w:rsidR="00303682">
        <w:rPr>
          <w:noProof/>
        </w:rPr>
        <w:t>39</w:t>
      </w:r>
      <w:r>
        <w:fldChar w:fldCharType="end"/>
      </w:r>
      <w:r>
        <w:t>.  </w:t>
      </w:r>
      <w:r w:rsidR="00064773">
        <w:t xml:space="preserve">The Government claimed that the interference pursued the legitimate aim of the “protection of the reputation or rights of others”. The applicants and the third </w:t>
      </w:r>
      <w:r w:rsidR="00CA5C2D">
        <w:t xml:space="preserve">parties </w:t>
      </w:r>
      <w:r w:rsidR="00064773">
        <w:t>disagreed that public bodies and authorities, such as the courts</w:t>
      </w:r>
      <w:r w:rsidR="0000251F">
        <w:t>'</w:t>
      </w:r>
      <w:r w:rsidR="00064773">
        <w:t xml:space="preserve"> management department in the instant case, </w:t>
      </w:r>
      <w:r w:rsidR="006B4504">
        <w:t xml:space="preserve">should fall within the meaning of “others” in Article 10 § 2 of the Convention. The third </w:t>
      </w:r>
      <w:r w:rsidR="00CA5C2D">
        <w:t xml:space="preserve">parties </w:t>
      </w:r>
      <w:r w:rsidR="006B4504">
        <w:t xml:space="preserve">cited examples from jurisdictions around the world in which the courts prevented </w:t>
      </w:r>
      <w:r w:rsidRPr="006B4504" w:rsidR="006B4504">
        <w:t xml:space="preserve">public authorities </w:t>
      </w:r>
      <w:r w:rsidR="006B4504">
        <w:t xml:space="preserve">from </w:t>
      </w:r>
      <w:r w:rsidRPr="006B4504" w:rsidR="006B4504">
        <w:t>su</w:t>
      </w:r>
      <w:r w:rsidR="006B4504">
        <w:t>ing</w:t>
      </w:r>
      <w:r w:rsidRPr="006B4504" w:rsidR="006B4504">
        <w:t xml:space="preserve"> in defamation because of the public interest </w:t>
      </w:r>
      <w:r w:rsidR="00ED0E14">
        <w:t>in</w:t>
      </w:r>
      <w:r w:rsidRPr="006B4504" w:rsidR="00ED0E14">
        <w:t xml:space="preserve"> </w:t>
      </w:r>
      <w:r w:rsidRPr="006B4504" w:rsidR="006B4504">
        <w:t>such authorities be</w:t>
      </w:r>
      <w:r w:rsidR="00ED0E14">
        <w:t>ing</w:t>
      </w:r>
      <w:r w:rsidRPr="006B4504" w:rsidR="006B4504">
        <w:t xml:space="preserve"> open</w:t>
      </w:r>
      <w:r w:rsidR="006B4504">
        <w:t xml:space="preserve"> to uninhibited public criticism. </w:t>
      </w:r>
      <w:r w:rsidR="00A52C9B">
        <w:t xml:space="preserve">The report to </w:t>
      </w:r>
      <w:r w:rsidR="006B4504">
        <w:t xml:space="preserve">the Parliamentary Assembly of the Council of Europe </w:t>
      </w:r>
      <w:r w:rsidR="00A52C9B">
        <w:t>on the h</w:t>
      </w:r>
      <w:r w:rsidRPr="0073299D" w:rsidR="00A52C9B">
        <w:t>onouring of obligations and commitments by the Russian Federation</w:t>
      </w:r>
      <w:r w:rsidR="00A52C9B">
        <w:t xml:space="preserve"> also suggested that “the possibility </w:t>
      </w:r>
      <w:r w:rsidRPr="0073299D" w:rsidR="00A52C9B">
        <w:t xml:space="preserve">of filing lawsuits against media and journalists by public authorities should be abolished as the latter </w:t>
      </w:r>
      <w:r w:rsidRPr="005407E2" w:rsidR="00A52C9B">
        <w:rPr>
          <w:i/>
        </w:rPr>
        <w:t xml:space="preserve">per se </w:t>
      </w:r>
      <w:r w:rsidRPr="0073299D" w:rsidR="00A52C9B">
        <w:t>cannot possess any dignity, honour, or reputation</w:t>
      </w:r>
      <w:r w:rsidR="00A52C9B">
        <w:t xml:space="preserve">” </w:t>
      </w:r>
      <w:r w:rsidR="006B4504">
        <w:t xml:space="preserve">(see paragraph </w:t>
      </w:r>
      <w:r w:rsidR="00A52C9B">
        <w:fldChar w:fldCharType="begin"/>
      </w:r>
      <w:r w:rsidR="00A52C9B">
        <w:instrText xml:space="preserve"> REF  pace </w:instrText>
      </w:r>
      <w:r w:rsidR="00A52C9B">
        <w:fldChar w:fldCharType="separate"/>
      </w:r>
      <w:r w:rsidR="00303682">
        <w:rPr>
          <w:noProof/>
        </w:rPr>
        <w:t>25</w:t>
      </w:r>
      <w:r w:rsidR="00A52C9B">
        <w:fldChar w:fldCharType="end"/>
      </w:r>
      <w:r w:rsidR="00A52C9B">
        <w:t xml:space="preserve"> above).</w:t>
      </w:r>
      <w:r w:rsidRPr="00A52C9B" w:rsidR="00A52C9B">
        <w:t xml:space="preserve"> </w:t>
      </w:r>
      <w:r w:rsidR="00A52C9B">
        <w:t>The Court acknowledges that there may be sound policy reasons to decide that public bodies should not have standing to sue in defamation in their own capacity</w:t>
      </w:r>
      <w:r w:rsidR="00ED0E14">
        <w:t xml:space="preserve">; </w:t>
      </w:r>
      <w:r w:rsidR="00A52C9B">
        <w:t xml:space="preserve">however, it is not its task to examine the domestic legislation in the abstract but rather consider the manner in which that legislation was applied to, or affected, the applicant in a particular case (see </w:t>
      </w:r>
      <w:r w:rsidRPr="00A52C9B" w:rsidR="00A52C9B">
        <w:rPr>
          <w:i/>
          <w:szCs w:val="24"/>
          <w:lang w:eastAsia="en-US"/>
        </w:rPr>
        <w:t>Karhuvaara and Iltalehti v. Finland</w:t>
      </w:r>
      <w:r w:rsidRPr="00A52C9B" w:rsidR="00A52C9B">
        <w:rPr>
          <w:szCs w:val="24"/>
          <w:lang w:eastAsia="en-US"/>
        </w:rPr>
        <w:t xml:space="preserve">, no. 53678/00, § </w:t>
      </w:r>
      <w:r w:rsidR="00A52C9B">
        <w:rPr>
          <w:szCs w:val="24"/>
          <w:lang w:eastAsia="en-US"/>
        </w:rPr>
        <w:t>49</w:t>
      </w:r>
      <w:r w:rsidRPr="00A52C9B" w:rsidR="00A52C9B">
        <w:rPr>
          <w:szCs w:val="24"/>
          <w:lang w:eastAsia="en-US"/>
        </w:rPr>
        <w:t xml:space="preserve">, </w:t>
      </w:r>
      <w:r w:rsidRPr="00A52C9B" w:rsidR="00A52C9B">
        <w:rPr>
          <w:lang w:eastAsia="en-US"/>
        </w:rPr>
        <w:t>ECHR 2004</w:t>
      </w:r>
      <w:r w:rsidRPr="00A52C9B" w:rsidR="00A52C9B">
        <w:rPr>
          <w:lang w:eastAsia="en-US"/>
        </w:rPr>
        <w:noBreakHyphen/>
        <w:t>X</w:t>
      </w:r>
      <w:r w:rsidR="00A52C9B">
        <w:rPr>
          <w:lang w:eastAsia="en-US"/>
        </w:rPr>
        <w:t xml:space="preserve">). Accordingly, this issue will also </w:t>
      </w:r>
      <w:r w:rsidR="00ED0E14">
        <w:rPr>
          <w:lang w:eastAsia="en-US"/>
        </w:rPr>
        <w:t xml:space="preserve">be examined </w:t>
      </w:r>
      <w:r w:rsidR="00A52C9B">
        <w:rPr>
          <w:lang w:eastAsia="en-US"/>
        </w:rPr>
        <w:t>in the analysis of the proportionality of the interference.</w:t>
      </w:r>
    </w:p>
    <w:p w:rsidR="000A06AE" w:rsidP="000A06AE" w:rsidRDefault="00A52C9B">
      <w:pPr>
        <w:pStyle w:val="JuPara"/>
      </w:pPr>
      <w:r>
        <w:rPr>
          <w:lang w:eastAsia="en-US"/>
        </w:rPr>
        <w:fldChar w:fldCharType="begin"/>
      </w:r>
      <w:r>
        <w:rPr>
          <w:lang w:eastAsia="en-US"/>
        </w:rPr>
        <w:instrText xml:space="preserve"> SEQ level0 \*arabic </w:instrText>
      </w:r>
      <w:r>
        <w:rPr>
          <w:lang w:eastAsia="en-US"/>
        </w:rPr>
        <w:fldChar w:fldCharType="separate"/>
      </w:r>
      <w:r w:rsidR="00303682">
        <w:rPr>
          <w:noProof/>
          <w:lang w:eastAsia="en-US"/>
        </w:rPr>
        <w:t>40</w:t>
      </w:r>
      <w:r>
        <w:rPr>
          <w:lang w:eastAsia="en-US"/>
        </w:rPr>
        <w:fldChar w:fldCharType="end"/>
      </w:r>
      <w:r>
        <w:rPr>
          <w:lang w:eastAsia="en-US"/>
        </w:rPr>
        <w:t>.  </w:t>
      </w:r>
      <w:r w:rsidR="000A06AE">
        <w:rPr>
          <w:lang w:eastAsia="en-US"/>
        </w:rPr>
        <w:t xml:space="preserve">Turning to the issue whether the interference was </w:t>
      </w:r>
      <w:r w:rsidR="000A06AE">
        <w:t>“necessary in a democratic society”, the Court must determine whether the interference corresponded to a “pressing social need”, whether it was proportionate to the legitimate aim pursued and whether the reasons given by the national authorities to justify it were relevant and sufficient. In assessing whether such a “need” exists and what measures should be adopted to deal with it, the national authorities are left a certain margin of appreciation. This power of appreciation is not however unlimited, but goes hand in hand with a European supervision by the Court, whose task it is to give a final ruling on whether a restriction is reconcilable with freedom of expression as protected by Article 10. The Court</w:t>
      </w:r>
      <w:r w:rsidR="0000251F">
        <w:t>'</w:t>
      </w:r>
      <w:r w:rsidR="000A06AE">
        <w:t>s task in exercising its supervisory function is not to take the place of the national authorities, but rather to review under Article 10, in the light of the case as a whole, the decisions they have taken pursuant to their margin of appreciation. In so doing, the Court has to satisfy itself that the national authorities applied standards which were in conformity with the principles embodied in Article 10 and, moreover, that they based their decisions on an acceptable assessment of the relevant facts (see</w:t>
      </w:r>
      <w:r w:rsidR="000A06AE">
        <w:rPr>
          <w:rStyle w:val="ju--005fpara----char--char"/>
          <w:i/>
          <w:iCs/>
        </w:rPr>
        <w:t xml:space="preserve"> </w:t>
      </w:r>
      <w:r w:rsidR="000A06AE">
        <w:rPr>
          <w:rStyle w:val="ju-005fpara--char"/>
          <w:i/>
          <w:iCs/>
        </w:rPr>
        <w:t>Grinberg v. Russia</w:t>
      </w:r>
      <w:r w:rsidR="000A06AE">
        <w:t>, no. 23472/03, § 27, 21 July 2005).</w:t>
      </w:r>
    </w:p>
    <w:p w:rsidRPr="000A06AE" w:rsidR="000A06AE" w:rsidP="000A06AE" w:rsidRDefault="000A06AE">
      <w:pPr>
        <w:pStyle w:val="JuPara"/>
        <w:rPr>
          <w:szCs w:val="24"/>
          <w:lang w:eastAsia="en-US"/>
        </w:rPr>
      </w:pPr>
      <w:r>
        <w:fldChar w:fldCharType="begin"/>
      </w:r>
      <w:r>
        <w:instrText xml:space="preserve"> SEQ level0 \*arabic </w:instrText>
      </w:r>
      <w:r>
        <w:fldChar w:fldCharType="separate"/>
      </w:r>
      <w:r w:rsidR="00303682">
        <w:rPr>
          <w:noProof/>
        </w:rPr>
        <w:t>41</w:t>
      </w:r>
      <w:r>
        <w:fldChar w:fldCharType="end"/>
      </w:r>
      <w:r>
        <w:t xml:space="preserve">.  In examining </w:t>
      </w:r>
      <w:r w:rsidR="00774379">
        <w:t xml:space="preserve">the necessity of the interference in </w:t>
      </w:r>
      <w:r>
        <w:t xml:space="preserve">the particular circumstances of the case, the Court will take the following elements into account: </w:t>
      </w:r>
      <w:r w:rsidR="00774379">
        <w:t xml:space="preserve">the subject matter of the publication, </w:t>
      </w:r>
      <w:r>
        <w:t>the position of the applicant</w:t>
      </w:r>
      <w:r w:rsidR="00774379">
        <w:t>s</w:t>
      </w:r>
      <w:r>
        <w:t xml:space="preserve">, the position of the person against whom </w:t>
      </w:r>
      <w:r w:rsidR="00774379">
        <w:t xml:space="preserve">the </w:t>
      </w:r>
      <w:r>
        <w:t>criticism was directed, characterisation of the contested statement</w:t>
      </w:r>
      <w:r w:rsidR="00774379">
        <w:t>s</w:t>
      </w:r>
      <w:r>
        <w:t xml:space="preserve"> by the domestic courts, the wording used by the applicant</w:t>
      </w:r>
      <w:r w:rsidR="00774379">
        <w:t>s</w:t>
      </w:r>
      <w:r>
        <w:t xml:space="preserve">, and the penalty imposed on </w:t>
      </w:r>
      <w:r w:rsidR="00774379">
        <w:t xml:space="preserve">them </w:t>
      </w:r>
      <w:r>
        <w:t xml:space="preserve">(see </w:t>
      </w:r>
      <w:r w:rsidRPr="000A06AE">
        <w:rPr>
          <w:i/>
          <w:szCs w:val="24"/>
          <w:lang w:eastAsia="en-US"/>
        </w:rPr>
        <w:t>Krasulya v. Russia</w:t>
      </w:r>
      <w:r w:rsidRPr="000A06AE">
        <w:rPr>
          <w:szCs w:val="24"/>
          <w:lang w:eastAsia="en-US"/>
        </w:rPr>
        <w:t xml:space="preserve">, no. 12365/03, § </w:t>
      </w:r>
      <w:r>
        <w:rPr>
          <w:szCs w:val="24"/>
          <w:lang w:eastAsia="en-US"/>
        </w:rPr>
        <w:t>35</w:t>
      </w:r>
      <w:r w:rsidRPr="000A06AE">
        <w:rPr>
          <w:szCs w:val="24"/>
          <w:lang w:eastAsia="en-US"/>
        </w:rPr>
        <w:t>, 22 February 2007</w:t>
      </w:r>
      <w:r>
        <w:t>).</w:t>
      </w:r>
    </w:p>
    <w:p w:rsidRPr="005301F8" w:rsidR="005301F8" w:rsidP="00956742" w:rsidRDefault="00B32ED8">
      <w:pPr>
        <w:pStyle w:val="JuPara"/>
        <w:rPr>
          <w:i/>
          <w:szCs w:val="22"/>
          <w:lang w:eastAsia="en-US"/>
        </w:rPr>
      </w:pPr>
      <w:r>
        <w:rPr>
          <w:lang w:eastAsia="en-US"/>
        </w:rPr>
        <w:fldChar w:fldCharType="begin"/>
      </w:r>
      <w:r>
        <w:rPr>
          <w:lang w:eastAsia="en-US"/>
        </w:rPr>
        <w:instrText xml:space="preserve"> SEQ level0 \*arabic </w:instrText>
      </w:r>
      <w:r>
        <w:rPr>
          <w:lang w:eastAsia="en-US"/>
        </w:rPr>
        <w:fldChar w:fldCharType="separate"/>
      </w:r>
      <w:r w:rsidR="00303682">
        <w:rPr>
          <w:noProof/>
          <w:lang w:eastAsia="en-US"/>
        </w:rPr>
        <w:t>42</w:t>
      </w:r>
      <w:r>
        <w:rPr>
          <w:lang w:eastAsia="en-US"/>
        </w:rPr>
        <w:fldChar w:fldCharType="end"/>
      </w:r>
      <w:r>
        <w:rPr>
          <w:lang w:eastAsia="en-US"/>
        </w:rPr>
        <w:t>.  </w:t>
      </w:r>
      <w:r w:rsidR="00FF75ED">
        <w:rPr>
          <w:lang w:eastAsia="en-US"/>
        </w:rPr>
        <w:t>Both publications in the applicants</w:t>
      </w:r>
      <w:r w:rsidR="0000251F">
        <w:rPr>
          <w:lang w:eastAsia="en-US"/>
        </w:rPr>
        <w:t>'</w:t>
      </w:r>
      <w:r w:rsidR="00FF75ED">
        <w:rPr>
          <w:lang w:eastAsia="en-US"/>
        </w:rPr>
        <w:t xml:space="preserve"> newspaper concerned </w:t>
      </w:r>
      <w:r w:rsidR="00A6052E">
        <w:rPr>
          <w:lang w:eastAsia="en-US"/>
        </w:rPr>
        <w:t xml:space="preserve">the unlawful felling of trees and undocumented sale of timber to Chinese companies, a </w:t>
      </w:r>
      <w:r w:rsidR="00FF75ED">
        <w:rPr>
          <w:lang w:eastAsia="en-US"/>
        </w:rPr>
        <w:t>matter of intense public interest for residents of the Primorskiy region</w:t>
      </w:r>
      <w:r w:rsidR="006975BD">
        <w:rPr>
          <w:lang w:eastAsia="en-US"/>
        </w:rPr>
        <w:t>,</w:t>
      </w:r>
      <w:r w:rsidR="00FF75ED">
        <w:rPr>
          <w:lang w:eastAsia="en-US"/>
        </w:rPr>
        <w:t xml:space="preserve"> where </w:t>
      </w:r>
      <w:r w:rsidR="002A2516">
        <w:rPr>
          <w:lang w:eastAsia="en-US"/>
        </w:rPr>
        <w:t xml:space="preserve">the </w:t>
      </w:r>
      <w:r w:rsidR="00FF75ED">
        <w:rPr>
          <w:lang w:eastAsia="en-US"/>
        </w:rPr>
        <w:t>timber industry was one of</w:t>
      </w:r>
      <w:r w:rsidR="00A6052E">
        <w:rPr>
          <w:lang w:eastAsia="en-US"/>
        </w:rPr>
        <w:t xml:space="preserve"> the main employers. It was stated that the inclusion of the regional police department and the courts</w:t>
      </w:r>
      <w:r w:rsidR="0000251F">
        <w:rPr>
          <w:lang w:eastAsia="en-US"/>
        </w:rPr>
        <w:t>'</w:t>
      </w:r>
      <w:r w:rsidR="00A6052E">
        <w:rPr>
          <w:lang w:eastAsia="en-US"/>
        </w:rPr>
        <w:t xml:space="preserve"> management department in the number of timber purchasers had resulted in an increase </w:t>
      </w:r>
      <w:r w:rsidR="006975BD">
        <w:rPr>
          <w:lang w:eastAsia="en-US"/>
        </w:rPr>
        <w:t xml:space="preserve">in </w:t>
      </w:r>
      <w:r w:rsidR="00A6052E">
        <w:rPr>
          <w:lang w:eastAsia="en-US"/>
        </w:rPr>
        <w:t xml:space="preserve">irregularities in the sale of timber. </w:t>
      </w:r>
      <w:r w:rsidR="00445F4D">
        <w:rPr>
          <w:lang w:eastAsia="en-US"/>
        </w:rPr>
        <w:t>As the Court has held on many occasions, reporting on matters relating to management of public resources lies at the core of the media</w:t>
      </w:r>
      <w:r w:rsidR="0000251F">
        <w:rPr>
          <w:lang w:eastAsia="en-US"/>
        </w:rPr>
        <w:t>'</w:t>
      </w:r>
      <w:r w:rsidR="00445F4D">
        <w:rPr>
          <w:lang w:eastAsia="en-US"/>
        </w:rPr>
        <w:t xml:space="preserve">s responsibility and the right of the public to receive information (see </w:t>
      </w:r>
      <w:r w:rsidRPr="00445F4D" w:rsidR="00445F4D">
        <w:rPr>
          <w:i/>
          <w:lang w:eastAsia="en-US"/>
        </w:rPr>
        <w:t>Busuioc v. Moldova</w:t>
      </w:r>
      <w:r w:rsidRPr="00445F4D" w:rsidR="00445F4D">
        <w:rPr>
          <w:lang w:eastAsia="en-US"/>
        </w:rPr>
        <w:t>, no. 61513/00, §</w:t>
      </w:r>
      <w:r w:rsidR="00445F4D">
        <w:rPr>
          <w:lang w:eastAsia="en-US"/>
        </w:rPr>
        <w:t>§ 63-64 and 84</w:t>
      </w:r>
      <w:r w:rsidRPr="00445F4D" w:rsidR="00445F4D">
        <w:rPr>
          <w:lang w:eastAsia="en-US"/>
        </w:rPr>
        <w:t>, 21 December 2004</w:t>
      </w:r>
      <w:r w:rsidR="00445F4D">
        <w:rPr>
          <w:lang w:eastAsia="en-US"/>
        </w:rPr>
        <w:t xml:space="preserve">; and </w:t>
      </w:r>
      <w:r w:rsidRPr="00445F4D" w:rsidR="00445F4D">
        <w:rPr>
          <w:i/>
          <w:lang w:eastAsia="en-US"/>
        </w:rPr>
        <w:t xml:space="preserve">Cumpǎnǎ and Mazǎre v. Romania </w:t>
      </w:r>
      <w:r w:rsidRPr="00445F4D" w:rsidR="00445F4D">
        <w:rPr>
          <w:lang w:eastAsia="en-US"/>
        </w:rPr>
        <w:t>[GC], no. 33348/96, §§ 94-95, ECHR 2004</w:t>
      </w:r>
      <w:r w:rsidRPr="00445F4D" w:rsidR="00445F4D">
        <w:rPr>
          <w:lang w:eastAsia="en-US"/>
        </w:rPr>
        <w:noBreakHyphen/>
        <w:t>XI</w:t>
      </w:r>
      <w:r w:rsidR="00445F4D">
        <w:rPr>
          <w:lang w:eastAsia="en-US"/>
        </w:rPr>
        <w:t>).</w:t>
      </w:r>
      <w:r w:rsidR="006B4C04">
        <w:rPr>
          <w:lang w:eastAsia="en-US"/>
        </w:rPr>
        <w:t xml:space="preserve"> </w:t>
      </w:r>
      <w:r w:rsidR="005301F8">
        <w:t>However, there is no evidence in the domestic judgments that the courts performed a balancing exercise between the need to protect the plaintiffs</w:t>
      </w:r>
      <w:r w:rsidR="0000251F">
        <w:t>'</w:t>
      </w:r>
      <w:r w:rsidR="005301F8">
        <w:t xml:space="preserve"> reputation and the right of the members of the press to </w:t>
      </w:r>
      <w:r w:rsidR="006975BD">
        <w:t xml:space="preserve">impart </w:t>
      </w:r>
      <w:r w:rsidR="005301F8">
        <w:t>information on issues of general interest. They confined their analysis to the discussion of the damage to the plaintiffs</w:t>
      </w:r>
      <w:r w:rsidR="0000251F">
        <w:t>'</w:t>
      </w:r>
      <w:r w:rsidR="005301F8">
        <w:t xml:space="preserve"> reputation without giving any consideration to the Convention standard which requires very strong reasons for justifying restrictions on debates on questions of public interest </w:t>
      </w:r>
      <w:r w:rsidRPr="006B4C04" w:rsidR="005301F8">
        <w:rPr>
          <w:lang w:eastAsia="en-US"/>
        </w:rPr>
        <w:t>(see</w:t>
      </w:r>
      <w:r w:rsidR="005301F8">
        <w:rPr>
          <w:lang w:eastAsia="en-US"/>
        </w:rPr>
        <w:t xml:space="preserve"> </w:t>
      </w:r>
      <w:r w:rsidRPr="006B4C04" w:rsidR="005301F8">
        <w:rPr>
          <w:i/>
          <w:lang w:eastAsia="en-US"/>
        </w:rPr>
        <w:t>Godlevskiy v. Russia</w:t>
      </w:r>
      <w:r w:rsidRPr="006B4C04" w:rsidR="005301F8">
        <w:rPr>
          <w:lang w:eastAsia="en-US"/>
        </w:rPr>
        <w:t>, no.</w:t>
      </w:r>
      <w:r w:rsidR="005301F8">
        <w:rPr>
          <w:lang w:eastAsia="en-US"/>
        </w:rPr>
        <w:t> </w:t>
      </w:r>
      <w:r w:rsidRPr="006B4C04" w:rsidR="005301F8">
        <w:rPr>
          <w:lang w:eastAsia="en-US"/>
        </w:rPr>
        <w:t xml:space="preserve">14888/03, § </w:t>
      </w:r>
      <w:r w:rsidR="005301F8">
        <w:rPr>
          <w:lang w:eastAsia="en-US"/>
        </w:rPr>
        <w:t>41</w:t>
      </w:r>
      <w:r w:rsidRPr="006B4C04" w:rsidR="005301F8">
        <w:rPr>
          <w:lang w:eastAsia="en-US"/>
        </w:rPr>
        <w:t>, 23 October 2008</w:t>
      </w:r>
      <w:r w:rsidR="006975BD">
        <w:rPr>
          <w:lang w:eastAsia="en-US"/>
        </w:rPr>
        <w:t xml:space="preserve">, </w:t>
      </w:r>
      <w:r w:rsidR="005301F8">
        <w:rPr>
          <w:lang w:eastAsia="en-US"/>
        </w:rPr>
        <w:t xml:space="preserve">and </w:t>
      </w:r>
      <w:r w:rsidRPr="006B4C04" w:rsidR="005301F8">
        <w:rPr>
          <w:i/>
          <w:lang w:eastAsia="en-US"/>
        </w:rPr>
        <w:t>Krasulya</w:t>
      </w:r>
      <w:r w:rsidRPr="006B4C04" w:rsidR="005301F8">
        <w:rPr>
          <w:lang w:eastAsia="en-US"/>
        </w:rPr>
        <w:t xml:space="preserve">, </w:t>
      </w:r>
      <w:r w:rsidR="005301F8">
        <w:rPr>
          <w:lang w:eastAsia="en-US"/>
        </w:rPr>
        <w:t>cited above</w:t>
      </w:r>
      <w:r w:rsidRPr="006B4C04" w:rsidR="005301F8">
        <w:rPr>
          <w:lang w:eastAsia="en-US"/>
        </w:rPr>
        <w:t>, §</w:t>
      </w:r>
      <w:r w:rsidR="005301F8">
        <w:rPr>
          <w:lang w:eastAsia="en-US"/>
        </w:rPr>
        <w:t> </w:t>
      </w:r>
      <w:r w:rsidRPr="006B4C04" w:rsidR="005301F8">
        <w:rPr>
          <w:lang w:eastAsia="en-US"/>
        </w:rPr>
        <w:t>38).</w:t>
      </w:r>
      <w:r w:rsidR="005301F8">
        <w:rPr>
          <w:lang w:eastAsia="en-US"/>
        </w:rPr>
        <w:t xml:space="preserve"> </w:t>
      </w:r>
      <w:r w:rsidR="005301F8">
        <w:t xml:space="preserve">The Court therefore finds that the Russian courts failed to recognise that the present case involved a conflict between the right to freedom of expression and the protection of </w:t>
      </w:r>
      <w:r w:rsidR="006975BD">
        <w:t xml:space="preserve">a </w:t>
      </w:r>
      <w:r w:rsidR="005301F8">
        <w:t xml:space="preserve">reputation (see </w:t>
      </w:r>
      <w:r w:rsidRPr="005301F8" w:rsidR="005301F8">
        <w:rPr>
          <w:i/>
          <w:lang w:eastAsia="en-US"/>
        </w:rPr>
        <w:t>Dyundin v. Russia</w:t>
      </w:r>
      <w:r w:rsidRPr="005301F8" w:rsidR="005301F8">
        <w:rPr>
          <w:lang w:eastAsia="en-US"/>
        </w:rPr>
        <w:t>, no. 37406/03, §</w:t>
      </w:r>
      <w:r w:rsidR="006975BD">
        <w:rPr>
          <w:lang w:eastAsia="en-US"/>
        </w:rPr>
        <w:t> </w:t>
      </w:r>
      <w:r w:rsidR="005301F8">
        <w:rPr>
          <w:lang w:eastAsia="en-US"/>
        </w:rPr>
        <w:t>33</w:t>
      </w:r>
      <w:r w:rsidRPr="005301F8" w:rsidR="005301F8">
        <w:rPr>
          <w:lang w:eastAsia="en-US"/>
        </w:rPr>
        <w:t>, 14 October 2008</w:t>
      </w:r>
      <w:r w:rsidR="005301F8">
        <w:t>).</w:t>
      </w:r>
    </w:p>
    <w:p w:rsidRPr="000415AF" w:rsidR="00F33FD2" w:rsidP="00956742" w:rsidRDefault="006B4C0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303682">
        <w:rPr>
          <w:noProof/>
          <w:lang w:eastAsia="en-US"/>
        </w:rPr>
        <w:t>43</w:t>
      </w:r>
      <w:r>
        <w:rPr>
          <w:lang w:eastAsia="en-US"/>
        </w:rPr>
        <w:fldChar w:fldCharType="end"/>
      </w:r>
      <w:r>
        <w:rPr>
          <w:lang w:eastAsia="en-US"/>
        </w:rPr>
        <w:t>.  </w:t>
      </w:r>
      <w:r w:rsidR="00F33FD2">
        <w:rPr>
          <w:lang w:eastAsia="en-US"/>
        </w:rPr>
        <w:t>Further, i</w:t>
      </w:r>
      <w:r w:rsidR="005301F8">
        <w:rPr>
          <w:lang w:eastAsia="en-US"/>
        </w:rPr>
        <w:t>t is undisputed that t</w:t>
      </w:r>
      <w:r>
        <w:rPr>
          <w:lang w:eastAsia="en-US"/>
        </w:rPr>
        <w:t xml:space="preserve">he applicants were not the </w:t>
      </w:r>
      <w:r w:rsidR="002A2516">
        <w:rPr>
          <w:lang w:eastAsia="en-US"/>
        </w:rPr>
        <w:t xml:space="preserve">source </w:t>
      </w:r>
      <w:r>
        <w:rPr>
          <w:lang w:eastAsia="en-US"/>
        </w:rPr>
        <w:t>of the allegation</w:t>
      </w:r>
      <w:r w:rsidR="00F33FD2">
        <w:rPr>
          <w:lang w:eastAsia="en-US"/>
        </w:rPr>
        <w:t xml:space="preserve"> about the increasing irregularities in the timber business</w:t>
      </w:r>
      <w:r>
        <w:rPr>
          <w:lang w:eastAsia="en-US"/>
        </w:rPr>
        <w:t xml:space="preserve">. The first publication </w:t>
      </w:r>
      <w:r w:rsidR="009F5E2D">
        <w:rPr>
          <w:lang w:eastAsia="en-US"/>
        </w:rPr>
        <w:t xml:space="preserve">reproduced </w:t>
      </w:r>
      <w:r>
        <w:rPr>
          <w:lang w:eastAsia="en-US"/>
        </w:rPr>
        <w:t>an extract from an open letter</w:t>
      </w:r>
      <w:r w:rsidR="00517EA0">
        <w:rPr>
          <w:lang w:eastAsia="en-US"/>
        </w:rPr>
        <w:t xml:space="preserve"> by seventeen </w:t>
      </w:r>
      <w:r w:rsidR="002A2516">
        <w:rPr>
          <w:lang w:eastAsia="en-US"/>
        </w:rPr>
        <w:t xml:space="preserve">persons </w:t>
      </w:r>
      <w:r w:rsidR="00517EA0">
        <w:rPr>
          <w:lang w:eastAsia="en-US"/>
        </w:rPr>
        <w:t>concerned</w:t>
      </w:r>
      <w:r w:rsidR="002A2516">
        <w:rPr>
          <w:lang w:eastAsia="en-US"/>
        </w:rPr>
        <w:t xml:space="preserve">, namely </w:t>
      </w:r>
      <w:r w:rsidR="00517EA0">
        <w:rPr>
          <w:lang w:eastAsia="en-US"/>
        </w:rPr>
        <w:t>State and municipal employees and private businessmen</w:t>
      </w:r>
      <w:r w:rsidR="002A2516">
        <w:rPr>
          <w:lang w:eastAsia="en-US"/>
        </w:rPr>
        <w:t>,</w:t>
      </w:r>
      <w:r w:rsidR="00517EA0">
        <w:rPr>
          <w:lang w:eastAsia="en-US"/>
        </w:rPr>
        <w:t xml:space="preserve"> to the Presidential </w:t>
      </w:r>
      <w:r w:rsidR="00517EA0">
        <w:t xml:space="preserve">representative in the region. </w:t>
      </w:r>
      <w:r>
        <w:rPr>
          <w:lang w:eastAsia="en-US"/>
        </w:rPr>
        <w:t xml:space="preserve">The source of </w:t>
      </w:r>
      <w:r w:rsidR="002A2516">
        <w:rPr>
          <w:lang w:eastAsia="en-US"/>
        </w:rPr>
        <w:t xml:space="preserve">the </w:t>
      </w:r>
      <w:r>
        <w:rPr>
          <w:lang w:eastAsia="en-US"/>
        </w:rPr>
        <w:t xml:space="preserve">quotation was identified and the quotation itself was printed in bold and </w:t>
      </w:r>
      <w:r w:rsidR="006975BD">
        <w:rPr>
          <w:lang w:eastAsia="en-US"/>
        </w:rPr>
        <w:t xml:space="preserve">placed </w:t>
      </w:r>
      <w:r>
        <w:rPr>
          <w:lang w:eastAsia="en-US"/>
        </w:rPr>
        <w:t xml:space="preserve">within quotation marks. </w:t>
      </w:r>
      <w:r w:rsidR="00382E71">
        <w:rPr>
          <w:lang w:eastAsia="en-US"/>
        </w:rPr>
        <w:t>The second publication reprinted the entire text of the letter</w:t>
      </w:r>
      <w:r w:rsidRPr="00F33FD2" w:rsidR="00F33FD2">
        <w:rPr>
          <w:lang w:eastAsia="en-US"/>
        </w:rPr>
        <w:t xml:space="preserve"> </w:t>
      </w:r>
      <w:r w:rsidR="002A2516">
        <w:rPr>
          <w:lang w:eastAsia="en-US"/>
        </w:rPr>
        <w:t>together with</w:t>
      </w:r>
      <w:r w:rsidRPr="00F33FD2" w:rsidR="00F33FD2">
        <w:rPr>
          <w:lang w:eastAsia="en-US"/>
        </w:rPr>
        <w:t xml:space="preserve"> the </w:t>
      </w:r>
      <w:r w:rsidR="00F33FD2">
        <w:rPr>
          <w:lang w:eastAsia="en-US"/>
        </w:rPr>
        <w:t>statement that the courts</w:t>
      </w:r>
      <w:r w:rsidR="0000251F">
        <w:rPr>
          <w:lang w:eastAsia="en-US"/>
        </w:rPr>
        <w:t>'</w:t>
      </w:r>
      <w:r w:rsidR="00F33FD2">
        <w:rPr>
          <w:lang w:eastAsia="en-US"/>
        </w:rPr>
        <w:t xml:space="preserve"> management department of the Primorskiy Region had not been the one targeted in the </w:t>
      </w:r>
      <w:r w:rsidR="00046CCE">
        <w:rPr>
          <w:lang w:eastAsia="en-US"/>
        </w:rPr>
        <w:t>initial</w:t>
      </w:r>
      <w:r w:rsidR="00F33FD2">
        <w:rPr>
          <w:lang w:eastAsia="en-US"/>
        </w:rPr>
        <w:t xml:space="preserve"> publication.</w:t>
      </w:r>
      <w:r w:rsidR="000415AF">
        <w:rPr>
          <w:lang w:eastAsia="en-US"/>
        </w:rPr>
        <w:t xml:space="preserve"> That additional statement was not found to contain any defamatory information </w:t>
      </w:r>
      <w:r w:rsidRPr="000415AF" w:rsidR="000415AF">
        <w:rPr>
          <w:i/>
          <w:lang w:eastAsia="en-US"/>
        </w:rPr>
        <w:t>per se</w:t>
      </w:r>
      <w:r w:rsidR="000415AF">
        <w:rPr>
          <w:lang w:eastAsia="en-US"/>
        </w:rPr>
        <w:t xml:space="preserve"> and the finding of the applicants</w:t>
      </w:r>
      <w:r w:rsidR="0000251F">
        <w:rPr>
          <w:lang w:eastAsia="en-US"/>
        </w:rPr>
        <w:t>'</w:t>
      </w:r>
      <w:r w:rsidR="000415AF">
        <w:rPr>
          <w:lang w:eastAsia="en-US"/>
        </w:rPr>
        <w:t xml:space="preserve"> liability in the proceedings in connection with the second publication was </w:t>
      </w:r>
      <w:r w:rsidR="00046CCE">
        <w:rPr>
          <w:lang w:eastAsia="en-US"/>
        </w:rPr>
        <w:t xml:space="preserve">likewise </w:t>
      </w:r>
      <w:r w:rsidR="000415AF">
        <w:rPr>
          <w:lang w:eastAsia="en-US"/>
        </w:rPr>
        <w:t>founded on the text of the open letter.</w:t>
      </w:r>
    </w:p>
    <w:p w:rsidR="00044460" w:rsidP="00956742" w:rsidRDefault="000415AF">
      <w:pPr>
        <w:pStyle w:val="JuPara"/>
      </w:pPr>
      <w:r>
        <w:rPr>
          <w:lang w:eastAsia="en-US"/>
        </w:rPr>
        <w:fldChar w:fldCharType="begin"/>
      </w:r>
      <w:r>
        <w:rPr>
          <w:lang w:eastAsia="en-US"/>
        </w:rPr>
        <w:instrText xml:space="preserve"> SEQ level0 \*arabic </w:instrText>
      </w:r>
      <w:r>
        <w:rPr>
          <w:lang w:eastAsia="en-US"/>
        </w:rPr>
        <w:fldChar w:fldCharType="separate"/>
      </w:r>
      <w:r w:rsidR="00303682">
        <w:rPr>
          <w:noProof/>
          <w:lang w:eastAsia="en-US"/>
        </w:rPr>
        <w:t>44</w:t>
      </w:r>
      <w:r>
        <w:rPr>
          <w:lang w:eastAsia="en-US"/>
        </w:rPr>
        <w:fldChar w:fldCharType="end"/>
      </w:r>
      <w:r>
        <w:rPr>
          <w:lang w:eastAsia="en-US"/>
        </w:rPr>
        <w:t xml:space="preserve">.  The Court reiterates its constant approach that </w:t>
      </w:r>
      <w:r w:rsidR="00F33FD2">
        <w:t xml:space="preserve">a distinction needs to be made according to whether the statements emanate from </w:t>
      </w:r>
      <w:r w:rsidR="00043A14">
        <w:t xml:space="preserve">a </w:t>
      </w:r>
      <w:r w:rsidR="00F33FD2">
        <w:t xml:space="preserve">journalist or are quotations from others, since punishment of a journalist for assisting in the dissemination of statements made by another person would seriously hamper the contribution of the press to discussion of matters of public interest and should not be envisaged unless there are particularly strong reasons for doing so (see </w:t>
      </w:r>
      <w:r>
        <w:rPr>
          <w:i/>
        </w:rPr>
        <w:t>Dyundin</w:t>
      </w:r>
      <w:r>
        <w:t xml:space="preserve">, cited above, §§ 29 and 34; </w:t>
      </w:r>
      <w:r w:rsidRPr="000415AF">
        <w:rPr>
          <w:i/>
          <w:lang w:eastAsia="en-US"/>
        </w:rPr>
        <w:t xml:space="preserve">Pedersen and Baadsgaard v. Denmark </w:t>
      </w:r>
      <w:r w:rsidRPr="000415AF">
        <w:rPr>
          <w:lang w:eastAsia="en-US"/>
        </w:rPr>
        <w:t xml:space="preserve">[GC], no. 49017/99, § </w:t>
      </w:r>
      <w:r>
        <w:rPr>
          <w:lang w:eastAsia="en-US"/>
        </w:rPr>
        <w:t>77</w:t>
      </w:r>
      <w:r w:rsidRPr="000415AF">
        <w:rPr>
          <w:lang w:eastAsia="en-US"/>
        </w:rPr>
        <w:t>, ECHR 2004</w:t>
      </w:r>
      <w:r w:rsidRPr="000415AF">
        <w:rPr>
          <w:lang w:eastAsia="en-US"/>
        </w:rPr>
        <w:noBreakHyphen/>
        <w:t>XI</w:t>
      </w:r>
      <w:r>
        <w:rPr>
          <w:lang w:eastAsia="en-US"/>
        </w:rPr>
        <w:t xml:space="preserve">; </w:t>
      </w:r>
      <w:r w:rsidRPr="000415AF">
        <w:rPr>
          <w:i/>
          <w:iCs/>
          <w:lang w:eastAsia="en-US"/>
        </w:rPr>
        <w:t>Thorgeir Thorgeirson v. Iceland</w:t>
      </w:r>
      <w:r w:rsidRPr="000415AF">
        <w:rPr>
          <w:lang w:eastAsia="en-US"/>
        </w:rPr>
        <w:t xml:space="preserve">, 25 June 1992, § </w:t>
      </w:r>
      <w:r>
        <w:rPr>
          <w:lang w:eastAsia="en-US"/>
        </w:rPr>
        <w:t>65</w:t>
      </w:r>
      <w:r w:rsidRPr="000415AF">
        <w:rPr>
          <w:lang w:eastAsia="en-US"/>
        </w:rPr>
        <w:t>, Series A no. 239</w:t>
      </w:r>
      <w:r>
        <w:rPr>
          <w:lang w:eastAsia="en-US"/>
        </w:rPr>
        <w:t xml:space="preserve">; and </w:t>
      </w:r>
      <w:r w:rsidRPr="000415AF">
        <w:rPr>
          <w:i/>
          <w:lang w:eastAsia="en-US"/>
        </w:rPr>
        <w:t>Jersild</w:t>
      </w:r>
      <w:r w:rsidRPr="000415AF">
        <w:rPr>
          <w:lang w:eastAsia="en-US"/>
        </w:rPr>
        <w:t xml:space="preserve">, </w:t>
      </w:r>
      <w:r w:rsidR="00043A14">
        <w:rPr>
          <w:lang w:eastAsia="en-US"/>
        </w:rPr>
        <w:t>cited above</w:t>
      </w:r>
      <w:r w:rsidRPr="000415AF">
        <w:rPr>
          <w:lang w:eastAsia="en-US"/>
        </w:rPr>
        <w:t xml:space="preserve">, § </w:t>
      </w:r>
      <w:r>
        <w:rPr>
          <w:lang w:eastAsia="en-US"/>
        </w:rPr>
        <w:t xml:space="preserve">35). In finding the applicants liable, the </w:t>
      </w:r>
      <w:r w:rsidR="00F33FD2">
        <w:t>Russian courts treated as irrelevant the fact that the</w:t>
      </w:r>
      <w:r>
        <w:t xml:space="preserve">y were not the </w:t>
      </w:r>
      <w:r w:rsidR="006975BD">
        <w:t xml:space="preserve">source </w:t>
      </w:r>
      <w:r>
        <w:t>of the impugned allegation</w:t>
      </w:r>
      <w:r w:rsidR="002C0AE1">
        <w:t xml:space="preserve"> and that under Russian law, being the founders of the newspaper, they had no control over its editorial policy (see paragraph </w:t>
      </w:r>
      <w:r w:rsidR="002C0AE1">
        <w:fldChar w:fldCharType="begin"/>
      </w:r>
      <w:r w:rsidR="002C0AE1">
        <w:instrText xml:space="preserve"> REF  founders </w:instrText>
      </w:r>
      <w:r w:rsidR="002C0AE1">
        <w:fldChar w:fldCharType="separate"/>
      </w:r>
      <w:r w:rsidR="00303682">
        <w:rPr>
          <w:noProof/>
        </w:rPr>
        <w:t>23</w:t>
      </w:r>
      <w:r w:rsidR="002C0AE1">
        <w:fldChar w:fldCharType="end"/>
      </w:r>
      <w:r w:rsidR="002C0AE1">
        <w:t xml:space="preserve"> above)</w:t>
      </w:r>
      <w:r>
        <w:t xml:space="preserve">. </w:t>
      </w:r>
      <w:r w:rsidR="00046CCE">
        <w:t>Although t</w:t>
      </w:r>
      <w:r w:rsidR="002C0AE1">
        <w:t xml:space="preserve">he contested allegation was clearly </w:t>
      </w:r>
      <w:r w:rsidR="00F33FD2">
        <w:t xml:space="preserve">identified as </w:t>
      </w:r>
      <w:r w:rsidR="00043A14">
        <w:t xml:space="preserve">one </w:t>
      </w:r>
      <w:r w:rsidR="00F33FD2">
        <w:t>proffered by other persons</w:t>
      </w:r>
      <w:r w:rsidR="00046CCE">
        <w:t>, t</w:t>
      </w:r>
      <w:r w:rsidR="00F33FD2">
        <w:t xml:space="preserve">he courts </w:t>
      </w:r>
      <w:r w:rsidR="002C0AE1">
        <w:t xml:space="preserve">failed to </w:t>
      </w:r>
      <w:r w:rsidR="00F33FD2">
        <w:t xml:space="preserve">advance any justification for </w:t>
      </w:r>
      <w:r w:rsidR="00046CCE">
        <w:t xml:space="preserve">imposing </w:t>
      </w:r>
      <w:r w:rsidR="00043A14">
        <w:t xml:space="preserve">a </w:t>
      </w:r>
      <w:r w:rsidR="00F33FD2">
        <w:t xml:space="preserve">punishment </w:t>
      </w:r>
      <w:r w:rsidR="00043A14">
        <w:t xml:space="preserve">on </w:t>
      </w:r>
      <w:r w:rsidR="00F33FD2">
        <w:t xml:space="preserve">the applicants for </w:t>
      </w:r>
      <w:r w:rsidR="00046CCE">
        <w:t xml:space="preserve">reproducing </w:t>
      </w:r>
      <w:r w:rsidR="00F33FD2">
        <w:t xml:space="preserve">statements made by </w:t>
      </w:r>
      <w:r w:rsidR="002C0AE1">
        <w:t>others</w:t>
      </w:r>
      <w:r w:rsidR="00046CCE">
        <w:t>, a failure</w:t>
      </w:r>
      <w:r w:rsidR="002C0AE1">
        <w:t xml:space="preserve"> which </w:t>
      </w:r>
      <w:r w:rsidR="00046CCE">
        <w:t xml:space="preserve">was incompatible with </w:t>
      </w:r>
      <w:r w:rsidR="002C0AE1">
        <w:t>the Convention requirements</w:t>
      </w:r>
      <w:r w:rsidR="00F33FD2">
        <w:t>.</w:t>
      </w:r>
    </w:p>
    <w:p w:rsidR="00CC4562" w:rsidP="00956742" w:rsidRDefault="00665F41">
      <w:pPr>
        <w:pStyle w:val="JuPara"/>
      </w:pPr>
      <w:r>
        <w:fldChar w:fldCharType="begin"/>
      </w:r>
      <w:r>
        <w:instrText xml:space="preserve"> SEQ level0 \*arabic </w:instrText>
      </w:r>
      <w:r>
        <w:fldChar w:fldCharType="separate"/>
      </w:r>
      <w:r w:rsidR="00303682">
        <w:rPr>
          <w:noProof/>
        </w:rPr>
        <w:t>45</w:t>
      </w:r>
      <w:r>
        <w:fldChar w:fldCharType="end"/>
      </w:r>
      <w:r>
        <w:t>.  </w:t>
      </w:r>
      <w:r w:rsidR="00046CCE">
        <w:t>Furthermore, such imposition of liability appears also to be at variance with the requirements of the Russian Mass-Media Act</w:t>
      </w:r>
      <w:r w:rsidR="00043A14">
        <w:t>,</w:t>
      </w:r>
      <w:r w:rsidR="00046CCE">
        <w:t xml:space="preserve"> which </w:t>
      </w:r>
      <w:r w:rsidR="00043A14">
        <w:t xml:space="preserve">provides </w:t>
      </w:r>
      <w:r w:rsidR="00046CCE">
        <w:t xml:space="preserve">that </w:t>
      </w:r>
      <w:r w:rsidR="00043A14">
        <w:t xml:space="preserve">a </w:t>
      </w:r>
      <w:r w:rsidR="00046CCE">
        <w:t xml:space="preserve">person should be exempted from liability if </w:t>
      </w:r>
      <w:r>
        <w:t xml:space="preserve">the statement </w:t>
      </w:r>
      <w:r w:rsidR="00043A14">
        <w:t xml:space="preserve">in question </w:t>
      </w:r>
      <w:r>
        <w:t>emanated from State officials, bodies, organisations, agencies, companies or public associations (section 57). That exemption clause is perfectly consonant with the Court</w:t>
      </w:r>
      <w:r w:rsidR="0000251F">
        <w:t>'</w:t>
      </w:r>
      <w:r>
        <w:t xml:space="preserve">s own approach to the effect that the press should normally be entitled, when contributing to public debate on matters of legitimate concern, to rely on the content of official reports without having to undertake independent research (see </w:t>
      </w:r>
      <w:r>
        <w:rPr>
          <w:i/>
        </w:rPr>
        <w:t>Colombani and Others</w:t>
      </w:r>
      <w:r>
        <w:t xml:space="preserve">, cited above, § 65). </w:t>
      </w:r>
      <w:r w:rsidR="00043A14">
        <w:t xml:space="preserve">The </w:t>
      </w:r>
      <w:r>
        <w:t>list of protected sources of information in section 57 of the Mass-Media Act is broad and it does not appear plausible that bodies of local self-government and their officials should be excluded</w:t>
      </w:r>
      <w:r w:rsidR="00CC4562">
        <w:t xml:space="preserve"> </w:t>
      </w:r>
      <w:r>
        <w:t>from the scope of th</w:t>
      </w:r>
      <w:r w:rsidR="00CC4562">
        <w:t>e</w:t>
      </w:r>
      <w:r>
        <w:t xml:space="preserve"> fair-reporting exception. Thus, the distinction between State bodies and municipal bodies, drawn by the domestic courts in order to overrule the applicants</w:t>
      </w:r>
      <w:r w:rsidR="0000251F">
        <w:t>'</w:t>
      </w:r>
      <w:r>
        <w:t xml:space="preserve"> reliance on that exception, </w:t>
      </w:r>
      <w:r w:rsidR="00CC4562">
        <w:t xml:space="preserve">was </w:t>
      </w:r>
      <w:r w:rsidR="00A304BF">
        <w:t>rather</w:t>
      </w:r>
      <w:r w:rsidR="00CC4562">
        <w:t xml:space="preserve"> formalistic </w:t>
      </w:r>
      <w:r>
        <w:t xml:space="preserve">and artificial. </w:t>
      </w:r>
      <w:r w:rsidR="00CC4562">
        <w:t>In any event, the letter had been signed, among others, by the local police chief</w:t>
      </w:r>
      <w:r w:rsidR="00A304BF">
        <w:t xml:space="preserve"> and</w:t>
      </w:r>
      <w:r w:rsidR="00CC4562">
        <w:t xml:space="preserve"> an official of the tax inspectorate, </w:t>
      </w:r>
      <w:r w:rsidR="00A304BF">
        <w:t>both</w:t>
      </w:r>
      <w:r w:rsidR="00CC4562">
        <w:t xml:space="preserve"> of whom obviously fall within the ranks of officials explicitly listed in section 57.</w:t>
      </w:r>
    </w:p>
    <w:p w:rsidR="00B32ED8" w:rsidP="00956742" w:rsidRDefault="00CC4562">
      <w:pPr>
        <w:pStyle w:val="JuPara"/>
      </w:pPr>
      <w:r>
        <w:fldChar w:fldCharType="begin"/>
      </w:r>
      <w:r>
        <w:instrText xml:space="preserve"> SEQ level0 \*arabic </w:instrText>
      </w:r>
      <w:r>
        <w:fldChar w:fldCharType="separate"/>
      </w:r>
      <w:r w:rsidR="00303682">
        <w:rPr>
          <w:noProof/>
        </w:rPr>
        <w:t>46</w:t>
      </w:r>
      <w:r>
        <w:fldChar w:fldCharType="end"/>
      </w:r>
      <w:r>
        <w:t xml:space="preserve">.  Similarly, the Russian courts did not show in a convincing manner that the </w:t>
      </w:r>
      <w:r w:rsidR="00665F41">
        <w:t xml:space="preserve">applicants could not avail themselves of the fair-reporting exception because the document at issue </w:t>
      </w:r>
      <w:r>
        <w:t xml:space="preserve">had been </w:t>
      </w:r>
      <w:r w:rsidR="00665F41">
        <w:t xml:space="preserve">distributed at a press-conference organised by an </w:t>
      </w:r>
      <w:r w:rsidRPr="00404CF0" w:rsidR="00665F41">
        <w:t xml:space="preserve">“autonomous non-commercial organisation” </w:t>
      </w:r>
      <w:r w:rsidR="00665F41">
        <w:t>rather than</w:t>
      </w:r>
      <w:r w:rsidRPr="00404CF0" w:rsidR="00665F41">
        <w:t xml:space="preserve"> </w:t>
      </w:r>
      <w:r w:rsidR="00665F41">
        <w:t xml:space="preserve">by </w:t>
      </w:r>
      <w:r w:rsidRPr="00404CF0" w:rsidR="00665F41">
        <w:t>a public association</w:t>
      </w:r>
      <w:r w:rsidR="00665F41">
        <w:t xml:space="preserve">. Firstly, under Russian law, a “public association” is </w:t>
      </w:r>
      <w:r w:rsidR="00665F41">
        <w:rPr>
          <w:lang w:eastAsia="en-US"/>
        </w:rPr>
        <w:t xml:space="preserve">a generic term covering all </w:t>
      </w:r>
      <w:r>
        <w:rPr>
          <w:lang w:eastAsia="en-US"/>
        </w:rPr>
        <w:t xml:space="preserve">types of </w:t>
      </w:r>
      <w:r w:rsidR="00665F41">
        <w:rPr>
          <w:lang w:eastAsia="en-US"/>
        </w:rPr>
        <w:t>non-governmental associations, including “</w:t>
      </w:r>
      <w:r w:rsidRPr="00404CF0" w:rsidR="00665F41">
        <w:t>autonomous non-commercial organisation</w:t>
      </w:r>
      <w:r w:rsidR="00665F41">
        <w:t>s</w:t>
      </w:r>
      <w:r w:rsidRPr="00404CF0" w:rsidR="00665F41">
        <w:t>”</w:t>
      </w:r>
      <w:r w:rsidR="00665F41">
        <w:t>. Secondly, as the applicants correctly point</w:t>
      </w:r>
      <w:r>
        <w:t>ed</w:t>
      </w:r>
      <w:r w:rsidR="00665F41">
        <w:t xml:space="preserve"> out, it </w:t>
      </w:r>
      <w:r>
        <w:t>was</w:t>
      </w:r>
      <w:r w:rsidR="00665F41">
        <w:t xml:space="preserve"> of little relevance </w:t>
      </w:r>
      <w:r w:rsidR="00043A14">
        <w:t xml:space="preserve">on </w:t>
      </w:r>
      <w:r w:rsidR="00665F41">
        <w:t xml:space="preserve">whose premises the press-conference </w:t>
      </w:r>
      <w:r>
        <w:t xml:space="preserve">had been </w:t>
      </w:r>
      <w:r w:rsidR="00665F41">
        <w:t xml:space="preserve">organised, the important fact being that the document </w:t>
      </w:r>
      <w:r>
        <w:t xml:space="preserve">had </w:t>
      </w:r>
      <w:r w:rsidR="00665F41">
        <w:t xml:space="preserve">originated from public officials. </w:t>
      </w:r>
      <w:r w:rsidR="00190AB7">
        <w:t>T</w:t>
      </w:r>
      <w:r>
        <w:t xml:space="preserve">he Court notes that it was not alleged that the applicants had distorted or otherwise modified the text of the original open letter. </w:t>
      </w:r>
      <w:r w:rsidR="00190AB7">
        <w:t>Accordingly, it finds that, in reprinting an official non-confidential document, the applicants acted in good faith and were mindful of the “duties and responsibilities” of the members of the press referred to in paragraph 2 of Article 10.</w:t>
      </w:r>
    </w:p>
    <w:p w:rsidR="00BA6128" w:rsidP="00D4066A" w:rsidRDefault="00603363">
      <w:pPr>
        <w:pStyle w:val="JuPara"/>
      </w:pPr>
      <w:r>
        <w:rPr>
          <w:lang w:eastAsia="en-US"/>
        </w:rPr>
        <w:fldChar w:fldCharType="begin"/>
      </w:r>
      <w:r>
        <w:rPr>
          <w:lang w:eastAsia="en-US"/>
        </w:rPr>
        <w:instrText xml:space="preserve"> SEQ level0 \*arabic </w:instrText>
      </w:r>
      <w:r>
        <w:rPr>
          <w:lang w:eastAsia="en-US"/>
        </w:rPr>
        <w:fldChar w:fldCharType="separate"/>
      </w:r>
      <w:r w:rsidR="00303682">
        <w:rPr>
          <w:noProof/>
          <w:lang w:eastAsia="en-US"/>
        </w:rPr>
        <w:t>47</w:t>
      </w:r>
      <w:r>
        <w:rPr>
          <w:lang w:eastAsia="en-US"/>
        </w:rPr>
        <w:fldChar w:fldCharType="end"/>
      </w:r>
      <w:r>
        <w:rPr>
          <w:lang w:eastAsia="en-US"/>
        </w:rPr>
        <w:t>.  </w:t>
      </w:r>
      <w:r>
        <w:t xml:space="preserve">The Court </w:t>
      </w:r>
      <w:r w:rsidR="006975BD">
        <w:t xml:space="preserve">further </w:t>
      </w:r>
      <w:r>
        <w:t xml:space="preserve">observes that the Russian courts characterised the contested allegation about “irregularities” as a statement of fact and found the applicants liable for failure to show its veracity. The Court reiterates that in the context of the balancing exercise under Article 10, in particular where the reporting by a journalist of statements made by third parties is concerned, the relevant test is not whether the journalist can prove the veracity of the statements but whether a sufficiently accurate and reliable factual basis proportionate to the nature and degree of the allegation can be established (see </w:t>
      </w:r>
      <w:r w:rsidRPr="00603363">
        <w:rPr>
          <w:i/>
        </w:rPr>
        <w:t>Dyundin</w:t>
      </w:r>
      <w:r>
        <w:t xml:space="preserve">, cited above, § 35, and </w:t>
      </w:r>
      <w:r w:rsidRPr="00603363">
        <w:rPr>
          <w:rStyle w:val="ju-005fpara--char"/>
          <w:i/>
          <w:iCs/>
        </w:rPr>
        <w:t>Pedersen</w:t>
      </w:r>
      <w:r>
        <w:rPr>
          <w:rStyle w:val="ju-005fpara--char"/>
          <w:i/>
          <w:iCs/>
        </w:rPr>
        <w:t xml:space="preserve"> and Baadsgaard, </w:t>
      </w:r>
      <w:r>
        <w:t xml:space="preserve">cited above, § 78). </w:t>
      </w:r>
      <w:r w:rsidR="004B6740">
        <w:t xml:space="preserve">The fact that the </w:t>
      </w:r>
      <w:r w:rsidR="003B391C">
        <w:t xml:space="preserve">regional police and the </w:t>
      </w:r>
      <w:r w:rsidR="004B6740">
        <w:t>regional courts</w:t>
      </w:r>
      <w:r w:rsidR="0000251F">
        <w:t>'</w:t>
      </w:r>
      <w:r w:rsidR="004B6740">
        <w:t xml:space="preserve"> management department had obtained </w:t>
      </w:r>
      <w:r w:rsidR="00A304BF">
        <w:t>unusually</w:t>
      </w:r>
      <w:r w:rsidR="003B391C">
        <w:t xml:space="preserve"> </w:t>
      </w:r>
      <w:r w:rsidR="004B6740">
        <w:t>high timber purchasing quota</w:t>
      </w:r>
      <w:r w:rsidR="003B391C">
        <w:t>s</w:t>
      </w:r>
      <w:r w:rsidR="004B6740">
        <w:t xml:space="preserve"> was not disputed in the domestic proceedings. Likewise, </w:t>
      </w:r>
      <w:r w:rsidR="00D96F70">
        <w:t xml:space="preserve">the fact was not contested that </w:t>
      </w:r>
      <w:r w:rsidR="004B6740">
        <w:t xml:space="preserve">wholesale companies purchasing timber without </w:t>
      </w:r>
      <w:r w:rsidRPr="00D96F70" w:rsidR="00D96F70">
        <w:t xml:space="preserve">appropriate </w:t>
      </w:r>
      <w:r w:rsidR="004B6740">
        <w:t xml:space="preserve">licences </w:t>
      </w:r>
      <w:r w:rsidR="003B391C">
        <w:t xml:space="preserve">had been </w:t>
      </w:r>
      <w:r w:rsidR="00D96F70">
        <w:t xml:space="preserve">allowed to operate </w:t>
      </w:r>
      <w:r w:rsidR="003B391C">
        <w:t xml:space="preserve">without hindrance </w:t>
      </w:r>
      <w:r w:rsidR="00D96F70">
        <w:t>in the region</w:t>
      </w:r>
      <w:r w:rsidR="004B6740">
        <w:t xml:space="preserve">. </w:t>
      </w:r>
      <w:r w:rsidR="00D4066A">
        <w:t xml:space="preserve">The Court stresses that where the impugned statement was made in the course of a lively debate at local level, elected officials and journalists should enjoy a wide freedom to criticise the actions of a local authority, even where the statement may lack a clear basis in fact (see </w:t>
      </w:r>
      <w:r w:rsidRPr="00D4066A" w:rsidR="00D4066A">
        <w:rPr>
          <w:i/>
        </w:rPr>
        <w:t>Lombardo and Others v. Malta</w:t>
      </w:r>
      <w:r w:rsidR="00D4066A">
        <w:t>, no.</w:t>
      </w:r>
      <w:r w:rsidR="00D82FE1">
        <w:t> </w:t>
      </w:r>
      <w:r w:rsidR="00D4066A">
        <w:t xml:space="preserve">7333/06, § 60, 24 April 2007). In sum, the Court finds that the contested statement, albeit </w:t>
      </w:r>
      <w:r w:rsidRPr="00D4066A" w:rsidR="00BA6128">
        <w:t>expressed provocatively,</w:t>
      </w:r>
      <w:r w:rsidR="00BA6128">
        <w:t xml:space="preserve"> did not overstep the bounds of journalistic freedom, bearing in mind that State bodies and civil servants acting in an official capacity are, like politicians, subject to wider limits of acceptable criticism than private individuals.</w:t>
      </w:r>
    </w:p>
    <w:p w:rsidR="00044460" w:rsidP="00956742" w:rsidRDefault="003B391C">
      <w:pPr>
        <w:pStyle w:val="JuPara"/>
      </w:pPr>
      <w:r>
        <w:fldChar w:fldCharType="begin"/>
      </w:r>
      <w:r>
        <w:instrText xml:space="preserve"> SEQ level0 \*arabic </w:instrText>
      </w:r>
      <w:r>
        <w:fldChar w:fldCharType="separate"/>
      </w:r>
      <w:r w:rsidR="00303682">
        <w:rPr>
          <w:noProof/>
        </w:rPr>
        <w:t>48</w:t>
      </w:r>
      <w:r>
        <w:fldChar w:fldCharType="end"/>
      </w:r>
      <w:r>
        <w:t>.  </w:t>
      </w:r>
      <w:r w:rsidR="006975BD">
        <w:t>Lastly</w:t>
      </w:r>
      <w:r w:rsidRPr="00BA6128" w:rsidR="00BA6128">
        <w:t>, the Court will assess the penalty imposed on the applicant</w:t>
      </w:r>
      <w:r w:rsidR="00BA6128">
        <w:t>s</w:t>
      </w:r>
      <w:r w:rsidRPr="00BA6128" w:rsidR="00BA6128">
        <w:t>.</w:t>
      </w:r>
      <w:r w:rsidR="00BA6128">
        <w:t xml:space="preserve"> It notes that </w:t>
      </w:r>
      <w:r w:rsidR="006975BD">
        <w:t xml:space="preserve">they were </w:t>
      </w:r>
      <w:r w:rsidR="00BA6128">
        <w:t>each ordered to pay a substantial amount</w:t>
      </w:r>
      <w:r w:rsidR="006975BD">
        <w:t>,</w:t>
      </w:r>
      <w:r w:rsidR="00463253">
        <w:t xml:space="preserve"> first to Mr </w:t>
      </w:r>
      <w:r w:rsidR="00BA6128">
        <w:t xml:space="preserve">Shulga in his </w:t>
      </w:r>
      <w:r w:rsidR="006975BD">
        <w:t xml:space="preserve">private </w:t>
      </w:r>
      <w:r w:rsidR="00BA6128">
        <w:t>capacity and then an even greater amount to the courts</w:t>
      </w:r>
      <w:r w:rsidR="0000251F">
        <w:t>'</w:t>
      </w:r>
      <w:r w:rsidR="00BA6128">
        <w:t xml:space="preserve"> management department. The domestic courts did not analyse what part of the applicants</w:t>
      </w:r>
      <w:r w:rsidR="0000251F">
        <w:t>'</w:t>
      </w:r>
      <w:r w:rsidR="00BA6128">
        <w:t xml:space="preserve"> income those amounts represented and whether </w:t>
      </w:r>
      <w:r w:rsidR="00965322">
        <w:t xml:space="preserve">an excessive burden would thereby </w:t>
      </w:r>
      <w:r w:rsidR="00D82FE1">
        <w:t xml:space="preserve">be </w:t>
      </w:r>
      <w:r w:rsidR="00965322">
        <w:t>imposed on them.</w:t>
      </w:r>
      <w:r w:rsidR="00BA6128">
        <w:t xml:space="preserve"> </w:t>
      </w:r>
      <w:r w:rsidR="00965322">
        <w:t>In the applicants</w:t>
      </w:r>
      <w:r w:rsidR="0000251F">
        <w:t>'</w:t>
      </w:r>
      <w:r w:rsidR="00965322">
        <w:t xml:space="preserve"> submission, undisputed by the Government, the sanction was equivalent to their</w:t>
      </w:r>
      <w:r w:rsidR="00D91AA9">
        <w:t xml:space="preserve"> income for</w:t>
      </w:r>
      <w:r w:rsidR="00965322">
        <w:t xml:space="preserve"> four months</w:t>
      </w:r>
      <w:r w:rsidR="00D91AA9">
        <w:t xml:space="preserve"> and was thus</w:t>
      </w:r>
      <w:r w:rsidR="00965322">
        <w:t xml:space="preserve"> obviously a severe penalty.</w:t>
      </w:r>
    </w:p>
    <w:p w:rsidR="00B32ED8" w:rsidP="00B32ED8" w:rsidRDefault="00B32ED8">
      <w:pPr>
        <w:pStyle w:val="JuPara"/>
      </w:pPr>
      <w:r>
        <w:fldChar w:fldCharType="begin"/>
      </w:r>
      <w:r>
        <w:instrText xml:space="preserve"> SEQ level0 \*arabic </w:instrText>
      </w:r>
      <w:r>
        <w:fldChar w:fldCharType="separate"/>
      </w:r>
      <w:r w:rsidR="00303682">
        <w:rPr>
          <w:noProof/>
        </w:rPr>
        <w:t>49</w:t>
      </w:r>
      <w:r>
        <w:fldChar w:fldCharType="end"/>
      </w:r>
      <w:r>
        <w:t>.  </w:t>
      </w:r>
      <w:r w:rsidRPr="00320367">
        <w:t xml:space="preserve">In conclusion, the Court finds that </w:t>
      </w:r>
      <w:r>
        <w:t>t</w:t>
      </w:r>
      <w:r w:rsidRPr="00320367">
        <w:t xml:space="preserve">he </w:t>
      </w:r>
      <w:r>
        <w:t xml:space="preserve">Russian </w:t>
      </w:r>
      <w:r w:rsidRPr="00320367">
        <w:t xml:space="preserve">authorities </w:t>
      </w:r>
      <w:r w:rsidR="00965322">
        <w:t>did not adjudicate the defamation claims in compliance with the Convention standards and did not adduce relevant and sufficient reasons for the interference with the applicants</w:t>
      </w:r>
      <w:r w:rsidR="0000251F">
        <w:t>'</w:t>
      </w:r>
      <w:r w:rsidR="00965322">
        <w:t xml:space="preserve"> right to freedom of expression. </w:t>
      </w:r>
      <w:r w:rsidRPr="00320367">
        <w:t>Accordingly, the interference complained of was not “necessary in a democratic society” within the meaning of Article 10 § 2 of the Convention.</w:t>
      </w:r>
    </w:p>
    <w:p w:rsidRPr="00B831FD" w:rsidR="00B32ED8" w:rsidP="00B32ED8" w:rsidRDefault="00B32ED8">
      <w:pPr>
        <w:pStyle w:val="JuParaCharChar"/>
      </w:pPr>
      <w:r w:rsidRPr="00320367">
        <w:fldChar w:fldCharType="begin"/>
      </w:r>
      <w:r w:rsidRPr="00320367">
        <w:instrText xml:space="preserve"> SEQ level0 \*arabic </w:instrText>
      </w:r>
      <w:r w:rsidRPr="00320367">
        <w:fldChar w:fldCharType="separate"/>
      </w:r>
      <w:r w:rsidR="00303682">
        <w:rPr>
          <w:noProof/>
        </w:rPr>
        <w:t>50</w:t>
      </w:r>
      <w:r w:rsidRPr="00320367">
        <w:fldChar w:fldCharType="end"/>
      </w:r>
      <w:r w:rsidRPr="00320367">
        <w:t>.  There has therefore been a violation of Ar</w:t>
      </w:r>
      <w:r>
        <w:t>ticle 10 of the Convention.</w:t>
      </w:r>
    </w:p>
    <w:p w:rsidRPr="00094FB2" w:rsidR="00094FB2" w:rsidRDefault="00E23E22">
      <w:pPr>
        <w:pStyle w:val="JuHIRoman"/>
      </w:pPr>
      <w:r>
        <w:t>II</w:t>
      </w:r>
      <w:r w:rsidRPr="00094FB2" w:rsidR="00094FB2">
        <w:t>.  APPLICATION OF ARTICLE 41 OF THE CONVENTION</w:t>
      </w:r>
    </w:p>
    <w:p w:rsidRPr="00094FB2" w:rsidR="00094FB2" w:rsidRDefault="00094FB2">
      <w:pPr>
        <w:pStyle w:val="JuPara"/>
        <w:keepNext/>
        <w:keepLines/>
      </w:pPr>
      <w:r w:rsidRPr="00094FB2">
        <w:fldChar w:fldCharType="begin"/>
      </w:r>
      <w:r w:rsidRPr="00094FB2">
        <w:instrText xml:space="preserve"> SEQ level0 \*arabic </w:instrText>
      </w:r>
      <w:r w:rsidRPr="00094FB2">
        <w:fldChar w:fldCharType="separate"/>
      </w:r>
      <w:r w:rsidR="00303682">
        <w:rPr>
          <w:noProof/>
        </w:rPr>
        <w:t>51</w:t>
      </w:r>
      <w:r w:rsidRPr="00094FB2">
        <w:fldChar w:fldCharType="end"/>
      </w:r>
      <w:r w:rsidRPr="00094FB2">
        <w:t>.  Article 41 of the Convention provides:</w:t>
      </w:r>
    </w:p>
    <w:p w:rsidRPr="00094FB2" w:rsidR="00094FB2" w:rsidRDefault="00094FB2">
      <w:pPr>
        <w:pStyle w:val="JuQuot"/>
        <w:keepNext/>
        <w:keepLines/>
      </w:pPr>
      <w:r w:rsidRPr="00094FB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94FB2" w:rsidR="00094FB2" w:rsidRDefault="00094FB2">
      <w:pPr>
        <w:pStyle w:val="JuHA"/>
      </w:pPr>
      <w:r w:rsidRPr="00094FB2">
        <w:t>A.  </w:t>
      </w:r>
      <w:r w:rsidR="003219C9">
        <w:t>Pecuniary d</w:t>
      </w:r>
      <w:r w:rsidRPr="00094FB2">
        <w:t>amage</w:t>
      </w:r>
    </w:p>
    <w:p w:rsidR="00094FB2" w:rsidRDefault="00094FB2">
      <w:pPr>
        <w:pStyle w:val="JuPara"/>
      </w:pPr>
      <w:r w:rsidRPr="00094FB2">
        <w:fldChar w:fldCharType="begin"/>
      </w:r>
      <w:r w:rsidRPr="00094FB2">
        <w:instrText xml:space="preserve"> SEQ level0 \*arabic </w:instrText>
      </w:r>
      <w:r w:rsidRPr="00094FB2">
        <w:fldChar w:fldCharType="separate"/>
      </w:r>
      <w:r w:rsidR="00303682">
        <w:rPr>
          <w:noProof/>
        </w:rPr>
        <w:t>52</w:t>
      </w:r>
      <w:r w:rsidRPr="00094FB2">
        <w:fldChar w:fldCharType="end"/>
      </w:r>
      <w:r w:rsidRPr="00094FB2">
        <w:t>.  </w:t>
      </w:r>
      <w:r w:rsidR="003219C9">
        <w:t xml:space="preserve">The applicants </w:t>
      </w:r>
      <w:r w:rsidR="00D91AA9">
        <w:t xml:space="preserve">each </w:t>
      </w:r>
      <w:r w:rsidR="003219C9">
        <w:t xml:space="preserve">claimed 860 euros (EUR) as compensation in respect of pecuniary damage. That sum corresponded to the amount which </w:t>
      </w:r>
      <w:r w:rsidR="00D82FE1">
        <w:t>they</w:t>
      </w:r>
      <w:r w:rsidR="003219C9">
        <w:t xml:space="preserve"> had </w:t>
      </w:r>
      <w:r w:rsidR="00D82FE1">
        <w:t xml:space="preserve">each </w:t>
      </w:r>
      <w:r w:rsidR="003219C9">
        <w:t>had to pay to the plaintiffs as a result of the domestic courts</w:t>
      </w:r>
      <w:r w:rsidR="0000251F">
        <w:t>'</w:t>
      </w:r>
      <w:r w:rsidR="003219C9">
        <w:t xml:space="preserve"> judgments.</w:t>
      </w:r>
    </w:p>
    <w:p w:rsidR="003219C9" w:rsidRDefault="003219C9">
      <w:pPr>
        <w:pStyle w:val="JuPara"/>
      </w:pPr>
      <w:r>
        <w:fldChar w:fldCharType="begin"/>
      </w:r>
      <w:r>
        <w:instrText xml:space="preserve"> SEQ level0 \*arabic </w:instrText>
      </w:r>
      <w:r>
        <w:fldChar w:fldCharType="separate"/>
      </w:r>
      <w:r w:rsidR="00303682">
        <w:rPr>
          <w:noProof/>
        </w:rPr>
        <w:t>53</w:t>
      </w:r>
      <w:r>
        <w:fldChar w:fldCharType="end"/>
      </w:r>
      <w:r>
        <w:t>.  </w:t>
      </w:r>
      <w:r w:rsidR="00E8174F">
        <w:t>The Government accepted that the applicants</w:t>
      </w:r>
      <w:r w:rsidR="0000251F">
        <w:t>'</w:t>
      </w:r>
      <w:r w:rsidR="00E8174F">
        <w:t xml:space="preserve"> claims were reasonable in so far as those expenses had actually </w:t>
      </w:r>
      <w:r w:rsidR="00D91AA9">
        <w:t xml:space="preserve">been </w:t>
      </w:r>
      <w:r w:rsidR="00E8174F">
        <w:t>incurred.</w:t>
      </w:r>
    </w:p>
    <w:p w:rsidRPr="00EF788D" w:rsidR="00E8174F" w:rsidRDefault="00E8174F">
      <w:pPr>
        <w:pStyle w:val="JuPara"/>
      </w:pPr>
      <w:r>
        <w:fldChar w:fldCharType="begin"/>
      </w:r>
      <w:r>
        <w:instrText xml:space="preserve"> SEQ level0 \*arabic </w:instrText>
      </w:r>
      <w:r>
        <w:fldChar w:fldCharType="separate"/>
      </w:r>
      <w:r w:rsidR="00303682">
        <w:rPr>
          <w:noProof/>
        </w:rPr>
        <w:t>54</w:t>
      </w:r>
      <w:r>
        <w:fldChar w:fldCharType="end"/>
      </w:r>
      <w:r>
        <w:t>.  </w:t>
      </w:r>
      <w:r w:rsidRPr="00EF788D" w:rsidR="00EF788D">
        <w:t>The Court finds that there is a causal link between the violation found and the alleged pecuniary damage in</w:t>
      </w:r>
      <w:r w:rsidR="00D82FE1">
        <w:t xml:space="preserve"> </w:t>
      </w:r>
      <w:r w:rsidRPr="00EF788D" w:rsidR="00EF788D">
        <w:t>so</w:t>
      </w:r>
      <w:r w:rsidR="00D82FE1">
        <w:t xml:space="preserve"> </w:t>
      </w:r>
      <w:r w:rsidRPr="00EF788D" w:rsidR="00EF788D">
        <w:t>far as the applicant</w:t>
      </w:r>
      <w:r w:rsidR="00EF788D">
        <w:t>s</w:t>
      </w:r>
      <w:r w:rsidRPr="00EF788D" w:rsidR="00EF788D">
        <w:t xml:space="preserve"> refer</w:t>
      </w:r>
      <w:r w:rsidR="00EF788D">
        <w:t>red</w:t>
      </w:r>
      <w:r w:rsidRPr="00EF788D" w:rsidR="00EF788D">
        <w:t xml:space="preserve"> to the amount</w:t>
      </w:r>
      <w:r w:rsidR="00EF788D">
        <w:t>s</w:t>
      </w:r>
      <w:r w:rsidRPr="00EF788D" w:rsidR="00EF788D">
        <w:t xml:space="preserve"> which </w:t>
      </w:r>
      <w:r w:rsidR="00EF788D">
        <w:t xml:space="preserve">they had </w:t>
      </w:r>
      <w:r w:rsidR="00500472">
        <w:t>paid</w:t>
      </w:r>
      <w:r w:rsidRPr="00EF788D" w:rsidR="00EF788D">
        <w:t xml:space="preserve"> under the domestic judgments.</w:t>
      </w:r>
      <w:r w:rsidR="00EF788D">
        <w:t xml:space="preserve"> </w:t>
      </w:r>
      <w:r w:rsidRPr="00EF788D" w:rsidR="00EF788D">
        <w:t xml:space="preserve">Consequently, the Court awards </w:t>
      </w:r>
      <w:r w:rsidR="00EF788D">
        <w:t xml:space="preserve">each </w:t>
      </w:r>
      <w:r w:rsidRPr="00EF788D" w:rsidR="00EF788D">
        <w:t xml:space="preserve">applicant EUR </w:t>
      </w:r>
      <w:r w:rsidR="00EF788D">
        <w:t>860</w:t>
      </w:r>
      <w:r w:rsidRPr="00EF788D" w:rsidR="00EF788D">
        <w:t xml:space="preserve"> in respect of the pecuniary damage, plus any tax that may be chargeable on that amount.</w:t>
      </w:r>
    </w:p>
    <w:p w:rsidR="003219C9" w:rsidP="003219C9" w:rsidRDefault="003219C9">
      <w:pPr>
        <w:pStyle w:val="JuHA"/>
      </w:pPr>
      <w:r>
        <w:t>B</w:t>
      </w:r>
      <w:r w:rsidRPr="00094FB2">
        <w:t>.  </w:t>
      </w:r>
      <w:r>
        <w:t>Non-pecuniary d</w:t>
      </w:r>
      <w:r w:rsidRPr="00094FB2">
        <w:t>amage</w:t>
      </w:r>
    </w:p>
    <w:p w:rsidR="003219C9" w:rsidP="003219C9" w:rsidRDefault="003219C9">
      <w:pPr>
        <w:pStyle w:val="JuPara"/>
      </w:pPr>
      <w:r>
        <w:fldChar w:fldCharType="begin"/>
      </w:r>
      <w:r>
        <w:instrText xml:space="preserve"> SEQ level0 \*arabic </w:instrText>
      </w:r>
      <w:r>
        <w:fldChar w:fldCharType="separate"/>
      </w:r>
      <w:r w:rsidR="00303682">
        <w:rPr>
          <w:noProof/>
        </w:rPr>
        <w:t>55</w:t>
      </w:r>
      <w:r>
        <w:fldChar w:fldCharType="end"/>
      </w:r>
      <w:r>
        <w:t>.  </w:t>
      </w:r>
      <w:r w:rsidR="00C65720">
        <w:t xml:space="preserve">The applicant Mr Trubitsyn claimed EUR 3,000 and the applicants Ms Romanenko and Ms Grebneva each </w:t>
      </w:r>
      <w:r w:rsidR="00D82FE1">
        <w:t xml:space="preserve">claimed </w:t>
      </w:r>
      <w:r w:rsidR="00C65720">
        <w:t>EUR 1,000 as compensation in respect of non-pecuniary damage.</w:t>
      </w:r>
      <w:r w:rsidR="002E2CD1">
        <w:t xml:space="preserve"> They referred to the awards made by the Court in comparable cases.</w:t>
      </w:r>
    </w:p>
    <w:p w:rsidR="003219C9" w:rsidP="003219C9" w:rsidRDefault="003219C9">
      <w:pPr>
        <w:pStyle w:val="JuPara"/>
      </w:pPr>
      <w:r>
        <w:fldChar w:fldCharType="begin"/>
      </w:r>
      <w:r>
        <w:instrText xml:space="preserve"> SEQ level0 \*arabic </w:instrText>
      </w:r>
      <w:r>
        <w:fldChar w:fldCharType="separate"/>
      </w:r>
      <w:r w:rsidR="00303682">
        <w:rPr>
          <w:noProof/>
        </w:rPr>
        <w:t>56</w:t>
      </w:r>
      <w:r>
        <w:fldChar w:fldCharType="end"/>
      </w:r>
      <w:r>
        <w:t>.  </w:t>
      </w:r>
      <w:r w:rsidR="00E8174F">
        <w:t>The Government submitted that the amounts claimed were excessive.</w:t>
      </w:r>
    </w:p>
    <w:p w:rsidRPr="00B32ED8" w:rsidR="00745B85" w:rsidP="003219C9" w:rsidRDefault="00B32ED8">
      <w:pPr>
        <w:pStyle w:val="JuPara"/>
        <w:rPr>
          <w:i/>
          <w:lang w:eastAsia="en-US"/>
        </w:rPr>
      </w:pPr>
      <w:r>
        <w:fldChar w:fldCharType="begin"/>
      </w:r>
      <w:r>
        <w:instrText xml:space="preserve"> SEQ level0 \*arabic </w:instrText>
      </w:r>
      <w:r>
        <w:fldChar w:fldCharType="separate"/>
      </w:r>
      <w:r w:rsidR="00303682">
        <w:rPr>
          <w:noProof/>
        </w:rPr>
        <w:t>57</w:t>
      </w:r>
      <w:r>
        <w:fldChar w:fldCharType="end"/>
      </w:r>
      <w:r>
        <w:t xml:space="preserve">.  The Court considers that the applicants have suffered non-pecuniary damage as a result of the domestic judgments which were incompatible with the Convention principles. The damage cannot be sufficiently compensated </w:t>
      </w:r>
      <w:r w:rsidR="00D82FE1">
        <w:t xml:space="preserve">for </w:t>
      </w:r>
      <w:r>
        <w:t xml:space="preserve">by the finding of a violation. The Court considers, however, that the </w:t>
      </w:r>
      <w:r w:rsidR="00D91AA9">
        <w:t xml:space="preserve">specific </w:t>
      </w:r>
      <w:r>
        <w:t>amount claimed by the first applicant is excessive. Making its assessment on an equitable basis, the Court awards each applicant EUR</w:t>
      </w:r>
      <w:r w:rsidR="00D91AA9">
        <w:t> </w:t>
      </w:r>
      <w:r>
        <w:t>1,000 plus any tax that may be chargeable on that amount.</w:t>
      </w:r>
    </w:p>
    <w:p w:rsidRPr="00094FB2" w:rsidR="00094FB2" w:rsidRDefault="003219C9">
      <w:pPr>
        <w:pStyle w:val="JuHA"/>
      </w:pPr>
      <w:r>
        <w:t>C</w:t>
      </w:r>
      <w:r w:rsidRPr="00094FB2" w:rsidR="00094FB2">
        <w:t>.  Costs and expenses</w:t>
      </w:r>
    </w:p>
    <w:p w:rsidR="00094FB2" w:rsidRDefault="00094FB2">
      <w:pPr>
        <w:pStyle w:val="JuPara"/>
      </w:pPr>
      <w:r w:rsidRPr="00094FB2">
        <w:fldChar w:fldCharType="begin"/>
      </w:r>
      <w:r w:rsidRPr="00094FB2">
        <w:instrText xml:space="preserve"> SEQ level0 \*arabic </w:instrText>
      </w:r>
      <w:r w:rsidRPr="00094FB2">
        <w:fldChar w:fldCharType="separate"/>
      </w:r>
      <w:r w:rsidR="00303682">
        <w:rPr>
          <w:noProof/>
        </w:rPr>
        <w:t>58</w:t>
      </w:r>
      <w:r w:rsidRPr="00094FB2">
        <w:fldChar w:fldCharType="end"/>
      </w:r>
      <w:r w:rsidRPr="00094FB2">
        <w:t>.  </w:t>
      </w:r>
      <w:r w:rsidR="003219C9">
        <w:t xml:space="preserve">The applicants claimed EUR 1,400 for twenty-eight hours of work carried out by their representatives in the </w:t>
      </w:r>
      <w:smartTag w:uri="urn:schemas-microsoft-com:office:smarttags" w:element="place">
        <w:smartTag w:uri="urn:schemas-microsoft-com:office:smarttags" w:element="City">
          <w:r w:rsidR="003219C9">
            <w:t>Strasbourg</w:t>
          </w:r>
        </w:smartTag>
      </w:smartTag>
      <w:r w:rsidR="003219C9">
        <w:t xml:space="preserve"> proceedings at the hourly rate of EUR 50. They submitted a time-sheet.</w:t>
      </w:r>
    </w:p>
    <w:p w:rsidR="003219C9" w:rsidRDefault="003219C9">
      <w:pPr>
        <w:pStyle w:val="JuPara"/>
      </w:pPr>
      <w:r>
        <w:fldChar w:fldCharType="begin"/>
      </w:r>
      <w:r>
        <w:instrText xml:space="preserve"> SEQ level0 \*arabic </w:instrText>
      </w:r>
      <w:r>
        <w:fldChar w:fldCharType="separate"/>
      </w:r>
      <w:r w:rsidR="00303682">
        <w:rPr>
          <w:noProof/>
        </w:rPr>
        <w:t>59</w:t>
      </w:r>
      <w:r>
        <w:fldChar w:fldCharType="end"/>
      </w:r>
      <w:r>
        <w:t>.  </w:t>
      </w:r>
      <w:r w:rsidR="00E8174F">
        <w:t>The Government alleged that the representatives might have acted in their own interest when presenting the case, that the hourly rate had been excessive, and that the participation of two counsel had not been necessary.</w:t>
      </w:r>
      <w:r w:rsidR="00A00955">
        <w:t xml:space="preserve"> In any event, there was no evidence that the applicants had actually incurred any legal expenses.</w:t>
      </w:r>
    </w:p>
    <w:p w:rsidRPr="00EF788D" w:rsidR="00E8174F" w:rsidRDefault="00E8174F">
      <w:pPr>
        <w:pStyle w:val="JuPara"/>
      </w:pPr>
      <w:r>
        <w:fldChar w:fldCharType="begin"/>
      </w:r>
      <w:r>
        <w:instrText xml:space="preserve"> SEQ level0 \*arabic </w:instrText>
      </w:r>
      <w:r>
        <w:fldChar w:fldCharType="separate"/>
      </w:r>
      <w:r w:rsidR="00303682">
        <w:rPr>
          <w:noProof/>
        </w:rPr>
        <w:t>60</w:t>
      </w:r>
      <w:r>
        <w:fldChar w:fldCharType="end"/>
      </w:r>
      <w:r>
        <w:t>.  </w:t>
      </w:r>
      <w:r w:rsidRPr="00EF788D" w:rsidR="00EF788D">
        <w:t xml:space="preserve">According to the </w:t>
      </w:r>
      <w:r w:rsidRPr="00EF788D" w:rsidR="00D91AA9">
        <w:t>Court</w:t>
      </w:r>
      <w:r w:rsidR="0000251F">
        <w:t>'</w:t>
      </w:r>
      <w:r w:rsidRPr="00EF788D" w:rsidR="00D91AA9">
        <w:t xml:space="preserve">s </w:t>
      </w:r>
      <w:r w:rsidRPr="00EF788D" w:rsidR="00EF788D">
        <w:t>case-law, an applicant is entitled to reimbursement of his costs and expenses in so far as it has been shown that these have been actually and necessarily incurred and were reasonable as to quantum. Examining the documents submitted by the applicant</w:t>
      </w:r>
      <w:r w:rsidR="00500472">
        <w:t>s</w:t>
      </w:r>
      <w:r w:rsidRPr="00EF788D" w:rsidR="00EF788D">
        <w:t>, the Court is satisfied that the</w:t>
      </w:r>
      <w:r w:rsidR="00EF788D">
        <w:t xml:space="preserve"> hourly rate</w:t>
      </w:r>
      <w:r w:rsidRPr="00EF788D" w:rsidR="00EF788D">
        <w:t xml:space="preserve"> </w:t>
      </w:r>
      <w:r w:rsidR="00EF788D">
        <w:t xml:space="preserve">and the number of hours spent were </w:t>
      </w:r>
      <w:r w:rsidRPr="00EF788D" w:rsidR="00EF788D">
        <w:t>reasonable as to quantum and awards the applicant</w:t>
      </w:r>
      <w:r w:rsidR="00EF788D">
        <w:t>s</w:t>
      </w:r>
      <w:r w:rsidRPr="00EF788D" w:rsidR="00EF788D">
        <w:t xml:space="preserve"> </w:t>
      </w:r>
      <w:r w:rsidR="000B739E">
        <w:t xml:space="preserve">jointly </w:t>
      </w:r>
      <w:r w:rsidRPr="00EF788D" w:rsidR="00EF788D">
        <w:t xml:space="preserve">the entire amount </w:t>
      </w:r>
      <w:r w:rsidR="000B739E">
        <w:t>t</w:t>
      </w:r>
      <w:r w:rsidRPr="00EF788D" w:rsidR="00EF788D">
        <w:t>he</w:t>
      </w:r>
      <w:r w:rsidR="000B739E">
        <w:t>y</w:t>
      </w:r>
      <w:r w:rsidRPr="00EF788D" w:rsidR="00EF788D">
        <w:t xml:space="preserve"> claimed in respect of costs and expenses, namely EUR 1,</w:t>
      </w:r>
      <w:r w:rsidR="000B739E">
        <w:t>400</w:t>
      </w:r>
      <w:r w:rsidRPr="00EF788D" w:rsidR="00EF788D">
        <w:t xml:space="preserve">, plus any tax that may be chargeable </w:t>
      </w:r>
      <w:r w:rsidR="000B739E">
        <w:t>to the applicants</w:t>
      </w:r>
      <w:r w:rsidR="00D82FE1">
        <w:t xml:space="preserve"> on that amount</w:t>
      </w:r>
      <w:r w:rsidRPr="00EF788D" w:rsidR="00EF788D">
        <w:t>.</w:t>
      </w:r>
    </w:p>
    <w:p w:rsidRPr="00094FB2" w:rsidR="00094FB2" w:rsidRDefault="003219C9">
      <w:pPr>
        <w:pStyle w:val="JuHA"/>
      </w:pPr>
      <w:r>
        <w:t>D</w:t>
      </w:r>
      <w:r w:rsidRPr="00094FB2" w:rsidR="00094FB2">
        <w:t>.  Default interest</w:t>
      </w:r>
    </w:p>
    <w:p w:rsidRPr="00094FB2" w:rsidR="00260DD7" w:rsidRDefault="00094FB2">
      <w:pPr>
        <w:pStyle w:val="JuPara"/>
      </w:pPr>
      <w:r w:rsidRPr="00094FB2">
        <w:fldChar w:fldCharType="begin"/>
      </w:r>
      <w:r w:rsidRPr="00094FB2">
        <w:instrText xml:space="preserve"> SEQ level0 \*arabic </w:instrText>
      </w:r>
      <w:r w:rsidRPr="00094FB2">
        <w:fldChar w:fldCharType="separate"/>
      </w:r>
      <w:r w:rsidR="00303682">
        <w:rPr>
          <w:noProof/>
        </w:rPr>
        <w:t>61</w:t>
      </w:r>
      <w:r w:rsidRPr="00094FB2">
        <w:fldChar w:fldCharType="end"/>
      </w:r>
      <w:r w:rsidRPr="00094FB2">
        <w:t>.  The Court considers it appropriate that the default interest should be based on the marginal lending rate of the European Central Bank, to which should be added three percentage points.</w:t>
      </w:r>
    </w:p>
    <w:p w:rsidRPr="00094FB2" w:rsidR="00260DD7" w:rsidRDefault="00260DD7">
      <w:pPr>
        <w:pStyle w:val="JuHHead"/>
      </w:pPr>
      <w:r w:rsidRPr="00094FB2">
        <w:t>FOR THESE REASONS, THE COURT UNANIMOUSLY</w:t>
      </w:r>
    </w:p>
    <w:p w:rsidRPr="00094FB2" w:rsidR="00094FB2" w:rsidRDefault="00094FB2">
      <w:pPr>
        <w:pStyle w:val="JuList"/>
      </w:pPr>
      <w:r w:rsidRPr="00094FB2">
        <w:t>1.  </w:t>
      </w:r>
      <w:r w:rsidRPr="00094FB2">
        <w:rPr>
          <w:i/>
        </w:rPr>
        <w:t>Holds</w:t>
      </w:r>
      <w:r w:rsidRPr="00094FB2">
        <w:t xml:space="preserve"> that there has been a violation of Article </w:t>
      </w:r>
      <w:r w:rsidR="00FE58AA">
        <w:t>10</w:t>
      </w:r>
      <w:r w:rsidRPr="00094FB2">
        <w:t xml:space="preserve"> of the Convention;</w:t>
      </w:r>
    </w:p>
    <w:p w:rsidRPr="00094FB2" w:rsidR="00094FB2" w:rsidRDefault="00094FB2">
      <w:pPr>
        <w:pStyle w:val="JuList"/>
      </w:pPr>
    </w:p>
    <w:p w:rsidR="00B93C6A" w:rsidP="00B93C6A" w:rsidRDefault="00B93C6A">
      <w:pPr>
        <w:pStyle w:val="JuList"/>
      </w:pPr>
      <w:r>
        <w:t>2</w:t>
      </w:r>
      <w:r w:rsidRPr="00EC79E6">
        <w:t>.  </w:t>
      </w:r>
      <w:r w:rsidRPr="00EC79E6">
        <w:rPr>
          <w:i/>
        </w:rPr>
        <w:t>Holds</w:t>
      </w:r>
    </w:p>
    <w:p w:rsidRPr="0053304E" w:rsidR="00B93C6A" w:rsidP="00B93C6A" w:rsidRDefault="00B93C6A">
      <w:pPr>
        <w:pStyle w:val="JuLista"/>
      </w:pPr>
      <w:r w:rsidRPr="00DC4873">
        <w:t>(a)  that the respondent State is to pay, within three months from the date on which the judgment becomes final in accordance with A</w:t>
      </w:r>
      <w:r>
        <w:t xml:space="preserve">rticle 44 § 2 of the Convention, </w:t>
      </w:r>
      <w:r w:rsidRPr="0053304E">
        <w:t>the following amounts</w:t>
      </w:r>
      <w:r>
        <w:t>,</w:t>
      </w:r>
      <w:r w:rsidRPr="00F25427">
        <w:t xml:space="preserve"> </w:t>
      </w:r>
      <w:r w:rsidRPr="0039429E">
        <w:t>to be converted into Russian roubles at the rate applicable at the date of settlement</w:t>
      </w:r>
      <w:r w:rsidRPr="0053304E">
        <w:t>:</w:t>
      </w:r>
    </w:p>
    <w:p w:rsidRPr="0053304E" w:rsidR="00B93C6A" w:rsidP="00B93C6A" w:rsidRDefault="00B93C6A">
      <w:pPr>
        <w:pStyle w:val="JuListi"/>
      </w:pPr>
      <w:r w:rsidRPr="0053304E">
        <w:t xml:space="preserve">(i)  EUR </w:t>
      </w:r>
      <w:r w:rsidRPr="00B93C6A">
        <w:t>860</w:t>
      </w:r>
      <w:r>
        <w:t xml:space="preserve"> </w:t>
      </w:r>
      <w:r w:rsidRPr="0053304E">
        <w:t>(</w:t>
      </w:r>
      <w:r w:rsidRPr="00B93C6A">
        <w:t>eight hundred</w:t>
      </w:r>
      <w:r w:rsidR="00D82FE1">
        <w:t xml:space="preserve"> and</w:t>
      </w:r>
      <w:r w:rsidRPr="00B93C6A">
        <w:t xml:space="preserve"> sixty </w:t>
      </w:r>
      <w:r w:rsidRPr="0053304E">
        <w:t xml:space="preserve">euros) </w:t>
      </w:r>
      <w:r>
        <w:t xml:space="preserve">to each applicant </w:t>
      </w:r>
      <w:r w:rsidRPr="0053304E">
        <w:t xml:space="preserve">in respect of </w:t>
      </w:r>
      <w:r>
        <w:t>p</w:t>
      </w:r>
      <w:r w:rsidRPr="0053304E">
        <w:t>ecuniary damage</w:t>
      </w:r>
      <w:r>
        <w:t>, plus any tax that may be chargeable</w:t>
      </w:r>
      <w:r w:rsidR="00D91AA9">
        <w:t xml:space="preserve"> on that amount</w:t>
      </w:r>
      <w:r w:rsidRPr="0053304E">
        <w:t>;</w:t>
      </w:r>
    </w:p>
    <w:p w:rsidRPr="0053304E" w:rsidR="00B93C6A" w:rsidP="00B93C6A" w:rsidRDefault="00B93C6A">
      <w:pPr>
        <w:pStyle w:val="JuListi"/>
      </w:pPr>
      <w:r w:rsidRPr="0053304E">
        <w:t>(</w:t>
      </w:r>
      <w:r>
        <w:t>i</w:t>
      </w:r>
      <w:r w:rsidRPr="0053304E">
        <w:t xml:space="preserve">i)  EUR </w:t>
      </w:r>
      <w:r>
        <w:t xml:space="preserve">1,000 </w:t>
      </w:r>
      <w:r w:rsidRPr="0053304E">
        <w:t>(</w:t>
      </w:r>
      <w:r>
        <w:t xml:space="preserve">one thousand </w:t>
      </w:r>
      <w:r w:rsidRPr="0053304E">
        <w:t xml:space="preserve">euros) </w:t>
      </w:r>
      <w:r>
        <w:t xml:space="preserve">to each applicant </w:t>
      </w:r>
      <w:r w:rsidRPr="0053304E">
        <w:t xml:space="preserve">in respect of </w:t>
      </w:r>
      <w:r>
        <w:t>non-p</w:t>
      </w:r>
      <w:r w:rsidRPr="0053304E">
        <w:t>ecuniary damage</w:t>
      </w:r>
      <w:r>
        <w:t>,</w:t>
      </w:r>
      <w:r w:rsidRPr="00B93C6A">
        <w:t xml:space="preserve"> </w:t>
      </w:r>
      <w:r>
        <w:t>plus any tax that may be chargeable</w:t>
      </w:r>
      <w:r w:rsidR="00D91AA9">
        <w:t xml:space="preserve"> on that amount</w:t>
      </w:r>
      <w:r w:rsidRPr="0053304E">
        <w:t>;</w:t>
      </w:r>
    </w:p>
    <w:p w:rsidRPr="0053304E" w:rsidR="00B93C6A" w:rsidP="00B93C6A" w:rsidRDefault="00B93C6A">
      <w:pPr>
        <w:pStyle w:val="JuListi"/>
      </w:pPr>
      <w:r w:rsidRPr="0053304E">
        <w:t>(</w:t>
      </w:r>
      <w:r>
        <w:t>i</w:t>
      </w:r>
      <w:r w:rsidRPr="0053304E">
        <w:t xml:space="preserve">ii)  EUR </w:t>
      </w:r>
      <w:r>
        <w:t>1,400</w:t>
      </w:r>
      <w:r w:rsidRPr="0053304E">
        <w:t xml:space="preserve"> (</w:t>
      </w:r>
      <w:r>
        <w:t xml:space="preserve">one thousand four hundred </w:t>
      </w:r>
      <w:r w:rsidRPr="0053304E">
        <w:t xml:space="preserve">euros) </w:t>
      </w:r>
      <w:r>
        <w:t xml:space="preserve">to </w:t>
      </w:r>
      <w:r w:rsidR="00395E82">
        <w:t xml:space="preserve">the </w:t>
      </w:r>
      <w:r>
        <w:t xml:space="preserve">applicants jointly </w:t>
      </w:r>
      <w:r w:rsidRPr="0053304E">
        <w:t>in respect of costs and expenses</w:t>
      </w:r>
      <w:r>
        <w:t>, plus any tax that may be chargeable to the applicants</w:t>
      </w:r>
      <w:r w:rsidR="00D91AA9">
        <w:t xml:space="preserve"> on that amount</w:t>
      </w:r>
      <w:r w:rsidRPr="0053304E">
        <w:t>;</w:t>
      </w:r>
    </w:p>
    <w:p w:rsidRPr="00EC79E6" w:rsidR="00B93C6A" w:rsidP="00B93C6A" w:rsidRDefault="00B93C6A">
      <w:pPr>
        <w:pStyle w:val="JuLista"/>
      </w:pPr>
      <w:r w:rsidRPr="00EC79E6">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94FB2" w:rsidR="00094FB2" w:rsidRDefault="00094FB2">
      <w:pPr>
        <w:pStyle w:val="JuList"/>
      </w:pPr>
    </w:p>
    <w:p w:rsidRPr="00094FB2" w:rsidR="00260DD7" w:rsidRDefault="00B93C6A">
      <w:pPr>
        <w:pStyle w:val="JuList"/>
      </w:pPr>
      <w:r>
        <w:t>3</w:t>
      </w:r>
      <w:r w:rsidRPr="00094FB2" w:rsidR="00094FB2">
        <w:t>.  </w:t>
      </w:r>
      <w:r w:rsidRPr="00094FB2" w:rsidR="00094FB2">
        <w:rPr>
          <w:i/>
        </w:rPr>
        <w:t>Dismisses</w:t>
      </w:r>
      <w:r w:rsidRPr="00094FB2" w:rsidR="00094FB2">
        <w:t xml:space="preserve"> the remainder of the </w:t>
      </w:r>
      <w:r w:rsidR="00500472">
        <w:t xml:space="preserve">first </w:t>
      </w:r>
      <w:r w:rsidRPr="00094FB2" w:rsidR="00094FB2">
        <w:t>applicant</w:t>
      </w:r>
      <w:r w:rsidR="0000251F">
        <w:t>'</w:t>
      </w:r>
      <w:r w:rsidR="00500472">
        <w:t>s</w:t>
      </w:r>
      <w:r w:rsidRPr="00094FB2" w:rsidR="00094FB2">
        <w:t xml:space="preserve"> claim for just satisfaction.</w:t>
      </w:r>
    </w:p>
    <w:p w:rsidRPr="00094FB2" w:rsidR="00260DD7" w:rsidRDefault="00260DD7">
      <w:pPr>
        <w:pStyle w:val="JuParaLast"/>
      </w:pPr>
      <w:r w:rsidRPr="00094FB2">
        <w:t xml:space="preserve">Done in English, and notified in writing on </w:t>
      </w:r>
      <w:r w:rsidR="00A304BF">
        <w:t>8 October 2009</w:t>
      </w:r>
      <w:r w:rsidRPr="00094FB2">
        <w:t>, pursuant to Rule 77 §§ 2 and 3 of the Rules of Court.</w:t>
      </w:r>
    </w:p>
    <w:p w:rsidR="00FA0C4E" w:rsidP="007A2051" w:rsidRDefault="007A2051">
      <w:pPr>
        <w:pStyle w:val="JuSigned"/>
        <w:keepNext/>
        <w:keepLines/>
        <w:rPr>
          <w:lang w:val="pt-BR"/>
        </w:rPr>
      </w:pPr>
      <w:r w:rsidRPr="00863413">
        <w:tab/>
      </w:r>
      <w:r w:rsidRPr="00BD39E2">
        <w:rPr>
          <w:lang w:val="pt-BR"/>
        </w:rPr>
        <w:t>André Wampach</w:t>
      </w:r>
      <w:r w:rsidRPr="00BD39E2">
        <w:rPr>
          <w:lang w:val="pt-BR"/>
        </w:rPr>
        <w:tab/>
        <w:t>Nina Vajić</w:t>
      </w:r>
      <w:r w:rsidRPr="00BD39E2">
        <w:rPr>
          <w:lang w:val="pt-BR"/>
        </w:rPr>
        <w:br/>
      </w:r>
      <w:r w:rsidRPr="00BD39E2">
        <w:rPr>
          <w:lang w:val="pt-BR"/>
        </w:rPr>
        <w:tab/>
        <w:t>Deputy Registrar</w:t>
      </w:r>
      <w:r w:rsidRPr="00BD39E2">
        <w:rPr>
          <w:lang w:val="pt-BR"/>
        </w:rPr>
        <w:tab/>
        <w:t>President</w:t>
      </w:r>
    </w:p>
    <w:p w:rsidRPr="000164E3" w:rsidR="000164E3" w:rsidP="000164E3" w:rsidRDefault="000164E3">
      <w:pPr>
        <w:pStyle w:val="JuPara"/>
        <w:rPr>
          <w:lang w:val="pt-BR"/>
        </w:rPr>
      </w:pPr>
    </w:p>
    <w:p w:rsidRPr="001F6E8E" w:rsidR="00534D56" w:rsidP="00534D56" w:rsidRDefault="00534D56">
      <w:pPr>
        <w:pStyle w:val="JuPara"/>
        <w:rPr>
          <w:lang w:val="pt-BR"/>
        </w:rPr>
      </w:pPr>
    </w:p>
    <w:p w:rsidRPr="001F6E8E" w:rsidR="00534D56" w:rsidP="00534D56" w:rsidRDefault="00534D56">
      <w:pPr>
        <w:pStyle w:val="JuPara"/>
        <w:rPr>
          <w:lang w:val="pt-BR"/>
        </w:rPr>
      </w:pPr>
    </w:p>
    <w:p w:rsidR="00534D56" w:rsidP="00534D56" w:rsidRDefault="00534D56">
      <w:pPr>
        <w:pStyle w:val="JuPara"/>
      </w:pPr>
      <w:r>
        <w:t>In accordance with Article 45 § 2 of the Con</w:t>
      </w:r>
      <w:r w:rsidRPr="00E5576E">
        <w:rPr>
          <w:rStyle w:val="JuParaChar"/>
        </w:rPr>
        <w:t>v</w:t>
      </w:r>
      <w:r>
        <w:t>ention and Rule 74 § 2 of the Rules of Court, the joint concurring opinion of Judges Spielmann and Malinverni is annexed to the judgment.</w:t>
      </w:r>
    </w:p>
    <w:p w:rsidR="000164E3" w:rsidP="000164E3" w:rsidRDefault="000164E3">
      <w:pPr>
        <w:pStyle w:val="JuInitialled"/>
      </w:pPr>
      <w:r>
        <w:t>N</w:t>
      </w:r>
      <w:r w:rsidRPr="00A97187">
        <w:t>.</w:t>
      </w:r>
      <w:r>
        <w:t>A</w:t>
      </w:r>
      <w:r w:rsidRPr="00A97187">
        <w:t>.</w:t>
      </w:r>
      <w:r>
        <w:t>V</w:t>
      </w:r>
      <w:r w:rsidRPr="00A97187">
        <w:t>.</w:t>
      </w:r>
      <w:r w:rsidRPr="00A97187">
        <w:br/>
      </w:r>
      <w:r>
        <w:t>A.M.W</w:t>
      </w:r>
      <w:r w:rsidRPr="00A97187">
        <w:t>.</w:t>
      </w:r>
    </w:p>
    <w:p w:rsidR="000164E3" w:rsidP="000164E3" w:rsidRDefault="000164E3">
      <w:pPr>
        <w:pStyle w:val="JuPara"/>
        <w:jc w:val="left"/>
        <w:rPr>
          <w:rStyle w:val="JuParaCar"/>
        </w:rPr>
        <w:sectPr w:rsidR="000164E3" w:rsidSect="00257354">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pPr>
    </w:p>
    <w:p w:rsidR="000164E3" w:rsidP="000164E3" w:rsidRDefault="00534D56">
      <w:pPr>
        <w:pStyle w:val="OpiHHead"/>
      </w:pPr>
      <w:r w:rsidRPr="00534D56">
        <w:t>JOINT CONCURRING OPINION OF JUDGES</w:t>
      </w:r>
      <w:r>
        <w:t xml:space="preserve"> SPIELMAN AND MALINVERNI</w:t>
      </w:r>
    </w:p>
    <w:p w:rsidR="009D346E" w:rsidP="009D346E" w:rsidRDefault="00303682">
      <w:pPr>
        <w:pStyle w:val="JuPara"/>
      </w:pPr>
      <w:r>
        <w:t>1.  </w:t>
      </w:r>
      <w:r w:rsidR="009D346E">
        <w:t>We are in agreement with the Court</w:t>
      </w:r>
      <w:r w:rsidR="0000251F">
        <w:t>'</w:t>
      </w:r>
      <w:r w:rsidR="009D346E">
        <w:t>s conclusions that there has been a violation of Article 10 of the Convention.</w:t>
      </w:r>
    </w:p>
    <w:p w:rsidR="009D346E" w:rsidP="009D346E" w:rsidRDefault="009D346E">
      <w:pPr>
        <w:pStyle w:val="JuPara"/>
      </w:pPr>
    </w:p>
    <w:p w:rsidR="009D346E" w:rsidP="009D346E" w:rsidRDefault="00303682">
      <w:pPr>
        <w:pStyle w:val="JuPara"/>
      </w:pPr>
      <w:r>
        <w:t>2.  </w:t>
      </w:r>
      <w:r w:rsidR="009D346E">
        <w:t>However, we cannot agree with the reasoning put forward by the majority in paragraph 39 of the judgment. In so far as the interference in connection with the civil action brought by the courts</w:t>
      </w:r>
      <w:r w:rsidR="0000251F">
        <w:t>'</w:t>
      </w:r>
      <w:r w:rsidR="009D346E">
        <w:t xml:space="preserve"> management department of the Primorskiy region is concerned (paragraph 10 of the judgment), we have serious doubts as to whether this interference pursued the legitimate aim of the “protection of the reputation or rights of </w:t>
      </w:r>
      <w:r w:rsidRPr="00211813" w:rsidR="009D346E">
        <w:rPr>
          <w:i/>
        </w:rPr>
        <w:t>others</w:t>
      </w:r>
      <w:r w:rsidR="009D346E">
        <w:t xml:space="preserve">” (emphasis added), as is suggested implicitly by the majority. The Court leaves this question open, saying that “it is not its task to examine the </w:t>
      </w:r>
      <w:r w:rsidRPr="007F09FD" w:rsidR="009D346E">
        <w:t>domestic</w:t>
      </w:r>
      <w:r w:rsidR="009D346E">
        <w:t xml:space="preserve"> legislation in the abstract but rather to consider </w:t>
      </w:r>
      <w:r w:rsidRPr="007F09FD" w:rsidR="009D346E">
        <w:t>the manner</w:t>
      </w:r>
      <w:r w:rsidR="009D346E">
        <w:t xml:space="preserve"> in which that legislation was applied to, or affected, the applicant in a particular case”, and deciding that “this issue will also be examined in the analysis of the proportionality of the interference” (paragraph 39 </w:t>
      </w:r>
      <w:r w:rsidRPr="008F2DC2" w:rsidR="009D346E">
        <w:rPr>
          <w:i/>
        </w:rPr>
        <w:t>in fine</w:t>
      </w:r>
      <w:r w:rsidR="009D346E">
        <w:t>).</w:t>
      </w:r>
    </w:p>
    <w:p w:rsidR="009D346E" w:rsidP="009D346E" w:rsidRDefault="009D346E">
      <w:pPr>
        <w:pStyle w:val="JuPara"/>
      </w:pPr>
    </w:p>
    <w:p w:rsidR="009D346E" w:rsidP="009D346E" w:rsidRDefault="00303682">
      <w:pPr>
        <w:pStyle w:val="JuPara"/>
      </w:pPr>
      <w:r>
        <w:t>3.  </w:t>
      </w:r>
      <w:r w:rsidR="009D346E">
        <w:t xml:space="preserve">Before going into proportionality, the Court should have satisfied itself that the interference pursued one of the legitimate aims laid down exhaustively in paragraph 2 of Article 10 of the Convention. The majority, albeit implicitly, seem to suggest in this respect that a public body or authority may claim protection of the </w:t>
      </w:r>
      <w:r w:rsidRPr="00211813" w:rsidR="009D346E">
        <w:rPr>
          <w:i/>
        </w:rPr>
        <w:t>reputation or rights of others</w:t>
      </w:r>
      <w:r w:rsidR="009D346E">
        <w:t>, which is in our view inconceivable. Indeed, the structure of Article 10 suggests a triangular relationship involving the State - author of an interference -, the applicant - victim of an interference - and “others”, whose reputation and rights may or may not be protected. The only “public body” covered by one of the exceptions laid down in paragraph 2 of Article 10 is the “judiciary”, whose authority and impartiality may be protected through an interference, provided that such interference is necessary in a democratic society and is proportionate to the aim pursued.</w:t>
      </w:r>
    </w:p>
    <w:p w:rsidR="009D346E" w:rsidP="009D346E" w:rsidRDefault="009D346E">
      <w:pPr>
        <w:pStyle w:val="JuPara"/>
      </w:pPr>
    </w:p>
    <w:p w:rsidR="009D346E" w:rsidP="009D346E" w:rsidRDefault="00303682">
      <w:pPr>
        <w:pStyle w:val="JuPara"/>
      </w:pPr>
      <w:r>
        <w:t>4.  </w:t>
      </w:r>
      <w:r w:rsidR="009D346E">
        <w:t>In our view, under the Court</w:t>
      </w:r>
      <w:r w:rsidR="0000251F">
        <w:t>'</w:t>
      </w:r>
      <w:r w:rsidR="009D346E">
        <w:t>s requisite strict construction of the enumerated legitimate aims, it is unreasonable to include a public authority within the meaning of “others” whose reputation or rights Article 10, paragraph 2, is designed to protect.</w:t>
      </w:r>
    </w:p>
    <w:p w:rsidR="009D346E" w:rsidP="009D346E" w:rsidRDefault="009D346E">
      <w:pPr>
        <w:pStyle w:val="JuPara"/>
      </w:pPr>
    </w:p>
    <w:p w:rsidRPr="009D346E" w:rsidR="009D346E" w:rsidP="009D346E" w:rsidRDefault="00303682">
      <w:pPr>
        <w:pStyle w:val="OpiPara"/>
      </w:pPr>
      <w:r>
        <w:t>5.  </w:t>
      </w:r>
      <w:r w:rsidR="009D346E">
        <w:t>To conclude, and in so far as the interference in connection with the civil action brought by the courts</w:t>
      </w:r>
      <w:r w:rsidR="0000251F">
        <w:t>'</w:t>
      </w:r>
      <w:r w:rsidR="009D346E">
        <w:t xml:space="preserve"> management department of the Primorskiy region is concerned, the Court should have limited its finding of a violation of Article 10 to the absence of a legitimate aim, without examining the question of proportionality.</w:t>
      </w:r>
    </w:p>
    <w:sectPr w:rsidRPr="009D346E" w:rsidR="009D346E" w:rsidSect="000961A3">
      <w:headerReference w:type="even" r:id="rId10"/>
      <w:headerReference w:type="default" r:id="rId11"/>
      <w:headerReference w:type="first" r:id="rId12"/>
      <w:footnotePr>
        <w:numRestart w:val="eachPage"/>
      </w:footnotePr>
      <w:pgSz w:w="11906" w:h="16838" w:code="9"/>
      <w:pgMar w:top="2274" w:right="2274" w:bottom="2274" w:left="2274" w:header="1701" w:footer="720" w:gutter="0"/>
      <w:cols w:space="720"/>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034" w:rsidRDefault="00FC5034">
      <w:r>
        <w:separator/>
      </w:r>
    </w:p>
  </w:endnote>
  <w:endnote w:type="continuationSeparator" w:id="0">
    <w:p w:rsidR="00FC5034" w:rsidRDefault="00FC5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034" w:rsidRDefault="00FC5034">
      <w:r>
        <w:separator/>
      </w:r>
    </w:p>
  </w:footnote>
  <w:footnote w:type="continuationSeparator" w:id="0">
    <w:p w:rsidR="00FC5034" w:rsidRDefault="00FC50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34" w:rsidRPr="00C00F0F" w:rsidRDefault="00FC5034">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FC5034" w:rsidRPr="00257354" w:rsidRDefault="00FC5034" w:rsidP="0025735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34" w:rsidRDefault="00FC5034">
    <w:pPr>
      <w:pStyle w:val="JuHeader"/>
    </w:pPr>
    <w:r>
      <w:rPr>
        <w:rStyle w:val="PageNumber"/>
      </w:rPr>
      <w:fldChar w:fldCharType="begin"/>
    </w:r>
    <w:r>
      <w:rPr>
        <w:rStyle w:val="PageNumber"/>
      </w:rPr>
      <w:instrText xml:space="preserve"> PAGE </w:instrText>
    </w:r>
    <w:r>
      <w:rPr>
        <w:rStyle w:val="PageNumber"/>
      </w:rPr>
      <w:fldChar w:fldCharType="separate"/>
    </w:r>
    <w:r w:rsidR="0000251F">
      <w:rPr>
        <w:rStyle w:val="PageNumber"/>
        <w:noProof/>
      </w:rPr>
      <w:t>16</w:t>
    </w:r>
    <w:r>
      <w:rPr>
        <w:rStyle w:val="PageNumber"/>
      </w:rPr>
      <w:fldChar w:fldCharType="end"/>
    </w:r>
    <w:r>
      <w:tab/>
      <w:t xml:space="preserve">ROMANENKO AND OTHERS v. </w:t>
    </w:r>
    <w:smartTag w:uri="urn:schemas-microsoft-com:office:smarttags" w:element="place">
      <w:smartTag w:uri="urn:schemas-microsoft-com:office:smarttags" w:element="country-region">
        <w:r>
          <w:t>RUSSIA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34" w:rsidRDefault="00FC5034">
    <w:pPr>
      <w:pStyle w:val="JuHeader"/>
    </w:pPr>
    <w:r>
      <w:tab/>
      <w:t xml:space="preserve">ROMANENKO AND OTHERS v. </w:t>
    </w:r>
    <w:smartTag w:uri="urn:schemas-microsoft-com:office:smarttags" w:element="country-region">
      <w:smartTag w:uri="urn:schemas-microsoft-com:office:smarttags" w:element="place">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00251F">
      <w:rPr>
        <w:rStyle w:val="PageNumber"/>
        <w:noProof/>
      </w:rPr>
      <w:t>15</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34" w:rsidRPr="000164E3" w:rsidRDefault="00FC503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r>
      <w:tab/>
      <w:t xml:space="preserve">ROMANENKO AND OTHERS v. </w:t>
    </w:r>
    <w:smartTag w:uri="urn:schemas-microsoft-com:office:smarttags" w:element="place">
      <w:smartTag w:uri="urn:schemas-microsoft-com:office:smarttags" w:element="country-region">
        <w:r>
          <w:t>RUSSIA</w:t>
        </w:r>
      </w:smartTag>
    </w:smartTag>
    <w:r>
      <w:t xml:space="preserve"> JUDGMENT - </w:t>
    </w:r>
    <w:r w:rsidRPr="000164E3">
      <w:t xml:space="preserve">SEPARATE </w:t>
    </w:r>
    <w:r w:rsidRPr="00A4383F">
      <w:rPr>
        <w:highlight w:val="yellow"/>
      </w:rPr>
      <w:t>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34" w:rsidRDefault="00FC5034">
    <w:pPr>
      <w:pStyle w:val="JuHeader"/>
    </w:pPr>
    <w:r>
      <w:tab/>
      <w:t xml:space="preserve">ROMANENKO AND OTHERS v. </w:t>
    </w:r>
    <w:smartTag w:uri="urn:schemas-microsoft-com:office:smarttags" w:element="country-region">
      <w:smartTag w:uri="urn:schemas-microsoft-com:office:smarttags" w:element="place">
        <w:r>
          <w:t>RUSSIA</w:t>
        </w:r>
      </w:smartTag>
    </w:smartTag>
    <w:r>
      <w:t xml:space="preserve"> JUDGMENT – SEPARATE OPINION</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34" w:rsidRDefault="00FC5034" w:rsidP="000961A3">
    <w:pPr>
      <w:pStyle w:val="JuHeader"/>
      <w:jc w:val="center"/>
    </w:pPr>
    <w:r>
      <w:tab/>
      <w:t xml:space="preserve">ROMANENKO AND OTHERS v. </w:t>
    </w:r>
    <w:smartTag w:uri="urn:schemas-microsoft-com:office:smarttags" w:element="place">
      <w:smartTag w:uri="urn:schemas-microsoft-com:office:smarttags" w:element="country-region">
        <w:r>
          <w:t>RUSSIA</w:t>
        </w:r>
      </w:smartTag>
    </w:smartTag>
    <w:r>
      <w:t xml:space="preserve"> JUDGMENT– SEPARATE OPINION</w:t>
    </w:r>
    <w:r>
      <w:tab/>
    </w:r>
    <w:r>
      <w:rPr>
        <w:rStyle w:val="PageNumber"/>
      </w:rPr>
      <w:fldChar w:fldCharType="begin"/>
    </w:r>
    <w:r>
      <w:rPr>
        <w:rStyle w:val="PageNumber"/>
      </w:rPr>
      <w:instrText xml:space="preserve"> PAGE </w:instrText>
    </w:r>
    <w:r>
      <w:rPr>
        <w:rStyle w:val="PageNumber"/>
      </w:rPr>
      <w:fldChar w:fldCharType="separate"/>
    </w:r>
    <w:r w:rsidR="0000251F">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94FB2"/>
    <w:rsid w:val="0000251F"/>
    <w:rsid w:val="00010832"/>
    <w:rsid w:val="00014154"/>
    <w:rsid w:val="000164E3"/>
    <w:rsid w:val="00025BBE"/>
    <w:rsid w:val="000415AF"/>
    <w:rsid w:val="00043A14"/>
    <w:rsid w:val="00044460"/>
    <w:rsid w:val="00046CCE"/>
    <w:rsid w:val="0005328B"/>
    <w:rsid w:val="00064773"/>
    <w:rsid w:val="00094FB2"/>
    <w:rsid w:val="000961A3"/>
    <w:rsid w:val="000966D6"/>
    <w:rsid w:val="00096A82"/>
    <w:rsid w:val="000A051F"/>
    <w:rsid w:val="000A06AE"/>
    <w:rsid w:val="000A6AEB"/>
    <w:rsid w:val="000B739E"/>
    <w:rsid w:val="000D2AE4"/>
    <w:rsid w:val="000E0876"/>
    <w:rsid w:val="000F1596"/>
    <w:rsid w:val="000F65C4"/>
    <w:rsid w:val="00100A31"/>
    <w:rsid w:val="00125162"/>
    <w:rsid w:val="001270BB"/>
    <w:rsid w:val="001512C8"/>
    <w:rsid w:val="00156EAA"/>
    <w:rsid w:val="00190AB7"/>
    <w:rsid w:val="001969BC"/>
    <w:rsid w:val="001B16D3"/>
    <w:rsid w:val="001E3ED0"/>
    <w:rsid w:val="001F6E8E"/>
    <w:rsid w:val="001F7F28"/>
    <w:rsid w:val="00207A53"/>
    <w:rsid w:val="0021017B"/>
    <w:rsid w:val="002161B4"/>
    <w:rsid w:val="00220E13"/>
    <w:rsid w:val="00257354"/>
    <w:rsid w:val="00260DD7"/>
    <w:rsid w:val="002979A4"/>
    <w:rsid w:val="002A2516"/>
    <w:rsid w:val="002C0430"/>
    <w:rsid w:val="002C0AE1"/>
    <w:rsid w:val="002C3640"/>
    <w:rsid w:val="002D0345"/>
    <w:rsid w:val="002D1C7C"/>
    <w:rsid w:val="002E2CD1"/>
    <w:rsid w:val="002E72C3"/>
    <w:rsid w:val="00303682"/>
    <w:rsid w:val="003219C9"/>
    <w:rsid w:val="003225F7"/>
    <w:rsid w:val="00323792"/>
    <w:rsid w:val="00351653"/>
    <w:rsid w:val="00360040"/>
    <w:rsid w:val="00365EE9"/>
    <w:rsid w:val="00382E71"/>
    <w:rsid w:val="00384CF1"/>
    <w:rsid w:val="00395638"/>
    <w:rsid w:val="00395E82"/>
    <w:rsid w:val="00397002"/>
    <w:rsid w:val="003B391C"/>
    <w:rsid w:val="003C1273"/>
    <w:rsid w:val="003D6D9C"/>
    <w:rsid w:val="004044C5"/>
    <w:rsid w:val="0042087D"/>
    <w:rsid w:val="00420F76"/>
    <w:rsid w:val="00433A39"/>
    <w:rsid w:val="00444FA3"/>
    <w:rsid w:val="00445F4D"/>
    <w:rsid w:val="004566CF"/>
    <w:rsid w:val="004607E9"/>
    <w:rsid w:val="00462D28"/>
    <w:rsid w:val="00463253"/>
    <w:rsid w:val="00464FC3"/>
    <w:rsid w:val="004741B7"/>
    <w:rsid w:val="004B6740"/>
    <w:rsid w:val="004F0800"/>
    <w:rsid w:val="00500472"/>
    <w:rsid w:val="00517EA0"/>
    <w:rsid w:val="005301F8"/>
    <w:rsid w:val="00531C09"/>
    <w:rsid w:val="00534D56"/>
    <w:rsid w:val="00556CD6"/>
    <w:rsid w:val="005613D0"/>
    <w:rsid w:val="005620B9"/>
    <w:rsid w:val="00582CBE"/>
    <w:rsid w:val="00582F92"/>
    <w:rsid w:val="005A16CC"/>
    <w:rsid w:val="005F6BD4"/>
    <w:rsid w:val="00603363"/>
    <w:rsid w:val="006620E8"/>
    <w:rsid w:val="00665F41"/>
    <w:rsid w:val="00696253"/>
    <w:rsid w:val="006975BD"/>
    <w:rsid w:val="006B4504"/>
    <w:rsid w:val="006B4C04"/>
    <w:rsid w:val="006E3C4A"/>
    <w:rsid w:val="006E6999"/>
    <w:rsid w:val="006F2730"/>
    <w:rsid w:val="006F6BE8"/>
    <w:rsid w:val="00711F61"/>
    <w:rsid w:val="00713324"/>
    <w:rsid w:val="00730438"/>
    <w:rsid w:val="00744808"/>
    <w:rsid w:val="00745B85"/>
    <w:rsid w:val="007566BB"/>
    <w:rsid w:val="007665BE"/>
    <w:rsid w:val="00774379"/>
    <w:rsid w:val="00777C1E"/>
    <w:rsid w:val="00786F4E"/>
    <w:rsid w:val="007A10F1"/>
    <w:rsid w:val="007A2051"/>
    <w:rsid w:val="007C57CF"/>
    <w:rsid w:val="007D2831"/>
    <w:rsid w:val="008100FD"/>
    <w:rsid w:val="008219BE"/>
    <w:rsid w:val="00833443"/>
    <w:rsid w:val="00864590"/>
    <w:rsid w:val="00893DBF"/>
    <w:rsid w:val="008D2BAC"/>
    <w:rsid w:val="00906340"/>
    <w:rsid w:val="00910967"/>
    <w:rsid w:val="009418ED"/>
    <w:rsid w:val="00956742"/>
    <w:rsid w:val="00965322"/>
    <w:rsid w:val="0098079A"/>
    <w:rsid w:val="0098123F"/>
    <w:rsid w:val="00981416"/>
    <w:rsid w:val="009B4547"/>
    <w:rsid w:val="009D10F1"/>
    <w:rsid w:val="009D2208"/>
    <w:rsid w:val="009D346E"/>
    <w:rsid w:val="009E7D58"/>
    <w:rsid w:val="009F5E2D"/>
    <w:rsid w:val="009F6D49"/>
    <w:rsid w:val="00A00955"/>
    <w:rsid w:val="00A10D67"/>
    <w:rsid w:val="00A1500A"/>
    <w:rsid w:val="00A2413F"/>
    <w:rsid w:val="00A304BF"/>
    <w:rsid w:val="00A4383F"/>
    <w:rsid w:val="00A52C9B"/>
    <w:rsid w:val="00A57513"/>
    <w:rsid w:val="00A6052E"/>
    <w:rsid w:val="00A73A05"/>
    <w:rsid w:val="00A810B7"/>
    <w:rsid w:val="00A81F4B"/>
    <w:rsid w:val="00AB5B9C"/>
    <w:rsid w:val="00AC524B"/>
    <w:rsid w:val="00AC5860"/>
    <w:rsid w:val="00AE030C"/>
    <w:rsid w:val="00AE49D7"/>
    <w:rsid w:val="00B042B3"/>
    <w:rsid w:val="00B05EBD"/>
    <w:rsid w:val="00B14ABF"/>
    <w:rsid w:val="00B32ED8"/>
    <w:rsid w:val="00B56146"/>
    <w:rsid w:val="00B65179"/>
    <w:rsid w:val="00B74DD8"/>
    <w:rsid w:val="00B83342"/>
    <w:rsid w:val="00B93C6A"/>
    <w:rsid w:val="00BA6128"/>
    <w:rsid w:val="00BB4C30"/>
    <w:rsid w:val="00BC1135"/>
    <w:rsid w:val="00BC7435"/>
    <w:rsid w:val="00BC7FD7"/>
    <w:rsid w:val="00BD261D"/>
    <w:rsid w:val="00BD33C5"/>
    <w:rsid w:val="00BE35CD"/>
    <w:rsid w:val="00C162C0"/>
    <w:rsid w:val="00C65720"/>
    <w:rsid w:val="00C7799F"/>
    <w:rsid w:val="00CA5C2D"/>
    <w:rsid w:val="00CC171A"/>
    <w:rsid w:val="00CC4562"/>
    <w:rsid w:val="00CF4CA7"/>
    <w:rsid w:val="00D20E5F"/>
    <w:rsid w:val="00D243EB"/>
    <w:rsid w:val="00D4066A"/>
    <w:rsid w:val="00D40EAE"/>
    <w:rsid w:val="00D43D0D"/>
    <w:rsid w:val="00D45BA6"/>
    <w:rsid w:val="00D73998"/>
    <w:rsid w:val="00D82FE1"/>
    <w:rsid w:val="00D87F1C"/>
    <w:rsid w:val="00D91AA9"/>
    <w:rsid w:val="00D96F70"/>
    <w:rsid w:val="00DB5343"/>
    <w:rsid w:val="00DC1154"/>
    <w:rsid w:val="00DC17B0"/>
    <w:rsid w:val="00DD533F"/>
    <w:rsid w:val="00DE3B13"/>
    <w:rsid w:val="00DE6E4A"/>
    <w:rsid w:val="00DF28EE"/>
    <w:rsid w:val="00E1174B"/>
    <w:rsid w:val="00E11AA3"/>
    <w:rsid w:val="00E23E22"/>
    <w:rsid w:val="00E27C1D"/>
    <w:rsid w:val="00E469E6"/>
    <w:rsid w:val="00E6339C"/>
    <w:rsid w:val="00E65B38"/>
    <w:rsid w:val="00E77E86"/>
    <w:rsid w:val="00E8174F"/>
    <w:rsid w:val="00E86759"/>
    <w:rsid w:val="00EA6E82"/>
    <w:rsid w:val="00ED0E14"/>
    <w:rsid w:val="00EE04AC"/>
    <w:rsid w:val="00EE730C"/>
    <w:rsid w:val="00EF58A4"/>
    <w:rsid w:val="00EF788D"/>
    <w:rsid w:val="00F05B62"/>
    <w:rsid w:val="00F33FD2"/>
    <w:rsid w:val="00F41845"/>
    <w:rsid w:val="00F42508"/>
    <w:rsid w:val="00F43C03"/>
    <w:rsid w:val="00F5139E"/>
    <w:rsid w:val="00FA0C4E"/>
    <w:rsid w:val="00FC5034"/>
    <w:rsid w:val="00FD3AAD"/>
    <w:rsid w:val="00FE58AA"/>
    <w:rsid w:val="00FF75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1D"/>
    <w:pPr>
      <w:suppressAutoHyphens/>
    </w:pPr>
    <w:rPr>
      <w:sz w:val="24"/>
      <w:lang w:val="en-GB" w:eastAsia="fr-FR"/>
    </w:rPr>
  </w:style>
  <w:style w:type="paragraph" w:styleId="Heading1">
    <w:name w:val="heading 1"/>
    <w:basedOn w:val="Normal"/>
    <w:next w:val="Normal"/>
    <w:qFormat/>
    <w:rsid w:val="00BD261D"/>
    <w:pPr>
      <w:keepNext/>
      <w:spacing w:before="360" w:after="240"/>
      <w:jc w:val="center"/>
      <w:outlineLvl w:val="0"/>
    </w:pPr>
    <w:rPr>
      <w:b/>
      <w:sz w:val="28"/>
    </w:rPr>
  </w:style>
  <w:style w:type="paragraph" w:styleId="Heading2">
    <w:name w:val="heading 2"/>
    <w:basedOn w:val="Normal"/>
    <w:next w:val="Normal"/>
    <w:qFormat/>
    <w:rsid w:val="00BD261D"/>
    <w:pPr>
      <w:keepNext/>
      <w:spacing w:before="240" w:after="120"/>
      <w:ind w:left="284" w:hanging="284"/>
      <w:outlineLvl w:val="1"/>
    </w:pPr>
    <w:rPr>
      <w:b/>
    </w:rPr>
  </w:style>
  <w:style w:type="paragraph" w:styleId="Heading3">
    <w:name w:val="heading 3"/>
    <w:basedOn w:val="Normal"/>
    <w:next w:val="Normal"/>
    <w:qFormat/>
    <w:rsid w:val="00BD261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BD261D"/>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BD261D"/>
  </w:style>
  <w:style w:type="paragraph" w:customStyle="1" w:styleId="OpiHHead">
    <w:name w:val="Opi_H_Head"/>
    <w:basedOn w:val="JuHHead"/>
    <w:next w:val="OpiPara"/>
    <w:rsid w:val="00BD261D"/>
    <w:pPr>
      <w:spacing w:before="0"/>
      <w:jc w:val="center"/>
    </w:pPr>
  </w:style>
  <w:style w:type="paragraph" w:customStyle="1" w:styleId="JuHHead">
    <w:name w:val="Ju_H_Head"/>
    <w:basedOn w:val="Normal"/>
    <w:next w:val="JuPara"/>
    <w:rsid w:val="00BD261D"/>
    <w:pPr>
      <w:keepNext/>
      <w:keepLines/>
      <w:spacing w:before="720" w:after="240"/>
      <w:jc w:val="both"/>
    </w:pPr>
    <w:rPr>
      <w:sz w:val="28"/>
    </w:rPr>
  </w:style>
  <w:style w:type="paragraph" w:customStyle="1" w:styleId="JuPara">
    <w:name w:val="Ju_Para"/>
    <w:aliases w:val="Left,First line:  0 cm"/>
    <w:basedOn w:val="Normal"/>
    <w:link w:val="JuParaChar"/>
    <w:rsid w:val="00BD261D"/>
    <w:pPr>
      <w:ind w:firstLine="284"/>
      <w:jc w:val="both"/>
    </w:pPr>
  </w:style>
  <w:style w:type="paragraph" w:customStyle="1" w:styleId="OpiPara">
    <w:name w:val="Opi_Para"/>
    <w:basedOn w:val="JuPara"/>
    <w:rsid w:val="00BD261D"/>
  </w:style>
  <w:style w:type="paragraph" w:customStyle="1" w:styleId="JuHIRoman">
    <w:name w:val="Ju_H_I_Roman"/>
    <w:basedOn w:val="JuHHead"/>
    <w:next w:val="JuPara"/>
    <w:rsid w:val="00BD261D"/>
    <w:pPr>
      <w:tabs>
        <w:tab w:val="left" w:pos="357"/>
      </w:tabs>
      <w:spacing w:before="360"/>
      <w:ind w:left="357" w:hanging="357"/>
    </w:pPr>
    <w:rPr>
      <w:sz w:val="24"/>
    </w:rPr>
  </w:style>
  <w:style w:type="paragraph" w:customStyle="1" w:styleId="OpiTranslation">
    <w:name w:val="Opi_Translation"/>
    <w:basedOn w:val="OpiHHead"/>
    <w:next w:val="OpiPara"/>
    <w:rsid w:val="00BD261D"/>
    <w:rPr>
      <w:sz w:val="24"/>
    </w:rPr>
  </w:style>
  <w:style w:type="paragraph" w:styleId="Footer">
    <w:name w:val="footer"/>
    <w:basedOn w:val="Normal"/>
    <w:rsid w:val="00BD261D"/>
    <w:pPr>
      <w:tabs>
        <w:tab w:val="center" w:pos="3686"/>
        <w:tab w:val="right" w:pos="7371"/>
      </w:tabs>
    </w:pPr>
    <w:rPr>
      <w:sz w:val="18"/>
    </w:rPr>
  </w:style>
  <w:style w:type="paragraph" w:customStyle="1" w:styleId="JuJudges">
    <w:name w:val="Ju_Judges"/>
    <w:basedOn w:val="Normal"/>
    <w:link w:val="JuJudgesChar"/>
    <w:rsid w:val="00BD261D"/>
    <w:pPr>
      <w:tabs>
        <w:tab w:val="left" w:pos="567"/>
        <w:tab w:val="left" w:pos="1134"/>
      </w:tabs>
    </w:pPr>
  </w:style>
  <w:style w:type="character" w:styleId="Hyperlink">
    <w:name w:val="Hyperlink"/>
    <w:basedOn w:val="DefaultParagraphFont"/>
    <w:rsid w:val="00094FB2"/>
    <w:rPr>
      <w:color w:val="0000FF"/>
      <w:u w:val="single"/>
    </w:rPr>
  </w:style>
  <w:style w:type="paragraph" w:customStyle="1" w:styleId="JuHA">
    <w:name w:val="Ju_H_A"/>
    <w:basedOn w:val="JuHIRoman"/>
    <w:next w:val="JuPara"/>
    <w:rsid w:val="00BD261D"/>
    <w:pPr>
      <w:tabs>
        <w:tab w:val="clear" w:pos="357"/>
        <w:tab w:val="left" w:pos="584"/>
      </w:tabs>
      <w:ind w:left="584" w:hanging="352"/>
    </w:pPr>
    <w:rPr>
      <w:b/>
    </w:rPr>
  </w:style>
  <w:style w:type="paragraph" w:customStyle="1" w:styleId="JuQuot">
    <w:name w:val="Ju_Quot"/>
    <w:basedOn w:val="JuPara"/>
    <w:rsid w:val="00BD261D"/>
    <w:pPr>
      <w:spacing w:before="120" w:after="120"/>
      <w:ind w:left="425" w:firstLine="142"/>
    </w:pPr>
    <w:rPr>
      <w:sz w:val="20"/>
    </w:rPr>
  </w:style>
  <w:style w:type="paragraph" w:customStyle="1" w:styleId="JuSigned">
    <w:name w:val="Ju_Signed"/>
    <w:basedOn w:val="Normal"/>
    <w:next w:val="JuParaLast"/>
    <w:link w:val="JuSignedChar"/>
    <w:rsid w:val="00100A31"/>
    <w:pPr>
      <w:tabs>
        <w:tab w:val="center" w:pos="1219"/>
        <w:tab w:val="center" w:pos="6379"/>
      </w:tabs>
      <w:spacing w:before="720"/>
    </w:pPr>
  </w:style>
  <w:style w:type="paragraph" w:customStyle="1" w:styleId="JuParaLast">
    <w:name w:val="Ju_Para_Last"/>
    <w:basedOn w:val="JuPara"/>
    <w:next w:val="JuPara"/>
    <w:rsid w:val="00BD261D"/>
    <w:pPr>
      <w:spacing w:before="240"/>
    </w:pPr>
  </w:style>
  <w:style w:type="paragraph" w:customStyle="1" w:styleId="JuCase">
    <w:name w:val="Ju_Case"/>
    <w:basedOn w:val="JuPara"/>
    <w:next w:val="JuPara"/>
    <w:link w:val="JuCaseChar"/>
    <w:rsid w:val="00BD261D"/>
    <w:rPr>
      <w:b/>
    </w:rPr>
  </w:style>
  <w:style w:type="paragraph" w:customStyle="1" w:styleId="JuList">
    <w:name w:val="Ju_List"/>
    <w:basedOn w:val="JuPara"/>
    <w:rsid w:val="00BD261D"/>
    <w:pPr>
      <w:ind w:left="340" w:hanging="340"/>
    </w:pPr>
  </w:style>
  <w:style w:type="paragraph" w:customStyle="1" w:styleId="JuHArticle">
    <w:name w:val="Ju_H_Article"/>
    <w:basedOn w:val="JuHa0"/>
    <w:next w:val="JuQuot"/>
    <w:rsid w:val="00BD261D"/>
    <w:pPr>
      <w:ind w:left="0" w:firstLine="0"/>
      <w:jc w:val="center"/>
    </w:pPr>
  </w:style>
  <w:style w:type="paragraph" w:customStyle="1" w:styleId="JuHa0">
    <w:name w:val="Ju_H_a"/>
    <w:basedOn w:val="JuH1"/>
    <w:next w:val="JuPara"/>
    <w:rsid w:val="00BD261D"/>
    <w:pPr>
      <w:tabs>
        <w:tab w:val="clear" w:pos="731"/>
        <w:tab w:val="left" w:pos="975"/>
      </w:tabs>
      <w:ind w:left="975" w:hanging="340"/>
    </w:pPr>
    <w:rPr>
      <w:b/>
      <w:i w:val="0"/>
      <w:sz w:val="20"/>
    </w:rPr>
  </w:style>
  <w:style w:type="paragraph" w:customStyle="1" w:styleId="JuH1">
    <w:name w:val="Ju_H_1."/>
    <w:basedOn w:val="JuHA"/>
    <w:next w:val="JuPara"/>
    <w:rsid w:val="00BD261D"/>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E469E6"/>
    <w:rPr>
      <w:b/>
      <w:bCs/>
    </w:rPr>
  </w:style>
  <w:style w:type="paragraph" w:styleId="CommentText">
    <w:name w:val="annotation text"/>
    <w:basedOn w:val="Normal"/>
    <w:semiHidden/>
    <w:rPr>
      <w:sz w:val="20"/>
    </w:rPr>
  </w:style>
  <w:style w:type="paragraph" w:customStyle="1" w:styleId="JuCourt">
    <w:name w:val="Ju_Court"/>
    <w:basedOn w:val="JuJudges"/>
    <w:rsid w:val="00BD261D"/>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BD261D"/>
    <w:pPr>
      <w:jc w:val="both"/>
    </w:pPr>
    <w:rPr>
      <w:sz w:val="20"/>
    </w:rPr>
  </w:style>
  <w:style w:type="character" w:styleId="FootnoteReference">
    <w:name w:val="footnote reference"/>
    <w:basedOn w:val="DefaultParagraphFont"/>
    <w:semiHidden/>
    <w:rsid w:val="00BD261D"/>
    <w:rPr>
      <w:vertAlign w:val="superscript"/>
    </w:rPr>
  </w:style>
  <w:style w:type="paragraph" w:customStyle="1" w:styleId="JuHi">
    <w:name w:val="Ju_H_i"/>
    <w:basedOn w:val="JuHa0"/>
    <w:next w:val="JuPara"/>
    <w:rsid w:val="00BD261D"/>
    <w:pPr>
      <w:tabs>
        <w:tab w:val="clear" w:pos="975"/>
        <w:tab w:val="left" w:pos="1191"/>
      </w:tabs>
      <w:ind w:left="1190" w:hanging="357"/>
    </w:pPr>
    <w:rPr>
      <w:b w:val="0"/>
      <w:i/>
    </w:rPr>
  </w:style>
  <w:style w:type="paragraph" w:styleId="Header">
    <w:name w:val="header"/>
    <w:basedOn w:val="Normal"/>
    <w:rsid w:val="00BD261D"/>
    <w:pPr>
      <w:tabs>
        <w:tab w:val="center" w:pos="3686"/>
        <w:tab w:val="right" w:pos="7371"/>
      </w:tabs>
    </w:pPr>
    <w:rPr>
      <w:sz w:val="18"/>
    </w:rPr>
  </w:style>
  <w:style w:type="character" w:styleId="PageNumber">
    <w:name w:val="page number"/>
    <w:basedOn w:val="DefaultParagraphFont"/>
    <w:rsid w:val="00BD261D"/>
    <w:rPr>
      <w:sz w:val="18"/>
    </w:rPr>
  </w:style>
  <w:style w:type="paragraph" w:customStyle="1" w:styleId="JuH">
    <w:name w:val="Ju_H_–"/>
    <w:basedOn w:val="JuHalpha"/>
    <w:next w:val="JuPara"/>
    <w:rsid w:val="00BD261D"/>
    <w:pPr>
      <w:tabs>
        <w:tab w:val="clear" w:pos="1372"/>
      </w:tabs>
      <w:ind w:left="1236" w:firstLine="0"/>
    </w:pPr>
    <w:rPr>
      <w:i/>
    </w:rPr>
  </w:style>
  <w:style w:type="paragraph" w:customStyle="1" w:styleId="JuHalpha">
    <w:name w:val="Ju_H_alpha"/>
    <w:basedOn w:val="JuHi"/>
    <w:next w:val="JuPara"/>
    <w:rsid w:val="00BD261D"/>
    <w:pPr>
      <w:tabs>
        <w:tab w:val="clear" w:pos="1191"/>
        <w:tab w:val="left" w:pos="1372"/>
      </w:tabs>
      <w:ind w:left="1373" w:hanging="335"/>
    </w:pPr>
    <w:rPr>
      <w:i w:val="0"/>
    </w:rPr>
  </w:style>
  <w:style w:type="paragraph" w:customStyle="1" w:styleId="JuLista">
    <w:name w:val="Ju_List_a"/>
    <w:basedOn w:val="JuList"/>
    <w:rsid w:val="00BD261D"/>
    <w:pPr>
      <w:ind w:left="346" w:firstLine="0"/>
    </w:pPr>
  </w:style>
  <w:style w:type="paragraph" w:customStyle="1" w:styleId="JuListi">
    <w:name w:val="Ju_List_i"/>
    <w:basedOn w:val="JuLista"/>
    <w:rsid w:val="00BD261D"/>
    <w:pPr>
      <w:ind w:left="794"/>
    </w:pPr>
  </w:style>
  <w:style w:type="character" w:styleId="CommentReference">
    <w:name w:val="annotation reference"/>
    <w:basedOn w:val="DefaultParagraphFont"/>
    <w:semiHidden/>
    <w:rPr>
      <w:sz w:val="16"/>
    </w:rPr>
  </w:style>
  <w:style w:type="paragraph" w:customStyle="1" w:styleId="JuInitialled">
    <w:name w:val="Ju_Initialled"/>
    <w:basedOn w:val="JuSigned"/>
    <w:rsid w:val="00BD261D"/>
    <w:pPr>
      <w:jc w:val="right"/>
    </w:pPr>
  </w:style>
  <w:style w:type="paragraph" w:customStyle="1" w:styleId="JuHeader">
    <w:name w:val="Ju_Header"/>
    <w:basedOn w:val="Header"/>
    <w:rsid w:val="00BD261D"/>
  </w:style>
  <w:style w:type="paragraph" w:customStyle="1" w:styleId="DecHTitle">
    <w:name w:val="Dec_H_Title"/>
    <w:basedOn w:val="Normal"/>
    <w:rsid w:val="00BD261D"/>
    <w:pPr>
      <w:spacing w:after="240"/>
      <w:jc w:val="center"/>
    </w:pPr>
    <w:rPr>
      <w:sz w:val="28"/>
    </w:rPr>
  </w:style>
  <w:style w:type="paragraph" w:customStyle="1" w:styleId="DecHCase">
    <w:name w:val="Dec_H_Case"/>
    <w:basedOn w:val="DecHTitle"/>
    <w:next w:val="JuPara"/>
    <w:rsid w:val="00BD261D"/>
    <w:rPr>
      <w:sz w:val="24"/>
    </w:rPr>
  </w:style>
  <w:style w:type="paragraph" w:customStyle="1" w:styleId="DecList">
    <w:name w:val="Dec_List"/>
    <w:basedOn w:val="Normal"/>
    <w:rsid w:val="00BD261D"/>
    <w:pPr>
      <w:spacing w:before="240"/>
      <w:ind w:left="284"/>
      <w:jc w:val="both"/>
    </w:pPr>
  </w:style>
  <w:style w:type="paragraph" w:customStyle="1" w:styleId="JuParaSub">
    <w:name w:val="Ju_Para_Sub"/>
    <w:basedOn w:val="JuPara"/>
    <w:rsid w:val="00BD261D"/>
    <w:pPr>
      <w:ind w:left="284"/>
    </w:pPr>
    <w:rPr>
      <w:szCs w:val="24"/>
    </w:rPr>
  </w:style>
  <w:style w:type="paragraph" w:customStyle="1" w:styleId="JuQuotSub">
    <w:name w:val="Ju_Quot_Sub"/>
    <w:basedOn w:val="JuQuot"/>
    <w:rsid w:val="00BD261D"/>
    <w:pPr>
      <w:ind w:left="567"/>
    </w:pPr>
  </w:style>
  <w:style w:type="paragraph" w:styleId="BalloonText">
    <w:name w:val="Balloon Text"/>
    <w:basedOn w:val="Normal"/>
    <w:semiHidden/>
    <w:rsid w:val="009B4547"/>
    <w:rPr>
      <w:rFonts w:ascii="Tahoma" w:hAnsi="Tahoma" w:cs="Tahoma"/>
      <w:sz w:val="16"/>
      <w:szCs w:val="16"/>
    </w:rPr>
  </w:style>
  <w:style w:type="paragraph" w:customStyle="1" w:styleId="PJuPara">
    <w:name w:val="P_Ju_Para"/>
    <w:basedOn w:val="Normal"/>
    <w:rsid w:val="00BD261D"/>
    <w:pPr>
      <w:ind w:firstLine="284"/>
      <w:jc w:val="both"/>
    </w:pPr>
  </w:style>
  <w:style w:type="paragraph" w:customStyle="1" w:styleId="PJuQuot">
    <w:name w:val="P_Ju_Quot"/>
    <w:basedOn w:val="Normal"/>
    <w:rsid w:val="00BD261D"/>
    <w:pPr>
      <w:spacing w:before="120" w:after="120"/>
      <w:ind w:left="403" w:firstLine="176"/>
      <w:jc w:val="both"/>
    </w:pPr>
    <w:rPr>
      <w:sz w:val="20"/>
    </w:rPr>
  </w:style>
  <w:style w:type="paragraph" w:customStyle="1" w:styleId="OpiHA">
    <w:name w:val="Opi_H_A"/>
    <w:basedOn w:val="JuHIRoman"/>
    <w:next w:val="OpiPara"/>
    <w:rsid w:val="00BD261D"/>
    <w:pPr>
      <w:tabs>
        <w:tab w:val="clear" w:pos="357"/>
      </w:tabs>
    </w:pPr>
    <w:rPr>
      <w:b/>
    </w:rPr>
  </w:style>
  <w:style w:type="paragraph" w:customStyle="1" w:styleId="OpiH1">
    <w:name w:val="Opi_H_1."/>
    <w:basedOn w:val="OpiHA"/>
    <w:next w:val="OpiPara"/>
    <w:rsid w:val="00BD261D"/>
    <w:pPr>
      <w:spacing w:before="240" w:after="120"/>
      <w:ind w:left="635"/>
    </w:pPr>
    <w:rPr>
      <w:b w:val="0"/>
      <w:i/>
    </w:rPr>
  </w:style>
  <w:style w:type="paragraph" w:customStyle="1" w:styleId="OpiHa0">
    <w:name w:val="Opi_H_a"/>
    <w:basedOn w:val="OpiH1"/>
    <w:next w:val="OpiPara"/>
    <w:rsid w:val="00BD261D"/>
    <w:pPr>
      <w:ind w:left="834"/>
    </w:pPr>
    <w:rPr>
      <w:b/>
      <w:i w:val="0"/>
      <w:sz w:val="20"/>
    </w:rPr>
  </w:style>
  <w:style w:type="paragraph" w:customStyle="1" w:styleId="OpiHi">
    <w:name w:val="Opi_H_i"/>
    <w:basedOn w:val="OpiHa0"/>
    <w:next w:val="OpiPara"/>
    <w:rsid w:val="00BD261D"/>
    <w:pPr>
      <w:ind w:left="1038"/>
    </w:pPr>
    <w:rPr>
      <w:b w:val="0"/>
      <w:i/>
    </w:rPr>
  </w:style>
  <w:style w:type="paragraph" w:customStyle="1" w:styleId="PListArticleSubject">
    <w:name w:val="P_List_ArticleSubject"/>
    <w:basedOn w:val="Normal"/>
    <w:rsid w:val="00BD261D"/>
    <w:pPr>
      <w:tabs>
        <w:tab w:val="left" w:pos="2977"/>
      </w:tabs>
      <w:ind w:left="2977" w:hanging="2977"/>
    </w:pPr>
  </w:style>
  <w:style w:type="paragraph" w:customStyle="1" w:styleId="OpiQuot">
    <w:name w:val="Opi_Quot"/>
    <w:basedOn w:val="JuQuot"/>
    <w:rsid w:val="00BD261D"/>
  </w:style>
  <w:style w:type="paragraph" w:customStyle="1" w:styleId="SuCoverTitle1">
    <w:name w:val="Su_Cover_Title1"/>
    <w:basedOn w:val="Normal"/>
    <w:next w:val="SuCoverTitle2"/>
    <w:rsid w:val="00BD261D"/>
    <w:pPr>
      <w:spacing w:before="2500"/>
      <w:jc w:val="center"/>
    </w:pPr>
    <w:rPr>
      <w:sz w:val="22"/>
    </w:rPr>
  </w:style>
  <w:style w:type="paragraph" w:customStyle="1" w:styleId="SuCoverTitle2">
    <w:name w:val="Su_Cover_Title2"/>
    <w:basedOn w:val="SuCoverTitle1"/>
    <w:next w:val="Normal"/>
    <w:rsid w:val="00BD261D"/>
    <w:pPr>
      <w:spacing w:before="240"/>
    </w:pPr>
    <w:rPr>
      <w:sz w:val="18"/>
    </w:rPr>
  </w:style>
  <w:style w:type="paragraph" w:customStyle="1" w:styleId="SuPara">
    <w:name w:val="Su_Para"/>
    <w:basedOn w:val="SuKeywords"/>
    <w:rsid w:val="00BD261D"/>
    <w:pPr>
      <w:spacing w:before="0" w:after="0"/>
    </w:pPr>
    <w:rPr>
      <w:i w:val="0"/>
    </w:rPr>
  </w:style>
  <w:style w:type="paragraph" w:customStyle="1" w:styleId="SuKeywords">
    <w:name w:val="Su_Keywords"/>
    <w:basedOn w:val="SuHHead"/>
    <w:rsid w:val="00BD261D"/>
    <w:pPr>
      <w:spacing w:before="120"/>
    </w:pPr>
    <w:rPr>
      <w:b w:val="0"/>
      <w:i/>
    </w:rPr>
  </w:style>
  <w:style w:type="paragraph" w:customStyle="1" w:styleId="SuHHead">
    <w:name w:val="Su_H_Head"/>
    <w:basedOn w:val="SuSubject"/>
    <w:rsid w:val="00BD261D"/>
    <w:pPr>
      <w:spacing w:after="120"/>
    </w:pPr>
  </w:style>
  <w:style w:type="paragraph" w:customStyle="1" w:styleId="SuSubject">
    <w:name w:val="Su_Subject"/>
    <w:basedOn w:val="SuSummary"/>
    <w:rsid w:val="00BD261D"/>
    <w:pPr>
      <w:spacing w:before="360"/>
      <w:jc w:val="both"/>
    </w:pPr>
    <w:rPr>
      <w:b/>
      <w:sz w:val="22"/>
    </w:rPr>
  </w:style>
  <w:style w:type="paragraph" w:customStyle="1" w:styleId="SuSummary">
    <w:name w:val="Su_Summary"/>
    <w:basedOn w:val="Normal"/>
    <w:next w:val="SuSubject"/>
    <w:rsid w:val="00BD261D"/>
    <w:pPr>
      <w:spacing w:after="240"/>
      <w:jc w:val="center"/>
    </w:pPr>
  </w:style>
  <w:style w:type="paragraph" w:customStyle="1" w:styleId="PListCaseNo">
    <w:name w:val="P_List_CaseNo"/>
    <w:basedOn w:val="Normal"/>
    <w:rsid w:val="00BD261D"/>
    <w:pPr>
      <w:tabs>
        <w:tab w:val="left" w:pos="1276"/>
      </w:tabs>
      <w:spacing w:line="288" w:lineRule="auto"/>
      <w:ind w:left="1276" w:hanging="1276"/>
    </w:pPr>
  </w:style>
  <w:style w:type="paragraph" w:customStyle="1" w:styleId="PListCases">
    <w:name w:val="P_List_Cases"/>
    <w:basedOn w:val="Normal"/>
    <w:rsid w:val="00BD261D"/>
    <w:pPr>
      <w:spacing w:line="288" w:lineRule="auto"/>
    </w:pPr>
  </w:style>
  <w:style w:type="paragraph" w:customStyle="1" w:styleId="PTextIntro">
    <w:name w:val="P_Text_Intro"/>
    <w:basedOn w:val="Normal"/>
    <w:rsid w:val="00BD261D"/>
    <w:pPr>
      <w:jc w:val="both"/>
    </w:pPr>
    <w:rPr>
      <w:i/>
      <w:sz w:val="20"/>
    </w:rPr>
  </w:style>
  <w:style w:type="paragraph" w:customStyle="1" w:styleId="PTitleCover">
    <w:name w:val="P_Title_Cover"/>
    <w:basedOn w:val="Normal"/>
    <w:rsid w:val="00BD261D"/>
    <w:pPr>
      <w:spacing w:before="2500"/>
      <w:jc w:val="center"/>
    </w:pPr>
    <w:rPr>
      <w:b/>
      <w:smallCaps/>
      <w:sz w:val="30"/>
    </w:rPr>
  </w:style>
  <w:style w:type="paragraph" w:customStyle="1" w:styleId="PTitle1Alpha">
    <w:name w:val="P_Title1_Alpha"/>
    <w:basedOn w:val="Normal"/>
    <w:next w:val="Normal"/>
    <w:rsid w:val="00BD261D"/>
    <w:pPr>
      <w:spacing w:after="120"/>
      <w:jc w:val="center"/>
    </w:pPr>
    <w:rPr>
      <w:b/>
      <w:smallCaps/>
      <w:sz w:val="30"/>
    </w:rPr>
  </w:style>
  <w:style w:type="paragraph" w:customStyle="1" w:styleId="PTitle1IndexArticle">
    <w:name w:val="P_Title1_IndexArticle"/>
    <w:basedOn w:val="Normal"/>
    <w:rsid w:val="00BD261D"/>
    <w:pPr>
      <w:spacing w:after="120"/>
      <w:jc w:val="center"/>
    </w:pPr>
    <w:rPr>
      <w:b/>
      <w:smallCaps/>
      <w:sz w:val="30"/>
    </w:rPr>
  </w:style>
  <w:style w:type="paragraph" w:customStyle="1" w:styleId="PTitle1IndexKey">
    <w:name w:val="P_Title1_IndexKey"/>
    <w:basedOn w:val="Normal"/>
    <w:rsid w:val="00BD261D"/>
    <w:pPr>
      <w:spacing w:after="600"/>
      <w:jc w:val="center"/>
    </w:pPr>
    <w:rPr>
      <w:b/>
      <w:smallCaps/>
      <w:sz w:val="30"/>
    </w:rPr>
  </w:style>
  <w:style w:type="paragraph" w:customStyle="1" w:styleId="PTitle1Num">
    <w:name w:val="P_Title1_Num"/>
    <w:basedOn w:val="Normal"/>
    <w:next w:val="PListCaseNo"/>
    <w:rsid w:val="00BD261D"/>
    <w:pPr>
      <w:spacing w:after="720"/>
      <w:jc w:val="center"/>
    </w:pPr>
    <w:rPr>
      <w:b/>
      <w:smallCaps/>
      <w:sz w:val="30"/>
    </w:rPr>
  </w:style>
  <w:style w:type="paragraph" w:customStyle="1" w:styleId="PTitle2Country">
    <w:name w:val="P_Title2_Country"/>
    <w:basedOn w:val="Normal"/>
    <w:next w:val="PListCases"/>
    <w:rsid w:val="00BD261D"/>
    <w:pPr>
      <w:keepNext/>
      <w:keepLines/>
      <w:spacing w:before="600" w:after="360"/>
    </w:pPr>
    <w:rPr>
      <w:b/>
    </w:rPr>
  </w:style>
  <w:style w:type="paragraph" w:customStyle="1" w:styleId="PTitle2Letters">
    <w:name w:val="P_Title2_Letters"/>
    <w:basedOn w:val="Normal"/>
    <w:next w:val="PListCases"/>
    <w:rsid w:val="00BD261D"/>
    <w:pPr>
      <w:keepNext/>
      <w:keepLines/>
      <w:spacing w:before="600" w:after="360"/>
    </w:pPr>
    <w:rPr>
      <w:b/>
      <w:sz w:val="28"/>
    </w:rPr>
  </w:style>
  <w:style w:type="paragraph" w:customStyle="1" w:styleId="PTitle2Part">
    <w:name w:val="P_Title2_Part"/>
    <w:basedOn w:val="Normal"/>
    <w:rsid w:val="00BD261D"/>
    <w:pPr>
      <w:keepNext/>
      <w:keepLines/>
      <w:spacing w:before="600" w:after="240"/>
      <w:jc w:val="center"/>
    </w:pPr>
    <w:rPr>
      <w:b/>
      <w:caps/>
    </w:rPr>
  </w:style>
  <w:style w:type="paragraph" w:customStyle="1" w:styleId="PTitle3Article">
    <w:name w:val="P_Title3_Article"/>
    <w:basedOn w:val="Normal"/>
    <w:rsid w:val="00BD261D"/>
    <w:pPr>
      <w:keepNext/>
      <w:keepLines/>
      <w:spacing w:before="360" w:after="120"/>
      <w:jc w:val="center"/>
    </w:pPr>
    <w:rPr>
      <w:b/>
      <w:smallCaps/>
      <w:sz w:val="22"/>
    </w:rPr>
  </w:style>
  <w:style w:type="paragraph" w:customStyle="1" w:styleId="PTitle4ArticleSub">
    <w:name w:val="P_Title4_Article_Sub"/>
    <w:basedOn w:val="PTitle3Article"/>
    <w:rsid w:val="00BD261D"/>
    <w:pPr>
      <w:spacing w:before="240"/>
    </w:pPr>
    <w:rPr>
      <w:smallCaps w:val="0"/>
      <w:sz w:val="20"/>
    </w:rPr>
  </w:style>
  <w:style w:type="paragraph" w:customStyle="1" w:styleId="PTitle5Subject">
    <w:name w:val="P_Title5_Subject"/>
    <w:basedOn w:val="Normal"/>
    <w:rsid w:val="00BD261D"/>
    <w:pPr>
      <w:keepNext/>
      <w:keepLines/>
      <w:spacing w:before="240" w:after="120"/>
      <w:jc w:val="both"/>
    </w:pPr>
    <w:rPr>
      <w:b/>
      <w:i/>
    </w:rPr>
  </w:style>
  <w:style w:type="paragraph" w:customStyle="1" w:styleId="PTitle6SubjectSub">
    <w:name w:val="P_Title6_Subject_Sub"/>
    <w:basedOn w:val="Normal"/>
    <w:rsid w:val="00BD261D"/>
    <w:pPr>
      <w:keepNext/>
      <w:keepLines/>
      <w:spacing w:before="240" w:after="120"/>
      <w:ind w:left="284"/>
      <w:jc w:val="both"/>
    </w:pPr>
    <w:rPr>
      <w:b/>
      <w:sz w:val="20"/>
    </w:rPr>
  </w:style>
  <w:style w:type="paragraph" w:customStyle="1" w:styleId="PTitle7CaseName">
    <w:name w:val="P_Title7_CaseName"/>
    <w:basedOn w:val="Normal"/>
    <w:rsid w:val="00BD261D"/>
    <w:pPr>
      <w:keepLines/>
      <w:spacing w:after="240"/>
      <w:jc w:val="right"/>
    </w:pPr>
    <w:rPr>
      <w:sz w:val="22"/>
    </w:rPr>
  </w:style>
  <w:style w:type="paragraph" w:customStyle="1" w:styleId="OpiParaSub">
    <w:name w:val="Opi_Para_Sub"/>
    <w:basedOn w:val="JuParaSub"/>
    <w:rsid w:val="00BD261D"/>
  </w:style>
  <w:style w:type="paragraph" w:customStyle="1" w:styleId="OpiQuotSub">
    <w:name w:val="Opi_Quot_Sub"/>
    <w:basedOn w:val="JuQuotSub"/>
    <w:rsid w:val="00BD261D"/>
  </w:style>
  <w:style w:type="character" w:customStyle="1" w:styleId="JuSignedChar">
    <w:name w:val="Ju_Signed Char"/>
    <w:basedOn w:val="DefaultParagraphFont"/>
    <w:link w:val="JuSigned"/>
    <w:rsid w:val="00FA0C4E"/>
    <w:rPr>
      <w:sz w:val="24"/>
      <w:lang w:val="en-GB" w:eastAsia="fr-FR" w:bidi="ar-SA"/>
    </w:rPr>
  </w:style>
  <w:style w:type="character" w:customStyle="1" w:styleId="JuJudgesChar">
    <w:name w:val="Ju_Judges Char"/>
    <w:basedOn w:val="DefaultParagraphFont"/>
    <w:link w:val="JuJudges"/>
    <w:locked/>
    <w:rsid w:val="00A81F4B"/>
    <w:rPr>
      <w:sz w:val="24"/>
      <w:lang w:val="en-GB" w:eastAsia="fr-FR" w:bidi="ar-SA"/>
    </w:rPr>
  </w:style>
  <w:style w:type="character" w:customStyle="1" w:styleId="JuParaChar">
    <w:name w:val="Ju_Para Char"/>
    <w:basedOn w:val="DefaultParagraphFont"/>
    <w:link w:val="JuPara"/>
    <w:rsid w:val="00FE58AA"/>
    <w:rPr>
      <w:sz w:val="24"/>
      <w:lang w:val="en-GB" w:eastAsia="fr-FR" w:bidi="ar-SA"/>
    </w:rPr>
  </w:style>
  <w:style w:type="character" w:customStyle="1" w:styleId="JuCaseChar">
    <w:name w:val="Ju_Case Char"/>
    <w:basedOn w:val="JuParaChar"/>
    <w:link w:val="JuCase"/>
    <w:rsid w:val="00FE58AA"/>
    <w:rPr>
      <w:b/>
      <w:sz w:val="24"/>
      <w:lang w:val="en-GB" w:eastAsia="fr-FR" w:bidi="ar-SA"/>
    </w:rPr>
  </w:style>
  <w:style w:type="character" w:customStyle="1" w:styleId="JuParaCar">
    <w:name w:val="Ju_Para Car"/>
    <w:basedOn w:val="DefaultParagraphFont"/>
    <w:rsid w:val="009418ED"/>
    <w:rPr>
      <w:sz w:val="24"/>
      <w:lang w:val="en-GB" w:eastAsia="fr-FR" w:bidi="ar-SA"/>
    </w:rPr>
  </w:style>
  <w:style w:type="paragraph" w:customStyle="1" w:styleId="JuParaCharChar">
    <w:name w:val="Ju_Para Char Char"/>
    <w:basedOn w:val="Normal"/>
    <w:link w:val="JuParaCharCharChar"/>
    <w:rsid w:val="009418ED"/>
    <w:pPr>
      <w:ind w:firstLine="284"/>
      <w:jc w:val="both"/>
    </w:pPr>
  </w:style>
  <w:style w:type="character" w:customStyle="1" w:styleId="JuParaCharCharChar">
    <w:name w:val="Ju_Para Char Char Char"/>
    <w:basedOn w:val="DefaultParagraphFont"/>
    <w:link w:val="JuParaCharChar"/>
    <w:rsid w:val="009418ED"/>
    <w:rPr>
      <w:sz w:val="24"/>
      <w:lang w:val="en-GB" w:eastAsia="fr-FR" w:bidi="ar-SA"/>
    </w:rPr>
  </w:style>
  <w:style w:type="paragraph" w:customStyle="1" w:styleId="ju-005fpara">
    <w:name w:val="ju-005fpara"/>
    <w:basedOn w:val="Normal"/>
    <w:rsid w:val="000A06AE"/>
    <w:pPr>
      <w:suppressAutoHyphens w:val="0"/>
      <w:spacing w:before="100" w:beforeAutospacing="1" w:after="100" w:afterAutospacing="1"/>
    </w:pPr>
    <w:rPr>
      <w:szCs w:val="24"/>
      <w:lang w:eastAsia="en-GB"/>
    </w:rPr>
  </w:style>
  <w:style w:type="character" w:customStyle="1" w:styleId="ju--005fpara----char--char">
    <w:name w:val="ju--005fpara----char--char"/>
    <w:basedOn w:val="DefaultParagraphFont"/>
    <w:rsid w:val="000A06AE"/>
  </w:style>
  <w:style w:type="character" w:customStyle="1" w:styleId="ju-005fpara--char">
    <w:name w:val="ju-005fpara--char"/>
    <w:basedOn w:val="DefaultParagraphFont"/>
    <w:rsid w:val="000A06AE"/>
  </w:style>
  <w:style w:type="character" w:customStyle="1" w:styleId="JuNames">
    <w:name w:val="Ju_Names"/>
    <w:basedOn w:val="DefaultParagraphFont"/>
    <w:rsid w:val="007A2051"/>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907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921B00-2C50-49EE-B1F3-84732D12E848}"/>
</file>

<file path=customXml/itemProps2.xml><?xml version="1.0" encoding="utf-8"?>
<ds:datastoreItem xmlns:ds="http://schemas.openxmlformats.org/officeDocument/2006/customXml" ds:itemID="{75E4E265-4AD4-4E75-BF57-C6B0DE985880}"/>
</file>

<file path=customXml/itemProps3.xml><?xml version="1.0" encoding="utf-8"?>
<ds:datastoreItem xmlns:ds="http://schemas.openxmlformats.org/officeDocument/2006/customXml" ds:itemID="{B8DB484D-2DC1-4FA3-B78A-B4B36770D306}"/>
</file>

<file path=docProps/app.xml><?xml version="1.0" encoding="utf-8"?>
<Properties xmlns="http://schemas.openxmlformats.org/officeDocument/2006/extended-properties" xmlns:vt="http://schemas.openxmlformats.org/officeDocument/2006/docPropsVTypes">
  <Template>Normal.dotm</Template>
  <TotalTime>3</TotalTime>
  <Pages>1</Pages>
  <Words>6874</Words>
  <Characters>39186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2009-10-02T15:07:00Z</cp:lastPrinted>
  <dcterms:created xsi:type="dcterms:W3CDTF">2015-03-18T15:37:00Z</dcterms:created>
  <dcterms:modified xsi:type="dcterms:W3CDTF">2015-03-18T15:37:00Z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