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054E" w:rsidP="0022054E" w:rsidRDefault="0022054E">
      <w:pPr>
        <w:pStyle w:val="DecHTitle"/>
      </w:pPr>
      <w:bookmarkStart w:name="_GoBack" w:id="0"/>
      <w:bookmarkEnd w:id="0"/>
      <w:r w:rsidRPr="00B55FF7">
        <w:t>CINQUIÈME SECTION</w:t>
      </w:r>
    </w:p>
    <w:p w:rsidR="00FA0C79" w:rsidP="0022054E" w:rsidRDefault="0022054E">
      <w:pPr>
        <w:pStyle w:val="DecHTitle"/>
      </w:pPr>
      <w:r>
        <w:t>DÉCISION</w:t>
      </w:r>
    </w:p>
    <w:p w:rsidR="0022054E" w:rsidP="0022054E" w:rsidRDefault="0022054E">
      <w:pPr>
        <w:pStyle w:val="DecHTitle"/>
      </w:pPr>
      <w:r>
        <w:t>SUR LA RECEVABILITÉ</w:t>
      </w:r>
    </w:p>
    <w:p w:rsidR="0022054E" w:rsidP="0022054E" w:rsidRDefault="0022054E">
      <w:pPr>
        <w:pStyle w:val="DecHCase"/>
      </w:pPr>
      <w:r>
        <w:t>de la requête</w:t>
      </w:r>
      <w:r w:rsidRPr="00B55FF7">
        <w:t xml:space="preserve"> n</w:t>
      </w:r>
      <w:r w:rsidRPr="00B55FF7">
        <w:rPr>
          <w:vertAlign w:val="superscript"/>
        </w:rPr>
        <w:t>o</w:t>
      </w:r>
      <w:r w:rsidRPr="00B55FF7">
        <w:t xml:space="preserve"> 17215/06</w:t>
      </w:r>
      <w:r w:rsidRPr="00B55FF7">
        <w:br/>
        <w:t>présentée par Eric HACQUEMAND</w:t>
      </w:r>
      <w:r w:rsidRPr="00B55FF7">
        <w:br/>
        <w:t>contre la France</w:t>
      </w:r>
    </w:p>
    <w:p w:rsidRPr="00B55FF7" w:rsidR="0022054E" w:rsidP="0022054E" w:rsidRDefault="0022054E">
      <w:pPr>
        <w:pStyle w:val="JuPara"/>
      </w:pPr>
      <w:r w:rsidRPr="00B55FF7">
        <w:t>La Cour européenne des droits de l</w:t>
      </w:r>
      <w:r w:rsidR="00FA0C79">
        <w:t>'</w:t>
      </w:r>
      <w:r w:rsidRPr="00B55FF7">
        <w:t xml:space="preserve">homme (cinquième section), siégeant le </w:t>
      </w:r>
      <w:r w:rsidR="008616D7">
        <w:t>30 juin 2009</w:t>
      </w:r>
      <w:r w:rsidRPr="00B55FF7">
        <w:t xml:space="preserve"> en une chambre composée de :</w:t>
      </w:r>
    </w:p>
    <w:p w:rsidRPr="00B55FF7" w:rsidR="0022054E" w:rsidP="0022054E" w:rsidRDefault="008616D7">
      <w:pPr>
        <w:pStyle w:val="JuJudges"/>
      </w:pPr>
      <w:r w:rsidRPr="008616D7">
        <w:tab/>
        <w:t>Peer</w:t>
      </w:r>
      <w:r>
        <w:t xml:space="preserve"> </w:t>
      </w:r>
      <w:r w:rsidRPr="008616D7">
        <w:t>Lorenzen</w:t>
      </w:r>
      <w:r>
        <w:t>,</w:t>
      </w:r>
      <w:r w:rsidRPr="008616D7">
        <w:rPr>
          <w:i/>
        </w:rPr>
        <w:t xml:space="preserve"> président,</w:t>
      </w:r>
      <w:r>
        <w:rPr>
          <w:i/>
        </w:rPr>
        <w:br/>
      </w:r>
      <w:r w:rsidRPr="008616D7">
        <w:tab/>
        <w:t>Rait</w:t>
      </w:r>
      <w:r>
        <w:t xml:space="preserve"> </w:t>
      </w:r>
      <w:r w:rsidRPr="008616D7">
        <w:t>Maruste</w:t>
      </w:r>
      <w:r>
        <w:t>,</w:t>
      </w:r>
      <w:r>
        <w:rPr>
          <w:i/>
        </w:rPr>
        <w:br/>
      </w:r>
      <w:r w:rsidRPr="008616D7">
        <w:tab/>
        <w:t>Jean-Paul</w:t>
      </w:r>
      <w:r>
        <w:t xml:space="preserve"> </w:t>
      </w:r>
      <w:r w:rsidRPr="008616D7">
        <w:t>Costa</w:t>
      </w:r>
      <w:r>
        <w:t>,</w:t>
      </w:r>
      <w:r>
        <w:rPr>
          <w:i/>
        </w:rPr>
        <w:br/>
      </w:r>
      <w:r w:rsidRPr="008616D7">
        <w:tab/>
        <w:t>Karel</w:t>
      </w:r>
      <w:r>
        <w:t xml:space="preserve"> </w:t>
      </w:r>
      <w:r w:rsidRPr="008616D7">
        <w:t>Jungwiert</w:t>
      </w:r>
      <w:r>
        <w:t>,</w:t>
      </w:r>
      <w:r>
        <w:rPr>
          <w:i/>
        </w:rPr>
        <w:br/>
      </w:r>
      <w:r w:rsidRPr="008616D7">
        <w:tab/>
        <w:t>Renate</w:t>
      </w:r>
      <w:r>
        <w:t xml:space="preserve"> </w:t>
      </w:r>
      <w:r w:rsidRPr="008616D7">
        <w:t>Jaeger</w:t>
      </w:r>
      <w:r>
        <w:t>,</w:t>
      </w:r>
      <w:r>
        <w:rPr>
          <w:i/>
        </w:rPr>
        <w:br/>
      </w:r>
      <w:r w:rsidRPr="008616D7">
        <w:tab/>
        <w:t>Isabelle</w:t>
      </w:r>
      <w:r>
        <w:t xml:space="preserve"> </w:t>
      </w:r>
      <w:r w:rsidRPr="008616D7">
        <w:t>Berro-Lefèvre</w:t>
      </w:r>
      <w:r>
        <w:t>,</w:t>
      </w:r>
      <w:r>
        <w:rPr>
          <w:i/>
        </w:rPr>
        <w:br/>
      </w:r>
      <w:r w:rsidRPr="008616D7">
        <w:tab/>
        <w:t>Zdravka</w:t>
      </w:r>
      <w:r>
        <w:t xml:space="preserve"> </w:t>
      </w:r>
      <w:r w:rsidRPr="008616D7">
        <w:t>Kalaydjieva</w:t>
      </w:r>
      <w:r>
        <w:t>,</w:t>
      </w:r>
      <w:r w:rsidRPr="008616D7">
        <w:rPr>
          <w:i/>
        </w:rPr>
        <w:t xml:space="preserve"> juges,</w:t>
      </w:r>
      <w:r w:rsidRPr="00B55FF7" w:rsidR="0022054E">
        <w:br/>
        <w:t xml:space="preserve">et de Claudia Westerdiek, </w:t>
      </w:r>
      <w:r w:rsidRPr="00B55FF7" w:rsidR="0022054E">
        <w:rPr>
          <w:i/>
        </w:rPr>
        <w:t>greffière de section</w:t>
      </w:r>
      <w:r w:rsidRPr="00B55FF7" w:rsidR="0022054E">
        <w:t>,</w:t>
      </w:r>
    </w:p>
    <w:p w:rsidRPr="00B55FF7" w:rsidR="0022054E" w:rsidP="0022054E" w:rsidRDefault="0022054E">
      <w:pPr>
        <w:pStyle w:val="JuPara"/>
      </w:pPr>
      <w:r w:rsidRPr="00B55FF7">
        <w:t>Vu la requête susmentionnée introduite le 25 avril 2006,</w:t>
      </w:r>
    </w:p>
    <w:p w:rsidRPr="00B55FF7" w:rsidR="0022054E" w:rsidP="0022054E" w:rsidRDefault="0022054E">
      <w:pPr>
        <w:pStyle w:val="JuPara"/>
      </w:pPr>
      <w:r w:rsidRPr="00B55FF7">
        <w:t>Après en avoir délibéré, rend la décision suivante :</w:t>
      </w:r>
    </w:p>
    <w:p w:rsidRPr="00B55FF7" w:rsidR="0022054E" w:rsidP="0022054E" w:rsidRDefault="0022054E">
      <w:pPr>
        <w:pStyle w:val="JuHHead"/>
      </w:pPr>
      <w:r w:rsidRPr="00B55FF7">
        <w:t>EN FAIT</w:t>
      </w:r>
    </w:p>
    <w:p w:rsidRPr="00B55FF7" w:rsidR="0022054E" w:rsidP="0022054E" w:rsidRDefault="0022054E">
      <w:pPr>
        <w:pStyle w:val="JuPara"/>
      </w:pPr>
      <w:r w:rsidRPr="00B55FF7">
        <w:t xml:space="preserve">Le requérant, M. Eric Hacquemand, </w:t>
      </w:r>
      <w:r>
        <w:t xml:space="preserve">journaliste, </w:t>
      </w:r>
      <w:r w:rsidRPr="00B55FF7">
        <w:t>est un ressortissant français, né en 1973 et résidant à Gagny. Il est r</w:t>
      </w:r>
      <w:r>
        <w:t>eprésenté devant la Cour par M</w:t>
      </w:r>
      <w:r w:rsidRPr="00D4398F">
        <w:rPr>
          <w:rFonts w:ascii="Times New (W1)" w:hAnsi="Times New (W1)"/>
          <w:vertAlign w:val="superscript"/>
        </w:rPr>
        <w:t>e</w:t>
      </w:r>
      <w:r>
        <w:t> D. Bouthors, avocat au Conseil d</w:t>
      </w:r>
      <w:r w:rsidR="00FA0C79">
        <w:t>'</w:t>
      </w:r>
      <w:r>
        <w:t>Etat et à la Cour de cassation.</w:t>
      </w:r>
    </w:p>
    <w:p w:rsidRPr="00B55FF7" w:rsidR="0022054E" w:rsidP="0022054E" w:rsidRDefault="0022054E">
      <w:pPr>
        <w:pStyle w:val="JuHA"/>
      </w:pPr>
      <w:r w:rsidRPr="00B55FF7">
        <w:t>A.  Les circonstances de l</w:t>
      </w:r>
      <w:r w:rsidR="00FA0C79">
        <w:t>'</w:t>
      </w:r>
      <w:r w:rsidRPr="00B55FF7">
        <w:t>espèce</w:t>
      </w:r>
    </w:p>
    <w:p w:rsidR="0022054E" w:rsidP="0022054E" w:rsidRDefault="0022054E">
      <w:pPr>
        <w:pStyle w:val="JuPara"/>
      </w:pPr>
      <w:r w:rsidRPr="00B55FF7">
        <w:t>Les faits de la cause, tels qu</w:t>
      </w:r>
      <w:r w:rsidR="00FA0C79">
        <w:t>'</w:t>
      </w:r>
      <w:r w:rsidRPr="00B55FF7">
        <w:t>ils ont été exposés par le requérant, peuvent se résumer comme suit.</w:t>
      </w:r>
    </w:p>
    <w:p w:rsidR="0022054E" w:rsidP="0022054E" w:rsidRDefault="0022054E">
      <w:pPr>
        <w:pStyle w:val="JuPara"/>
      </w:pPr>
      <w:r>
        <w:t xml:space="preserve">Le 15 avril 2000, le quotidien </w:t>
      </w:r>
      <w:r w:rsidRPr="00D362F9">
        <w:rPr>
          <w:i/>
        </w:rPr>
        <w:t>Le Parisien</w:t>
      </w:r>
      <w:r w:rsidR="006B4A73">
        <w:t xml:space="preserve"> publia dans son numéro </w:t>
      </w:r>
      <w:r>
        <w:t>17297, en page II du cahier central constituant l</w:t>
      </w:r>
      <w:r w:rsidR="00FA0C79">
        <w:t>'</w:t>
      </w:r>
      <w:r>
        <w:t xml:space="preserve">édition locale « Seine-et-Marne Matin » exclusivement diffusé dans la moitié nord de ce département, un article écrit par le requérant intitulé : </w:t>
      </w:r>
      <w:r>
        <w:rPr>
          <w:i/>
        </w:rPr>
        <w:t>Champs-sur-Marne : le « rat d</w:t>
      </w:r>
      <w:r w:rsidR="00FA0C79">
        <w:rPr>
          <w:i/>
        </w:rPr>
        <w:t>'</w:t>
      </w:r>
      <w:r>
        <w:rPr>
          <w:i/>
        </w:rPr>
        <w:t>hôtel » avait fait 70 victimes</w:t>
      </w:r>
      <w:r>
        <w:t>, accompagné d</w:t>
      </w:r>
      <w:r w:rsidR="00FA0C79">
        <w:t>'</w:t>
      </w:r>
      <w:r>
        <w:t>une photographie de E. C. dont la légende précise qu</w:t>
      </w:r>
      <w:r w:rsidR="00FA0C79">
        <w:t>'</w:t>
      </w:r>
      <w:r>
        <w:t>il est « soupçonné de vol de véhicule, de chèques, de cartes bancaires, de grivèlerie d</w:t>
      </w:r>
      <w:r w:rsidR="00FA0C79">
        <w:t>'</w:t>
      </w:r>
      <w:r>
        <w:t>hôtel et enfin de travail clandestin ». Le requérant y relatait sous sa signature les circonstances de l</w:t>
      </w:r>
      <w:r w:rsidR="00FA0C79">
        <w:t>'</w:t>
      </w:r>
      <w:r>
        <w:t>arrestation de E. C. par la police et résumait les éléments de l</w:t>
      </w:r>
      <w:r w:rsidR="00FA0C79">
        <w:t>'</w:t>
      </w:r>
      <w:r>
        <w:t>enquête qui avaient conduit à l</w:t>
      </w:r>
      <w:r w:rsidR="00FA0C79">
        <w:t>'</w:t>
      </w:r>
      <w:r>
        <w:t>incarcération de celui-ci décidée par le juge d</w:t>
      </w:r>
      <w:r w:rsidR="00FA0C79">
        <w:t>'</w:t>
      </w:r>
      <w:r>
        <w:t>instruction saisi des faits en litige. La photographie parue s</w:t>
      </w:r>
      <w:r w:rsidR="00FA0C79">
        <w:t>'</w:t>
      </w:r>
      <w:r>
        <w:t>avéra être la reproduction d</w:t>
      </w:r>
      <w:r w:rsidR="00FA0C79">
        <w:t>'</w:t>
      </w:r>
      <w:r>
        <w:t>une de celles prises avec un appareil numérique durant le temps de la garde à vue par les enquêteurs. Le requérant n</w:t>
      </w:r>
      <w:r w:rsidR="00FA0C79">
        <w:t>'</w:t>
      </w:r>
      <w:r>
        <w:t>indiqua pas la provenance exacte du cliché</w:t>
      </w:r>
      <w:r w:rsidRPr="0042334A">
        <w:t>.</w:t>
      </w:r>
    </w:p>
    <w:p w:rsidR="0022054E" w:rsidP="0022054E" w:rsidRDefault="0022054E">
      <w:pPr>
        <w:pStyle w:val="JuPara"/>
      </w:pPr>
      <w:r>
        <w:t>Le 29 janvier 2001, E. C. déposa une plainte avec constitution de partie civile auprès du doyen des juges d</w:t>
      </w:r>
      <w:r w:rsidR="00FA0C79">
        <w:t>'</w:t>
      </w:r>
      <w:r>
        <w:t>instruction du tribunal de grande instance de Meaux pour « violation et recel de violation du secret de l</w:t>
      </w:r>
      <w:r w:rsidR="00FA0C79">
        <w:t>'</w:t>
      </w:r>
      <w:r>
        <w:t>enquête le concernant ». Par ordonnance du juge d</w:t>
      </w:r>
      <w:r w:rsidR="00FA0C79">
        <w:t>'</w:t>
      </w:r>
      <w:r>
        <w:t>instruction du 28 février 2003, le requérant fut renvoyé devant le tribunal correctionnel de Meaux pour avoir « sciemment recelé une photographie et des renseignements qu</w:t>
      </w:r>
      <w:r w:rsidR="00FA0C79">
        <w:t>'</w:t>
      </w:r>
      <w:r>
        <w:t>il savait provenir d</w:t>
      </w:r>
      <w:r w:rsidR="00FA0C79">
        <w:t>'</w:t>
      </w:r>
      <w:r>
        <w:t>un délit commis au préjudice de E. C., en l</w:t>
      </w:r>
      <w:r w:rsidR="00FA0C79">
        <w:t>'</w:t>
      </w:r>
      <w:r>
        <w:t>espèce la violation du secret de l</w:t>
      </w:r>
      <w:r w:rsidR="00FA0C79">
        <w:t>'</w:t>
      </w:r>
      <w:r>
        <w:t>enquête le concernant ».</w:t>
      </w:r>
    </w:p>
    <w:p w:rsidR="0022054E" w:rsidP="0022054E" w:rsidRDefault="0022054E">
      <w:pPr>
        <w:pStyle w:val="JuPara"/>
      </w:pPr>
      <w:r>
        <w:t>Par un jugement rendu le 10 février 2004, le tribunal correctionnel de Meaux déclara le requérant coupable du délit de recel de biens provenant d</w:t>
      </w:r>
      <w:r w:rsidR="00FA0C79">
        <w:t>'</w:t>
      </w:r>
      <w:r>
        <w:t>une violation du secret de l</w:t>
      </w:r>
      <w:r w:rsidR="00FA0C79">
        <w:t>'</w:t>
      </w:r>
      <w:r>
        <w:t>instruction ou de l</w:t>
      </w:r>
      <w:r w:rsidR="00FA0C79">
        <w:t>'</w:t>
      </w:r>
      <w:r>
        <w:t>enquête, le condamna à une peine d</w:t>
      </w:r>
      <w:r w:rsidR="00FA0C79">
        <w:t>'</w:t>
      </w:r>
      <w:r>
        <w:t>un mois d</w:t>
      </w:r>
      <w:r w:rsidR="00FA0C79">
        <w:t>'</w:t>
      </w:r>
      <w:r>
        <w:t>emprisonnement avec sursis et au paiement de 1 000 euros (EUR) à titre de dommages et intérêts à verser à la partie civile.</w:t>
      </w:r>
    </w:p>
    <w:p w:rsidR="0022054E" w:rsidP="0022054E" w:rsidRDefault="0022054E">
      <w:pPr>
        <w:pStyle w:val="JuPara"/>
      </w:pPr>
      <w:r>
        <w:t>Le tribunal releva notamment que le prévenu refusait de révéler les circonstances dans lesquelles il avait obtenu la photographie reproduite dans le journal, en invoquant au soutien de son silence le droit pour tout journaliste de taire ses sources. Il nota également que le requérant admettait avoir personnellement reçu le cliché incriminé et l</w:t>
      </w:r>
      <w:r w:rsidR="00FA0C79">
        <w:t>'</w:t>
      </w:r>
      <w:r>
        <w:t>avoir confié à son rédacteur en chef en vue de sa publication. Il constata que la photographie avait été prise par les policiers pour les besoins de l</w:t>
      </w:r>
      <w:r w:rsidR="00FA0C79">
        <w:t>'</w:t>
      </w:r>
      <w:r>
        <w:t>enquête, que ceux-ci l</w:t>
      </w:r>
      <w:r w:rsidR="00FA0C79">
        <w:t>'</w:t>
      </w:r>
      <w:r>
        <w:t>avaient conservée sur la disquette équipant l</w:t>
      </w:r>
      <w:r w:rsidR="00FA0C79">
        <w:t>'</w:t>
      </w:r>
      <w:r>
        <w:t>appareil photographique sans la transférer sur un ordinateur ni la dupliquer et qu</w:t>
      </w:r>
      <w:r w:rsidR="00FA0C79">
        <w:t>'</w:t>
      </w:r>
      <w:r>
        <w:t>elle avait fait l</w:t>
      </w:r>
      <w:r w:rsidR="00FA0C79">
        <w:t>'</w:t>
      </w:r>
      <w:r>
        <w:t>objet d</w:t>
      </w:r>
      <w:r w:rsidR="00FA0C79">
        <w:t>'</w:t>
      </w:r>
      <w:r>
        <w:t>un tirage restreint en vue d</w:t>
      </w:r>
      <w:r w:rsidR="00FA0C79">
        <w:t>'</w:t>
      </w:r>
      <w:r>
        <w:t>une diffusion aux seuls enquêteurs. Il estima que cette vue ne pouvait avoir d</w:t>
      </w:r>
      <w:r w:rsidR="00FA0C79">
        <w:t>'</w:t>
      </w:r>
      <w:r>
        <w:t>autre provenance qu</w:t>
      </w:r>
      <w:r w:rsidR="00FA0C79">
        <w:t>'</w:t>
      </w:r>
      <w:r>
        <w:t>un enquêteur, étant observé que le requérant lui-même n</w:t>
      </w:r>
      <w:r w:rsidR="00FA0C79">
        <w:t>'</w:t>
      </w:r>
      <w:r>
        <w:t>avait jamais évoqué de sources autres que policières. Il en conclut que la photographie, prise dans le cadre de l</w:t>
      </w:r>
      <w:r w:rsidR="00FA0C79">
        <w:t>'</w:t>
      </w:r>
      <w:r>
        <w:t>exercice de l</w:t>
      </w:r>
      <w:r w:rsidR="00FA0C79">
        <w:t>'</w:t>
      </w:r>
      <w:r>
        <w:t>action publique, était un document protégé par le secret de l</w:t>
      </w:r>
      <w:r w:rsidR="00FA0C79">
        <w:t>'</w:t>
      </w:r>
      <w:r>
        <w:t>enquête, puis de l</w:t>
      </w:r>
      <w:r w:rsidR="00FA0C79">
        <w:t>'</w:t>
      </w:r>
      <w:r>
        <w:t>instruction judiciaire qui s</w:t>
      </w:r>
      <w:r w:rsidR="00FA0C79">
        <w:t>'</w:t>
      </w:r>
      <w:r>
        <w:t>ensuivit, tel qu</w:t>
      </w:r>
      <w:r w:rsidR="00FA0C79">
        <w:t>'</w:t>
      </w:r>
      <w:r>
        <w:t>énoncé à l</w:t>
      </w:r>
      <w:r w:rsidR="00FA0C79">
        <w:t>'</w:t>
      </w:r>
      <w:r>
        <w:t>article 11 du code de procédure pénale. Le tribunal jugea que le délit de recel de violation du secret de l</w:t>
      </w:r>
      <w:r w:rsidR="00FA0C79">
        <w:t>'</w:t>
      </w:r>
      <w:r>
        <w:t>enquête ou de l</w:t>
      </w:r>
      <w:r w:rsidR="00FA0C79">
        <w:t>'</w:t>
      </w:r>
      <w:r>
        <w:t>instruction était bien constitué, estimant notamment que :</w:t>
      </w:r>
    </w:p>
    <w:p w:rsidR="0022054E" w:rsidP="0022054E" w:rsidRDefault="0022054E">
      <w:pPr>
        <w:pStyle w:val="JuQuot"/>
      </w:pPr>
      <w:r>
        <w:t>« la publication d</w:t>
      </w:r>
      <w:r w:rsidR="00FA0C79">
        <w:t>'</w:t>
      </w:r>
      <w:r>
        <w:t>un portrait de l</w:t>
      </w:r>
      <w:r w:rsidR="00FA0C79">
        <w:t>'</w:t>
      </w:r>
      <w:r>
        <w:t>auteur des malversations décrites par le journaliste dans son article, obtenu au mépris du respect du secret de l</w:t>
      </w:r>
      <w:r w:rsidR="00FA0C79">
        <w:t>'</w:t>
      </w:r>
      <w:r>
        <w:t>enquête et donc de la présomption d</w:t>
      </w:r>
      <w:r w:rsidR="00FA0C79">
        <w:t>'</w:t>
      </w:r>
      <w:r>
        <w:t>innocence, ne s</w:t>
      </w:r>
      <w:r w:rsidR="00FA0C79">
        <w:t>'</w:t>
      </w:r>
      <w:r>
        <w:t>imposait pas, y compris dans les pages locales, dans la mesure où cette photographie n</w:t>
      </w:r>
      <w:r w:rsidR="00FA0C79">
        <w:t>'</w:t>
      </w:r>
      <w:r>
        <w:t>apparaissait pas devoir constituer un complément indispensable à la compréhension de l</w:t>
      </w:r>
      <w:r w:rsidR="00FA0C79">
        <w:t>'</w:t>
      </w:r>
      <w:r>
        <w:t>article publié ou répondre à une attente du lecteur, E. C. n</w:t>
      </w:r>
      <w:r w:rsidR="00FA0C79">
        <w:t>'</w:t>
      </w:r>
      <w:r>
        <w:t>ayant pas commis des faits hors du commun, n</w:t>
      </w:r>
      <w:r w:rsidR="00FA0C79">
        <w:t>'</w:t>
      </w:r>
      <w:r>
        <w:t>étant pas une personnalité notoirement connue et n</w:t>
      </w:r>
      <w:r w:rsidR="00FA0C79">
        <w:t>'</w:t>
      </w:r>
      <w:r>
        <w:t>étant pas davantage natif de Seine-et-Marne ni n</w:t>
      </w:r>
      <w:r w:rsidR="00FA0C79">
        <w:t>'</w:t>
      </w:r>
      <w:r>
        <w:t>y résidant habituellement ; »</w:t>
      </w:r>
    </w:p>
    <w:p w:rsidR="0022054E" w:rsidP="0022054E" w:rsidRDefault="0022054E">
      <w:pPr>
        <w:pStyle w:val="JuPara"/>
      </w:pPr>
      <w:r>
        <w:t>Le requérant et le ministère public interjetèrent appel. Par un arrêt rendu le 21 février 2005, la cour d</w:t>
      </w:r>
      <w:r w:rsidR="00FA0C79">
        <w:t>'</w:t>
      </w:r>
      <w:r>
        <w:t>appel de Paris confirma le jugement déféré sur la déclaration de culpabilité et sur les dommages et intérêts mais, réformant sur la peine, condamna le requérant à une amende d</w:t>
      </w:r>
      <w:r w:rsidR="00FA0C79">
        <w:t>'</w:t>
      </w:r>
      <w:r>
        <w:t>un montant de 1 500 EUR.</w:t>
      </w:r>
    </w:p>
    <w:p w:rsidR="0022054E" w:rsidP="0022054E" w:rsidRDefault="0022054E">
      <w:pPr>
        <w:pStyle w:val="JuPara"/>
      </w:pPr>
      <w:r>
        <w:t>Le requérant forma un pourvoi en cassation. Dans son mémoire ampliatif, il invoqua l</w:t>
      </w:r>
      <w:r w:rsidR="00FA0C79">
        <w:t>'</w:t>
      </w:r>
      <w:r>
        <w:t>article 10 de la Convention et allégua notamment que la condamnation litigieuse avait porté atteinte à sa liberté d</w:t>
      </w:r>
      <w:r w:rsidR="00FA0C79">
        <w:t>'</w:t>
      </w:r>
      <w:r>
        <w:t>expression. Par un arrêt rendu le 25 octobre 2005, la Cour de cassation rejeta le pourvoi.</w:t>
      </w:r>
    </w:p>
    <w:p w:rsidR="0022054E" w:rsidP="0022054E" w:rsidRDefault="0022054E">
      <w:pPr>
        <w:pStyle w:val="JuHA"/>
        <w:tabs>
          <w:tab w:val="clear" w:pos="584"/>
        </w:tabs>
        <w:ind w:left="232" w:firstLine="0"/>
      </w:pPr>
      <w:r>
        <w:t>B.  Le droit interne pertinent</w:t>
      </w:r>
    </w:p>
    <w:p w:rsidRPr="00034BC6" w:rsidR="0022054E" w:rsidP="0022054E" w:rsidRDefault="0022054E">
      <w:pPr>
        <w:pStyle w:val="JuH1"/>
      </w:pPr>
      <w:r>
        <w:t>1.  Le secret de l</w:t>
      </w:r>
      <w:r w:rsidR="00FA0C79">
        <w:t>'</w:t>
      </w:r>
      <w:r>
        <w:t>enquête et de l</w:t>
      </w:r>
      <w:r w:rsidR="00FA0C79">
        <w:t>'</w:t>
      </w:r>
      <w:r>
        <w:t>instruction</w:t>
      </w:r>
    </w:p>
    <w:p w:rsidRPr="00CD19D1" w:rsidR="0022054E" w:rsidP="0022054E" w:rsidRDefault="0022054E">
      <w:pPr>
        <w:pStyle w:val="JuHa0"/>
      </w:pPr>
      <w:r>
        <w:t>a)  Code pénal</w:t>
      </w:r>
    </w:p>
    <w:p w:rsidR="0022054E" w:rsidP="0022054E" w:rsidRDefault="0022054E">
      <w:pPr>
        <w:pStyle w:val="JuHArticle"/>
      </w:pPr>
      <w:r>
        <w:t>Article 226-13</w:t>
      </w:r>
    </w:p>
    <w:p w:rsidR="0022054E" w:rsidP="0022054E" w:rsidRDefault="0022054E">
      <w:pPr>
        <w:pStyle w:val="JuQuot"/>
        <w:rPr>
          <w:i/>
        </w:rPr>
      </w:pPr>
      <w:r w:rsidRPr="003C2D0E">
        <w:t>« La révélation d</w:t>
      </w:r>
      <w:r w:rsidR="00FA0C79">
        <w:t>'</w:t>
      </w:r>
      <w:r w:rsidRPr="003C2D0E">
        <w:t>une information à caractère secret par une personne qui en est dépositaire soit par état ou par profess</w:t>
      </w:r>
      <w:r>
        <w:t>ion, soit en raison d</w:t>
      </w:r>
      <w:r w:rsidR="00FA0C79">
        <w:t>'</w:t>
      </w:r>
      <w:r>
        <w:t>une fonction ou d</w:t>
      </w:r>
      <w:r w:rsidR="00FA0C79">
        <w:t>'</w:t>
      </w:r>
      <w:r w:rsidRPr="003C2D0E">
        <w:t xml:space="preserve">une </w:t>
      </w:r>
      <w:r>
        <w:t>mission temporaire, est punie d</w:t>
      </w:r>
      <w:r w:rsidR="00FA0C79">
        <w:t>'</w:t>
      </w:r>
      <w:r>
        <w:t>un an d</w:t>
      </w:r>
      <w:r w:rsidR="00FA0C79">
        <w:t>'</w:t>
      </w:r>
      <w:r w:rsidRPr="003C2D0E">
        <w:t>emp</w:t>
      </w:r>
      <w:r>
        <w:t>risonnement et de 15 000 euros d</w:t>
      </w:r>
      <w:r w:rsidR="00FA0C79">
        <w:t>'</w:t>
      </w:r>
      <w:r w:rsidRPr="003C2D0E">
        <w:t>amen</w:t>
      </w:r>
      <w:r>
        <w:t>de. »</w:t>
      </w:r>
    </w:p>
    <w:p w:rsidR="0022054E" w:rsidP="0022054E" w:rsidRDefault="0022054E">
      <w:pPr>
        <w:pStyle w:val="JuHArticle"/>
      </w:pPr>
      <w:r>
        <w:t>Article 321-1</w:t>
      </w:r>
    </w:p>
    <w:p w:rsidR="0022054E" w:rsidP="0022054E" w:rsidRDefault="0022054E">
      <w:pPr>
        <w:pStyle w:val="JuQuot"/>
      </w:pPr>
      <w:r>
        <w:t>« </w:t>
      </w:r>
      <w:r w:rsidRPr="003C2D0E">
        <w:t xml:space="preserve">Le recel est le fait de dissimuler, de détenir ou de transmettre </w:t>
      </w:r>
      <w:r>
        <w:t>une chose, ou de faire office d</w:t>
      </w:r>
      <w:r w:rsidR="00FA0C79">
        <w:t>'</w:t>
      </w:r>
      <w:r w:rsidRPr="003C2D0E">
        <w:t>intermédiaire afin de</w:t>
      </w:r>
      <w:r>
        <w:t xml:space="preserve"> la transmettre, en sachant que cette chose provient d</w:t>
      </w:r>
      <w:r w:rsidR="00FA0C79">
        <w:t>'</w:t>
      </w:r>
      <w:r w:rsidRPr="003C2D0E">
        <w:t>un crime ou d</w:t>
      </w:r>
      <w:r w:rsidR="00FA0C79">
        <w:t>'</w:t>
      </w:r>
      <w:r w:rsidRPr="003C2D0E">
        <w:t>un délit.</w:t>
      </w:r>
    </w:p>
    <w:p w:rsidR="0022054E" w:rsidP="0022054E" w:rsidRDefault="0022054E">
      <w:pPr>
        <w:pStyle w:val="JuQuot"/>
      </w:pPr>
      <w:r w:rsidRPr="003C2D0E">
        <w:t>Constitue également un recel le fait, en connaissance de cause, de bénéficie</w:t>
      </w:r>
      <w:r>
        <w:t>r, par tout moyen, du produit d</w:t>
      </w:r>
      <w:r w:rsidR="00FA0C79">
        <w:t>'</w:t>
      </w:r>
      <w:r>
        <w:t>un crime ou d</w:t>
      </w:r>
      <w:r w:rsidR="00FA0C79">
        <w:t>'</w:t>
      </w:r>
      <w:r w:rsidRPr="003C2D0E">
        <w:t>un délit.</w:t>
      </w:r>
    </w:p>
    <w:p w:rsidR="0022054E" w:rsidP="0022054E" w:rsidRDefault="0022054E">
      <w:pPr>
        <w:pStyle w:val="JuQuot"/>
        <w:rPr>
          <w:i/>
        </w:rPr>
      </w:pPr>
      <w:r w:rsidRPr="003C2D0E">
        <w:t xml:space="preserve">Le recel est puni de cinq ans </w:t>
      </w:r>
      <w:r>
        <w:t>d</w:t>
      </w:r>
      <w:r w:rsidR="00FA0C79">
        <w:t>'</w:t>
      </w:r>
      <w:r w:rsidRPr="003C2D0E">
        <w:t>emprisonnement et de 375</w:t>
      </w:r>
      <w:r>
        <w:t> 000 euros d</w:t>
      </w:r>
      <w:r w:rsidR="00FA0C79">
        <w:t>'</w:t>
      </w:r>
      <w:r w:rsidRPr="003C2D0E">
        <w:t>amende</w:t>
      </w:r>
      <w:r>
        <w:t>. »</w:t>
      </w:r>
    </w:p>
    <w:p w:rsidR="0022054E" w:rsidP="0022054E" w:rsidRDefault="0022054E">
      <w:pPr>
        <w:pStyle w:val="JuHa0"/>
      </w:pPr>
      <w:r>
        <w:t>b)  Code de procédure pénale</w:t>
      </w:r>
    </w:p>
    <w:p w:rsidR="0022054E" w:rsidP="0022054E" w:rsidRDefault="0022054E">
      <w:pPr>
        <w:pStyle w:val="JuHArticle"/>
        <w:rPr>
          <w:i/>
        </w:rPr>
      </w:pPr>
      <w:r>
        <w:t>Article 11</w:t>
      </w:r>
    </w:p>
    <w:p w:rsidR="0022054E" w:rsidP="0022054E" w:rsidRDefault="0022054E">
      <w:pPr>
        <w:pStyle w:val="JuQuot"/>
      </w:pPr>
      <w:r>
        <w:t>« </w:t>
      </w:r>
      <w:r w:rsidRPr="004E04FD">
        <w:t>Sauf dans le cas où la loi en dispose autrement et sans préjudice des droits de la défe</w:t>
      </w:r>
      <w:r>
        <w:t>nse, la procédure au cours de l</w:t>
      </w:r>
      <w:r w:rsidR="00FA0C79">
        <w:t>'</w:t>
      </w:r>
      <w:r>
        <w:t>enquête et de l</w:t>
      </w:r>
      <w:r w:rsidR="00FA0C79">
        <w:t>'</w:t>
      </w:r>
      <w:r w:rsidRPr="004E04FD">
        <w:t>instruction est secrète</w:t>
      </w:r>
    </w:p>
    <w:p w:rsidR="0022054E" w:rsidP="0022054E" w:rsidRDefault="0022054E">
      <w:pPr>
        <w:pStyle w:val="JuQuot"/>
      </w:pPr>
      <w:r w:rsidRPr="004E04FD">
        <w:t xml:space="preserve">Toute personne qui concourt à cette procédure est tenue au secret professionnel dans les conditions </w:t>
      </w:r>
      <w:r>
        <w:t xml:space="preserve">et sous les peines des articles 226-13 et </w:t>
      </w:r>
      <w:r w:rsidRPr="004E04FD">
        <w:t>226-14 du Code pénal.</w:t>
      </w:r>
    </w:p>
    <w:p w:rsidR="0022054E" w:rsidP="0022054E" w:rsidRDefault="0022054E">
      <w:pPr>
        <w:pStyle w:val="JuQuot"/>
      </w:pPr>
      <w:r>
        <w:t>Toutefois, afin d</w:t>
      </w:r>
      <w:r w:rsidR="00FA0C79">
        <w:t>'</w:t>
      </w:r>
      <w:r w:rsidRPr="004E04FD">
        <w:t>éviter la propagation d</w:t>
      </w:r>
      <w:r w:rsidR="00FA0C79">
        <w:t>'</w:t>
      </w:r>
      <w:r w:rsidRPr="004E04FD">
        <w:t xml:space="preserve">informations parcellaires ou inexactes ou pour mettre fin </w:t>
      </w:r>
      <w:r>
        <w:t>à un trouble à l</w:t>
      </w:r>
      <w:r w:rsidR="00FA0C79">
        <w:t>'</w:t>
      </w:r>
      <w:r w:rsidRPr="004E04FD">
        <w:t>ordre public, le pro</w:t>
      </w:r>
      <w:r>
        <w:t>cureur de la République peut, d</w:t>
      </w:r>
      <w:r w:rsidR="00FA0C79">
        <w:t>'</w:t>
      </w:r>
      <w:r w:rsidRPr="004E04FD">
        <w:t>office et à</w:t>
      </w:r>
      <w:r>
        <w:t xml:space="preserve"> la demande de la juridiction d</w:t>
      </w:r>
      <w:r w:rsidR="00FA0C79">
        <w:t>'</w:t>
      </w:r>
      <w:r w:rsidRPr="004E04FD">
        <w:t>instruction ou des parties, rendre publics des éléments objectifs tirés de la procédure ne comportant aucune appréciation sur le bien-fondé des charges retenues contre les personnes mises en cause</w:t>
      </w:r>
      <w:r>
        <w:t>. »</w:t>
      </w:r>
    </w:p>
    <w:p w:rsidR="0022054E" w:rsidP="0022054E" w:rsidRDefault="0022054E">
      <w:pPr>
        <w:pStyle w:val="JuH1"/>
      </w:pPr>
      <w:r>
        <w:t>2.  La protection des sources journalistiques</w:t>
      </w:r>
    </w:p>
    <w:p w:rsidRPr="00034BC6" w:rsidR="0022054E" w:rsidP="0022054E" w:rsidRDefault="0022054E">
      <w:pPr>
        <w:pStyle w:val="JuPara"/>
      </w:pPr>
      <w:r>
        <w:t>La</w:t>
      </w:r>
      <w:r w:rsidRPr="00034BC6">
        <w:t xml:space="preserve"> loi du 4 janvier 1993 </w:t>
      </w:r>
      <w:r>
        <w:t>(n</w:t>
      </w:r>
      <w:r w:rsidRPr="00422B06">
        <w:rPr>
          <w:vertAlign w:val="superscript"/>
        </w:rPr>
        <w:t>o</w:t>
      </w:r>
      <w:r>
        <w:t xml:space="preserve"> 93-2) portant réforme de la procédure pénale reconnaît</w:t>
      </w:r>
      <w:r w:rsidRPr="00034BC6">
        <w:t xml:space="preserve"> aux journalistes un droit de non-divulgation de leurs sources lorsqu</w:t>
      </w:r>
      <w:r w:rsidR="00FA0C79">
        <w:t>'</w:t>
      </w:r>
      <w:r w:rsidRPr="00034BC6">
        <w:t>ils sont entendus comme témoins dans le cadre d</w:t>
      </w:r>
      <w:r w:rsidR="00FA0C79">
        <w:t>'</w:t>
      </w:r>
      <w:r w:rsidRPr="00034BC6">
        <w:t>une procédure d</w:t>
      </w:r>
      <w:r w:rsidR="00FA0C79">
        <w:t>'</w:t>
      </w:r>
      <w:r w:rsidRPr="00034BC6">
        <w:t>instruction (article 109 du code de procédure pénale).</w:t>
      </w:r>
    </w:p>
    <w:p w:rsidRPr="00034BC6" w:rsidR="0022054E" w:rsidP="0022054E" w:rsidRDefault="0022054E">
      <w:pPr>
        <w:pStyle w:val="JuPara"/>
      </w:pPr>
      <w:r>
        <w:t xml:space="preserve">Depuis mars 2008, un </w:t>
      </w:r>
      <w:r w:rsidRPr="00020B52">
        <w:t xml:space="preserve">projet de loi </w:t>
      </w:r>
      <w:r>
        <w:t>(n</w:t>
      </w:r>
      <w:r w:rsidRPr="00422B06">
        <w:rPr>
          <w:vertAlign w:val="superscript"/>
        </w:rPr>
        <w:t>o</w:t>
      </w:r>
      <w:r>
        <w:t xml:space="preserve"> 1239) </w:t>
      </w:r>
      <w:r w:rsidRPr="00020B52">
        <w:t>relatif à la protection du secret des sources des journalistes</w:t>
      </w:r>
      <w:r>
        <w:t xml:space="preserve"> est au cœur de nombreux débats à l</w:t>
      </w:r>
      <w:r w:rsidR="00FA0C79">
        <w:t>'</w:t>
      </w:r>
      <w:r>
        <w:t>Assemblée nationale et au Sénat. Ce texte, qui n</w:t>
      </w:r>
      <w:r w:rsidR="00FA0C79">
        <w:t>'</w:t>
      </w:r>
      <w:r>
        <w:t>est pas encore adopté, vise essentiellement à protéger le</w:t>
      </w:r>
      <w:r w:rsidRPr="00020B52">
        <w:t xml:space="preserve"> secret des sources journalistiques</w:t>
      </w:r>
      <w:r>
        <w:t xml:space="preserve"> et à accroître les</w:t>
      </w:r>
      <w:r w:rsidRPr="00020B52">
        <w:t xml:space="preserve"> garanties procédurales en cas de perquisition </w:t>
      </w:r>
      <w:r>
        <w:t>dans les locaux d</w:t>
      </w:r>
      <w:r w:rsidR="00FA0C79">
        <w:t>'</w:t>
      </w:r>
      <w:r>
        <w:t>une entreprise de presse.</w:t>
      </w:r>
    </w:p>
    <w:p w:rsidR="0022054E" w:rsidP="0022054E" w:rsidRDefault="0022054E">
      <w:pPr>
        <w:pStyle w:val="JuHHead"/>
      </w:pPr>
      <w:r>
        <w:t>GRIEFS</w:t>
      </w:r>
    </w:p>
    <w:p w:rsidR="0022054E" w:rsidP="0022054E" w:rsidRDefault="0022054E">
      <w:pPr>
        <w:pStyle w:val="JuPara"/>
      </w:pPr>
      <w:r w:rsidRPr="00A94662">
        <w:t xml:space="preserve">Invoquant </w:t>
      </w:r>
      <w:r>
        <w:t>l</w:t>
      </w:r>
      <w:r w:rsidR="00FA0C79">
        <w:t>'</w:t>
      </w:r>
      <w:r>
        <w:t>article</w:t>
      </w:r>
      <w:r w:rsidRPr="00A94662">
        <w:t xml:space="preserve"> </w:t>
      </w:r>
      <w:r>
        <w:t>10 de la Convention</w:t>
      </w:r>
      <w:r w:rsidRPr="00A94662">
        <w:t>, le requérant se plaint</w:t>
      </w:r>
      <w:r>
        <w:t xml:space="preserve"> de ce que sa condamnation pénale constitue une ingérence disproportionnée dans sa liberté d</w:t>
      </w:r>
      <w:r w:rsidR="00FA0C79">
        <w:t>'</w:t>
      </w:r>
      <w:r>
        <w:t>expression. Il estime que cette atteinte est d</w:t>
      </w:r>
      <w:r w:rsidR="00FA0C79">
        <w:t>'</w:t>
      </w:r>
      <w:r>
        <w:t>autant plus injustifiée que la photographie publiée était une illustration pertinente de l</w:t>
      </w:r>
      <w:r w:rsidR="00FA0C79">
        <w:t>'</w:t>
      </w:r>
      <w:r>
        <w:t>information délivrée par le journal quant à un événement d</w:t>
      </w:r>
      <w:r w:rsidR="00FA0C79">
        <w:t>'</w:t>
      </w:r>
      <w:r>
        <w:t>actualité.</w:t>
      </w:r>
    </w:p>
    <w:p w:rsidR="0022054E" w:rsidP="0022054E" w:rsidRDefault="0022054E">
      <w:pPr>
        <w:pStyle w:val="JuPara"/>
      </w:pPr>
      <w:r>
        <w:t>Invoquant l</w:t>
      </w:r>
      <w:r w:rsidR="00FA0C79">
        <w:t>'</w:t>
      </w:r>
      <w:r>
        <w:t>article 7 de la Convention, i</w:t>
      </w:r>
      <w:r w:rsidRPr="00C61A6A">
        <w:t xml:space="preserve">l reproche au droit positif interne de ne pas être suffisamment prévisible pour assurer la liberté </w:t>
      </w:r>
      <w:r>
        <w:t>de communication</w:t>
      </w:r>
      <w:r w:rsidRPr="00C61A6A">
        <w:t>.</w:t>
      </w:r>
    </w:p>
    <w:p w:rsidR="0022054E" w:rsidP="0022054E" w:rsidRDefault="0022054E">
      <w:pPr>
        <w:pStyle w:val="JuPara"/>
      </w:pPr>
      <w:r>
        <w:t>Invoquant l</w:t>
      </w:r>
      <w:r w:rsidR="00FA0C79">
        <w:t>'</w:t>
      </w:r>
      <w:r>
        <w:t>article 6 § 1 de la Convention, il conteste le caractère confidentiel de la photographie litigieuse, laquelle ne portait pas la mention « reproduction interdite », et estime que l</w:t>
      </w:r>
      <w:r w:rsidR="00FA0C79">
        <w:t>'</w:t>
      </w:r>
      <w:r>
        <w:t>infraction n</w:t>
      </w:r>
      <w:r w:rsidR="00FA0C79">
        <w:t>'</w:t>
      </w:r>
      <w:r>
        <w:t>était pas matériellement caractérisée. Invoquant l</w:t>
      </w:r>
      <w:r w:rsidR="00FA0C79">
        <w:t>'</w:t>
      </w:r>
      <w:r>
        <w:t>article 6 § 2 de la Convention, il reproche aux juridictions internes d</w:t>
      </w:r>
      <w:r w:rsidR="00FA0C79">
        <w:t>'</w:t>
      </w:r>
      <w:r>
        <w:t>avoir présumé sa culpabilité.</w:t>
      </w:r>
    </w:p>
    <w:p w:rsidRPr="00B55FF7" w:rsidR="0022054E" w:rsidP="0022054E" w:rsidRDefault="0022054E">
      <w:pPr>
        <w:pStyle w:val="JuHHead"/>
      </w:pPr>
      <w:r w:rsidRPr="00B55FF7">
        <w:t>EN DROIT</w:t>
      </w:r>
    </w:p>
    <w:p w:rsidR="0022054E" w:rsidP="0022054E" w:rsidRDefault="0022054E">
      <w:pPr>
        <w:pStyle w:val="JuPara"/>
      </w:pPr>
      <w:r>
        <w:t>1.  Le requérant estime que sa condamnation constitue une ingérence disproportionnée dans sa liberté d</w:t>
      </w:r>
      <w:r w:rsidR="00FA0C79">
        <w:t>'</w:t>
      </w:r>
      <w:r>
        <w:t>expression.</w:t>
      </w:r>
    </w:p>
    <w:p w:rsidR="0022054E" w:rsidP="0022054E" w:rsidRDefault="0022054E">
      <w:pPr>
        <w:pStyle w:val="JuPara"/>
      </w:pPr>
      <w:r>
        <w:t>Il invoque l</w:t>
      </w:r>
      <w:r w:rsidR="00FA0C79">
        <w:t>'</w:t>
      </w:r>
      <w:r>
        <w:t>article 10 de la Convention, aux termes duquel :</w:t>
      </w:r>
    </w:p>
    <w:p w:rsidR="0022054E" w:rsidP="0022054E" w:rsidRDefault="0022054E">
      <w:pPr>
        <w:pStyle w:val="JuQuot"/>
      </w:pPr>
      <w:r>
        <w:t>« 1.  Toute personne a droit à la liberté d</w:t>
      </w:r>
      <w:r w:rsidR="00FA0C79">
        <w:t>'</w:t>
      </w:r>
      <w:r>
        <w:t>expression. Ce droit comprend la liberté d</w:t>
      </w:r>
      <w:r w:rsidR="00FA0C79">
        <w:t>'</w:t>
      </w:r>
      <w:r>
        <w:t>opinion et la liberté de recevoir ou de communiquer des informations ou des idées sans qu</w:t>
      </w:r>
      <w:r w:rsidR="00FA0C79">
        <w:t>'</w:t>
      </w:r>
      <w:r>
        <w:t>il puisse y avoir ingérence d</w:t>
      </w:r>
      <w:r w:rsidR="00FA0C79">
        <w:t>'</w:t>
      </w:r>
      <w:r>
        <w:t>autorités publiques et sans considération de frontière. Le présent article n</w:t>
      </w:r>
      <w:r w:rsidR="00FA0C79">
        <w:t>'</w:t>
      </w:r>
      <w:r>
        <w:t>empêche pas les Etats de soumettre les entreprises de radiodiffusion, de cinéma ou de télévision à un régime d</w:t>
      </w:r>
      <w:r w:rsidR="00FA0C79">
        <w:t>'</w:t>
      </w:r>
      <w:r>
        <w:t>autorisations.</w:t>
      </w:r>
    </w:p>
    <w:p w:rsidRPr="00C23D6E" w:rsidR="0022054E" w:rsidP="0022054E" w:rsidRDefault="0022054E">
      <w:pPr>
        <w:pStyle w:val="JuQuot"/>
      </w:pPr>
      <w:r>
        <w:t>2.  L</w:t>
      </w:r>
      <w:r w:rsidR="00FA0C79">
        <w:t>'</w:t>
      </w:r>
      <w:r>
        <w:t>exercice de ces libertés comportant des devoirs et des responsabilités peut être soumis à certaines formalités, conditions, restrictions ou sanctions prévues par la loi, qui constituent des mesures nécessaires, dans une société démocratique, (...) à la protection de la réputation ou des droits d</w:t>
      </w:r>
      <w:r w:rsidR="00FA0C79">
        <w:t>'</w:t>
      </w:r>
      <w:r>
        <w:t>autrui, pour empêcher la divulgation d</w:t>
      </w:r>
      <w:r w:rsidR="00FA0C79">
        <w:t>'</w:t>
      </w:r>
      <w:r>
        <w:t>informations confidentielles ou pour garantir l</w:t>
      </w:r>
      <w:r w:rsidR="00FA0C79">
        <w:t>'</w:t>
      </w:r>
      <w:r>
        <w:t>autorité et l</w:t>
      </w:r>
      <w:r w:rsidR="00FA0C79">
        <w:t>'</w:t>
      </w:r>
      <w:r>
        <w:t>impartialité du pouvoir judiciaire. »</w:t>
      </w:r>
    </w:p>
    <w:p w:rsidR="0022054E" w:rsidP="0022054E" w:rsidRDefault="0022054E">
      <w:pPr>
        <w:pStyle w:val="JuPara"/>
      </w:pPr>
      <w:r>
        <w:t>Invoquant également l</w:t>
      </w:r>
      <w:r w:rsidR="00FA0C79">
        <w:t>'</w:t>
      </w:r>
      <w:r>
        <w:t>article 7 de la Convention, le requérant allègue également un défaut de prévisibilité du droit interne.</w:t>
      </w:r>
    </w:p>
    <w:p w:rsidR="0022054E" w:rsidP="0022054E" w:rsidRDefault="0022054E">
      <w:pPr>
        <w:pStyle w:val="JuPara"/>
      </w:pPr>
      <w:r>
        <w:t>Avant tout, la Cour estime que le grief tiré du défaut allégué de prévisibilité du droit interne est étroitement lié au précédent concernant la violation alléguée du droit du requérant à la liberté d</w:t>
      </w:r>
      <w:r w:rsidR="00FA0C79">
        <w:t>'</w:t>
      </w:r>
      <w:r>
        <w:t>expression, et doit donc être apprécié dans le cadre de l</w:t>
      </w:r>
      <w:r w:rsidR="00FA0C79">
        <w:t>'</w:t>
      </w:r>
      <w:r>
        <w:t>examen de ce dernier.</w:t>
      </w:r>
    </w:p>
    <w:p w:rsidR="0022054E" w:rsidP="0022054E" w:rsidRDefault="0022054E">
      <w:pPr>
        <w:pStyle w:val="JuPara"/>
      </w:pPr>
      <w:r>
        <w:t>Ensuite, la Cour relève que la condamnation litigieuse s</w:t>
      </w:r>
      <w:r w:rsidR="00FA0C79">
        <w:t>'</w:t>
      </w:r>
      <w:r>
        <w:t>analyse en une « ingérence » dans l</w:t>
      </w:r>
      <w:r w:rsidR="00FA0C79">
        <w:t>'</w:t>
      </w:r>
      <w:r>
        <w:t>exercice par le requérant de son droit à la liberté d</w:t>
      </w:r>
      <w:r w:rsidR="00FA0C79">
        <w:t>'</w:t>
      </w:r>
      <w:r>
        <w:t>expression. Pareille immixtion enfreint l</w:t>
      </w:r>
      <w:r w:rsidR="00FA0C79">
        <w:t>'</w:t>
      </w:r>
      <w:r>
        <w:t>article 10 de la Convention, sauf si elle est « prévue par la loi », dirigée vers un ou plusieurs des buts légitimes énumérés au paragraphe 2 de l</w:t>
      </w:r>
      <w:r w:rsidR="00FA0C79">
        <w:t>'</w:t>
      </w:r>
      <w:r>
        <w:t>article 10 et « nécessaire dans une société démocratique » pour les atteindre.</w:t>
      </w:r>
    </w:p>
    <w:p w:rsidR="0022054E" w:rsidP="0022054E" w:rsidRDefault="0022054E">
      <w:pPr>
        <w:pStyle w:val="JuPara"/>
      </w:pPr>
      <w:r>
        <w:t>La Cour note d</w:t>
      </w:r>
      <w:r w:rsidR="00FA0C79">
        <w:t>'</w:t>
      </w:r>
      <w:r>
        <w:t>abord que les juridictions se sont fondées, afin d</w:t>
      </w:r>
      <w:r w:rsidR="00FA0C79">
        <w:t>'</w:t>
      </w:r>
      <w:r>
        <w:t xml:space="preserve">aboutir à la condamnation du requérant, sur les articles pertinents du code pénal. Elle estime que ces dispositions constituaient </w:t>
      </w:r>
      <w:r w:rsidRPr="002A4F72">
        <w:t>une base légale suffisamment claire et prévisible</w:t>
      </w:r>
      <w:r>
        <w:t xml:space="preserve"> et que la condamnation du requérant était donc bien « prévue par la loi ».</w:t>
      </w:r>
    </w:p>
    <w:p w:rsidR="0022054E" w:rsidP="0022054E" w:rsidRDefault="0022054E">
      <w:pPr>
        <w:pStyle w:val="JuPara"/>
      </w:pPr>
      <w:r>
        <w:t>Ensuite,</w:t>
      </w:r>
      <w:r w:rsidRPr="00FC45EC">
        <w:t xml:space="preserve"> la </w:t>
      </w:r>
      <w:r>
        <w:t>Cour considère que l</w:t>
      </w:r>
      <w:r w:rsidR="00FA0C79">
        <w:t>'</w:t>
      </w:r>
      <w:r w:rsidRPr="00FC45EC">
        <w:t>ingérence</w:t>
      </w:r>
      <w:r>
        <w:t xml:space="preserve"> poursuivait l</w:t>
      </w:r>
      <w:r w:rsidR="00FA0C79">
        <w:t>'</w:t>
      </w:r>
      <w:r>
        <w:t>un des buts énumérés à l</w:t>
      </w:r>
      <w:r w:rsidR="00FA0C79">
        <w:t>'</w:t>
      </w:r>
      <w:r w:rsidRPr="00FC45EC">
        <w:t xml:space="preserve">article </w:t>
      </w:r>
      <w:bookmarkStart w:name="HIT29" w:id="1"/>
      <w:bookmarkEnd w:id="1"/>
      <w:r w:rsidRPr="00FC45EC">
        <w:rPr>
          <w:bCs/>
        </w:rPr>
        <w:t>10</w:t>
      </w:r>
      <w:r>
        <w:t xml:space="preserve"> § 2 de la Convention, à savoir</w:t>
      </w:r>
      <w:r w:rsidRPr="00FC45EC">
        <w:t xml:space="preserve"> la protection « d</w:t>
      </w:r>
      <w:r>
        <w:t>e la réputation ou des droits d</w:t>
      </w:r>
      <w:r w:rsidR="00FA0C79">
        <w:t>'</w:t>
      </w:r>
      <w:r w:rsidRPr="00FC45EC">
        <w:t>autrui »</w:t>
      </w:r>
      <w:r>
        <w:t>.</w:t>
      </w:r>
    </w:p>
    <w:p w:rsidR="0022054E" w:rsidP="0022054E" w:rsidRDefault="0022054E">
      <w:pPr>
        <w:pStyle w:val="JuPara"/>
      </w:pPr>
      <w:r>
        <w:t>Il reste à la Cour à rechercher si cette ingérence était « nécessaire » dans une société démocratique afin d</w:t>
      </w:r>
      <w:r w:rsidR="00FA0C79">
        <w:t>'</w:t>
      </w:r>
      <w:r>
        <w:t>atteindre le but légitime qu</w:t>
      </w:r>
      <w:r w:rsidR="00FA0C79">
        <w:t>'</w:t>
      </w:r>
      <w:r>
        <w:t>elle poursuivait.</w:t>
      </w:r>
      <w:r w:rsidRPr="0002525D">
        <w:t xml:space="preserve"> </w:t>
      </w:r>
      <w:r>
        <w:t>A cet égard, la Cour renvoie aux principes fondamentaux qui se dégagent de sa jurisprudence en la matière</w:t>
      </w:r>
      <w:r w:rsidRPr="00F75BF0">
        <w:rPr>
          <w:spacing w:val="-2"/>
        </w:rPr>
        <w:t xml:space="preserve"> (voir, parmi de nombreux autres</w:t>
      </w:r>
      <w:r>
        <w:rPr>
          <w:spacing w:val="-2"/>
        </w:rPr>
        <w:t xml:space="preserve">, </w:t>
      </w:r>
      <w:r w:rsidRPr="005F4459">
        <w:rPr>
          <w:i/>
        </w:rPr>
        <w:t>Tourancheau et July</w:t>
      </w:r>
      <w:r>
        <w:rPr>
          <w:i/>
        </w:rPr>
        <w:t xml:space="preserve"> c. </w:t>
      </w:r>
      <w:r w:rsidRPr="005F4459">
        <w:rPr>
          <w:i/>
        </w:rPr>
        <w:t>France</w:t>
      </w:r>
      <w:r w:rsidRPr="005F4459">
        <w:t>, n</w:t>
      </w:r>
      <w:r w:rsidRPr="005F4459">
        <w:rPr>
          <w:vertAlign w:val="superscript"/>
        </w:rPr>
        <w:t>o</w:t>
      </w:r>
      <w:r>
        <w:t xml:space="preserve"> 53886/00, §§ 64 à 68</w:t>
      </w:r>
      <w:r w:rsidRPr="005F4459">
        <w:t>, 24 novembre 2005</w:t>
      </w:r>
      <w:r>
        <w:t xml:space="preserve">, </w:t>
      </w:r>
      <w:r>
        <w:rPr>
          <w:i/>
          <w:szCs w:val="24"/>
          <w:lang w:eastAsia="en-US"/>
        </w:rPr>
        <w:t>Mamère c. </w:t>
      </w:r>
      <w:r w:rsidRPr="00896BF9">
        <w:rPr>
          <w:i/>
          <w:szCs w:val="24"/>
          <w:lang w:eastAsia="en-US"/>
        </w:rPr>
        <w:t>France</w:t>
      </w:r>
      <w:r w:rsidRPr="00896BF9">
        <w:rPr>
          <w:szCs w:val="24"/>
          <w:lang w:eastAsia="en-US"/>
        </w:rPr>
        <w:t>, n</w:t>
      </w:r>
      <w:r w:rsidRPr="00896BF9">
        <w:rPr>
          <w:szCs w:val="24"/>
          <w:vertAlign w:val="superscript"/>
          <w:lang w:eastAsia="en-US"/>
        </w:rPr>
        <w:t>o</w:t>
      </w:r>
      <w:r>
        <w:rPr>
          <w:szCs w:val="24"/>
          <w:lang w:eastAsia="en-US"/>
        </w:rPr>
        <w:t xml:space="preserve"> 12697/03, § 19</w:t>
      </w:r>
      <w:r w:rsidRPr="00896BF9">
        <w:rPr>
          <w:szCs w:val="24"/>
          <w:lang w:eastAsia="en-US"/>
        </w:rPr>
        <w:t>, CEDH 2006</w:t>
      </w:r>
      <w:r w:rsidRPr="00896BF9">
        <w:rPr>
          <w:szCs w:val="24"/>
          <w:lang w:eastAsia="en-US"/>
        </w:rPr>
        <w:noBreakHyphen/>
      </w:r>
      <w:r>
        <w:rPr>
          <w:szCs w:val="24"/>
          <w:lang w:eastAsia="en-US"/>
        </w:rPr>
        <w:t>...</w:t>
      </w:r>
      <w:r>
        <w:rPr>
          <w:i/>
        </w:rPr>
        <w:t xml:space="preserve">, </w:t>
      </w:r>
      <w:r>
        <w:t>et</w:t>
      </w:r>
      <w:r>
        <w:rPr>
          <w:i/>
        </w:rPr>
        <w:t xml:space="preserve"> </w:t>
      </w:r>
      <w:r w:rsidR="006B4A73">
        <w:rPr>
          <w:i/>
        </w:rPr>
        <w:t>Lindon, Otchakovsky</w:t>
      </w:r>
      <w:r w:rsidR="006B4A73">
        <w:rPr>
          <w:i/>
        </w:rPr>
        <w:noBreakHyphen/>
      </w:r>
      <w:r w:rsidRPr="00E7675E">
        <w:rPr>
          <w:i/>
        </w:rPr>
        <w:t>Laurens et July c. France</w:t>
      </w:r>
      <w:r>
        <w:t xml:space="preserve"> [GC], n</w:t>
      </w:r>
      <w:r w:rsidRPr="00C53578">
        <w:rPr>
          <w:vertAlign w:val="superscript"/>
        </w:rPr>
        <w:t>os</w:t>
      </w:r>
      <w:r>
        <w:t xml:space="preserve"> 21279/02 et 36448/02, §§ 45 et 46</w:t>
      </w:r>
      <w:r w:rsidRPr="005C4676">
        <w:t xml:space="preserve">, </w:t>
      </w:r>
      <w:r>
        <w:t>CEDH 2007</w:t>
      </w:r>
      <w:r w:rsidRPr="005F4459">
        <w:noBreakHyphen/>
      </w:r>
      <w:r>
        <w:t>...).</w:t>
      </w:r>
    </w:p>
    <w:p w:rsidRPr="00C818B3" w:rsidR="0022054E" w:rsidP="0022054E" w:rsidRDefault="0022054E">
      <w:pPr>
        <w:pStyle w:val="JuPara"/>
        <w:rPr>
          <w:lang w:eastAsia="en-US"/>
        </w:rPr>
      </w:pPr>
      <w:r>
        <w:t>En l</w:t>
      </w:r>
      <w:r w:rsidR="00FA0C79">
        <w:t>'</w:t>
      </w:r>
      <w:r>
        <w:t>espèce, les juridictions internes ont condamné le requérant en raison de la publication d</w:t>
      </w:r>
      <w:r w:rsidR="00FA0C79">
        <w:t>'</w:t>
      </w:r>
      <w:r>
        <w:t>une photographie d</w:t>
      </w:r>
      <w:r w:rsidR="00FA0C79">
        <w:t>'</w:t>
      </w:r>
      <w:r>
        <w:t>un individu, E.C., placé en détention provisoire, illustration qui venait compléter un article relatant les faits pour lesquels il était poursuivi. Ainsi, le fait que E.C. avait le droit, en vertu de l</w:t>
      </w:r>
      <w:r w:rsidR="00FA0C79">
        <w:t>'</w:t>
      </w:r>
      <w:r w:rsidRPr="008A5443">
        <w:t>ar</w:t>
      </w:r>
      <w:r>
        <w:t>ticle 6 § 2 de la Convention, d</w:t>
      </w:r>
      <w:r w:rsidR="00FA0C79">
        <w:t>'</w:t>
      </w:r>
      <w:r>
        <w:t>être présumé innocent jusqu</w:t>
      </w:r>
      <w:r w:rsidR="00FA0C79">
        <w:t>'</w:t>
      </w:r>
      <w:r w:rsidRPr="008A5443">
        <w:t xml:space="preserve">à ce que sa culpabilité ait été légalement établie, </w:t>
      </w:r>
      <w:r>
        <w:t>entre en ligne de compte dans l</w:t>
      </w:r>
      <w:r w:rsidR="00FA0C79">
        <w:t>'</w:t>
      </w:r>
      <w:r w:rsidRPr="008A5443">
        <w:t>exercice de mise en balance des divers intérêts en présence auq</w:t>
      </w:r>
      <w:r>
        <w:t>uel la Cour doit procéder (</w:t>
      </w:r>
      <w:r w:rsidRPr="008A5443">
        <w:rPr>
          <w:i/>
          <w:lang w:eastAsia="en-US"/>
        </w:rPr>
        <w:t>News Verlags GmbH &amp; Co.KG c. Autriche</w:t>
      </w:r>
      <w:r w:rsidRPr="008A5443">
        <w:rPr>
          <w:lang w:eastAsia="en-US"/>
        </w:rPr>
        <w:t>, n</w:t>
      </w:r>
      <w:r w:rsidRPr="008A5443">
        <w:rPr>
          <w:vertAlign w:val="superscript"/>
          <w:lang w:eastAsia="en-US"/>
        </w:rPr>
        <w:t>o</w:t>
      </w:r>
      <w:r>
        <w:rPr>
          <w:lang w:eastAsia="en-US"/>
        </w:rPr>
        <w:t xml:space="preserve"> 31457/96, § 56</w:t>
      </w:r>
      <w:r w:rsidRPr="008A5443">
        <w:rPr>
          <w:lang w:eastAsia="en-US"/>
        </w:rPr>
        <w:t>, CEDH 2000</w:t>
      </w:r>
      <w:r w:rsidRPr="008A5443">
        <w:rPr>
          <w:lang w:eastAsia="en-US"/>
        </w:rPr>
        <w:noBreakHyphen/>
        <w:t>I</w:t>
      </w:r>
      <w:r>
        <w:rPr>
          <w:lang w:eastAsia="en-US"/>
        </w:rPr>
        <w:t>).</w:t>
      </w:r>
    </w:p>
    <w:p w:rsidR="0022054E" w:rsidP="0022054E" w:rsidRDefault="0022054E">
      <w:pPr>
        <w:pStyle w:val="JuPara"/>
        <w:rPr>
          <w:lang w:eastAsia="en-US"/>
        </w:rPr>
      </w:pPr>
      <w:r w:rsidRPr="00937F97">
        <w:rPr>
          <w:lang w:eastAsia="en-US"/>
        </w:rPr>
        <w:t xml:space="preserve">La Cour </w:t>
      </w:r>
      <w:r>
        <w:rPr>
          <w:lang w:eastAsia="en-US"/>
        </w:rPr>
        <w:t>a déjà estimé qu</w:t>
      </w:r>
      <w:r w:rsidR="00FA0C79">
        <w:rPr>
          <w:lang w:eastAsia="en-US"/>
        </w:rPr>
        <w:t>'</w:t>
      </w:r>
      <w:r w:rsidRPr="00937F97">
        <w:rPr>
          <w:lang w:eastAsia="en-US"/>
        </w:rPr>
        <w:t xml:space="preserve">il </w:t>
      </w:r>
      <w:r>
        <w:rPr>
          <w:lang w:eastAsia="en-US"/>
        </w:rPr>
        <w:t>pouvait y avoir</w:t>
      </w:r>
      <w:r w:rsidRPr="00937F97">
        <w:rPr>
          <w:lang w:eastAsia="en-US"/>
        </w:rPr>
        <w:t xml:space="preserve"> </w:t>
      </w:r>
      <w:r>
        <w:rPr>
          <w:lang w:eastAsia="en-US"/>
        </w:rPr>
        <w:t>« de bonnes raisons d</w:t>
      </w:r>
      <w:r w:rsidR="00FA0C79">
        <w:rPr>
          <w:lang w:eastAsia="en-US"/>
        </w:rPr>
        <w:t>'</w:t>
      </w:r>
      <w:r w:rsidRPr="00937F97">
        <w:rPr>
          <w:lang w:eastAsia="en-US"/>
        </w:rPr>
        <w:t>interdire de publier la photo</w:t>
      </w:r>
      <w:r>
        <w:rPr>
          <w:lang w:eastAsia="en-US"/>
        </w:rPr>
        <w:t>graphie d</w:t>
      </w:r>
      <w:r w:rsidR="00FA0C79">
        <w:rPr>
          <w:lang w:eastAsia="en-US"/>
        </w:rPr>
        <w:t>'</w:t>
      </w:r>
      <w:r w:rsidRPr="00937F97">
        <w:rPr>
          <w:lang w:eastAsia="en-US"/>
        </w:rPr>
        <w:t>un suspect, selon la nature de l</w:t>
      </w:r>
      <w:r w:rsidR="00FA0C79">
        <w:rPr>
          <w:lang w:eastAsia="en-US"/>
        </w:rPr>
        <w:t>'</w:t>
      </w:r>
      <w:r w:rsidRPr="00937F97">
        <w:rPr>
          <w:lang w:eastAsia="en-US"/>
        </w:rPr>
        <w:t>infraction en cause et les c</w:t>
      </w:r>
      <w:r>
        <w:rPr>
          <w:lang w:eastAsia="en-US"/>
        </w:rPr>
        <w:t>irconstances particulières de l</w:t>
      </w:r>
      <w:r w:rsidR="00FA0C79">
        <w:rPr>
          <w:lang w:eastAsia="en-US"/>
        </w:rPr>
        <w:t>'</w:t>
      </w:r>
      <w:r w:rsidRPr="00937F97">
        <w:rPr>
          <w:lang w:eastAsia="en-US"/>
        </w:rPr>
        <w:t>affaire</w:t>
      </w:r>
      <w:r>
        <w:rPr>
          <w:lang w:eastAsia="en-US"/>
        </w:rPr>
        <w:t> » (</w:t>
      </w:r>
      <w:r>
        <w:rPr>
          <w:i/>
          <w:lang w:eastAsia="en-US"/>
        </w:rPr>
        <w:t>i</w:t>
      </w:r>
      <w:r w:rsidRPr="009F3BAA">
        <w:rPr>
          <w:i/>
          <w:lang w:eastAsia="en-US"/>
        </w:rPr>
        <w:t>bidem</w:t>
      </w:r>
      <w:r>
        <w:rPr>
          <w:lang w:eastAsia="en-US"/>
        </w:rPr>
        <w:t>, § 58)</w:t>
      </w:r>
      <w:r w:rsidRPr="00937F97">
        <w:rPr>
          <w:lang w:eastAsia="en-US"/>
        </w:rPr>
        <w:t>.</w:t>
      </w:r>
    </w:p>
    <w:p w:rsidR="0022054E" w:rsidP="0022054E" w:rsidRDefault="0022054E">
      <w:pPr>
        <w:pStyle w:val="JuPara"/>
        <w:rPr>
          <w:lang w:eastAsia="en-US"/>
        </w:rPr>
      </w:pPr>
      <w:r>
        <w:rPr>
          <w:lang w:eastAsia="en-US"/>
        </w:rPr>
        <w:t>La Cour relève d</w:t>
      </w:r>
      <w:r w:rsidR="00FA0C79">
        <w:rPr>
          <w:lang w:eastAsia="en-US"/>
        </w:rPr>
        <w:t>'</w:t>
      </w:r>
      <w:r>
        <w:rPr>
          <w:lang w:eastAsia="en-US"/>
        </w:rPr>
        <w:t>abord que, compte tenu de son objet, la photographie litigieuse ne saurait être considérée comme s</w:t>
      </w:r>
      <w:r w:rsidR="00FA0C79">
        <w:rPr>
          <w:lang w:eastAsia="en-US"/>
        </w:rPr>
        <w:t>'</w:t>
      </w:r>
      <w:r>
        <w:rPr>
          <w:lang w:eastAsia="en-US"/>
        </w:rPr>
        <w:t>intégrant dans un débat d</w:t>
      </w:r>
      <w:r w:rsidR="00FA0C79">
        <w:rPr>
          <w:lang w:eastAsia="en-US"/>
        </w:rPr>
        <w:t>'</w:t>
      </w:r>
      <w:r>
        <w:rPr>
          <w:lang w:eastAsia="en-US"/>
        </w:rPr>
        <w:t>intérêt général. A cet égard, les juridictions internes ont estimé que la photographie litigieuse « n</w:t>
      </w:r>
      <w:r w:rsidR="00FA0C79">
        <w:rPr>
          <w:lang w:eastAsia="en-US"/>
        </w:rPr>
        <w:t>'</w:t>
      </w:r>
      <w:r>
        <w:rPr>
          <w:lang w:eastAsia="en-US"/>
        </w:rPr>
        <w:t>apparaissait pas devoir constituer un complément indispensable à la compréhension de l</w:t>
      </w:r>
      <w:r w:rsidR="00FA0C79">
        <w:rPr>
          <w:lang w:eastAsia="en-US"/>
        </w:rPr>
        <w:t>'</w:t>
      </w:r>
      <w:r>
        <w:rPr>
          <w:lang w:eastAsia="en-US"/>
        </w:rPr>
        <w:t>article publié ou répondre à une attente du lecteur ».</w:t>
      </w:r>
    </w:p>
    <w:p w:rsidR="0022054E" w:rsidP="0022054E" w:rsidRDefault="0022054E">
      <w:pPr>
        <w:pStyle w:val="JuPara"/>
        <w:rPr>
          <w:lang w:eastAsia="en-US"/>
        </w:rPr>
      </w:pPr>
      <w:r>
        <w:rPr>
          <w:lang w:eastAsia="en-US"/>
        </w:rPr>
        <w:t>La Cour constate ensuite que les juridictions internes ont tenu compte du contexte particulier de l</w:t>
      </w:r>
      <w:r w:rsidR="00FA0C79">
        <w:rPr>
          <w:lang w:eastAsia="en-US"/>
        </w:rPr>
        <w:t>'</w:t>
      </w:r>
      <w:r>
        <w:rPr>
          <w:lang w:eastAsia="en-US"/>
        </w:rPr>
        <w:t>affaire. Elles ont en effet considéré que E.C. n</w:t>
      </w:r>
      <w:r w:rsidR="00FA0C79">
        <w:rPr>
          <w:lang w:eastAsia="en-US"/>
        </w:rPr>
        <w:t>'</w:t>
      </w:r>
      <w:r>
        <w:rPr>
          <w:lang w:eastAsia="en-US"/>
        </w:rPr>
        <w:t>avait pas commis de faits hors du commun, qu</w:t>
      </w:r>
      <w:r w:rsidR="00FA0C79">
        <w:rPr>
          <w:lang w:eastAsia="en-US"/>
        </w:rPr>
        <w:t>'</w:t>
      </w:r>
      <w:r>
        <w:rPr>
          <w:lang w:eastAsia="en-US"/>
        </w:rPr>
        <w:t>il n</w:t>
      </w:r>
      <w:r w:rsidR="00FA0C79">
        <w:rPr>
          <w:lang w:eastAsia="en-US"/>
        </w:rPr>
        <w:t>'</w:t>
      </w:r>
      <w:r>
        <w:rPr>
          <w:lang w:eastAsia="en-US"/>
        </w:rPr>
        <w:t>était pas une personnalité notoirement connue, qu</w:t>
      </w:r>
      <w:r w:rsidR="00FA0C79">
        <w:rPr>
          <w:lang w:eastAsia="en-US"/>
        </w:rPr>
        <w:t>'</w:t>
      </w:r>
      <w:r>
        <w:rPr>
          <w:lang w:eastAsia="en-US"/>
        </w:rPr>
        <w:t>il n</w:t>
      </w:r>
      <w:r w:rsidR="00FA0C79">
        <w:rPr>
          <w:lang w:eastAsia="en-US"/>
        </w:rPr>
        <w:t>'</w:t>
      </w:r>
      <w:r>
        <w:rPr>
          <w:lang w:eastAsia="en-US"/>
        </w:rPr>
        <w:t>était pas natif de Seine-et-Marne (qui correspondait au département des « pages locales » dans lesquelles l</w:t>
      </w:r>
      <w:r w:rsidR="00FA0C79">
        <w:rPr>
          <w:lang w:eastAsia="en-US"/>
        </w:rPr>
        <w:t>'</w:t>
      </w:r>
      <w:r>
        <w:rPr>
          <w:lang w:eastAsia="en-US"/>
        </w:rPr>
        <w:t>article était paru) et qu</w:t>
      </w:r>
      <w:r w:rsidR="00FA0C79">
        <w:rPr>
          <w:lang w:eastAsia="en-US"/>
        </w:rPr>
        <w:t>'</w:t>
      </w:r>
      <w:r>
        <w:rPr>
          <w:lang w:eastAsia="en-US"/>
        </w:rPr>
        <w:t>il n</w:t>
      </w:r>
      <w:r w:rsidR="00FA0C79">
        <w:rPr>
          <w:lang w:eastAsia="en-US"/>
        </w:rPr>
        <w:t>'</w:t>
      </w:r>
      <w:r>
        <w:rPr>
          <w:lang w:eastAsia="en-US"/>
        </w:rPr>
        <w:t xml:space="preserve">y résidait pas non plus (voir, </w:t>
      </w:r>
      <w:r w:rsidRPr="00350DC5">
        <w:rPr>
          <w:i/>
          <w:lang w:eastAsia="en-US"/>
        </w:rPr>
        <w:t>a contrario</w:t>
      </w:r>
      <w:r>
        <w:rPr>
          <w:lang w:eastAsia="en-US"/>
        </w:rPr>
        <w:t xml:space="preserve">, </w:t>
      </w:r>
      <w:r>
        <w:rPr>
          <w:i/>
          <w:lang w:eastAsia="en-US"/>
        </w:rPr>
        <w:t>Worm c. </w:t>
      </w:r>
      <w:r w:rsidRPr="00350DC5">
        <w:rPr>
          <w:i/>
          <w:lang w:eastAsia="en-US"/>
        </w:rPr>
        <w:t>Autriche</w:t>
      </w:r>
      <w:r w:rsidRPr="00350DC5">
        <w:rPr>
          <w:lang w:eastAsia="en-US"/>
        </w:rPr>
        <w:t>, 29 août 19</w:t>
      </w:r>
      <w:r>
        <w:rPr>
          <w:lang w:eastAsia="en-US"/>
        </w:rPr>
        <w:t>97, § 50</w:t>
      </w:r>
      <w:r w:rsidRPr="00350DC5">
        <w:rPr>
          <w:lang w:eastAsia="en-US"/>
        </w:rPr>
        <w:t xml:space="preserve">, </w:t>
      </w:r>
      <w:r w:rsidRPr="00350DC5">
        <w:rPr>
          <w:i/>
          <w:lang w:eastAsia="en-US"/>
        </w:rPr>
        <w:t>Recueil des arrêts et décisions</w:t>
      </w:r>
      <w:r>
        <w:rPr>
          <w:lang w:eastAsia="en-US"/>
        </w:rPr>
        <w:t xml:space="preserve"> 1997-</w:t>
      </w:r>
      <w:r w:rsidRPr="00350DC5">
        <w:rPr>
          <w:lang w:eastAsia="en-US"/>
        </w:rPr>
        <w:t>V</w:t>
      </w:r>
      <w:r>
        <w:rPr>
          <w:lang w:eastAsia="en-US"/>
        </w:rPr>
        <w:t>).</w:t>
      </w:r>
    </w:p>
    <w:p w:rsidR="0022054E" w:rsidP="0022054E" w:rsidRDefault="0022054E">
      <w:pPr>
        <w:pStyle w:val="JuPara"/>
        <w:rPr>
          <w:lang w:eastAsia="en-US"/>
        </w:rPr>
      </w:pPr>
      <w:r>
        <w:rPr>
          <w:lang w:eastAsia="en-US"/>
        </w:rPr>
        <w:t xml:space="preserve">La Cour considère </w:t>
      </w:r>
      <w:r w:rsidRPr="00626426">
        <w:rPr>
          <w:lang w:eastAsia="en-US"/>
        </w:rPr>
        <w:t>que la publication d</w:t>
      </w:r>
      <w:r>
        <w:rPr>
          <w:lang w:eastAsia="en-US"/>
        </w:rPr>
        <w:t>e la</w:t>
      </w:r>
      <w:r w:rsidRPr="00626426">
        <w:rPr>
          <w:lang w:eastAsia="en-US"/>
        </w:rPr>
        <w:t xml:space="preserve"> photo</w:t>
      </w:r>
      <w:r>
        <w:rPr>
          <w:lang w:eastAsia="en-US"/>
        </w:rPr>
        <w:t>graphie</w:t>
      </w:r>
      <w:r w:rsidRPr="00626426">
        <w:rPr>
          <w:lang w:eastAsia="en-US"/>
        </w:rPr>
        <w:t xml:space="preserve"> </w:t>
      </w:r>
      <w:r>
        <w:rPr>
          <w:lang w:eastAsia="en-US"/>
        </w:rPr>
        <w:t xml:space="preserve">de E.C. </w:t>
      </w:r>
      <w:r w:rsidRPr="00626426">
        <w:rPr>
          <w:lang w:eastAsia="en-US"/>
        </w:rPr>
        <w:t xml:space="preserve">était susceptible de porter atteinte aux intérêts légitimes de </w:t>
      </w:r>
      <w:r>
        <w:rPr>
          <w:lang w:eastAsia="en-US"/>
        </w:rPr>
        <w:t>cette</w:t>
      </w:r>
      <w:r w:rsidRPr="00626426">
        <w:rPr>
          <w:lang w:eastAsia="en-US"/>
        </w:rPr>
        <w:t xml:space="preserve"> personne</w:t>
      </w:r>
      <w:r>
        <w:rPr>
          <w:lang w:eastAsia="en-US"/>
        </w:rPr>
        <w:t>, découlant notamment de son droit à la présomption d</w:t>
      </w:r>
      <w:r w:rsidR="00FA0C79">
        <w:rPr>
          <w:lang w:eastAsia="en-US"/>
        </w:rPr>
        <w:t>'</w:t>
      </w:r>
      <w:r>
        <w:rPr>
          <w:lang w:eastAsia="en-US"/>
        </w:rPr>
        <w:t>innocence garanti par l</w:t>
      </w:r>
      <w:r w:rsidR="00FA0C79">
        <w:rPr>
          <w:lang w:eastAsia="en-US"/>
        </w:rPr>
        <w:t>'</w:t>
      </w:r>
      <w:r>
        <w:rPr>
          <w:lang w:eastAsia="en-US"/>
        </w:rPr>
        <w:t>article 6 § 2 de la Convention</w:t>
      </w:r>
      <w:r w:rsidRPr="00626426">
        <w:rPr>
          <w:lang w:eastAsia="en-US"/>
        </w:rPr>
        <w:t>.</w:t>
      </w:r>
    </w:p>
    <w:p w:rsidR="0022054E" w:rsidP="0022054E" w:rsidRDefault="0022054E">
      <w:pPr>
        <w:pStyle w:val="JuPara"/>
      </w:pPr>
      <w:r>
        <w:rPr>
          <w:lang w:eastAsia="en-US"/>
        </w:rPr>
        <w:t>Par ailleurs, la Cour relève que ne se pose pas en l</w:t>
      </w:r>
      <w:r w:rsidR="00FA0C79">
        <w:rPr>
          <w:lang w:eastAsia="en-US"/>
        </w:rPr>
        <w:t>'</w:t>
      </w:r>
      <w:r>
        <w:rPr>
          <w:lang w:eastAsia="en-US"/>
        </w:rPr>
        <w:t xml:space="preserve">espèce un problème relatif au droit du requérant de taire ses sources (voir, </w:t>
      </w:r>
      <w:r w:rsidRPr="0008735E">
        <w:rPr>
          <w:i/>
          <w:lang w:eastAsia="en-US"/>
        </w:rPr>
        <w:t>a contrario</w:t>
      </w:r>
      <w:r>
        <w:rPr>
          <w:lang w:eastAsia="en-US"/>
        </w:rPr>
        <w:t xml:space="preserve">, </w:t>
      </w:r>
      <w:r>
        <w:rPr>
          <w:i/>
          <w:lang w:eastAsia="en-US"/>
        </w:rPr>
        <w:t>Tillack c. </w:t>
      </w:r>
      <w:r w:rsidRPr="0008735E">
        <w:rPr>
          <w:i/>
          <w:lang w:eastAsia="en-US"/>
        </w:rPr>
        <w:t>Belgique</w:t>
      </w:r>
      <w:r w:rsidRPr="0008735E">
        <w:rPr>
          <w:lang w:eastAsia="en-US"/>
        </w:rPr>
        <w:t>, n</w:t>
      </w:r>
      <w:r w:rsidRPr="0008735E">
        <w:rPr>
          <w:vertAlign w:val="superscript"/>
          <w:lang w:eastAsia="en-US"/>
        </w:rPr>
        <w:t>o</w:t>
      </w:r>
      <w:r w:rsidRPr="0008735E">
        <w:rPr>
          <w:lang w:eastAsia="en-US"/>
        </w:rPr>
        <w:t xml:space="preserve"> 20477/05, §</w:t>
      </w:r>
      <w:r>
        <w:rPr>
          <w:lang w:eastAsia="en-US"/>
        </w:rPr>
        <w:t xml:space="preserve">§ 60-68, CEDH 2007-...), lequel constitue </w:t>
      </w:r>
      <w:r>
        <w:t>un « véritable attribut du droit à l</w:t>
      </w:r>
      <w:r w:rsidR="00FA0C79">
        <w:t>'</w:t>
      </w:r>
      <w:r>
        <w:t>information, à traiter avec la plus grande circonspection » (</w:t>
      </w:r>
      <w:r w:rsidRPr="00E3251A">
        <w:rPr>
          <w:i/>
        </w:rPr>
        <w:t>Tillack</w:t>
      </w:r>
      <w:r>
        <w:t>, précité, § 65).</w:t>
      </w:r>
    </w:p>
    <w:p w:rsidR="0022054E" w:rsidP="0022054E" w:rsidRDefault="0022054E">
      <w:pPr>
        <w:pStyle w:val="JuPara"/>
        <w:rPr>
          <w:lang w:eastAsia="en-US"/>
        </w:rPr>
      </w:pPr>
      <w:r>
        <w:rPr>
          <w:lang w:eastAsia="en-US"/>
        </w:rPr>
        <w:t>Dans ces conditions, la Cour conclut que les motifs avancés par les juridictions françaises pour justifier l</w:t>
      </w:r>
      <w:r w:rsidR="00FA0C79">
        <w:rPr>
          <w:lang w:eastAsia="en-US"/>
        </w:rPr>
        <w:t>'</w:t>
      </w:r>
      <w:r>
        <w:rPr>
          <w:lang w:eastAsia="en-US"/>
        </w:rPr>
        <w:t>ingérence dans le droit du requérant à la liberté d</w:t>
      </w:r>
      <w:r w:rsidR="00FA0C79">
        <w:rPr>
          <w:lang w:eastAsia="en-US"/>
        </w:rPr>
        <w:t>'</w:t>
      </w:r>
      <w:r>
        <w:rPr>
          <w:lang w:eastAsia="en-US"/>
        </w:rPr>
        <w:t>expression découlant de sa condamnation étaient « pertinents et suffisants » aux fins de l</w:t>
      </w:r>
      <w:r w:rsidR="00FA0C79">
        <w:rPr>
          <w:lang w:eastAsia="en-US"/>
        </w:rPr>
        <w:t>'</w:t>
      </w:r>
      <w:r>
        <w:rPr>
          <w:lang w:eastAsia="en-US"/>
        </w:rPr>
        <w:t>article 10 § 2 de la Convention.</w:t>
      </w:r>
    </w:p>
    <w:p w:rsidR="0022054E" w:rsidP="0022054E" w:rsidRDefault="0022054E">
      <w:pPr>
        <w:pStyle w:val="JuPara"/>
      </w:pPr>
      <w:r>
        <w:t>Enfin, la nature et la lourdeur de la peine infligée sont aussi des éléments qui entrent en ligne de compte lorsqu</w:t>
      </w:r>
      <w:r w:rsidR="00FA0C79">
        <w:t>'</w:t>
      </w:r>
      <w:r>
        <w:t>il s</w:t>
      </w:r>
      <w:r w:rsidR="00FA0C79">
        <w:t>'</w:t>
      </w:r>
      <w:r>
        <w:t>agit d</w:t>
      </w:r>
      <w:r w:rsidR="00FA0C79">
        <w:t>'</w:t>
      </w:r>
      <w:r>
        <w:t>apprécier la proportionnalité de l</w:t>
      </w:r>
      <w:r w:rsidR="00FA0C79">
        <w:t>'</w:t>
      </w:r>
      <w:r>
        <w:t>ingérence au regard de l</w:t>
      </w:r>
      <w:r w:rsidR="00FA0C79">
        <w:t>'</w:t>
      </w:r>
      <w:r>
        <w:t>article 10 de la Convention (</w:t>
      </w:r>
      <w:r>
        <w:rPr>
          <w:rStyle w:val="ju-005fpara--char"/>
          <w:i/>
          <w:iCs/>
        </w:rPr>
        <w:t xml:space="preserve">Cumpănă et Mazăre c. Roumanie </w:t>
      </w:r>
      <w:r>
        <w:t>[GC], n</w:t>
      </w:r>
      <w:r>
        <w:rPr>
          <w:vertAlign w:val="superscript"/>
        </w:rPr>
        <w:t>o</w:t>
      </w:r>
      <w:r>
        <w:t xml:space="preserve"> 33348/96, § 111, CEDH 2004</w:t>
      </w:r>
      <w:r>
        <w:noBreakHyphen/>
        <w:t>XI). En l</w:t>
      </w:r>
      <w:r w:rsidR="00FA0C79">
        <w:t>'</w:t>
      </w:r>
      <w:r>
        <w:t>espèce, la Cour estime que le montant de l</w:t>
      </w:r>
      <w:r w:rsidR="00FA0C79">
        <w:t>'</w:t>
      </w:r>
      <w:r>
        <w:t>amende prononcée, 1 500 EUR, est mesuré, compte tenu notamment du maximum légal prévu (15 000 EUR). Le même constat s</w:t>
      </w:r>
      <w:r w:rsidR="00FA0C79">
        <w:t>'</w:t>
      </w:r>
      <w:r>
        <w:t>impose s</w:t>
      </w:r>
      <w:r w:rsidR="00FA0C79">
        <w:t>'</w:t>
      </w:r>
      <w:r>
        <w:t xml:space="preserve">agissant des dommages-intérêts que le requérant fut condamné à payer à E.C. (1 000 EUR). Ces sanctions </w:t>
      </w:r>
      <w:r w:rsidRPr="008410CA">
        <w:t>ne saurai</w:t>
      </w:r>
      <w:r>
        <w:t>en</w:t>
      </w:r>
      <w:r w:rsidRPr="008410CA">
        <w:t>t</w:t>
      </w:r>
      <w:r>
        <w:t xml:space="preserve"> donc</w:t>
      </w:r>
      <w:r w:rsidRPr="008410CA">
        <w:t xml:space="preserve"> passer pour disproportionnée</w:t>
      </w:r>
      <w:r>
        <w:t>s au but</w:t>
      </w:r>
      <w:r w:rsidRPr="008410CA">
        <w:t xml:space="preserve"> l</w:t>
      </w:r>
      <w:r>
        <w:t>égitime poursuivi</w:t>
      </w:r>
      <w:r w:rsidRPr="008410CA">
        <w:t>.</w:t>
      </w:r>
    </w:p>
    <w:p w:rsidR="0022054E" w:rsidP="0022054E" w:rsidRDefault="0022054E">
      <w:pPr>
        <w:pStyle w:val="JuPara"/>
        <w:rPr>
          <w:lang w:eastAsia="en-US"/>
        </w:rPr>
      </w:pPr>
      <w:r>
        <w:rPr>
          <w:lang w:eastAsia="en-US"/>
        </w:rPr>
        <w:t>Il s</w:t>
      </w:r>
      <w:r w:rsidR="00FA0C79">
        <w:rPr>
          <w:lang w:eastAsia="en-US"/>
        </w:rPr>
        <w:t>'</w:t>
      </w:r>
      <w:r>
        <w:rPr>
          <w:lang w:eastAsia="en-US"/>
        </w:rPr>
        <w:t>ensuit que le grief du requérant</w:t>
      </w:r>
      <w:r w:rsidRPr="005A15BA">
        <w:rPr>
          <w:lang w:eastAsia="en-US"/>
        </w:rPr>
        <w:t xml:space="preserve"> est manifestement mal fondé et doit être rejeté en application de l</w:t>
      </w:r>
      <w:r w:rsidR="00FA0C79">
        <w:rPr>
          <w:lang w:eastAsia="en-US"/>
        </w:rPr>
        <w:t>'</w:t>
      </w:r>
      <w:r w:rsidRPr="005A15BA">
        <w:rPr>
          <w:lang w:eastAsia="en-US"/>
        </w:rPr>
        <w:t>article 35 §§ 3 et 4 de la Convention.</w:t>
      </w:r>
    </w:p>
    <w:p w:rsidR="0022054E" w:rsidP="0022054E" w:rsidRDefault="0022054E">
      <w:pPr>
        <w:pStyle w:val="JuPara"/>
        <w:rPr>
          <w:lang w:eastAsia="en-US"/>
        </w:rPr>
      </w:pPr>
    </w:p>
    <w:p w:rsidR="0022054E" w:rsidP="0022054E" w:rsidRDefault="0022054E">
      <w:pPr>
        <w:pStyle w:val="JuPara"/>
      </w:pPr>
      <w:r>
        <w:t>2.  Invoquant l</w:t>
      </w:r>
      <w:r w:rsidR="00FA0C79">
        <w:t>'</w:t>
      </w:r>
      <w:r>
        <w:t>article 6 §§ 1 et 2 de la Convention, le requérant conteste l</w:t>
      </w:r>
      <w:r w:rsidR="00FA0C79">
        <w:t>'</w:t>
      </w:r>
      <w:r>
        <w:t>appréciation effectuée par les juridictions internes quant au caractère confidentiel de la photographie, dans la mesure où la mention « reproduction interdite » ne figurait pas sur celle-ci. Il reproche également aux juridictions internes d</w:t>
      </w:r>
      <w:r w:rsidR="00FA0C79">
        <w:t>'</w:t>
      </w:r>
      <w:r>
        <w:t>avoir présumé sa culpabilité. Les dispositions pertinentes se lisent comme suit :</w:t>
      </w:r>
    </w:p>
    <w:p w:rsidR="0022054E" w:rsidP="0022054E" w:rsidRDefault="0022054E">
      <w:pPr>
        <w:pStyle w:val="JuQuot"/>
      </w:pPr>
      <w:r>
        <w:t>« 1.  Toute personne a droit à ce que sa cause soit entendue équitablement (...) par un tribunal indépendant et impartial (...) qui décidera (...) de toute accusation en matière pénale dirigée contre elle (...).</w:t>
      </w:r>
    </w:p>
    <w:p w:rsidR="0022054E" w:rsidP="0022054E" w:rsidRDefault="0022054E">
      <w:pPr>
        <w:pStyle w:val="JuQuot"/>
      </w:pPr>
      <w:r>
        <w:t>2.  Toute personne accusée d</w:t>
      </w:r>
      <w:r w:rsidR="00FA0C79">
        <w:t>'</w:t>
      </w:r>
      <w:r>
        <w:t>une infraction est présumée innocente jusqu</w:t>
      </w:r>
      <w:r w:rsidR="00FA0C79">
        <w:t>'</w:t>
      </w:r>
      <w:r>
        <w:t>à ce que sa culpabilité ait été légalement établie. »</w:t>
      </w:r>
    </w:p>
    <w:p w:rsidR="0022054E" w:rsidP="0022054E" w:rsidRDefault="0022054E">
      <w:pPr>
        <w:pStyle w:val="JuPara"/>
      </w:pPr>
      <w:r>
        <w:t xml:space="preserve">La Cour rappelle la jurisprudence </w:t>
      </w:r>
      <w:r>
        <w:rPr>
          <w:i/>
        </w:rPr>
        <w:t xml:space="preserve">Pélissier et Sassi c. </w:t>
      </w:r>
      <w:r w:rsidRPr="000E3940">
        <w:rPr>
          <w:i/>
        </w:rPr>
        <w:t>France</w:t>
      </w:r>
      <w:r>
        <w:t>, selon laquelle il appartient en premier chef aux juridictions internes d</w:t>
      </w:r>
      <w:r w:rsidR="00FA0C79">
        <w:t>'</w:t>
      </w:r>
      <w:r>
        <w:t>apprécier les faits et de se prononcer sur la force probante des éléments de preuve, ajoutant au surplus que concernant les litiges tombant dans le champ d</w:t>
      </w:r>
      <w:r w:rsidR="00FA0C79">
        <w:t>'</w:t>
      </w:r>
      <w:r>
        <w:t>application de l</w:t>
      </w:r>
      <w:r w:rsidR="00FA0C79">
        <w:t>'</w:t>
      </w:r>
      <w:r>
        <w:t>article 6 de la Convention, le rôle de la Cour n</w:t>
      </w:r>
      <w:r w:rsidR="00FA0C79">
        <w:t>'</w:t>
      </w:r>
      <w:r>
        <w:t>est pas de réexaminer les données factuelles</w:t>
      </w:r>
      <w:r w:rsidRPr="0061390A">
        <w:rPr>
          <w:i/>
          <w:lang w:eastAsia="en-US"/>
        </w:rPr>
        <w:t xml:space="preserve"> </w:t>
      </w:r>
      <w:r w:rsidRPr="0061390A">
        <w:rPr>
          <w:lang w:eastAsia="en-US"/>
        </w:rPr>
        <w:t>(</w:t>
      </w:r>
      <w:r w:rsidRPr="0061390A">
        <w:rPr>
          <w:i/>
          <w:lang w:eastAsia="en-US"/>
        </w:rPr>
        <w:t>Pélissier et Sassi c. France</w:t>
      </w:r>
      <w:r w:rsidRPr="0061390A">
        <w:rPr>
          <w:lang w:eastAsia="en-US"/>
        </w:rPr>
        <w:t xml:space="preserve"> [GC], n</w:t>
      </w:r>
      <w:r w:rsidRPr="0061390A">
        <w:rPr>
          <w:vertAlign w:val="superscript"/>
          <w:lang w:eastAsia="en-US"/>
        </w:rPr>
        <w:t>o</w:t>
      </w:r>
      <w:r>
        <w:rPr>
          <w:lang w:eastAsia="en-US"/>
        </w:rPr>
        <w:t> 25444/94, § 45, CEDH 1999-</w:t>
      </w:r>
      <w:r w:rsidRPr="0061390A">
        <w:rPr>
          <w:lang w:eastAsia="en-US"/>
        </w:rPr>
        <w:t>II</w:t>
      </w:r>
      <w:r>
        <w:rPr>
          <w:lang w:eastAsia="en-US"/>
        </w:rPr>
        <w:t>)</w:t>
      </w:r>
      <w:r>
        <w:t>.</w:t>
      </w:r>
    </w:p>
    <w:p w:rsidR="0022054E" w:rsidP="0022054E" w:rsidRDefault="0022054E">
      <w:pPr>
        <w:pStyle w:val="JuPara"/>
        <w:rPr>
          <w:lang w:eastAsia="en-US"/>
        </w:rPr>
      </w:pPr>
      <w:r>
        <w:t>En l</w:t>
      </w:r>
      <w:r w:rsidR="00FA0C79">
        <w:t>'</w:t>
      </w:r>
      <w:r>
        <w:t>espèce, la Cour estime qu</w:t>
      </w:r>
      <w:r w:rsidR="00FA0C79">
        <w:t>'</w:t>
      </w:r>
      <w:r>
        <w:t>il ne lui revient pas d</w:t>
      </w:r>
      <w:r w:rsidR="00FA0C79">
        <w:t>'</w:t>
      </w:r>
      <w:r>
        <w:t>apprécier les éléments constitutifs du délit pour lequel le requérant a été condamné.</w:t>
      </w:r>
    </w:p>
    <w:p w:rsidR="0022054E" w:rsidP="0022054E" w:rsidRDefault="0022054E">
      <w:pPr>
        <w:pStyle w:val="JuPara"/>
      </w:pPr>
      <w:r>
        <w:t>Quant à l</w:t>
      </w:r>
      <w:r w:rsidR="00FA0C79">
        <w:t>'</w:t>
      </w:r>
      <w:r>
        <w:t>allégation du requérant selon laquelle les juridictions ont présumé sa culpabilité, outre le fait que le grief n</w:t>
      </w:r>
      <w:r w:rsidR="00FA0C79">
        <w:t>'</w:t>
      </w:r>
      <w:r>
        <w:t>est pas étayé, la Cour relève que le requérant ne l</w:t>
      </w:r>
      <w:r w:rsidR="00FA0C79">
        <w:t>'</w:t>
      </w:r>
      <w:r>
        <w:t>a pas soulevé, expressément ou en substance, devant les juridictions nationales.</w:t>
      </w:r>
    </w:p>
    <w:p w:rsidRPr="00775C1B" w:rsidR="0022054E" w:rsidP="0022054E" w:rsidRDefault="0022054E">
      <w:pPr>
        <w:ind w:firstLine="284"/>
        <w:jc w:val="both"/>
      </w:pPr>
      <w:r w:rsidRPr="00D702CC">
        <w:t>Il s</w:t>
      </w:r>
      <w:r w:rsidR="00FA0C79">
        <w:t>'</w:t>
      </w:r>
      <w:r w:rsidRPr="00D702CC">
        <w:t>ensuit que cette partie de la requête est manifestement mal fondée et doit être rejetée en application de l</w:t>
      </w:r>
      <w:r w:rsidR="00FA0C79">
        <w:t>'</w:t>
      </w:r>
      <w:r w:rsidRPr="00D702CC">
        <w:t>article 35 §§ 3 et 4 de la Convention.</w:t>
      </w:r>
    </w:p>
    <w:p w:rsidRPr="00B55FF7" w:rsidR="0022054E" w:rsidP="0022054E" w:rsidRDefault="0022054E">
      <w:pPr>
        <w:pStyle w:val="JuParaLast"/>
      </w:pPr>
      <w:r w:rsidRPr="00B55FF7">
        <w:t>Par ces motifs, la Cour, à l</w:t>
      </w:r>
      <w:r w:rsidR="00FA0C79">
        <w:t>'</w:t>
      </w:r>
      <w:r w:rsidRPr="00B55FF7">
        <w:t>unanimité</w:t>
      </w:r>
      <w:r w:rsidR="008616D7">
        <w:t>,</w:t>
      </w:r>
    </w:p>
    <w:p w:rsidRPr="00B55FF7" w:rsidR="0022054E" w:rsidP="0022054E" w:rsidRDefault="0022054E">
      <w:pPr>
        <w:pStyle w:val="DecList"/>
      </w:pPr>
      <w:r w:rsidRPr="00B55FF7">
        <w:rPr>
          <w:i/>
        </w:rPr>
        <w:t>Déclare</w:t>
      </w:r>
      <w:r w:rsidRPr="00B55FF7">
        <w:t xml:space="preserve"> la requête irrecevable.</w:t>
      </w:r>
    </w:p>
    <w:p w:rsidRPr="00B55FF7" w:rsidR="0022054E" w:rsidP="0022054E" w:rsidRDefault="0022054E">
      <w:pPr>
        <w:pStyle w:val="JuSigned"/>
        <w:keepNext/>
        <w:keepLines/>
      </w:pPr>
      <w:r w:rsidRPr="00B55FF7">
        <w:tab/>
        <w:t>Claudia Westerdiek</w:t>
      </w:r>
      <w:r w:rsidRPr="00B55FF7">
        <w:tab/>
      </w:r>
      <w:r w:rsidRPr="008616D7" w:rsidR="008616D7">
        <w:t>Peer</w:t>
      </w:r>
      <w:r w:rsidR="008616D7">
        <w:t xml:space="preserve"> </w:t>
      </w:r>
      <w:r w:rsidRPr="008616D7" w:rsidR="008616D7">
        <w:t>Lorenzen</w:t>
      </w:r>
      <w:r w:rsidRPr="00B55FF7">
        <w:br/>
      </w:r>
      <w:r w:rsidRPr="00B55FF7">
        <w:tab/>
        <w:t>Greffière</w:t>
      </w:r>
      <w:r w:rsidRPr="00B55FF7">
        <w:tab/>
        <w:t>Président</w:t>
      </w:r>
    </w:p>
    <w:p w:rsidR="00E03041" w:rsidRDefault="00E03041"/>
    <w:sectPr w:rsidR="00E03041" w:rsidSect="0022054E">
      <w:headerReference w:type="even" r:id="rId7"/>
      <w:headerReference w:type="default" r:id="rId8"/>
      <w:headerReference w:type="first" r:id="rId9"/>
      <w:footnotePr>
        <w:numRestart w:val="eachPage"/>
      </w:footnotePr>
      <w:pgSz w:w="11906" w:h="16838" w:code="9"/>
      <w:pgMar w:top="2273" w:right="2273" w:bottom="2273" w:left="2273" w:header="1701" w:footer="720" w:gutter="0"/>
      <w:pgNumType w:start="1"/>
      <w:cols w:space="720"/>
      <w:titlePg/>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29B1" w:rsidRDefault="00F229B1">
      <w:r>
        <w:separator/>
      </w:r>
    </w:p>
  </w:endnote>
  <w:endnote w:type="continuationSeparator" w:id="0">
    <w:p w:rsidR="00F229B1" w:rsidRDefault="00F22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imes New (W1)">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29B1" w:rsidRDefault="00F229B1">
      <w:r>
        <w:separator/>
      </w:r>
    </w:p>
  </w:footnote>
  <w:footnote w:type="continuationSeparator" w:id="0">
    <w:p w:rsidR="00F229B1" w:rsidRDefault="00F229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9B1" w:rsidRDefault="00F229B1">
    <w:pPr>
      <w:pStyle w:val="JuHeader"/>
    </w:pPr>
    <w:r>
      <w:fldChar w:fldCharType="begin"/>
    </w:r>
    <w:r>
      <w:instrText xml:space="preserve"> PAGE </w:instrText>
    </w:r>
    <w:r>
      <w:fldChar w:fldCharType="separate"/>
    </w:r>
    <w:r w:rsidR="00FA0C79">
      <w:rPr>
        <w:noProof/>
      </w:rPr>
      <w:t>6</w:t>
    </w:r>
    <w:r>
      <w:fldChar w:fldCharType="end"/>
    </w:r>
    <w:r>
      <w:tab/>
      <w:t>DÉCISION HACQUEMAND c. FRANCE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9B1" w:rsidRDefault="00F229B1">
    <w:pPr>
      <w:pStyle w:val="JuHeader"/>
    </w:pPr>
    <w:r>
      <w:tab/>
      <w:t>DÉCISION HACQUEMAND c. FRANCE</w:t>
    </w:r>
    <w:r w:rsidRPr="001B70F8">
      <w:tab/>
    </w:r>
    <w:r>
      <w:fldChar w:fldCharType="begin"/>
    </w:r>
    <w:r>
      <w:instrText xml:space="preserve"> PAGE </w:instrText>
    </w:r>
    <w:r>
      <w:fldChar w:fldCharType="separate"/>
    </w:r>
    <w:r w:rsidR="00FA0C79">
      <w:rPr>
        <w:noProof/>
      </w:rPr>
      <w:t>7</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9B1" w:rsidRPr="00C00F0F" w:rsidRDefault="00F229B1">
    <w:pPr>
      <w:pStyle w:val="Header"/>
      <w:jc w:val="center"/>
      <w:rPr>
        <w:sz w:val="4"/>
        <w:szCs w:val="4"/>
      </w:rPr>
    </w:pPr>
    <w:r w:rsidRPr="000624B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50DocHeaderBigBlack"/>
        </v:shape>
      </w:pict>
    </w:r>
  </w:p>
  <w:p w:rsidR="00F229B1" w:rsidRDefault="00F229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59BCE804"/>
    <w:lvl w:ilvl="0">
      <w:start w:val="1"/>
      <w:numFmt w:val="decimal"/>
      <w:lvlText w:val="%1."/>
      <w:lvlJc w:val="left"/>
      <w:pPr>
        <w:tabs>
          <w:tab w:val="num" w:pos="1492"/>
        </w:tabs>
        <w:ind w:left="1492" w:hanging="360"/>
      </w:pPr>
    </w:lvl>
  </w:abstractNum>
  <w:abstractNum w:abstractNumId="1">
    <w:nsid w:val="FFFFFF7D"/>
    <w:multiLevelType w:val="singleLevel"/>
    <w:tmpl w:val="8B86FD3C"/>
    <w:lvl w:ilvl="0">
      <w:start w:val="1"/>
      <w:numFmt w:val="decimal"/>
      <w:lvlText w:val="%1."/>
      <w:lvlJc w:val="left"/>
      <w:pPr>
        <w:tabs>
          <w:tab w:val="num" w:pos="1209"/>
        </w:tabs>
        <w:ind w:left="1209" w:hanging="360"/>
      </w:pPr>
    </w:lvl>
  </w:abstractNum>
  <w:abstractNum w:abstractNumId="2">
    <w:nsid w:val="FFFFFF7E"/>
    <w:multiLevelType w:val="singleLevel"/>
    <w:tmpl w:val="1E3E8A12"/>
    <w:lvl w:ilvl="0">
      <w:start w:val="1"/>
      <w:numFmt w:val="decimal"/>
      <w:lvlText w:val="%1."/>
      <w:lvlJc w:val="left"/>
      <w:pPr>
        <w:tabs>
          <w:tab w:val="num" w:pos="926"/>
        </w:tabs>
        <w:ind w:left="926" w:hanging="360"/>
      </w:pPr>
    </w:lvl>
  </w:abstractNum>
  <w:abstractNum w:abstractNumId="3">
    <w:nsid w:val="FFFFFF7F"/>
    <w:multiLevelType w:val="singleLevel"/>
    <w:tmpl w:val="78CCC57A"/>
    <w:lvl w:ilvl="0">
      <w:start w:val="1"/>
      <w:numFmt w:val="decimal"/>
      <w:lvlText w:val="%1."/>
      <w:lvlJc w:val="left"/>
      <w:pPr>
        <w:tabs>
          <w:tab w:val="num" w:pos="643"/>
        </w:tabs>
        <w:ind w:left="643" w:hanging="360"/>
      </w:pPr>
    </w:lvl>
  </w:abstractNum>
  <w:abstractNum w:abstractNumId="4">
    <w:nsid w:val="FFFFFF80"/>
    <w:multiLevelType w:val="singleLevel"/>
    <w:tmpl w:val="DB141A2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9729D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CC02C4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5D2070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DCDA5E"/>
    <w:lvl w:ilvl="0">
      <w:start w:val="1"/>
      <w:numFmt w:val="decimal"/>
      <w:lvlText w:val="%1."/>
      <w:lvlJc w:val="left"/>
      <w:pPr>
        <w:tabs>
          <w:tab w:val="num" w:pos="360"/>
        </w:tabs>
        <w:ind w:left="360" w:hanging="360"/>
      </w:pPr>
    </w:lvl>
  </w:abstractNum>
  <w:abstractNum w:abstractNumId="9">
    <w:nsid w:val="FFFFFF89"/>
    <w:multiLevelType w:val="singleLevel"/>
    <w:tmpl w:val="3B54598C"/>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5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2054E"/>
    <w:rsid w:val="0000043F"/>
    <w:rsid w:val="00000B66"/>
    <w:rsid w:val="00000BD8"/>
    <w:rsid w:val="00000D0A"/>
    <w:rsid w:val="00002F02"/>
    <w:rsid w:val="00004E75"/>
    <w:rsid w:val="00005922"/>
    <w:rsid w:val="00006232"/>
    <w:rsid w:val="00006337"/>
    <w:rsid w:val="00011541"/>
    <w:rsid w:val="00012E25"/>
    <w:rsid w:val="00013D25"/>
    <w:rsid w:val="000145B8"/>
    <w:rsid w:val="00014F96"/>
    <w:rsid w:val="00020CC1"/>
    <w:rsid w:val="00021960"/>
    <w:rsid w:val="00021C9E"/>
    <w:rsid w:val="000223D2"/>
    <w:rsid w:val="00022C4F"/>
    <w:rsid w:val="00023F3E"/>
    <w:rsid w:val="00026836"/>
    <w:rsid w:val="00027C2B"/>
    <w:rsid w:val="000300DB"/>
    <w:rsid w:val="00030206"/>
    <w:rsid w:val="00031660"/>
    <w:rsid w:val="00031710"/>
    <w:rsid w:val="000317A9"/>
    <w:rsid w:val="00031A12"/>
    <w:rsid w:val="00033223"/>
    <w:rsid w:val="000349B1"/>
    <w:rsid w:val="00035B93"/>
    <w:rsid w:val="00036B33"/>
    <w:rsid w:val="000427D8"/>
    <w:rsid w:val="00043A02"/>
    <w:rsid w:val="00043E29"/>
    <w:rsid w:val="00045300"/>
    <w:rsid w:val="0004776A"/>
    <w:rsid w:val="00050E9C"/>
    <w:rsid w:val="000518B0"/>
    <w:rsid w:val="00055A58"/>
    <w:rsid w:val="000567BD"/>
    <w:rsid w:val="00057C16"/>
    <w:rsid w:val="00060973"/>
    <w:rsid w:val="00061176"/>
    <w:rsid w:val="0006378B"/>
    <w:rsid w:val="00065499"/>
    <w:rsid w:val="00065FB8"/>
    <w:rsid w:val="00067305"/>
    <w:rsid w:val="000673BA"/>
    <w:rsid w:val="00071A63"/>
    <w:rsid w:val="00072125"/>
    <w:rsid w:val="000721F6"/>
    <w:rsid w:val="00072D67"/>
    <w:rsid w:val="0007686D"/>
    <w:rsid w:val="0007758A"/>
    <w:rsid w:val="00080D7A"/>
    <w:rsid w:val="00081442"/>
    <w:rsid w:val="000830E3"/>
    <w:rsid w:val="000833B0"/>
    <w:rsid w:val="000834F9"/>
    <w:rsid w:val="00083659"/>
    <w:rsid w:val="000854E4"/>
    <w:rsid w:val="00085819"/>
    <w:rsid w:val="00085A55"/>
    <w:rsid w:val="00086B54"/>
    <w:rsid w:val="00090D1F"/>
    <w:rsid w:val="00091B05"/>
    <w:rsid w:val="00091B35"/>
    <w:rsid w:val="00093044"/>
    <w:rsid w:val="0009591C"/>
    <w:rsid w:val="00095B0C"/>
    <w:rsid w:val="00097445"/>
    <w:rsid w:val="00097E9A"/>
    <w:rsid w:val="000A0887"/>
    <w:rsid w:val="000A0E51"/>
    <w:rsid w:val="000A14E3"/>
    <w:rsid w:val="000A22DC"/>
    <w:rsid w:val="000A2514"/>
    <w:rsid w:val="000A370D"/>
    <w:rsid w:val="000A3B7C"/>
    <w:rsid w:val="000A79F2"/>
    <w:rsid w:val="000B0A82"/>
    <w:rsid w:val="000B1925"/>
    <w:rsid w:val="000B1B4A"/>
    <w:rsid w:val="000B1CBE"/>
    <w:rsid w:val="000B34B3"/>
    <w:rsid w:val="000B3B39"/>
    <w:rsid w:val="000B4462"/>
    <w:rsid w:val="000B47BF"/>
    <w:rsid w:val="000B4969"/>
    <w:rsid w:val="000B519A"/>
    <w:rsid w:val="000B543C"/>
    <w:rsid w:val="000B7487"/>
    <w:rsid w:val="000B75A7"/>
    <w:rsid w:val="000B784D"/>
    <w:rsid w:val="000B7E07"/>
    <w:rsid w:val="000B7FD5"/>
    <w:rsid w:val="000C070D"/>
    <w:rsid w:val="000C1A5F"/>
    <w:rsid w:val="000C2B53"/>
    <w:rsid w:val="000C3301"/>
    <w:rsid w:val="000C4D15"/>
    <w:rsid w:val="000C54C6"/>
    <w:rsid w:val="000C5FAA"/>
    <w:rsid w:val="000D0EF1"/>
    <w:rsid w:val="000D10C8"/>
    <w:rsid w:val="000D1CA1"/>
    <w:rsid w:val="000D3424"/>
    <w:rsid w:val="000D3E08"/>
    <w:rsid w:val="000D4F9A"/>
    <w:rsid w:val="000D69BD"/>
    <w:rsid w:val="000D6A56"/>
    <w:rsid w:val="000D6DC6"/>
    <w:rsid w:val="000D7846"/>
    <w:rsid w:val="000D79FB"/>
    <w:rsid w:val="000E09C4"/>
    <w:rsid w:val="000E1484"/>
    <w:rsid w:val="000E1CBE"/>
    <w:rsid w:val="000E2ECE"/>
    <w:rsid w:val="000E44EF"/>
    <w:rsid w:val="000E5286"/>
    <w:rsid w:val="000E7969"/>
    <w:rsid w:val="000F07CD"/>
    <w:rsid w:val="000F14C0"/>
    <w:rsid w:val="000F1AC4"/>
    <w:rsid w:val="000F3608"/>
    <w:rsid w:val="000F41FA"/>
    <w:rsid w:val="000F4383"/>
    <w:rsid w:val="000F539E"/>
    <w:rsid w:val="000F65BA"/>
    <w:rsid w:val="001013F7"/>
    <w:rsid w:val="00102B69"/>
    <w:rsid w:val="00102E46"/>
    <w:rsid w:val="00102FEA"/>
    <w:rsid w:val="001043EA"/>
    <w:rsid w:val="0010520F"/>
    <w:rsid w:val="001064C5"/>
    <w:rsid w:val="001068AF"/>
    <w:rsid w:val="00106B3A"/>
    <w:rsid w:val="00111CCA"/>
    <w:rsid w:val="00111F0B"/>
    <w:rsid w:val="00111F2F"/>
    <w:rsid w:val="00113702"/>
    <w:rsid w:val="00114801"/>
    <w:rsid w:val="00114CB0"/>
    <w:rsid w:val="00114E19"/>
    <w:rsid w:val="001157EB"/>
    <w:rsid w:val="00117B3D"/>
    <w:rsid w:val="00122EEC"/>
    <w:rsid w:val="00123888"/>
    <w:rsid w:val="0012393B"/>
    <w:rsid w:val="00123E47"/>
    <w:rsid w:val="0012509B"/>
    <w:rsid w:val="001262D0"/>
    <w:rsid w:val="00127385"/>
    <w:rsid w:val="00127475"/>
    <w:rsid w:val="00127818"/>
    <w:rsid w:val="00127D5B"/>
    <w:rsid w:val="00127FB8"/>
    <w:rsid w:val="0013037A"/>
    <w:rsid w:val="001314D1"/>
    <w:rsid w:val="00131B86"/>
    <w:rsid w:val="00131F53"/>
    <w:rsid w:val="00132F81"/>
    <w:rsid w:val="00134482"/>
    <w:rsid w:val="00135164"/>
    <w:rsid w:val="00137516"/>
    <w:rsid w:val="001375BD"/>
    <w:rsid w:val="001377C2"/>
    <w:rsid w:val="001424D4"/>
    <w:rsid w:val="00143087"/>
    <w:rsid w:val="001444DA"/>
    <w:rsid w:val="00145AFA"/>
    <w:rsid w:val="001463BF"/>
    <w:rsid w:val="00146920"/>
    <w:rsid w:val="00147CE7"/>
    <w:rsid w:val="00147EA7"/>
    <w:rsid w:val="001511F6"/>
    <w:rsid w:val="00151C54"/>
    <w:rsid w:val="001524C6"/>
    <w:rsid w:val="00152EF5"/>
    <w:rsid w:val="00153D4A"/>
    <w:rsid w:val="00154869"/>
    <w:rsid w:val="00156612"/>
    <w:rsid w:val="00157C4E"/>
    <w:rsid w:val="00160BD8"/>
    <w:rsid w:val="00162A94"/>
    <w:rsid w:val="0016403A"/>
    <w:rsid w:val="00164632"/>
    <w:rsid w:val="00164CC2"/>
    <w:rsid w:val="001652A2"/>
    <w:rsid w:val="0017006C"/>
    <w:rsid w:val="00171953"/>
    <w:rsid w:val="001726B0"/>
    <w:rsid w:val="001750E3"/>
    <w:rsid w:val="00176056"/>
    <w:rsid w:val="00176362"/>
    <w:rsid w:val="00176DD7"/>
    <w:rsid w:val="001809D3"/>
    <w:rsid w:val="00181944"/>
    <w:rsid w:val="00182C82"/>
    <w:rsid w:val="0018379B"/>
    <w:rsid w:val="00183B0B"/>
    <w:rsid w:val="00184208"/>
    <w:rsid w:val="0018606E"/>
    <w:rsid w:val="00190C77"/>
    <w:rsid w:val="00190E66"/>
    <w:rsid w:val="001928B2"/>
    <w:rsid w:val="00192DB0"/>
    <w:rsid w:val="0019314D"/>
    <w:rsid w:val="001938DD"/>
    <w:rsid w:val="001973B2"/>
    <w:rsid w:val="001A0232"/>
    <w:rsid w:val="001A03E0"/>
    <w:rsid w:val="001A071B"/>
    <w:rsid w:val="001A210B"/>
    <w:rsid w:val="001A4615"/>
    <w:rsid w:val="001A4B36"/>
    <w:rsid w:val="001A6AA0"/>
    <w:rsid w:val="001B039B"/>
    <w:rsid w:val="001B15FA"/>
    <w:rsid w:val="001B1EF4"/>
    <w:rsid w:val="001B20A2"/>
    <w:rsid w:val="001B212D"/>
    <w:rsid w:val="001B2251"/>
    <w:rsid w:val="001B27B0"/>
    <w:rsid w:val="001B27C5"/>
    <w:rsid w:val="001B303E"/>
    <w:rsid w:val="001B3836"/>
    <w:rsid w:val="001B3A05"/>
    <w:rsid w:val="001B425A"/>
    <w:rsid w:val="001B5137"/>
    <w:rsid w:val="001C0B10"/>
    <w:rsid w:val="001C3D4C"/>
    <w:rsid w:val="001D190B"/>
    <w:rsid w:val="001D338D"/>
    <w:rsid w:val="001D413B"/>
    <w:rsid w:val="001D50E6"/>
    <w:rsid w:val="001D6EF5"/>
    <w:rsid w:val="001E26AB"/>
    <w:rsid w:val="001E2DAA"/>
    <w:rsid w:val="001E34E5"/>
    <w:rsid w:val="001E36DB"/>
    <w:rsid w:val="001E440D"/>
    <w:rsid w:val="001E5930"/>
    <w:rsid w:val="001F1048"/>
    <w:rsid w:val="001F1B6F"/>
    <w:rsid w:val="001F20C2"/>
    <w:rsid w:val="001F3D9F"/>
    <w:rsid w:val="001F3E16"/>
    <w:rsid w:val="001F4CE5"/>
    <w:rsid w:val="001F58B8"/>
    <w:rsid w:val="001F74DD"/>
    <w:rsid w:val="001F74DF"/>
    <w:rsid w:val="001F7A34"/>
    <w:rsid w:val="0020283D"/>
    <w:rsid w:val="00204DA7"/>
    <w:rsid w:val="00206132"/>
    <w:rsid w:val="00207492"/>
    <w:rsid w:val="00207C03"/>
    <w:rsid w:val="00210164"/>
    <w:rsid w:val="00210568"/>
    <w:rsid w:val="00211100"/>
    <w:rsid w:val="00212F59"/>
    <w:rsid w:val="00213574"/>
    <w:rsid w:val="00213A29"/>
    <w:rsid w:val="00216916"/>
    <w:rsid w:val="002173D6"/>
    <w:rsid w:val="00217B3A"/>
    <w:rsid w:val="002203F7"/>
    <w:rsid w:val="0022054E"/>
    <w:rsid w:val="00221D53"/>
    <w:rsid w:val="00221E2E"/>
    <w:rsid w:val="002221A6"/>
    <w:rsid w:val="00223CC2"/>
    <w:rsid w:val="00226EA1"/>
    <w:rsid w:val="00227F9B"/>
    <w:rsid w:val="002305F7"/>
    <w:rsid w:val="002315BE"/>
    <w:rsid w:val="0023338A"/>
    <w:rsid w:val="00233CAE"/>
    <w:rsid w:val="00234AC8"/>
    <w:rsid w:val="00235068"/>
    <w:rsid w:val="00235402"/>
    <w:rsid w:val="00237793"/>
    <w:rsid w:val="0024032C"/>
    <w:rsid w:val="00243781"/>
    <w:rsid w:val="00243BAF"/>
    <w:rsid w:val="002445EB"/>
    <w:rsid w:val="00245DD9"/>
    <w:rsid w:val="00247143"/>
    <w:rsid w:val="00247A47"/>
    <w:rsid w:val="00247B52"/>
    <w:rsid w:val="00250163"/>
    <w:rsid w:val="00250FA2"/>
    <w:rsid w:val="00251601"/>
    <w:rsid w:val="00252120"/>
    <w:rsid w:val="00252FB1"/>
    <w:rsid w:val="00252FD5"/>
    <w:rsid w:val="00254F53"/>
    <w:rsid w:val="00254FB2"/>
    <w:rsid w:val="00255B8C"/>
    <w:rsid w:val="00257CB4"/>
    <w:rsid w:val="0026121F"/>
    <w:rsid w:val="002633E0"/>
    <w:rsid w:val="00263B88"/>
    <w:rsid w:val="002667BF"/>
    <w:rsid w:val="00266B9F"/>
    <w:rsid w:val="00271AB7"/>
    <w:rsid w:val="0027206A"/>
    <w:rsid w:val="00272122"/>
    <w:rsid w:val="00272B7F"/>
    <w:rsid w:val="00272ECC"/>
    <w:rsid w:val="00272F61"/>
    <w:rsid w:val="002752E8"/>
    <w:rsid w:val="002755AE"/>
    <w:rsid w:val="00275607"/>
    <w:rsid w:val="00275AD6"/>
    <w:rsid w:val="00275E31"/>
    <w:rsid w:val="0027602F"/>
    <w:rsid w:val="002766E6"/>
    <w:rsid w:val="00276C85"/>
    <w:rsid w:val="0027790F"/>
    <w:rsid w:val="00277C45"/>
    <w:rsid w:val="00280582"/>
    <w:rsid w:val="00281A0F"/>
    <w:rsid w:val="00283956"/>
    <w:rsid w:val="0028427C"/>
    <w:rsid w:val="002842A2"/>
    <w:rsid w:val="002845D4"/>
    <w:rsid w:val="00285C4A"/>
    <w:rsid w:val="00286801"/>
    <w:rsid w:val="00287556"/>
    <w:rsid w:val="0028757B"/>
    <w:rsid w:val="00290342"/>
    <w:rsid w:val="002918BD"/>
    <w:rsid w:val="00291E9B"/>
    <w:rsid w:val="002927D1"/>
    <w:rsid w:val="00297C1E"/>
    <w:rsid w:val="002A24BD"/>
    <w:rsid w:val="002A280A"/>
    <w:rsid w:val="002A33A7"/>
    <w:rsid w:val="002A3AD3"/>
    <w:rsid w:val="002A42DD"/>
    <w:rsid w:val="002A59DE"/>
    <w:rsid w:val="002A6F1D"/>
    <w:rsid w:val="002A77A5"/>
    <w:rsid w:val="002B040A"/>
    <w:rsid w:val="002B0626"/>
    <w:rsid w:val="002B14D4"/>
    <w:rsid w:val="002B2633"/>
    <w:rsid w:val="002B2EA7"/>
    <w:rsid w:val="002B37C4"/>
    <w:rsid w:val="002B397C"/>
    <w:rsid w:val="002B658A"/>
    <w:rsid w:val="002C016A"/>
    <w:rsid w:val="002C0731"/>
    <w:rsid w:val="002C0F85"/>
    <w:rsid w:val="002C1EB9"/>
    <w:rsid w:val="002C5A3D"/>
    <w:rsid w:val="002C6EE0"/>
    <w:rsid w:val="002C7AA4"/>
    <w:rsid w:val="002D0CB0"/>
    <w:rsid w:val="002D0ED2"/>
    <w:rsid w:val="002D4303"/>
    <w:rsid w:val="002D599F"/>
    <w:rsid w:val="002E009E"/>
    <w:rsid w:val="002E0153"/>
    <w:rsid w:val="002E0F0F"/>
    <w:rsid w:val="002E1B30"/>
    <w:rsid w:val="002E1D8B"/>
    <w:rsid w:val="002E2291"/>
    <w:rsid w:val="002E2839"/>
    <w:rsid w:val="002E4D81"/>
    <w:rsid w:val="002E6355"/>
    <w:rsid w:val="002E7538"/>
    <w:rsid w:val="002E7606"/>
    <w:rsid w:val="002F24A9"/>
    <w:rsid w:val="002F31AA"/>
    <w:rsid w:val="002F6BB0"/>
    <w:rsid w:val="002F7254"/>
    <w:rsid w:val="00300A2E"/>
    <w:rsid w:val="00303596"/>
    <w:rsid w:val="00306ED9"/>
    <w:rsid w:val="00306FCE"/>
    <w:rsid w:val="003073AF"/>
    <w:rsid w:val="00307C6F"/>
    <w:rsid w:val="00310521"/>
    <w:rsid w:val="00310C0D"/>
    <w:rsid w:val="003116AF"/>
    <w:rsid w:val="00311B2C"/>
    <w:rsid w:val="0031215D"/>
    <w:rsid w:val="00313986"/>
    <w:rsid w:val="00317058"/>
    <w:rsid w:val="00317479"/>
    <w:rsid w:val="003201AC"/>
    <w:rsid w:val="003207DD"/>
    <w:rsid w:val="003207ED"/>
    <w:rsid w:val="0032088D"/>
    <w:rsid w:val="00321E30"/>
    <w:rsid w:val="00322FBC"/>
    <w:rsid w:val="00323D07"/>
    <w:rsid w:val="00324F5A"/>
    <w:rsid w:val="00327EEA"/>
    <w:rsid w:val="00330763"/>
    <w:rsid w:val="00330C4B"/>
    <w:rsid w:val="003312BC"/>
    <w:rsid w:val="003321EE"/>
    <w:rsid w:val="00335CBF"/>
    <w:rsid w:val="00336CE5"/>
    <w:rsid w:val="003378B3"/>
    <w:rsid w:val="00337C15"/>
    <w:rsid w:val="00337DDF"/>
    <w:rsid w:val="0034030E"/>
    <w:rsid w:val="00341C0E"/>
    <w:rsid w:val="0034311D"/>
    <w:rsid w:val="003438A2"/>
    <w:rsid w:val="00344231"/>
    <w:rsid w:val="0034477C"/>
    <w:rsid w:val="003467AC"/>
    <w:rsid w:val="00350E81"/>
    <w:rsid w:val="00353F5B"/>
    <w:rsid w:val="00354F60"/>
    <w:rsid w:val="003554BC"/>
    <w:rsid w:val="003562BD"/>
    <w:rsid w:val="003621B7"/>
    <w:rsid w:val="00364363"/>
    <w:rsid w:val="0036617D"/>
    <w:rsid w:val="00367C04"/>
    <w:rsid w:val="00367F5E"/>
    <w:rsid w:val="00370AE3"/>
    <w:rsid w:val="0037130D"/>
    <w:rsid w:val="00373F99"/>
    <w:rsid w:val="0037418E"/>
    <w:rsid w:val="00375776"/>
    <w:rsid w:val="00375B39"/>
    <w:rsid w:val="003761F6"/>
    <w:rsid w:val="00376B77"/>
    <w:rsid w:val="003772BF"/>
    <w:rsid w:val="003809A8"/>
    <w:rsid w:val="00381180"/>
    <w:rsid w:val="00381530"/>
    <w:rsid w:val="003854DD"/>
    <w:rsid w:val="0038779A"/>
    <w:rsid w:val="00392251"/>
    <w:rsid w:val="003947A4"/>
    <w:rsid w:val="00395E36"/>
    <w:rsid w:val="00396FDA"/>
    <w:rsid w:val="00397D53"/>
    <w:rsid w:val="003A18E4"/>
    <w:rsid w:val="003A2246"/>
    <w:rsid w:val="003A26F2"/>
    <w:rsid w:val="003A3183"/>
    <w:rsid w:val="003A4CC6"/>
    <w:rsid w:val="003A5350"/>
    <w:rsid w:val="003A54F3"/>
    <w:rsid w:val="003A5CCF"/>
    <w:rsid w:val="003A73BB"/>
    <w:rsid w:val="003B04D9"/>
    <w:rsid w:val="003B2007"/>
    <w:rsid w:val="003B26AC"/>
    <w:rsid w:val="003B3AA6"/>
    <w:rsid w:val="003B3CE0"/>
    <w:rsid w:val="003B4950"/>
    <w:rsid w:val="003B5151"/>
    <w:rsid w:val="003B5573"/>
    <w:rsid w:val="003B5886"/>
    <w:rsid w:val="003B7496"/>
    <w:rsid w:val="003B7A66"/>
    <w:rsid w:val="003C0280"/>
    <w:rsid w:val="003C12C0"/>
    <w:rsid w:val="003C2E96"/>
    <w:rsid w:val="003C5765"/>
    <w:rsid w:val="003C57DA"/>
    <w:rsid w:val="003C729D"/>
    <w:rsid w:val="003C7EF7"/>
    <w:rsid w:val="003C7F5B"/>
    <w:rsid w:val="003D0120"/>
    <w:rsid w:val="003D1647"/>
    <w:rsid w:val="003D1CF2"/>
    <w:rsid w:val="003D203F"/>
    <w:rsid w:val="003D60AA"/>
    <w:rsid w:val="003D65FD"/>
    <w:rsid w:val="003D75D5"/>
    <w:rsid w:val="003D77AE"/>
    <w:rsid w:val="003E1147"/>
    <w:rsid w:val="003E13DE"/>
    <w:rsid w:val="003E1B12"/>
    <w:rsid w:val="003E21C6"/>
    <w:rsid w:val="003E2549"/>
    <w:rsid w:val="003E629A"/>
    <w:rsid w:val="003E654E"/>
    <w:rsid w:val="003E6BED"/>
    <w:rsid w:val="003E7C7F"/>
    <w:rsid w:val="003F0A76"/>
    <w:rsid w:val="003F16E5"/>
    <w:rsid w:val="003F174A"/>
    <w:rsid w:val="003F2470"/>
    <w:rsid w:val="003F288A"/>
    <w:rsid w:val="003F30CE"/>
    <w:rsid w:val="003F31D8"/>
    <w:rsid w:val="003F375A"/>
    <w:rsid w:val="003F3F30"/>
    <w:rsid w:val="003F589E"/>
    <w:rsid w:val="003F6A93"/>
    <w:rsid w:val="003F7F9E"/>
    <w:rsid w:val="0040098C"/>
    <w:rsid w:val="00401808"/>
    <w:rsid w:val="00402DD9"/>
    <w:rsid w:val="004035EF"/>
    <w:rsid w:val="00405D0F"/>
    <w:rsid w:val="0041217E"/>
    <w:rsid w:val="004123EC"/>
    <w:rsid w:val="004145CF"/>
    <w:rsid w:val="00414CBA"/>
    <w:rsid w:val="0041517F"/>
    <w:rsid w:val="00416186"/>
    <w:rsid w:val="004166B9"/>
    <w:rsid w:val="00416B39"/>
    <w:rsid w:val="00416FA1"/>
    <w:rsid w:val="0041725B"/>
    <w:rsid w:val="00423FE2"/>
    <w:rsid w:val="00424015"/>
    <w:rsid w:val="0042415B"/>
    <w:rsid w:val="004247CE"/>
    <w:rsid w:val="00425BC6"/>
    <w:rsid w:val="00425E18"/>
    <w:rsid w:val="00426E9C"/>
    <w:rsid w:val="0043097D"/>
    <w:rsid w:val="00430CDF"/>
    <w:rsid w:val="00431804"/>
    <w:rsid w:val="0043229A"/>
    <w:rsid w:val="00432753"/>
    <w:rsid w:val="00432EE7"/>
    <w:rsid w:val="004339D0"/>
    <w:rsid w:val="00434322"/>
    <w:rsid w:val="00435C45"/>
    <w:rsid w:val="00436A7F"/>
    <w:rsid w:val="00437FFE"/>
    <w:rsid w:val="00443FD8"/>
    <w:rsid w:val="00444436"/>
    <w:rsid w:val="00444B69"/>
    <w:rsid w:val="00446C3A"/>
    <w:rsid w:val="004472FE"/>
    <w:rsid w:val="004508D5"/>
    <w:rsid w:val="0045138E"/>
    <w:rsid w:val="004525D3"/>
    <w:rsid w:val="00453646"/>
    <w:rsid w:val="004544DE"/>
    <w:rsid w:val="004555A8"/>
    <w:rsid w:val="00455A3E"/>
    <w:rsid w:val="0045632F"/>
    <w:rsid w:val="004579AA"/>
    <w:rsid w:val="004605FC"/>
    <w:rsid w:val="00461781"/>
    <w:rsid w:val="00462A18"/>
    <w:rsid w:val="004630F5"/>
    <w:rsid w:val="0046423D"/>
    <w:rsid w:val="0046548A"/>
    <w:rsid w:val="00467FCA"/>
    <w:rsid w:val="00473F4E"/>
    <w:rsid w:val="00474C01"/>
    <w:rsid w:val="00480B4C"/>
    <w:rsid w:val="00481081"/>
    <w:rsid w:val="004812CA"/>
    <w:rsid w:val="00481905"/>
    <w:rsid w:val="00481A01"/>
    <w:rsid w:val="00482318"/>
    <w:rsid w:val="004827F4"/>
    <w:rsid w:val="00482947"/>
    <w:rsid w:val="0048298A"/>
    <w:rsid w:val="00482E58"/>
    <w:rsid w:val="00483B94"/>
    <w:rsid w:val="00485F8E"/>
    <w:rsid w:val="00487F22"/>
    <w:rsid w:val="00490D5D"/>
    <w:rsid w:val="00491A64"/>
    <w:rsid w:val="00491AC7"/>
    <w:rsid w:val="00491BB5"/>
    <w:rsid w:val="004920E2"/>
    <w:rsid w:val="004929C9"/>
    <w:rsid w:val="004932FE"/>
    <w:rsid w:val="00497C2B"/>
    <w:rsid w:val="004A2B59"/>
    <w:rsid w:val="004A4680"/>
    <w:rsid w:val="004A48CD"/>
    <w:rsid w:val="004A645E"/>
    <w:rsid w:val="004B2E3A"/>
    <w:rsid w:val="004B3A6F"/>
    <w:rsid w:val="004B3E12"/>
    <w:rsid w:val="004B5914"/>
    <w:rsid w:val="004B6023"/>
    <w:rsid w:val="004B736E"/>
    <w:rsid w:val="004B74AF"/>
    <w:rsid w:val="004C1D04"/>
    <w:rsid w:val="004C2382"/>
    <w:rsid w:val="004C2BA6"/>
    <w:rsid w:val="004C311C"/>
    <w:rsid w:val="004C5CBF"/>
    <w:rsid w:val="004D0502"/>
    <w:rsid w:val="004D0928"/>
    <w:rsid w:val="004D607C"/>
    <w:rsid w:val="004D7A05"/>
    <w:rsid w:val="004E005B"/>
    <w:rsid w:val="004E0933"/>
    <w:rsid w:val="004E1607"/>
    <w:rsid w:val="004E1B30"/>
    <w:rsid w:val="004E41A6"/>
    <w:rsid w:val="004E41ED"/>
    <w:rsid w:val="004E4ADD"/>
    <w:rsid w:val="004E5870"/>
    <w:rsid w:val="004E6189"/>
    <w:rsid w:val="004E62AB"/>
    <w:rsid w:val="004E6360"/>
    <w:rsid w:val="004E7421"/>
    <w:rsid w:val="004F7183"/>
    <w:rsid w:val="00501E65"/>
    <w:rsid w:val="005029A0"/>
    <w:rsid w:val="00504C32"/>
    <w:rsid w:val="00505713"/>
    <w:rsid w:val="00505F7D"/>
    <w:rsid w:val="00506782"/>
    <w:rsid w:val="005067F6"/>
    <w:rsid w:val="00506AF1"/>
    <w:rsid w:val="00510BEA"/>
    <w:rsid w:val="00511190"/>
    <w:rsid w:val="0051209B"/>
    <w:rsid w:val="00512D5C"/>
    <w:rsid w:val="00513314"/>
    <w:rsid w:val="00515718"/>
    <w:rsid w:val="005170DA"/>
    <w:rsid w:val="0052073C"/>
    <w:rsid w:val="00521A19"/>
    <w:rsid w:val="00521F26"/>
    <w:rsid w:val="00522C14"/>
    <w:rsid w:val="00523A6D"/>
    <w:rsid w:val="005241E5"/>
    <w:rsid w:val="0052519B"/>
    <w:rsid w:val="00525A7A"/>
    <w:rsid w:val="00526142"/>
    <w:rsid w:val="005317BD"/>
    <w:rsid w:val="00531F98"/>
    <w:rsid w:val="00532089"/>
    <w:rsid w:val="00533B33"/>
    <w:rsid w:val="0053580A"/>
    <w:rsid w:val="005361CD"/>
    <w:rsid w:val="005400F4"/>
    <w:rsid w:val="00543CC0"/>
    <w:rsid w:val="00545791"/>
    <w:rsid w:val="00550C54"/>
    <w:rsid w:val="00551876"/>
    <w:rsid w:val="005524D5"/>
    <w:rsid w:val="0055297F"/>
    <w:rsid w:val="005538D3"/>
    <w:rsid w:val="00553E6E"/>
    <w:rsid w:val="0055531B"/>
    <w:rsid w:val="0055593E"/>
    <w:rsid w:val="005564D6"/>
    <w:rsid w:val="005573EA"/>
    <w:rsid w:val="00560771"/>
    <w:rsid w:val="00560790"/>
    <w:rsid w:val="00561818"/>
    <w:rsid w:val="00562DF1"/>
    <w:rsid w:val="00563E89"/>
    <w:rsid w:val="0056427F"/>
    <w:rsid w:val="00567185"/>
    <w:rsid w:val="00571E37"/>
    <w:rsid w:val="0057363B"/>
    <w:rsid w:val="00573695"/>
    <w:rsid w:val="005736F6"/>
    <w:rsid w:val="0057391D"/>
    <w:rsid w:val="00573B52"/>
    <w:rsid w:val="005749AA"/>
    <w:rsid w:val="005755FD"/>
    <w:rsid w:val="005758FB"/>
    <w:rsid w:val="005761F4"/>
    <w:rsid w:val="00577376"/>
    <w:rsid w:val="005775CD"/>
    <w:rsid w:val="00580759"/>
    <w:rsid w:val="005809FA"/>
    <w:rsid w:val="00582660"/>
    <w:rsid w:val="00582CDC"/>
    <w:rsid w:val="00583898"/>
    <w:rsid w:val="005842B1"/>
    <w:rsid w:val="005847C7"/>
    <w:rsid w:val="00584ADD"/>
    <w:rsid w:val="0058665C"/>
    <w:rsid w:val="00586E6A"/>
    <w:rsid w:val="0058783E"/>
    <w:rsid w:val="005878CE"/>
    <w:rsid w:val="00590540"/>
    <w:rsid w:val="0059061E"/>
    <w:rsid w:val="00592792"/>
    <w:rsid w:val="00592B64"/>
    <w:rsid w:val="005946FA"/>
    <w:rsid w:val="0059551B"/>
    <w:rsid w:val="00597BF7"/>
    <w:rsid w:val="005A0033"/>
    <w:rsid w:val="005A122E"/>
    <w:rsid w:val="005A4B08"/>
    <w:rsid w:val="005A4DCB"/>
    <w:rsid w:val="005A5464"/>
    <w:rsid w:val="005A6346"/>
    <w:rsid w:val="005A682D"/>
    <w:rsid w:val="005A6E65"/>
    <w:rsid w:val="005B063F"/>
    <w:rsid w:val="005B0AC5"/>
    <w:rsid w:val="005B15F4"/>
    <w:rsid w:val="005B17BA"/>
    <w:rsid w:val="005B2838"/>
    <w:rsid w:val="005B2D11"/>
    <w:rsid w:val="005B57B8"/>
    <w:rsid w:val="005B5CBD"/>
    <w:rsid w:val="005B7227"/>
    <w:rsid w:val="005B7495"/>
    <w:rsid w:val="005C0455"/>
    <w:rsid w:val="005C16E2"/>
    <w:rsid w:val="005C1AB4"/>
    <w:rsid w:val="005C1E08"/>
    <w:rsid w:val="005C1EF0"/>
    <w:rsid w:val="005C25FE"/>
    <w:rsid w:val="005C5260"/>
    <w:rsid w:val="005C535A"/>
    <w:rsid w:val="005C5BD1"/>
    <w:rsid w:val="005C6610"/>
    <w:rsid w:val="005C73FC"/>
    <w:rsid w:val="005D1675"/>
    <w:rsid w:val="005D23C8"/>
    <w:rsid w:val="005D368C"/>
    <w:rsid w:val="005D5045"/>
    <w:rsid w:val="005E1114"/>
    <w:rsid w:val="005E1B3D"/>
    <w:rsid w:val="005E1F58"/>
    <w:rsid w:val="005E2871"/>
    <w:rsid w:val="005E690D"/>
    <w:rsid w:val="005E6A96"/>
    <w:rsid w:val="005F0722"/>
    <w:rsid w:val="005F0C73"/>
    <w:rsid w:val="005F0EA7"/>
    <w:rsid w:val="005F14C0"/>
    <w:rsid w:val="005F1E2B"/>
    <w:rsid w:val="005F2944"/>
    <w:rsid w:val="005F5E65"/>
    <w:rsid w:val="005F784E"/>
    <w:rsid w:val="006021E3"/>
    <w:rsid w:val="00604232"/>
    <w:rsid w:val="00605990"/>
    <w:rsid w:val="00606817"/>
    <w:rsid w:val="00606D0B"/>
    <w:rsid w:val="006107D3"/>
    <w:rsid w:val="00610B38"/>
    <w:rsid w:val="00612ADD"/>
    <w:rsid w:val="00614D79"/>
    <w:rsid w:val="006163FF"/>
    <w:rsid w:val="00617E49"/>
    <w:rsid w:val="006224BD"/>
    <w:rsid w:val="00622EA1"/>
    <w:rsid w:val="00624C17"/>
    <w:rsid w:val="0062586A"/>
    <w:rsid w:val="0063037C"/>
    <w:rsid w:val="00630AFB"/>
    <w:rsid w:val="006323F4"/>
    <w:rsid w:val="006340BC"/>
    <w:rsid w:val="00635355"/>
    <w:rsid w:val="00635AF9"/>
    <w:rsid w:val="006365AC"/>
    <w:rsid w:val="00644016"/>
    <w:rsid w:val="0064471B"/>
    <w:rsid w:val="00645A75"/>
    <w:rsid w:val="00647642"/>
    <w:rsid w:val="00647C13"/>
    <w:rsid w:val="00650165"/>
    <w:rsid w:val="00650CDD"/>
    <w:rsid w:val="006550F4"/>
    <w:rsid w:val="0065541D"/>
    <w:rsid w:val="00655C58"/>
    <w:rsid w:val="006601EF"/>
    <w:rsid w:val="00662BAB"/>
    <w:rsid w:val="00663C3B"/>
    <w:rsid w:val="0066623A"/>
    <w:rsid w:val="00667E21"/>
    <w:rsid w:val="00670744"/>
    <w:rsid w:val="006714F2"/>
    <w:rsid w:val="006726FE"/>
    <w:rsid w:val="00672723"/>
    <w:rsid w:val="006735D0"/>
    <w:rsid w:val="006749AF"/>
    <w:rsid w:val="0068007B"/>
    <w:rsid w:val="006807AD"/>
    <w:rsid w:val="00681C45"/>
    <w:rsid w:val="0068368F"/>
    <w:rsid w:val="006839DA"/>
    <w:rsid w:val="006928C4"/>
    <w:rsid w:val="00694200"/>
    <w:rsid w:val="0069467B"/>
    <w:rsid w:val="00694DA8"/>
    <w:rsid w:val="00695C49"/>
    <w:rsid w:val="006970B3"/>
    <w:rsid w:val="006974C6"/>
    <w:rsid w:val="00697D20"/>
    <w:rsid w:val="006A13A1"/>
    <w:rsid w:val="006A19A3"/>
    <w:rsid w:val="006A4999"/>
    <w:rsid w:val="006A4F27"/>
    <w:rsid w:val="006B0EA5"/>
    <w:rsid w:val="006B1581"/>
    <w:rsid w:val="006B1B6B"/>
    <w:rsid w:val="006B4637"/>
    <w:rsid w:val="006B4A73"/>
    <w:rsid w:val="006B54B8"/>
    <w:rsid w:val="006B7A69"/>
    <w:rsid w:val="006C07C1"/>
    <w:rsid w:val="006C2155"/>
    <w:rsid w:val="006C26CA"/>
    <w:rsid w:val="006C481E"/>
    <w:rsid w:val="006C5160"/>
    <w:rsid w:val="006C5702"/>
    <w:rsid w:val="006C5854"/>
    <w:rsid w:val="006C5FE3"/>
    <w:rsid w:val="006C770E"/>
    <w:rsid w:val="006D08FB"/>
    <w:rsid w:val="006D1A54"/>
    <w:rsid w:val="006D1D2B"/>
    <w:rsid w:val="006D393B"/>
    <w:rsid w:val="006D4946"/>
    <w:rsid w:val="006D4B13"/>
    <w:rsid w:val="006D4D93"/>
    <w:rsid w:val="006D5548"/>
    <w:rsid w:val="006D56F5"/>
    <w:rsid w:val="006D6351"/>
    <w:rsid w:val="006D725B"/>
    <w:rsid w:val="006E031E"/>
    <w:rsid w:val="006E04E6"/>
    <w:rsid w:val="006E06C5"/>
    <w:rsid w:val="006E1A56"/>
    <w:rsid w:val="006E1C56"/>
    <w:rsid w:val="006E248A"/>
    <w:rsid w:val="006E3077"/>
    <w:rsid w:val="006E34CF"/>
    <w:rsid w:val="006E34D1"/>
    <w:rsid w:val="006E4258"/>
    <w:rsid w:val="006E435F"/>
    <w:rsid w:val="006E50FB"/>
    <w:rsid w:val="006E56C9"/>
    <w:rsid w:val="006F0C10"/>
    <w:rsid w:val="006F27C4"/>
    <w:rsid w:val="006F34FB"/>
    <w:rsid w:val="006F64C5"/>
    <w:rsid w:val="00700F37"/>
    <w:rsid w:val="00700FBA"/>
    <w:rsid w:val="00702DC6"/>
    <w:rsid w:val="00703C26"/>
    <w:rsid w:val="00704875"/>
    <w:rsid w:val="00704ADB"/>
    <w:rsid w:val="00704ED7"/>
    <w:rsid w:val="0070641F"/>
    <w:rsid w:val="007068F5"/>
    <w:rsid w:val="00710EC0"/>
    <w:rsid w:val="00711BC2"/>
    <w:rsid w:val="00712683"/>
    <w:rsid w:val="007127C0"/>
    <w:rsid w:val="00714F1C"/>
    <w:rsid w:val="00716B14"/>
    <w:rsid w:val="00716C7A"/>
    <w:rsid w:val="00716D68"/>
    <w:rsid w:val="00717DDF"/>
    <w:rsid w:val="0072013A"/>
    <w:rsid w:val="00720245"/>
    <w:rsid w:val="00720C6D"/>
    <w:rsid w:val="00725543"/>
    <w:rsid w:val="00725956"/>
    <w:rsid w:val="00727EFA"/>
    <w:rsid w:val="00727FAB"/>
    <w:rsid w:val="007304E7"/>
    <w:rsid w:val="00730685"/>
    <w:rsid w:val="00732295"/>
    <w:rsid w:val="00732AA3"/>
    <w:rsid w:val="00732FBE"/>
    <w:rsid w:val="00733D73"/>
    <w:rsid w:val="0073507B"/>
    <w:rsid w:val="00737084"/>
    <w:rsid w:val="007406F1"/>
    <w:rsid w:val="00740B06"/>
    <w:rsid w:val="00740FDD"/>
    <w:rsid w:val="00742845"/>
    <w:rsid w:val="007428CF"/>
    <w:rsid w:val="00743B7D"/>
    <w:rsid w:val="007448B1"/>
    <w:rsid w:val="007449E0"/>
    <w:rsid w:val="00745EC7"/>
    <w:rsid w:val="00747544"/>
    <w:rsid w:val="007505FB"/>
    <w:rsid w:val="00750B00"/>
    <w:rsid w:val="00750F18"/>
    <w:rsid w:val="007514D4"/>
    <w:rsid w:val="00753258"/>
    <w:rsid w:val="00753622"/>
    <w:rsid w:val="00754589"/>
    <w:rsid w:val="0075469D"/>
    <w:rsid w:val="0075748C"/>
    <w:rsid w:val="0076018D"/>
    <w:rsid w:val="00760DCF"/>
    <w:rsid w:val="00762F58"/>
    <w:rsid w:val="00763187"/>
    <w:rsid w:val="0076405B"/>
    <w:rsid w:val="0076463B"/>
    <w:rsid w:val="0076485F"/>
    <w:rsid w:val="007679D9"/>
    <w:rsid w:val="0077008D"/>
    <w:rsid w:val="00770960"/>
    <w:rsid w:val="0077173B"/>
    <w:rsid w:val="00772192"/>
    <w:rsid w:val="007739B7"/>
    <w:rsid w:val="00774707"/>
    <w:rsid w:val="007748B2"/>
    <w:rsid w:val="0077512F"/>
    <w:rsid w:val="0077763E"/>
    <w:rsid w:val="00777E8B"/>
    <w:rsid w:val="007806A5"/>
    <w:rsid w:val="00780E2A"/>
    <w:rsid w:val="00781C63"/>
    <w:rsid w:val="00782E9A"/>
    <w:rsid w:val="007838A0"/>
    <w:rsid w:val="00784453"/>
    <w:rsid w:val="00787453"/>
    <w:rsid w:val="0079301F"/>
    <w:rsid w:val="0079337F"/>
    <w:rsid w:val="007934C0"/>
    <w:rsid w:val="00794FE1"/>
    <w:rsid w:val="00795472"/>
    <w:rsid w:val="007960CC"/>
    <w:rsid w:val="00797354"/>
    <w:rsid w:val="007974F2"/>
    <w:rsid w:val="007A0FD1"/>
    <w:rsid w:val="007A3D56"/>
    <w:rsid w:val="007A5A86"/>
    <w:rsid w:val="007A6953"/>
    <w:rsid w:val="007B0460"/>
    <w:rsid w:val="007B16C0"/>
    <w:rsid w:val="007B3B14"/>
    <w:rsid w:val="007B51E7"/>
    <w:rsid w:val="007B5D18"/>
    <w:rsid w:val="007B6FA1"/>
    <w:rsid w:val="007C0CD8"/>
    <w:rsid w:val="007C1266"/>
    <w:rsid w:val="007C172E"/>
    <w:rsid w:val="007C18EC"/>
    <w:rsid w:val="007C35D7"/>
    <w:rsid w:val="007C4550"/>
    <w:rsid w:val="007C49E6"/>
    <w:rsid w:val="007D2039"/>
    <w:rsid w:val="007D2FDF"/>
    <w:rsid w:val="007D3067"/>
    <w:rsid w:val="007D34FE"/>
    <w:rsid w:val="007D4F93"/>
    <w:rsid w:val="007D53CC"/>
    <w:rsid w:val="007D6B8F"/>
    <w:rsid w:val="007D714E"/>
    <w:rsid w:val="007D726D"/>
    <w:rsid w:val="007E18B8"/>
    <w:rsid w:val="007E4419"/>
    <w:rsid w:val="007E51A9"/>
    <w:rsid w:val="007E631D"/>
    <w:rsid w:val="007E6BD1"/>
    <w:rsid w:val="007E6E77"/>
    <w:rsid w:val="007E7AC8"/>
    <w:rsid w:val="007F1192"/>
    <w:rsid w:val="007F2BE7"/>
    <w:rsid w:val="007F2C3C"/>
    <w:rsid w:val="007F411A"/>
    <w:rsid w:val="007F6626"/>
    <w:rsid w:val="007F6CFC"/>
    <w:rsid w:val="007F70AC"/>
    <w:rsid w:val="008003F9"/>
    <w:rsid w:val="00803020"/>
    <w:rsid w:val="00803905"/>
    <w:rsid w:val="008060E4"/>
    <w:rsid w:val="008109C4"/>
    <w:rsid w:val="00810B01"/>
    <w:rsid w:val="00811189"/>
    <w:rsid w:val="008137DF"/>
    <w:rsid w:val="00813D2D"/>
    <w:rsid w:val="008143B3"/>
    <w:rsid w:val="00814AC7"/>
    <w:rsid w:val="008169BA"/>
    <w:rsid w:val="00816CB0"/>
    <w:rsid w:val="00821755"/>
    <w:rsid w:val="00822764"/>
    <w:rsid w:val="00822B9F"/>
    <w:rsid w:val="00823ED1"/>
    <w:rsid w:val="008259F4"/>
    <w:rsid w:val="008272C6"/>
    <w:rsid w:val="00827AB9"/>
    <w:rsid w:val="0083050D"/>
    <w:rsid w:val="00830F9A"/>
    <w:rsid w:val="00836595"/>
    <w:rsid w:val="00841410"/>
    <w:rsid w:val="0084395E"/>
    <w:rsid w:val="008440B3"/>
    <w:rsid w:val="00845CC5"/>
    <w:rsid w:val="00846963"/>
    <w:rsid w:val="00846CDC"/>
    <w:rsid w:val="00847518"/>
    <w:rsid w:val="0084767E"/>
    <w:rsid w:val="00847AD7"/>
    <w:rsid w:val="00847DD9"/>
    <w:rsid w:val="00850B61"/>
    <w:rsid w:val="00850C6F"/>
    <w:rsid w:val="00851E0A"/>
    <w:rsid w:val="008525A3"/>
    <w:rsid w:val="00854A4E"/>
    <w:rsid w:val="00854EC4"/>
    <w:rsid w:val="008553DD"/>
    <w:rsid w:val="00855625"/>
    <w:rsid w:val="00856E30"/>
    <w:rsid w:val="00857A44"/>
    <w:rsid w:val="00857BA2"/>
    <w:rsid w:val="008611A7"/>
    <w:rsid w:val="008616D7"/>
    <w:rsid w:val="00861C68"/>
    <w:rsid w:val="00861E86"/>
    <w:rsid w:val="008629BC"/>
    <w:rsid w:val="00862EBA"/>
    <w:rsid w:val="00863168"/>
    <w:rsid w:val="00863B73"/>
    <w:rsid w:val="00863FFF"/>
    <w:rsid w:val="00864B3D"/>
    <w:rsid w:val="00864C8B"/>
    <w:rsid w:val="00864EAA"/>
    <w:rsid w:val="00864F9B"/>
    <w:rsid w:val="00866EFB"/>
    <w:rsid w:val="0086702B"/>
    <w:rsid w:val="00870B84"/>
    <w:rsid w:val="00872AC8"/>
    <w:rsid w:val="00872FD8"/>
    <w:rsid w:val="00873788"/>
    <w:rsid w:val="00874C15"/>
    <w:rsid w:val="00875D63"/>
    <w:rsid w:val="00876E05"/>
    <w:rsid w:val="00881A95"/>
    <w:rsid w:val="00882852"/>
    <w:rsid w:val="00883548"/>
    <w:rsid w:val="00883B7D"/>
    <w:rsid w:val="00885BBB"/>
    <w:rsid w:val="00887601"/>
    <w:rsid w:val="00890E42"/>
    <w:rsid w:val="00890FBF"/>
    <w:rsid w:val="00890FD1"/>
    <w:rsid w:val="00891A4D"/>
    <w:rsid w:val="0089646B"/>
    <w:rsid w:val="008A07A5"/>
    <w:rsid w:val="008A178C"/>
    <w:rsid w:val="008A1BF2"/>
    <w:rsid w:val="008A22B2"/>
    <w:rsid w:val="008A43B2"/>
    <w:rsid w:val="008A482A"/>
    <w:rsid w:val="008A64AB"/>
    <w:rsid w:val="008A6644"/>
    <w:rsid w:val="008A7630"/>
    <w:rsid w:val="008A76F6"/>
    <w:rsid w:val="008B045D"/>
    <w:rsid w:val="008B0A7D"/>
    <w:rsid w:val="008B36C6"/>
    <w:rsid w:val="008B6EAD"/>
    <w:rsid w:val="008B77DC"/>
    <w:rsid w:val="008B7DE9"/>
    <w:rsid w:val="008C0801"/>
    <w:rsid w:val="008C0D2B"/>
    <w:rsid w:val="008C31C2"/>
    <w:rsid w:val="008C47DF"/>
    <w:rsid w:val="008C79BE"/>
    <w:rsid w:val="008D1225"/>
    <w:rsid w:val="008D208B"/>
    <w:rsid w:val="008D26E1"/>
    <w:rsid w:val="008D3B2D"/>
    <w:rsid w:val="008D5A34"/>
    <w:rsid w:val="008D5FC1"/>
    <w:rsid w:val="008D6F31"/>
    <w:rsid w:val="008D7358"/>
    <w:rsid w:val="008D75F9"/>
    <w:rsid w:val="008E1F58"/>
    <w:rsid w:val="008E25BF"/>
    <w:rsid w:val="008E344C"/>
    <w:rsid w:val="008E3681"/>
    <w:rsid w:val="008E452D"/>
    <w:rsid w:val="008E4FBD"/>
    <w:rsid w:val="008F0018"/>
    <w:rsid w:val="008F17FA"/>
    <w:rsid w:val="008F22C0"/>
    <w:rsid w:val="008F6AEC"/>
    <w:rsid w:val="008F6B24"/>
    <w:rsid w:val="00902065"/>
    <w:rsid w:val="00902D07"/>
    <w:rsid w:val="009037A6"/>
    <w:rsid w:val="009045B6"/>
    <w:rsid w:val="00904C04"/>
    <w:rsid w:val="00905022"/>
    <w:rsid w:val="009054B5"/>
    <w:rsid w:val="00905A8B"/>
    <w:rsid w:val="00905CE0"/>
    <w:rsid w:val="0090604E"/>
    <w:rsid w:val="00906BFE"/>
    <w:rsid w:val="00907D85"/>
    <w:rsid w:val="009106D7"/>
    <w:rsid w:val="00911110"/>
    <w:rsid w:val="009113AB"/>
    <w:rsid w:val="00912594"/>
    <w:rsid w:val="00912F48"/>
    <w:rsid w:val="00913C33"/>
    <w:rsid w:val="00914655"/>
    <w:rsid w:val="00914A55"/>
    <w:rsid w:val="009156DA"/>
    <w:rsid w:val="00915B4A"/>
    <w:rsid w:val="0091691C"/>
    <w:rsid w:val="00920447"/>
    <w:rsid w:val="009262FE"/>
    <w:rsid w:val="0092791A"/>
    <w:rsid w:val="00927B2A"/>
    <w:rsid w:val="009309D6"/>
    <w:rsid w:val="00931096"/>
    <w:rsid w:val="00933FDC"/>
    <w:rsid w:val="00936242"/>
    <w:rsid w:val="009369F2"/>
    <w:rsid w:val="00937DA0"/>
    <w:rsid w:val="00940872"/>
    <w:rsid w:val="00940DD2"/>
    <w:rsid w:val="00942A12"/>
    <w:rsid w:val="00943247"/>
    <w:rsid w:val="00943324"/>
    <w:rsid w:val="0095008B"/>
    <w:rsid w:val="00951149"/>
    <w:rsid w:val="0095140F"/>
    <w:rsid w:val="00951903"/>
    <w:rsid w:val="00951C1F"/>
    <w:rsid w:val="00952C0F"/>
    <w:rsid w:val="00952F36"/>
    <w:rsid w:val="00953684"/>
    <w:rsid w:val="0095372C"/>
    <w:rsid w:val="00953A71"/>
    <w:rsid w:val="00956A47"/>
    <w:rsid w:val="00957D06"/>
    <w:rsid w:val="009606B3"/>
    <w:rsid w:val="009611ED"/>
    <w:rsid w:val="00962340"/>
    <w:rsid w:val="009629AE"/>
    <w:rsid w:val="00963A55"/>
    <w:rsid w:val="00965B72"/>
    <w:rsid w:val="00965E0E"/>
    <w:rsid w:val="009674BF"/>
    <w:rsid w:val="0097039E"/>
    <w:rsid w:val="00972BBA"/>
    <w:rsid w:val="009731ED"/>
    <w:rsid w:val="0097480F"/>
    <w:rsid w:val="0097561D"/>
    <w:rsid w:val="00981FCE"/>
    <w:rsid w:val="00982DC3"/>
    <w:rsid w:val="00983038"/>
    <w:rsid w:val="00984A7D"/>
    <w:rsid w:val="00986783"/>
    <w:rsid w:val="00986F30"/>
    <w:rsid w:val="00990642"/>
    <w:rsid w:val="00991191"/>
    <w:rsid w:val="00991EEF"/>
    <w:rsid w:val="00992F51"/>
    <w:rsid w:val="0099383A"/>
    <w:rsid w:val="009940CC"/>
    <w:rsid w:val="0099416D"/>
    <w:rsid w:val="00995E33"/>
    <w:rsid w:val="00995F22"/>
    <w:rsid w:val="00997187"/>
    <w:rsid w:val="009A015D"/>
    <w:rsid w:val="009A1554"/>
    <w:rsid w:val="009A2B46"/>
    <w:rsid w:val="009A2B67"/>
    <w:rsid w:val="009A3330"/>
    <w:rsid w:val="009A3C38"/>
    <w:rsid w:val="009A55AC"/>
    <w:rsid w:val="009A60EB"/>
    <w:rsid w:val="009B18DE"/>
    <w:rsid w:val="009B5DD2"/>
    <w:rsid w:val="009C1A38"/>
    <w:rsid w:val="009C4162"/>
    <w:rsid w:val="009C5D1F"/>
    <w:rsid w:val="009C6090"/>
    <w:rsid w:val="009C62BD"/>
    <w:rsid w:val="009D1612"/>
    <w:rsid w:val="009D1779"/>
    <w:rsid w:val="009D30E3"/>
    <w:rsid w:val="009D3C8C"/>
    <w:rsid w:val="009D3E99"/>
    <w:rsid w:val="009D7F3C"/>
    <w:rsid w:val="009E0083"/>
    <w:rsid w:val="009E05F2"/>
    <w:rsid w:val="009E08DF"/>
    <w:rsid w:val="009E1008"/>
    <w:rsid w:val="009E296D"/>
    <w:rsid w:val="009E34CB"/>
    <w:rsid w:val="009E51B4"/>
    <w:rsid w:val="009E77FF"/>
    <w:rsid w:val="009E7BE4"/>
    <w:rsid w:val="009F1DC0"/>
    <w:rsid w:val="009F1F16"/>
    <w:rsid w:val="009F1F91"/>
    <w:rsid w:val="009F24DF"/>
    <w:rsid w:val="009F33F3"/>
    <w:rsid w:val="009F348E"/>
    <w:rsid w:val="009F4BD4"/>
    <w:rsid w:val="009F5FE0"/>
    <w:rsid w:val="009F6AC7"/>
    <w:rsid w:val="009F6E85"/>
    <w:rsid w:val="009F70E6"/>
    <w:rsid w:val="009F7AA2"/>
    <w:rsid w:val="00A002B3"/>
    <w:rsid w:val="00A02CA3"/>
    <w:rsid w:val="00A02DFF"/>
    <w:rsid w:val="00A0324B"/>
    <w:rsid w:val="00A0380B"/>
    <w:rsid w:val="00A0495B"/>
    <w:rsid w:val="00A07817"/>
    <w:rsid w:val="00A10E6E"/>
    <w:rsid w:val="00A136B9"/>
    <w:rsid w:val="00A13E81"/>
    <w:rsid w:val="00A15FB7"/>
    <w:rsid w:val="00A16CEC"/>
    <w:rsid w:val="00A209D4"/>
    <w:rsid w:val="00A20BCC"/>
    <w:rsid w:val="00A210A8"/>
    <w:rsid w:val="00A223B5"/>
    <w:rsid w:val="00A22C82"/>
    <w:rsid w:val="00A234D9"/>
    <w:rsid w:val="00A23ABA"/>
    <w:rsid w:val="00A249C0"/>
    <w:rsid w:val="00A24DC2"/>
    <w:rsid w:val="00A25668"/>
    <w:rsid w:val="00A25D88"/>
    <w:rsid w:val="00A30A54"/>
    <w:rsid w:val="00A317B0"/>
    <w:rsid w:val="00A344DD"/>
    <w:rsid w:val="00A34CB8"/>
    <w:rsid w:val="00A357AF"/>
    <w:rsid w:val="00A36EE0"/>
    <w:rsid w:val="00A37713"/>
    <w:rsid w:val="00A40786"/>
    <w:rsid w:val="00A40A19"/>
    <w:rsid w:val="00A41CC0"/>
    <w:rsid w:val="00A42954"/>
    <w:rsid w:val="00A42E57"/>
    <w:rsid w:val="00A45E77"/>
    <w:rsid w:val="00A46591"/>
    <w:rsid w:val="00A46972"/>
    <w:rsid w:val="00A472AC"/>
    <w:rsid w:val="00A474A8"/>
    <w:rsid w:val="00A51A36"/>
    <w:rsid w:val="00A51DE6"/>
    <w:rsid w:val="00A5218D"/>
    <w:rsid w:val="00A5285C"/>
    <w:rsid w:val="00A538BD"/>
    <w:rsid w:val="00A54944"/>
    <w:rsid w:val="00A55487"/>
    <w:rsid w:val="00A57E49"/>
    <w:rsid w:val="00A60462"/>
    <w:rsid w:val="00A604B7"/>
    <w:rsid w:val="00A61692"/>
    <w:rsid w:val="00A62279"/>
    <w:rsid w:val="00A623A7"/>
    <w:rsid w:val="00A62A58"/>
    <w:rsid w:val="00A62C0A"/>
    <w:rsid w:val="00A638E7"/>
    <w:rsid w:val="00A66434"/>
    <w:rsid w:val="00A669BC"/>
    <w:rsid w:val="00A67368"/>
    <w:rsid w:val="00A677AD"/>
    <w:rsid w:val="00A70C9B"/>
    <w:rsid w:val="00A73BD1"/>
    <w:rsid w:val="00A753FF"/>
    <w:rsid w:val="00A760E2"/>
    <w:rsid w:val="00A76545"/>
    <w:rsid w:val="00A77107"/>
    <w:rsid w:val="00A77D89"/>
    <w:rsid w:val="00A77ED4"/>
    <w:rsid w:val="00A8153E"/>
    <w:rsid w:val="00A81C9D"/>
    <w:rsid w:val="00A82671"/>
    <w:rsid w:val="00A83005"/>
    <w:rsid w:val="00A83057"/>
    <w:rsid w:val="00A834A1"/>
    <w:rsid w:val="00A835B3"/>
    <w:rsid w:val="00A911B0"/>
    <w:rsid w:val="00A92314"/>
    <w:rsid w:val="00A94C98"/>
    <w:rsid w:val="00A94CB5"/>
    <w:rsid w:val="00A95122"/>
    <w:rsid w:val="00A95798"/>
    <w:rsid w:val="00A95D3C"/>
    <w:rsid w:val="00A95F0D"/>
    <w:rsid w:val="00A96205"/>
    <w:rsid w:val="00A966EF"/>
    <w:rsid w:val="00A9751E"/>
    <w:rsid w:val="00A977B5"/>
    <w:rsid w:val="00AA152F"/>
    <w:rsid w:val="00AA1AFB"/>
    <w:rsid w:val="00AA26E4"/>
    <w:rsid w:val="00AA3C85"/>
    <w:rsid w:val="00AA5F38"/>
    <w:rsid w:val="00AB403F"/>
    <w:rsid w:val="00AB4282"/>
    <w:rsid w:val="00AB45FE"/>
    <w:rsid w:val="00AB491E"/>
    <w:rsid w:val="00AB4A5F"/>
    <w:rsid w:val="00AB624B"/>
    <w:rsid w:val="00AC1A2D"/>
    <w:rsid w:val="00AC20A5"/>
    <w:rsid w:val="00AC2710"/>
    <w:rsid w:val="00AC38EC"/>
    <w:rsid w:val="00AC49E3"/>
    <w:rsid w:val="00AC5926"/>
    <w:rsid w:val="00AC6013"/>
    <w:rsid w:val="00AC77A9"/>
    <w:rsid w:val="00AC798B"/>
    <w:rsid w:val="00AD091A"/>
    <w:rsid w:val="00AD0B8E"/>
    <w:rsid w:val="00AD31CC"/>
    <w:rsid w:val="00AD5434"/>
    <w:rsid w:val="00AD7B96"/>
    <w:rsid w:val="00AE1ADC"/>
    <w:rsid w:val="00AE22C0"/>
    <w:rsid w:val="00AE2CB9"/>
    <w:rsid w:val="00AE3396"/>
    <w:rsid w:val="00AE3AF8"/>
    <w:rsid w:val="00AE4349"/>
    <w:rsid w:val="00AE4A5D"/>
    <w:rsid w:val="00AE59FD"/>
    <w:rsid w:val="00AE6C22"/>
    <w:rsid w:val="00AE75B5"/>
    <w:rsid w:val="00AE7BFA"/>
    <w:rsid w:val="00AF1B11"/>
    <w:rsid w:val="00AF24B6"/>
    <w:rsid w:val="00AF2A60"/>
    <w:rsid w:val="00AF3153"/>
    <w:rsid w:val="00AF3CC0"/>
    <w:rsid w:val="00AF3E9B"/>
    <w:rsid w:val="00AF77DD"/>
    <w:rsid w:val="00AF7F19"/>
    <w:rsid w:val="00B00D7F"/>
    <w:rsid w:val="00B00E63"/>
    <w:rsid w:val="00B00ECB"/>
    <w:rsid w:val="00B014C7"/>
    <w:rsid w:val="00B0223D"/>
    <w:rsid w:val="00B03C68"/>
    <w:rsid w:val="00B042C6"/>
    <w:rsid w:val="00B11447"/>
    <w:rsid w:val="00B121EE"/>
    <w:rsid w:val="00B1301B"/>
    <w:rsid w:val="00B138C0"/>
    <w:rsid w:val="00B13EDD"/>
    <w:rsid w:val="00B15DEB"/>
    <w:rsid w:val="00B16A2D"/>
    <w:rsid w:val="00B16F3A"/>
    <w:rsid w:val="00B20772"/>
    <w:rsid w:val="00B209C2"/>
    <w:rsid w:val="00B2157B"/>
    <w:rsid w:val="00B22217"/>
    <w:rsid w:val="00B2268C"/>
    <w:rsid w:val="00B22705"/>
    <w:rsid w:val="00B22F42"/>
    <w:rsid w:val="00B23493"/>
    <w:rsid w:val="00B23B2F"/>
    <w:rsid w:val="00B25930"/>
    <w:rsid w:val="00B259F0"/>
    <w:rsid w:val="00B26082"/>
    <w:rsid w:val="00B26272"/>
    <w:rsid w:val="00B267FC"/>
    <w:rsid w:val="00B309C4"/>
    <w:rsid w:val="00B30BA8"/>
    <w:rsid w:val="00B30F02"/>
    <w:rsid w:val="00B32190"/>
    <w:rsid w:val="00B324E0"/>
    <w:rsid w:val="00B35DB1"/>
    <w:rsid w:val="00B369A4"/>
    <w:rsid w:val="00B371EF"/>
    <w:rsid w:val="00B40456"/>
    <w:rsid w:val="00B40A00"/>
    <w:rsid w:val="00B40DA2"/>
    <w:rsid w:val="00B4264A"/>
    <w:rsid w:val="00B42666"/>
    <w:rsid w:val="00B42EF6"/>
    <w:rsid w:val="00B44465"/>
    <w:rsid w:val="00B44FFB"/>
    <w:rsid w:val="00B4638A"/>
    <w:rsid w:val="00B46F5A"/>
    <w:rsid w:val="00B506FA"/>
    <w:rsid w:val="00B506FC"/>
    <w:rsid w:val="00B51438"/>
    <w:rsid w:val="00B548BC"/>
    <w:rsid w:val="00B548E6"/>
    <w:rsid w:val="00B54AF8"/>
    <w:rsid w:val="00B551A0"/>
    <w:rsid w:val="00B55B36"/>
    <w:rsid w:val="00B57B2B"/>
    <w:rsid w:val="00B62B41"/>
    <w:rsid w:val="00B642EC"/>
    <w:rsid w:val="00B64466"/>
    <w:rsid w:val="00B64C27"/>
    <w:rsid w:val="00B64E9B"/>
    <w:rsid w:val="00B66013"/>
    <w:rsid w:val="00B66F57"/>
    <w:rsid w:val="00B7283F"/>
    <w:rsid w:val="00B73E2F"/>
    <w:rsid w:val="00B73E3D"/>
    <w:rsid w:val="00B74738"/>
    <w:rsid w:val="00B75AFA"/>
    <w:rsid w:val="00B75F86"/>
    <w:rsid w:val="00B76204"/>
    <w:rsid w:val="00B767D6"/>
    <w:rsid w:val="00B778F1"/>
    <w:rsid w:val="00B83BDA"/>
    <w:rsid w:val="00B84135"/>
    <w:rsid w:val="00B85B52"/>
    <w:rsid w:val="00B85CB7"/>
    <w:rsid w:val="00B87E0B"/>
    <w:rsid w:val="00B90180"/>
    <w:rsid w:val="00B911A7"/>
    <w:rsid w:val="00B92BD8"/>
    <w:rsid w:val="00B934EB"/>
    <w:rsid w:val="00B93835"/>
    <w:rsid w:val="00B94A26"/>
    <w:rsid w:val="00B950F0"/>
    <w:rsid w:val="00B96A74"/>
    <w:rsid w:val="00B96B6E"/>
    <w:rsid w:val="00B970FE"/>
    <w:rsid w:val="00BA11BB"/>
    <w:rsid w:val="00BA1801"/>
    <w:rsid w:val="00BA29BA"/>
    <w:rsid w:val="00BA29FC"/>
    <w:rsid w:val="00BA6D79"/>
    <w:rsid w:val="00BB1107"/>
    <w:rsid w:val="00BB2289"/>
    <w:rsid w:val="00BB285E"/>
    <w:rsid w:val="00BB3B18"/>
    <w:rsid w:val="00BB5DE1"/>
    <w:rsid w:val="00BB71CF"/>
    <w:rsid w:val="00BC2EE8"/>
    <w:rsid w:val="00BC38A6"/>
    <w:rsid w:val="00BC3A40"/>
    <w:rsid w:val="00BC3EA1"/>
    <w:rsid w:val="00BC3F9F"/>
    <w:rsid w:val="00BC421E"/>
    <w:rsid w:val="00BD1069"/>
    <w:rsid w:val="00BD10D5"/>
    <w:rsid w:val="00BD34CD"/>
    <w:rsid w:val="00BD5553"/>
    <w:rsid w:val="00BD614E"/>
    <w:rsid w:val="00BE02D8"/>
    <w:rsid w:val="00BE0664"/>
    <w:rsid w:val="00BE1992"/>
    <w:rsid w:val="00BE264B"/>
    <w:rsid w:val="00BE31E6"/>
    <w:rsid w:val="00BE4DF7"/>
    <w:rsid w:val="00BE5A54"/>
    <w:rsid w:val="00BE5EE0"/>
    <w:rsid w:val="00BE615B"/>
    <w:rsid w:val="00BF1C9D"/>
    <w:rsid w:val="00BF224D"/>
    <w:rsid w:val="00BF4032"/>
    <w:rsid w:val="00BF4300"/>
    <w:rsid w:val="00C0011A"/>
    <w:rsid w:val="00C00B2D"/>
    <w:rsid w:val="00C023A3"/>
    <w:rsid w:val="00C0252B"/>
    <w:rsid w:val="00C03863"/>
    <w:rsid w:val="00C055B4"/>
    <w:rsid w:val="00C0572D"/>
    <w:rsid w:val="00C07276"/>
    <w:rsid w:val="00C13385"/>
    <w:rsid w:val="00C16F18"/>
    <w:rsid w:val="00C1772A"/>
    <w:rsid w:val="00C209DE"/>
    <w:rsid w:val="00C20EF2"/>
    <w:rsid w:val="00C21691"/>
    <w:rsid w:val="00C22512"/>
    <w:rsid w:val="00C2456A"/>
    <w:rsid w:val="00C24F8A"/>
    <w:rsid w:val="00C26189"/>
    <w:rsid w:val="00C276F2"/>
    <w:rsid w:val="00C30208"/>
    <w:rsid w:val="00C311BE"/>
    <w:rsid w:val="00C31BFB"/>
    <w:rsid w:val="00C3501F"/>
    <w:rsid w:val="00C35045"/>
    <w:rsid w:val="00C356D2"/>
    <w:rsid w:val="00C37901"/>
    <w:rsid w:val="00C37A04"/>
    <w:rsid w:val="00C40CA8"/>
    <w:rsid w:val="00C44748"/>
    <w:rsid w:val="00C45515"/>
    <w:rsid w:val="00C50C39"/>
    <w:rsid w:val="00C52A37"/>
    <w:rsid w:val="00C551C6"/>
    <w:rsid w:val="00C56D97"/>
    <w:rsid w:val="00C56EB6"/>
    <w:rsid w:val="00C6334A"/>
    <w:rsid w:val="00C63CF7"/>
    <w:rsid w:val="00C6436F"/>
    <w:rsid w:val="00C64391"/>
    <w:rsid w:val="00C660EA"/>
    <w:rsid w:val="00C703FD"/>
    <w:rsid w:val="00C7053D"/>
    <w:rsid w:val="00C71340"/>
    <w:rsid w:val="00C72C7C"/>
    <w:rsid w:val="00C72C8C"/>
    <w:rsid w:val="00C733F1"/>
    <w:rsid w:val="00C743FB"/>
    <w:rsid w:val="00C74E68"/>
    <w:rsid w:val="00C76A95"/>
    <w:rsid w:val="00C76EF2"/>
    <w:rsid w:val="00C8065F"/>
    <w:rsid w:val="00C809B9"/>
    <w:rsid w:val="00C83538"/>
    <w:rsid w:val="00C836AE"/>
    <w:rsid w:val="00C8569A"/>
    <w:rsid w:val="00C85A19"/>
    <w:rsid w:val="00C85CA7"/>
    <w:rsid w:val="00C870E7"/>
    <w:rsid w:val="00C873F2"/>
    <w:rsid w:val="00C91C73"/>
    <w:rsid w:val="00C92589"/>
    <w:rsid w:val="00C92BFB"/>
    <w:rsid w:val="00C93066"/>
    <w:rsid w:val="00C940CD"/>
    <w:rsid w:val="00C9416F"/>
    <w:rsid w:val="00C968AD"/>
    <w:rsid w:val="00C96C3D"/>
    <w:rsid w:val="00C96D4C"/>
    <w:rsid w:val="00C97808"/>
    <w:rsid w:val="00C97B6F"/>
    <w:rsid w:val="00C97DEA"/>
    <w:rsid w:val="00CA025B"/>
    <w:rsid w:val="00CA120A"/>
    <w:rsid w:val="00CA1591"/>
    <w:rsid w:val="00CA16CF"/>
    <w:rsid w:val="00CA1EFC"/>
    <w:rsid w:val="00CA1F65"/>
    <w:rsid w:val="00CA2446"/>
    <w:rsid w:val="00CA34E1"/>
    <w:rsid w:val="00CA3A34"/>
    <w:rsid w:val="00CA3AB9"/>
    <w:rsid w:val="00CA4B2C"/>
    <w:rsid w:val="00CA5048"/>
    <w:rsid w:val="00CA51D4"/>
    <w:rsid w:val="00CA5A1A"/>
    <w:rsid w:val="00CA6D64"/>
    <w:rsid w:val="00CA71B7"/>
    <w:rsid w:val="00CA7B2A"/>
    <w:rsid w:val="00CA7BF7"/>
    <w:rsid w:val="00CB2055"/>
    <w:rsid w:val="00CB3C91"/>
    <w:rsid w:val="00CB4938"/>
    <w:rsid w:val="00CB6504"/>
    <w:rsid w:val="00CB6C8C"/>
    <w:rsid w:val="00CB6DFF"/>
    <w:rsid w:val="00CC1107"/>
    <w:rsid w:val="00CC15BB"/>
    <w:rsid w:val="00CC1C56"/>
    <w:rsid w:val="00CC1CC3"/>
    <w:rsid w:val="00CC2626"/>
    <w:rsid w:val="00CC28B4"/>
    <w:rsid w:val="00CC37BE"/>
    <w:rsid w:val="00CC38AA"/>
    <w:rsid w:val="00CC5405"/>
    <w:rsid w:val="00CC59F9"/>
    <w:rsid w:val="00CD0B46"/>
    <w:rsid w:val="00CD0DB8"/>
    <w:rsid w:val="00CD23A2"/>
    <w:rsid w:val="00CD2A41"/>
    <w:rsid w:val="00CD37E1"/>
    <w:rsid w:val="00CD3917"/>
    <w:rsid w:val="00CD558B"/>
    <w:rsid w:val="00CD5E64"/>
    <w:rsid w:val="00CE028E"/>
    <w:rsid w:val="00CE1220"/>
    <w:rsid w:val="00CE1B76"/>
    <w:rsid w:val="00CE1DF4"/>
    <w:rsid w:val="00CE3F1D"/>
    <w:rsid w:val="00CE3F64"/>
    <w:rsid w:val="00CE4142"/>
    <w:rsid w:val="00CE5CA5"/>
    <w:rsid w:val="00CE6518"/>
    <w:rsid w:val="00CE7310"/>
    <w:rsid w:val="00CE7DE9"/>
    <w:rsid w:val="00CF498A"/>
    <w:rsid w:val="00CF51AD"/>
    <w:rsid w:val="00CF56CD"/>
    <w:rsid w:val="00CF64DF"/>
    <w:rsid w:val="00CF6AC2"/>
    <w:rsid w:val="00CF6EC3"/>
    <w:rsid w:val="00D0067A"/>
    <w:rsid w:val="00D01360"/>
    <w:rsid w:val="00D0140F"/>
    <w:rsid w:val="00D01A39"/>
    <w:rsid w:val="00D01B38"/>
    <w:rsid w:val="00D02617"/>
    <w:rsid w:val="00D047BA"/>
    <w:rsid w:val="00D05767"/>
    <w:rsid w:val="00D06E62"/>
    <w:rsid w:val="00D10653"/>
    <w:rsid w:val="00D1073B"/>
    <w:rsid w:val="00D10D6E"/>
    <w:rsid w:val="00D11309"/>
    <w:rsid w:val="00D128D6"/>
    <w:rsid w:val="00D129C7"/>
    <w:rsid w:val="00D14293"/>
    <w:rsid w:val="00D15BA0"/>
    <w:rsid w:val="00D1733C"/>
    <w:rsid w:val="00D20060"/>
    <w:rsid w:val="00D21AC0"/>
    <w:rsid w:val="00D2394E"/>
    <w:rsid w:val="00D243F6"/>
    <w:rsid w:val="00D2450F"/>
    <w:rsid w:val="00D25FAF"/>
    <w:rsid w:val="00D26BD8"/>
    <w:rsid w:val="00D30AE0"/>
    <w:rsid w:val="00D30B86"/>
    <w:rsid w:val="00D31AE1"/>
    <w:rsid w:val="00D34719"/>
    <w:rsid w:val="00D3764E"/>
    <w:rsid w:val="00D37B50"/>
    <w:rsid w:val="00D37D02"/>
    <w:rsid w:val="00D40A0F"/>
    <w:rsid w:val="00D418F6"/>
    <w:rsid w:val="00D41D8E"/>
    <w:rsid w:val="00D4219D"/>
    <w:rsid w:val="00D42449"/>
    <w:rsid w:val="00D44256"/>
    <w:rsid w:val="00D44FDC"/>
    <w:rsid w:val="00D45408"/>
    <w:rsid w:val="00D456EE"/>
    <w:rsid w:val="00D46BAA"/>
    <w:rsid w:val="00D472B1"/>
    <w:rsid w:val="00D476EB"/>
    <w:rsid w:val="00D51BAF"/>
    <w:rsid w:val="00D5239C"/>
    <w:rsid w:val="00D52E45"/>
    <w:rsid w:val="00D5333D"/>
    <w:rsid w:val="00D53C38"/>
    <w:rsid w:val="00D54CA8"/>
    <w:rsid w:val="00D569E2"/>
    <w:rsid w:val="00D57615"/>
    <w:rsid w:val="00D61BF1"/>
    <w:rsid w:val="00D61C35"/>
    <w:rsid w:val="00D6228E"/>
    <w:rsid w:val="00D639CE"/>
    <w:rsid w:val="00D6458B"/>
    <w:rsid w:val="00D65156"/>
    <w:rsid w:val="00D6526A"/>
    <w:rsid w:val="00D66242"/>
    <w:rsid w:val="00D71BC7"/>
    <w:rsid w:val="00D71D82"/>
    <w:rsid w:val="00D740E8"/>
    <w:rsid w:val="00D74DBB"/>
    <w:rsid w:val="00D756E2"/>
    <w:rsid w:val="00D760FB"/>
    <w:rsid w:val="00D76114"/>
    <w:rsid w:val="00D76BE7"/>
    <w:rsid w:val="00D77F87"/>
    <w:rsid w:val="00D80ED0"/>
    <w:rsid w:val="00D82255"/>
    <w:rsid w:val="00D825FB"/>
    <w:rsid w:val="00D857DC"/>
    <w:rsid w:val="00D859FE"/>
    <w:rsid w:val="00D85CC5"/>
    <w:rsid w:val="00D86C29"/>
    <w:rsid w:val="00D876EA"/>
    <w:rsid w:val="00D9285B"/>
    <w:rsid w:val="00D928EB"/>
    <w:rsid w:val="00D932AA"/>
    <w:rsid w:val="00D96600"/>
    <w:rsid w:val="00D9779A"/>
    <w:rsid w:val="00D97A92"/>
    <w:rsid w:val="00D97C85"/>
    <w:rsid w:val="00DA048E"/>
    <w:rsid w:val="00DA0F46"/>
    <w:rsid w:val="00DA0F84"/>
    <w:rsid w:val="00DA1C17"/>
    <w:rsid w:val="00DA2D94"/>
    <w:rsid w:val="00DA2FBB"/>
    <w:rsid w:val="00DA4A04"/>
    <w:rsid w:val="00DA571F"/>
    <w:rsid w:val="00DA6414"/>
    <w:rsid w:val="00DA65A6"/>
    <w:rsid w:val="00DA679D"/>
    <w:rsid w:val="00DB0D8D"/>
    <w:rsid w:val="00DB10E8"/>
    <w:rsid w:val="00DB1398"/>
    <w:rsid w:val="00DB34EC"/>
    <w:rsid w:val="00DB3881"/>
    <w:rsid w:val="00DB475C"/>
    <w:rsid w:val="00DB480F"/>
    <w:rsid w:val="00DB67C0"/>
    <w:rsid w:val="00DC07DA"/>
    <w:rsid w:val="00DC0F7C"/>
    <w:rsid w:val="00DC1308"/>
    <w:rsid w:val="00DC15B2"/>
    <w:rsid w:val="00DC2789"/>
    <w:rsid w:val="00DC42B7"/>
    <w:rsid w:val="00DC688E"/>
    <w:rsid w:val="00DD096D"/>
    <w:rsid w:val="00DD2873"/>
    <w:rsid w:val="00DD2F56"/>
    <w:rsid w:val="00DD5F20"/>
    <w:rsid w:val="00DD5FBD"/>
    <w:rsid w:val="00DD6810"/>
    <w:rsid w:val="00DE219D"/>
    <w:rsid w:val="00DE22F8"/>
    <w:rsid w:val="00DE4FD3"/>
    <w:rsid w:val="00DE5EAB"/>
    <w:rsid w:val="00DE5FA4"/>
    <w:rsid w:val="00DE66F8"/>
    <w:rsid w:val="00DE6804"/>
    <w:rsid w:val="00DE6854"/>
    <w:rsid w:val="00DE73E1"/>
    <w:rsid w:val="00DF0CED"/>
    <w:rsid w:val="00DF24E8"/>
    <w:rsid w:val="00DF330E"/>
    <w:rsid w:val="00DF3B33"/>
    <w:rsid w:val="00DF49DE"/>
    <w:rsid w:val="00DF5984"/>
    <w:rsid w:val="00DF7229"/>
    <w:rsid w:val="00DF79EC"/>
    <w:rsid w:val="00E00259"/>
    <w:rsid w:val="00E00C0A"/>
    <w:rsid w:val="00E00E2F"/>
    <w:rsid w:val="00E0123F"/>
    <w:rsid w:val="00E0164A"/>
    <w:rsid w:val="00E02556"/>
    <w:rsid w:val="00E03041"/>
    <w:rsid w:val="00E05FEC"/>
    <w:rsid w:val="00E073A9"/>
    <w:rsid w:val="00E12903"/>
    <w:rsid w:val="00E135AD"/>
    <w:rsid w:val="00E14EB4"/>
    <w:rsid w:val="00E15646"/>
    <w:rsid w:val="00E2227D"/>
    <w:rsid w:val="00E2245C"/>
    <w:rsid w:val="00E234D4"/>
    <w:rsid w:val="00E246FF"/>
    <w:rsid w:val="00E247D9"/>
    <w:rsid w:val="00E24E4E"/>
    <w:rsid w:val="00E26F96"/>
    <w:rsid w:val="00E31966"/>
    <w:rsid w:val="00E31F57"/>
    <w:rsid w:val="00E32C6B"/>
    <w:rsid w:val="00E331D5"/>
    <w:rsid w:val="00E336E2"/>
    <w:rsid w:val="00E361D1"/>
    <w:rsid w:val="00E41CC0"/>
    <w:rsid w:val="00E41FAC"/>
    <w:rsid w:val="00E430AC"/>
    <w:rsid w:val="00E432BC"/>
    <w:rsid w:val="00E45F8A"/>
    <w:rsid w:val="00E50CE8"/>
    <w:rsid w:val="00E51CF9"/>
    <w:rsid w:val="00E51F69"/>
    <w:rsid w:val="00E526FC"/>
    <w:rsid w:val="00E531A1"/>
    <w:rsid w:val="00E5532C"/>
    <w:rsid w:val="00E561AD"/>
    <w:rsid w:val="00E566EC"/>
    <w:rsid w:val="00E628DA"/>
    <w:rsid w:val="00E633EB"/>
    <w:rsid w:val="00E648C2"/>
    <w:rsid w:val="00E64C66"/>
    <w:rsid w:val="00E66180"/>
    <w:rsid w:val="00E669CD"/>
    <w:rsid w:val="00E66E61"/>
    <w:rsid w:val="00E677EF"/>
    <w:rsid w:val="00E704D2"/>
    <w:rsid w:val="00E719C9"/>
    <w:rsid w:val="00E734D3"/>
    <w:rsid w:val="00E73577"/>
    <w:rsid w:val="00E76A49"/>
    <w:rsid w:val="00E77729"/>
    <w:rsid w:val="00E80AB7"/>
    <w:rsid w:val="00E825C0"/>
    <w:rsid w:val="00E82F68"/>
    <w:rsid w:val="00E83D66"/>
    <w:rsid w:val="00E84764"/>
    <w:rsid w:val="00E865FE"/>
    <w:rsid w:val="00E91131"/>
    <w:rsid w:val="00E9241E"/>
    <w:rsid w:val="00E9511A"/>
    <w:rsid w:val="00E95D37"/>
    <w:rsid w:val="00E965D0"/>
    <w:rsid w:val="00E96935"/>
    <w:rsid w:val="00E97644"/>
    <w:rsid w:val="00E97817"/>
    <w:rsid w:val="00E9784D"/>
    <w:rsid w:val="00E978B4"/>
    <w:rsid w:val="00EA0638"/>
    <w:rsid w:val="00EA064A"/>
    <w:rsid w:val="00EA32DE"/>
    <w:rsid w:val="00EA3F2B"/>
    <w:rsid w:val="00EA4FC5"/>
    <w:rsid w:val="00EB0F3C"/>
    <w:rsid w:val="00EB1151"/>
    <w:rsid w:val="00EB2815"/>
    <w:rsid w:val="00EB30CD"/>
    <w:rsid w:val="00EB34F3"/>
    <w:rsid w:val="00EB354F"/>
    <w:rsid w:val="00EB41DC"/>
    <w:rsid w:val="00EB75D9"/>
    <w:rsid w:val="00EB7F7C"/>
    <w:rsid w:val="00EC17E7"/>
    <w:rsid w:val="00EC2071"/>
    <w:rsid w:val="00EC25E7"/>
    <w:rsid w:val="00EC52B4"/>
    <w:rsid w:val="00EC579E"/>
    <w:rsid w:val="00EC5B6D"/>
    <w:rsid w:val="00EC6FAA"/>
    <w:rsid w:val="00EC75D1"/>
    <w:rsid w:val="00ED10B8"/>
    <w:rsid w:val="00ED11F0"/>
    <w:rsid w:val="00ED2825"/>
    <w:rsid w:val="00ED28FC"/>
    <w:rsid w:val="00ED370E"/>
    <w:rsid w:val="00ED6999"/>
    <w:rsid w:val="00EE515B"/>
    <w:rsid w:val="00EE61D7"/>
    <w:rsid w:val="00EE6A4A"/>
    <w:rsid w:val="00EF021D"/>
    <w:rsid w:val="00EF0949"/>
    <w:rsid w:val="00EF21FE"/>
    <w:rsid w:val="00EF49A4"/>
    <w:rsid w:val="00EF4F3E"/>
    <w:rsid w:val="00EF570E"/>
    <w:rsid w:val="00EF57DD"/>
    <w:rsid w:val="00EF5807"/>
    <w:rsid w:val="00EF7BD9"/>
    <w:rsid w:val="00F003A3"/>
    <w:rsid w:val="00F01F2A"/>
    <w:rsid w:val="00F02DAA"/>
    <w:rsid w:val="00F0568C"/>
    <w:rsid w:val="00F0751C"/>
    <w:rsid w:val="00F10435"/>
    <w:rsid w:val="00F120E3"/>
    <w:rsid w:val="00F121CF"/>
    <w:rsid w:val="00F125B6"/>
    <w:rsid w:val="00F1422F"/>
    <w:rsid w:val="00F14736"/>
    <w:rsid w:val="00F161F8"/>
    <w:rsid w:val="00F167AD"/>
    <w:rsid w:val="00F16DC6"/>
    <w:rsid w:val="00F20801"/>
    <w:rsid w:val="00F20889"/>
    <w:rsid w:val="00F21548"/>
    <w:rsid w:val="00F22816"/>
    <w:rsid w:val="00F229B1"/>
    <w:rsid w:val="00F23A77"/>
    <w:rsid w:val="00F23D59"/>
    <w:rsid w:val="00F24EFA"/>
    <w:rsid w:val="00F277FD"/>
    <w:rsid w:val="00F27F19"/>
    <w:rsid w:val="00F36FAF"/>
    <w:rsid w:val="00F40767"/>
    <w:rsid w:val="00F41AD9"/>
    <w:rsid w:val="00F41EDE"/>
    <w:rsid w:val="00F424E4"/>
    <w:rsid w:val="00F43007"/>
    <w:rsid w:val="00F4391C"/>
    <w:rsid w:val="00F43D98"/>
    <w:rsid w:val="00F463B5"/>
    <w:rsid w:val="00F50524"/>
    <w:rsid w:val="00F51D03"/>
    <w:rsid w:val="00F54020"/>
    <w:rsid w:val="00F5404C"/>
    <w:rsid w:val="00F555DA"/>
    <w:rsid w:val="00F575B4"/>
    <w:rsid w:val="00F57684"/>
    <w:rsid w:val="00F607CE"/>
    <w:rsid w:val="00F607F5"/>
    <w:rsid w:val="00F60ABF"/>
    <w:rsid w:val="00F60F16"/>
    <w:rsid w:val="00F62480"/>
    <w:rsid w:val="00F6326C"/>
    <w:rsid w:val="00F6413D"/>
    <w:rsid w:val="00F7100D"/>
    <w:rsid w:val="00F712A3"/>
    <w:rsid w:val="00F71EB0"/>
    <w:rsid w:val="00F72C6D"/>
    <w:rsid w:val="00F73D87"/>
    <w:rsid w:val="00F75199"/>
    <w:rsid w:val="00F76516"/>
    <w:rsid w:val="00F776A7"/>
    <w:rsid w:val="00F805F4"/>
    <w:rsid w:val="00F8168A"/>
    <w:rsid w:val="00F819DE"/>
    <w:rsid w:val="00F82D47"/>
    <w:rsid w:val="00F84838"/>
    <w:rsid w:val="00F8546F"/>
    <w:rsid w:val="00F858F3"/>
    <w:rsid w:val="00F868A6"/>
    <w:rsid w:val="00F96C67"/>
    <w:rsid w:val="00F97E7D"/>
    <w:rsid w:val="00FA0C79"/>
    <w:rsid w:val="00FA29AC"/>
    <w:rsid w:val="00FA4083"/>
    <w:rsid w:val="00FA6701"/>
    <w:rsid w:val="00FB0ACF"/>
    <w:rsid w:val="00FB1DB5"/>
    <w:rsid w:val="00FB29B1"/>
    <w:rsid w:val="00FB4178"/>
    <w:rsid w:val="00FB5DC3"/>
    <w:rsid w:val="00FB62C5"/>
    <w:rsid w:val="00FC186D"/>
    <w:rsid w:val="00FC1B4B"/>
    <w:rsid w:val="00FC3B50"/>
    <w:rsid w:val="00FC5169"/>
    <w:rsid w:val="00FC5A35"/>
    <w:rsid w:val="00FC6713"/>
    <w:rsid w:val="00FC68B9"/>
    <w:rsid w:val="00FC6CC2"/>
    <w:rsid w:val="00FC73FC"/>
    <w:rsid w:val="00FC7BC5"/>
    <w:rsid w:val="00FC7F5B"/>
    <w:rsid w:val="00FD1660"/>
    <w:rsid w:val="00FD2A6E"/>
    <w:rsid w:val="00FD3BF8"/>
    <w:rsid w:val="00FD4CC9"/>
    <w:rsid w:val="00FD5EEA"/>
    <w:rsid w:val="00FD66FE"/>
    <w:rsid w:val="00FD6FEE"/>
    <w:rsid w:val="00FE0C26"/>
    <w:rsid w:val="00FE1D1C"/>
    <w:rsid w:val="00FE1F4E"/>
    <w:rsid w:val="00FE2009"/>
    <w:rsid w:val="00FE382E"/>
    <w:rsid w:val="00FE38F3"/>
    <w:rsid w:val="00FE3EA8"/>
    <w:rsid w:val="00FE4972"/>
    <w:rsid w:val="00FE59A7"/>
    <w:rsid w:val="00FE6702"/>
    <w:rsid w:val="00FE6D57"/>
    <w:rsid w:val="00FF1173"/>
    <w:rsid w:val="00FF1F05"/>
    <w:rsid w:val="00FF2847"/>
    <w:rsid w:val="00FF28BB"/>
    <w:rsid w:val="00FF41DC"/>
    <w:rsid w:val="00FF43DC"/>
    <w:rsid w:val="00FF4C82"/>
    <w:rsid w:val="00FF59FC"/>
    <w:rsid w:val="00FF5EC2"/>
    <w:rsid w:val="00FF5F1A"/>
    <w:rsid w:val="00FF6D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054E"/>
    <w:pPr>
      <w:suppressAutoHyphens/>
    </w:pPr>
    <w:rPr>
      <w:sz w:val="24"/>
      <w:lang w:val="fr-FR" w:eastAsia="fr-FR"/>
    </w:rPr>
  </w:style>
  <w:style w:type="paragraph" w:styleId="Heading1">
    <w:name w:val="heading 1"/>
    <w:basedOn w:val="Normal"/>
    <w:next w:val="Normal"/>
    <w:qFormat/>
    <w:rsid w:val="0022054E"/>
    <w:pPr>
      <w:keepNext/>
      <w:spacing w:before="360" w:after="240"/>
      <w:jc w:val="center"/>
      <w:outlineLvl w:val="0"/>
    </w:pPr>
    <w:rPr>
      <w:b/>
      <w:sz w:val="28"/>
    </w:rPr>
  </w:style>
  <w:style w:type="paragraph" w:styleId="Heading2">
    <w:name w:val="heading 2"/>
    <w:basedOn w:val="Normal"/>
    <w:next w:val="Normal"/>
    <w:qFormat/>
    <w:rsid w:val="0022054E"/>
    <w:pPr>
      <w:keepNext/>
      <w:spacing w:before="240" w:after="120"/>
      <w:ind w:left="284" w:hanging="284"/>
      <w:outlineLvl w:val="1"/>
    </w:pPr>
    <w:rPr>
      <w:b/>
    </w:rPr>
  </w:style>
  <w:style w:type="paragraph" w:styleId="Heading3">
    <w:name w:val="heading 3"/>
    <w:basedOn w:val="Normal"/>
    <w:next w:val="Normal"/>
    <w:qFormat/>
    <w:rsid w:val="0022054E"/>
    <w:pPr>
      <w:keepNext/>
      <w:spacing w:before="120" w:after="60"/>
      <w:ind w:left="1418" w:hanging="851"/>
      <w:outlineLvl w:val="2"/>
    </w:pPr>
    <w:rPr>
      <w:i/>
    </w:rPr>
  </w:style>
  <w:style w:type="character" w:default="1" w:styleId="DefaultParagraphFont">
    <w:name w:val="Default Paragraph Font"/>
    <w:semiHidden/>
    <w:rsid w:val="0022054E"/>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2054E"/>
  </w:style>
  <w:style w:type="paragraph" w:customStyle="1" w:styleId="JuPara">
    <w:name w:val="Ju_Para"/>
    <w:aliases w:val="Left,First line:  0 cm"/>
    <w:basedOn w:val="Normal"/>
    <w:link w:val="JuParaChar"/>
    <w:rsid w:val="0022054E"/>
    <w:pPr>
      <w:ind w:firstLine="284"/>
      <w:jc w:val="both"/>
    </w:pPr>
  </w:style>
  <w:style w:type="paragraph" w:customStyle="1" w:styleId="JuCase">
    <w:name w:val="Ju_Case"/>
    <w:basedOn w:val="JuPara"/>
    <w:next w:val="JuPara"/>
    <w:rsid w:val="0022054E"/>
    <w:rPr>
      <w:b/>
    </w:rPr>
  </w:style>
  <w:style w:type="paragraph" w:customStyle="1" w:styleId="JuJudges">
    <w:name w:val="Ju_Judges"/>
    <w:basedOn w:val="Normal"/>
    <w:rsid w:val="0022054E"/>
    <w:pPr>
      <w:tabs>
        <w:tab w:val="left" w:pos="567"/>
        <w:tab w:val="left" w:pos="1134"/>
      </w:tabs>
    </w:pPr>
  </w:style>
  <w:style w:type="paragraph" w:customStyle="1" w:styleId="JuCourt">
    <w:name w:val="Ju_Court"/>
    <w:basedOn w:val="JuJudges"/>
    <w:rsid w:val="0022054E"/>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
    <w:next w:val="JuPara"/>
    <w:rsid w:val="0022054E"/>
    <w:pPr>
      <w:keepNext/>
      <w:keepLines/>
      <w:spacing w:before="720" w:after="240"/>
      <w:jc w:val="both"/>
    </w:pPr>
    <w:rPr>
      <w:sz w:val="28"/>
    </w:rPr>
  </w:style>
  <w:style w:type="paragraph" w:customStyle="1" w:styleId="JuHIRoman">
    <w:name w:val="Ju_H_I_Roman"/>
    <w:basedOn w:val="JuHHead"/>
    <w:next w:val="JuPara"/>
    <w:rsid w:val="0022054E"/>
    <w:pPr>
      <w:tabs>
        <w:tab w:val="left" w:pos="357"/>
      </w:tabs>
      <w:spacing w:before="360"/>
      <w:ind w:left="357" w:hanging="357"/>
    </w:pPr>
    <w:rPr>
      <w:sz w:val="24"/>
    </w:rPr>
  </w:style>
  <w:style w:type="paragraph" w:customStyle="1" w:styleId="JuHA">
    <w:name w:val="Ju_H_A"/>
    <w:basedOn w:val="JuHIRoman"/>
    <w:next w:val="JuPara"/>
    <w:rsid w:val="0022054E"/>
    <w:pPr>
      <w:tabs>
        <w:tab w:val="clear" w:pos="357"/>
        <w:tab w:val="left" w:pos="584"/>
      </w:tabs>
      <w:ind w:left="584" w:hanging="352"/>
    </w:pPr>
    <w:rPr>
      <w:b/>
    </w:rPr>
  </w:style>
  <w:style w:type="paragraph" w:customStyle="1" w:styleId="JuHa0">
    <w:name w:val="Ju_H_a"/>
    <w:basedOn w:val="JuH1"/>
    <w:next w:val="JuPara"/>
    <w:rsid w:val="0022054E"/>
    <w:pPr>
      <w:tabs>
        <w:tab w:val="clear" w:pos="731"/>
        <w:tab w:val="left" w:pos="975"/>
      </w:tabs>
      <w:ind w:left="975" w:hanging="340"/>
    </w:pPr>
    <w:rPr>
      <w:b/>
      <w:i w:val="0"/>
      <w:sz w:val="20"/>
    </w:rPr>
  </w:style>
  <w:style w:type="paragraph" w:customStyle="1" w:styleId="JuH1">
    <w:name w:val="Ju_H_1."/>
    <w:basedOn w:val="JuHA"/>
    <w:next w:val="JuPara"/>
    <w:rsid w:val="0022054E"/>
    <w:pPr>
      <w:tabs>
        <w:tab w:val="clear" w:pos="584"/>
        <w:tab w:val="left" w:pos="731"/>
      </w:tabs>
      <w:spacing w:before="240" w:after="120"/>
      <w:ind w:left="732" w:hanging="301"/>
    </w:pPr>
    <w:rPr>
      <w:b w:val="0"/>
      <w:i/>
    </w:rPr>
  </w:style>
  <w:style w:type="paragraph" w:customStyle="1" w:styleId="JuHi">
    <w:name w:val="Ju_H_i"/>
    <w:basedOn w:val="JuHa0"/>
    <w:next w:val="JuPara"/>
    <w:rsid w:val="0022054E"/>
    <w:pPr>
      <w:tabs>
        <w:tab w:val="clear" w:pos="975"/>
        <w:tab w:val="left" w:pos="1191"/>
      </w:tabs>
      <w:ind w:left="1190" w:hanging="357"/>
    </w:pPr>
    <w:rPr>
      <w:b w:val="0"/>
      <w:i/>
    </w:rPr>
  </w:style>
  <w:style w:type="paragraph" w:customStyle="1" w:styleId="JuHalpha">
    <w:name w:val="Ju_H_alpha"/>
    <w:basedOn w:val="JuHi"/>
    <w:next w:val="JuPara"/>
    <w:rsid w:val="0022054E"/>
    <w:pPr>
      <w:tabs>
        <w:tab w:val="clear" w:pos="1191"/>
        <w:tab w:val="left" w:pos="1372"/>
      </w:tabs>
      <w:ind w:left="1373" w:hanging="335"/>
    </w:pPr>
    <w:rPr>
      <w:i w:val="0"/>
    </w:rPr>
  </w:style>
  <w:style w:type="paragraph" w:customStyle="1" w:styleId="JuH">
    <w:name w:val="Ju_H_–"/>
    <w:basedOn w:val="JuHalpha"/>
    <w:next w:val="JuPara"/>
    <w:rsid w:val="0022054E"/>
    <w:pPr>
      <w:tabs>
        <w:tab w:val="clear" w:pos="1372"/>
      </w:tabs>
      <w:ind w:left="1236" w:firstLine="0"/>
    </w:pPr>
    <w:rPr>
      <w:i/>
    </w:rPr>
  </w:style>
  <w:style w:type="paragraph" w:customStyle="1" w:styleId="PJuPara">
    <w:name w:val="P_Ju_Para"/>
    <w:basedOn w:val="Normal"/>
    <w:rsid w:val="0022054E"/>
    <w:pPr>
      <w:ind w:firstLine="284"/>
      <w:jc w:val="both"/>
    </w:pPr>
  </w:style>
  <w:style w:type="paragraph" w:customStyle="1" w:styleId="PJuQuot">
    <w:name w:val="P_Ju_Quot"/>
    <w:basedOn w:val="Normal"/>
    <w:rsid w:val="0022054E"/>
    <w:pPr>
      <w:spacing w:before="120" w:after="120"/>
      <w:ind w:left="403" w:firstLine="176"/>
      <w:jc w:val="both"/>
    </w:pPr>
    <w:rPr>
      <w:sz w:val="20"/>
    </w:rPr>
  </w:style>
  <w:style w:type="paragraph" w:styleId="Header">
    <w:name w:val="header"/>
    <w:basedOn w:val="Normal"/>
    <w:rsid w:val="0022054E"/>
    <w:pPr>
      <w:tabs>
        <w:tab w:val="center" w:pos="3686"/>
        <w:tab w:val="right" w:pos="7371"/>
      </w:tabs>
    </w:pPr>
    <w:rPr>
      <w:sz w:val="18"/>
    </w:rPr>
  </w:style>
  <w:style w:type="paragraph" w:customStyle="1" w:styleId="JuSigned">
    <w:name w:val="Ju_Signed"/>
    <w:basedOn w:val="Normal"/>
    <w:next w:val="JuParaLast"/>
    <w:rsid w:val="0022054E"/>
    <w:pPr>
      <w:tabs>
        <w:tab w:val="center" w:pos="851"/>
        <w:tab w:val="center" w:pos="6407"/>
      </w:tabs>
      <w:spacing w:before="720"/>
    </w:pPr>
  </w:style>
  <w:style w:type="paragraph" w:customStyle="1" w:styleId="JuParaLast">
    <w:name w:val="Ju_Para_Last"/>
    <w:basedOn w:val="JuPara"/>
    <w:next w:val="JuPara"/>
    <w:rsid w:val="0022054E"/>
    <w:pPr>
      <w:keepNext/>
      <w:keepLines/>
      <w:spacing w:before="240"/>
    </w:pPr>
  </w:style>
  <w:style w:type="paragraph" w:customStyle="1" w:styleId="JuInitialled">
    <w:name w:val="Ju_Initialled"/>
    <w:basedOn w:val="JuSigned"/>
    <w:rsid w:val="0022054E"/>
    <w:pPr>
      <w:tabs>
        <w:tab w:val="clear" w:pos="851"/>
      </w:tabs>
      <w:jc w:val="right"/>
    </w:pPr>
  </w:style>
  <w:style w:type="paragraph" w:customStyle="1" w:styleId="JuList">
    <w:name w:val="Ju_List"/>
    <w:basedOn w:val="JuPara"/>
    <w:rsid w:val="0022054E"/>
    <w:pPr>
      <w:ind w:left="340" w:hanging="340"/>
    </w:pPr>
  </w:style>
  <w:style w:type="paragraph" w:customStyle="1" w:styleId="JuLista">
    <w:name w:val="Ju_List_a"/>
    <w:basedOn w:val="JuList"/>
    <w:rsid w:val="0022054E"/>
    <w:pPr>
      <w:ind w:left="346" w:firstLine="0"/>
    </w:pPr>
  </w:style>
  <w:style w:type="paragraph" w:customStyle="1" w:styleId="JuListi">
    <w:name w:val="Ju_List_i"/>
    <w:basedOn w:val="JuLista"/>
    <w:rsid w:val="0022054E"/>
    <w:pPr>
      <w:ind w:left="794"/>
    </w:pPr>
  </w:style>
  <w:style w:type="character" w:customStyle="1" w:styleId="JuNames">
    <w:name w:val="Ju_Names"/>
    <w:basedOn w:val="DefaultParagraphFont"/>
    <w:rsid w:val="0022054E"/>
    <w:rPr>
      <w:smallCaps/>
    </w:rPr>
  </w:style>
  <w:style w:type="paragraph" w:customStyle="1" w:styleId="JuQuot">
    <w:name w:val="Ju_Quot"/>
    <w:basedOn w:val="JuPara"/>
    <w:rsid w:val="0022054E"/>
    <w:pPr>
      <w:spacing w:before="120" w:after="120"/>
      <w:ind w:left="425" w:firstLine="142"/>
    </w:pPr>
    <w:rPr>
      <w:sz w:val="20"/>
    </w:rPr>
  </w:style>
  <w:style w:type="paragraph" w:customStyle="1" w:styleId="PListArticleSubject">
    <w:name w:val="P_List_ArticleSubject"/>
    <w:basedOn w:val="Normal"/>
    <w:rsid w:val="0022054E"/>
    <w:pPr>
      <w:tabs>
        <w:tab w:val="left" w:pos="2977"/>
      </w:tabs>
      <w:ind w:left="2977" w:hanging="2977"/>
    </w:pPr>
  </w:style>
  <w:style w:type="paragraph" w:customStyle="1" w:styleId="OpiPara">
    <w:name w:val="Opi_Para"/>
    <w:basedOn w:val="JuPara"/>
    <w:rsid w:val="0022054E"/>
  </w:style>
  <w:style w:type="paragraph" w:customStyle="1" w:styleId="OpiHA">
    <w:name w:val="Opi_H_A"/>
    <w:basedOn w:val="JuHIRoman"/>
    <w:next w:val="OpiPara"/>
    <w:rsid w:val="0022054E"/>
    <w:pPr>
      <w:tabs>
        <w:tab w:val="clear" w:pos="357"/>
      </w:tabs>
    </w:pPr>
    <w:rPr>
      <w:b/>
    </w:rPr>
  </w:style>
  <w:style w:type="paragraph" w:customStyle="1" w:styleId="OpiH1">
    <w:name w:val="Opi_H_1."/>
    <w:basedOn w:val="OpiHA"/>
    <w:next w:val="OpiPara"/>
    <w:rsid w:val="0022054E"/>
    <w:pPr>
      <w:spacing w:before="240" w:after="120"/>
      <w:ind w:left="635"/>
    </w:pPr>
    <w:rPr>
      <w:b w:val="0"/>
      <w:i/>
    </w:rPr>
  </w:style>
  <w:style w:type="paragraph" w:customStyle="1" w:styleId="OpiHa0">
    <w:name w:val="Opi_H_a"/>
    <w:basedOn w:val="OpiH1"/>
    <w:next w:val="OpiPara"/>
    <w:rsid w:val="0022054E"/>
    <w:pPr>
      <w:ind w:left="834"/>
    </w:pPr>
    <w:rPr>
      <w:b/>
      <w:i w:val="0"/>
      <w:sz w:val="20"/>
    </w:rPr>
  </w:style>
  <w:style w:type="paragraph" w:customStyle="1" w:styleId="OpiHHead">
    <w:name w:val="Opi_H_Head"/>
    <w:basedOn w:val="JuHHead"/>
    <w:next w:val="OpiPara"/>
    <w:rsid w:val="0022054E"/>
    <w:pPr>
      <w:spacing w:before="0"/>
      <w:jc w:val="center"/>
    </w:pPr>
  </w:style>
  <w:style w:type="paragraph" w:customStyle="1" w:styleId="OpiTranslation">
    <w:name w:val="Opi_Translation"/>
    <w:basedOn w:val="OpiHHead"/>
    <w:next w:val="OpiPara"/>
    <w:rsid w:val="0022054E"/>
    <w:rPr>
      <w:i/>
      <w:sz w:val="24"/>
    </w:rPr>
  </w:style>
  <w:style w:type="paragraph" w:customStyle="1" w:styleId="OpiHi">
    <w:name w:val="Opi_H_i"/>
    <w:basedOn w:val="OpiHa0"/>
    <w:next w:val="OpiPara"/>
    <w:rsid w:val="0022054E"/>
    <w:pPr>
      <w:ind w:left="1038"/>
    </w:pPr>
    <w:rPr>
      <w:b w:val="0"/>
      <w:i/>
    </w:rPr>
  </w:style>
  <w:style w:type="paragraph" w:customStyle="1" w:styleId="PListCaseNo">
    <w:name w:val="P_List_CaseNo"/>
    <w:basedOn w:val="Normal"/>
    <w:rsid w:val="0022054E"/>
    <w:pPr>
      <w:tabs>
        <w:tab w:val="left" w:pos="1276"/>
      </w:tabs>
      <w:spacing w:line="288" w:lineRule="auto"/>
      <w:ind w:left="1276" w:hanging="1276"/>
    </w:pPr>
  </w:style>
  <w:style w:type="paragraph" w:customStyle="1" w:styleId="OpiQuot">
    <w:name w:val="Opi_Quot"/>
    <w:basedOn w:val="JuQuot"/>
    <w:rsid w:val="0022054E"/>
  </w:style>
  <w:style w:type="character" w:styleId="PageNumber">
    <w:name w:val="page number"/>
    <w:basedOn w:val="DefaultParagraphFont"/>
    <w:rsid w:val="0022054E"/>
    <w:rPr>
      <w:sz w:val="18"/>
    </w:rPr>
  </w:style>
  <w:style w:type="character" w:styleId="FootnoteReference">
    <w:name w:val="footnote reference"/>
    <w:basedOn w:val="DefaultParagraphFont"/>
    <w:semiHidden/>
    <w:rsid w:val="0022054E"/>
    <w:rPr>
      <w:vertAlign w:val="superscript"/>
    </w:rPr>
  </w:style>
  <w:style w:type="paragraph" w:customStyle="1" w:styleId="SuCoverTitle1">
    <w:name w:val="Su_Cover_Title1"/>
    <w:basedOn w:val="Normal"/>
    <w:next w:val="SuCoverTitle2"/>
    <w:rsid w:val="0022054E"/>
    <w:pPr>
      <w:spacing w:before="2500"/>
      <w:jc w:val="center"/>
    </w:pPr>
    <w:rPr>
      <w:sz w:val="22"/>
    </w:rPr>
  </w:style>
  <w:style w:type="paragraph" w:customStyle="1" w:styleId="SuCoverTitle2">
    <w:name w:val="Su_Cover_Title2"/>
    <w:basedOn w:val="SuCoverTitle1"/>
    <w:next w:val="Normal"/>
    <w:rsid w:val="0022054E"/>
    <w:pPr>
      <w:spacing w:before="240"/>
    </w:pPr>
    <w:rPr>
      <w:sz w:val="18"/>
    </w:rPr>
  </w:style>
  <w:style w:type="paragraph" w:customStyle="1" w:styleId="JuQuotSub">
    <w:name w:val="Ju_Quot_Sub"/>
    <w:basedOn w:val="JuQuot"/>
    <w:rsid w:val="0022054E"/>
    <w:pPr>
      <w:ind w:left="567"/>
    </w:pPr>
  </w:style>
  <w:style w:type="paragraph" w:customStyle="1" w:styleId="JuParaSub">
    <w:name w:val="Ju_Para_Sub"/>
    <w:basedOn w:val="JuPara"/>
    <w:rsid w:val="0022054E"/>
    <w:pPr>
      <w:ind w:left="284"/>
    </w:pPr>
  </w:style>
  <w:style w:type="paragraph" w:customStyle="1" w:styleId="SuPara">
    <w:name w:val="Su_Para"/>
    <w:basedOn w:val="SuKeywords"/>
    <w:rsid w:val="0022054E"/>
    <w:pPr>
      <w:spacing w:before="0" w:after="0"/>
    </w:pPr>
    <w:rPr>
      <w:i w:val="0"/>
    </w:rPr>
  </w:style>
  <w:style w:type="paragraph" w:customStyle="1" w:styleId="SuKeywords">
    <w:name w:val="Su_Keywords"/>
    <w:basedOn w:val="SuHHead"/>
    <w:rsid w:val="0022054E"/>
    <w:pPr>
      <w:spacing w:before="120"/>
    </w:pPr>
    <w:rPr>
      <w:b w:val="0"/>
      <w:i/>
    </w:rPr>
  </w:style>
  <w:style w:type="paragraph" w:customStyle="1" w:styleId="SuHHead">
    <w:name w:val="Su_H_Head"/>
    <w:basedOn w:val="SuSubject"/>
    <w:rsid w:val="0022054E"/>
    <w:pPr>
      <w:spacing w:after="120"/>
    </w:pPr>
  </w:style>
  <w:style w:type="paragraph" w:customStyle="1" w:styleId="SuSubject">
    <w:name w:val="Su_Subject"/>
    <w:basedOn w:val="SuSummary"/>
    <w:rsid w:val="0022054E"/>
    <w:pPr>
      <w:spacing w:before="360"/>
      <w:jc w:val="both"/>
    </w:pPr>
    <w:rPr>
      <w:b/>
      <w:sz w:val="22"/>
    </w:rPr>
  </w:style>
  <w:style w:type="paragraph" w:customStyle="1" w:styleId="SuSummary">
    <w:name w:val="Su_Summary"/>
    <w:basedOn w:val="Normal"/>
    <w:next w:val="SuSubject"/>
    <w:rsid w:val="0022054E"/>
    <w:pPr>
      <w:spacing w:after="240"/>
      <w:jc w:val="center"/>
    </w:pPr>
  </w:style>
  <w:style w:type="paragraph" w:customStyle="1" w:styleId="DecHTitle">
    <w:name w:val="Dec_H_Title"/>
    <w:basedOn w:val="Normal"/>
    <w:rsid w:val="0022054E"/>
    <w:pPr>
      <w:spacing w:after="240"/>
      <w:jc w:val="center"/>
    </w:pPr>
    <w:rPr>
      <w:sz w:val="28"/>
    </w:rPr>
  </w:style>
  <w:style w:type="paragraph" w:customStyle="1" w:styleId="DecHCase">
    <w:name w:val="Dec_H_Case"/>
    <w:basedOn w:val="DecHTitle"/>
    <w:next w:val="JuPara"/>
    <w:rsid w:val="0022054E"/>
    <w:rPr>
      <w:sz w:val="24"/>
    </w:rPr>
  </w:style>
  <w:style w:type="paragraph" w:customStyle="1" w:styleId="DecList">
    <w:name w:val="Dec_List"/>
    <w:basedOn w:val="Normal"/>
    <w:rsid w:val="0022054E"/>
    <w:pPr>
      <w:spacing w:before="240"/>
      <w:ind w:left="284"/>
      <w:jc w:val="both"/>
    </w:pPr>
  </w:style>
  <w:style w:type="paragraph" w:styleId="Footer">
    <w:name w:val="footer"/>
    <w:basedOn w:val="Normal"/>
    <w:rsid w:val="0022054E"/>
    <w:pPr>
      <w:tabs>
        <w:tab w:val="center" w:pos="3686"/>
        <w:tab w:val="right" w:pos="7371"/>
      </w:tabs>
    </w:pPr>
    <w:rPr>
      <w:sz w:val="18"/>
    </w:rPr>
  </w:style>
  <w:style w:type="paragraph" w:styleId="FootnoteText">
    <w:name w:val="footnote text"/>
    <w:basedOn w:val="Normal"/>
    <w:semiHidden/>
    <w:rsid w:val="0022054E"/>
    <w:pPr>
      <w:jc w:val="both"/>
    </w:pPr>
    <w:rPr>
      <w:sz w:val="20"/>
    </w:rPr>
  </w:style>
  <w:style w:type="paragraph" w:customStyle="1" w:styleId="JuHeader">
    <w:name w:val="Ju_Header"/>
    <w:basedOn w:val="Header"/>
    <w:rsid w:val="0022054E"/>
  </w:style>
  <w:style w:type="paragraph" w:customStyle="1" w:styleId="PListCases">
    <w:name w:val="P_List_Cases"/>
    <w:basedOn w:val="Normal"/>
    <w:rsid w:val="0022054E"/>
    <w:pPr>
      <w:spacing w:line="288" w:lineRule="auto"/>
    </w:pPr>
  </w:style>
  <w:style w:type="paragraph" w:customStyle="1" w:styleId="PTextIntro">
    <w:name w:val="P_Text_Intro"/>
    <w:basedOn w:val="Normal"/>
    <w:rsid w:val="0022054E"/>
    <w:pPr>
      <w:jc w:val="both"/>
    </w:pPr>
    <w:rPr>
      <w:i/>
      <w:sz w:val="20"/>
    </w:rPr>
  </w:style>
  <w:style w:type="paragraph" w:customStyle="1" w:styleId="PTitleCover">
    <w:name w:val="P_Title_Cover"/>
    <w:basedOn w:val="Normal"/>
    <w:rsid w:val="0022054E"/>
    <w:pPr>
      <w:spacing w:before="2500"/>
      <w:jc w:val="center"/>
    </w:pPr>
    <w:rPr>
      <w:b/>
      <w:smallCaps/>
      <w:sz w:val="30"/>
    </w:rPr>
  </w:style>
  <w:style w:type="paragraph" w:customStyle="1" w:styleId="PTitle1Alpha">
    <w:name w:val="P_Title1_Alpha"/>
    <w:basedOn w:val="Normal"/>
    <w:next w:val="Normal"/>
    <w:rsid w:val="0022054E"/>
    <w:pPr>
      <w:spacing w:after="120"/>
      <w:jc w:val="center"/>
    </w:pPr>
    <w:rPr>
      <w:b/>
      <w:smallCaps/>
      <w:sz w:val="30"/>
    </w:rPr>
  </w:style>
  <w:style w:type="paragraph" w:customStyle="1" w:styleId="PTitle1IndexArticle">
    <w:name w:val="P_Title1_IndexArticle"/>
    <w:basedOn w:val="Normal"/>
    <w:rsid w:val="0022054E"/>
    <w:pPr>
      <w:spacing w:after="120"/>
      <w:jc w:val="center"/>
    </w:pPr>
    <w:rPr>
      <w:b/>
      <w:smallCaps/>
      <w:sz w:val="30"/>
    </w:rPr>
  </w:style>
  <w:style w:type="paragraph" w:customStyle="1" w:styleId="PTitle1IndexKey">
    <w:name w:val="P_Title1_IndexKey"/>
    <w:basedOn w:val="Normal"/>
    <w:rsid w:val="0022054E"/>
    <w:pPr>
      <w:spacing w:after="600"/>
      <w:jc w:val="center"/>
    </w:pPr>
    <w:rPr>
      <w:b/>
      <w:smallCaps/>
      <w:sz w:val="30"/>
      <w:lang w:val="en-GB"/>
    </w:rPr>
  </w:style>
  <w:style w:type="paragraph" w:customStyle="1" w:styleId="PTitle1Num">
    <w:name w:val="P_Title1_Num"/>
    <w:basedOn w:val="Normal"/>
    <w:next w:val="PListCaseNo"/>
    <w:rsid w:val="0022054E"/>
    <w:pPr>
      <w:spacing w:after="720"/>
      <w:jc w:val="center"/>
    </w:pPr>
    <w:rPr>
      <w:b/>
      <w:smallCaps/>
      <w:sz w:val="30"/>
    </w:rPr>
  </w:style>
  <w:style w:type="paragraph" w:customStyle="1" w:styleId="PTitle2Country">
    <w:name w:val="P_Title2_Country"/>
    <w:basedOn w:val="Normal"/>
    <w:next w:val="PListCases"/>
    <w:rsid w:val="0022054E"/>
    <w:pPr>
      <w:keepNext/>
      <w:keepLines/>
      <w:spacing w:before="600" w:after="360"/>
    </w:pPr>
    <w:rPr>
      <w:b/>
    </w:rPr>
  </w:style>
  <w:style w:type="paragraph" w:customStyle="1" w:styleId="PTitle2Letters">
    <w:name w:val="P_Title2_Letters"/>
    <w:basedOn w:val="Normal"/>
    <w:next w:val="PListCases"/>
    <w:rsid w:val="0022054E"/>
    <w:pPr>
      <w:keepNext/>
      <w:keepLines/>
      <w:spacing w:before="600" w:after="360"/>
    </w:pPr>
    <w:rPr>
      <w:b/>
      <w:sz w:val="28"/>
    </w:rPr>
  </w:style>
  <w:style w:type="paragraph" w:customStyle="1" w:styleId="PTitle2Part">
    <w:name w:val="P_Title2_Part"/>
    <w:basedOn w:val="Normal"/>
    <w:rsid w:val="0022054E"/>
    <w:pPr>
      <w:keepNext/>
      <w:keepLines/>
      <w:spacing w:before="600" w:after="240"/>
      <w:jc w:val="center"/>
    </w:pPr>
    <w:rPr>
      <w:b/>
      <w:caps/>
    </w:rPr>
  </w:style>
  <w:style w:type="paragraph" w:customStyle="1" w:styleId="PTitle3Article">
    <w:name w:val="P_Title3_Article"/>
    <w:basedOn w:val="Normal"/>
    <w:rsid w:val="0022054E"/>
    <w:pPr>
      <w:keepNext/>
      <w:keepLines/>
      <w:spacing w:before="360" w:after="120"/>
      <w:jc w:val="center"/>
    </w:pPr>
    <w:rPr>
      <w:b/>
      <w:smallCaps/>
      <w:sz w:val="22"/>
    </w:rPr>
  </w:style>
  <w:style w:type="paragraph" w:customStyle="1" w:styleId="PTitle4ArticleSub">
    <w:name w:val="P_Title4_Article_Sub"/>
    <w:basedOn w:val="PTitle3Article"/>
    <w:rsid w:val="0022054E"/>
    <w:pPr>
      <w:spacing w:before="240"/>
    </w:pPr>
    <w:rPr>
      <w:smallCaps w:val="0"/>
      <w:sz w:val="20"/>
    </w:rPr>
  </w:style>
  <w:style w:type="paragraph" w:customStyle="1" w:styleId="PTitle5Subject">
    <w:name w:val="P_Title5_Subject"/>
    <w:basedOn w:val="Normal"/>
    <w:rsid w:val="0022054E"/>
    <w:pPr>
      <w:keepNext/>
      <w:keepLines/>
      <w:spacing w:before="240" w:after="120"/>
      <w:jc w:val="both"/>
    </w:pPr>
    <w:rPr>
      <w:b/>
      <w:i/>
    </w:rPr>
  </w:style>
  <w:style w:type="paragraph" w:customStyle="1" w:styleId="PTitle6SubjectSub">
    <w:name w:val="P_Title6_Subject_Sub"/>
    <w:basedOn w:val="Normal"/>
    <w:rsid w:val="0022054E"/>
    <w:pPr>
      <w:keepNext/>
      <w:keepLines/>
      <w:spacing w:before="240" w:after="120"/>
      <w:ind w:left="284"/>
      <w:jc w:val="both"/>
    </w:pPr>
    <w:rPr>
      <w:b/>
      <w:sz w:val="20"/>
    </w:rPr>
  </w:style>
  <w:style w:type="paragraph" w:customStyle="1" w:styleId="PTitle7CaseName">
    <w:name w:val="P_Title7_CaseName"/>
    <w:basedOn w:val="Normal"/>
    <w:rsid w:val="0022054E"/>
    <w:pPr>
      <w:keepLines/>
      <w:spacing w:after="240"/>
      <w:jc w:val="right"/>
    </w:pPr>
    <w:rPr>
      <w:sz w:val="22"/>
    </w:rPr>
  </w:style>
  <w:style w:type="paragraph" w:customStyle="1" w:styleId="OpiParaSub">
    <w:name w:val="Opi_Para_Sub"/>
    <w:basedOn w:val="JuParaSub"/>
    <w:rsid w:val="0022054E"/>
  </w:style>
  <w:style w:type="paragraph" w:customStyle="1" w:styleId="OpiQuotSub">
    <w:name w:val="Opi_Quot_Sub"/>
    <w:basedOn w:val="JuQuotSub"/>
    <w:rsid w:val="0022054E"/>
  </w:style>
  <w:style w:type="paragraph" w:customStyle="1" w:styleId="JuHArticle">
    <w:name w:val="Ju_H_Article"/>
    <w:basedOn w:val="JuHa0"/>
    <w:next w:val="JuQuot"/>
    <w:rsid w:val="0022054E"/>
    <w:pPr>
      <w:ind w:left="0" w:firstLine="0"/>
      <w:jc w:val="center"/>
    </w:pPr>
  </w:style>
  <w:style w:type="character" w:customStyle="1" w:styleId="JuParaChar">
    <w:name w:val="Ju_Para Char"/>
    <w:basedOn w:val="DefaultParagraphFont"/>
    <w:link w:val="JuPara"/>
    <w:rsid w:val="0022054E"/>
    <w:rPr>
      <w:sz w:val="24"/>
      <w:lang w:val="fr-FR" w:eastAsia="fr-FR" w:bidi="ar-SA"/>
    </w:rPr>
  </w:style>
  <w:style w:type="character" w:customStyle="1" w:styleId="ju-005fpara--char">
    <w:name w:val="ju-005fpara--char"/>
    <w:basedOn w:val="DefaultParagraphFont"/>
    <w:rsid w:val="002205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69733E-0B33-48ED-9A46-BAC70CA808A2}"/>
</file>

<file path=customXml/itemProps2.xml><?xml version="1.0" encoding="utf-8"?>
<ds:datastoreItem xmlns:ds="http://schemas.openxmlformats.org/officeDocument/2006/customXml" ds:itemID="{E0B1DEF4-AE0F-45BC-B06B-ECEB531213F2}"/>
</file>

<file path=customXml/itemProps3.xml><?xml version="1.0" encoding="utf-8"?>
<ds:datastoreItem xmlns:ds="http://schemas.openxmlformats.org/officeDocument/2006/customXml" ds:itemID="{D8C4C048-585A-4CA7-913D-A5297921A593}"/>
</file>

<file path=docProps/app.xml><?xml version="1.0" encoding="utf-8"?>
<Properties xmlns="http://schemas.openxmlformats.org/officeDocument/2006/extended-properties" xmlns:vt="http://schemas.openxmlformats.org/officeDocument/2006/docPropsVTypes">
  <Template>Normal.dotm</Template>
  <TotalTime>1</TotalTime>
  <Pages>1</Pages>
  <Words>2490</Words>
  <Characters>14193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16650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3</cp:revision>
  <cp:lastPrinted>2009-07-01T09:27:00Z</cp:lastPrinted>
  <dcterms:created xsi:type="dcterms:W3CDTF">2015-03-18T15:23:00Z</dcterms:created>
  <dcterms:modified xsi:type="dcterms:W3CDTF">2015-03-18T15:23:00Z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