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5742" w:rsidRDefault="00BB5742">
      <w:pPr>
        <w:jc w:val="center"/>
        <w:rPr>
          <w:b/>
          <w:sz w:val="28"/>
        </w:rPr>
      </w:pPr>
      <w:bookmarkStart w:name="_GoBack" w:id="0"/>
      <w:bookmarkEnd w:id="0"/>
    </w:p>
    <w:p w:rsidR="00BB5742" w:rsidRDefault="00BB5742">
      <w:pPr>
        <w:jc w:val="center"/>
        <w:rPr>
          <w:b/>
          <w:sz w:val="28"/>
        </w:rPr>
      </w:pPr>
    </w:p>
    <w:p w:rsidRPr="00A669A6" w:rsidR="009D02AC" w:rsidRDefault="009D02AC">
      <w:pPr>
        <w:jc w:val="center"/>
        <w:rPr>
          <w:lang w:val="en-GB"/>
        </w:rPr>
      </w:pPr>
    </w:p>
    <w:p w:rsidRPr="00613500" w:rsidR="009D02AC" w:rsidP="00364D66" w:rsidRDefault="00613500">
      <w:pPr>
        <w:jc w:val="center"/>
      </w:pPr>
      <w:r w:rsidRPr="00613500">
        <w:t>TROISIÈME SECTION</w:t>
      </w:r>
    </w:p>
    <w:p w:rsidR="00BB5742" w:rsidP="00364D66" w:rsidRDefault="00BB5742">
      <w:pPr>
        <w:jc w:val="center"/>
      </w:pPr>
    </w:p>
    <w:p w:rsidR="00BB5742" w:rsidP="00364D66" w:rsidRDefault="00BB5742">
      <w:pPr>
        <w:jc w:val="center"/>
      </w:pPr>
    </w:p>
    <w:p w:rsidRPr="00613500" w:rsidR="009D02AC" w:rsidP="00364D66" w:rsidRDefault="009D02AC">
      <w:pPr>
        <w:jc w:val="center"/>
      </w:pPr>
    </w:p>
    <w:p w:rsidRPr="00D67F8E" w:rsidR="009D02AC" w:rsidP="00364D66" w:rsidRDefault="009D02AC">
      <w:pPr>
        <w:jc w:val="center"/>
        <w:rPr>
          <w:b/>
          <w:lang w:val="en-GB"/>
        </w:rPr>
      </w:pPr>
      <w:bookmarkStart w:name="To" w:id="1"/>
      <w:r w:rsidRPr="00D67F8E">
        <w:rPr>
          <w:b/>
          <w:lang w:val="en-GB"/>
        </w:rPr>
        <w:t xml:space="preserve">AFFAIRE </w:t>
      </w:r>
      <w:bookmarkEnd w:id="1"/>
      <w:r w:rsidRPr="00D67F8E" w:rsidR="00613500">
        <w:rPr>
          <w:b/>
          <w:lang w:val="en-GB"/>
        </w:rPr>
        <w:t>ENERJİ YAPI-YOL SEN c. TURQUIE</w:t>
      </w:r>
    </w:p>
    <w:p w:rsidRPr="00D67F8E" w:rsidR="009D02AC" w:rsidP="00364D66" w:rsidRDefault="009D02AC">
      <w:pPr>
        <w:jc w:val="center"/>
        <w:rPr>
          <w:lang w:val="en-GB"/>
        </w:rPr>
      </w:pPr>
    </w:p>
    <w:p w:rsidRPr="00613500" w:rsidR="009D02AC" w:rsidP="00364D66" w:rsidRDefault="009D02AC">
      <w:pPr>
        <w:jc w:val="center"/>
        <w:rPr>
          <w:i/>
        </w:rPr>
      </w:pPr>
      <w:r w:rsidRPr="00613500">
        <w:rPr>
          <w:i/>
        </w:rPr>
        <w:t>(</w:t>
      </w:r>
      <w:r w:rsidRPr="00613500" w:rsidR="00613500">
        <w:rPr>
          <w:i/>
        </w:rPr>
        <w:t>Requête n</w:t>
      </w:r>
      <w:r w:rsidRPr="00613500" w:rsidR="00613500">
        <w:rPr>
          <w:i/>
          <w:vertAlign w:val="superscript"/>
        </w:rPr>
        <w:t>o</w:t>
      </w:r>
      <w:r w:rsidRPr="00613500" w:rsidR="00613500">
        <w:rPr>
          <w:i/>
        </w:rPr>
        <w:t xml:space="preserve"> 68959/01</w:t>
      </w:r>
      <w:r w:rsidRPr="00613500">
        <w:rPr>
          <w:i/>
        </w:rPr>
        <w:t>)</w:t>
      </w:r>
    </w:p>
    <w:p w:rsidR="00BB5742" w:rsidP="00364D66" w:rsidRDefault="00BB5742">
      <w:pPr>
        <w:pStyle w:val="JuPara"/>
        <w:ind w:firstLine="0"/>
        <w:jc w:val="center"/>
        <w:rPr>
          <w:sz w:val="22"/>
          <w:szCs w:val="22"/>
        </w:rPr>
      </w:pPr>
    </w:p>
    <w:p w:rsidR="00BB5742" w:rsidP="00364D66" w:rsidRDefault="00BB5742">
      <w:pPr>
        <w:pStyle w:val="JuPara"/>
        <w:ind w:firstLine="0"/>
        <w:jc w:val="center"/>
        <w:rPr>
          <w:sz w:val="22"/>
          <w:szCs w:val="22"/>
        </w:rPr>
      </w:pPr>
    </w:p>
    <w:p w:rsidR="00BB5742" w:rsidP="00364D66" w:rsidRDefault="00BB5742">
      <w:pPr>
        <w:pStyle w:val="JuPara"/>
        <w:ind w:firstLine="0"/>
        <w:jc w:val="center"/>
        <w:rPr>
          <w:sz w:val="22"/>
          <w:szCs w:val="22"/>
        </w:rPr>
      </w:pPr>
    </w:p>
    <w:p w:rsidR="00BB5742" w:rsidP="00364D66" w:rsidRDefault="00BB5742">
      <w:pPr>
        <w:pStyle w:val="JuPara"/>
        <w:ind w:firstLine="0"/>
        <w:jc w:val="center"/>
        <w:rPr>
          <w:sz w:val="22"/>
          <w:szCs w:val="22"/>
        </w:rPr>
      </w:pPr>
    </w:p>
    <w:p w:rsidRPr="00BB5742" w:rsidR="00BB5742" w:rsidP="00364D66" w:rsidRDefault="00BB5742">
      <w:pPr>
        <w:pStyle w:val="JuPara"/>
        <w:ind w:firstLine="0"/>
        <w:jc w:val="center"/>
        <w:rPr>
          <w:szCs w:val="24"/>
        </w:rPr>
      </w:pPr>
      <w:r w:rsidRPr="00BB5742">
        <w:rPr>
          <w:szCs w:val="24"/>
        </w:rPr>
        <w:t>ARRÊT</w:t>
      </w:r>
    </w:p>
    <w:p w:rsidRPr="00BB5742" w:rsidR="00BB5742" w:rsidP="00364D66" w:rsidRDefault="00BB5742">
      <w:pPr>
        <w:pStyle w:val="JuPara"/>
        <w:ind w:firstLine="0"/>
        <w:jc w:val="center"/>
        <w:rPr>
          <w:szCs w:val="24"/>
        </w:rPr>
      </w:pPr>
    </w:p>
    <w:p w:rsidRPr="00BB5742" w:rsidR="00BB5742" w:rsidP="00364D66" w:rsidRDefault="00BB5742">
      <w:pPr>
        <w:pStyle w:val="JuPara"/>
        <w:ind w:firstLine="0"/>
        <w:jc w:val="center"/>
        <w:rPr>
          <w:szCs w:val="24"/>
        </w:rPr>
      </w:pPr>
    </w:p>
    <w:p w:rsidRPr="00BB5742" w:rsidR="00BB5742" w:rsidP="00364D66" w:rsidRDefault="00BB5742">
      <w:pPr>
        <w:pStyle w:val="JuPara"/>
        <w:ind w:firstLine="0"/>
        <w:jc w:val="center"/>
        <w:rPr>
          <w:szCs w:val="24"/>
        </w:rPr>
      </w:pPr>
    </w:p>
    <w:p w:rsidRPr="00BB5742" w:rsidR="00BB5742" w:rsidP="00364D66" w:rsidRDefault="00BB5742">
      <w:pPr>
        <w:pStyle w:val="JuPara"/>
        <w:ind w:firstLine="0"/>
        <w:jc w:val="center"/>
        <w:rPr>
          <w:szCs w:val="24"/>
        </w:rPr>
      </w:pPr>
      <w:r w:rsidRPr="00BB5742">
        <w:rPr>
          <w:szCs w:val="24"/>
        </w:rPr>
        <w:t>STRASBOURG</w:t>
      </w:r>
    </w:p>
    <w:p w:rsidRPr="00BB5742" w:rsidR="00BB5742" w:rsidP="00364D66" w:rsidRDefault="00BB5742">
      <w:pPr>
        <w:pStyle w:val="JuPara"/>
        <w:ind w:firstLine="0"/>
        <w:jc w:val="center"/>
        <w:rPr>
          <w:szCs w:val="24"/>
        </w:rPr>
      </w:pPr>
    </w:p>
    <w:p w:rsidRPr="00D16AE0" w:rsidR="00BB5742" w:rsidP="00364D66" w:rsidRDefault="00BB5742">
      <w:pPr>
        <w:pStyle w:val="JuPara"/>
        <w:ind w:firstLine="0"/>
        <w:jc w:val="center"/>
        <w:rPr>
          <w:szCs w:val="24"/>
          <w:lang w:eastAsia="en-US"/>
        </w:rPr>
      </w:pPr>
      <w:r w:rsidRPr="00D16AE0">
        <w:rPr>
          <w:szCs w:val="24"/>
          <w:lang w:eastAsia="en-US"/>
        </w:rPr>
        <w:t>21 avril 2009</w:t>
      </w:r>
    </w:p>
    <w:p w:rsidR="00BB5742" w:rsidP="00364D66" w:rsidRDefault="00BB5742">
      <w:pPr>
        <w:pStyle w:val="JuPara"/>
        <w:ind w:firstLine="0"/>
        <w:jc w:val="center"/>
        <w:rPr>
          <w:i/>
          <w:szCs w:val="24"/>
          <w:lang w:eastAsia="en-US"/>
        </w:rPr>
      </w:pPr>
    </w:p>
    <w:p w:rsidRPr="00C705AA" w:rsidR="00D67F8E" w:rsidP="00D67F8E" w:rsidRDefault="00D67F8E">
      <w:pPr>
        <w:jc w:val="center"/>
        <w:outlineLvl w:val="0"/>
        <w:rPr>
          <w:b/>
          <w:color w:val="FF0000"/>
          <w:sz w:val="36"/>
          <w:u w:val="single"/>
        </w:rPr>
      </w:pPr>
      <w:bookmarkStart w:name="OLE_LINK74" w:id="2"/>
      <w:bookmarkStart w:name="OLE_LINK75" w:id="3"/>
      <w:bookmarkStart w:name="OLE_LINK134" w:id="4"/>
      <w:bookmarkStart w:name="OLE_LINK135" w:id="5"/>
      <w:bookmarkStart w:name="OLE_LINK136" w:id="6"/>
      <w:bookmarkStart w:name="OLE_LINK137" w:id="7"/>
      <w:r w:rsidRPr="00C705AA">
        <w:rPr>
          <w:b/>
          <w:color w:val="FF0000"/>
          <w:sz w:val="36"/>
          <w:u w:val="single"/>
        </w:rPr>
        <w:t>DÉFINITIF</w:t>
      </w:r>
    </w:p>
    <w:p w:rsidRPr="00C705AA" w:rsidR="00D67F8E" w:rsidP="00D67F8E" w:rsidRDefault="00D67F8E">
      <w:pPr>
        <w:jc w:val="center"/>
        <w:rPr>
          <w:i/>
          <w:color w:val="FF0000"/>
        </w:rPr>
      </w:pPr>
    </w:p>
    <w:p w:rsidRPr="00C705AA" w:rsidR="00D67F8E" w:rsidP="00D67F8E" w:rsidRDefault="00D67F8E">
      <w:pPr>
        <w:jc w:val="center"/>
        <w:rPr>
          <w:i/>
          <w:color w:val="FF0000"/>
          <w:sz w:val="36"/>
        </w:rPr>
      </w:pPr>
      <w:r>
        <w:rPr>
          <w:i/>
          <w:color w:val="FF0000"/>
          <w:sz w:val="36"/>
        </w:rPr>
        <w:t>06</w:t>
      </w:r>
      <w:r w:rsidRPr="00C705AA">
        <w:rPr>
          <w:i/>
          <w:color w:val="FF0000"/>
          <w:sz w:val="36"/>
        </w:rPr>
        <w:t>/</w:t>
      </w:r>
      <w:r>
        <w:rPr>
          <w:i/>
          <w:color w:val="FF0000"/>
          <w:sz w:val="36"/>
        </w:rPr>
        <w:t>11</w:t>
      </w:r>
      <w:r w:rsidRPr="00C705AA">
        <w:rPr>
          <w:i/>
          <w:color w:val="FF0000"/>
          <w:sz w:val="36"/>
        </w:rPr>
        <w:t>/2009</w:t>
      </w:r>
    </w:p>
    <w:bookmarkEnd w:id="2"/>
    <w:bookmarkEnd w:id="3"/>
    <w:bookmarkEnd w:id="4"/>
    <w:bookmarkEnd w:id="5"/>
    <w:bookmarkEnd w:id="6"/>
    <w:bookmarkEnd w:id="7"/>
    <w:p w:rsidR="00BB5742" w:rsidP="00364D66" w:rsidRDefault="00BB5742">
      <w:pPr>
        <w:pStyle w:val="JuPara"/>
        <w:ind w:firstLine="0"/>
        <w:jc w:val="center"/>
        <w:rPr>
          <w:i/>
          <w:sz w:val="22"/>
          <w:szCs w:val="22"/>
          <w:lang w:eastAsia="en-US"/>
        </w:rPr>
      </w:pPr>
    </w:p>
    <w:p w:rsidRPr="00BB5742" w:rsidR="00941092" w:rsidP="00D67F8E" w:rsidRDefault="00BB5742">
      <w:pPr>
        <w:pStyle w:val="JuPara"/>
        <w:ind w:firstLine="0"/>
        <w:jc w:val="center"/>
        <w:rPr>
          <w:szCs w:val="22"/>
          <w:lang w:eastAsia="en-US"/>
        </w:rPr>
      </w:pPr>
      <w:r>
        <w:rPr>
          <w:i/>
          <w:sz w:val="22"/>
          <w:szCs w:val="22"/>
          <w:lang w:eastAsia="en-US"/>
        </w:rPr>
        <w:t>Cet arrêt peut subir des retouches de forme.</w:t>
      </w:r>
    </w:p>
    <w:p w:rsidR="00BB5742" w:rsidP="00D67F8E" w:rsidRDefault="00BB5742">
      <w:pPr>
        <w:pStyle w:val="JuCase"/>
        <w:jc w:val="center"/>
        <w:sectPr w:rsidR="00BB5742" w:rsidSect="00BB5742">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1906" w:h="16838" w:code="9"/>
          <w:pgMar w:top="2274" w:right="2274" w:bottom="2274" w:left="2274" w:header="1701" w:footer="720" w:gutter="0"/>
          <w:pgNumType w:start="1"/>
          <w:cols w:space="720"/>
          <w:docGrid w:linePitch="78"/>
        </w:sectPr>
      </w:pPr>
    </w:p>
    <w:p w:rsidRPr="00613500" w:rsidR="009D02AC" w:rsidP="00C5274B" w:rsidRDefault="009D02AC">
      <w:pPr>
        <w:pStyle w:val="JuCase"/>
      </w:pPr>
      <w:r w:rsidRPr="00613500">
        <w:t>En l</w:t>
      </w:r>
      <w:r w:rsidR="00D67F8E">
        <w:t>’</w:t>
      </w:r>
      <w:r w:rsidRPr="00613500">
        <w:t xml:space="preserve">affaire </w:t>
      </w:r>
      <w:r w:rsidR="00BA7CF4">
        <w:t>Enerji Yapı</w:t>
      </w:r>
      <w:r w:rsidRPr="00613500" w:rsidR="00613500">
        <w:t>-Yol Sen c. Turquie</w:t>
      </w:r>
      <w:r w:rsidRPr="00613500">
        <w:t>,</w:t>
      </w:r>
    </w:p>
    <w:p w:rsidRPr="00613500" w:rsidR="00924874" w:rsidP="00C5274B" w:rsidRDefault="009D02AC">
      <w:pPr>
        <w:pStyle w:val="JuPara"/>
      </w:pPr>
      <w:r w:rsidRPr="00613500">
        <w:t xml:space="preserve">La Cour européenne des </w:t>
      </w:r>
      <w:r w:rsidRPr="00613500" w:rsidR="00BC0BF0">
        <w:t>d</w:t>
      </w:r>
      <w:r w:rsidRPr="00613500">
        <w:t>roits de l</w:t>
      </w:r>
      <w:r w:rsidR="00D67F8E">
        <w:t>’</w:t>
      </w:r>
      <w:r w:rsidRPr="00613500" w:rsidR="00BC0BF0">
        <w:t>h</w:t>
      </w:r>
      <w:r w:rsidRPr="00613500">
        <w:t>omme</w:t>
      </w:r>
      <w:r w:rsidRPr="00613500" w:rsidR="00613500">
        <w:t xml:space="preserve"> (troisième section)</w:t>
      </w:r>
      <w:r w:rsidRPr="00613500">
        <w:t xml:space="preserve">, siégeant en une </w:t>
      </w:r>
      <w:r w:rsidRPr="00613500" w:rsidR="00613500">
        <w:t>chambre</w:t>
      </w:r>
      <w:r w:rsidRPr="00613500" w:rsidR="00924874">
        <w:t xml:space="preserve"> composée de :</w:t>
      </w:r>
    </w:p>
    <w:p w:rsidRPr="00613500" w:rsidR="005E774A" w:rsidP="005E774A" w:rsidRDefault="0057586C">
      <w:pPr>
        <w:pStyle w:val="JuJudges"/>
      </w:pPr>
      <w:r w:rsidRPr="0057586C">
        <w:tab/>
        <w:t>Josep</w:t>
      </w:r>
      <w:r>
        <w:t xml:space="preserve"> </w:t>
      </w:r>
      <w:r w:rsidRPr="0057586C">
        <w:t>Casadevall</w:t>
      </w:r>
      <w:r>
        <w:t>,</w:t>
      </w:r>
      <w:r w:rsidRPr="0057586C">
        <w:rPr>
          <w:i/>
        </w:rPr>
        <w:t xml:space="preserve"> président,</w:t>
      </w:r>
      <w:r>
        <w:rPr>
          <w:i/>
        </w:rPr>
        <w:br/>
      </w:r>
      <w:r w:rsidRPr="0057586C">
        <w:tab/>
        <w:t>Corneliu</w:t>
      </w:r>
      <w:r>
        <w:t xml:space="preserve"> </w:t>
      </w:r>
      <w:r w:rsidRPr="0057586C">
        <w:t>Bîrsan</w:t>
      </w:r>
      <w:r>
        <w:t>,</w:t>
      </w:r>
      <w:r>
        <w:rPr>
          <w:i/>
        </w:rPr>
        <w:br/>
      </w:r>
      <w:r w:rsidRPr="0057586C">
        <w:tab/>
        <w:t>Boštjan M.</w:t>
      </w:r>
      <w:r>
        <w:t xml:space="preserve"> </w:t>
      </w:r>
      <w:r w:rsidRPr="0057586C">
        <w:t>Zupančič</w:t>
      </w:r>
      <w:r>
        <w:t>,</w:t>
      </w:r>
      <w:r>
        <w:rPr>
          <w:i/>
        </w:rPr>
        <w:br/>
      </w:r>
      <w:r w:rsidRPr="0057586C">
        <w:tab/>
        <w:t>Alvina</w:t>
      </w:r>
      <w:r>
        <w:t xml:space="preserve"> </w:t>
      </w:r>
      <w:r w:rsidRPr="0057586C">
        <w:t>Gyulumyan</w:t>
      </w:r>
      <w:r>
        <w:t>,</w:t>
      </w:r>
      <w:r>
        <w:rPr>
          <w:i/>
        </w:rPr>
        <w:br/>
      </w:r>
      <w:r w:rsidRPr="0057586C">
        <w:tab/>
        <w:t>Egbert</w:t>
      </w:r>
      <w:r>
        <w:t xml:space="preserve"> </w:t>
      </w:r>
      <w:r w:rsidRPr="0057586C">
        <w:t>Myjer</w:t>
      </w:r>
      <w:r>
        <w:t>,</w:t>
      </w:r>
      <w:r>
        <w:rPr>
          <w:i/>
        </w:rPr>
        <w:br/>
      </w:r>
      <w:r w:rsidRPr="0057586C">
        <w:tab/>
        <w:t>Ineta</w:t>
      </w:r>
      <w:r>
        <w:t xml:space="preserve"> </w:t>
      </w:r>
      <w:r w:rsidRPr="0057586C">
        <w:t>Ziemele</w:t>
      </w:r>
      <w:r>
        <w:t>,</w:t>
      </w:r>
      <w:r>
        <w:rPr>
          <w:i/>
        </w:rPr>
        <w:br/>
      </w:r>
      <w:r w:rsidRPr="0057586C">
        <w:tab/>
        <w:t>Işıl</w:t>
      </w:r>
      <w:r>
        <w:t xml:space="preserve"> </w:t>
      </w:r>
      <w:r w:rsidRPr="0057586C">
        <w:t>Karakaş</w:t>
      </w:r>
      <w:r>
        <w:t>,</w:t>
      </w:r>
      <w:r w:rsidRPr="0057586C">
        <w:rPr>
          <w:i/>
        </w:rPr>
        <w:t xml:space="preserve"> juges,</w:t>
      </w:r>
      <w:r>
        <w:rPr>
          <w:i/>
        </w:rPr>
        <w:br/>
      </w:r>
      <w:r w:rsidRPr="00613500" w:rsidR="005E774A">
        <w:t xml:space="preserve">et de </w:t>
      </w:r>
      <w:r w:rsidRPr="00613500" w:rsidR="00613500">
        <w:t>Santiago</w:t>
      </w:r>
      <w:r w:rsidRPr="00613500" w:rsidR="005E774A">
        <w:t xml:space="preserve"> </w:t>
      </w:r>
      <w:r w:rsidRPr="00613500" w:rsidR="00613500">
        <w:t>Quesada</w:t>
      </w:r>
      <w:r w:rsidRPr="00613500" w:rsidR="005E774A">
        <w:t xml:space="preserve">, </w:t>
      </w:r>
      <w:r w:rsidRPr="00455BDD" w:rsidR="00613500">
        <w:rPr>
          <w:i/>
        </w:rPr>
        <w:t>greffier</w:t>
      </w:r>
      <w:r w:rsidRPr="00613500" w:rsidR="00613500">
        <w:rPr>
          <w:i/>
        </w:rPr>
        <w:t xml:space="preserve"> de section</w:t>
      </w:r>
      <w:r w:rsidRPr="00613500" w:rsidR="005E774A">
        <w:t>,</w:t>
      </w:r>
    </w:p>
    <w:p w:rsidRPr="00613500" w:rsidR="009D02AC" w:rsidRDefault="009D02AC">
      <w:pPr>
        <w:pStyle w:val="JuPara"/>
      </w:pPr>
      <w:r w:rsidRPr="00613500">
        <w:t xml:space="preserve">Après en avoir délibéré en chambre du conseil le </w:t>
      </w:r>
      <w:r w:rsidR="0057586C">
        <w:t>31 mars 2009</w:t>
      </w:r>
      <w:r w:rsidRPr="00613500">
        <w:t>,</w:t>
      </w:r>
    </w:p>
    <w:p w:rsidRPr="00613500" w:rsidR="009D02AC" w:rsidRDefault="009D02AC">
      <w:pPr>
        <w:pStyle w:val="JuPara"/>
      </w:pPr>
      <w:r w:rsidRPr="00613500">
        <w:t>Rend l</w:t>
      </w:r>
      <w:r w:rsidR="00D67F8E">
        <w:t>’</w:t>
      </w:r>
      <w:r w:rsidRPr="00613500">
        <w:t>arrêt que voici, adopté à cette date :</w:t>
      </w:r>
    </w:p>
    <w:p w:rsidRPr="00613500" w:rsidR="009D02AC" w:rsidRDefault="009D02AC">
      <w:pPr>
        <w:pStyle w:val="JuHHead"/>
      </w:pPr>
      <w:r w:rsidRPr="00613500">
        <w:t>PROCÉDURE</w:t>
      </w:r>
    </w:p>
    <w:p w:rsidRPr="00613500" w:rsidR="009D02AC" w:rsidP="00371E1A" w:rsidRDefault="00613500">
      <w:pPr>
        <w:pStyle w:val="JuPara"/>
      </w:pPr>
      <w:r w:rsidRPr="00613500">
        <w:fldChar w:fldCharType="begin"/>
      </w:r>
      <w:r w:rsidRPr="00613500">
        <w:instrText xml:space="preserve"> SEQ level0 \*arabic </w:instrText>
      </w:r>
      <w:r w:rsidRPr="00613500">
        <w:fldChar w:fldCharType="separate"/>
      </w:r>
      <w:r w:rsidR="00157E34">
        <w:rPr>
          <w:noProof/>
        </w:rPr>
        <w:t>1</w:t>
      </w:r>
      <w:r w:rsidRPr="00613500">
        <w:fldChar w:fldCharType="end"/>
      </w:r>
      <w:r w:rsidRPr="00613500" w:rsidR="009D02AC">
        <w:t>.  A l</w:t>
      </w:r>
      <w:r w:rsidR="00D67F8E">
        <w:t>’</w:t>
      </w:r>
      <w:r w:rsidRPr="00613500" w:rsidR="009D02AC">
        <w:t>origine de l</w:t>
      </w:r>
      <w:r w:rsidR="00D67F8E">
        <w:t>’</w:t>
      </w:r>
      <w:r w:rsidRPr="00613500" w:rsidR="009D02AC">
        <w:t xml:space="preserve">affaire </w:t>
      </w:r>
      <w:r w:rsidRPr="00613500">
        <w:t>se trouve une requête (n</w:t>
      </w:r>
      <w:r w:rsidRPr="00613500">
        <w:rPr>
          <w:vertAlign w:val="superscript"/>
        </w:rPr>
        <w:t>o</w:t>
      </w:r>
      <w:r w:rsidRPr="00613500">
        <w:t xml:space="preserve"> 68959/01) dirigée</w:t>
      </w:r>
      <w:r w:rsidRPr="00613500" w:rsidR="009D02AC">
        <w:t xml:space="preserve"> contre </w:t>
      </w:r>
      <w:r w:rsidRPr="00613500">
        <w:t>la République de Turquie</w:t>
      </w:r>
      <w:r w:rsidR="00455BDD">
        <w:t xml:space="preserve"> et dont un syndicat de cet </w:t>
      </w:r>
      <w:r w:rsidR="009A036B">
        <w:t>Etat, Enerji Yapı-Yol Sen (« le requérant »)</w:t>
      </w:r>
      <w:r w:rsidR="004146B5">
        <w:t>,</w:t>
      </w:r>
      <w:r w:rsidR="009A036B">
        <w:t xml:space="preserve"> a saisi la Cour le 1</w:t>
      </w:r>
      <w:r w:rsidRPr="009A036B" w:rsidR="009A036B">
        <w:rPr>
          <w:vertAlign w:val="superscript"/>
        </w:rPr>
        <w:t>er</w:t>
      </w:r>
      <w:r w:rsidR="009A036B">
        <w:t xml:space="preserve"> septembre 2000 en vertu de l</w:t>
      </w:r>
      <w:r w:rsidR="00D67F8E">
        <w:t>’</w:t>
      </w:r>
      <w:r w:rsidR="009A036B">
        <w:t>article 34 de la Convention</w:t>
      </w:r>
      <w:r w:rsidRPr="00613500" w:rsidR="009D02AC">
        <w:t xml:space="preserve"> de sauvegarde des </w:t>
      </w:r>
      <w:r w:rsidRPr="00613500" w:rsidR="00BC0BF0">
        <w:t>d</w:t>
      </w:r>
      <w:r w:rsidRPr="00613500" w:rsidR="009D02AC">
        <w:t>roits de l</w:t>
      </w:r>
      <w:r w:rsidR="00D67F8E">
        <w:t>’</w:t>
      </w:r>
      <w:r w:rsidRPr="00613500" w:rsidR="00BC0BF0">
        <w:t>h</w:t>
      </w:r>
      <w:r w:rsidRPr="00613500" w:rsidR="003956D1">
        <w:t>omme et des l</w:t>
      </w:r>
      <w:r w:rsidRPr="00613500" w:rsidR="009D02AC">
        <w:t>ibertés fondamentales (« la Convention »).</w:t>
      </w:r>
    </w:p>
    <w:p w:rsidRPr="00613500" w:rsidR="009D02AC" w:rsidRDefault="00613500">
      <w:pPr>
        <w:pStyle w:val="JuPara"/>
      </w:pPr>
      <w:r w:rsidRPr="00613500">
        <w:fldChar w:fldCharType="begin"/>
      </w:r>
      <w:r w:rsidRPr="00613500">
        <w:instrText xml:space="preserve"> SEQ level0 \*arabic </w:instrText>
      </w:r>
      <w:r w:rsidRPr="00613500">
        <w:fldChar w:fldCharType="separate"/>
      </w:r>
      <w:r w:rsidR="00157E34">
        <w:rPr>
          <w:noProof/>
        </w:rPr>
        <w:t>2</w:t>
      </w:r>
      <w:r w:rsidRPr="00613500">
        <w:fldChar w:fldCharType="end"/>
      </w:r>
      <w:r w:rsidRPr="00613500" w:rsidR="009D02AC">
        <w:t>.  </w:t>
      </w:r>
      <w:r w:rsidRPr="00613500">
        <w:t>Le requérant est représenté par M</w:t>
      </w:r>
      <w:r w:rsidRPr="00613500">
        <w:rPr>
          <w:vertAlign w:val="superscript"/>
        </w:rPr>
        <w:t>e</w:t>
      </w:r>
      <w:r w:rsidR="009A036B">
        <w:t> Şahbaz Baş</w:t>
      </w:r>
      <w:r w:rsidRPr="00613500">
        <w:t xml:space="preserve">el, avocat à Ankara. </w:t>
      </w:r>
      <w:r w:rsidRPr="00613500" w:rsidR="009D02AC">
        <w:t xml:space="preserve">Le gouvernement </w:t>
      </w:r>
      <w:r w:rsidRPr="00613500">
        <w:t>turc</w:t>
      </w:r>
      <w:r w:rsidRPr="00613500" w:rsidR="009D02AC">
        <w:t xml:space="preserve"> (« le Gouvernement ») est représenté par son agent</w:t>
      </w:r>
      <w:r w:rsidR="00D2519B">
        <w:t>.</w:t>
      </w:r>
    </w:p>
    <w:p w:rsidRPr="00613500" w:rsidR="009D02AC" w:rsidRDefault="00613500">
      <w:pPr>
        <w:pStyle w:val="JuPara"/>
      </w:pPr>
      <w:r w:rsidRPr="00613500">
        <w:fldChar w:fldCharType="begin"/>
      </w:r>
      <w:r w:rsidRPr="00613500">
        <w:instrText xml:space="preserve"> SEQ level0 \*arabic </w:instrText>
      </w:r>
      <w:r w:rsidRPr="00613500">
        <w:fldChar w:fldCharType="separate"/>
      </w:r>
      <w:r w:rsidR="00157E34">
        <w:rPr>
          <w:noProof/>
        </w:rPr>
        <w:t>3</w:t>
      </w:r>
      <w:r w:rsidRPr="00613500">
        <w:fldChar w:fldCharType="end"/>
      </w:r>
      <w:r w:rsidRPr="00613500" w:rsidR="009D02AC">
        <w:t>.  </w:t>
      </w:r>
      <w:r w:rsidRPr="00613500">
        <w:t>Le requérant</w:t>
      </w:r>
      <w:r w:rsidR="00D2519B">
        <w:t xml:space="preserve"> all</w:t>
      </w:r>
      <w:r w:rsidR="004146B5">
        <w:t>ègue</w:t>
      </w:r>
      <w:r w:rsidR="00D2519B">
        <w:t xml:space="preserve"> qu</w:t>
      </w:r>
      <w:r w:rsidR="00D67F8E">
        <w:t>’</w:t>
      </w:r>
      <w:r w:rsidR="00D2519B">
        <w:t>au mépris de</w:t>
      </w:r>
      <w:r w:rsidR="005F4302">
        <w:t xml:space="preserve">s articles 11 et 14 de la Convention les instances nationales </w:t>
      </w:r>
      <w:r w:rsidR="004146B5">
        <w:t>ont</w:t>
      </w:r>
      <w:r w:rsidR="005F4302">
        <w:t xml:space="preserve"> porté atteinte à son droit à la liberté syndicale.</w:t>
      </w:r>
    </w:p>
    <w:p w:rsidR="00D134A9" w:rsidP="00371E1A" w:rsidRDefault="00613500">
      <w:pPr>
        <w:pStyle w:val="JuPara"/>
      </w:pPr>
      <w:r w:rsidRPr="00613500">
        <w:fldChar w:fldCharType="begin"/>
      </w:r>
      <w:r w:rsidRPr="00613500">
        <w:instrText xml:space="preserve"> SEQ level0 \*arabic </w:instrText>
      </w:r>
      <w:r w:rsidRPr="00613500">
        <w:fldChar w:fldCharType="separate"/>
      </w:r>
      <w:r w:rsidR="00157E34">
        <w:rPr>
          <w:noProof/>
        </w:rPr>
        <w:t>4</w:t>
      </w:r>
      <w:r w:rsidRPr="00613500">
        <w:fldChar w:fldCharType="end"/>
      </w:r>
      <w:r w:rsidRPr="00613500" w:rsidR="009D02AC">
        <w:t xml:space="preserve">.  Par une décision du </w:t>
      </w:r>
      <w:r w:rsidRPr="00613500">
        <w:t>31 janvier 2008</w:t>
      </w:r>
      <w:r w:rsidRPr="00613500" w:rsidR="009D02AC">
        <w:t xml:space="preserve">, la Cour a déclaré </w:t>
      </w:r>
      <w:r w:rsidR="005F4302">
        <w:t xml:space="preserve">la requête partiellement </w:t>
      </w:r>
      <w:r w:rsidRPr="00613500">
        <w:t>recevable</w:t>
      </w:r>
      <w:r w:rsidRPr="00613500" w:rsidR="009D02AC">
        <w:t>.</w:t>
      </w:r>
      <w:r w:rsidR="001632A1">
        <w:t xml:space="preserve"> Elle a aussi joint au fond l</w:t>
      </w:r>
      <w:r w:rsidR="00D67F8E">
        <w:t>’</w:t>
      </w:r>
      <w:r w:rsidR="001632A1">
        <w:t xml:space="preserve">exception préliminaire du Gouvernement </w:t>
      </w:r>
      <w:r w:rsidR="00EF137F">
        <w:t>portant sur</w:t>
      </w:r>
      <w:r w:rsidR="001632A1">
        <w:t xml:space="preserve"> </w:t>
      </w:r>
      <w:r w:rsidR="007A7FAE">
        <w:t>l</w:t>
      </w:r>
      <w:r w:rsidR="00D67F8E">
        <w:t>’</w:t>
      </w:r>
      <w:r w:rsidR="007A7FAE">
        <w:t xml:space="preserve">absence de </w:t>
      </w:r>
      <w:r w:rsidR="001632A1">
        <w:t>la qualité de victime du syndicat requérant.</w:t>
      </w:r>
    </w:p>
    <w:p w:rsidRPr="00613500" w:rsidR="009D02AC" w:rsidRDefault="00613500">
      <w:pPr>
        <w:pStyle w:val="JuPara"/>
      </w:pPr>
      <w:r w:rsidRPr="00613500">
        <w:fldChar w:fldCharType="begin"/>
      </w:r>
      <w:r w:rsidRPr="00613500">
        <w:instrText xml:space="preserve"> SEQ level0 \*arabic </w:instrText>
      </w:r>
      <w:r w:rsidRPr="00613500">
        <w:fldChar w:fldCharType="separate"/>
      </w:r>
      <w:r w:rsidR="00157E34">
        <w:rPr>
          <w:noProof/>
        </w:rPr>
        <w:t>5</w:t>
      </w:r>
      <w:r w:rsidRPr="00613500">
        <w:fldChar w:fldCharType="end"/>
      </w:r>
      <w:r w:rsidRPr="00613500" w:rsidR="009D02AC">
        <w:t xml:space="preserve">.  Tant </w:t>
      </w:r>
      <w:r w:rsidRPr="00613500">
        <w:t>le requérant</w:t>
      </w:r>
      <w:r w:rsidRPr="00613500" w:rsidR="009D02AC">
        <w:t xml:space="preserve"> que le Gouvernement ont déposé des observations écrites sur le fond de l</w:t>
      </w:r>
      <w:r w:rsidR="00D67F8E">
        <w:t>’</w:t>
      </w:r>
      <w:r w:rsidRPr="00613500" w:rsidR="009D02AC">
        <w:t>affaire (article 59 § 1 du règlement).</w:t>
      </w:r>
    </w:p>
    <w:p w:rsidRPr="00613500" w:rsidR="009D02AC" w:rsidRDefault="009D02AC">
      <w:pPr>
        <w:pStyle w:val="JuHHead"/>
      </w:pPr>
      <w:r w:rsidRPr="00613500">
        <w:t>EN FAIT</w:t>
      </w:r>
    </w:p>
    <w:p w:rsidRPr="00613500" w:rsidR="009D02AC" w:rsidRDefault="009D02AC">
      <w:pPr>
        <w:pStyle w:val="JuHIRoman"/>
      </w:pPr>
      <w:r w:rsidRPr="00613500">
        <w:t>I.  LES CIRCONSTANCES DE L</w:t>
      </w:r>
      <w:r w:rsidR="00D67F8E">
        <w:t>’</w:t>
      </w:r>
      <w:r w:rsidRPr="00613500">
        <w:t>ESPÈCE</w:t>
      </w:r>
    </w:p>
    <w:p w:rsidR="009D02AC" w:rsidP="005D25C7" w:rsidRDefault="001632A1">
      <w:pPr>
        <w:pStyle w:val="JuPara"/>
      </w:pPr>
      <w:r>
        <w:fldChar w:fldCharType="begin"/>
      </w:r>
      <w:r>
        <w:instrText xml:space="preserve"> SEQ level0 \*arabic </w:instrText>
      </w:r>
      <w:r>
        <w:fldChar w:fldCharType="separate"/>
      </w:r>
      <w:r w:rsidR="00157E34">
        <w:rPr>
          <w:noProof/>
        </w:rPr>
        <w:t>6</w:t>
      </w:r>
      <w:r>
        <w:fldChar w:fldCharType="end"/>
      </w:r>
      <w:r>
        <w:t>.  Le requérant</w:t>
      </w:r>
      <w:r w:rsidR="00E078B3">
        <w:t xml:space="preserve"> est un syndicat de fonctionnaires travaillant dans le secteur du cadastre et de l</w:t>
      </w:r>
      <w:r w:rsidR="00D67F8E">
        <w:t>’</w:t>
      </w:r>
      <w:r w:rsidR="00E078B3">
        <w:t>énergie ainsi que dans les services d</w:t>
      </w:r>
      <w:r w:rsidR="00D67F8E">
        <w:t>’</w:t>
      </w:r>
      <w:r w:rsidR="00E078B3">
        <w:t>infrastructure</w:t>
      </w:r>
      <w:r w:rsidR="00EF137F">
        <w:t>s</w:t>
      </w:r>
      <w:r w:rsidR="00E078B3">
        <w:t xml:space="preserve"> et de construction </w:t>
      </w:r>
      <w:r w:rsidR="005D25C7">
        <w:t>d</w:t>
      </w:r>
      <w:r w:rsidR="00D67F8E">
        <w:t>’</w:t>
      </w:r>
      <w:r w:rsidR="005D25C7">
        <w:t>autoroutes. Il a été fondé en 1992 et a son siège à Ankara. Il est membre de la Fédération des syndicats du secteur public.</w:t>
      </w:r>
    </w:p>
    <w:p w:rsidR="005D25C7" w:rsidP="005D25C7" w:rsidRDefault="005D25C7">
      <w:pPr>
        <w:pStyle w:val="JuPara"/>
      </w:pPr>
      <w:r>
        <w:fldChar w:fldCharType="begin"/>
      </w:r>
      <w:r>
        <w:instrText xml:space="preserve"> SEQ level0 \*arabic </w:instrText>
      </w:r>
      <w:r>
        <w:fldChar w:fldCharType="separate"/>
      </w:r>
      <w:r w:rsidR="00157E34">
        <w:rPr>
          <w:noProof/>
        </w:rPr>
        <w:t>7</w:t>
      </w:r>
      <w:r>
        <w:fldChar w:fldCharType="end"/>
      </w:r>
      <w:r>
        <w:t>.  Le 13 avril 1996, la direction générale du personnel près le premier ministre publia une circulaire n</w:t>
      </w:r>
      <w:r>
        <w:rPr>
          <w:vertAlign w:val="superscript"/>
        </w:rPr>
        <w:t>o</w:t>
      </w:r>
      <w:r>
        <w:t xml:space="preserve"> 1996/21, dont les parties pertinentes </w:t>
      </w:r>
      <w:r w:rsidR="00EF137F">
        <w:t>en l</w:t>
      </w:r>
      <w:r w:rsidR="00D67F8E">
        <w:t>’</w:t>
      </w:r>
      <w:r w:rsidR="00EF137F">
        <w:t xml:space="preserve">espèce </w:t>
      </w:r>
      <w:r>
        <w:t>se lisent comme suit :</w:t>
      </w:r>
    </w:p>
    <w:p w:rsidRPr="005D25C7" w:rsidR="005D25C7" w:rsidP="005D25C7" w:rsidRDefault="005D25C7">
      <w:pPr>
        <w:pStyle w:val="JuQuot"/>
      </w:pPr>
      <w:r w:rsidRPr="005D25C7">
        <w:t>« (...) Alors que les travaux [pour l</w:t>
      </w:r>
      <w:r w:rsidR="00D67F8E">
        <w:t>’</w:t>
      </w:r>
      <w:r w:rsidRPr="005D25C7">
        <w:t>harmonisation de la législation turque avec les conventions internationales, dont la Convention européenne des droits de l</w:t>
      </w:r>
      <w:r w:rsidR="00D67F8E">
        <w:t>’</w:t>
      </w:r>
      <w:r w:rsidR="00EF137F">
        <w:t>h</w:t>
      </w:r>
      <w:r w:rsidRPr="005D25C7">
        <w:t xml:space="preserve">omme, en matière </w:t>
      </w:r>
      <w:r w:rsidR="00EF137F">
        <w:t>de</w:t>
      </w:r>
      <w:r w:rsidRPr="005D25C7">
        <w:t xml:space="preserve"> droit syndical des fonctionnaires d</w:t>
      </w:r>
      <w:r w:rsidR="00D67F8E">
        <w:t>’</w:t>
      </w:r>
      <w:r w:rsidRPr="005D25C7">
        <w:t>Etat] sont en cours et que la situation juridique des fonctionnaires d</w:t>
      </w:r>
      <w:r w:rsidR="00D67F8E">
        <w:t>’</w:t>
      </w:r>
      <w:r w:rsidRPr="005D25C7">
        <w:t xml:space="preserve">Etat à cet égard demeure toujours incertaine, des informations ont été reçues quant à un éventuel rassemblement des fonctionnaires </w:t>
      </w:r>
      <w:r w:rsidR="00EF137F">
        <w:t>dans un but</w:t>
      </w:r>
      <w:r w:rsidRPr="005D25C7">
        <w:t xml:space="preserve"> de grèves et de grèves perlées au mépris de l</w:t>
      </w:r>
      <w:r w:rsidR="00D67F8E">
        <w:t>’</w:t>
      </w:r>
      <w:r w:rsidRPr="005D25C7">
        <w:t>interdiction prévue par la législation établissant leur statut juridique.</w:t>
      </w:r>
    </w:p>
    <w:p w:rsidRPr="005D25C7" w:rsidR="005D25C7" w:rsidP="005D25C7" w:rsidRDefault="005D25C7">
      <w:pPr>
        <w:pStyle w:val="JuQuot"/>
      </w:pPr>
      <w:r w:rsidRPr="005D25C7">
        <w:t>(...) pour la protection de l</w:t>
      </w:r>
      <w:r w:rsidR="00D67F8E">
        <w:t>’</w:t>
      </w:r>
      <w:r w:rsidRPr="005D25C7">
        <w:t>autorité étatique, le maintien de la sécurité publique, le bon déroulement du service [public] et la prévention de la transgression de la loi par les fonctionnaires ;</w:t>
      </w:r>
    </w:p>
    <w:p w:rsidR="005D25C7" w:rsidP="005D25C7" w:rsidRDefault="005D25C7">
      <w:pPr>
        <w:pStyle w:val="JuQuot"/>
      </w:pPr>
      <w:r w:rsidRPr="005D25C7">
        <w:t>Les fonctionnaires du secteur public seront empêchés, par les autorités dont ils relèvent, de participer aux réunions ou protestations susmentionnées ; la continuité du service [public] sera assurée et les personnes refusant d</w:t>
      </w:r>
      <w:r w:rsidR="00D67F8E">
        <w:t>’</w:t>
      </w:r>
      <w:r w:rsidRPr="005D25C7">
        <w:t>obtempérer</w:t>
      </w:r>
      <w:r w:rsidR="00EF137F">
        <w:t xml:space="preserve"> seront</w:t>
      </w:r>
      <w:r w:rsidRPr="005D25C7">
        <w:t xml:space="preserve"> poursuivies (...) </w:t>
      </w:r>
      <w:r>
        <w:t>»</w:t>
      </w:r>
    </w:p>
    <w:p w:rsidR="005D25C7" w:rsidP="005D25C7" w:rsidRDefault="005D25C7">
      <w:pPr>
        <w:pStyle w:val="JuPara"/>
      </w:pPr>
      <w:r>
        <w:fldChar w:fldCharType="begin"/>
      </w:r>
      <w:r>
        <w:instrText xml:space="preserve"> SEQ level0 \*arabic </w:instrText>
      </w:r>
      <w:r>
        <w:fldChar w:fldCharType="separate"/>
      </w:r>
      <w:r w:rsidR="00157E34">
        <w:rPr>
          <w:noProof/>
        </w:rPr>
        <w:t>8</w:t>
      </w:r>
      <w:r>
        <w:fldChar w:fldCharType="end"/>
      </w:r>
      <w:r>
        <w:t>.  </w:t>
      </w:r>
      <w:r w:rsidR="00293A44">
        <w:t>Cette circulaire</w:t>
      </w:r>
      <w:r w:rsidR="005164DB">
        <w:t xml:space="preserve"> fut prise</w:t>
      </w:r>
      <w:r w:rsidR="00293A44">
        <w:t xml:space="preserve"> cinq jours avant les actions programmées par la Fédération des syndicats du secteur public pour la reconnaissance du droit à une convention collective des fonctionnaires.</w:t>
      </w:r>
    </w:p>
    <w:p w:rsidR="00AB43A9" w:rsidP="00AB43A9" w:rsidRDefault="00533549">
      <w:pPr>
        <w:pStyle w:val="JuPara"/>
      </w:pPr>
      <w:r>
        <w:fldChar w:fldCharType="begin"/>
      </w:r>
      <w:r>
        <w:instrText xml:space="preserve"> SEQ level0 \*arabic </w:instrText>
      </w:r>
      <w:r>
        <w:fldChar w:fldCharType="separate"/>
      </w:r>
      <w:r w:rsidR="00157E34">
        <w:rPr>
          <w:noProof/>
        </w:rPr>
        <w:t>9</w:t>
      </w:r>
      <w:r>
        <w:fldChar w:fldCharType="end"/>
      </w:r>
      <w:r>
        <w:t>.  </w:t>
      </w:r>
      <w:r w:rsidR="00AB43A9">
        <w:t>MM. Cevat Kaya, Ataman Zengin et Cengiz Faydalı, membres du conseil d</w:t>
      </w:r>
      <w:r w:rsidR="00D67F8E">
        <w:t>’</w:t>
      </w:r>
      <w:r w:rsidR="00AB43A9">
        <w:t>administration du syndicat requérant, participèrent</w:t>
      </w:r>
      <w:r w:rsidRPr="00AB43A9" w:rsidR="00AB43A9">
        <w:t xml:space="preserve"> </w:t>
      </w:r>
      <w:r w:rsidR="00AB43A9">
        <w:t xml:space="preserve">aux grèves et aux déclarations </w:t>
      </w:r>
      <w:r w:rsidR="00EF137F">
        <w:t>à la</w:t>
      </w:r>
      <w:r w:rsidR="00AB43A9">
        <w:t xml:space="preserve"> presse du 18 avril 1996. En conséquence, ils se virent inflig</w:t>
      </w:r>
      <w:r w:rsidR="00EF137F">
        <w:t>er</w:t>
      </w:r>
      <w:r w:rsidR="00AB43A9">
        <w:t xml:space="preserve"> des sanctions disciplinaires.</w:t>
      </w:r>
    </w:p>
    <w:p w:rsidR="005D25C7" w:rsidRDefault="00AB43A9">
      <w:pPr>
        <w:pStyle w:val="JuPara"/>
      </w:pPr>
      <w:r>
        <w:fldChar w:fldCharType="begin"/>
      </w:r>
      <w:r>
        <w:instrText xml:space="preserve"> SEQ level0 \*arabic </w:instrText>
      </w:r>
      <w:r>
        <w:fldChar w:fldCharType="separate"/>
      </w:r>
      <w:r w:rsidR="00157E34">
        <w:rPr>
          <w:noProof/>
        </w:rPr>
        <w:t>10</w:t>
      </w:r>
      <w:r>
        <w:fldChar w:fldCharType="end"/>
      </w:r>
      <w:r>
        <w:t>.  Le requérant saisit alors le Conseil d</w:t>
      </w:r>
      <w:r w:rsidR="00D67F8E">
        <w:t>’</w:t>
      </w:r>
      <w:r>
        <w:t>Etat d</w:t>
      </w:r>
      <w:r w:rsidR="00D67F8E">
        <w:t>’</w:t>
      </w:r>
      <w:r>
        <w:t xml:space="preserve">une </w:t>
      </w:r>
      <w:r w:rsidR="00BD2B6C">
        <w:t>demande en annulation de la circulaire en question.</w:t>
      </w:r>
    </w:p>
    <w:p w:rsidR="00AB43A9" w:rsidRDefault="00AB43A9">
      <w:pPr>
        <w:pStyle w:val="JuPara"/>
      </w:pPr>
      <w:r>
        <w:fldChar w:fldCharType="begin"/>
      </w:r>
      <w:r>
        <w:instrText xml:space="preserve"> SEQ level0 \*arabic </w:instrText>
      </w:r>
      <w:r>
        <w:fldChar w:fldCharType="separate"/>
      </w:r>
      <w:r w:rsidR="00157E34">
        <w:rPr>
          <w:noProof/>
        </w:rPr>
        <w:t>11</w:t>
      </w:r>
      <w:r>
        <w:fldChar w:fldCharType="end"/>
      </w:r>
      <w:r>
        <w:t>.  </w:t>
      </w:r>
      <w:r w:rsidR="00BD2B6C">
        <w:t>Le 24 septembre 1996, le Conseil d</w:t>
      </w:r>
      <w:r w:rsidR="00D67F8E">
        <w:t>’</w:t>
      </w:r>
      <w:r w:rsidR="00BD2B6C">
        <w:t>Etat rejeta ce recours. Il considéra que la circulaire litigieuse était destinée à rappeler les dispositions législatives relatives à la conduite à tenir par les fonctionnaires. Selon la haute</w:t>
      </w:r>
      <w:r w:rsidR="00527385">
        <w:t xml:space="preserve"> juridiction administrative, la circulaire attaquée ne présentait pas un caractère réglementaire et ne pouvait faire l</w:t>
      </w:r>
      <w:r w:rsidR="00D67F8E">
        <w:t>’</w:t>
      </w:r>
      <w:r w:rsidR="00527385">
        <w:t>objet d</w:t>
      </w:r>
      <w:r w:rsidR="00D67F8E">
        <w:t>’</w:t>
      </w:r>
      <w:r w:rsidR="00527385">
        <w:t>un recours pour excès de pouvoir. Le Conseil d</w:t>
      </w:r>
      <w:r w:rsidR="00D67F8E">
        <w:t>’</w:t>
      </w:r>
      <w:r w:rsidR="00527385">
        <w:t xml:space="preserve">Etat </w:t>
      </w:r>
      <w:r w:rsidR="00EF137F">
        <w:t>jugea</w:t>
      </w:r>
      <w:r w:rsidR="00527385">
        <w:t xml:space="preserve"> </w:t>
      </w:r>
      <w:r w:rsidR="00DB5458">
        <w:t>également que la circulaire ne modifiait en rien le statut juridique du syndicat requérant et de ses membres.</w:t>
      </w:r>
    </w:p>
    <w:p w:rsidR="00DB5458" w:rsidRDefault="00DB5458">
      <w:pPr>
        <w:pStyle w:val="JuPara"/>
      </w:pPr>
      <w:r>
        <w:fldChar w:fldCharType="begin"/>
      </w:r>
      <w:r>
        <w:instrText xml:space="preserve"> SEQ level0 \*arabic </w:instrText>
      </w:r>
      <w:r>
        <w:fldChar w:fldCharType="separate"/>
      </w:r>
      <w:r w:rsidR="00157E34">
        <w:rPr>
          <w:noProof/>
        </w:rPr>
        <w:t>12</w:t>
      </w:r>
      <w:r>
        <w:fldChar w:fldCharType="end"/>
      </w:r>
      <w:r>
        <w:t>.  Le requérant se pourvut en cassation contre l</w:t>
      </w:r>
      <w:r w:rsidR="00D67F8E">
        <w:t>’</w:t>
      </w:r>
      <w:r>
        <w:t>arrêt du 24 septembre 1996.</w:t>
      </w:r>
    </w:p>
    <w:p w:rsidR="00DB5458" w:rsidRDefault="00DB5458">
      <w:pPr>
        <w:pStyle w:val="JuPara"/>
      </w:pPr>
      <w:r>
        <w:fldChar w:fldCharType="begin"/>
      </w:r>
      <w:r>
        <w:instrText xml:space="preserve"> SEQ level0 \*arabic </w:instrText>
      </w:r>
      <w:r>
        <w:fldChar w:fldCharType="separate"/>
      </w:r>
      <w:r w:rsidR="00157E34">
        <w:rPr>
          <w:noProof/>
        </w:rPr>
        <w:t>13</w:t>
      </w:r>
      <w:r>
        <w:fldChar w:fldCharType="end"/>
      </w:r>
      <w:r>
        <w:t>.  Le 2 juillet 1999, l</w:t>
      </w:r>
      <w:r w:rsidR="00D67F8E">
        <w:t>’</w:t>
      </w:r>
      <w:r>
        <w:t>assemblée plénière du Conseil d</w:t>
      </w:r>
      <w:r w:rsidR="00D67F8E">
        <w:t>’</w:t>
      </w:r>
      <w:r>
        <w:t>Etat confirma l</w:t>
      </w:r>
      <w:r w:rsidR="00D67F8E">
        <w:t>’</w:t>
      </w:r>
      <w:r>
        <w:t>arrêt attaqué en toutes ses dispositions.</w:t>
      </w:r>
    </w:p>
    <w:p w:rsidR="00DB5458" w:rsidRDefault="00DB5458">
      <w:pPr>
        <w:pStyle w:val="JuPara"/>
      </w:pPr>
      <w:r>
        <w:fldChar w:fldCharType="begin"/>
      </w:r>
      <w:r>
        <w:instrText xml:space="preserve"> SEQ level0 \*arabic </w:instrText>
      </w:r>
      <w:r>
        <w:fldChar w:fldCharType="separate"/>
      </w:r>
      <w:r w:rsidR="00157E34">
        <w:rPr>
          <w:noProof/>
        </w:rPr>
        <w:t>14</w:t>
      </w:r>
      <w:r>
        <w:fldChar w:fldCharType="end"/>
      </w:r>
      <w:r>
        <w:t>.  Le 21 janvier 2000, le Conseil d</w:t>
      </w:r>
      <w:r w:rsidR="00D67F8E">
        <w:t>’</w:t>
      </w:r>
      <w:r>
        <w:t>Etat rejeta le recours en rectification de l</w:t>
      </w:r>
      <w:r w:rsidR="00D67F8E">
        <w:t>’</w:t>
      </w:r>
      <w:r>
        <w:t>arrêt.</w:t>
      </w:r>
    </w:p>
    <w:p w:rsidRPr="00613500" w:rsidR="00DB5458" w:rsidRDefault="00DB5458">
      <w:pPr>
        <w:pStyle w:val="JuPara"/>
      </w:pPr>
      <w:r>
        <w:fldChar w:fldCharType="begin"/>
      </w:r>
      <w:r>
        <w:instrText xml:space="preserve"> SEQ level0 \*arabic </w:instrText>
      </w:r>
      <w:r>
        <w:fldChar w:fldCharType="separate"/>
      </w:r>
      <w:r w:rsidR="00157E34">
        <w:rPr>
          <w:noProof/>
        </w:rPr>
        <w:t>15</w:t>
      </w:r>
      <w:r>
        <w:fldChar w:fldCharType="end"/>
      </w:r>
      <w:r>
        <w:t>.  Le 1</w:t>
      </w:r>
      <w:r w:rsidRPr="00DB5458">
        <w:rPr>
          <w:vertAlign w:val="superscript"/>
        </w:rPr>
        <w:t>er</w:t>
      </w:r>
      <w:r>
        <w:t xml:space="preserve"> mars 2000, l</w:t>
      </w:r>
      <w:r w:rsidR="00D67F8E">
        <w:t>’</w:t>
      </w:r>
      <w:r>
        <w:t>arrêt du 21 janvier 2000 fut notifié à l</w:t>
      </w:r>
      <w:r w:rsidR="00D67F8E">
        <w:t>’</w:t>
      </w:r>
      <w:r>
        <w:t>avocat du requérant.</w:t>
      </w:r>
    </w:p>
    <w:p w:rsidRPr="00613500" w:rsidR="009D02AC" w:rsidRDefault="009D02AC">
      <w:pPr>
        <w:pStyle w:val="JuHIRoman"/>
      </w:pPr>
      <w:r w:rsidRPr="00613500">
        <w:t xml:space="preserve">II.  LE DROIT </w:t>
      </w:r>
      <w:r w:rsidR="00BF12C3">
        <w:t>INTERNE ET INTERNATIONAL PERTINENT</w:t>
      </w:r>
    </w:p>
    <w:p w:rsidRPr="00BF12C3" w:rsidR="00BF12C3" w:rsidRDefault="00613500">
      <w:pPr>
        <w:pStyle w:val="JuPara"/>
        <w:rPr>
          <w:i/>
          <w:lang w:eastAsia="en-US"/>
        </w:rPr>
      </w:pPr>
      <w:r w:rsidRPr="00613500">
        <w:fldChar w:fldCharType="begin"/>
      </w:r>
      <w:r w:rsidRPr="00613500">
        <w:instrText xml:space="preserve"> SEQ level0 \*arabic </w:instrText>
      </w:r>
      <w:r w:rsidRPr="00613500">
        <w:fldChar w:fldCharType="separate"/>
      </w:r>
      <w:r w:rsidR="00157E34">
        <w:rPr>
          <w:noProof/>
        </w:rPr>
        <w:t>16</w:t>
      </w:r>
      <w:r w:rsidRPr="00613500">
        <w:fldChar w:fldCharType="end"/>
      </w:r>
      <w:r w:rsidRPr="00613500" w:rsidR="009D02AC">
        <w:t>.  </w:t>
      </w:r>
      <w:r w:rsidR="00BF12C3">
        <w:t xml:space="preserve">Le droit interne et international pertinent </w:t>
      </w:r>
      <w:r w:rsidR="00EF137F">
        <w:t>en l</w:t>
      </w:r>
      <w:r w:rsidR="00D67F8E">
        <w:t>’</w:t>
      </w:r>
      <w:r w:rsidR="00EF137F">
        <w:t xml:space="preserve">espèce </w:t>
      </w:r>
      <w:r w:rsidR="00BF12C3">
        <w:t xml:space="preserve">est décrit dans </w:t>
      </w:r>
      <w:r w:rsidRPr="004146B5" w:rsidR="00BF12C3">
        <w:t>l</w:t>
      </w:r>
      <w:r w:rsidR="00D67F8E">
        <w:t>’</w:t>
      </w:r>
      <w:r w:rsidRPr="004146B5" w:rsidR="00BF12C3">
        <w:t xml:space="preserve">arrêt </w:t>
      </w:r>
      <w:r w:rsidRPr="004146B5" w:rsidR="00BF12C3">
        <w:rPr>
          <w:i/>
          <w:lang w:eastAsia="en-US"/>
        </w:rPr>
        <w:t>Demir et Baykara c. Turquie</w:t>
      </w:r>
      <w:r w:rsidRPr="004146B5" w:rsidR="00BF12C3">
        <w:rPr>
          <w:lang w:eastAsia="en-US"/>
        </w:rPr>
        <w:t xml:space="preserve"> [GC], n</w:t>
      </w:r>
      <w:r w:rsidRPr="004146B5" w:rsidR="00BF12C3">
        <w:rPr>
          <w:vertAlign w:val="superscript"/>
          <w:lang w:eastAsia="en-US"/>
        </w:rPr>
        <w:t>o</w:t>
      </w:r>
      <w:r w:rsidRPr="004146B5" w:rsidR="00BF12C3">
        <w:rPr>
          <w:lang w:eastAsia="en-US"/>
        </w:rPr>
        <w:t xml:space="preserve"> 34503/97,</w:t>
      </w:r>
      <w:r w:rsidRPr="004146B5" w:rsidR="007A7FAE">
        <w:rPr>
          <w:lang w:eastAsia="en-US"/>
        </w:rPr>
        <w:t xml:space="preserve"> §§ 34-52,</w:t>
      </w:r>
      <w:r w:rsidRPr="00BF12C3" w:rsidR="00BF12C3">
        <w:rPr>
          <w:lang w:eastAsia="en-US"/>
        </w:rPr>
        <w:t xml:space="preserve"> </w:t>
      </w:r>
      <w:r w:rsidRPr="00BF12C3" w:rsidR="007A7FAE">
        <w:rPr>
          <w:lang w:eastAsia="en-US"/>
        </w:rPr>
        <w:t>12</w:t>
      </w:r>
      <w:r w:rsidR="007A7FAE">
        <w:rPr>
          <w:lang w:eastAsia="en-US"/>
        </w:rPr>
        <w:t> </w:t>
      </w:r>
      <w:r w:rsidRPr="00BF12C3" w:rsidR="00BF12C3">
        <w:rPr>
          <w:lang w:eastAsia="en-US"/>
        </w:rPr>
        <w:t>novembre 2008</w:t>
      </w:r>
      <w:r w:rsidR="00BF12C3">
        <w:rPr>
          <w:lang w:eastAsia="en-US"/>
        </w:rPr>
        <w:t>.</w:t>
      </w:r>
    </w:p>
    <w:p w:rsidRPr="00613500" w:rsidR="009D02AC" w:rsidRDefault="009D02AC">
      <w:pPr>
        <w:pStyle w:val="JuHHead"/>
      </w:pPr>
      <w:r w:rsidRPr="00613500">
        <w:t>EN DROIT</w:t>
      </w:r>
    </w:p>
    <w:p w:rsidRPr="00613500" w:rsidR="00613500" w:rsidRDefault="00613500">
      <w:pPr>
        <w:pStyle w:val="JuHIRoman"/>
      </w:pPr>
      <w:r w:rsidRPr="00613500">
        <w:t>I.  SUR LA VIOLATION ALLÉGUÉE DE L</w:t>
      </w:r>
      <w:r w:rsidR="00D67F8E">
        <w:t>’</w:t>
      </w:r>
      <w:r w:rsidRPr="00613500">
        <w:t xml:space="preserve">ARTICLE </w:t>
      </w:r>
      <w:r w:rsidR="00BF12C3">
        <w:t>11</w:t>
      </w:r>
      <w:r w:rsidRPr="00613500">
        <w:t xml:space="preserve"> DE LA CONVENTION</w:t>
      </w:r>
    </w:p>
    <w:p w:rsidR="00D134A9" w:rsidP="00930473" w:rsidRDefault="00613500">
      <w:pPr>
        <w:pStyle w:val="JuPara"/>
      </w:pPr>
      <w:r w:rsidRPr="00613500">
        <w:fldChar w:fldCharType="begin"/>
      </w:r>
      <w:r w:rsidRPr="00613500">
        <w:instrText xml:space="preserve"> SEQ level0 \*arabic </w:instrText>
      </w:r>
      <w:r w:rsidRPr="00613500">
        <w:fldChar w:fldCharType="separate"/>
      </w:r>
      <w:r w:rsidR="00157E34">
        <w:rPr>
          <w:noProof/>
        </w:rPr>
        <w:t>17</w:t>
      </w:r>
      <w:r w:rsidRPr="00613500">
        <w:fldChar w:fldCharType="end"/>
      </w:r>
      <w:r w:rsidRPr="00613500">
        <w:t>.  </w:t>
      </w:r>
      <w:r w:rsidR="002C275C">
        <w:t>Le requérant estime</w:t>
      </w:r>
      <w:r w:rsidRPr="00930473" w:rsidR="002E1AF3">
        <w:t xml:space="preserve"> que la circulaire</w:t>
      </w:r>
      <w:r w:rsidRPr="00930473" w:rsidR="00930473">
        <w:t xml:space="preserve"> n</w:t>
      </w:r>
      <w:r w:rsidRPr="00BB5742" w:rsidR="00BB5742">
        <w:rPr>
          <w:vertAlign w:val="superscript"/>
        </w:rPr>
        <w:t>o</w:t>
      </w:r>
      <w:r w:rsidRPr="00930473" w:rsidR="00930473">
        <w:t xml:space="preserve"> 1996/21 a porté atteinte à son droit à la liberté syndicale</w:t>
      </w:r>
      <w:r w:rsidR="00930473">
        <w:t>. Il invoque à cet égard l</w:t>
      </w:r>
      <w:r w:rsidR="00D67F8E">
        <w:t>’</w:t>
      </w:r>
      <w:r w:rsidR="00930473">
        <w:t>article 11 de la Convention, ainsi libellé :</w:t>
      </w:r>
    </w:p>
    <w:p w:rsidRPr="00930473" w:rsidR="00930473" w:rsidP="00930473" w:rsidRDefault="00930473">
      <w:pPr>
        <w:pStyle w:val="JuQuot"/>
      </w:pPr>
      <w:r w:rsidRPr="00930473">
        <w:t>« 1.  Toute personne a droit à la liberté de réunion pacifique et à la liberté d</w:t>
      </w:r>
      <w:r w:rsidR="00D67F8E">
        <w:t>’</w:t>
      </w:r>
      <w:r w:rsidRPr="00930473">
        <w:t>association, y compris le droit de fonder avec d</w:t>
      </w:r>
      <w:r w:rsidR="00D67F8E">
        <w:t>’</w:t>
      </w:r>
      <w:r w:rsidRPr="00930473">
        <w:t>autres des syndicats et de s</w:t>
      </w:r>
      <w:r w:rsidR="00D67F8E">
        <w:t>’</w:t>
      </w:r>
      <w:r w:rsidRPr="00930473">
        <w:t>affilier à des syndicats pour la défense de ses intérêts.</w:t>
      </w:r>
    </w:p>
    <w:p w:rsidRPr="00930473" w:rsidR="00930473" w:rsidP="00930473" w:rsidRDefault="00930473">
      <w:pPr>
        <w:pStyle w:val="JuQuot"/>
      </w:pPr>
      <w:r w:rsidRPr="00930473">
        <w:t>2.  L</w:t>
      </w:r>
      <w:r w:rsidR="00D67F8E">
        <w:t>’</w:t>
      </w:r>
      <w:r w:rsidRPr="00930473">
        <w:t>exercice de ces droits ne peut faire l</w:t>
      </w:r>
      <w:r w:rsidR="00D67F8E">
        <w:t>’</w:t>
      </w:r>
      <w:r w:rsidRPr="00930473">
        <w:t>objet d</w:t>
      </w:r>
      <w:r w:rsidR="00D67F8E">
        <w:t>’</w:t>
      </w:r>
      <w:r w:rsidRPr="00930473">
        <w:t>autres restrictions que celles qui, prévues par la loi, constituent des mesures nécessaires, dans une société démocratique, à la sécurité nationale, à la sûreté publique, à la défense de l</w:t>
      </w:r>
      <w:r w:rsidR="00D67F8E">
        <w:t>’</w:t>
      </w:r>
      <w:r w:rsidRPr="00930473">
        <w:t>ordre et à la prévention du crime, à la protection de la santé ou de la morale, ou à la protection des droits et libertés d</w:t>
      </w:r>
      <w:r w:rsidR="00D67F8E">
        <w:t>’</w:t>
      </w:r>
      <w:r w:rsidRPr="00930473">
        <w:t>autrui. Le présent article n</w:t>
      </w:r>
      <w:r w:rsidR="00D67F8E">
        <w:t>’</w:t>
      </w:r>
      <w:r w:rsidRPr="00930473">
        <w:t>interdit pas que des restrictions légitimes soient imposées à l</w:t>
      </w:r>
      <w:r w:rsidR="00D67F8E">
        <w:t>’</w:t>
      </w:r>
      <w:r w:rsidRPr="00930473">
        <w:t>exercice de ces droits par les membres des forces armées, de la police ou de l</w:t>
      </w:r>
      <w:r w:rsidR="00D67F8E">
        <w:t>’</w:t>
      </w:r>
      <w:r w:rsidRPr="00930473">
        <w:t>administration de l</w:t>
      </w:r>
      <w:r w:rsidR="00D67F8E">
        <w:t>’</w:t>
      </w:r>
      <w:r w:rsidRPr="00930473">
        <w:t>Etat. »</w:t>
      </w:r>
    </w:p>
    <w:p w:rsidRPr="00613500" w:rsidR="00613500" w:rsidRDefault="00930473">
      <w:pPr>
        <w:pStyle w:val="JuPara"/>
      </w:pPr>
      <w:r>
        <w:fldChar w:fldCharType="begin"/>
      </w:r>
      <w:r>
        <w:instrText xml:space="preserve"> SEQ level0 \*arabic </w:instrText>
      </w:r>
      <w:r>
        <w:fldChar w:fldCharType="separate"/>
      </w:r>
      <w:r w:rsidR="00157E34">
        <w:rPr>
          <w:noProof/>
        </w:rPr>
        <w:t>18</w:t>
      </w:r>
      <w:r>
        <w:fldChar w:fldCharType="end"/>
      </w:r>
      <w:r>
        <w:t>.  Le Gouvernement combat cette thèse.</w:t>
      </w:r>
    </w:p>
    <w:p w:rsidRPr="00613500" w:rsidR="00613500" w:rsidRDefault="00930473">
      <w:pPr>
        <w:pStyle w:val="JuHA"/>
      </w:pPr>
      <w:r>
        <w:t>A.  </w:t>
      </w:r>
      <w:r w:rsidRPr="00613500" w:rsidR="00613500">
        <w:t xml:space="preserve">Sur </w:t>
      </w:r>
      <w:r>
        <w:t>l</w:t>
      </w:r>
      <w:r w:rsidR="00D67F8E">
        <w:t>’</w:t>
      </w:r>
      <w:r>
        <w:t>existence d</w:t>
      </w:r>
      <w:r w:rsidR="00D67F8E">
        <w:t>’</w:t>
      </w:r>
      <w:r>
        <w:t>une ingérence</w:t>
      </w:r>
    </w:p>
    <w:p w:rsidR="00D134A9" w:rsidRDefault="00613500">
      <w:pPr>
        <w:pStyle w:val="JuPara"/>
      </w:pPr>
      <w:r w:rsidRPr="00613500">
        <w:fldChar w:fldCharType="begin"/>
      </w:r>
      <w:r w:rsidRPr="00613500">
        <w:instrText xml:space="preserve"> SEQ level0 \*arabic </w:instrText>
      </w:r>
      <w:r w:rsidRPr="00613500">
        <w:fldChar w:fldCharType="separate"/>
      </w:r>
      <w:r w:rsidR="00157E34">
        <w:rPr>
          <w:noProof/>
        </w:rPr>
        <w:t>19</w:t>
      </w:r>
      <w:r w:rsidRPr="00613500">
        <w:fldChar w:fldCharType="end"/>
      </w:r>
      <w:r w:rsidRPr="00613500">
        <w:t>.  </w:t>
      </w:r>
      <w:r w:rsidR="00930473">
        <w:t>D</w:t>
      </w:r>
      <w:r w:rsidR="00D67F8E">
        <w:t>’</w:t>
      </w:r>
      <w:r w:rsidR="00930473">
        <w:t xml:space="preserve">emblée, la Cour rappelle </w:t>
      </w:r>
      <w:r w:rsidR="00084A2C">
        <w:t>que dans sa décision sur la recevabilité du 31 janvier 2008 elle a joint au fond l</w:t>
      </w:r>
      <w:r w:rsidR="00D67F8E">
        <w:t>’</w:t>
      </w:r>
      <w:r w:rsidR="00084A2C">
        <w:t xml:space="preserve">exception préliminaire du Gouvernement </w:t>
      </w:r>
      <w:r w:rsidR="007A7FAE">
        <w:t>portant sur</w:t>
      </w:r>
      <w:r w:rsidR="00084A2C">
        <w:t xml:space="preserve"> l</w:t>
      </w:r>
      <w:r w:rsidR="00D67F8E">
        <w:t>’</w:t>
      </w:r>
      <w:r w:rsidR="00084A2C">
        <w:t>absence de la qualité de « victime » du requérant.</w:t>
      </w:r>
    </w:p>
    <w:p w:rsidR="0057551A" w:rsidRDefault="004D2E78">
      <w:pPr>
        <w:pStyle w:val="JuPara"/>
      </w:pPr>
      <w:r>
        <w:fldChar w:fldCharType="begin"/>
      </w:r>
      <w:r>
        <w:instrText xml:space="preserve"> SEQ level0 \*arabic </w:instrText>
      </w:r>
      <w:r>
        <w:fldChar w:fldCharType="separate"/>
      </w:r>
      <w:r w:rsidR="00157E34">
        <w:rPr>
          <w:noProof/>
        </w:rPr>
        <w:t>20</w:t>
      </w:r>
      <w:r>
        <w:fldChar w:fldCharType="end"/>
      </w:r>
      <w:r>
        <w:t>.  Le requérant</w:t>
      </w:r>
      <w:r w:rsidR="00AC4D36">
        <w:t xml:space="preserve"> allègue que la circulaire </w:t>
      </w:r>
      <w:r w:rsidR="007A7FAE">
        <w:t>contestée,</w:t>
      </w:r>
      <w:r w:rsidR="00AC4D36">
        <w:t xml:space="preserve"> qui interdisait aux fonctionnaires de participer </w:t>
      </w:r>
      <w:r w:rsidR="00951FB3">
        <w:t>à une journée nationale de grève</w:t>
      </w:r>
      <w:r w:rsidR="003C0495">
        <w:t xml:space="preserve"> dans le cadre des actions collectives de réunions et de manifestations, </w:t>
      </w:r>
      <w:r w:rsidR="00951FB3">
        <w:t>s</w:t>
      </w:r>
      <w:r w:rsidR="00D67F8E">
        <w:t>’</w:t>
      </w:r>
      <w:r w:rsidR="00951FB3">
        <w:t>analyse en une ingérence</w:t>
      </w:r>
      <w:r w:rsidR="0057551A">
        <w:t xml:space="preserve"> dans </w:t>
      </w:r>
      <w:r w:rsidR="004146B5">
        <w:t>l</w:t>
      </w:r>
      <w:r w:rsidR="00D67F8E">
        <w:t>’</w:t>
      </w:r>
      <w:r w:rsidR="004146B5">
        <w:t xml:space="preserve">exercice de </w:t>
      </w:r>
      <w:r w:rsidR="0057551A">
        <w:t>son droit à la liberté syndicale.</w:t>
      </w:r>
    </w:p>
    <w:p w:rsidR="002C275C" w:rsidRDefault="0057551A">
      <w:pPr>
        <w:pStyle w:val="JuPara"/>
      </w:pPr>
      <w:r>
        <w:fldChar w:fldCharType="begin"/>
      </w:r>
      <w:r>
        <w:instrText xml:space="preserve"> SEQ level0 \*arabic </w:instrText>
      </w:r>
      <w:r>
        <w:fldChar w:fldCharType="separate"/>
      </w:r>
      <w:r w:rsidR="00157E34">
        <w:rPr>
          <w:noProof/>
        </w:rPr>
        <w:t>21</w:t>
      </w:r>
      <w:r>
        <w:fldChar w:fldCharType="end"/>
      </w:r>
      <w:r>
        <w:t>.  Le Gouvernement est d</w:t>
      </w:r>
      <w:r w:rsidR="00D67F8E">
        <w:t>’</w:t>
      </w:r>
      <w:r>
        <w:t>avis que le requérant</w:t>
      </w:r>
      <w:r w:rsidR="002C275C">
        <w:t xml:space="preserve"> n</w:t>
      </w:r>
      <w:r w:rsidR="00D67F8E">
        <w:t>’</w:t>
      </w:r>
      <w:r w:rsidR="004146B5">
        <w:t>a</w:t>
      </w:r>
      <w:r w:rsidR="002C275C">
        <w:t xml:space="preserve"> en rien </w:t>
      </w:r>
      <w:r w:rsidR="004146B5">
        <w:t xml:space="preserve">été </w:t>
      </w:r>
      <w:r w:rsidR="002C275C">
        <w:t>affecté par la circulaire susvisée. Il rappelle les dispositions législatives et soutient que cette circulaire n</w:t>
      </w:r>
      <w:r w:rsidR="00D67F8E">
        <w:t>’</w:t>
      </w:r>
      <w:r w:rsidR="002C275C">
        <w:t>a pas empêché l</w:t>
      </w:r>
      <w:r w:rsidR="00D67F8E">
        <w:t>’</w:t>
      </w:r>
      <w:r w:rsidR="002C275C">
        <w:t>intéressé de mener ses activités légales. Il affirme qu</w:t>
      </w:r>
      <w:r w:rsidR="00D67F8E">
        <w:t>’</w:t>
      </w:r>
      <w:r w:rsidR="002C275C">
        <w:t>il n</w:t>
      </w:r>
      <w:r w:rsidR="00D67F8E">
        <w:t>’</w:t>
      </w:r>
      <w:r w:rsidR="002C275C">
        <w:t xml:space="preserve">y a eu par conséquent aucune ingérence </w:t>
      </w:r>
      <w:r w:rsidR="007A7FAE">
        <w:t>dans l</w:t>
      </w:r>
      <w:r w:rsidR="00D67F8E">
        <w:t>’</w:t>
      </w:r>
      <w:r w:rsidR="007A7FAE">
        <w:t>exercice du</w:t>
      </w:r>
      <w:r w:rsidR="002C275C">
        <w:t xml:space="preserve"> droit du requérant à sa liberté syndicale au sens de l</w:t>
      </w:r>
      <w:r w:rsidR="00D67F8E">
        <w:t>’</w:t>
      </w:r>
      <w:r w:rsidR="002C275C">
        <w:t>article 11 de la Convention.</w:t>
      </w:r>
    </w:p>
    <w:p w:rsidR="00721BAA" w:rsidRDefault="002C275C">
      <w:pPr>
        <w:pStyle w:val="JuPara"/>
      </w:pPr>
      <w:r w:rsidRPr="00493134">
        <w:fldChar w:fldCharType="begin"/>
      </w:r>
      <w:r w:rsidRPr="00493134">
        <w:instrText xml:space="preserve"> SEQ level0 \*arabic </w:instrText>
      </w:r>
      <w:r w:rsidRPr="00493134">
        <w:fldChar w:fldCharType="separate"/>
      </w:r>
      <w:r w:rsidR="00157E34">
        <w:rPr>
          <w:noProof/>
        </w:rPr>
        <w:t>22</w:t>
      </w:r>
      <w:r w:rsidRPr="00493134">
        <w:fldChar w:fldCharType="end"/>
      </w:r>
      <w:r w:rsidRPr="00493134">
        <w:t>.  </w:t>
      </w:r>
      <w:r w:rsidRPr="00493134" w:rsidR="00493134">
        <w:t>La Cour rappelle que pour pouvoir introduire une requête en vertu de l</w:t>
      </w:r>
      <w:r w:rsidR="00D67F8E">
        <w:t>’</w:t>
      </w:r>
      <w:r w:rsidRPr="00493134" w:rsidR="00493134">
        <w:t>article 34 une personne physique, une organisation non gouvernementale ou un groupe de particuliers doit pouvoir se prétendre « victime d</w:t>
      </w:r>
      <w:r w:rsidR="00D67F8E">
        <w:t>’</w:t>
      </w:r>
      <w:r w:rsidRPr="00493134" w:rsidR="00493134">
        <w:t>une violation (...) des droits reconnus dans la Convention (...) ». Pour pouvoir se prétendre victime d</w:t>
      </w:r>
      <w:r w:rsidR="00D67F8E">
        <w:t>’</w:t>
      </w:r>
      <w:r w:rsidRPr="00493134" w:rsidR="00493134">
        <w:t>une violation, un individu doit avoir subi directement les effets de la mesure litigieuse (</w:t>
      </w:r>
      <w:bookmarkStart w:name="HIT11" w:id="8"/>
      <w:bookmarkEnd w:id="8"/>
      <w:r w:rsidRPr="00493134" w:rsidR="00493134">
        <w:rPr>
          <w:rStyle w:val="ju-005fpara--char"/>
          <w:bCs/>
          <w:i/>
          <w:iCs/>
        </w:rPr>
        <w:t>Irlande</w:t>
      </w:r>
      <w:r w:rsidRPr="00493134" w:rsidR="00493134">
        <w:rPr>
          <w:rStyle w:val="ju-005fpara--char"/>
          <w:i/>
          <w:iCs/>
        </w:rPr>
        <w:t xml:space="preserve"> </w:t>
      </w:r>
      <w:bookmarkStart w:name="HIT12" w:id="9"/>
      <w:bookmarkEnd w:id="9"/>
      <w:r w:rsidRPr="00493134" w:rsidR="00493134">
        <w:rPr>
          <w:rStyle w:val="ju-005fpara--char"/>
          <w:bCs/>
          <w:i/>
          <w:iCs/>
        </w:rPr>
        <w:t>c</w:t>
      </w:r>
      <w:r w:rsidRPr="00493134" w:rsidR="00493134">
        <w:rPr>
          <w:rStyle w:val="ju-005fpara--char"/>
          <w:i/>
          <w:iCs/>
        </w:rPr>
        <w:t>. Royaume-Uni</w:t>
      </w:r>
      <w:r w:rsidRPr="00493134" w:rsidR="00493134">
        <w:t xml:space="preserve">, arrêt du 18 janvier 1978, </w:t>
      </w:r>
      <w:r w:rsidRPr="00493134" w:rsidR="004146B5">
        <w:t>§§ 239-240</w:t>
      </w:r>
      <w:r w:rsidR="004146B5">
        <w:t xml:space="preserve">, </w:t>
      </w:r>
      <w:r w:rsidRPr="00493134" w:rsidR="00493134">
        <w:t>série A n</w:t>
      </w:r>
      <w:r w:rsidRPr="00493134" w:rsidR="00493134">
        <w:rPr>
          <w:vertAlign w:val="superscript"/>
        </w:rPr>
        <w:t>o</w:t>
      </w:r>
      <w:r w:rsidRPr="00493134" w:rsidR="00493134">
        <w:t xml:space="preserve"> 25 ; </w:t>
      </w:r>
      <w:r w:rsidR="00721BAA">
        <w:rPr>
          <w:rStyle w:val="ju-005fpara--char"/>
          <w:i/>
          <w:iCs/>
        </w:rPr>
        <w:t>Eckle c. Allemagne</w:t>
      </w:r>
      <w:r w:rsidR="0057586C">
        <w:t>, arrêt du 15 </w:t>
      </w:r>
      <w:r w:rsidR="00721BAA">
        <w:t>juillet</w:t>
      </w:r>
      <w:r w:rsidR="00721BAA">
        <w:rPr>
          <w:rStyle w:val="ju-005fpara--char"/>
          <w:i/>
          <w:iCs/>
        </w:rPr>
        <w:t xml:space="preserve"> </w:t>
      </w:r>
      <w:r w:rsidR="00721BAA">
        <w:t xml:space="preserve">1982, </w:t>
      </w:r>
      <w:r w:rsidR="004146B5">
        <w:t xml:space="preserve">§ 66, </w:t>
      </w:r>
      <w:r w:rsidR="00721BAA">
        <w:t>série A n</w:t>
      </w:r>
      <w:r w:rsidR="00721BAA">
        <w:rPr>
          <w:vertAlign w:val="superscript"/>
        </w:rPr>
        <w:t>o</w:t>
      </w:r>
      <w:r w:rsidR="00721BAA">
        <w:t xml:space="preserve"> 51</w:t>
      </w:r>
      <w:r w:rsidR="0057586C">
        <w:t> ;</w:t>
      </w:r>
      <w:r w:rsidRPr="00493134" w:rsidR="00721BAA">
        <w:t xml:space="preserve"> </w:t>
      </w:r>
      <w:r w:rsidRPr="00493134" w:rsidR="00721BAA">
        <w:rPr>
          <w:rStyle w:val="ju-005fpara--char"/>
          <w:i/>
          <w:iCs/>
        </w:rPr>
        <w:t xml:space="preserve">Klass et autres </w:t>
      </w:r>
      <w:r w:rsidRPr="00493134" w:rsidR="00721BAA">
        <w:rPr>
          <w:rStyle w:val="ju-005fpara--char"/>
          <w:bCs/>
          <w:i/>
          <w:iCs/>
        </w:rPr>
        <w:t>c</w:t>
      </w:r>
      <w:r w:rsidRPr="00493134" w:rsidR="00721BAA">
        <w:rPr>
          <w:rStyle w:val="ju-005fpara--char"/>
          <w:i/>
          <w:iCs/>
        </w:rPr>
        <w:t>. Allemagne</w:t>
      </w:r>
      <w:r w:rsidRPr="00493134" w:rsidR="00721BAA">
        <w:t xml:space="preserve">, arrêt du </w:t>
      </w:r>
      <w:r w:rsidRPr="004146B5" w:rsidR="007A7FAE">
        <w:t>6 </w:t>
      </w:r>
      <w:r w:rsidRPr="004146B5" w:rsidR="00721BAA">
        <w:t xml:space="preserve">septembre 1978, </w:t>
      </w:r>
      <w:r w:rsidRPr="004146B5" w:rsidR="004146B5">
        <w:t xml:space="preserve">§ 33, </w:t>
      </w:r>
      <w:r w:rsidRPr="004146B5" w:rsidR="00721BAA">
        <w:t>série A n</w:t>
      </w:r>
      <w:r w:rsidRPr="004146B5" w:rsidR="00721BAA">
        <w:rPr>
          <w:vertAlign w:val="superscript"/>
        </w:rPr>
        <w:t>o</w:t>
      </w:r>
      <w:r w:rsidRPr="004146B5" w:rsidR="00721BAA">
        <w:t xml:space="preserve"> 28).</w:t>
      </w:r>
      <w:r w:rsidRPr="004146B5" w:rsidR="00493134">
        <w:t xml:space="preserve"> Ainsi, la Convention n</w:t>
      </w:r>
      <w:r w:rsidR="00D67F8E">
        <w:t>’</w:t>
      </w:r>
      <w:r w:rsidRPr="004146B5" w:rsidR="00493134">
        <w:t xml:space="preserve">envisage pas la possibilité </w:t>
      </w:r>
      <w:r w:rsidRPr="004146B5" w:rsidR="004146B5">
        <w:t xml:space="preserve">que soit </w:t>
      </w:r>
      <w:r w:rsidRPr="004146B5" w:rsidR="00493134">
        <w:t>engag</w:t>
      </w:r>
      <w:r w:rsidRPr="004146B5" w:rsidR="004146B5">
        <w:t>ée</w:t>
      </w:r>
      <w:r w:rsidRPr="004146B5" w:rsidR="00493134">
        <w:t xml:space="preserve"> une </w:t>
      </w:r>
      <w:r w:rsidRPr="004146B5" w:rsidR="00493134">
        <w:rPr>
          <w:rStyle w:val="ju-005fpara--char"/>
          <w:i/>
          <w:iCs/>
        </w:rPr>
        <w:t>actio popularis</w:t>
      </w:r>
      <w:r w:rsidRPr="004146B5" w:rsidR="00493134">
        <w:t xml:space="preserve"> aux fins de l</w:t>
      </w:r>
      <w:r w:rsidR="00D67F8E">
        <w:t>’</w:t>
      </w:r>
      <w:r w:rsidRPr="004146B5" w:rsidR="00493134">
        <w:t>interprétation des droits reconnus dans la Convention ; elle n</w:t>
      </w:r>
      <w:r w:rsidR="00D67F8E">
        <w:t>’</w:t>
      </w:r>
      <w:r w:rsidRPr="004146B5" w:rsidR="00493134">
        <w:t>autorise pas non plus les particuliers à se plaindre d</w:t>
      </w:r>
      <w:r w:rsidR="00D67F8E">
        <w:t>’</w:t>
      </w:r>
      <w:r w:rsidRPr="004146B5" w:rsidR="00493134">
        <w:t>une disposition de droit interne simplement parce qu</w:t>
      </w:r>
      <w:r w:rsidR="00D67F8E">
        <w:t>’</w:t>
      </w:r>
      <w:r w:rsidRPr="004146B5" w:rsidR="00493134">
        <w:t>il leur semble, sans qu</w:t>
      </w:r>
      <w:r w:rsidR="00D67F8E">
        <w:t>’</w:t>
      </w:r>
      <w:r w:rsidRPr="004146B5" w:rsidR="00493134">
        <w:t>ils en aient directement subi les</w:t>
      </w:r>
      <w:r w:rsidRPr="00493134" w:rsidR="00493134">
        <w:t xml:space="preserve"> effets, qu</w:t>
      </w:r>
      <w:r w:rsidR="00D67F8E">
        <w:t>’</w:t>
      </w:r>
      <w:r w:rsidRPr="00493134" w:rsidR="00493134">
        <w:t>elle enfreint la Convention</w:t>
      </w:r>
      <w:r w:rsidR="00721BAA">
        <w:t xml:space="preserve"> (</w:t>
      </w:r>
      <w:r w:rsidR="00721BAA">
        <w:rPr>
          <w:rStyle w:val="ju--005fpara----char--char"/>
          <w:i/>
          <w:iCs/>
        </w:rPr>
        <w:t>Norris c. Irlande</w:t>
      </w:r>
      <w:r w:rsidR="00721BAA">
        <w:t>, arrêt du 26 octobre 1988, série A n</w:t>
      </w:r>
      <w:r w:rsidR="00721BAA">
        <w:rPr>
          <w:vertAlign w:val="superscript"/>
        </w:rPr>
        <w:t>o</w:t>
      </w:r>
      <w:r w:rsidR="00721BAA">
        <w:t xml:space="preserve"> 142).</w:t>
      </w:r>
    </w:p>
    <w:p w:rsidR="00AC4D36" w:rsidRDefault="00493134">
      <w:pPr>
        <w:pStyle w:val="JuPara"/>
      </w:pPr>
      <w:r>
        <w:fldChar w:fldCharType="begin"/>
      </w:r>
      <w:r>
        <w:instrText xml:space="preserve"> SEQ level0 \*arabic </w:instrText>
      </w:r>
      <w:r>
        <w:fldChar w:fldCharType="separate"/>
      </w:r>
      <w:r w:rsidR="00157E34">
        <w:rPr>
          <w:noProof/>
        </w:rPr>
        <w:t>23</w:t>
      </w:r>
      <w:r>
        <w:fldChar w:fldCharType="end"/>
      </w:r>
      <w:r>
        <w:t>.  </w:t>
      </w:r>
      <w:r w:rsidRPr="00493134">
        <w:t>Il est toutefois loisible à un particulier de soutenir qu</w:t>
      </w:r>
      <w:r w:rsidR="00D67F8E">
        <w:t>’</w:t>
      </w:r>
      <w:r w:rsidRPr="00493134">
        <w:t>une loi viole ses droits, en l</w:t>
      </w:r>
      <w:r w:rsidR="00D67F8E">
        <w:t>’</w:t>
      </w:r>
      <w:r w:rsidRPr="00493134">
        <w:t>absence d</w:t>
      </w:r>
      <w:r w:rsidR="00D67F8E">
        <w:t>’</w:t>
      </w:r>
      <w:r w:rsidRPr="00493134">
        <w:t>acte individuel d</w:t>
      </w:r>
      <w:r w:rsidR="00D67F8E">
        <w:t>’</w:t>
      </w:r>
      <w:r w:rsidRPr="00493134">
        <w:t>exécution, si l</w:t>
      </w:r>
      <w:r w:rsidR="00D67F8E">
        <w:t>’</w:t>
      </w:r>
      <w:r w:rsidRPr="00493134">
        <w:t>intéressé est obligé de changer de comportement sous peine de poursuites (</w:t>
      </w:r>
      <w:r w:rsidRPr="00493134">
        <w:rPr>
          <w:rStyle w:val="ju-005fpara--char"/>
          <w:i/>
          <w:iCs/>
        </w:rPr>
        <w:t>Norris</w:t>
      </w:r>
      <w:r w:rsidR="00FF1A05">
        <w:t xml:space="preserve">, </w:t>
      </w:r>
      <w:r w:rsidRPr="00493134">
        <w:t>précité</w:t>
      </w:r>
      <w:r w:rsidR="0057586C">
        <w:t> ;</w:t>
      </w:r>
      <w:r w:rsidRPr="00493134">
        <w:t xml:space="preserve"> </w:t>
      </w:r>
      <w:r w:rsidRPr="00493134">
        <w:rPr>
          <w:rStyle w:val="ju-005fpara--char"/>
          <w:i/>
          <w:iCs/>
        </w:rPr>
        <w:t xml:space="preserve">Bowman </w:t>
      </w:r>
      <w:bookmarkStart w:name="HIT14" w:id="10"/>
      <w:bookmarkEnd w:id="10"/>
      <w:r w:rsidRPr="00493134">
        <w:rPr>
          <w:rStyle w:val="ju-005fpara--char"/>
          <w:bCs/>
          <w:i/>
          <w:iCs/>
        </w:rPr>
        <w:t>c</w:t>
      </w:r>
      <w:r w:rsidRPr="00493134">
        <w:rPr>
          <w:rStyle w:val="ju-005fpara--char"/>
          <w:i/>
          <w:iCs/>
        </w:rPr>
        <w:t>. Royaume-Uni</w:t>
      </w:r>
      <w:r w:rsidRPr="00493134">
        <w:t>, n</w:t>
      </w:r>
      <w:r w:rsidRPr="00493134">
        <w:rPr>
          <w:vertAlign w:val="superscript"/>
        </w:rPr>
        <w:t>o</w:t>
      </w:r>
      <w:r w:rsidRPr="00493134">
        <w:t xml:space="preserve"> 24839/94, </w:t>
      </w:r>
      <w:r w:rsidRPr="00493134">
        <w:rPr>
          <w:rStyle w:val="ju-005fpara--char"/>
          <w:i/>
          <w:iCs/>
        </w:rPr>
        <w:t>Recueil</w:t>
      </w:r>
      <w:r w:rsidR="007A7FAE">
        <w:rPr>
          <w:rStyle w:val="ju-005fpara--char"/>
          <w:i/>
          <w:iCs/>
        </w:rPr>
        <w:t xml:space="preserve"> des arrêts et décisions</w:t>
      </w:r>
      <w:r w:rsidRPr="00493134">
        <w:t xml:space="preserve"> 1998-I) ou s</w:t>
      </w:r>
      <w:r w:rsidR="00D67F8E">
        <w:t>’</w:t>
      </w:r>
      <w:r w:rsidRPr="00493134">
        <w:t>il fait partie d</w:t>
      </w:r>
      <w:r w:rsidR="00D67F8E">
        <w:t>’</w:t>
      </w:r>
      <w:r w:rsidRPr="00493134">
        <w:t>une catégorie de personnes risquant de subir directement les effets de la législation (</w:t>
      </w:r>
      <w:r w:rsidRPr="00721BAA" w:rsidR="00721BAA">
        <w:rPr>
          <w:i/>
          <w:lang w:eastAsia="en-US"/>
        </w:rPr>
        <w:t>Burden c. Royaume-Uni</w:t>
      </w:r>
      <w:r w:rsidRPr="00721BAA" w:rsidR="00721BAA">
        <w:rPr>
          <w:lang w:eastAsia="en-US"/>
        </w:rPr>
        <w:t xml:space="preserve"> [GC], </w:t>
      </w:r>
      <w:r w:rsidRPr="00721BAA" w:rsidR="00F66903">
        <w:rPr>
          <w:lang w:eastAsia="en-US"/>
        </w:rPr>
        <w:t>n</w:t>
      </w:r>
      <w:r w:rsidRPr="00721BAA" w:rsidR="00F66903">
        <w:rPr>
          <w:vertAlign w:val="superscript"/>
          <w:lang w:eastAsia="en-US"/>
        </w:rPr>
        <w:t>o</w:t>
      </w:r>
      <w:r w:rsidR="00F66903">
        <w:rPr>
          <w:lang w:eastAsia="en-US"/>
        </w:rPr>
        <w:t> </w:t>
      </w:r>
      <w:r w:rsidRPr="00721BAA" w:rsidR="00721BAA">
        <w:rPr>
          <w:lang w:eastAsia="en-US"/>
        </w:rPr>
        <w:t>13378/05, §</w:t>
      </w:r>
      <w:r w:rsidR="005C5E7F">
        <w:rPr>
          <w:lang w:eastAsia="en-US"/>
        </w:rPr>
        <w:t>§ 33-35</w:t>
      </w:r>
      <w:r w:rsidRPr="00721BAA" w:rsidR="00721BAA">
        <w:rPr>
          <w:lang w:eastAsia="en-US"/>
        </w:rPr>
        <w:t>, 29 avril 2008</w:t>
      </w:r>
      <w:r w:rsidR="0057586C">
        <w:rPr>
          <w:lang w:eastAsia="en-US"/>
        </w:rPr>
        <w:t> ;</w:t>
      </w:r>
      <w:r w:rsidR="005C5E7F">
        <w:rPr>
          <w:lang w:eastAsia="en-US"/>
        </w:rPr>
        <w:t xml:space="preserve"> </w:t>
      </w:r>
      <w:r w:rsidR="005C5E7F">
        <w:rPr>
          <w:rStyle w:val="ju-005fpara--char"/>
          <w:i/>
          <w:iCs/>
        </w:rPr>
        <w:t>Johnston et autres c. Irlande</w:t>
      </w:r>
      <w:r w:rsidR="005C5E7F">
        <w:t>, arrêt du 18 décembre 1986, série A n</w:t>
      </w:r>
      <w:r w:rsidR="005C5E7F">
        <w:rPr>
          <w:vertAlign w:val="superscript"/>
        </w:rPr>
        <w:t>o</w:t>
      </w:r>
      <w:r w:rsidR="005C5E7F">
        <w:t xml:space="preserve"> 112</w:t>
      </w:r>
      <w:r w:rsidR="0057586C">
        <w:t> ;</w:t>
      </w:r>
      <w:r w:rsidRPr="00493134">
        <w:t xml:space="preserve"> </w:t>
      </w:r>
      <w:bookmarkStart w:name="HIT15" w:id="11"/>
      <w:bookmarkEnd w:id="11"/>
      <w:r w:rsidRPr="00493134">
        <w:rPr>
          <w:rStyle w:val="ju-005fpara--char"/>
          <w:bCs/>
          <w:i/>
          <w:iCs/>
        </w:rPr>
        <w:t>Open</w:t>
      </w:r>
      <w:r w:rsidRPr="00493134">
        <w:rPr>
          <w:rStyle w:val="ju-005fpara--char"/>
          <w:i/>
          <w:iCs/>
        </w:rPr>
        <w:t xml:space="preserve"> </w:t>
      </w:r>
      <w:bookmarkStart w:name="HIT16" w:id="12"/>
      <w:bookmarkEnd w:id="12"/>
      <w:r w:rsidRPr="00493134">
        <w:rPr>
          <w:rStyle w:val="ju-005fpara--char"/>
          <w:bCs/>
          <w:i/>
          <w:iCs/>
        </w:rPr>
        <w:t>Door</w:t>
      </w:r>
      <w:r w:rsidRPr="00493134">
        <w:rPr>
          <w:rStyle w:val="ju-005fpara--char"/>
          <w:i/>
          <w:iCs/>
        </w:rPr>
        <w:t xml:space="preserve"> et </w:t>
      </w:r>
      <w:bookmarkStart w:name="HIT17" w:id="13"/>
      <w:bookmarkEnd w:id="13"/>
      <w:r w:rsidRPr="00493134">
        <w:rPr>
          <w:rStyle w:val="ju-005fpara--char"/>
          <w:bCs/>
          <w:i/>
          <w:iCs/>
        </w:rPr>
        <w:t>Dublin</w:t>
      </w:r>
      <w:r w:rsidRPr="00493134">
        <w:rPr>
          <w:rStyle w:val="ju-005fpara--char"/>
          <w:i/>
          <w:iCs/>
        </w:rPr>
        <w:t xml:space="preserve"> </w:t>
      </w:r>
      <w:bookmarkStart w:name="HIT18" w:id="14"/>
      <w:bookmarkEnd w:id="14"/>
      <w:r w:rsidRPr="00493134">
        <w:rPr>
          <w:rStyle w:val="ju-005fpara--char"/>
          <w:bCs/>
          <w:i/>
          <w:iCs/>
        </w:rPr>
        <w:t>Well</w:t>
      </w:r>
      <w:r w:rsidRPr="00493134">
        <w:rPr>
          <w:rStyle w:val="ju-005fpara--char"/>
          <w:i/>
          <w:iCs/>
        </w:rPr>
        <w:t xml:space="preserve"> </w:t>
      </w:r>
      <w:bookmarkStart w:name="HIT19" w:id="15"/>
      <w:bookmarkEnd w:id="15"/>
      <w:r w:rsidRPr="00493134">
        <w:rPr>
          <w:rStyle w:val="ju-005fpara--char"/>
          <w:bCs/>
          <w:i/>
          <w:iCs/>
        </w:rPr>
        <w:t>Woman</w:t>
      </w:r>
      <w:r w:rsidRPr="00493134">
        <w:rPr>
          <w:rStyle w:val="ju-005fpara--char"/>
          <w:i/>
          <w:iCs/>
        </w:rPr>
        <w:t xml:space="preserve"> </w:t>
      </w:r>
      <w:bookmarkStart w:name="HIT20" w:id="16"/>
      <w:bookmarkEnd w:id="16"/>
      <w:r w:rsidRPr="00493134">
        <w:rPr>
          <w:rStyle w:val="ju-005fpara--char"/>
          <w:bCs/>
          <w:i/>
          <w:iCs/>
        </w:rPr>
        <w:t>c</w:t>
      </w:r>
      <w:r w:rsidRPr="00493134" w:rsidR="00F66903">
        <w:rPr>
          <w:rStyle w:val="ju-005fpara--char"/>
          <w:i/>
          <w:iCs/>
        </w:rPr>
        <w:t>.</w:t>
      </w:r>
      <w:r w:rsidR="00F66903">
        <w:rPr>
          <w:rStyle w:val="ju-005fpara--char"/>
          <w:i/>
          <w:iCs/>
        </w:rPr>
        <w:t> </w:t>
      </w:r>
      <w:r w:rsidRPr="00493134">
        <w:rPr>
          <w:rStyle w:val="ju-005fpara--char"/>
          <w:i/>
          <w:iCs/>
        </w:rPr>
        <w:t>Irlande</w:t>
      </w:r>
      <w:r w:rsidRPr="00493134">
        <w:t>, arrêt du 29 octobre 1992, série A n</w:t>
      </w:r>
      <w:r w:rsidRPr="00493134">
        <w:rPr>
          <w:vertAlign w:val="superscript"/>
        </w:rPr>
        <w:t>o</w:t>
      </w:r>
      <w:r w:rsidRPr="00493134">
        <w:t> 246-A).</w:t>
      </w:r>
    </w:p>
    <w:p w:rsidRPr="006F0A9F" w:rsidR="000649E5" w:rsidP="0057586C" w:rsidRDefault="005C5E7F">
      <w:pPr>
        <w:pStyle w:val="JuPara"/>
      </w:pPr>
      <w:r w:rsidRPr="006F0A9F">
        <w:fldChar w:fldCharType="begin"/>
      </w:r>
      <w:r w:rsidRPr="006F0A9F">
        <w:instrText xml:space="preserve"> SEQ level0 \*arabic </w:instrText>
      </w:r>
      <w:r w:rsidRPr="006F0A9F">
        <w:fldChar w:fldCharType="separate"/>
      </w:r>
      <w:r w:rsidR="00157E34">
        <w:rPr>
          <w:noProof/>
        </w:rPr>
        <w:t>24</w:t>
      </w:r>
      <w:r w:rsidRPr="006F0A9F">
        <w:fldChar w:fldCharType="end"/>
      </w:r>
      <w:r w:rsidRPr="006F0A9F">
        <w:t>.  </w:t>
      </w:r>
      <w:r w:rsidRPr="001868FE" w:rsidR="006F0A9F">
        <w:t>En l</w:t>
      </w:r>
      <w:r w:rsidR="00D67F8E">
        <w:t>’</w:t>
      </w:r>
      <w:r w:rsidRPr="001868FE" w:rsidR="006F0A9F">
        <w:t>espèce, la Cour estime à l</w:t>
      </w:r>
      <w:r w:rsidR="00D67F8E">
        <w:t>’</w:t>
      </w:r>
      <w:r w:rsidRPr="001868FE" w:rsidR="006F0A9F">
        <w:t>aune de ces principes que le syndicat requérant a subi directement les effets de la circulaire litigieuse et qu</w:t>
      </w:r>
      <w:r w:rsidR="00D67F8E">
        <w:t>’</w:t>
      </w:r>
      <w:r w:rsidRPr="001868FE" w:rsidR="006F0A9F">
        <w:t>il peut en conséquence se prétendre victime d</w:t>
      </w:r>
      <w:r w:rsidR="00D67F8E">
        <w:t>’</w:t>
      </w:r>
      <w:r w:rsidRPr="001868FE" w:rsidR="006F0A9F">
        <w:t>une ingérence dans l</w:t>
      </w:r>
      <w:r w:rsidR="00D67F8E">
        <w:t>’</w:t>
      </w:r>
      <w:r w:rsidRPr="001868FE" w:rsidR="006F0A9F">
        <w:t>exercice de son droit à la liberté syndicale. En effet, la Cour observe que la circulaire n</w:t>
      </w:r>
      <w:r w:rsidRPr="001868FE" w:rsidR="00BB5742">
        <w:t>o</w:t>
      </w:r>
      <w:r w:rsidRPr="001868FE" w:rsidR="006F0A9F">
        <w:t> 1996/21 interdisait aux fonctionnaires de participer à une journée nationale de grève organisée dans le cadre des actions programmées par la Fédération des syndicats du secteur public pour la reconnaissance du droit à une convention collective des fonctionnaires. Les personnes ayant participé à cette journée se sont vues infliger des sanctions disciplina</w:t>
      </w:r>
      <w:r w:rsidRPr="001868FE" w:rsidR="005063E0">
        <w:t xml:space="preserve">ires (paragraphe 9 ci-dessus). </w:t>
      </w:r>
      <w:r w:rsidRPr="001868FE" w:rsidR="006F0A9F">
        <w:t>Or ce qu</w:t>
      </w:r>
      <w:r w:rsidR="00D67F8E">
        <w:t>’</w:t>
      </w:r>
      <w:r w:rsidRPr="001868FE" w:rsidR="006F0A9F">
        <w:t>exige la Convention, c</w:t>
      </w:r>
      <w:r w:rsidR="00D67F8E">
        <w:t>’</w:t>
      </w:r>
      <w:r w:rsidRPr="001868FE" w:rsidR="006F0A9F">
        <w:t>est que la législation permette aux syndicats, selon les modalités non contraires à l</w:t>
      </w:r>
      <w:r w:rsidR="00D67F8E">
        <w:t>’</w:t>
      </w:r>
      <w:r w:rsidRPr="001868FE" w:rsidR="006F0A9F">
        <w:t>article 11, de lutter pour la défense des intérêts de leurs membres</w:t>
      </w:r>
      <w:r w:rsidRPr="006F0A9F" w:rsidR="006F0A9F">
        <w:rPr>
          <w:rStyle w:val="Strong"/>
          <w:b w:val="0"/>
          <w:szCs w:val="24"/>
        </w:rPr>
        <w:t xml:space="preserve"> (</w:t>
      </w:r>
      <w:r w:rsidRPr="00811B4C" w:rsidR="00811B4C">
        <w:rPr>
          <w:i/>
          <w:lang w:eastAsia="en-US"/>
        </w:rPr>
        <w:t>Schmidt et Dahlström c. Suède</w:t>
      </w:r>
      <w:r w:rsidR="00811B4C">
        <w:rPr>
          <w:lang w:eastAsia="en-US"/>
        </w:rPr>
        <w:t xml:space="preserve">, 6 février 1976, </w:t>
      </w:r>
      <w:r w:rsidRPr="006F0A9F" w:rsidR="00811B4C">
        <w:rPr>
          <w:rStyle w:val="Strong"/>
          <w:b w:val="0"/>
          <w:szCs w:val="24"/>
        </w:rPr>
        <w:t>§§ 34 et 36</w:t>
      </w:r>
      <w:r w:rsidRPr="00811B4C" w:rsidR="00811B4C">
        <w:rPr>
          <w:lang w:eastAsia="en-US"/>
        </w:rPr>
        <w:t>, série A n</w:t>
      </w:r>
      <w:r w:rsidRPr="00811B4C" w:rsidR="00811B4C">
        <w:rPr>
          <w:vertAlign w:val="superscript"/>
          <w:lang w:eastAsia="en-US"/>
        </w:rPr>
        <w:t>o</w:t>
      </w:r>
      <w:r w:rsidRPr="00811B4C" w:rsidR="00811B4C">
        <w:rPr>
          <w:lang w:eastAsia="en-US"/>
        </w:rPr>
        <w:t xml:space="preserve"> 21</w:t>
      </w:r>
      <w:r w:rsidR="00811B4C">
        <w:rPr>
          <w:lang w:eastAsia="en-US"/>
        </w:rPr>
        <w:t xml:space="preserve"> ; </w:t>
      </w:r>
      <w:r w:rsidRPr="00811B4C" w:rsidR="00811B4C">
        <w:rPr>
          <w:i/>
          <w:lang w:eastAsia="en-US"/>
        </w:rPr>
        <w:t>Syndicat national de la police belge c. Belgique</w:t>
      </w:r>
      <w:r w:rsidRPr="00811B4C" w:rsidR="00811B4C">
        <w:rPr>
          <w:lang w:eastAsia="en-US"/>
        </w:rPr>
        <w:t xml:space="preserve">, 27 octobre 1975, § </w:t>
      </w:r>
      <w:r w:rsidR="00811B4C">
        <w:rPr>
          <w:lang w:eastAsia="en-US"/>
        </w:rPr>
        <w:t>39</w:t>
      </w:r>
      <w:r w:rsidRPr="00811B4C" w:rsidR="00811B4C">
        <w:rPr>
          <w:lang w:eastAsia="en-US"/>
        </w:rPr>
        <w:t>, série A n</w:t>
      </w:r>
      <w:r w:rsidRPr="00811B4C" w:rsidR="00811B4C">
        <w:rPr>
          <w:vertAlign w:val="superscript"/>
          <w:lang w:eastAsia="en-US"/>
        </w:rPr>
        <w:t>o</w:t>
      </w:r>
      <w:r w:rsidR="00811B4C">
        <w:rPr>
          <w:lang w:eastAsia="en-US"/>
        </w:rPr>
        <w:t xml:space="preserve"> 19 ; </w:t>
      </w:r>
      <w:r w:rsidRPr="00811B4C" w:rsidR="00811B4C">
        <w:rPr>
          <w:i/>
          <w:lang w:eastAsia="en-US"/>
        </w:rPr>
        <w:t>Syndicat suédois des conducteurs de locomotives c. Suède</w:t>
      </w:r>
      <w:r w:rsidRPr="00811B4C" w:rsidR="00811B4C">
        <w:rPr>
          <w:lang w:eastAsia="en-US"/>
        </w:rPr>
        <w:t xml:space="preserve">, 6 février 1976, § </w:t>
      </w:r>
      <w:r w:rsidR="00811B4C">
        <w:rPr>
          <w:lang w:eastAsia="en-US"/>
        </w:rPr>
        <w:t>40</w:t>
      </w:r>
      <w:r w:rsidRPr="00811B4C" w:rsidR="00811B4C">
        <w:rPr>
          <w:lang w:eastAsia="en-US"/>
        </w:rPr>
        <w:t>, série A n</w:t>
      </w:r>
      <w:r w:rsidRPr="00811B4C" w:rsidR="00811B4C">
        <w:rPr>
          <w:vertAlign w:val="superscript"/>
          <w:lang w:eastAsia="en-US"/>
        </w:rPr>
        <w:t>o</w:t>
      </w:r>
      <w:r w:rsidR="001868FE">
        <w:rPr>
          <w:lang w:eastAsia="en-US"/>
        </w:rPr>
        <w:t> </w:t>
      </w:r>
      <w:r w:rsidR="00811B4C">
        <w:rPr>
          <w:lang w:eastAsia="en-US"/>
        </w:rPr>
        <w:t>20).</w:t>
      </w:r>
      <w:r w:rsidRPr="006F0A9F" w:rsidR="006F0A9F">
        <w:t xml:space="preserve"> La grève, qui permet à un syndicat de faire entendre sa voix, constitue un aspect important pour les membres d</w:t>
      </w:r>
      <w:r w:rsidR="00D67F8E">
        <w:t>’</w:t>
      </w:r>
      <w:r w:rsidRPr="006F0A9F" w:rsidR="006F0A9F">
        <w:t>un syndicat dans la protection de leurs intérêts</w:t>
      </w:r>
      <w:r w:rsidR="006F0A9F">
        <w:t xml:space="preserve"> (</w:t>
      </w:r>
      <w:r w:rsidRPr="00811B4C" w:rsidR="001868FE">
        <w:rPr>
          <w:i/>
          <w:lang w:eastAsia="en-US"/>
        </w:rPr>
        <w:t>Schmidt et Dahlström</w:t>
      </w:r>
      <w:r w:rsidR="006F0A9F">
        <w:rPr>
          <w:rStyle w:val="Strong"/>
          <w:b w:val="0"/>
          <w:szCs w:val="24"/>
        </w:rPr>
        <w:t xml:space="preserve">, </w:t>
      </w:r>
      <w:r w:rsidRPr="001868FE" w:rsidR="006F0A9F">
        <w:t>précité, § 36</w:t>
      </w:r>
      <w:r w:rsidR="006F0A9F">
        <w:rPr>
          <w:rStyle w:val="Strong"/>
          <w:b w:val="0"/>
          <w:szCs w:val="24"/>
        </w:rPr>
        <w:t>)</w:t>
      </w:r>
      <w:r w:rsidRPr="006F0A9F" w:rsidR="006F0A9F">
        <w:t>.</w:t>
      </w:r>
      <w:r w:rsidR="006F0A9F">
        <w:t xml:space="preserve"> La Cour note également que l</w:t>
      </w:r>
      <w:r w:rsidRPr="006F0A9F" w:rsidR="006F0A9F">
        <w:t>e droit de grève est reconnu par les organes de contrôle de l</w:t>
      </w:r>
      <w:r w:rsidR="00D67F8E">
        <w:t>’</w:t>
      </w:r>
      <w:r w:rsidRPr="006F0A9F" w:rsidR="006F0A9F">
        <w:t>Organisation internationale du travail (OIT) comme le corollaire indissociable du droit d</w:t>
      </w:r>
      <w:r w:rsidR="00D67F8E">
        <w:t>’</w:t>
      </w:r>
      <w:r w:rsidRPr="006F0A9F" w:rsidR="006F0A9F">
        <w:t>association syndicale protégé par la Convention C87 de l</w:t>
      </w:r>
      <w:r w:rsidR="00D67F8E">
        <w:t>’</w:t>
      </w:r>
      <w:r w:rsidRPr="006F0A9F" w:rsidR="006F0A9F">
        <w:t xml:space="preserve">OIT sur la liberté syndicale et la protection du droit syndical (pour la prise en compte par la Cour des éléments de droit international autres que la Convention, voir </w:t>
      </w:r>
      <w:r w:rsidRPr="006F0A9F" w:rsidR="006F0A9F">
        <w:rPr>
          <w:i/>
          <w:lang w:eastAsia="en-US"/>
        </w:rPr>
        <w:t>Demir et Baykara</w:t>
      </w:r>
      <w:r w:rsidRPr="006F0A9F" w:rsidR="006F0A9F">
        <w:t xml:space="preserve">, </w:t>
      </w:r>
      <w:r w:rsidR="00DF6AC1">
        <w:rPr>
          <w:lang w:eastAsia="en-US"/>
        </w:rPr>
        <w:t>précité</w:t>
      </w:r>
      <w:r w:rsidRPr="006F0A9F" w:rsidR="006F0A9F">
        <w:t xml:space="preserve">). </w:t>
      </w:r>
      <w:r w:rsidR="00383E2F">
        <w:t>Elle rappelle que l</w:t>
      </w:r>
      <w:r w:rsidRPr="006F0A9F" w:rsidR="006F0A9F">
        <w:t>a Charte social</w:t>
      </w:r>
      <w:r w:rsidR="00383E2F">
        <w:t>e européenne reconnaît aussi</w:t>
      </w:r>
      <w:r w:rsidRPr="006F0A9F" w:rsidR="006F0A9F">
        <w:t xml:space="preserve"> le droit de grève comme un moyen d</w:t>
      </w:r>
      <w:r w:rsidR="00D67F8E">
        <w:t>’</w:t>
      </w:r>
      <w:r w:rsidRPr="006F0A9F" w:rsidR="006F0A9F">
        <w:t>assurer l</w:t>
      </w:r>
      <w:r w:rsidR="00D67F8E">
        <w:t>’</w:t>
      </w:r>
      <w:r w:rsidRPr="006F0A9F" w:rsidR="006F0A9F">
        <w:t>exercice effectif du droit de négociation collective. Partant, la Cour rejette l</w:t>
      </w:r>
      <w:r w:rsidR="00D67F8E">
        <w:t>’</w:t>
      </w:r>
      <w:r w:rsidRPr="006F0A9F" w:rsidR="006F0A9F">
        <w:t>exception du Gouvernement.</w:t>
      </w:r>
    </w:p>
    <w:p w:rsidR="00D134A9" w:rsidP="00883DA0" w:rsidRDefault="00883DA0">
      <w:pPr>
        <w:pStyle w:val="JuHA"/>
      </w:pPr>
      <w:r>
        <w:t>B.  Sur la justification de l</w:t>
      </w:r>
      <w:r w:rsidR="00D67F8E">
        <w:t>’</w:t>
      </w:r>
      <w:r>
        <w:t>ingérence</w:t>
      </w:r>
    </w:p>
    <w:p w:rsidR="00883DA0" w:rsidRDefault="00883DA0">
      <w:pPr>
        <w:pStyle w:val="JuPara"/>
      </w:pPr>
      <w:r>
        <w:fldChar w:fldCharType="begin"/>
      </w:r>
      <w:r>
        <w:instrText xml:space="preserve"> SEQ level0 \*arabic </w:instrText>
      </w:r>
      <w:r>
        <w:fldChar w:fldCharType="separate"/>
      </w:r>
      <w:r w:rsidR="00157E34">
        <w:rPr>
          <w:noProof/>
        </w:rPr>
        <w:t>25</w:t>
      </w:r>
      <w:r>
        <w:fldChar w:fldCharType="end"/>
      </w:r>
      <w:r w:rsidR="003047EC">
        <w:t>. Pareille ingérence enfreint l</w:t>
      </w:r>
      <w:r w:rsidR="00D67F8E">
        <w:t>’</w:t>
      </w:r>
      <w:r w:rsidR="003047EC">
        <w:t>article 11 de la Convention, sauf si elle était « prévue par la loi », dirigée vers un ou des buts légitimes au regard du paragraphe 2 de l</w:t>
      </w:r>
      <w:r w:rsidR="00D67F8E">
        <w:t>’</w:t>
      </w:r>
      <w:r w:rsidR="003047EC">
        <w:t>article 11 de la Convention et « nécessaire dans une société démocratique » pour atteindre ces buts.</w:t>
      </w:r>
    </w:p>
    <w:p w:rsidRPr="004146B5" w:rsidR="001563D1" w:rsidP="000064FD" w:rsidRDefault="000064FD">
      <w:pPr>
        <w:pStyle w:val="JuH1"/>
      </w:pPr>
      <w:r w:rsidRPr="004146B5">
        <w:t>1.</w:t>
      </w:r>
      <w:r w:rsidRPr="004146B5" w:rsidR="001563D1">
        <w:t>  « Prévue par la loi »</w:t>
      </w:r>
    </w:p>
    <w:p w:rsidRPr="004146B5" w:rsidR="003047EC" w:rsidP="006A4DE0" w:rsidRDefault="004678ED">
      <w:pPr>
        <w:pStyle w:val="JuPara"/>
        <w:rPr>
          <w:szCs w:val="24"/>
          <w:lang w:eastAsia="en-GB"/>
        </w:rPr>
      </w:pPr>
      <w:r>
        <w:fldChar w:fldCharType="begin"/>
      </w:r>
      <w:r>
        <w:instrText xml:space="preserve"> SEQ level0 \*arabic </w:instrText>
      </w:r>
      <w:r>
        <w:fldChar w:fldCharType="separate"/>
      </w:r>
      <w:r w:rsidR="00157E34">
        <w:rPr>
          <w:noProof/>
        </w:rPr>
        <w:t>26</w:t>
      </w:r>
      <w:r>
        <w:fldChar w:fldCharType="end"/>
      </w:r>
      <w:r>
        <w:t>.  </w:t>
      </w:r>
      <w:r w:rsidR="00E96180">
        <w:t xml:space="preserve">La Cour rappelle que les mots « prévue par la loi » signifient en premier lieu que la mesure incriminée doit avoir une base en droit interne, </w:t>
      </w:r>
      <w:r w:rsidRPr="004146B5" w:rsidR="00E96180">
        <w:t>qu</w:t>
      </w:r>
      <w:r w:rsidR="00D67F8E">
        <w:t>’</w:t>
      </w:r>
      <w:r w:rsidRPr="004146B5" w:rsidR="00E96180">
        <w:t>elle entend le terme « loi » dans son acception matérielle plutôt que formelle, et qu</w:t>
      </w:r>
      <w:r w:rsidR="00D67F8E">
        <w:t>’</w:t>
      </w:r>
      <w:r w:rsidRPr="004146B5" w:rsidR="00E96180">
        <w:t xml:space="preserve">elle y a </w:t>
      </w:r>
      <w:r w:rsidR="004146B5">
        <w:t xml:space="preserve">également </w:t>
      </w:r>
      <w:r w:rsidRPr="004146B5" w:rsidR="00E96180">
        <w:t>inclus des textes de rang « </w:t>
      </w:r>
      <w:r w:rsidRPr="004146B5" w:rsidR="004146B5">
        <w:t>infra</w:t>
      </w:r>
      <w:r w:rsidRPr="004146B5" w:rsidR="00E96180">
        <w:t>législatif »</w:t>
      </w:r>
      <w:r w:rsidRPr="004146B5" w:rsidR="001D646E">
        <w:t xml:space="preserve"> </w:t>
      </w:r>
      <w:r w:rsidRPr="004146B5" w:rsidR="00E96180">
        <w:t xml:space="preserve">édictés par </w:t>
      </w:r>
      <w:r w:rsidRPr="004146B5" w:rsidR="00E96180">
        <w:rPr>
          <w:szCs w:val="24"/>
        </w:rPr>
        <w:t>les autorités compétentes en vertu d</w:t>
      </w:r>
      <w:r w:rsidR="00D67F8E">
        <w:rPr>
          <w:szCs w:val="24"/>
        </w:rPr>
        <w:t>’</w:t>
      </w:r>
      <w:r w:rsidRPr="004146B5" w:rsidR="00E96180">
        <w:rPr>
          <w:szCs w:val="24"/>
        </w:rPr>
        <w:t>un</w:t>
      </w:r>
      <w:r w:rsidRPr="004146B5">
        <w:rPr>
          <w:szCs w:val="24"/>
        </w:rPr>
        <w:t xml:space="preserve"> pouvoir normatif délégué (</w:t>
      </w:r>
      <w:r w:rsidRPr="004146B5" w:rsidR="004146B5">
        <w:rPr>
          <w:i/>
          <w:szCs w:val="24"/>
        </w:rPr>
        <w:t>Frérot c. France</w:t>
      </w:r>
      <w:r w:rsidRPr="004146B5" w:rsidR="004146B5">
        <w:rPr>
          <w:szCs w:val="24"/>
        </w:rPr>
        <w:t xml:space="preserve">, </w:t>
      </w:r>
      <w:r w:rsidRPr="004146B5" w:rsidR="004146B5">
        <w:rPr>
          <w:iCs/>
          <w:szCs w:val="24"/>
          <w:lang w:eastAsia="en-GB"/>
        </w:rPr>
        <w:t>n</w:t>
      </w:r>
      <w:r w:rsidRPr="004146B5" w:rsidR="004146B5">
        <w:rPr>
          <w:iCs/>
          <w:szCs w:val="24"/>
          <w:vertAlign w:val="superscript"/>
          <w:lang w:eastAsia="en-GB"/>
        </w:rPr>
        <w:t>o</w:t>
      </w:r>
      <w:r w:rsidRPr="004146B5" w:rsidR="004146B5">
        <w:rPr>
          <w:iCs/>
          <w:szCs w:val="24"/>
          <w:lang w:eastAsia="en-GB"/>
        </w:rPr>
        <w:t xml:space="preserve"> 70204/01,</w:t>
      </w:r>
      <w:r w:rsidRPr="004146B5" w:rsidR="004146B5">
        <w:rPr>
          <w:szCs w:val="24"/>
          <w:lang w:eastAsia="en-GB"/>
        </w:rPr>
        <w:t xml:space="preserve"> § 57, 12 juin 2007</w:t>
      </w:r>
      <w:r w:rsidR="001868FE">
        <w:rPr>
          <w:szCs w:val="24"/>
          <w:lang w:eastAsia="en-GB"/>
        </w:rPr>
        <w:t> ;</w:t>
      </w:r>
      <w:r w:rsidRPr="004146B5" w:rsidR="004146B5">
        <w:rPr>
          <w:i/>
          <w:iCs/>
          <w:szCs w:val="24"/>
          <w:lang w:eastAsia="en-GB"/>
        </w:rPr>
        <w:t xml:space="preserve"> </w:t>
      </w:r>
      <w:r w:rsidRPr="004146B5" w:rsidR="00E96180">
        <w:rPr>
          <w:rStyle w:val="ju-005fpara--char"/>
          <w:i/>
          <w:iCs/>
          <w:szCs w:val="24"/>
        </w:rPr>
        <w:t>Lavents c</w:t>
      </w:r>
      <w:r w:rsidRPr="004146B5" w:rsidR="00633E10">
        <w:rPr>
          <w:rStyle w:val="ju-005fpara--char"/>
          <w:i/>
          <w:iCs/>
          <w:szCs w:val="24"/>
        </w:rPr>
        <w:t>. </w:t>
      </w:r>
      <w:r w:rsidRPr="004146B5" w:rsidR="00E96180">
        <w:rPr>
          <w:rStyle w:val="ju-005fpara--char"/>
          <w:i/>
          <w:iCs/>
          <w:szCs w:val="24"/>
        </w:rPr>
        <w:t>Lettonie</w:t>
      </w:r>
      <w:r w:rsidRPr="004146B5" w:rsidR="00D046A3">
        <w:rPr>
          <w:szCs w:val="24"/>
        </w:rPr>
        <w:t>, n</w:t>
      </w:r>
      <w:r w:rsidRPr="004146B5" w:rsidR="00D046A3">
        <w:rPr>
          <w:szCs w:val="24"/>
          <w:vertAlign w:val="superscript"/>
        </w:rPr>
        <w:t>o</w:t>
      </w:r>
      <w:r w:rsidRPr="004146B5" w:rsidR="00D046A3">
        <w:rPr>
          <w:szCs w:val="24"/>
        </w:rPr>
        <w:t> 58442/00, § 135, 28 </w:t>
      </w:r>
      <w:r w:rsidRPr="004146B5" w:rsidR="00E96180">
        <w:rPr>
          <w:szCs w:val="24"/>
        </w:rPr>
        <w:t>novembre 2002).</w:t>
      </w:r>
    </w:p>
    <w:p w:rsidR="002666F4" w:rsidP="006A4DE0" w:rsidRDefault="004678ED">
      <w:pPr>
        <w:pStyle w:val="JuPara"/>
      </w:pPr>
      <w:r w:rsidRPr="00CF03D0">
        <w:fldChar w:fldCharType="begin"/>
      </w:r>
      <w:r w:rsidRPr="00CF03D0">
        <w:instrText xml:space="preserve"> SEQ level0 \*arabic </w:instrText>
      </w:r>
      <w:r w:rsidRPr="00CF03D0">
        <w:fldChar w:fldCharType="separate"/>
      </w:r>
      <w:r w:rsidR="00157E34">
        <w:rPr>
          <w:noProof/>
        </w:rPr>
        <w:t>27</w:t>
      </w:r>
      <w:r w:rsidRPr="00CF03D0">
        <w:fldChar w:fldCharType="end"/>
      </w:r>
      <w:r w:rsidRPr="00CF03D0">
        <w:t>.  </w:t>
      </w:r>
      <w:r w:rsidRPr="00CF03D0" w:rsidR="002666F4">
        <w:t>Elle considère qu</w:t>
      </w:r>
      <w:r w:rsidR="00D67F8E">
        <w:t>’</w:t>
      </w:r>
      <w:r w:rsidRPr="00CF03D0" w:rsidR="002666F4">
        <w:t>en l</w:t>
      </w:r>
      <w:r w:rsidR="00D67F8E">
        <w:t>’</w:t>
      </w:r>
      <w:r w:rsidRPr="00CF03D0" w:rsidR="002666F4">
        <w:t>espèce la circulaire n</w:t>
      </w:r>
      <w:r w:rsidRPr="00BB5742" w:rsidR="00BB5742">
        <w:rPr>
          <w:vertAlign w:val="superscript"/>
        </w:rPr>
        <w:t>o</w:t>
      </w:r>
      <w:r w:rsidRPr="00CF03D0" w:rsidR="002666F4">
        <w:t xml:space="preserve"> 1996/21 </w:t>
      </w:r>
      <w:r w:rsidR="00E61605">
        <w:t>prise</w:t>
      </w:r>
      <w:r w:rsidRPr="00CF03D0" w:rsidR="002666F4">
        <w:t xml:space="preserve"> dans</w:t>
      </w:r>
      <w:r w:rsidR="002666F4">
        <w:t xml:space="preserve"> l</w:t>
      </w:r>
      <w:r w:rsidR="00D67F8E">
        <w:t>’</w:t>
      </w:r>
      <w:r w:rsidR="002666F4">
        <w:t>exercice d</w:t>
      </w:r>
      <w:r w:rsidR="00D67F8E">
        <w:t>’</w:t>
      </w:r>
      <w:r w:rsidR="002666F4">
        <w:t>un pouvoir normatif constituait la base légale de l</w:t>
      </w:r>
      <w:r w:rsidR="00D67F8E">
        <w:t>’</w:t>
      </w:r>
      <w:r w:rsidR="002666F4">
        <w:t>ingérence litigieuse.</w:t>
      </w:r>
    </w:p>
    <w:p w:rsidRPr="004678ED" w:rsidR="00AC4D36" w:rsidP="000064FD" w:rsidRDefault="000064FD">
      <w:pPr>
        <w:pStyle w:val="JuH1"/>
      </w:pPr>
      <w:r>
        <w:t>2.</w:t>
      </w:r>
      <w:r w:rsidRPr="004678ED" w:rsidR="004678ED">
        <w:t>  « But légitime »</w:t>
      </w:r>
    </w:p>
    <w:p w:rsidR="00AC4D36" w:rsidRDefault="004678ED">
      <w:pPr>
        <w:pStyle w:val="JuPara"/>
        <w:rPr>
          <w:rStyle w:val="ju-005fpara--char"/>
          <w:iCs/>
        </w:rPr>
      </w:pPr>
      <w:r>
        <w:fldChar w:fldCharType="begin"/>
      </w:r>
      <w:r>
        <w:instrText xml:space="preserve"> SEQ level0 \*arabic </w:instrText>
      </w:r>
      <w:r>
        <w:fldChar w:fldCharType="separate"/>
      </w:r>
      <w:r w:rsidR="00157E34">
        <w:rPr>
          <w:noProof/>
        </w:rPr>
        <w:t>28</w:t>
      </w:r>
      <w:r>
        <w:fldChar w:fldCharType="end"/>
      </w:r>
      <w:r>
        <w:t>.  </w:t>
      </w:r>
      <w:r w:rsidRPr="00DF6AC1">
        <w:t>La Cour doute que l</w:t>
      </w:r>
      <w:r w:rsidR="00D67F8E">
        <w:t>’</w:t>
      </w:r>
      <w:r w:rsidRPr="00DF6AC1">
        <w:t>ingérence dans la présente affaire poursuivait un but légitime au sens de l</w:t>
      </w:r>
      <w:r w:rsidR="00D67F8E">
        <w:t>’</w:t>
      </w:r>
      <w:r w:rsidRPr="00DF6AC1">
        <w:t>article 11 § 2 de la Convention. Toutefois, elle juge inutile de trancher la question eu égard à la conclusion à laquelle elle parvient sous l</w:t>
      </w:r>
      <w:r w:rsidR="00D67F8E">
        <w:t>’</w:t>
      </w:r>
      <w:r w:rsidRPr="00DF6AC1">
        <w:t>angle de la nécessité d</w:t>
      </w:r>
      <w:r w:rsidR="00D67F8E">
        <w:t>’</w:t>
      </w:r>
      <w:r w:rsidRPr="00DF6AC1">
        <w:t>une telle ingérence</w:t>
      </w:r>
      <w:r w:rsidRPr="00DF6AC1" w:rsidR="004146B5">
        <w:t xml:space="preserve"> </w:t>
      </w:r>
      <w:r w:rsidR="00DF6AC1">
        <w:t>(point 3 ci</w:t>
      </w:r>
      <w:r w:rsidR="00DF6AC1">
        <w:noBreakHyphen/>
      </w:r>
      <w:r w:rsidRPr="00DF6AC1" w:rsidR="004146B5">
        <w:t>dessous)</w:t>
      </w:r>
      <w:r w:rsidR="000064EF">
        <w:t xml:space="preserve"> (</w:t>
      </w:r>
      <w:r w:rsidRPr="000064EF" w:rsidR="000064EF">
        <w:rPr>
          <w:i/>
        </w:rPr>
        <w:t>Urcan et autres c</w:t>
      </w:r>
      <w:r w:rsidRPr="000064EF" w:rsidR="00D046A3">
        <w:rPr>
          <w:i/>
        </w:rPr>
        <w:t>.</w:t>
      </w:r>
      <w:r w:rsidR="00D046A3">
        <w:rPr>
          <w:i/>
        </w:rPr>
        <w:t> </w:t>
      </w:r>
      <w:r w:rsidRPr="000064EF" w:rsidR="000064EF">
        <w:rPr>
          <w:i/>
        </w:rPr>
        <w:t>Turquie</w:t>
      </w:r>
      <w:r w:rsidRPr="000064EF" w:rsidR="000064EF">
        <w:t xml:space="preserve">, </w:t>
      </w:r>
      <w:r w:rsidR="000064EF">
        <w:t>n</w:t>
      </w:r>
      <w:r w:rsidRPr="000064EF" w:rsidR="000064EF">
        <w:rPr>
          <w:rFonts w:ascii="Times New (W1)"/>
          <w:vertAlign w:val="superscript"/>
        </w:rPr>
        <w:t>os</w:t>
      </w:r>
      <w:r w:rsidRPr="000064EF" w:rsidR="000064EF">
        <w:t xml:space="preserve"> </w:t>
      </w:r>
      <w:r w:rsidRPr="000064EF" w:rsidR="000064EF">
        <w:rPr>
          <w:rStyle w:val="ju-005fpara--char"/>
          <w:iCs/>
        </w:rPr>
        <w:t>23018/04, 23034/04, 23042/04, 23071/04, 23073/04,</w:t>
      </w:r>
      <w:r w:rsidRPr="000064EF" w:rsidR="000064EF">
        <w:t xml:space="preserve"> </w:t>
      </w:r>
      <w:r w:rsidRPr="000064EF" w:rsidR="000064EF">
        <w:rPr>
          <w:rStyle w:val="ju-005fpara--char"/>
          <w:iCs/>
        </w:rPr>
        <w:t>23081/04, 23086/04, 23091/04, 23094/04, 23444/04 et 23676/04</w:t>
      </w:r>
      <w:r w:rsidR="000064EF">
        <w:rPr>
          <w:rStyle w:val="ju-005fpara--char"/>
          <w:iCs/>
        </w:rPr>
        <w:t>, § 29</w:t>
      </w:r>
      <w:r w:rsidR="00D046A3">
        <w:rPr>
          <w:rStyle w:val="ju-005fpara--char"/>
          <w:iCs/>
        </w:rPr>
        <w:t xml:space="preserve">, </w:t>
      </w:r>
      <w:r w:rsidR="00D046A3">
        <w:t>17 juillet 2008</w:t>
      </w:r>
      <w:r w:rsidR="000064EF">
        <w:rPr>
          <w:rStyle w:val="ju-005fpara--char"/>
          <w:iCs/>
        </w:rPr>
        <w:t>).</w:t>
      </w:r>
    </w:p>
    <w:p w:rsidR="000064EF" w:rsidP="000064FD" w:rsidRDefault="000064FD">
      <w:pPr>
        <w:pStyle w:val="JuH1"/>
      </w:pPr>
      <w:r>
        <w:t>3.</w:t>
      </w:r>
      <w:r w:rsidRPr="000064EF" w:rsidR="000064EF">
        <w:t>  « Nécessaire dans une société démocratique »</w:t>
      </w:r>
    </w:p>
    <w:p w:rsidR="00387D96" w:rsidP="000064EF" w:rsidRDefault="000064EF">
      <w:pPr>
        <w:pStyle w:val="JuPara"/>
      </w:pPr>
      <w:r w:rsidRPr="000064EF">
        <w:fldChar w:fldCharType="begin"/>
      </w:r>
      <w:r w:rsidRPr="000064EF">
        <w:instrText xml:space="preserve"> SEQ level0 \*arabic </w:instrText>
      </w:r>
      <w:r w:rsidRPr="000064EF">
        <w:fldChar w:fldCharType="separate"/>
      </w:r>
      <w:r w:rsidR="00157E34">
        <w:rPr>
          <w:noProof/>
        </w:rPr>
        <w:t>29</w:t>
      </w:r>
      <w:r w:rsidRPr="000064EF">
        <w:fldChar w:fldCharType="end"/>
      </w:r>
      <w:r w:rsidRPr="000064EF">
        <w:t>. </w:t>
      </w:r>
      <w:r w:rsidR="00D046A3">
        <w:t> </w:t>
      </w:r>
      <w:r w:rsidR="00A0430D">
        <w:t>Faisant référence aux arrêts</w:t>
      </w:r>
      <w:r w:rsidR="00A0430D">
        <w:rPr>
          <w:rStyle w:val="ju-005fpara--char"/>
          <w:i/>
          <w:iCs/>
        </w:rPr>
        <w:t xml:space="preserve"> Syndicat national de la police belge c</w:t>
      </w:r>
      <w:r w:rsidR="00D046A3">
        <w:rPr>
          <w:rStyle w:val="ju-005fpara--char"/>
          <w:i/>
          <w:iCs/>
        </w:rPr>
        <w:t>. </w:t>
      </w:r>
      <w:r w:rsidR="00A0430D">
        <w:rPr>
          <w:rStyle w:val="ju-005fpara--char"/>
          <w:i/>
          <w:iCs/>
        </w:rPr>
        <w:t>Belgique</w:t>
      </w:r>
      <w:r w:rsidR="0066302D">
        <w:t xml:space="preserve"> </w:t>
      </w:r>
      <w:r w:rsidR="00DF6AC1">
        <w:t>(</w:t>
      </w:r>
      <w:r w:rsidR="0066302D">
        <w:t>précité</w:t>
      </w:r>
      <w:r w:rsidR="00DF6AC1">
        <w:t>)</w:t>
      </w:r>
      <w:r w:rsidR="0066302D">
        <w:t xml:space="preserve"> </w:t>
      </w:r>
      <w:r w:rsidR="00A0430D">
        <w:t xml:space="preserve">et </w:t>
      </w:r>
      <w:r w:rsidR="00A0430D">
        <w:rPr>
          <w:rStyle w:val="ju-005fpara--char"/>
          <w:i/>
          <w:iCs/>
        </w:rPr>
        <w:t xml:space="preserve">Schmidt et Dahlström </w:t>
      </w:r>
      <w:r w:rsidRPr="00DF6AC1" w:rsidR="00DF6AC1">
        <w:rPr>
          <w:rStyle w:val="ju-005fpara--char"/>
          <w:iCs/>
        </w:rPr>
        <w:t>(</w:t>
      </w:r>
      <w:r w:rsidRPr="00DF6AC1" w:rsidR="0066302D">
        <w:t>p</w:t>
      </w:r>
      <w:r w:rsidR="0066302D">
        <w:t>récité</w:t>
      </w:r>
      <w:r w:rsidR="00DF6AC1">
        <w:t>),</w:t>
      </w:r>
      <w:r w:rsidR="00A0430D">
        <w:t xml:space="preserve"> le Gouvernement affirme que l</w:t>
      </w:r>
      <w:r w:rsidR="00D67F8E">
        <w:t>’</w:t>
      </w:r>
      <w:r w:rsidR="00A0430D">
        <w:t>article 11 de la Convention ne garantit pas aux syndicats un traitement précis de la part de l</w:t>
      </w:r>
      <w:r w:rsidR="00D67F8E">
        <w:t>’</w:t>
      </w:r>
      <w:r w:rsidR="00A0430D">
        <w:t>Etat</w:t>
      </w:r>
      <w:r w:rsidR="00387D96">
        <w:t xml:space="preserve">. </w:t>
      </w:r>
      <w:r w:rsidR="00A0430D">
        <w:t>Il soutient que ce qu</w:t>
      </w:r>
      <w:r w:rsidR="00D67F8E">
        <w:t>’</w:t>
      </w:r>
      <w:r w:rsidR="00A0430D">
        <w:t>exige la Convention, c</w:t>
      </w:r>
      <w:r w:rsidR="00D67F8E">
        <w:t>’</w:t>
      </w:r>
      <w:r w:rsidR="00A0430D">
        <w:t>est de permettre aux syndicats de lutter pour la défense des intérêts de leurs membres avec des moyens que l</w:t>
      </w:r>
      <w:r w:rsidR="00D67F8E">
        <w:t>’</w:t>
      </w:r>
      <w:r w:rsidR="00A0430D">
        <w:t>Etat est libre de déterminer.</w:t>
      </w:r>
      <w:r w:rsidR="00387D96">
        <w:t xml:space="preserve"> Pour le Gouvernement, la circulaire litigieuse ne faisait que rappeler l</w:t>
      </w:r>
      <w:r w:rsidR="00D67F8E">
        <w:t>’</w:t>
      </w:r>
      <w:r w:rsidR="00387D96">
        <w:t>application de la législation en vigueur</w:t>
      </w:r>
      <w:r w:rsidR="00D046A3">
        <w:t>, laquelle</w:t>
      </w:r>
      <w:r w:rsidR="006647B7">
        <w:t xml:space="preserve"> était en conformité avec l</w:t>
      </w:r>
      <w:r w:rsidR="00D67F8E">
        <w:t>’</w:t>
      </w:r>
      <w:r w:rsidR="006647B7">
        <w:t>article 11 § 2 de la Convention.</w:t>
      </w:r>
      <w:r w:rsidR="00CA40B5">
        <w:t xml:space="preserve"> En outre, il rappelle que</w:t>
      </w:r>
      <w:r w:rsidR="00367B88">
        <w:t>,</w:t>
      </w:r>
      <w:r w:rsidR="00CA40B5">
        <w:t xml:space="preserve"> le 10 décembre 2002, la circulaire n</w:t>
      </w:r>
      <w:r w:rsidRPr="00BB5742" w:rsidR="00BB5742">
        <w:rPr>
          <w:vertAlign w:val="superscript"/>
        </w:rPr>
        <w:t>o</w:t>
      </w:r>
      <w:r w:rsidR="00CA40B5">
        <w:t xml:space="preserve"> 2001/53 a abrogé </w:t>
      </w:r>
      <w:r w:rsidR="00583998">
        <w:t xml:space="preserve">la circulaire </w:t>
      </w:r>
      <w:r w:rsidRPr="004146B5" w:rsidR="00583998">
        <w:t>n</w:t>
      </w:r>
      <w:r w:rsidRPr="00BB5742" w:rsidR="00BB5742">
        <w:rPr>
          <w:vertAlign w:val="superscript"/>
        </w:rPr>
        <w:t>o</w:t>
      </w:r>
      <w:r w:rsidRPr="004146B5" w:rsidR="00367B88">
        <w:t> </w:t>
      </w:r>
      <w:r w:rsidRPr="004146B5" w:rsidR="00583998">
        <w:t xml:space="preserve">1996/21 </w:t>
      </w:r>
      <w:r w:rsidRPr="004146B5" w:rsidR="00CA40B5">
        <w:t>en application de la loi n</w:t>
      </w:r>
      <w:r w:rsidRPr="00BB5742" w:rsidR="00BB5742">
        <w:rPr>
          <w:vertAlign w:val="superscript"/>
        </w:rPr>
        <w:t>o</w:t>
      </w:r>
      <w:r w:rsidRPr="004146B5" w:rsidR="00CA40B5">
        <w:t xml:space="preserve"> 4688 du 25 juin 2001 qui a défini les</w:t>
      </w:r>
      <w:r w:rsidR="00CA40B5">
        <w:t xml:space="preserve"> modalités d</w:t>
      </w:r>
      <w:r w:rsidR="00D67F8E">
        <w:t>’</w:t>
      </w:r>
      <w:r w:rsidR="00CA40B5">
        <w:t>utilisation par les fonctionnaires de leur droit de mener des négociations collectives.</w:t>
      </w:r>
    </w:p>
    <w:p w:rsidR="001D7698" w:rsidP="000064EF" w:rsidRDefault="006647B7">
      <w:pPr>
        <w:pStyle w:val="JuPara"/>
      </w:pPr>
      <w:r>
        <w:fldChar w:fldCharType="begin"/>
      </w:r>
      <w:r>
        <w:instrText xml:space="preserve"> SEQ level0 \*arabic </w:instrText>
      </w:r>
      <w:r>
        <w:fldChar w:fldCharType="separate"/>
      </w:r>
      <w:r w:rsidR="00157E34">
        <w:rPr>
          <w:noProof/>
        </w:rPr>
        <w:t>30</w:t>
      </w:r>
      <w:r>
        <w:fldChar w:fldCharType="end"/>
      </w:r>
      <w:r>
        <w:t>.  Le requérant</w:t>
      </w:r>
      <w:r w:rsidR="00A53FCC">
        <w:t xml:space="preserve"> réitère ses observations et </w:t>
      </w:r>
      <w:r w:rsidR="00367B88">
        <w:t>combat les thèses du Gouvernement</w:t>
      </w:r>
      <w:r w:rsidR="001D7698">
        <w:t xml:space="preserve">. Selon lui, la circulaire </w:t>
      </w:r>
      <w:r w:rsidR="00367B88">
        <w:t>contestée a</w:t>
      </w:r>
      <w:r w:rsidR="001D7698">
        <w:t>, en imposant les interdictions de grève, apporté des restrictions disproportionnées à l</w:t>
      </w:r>
      <w:r w:rsidR="00D67F8E">
        <w:t>’</w:t>
      </w:r>
      <w:r w:rsidR="001D7698">
        <w:t>exercice de sa liberté syndicale.</w:t>
      </w:r>
    </w:p>
    <w:p w:rsidR="00611510" w:rsidP="00611510" w:rsidRDefault="001D7698">
      <w:pPr>
        <w:pStyle w:val="JuPara"/>
      </w:pPr>
      <w:r>
        <w:fldChar w:fldCharType="begin"/>
      </w:r>
      <w:r>
        <w:instrText xml:space="preserve"> SEQ level0 \*arabic </w:instrText>
      </w:r>
      <w:r>
        <w:fldChar w:fldCharType="separate"/>
      </w:r>
      <w:r w:rsidR="00157E34">
        <w:rPr>
          <w:noProof/>
        </w:rPr>
        <w:t>31</w:t>
      </w:r>
      <w:r>
        <w:fldChar w:fldCharType="end"/>
      </w:r>
      <w:r>
        <w:t>.  </w:t>
      </w:r>
      <w:r w:rsidR="00A170A2">
        <w:t xml:space="preserve">En ce qui concerne </w:t>
      </w:r>
      <w:r w:rsidR="00EF71A2">
        <w:t>les principes généraux</w:t>
      </w:r>
      <w:r w:rsidR="006D4763">
        <w:t xml:space="preserve"> relatifs aux obligations négatives</w:t>
      </w:r>
      <w:r w:rsidR="00FF58EC">
        <w:t xml:space="preserve"> et positives résultant pour les Etats</w:t>
      </w:r>
      <w:r w:rsidR="006D4763">
        <w:t xml:space="preserve"> de l</w:t>
      </w:r>
      <w:r w:rsidR="00D67F8E">
        <w:t>’</w:t>
      </w:r>
      <w:r w:rsidR="006D4763">
        <w:t>article 11 de la Convention</w:t>
      </w:r>
      <w:r w:rsidR="00EF71A2">
        <w:t>, la Cour se réfère à sa jurisprudence exposée dans l</w:t>
      </w:r>
      <w:r w:rsidR="00D67F8E">
        <w:t>’</w:t>
      </w:r>
      <w:r w:rsidR="00EF71A2">
        <w:t>arrêt</w:t>
      </w:r>
      <w:r w:rsidR="006D4763">
        <w:t xml:space="preserve"> </w:t>
      </w:r>
      <w:r w:rsidRPr="006D4763" w:rsidR="006D4763">
        <w:rPr>
          <w:i/>
        </w:rPr>
        <w:t>Demir et Baykara</w:t>
      </w:r>
      <w:r w:rsidR="006D4763">
        <w:t xml:space="preserve"> </w:t>
      </w:r>
      <w:r w:rsidR="00466474">
        <w:t>(</w:t>
      </w:r>
      <w:r w:rsidR="006D4763">
        <w:t>précité, §§ 110 et 119).</w:t>
      </w:r>
      <w:r w:rsidR="00EF71A2">
        <w:t xml:space="preserve"> </w:t>
      </w:r>
      <w:r w:rsidR="006D4763">
        <w:t>Quant à l</w:t>
      </w:r>
      <w:r w:rsidR="00D67F8E">
        <w:t>’</w:t>
      </w:r>
      <w:r w:rsidR="006D4763">
        <w:t xml:space="preserve">application de ces principes dans la présente affaire, </w:t>
      </w:r>
      <w:r w:rsidR="00466474">
        <w:t>elle</w:t>
      </w:r>
      <w:r w:rsidR="0022153D">
        <w:t xml:space="preserve"> observe que </w:t>
      </w:r>
      <w:r w:rsidR="00EE7CB6">
        <w:t>la</w:t>
      </w:r>
      <w:r w:rsidR="0022153D">
        <w:t xml:space="preserve"> circulaire </w:t>
      </w:r>
      <w:r w:rsidR="00466474">
        <w:t xml:space="preserve">litigieuse </w:t>
      </w:r>
      <w:r w:rsidR="0022153D">
        <w:t>avait été adoptée</w:t>
      </w:r>
      <w:r w:rsidR="00611510">
        <w:t xml:space="preserve"> cinq jours avant les actions programmées par la Fédération des syndicats du secteur public pour la reconnaissance du droit à une conventio</w:t>
      </w:r>
      <w:r w:rsidR="0022153D">
        <w:t>n collective des fonctionnaires</w:t>
      </w:r>
      <w:r w:rsidR="00466474">
        <w:t>,</w:t>
      </w:r>
      <w:r w:rsidR="0022153D">
        <w:t xml:space="preserve"> </w:t>
      </w:r>
      <w:r w:rsidR="00466474">
        <w:t>à un</w:t>
      </w:r>
      <w:r w:rsidR="0022153D">
        <w:t xml:space="preserve"> moment où des travaux </w:t>
      </w:r>
      <w:r w:rsidRPr="005D25C7" w:rsidR="0022153D">
        <w:t>pour l</w:t>
      </w:r>
      <w:r w:rsidR="00D67F8E">
        <w:t>’</w:t>
      </w:r>
      <w:r w:rsidRPr="005D25C7" w:rsidR="0022153D">
        <w:t>harmonisation de la législation turque avec les conventions internationales</w:t>
      </w:r>
      <w:r w:rsidR="0022153D">
        <w:t xml:space="preserve"> </w:t>
      </w:r>
      <w:r w:rsidRPr="005D25C7" w:rsidR="0022153D">
        <w:t xml:space="preserve">en matière </w:t>
      </w:r>
      <w:r w:rsidR="00466474">
        <w:t>de</w:t>
      </w:r>
      <w:r w:rsidRPr="005D25C7" w:rsidR="0022153D">
        <w:t xml:space="preserve"> droit syn</w:t>
      </w:r>
      <w:r w:rsidR="0022153D">
        <w:t>dical des fonctionnaires d</w:t>
      </w:r>
      <w:r w:rsidR="00D67F8E">
        <w:t>’</w:t>
      </w:r>
      <w:r w:rsidR="0022153D">
        <w:t>Etat étaient</w:t>
      </w:r>
      <w:r w:rsidRPr="005D25C7" w:rsidR="0022153D">
        <w:t xml:space="preserve"> en cours et </w:t>
      </w:r>
      <w:r w:rsidR="00466474">
        <w:t>où</w:t>
      </w:r>
      <w:r w:rsidRPr="005D25C7" w:rsidR="00466474">
        <w:t xml:space="preserve"> </w:t>
      </w:r>
      <w:r w:rsidRPr="005D25C7" w:rsidR="0022153D">
        <w:t>la situation juridique des fonctionnaires demeura</w:t>
      </w:r>
      <w:r w:rsidR="0022153D">
        <w:t>it</w:t>
      </w:r>
      <w:r w:rsidRPr="005D25C7" w:rsidR="0022153D">
        <w:t xml:space="preserve"> incertaine</w:t>
      </w:r>
      <w:r w:rsidR="0022153D">
        <w:t>.</w:t>
      </w:r>
    </w:p>
    <w:p w:rsidR="00D134A9" w:rsidP="00A30BDD" w:rsidRDefault="00E534AA">
      <w:pPr>
        <w:pStyle w:val="JuPara"/>
        <w:rPr>
          <w:szCs w:val="24"/>
        </w:rPr>
      </w:pPr>
      <w:r w:rsidRPr="006F0A9F">
        <w:rPr>
          <w:szCs w:val="24"/>
        </w:rPr>
        <w:fldChar w:fldCharType="begin"/>
      </w:r>
      <w:r w:rsidRPr="006F0A9F">
        <w:rPr>
          <w:szCs w:val="24"/>
        </w:rPr>
        <w:instrText xml:space="preserve"> SEQ level0 \*arabic </w:instrText>
      </w:r>
      <w:r w:rsidRPr="006F0A9F">
        <w:rPr>
          <w:szCs w:val="24"/>
        </w:rPr>
        <w:fldChar w:fldCharType="separate"/>
      </w:r>
      <w:r w:rsidR="00157E34">
        <w:rPr>
          <w:noProof/>
          <w:szCs w:val="24"/>
        </w:rPr>
        <w:t>32</w:t>
      </w:r>
      <w:r w:rsidRPr="006F0A9F">
        <w:rPr>
          <w:szCs w:val="24"/>
        </w:rPr>
        <w:fldChar w:fldCharType="end"/>
      </w:r>
      <w:r w:rsidRPr="006F0A9F">
        <w:rPr>
          <w:szCs w:val="24"/>
        </w:rPr>
        <w:t>.  </w:t>
      </w:r>
      <w:r w:rsidRPr="00E035A2" w:rsidR="006F0A9F">
        <w:t>La Cour reconnait que le droit de grève n</w:t>
      </w:r>
      <w:r w:rsidR="00D67F8E">
        <w:t>’</w:t>
      </w:r>
      <w:r w:rsidRPr="00E035A2" w:rsidR="006F0A9F">
        <w:t>a pas de caractère absolu. Il peut être soumis à certaines conditions et faire l</w:t>
      </w:r>
      <w:r w:rsidR="00D67F8E">
        <w:t>’</w:t>
      </w:r>
      <w:r w:rsidRPr="00E035A2" w:rsidR="0066302D">
        <w:t xml:space="preserve">objet de certaines restrictions. </w:t>
      </w:r>
      <w:r w:rsidRPr="00E035A2" w:rsidR="006F0A9F">
        <w:t>Ainsi, le principe de la liberté syndicale peut être compatible avec l</w:t>
      </w:r>
      <w:r w:rsidR="00D67F8E">
        <w:t>’</w:t>
      </w:r>
      <w:r w:rsidRPr="00E035A2" w:rsidR="006F0A9F">
        <w:t>interdiction du droit de grève des fonctionnaires exerçant des fonctions d</w:t>
      </w:r>
      <w:r w:rsidR="00D67F8E">
        <w:t>’</w:t>
      </w:r>
      <w:r w:rsidRPr="00E035A2" w:rsidR="006F0A9F">
        <w:t>autorité au nom de l</w:t>
      </w:r>
      <w:r w:rsidR="00D67F8E">
        <w:t>’</w:t>
      </w:r>
      <w:r w:rsidRPr="00E035A2" w:rsidR="006F0A9F">
        <w:t>Etat. Toutefois, si l</w:t>
      </w:r>
      <w:r w:rsidR="00D67F8E">
        <w:t>’</w:t>
      </w:r>
      <w:r w:rsidRPr="00E035A2" w:rsidR="006F0A9F">
        <w:t>interdiction du droit de grève peut concerner</w:t>
      </w:r>
      <w:r w:rsidRPr="00E035A2" w:rsidR="0066302D">
        <w:t xml:space="preserve"> certaines catégories de </w:t>
      </w:r>
      <w:r w:rsidRPr="00E035A2" w:rsidR="006F0A9F">
        <w:t>fonctionnaires</w:t>
      </w:r>
      <w:r w:rsidR="0066302D">
        <w:rPr>
          <w:rStyle w:val="Strong"/>
          <w:b w:val="0"/>
          <w:szCs w:val="24"/>
        </w:rPr>
        <w:t xml:space="preserve"> (voir, </w:t>
      </w:r>
      <w:r w:rsidRPr="0066302D" w:rsidR="0066302D">
        <w:rPr>
          <w:rStyle w:val="Strong"/>
          <w:b w:val="0"/>
          <w:i/>
          <w:szCs w:val="24"/>
        </w:rPr>
        <w:t>mutatis mutandis</w:t>
      </w:r>
      <w:r w:rsidR="0066302D">
        <w:rPr>
          <w:rStyle w:val="Strong"/>
          <w:b w:val="0"/>
          <w:szCs w:val="24"/>
        </w:rPr>
        <w:t xml:space="preserve">, </w:t>
      </w:r>
      <w:r w:rsidRPr="0066302D" w:rsidR="0066302D">
        <w:rPr>
          <w:i/>
          <w:lang w:val="it-IT" w:eastAsia="en-US"/>
        </w:rPr>
        <w:t>Pellegrin c. France</w:t>
      </w:r>
      <w:r w:rsidRPr="0066302D" w:rsidR="0066302D">
        <w:rPr>
          <w:lang w:val="it-IT" w:eastAsia="en-US"/>
        </w:rPr>
        <w:t xml:space="preserve"> [GC], n</w:t>
      </w:r>
      <w:r w:rsidRPr="0066302D" w:rsidR="0066302D">
        <w:rPr>
          <w:vertAlign w:val="superscript"/>
          <w:lang w:val="it-IT" w:eastAsia="en-US"/>
        </w:rPr>
        <w:t>o</w:t>
      </w:r>
      <w:r w:rsidR="0066302D">
        <w:rPr>
          <w:lang w:val="it-IT" w:eastAsia="en-US"/>
        </w:rPr>
        <w:t xml:space="preserve"> 28541/95, §§ 64-67</w:t>
      </w:r>
      <w:r w:rsidRPr="0066302D" w:rsidR="0066302D">
        <w:rPr>
          <w:lang w:val="it-IT" w:eastAsia="en-US"/>
        </w:rPr>
        <w:t>, CEDH 1999</w:t>
      </w:r>
      <w:r w:rsidRPr="0066302D" w:rsidR="0066302D">
        <w:rPr>
          <w:lang w:val="it-IT" w:eastAsia="en-US"/>
        </w:rPr>
        <w:noBreakHyphen/>
        <w:t>VIII</w:t>
      </w:r>
      <w:r w:rsidR="0066302D">
        <w:rPr>
          <w:lang w:val="it-IT" w:eastAsia="en-US"/>
        </w:rPr>
        <w:t>)</w:t>
      </w:r>
      <w:r w:rsidR="0066302D">
        <w:rPr>
          <w:rStyle w:val="Strong"/>
          <w:b w:val="0"/>
          <w:szCs w:val="24"/>
        </w:rPr>
        <w:t xml:space="preserve">, </w:t>
      </w:r>
      <w:r w:rsidRPr="00E035A2" w:rsidR="006F0A9F">
        <w:t>elle ne peut pas s</w:t>
      </w:r>
      <w:r w:rsidR="00D67F8E">
        <w:t>’</w:t>
      </w:r>
      <w:r w:rsidRPr="00E035A2" w:rsidR="006F0A9F">
        <w:t>étendre aux fonctionnaires en général, comme en l</w:t>
      </w:r>
      <w:r w:rsidR="00D67F8E">
        <w:t>’</w:t>
      </w:r>
      <w:r w:rsidRPr="00E035A2" w:rsidR="006F0A9F">
        <w:t>espèce, ou aux travailleurs publics des entreprises commerciales ou industrielles de l</w:t>
      </w:r>
      <w:r w:rsidR="00D67F8E">
        <w:t>’</w:t>
      </w:r>
      <w:r w:rsidRPr="00E035A2" w:rsidR="006F0A9F">
        <w:t>Etat. Ainsi, les restrictions légales au droit de grève devraient définir aussi clairement et étroitement que possible les catégories de fonctionnaires concernées. De l</w:t>
      </w:r>
      <w:r w:rsidR="00D67F8E">
        <w:t>’</w:t>
      </w:r>
      <w:r w:rsidRPr="00E035A2" w:rsidR="006F0A9F">
        <w:t>avis de la Cour, en l</w:t>
      </w:r>
      <w:r w:rsidR="00D67F8E">
        <w:t>’</w:t>
      </w:r>
      <w:r w:rsidRPr="00E035A2" w:rsidR="006F0A9F">
        <w:t>espèce, la circulaire litigieuse était rédigée en</w:t>
      </w:r>
      <w:r w:rsidRPr="00E035A2" w:rsidR="0066302D">
        <w:t xml:space="preserve"> des</w:t>
      </w:r>
      <w:r w:rsidRPr="00E035A2" w:rsidR="006F0A9F">
        <w:t xml:space="preserve"> termes généraux qui interdisaient de manière absolue à tous les fonctionnaires le droit de grève, sans procéder à une mise en balance des impératifs des fins énumérées au paragraphe 2 de l</w:t>
      </w:r>
      <w:r w:rsidR="00D67F8E">
        <w:t>’</w:t>
      </w:r>
      <w:r w:rsidRPr="00E035A2" w:rsidR="006F0A9F">
        <w:t>article 11 de la Convention. En outre, la Cour note que rien n</w:t>
      </w:r>
      <w:r w:rsidR="00D67F8E">
        <w:t>’</w:t>
      </w:r>
      <w:r w:rsidRPr="00E035A2" w:rsidR="006F0A9F">
        <w:t>indique dans le dossier que la journée d</w:t>
      </w:r>
      <w:r w:rsidR="00D67F8E">
        <w:t>’</w:t>
      </w:r>
      <w:r w:rsidRPr="00E035A2" w:rsidR="006F0A9F">
        <w:t>action nationale du 18 avril 1996 eût été interdite. L</w:t>
      </w:r>
      <w:r w:rsidR="00D67F8E">
        <w:t>’</w:t>
      </w:r>
      <w:r w:rsidRPr="00E035A2" w:rsidR="006F0A9F">
        <w:t>interdiction posée par la circulaire ne concernait que la participation des fonctionnaires à cette journée d</w:t>
      </w:r>
      <w:r w:rsidR="00D67F8E">
        <w:t>’</w:t>
      </w:r>
      <w:r w:rsidRPr="00E035A2" w:rsidR="006F0A9F">
        <w:t>action. En se joignant à celle-ci, les membres du conseil d</w:t>
      </w:r>
      <w:r w:rsidR="00D67F8E">
        <w:t>’</w:t>
      </w:r>
      <w:r w:rsidRPr="00E035A2" w:rsidR="006F0A9F">
        <w:t>administration du syndicat requérant n</w:t>
      </w:r>
      <w:r w:rsidR="00D67F8E">
        <w:t>’</w:t>
      </w:r>
      <w:r w:rsidRPr="00E035A2" w:rsidR="006F0A9F">
        <w:t>ont fait</w:t>
      </w:r>
      <w:r w:rsidRPr="006F0A9F" w:rsidR="006F0A9F">
        <w:rPr>
          <w:szCs w:val="24"/>
        </w:rPr>
        <w:t xml:space="preserve"> qu</w:t>
      </w:r>
      <w:r w:rsidR="00D67F8E">
        <w:rPr>
          <w:szCs w:val="24"/>
        </w:rPr>
        <w:t>’</w:t>
      </w:r>
      <w:r w:rsidRPr="006F0A9F" w:rsidR="006F0A9F">
        <w:rPr>
          <w:szCs w:val="24"/>
        </w:rPr>
        <w:t>user de leur liberté de réunion pacifique (</w:t>
      </w:r>
      <w:r w:rsidRPr="006F0A9F" w:rsidR="006F0A9F">
        <w:rPr>
          <w:rStyle w:val="ju-005fpara--char"/>
          <w:i/>
          <w:iCs/>
          <w:szCs w:val="24"/>
        </w:rPr>
        <w:t>Ezelin c. France</w:t>
      </w:r>
      <w:r w:rsidR="00E035A2">
        <w:rPr>
          <w:szCs w:val="24"/>
        </w:rPr>
        <w:t>, arrêt du 26 </w:t>
      </w:r>
      <w:r w:rsidRPr="006F0A9F" w:rsidR="006F0A9F">
        <w:rPr>
          <w:szCs w:val="24"/>
        </w:rPr>
        <w:t>avril 1991, § 41, série A n</w:t>
      </w:r>
      <w:r w:rsidRPr="006F0A9F" w:rsidR="006F0A9F">
        <w:rPr>
          <w:szCs w:val="24"/>
          <w:vertAlign w:val="superscript"/>
        </w:rPr>
        <w:t>o</w:t>
      </w:r>
      <w:r w:rsidRPr="006F0A9F" w:rsidR="006F0A9F">
        <w:rPr>
          <w:szCs w:val="24"/>
        </w:rPr>
        <w:t> 202). Or ils se sont vu infliger des sanctions disciplinaires sur le fondement de la circulaire incriminée (paragraphe 9 c</w:t>
      </w:r>
      <w:r w:rsidR="00E035A2">
        <w:rPr>
          <w:szCs w:val="24"/>
        </w:rPr>
        <w:t>i</w:t>
      </w:r>
      <w:r w:rsidR="00E035A2">
        <w:rPr>
          <w:szCs w:val="24"/>
        </w:rPr>
        <w:noBreakHyphen/>
      </w:r>
      <w:r w:rsidR="0066302D">
        <w:rPr>
          <w:szCs w:val="24"/>
        </w:rPr>
        <w:t>dessus). La Cour considère qu</w:t>
      </w:r>
      <w:r w:rsidR="00E92508">
        <w:rPr>
          <w:szCs w:val="24"/>
        </w:rPr>
        <w:t xml:space="preserve">e </w:t>
      </w:r>
      <w:r w:rsidRPr="006F0A9F" w:rsidR="006F0A9F">
        <w:rPr>
          <w:szCs w:val="24"/>
        </w:rPr>
        <w:t xml:space="preserve">ces sanctions  </w:t>
      </w:r>
      <w:r w:rsidR="0066302D">
        <w:rPr>
          <w:szCs w:val="24"/>
        </w:rPr>
        <w:t xml:space="preserve">sont </w:t>
      </w:r>
      <w:r w:rsidRPr="006F0A9F" w:rsidR="006F0A9F">
        <w:rPr>
          <w:szCs w:val="24"/>
        </w:rPr>
        <w:t>de nature à dissuader les membres de syndicats et toute autre personne souhaitant le faire de participer légitimement à une telle journée de grève ou à des actions visant à la défense des intérêts de leurs affiliés (</w:t>
      </w:r>
      <w:r w:rsidRPr="006F0A9F" w:rsidR="006F0A9F">
        <w:rPr>
          <w:i/>
          <w:szCs w:val="24"/>
        </w:rPr>
        <w:t>Urcan et autres</w:t>
      </w:r>
      <w:r w:rsidRPr="006F0A9F" w:rsidR="006F0A9F">
        <w:rPr>
          <w:szCs w:val="24"/>
        </w:rPr>
        <w:t xml:space="preserve">, précité, § 34, et </w:t>
      </w:r>
      <w:r w:rsidRPr="006F0A9F" w:rsidR="006F0A9F">
        <w:rPr>
          <w:rStyle w:val="ju-005fpara--char"/>
          <w:i/>
          <w:iCs/>
          <w:szCs w:val="24"/>
        </w:rPr>
        <w:t>Karaçay c. Turquie</w:t>
      </w:r>
      <w:r w:rsidRPr="006F0A9F" w:rsidR="006F0A9F">
        <w:rPr>
          <w:szCs w:val="24"/>
        </w:rPr>
        <w:t>, n</w:t>
      </w:r>
      <w:r w:rsidRPr="006F0A9F" w:rsidR="006F0A9F">
        <w:rPr>
          <w:szCs w:val="24"/>
          <w:vertAlign w:val="superscript"/>
        </w:rPr>
        <w:t>o</w:t>
      </w:r>
      <w:r w:rsidRPr="006F0A9F" w:rsidR="006F0A9F">
        <w:rPr>
          <w:szCs w:val="24"/>
        </w:rPr>
        <w:t> 6615/03, § 36, 27 mars 2007). La Cour relève que le Gouvernement n</w:t>
      </w:r>
      <w:r w:rsidR="00D67F8E">
        <w:rPr>
          <w:szCs w:val="24"/>
        </w:rPr>
        <w:t>’</w:t>
      </w:r>
      <w:r w:rsidRPr="006F0A9F" w:rsidR="006F0A9F">
        <w:rPr>
          <w:szCs w:val="24"/>
        </w:rPr>
        <w:t>a pas démontré la nécessité dans une société démocratique de la restriction incriminée.</w:t>
      </w:r>
    </w:p>
    <w:p w:rsidR="003F26C0" w:rsidP="003F26C0" w:rsidRDefault="00A30BDD">
      <w:pPr>
        <w:pStyle w:val="JuPara"/>
      </w:pPr>
      <w:r>
        <w:fldChar w:fldCharType="begin"/>
      </w:r>
      <w:r>
        <w:instrText xml:space="preserve"> SEQ level0 \*arabic </w:instrText>
      </w:r>
      <w:r>
        <w:fldChar w:fldCharType="separate"/>
      </w:r>
      <w:r w:rsidR="00157E34">
        <w:rPr>
          <w:noProof/>
        </w:rPr>
        <w:t>33</w:t>
      </w:r>
      <w:r>
        <w:fldChar w:fldCharType="end"/>
      </w:r>
      <w:r>
        <w:t>.</w:t>
      </w:r>
      <w:r w:rsidR="000064FD">
        <w:t>  </w:t>
      </w:r>
      <w:r w:rsidR="00EF7ACE">
        <w:t>Ainsi, l</w:t>
      </w:r>
      <w:r w:rsidR="003C0495">
        <w:t>a Cour</w:t>
      </w:r>
      <w:r w:rsidR="001F7B92">
        <w:t xml:space="preserve">, </w:t>
      </w:r>
      <w:r w:rsidR="00466474">
        <w:t>ayant procédé</w:t>
      </w:r>
      <w:r w:rsidR="001F7B92">
        <w:t xml:space="preserve"> à son propre examen,</w:t>
      </w:r>
      <w:r w:rsidR="0021765A">
        <w:t xml:space="preserve"> </w:t>
      </w:r>
      <w:r w:rsidR="003C0495">
        <w:t xml:space="preserve">conclut </w:t>
      </w:r>
      <w:r w:rsidR="003F26C0">
        <w:t>que l</w:t>
      </w:r>
      <w:r w:rsidR="00D67F8E">
        <w:t>’</w:t>
      </w:r>
      <w:r w:rsidR="003F26C0">
        <w:t>adoption de cette circulaire</w:t>
      </w:r>
      <w:r>
        <w:t xml:space="preserve"> et son application</w:t>
      </w:r>
      <w:r w:rsidR="003F26C0">
        <w:t xml:space="preserve"> ne correspondai</w:t>
      </w:r>
      <w:r>
        <w:t>ent</w:t>
      </w:r>
      <w:r w:rsidR="003F26C0">
        <w:t xml:space="preserve"> pas à</w:t>
      </w:r>
      <w:r w:rsidR="00397232">
        <w:t xml:space="preserve"> un « besoin social impérieux » et qu</w:t>
      </w:r>
      <w:r w:rsidR="00D67F8E">
        <w:t>’</w:t>
      </w:r>
      <w:r w:rsidR="00397232">
        <w:t>il y a eu une atteinte disproportionnée à la jouissance effective</w:t>
      </w:r>
      <w:r w:rsidR="00B5288D">
        <w:t xml:space="preserve"> par le syndicat requérant des droits consacrés à </w:t>
      </w:r>
      <w:r w:rsidR="00466474">
        <w:t>l</w:t>
      </w:r>
      <w:r w:rsidR="00D67F8E">
        <w:t>’</w:t>
      </w:r>
      <w:r w:rsidR="00466474">
        <w:t>article </w:t>
      </w:r>
      <w:r w:rsidR="00397232">
        <w:t>11 de la Convention.</w:t>
      </w:r>
    </w:p>
    <w:p w:rsidR="003C0495" w:rsidP="003F26C0" w:rsidRDefault="003C0495">
      <w:pPr>
        <w:pStyle w:val="JuPara"/>
      </w:pPr>
      <w:r>
        <w:fldChar w:fldCharType="begin"/>
      </w:r>
      <w:r>
        <w:instrText xml:space="preserve"> SEQ level0 \*arabic </w:instrText>
      </w:r>
      <w:r>
        <w:fldChar w:fldCharType="separate"/>
      </w:r>
      <w:r w:rsidR="00157E34">
        <w:rPr>
          <w:noProof/>
        </w:rPr>
        <w:t>34</w:t>
      </w:r>
      <w:r>
        <w:fldChar w:fldCharType="end"/>
      </w:r>
      <w:r>
        <w:t>.  </w:t>
      </w:r>
      <w:r w:rsidR="0072728A">
        <w:t>Partant, il</w:t>
      </w:r>
      <w:r>
        <w:t xml:space="preserve"> y a eu violation de l</w:t>
      </w:r>
      <w:r w:rsidR="00D67F8E">
        <w:t>’</w:t>
      </w:r>
      <w:r>
        <w:t>article 11 de la Convention.</w:t>
      </w:r>
    </w:p>
    <w:p w:rsidRPr="00613500" w:rsidR="00613500" w:rsidRDefault="00AC4D36">
      <w:pPr>
        <w:pStyle w:val="JuHIRoman"/>
      </w:pPr>
      <w:r>
        <w:t>II</w:t>
      </w:r>
      <w:r w:rsidRPr="00613500" w:rsidR="00613500">
        <w:t>.  SUR L</w:t>
      </w:r>
      <w:r w:rsidR="00D67F8E">
        <w:t>’</w:t>
      </w:r>
      <w:r w:rsidRPr="00613500" w:rsidR="00613500">
        <w:t>APPLICATION DE L</w:t>
      </w:r>
      <w:r w:rsidR="00D67F8E">
        <w:t>’</w:t>
      </w:r>
      <w:r w:rsidRPr="00613500" w:rsidR="00613500">
        <w:t>ARTICLE 41 DE LA CONVENTION</w:t>
      </w:r>
    </w:p>
    <w:p w:rsidRPr="00613500" w:rsidR="00613500" w:rsidRDefault="00613500">
      <w:pPr>
        <w:pStyle w:val="JuPara"/>
        <w:keepNext/>
        <w:keepLines/>
      </w:pPr>
      <w:r w:rsidRPr="00613500">
        <w:fldChar w:fldCharType="begin"/>
      </w:r>
      <w:r w:rsidRPr="00613500">
        <w:instrText xml:space="preserve"> SEQ level0 \*arabic </w:instrText>
      </w:r>
      <w:r w:rsidRPr="00613500">
        <w:fldChar w:fldCharType="separate"/>
      </w:r>
      <w:r w:rsidR="00157E34">
        <w:rPr>
          <w:noProof/>
        </w:rPr>
        <w:t>35</w:t>
      </w:r>
      <w:r w:rsidRPr="00613500">
        <w:fldChar w:fldCharType="end"/>
      </w:r>
      <w:r w:rsidRPr="00613500">
        <w:t>.  Aux termes de l</w:t>
      </w:r>
      <w:r w:rsidR="00D67F8E">
        <w:t>’</w:t>
      </w:r>
      <w:r w:rsidRPr="00613500">
        <w:t>article 41 de la Convention,</w:t>
      </w:r>
    </w:p>
    <w:p w:rsidRPr="00613500" w:rsidR="00613500" w:rsidRDefault="00613500">
      <w:pPr>
        <w:pStyle w:val="JuQuot"/>
        <w:keepNext/>
        <w:keepLines/>
      </w:pPr>
      <w:r w:rsidRPr="00613500">
        <w:t>« Si la Cour déclare qu</w:t>
      </w:r>
      <w:r w:rsidR="00D67F8E">
        <w:t>’</w:t>
      </w:r>
      <w:r w:rsidRPr="00613500">
        <w:t>il y a eu violation de la Convention ou de ses Protocoles, et si le droit interne de la Haute Partie contractante ne permet d</w:t>
      </w:r>
      <w:r w:rsidR="00D67F8E">
        <w:t>’</w:t>
      </w:r>
      <w:r w:rsidRPr="00613500">
        <w:t>effacer qu</w:t>
      </w:r>
      <w:r w:rsidR="00D67F8E">
        <w:t>’</w:t>
      </w:r>
      <w:r w:rsidRPr="00613500">
        <w:t>imparfaitement les conséquences de cette violation, la Cour accorde à la partie lésée, s</w:t>
      </w:r>
      <w:r w:rsidR="00D67F8E">
        <w:t>’</w:t>
      </w:r>
      <w:r w:rsidRPr="00613500">
        <w:t>il y a lieu, une satisfaction équitable. »</w:t>
      </w:r>
    </w:p>
    <w:p w:rsidRPr="00613500" w:rsidR="00613500" w:rsidRDefault="00613500">
      <w:pPr>
        <w:pStyle w:val="JuHA"/>
      </w:pPr>
      <w:r w:rsidRPr="00613500">
        <w:t>A.  Dommage</w:t>
      </w:r>
    </w:p>
    <w:p w:rsidR="008C4BE8" w:rsidRDefault="00613500">
      <w:pPr>
        <w:pStyle w:val="JuPara"/>
      </w:pPr>
      <w:r w:rsidRPr="00613500">
        <w:fldChar w:fldCharType="begin"/>
      </w:r>
      <w:r w:rsidRPr="00613500">
        <w:instrText xml:space="preserve"> SEQ level0 \*arabic </w:instrText>
      </w:r>
      <w:r w:rsidRPr="00613500">
        <w:fldChar w:fldCharType="separate"/>
      </w:r>
      <w:r w:rsidR="00157E34">
        <w:rPr>
          <w:noProof/>
        </w:rPr>
        <w:t>36</w:t>
      </w:r>
      <w:r w:rsidRPr="00613500">
        <w:fldChar w:fldCharType="end"/>
      </w:r>
      <w:r w:rsidRPr="00613500">
        <w:t>.  </w:t>
      </w:r>
      <w:r w:rsidR="008C4BE8">
        <w:t>Le requérant n</w:t>
      </w:r>
      <w:r w:rsidR="00D67F8E">
        <w:t>’</w:t>
      </w:r>
      <w:r w:rsidR="008C4BE8">
        <w:t xml:space="preserve">a présenté aucune demande </w:t>
      </w:r>
      <w:r w:rsidR="00155FBB">
        <w:t>pour</w:t>
      </w:r>
      <w:r w:rsidR="008C4BE8">
        <w:t xml:space="preserve"> dommage matériel </w:t>
      </w:r>
      <w:r w:rsidR="00155FBB">
        <w:t>ou dommage</w:t>
      </w:r>
      <w:r w:rsidR="008C4BE8">
        <w:t xml:space="preserve"> moral.</w:t>
      </w:r>
    </w:p>
    <w:p w:rsidRPr="00613500" w:rsidR="00613500" w:rsidRDefault="00613500">
      <w:pPr>
        <w:pStyle w:val="JuHA"/>
      </w:pPr>
      <w:r w:rsidRPr="00613500">
        <w:t>B.  Frais et dépens</w:t>
      </w:r>
    </w:p>
    <w:p w:rsidR="00613500" w:rsidRDefault="00725FAF">
      <w:pPr>
        <w:pStyle w:val="JuPara"/>
      </w:pPr>
      <w:r>
        <w:fldChar w:fldCharType="begin"/>
      </w:r>
      <w:r>
        <w:instrText xml:space="preserve"> SEQ level0 \*arabic </w:instrText>
      </w:r>
      <w:r>
        <w:fldChar w:fldCharType="separate"/>
      </w:r>
      <w:r w:rsidR="00157E34">
        <w:rPr>
          <w:noProof/>
        </w:rPr>
        <w:t>37</w:t>
      </w:r>
      <w:r>
        <w:fldChar w:fldCharType="end"/>
      </w:r>
      <w:r>
        <w:t>.  </w:t>
      </w:r>
      <w:r w:rsidR="008C4BE8">
        <w:t xml:space="preserve">Le requérant demande </w:t>
      </w:r>
      <w:r w:rsidR="009A549E">
        <w:t>6</w:t>
      </w:r>
      <w:r w:rsidR="001F6EA0">
        <w:t> 350 livres turques (TRL)</w:t>
      </w:r>
      <w:r w:rsidR="00B537ED">
        <w:t xml:space="preserve"> (soit environ 3</w:t>
      </w:r>
      <w:r w:rsidR="00155FBB">
        <w:t> </w:t>
      </w:r>
      <w:r w:rsidR="00B537ED">
        <w:t>150</w:t>
      </w:r>
      <w:r w:rsidR="00155FBB">
        <w:t xml:space="preserve"> euros</w:t>
      </w:r>
      <w:r w:rsidR="00B537ED">
        <w:t xml:space="preserve"> </w:t>
      </w:r>
      <w:r w:rsidR="00155FBB">
        <w:t>(</w:t>
      </w:r>
      <w:r w:rsidR="00B537ED">
        <w:t>EUR</w:t>
      </w:r>
      <w:r w:rsidR="00155FBB">
        <w:t>)</w:t>
      </w:r>
      <w:r w:rsidR="00B537ED">
        <w:t>)</w:t>
      </w:r>
      <w:r w:rsidR="001F6EA0">
        <w:t xml:space="preserve"> pour les frais et dépens engagés devant la Cour. Cette prétention est ventilée comme suit : </w:t>
      </w:r>
      <w:r w:rsidR="00B537ED">
        <w:t>6 000 TRL pour les frais d</w:t>
      </w:r>
      <w:r w:rsidR="00D67F8E">
        <w:t>’</w:t>
      </w:r>
      <w:r w:rsidR="00B537ED">
        <w:t>honoraires</w:t>
      </w:r>
      <w:r w:rsidR="00155FBB">
        <w:t xml:space="preserve"> et</w:t>
      </w:r>
      <w:r w:rsidR="00B537ED">
        <w:t xml:space="preserve"> 350 TRL pour les frais de traduction. A titre de justificatif, </w:t>
      </w:r>
      <w:r w:rsidR="0072728A">
        <w:t>l</w:t>
      </w:r>
      <w:r w:rsidR="00D67F8E">
        <w:t>’</w:t>
      </w:r>
      <w:r w:rsidR="0072728A">
        <w:t>intéressé</w:t>
      </w:r>
      <w:r w:rsidR="00B537ED">
        <w:t xml:space="preserve"> fournit une convention d</w:t>
      </w:r>
      <w:r w:rsidR="00D67F8E">
        <w:t>’</w:t>
      </w:r>
      <w:r w:rsidR="00B537ED">
        <w:t>honoraire</w:t>
      </w:r>
      <w:r w:rsidR="00155FBB">
        <w:t>s</w:t>
      </w:r>
      <w:r w:rsidR="00B537ED">
        <w:t xml:space="preserve"> et une facture de </w:t>
      </w:r>
      <w:r w:rsidR="00155FBB">
        <w:t xml:space="preserve">travaux </w:t>
      </w:r>
      <w:r w:rsidR="0072728A">
        <w:t xml:space="preserve">de </w:t>
      </w:r>
      <w:r w:rsidR="00B537ED">
        <w:t>traduction.</w:t>
      </w:r>
    </w:p>
    <w:p w:rsidR="00B537ED" w:rsidRDefault="00B537ED">
      <w:pPr>
        <w:pStyle w:val="JuPara"/>
      </w:pPr>
      <w:r>
        <w:fldChar w:fldCharType="begin"/>
      </w:r>
      <w:r>
        <w:instrText xml:space="preserve"> SEQ level0 \*arabic </w:instrText>
      </w:r>
      <w:r>
        <w:fldChar w:fldCharType="separate"/>
      </w:r>
      <w:r w:rsidR="00157E34">
        <w:rPr>
          <w:noProof/>
        </w:rPr>
        <w:t>38</w:t>
      </w:r>
      <w:r>
        <w:fldChar w:fldCharType="end"/>
      </w:r>
      <w:r>
        <w:t>.  Le Gouvernement conteste ces prétentions.</w:t>
      </w:r>
    </w:p>
    <w:p w:rsidR="00B537ED" w:rsidRDefault="00B537ED">
      <w:pPr>
        <w:pStyle w:val="JuPara"/>
      </w:pPr>
      <w:r>
        <w:fldChar w:fldCharType="begin"/>
      </w:r>
      <w:r>
        <w:instrText xml:space="preserve"> SEQ level0 \*arabic </w:instrText>
      </w:r>
      <w:r>
        <w:fldChar w:fldCharType="separate"/>
      </w:r>
      <w:r w:rsidR="00157E34">
        <w:rPr>
          <w:noProof/>
        </w:rPr>
        <w:t>39</w:t>
      </w:r>
      <w:r>
        <w:fldChar w:fldCharType="end"/>
      </w:r>
      <w:r>
        <w:t>.  Selon la jurisprudence de la Cour, un requérant ne peut obtenir le remboursement de ses frais et dépens que dans la mesure où se trouvent établis leur réalité, leur nécessité et le caractère raisonnable de leur taux.</w:t>
      </w:r>
    </w:p>
    <w:p w:rsidRPr="00613500" w:rsidR="00B537ED" w:rsidRDefault="00B537ED">
      <w:pPr>
        <w:pStyle w:val="JuPara"/>
      </w:pPr>
      <w:r>
        <w:fldChar w:fldCharType="begin"/>
      </w:r>
      <w:r>
        <w:instrText xml:space="preserve"> SEQ level0 \*arabic </w:instrText>
      </w:r>
      <w:r>
        <w:fldChar w:fldCharType="separate"/>
      </w:r>
      <w:r w:rsidR="00157E34">
        <w:rPr>
          <w:noProof/>
        </w:rPr>
        <w:t>40</w:t>
      </w:r>
      <w:r>
        <w:fldChar w:fldCharType="end"/>
      </w:r>
      <w:r>
        <w:t>.  </w:t>
      </w:r>
      <w:r w:rsidR="00155FBB">
        <w:t>En l</w:t>
      </w:r>
      <w:r w:rsidR="00D67F8E">
        <w:t>’</w:t>
      </w:r>
      <w:r w:rsidR="00155FBB">
        <w:t>espèce, c</w:t>
      </w:r>
      <w:r>
        <w:t>ompte tenu des éléments en sa possession et des critères susmentionnés, la Cour estime raisonnable la somme de 1 500 EUR tous frais confondus et l</w:t>
      </w:r>
      <w:r w:rsidR="00D67F8E">
        <w:t>’</w:t>
      </w:r>
      <w:r>
        <w:t>accorde au requérant.</w:t>
      </w:r>
    </w:p>
    <w:p w:rsidRPr="00613500" w:rsidR="00613500" w:rsidRDefault="00613500">
      <w:pPr>
        <w:pStyle w:val="JuHA"/>
      </w:pPr>
      <w:r w:rsidRPr="00613500">
        <w:t>C.  Intérêts moratoires</w:t>
      </w:r>
    </w:p>
    <w:p w:rsidRPr="00613500" w:rsidR="009D02AC" w:rsidRDefault="00613500">
      <w:pPr>
        <w:pStyle w:val="JuPara"/>
      </w:pPr>
      <w:r w:rsidRPr="00613500">
        <w:fldChar w:fldCharType="begin"/>
      </w:r>
      <w:r w:rsidRPr="00613500">
        <w:instrText xml:space="preserve"> SEQ level0 \*arabic </w:instrText>
      </w:r>
      <w:r w:rsidRPr="00613500">
        <w:fldChar w:fldCharType="separate"/>
      </w:r>
      <w:r w:rsidR="00157E34">
        <w:rPr>
          <w:noProof/>
        </w:rPr>
        <w:t>41</w:t>
      </w:r>
      <w:r w:rsidRPr="00613500">
        <w:fldChar w:fldCharType="end"/>
      </w:r>
      <w:r w:rsidRPr="00613500">
        <w:t>.  La Cour juge approprié de calquer le taux des intérêts moratoires sur le taux d</w:t>
      </w:r>
      <w:r w:rsidR="00D67F8E">
        <w:t>’</w:t>
      </w:r>
      <w:r w:rsidRPr="00613500">
        <w:t>intérêt de la facilité de prêt marginal de la Banque centrale européenne majoré de trois points de pourcentage.</w:t>
      </w:r>
    </w:p>
    <w:p w:rsidRPr="00613500" w:rsidR="009D02AC" w:rsidRDefault="009D02AC">
      <w:pPr>
        <w:pStyle w:val="JuHHead"/>
      </w:pPr>
      <w:r w:rsidRPr="00613500">
        <w:t>PAR CES MOTIFS, LA COUR, À L</w:t>
      </w:r>
      <w:r w:rsidR="00D67F8E">
        <w:t>’</w:t>
      </w:r>
      <w:r w:rsidRPr="00613500">
        <w:t>UNANIMITÉ,</w:t>
      </w:r>
    </w:p>
    <w:p w:rsidRPr="00613500" w:rsidR="00613500" w:rsidRDefault="00613500">
      <w:pPr>
        <w:pStyle w:val="JuList"/>
      </w:pPr>
      <w:r w:rsidRPr="00613500">
        <w:t>1.  </w:t>
      </w:r>
      <w:r w:rsidRPr="00613500">
        <w:rPr>
          <w:i/>
        </w:rPr>
        <w:t>Dit</w:t>
      </w:r>
      <w:r w:rsidRPr="00613500">
        <w:t xml:space="preserve"> qu</w:t>
      </w:r>
      <w:r w:rsidR="00D67F8E">
        <w:t>’</w:t>
      </w:r>
      <w:r w:rsidR="00B537ED">
        <w:t xml:space="preserve">il y a </w:t>
      </w:r>
      <w:r w:rsidRPr="00613500">
        <w:t>eu violation de l</w:t>
      </w:r>
      <w:r w:rsidR="00D67F8E">
        <w:t>’</w:t>
      </w:r>
      <w:r w:rsidRPr="00613500">
        <w:t xml:space="preserve">article </w:t>
      </w:r>
      <w:r w:rsidR="00B537ED">
        <w:t>11</w:t>
      </w:r>
      <w:r w:rsidRPr="00613500">
        <w:t xml:space="preserve"> de la Convention ;</w:t>
      </w:r>
    </w:p>
    <w:p w:rsidRPr="00613500" w:rsidR="00613500" w:rsidRDefault="00613500">
      <w:pPr>
        <w:pStyle w:val="JuList"/>
      </w:pPr>
    </w:p>
    <w:p w:rsidRPr="00613500" w:rsidR="00613500" w:rsidRDefault="00044C44">
      <w:pPr>
        <w:pStyle w:val="JuList"/>
      </w:pPr>
      <w:r>
        <w:t>2</w:t>
      </w:r>
      <w:r w:rsidRPr="00613500" w:rsidR="00613500">
        <w:t>.  </w:t>
      </w:r>
      <w:r w:rsidRPr="00613500" w:rsidR="00613500">
        <w:rPr>
          <w:i/>
        </w:rPr>
        <w:t>Dit</w:t>
      </w:r>
    </w:p>
    <w:p w:rsidRPr="00613500" w:rsidR="00613500" w:rsidRDefault="00613500">
      <w:pPr>
        <w:pStyle w:val="JuLista"/>
      </w:pPr>
      <w:r w:rsidRPr="00613500">
        <w:t>a)  que l</w:t>
      </w:r>
      <w:r w:rsidR="00D67F8E">
        <w:t>’</w:t>
      </w:r>
      <w:r w:rsidRPr="00613500">
        <w:t xml:space="preserve">Etat défendeur doit verser au </w:t>
      </w:r>
      <w:r w:rsidR="00044C44">
        <w:t xml:space="preserve">requérant, dans les trois mois </w:t>
      </w:r>
      <w:r w:rsidRPr="00613500">
        <w:t>à compter du jour où l</w:t>
      </w:r>
      <w:r w:rsidR="00D67F8E">
        <w:t>’</w:t>
      </w:r>
      <w:r w:rsidRPr="00613500">
        <w:t xml:space="preserve">arrêt sera devenu définitif </w:t>
      </w:r>
      <w:r w:rsidR="00155FBB">
        <w:t>en vertu de</w:t>
      </w:r>
      <w:r w:rsidRPr="00613500">
        <w:t xml:space="preserve"> l</w:t>
      </w:r>
      <w:r w:rsidR="00D67F8E">
        <w:t>’</w:t>
      </w:r>
      <w:r w:rsidRPr="00613500">
        <w:t>article 44 § 2 de la Convention</w:t>
      </w:r>
      <w:r w:rsidR="00044C44">
        <w:t xml:space="preserve">, 1 500 EUR (mille cinq cents </w:t>
      </w:r>
      <w:r w:rsidRPr="00613500">
        <w:t>euros)</w:t>
      </w:r>
      <w:r w:rsidR="00044C44">
        <w:t xml:space="preserve"> pour frais et dépens</w:t>
      </w:r>
      <w:r w:rsidRPr="00613500">
        <w:t>,</w:t>
      </w:r>
      <w:r w:rsidR="00044C44">
        <w:t xml:space="preserve"> </w:t>
      </w:r>
      <w:r w:rsidRPr="00613500">
        <w:t>plus tout montant pouvant être dû à titre d</w:t>
      </w:r>
      <w:r w:rsidR="00D67F8E">
        <w:t>’</w:t>
      </w:r>
      <w:r w:rsidRPr="00613500">
        <w:t>impôt</w:t>
      </w:r>
      <w:r w:rsidR="00044C44">
        <w:t> ;</w:t>
      </w:r>
    </w:p>
    <w:p w:rsidRPr="00613500" w:rsidR="00613500" w:rsidRDefault="00613500">
      <w:pPr>
        <w:pStyle w:val="JuLista"/>
      </w:pPr>
      <w:r w:rsidRPr="00613500">
        <w:t>b)  qu</w:t>
      </w:r>
      <w:r w:rsidR="00D67F8E">
        <w:t>’</w:t>
      </w:r>
      <w:r w:rsidRPr="00613500">
        <w:t>à compter de l</w:t>
      </w:r>
      <w:r w:rsidR="00D67F8E">
        <w:t>’</w:t>
      </w:r>
      <w:r w:rsidRPr="00613500">
        <w:t>expiration dudit délai et jusqu</w:t>
      </w:r>
      <w:r w:rsidR="00D67F8E">
        <w:t>’</w:t>
      </w:r>
      <w:r w:rsidR="00044C44">
        <w:t xml:space="preserve">au versement, ce montant sera </w:t>
      </w:r>
      <w:r w:rsidRPr="00613500">
        <w:t>à majorer d</w:t>
      </w:r>
      <w:r w:rsidR="00D67F8E">
        <w:t>’</w:t>
      </w:r>
      <w:r w:rsidRPr="00613500">
        <w:t>un intérêt simple à un taux égal à celui de la facilité de prêt marginal de la Banque centrale européenne applicable pendant cette période, augmenté de trois points de pourcentage ;</w:t>
      </w:r>
    </w:p>
    <w:p w:rsidRPr="00613500" w:rsidR="00613500" w:rsidRDefault="00613500">
      <w:pPr>
        <w:pStyle w:val="JuLista"/>
      </w:pPr>
    </w:p>
    <w:p w:rsidRPr="00613500" w:rsidR="009D02AC" w:rsidRDefault="00044C44">
      <w:pPr>
        <w:pStyle w:val="JuList"/>
      </w:pPr>
      <w:r>
        <w:t>3</w:t>
      </w:r>
      <w:r w:rsidRPr="00613500" w:rsidR="00613500">
        <w:t>.  </w:t>
      </w:r>
      <w:r w:rsidRPr="00613500" w:rsidR="00613500">
        <w:rPr>
          <w:i/>
        </w:rPr>
        <w:t>Rejette</w:t>
      </w:r>
      <w:r w:rsidRPr="00613500" w:rsidR="00613500">
        <w:t xml:space="preserve"> la demande de satisfaction équitable pour le surplus.</w:t>
      </w:r>
    </w:p>
    <w:p w:rsidRPr="00613500" w:rsidR="0046448A" w:rsidP="0046448A" w:rsidRDefault="009D02AC">
      <w:pPr>
        <w:pStyle w:val="JuParaLast"/>
      </w:pPr>
      <w:r w:rsidRPr="00613500">
        <w:t>Fait en français, puis communiqué par écrit le </w:t>
      </w:r>
      <w:r w:rsidR="00C52B5D">
        <w:t>21 avril 2009</w:t>
      </w:r>
      <w:r w:rsidRPr="00613500" w:rsidR="00773BF3">
        <w:t>,</w:t>
      </w:r>
      <w:r w:rsidRPr="00613500">
        <w:t xml:space="preserve"> en application de l</w:t>
      </w:r>
      <w:r w:rsidR="00D67F8E">
        <w:t>’</w:t>
      </w:r>
      <w:r w:rsidRPr="00613500">
        <w:t>article 77 §§ 2 et 3 du règlement.</w:t>
      </w:r>
    </w:p>
    <w:p w:rsidRPr="00613500" w:rsidR="009D02AC" w:rsidP="00D34415" w:rsidRDefault="007361B6">
      <w:pPr>
        <w:pStyle w:val="JuSigned"/>
      </w:pPr>
      <w:r w:rsidRPr="00703BF6">
        <w:tab/>
        <w:t>Santiago Quesada</w:t>
      </w:r>
      <w:r w:rsidRPr="00703BF6">
        <w:tab/>
        <w:t>Josep Casadevall</w:t>
      </w:r>
      <w:r w:rsidRPr="00703BF6">
        <w:rPr>
          <w:smallCaps/>
        </w:rPr>
        <w:br/>
      </w:r>
      <w:r w:rsidRPr="00703BF6">
        <w:rPr>
          <w:smallCaps/>
        </w:rPr>
        <w:tab/>
      </w:r>
      <w:r w:rsidR="00D34415">
        <w:t>Greffier</w:t>
      </w:r>
      <w:r w:rsidR="00D34415">
        <w:tab/>
        <w:t>Président</w:t>
      </w:r>
    </w:p>
    <w:sectPr w:rsidRPr="00613500" w:rsidR="009D02AC" w:rsidSect="00BB5742">
      <w:headerReference w:type="even" r:id="rId13"/>
      <w:headerReference w:type="default" r:id="rId14"/>
      <w:footnotePr>
        <w:numRestart w:val="eachPage"/>
      </w:footnotePr>
      <w:pgSz w:w="11906" w:h="16838" w:code="9"/>
      <w:pgMar w:top="2274" w:right="2274" w:bottom="2274" w:left="2274" w:header="1701" w:footer="720" w:gutter="0"/>
      <w:pgNumType w:start="1"/>
      <w:cols w:space="720"/>
      <w:docGrid w:linePitch="7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3EED" w:rsidRDefault="007B3EED">
      <w:r>
        <w:separator/>
      </w:r>
    </w:p>
  </w:endnote>
  <w:endnote w:type="continuationSeparator" w:id="0">
    <w:p w:rsidR="007B3EED" w:rsidRDefault="007B3E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Times New (W1)">
    <w:altName w:val="Times New Roman"/>
    <w:charset w:val="00"/>
    <w:family w:val="roman"/>
    <w:pitch w:val="variable"/>
    <w:sig w:usb0="20007A87" w:usb1="80000000" w:usb2="00000008"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3EED" w:rsidRDefault="007B3EED">
      <w:r>
        <w:separator/>
      </w:r>
    </w:p>
  </w:footnote>
  <w:footnote w:type="continuationSeparator" w:id="0">
    <w:p w:rsidR="007B3EED" w:rsidRDefault="007B3E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Pr="00A70CD7" w:rsidRDefault="007B3EED">
    <w:pPr>
      <w:pStyle w:val="JuHeader"/>
      <w:rPr>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Header"/>
      <w:jc w:val="cent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139.5pt" fillcolor="window">
          <v:imagedata r:id="rId1" o:title=""/>
        </v:shape>
      </w:pict>
    </w:r>
  </w:p>
  <w:p w:rsidR="007B3EED" w:rsidRDefault="007B3EED" w:rsidP="00BB5742">
    <w:pPr>
      <w:pStyle w:val="JuHeader"/>
      <w:jc w:val="center"/>
      <w:rPr>
        <w:lang w:val="en-GB"/>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Pr="00A70CD7" w:rsidRDefault="007B3EED">
    <w:pPr>
      <w:pStyle w:val="JuHeader"/>
      <w:rPr>
        <w:lang w:val="en-GB"/>
      </w:rPr>
    </w:pPr>
    <w:r>
      <w:rPr>
        <w:rStyle w:val="PageNumber"/>
        <w:lang w:val="en-GB"/>
      </w:rPr>
      <w:fldChar w:fldCharType="begin"/>
    </w:r>
    <w:r>
      <w:rPr>
        <w:rStyle w:val="PageNumber"/>
        <w:lang w:val="en-GB"/>
      </w:rPr>
      <w:instrText xml:space="preserve"> PAGE </w:instrText>
    </w:r>
    <w:r>
      <w:rPr>
        <w:rStyle w:val="PageNumber"/>
        <w:lang w:val="en-GB"/>
      </w:rPr>
      <w:fldChar w:fldCharType="separate"/>
    </w:r>
    <w:r w:rsidR="00D67F8E">
      <w:rPr>
        <w:rStyle w:val="PageNumber"/>
        <w:noProof/>
        <w:lang w:val="en-GB"/>
      </w:rPr>
      <w:t>8</w:t>
    </w:r>
    <w:r>
      <w:rPr>
        <w:rStyle w:val="PageNumber"/>
        <w:lang w:val="en-GB"/>
      </w:rPr>
      <w:fldChar w:fldCharType="end"/>
    </w:r>
    <w:r w:rsidRPr="00A70CD7">
      <w:rPr>
        <w:lang w:val="en-GB"/>
      </w:rPr>
      <w:tab/>
    </w:r>
    <w:r>
      <w:rPr>
        <w:noProof/>
        <w:lang w:val="en-GB"/>
      </w:rPr>
      <w:t>ARRÊT</w:t>
    </w:r>
    <w:r w:rsidRPr="00A70CD7">
      <w:rPr>
        <w:lang w:val="en-GB"/>
      </w:rPr>
      <w:t xml:space="preserve"> </w:t>
    </w:r>
    <w:r>
      <w:rPr>
        <w:lang w:val="en-GB"/>
      </w:rPr>
      <w:t>ENERJİ YAPI-YOL SEN c. TURQUIE</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3EED" w:rsidRDefault="007B3EED">
    <w:pPr>
      <w:pStyle w:val="JuHeader"/>
      <w:rPr>
        <w:lang w:val="en-GB"/>
      </w:rPr>
    </w:pPr>
    <w:r>
      <w:rPr>
        <w:lang w:val="en-GB"/>
      </w:rPr>
      <w:tab/>
    </w:r>
    <w:r>
      <w:rPr>
        <w:noProof/>
        <w:lang w:val="en-GB"/>
      </w:rPr>
      <w:t>ARRÊT</w:t>
    </w:r>
    <w:r w:rsidRPr="00A70CD7">
      <w:rPr>
        <w:lang w:val="en-GB"/>
      </w:rPr>
      <w:t xml:space="preserve"> </w:t>
    </w:r>
    <w:r>
      <w:rPr>
        <w:lang w:val="en-GB"/>
      </w:rPr>
      <w:t>ENERJİ YAPI-YOL SEN c. TURQUIE</w:t>
    </w:r>
    <w:r>
      <w:rPr>
        <w:lang w:val="en-GB"/>
      </w:rPr>
      <w:tab/>
    </w:r>
    <w:r>
      <w:rPr>
        <w:rStyle w:val="PageNumber"/>
        <w:lang w:val="en-GB"/>
      </w:rPr>
      <w:fldChar w:fldCharType="begin"/>
    </w:r>
    <w:r>
      <w:rPr>
        <w:rStyle w:val="PageNumber"/>
        <w:lang w:val="en-GB"/>
      </w:rPr>
      <w:instrText xml:space="preserve"> PAGE </w:instrText>
    </w:r>
    <w:r>
      <w:rPr>
        <w:rStyle w:val="PageNumber"/>
        <w:lang w:val="en-GB"/>
      </w:rPr>
      <w:fldChar w:fldCharType="separate"/>
    </w:r>
    <w:r w:rsidR="00D67F8E">
      <w:rPr>
        <w:rStyle w:val="PageNumber"/>
        <w:noProof/>
        <w:lang w:val="en-GB"/>
      </w:rPr>
      <w:t>1</w:t>
    </w:r>
    <w:r>
      <w:rPr>
        <w:rStyle w:val="PageNumber"/>
        <w:lang w:val="en-GB"/>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activeWritingStyle w:appName="MSWord" w:lang="fr-FR" w:vendorID="9" w:dllVersion="512" w:checkStyle="1"/>
  <w:activeWritingStyle w:appName="MSWord" w:lang="sv-SE" w:vendorID="0" w:dllVersion="512" w:checkStyle="1"/>
  <w:activeWritingStyle w:appName="MSWord" w:lang="sv-SE" w:vendorID="666"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6"/>
  <w:hyphenationZone w:val="425"/>
  <w:evenAndOddHeaders/>
  <w:drawingGridHorizontalSpacing w:val="57"/>
  <w:displayHorizontalDrawingGridEvery w:val="0"/>
  <w:displayVerticalDrawingGridEvery w:val="0"/>
  <w:noPunctuationKerning/>
  <w:characterSpacingControl w:val="doNotCompress"/>
  <w:hdrShapeDefaults>
    <o:shapedefaults v:ext="edit" spidmax="3074"/>
  </w:hdrShapeDefaults>
  <w:footnotePr>
    <w:numRestart w:val="eachPage"/>
    <w:footnote w:id="-1"/>
    <w:footnote w:id="0"/>
  </w:footnotePr>
  <w:endnotePr>
    <w:endnote w:id="-1"/>
    <w:endnote w:id="0"/>
  </w:endnotePr>
  <w:compat>
    <w:doNotSuppressParagraphBorder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13500"/>
    <w:rsid w:val="000064EF"/>
    <w:rsid w:val="000064FD"/>
    <w:rsid w:val="000079B4"/>
    <w:rsid w:val="00037D23"/>
    <w:rsid w:val="00043B33"/>
    <w:rsid w:val="00044C44"/>
    <w:rsid w:val="00050376"/>
    <w:rsid w:val="00060220"/>
    <w:rsid w:val="000649E5"/>
    <w:rsid w:val="000735C4"/>
    <w:rsid w:val="00084A2C"/>
    <w:rsid w:val="000B5806"/>
    <w:rsid w:val="000C3E53"/>
    <w:rsid w:val="000F07AD"/>
    <w:rsid w:val="00105745"/>
    <w:rsid w:val="001077FE"/>
    <w:rsid w:val="00117D42"/>
    <w:rsid w:val="001428EB"/>
    <w:rsid w:val="00155FBB"/>
    <w:rsid w:val="001563D1"/>
    <w:rsid w:val="00157E34"/>
    <w:rsid w:val="001632A1"/>
    <w:rsid w:val="001641C2"/>
    <w:rsid w:val="001868FE"/>
    <w:rsid w:val="00195F06"/>
    <w:rsid w:val="001C6B6A"/>
    <w:rsid w:val="001D646E"/>
    <w:rsid w:val="001D7698"/>
    <w:rsid w:val="001F5052"/>
    <w:rsid w:val="001F6EA0"/>
    <w:rsid w:val="001F7B92"/>
    <w:rsid w:val="0020295C"/>
    <w:rsid w:val="002151BC"/>
    <w:rsid w:val="0021765A"/>
    <w:rsid w:val="0022153D"/>
    <w:rsid w:val="002224C1"/>
    <w:rsid w:val="00226EF7"/>
    <w:rsid w:val="00232912"/>
    <w:rsid w:val="0023581F"/>
    <w:rsid w:val="00240319"/>
    <w:rsid w:val="002666F4"/>
    <w:rsid w:val="0027501D"/>
    <w:rsid w:val="00286C97"/>
    <w:rsid w:val="00293A44"/>
    <w:rsid w:val="002A7B40"/>
    <w:rsid w:val="002C275C"/>
    <w:rsid w:val="002E1AF3"/>
    <w:rsid w:val="002E2C8E"/>
    <w:rsid w:val="003047EC"/>
    <w:rsid w:val="00310986"/>
    <w:rsid w:val="003204B2"/>
    <w:rsid w:val="003544D4"/>
    <w:rsid w:val="00362913"/>
    <w:rsid w:val="00364D66"/>
    <w:rsid w:val="00367B88"/>
    <w:rsid w:val="00371E1A"/>
    <w:rsid w:val="00376E2F"/>
    <w:rsid w:val="00383D18"/>
    <w:rsid w:val="00383E2F"/>
    <w:rsid w:val="003860D6"/>
    <w:rsid w:val="00387D96"/>
    <w:rsid w:val="003956D1"/>
    <w:rsid w:val="00397232"/>
    <w:rsid w:val="003C0495"/>
    <w:rsid w:val="003F0F80"/>
    <w:rsid w:val="003F26C0"/>
    <w:rsid w:val="00414007"/>
    <w:rsid w:val="004146B5"/>
    <w:rsid w:val="004502EE"/>
    <w:rsid w:val="00451075"/>
    <w:rsid w:val="00455BDD"/>
    <w:rsid w:val="0046448A"/>
    <w:rsid w:val="00466474"/>
    <w:rsid w:val="004678ED"/>
    <w:rsid w:val="00470967"/>
    <w:rsid w:val="00471CA6"/>
    <w:rsid w:val="00491504"/>
    <w:rsid w:val="00493134"/>
    <w:rsid w:val="004A6070"/>
    <w:rsid w:val="004D1E28"/>
    <w:rsid w:val="004D2E78"/>
    <w:rsid w:val="005063E0"/>
    <w:rsid w:val="005063EC"/>
    <w:rsid w:val="005164DB"/>
    <w:rsid w:val="005202CD"/>
    <w:rsid w:val="00527385"/>
    <w:rsid w:val="00533549"/>
    <w:rsid w:val="0057551A"/>
    <w:rsid w:val="0057586C"/>
    <w:rsid w:val="005810E8"/>
    <w:rsid w:val="00583998"/>
    <w:rsid w:val="00594633"/>
    <w:rsid w:val="005B7802"/>
    <w:rsid w:val="005C5E7F"/>
    <w:rsid w:val="005D25C7"/>
    <w:rsid w:val="005D6B95"/>
    <w:rsid w:val="005E774A"/>
    <w:rsid w:val="005F4302"/>
    <w:rsid w:val="00611510"/>
    <w:rsid w:val="00613500"/>
    <w:rsid w:val="006141CC"/>
    <w:rsid w:val="00616960"/>
    <w:rsid w:val="00626451"/>
    <w:rsid w:val="00633E10"/>
    <w:rsid w:val="00643CB5"/>
    <w:rsid w:val="00646C06"/>
    <w:rsid w:val="0066302D"/>
    <w:rsid w:val="006647B7"/>
    <w:rsid w:val="0067619D"/>
    <w:rsid w:val="006A3B50"/>
    <w:rsid w:val="006A4DE0"/>
    <w:rsid w:val="006B403B"/>
    <w:rsid w:val="006C60E2"/>
    <w:rsid w:val="006D0412"/>
    <w:rsid w:val="006D2209"/>
    <w:rsid w:val="006D27CB"/>
    <w:rsid w:val="006D4763"/>
    <w:rsid w:val="006D733D"/>
    <w:rsid w:val="006E4019"/>
    <w:rsid w:val="006F0A9F"/>
    <w:rsid w:val="00721BAA"/>
    <w:rsid w:val="00725FAF"/>
    <w:rsid w:val="0072728A"/>
    <w:rsid w:val="007361B6"/>
    <w:rsid w:val="00756F39"/>
    <w:rsid w:val="00763319"/>
    <w:rsid w:val="00773BF3"/>
    <w:rsid w:val="00797BEE"/>
    <w:rsid w:val="007A7FAE"/>
    <w:rsid w:val="007B3EED"/>
    <w:rsid w:val="007D31C3"/>
    <w:rsid w:val="007D4A82"/>
    <w:rsid w:val="0081082A"/>
    <w:rsid w:val="00811B4C"/>
    <w:rsid w:val="00842B4C"/>
    <w:rsid w:val="00865264"/>
    <w:rsid w:val="008677C0"/>
    <w:rsid w:val="00872889"/>
    <w:rsid w:val="00883DA0"/>
    <w:rsid w:val="00885AFB"/>
    <w:rsid w:val="008C4BE8"/>
    <w:rsid w:val="008E7A12"/>
    <w:rsid w:val="008F02FA"/>
    <w:rsid w:val="009128C3"/>
    <w:rsid w:val="00924874"/>
    <w:rsid w:val="009256DB"/>
    <w:rsid w:val="00925F47"/>
    <w:rsid w:val="00930473"/>
    <w:rsid w:val="00941092"/>
    <w:rsid w:val="00947868"/>
    <w:rsid w:val="00951FB3"/>
    <w:rsid w:val="00960546"/>
    <w:rsid w:val="00960E6F"/>
    <w:rsid w:val="009A036B"/>
    <w:rsid w:val="009A549E"/>
    <w:rsid w:val="009D02AC"/>
    <w:rsid w:val="009D043B"/>
    <w:rsid w:val="00A0430D"/>
    <w:rsid w:val="00A05764"/>
    <w:rsid w:val="00A170A2"/>
    <w:rsid w:val="00A24FEF"/>
    <w:rsid w:val="00A30BDD"/>
    <w:rsid w:val="00A53FCC"/>
    <w:rsid w:val="00A653DE"/>
    <w:rsid w:val="00A669A6"/>
    <w:rsid w:val="00A70CD7"/>
    <w:rsid w:val="00A7337E"/>
    <w:rsid w:val="00AB43A9"/>
    <w:rsid w:val="00AB7706"/>
    <w:rsid w:val="00AC4D36"/>
    <w:rsid w:val="00AD1580"/>
    <w:rsid w:val="00AD2D2F"/>
    <w:rsid w:val="00AF778C"/>
    <w:rsid w:val="00B11696"/>
    <w:rsid w:val="00B11F2F"/>
    <w:rsid w:val="00B1646D"/>
    <w:rsid w:val="00B5288D"/>
    <w:rsid w:val="00B537ED"/>
    <w:rsid w:val="00B63581"/>
    <w:rsid w:val="00BA7CF4"/>
    <w:rsid w:val="00BB5742"/>
    <w:rsid w:val="00BC0BF0"/>
    <w:rsid w:val="00BD2B6C"/>
    <w:rsid w:val="00BF12C3"/>
    <w:rsid w:val="00C06D9D"/>
    <w:rsid w:val="00C5274B"/>
    <w:rsid w:val="00C52B5D"/>
    <w:rsid w:val="00C53F80"/>
    <w:rsid w:val="00CA3469"/>
    <w:rsid w:val="00CA40B5"/>
    <w:rsid w:val="00CA77BD"/>
    <w:rsid w:val="00CB62FF"/>
    <w:rsid w:val="00CC7107"/>
    <w:rsid w:val="00CD2591"/>
    <w:rsid w:val="00CE1FEB"/>
    <w:rsid w:val="00CE7645"/>
    <w:rsid w:val="00CF03D0"/>
    <w:rsid w:val="00D0211D"/>
    <w:rsid w:val="00D046A3"/>
    <w:rsid w:val="00D07890"/>
    <w:rsid w:val="00D134A9"/>
    <w:rsid w:val="00D16AE0"/>
    <w:rsid w:val="00D2519B"/>
    <w:rsid w:val="00D34415"/>
    <w:rsid w:val="00D42266"/>
    <w:rsid w:val="00D517BB"/>
    <w:rsid w:val="00D561B8"/>
    <w:rsid w:val="00D67F8E"/>
    <w:rsid w:val="00D74D7B"/>
    <w:rsid w:val="00DB2064"/>
    <w:rsid w:val="00DB5458"/>
    <w:rsid w:val="00DF6AC1"/>
    <w:rsid w:val="00E035A2"/>
    <w:rsid w:val="00E0436A"/>
    <w:rsid w:val="00E078B3"/>
    <w:rsid w:val="00E41620"/>
    <w:rsid w:val="00E42C74"/>
    <w:rsid w:val="00E534AA"/>
    <w:rsid w:val="00E61605"/>
    <w:rsid w:val="00E727B0"/>
    <w:rsid w:val="00E92508"/>
    <w:rsid w:val="00E96180"/>
    <w:rsid w:val="00ED1A77"/>
    <w:rsid w:val="00ED739D"/>
    <w:rsid w:val="00EE22F9"/>
    <w:rsid w:val="00EE7CB6"/>
    <w:rsid w:val="00EF137F"/>
    <w:rsid w:val="00EF71A2"/>
    <w:rsid w:val="00EF7ACE"/>
    <w:rsid w:val="00F21B2B"/>
    <w:rsid w:val="00F40EC6"/>
    <w:rsid w:val="00F43A96"/>
    <w:rsid w:val="00F4475C"/>
    <w:rsid w:val="00F54B17"/>
    <w:rsid w:val="00F65A0F"/>
    <w:rsid w:val="00F66903"/>
    <w:rsid w:val="00F94D8F"/>
    <w:rsid w:val="00F9622B"/>
    <w:rsid w:val="00FF1A05"/>
    <w:rsid w:val="00FF58E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5764"/>
    <w:pPr>
      <w:suppressAutoHyphens/>
    </w:pPr>
    <w:rPr>
      <w:sz w:val="24"/>
      <w:lang w:val="fr-FR" w:eastAsia="fr-FR"/>
    </w:rPr>
  </w:style>
  <w:style w:type="paragraph" w:styleId="Heading1">
    <w:name w:val="heading 1"/>
    <w:basedOn w:val="Normal"/>
    <w:next w:val="Normal"/>
    <w:qFormat/>
    <w:rsid w:val="00A05764"/>
    <w:pPr>
      <w:keepNext/>
      <w:spacing w:before="360" w:after="240"/>
      <w:jc w:val="center"/>
      <w:outlineLvl w:val="0"/>
    </w:pPr>
    <w:rPr>
      <w:b/>
      <w:sz w:val="28"/>
    </w:rPr>
  </w:style>
  <w:style w:type="paragraph" w:styleId="Heading2">
    <w:name w:val="heading 2"/>
    <w:basedOn w:val="Normal"/>
    <w:next w:val="Normal"/>
    <w:qFormat/>
    <w:rsid w:val="00A05764"/>
    <w:pPr>
      <w:keepNext/>
      <w:spacing w:before="240" w:after="120"/>
      <w:ind w:left="284" w:hanging="284"/>
      <w:outlineLvl w:val="1"/>
    </w:pPr>
    <w:rPr>
      <w:b/>
    </w:rPr>
  </w:style>
  <w:style w:type="paragraph" w:styleId="Heading3">
    <w:name w:val="heading 3"/>
    <w:basedOn w:val="Normal"/>
    <w:next w:val="Normal"/>
    <w:qFormat/>
    <w:rsid w:val="00A05764"/>
    <w:pPr>
      <w:keepNext/>
      <w:spacing w:before="120" w:after="60"/>
      <w:ind w:left="1418" w:hanging="851"/>
      <w:outlineLvl w:val="2"/>
    </w:pPr>
    <w:rPr>
      <w:i/>
    </w:rPr>
  </w:style>
  <w:style w:type="paragraph" w:styleId="Heading4">
    <w:name w:val="heading 4"/>
    <w:basedOn w:val="Normal"/>
    <w:next w:val="Normal"/>
    <w:qFormat/>
    <w:pPr>
      <w:widowControl w:val="0"/>
      <w:outlineLvl w:val="3"/>
    </w:pPr>
    <w:rPr>
      <w:rFonts w:ascii="Courier" w:hAnsi="Courier"/>
      <w:snapToGrid w:val="0"/>
      <w:lang w:eastAsia="en-US"/>
    </w:rPr>
  </w:style>
  <w:style w:type="paragraph" w:styleId="Heading5">
    <w:name w:val="heading 5"/>
    <w:basedOn w:val="Normal"/>
    <w:next w:val="Normal"/>
    <w:qFormat/>
    <w:pPr>
      <w:widowControl w:val="0"/>
      <w:outlineLvl w:val="4"/>
    </w:pPr>
    <w:rPr>
      <w:rFonts w:ascii="Courier" w:hAnsi="Courier"/>
      <w:snapToGrid w:val="0"/>
      <w:lang w:val="en-US" w:eastAsia="en-US"/>
    </w:rPr>
  </w:style>
  <w:style w:type="paragraph" w:styleId="Heading6">
    <w:name w:val="heading 6"/>
    <w:basedOn w:val="Normal"/>
    <w:next w:val="Normal"/>
    <w:qFormat/>
    <w:pPr>
      <w:widowControl w:val="0"/>
      <w:outlineLvl w:val="5"/>
    </w:pPr>
    <w:rPr>
      <w:rFonts w:ascii="Courier" w:hAnsi="Courier"/>
      <w:snapToGrid w:val="0"/>
      <w:lang w:val="en-US" w:eastAsia="en-US"/>
    </w:rPr>
  </w:style>
  <w:style w:type="paragraph" w:styleId="Heading7">
    <w:name w:val="heading 7"/>
    <w:basedOn w:val="Normal"/>
    <w:next w:val="Normal"/>
    <w:qFormat/>
    <w:pPr>
      <w:widowControl w:val="0"/>
      <w:outlineLvl w:val="6"/>
    </w:pPr>
    <w:rPr>
      <w:rFonts w:ascii="Courier" w:hAnsi="Courier"/>
      <w:snapToGrid w:val="0"/>
      <w:lang w:val="en-US" w:eastAsia="en-US"/>
    </w:rPr>
  </w:style>
  <w:style w:type="paragraph" w:styleId="Heading8">
    <w:name w:val="heading 8"/>
    <w:basedOn w:val="Normal"/>
    <w:next w:val="Normal"/>
    <w:qFormat/>
    <w:pPr>
      <w:widowControl w:val="0"/>
      <w:outlineLvl w:val="7"/>
    </w:pPr>
    <w:rPr>
      <w:rFonts w:ascii="Courier" w:hAnsi="Courier"/>
      <w:snapToGrid w:val="0"/>
      <w:lang w:val="en-US" w:eastAsia="en-US"/>
    </w:rPr>
  </w:style>
  <w:style w:type="paragraph" w:styleId="Heading9">
    <w:name w:val="heading 9"/>
    <w:basedOn w:val="Normal"/>
    <w:next w:val="Normal"/>
    <w:qFormat/>
    <w:pPr>
      <w:keepNext/>
      <w:tabs>
        <w:tab w:val="left" w:pos="-1440"/>
        <w:tab w:val="left" w:pos="-720"/>
        <w:tab w:val="left" w:pos="0"/>
        <w:tab w:val="left" w:pos="1056"/>
        <w:tab w:val="left" w:pos="1584"/>
        <w:tab w:val="left" w:pos="2112"/>
        <w:tab w:val="left" w:pos="2880"/>
      </w:tabs>
      <w:ind w:left="-306" w:right="-306"/>
      <w:jc w:val="both"/>
      <w:outlineLvl w:val="8"/>
    </w:pPr>
    <w:rPr>
      <w:i/>
      <w:spacing w:val="-2"/>
      <w:sz w:val="22"/>
    </w:rPr>
  </w:style>
  <w:style w:type="character" w:default="1" w:styleId="DefaultParagraphFont">
    <w:name w:val="Default Paragraph Font"/>
    <w:semiHidden/>
    <w:rsid w:val="00A05764"/>
  </w:style>
  <w:style w:type="table" w:default="1" w:styleId="TableNormal">
    <w:name w:val="Normal Table"/>
    <w:semiHidden/>
    <w:rsid w:val="00A05764"/>
    <w:tblPr>
      <w:tblInd w:w="0" w:type="dxa"/>
      <w:tblCellMar>
        <w:top w:w="0" w:type="dxa"/>
        <w:left w:w="108" w:type="dxa"/>
        <w:bottom w:w="0" w:type="dxa"/>
        <w:right w:w="108" w:type="dxa"/>
      </w:tblCellMar>
    </w:tblPr>
  </w:style>
  <w:style w:type="numbering" w:default="1" w:styleId="NoList">
    <w:name w:val="No List"/>
    <w:semiHidden/>
    <w:rsid w:val="00A05764"/>
  </w:style>
  <w:style w:type="paragraph" w:customStyle="1" w:styleId="OpiHA">
    <w:name w:val="Opi_H_A"/>
    <w:basedOn w:val="JuHIRoman"/>
    <w:next w:val="OpiPara"/>
    <w:rsid w:val="00A05764"/>
    <w:pPr>
      <w:tabs>
        <w:tab w:val="clear" w:pos="357"/>
      </w:tabs>
    </w:pPr>
    <w:rPr>
      <w:b/>
    </w:rPr>
  </w:style>
  <w:style w:type="paragraph" w:customStyle="1" w:styleId="JuHIRoman">
    <w:name w:val="Ju_H_I_Roman"/>
    <w:basedOn w:val="JuHHead"/>
    <w:next w:val="JuPara"/>
    <w:rsid w:val="00A05764"/>
    <w:pPr>
      <w:tabs>
        <w:tab w:val="left" w:pos="357"/>
      </w:tabs>
      <w:spacing w:before="360"/>
      <w:ind w:left="357" w:hanging="357"/>
    </w:pPr>
    <w:rPr>
      <w:sz w:val="24"/>
    </w:rPr>
  </w:style>
  <w:style w:type="paragraph" w:customStyle="1" w:styleId="JuHHead">
    <w:name w:val="Ju_H_Head"/>
    <w:basedOn w:val="Normal"/>
    <w:next w:val="JuPara"/>
    <w:rsid w:val="00A05764"/>
    <w:pPr>
      <w:keepNext/>
      <w:keepLines/>
      <w:spacing w:before="720" w:after="240"/>
      <w:jc w:val="both"/>
    </w:pPr>
    <w:rPr>
      <w:sz w:val="28"/>
    </w:rPr>
  </w:style>
  <w:style w:type="paragraph" w:customStyle="1" w:styleId="JuPara">
    <w:name w:val="Ju_Para"/>
    <w:aliases w:val="Left,First line:  0 cm"/>
    <w:basedOn w:val="Normal"/>
    <w:link w:val="JuParaCar"/>
    <w:rsid w:val="00A05764"/>
    <w:pPr>
      <w:ind w:firstLine="284"/>
      <w:jc w:val="both"/>
    </w:pPr>
  </w:style>
  <w:style w:type="paragraph" w:customStyle="1" w:styleId="OpiPara">
    <w:name w:val="Opi_Para"/>
    <w:basedOn w:val="JuPara"/>
    <w:rsid w:val="00A05764"/>
  </w:style>
  <w:style w:type="paragraph" w:customStyle="1" w:styleId="OpiH1">
    <w:name w:val="Opi_H_1."/>
    <w:basedOn w:val="OpiHA"/>
    <w:next w:val="OpiPara"/>
    <w:rsid w:val="00A05764"/>
    <w:pPr>
      <w:spacing w:before="240" w:after="120"/>
      <w:ind w:left="635"/>
    </w:pPr>
    <w:rPr>
      <w:b w:val="0"/>
      <w:i/>
    </w:rPr>
  </w:style>
  <w:style w:type="paragraph" w:customStyle="1" w:styleId="OpiHa0">
    <w:name w:val="Opi_H_a"/>
    <w:basedOn w:val="OpiH1"/>
    <w:next w:val="OpiPara"/>
    <w:rsid w:val="00A05764"/>
    <w:pPr>
      <w:ind w:left="834"/>
    </w:pPr>
    <w:rPr>
      <w:b/>
      <w:i w:val="0"/>
      <w:sz w:val="20"/>
    </w:rPr>
  </w:style>
  <w:style w:type="paragraph" w:customStyle="1" w:styleId="OpiHHead">
    <w:name w:val="Opi_H_Head"/>
    <w:basedOn w:val="JuHHead"/>
    <w:next w:val="OpiPara"/>
    <w:rsid w:val="00A05764"/>
    <w:pPr>
      <w:spacing w:before="0"/>
      <w:jc w:val="center"/>
    </w:pPr>
  </w:style>
  <w:style w:type="paragraph" w:customStyle="1" w:styleId="OpiHi">
    <w:name w:val="Opi_H_i"/>
    <w:basedOn w:val="OpiHa0"/>
    <w:next w:val="OpiPara"/>
    <w:rsid w:val="00A05764"/>
    <w:pPr>
      <w:ind w:left="1038"/>
    </w:pPr>
    <w:rPr>
      <w:b w:val="0"/>
      <w:i/>
    </w:rPr>
  </w:style>
  <w:style w:type="paragraph" w:styleId="Footer">
    <w:name w:val="footer"/>
    <w:basedOn w:val="Normal"/>
    <w:rsid w:val="00A05764"/>
    <w:pPr>
      <w:tabs>
        <w:tab w:val="center" w:pos="3686"/>
        <w:tab w:val="right" w:pos="7371"/>
      </w:tabs>
    </w:pPr>
    <w:rPr>
      <w:sz w:val="18"/>
    </w:rPr>
  </w:style>
  <w:style w:type="paragraph" w:customStyle="1" w:styleId="JuJudges">
    <w:name w:val="Ju_Judges"/>
    <w:basedOn w:val="Normal"/>
    <w:rsid w:val="00A05764"/>
    <w:pPr>
      <w:tabs>
        <w:tab w:val="left" w:pos="567"/>
        <w:tab w:val="left" w:pos="1134"/>
      </w:tabs>
    </w:pPr>
  </w:style>
  <w:style w:type="character" w:styleId="Hyperlink">
    <w:name w:val="Hyperlink"/>
    <w:basedOn w:val="DefaultParagraphFont"/>
    <w:rsid w:val="00613500"/>
    <w:rPr>
      <w:color w:val="0000FF"/>
      <w:u w:val="single"/>
    </w:rPr>
  </w:style>
  <w:style w:type="paragraph" w:customStyle="1" w:styleId="JuHA">
    <w:name w:val="Ju_H_A"/>
    <w:basedOn w:val="JuHIRoman"/>
    <w:next w:val="JuPara"/>
    <w:rsid w:val="00A05764"/>
    <w:pPr>
      <w:tabs>
        <w:tab w:val="clear" w:pos="357"/>
        <w:tab w:val="left" w:pos="584"/>
      </w:tabs>
      <w:ind w:left="584" w:hanging="352"/>
    </w:pPr>
    <w:rPr>
      <w:b/>
    </w:rPr>
  </w:style>
  <w:style w:type="paragraph" w:customStyle="1" w:styleId="JuQuot">
    <w:name w:val="Ju_Quot"/>
    <w:basedOn w:val="JuPara"/>
    <w:rsid w:val="00A05764"/>
    <w:pPr>
      <w:spacing w:before="120" w:after="120"/>
      <w:ind w:left="425" w:firstLine="142"/>
    </w:pPr>
    <w:rPr>
      <w:sz w:val="20"/>
    </w:rPr>
  </w:style>
  <w:style w:type="paragraph" w:customStyle="1" w:styleId="JuSigned">
    <w:name w:val="Ju_Signed"/>
    <w:basedOn w:val="Normal"/>
    <w:next w:val="JuParaLast"/>
    <w:rsid w:val="003F0F80"/>
    <w:pPr>
      <w:tabs>
        <w:tab w:val="center" w:pos="1219"/>
        <w:tab w:val="center" w:pos="6379"/>
      </w:tabs>
      <w:spacing w:before="720"/>
    </w:pPr>
  </w:style>
  <w:style w:type="paragraph" w:customStyle="1" w:styleId="JuParaLast">
    <w:name w:val="Ju_Para_Last"/>
    <w:basedOn w:val="JuPara"/>
    <w:next w:val="JuPara"/>
    <w:rsid w:val="00A05764"/>
    <w:pPr>
      <w:spacing w:before="240"/>
    </w:pPr>
  </w:style>
  <w:style w:type="paragraph" w:customStyle="1" w:styleId="JuCase">
    <w:name w:val="Ju_Case"/>
    <w:basedOn w:val="JuPara"/>
    <w:next w:val="JuPara"/>
    <w:rsid w:val="00A05764"/>
    <w:rPr>
      <w:b/>
    </w:rPr>
  </w:style>
  <w:style w:type="paragraph" w:customStyle="1" w:styleId="JuList">
    <w:name w:val="Ju_List"/>
    <w:basedOn w:val="JuPara"/>
    <w:rsid w:val="00A05764"/>
    <w:pPr>
      <w:ind w:left="340" w:hanging="340"/>
    </w:pPr>
  </w:style>
  <w:style w:type="paragraph" w:customStyle="1" w:styleId="JuHArticle">
    <w:name w:val="Ju_H_Article"/>
    <w:basedOn w:val="JuHa0"/>
    <w:next w:val="JuQuot"/>
    <w:rsid w:val="00A05764"/>
    <w:pPr>
      <w:ind w:left="0" w:firstLine="0"/>
      <w:jc w:val="center"/>
    </w:pPr>
  </w:style>
  <w:style w:type="paragraph" w:customStyle="1" w:styleId="JuHa0">
    <w:name w:val="Ju_H_a"/>
    <w:basedOn w:val="JuH1"/>
    <w:next w:val="JuPara"/>
    <w:rsid w:val="00A05764"/>
    <w:pPr>
      <w:tabs>
        <w:tab w:val="clear" w:pos="731"/>
        <w:tab w:val="left" w:pos="975"/>
      </w:tabs>
      <w:ind w:left="975" w:hanging="340"/>
    </w:pPr>
    <w:rPr>
      <w:b/>
      <w:i w:val="0"/>
      <w:sz w:val="20"/>
    </w:rPr>
  </w:style>
  <w:style w:type="paragraph" w:customStyle="1" w:styleId="JuH1">
    <w:name w:val="Ju_H_1."/>
    <w:basedOn w:val="JuHA"/>
    <w:next w:val="JuPara"/>
    <w:rsid w:val="00A05764"/>
    <w:pPr>
      <w:tabs>
        <w:tab w:val="clear" w:pos="584"/>
        <w:tab w:val="left" w:pos="731"/>
      </w:tabs>
      <w:spacing w:before="240" w:after="120"/>
      <w:ind w:left="732" w:hanging="301"/>
    </w:pPr>
    <w:rPr>
      <w:b w:val="0"/>
      <w:i/>
    </w:rPr>
  </w:style>
  <w:style w:type="paragraph" w:customStyle="1" w:styleId="JuCourt">
    <w:name w:val="Ju_Court"/>
    <w:basedOn w:val="JuJudges"/>
    <w:rsid w:val="00A05764"/>
    <w:pPr>
      <w:tabs>
        <w:tab w:val="clear" w:pos="567"/>
        <w:tab w:val="clear" w:pos="1134"/>
        <w:tab w:val="left" w:pos="907"/>
        <w:tab w:val="left" w:pos="1701"/>
        <w:tab w:val="right" w:pos="7371"/>
      </w:tabs>
      <w:spacing w:before="240"/>
      <w:ind w:left="397" w:hanging="397"/>
    </w:pPr>
  </w:style>
  <w:style w:type="paragraph" w:customStyle="1" w:styleId="OpiQuot">
    <w:name w:val="Opi_Quot"/>
    <w:basedOn w:val="JuQuot"/>
    <w:rsid w:val="00A05764"/>
  </w:style>
  <w:style w:type="paragraph" w:customStyle="1" w:styleId="OpiTranslation">
    <w:name w:val="Opi_Translation"/>
    <w:basedOn w:val="OpiHHead"/>
    <w:next w:val="OpiPara"/>
    <w:rsid w:val="00A05764"/>
    <w:rPr>
      <w:sz w:val="24"/>
    </w:rPr>
  </w:style>
  <w:style w:type="paragraph" w:styleId="FootnoteText">
    <w:name w:val="footnote text"/>
    <w:basedOn w:val="Normal"/>
    <w:semiHidden/>
    <w:rsid w:val="00A05764"/>
    <w:pPr>
      <w:jc w:val="both"/>
    </w:pPr>
    <w:rPr>
      <w:sz w:val="20"/>
    </w:rPr>
  </w:style>
  <w:style w:type="character" w:styleId="FootnoteReference">
    <w:name w:val="footnote reference"/>
    <w:basedOn w:val="DefaultParagraphFont"/>
    <w:semiHidden/>
    <w:rsid w:val="00A05764"/>
    <w:rPr>
      <w:vertAlign w:val="superscript"/>
    </w:rPr>
  </w:style>
  <w:style w:type="paragraph" w:customStyle="1" w:styleId="JuHi">
    <w:name w:val="Ju_H_i"/>
    <w:basedOn w:val="JuHa0"/>
    <w:next w:val="JuPara"/>
    <w:rsid w:val="00A05764"/>
    <w:pPr>
      <w:tabs>
        <w:tab w:val="clear" w:pos="975"/>
        <w:tab w:val="left" w:pos="1191"/>
      </w:tabs>
      <w:ind w:left="1190" w:hanging="357"/>
    </w:pPr>
    <w:rPr>
      <w:b w:val="0"/>
      <w:i/>
    </w:rPr>
  </w:style>
  <w:style w:type="paragraph" w:styleId="Header">
    <w:name w:val="header"/>
    <w:basedOn w:val="Normal"/>
    <w:rsid w:val="00A05764"/>
    <w:pPr>
      <w:tabs>
        <w:tab w:val="center" w:pos="3686"/>
        <w:tab w:val="right" w:pos="7371"/>
      </w:tabs>
    </w:pPr>
    <w:rPr>
      <w:sz w:val="18"/>
    </w:rPr>
  </w:style>
  <w:style w:type="character" w:styleId="PageNumber">
    <w:name w:val="page number"/>
    <w:basedOn w:val="DefaultParagraphFont"/>
    <w:rsid w:val="00A05764"/>
    <w:rPr>
      <w:sz w:val="18"/>
    </w:rPr>
  </w:style>
  <w:style w:type="paragraph" w:customStyle="1" w:styleId="JuH">
    <w:name w:val="Ju_H_–"/>
    <w:basedOn w:val="JuHalpha"/>
    <w:next w:val="JuPara"/>
    <w:rsid w:val="00A05764"/>
    <w:pPr>
      <w:tabs>
        <w:tab w:val="clear" w:pos="1372"/>
      </w:tabs>
      <w:ind w:left="1236" w:firstLine="0"/>
    </w:pPr>
    <w:rPr>
      <w:i/>
    </w:rPr>
  </w:style>
  <w:style w:type="paragraph" w:customStyle="1" w:styleId="JuHalpha">
    <w:name w:val="Ju_H_alpha"/>
    <w:basedOn w:val="JuHi"/>
    <w:next w:val="JuPara"/>
    <w:rsid w:val="00A05764"/>
    <w:pPr>
      <w:tabs>
        <w:tab w:val="clear" w:pos="1191"/>
        <w:tab w:val="left" w:pos="1372"/>
      </w:tabs>
      <w:ind w:left="1373" w:hanging="335"/>
    </w:pPr>
    <w:rPr>
      <w:i w:val="0"/>
    </w:rPr>
  </w:style>
  <w:style w:type="paragraph" w:customStyle="1" w:styleId="JuLista">
    <w:name w:val="Ju_List_a"/>
    <w:basedOn w:val="JuList"/>
    <w:rsid w:val="00A05764"/>
    <w:pPr>
      <w:ind w:left="346" w:firstLine="0"/>
    </w:pPr>
  </w:style>
  <w:style w:type="paragraph" w:customStyle="1" w:styleId="JuListi">
    <w:name w:val="Ju_List_i"/>
    <w:basedOn w:val="JuLista"/>
    <w:rsid w:val="00A05764"/>
    <w:pPr>
      <w:ind w:left="794"/>
    </w:pPr>
  </w:style>
  <w:style w:type="character" w:styleId="CommentReference">
    <w:name w:val="annotation reference"/>
    <w:basedOn w:val="DefaultParagraphFont"/>
    <w:semiHidden/>
    <w:rPr>
      <w:sz w:val="16"/>
    </w:rPr>
  </w:style>
  <w:style w:type="paragraph" w:styleId="CommentText">
    <w:name w:val="annotation text"/>
    <w:basedOn w:val="Normal"/>
    <w:semiHidden/>
    <w:rPr>
      <w:sz w:val="20"/>
    </w:rPr>
  </w:style>
  <w:style w:type="paragraph" w:customStyle="1" w:styleId="JuInitialled">
    <w:name w:val="Ju_Initialled"/>
    <w:basedOn w:val="JuSigned"/>
    <w:rsid w:val="00A05764"/>
    <w:pPr>
      <w:jc w:val="right"/>
    </w:pPr>
  </w:style>
  <w:style w:type="paragraph" w:customStyle="1" w:styleId="JuHeader">
    <w:name w:val="Ju_Header"/>
    <w:basedOn w:val="Header"/>
    <w:rsid w:val="00A05764"/>
  </w:style>
  <w:style w:type="paragraph" w:customStyle="1" w:styleId="DecHTitle">
    <w:name w:val="Dec_H_Title"/>
    <w:basedOn w:val="Normal"/>
    <w:rsid w:val="00A05764"/>
    <w:pPr>
      <w:spacing w:after="240"/>
      <w:jc w:val="center"/>
    </w:pPr>
    <w:rPr>
      <w:sz w:val="28"/>
    </w:rPr>
  </w:style>
  <w:style w:type="paragraph" w:customStyle="1" w:styleId="DecHCase">
    <w:name w:val="Dec_H_Case"/>
    <w:basedOn w:val="DecHTitle"/>
    <w:next w:val="JuPara"/>
    <w:rsid w:val="00A05764"/>
    <w:rPr>
      <w:sz w:val="24"/>
    </w:rPr>
  </w:style>
  <w:style w:type="paragraph" w:customStyle="1" w:styleId="DecList">
    <w:name w:val="Dec_List"/>
    <w:basedOn w:val="Normal"/>
    <w:rsid w:val="00A05764"/>
    <w:pPr>
      <w:spacing w:before="240"/>
      <w:ind w:left="284"/>
      <w:jc w:val="both"/>
    </w:pPr>
  </w:style>
  <w:style w:type="paragraph" w:customStyle="1" w:styleId="SuCoverTitle1">
    <w:name w:val="Su_Cover_Title1"/>
    <w:basedOn w:val="Normal"/>
    <w:next w:val="SuCoverTitle2"/>
    <w:rsid w:val="00A05764"/>
    <w:pPr>
      <w:spacing w:before="2500"/>
      <w:jc w:val="center"/>
    </w:pPr>
    <w:rPr>
      <w:sz w:val="22"/>
    </w:rPr>
  </w:style>
  <w:style w:type="paragraph" w:customStyle="1" w:styleId="SuCoverTitle2">
    <w:name w:val="Su_Cover_Title2"/>
    <w:basedOn w:val="SuCoverTitle1"/>
    <w:next w:val="Normal"/>
    <w:rsid w:val="00A05764"/>
    <w:pPr>
      <w:spacing w:before="240"/>
    </w:pPr>
    <w:rPr>
      <w:sz w:val="18"/>
    </w:rPr>
  </w:style>
  <w:style w:type="paragraph" w:customStyle="1" w:styleId="JuQuotSub">
    <w:name w:val="Ju_Quot_Sub"/>
    <w:basedOn w:val="JuQuot"/>
    <w:rsid w:val="00A05764"/>
    <w:pPr>
      <w:ind w:left="567"/>
    </w:pPr>
  </w:style>
  <w:style w:type="paragraph" w:customStyle="1" w:styleId="JuParaSub">
    <w:name w:val="Ju_Para_Sub"/>
    <w:basedOn w:val="JuPara"/>
    <w:rsid w:val="00A05764"/>
    <w:pPr>
      <w:ind w:left="284"/>
    </w:pPr>
  </w:style>
  <w:style w:type="paragraph" w:customStyle="1" w:styleId="SuPara">
    <w:name w:val="Su_Para"/>
    <w:basedOn w:val="SuKeywords"/>
    <w:rsid w:val="00A05764"/>
    <w:pPr>
      <w:spacing w:before="0" w:after="0"/>
    </w:pPr>
    <w:rPr>
      <w:i w:val="0"/>
    </w:rPr>
  </w:style>
  <w:style w:type="paragraph" w:customStyle="1" w:styleId="SuKeywords">
    <w:name w:val="Su_Keywords"/>
    <w:basedOn w:val="SuHHead"/>
    <w:rsid w:val="00A05764"/>
    <w:pPr>
      <w:spacing w:before="120"/>
    </w:pPr>
    <w:rPr>
      <w:b w:val="0"/>
      <w:i/>
    </w:rPr>
  </w:style>
  <w:style w:type="paragraph" w:customStyle="1" w:styleId="SuHHead">
    <w:name w:val="Su_H_Head"/>
    <w:basedOn w:val="SuSubject"/>
    <w:rsid w:val="00A05764"/>
    <w:pPr>
      <w:spacing w:after="120"/>
    </w:pPr>
  </w:style>
  <w:style w:type="paragraph" w:customStyle="1" w:styleId="SuSubject">
    <w:name w:val="Su_Subject"/>
    <w:basedOn w:val="SuSummary"/>
    <w:rsid w:val="00A05764"/>
    <w:pPr>
      <w:spacing w:before="360"/>
      <w:jc w:val="both"/>
    </w:pPr>
    <w:rPr>
      <w:b/>
      <w:sz w:val="22"/>
    </w:rPr>
  </w:style>
  <w:style w:type="paragraph" w:customStyle="1" w:styleId="SuSummary">
    <w:name w:val="Su_Summary"/>
    <w:basedOn w:val="Normal"/>
    <w:next w:val="SuSubject"/>
    <w:rsid w:val="00A05764"/>
    <w:pPr>
      <w:spacing w:after="240"/>
      <w:jc w:val="center"/>
    </w:pPr>
  </w:style>
  <w:style w:type="paragraph" w:styleId="BalloonText">
    <w:name w:val="Balloon Text"/>
    <w:basedOn w:val="Normal"/>
    <w:semiHidden/>
    <w:rsid w:val="00A70CD7"/>
    <w:rPr>
      <w:rFonts w:ascii="Tahoma" w:hAnsi="Tahoma" w:cs="Tahoma"/>
      <w:sz w:val="16"/>
      <w:szCs w:val="16"/>
    </w:rPr>
  </w:style>
  <w:style w:type="paragraph" w:customStyle="1" w:styleId="PJuPara">
    <w:name w:val="P_Ju_Para"/>
    <w:basedOn w:val="Normal"/>
    <w:rsid w:val="00A05764"/>
    <w:pPr>
      <w:ind w:firstLine="284"/>
      <w:jc w:val="both"/>
    </w:pPr>
  </w:style>
  <w:style w:type="paragraph" w:customStyle="1" w:styleId="PJuQuot">
    <w:name w:val="P_Ju_Quot"/>
    <w:basedOn w:val="Normal"/>
    <w:rsid w:val="00A05764"/>
    <w:pPr>
      <w:spacing w:before="120" w:after="120"/>
      <w:ind w:left="403" w:firstLine="176"/>
      <w:jc w:val="both"/>
    </w:pPr>
    <w:rPr>
      <w:sz w:val="20"/>
    </w:rPr>
  </w:style>
  <w:style w:type="paragraph" w:customStyle="1" w:styleId="PListArticleSubject">
    <w:name w:val="P_List_ArticleSubject"/>
    <w:basedOn w:val="Normal"/>
    <w:rsid w:val="00A05764"/>
    <w:pPr>
      <w:tabs>
        <w:tab w:val="left" w:pos="2977"/>
      </w:tabs>
      <w:ind w:left="2977" w:hanging="2977"/>
    </w:pPr>
  </w:style>
  <w:style w:type="paragraph" w:customStyle="1" w:styleId="PListCaseNo">
    <w:name w:val="P_List_CaseNo"/>
    <w:basedOn w:val="Normal"/>
    <w:rsid w:val="00A05764"/>
    <w:pPr>
      <w:tabs>
        <w:tab w:val="left" w:pos="1276"/>
      </w:tabs>
      <w:spacing w:line="288" w:lineRule="auto"/>
      <w:ind w:left="1276" w:hanging="1276"/>
    </w:pPr>
  </w:style>
  <w:style w:type="paragraph" w:customStyle="1" w:styleId="PListCases">
    <w:name w:val="P_List_Cases"/>
    <w:basedOn w:val="Normal"/>
    <w:rsid w:val="00A05764"/>
    <w:pPr>
      <w:spacing w:line="288" w:lineRule="auto"/>
    </w:pPr>
  </w:style>
  <w:style w:type="paragraph" w:customStyle="1" w:styleId="PTextIntro">
    <w:name w:val="P_Text_Intro"/>
    <w:basedOn w:val="Normal"/>
    <w:rsid w:val="00A05764"/>
    <w:pPr>
      <w:jc w:val="both"/>
    </w:pPr>
    <w:rPr>
      <w:i/>
      <w:sz w:val="20"/>
    </w:rPr>
  </w:style>
  <w:style w:type="paragraph" w:customStyle="1" w:styleId="PTitleCover">
    <w:name w:val="P_Title_Cover"/>
    <w:basedOn w:val="Normal"/>
    <w:rsid w:val="00A05764"/>
    <w:pPr>
      <w:spacing w:before="2500"/>
      <w:jc w:val="center"/>
    </w:pPr>
    <w:rPr>
      <w:b/>
      <w:smallCaps/>
      <w:sz w:val="30"/>
    </w:rPr>
  </w:style>
  <w:style w:type="paragraph" w:customStyle="1" w:styleId="PTitle1Alpha">
    <w:name w:val="P_Title1_Alpha"/>
    <w:basedOn w:val="Normal"/>
    <w:next w:val="Normal"/>
    <w:rsid w:val="00A05764"/>
    <w:pPr>
      <w:spacing w:after="120"/>
      <w:jc w:val="center"/>
    </w:pPr>
    <w:rPr>
      <w:b/>
      <w:smallCaps/>
      <w:sz w:val="30"/>
    </w:rPr>
  </w:style>
  <w:style w:type="paragraph" w:customStyle="1" w:styleId="PTitle1IndexArticle">
    <w:name w:val="P_Title1_IndexArticle"/>
    <w:basedOn w:val="Normal"/>
    <w:rsid w:val="00A05764"/>
    <w:pPr>
      <w:spacing w:after="120"/>
      <w:jc w:val="center"/>
    </w:pPr>
    <w:rPr>
      <w:b/>
      <w:smallCaps/>
      <w:sz w:val="30"/>
    </w:rPr>
  </w:style>
  <w:style w:type="paragraph" w:customStyle="1" w:styleId="PTitle1IndexKey">
    <w:name w:val="P_Title1_IndexKey"/>
    <w:basedOn w:val="Normal"/>
    <w:rsid w:val="00A05764"/>
    <w:pPr>
      <w:spacing w:after="600"/>
      <w:jc w:val="center"/>
    </w:pPr>
    <w:rPr>
      <w:b/>
      <w:smallCaps/>
      <w:sz w:val="30"/>
      <w:lang w:val="en-GB"/>
    </w:rPr>
  </w:style>
  <w:style w:type="paragraph" w:customStyle="1" w:styleId="PTitle1Num">
    <w:name w:val="P_Title1_Num"/>
    <w:basedOn w:val="Normal"/>
    <w:next w:val="PListCaseNo"/>
    <w:rsid w:val="00A05764"/>
    <w:pPr>
      <w:spacing w:after="720"/>
      <w:jc w:val="center"/>
    </w:pPr>
    <w:rPr>
      <w:b/>
      <w:smallCaps/>
      <w:sz w:val="30"/>
    </w:rPr>
  </w:style>
  <w:style w:type="paragraph" w:customStyle="1" w:styleId="PTitle2Country">
    <w:name w:val="P_Title2_Country"/>
    <w:basedOn w:val="Normal"/>
    <w:next w:val="PListCases"/>
    <w:rsid w:val="00A05764"/>
    <w:pPr>
      <w:keepNext/>
      <w:keepLines/>
      <w:spacing w:before="600" w:after="360"/>
    </w:pPr>
    <w:rPr>
      <w:b/>
    </w:rPr>
  </w:style>
  <w:style w:type="paragraph" w:customStyle="1" w:styleId="PTitle2Letters">
    <w:name w:val="P_Title2_Letters"/>
    <w:basedOn w:val="Normal"/>
    <w:next w:val="PListCases"/>
    <w:rsid w:val="00A05764"/>
    <w:pPr>
      <w:keepNext/>
      <w:keepLines/>
      <w:spacing w:before="600" w:after="360"/>
    </w:pPr>
    <w:rPr>
      <w:b/>
      <w:sz w:val="28"/>
    </w:rPr>
  </w:style>
  <w:style w:type="paragraph" w:customStyle="1" w:styleId="PTitle2Part">
    <w:name w:val="P_Title2_Part"/>
    <w:basedOn w:val="Normal"/>
    <w:rsid w:val="00A05764"/>
    <w:pPr>
      <w:keepNext/>
      <w:keepLines/>
      <w:spacing w:before="600" w:after="240"/>
      <w:jc w:val="center"/>
    </w:pPr>
    <w:rPr>
      <w:b/>
      <w:caps/>
    </w:rPr>
  </w:style>
  <w:style w:type="paragraph" w:customStyle="1" w:styleId="PTitle3Article">
    <w:name w:val="P_Title3_Article"/>
    <w:basedOn w:val="Normal"/>
    <w:rsid w:val="00A05764"/>
    <w:pPr>
      <w:keepNext/>
      <w:keepLines/>
      <w:spacing w:before="360" w:after="120"/>
      <w:jc w:val="center"/>
    </w:pPr>
    <w:rPr>
      <w:b/>
      <w:smallCaps/>
      <w:sz w:val="22"/>
    </w:rPr>
  </w:style>
  <w:style w:type="paragraph" w:customStyle="1" w:styleId="PTitle4ArticleSub">
    <w:name w:val="P_Title4_Article_Sub"/>
    <w:basedOn w:val="PTitle3Article"/>
    <w:rsid w:val="00A05764"/>
    <w:pPr>
      <w:spacing w:before="240"/>
    </w:pPr>
    <w:rPr>
      <w:smallCaps w:val="0"/>
      <w:sz w:val="20"/>
    </w:rPr>
  </w:style>
  <w:style w:type="paragraph" w:customStyle="1" w:styleId="PTitle5Subject">
    <w:name w:val="P_Title5_Subject"/>
    <w:basedOn w:val="Normal"/>
    <w:rsid w:val="00A05764"/>
    <w:pPr>
      <w:keepNext/>
      <w:keepLines/>
      <w:spacing w:before="240" w:after="120"/>
      <w:jc w:val="both"/>
    </w:pPr>
    <w:rPr>
      <w:b/>
      <w:i/>
    </w:rPr>
  </w:style>
  <w:style w:type="paragraph" w:customStyle="1" w:styleId="PTitle6SubjectSub">
    <w:name w:val="P_Title6_Subject_Sub"/>
    <w:basedOn w:val="Normal"/>
    <w:rsid w:val="00A05764"/>
    <w:pPr>
      <w:keepNext/>
      <w:keepLines/>
      <w:spacing w:before="240" w:after="120"/>
      <w:ind w:left="284"/>
      <w:jc w:val="both"/>
    </w:pPr>
    <w:rPr>
      <w:b/>
      <w:sz w:val="20"/>
    </w:rPr>
  </w:style>
  <w:style w:type="paragraph" w:customStyle="1" w:styleId="PTitle7CaseName">
    <w:name w:val="P_Title7_CaseName"/>
    <w:basedOn w:val="Normal"/>
    <w:rsid w:val="00A05764"/>
    <w:pPr>
      <w:keepLines/>
      <w:spacing w:after="240"/>
      <w:jc w:val="right"/>
    </w:pPr>
    <w:rPr>
      <w:sz w:val="22"/>
    </w:rPr>
  </w:style>
  <w:style w:type="paragraph" w:customStyle="1" w:styleId="OpiParaSub">
    <w:name w:val="Opi_Para_Sub"/>
    <w:basedOn w:val="JuParaSub"/>
    <w:rsid w:val="00A05764"/>
  </w:style>
  <w:style w:type="paragraph" w:customStyle="1" w:styleId="OpiQuotSub">
    <w:name w:val="Opi_Quot_Sub"/>
    <w:basedOn w:val="JuQuotSub"/>
    <w:rsid w:val="00A05764"/>
  </w:style>
  <w:style w:type="paragraph" w:styleId="CommentSubject">
    <w:name w:val="annotation subject"/>
    <w:basedOn w:val="CommentText"/>
    <w:next w:val="CommentText"/>
    <w:semiHidden/>
    <w:rsid w:val="00F94D8F"/>
    <w:rPr>
      <w:b/>
      <w:bCs/>
    </w:rPr>
  </w:style>
  <w:style w:type="paragraph" w:customStyle="1" w:styleId="ju-005fpara">
    <w:name w:val="ju-005fpara"/>
    <w:basedOn w:val="Normal"/>
    <w:rsid w:val="005D25C7"/>
    <w:pPr>
      <w:suppressAutoHyphens w:val="0"/>
      <w:spacing w:before="100" w:beforeAutospacing="1" w:after="100" w:afterAutospacing="1"/>
    </w:pPr>
    <w:rPr>
      <w:rFonts w:eastAsia="Batang"/>
      <w:szCs w:val="24"/>
      <w:lang w:val="en-GB" w:eastAsia="ko-KR"/>
    </w:rPr>
  </w:style>
  <w:style w:type="paragraph" w:customStyle="1" w:styleId="ju-005fquot">
    <w:name w:val="ju-005fquot"/>
    <w:basedOn w:val="Normal"/>
    <w:rsid w:val="005D25C7"/>
    <w:pPr>
      <w:suppressAutoHyphens w:val="0"/>
      <w:spacing w:before="100" w:beforeAutospacing="1" w:after="100" w:afterAutospacing="1"/>
    </w:pPr>
    <w:rPr>
      <w:rFonts w:eastAsia="Batang"/>
      <w:szCs w:val="24"/>
      <w:lang w:val="en-GB" w:eastAsia="ko-KR"/>
    </w:rPr>
  </w:style>
  <w:style w:type="character" w:customStyle="1" w:styleId="ju-005fpara--char">
    <w:name w:val="ju-005fpara--char"/>
    <w:basedOn w:val="DefaultParagraphFont"/>
    <w:rsid w:val="00BF12C3"/>
  </w:style>
  <w:style w:type="character" w:customStyle="1" w:styleId="JuParaCar">
    <w:name w:val="Ju_Para Car"/>
    <w:basedOn w:val="DefaultParagraphFont"/>
    <w:link w:val="JuPara"/>
    <w:rsid w:val="00BF12C3"/>
    <w:rPr>
      <w:sz w:val="24"/>
      <w:lang w:val="fr-FR" w:eastAsia="fr-FR" w:bidi="ar-SA"/>
    </w:rPr>
  </w:style>
  <w:style w:type="paragraph" w:customStyle="1" w:styleId="normal0">
    <w:name w:val="normal"/>
    <w:basedOn w:val="Normal"/>
    <w:rsid w:val="00721BAA"/>
    <w:pPr>
      <w:suppressAutoHyphens w:val="0"/>
      <w:spacing w:before="100" w:beforeAutospacing="1" w:after="100" w:afterAutospacing="1"/>
    </w:pPr>
    <w:rPr>
      <w:rFonts w:eastAsia="Batang"/>
      <w:szCs w:val="24"/>
      <w:lang w:val="en-GB" w:eastAsia="ko-KR"/>
    </w:rPr>
  </w:style>
  <w:style w:type="character" w:customStyle="1" w:styleId="normal--char">
    <w:name w:val="normal--char"/>
    <w:basedOn w:val="DefaultParagraphFont"/>
    <w:rsid w:val="00721BAA"/>
  </w:style>
  <w:style w:type="character" w:customStyle="1" w:styleId="ju--005fpara----char--char">
    <w:name w:val="ju--005fpara----char--char"/>
    <w:basedOn w:val="DefaultParagraphFont"/>
    <w:rsid w:val="00721BAA"/>
  </w:style>
  <w:style w:type="paragraph" w:customStyle="1" w:styleId="ju-005fh-005fa">
    <w:name w:val="ju-005fh-005fa"/>
    <w:basedOn w:val="Normal"/>
    <w:rsid w:val="000064EF"/>
    <w:pPr>
      <w:suppressAutoHyphens w:val="0"/>
      <w:spacing w:before="100" w:beforeAutospacing="1" w:after="100" w:afterAutospacing="1"/>
    </w:pPr>
    <w:rPr>
      <w:rFonts w:eastAsia="Batang"/>
      <w:szCs w:val="24"/>
      <w:lang w:val="en-GB" w:eastAsia="ko-KR"/>
    </w:rPr>
  </w:style>
  <w:style w:type="character" w:styleId="Strong">
    <w:name w:val="Strong"/>
    <w:basedOn w:val="DefaultParagraphFont"/>
    <w:qFormat/>
    <w:rsid w:val="006F0A9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954282">
      <w:bodyDiv w:val="1"/>
      <w:marLeft w:val="0"/>
      <w:marRight w:val="0"/>
      <w:marTop w:val="0"/>
      <w:marBottom w:val="0"/>
      <w:divBdr>
        <w:top w:val="none" w:sz="0" w:space="0" w:color="auto"/>
        <w:left w:val="none" w:sz="0" w:space="0" w:color="auto"/>
        <w:bottom w:val="none" w:sz="0" w:space="0" w:color="auto"/>
        <w:right w:val="none" w:sz="0" w:space="0" w:color="auto"/>
      </w:divBdr>
    </w:div>
    <w:div w:id="718942877">
      <w:bodyDiv w:val="1"/>
      <w:marLeft w:val="0"/>
      <w:marRight w:val="0"/>
      <w:marTop w:val="0"/>
      <w:marBottom w:val="0"/>
      <w:divBdr>
        <w:top w:val="none" w:sz="0" w:space="0" w:color="auto"/>
        <w:left w:val="none" w:sz="0" w:space="0" w:color="auto"/>
        <w:bottom w:val="none" w:sz="0" w:space="0" w:color="auto"/>
        <w:right w:val="none" w:sz="0" w:space="0" w:color="auto"/>
      </w:divBdr>
    </w:div>
    <w:div w:id="810636881">
      <w:bodyDiv w:val="1"/>
      <w:marLeft w:val="0"/>
      <w:marRight w:val="0"/>
      <w:marTop w:val="0"/>
      <w:marBottom w:val="0"/>
      <w:divBdr>
        <w:top w:val="none" w:sz="0" w:space="0" w:color="auto"/>
        <w:left w:val="none" w:sz="0" w:space="0" w:color="auto"/>
        <w:bottom w:val="none" w:sz="0" w:space="0" w:color="auto"/>
        <w:right w:val="none" w:sz="0" w:space="0" w:color="auto"/>
      </w:divBdr>
    </w:div>
    <w:div w:id="1450323607">
      <w:bodyDiv w:val="1"/>
      <w:marLeft w:val="0"/>
      <w:marRight w:val="0"/>
      <w:marTop w:val="0"/>
      <w:marBottom w:val="0"/>
      <w:divBdr>
        <w:top w:val="none" w:sz="0" w:space="0" w:color="auto"/>
        <w:left w:val="none" w:sz="0" w:space="0" w:color="auto"/>
        <w:bottom w:val="none" w:sz="0" w:space="0" w:color="auto"/>
        <w:right w:val="none" w:sz="0" w:space="0" w:color="auto"/>
      </w:divBdr>
    </w:div>
    <w:div w:id="17032827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02297BD-A82C-4E3A-9930-E2D0A7B25A3D}"/>
</file>

<file path=customXml/itemProps2.xml><?xml version="1.0" encoding="utf-8"?>
<ds:datastoreItem xmlns:ds="http://schemas.openxmlformats.org/officeDocument/2006/customXml" ds:itemID="{47BBF4CE-410D-4FB7-998C-5B486CEED69D}"/>
</file>

<file path=customXml/itemProps3.xml><?xml version="1.0" encoding="utf-8"?>
<ds:datastoreItem xmlns:ds="http://schemas.openxmlformats.org/officeDocument/2006/customXml" ds:itemID="{167F1D59-9F63-418E-B384-B81B86A4F345}"/>
</file>

<file path=docProps/app.xml><?xml version="1.0" encoding="utf-8"?>
<Properties xmlns="http://schemas.openxmlformats.org/officeDocument/2006/extended-properties" xmlns:vt="http://schemas.openxmlformats.org/officeDocument/2006/docPropsVTypes">
  <Template>Normal.dotm</Template>
  <TotalTime>1</TotalTime>
  <Pages>1</Pages>
  <Words>3002</Words>
  <Characters>17117</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ECHR</vt:lpstr>
    </vt:vector>
  </TitlesOfParts>
  <Manager/>
  <Company/>
  <LinksUpToDate>false</LinksUpToDate>
  <CharactersWithSpaces>20079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DJF</dc:subject>
  <dc:creator/>
  <cp:keywords/>
  <cp:lastModifiedBy/>
  <cp:revision>5</cp:revision>
  <cp:lastPrinted>2009-04-02T08:45:00Z</cp:lastPrinted>
  <dcterms:created xsi:type="dcterms:W3CDTF">2019-07-16T14:06:00Z</dcterms:created>
  <dcterms:modified xsi:type="dcterms:W3CDTF">2019-07-16T14:06:00Z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0x010100558EB02BDB9E204AB350EDD385B68E10</vt:lpwstr>
  </property>
</Properties>
</file>