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EE0" w:rsidP="00D94EE0" w:rsidRDefault="00D94EE0">
      <w:pPr>
        <w:pStyle w:val="DecHTitle"/>
      </w:pPr>
      <w:bookmarkStart w:name="_GoBack" w:id="0"/>
      <w:bookmarkEnd w:id="0"/>
      <w:r w:rsidRPr="007C434E">
        <w:t>FIFTH SECTION</w:t>
      </w:r>
    </w:p>
    <w:p w:rsidR="00D94EE0" w:rsidP="00D94EE0" w:rsidRDefault="00D94EE0">
      <w:pPr>
        <w:pStyle w:val="DecHTitle"/>
      </w:pPr>
      <w:r>
        <w:t>DECISION</w:t>
      </w:r>
    </w:p>
    <w:p w:rsidR="00D94EE0" w:rsidP="00D94EE0" w:rsidRDefault="00D94EE0">
      <w:pPr>
        <w:pStyle w:val="DecHTitle"/>
      </w:pPr>
      <w:r>
        <w:t>AS TO THE ADMISSIBILITY OF</w:t>
      </w:r>
    </w:p>
    <w:p w:rsidR="00D94EE0" w:rsidP="00D94EE0" w:rsidRDefault="00D94EE0">
      <w:pPr>
        <w:pStyle w:val="DecHCase"/>
      </w:pPr>
      <w:r w:rsidRPr="007C434E">
        <w:t>Application no. 23938/05</w:t>
      </w:r>
      <w:r w:rsidRPr="007C434E">
        <w:br/>
        <w:t xml:space="preserve">by </w:t>
      </w:r>
      <w:r>
        <w:t>State Holding Company</w:t>
      </w:r>
      <w:r w:rsidRPr="007C434E">
        <w:t xml:space="preserve"> LUGANSK</w:t>
      </w:r>
      <w:r w:rsidR="00EA3E3D">
        <w:t>VUGILLY</w:t>
      </w:r>
      <w:r>
        <w:t>A</w:t>
      </w:r>
      <w:r w:rsidRPr="007C434E">
        <w:br/>
        <w:t xml:space="preserve">against </w:t>
      </w:r>
      <w:smartTag w:uri="urn:schemas-microsoft-com:office:smarttags" w:element="country-region">
        <w:smartTag w:uri="urn:schemas-microsoft-com:office:smarttags" w:element="place">
          <w:r w:rsidRPr="007C434E">
            <w:t>Ukraine</w:t>
          </w:r>
        </w:smartTag>
      </w:smartTag>
    </w:p>
    <w:p w:rsidRPr="007C434E" w:rsidR="00D94EE0" w:rsidP="00D94EE0" w:rsidRDefault="00D94EE0">
      <w:pPr>
        <w:pStyle w:val="JuPara"/>
      </w:pPr>
      <w:r w:rsidRPr="007C434E">
        <w:t xml:space="preserve">The European Court of Human Rights (Fifth Section), sitting on </w:t>
      </w:r>
      <w:r>
        <w:t>27 January 2009</w:t>
      </w:r>
      <w:r w:rsidRPr="007C434E">
        <w:t xml:space="preserve"> as a Chamber composed of:</w:t>
      </w:r>
    </w:p>
    <w:p w:rsidRPr="00BE09D7" w:rsidR="00B84CF3" w:rsidP="00B84CF3" w:rsidRDefault="00D94EE0">
      <w:pPr>
        <w:pStyle w:val="JuJudges"/>
      </w:pPr>
      <w:r w:rsidRPr="00AF72CE">
        <w:rPr>
          <w:rStyle w:val="JuJudgesChar"/>
        </w:rPr>
        <w:tab/>
        <w:t>Peer</w:t>
      </w:r>
      <w:r>
        <w:rPr>
          <w:rStyle w:val="JuJudgesChar"/>
        </w:rPr>
        <w:t xml:space="preserve"> </w:t>
      </w:r>
      <w:r w:rsidRPr="00AF72CE">
        <w:rPr>
          <w:rStyle w:val="JuJudgesChar"/>
        </w:rPr>
        <w:t>Lorenzen</w:t>
      </w:r>
      <w:r>
        <w:rPr>
          <w:rStyle w:val="JuJudgesChar"/>
        </w:rPr>
        <w:t>,</w:t>
      </w:r>
      <w:r w:rsidRPr="00AF72CE">
        <w:rPr>
          <w:rStyle w:val="JuJudgesChar"/>
          <w:i/>
        </w:rPr>
        <w:t xml:space="preserve"> President,</w:t>
      </w:r>
      <w:r>
        <w:rPr>
          <w:rStyle w:val="JuJudgesChar"/>
          <w:i/>
        </w:rPr>
        <w:br/>
      </w:r>
      <w:r w:rsidRPr="00AF72CE">
        <w:rPr>
          <w:rStyle w:val="JuJudgesChar"/>
        </w:rPr>
        <w:tab/>
        <w:t>Rait</w:t>
      </w:r>
      <w:r>
        <w:rPr>
          <w:rStyle w:val="JuJudgesChar"/>
        </w:rPr>
        <w:t xml:space="preserve"> </w:t>
      </w:r>
      <w:r w:rsidRPr="00AF72CE">
        <w:rPr>
          <w:rStyle w:val="JuJudgesChar"/>
        </w:rPr>
        <w:t>Maruste</w:t>
      </w:r>
      <w:r>
        <w:rPr>
          <w:rStyle w:val="JuJudgesChar"/>
        </w:rPr>
        <w:t>,</w:t>
      </w:r>
      <w:r>
        <w:rPr>
          <w:rStyle w:val="JuJudgesChar"/>
          <w:i/>
        </w:rPr>
        <w:br/>
      </w:r>
      <w:r w:rsidRPr="00AF72CE">
        <w:rPr>
          <w:rStyle w:val="JuJudgesChar"/>
        </w:rPr>
        <w:tab/>
        <w:t>Karel</w:t>
      </w:r>
      <w:r>
        <w:rPr>
          <w:rStyle w:val="JuJudgesChar"/>
        </w:rPr>
        <w:t xml:space="preserve"> </w:t>
      </w:r>
      <w:r w:rsidRPr="00AF72CE">
        <w:rPr>
          <w:rStyle w:val="JuJudgesChar"/>
        </w:rPr>
        <w:t>Jungwiert</w:t>
      </w:r>
      <w:r>
        <w:rPr>
          <w:rStyle w:val="JuJudgesChar"/>
        </w:rPr>
        <w:t>,</w:t>
      </w:r>
      <w:r>
        <w:rPr>
          <w:rStyle w:val="JuJudgesChar"/>
          <w:i/>
        </w:rPr>
        <w:br/>
      </w:r>
      <w:r w:rsidRPr="00AF72CE">
        <w:rPr>
          <w:rStyle w:val="JuJudgesChar"/>
        </w:rPr>
        <w:tab/>
        <w:t>Renate</w:t>
      </w:r>
      <w:r>
        <w:rPr>
          <w:rStyle w:val="JuJudgesChar"/>
        </w:rPr>
        <w:t xml:space="preserve"> </w:t>
      </w:r>
      <w:r w:rsidRPr="00AF72CE">
        <w:rPr>
          <w:rStyle w:val="JuJudgesChar"/>
        </w:rPr>
        <w:t>Jaeger</w:t>
      </w:r>
      <w:r>
        <w:rPr>
          <w:rStyle w:val="JuJudgesChar"/>
        </w:rPr>
        <w:t>,</w:t>
      </w:r>
      <w:r>
        <w:rPr>
          <w:rStyle w:val="JuJudgesChar"/>
          <w:i/>
        </w:rPr>
        <w:br/>
      </w:r>
      <w:r w:rsidRPr="00AF72CE">
        <w:rPr>
          <w:rStyle w:val="JuJudgesChar"/>
        </w:rPr>
        <w:tab/>
        <w:t>Mark</w:t>
      </w:r>
      <w:r>
        <w:rPr>
          <w:rStyle w:val="JuJudgesChar"/>
        </w:rPr>
        <w:t xml:space="preserve"> </w:t>
      </w:r>
      <w:r w:rsidRPr="00AF72CE">
        <w:rPr>
          <w:rStyle w:val="JuJudgesChar"/>
        </w:rPr>
        <w:t>Villiger</w:t>
      </w:r>
      <w:r>
        <w:rPr>
          <w:rStyle w:val="JuJudgesChar"/>
        </w:rPr>
        <w:t>,</w:t>
      </w:r>
      <w:r>
        <w:rPr>
          <w:rStyle w:val="JuJudgesChar"/>
          <w:i/>
        </w:rPr>
        <w:br/>
      </w:r>
      <w:r w:rsidRPr="00AF72CE">
        <w:rPr>
          <w:rStyle w:val="JuJudgesChar"/>
        </w:rPr>
        <w:tab/>
        <w:t>Isabelle</w:t>
      </w:r>
      <w:r>
        <w:rPr>
          <w:rStyle w:val="JuJudgesChar"/>
        </w:rPr>
        <w:t xml:space="preserve"> </w:t>
      </w:r>
      <w:r w:rsidRPr="00AF72CE">
        <w:rPr>
          <w:rStyle w:val="JuJudgesChar"/>
        </w:rPr>
        <w:t>Berro-Lefèvre</w:t>
      </w:r>
      <w:r>
        <w:rPr>
          <w:rStyle w:val="JuJudgesChar"/>
        </w:rPr>
        <w:t>,</w:t>
      </w:r>
      <w:r w:rsidRPr="00AF72CE">
        <w:rPr>
          <w:rStyle w:val="JuJudgesChar"/>
          <w:i/>
        </w:rPr>
        <w:t xml:space="preserve"> judges,</w:t>
      </w:r>
      <w:r>
        <w:rPr>
          <w:rStyle w:val="JuJudgesChar"/>
          <w:i/>
        </w:rPr>
        <w:br/>
      </w:r>
      <w:r w:rsidRPr="00AF72CE">
        <w:rPr>
          <w:rStyle w:val="JuJudgesChar"/>
        </w:rPr>
        <w:tab/>
        <w:t>Stanislav</w:t>
      </w:r>
      <w:r>
        <w:rPr>
          <w:rStyle w:val="JuJudgesChar"/>
        </w:rPr>
        <w:t xml:space="preserve"> </w:t>
      </w:r>
      <w:r w:rsidRPr="00AF72CE">
        <w:rPr>
          <w:rStyle w:val="JuJudgesChar"/>
        </w:rPr>
        <w:t>Shevchuk</w:t>
      </w:r>
      <w:r>
        <w:rPr>
          <w:rStyle w:val="JuJudgesChar"/>
        </w:rPr>
        <w:t>,</w:t>
      </w:r>
      <w:r w:rsidRPr="00AF72CE">
        <w:rPr>
          <w:rStyle w:val="JuJudgesChar"/>
          <w:i/>
        </w:rPr>
        <w:t xml:space="preserve"> </w:t>
      </w:r>
      <w:r w:rsidRPr="00AF72CE">
        <w:rPr>
          <w:rStyle w:val="JuJudgesChar"/>
        </w:rPr>
        <w:t>ad hoc</w:t>
      </w:r>
      <w:r w:rsidRPr="00AF72CE">
        <w:rPr>
          <w:rStyle w:val="JuJudgesChar"/>
          <w:i/>
        </w:rPr>
        <w:t xml:space="preserve"> judge,</w:t>
      </w:r>
      <w:r>
        <w:rPr>
          <w:rStyle w:val="JuJudgesChar"/>
          <w:i/>
        </w:rPr>
        <w:br/>
      </w:r>
      <w:r w:rsidR="00B84CF3">
        <w:t xml:space="preserve">and Claudia Westerdiek, </w:t>
      </w:r>
      <w:r w:rsidR="00B84CF3">
        <w:rPr>
          <w:i/>
        </w:rPr>
        <w:t>Section Registrar</w:t>
      </w:r>
      <w:r w:rsidRPr="00AF0CB6" w:rsidR="00B84CF3">
        <w:rPr>
          <w:i/>
        </w:rPr>
        <w:t>,</w:t>
      </w:r>
    </w:p>
    <w:p w:rsidRPr="007C434E" w:rsidR="00D94EE0" w:rsidP="00D94EE0" w:rsidRDefault="00D94EE0">
      <w:pPr>
        <w:pStyle w:val="JuPara"/>
      </w:pPr>
      <w:r w:rsidRPr="007C434E">
        <w:t>Having regard to the above application lodged on 17 June 2005,</w:t>
      </w:r>
    </w:p>
    <w:p w:rsidRPr="007C434E" w:rsidR="00D94EE0" w:rsidP="00D94EE0" w:rsidRDefault="00D94EE0">
      <w:pPr>
        <w:pStyle w:val="JuPara"/>
      </w:pPr>
      <w:r w:rsidRPr="007C434E">
        <w:t>Having deliberated, decides as follows:</w:t>
      </w:r>
    </w:p>
    <w:p w:rsidRPr="007C434E" w:rsidR="00D94EE0" w:rsidP="00D94EE0" w:rsidRDefault="00D94EE0">
      <w:pPr>
        <w:pStyle w:val="JuHHead"/>
      </w:pPr>
      <w:r w:rsidRPr="007C434E">
        <w:t>THE FACTS</w:t>
      </w:r>
    </w:p>
    <w:p w:rsidRPr="007C434E" w:rsidR="00D94EE0" w:rsidP="00D94EE0" w:rsidRDefault="00D94EE0">
      <w:pPr>
        <w:pStyle w:val="JuPara"/>
      </w:pPr>
      <w:r w:rsidRPr="007C434E">
        <w:t xml:space="preserve">The applicant </w:t>
      </w:r>
      <w:r>
        <w:t>is a legal entity, a state</w:t>
      </w:r>
      <w:r w:rsidR="00EA3E3D">
        <w:t xml:space="preserve"> holding company, Luganksvugilly</w:t>
      </w:r>
      <w:r>
        <w:t>a (</w:t>
      </w:r>
      <w:r w:rsidRPr="00D70AB4">
        <w:rPr>
          <w:i/>
          <w:lang w:val="uk-UA"/>
        </w:rPr>
        <w:t>Державна холдингова компанія «Луганськвугілля»</w:t>
      </w:r>
      <w:r>
        <w:t xml:space="preserve">), registered in </w:t>
      </w:r>
      <w:smartTag w:uri="urn:schemas-microsoft-com:office:smarttags" w:element="place">
        <w:smartTag w:uri="urn:schemas-microsoft-com:office:smarttags" w:element="City">
          <w:r>
            <w:t>Lugansk</w:t>
          </w:r>
        </w:smartTag>
        <w:r>
          <w:t xml:space="preserve">, </w:t>
        </w:r>
        <w:smartTag w:uri="urn:schemas-microsoft-com:office:smarttags" w:element="country-region">
          <w:r>
            <w:t>Ukraine</w:t>
          </w:r>
        </w:smartTag>
      </w:smartTag>
      <w:r w:rsidRPr="007C434E">
        <w:t>.</w:t>
      </w:r>
      <w:r>
        <w:t xml:space="preserve"> It is represented before the Court by Mr Viktor Bilyk, a practicing lawyer.</w:t>
      </w:r>
    </w:p>
    <w:p w:rsidRPr="007C434E" w:rsidR="00D94EE0" w:rsidP="00D94EE0" w:rsidRDefault="00D94EE0">
      <w:pPr>
        <w:pStyle w:val="JuHA"/>
      </w:pPr>
      <w:r w:rsidRPr="007C434E">
        <w:t>A.  The circumstances of the case</w:t>
      </w:r>
    </w:p>
    <w:p w:rsidR="00D94EE0" w:rsidP="00D94EE0" w:rsidRDefault="00D94EE0">
      <w:pPr>
        <w:pStyle w:val="JuPara"/>
      </w:pPr>
      <w:r w:rsidRPr="007C434E">
        <w:t>The facts of the case, as submitted by the applicant, may be summarised as follows.</w:t>
      </w:r>
    </w:p>
    <w:p w:rsidR="00D94EE0" w:rsidP="00D94EE0" w:rsidRDefault="00D94EE0">
      <w:pPr>
        <w:pStyle w:val="JuPara"/>
      </w:pPr>
      <w:r>
        <w:t>On 12 August 2004 the local department of the State Securities and Stock Market Commission imposed a fine on the applicant company for failure to comply with the legislation on market circulation of shares.</w:t>
      </w:r>
    </w:p>
    <w:p w:rsidR="00D94EE0" w:rsidP="00D94EE0" w:rsidRDefault="00D94EE0">
      <w:pPr>
        <w:pStyle w:val="JuPara"/>
      </w:pPr>
      <w:r>
        <w:t xml:space="preserve">In August 2004 the applicant company lodged a complaint with the </w:t>
      </w:r>
      <w:smartTag w:uri="urn:schemas-microsoft-com:office:smarttags" w:element="Street">
        <w:smartTag w:uri="urn:schemas-microsoft-com:office:smarttags" w:element="address">
          <w:r>
            <w:t>Lugansk Regional Commercial Court</w:t>
          </w:r>
        </w:smartTag>
      </w:smartTag>
      <w:r>
        <w:t xml:space="preserve"> against the aforementioned resolution of the Commission to impose a fine on it.</w:t>
      </w:r>
    </w:p>
    <w:p w:rsidR="00D94EE0" w:rsidP="00D94EE0" w:rsidRDefault="00D94EE0">
      <w:pPr>
        <w:pStyle w:val="JuPara"/>
      </w:pPr>
      <w:r>
        <w:t>On 5 October 2004 the court rejected this complaint as it was unsubstantiated. On 23 December 2004 the Lugansk Commercial Court of Appeal upheld that judgment.</w:t>
      </w:r>
    </w:p>
    <w:p w:rsidR="00D94EE0" w:rsidP="00D94EE0" w:rsidRDefault="00D94EE0">
      <w:pPr>
        <w:pStyle w:val="JuPara"/>
      </w:pPr>
      <w:r>
        <w:t xml:space="preserve">The applicant lodged an appeal in cassation with the </w:t>
      </w:r>
      <w:smartTag w:uri="urn:schemas-microsoft-com:office:smarttags" w:element="Street">
        <w:smartTag w:uri="urn:schemas-microsoft-com:office:smarttags" w:element="address">
          <w:r>
            <w:t>Higher Commercial Court</w:t>
          </w:r>
        </w:smartTag>
      </w:smartTag>
      <w:r>
        <w:t>, which on 11 March 2005 refused to examine it for the applicant</w:t>
      </w:r>
      <w:r w:rsidR="003F670E">
        <w:t>’</w:t>
      </w:r>
      <w:r>
        <w:t>s failure to comply with the formal requirements envisaged in the Code of Commercial Procedure for lodging such appeals.</w:t>
      </w:r>
    </w:p>
    <w:p w:rsidR="00D94EE0" w:rsidP="00D94EE0" w:rsidRDefault="00D94EE0">
      <w:pPr>
        <w:pStyle w:val="JuPara"/>
      </w:pPr>
      <w:r>
        <w:t>On 28 April 2005 the Supreme Court refused to institute cassation proceedings upon the applicant</w:t>
      </w:r>
      <w:r w:rsidR="003F670E">
        <w:t>’</w:t>
      </w:r>
      <w:r>
        <w:t>s appeal in cassation lodged against the resolution of 11 March 2005.</w:t>
      </w:r>
    </w:p>
    <w:p w:rsidRPr="007C434E" w:rsidR="00D94EE0" w:rsidP="00D94EE0" w:rsidRDefault="00D94EE0">
      <w:pPr>
        <w:pStyle w:val="JuHA"/>
      </w:pPr>
      <w:r w:rsidRPr="007C434E">
        <w:t>B.  Relevant do</w:t>
      </w:r>
      <w:r>
        <w:t>mestic law</w:t>
      </w:r>
    </w:p>
    <w:p w:rsidR="00D94EE0" w:rsidP="00D94EE0" w:rsidRDefault="00D94EE0">
      <w:pPr>
        <w:pStyle w:val="JuPara"/>
      </w:pPr>
      <w:r>
        <w:t>From extensive domestic law, including the acts of Parliament, normative acts of the Cabinet of Ministers and various ministerial decisions and orders it ensues that the applicant company is managed and fully controlled by the Government of Ukraine, through its various institutional structures, including formerly through the Ministry of Fuel and Energy of Ukraine and currently the Ministry of Coal Industry of Ukraine. The company exercised certain public functions in administration of funds allocated by the State for restructuring of the coal industry.</w:t>
      </w:r>
    </w:p>
    <w:p w:rsidR="00D94EE0" w:rsidP="00D94EE0" w:rsidRDefault="00D94EE0">
      <w:pPr>
        <w:pStyle w:val="JuPara"/>
      </w:pPr>
      <w:r>
        <w:t>On 8 July 2008 the Ministry of Coal Industry of Ukraine by an order no. 326, acting in accordance with the Civil and Commercial Codes of Ukraine, the State Registration of Legal Entities and Entrepreneurs Act and the Management of State Property Act, ordered the liquidation of the state holding company Luganskvugillia. The liquidation proceedings are still pending.</w:t>
      </w:r>
    </w:p>
    <w:p w:rsidRPr="007C434E" w:rsidR="00D94EE0" w:rsidP="00D94EE0" w:rsidRDefault="00D94EE0">
      <w:pPr>
        <w:pStyle w:val="JuHHead"/>
      </w:pPr>
      <w:r w:rsidRPr="007C434E">
        <w:t>COMPLAINTS</w:t>
      </w:r>
    </w:p>
    <w:p w:rsidR="00D94EE0" w:rsidP="00D94EE0" w:rsidRDefault="00D94EE0">
      <w:pPr>
        <w:pStyle w:val="JuPara"/>
      </w:pPr>
      <w:r>
        <w:t>The applicant company alleges that the State failed to secure its rights. It refers in this respect to Article 1 of the Convention.</w:t>
      </w:r>
    </w:p>
    <w:p w:rsidR="00D94EE0" w:rsidP="00D94EE0" w:rsidRDefault="00D94EE0">
      <w:pPr>
        <w:pStyle w:val="JuPara"/>
      </w:pPr>
      <w:r>
        <w:t xml:space="preserve">The company also complains that its right to appeal was not ensured as the </w:t>
      </w:r>
      <w:smartTag w:uri="urn:schemas-microsoft-com:office:smarttags" w:element="Street">
        <w:smartTag w:uri="urn:schemas-microsoft-com:office:smarttags" w:element="address">
          <w:r>
            <w:t>Higher Administrative Court</w:t>
          </w:r>
        </w:smartTag>
      </w:smartTag>
      <w:r>
        <w:t xml:space="preserve"> and the Supreme Court failed to examine its appeals in cassation, thus failing to comply with the requirements of the domestic law.</w:t>
      </w:r>
    </w:p>
    <w:p w:rsidRPr="007C434E" w:rsidR="00D94EE0" w:rsidP="00D94EE0" w:rsidRDefault="00D94EE0">
      <w:pPr>
        <w:pStyle w:val="JuHHead"/>
      </w:pPr>
      <w:r w:rsidRPr="007C434E">
        <w:t>THE LAW</w:t>
      </w:r>
    </w:p>
    <w:p w:rsidR="00D94EE0" w:rsidP="00D94EE0" w:rsidRDefault="00D94EE0">
      <w:pPr>
        <w:pStyle w:val="JuPara"/>
      </w:pPr>
      <w:r>
        <w:t xml:space="preserve">The applicant complained under </w:t>
      </w:r>
      <w:bookmarkStart w:name="HIT64" w:id="1"/>
      <w:bookmarkEnd w:id="1"/>
      <w:r w:rsidRPr="002D606D">
        <w:rPr>
          <w:bCs/>
        </w:rPr>
        <w:t>Article</w:t>
      </w:r>
      <w:r w:rsidRPr="002D606D">
        <w:t> </w:t>
      </w:r>
      <w:bookmarkStart w:name="HIT65" w:id="2"/>
      <w:bookmarkEnd w:id="2"/>
      <w:r w:rsidRPr="002D606D">
        <w:rPr>
          <w:bCs/>
        </w:rPr>
        <w:t>13</w:t>
      </w:r>
      <w:r>
        <w:t xml:space="preserve"> of the Convention of the alleged lack of effective remedies in respect of its appeals in cassation lodged with the </w:t>
      </w:r>
      <w:smartTag w:uri="urn:schemas-microsoft-com:office:smarttags" w:element="Street">
        <w:smartTag w:uri="urn:schemas-microsoft-com:office:smarttags" w:element="address">
          <w:r>
            <w:t>Higher Commercial Court</w:t>
          </w:r>
        </w:smartTag>
      </w:smartTag>
      <w:r>
        <w:t xml:space="preserve"> and the Supreme Court. It also alleged that Article 1 of the Convention had been infringed by the domestic judicial authorities. These provisions provide as follows:</w:t>
      </w:r>
    </w:p>
    <w:p w:rsidR="00D94EE0" w:rsidP="00D94EE0" w:rsidRDefault="00D94EE0">
      <w:pPr>
        <w:pStyle w:val="JuQuot"/>
      </w:pPr>
      <w:r>
        <w:t>“The High Contracting Parties shall secure to everyone within their jurisdiction the rights and freedoms defined in Section I of [the] Convention.”</w:t>
      </w:r>
    </w:p>
    <w:p w:rsidR="00D94EE0" w:rsidP="00D94EE0" w:rsidRDefault="00D94EE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D94EE0" w:rsidP="00D94EE0" w:rsidRDefault="00D94EE0">
      <w:pPr>
        <w:pStyle w:val="JuPara"/>
      </w:pPr>
      <w:r>
        <w:t>T</w:t>
      </w:r>
      <w:r w:rsidRPr="00A975BC">
        <w:t xml:space="preserve">he Court observes that a legal entity “claiming to be the victim of a violation by one of the High Contracting Parties of the rights set forth in the Convention and the Protocols thereto” may submit an application to it (see, for example, </w:t>
      </w:r>
      <w:r w:rsidRPr="00A975BC">
        <w:rPr>
          <w:i/>
        </w:rPr>
        <w:t>Agrotexim and Others v. Greece</w:t>
      </w:r>
      <w:r w:rsidRPr="00A975BC">
        <w:t xml:space="preserve">, judgment of 24 October 1995, Series A no. 330-A, and </w:t>
      </w:r>
      <w:r w:rsidRPr="00A975BC">
        <w:rPr>
          <w:i/>
        </w:rPr>
        <w:t>Société Faugyr Finance S.A. v. Luxembourg</w:t>
      </w:r>
      <w:r w:rsidRPr="00A975BC">
        <w:t xml:space="preserve"> (dec.), no. 38788/97, 23 March 2000), provided that it is a “non-governmental organisation” within the meaning of Article 34 of the Convention (see </w:t>
      </w:r>
      <w:r w:rsidRPr="00A975BC">
        <w:rPr>
          <w:i/>
        </w:rPr>
        <w:t>RENFE v. Spain</w:t>
      </w:r>
      <w:r w:rsidRPr="00A975BC">
        <w:t>, no. 352</w:t>
      </w:r>
      <w:r w:rsidR="00F62B3B">
        <w:t>16/97, Commission decision of 8 </w:t>
      </w:r>
      <w:r w:rsidRPr="00A975BC">
        <w:t>September 1997, DR 90, p. 179).</w:t>
      </w:r>
      <w:r>
        <w:t xml:space="preserve"> The idea behind this principle is to prevent a Contracting Party acting as both an applicant and a respondent party before the Court (see </w:t>
      </w:r>
      <w:r w:rsidRPr="00A975BC">
        <w:rPr>
          <w:i/>
          <w:lang w:eastAsia="en-US"/>
        </w:rPr>
        <w:t>Islamic Republic of Iran Shipping Lines</w:t>
      </w:r>
      <w:r w:rsidR="00F62B3B">
        <w:rPr>
          <w:i/>
          <w:lang w:eastAsia="en-US"/>
        </w:rPr>
        <w:t xml:space="preserve"> v. </w:t>
      </w:r>
      <w:r w:rsidRPr="00A975BC">
        <w:rPr>
          <w:i/>
          <w:lang w:eastAsia="en-US"/>
        </w:rPr>
        <w:t>Turkey</w:t>
      </w:r>
      <w:r w:rsidRPr="00A975BC">
        <w:rPr>
          <w:lang w:eastAsia="en-US"/>
        </w:rPr>
        <w:t xml:space="preserve">, no. 40998/98, § </w:t>
      </w:r>
      <w:r>
        <w:rPr>
          <w:lang w:eastAsia="en-US"/>
        </w:rPr>
        <w:t>81</w:t>
      </w:r>
      <w:r w:rsidRPr="00A975BC">
        <w:rPr>
          <w:lang w:eastAsia="en-US"/>
        </w:rPr>
        <w:t>, ECHR 2007</w:t>
      </w:r>
      <w:r w:rsidRPr="00A975BC">
        <w:rPr>
          <w:lang w:eastAsia="en-US"/>
        </w:rPr>
        <w:noBreakHyphen/>
      </w:r>
      <w:r>
        <w:rPr>
          <w:lang w:eastAsia="en-US"/>
        </w:rPr>
        <w:t>...</w:t>
      </w:r>
      <w:r>
        <w:t>).</w:t>
      </w:r>
    </w:p>
    <w:p w:rsidR="00D94EE0" w:rsidP="00D94EE0" w:rsidRDefault="00D94EE0">
      <w:pPr>
        <w:pStyle w:val="JuPara"/>
      </w:pPr>
      <w:r>
        <w:t xml:space="preserve">In particular, a company is “a non-governmental organisation” if it is governed essentially by company law, does not enjoy any powers beyond those conferred by ordinary private law in the exercise of its activities and is subject to the jurisdiction of the ordinary rather than the administrative courts (see </w:t>
      </w:r>
      <w:r w:rsidRPr="00A975BC">
        <w:rPr>
          <w:i/>
          <w:lang w:eastAsia="en-US"/>
        </w:rPr>
        <w:t>Islamic Republic of Iran Shipping Lines v. Turkey</w:t>
      </w:r>
      <w:r w:rsidRPr="00A975BC">
        <w:rPr>
          <w:lang w:eastAsia="en-US"/>
        </w:rPr>
        <w:t xml:space="preserve">, § </w:t>
      </w:r>
      <w:r>
        <w:rPr>
          <w:lang w:eastAsia="en-US"/>
        </w:rPr>
        <w:t>81</w:t>
      </w:r>
      <w:r w:rsidRPr="00A975BC">
        <w:rPr>
          <w:lang w:eastAsia="en-US"/>
        </w:rPr>
        <w:t xml:space="preserve">, </w:t>
      </w:r>
      <w:r>
        <w:rPr>
          <w:lang w:eastAsia="en-US"/>
        </w:rPr>
        <w:t>cited above</w:t>
      </w:r>
      <w:r>
        <w:t xml:space="preserve">). </w:t>
      </w:r>
      <w:r w:rsidRPr="00A975BC">
        <w:t>The term “governmental organisations”, as opposed to “non-governmental organisations” within the meaning of Article 34, includes legal entities which participate in the exercise of governmental powers or run a public service under government control.</w:t>
      </w:r>
    </w:p>
    <w:p w:rsidR="00D94EE0" w:rsidP="00D94EE0" w:rsidRDefault="00D94EE0">
      <w:pPr>
        <w:pStyle w:val="JuPara"/>
      </w:pPr>
      <w:r w:rsidRPr="00A975BC">
        <w:t xml:space="preserve">In order to determine whether any given legal person falls within that category, account must be taken of its legal status and, where appropriate, the rights that status gives it, the nature of the activity it carries out and the context in which it is carried out, and the degree of its independence from the political authorities (see </w:t>
      </w:r>
      <w:r w:rsidRPr="00340C47">
        <w:rPr>
          <w:i/>
          <w:lang w:eastAsia="en-US"/>
        </w:rPr>
        <w:t xml:space="preserve">Radio France and Others v. France </w:t>
      </w:r>
      <w:r w:rsidR="00F62B3B">
        <w:rPr>
          <w:lang w:eastAsia="en-US"/>
        </w:rPr>
        <w:t>(dec.), no. </w:t>
      </w:r>
      <w:r w:rsidRPr="00340C47">
        <w:rPr>
          <w:lang w:eastAsia="en-US"/>
        </w:rPr>
        <w:t>53984/00, ECHR 2003</w:t>
      </w:r>
      <w:r w:rsidRPr="00340C47">
        <w:rPr>
          <w:lang w:eastAsia="en-US"/>
        </w:rPr>
        <w:noBreakHyphen/>
        <w:t>X (extracts)</w:t>
      </w:r>
      <w:r w:rsidRPr="00A975BC">
        <w:t>).</w:t>
      </w:r>
    </w:p>
    <w:p w:rsidR="00D94EE0" w:rsidP="00D94EE0" w:rsidRDefault="00D94EE0">
      <w:pPr>
        <w:pStyle w:val="JuPara"/>
      </w:pPr>
      <w:r>
        <w:t>In relation to legal entities operating in Ukraine, the Court has recognised that such</w:t>
      </w:r>
      <w:r w:rsidRPr="00D759CE">
        <w:t xml:space="preserve"> entit</w:t>
      </w:r>
      <w:r>
        <w:t>ies</w:t>
      </w:r>
      <w:r w:rsidRPr="00D759CE">
        <w:t xml:space="preserve"> </w:t>
      </w:r>
      <w:r>
        <w:t>could</w:t>
      </w:r>
      <w:r w:rsidRPr="00D759CE">
        <w:t xml:space="preserve"> be considered “governmental organisation</w:t>
      </w:r>
      <w:r>
        <w:t>s</w:t>
      </w:r>
      <w:r w:rsidRPr="00D759CE">
        <w:t xml:space="preserve">” if </w:t>
      </w:r>
      <w:r>
        <w:t>they performed</w:t>
      </w:r>
      <w:r w:rsidRPr="00D759CE">
        <w:t xml:space="preserve"> specific public duties under </w:t>
      </w:r>
      <w:r>
        <w:t xml:space="preserve">the </w:t>
      </w:r>
      <w:r w:rsidRPr="00D759CE">
        <w:t xml:space="preserve">supervision of the State authorities (see </w:t>
      </w:r>
      <w:r w:rsidRPr="00D759CE">
        <w:rPr>
          <w:i/>
        </w:rPr>
        <w:t>Novoseletskiy v. Ukraine</w:t>
      </w:r>
      <w:r w:rsidR="00F62B3B">
        <w:t>, no. 47148/99, § 82, ECHR 2005 </w:t>
      </w:r>
      <w:r w:rsidRPr="00D759CE">
        <w:t>II (extracts))</w:t>
      </w:r>
      <w:r>
        <w:t xml:space="preserve">, were public enterprises in various areas of State activities, including the mining, energy and transportation sectors (see </w:t>
      </w:r>
      <w:r w:rsidRPr="00D759CE">
        <w:rPr>
          <w:i/>
          <w:lang w:eastAsia="en-US"/>
        </w:rPr>
        <w:t>Romashov v. Ukraine</w:t>
      </w:r>
      <w:r w:rsidRPr="00D759CE">
        <w:rPr>
          <w:iCs/>
          <w:lang w:eastAsia="en-US"/>
        </w:rPr>
        <w:t>,</w:t>
      </w:r>
      <w:r w:rsidRPr="00D759CE">
        <w:rPr>
          <w:lang w:eastAsia="en-US"/>
        </w:rPr>
        <w:t xml:space="preserve"> no. 67534/01, </w:t>
      </w:r>
      <w:r>
        <w:t>§§ 46-47</w:t>
      </w:r>
      <w:r w:rsidRPr="00D759CE">
        <w:rPr>
          <w:lang w:eastAsia="en-US"/>
        </w:rPr>
        <w:t>, 27 July 2004</w:t>
      </w:r>
      <w:r>
        <w:t xml:space="preserve">; </w:t>
      </w:r>
      <w:r>
        <w:rPr>
          <w:rStyle w:val="ju-005fpara--char"/>
          <w:i/>
          <w:iCs/>
        </w:rPr>
        <w:t>Mykhaylenky and Others v. Ukraine</w:t>
      </w:r>
      <w:r>
        <w:t xml:space="preserve">, nos. 35091/02, 35196/02, 35201/02, 35204/02, 35945/02, 35949/02, 35953/02, 36800/02, 38296/02 and 42814/02, §§ 55 and 64, ECHR 2004-...; </w:t>
      </w:r>
      <w:r w:rsidRPr="00FB682B">
        <w:rPr>
          <w:i/>
          <w:lang w:eastAsia="en-US"/>
        </w:rPr>
        <w:t>Kucherenko v. Ukraine</w:t>
      </w:r>
      <w:r w:rsidRPr="00FB682B">
        <w:rPr>
          <w:lang w:eastAsia="en-US"/>
        </w:rPr>
        <w:t xml:space="preserve">, no. 27347/02, § </w:t>
      </w:r>
      <w:r>
        <w:rPr>
          <w:lang w:eastAsia="en-US"/>
        </w:rPr>
        <w:t>25</w:t>
      </w:r>
      <w:r w:rsidR="00F62B3B">
        <w:rPr>
          <w:lang w:eastAsia="en-US"/>
        </w:rPr>
        <w:t>, 15 </w:t>
      </w:r>
      <w:r w:rsidRPr="00FB682B">
        <w:rPr>
          <w:lang w:eastAsia="en-US"/>
        </w:rPr>
        <w:t>December 2005</w:t>
      </w:r>
      <w:r>
        <w:t xml:space="preserve">), or if a majority or all shares belonged to the State such that the entities were fully dependent on, controlled and managed by the State (see </w:t>
      </w:r>
      <w:r w:rsidRPr="00DA58DC">
        <w:rPr>
          <w:i/>
          <w:lang w:eastAsia="en-US"/>
        </w:rPr>
        <w:t>Regent Company v. Ukraine</w:t>
      </w:r>
      <w:r w:rsidRPr="00DA58DC">
        <w:rPr>
          <w:lang w:eastAsia="en-US"/>
        </w:rPr>
        <w:t xml:space="preserve">, no. 773/03, § </w:t>
      </w:r>
      <w:r>
        <w:rPr>
          <w:lang w:eastAsia="en-US"/>
        </w:rPr>
        <w:t>7</w:t>
      </w:r>
      <w:r w:rsidRPr="00DA58DC">
        <w:rPr>
          <w:lang w:eastAsia="en-US"/>
        </w:rPr>
        <w:t>, 3 April 2008</w:t>
      </w:r>
      <w:r>
        <w:rPr>
          <w:lang w:eastAsia="en-US"/>
        </w:rPr>
        <w:t xml:space="preserve">; </w:t>
      </w:r>
      <w:r w:rsidRPr="00DA58DC">
        <w:rPr>
          <w:i/>
          <w:lang w:eastAsia="en-US"/>
        </w:rPr>
        <w:t>Ryzhenkov and Zaytsev v. Ukraine</w:t>
      </w:r>
      <w:r w:rsidRPr="00DA58DC">
        <w:rPr>
          <w:lang w:eastAsia="en-US"/>
        </w:rPr>
        <w:t xml:space="preserve">, nos. 1805/03 and 6717/03, § </w:t>
      </w:r>
      <w:r>
        <w:rPr>
          <w:lang w:eastAsia="en-US"/>
        </w:rPr>
        <w:t>5</w:t>
      </w:r>
      <w:r w:rsidR="00F62B3B">
        <w:rPr>
          <w:lang w:eastAsia="en-US"/>
        </w:rPr>
        <w:t>, 13 </w:t>
      </w:r>
      <w:r w:rsidRPr="00DA58DC">
        <w:rPr>
          <w:lang w:eastAsia="en-US"/>
        </w:rPr>
        <w:t>December 2005</w:t>
      </w:r>
      <w:r>
        <w:rPr>
          <w:lang w:eastAsia="en-US"/>
        </w:rPr>
        <w:t xml:space="preserve">; </w:t>
      </w:r>
      <w:r w:rsidRPr="00DA58DC">
        <w:rPr>
          <w:i/>
          <w:szCs w:val="24"/>
          <w:lang w:eastAsia="en-US"/>
        </w:rPr>
        <w:t>Pomazanyy and Shevchenko v. Ukraine</w:t>
      </w:r>
      <w:r w:rsidR="00F62B3B">
        <w:rPr>
          <w:szCs w:val="24"/>
          <w:lang w:eastAsia="en-US"/>
        </w:rPr>
        <w:t>, no. 9719/02, § </w:t>
      </w:r>
      <w:r>
        <w:rPr>
          <w:szCs w:val="24"/>
          <w:lang w:eastAsia="en-US"/>
        </w:rPr>
        <w:t>4</w:t>
      </w:r>
      <w:r w:rsidRPr="00DA58DC">
        <w:rPr>
          <w:szCs w:val="24"/>
          <w:lang w:eastAsia="en-US"/>
        </w:rPr>
        <w:t>, 4 April 2006</w:t>
      </w:r>
      <w:r>
        <w:t>).</w:t>
      </w:r>
    </w:p>
    <w:p w:rsidRPr="00FB682B" w:rsidR="00D94EE0" w:rsidP="00D94EE0" w:rsidRDefault="00D94EE0">
      <w:pPr>
        <w:pStyle w:val="JuPara"/>
      </w:pPr>
      <w:r>
        <w:t xml:space="preserve">In the case of a joint venture between Ukraine and a Region of the Russian Federation, the Court found that even though some of the articles of association suggested that the applicant company had a public-service mission (namely, to implement intergovernmental decisions in the field of business cooperation), the company was predominantly involved in ordinary business, it enjoyed institutional autonomy, was governed by company law, was under the control and management of its founders, and the </w:t>
      </w:r>
      <w:r>
        <w:rPr>
          <w:lang w:eastAsia="en-US"/>
        </w:rPr>
        <w:t>State</w:t>
      </w:r>
      <w:r w:rsidR="003F670E">
        <w:rPr>
          <w:lang w:eastAsia="en-US"/>
        </w:rPr>
        <w:t>’</w:t>
      </w:r>
      <w:r>
        <w:rPr>
          <w:lang w:eastAsia="en-US"/>
        </w:rPr>
        <w:t xml:space="preserve">s minority shareholding did not give to the State a greater role in the management of the company than other shareholders. The company could therefore still be considered a “non-governmental organisation” for the purposes of Article 34 of the Convention (see </w:t>
      </w:r>
      <w:bookmarkStart w:name="File419" w:id="3"/>
      <w:r w:rsidRPr="00FB682B">
        <w:rPr>
          <w:i/>
          <w:lang w:eastAsia="en-US"/>
        </w:rPr>
        <w:t>Ukraine</w:t>
      </w:r>
      <w:bookmarkEnd w:id="3"/>
      <w:r w:rsidRPr="00FB682B">
        <w:rPr>
          <w:i/>
          <w:lang w:eastAsia="en-US"/>
        </w:rPr>
        <w:t>-Tyumen v. Ukraine</w:t>
      </w:r>
      <w:r w:rsidRPr="00FB682B">
        <w:rPr>
          <w:lang w:eastAsia="en-US"/>
        </w:rPr>
        <w:t xml:space="preserve">, no. 22603/02, § </w:t>
      </w:r>
      <w:r>
        <w:rPr>
          <w:lang w:eastAsia="en-US"/>
        </w:rPr>
        <w:t>27</w:t>
      </w:r>
      <w:r w:rsidRPr="00FB682B">
        <w:rPr>
          <w:lang w:eastAsia="en-US"/>
        </w:rPr>
        <w:t>, 22 November 2007</w:t>
      </w:r>
      <w:r>
        <w:rPr>
          <w:lang w:eastAsia="en-US"/>
        </w:rPr>
        <w:t>).</w:t>
      </w:r>
    </w:p>
    <w:p w:rsidR="00D94EE0" w:rsidP="00D94EE0" w:rsidRDefault="00D94EE0">
      <w:pPr>
        <w:pStyle w:val="JuPara"/>
        <w:rPr>
          <w:lang w:eastAsia="en-US"/>
        </w:rPr>
      </w:pPr>
      <w:r>
        <w:t xml:space="preserve">Turning to the facts of the present case, the Court observes that the applicant company is a legal entity that was registered as a corporation, owned and managed by the State, which participated in the exercise of governmental powers in the area of management of coal industry, having a public-service role in that activity of the State. The applicant company had no independent function, exercising certain public functions related to administration of State property owned in the coal mining industry that is heavily subsidised and regulated by the State (see </w:t>
      </w:r>
      <w:r w:rsidRPr="00A45575">
        <w:rPr>
          <w:i/>
          <w:lang w:eastAsia="en-US"/>
        </w:rPr>
        <w:t xml:space="preserve">Dubenko v. </w:t>
      </w:r>
      <w:smartTag w:uri="urn:schemas-microsoft-com:office:smarttags" w:element="country-region">
        <w:smartTag w:uri="urn:schemas-microsoft-com:office:smarttags" w:element="place">
          <w:r w:rsidRPr="00A45575">
            <w:rPr>
              <w:i/>
              <w:lang w:eastAsia="en-US"/>
            </w:rPr>
            <w:t>Ukraine</w:t>
          </w:r>
        </w:smartTag>
      </w:smartTag>
      <w:r w:rsidRPr="00A45575">
        <w:rPr>
          <w:lang w:eastAsia="en-US"/>
        </w:rPr>
        <w:t>, no. 74221/01, §</w:t>
      </w:r>
      <w:r>
        <w:rPr>
          <w:lang w:eastAsia="en-US"/>
        </w:rPr>
        <w:t>§</w:t>
      </w:r>
      <w:r w:rsidRPr="00A45575">
        <w:rPr>
          <w:lang w:eastAsia="en-US"/>
        </w:rPr>
        <w:t> </w:t>
      </w:r>
      <w:r>
        <w:rPr>
          <w:lang w:eastAsia="en-US"/>
        </w:rPr>
        <w:t>21 - 32</w:t>
      </w:r>
      <w:r w:rsidRPr="00A45575">
        <w:rPr>
          <w:lang w:eastAsia="en-US"/>
        </w:rPr>
        <w:t>, 11 January 2005</w:t>
      </w:r>
      <w:r>
        <w:t>). Moreover, as it ensues from the Order of the Ministry of Coal Industry of 8 July 2008, the applicant company, which existed as a separate legal entity, had to be liquidated on the basis of the decision of that ministry. The Court accordingly concludes that the applicant company is not a “person, non-governmental organisation or group of individuals” within the meaning of Article 34 of the Convention.</w:t>
      </w:r>
    </w:p>
    <w:p w:rsidR="00D94EE0" w:rsidP="00D94EE0" w:rsidRDefault="00D94EE0">
      <w:pPr>
        <w:pStyle w:val="JuPara"/>
        <w:rPr>
          <w:rStyle w:val="ju-005fpara--char"/>
          <w:i/>
          <w:iCs/>
        </w:rPr>
      </w:pPr>
      <w:r>
        <w:t xml:space="preserve">It follows that the application is incompatible with the provisions of the Convention within the meaning of Article 35 § 3. The Court must therefore reject the application as being inadmissible </w:t>
      </w:r>
      <w:r>
        <w:rPr>
          <w:rStyle w:val="ju-005fpara--char"/>
          <w:i/>
          <w:iCs/>
        </w:rPr>
        <w:t>ratione personae.</w:t>
      </w:r>
    </w:p>
    <w:p w:rsidRPr="007C434E" w:rsidR="00D94EE0" w:rsidP="00D94EE0" w:rsidRDefault="00D94EE0">
      <w:pPr>
        <w:pStyle w:val="JuParaLast"/>
      </w:pPr>
      <w:r w:rsidRPr="007C434E">
        <w:t>For these r</w:t>
      </w:r>
      <w:r>
        <w:t>easons, the Court unanimously</w:t>
      </w:r>
    </w:p>
    <w:p w:rsidRPr="007C434E" w:rsidR="00D94EE0" w:rsidP="00D94EE0" w:rsidRDefault="00D94EE0">
      <w:pPr>
        <w:pStyle w:val="DecList"/>
      </w:pPr>
      <w:r w:rsidRPr="007C434E">
        <w:rPr>
          <w:i/>
        </w:rPr>
        <w:t>Declares</w:t>
      </w:r>
      <w:r w:rsidRPr="007C434E">
        <w:t xml:space="preserve"> the application inadmissible.</w:t>
      </w:r>
    </w:p>
    <w:p w:rsidRPr="00CF4E17" w:rsidR="00D94EE0" w:rsidP="00D94EE0" w:rsidRDefault="00D94EE0">
      <w:pPr>
        <w:pStyle w:val="JuSigned"/>
        <w:keepNext/>
        <w:keepLines/>
      </w:pPr>
      <w:r w:rsidRPr="00CF4E17">
        <w:t xml:space="preserve">Claudia </w:t>
      </w:r>
      <w:r w:rsidRPr="00AF72CE">
        <w:t>Westerdiek</w:t>
      </w:r>
      <w:r w:rsidRPr="00CF4E17">
        <w:rPr>
          <w:rStyle w:val="JuNames"/>
        </w:rPr>
        <w:tab/>
      </w:r>
      <w:r w:rsidRPr="00CF4E17">
        <w:t xml:space="preserve">Peer </w:t>
      </w:r>
      <w:r w:rsidRPr="00AF72CE">
        <w:t>Lorenzen</w:t>
      </w:r>
      <w:r w:rsidRPr="00CF4E17">
        <w:br/>
      </w:r>
      <w:r w:rsidRPr="00CF4E17">
        <w:tab/>
        <w:t>Registrar</w:t>
      </w:r>
      <w:r w:rsidRPr="00CF4E17">
        <w:tab/>
        <w:t>President</w:t>
      </w:r>
    </w:p>
    <w:sectPr w:rsidRPr="00CF4E17" w:rsidR="00D94EE0">
      <w:headerReference w:type="even" r:id="rId6"/>
      <w:headerReference w:type="default" r:id="rId7"/>
      <w:headerReference w:type="first" r:id="rId8"/>
      <w:footnotePr>
        <w:numRestart w:val="eachPage"/>
      </w:footnotePr>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B3B" w:rsidRDefault="00F62B3B">
      <w:r>
        <w:separator/>
      </w:r>
    </w:p>
  </w:endnote>
  <w:endnote w:type="continuationSeparator" w:id="0">
    <w:p w:rsidR="00F62B3B" w:rsidRDefault="00F62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B3B" w:rsidRDefault="00F62B3B">
      <w:r>
        <w:separator/>
      </w:r>
    </w:p>
  </w:footnote>
  <w:footnote w:type="continuationSeparator" w:id="0">
    <w:p w:rsidR="00F62B3B" w:rsidRDefault="00F62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B3B" w:rsidRDefault="00F62B3B">
    <w:pPr>
      <w:pStyle w:val="JuHeader"/>
    </w:pPr>
    <w:r>
      <w:rPr>
        <w:rStyle w:val="PageNumber"/>
      </w:rPr>
      <w:fldChar w:fldCharType="begin"/>
    </w:r>
    <w:r>
      <w:rPr>
        <w:rStyle w:val="PageNumber"/>
      </w:rPr>
      <w:instrText xml:space="preserve"> PAGE </w:instrText>
    </w:r>
    <w:r>
      <w:rPr>
        <w:rStyle w:val="PageNumber"/>
      </w:rPr>
      <w:fldChar w:fldCharType="separate"/>
    </w:r>
    <w:r w:rsidR="003F670E">
      <w:rPr>
        <w:rStyle w:val="PageNumber"/>
        <w:noProof/>
      </w:rPr>
      <w:t>4</w:t>
    </w:r>
    <w:r>
      <w:rPr>
        <w:rStyle w:val="PageNumber"/>
      </w:rPr>
      <w:fldChar w:fldCharType="end"/>
    </w:r>
    <w:r>
      <w:tab/>
      <w:t>STATE H</w:t>
    </w:r>
    <w:r w:rsidR="00EA3E3D">
      <w:t>OLDING COMPANY LUGANSKVUGILLYA</w:t>
    </w:r>
    <w:r>
      <w:t xml:space="preserve"> v. </w:t>
    </w:r>
    <w:smartTag w:uri="urn:schemas-microsoft-com:office:smarttags" w:element="place">
      <w:smartTag w:uri="urn:schemas-microsoft-com:office:smarttags" w:element="country-region">
        <w:r>
          <w:t>UKRAINE</w:t>
        </w:r>
      </w:smartTag>
    </w:smartTag>
    <w:r>
      <w:t xml:space="preserve"> </w:t>
    </w:r>
    <w:r>
      <w:rPr>
        <w:noProof/>
      </w:rPr>
      <w:t>DECISION</w:t>
    </w:r>
  </w:p>
  <w:p w:rsidR="00F62B3B" w:rsidRPr="00C93530" w:rsidRDefault="00F62B3B">
    <w:pPr>
      <w:pStyle w:val="JuHeader"/>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B3B" w:rsidRDefault="00F62B3B">
    <w:pPr>
      <w:pStyle w:val="JuHeader"/>
      <w:rPr>
        <w:rStyle w:val="PageNumber"/>
      </w:rPr>
    </w:pPr>
    <w:r>
      <w:tab/>
      <w:t xml:space="preserve">STATE HOLDING </w:t>
    </w:r>
    <w:r w:rsidR="00EA3E3D">
      <w:t>COMPANY LUGANSKVUGILLYA</w:t>
    </w:r>
    <w:r>
      <w:t xml:space="preserve"> v. </w:t>
    </w:r>
    <w:smartTag w:uri="urn:schemas-microsoft-com:office:smarttags" w:element="place">
      <w:smartTag w:uri="urn:schemas-microsoft-com:office:smarttags" w:element="country-region">
        <w:r>
          <w:t>UKRAINE</w:t>
        </w:r>
      </w:smartTag>
    </w:smartTag>
    <w:r>
      <w:t xml:space="preserve"> </w:t>
    </w:r>
    <w:r>
      <w:rPr>
        <w:noProof/>
      </w:rPr>
      <w:t>DECISION</w:t>
    </w:r>
    <w:r>
      <w:tab/>
    </w:r>
    <w:r>
      <w:rPr>
        <w:rStyle w:val="PageNumber"/>
      </w:rPr>
      <w:fldChar w:fldCharType="begin"/>
    </w:r>
    <w:r>
      <w:rPr>
        <w:rStyle w:val="PageNumber"/>
      </w:rPr>
      <w:instrText xml:space="preserve"> PAGE </w:instrText>
    </w:r>
    <w:r>
      <w:rPr>
        <w:rStyle w:val="PageNumber"/>
      </w:rPr>
      <w:fldChar w:fldCharType="separate"/>
    </w:r>
    <w:r w:rsidR="003F670E">
      <w:rPr>
        <w:rStyle w:val="PageNumber"/>
        <w:noProof/>
      </w:rPr>
      <w:t>5</w:t>
    </w:r>
    <w:r>
      <w:rPr>
        <w:rStyle w:val="PageNumber"/>
      </w:rPr>
      <w:fldChar w:fldCharType="end"/>
    </w:r>
  </w:p>
  <w:p w:rsidR="00F62B3B" w:rsidRPr="00C231CA" w:rsidRDefault="00F62B3B">
    <w:pPr>
      <w:pStyle w:val="JuHeader"/>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B3B" w:rsidRDefault="00F62B3B">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F62B3B" w:rsidRDefault="00F62B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5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94EE0"/>
    <w:rsid w:val="0000306B"/>
    <w:rsid w:val="000036C0"/>
    <w:rsid w:val="0001130F"/>
    <w:rsid w:val="000138E4"/>
    <w:rsid w:val="00013C36"/>
    <w:rsid w:val="00013EBB"/>
    <w:rsid w:val="00016A6F"/>
    <w:rsid w:val="000205A6"/>
    <w:rsid w:val="00024FE0"/>
    <w:rsid w:val="00027DD2"/>
    <w:rsid w:val="00030FC0"/>
    <w:rsid w:val="0003105A"/>
    <w:rsid w:val="00041016"/>
    <w:rsid w:val="00043557"/>
    <w:rsid w:val="0004608A"/>
    <w:rsid w:val="00060C97"/>
    <w:rsid w:val="00061337"/>
    <w:rsid w:val="0006208D"/>
    <w:rsid w:val="00062D68"/>
    <w:rsid w:val="00063236"/>
    <w:rsid w:val="0006339A"/>
    <w:rsid w:val="0007011F"/>
    <w:rsid w:val="00073322"/>
    <w:rsid w:val="000756A7"/>
    <w:rsid w:val="0007650D"/>
    <w:rsid w:val="00077500"/>
    <w:rsid w:val="0008129C"/>
    <w:rsid w:val="000821C7"/>
    <w:rsid w:val="00082A91"/>
    <w:rsid w:val="00084314"/>
    <w:rsid w:val="00084EB3"/>
    <w:rsid w:val="0009007F"/>
    <w:rsid w:val="000903F6"/>
    <w:rsid w:val="0009164C"/>
    <w:rsid w:val="00093A7D"/>
    <w:rsid w:val="00094926"/>
    <w:rsid w:val="00095949"/>
    <w:rsid w:val="0009738D"/>
    <w:rsid w:val="00097948"/>
    <w:rsid w:val="000A09CC"/>
    <w:rsid w:val="000A30C6"/>
    <w:rsid w:val="000A7F1E"/>
    <w:rsid w:val="000B0FB6"/>
    <w:rsid w:val="000B1152"/>
    <w:rsid w:val="000B11A0"/>
    <w:rsid w:val="000B2E1B"/>
    <w:rsid w:val="000B3BDA"/>
    <w:rsid w:val="000B5C98"/>
    <w:rsid w:val="000B5FE4"/>
    <w:rsid w:val="000B75A7"/>
    <w:rsid w:val="000B75E1"/>
    <w:rsid w:val="000C0155"/>
    <w:rsid w:val="000C277B"/>
    <w:rsid w:val="000C32E5"/>
    <w:rsid w:val="000C3938"/>
    <w:rsid w:val="000C3E69"/>
    <w:rsid w:val="000C6FDF"/>
    <w:rsid w:val="000C7B97"/>
    <w:rsid w:val="000D7342"/>
    <w:rsid w:val="000E3536"/>
    <w:rsid w:val="000E62C8"/>
    <w:rsid w:val="000E64CE"/>
    <w:rsid w:val="000F04B2"/>
    <w:rsid w:val="000F1F86"/>
    <w:rsid w:val="000F2573"/>
    <w:rsid w:val="000F53B5"/>
    <w:rsid w:val="000F6FD2"/>
    <w:rsid w:val="000F737C"/>
    <w:rsid w:val="000F77B9"/>
    <w:rsid w:val="00100608"/>
    <w:rsid w:val="00101533"/>
    <w:rsid w:val="0010172F"/>
    <w:rsid w:val="0010427D"/>
    <w:rsid w:val="0010498E"/>
    <w:rsid w:val="001058D1"/>
    <w:rsid w:val="00106A49"/>
    <w:rsid w:val="00107930"/>
    <w:rsid w:val="00110E0A"/>
    <w:rsid w:val="001111B5"/>
    <w:rsid w:val="0011356B"/>
    <w:rsid w:val="00117F69"/>
    <w:rsid w:val="00120613"/>
    <w:rsid w:val="00123EB7"/>
    <w:rsid w:val="00125656"/>
    <w:rsid w:val="00126686"/>
    <w:rsid w:val="00130128"/>
    <w:rsid w:val="00131028"/>
    <w:rsid w:val="001321A0"/>
    <w:rsid w:val="001331DF"/>
    <w:rsid w:val="0013538B"/>
    <w:rsid w:val="00135CAA"/>
    <w:rsid w:val="0014069A"/>
    <w:rsid w:val="00140B73"/>
    <w:rsid w:val="00145ABE"/>
    <w:rsid w:val="00151DCD"/>
    <w:rsid w:val="00152FD5"/>
    <w:rsid w:val="001536DF"/>
    <w:rsid w:val="00153851"/>
    <w:rsid w:val="0015737A"/>
    <w:rsid w:val="001613ED"/>
    <w:rsid w:val="00161FAA"/>
    <w:rsid w:val="0016263C"/>
    <w:rsid w:val="00162B89"/>
    <w:rsid w:val="001679D7"/>
    <w:rsid w:val="00173E44"/>
    <w:rsid w:val="00175146"/>
    <w:rsid w:val="00185E37"/>
    <w:rsid w:val="00186EA8"/>
    <w:rsid w:val="001874F0"/>
    <w:rsid w:val="001928BE"/>
    <w:rsid w:val="00194369"/>
    <w:rsid w:val="0019498E"/>
    <w:rsid w:val="00195344"/>
    <w:rsid w:val="00196E10"/>
    <w:rsid w:val="0019777A"/>
    <w:rsid w:val="00197D97"/>
    <w:rsid w:val="001A3AA5"/>
    <w:rsid w:val="001A6D22"/>
    <w:rsid w:val="001A74F8"/>
    <w:rsid w:val="001B00E2"/>
    <w:rsid w:val="001B2149"/>
    <w:rsid w:val="001B315E"/>
    <w:rsid w:val="001B35AC"/>
    <w:rsid w:val="001B4072"/>
    <w:rsid w:val="001C1420"/>
    <w:rsid w:val="001C217E"/>
    <w:rsid w:val="001C22AC"/>
    <w:rsid w:val="001C3FBF"/>
    <w:rsid w:val="001C4A6F"/>
    <w:rsid w:val="001C68B0"/>
    <w:rsid w:val="001C6EBE"/>
    <w:rsid w:val="001C731D"/>
    <w:rsid w:val="001D0F68"/>
    <w:rsid w:val="001D6422"/>
    <w:rsid w:val="001D752D"/>
    <w:rsid w:val="001E4161"/>
    <w:rsid w:val="001F48EE"/>
    <w:rsid w:val="001F4910"/>
    <w:rsid w:val="001F5BA8"/>
    <w:rsid w:val="001F61EE"/>
    <w:rsid w:val="001F6D1F"/>
    <w:rsid w:val="00201836"/>
    <w:rsid w:val="00203CCB"/>
    <w:rsid w:val="00204274"/>
    <w:rsid w:val="002056BF"/>
    <w:rsid w:val="002124C8"/>
    <w:rsid w:val="0021363F"/>
    <w:rsid w:val="002154A2"/>
    <w:rsid w:val="0021630C"/>
    <w:rsid w:val="00217A01"/>
    <w:rsid w:val="0022255C"/>
    <w:rsid w:val="00227880"/>
    <w:rsid w:val="002305C1"/>
    <w:rsid w:val="002313BF"/>
    <w:rsid w:val="00232CA2"/>
    <w:rsid w:val="00233C79"/>
    <w:rsid w:val="002345F9"/>
    <w:rsid w:val="00234CA2"/>
    <w:rsid w:val="002358F0"/>
    <w:rsid w:val="00237F2D"/>
    <w:rsid w:val="0024027B"/>
    <w:rsid w:val="00245B87"/>
    <w:rsid w:val="00252076"/>
    <w:rsid w:val="002557DD"/>
    <w:rsid w:val="00262B93"/>
    <w:rsid w:val="002642FA"/>
    <w:rsid w:val="0026522E"/>
    <w:rsid w:val="00265936"/>
    <w:rsid w:val="00266239"/>
    <w:rsid w:val="00273B4C"/>
    <w:rsid w:val="00276E2E"/>
    <w:rsid w:val="0028013C"/>
    <w:rsid w:val="002803BB"/>
    <w:rsid w:val="002811AD"/>
    <w:rsid w:val="002811EF"/>
    <w:rsid w:val="00281E61"/>
    <w:rsid w:val="0028358A"/>
    <w:rsid w:val="00286617"/>
    <w:rsid w:val="00291DCA"/>
    <w:rsid w:val="002947DA"/>
    <w:rsid w:val="002953DA"/>
    <w:rsid w:val="002959D3"/>
    <w:rsid w:val="00296EFC"/>
    <w:rsid w:val="002A4E2E"/>
    <w:rsid w:val="002A5141"/>
    <w:rsid w:val="002A5BD8"/>
    <w:rsid w:val="002B533C"/>
    <w:rsid w:val="002C3176"/>
    <w:rsid w:val="002C43DB"/>
    <w:rsid w:val="002C7592"/>
    <w:rsid w:val="002C7BA4"/>
    <w:rsid w:val="002D0170"/>
    <w:rsid w:val="002D062F"/>
    <w:rsid w:val="002D11AB"/>
    <w:rsid w:val="002D1CEF"/>
    <w:rsid w:val="002D21C5"/>
    <w:rsid w:val="002D3B4C"/>
    <w:rsid w:val="002D7E31"/>
    <w:rsid w:val="002E0737"/>
    <w:rsid w:val="002E33FB"/>
    <w:rsid w:val="002E5E3B"/>
    <w:rsid w:val="002F043B"/>
    <w:rsid w:val="002F0D82"/>
    <w:rsid w:val="002F0DDE"/>
    <w:rsid w:val="002F1818"/>
    <w:rsid w:val="002F3DFE"/>
    <w:rsid w:val="002F4388"/>
    <w:rsid w:val="002F61F0"/>
    <w:rsid w:val="00300EB0"/>
    <w:rsid w:val="0030236E"/>
    <w:rsid w:val="00302CD1"/>
    <w:rsid w:val="00312468"/>
    <w:rsid w:val="00314E49"/>
    <w:rsid w:val="003159DB"/>
    <w:rsid w:val="00315E8B"/>
    <w:rsid w:val="00315F95"/>
    <w:rsid w:val="00316853"/>
    <w:rsid w:val="0031755A"/>
    <w:rsid w:val="00321DFD"/>
    <w:rsid w:val="00322259"/>
    <w:rsid w:val="0032297E"/>
    <w:rsid w:val="0033034E"/>
    <w:rsid w:val="00330512"/>
    <w:rsid w:val="00331997"/>
    <w:rsid w:val="003367D9"/>
    <w:rsid w:val="00336AC7"/>
    <w:rsid w:val="00341786"/>
    <w:rsid w:val="00341A8F"/>
    <w:rsid w:val="00342F85"/>
    <w:rsid w:val="00344DD9"/>
    <w:rsid w:val="003454C7"/>
    <w:rsid w:val="00347F47"/>
    <w:rsid w:val="003526E6"/>
    <w:rsid w:val="00352B32"/>
    <w:rsid w:val="003609B9"/>
    <w:rsid w:val="00372C42"/>
    <w:rsid w:val="00376203"/>
    <w:rsid w:val="0038585A"/>
    <w:rsid w:val="003861DD"/>
    <w:rsid w:val="00386D31"/>
    <w:rsid w:val="00387BF5"/>
    <w:rsid w:val="00391E69"/>
    <w:rsid w:val="00393FCF"/>
    <w:rsid w:val="003B6F08"/>
    <w:rsid w:val="003C0DF8"/>
    <w:rsid w:val="003C2865"/>
    <w:rsid w:val="003C3434"/>
    <w:rsid w:val="003C5A64"/>
    <w:rsid w:val="003C779E"/>
    <w:rsid w:val="003D180D"/>
    <w:rsid w:val="003D2C17"/>
    <w:rsid w:val="003D46C6"/>
    <w:rsid w:val="003E4754"/>
    <w:rsid w:val="003F405F"/>
    <w:rsid w:val="003F50B5"/>
    <w:rsid w:val="003F670E"/>
    <w:rsid w:val="003F69F3"/>
    <w:rsid w:val="004045FB"/>
    <w:rsid w:val="004064EB"/>
    <w:rsid w:val="00406811"/>
    <w:rsid w:val="00407A4A"/>
    <w:rsid w:val="00410E42"/>
    <w:rsid w:val="00415EA8"/>
    <w:rsid w:val="0042451E"/>
    <w:rsid w:val="00424ECC"/>
    <w:rsid w:val="004253FF"/>
    <w:rsid w:val="00425F44"/>
    <w:rsid w:val="00426533"/>
    <w:rsid w:val="004339D7"/>
    <w:rsid w:val="004410CA"/>
    <w:rsid w:val="00442398"/>
    <w:rsid w:val="00443187"/>
    <w:rsid w:val="00447431"/>
    <w:rsid w:val="0045092C"/>
    <w:rsid w:val="00452DE2"/>
    <w:rsid w:val="00456644"/>
    <w:rsid w:val="00456FE4"/>
    <w:rsid w:val="004605A5"/>
    <w:rsid w:val="00461000"/>
    <w:rsid w:val="00462000"/>
    <w:rsid w:val="004637A0"/>
    <w:rsid w:val="00464403"/>
    <w:rsid w:val="00473499"/>
    <w:rsid w:val="0047471B"/>
    <w:rsid w:val="00474D1F"/>
    <w:rsid w:val="004751F1"/>
    <w:rsid w:val="004757C2"/>
    <w:rsid w:val="004759E1"/>
    <w:rsid w:val="004850E0"/>
    <w:rsid w:val="00485135"/>
    <w:rsid w:val="00490C91"/>
    <w:rsid w:val="00491956"/>
    <w:rsid w:val="00492021"/>
    <w:rsid w:val="0049599F"/>
    <w:rsid w:val="00495E76"/>
    <w:rsid w:val="004A2F91"/>
    <w:rsid w:val="004A3438"/>
    <w:rsid w:val="004A3788"/>
    <w:rsid w:val="004A387F"/>
    <w:rsid w:val="004A5CBD"/>
    <w:rsid w:val="004B06B8"/>
    <w:rsid w:val="004B51A3"/>
    <w:rsid w:val="004B5AD2"/>
    <w:rsid w:val="004B753F"/>
    <w:rsid w:val="004C2DD8"/>
    <w:rsid w:val="004C4FEA"/>
    <w:rsid w:val="004D129C"/>
    <w:rsid w:val="004D3F3C"/>
    <w:rsid w:val="004D7003"/>
    <w:rsid w:val="004D7F7C"/>
    <w:rsid w:val="004E0311"/>
    <w:rsid w:val="004E0863"/>
    <w:rsid w:val="004E2DBC"/>
    <w:rsid w:val="004E3169"/>
    <w:rsid w:val="004E4370"/>
    <w:rsid w:val="004E4607"/>
    <w:rsid w:val="004E56A2"/>
    <w:rsid w:val="004E7424"/>
    <w:rsid w:val="004E7F6E"/>
    <w:rsid w:val="004F0B88"/>
    <w:rsid w:val="004F1395"/>
    <w:rsid w:val="004F26DB"/>
    <w:rsid w:val="004F2965"/>
    <w:rsid w:val="004F35EF"/>
    <w:rsid w:val="004F4346"/>
    <w:rsid w:val="004F610C"/>
    <w:rsid w:val="004F6863"/>
    <w:rsid w:val="00501783"/>
    <w:rsid w:val="00502459"/>
    <w:rsid w:val="005033D0"/>
    <w:rsid w:val="00506256"/>
    <w:rsid w:val="005075B6"/>
    <w:rsid w:val="00507D1F"/>
    <w:rsid w:val="00510706"/>
    <w:rsid w:val="00510C53"/>
    <w:rsid w:val="00511B88"/>
    <w:rsid w:val="00513D1C"/>
    <w:rsid w:val="005178B6"/>
    <w:rsid w:val="00520AB8"/>
    <w:rsid w:val="005230E9"/>
    <w:rsid w:val="0052327F"/>
    <w:rsid w:val="0052411A"/>
    <w:rsid w:val="00524273"/>
    <w:rsid w:val="00524BFA"/>
    <w:rsid w:val="005259C0"/>
    <w:rsid w:val="00527669"/>
    <w:rsid w:val="0053014B"/>
    <w:rsid w:val="0053078C"/>
    <w:rsid w:val="00530DB2"/>
    <w:rsid w:val="00531B3B"/>
    <w:rsid w:val="00533B58"/>
    <w:rsid w:val="00534938"/>
    <w:rsid w:val="00536115"/>
    <w:rsid w:val="00540B75"/>
    <w:rsid w:val="0054199A"/>
    <w:rsid w:val="00545251"/>
    <w:rsid w:val="00551A89"/>
    <w:rsid w:val="00552A35"/>
    <w:rsid w:val="00554129"/>
    <w:rsid w:val="005554F6"/>
    <w:rsid w:val="00556483"/>
    <w:rsid w:val="005601BA"/>
    <w:rsid w:val="00562938"/>
    <w:rsid w:val="0056316A"/>
    <w:rsid w:val="00564AE0"/>
    <w:rsid w:val="00566718"/>
    <w:rsid w:val="00567444"/>
    <w:rsid w:val="00567914"/>
    <w:rsid w:val="00567FB5"/>
    <w:rsid w:val="00570A44"/>
    <w:rsid w:val="00573FFF"/>
    <w:rsid w:val="00581466"/>
    <w:rsid w:val="00581B9F"/>
    <w:rsid w:val="0058292B"/>
    <w:rsid w:val="00582D43"/>
    <w:rsid w:val="00587228"/>
    <w:rsid w:val="00587E5D"/>
    <w:rsid w:val="0059101C"/>
    <w:rsid w:val="00592B15"/>
    <w:rsid w:val="005942C8"/>
    <w:rsid w:val="00595907"/>
    <w:rsid w:val="00597A42"/>
    <w:rsid w:val="00597EA8"/>
    <w:rsid w:val="005A01A1"/>
    <w:rsid w:val="005A7610"/>
    <w:rsid w:val="005B0EA4"/>
    <w:rsid w:val="005B3079"/>
    <w:rsid w:val="005B325D"/>
    <w:rsid w:val="005B3A1A"/>
    <w:rsid w:val="005B41A0"/>
    <w:rsid w:val="005B51C0"/>
    <w:rsid w:val="005C27C5"/>
    <w:rsid w:val="005C3739"/>
    <w:rsid w:val="005C62E5"/>
    <w:rsid w:val="005C7F43"/>
    <w:rsid w:val="005D58FF"/>
    <w:rsid w:val="005D70A1"/>
    <w:rsid w:val="005E47E2"/>
    <w:rsid w:val="005E4A4E"/>
    <w:rsid w:val="005E5AB9"/>
    <w:rsid w:val="005E665D"/>
    <w:rsid w:val="005F04FC"/>
    <w:rsid w:val="005F29B4"/>
    <w:rsid w:val="005F465B"/>
    <w:rsid w:val="005F4E76"/>
    <w:rsid w:val="00600F1F"/>
    <w:rsid w:val="00602A21"/>
    <w:rsid w:val="006032BC"/>
    <w:rsid w:val="00615695"/>
    <w:rsid w:val="00615E5F"/>
    <w:rsid w:val="00620220"/>
    <w:rsid w:val="00626125"/>
    <w:rsid w:val="00630CAA"/>
    <w:rsid w:val="00631E9A"/>
    <w:rsid w:val="00631F15"/>
    <w:rsid w:val="00635EF1"/>
    <w:rsid w:val="00637693"/>
    <w:rsid w:val="0064528B"/>
    <w:rsid w:val="0064713C"/>
    <w:rsid w:val="006473E4"/>
    <w:rsid w:val="0065647F"/>
    <w:rsid w:val="0065768E"/>
    <w:rsid w:val="006578E1"/>
    <w:rsid w:val="00657BA3"/>
    <w:rsid w:val="006642B8"/>
    <w:rsid w:val="006716AF"/>
    <w:rsid w:val="00671A4D"/>
    <w:rsid w:val="006757C9"/>
    <w:rsid w:val="006804F5"/>
    <w:rsid w:val="00680FFF"/>
    <w:rsid w:val="00682A35"/>
    <w:rsid w:val="00683886"/>
    <w:rsid w:val="00686F78"/>
    <w:rsid w:val="00687AF8"/>
    <w:rsid w:val="006902C3"/>
    <w:rsid w:val="00692BE1"/>
    <w:rsid w:val="006931E1"/>
    <w:rsid w:val="00693289"/>
    <w:rsid w:val="00693AC3"/>
    <w:rsid w:val="006945F6"/>
    <w:rsid w:val="0069673D"/>
    <w:rsid w:val="006A4097"/>
    <w:rsid w:val="006A5945"/>
    <w:rsid w:val="006B1D4D"/>
    <w:rsid w:val="006B1E59"/>
    <w:rsid w:val="006B43C2"/>
    <w:rsid w:val="006C3311"/>
    <w:rsid w:val="006C3D30"/>
    <w:rsid w:val="006C57F7"/>
    <w:rsid w:val="006D0032"/>
    <w:rsid w:val="006D12C8"/>
    <w:rsid w:val="006D17E3"/>
    <w:rsid w:val="006D6190"/>
    <w:rsid w:val="006E1D58"/>
    <w:rsid w:val="006E242F"/>
    <w:rsid w:val="006E7E1C"/>
    <w:rsid w:val="006F2A55"/>
    <w:rsid w:val="006F4CD4"/>
    <w:rsid w:val="006F5084"/>
    <w:rsid w:val="006F5A28"/>
    <w:rsid w:val="006F65D3"/>
    <w:rsid w:val="00701C9A"/>
    <w:rsid w:val="00704230"/>
    <w:rsid w:val="0071142E"/>
    <w:rsid w:val="00713EED"/>
    <w:rsid w:val="00722896"/>
    <w:rsid w:val="00723845"/>
    <w:rsid w:val="00723E3B"/>
    <w:rsid w:val="007243AC"/>
    <w:rsid w:val="00732E1B"/>
    <w:rsid w:val="00732FBE"/>
    <w:rsid w:val="00733A1A"/>
    <w:rsid w:val="007349DB"/>
    <w:rsid w:val="0073583F"/>
    <w:rsid w:val="00740C46"/>
    <w:rsid w:val="0074140A"/>
    <w:rsid w:val="00746DD3"/>
    <w:rsid w:val="0075794A"/>
    <w:rsid w:val="00760926"/>
    <w:rsid w:val="007627D6"/>
    <w:rsid w:val="00763D7D"/>
    <w:rsid w:val="00764B67"/>
    <w:rsid w:val="0076630B"/>
    <w:rsid w:val="00766380"/>
    <w:rsid w:val="007675AA"/>
    <w:rsid w:val="007729D9"/>
    <w:rsid w:val="00776FDB"/>
    <w:rsid w:val="00777952"/>
    <w:rsid w:val="00777B86"/>
    <w:rsid w:val="00780F33"/>
    <w:rsid w:val="00785D72"/>
    <w:rsid w:val="007911B8"/>
    <w:rsid w:val="00795FFA"/>
    <w:rsid w:val="007A183F"/>
    <w:rsid w:val="007A2F75"/>
    <w:rsid w:val="007A3742"/>
    <w:rsid w:val="007A4D0A"/>
    <w:rsid w:val="007A6150"/>
    <w:rsid w:val="007A6A0A"/>
    <w:rsid w:val="007B24BE"/>
    <w:rsid w:val="007B3056"/>
    <w:rsid w:val="007B36D4"/>
    <w:rsid w:val="007B6A87"/>
    <w:rsid w:val="007B6E2F"/>
    <w:rsid w:val="007B7B82"/>
    <w:rsid w:val="007B7F26"/>
    <w:rsid w:val="007D059F"/>
    <w:rsid w:val="007D0EF2"/>
    <w:rsid w:val="007D2C31"/>
    <w:rsid w:val="007E6EF7"/>
    <w:rsid w:val="007F344A"/>
    <w:rsid w:val="007F36E9"/>
    <w:rsid w:val="007F59C2"/>
    <w:rsid w:val="007F5BD7"/>
    <w:rsid w:val="008048C9"/>
    <w:rsid w:val="0080496D"/>
    <w:rsid w:val="00807D83"/>
    <w:rsid w:val="008134FF"/>
    <w:rsid w:val="008136A3"/>
    <w:rsid w:val="00814FC7"/>
    <w:rsid w:val="00817F82"/>
    <w:rsid w:val="00821355"/>
    <w:rsid w:val="00821D99"/>
    <w:rsid w:val="008246F6"/>
    <w:rsid w:val="00833BA1"/>
    <w:rsid w:val="00834C6D"/>
    <w:rsid w:val="0083597B"/>
    <w:rsid w:val="00835A2C"/>
    <w:rsid w:val="008419DB"/>
    <w:rsid w:val="00845EA1"/>
    <w:rsid w:val="008462B7"/>
    <w:rsid w:val="00850FB5"/>
    <w:rsid w:val="00865932"/>
    <w:rsid w:val="00866B16"/>
    <w:rsid w:val="0087009E"/>
    <w:rsid w:val="00873F04"/>
    <w:rsid w:val="008759DB"/>
    <w:rsid w:val="008774FB"/>
    <w:rsid w:val="00880007"/>
    <w:rsid w:val="00881309"/>
    <w:rsid w:val="00882A6D"/>
    <w:rsid w:val="00885023"/>
    <w:rsid w:val="00890D0D"/>
    <w:rsid w:val="00891C1D"/>
    <w:rsid w:val="008925C5"/>
    <w:rsid w:val="00896236"/>
    <w:rsid w:val="008968FD"/>
    <w:rsid w:val="008A0137"/>
    <w:rsid w:val="008A0EDB"/>
    <w:rsid w:val="008A2F62"/>
    <w:rsid w:val="008A3A2D"/>
    <w:rsid w:val="008A3D97"/>
    <w:rsid w:val="008A5798"/>
    <w:rsid w:val="008B0D13"/>
    <w:rsid w:val="008B3347"/>
    <w:rsid w:val="008B369B"/>
    <w:rsid w:val="008B36BA"/>
    <w:rsid w:val="008B55E6"/>
    <w:rsid w:val="008E206E"/>
    <w:rsid w:val="008E27F4"/>
    <w:rsid w:val="008E5DC8"/>
    <w:rsid w:val="008E6ABC"/>
    <w:rsid w:val="008E7413"/>
    <w:rsid w:val="008F39A0"/>
    <w:rsid w:val="008F438F"/>
    <w:rsid w:val="008F7551"/>
    <w:rsid w:val="008F79C9"/>
    <w:rsid w:val="009017BB"/>
    <w:rsid w:val="00911F42"/>
    <w:rsid w:val="00912D40"/>
    <w:rsid w:val="00914CFE"/>
    <w:rsid w:val="00915F93"/>
    <w:rsid w:val="00916FF6"/>
    <w:rsid w:val="009179F4"/>
    <w:rsid w:val="00922995"/>
    <w:rsid w:val="0092472D"/>
    <w:rsid w:val="009310A8"/>
    <w:rsid w:val="0093181D"/>
    <w:rsid w:val="00934575"/>
    <w:rsid w:val="00934E06"/>
    <w:rsid w:val="0093584D"/>
    <w:rsid w:val="0094054F"/>
    <w:rsid w:val="00941909"/>
    <w:rsid w:val="00943B5D"/>
    <w:rsid w:val="00944603"/>
    <w:rsid w:val="0094538D"/>
    <w:rsid w:val="00952DC8"/>
    <w:rsid w:val="00955322"/>
    <w:rsid w:val="00955CC9"/>
    <w:rsid w:val="009568AE"/>
    <w:rsid w:val="00970265"/>
    <w:rsid w:val="00971918"/>
    <w:rsid w:val="009735CA"/>
    <w:rsid w:val="00973610"/>
    <w:rsid w:val="00973971"/>
    <w:rsid w:val="00974959"/>
    <w:rsid w:val="009753CA"/>
    <w:rsid w:val="00980388"/>
    <w:rsid w:val="009856C4"/>
    <w:rsid w:val="00987186"/>
    <w:rsid w:val="009913F5"/>
    <w:rsid w:val="00997651"/>
    <w:rsid w:val="00997F8B"/>
    <w:rsid w:val="009A169D"/>
    <w:rsid w:val="009A68DA"/>
    <w:rsid w:val="009A6FF8"/>
    <w:rsid w:val="009A7D42"/>
    <w:rsid w:val="009B07D6"/>
    <w:rsid w:val="009B202C"/>
    <w:rsid w:val="009B3D00"/>
    <w:rsid w:val="009B566B"/>
    <w:rsid w:val="009B76A6"/>
    <w:rsid w:val="009C0157"/>
    <w:rsid w:val="009C0A9F"/>
    <w:rsid w:val="009C2AF3"/>
    <w:rsid w:val="009D0B3E"/>
    <w:rsid w:val="009D56F2"/>
    <w:rsid w:val="009D6274"/>
    <w:rsid w:val="009D7144"/>
    <w:rsid w:val="009E3945"/>
    <w:rsid w:val="009E554F"/>
    <w:rsid w:val="009E59EE"/>
    <w:rsid w:val="009F342B"/>
    <w:rsid w:val="009F699E"/>
    <w:rsid w:val="009F70C8"/>
    <w:rsid w:val="009F7E84"/>
    <w:rsid w:val="00A00840"/>
    <w:rsid w:val="00A0157E"/>
    <w:rsid w:val="00A05736"/>
    <w:rsid w:val="00A06E08"/>
    <w:rsid w:val="00A105D5"/>
    <w:rsid w:val="00A132B9"/>
    <w:rsid w:val="00A174F0"/>
    <w:rsid w:val="00A209A5"/>
    <w:rsid w:val="00A21D69"/>
    <w:rsid w:val="00A22219"/>
    <w:rsid w:val="00A22A75"/>
    <w:rsid w:val="00A25EDB"/>
    <w:rsid w:val="00A26CE3"/>
    <w:rsid w:val="00A30284"/>
    <w:rsid w:val="00A31D64"/>
    <w:rsid w:val="00A43D1F"/>
    <w:rsid w:val="00A46773"/>
    <w:rsid w:val="00A468DA"/>
    <w:rsid w:val="00A50448"/>
    <w:rsid w:val="00A516DB"/>
    <w:rsid w:val="00A5180E"/>
    <w:rsid w:val="00A5395D"/>
    <w:rsid w:val="00A552F9"/>
    <w:rsid w:val="00A558CB"/>
    <w:rsid w:val="00A57F5C"/>
    <w:rsid w:val="00A61715"/>
    <w:rsid w:val="00A66DF4"/>
    <w:rsid w:val="00A7288A"/>
    <w:rsid w:val="00A73630"/>
    <w:rsid w:val="00A74D65"/>
    <w:rsid w:val="00A750DC"/>
    <w:rsid w:val="00A76138"/>
    <w:rsid w:val="00A8124B"/>
    <w:rsid w:val="00A81926"/>
    <w:rsid w:val="00A8589A"/>
    <w:rsid w:val="00A904AD"/>
    <w:rsid w:val="00A94BF6"/>
    <w:rsid w:val="00A97263"/>
    <w:rsid w:val="00AA7DBA"/>
    <w:rsid w:val="00AB54DF"/>
    <w:rsid w:val="00AC3BFD"/>
    <w:rsid w:val="00AC5F4E"/>
    <w:rsid w:val="00AC62EF"/>
    <w:rsid w:val="00AC6739"/>
    <w:rsid w:val="00AD758E"/>
    <w:rsid w:val="00AE24E2"/>
    <w:rsid w:val="00AE6358"/>
    <w:rsid w:val="00AF05D8"/>
    <w:rsid w:val="00AF30D5"/>
    <w:rsid w:val="00B01AA1"/>
    <w:rsid w:val="00B02CC9"/>
    <w:rsid w:val="00B034FC"/>
    <w:rsid w:val="00B03713"/>
    <w:rsid w:val="00B06CCD"/>
    <w:rsid w:val="00B06FA0"/>
    <w:rsid w:val="00B07E3A"/>
    <w:rsid w:val="00B10789"/>
    <w:rsid w:val="00B13BC6"/>
    <w:rsid w:val="00B24413"/>
    <w:rsid w:val="00B317BA"/>
    <w:rsid w:val="00B31FC1"/>
    <w:rsid w:val="00B337F7"/>
    <w:rsid w:val="00B339B0"/>
    <w:rsid w:val="00B33DC0"/>
    <w:rsid w:val="00B34171"/>
    <w:rsid w:val="00B402C9"/>
    <w:rsid w:val="00B41D79"/>
    <w:rsid w:val="00B5191F"/>
    <w:rsid w:val="00B54554"/>
    <w:rsid w:val="00B54E51"/>
    <w:rsid w:val="00B57F68"/>
    <w:rsid w:val="00B60D17"/>
    <w:rsid w:val="00B610AB"/>
    <w:rsid w:val="00B62A3E"/>
    <w:rsid w:val="00B63C9C"/>
    <w:rsid w:val="00B67217"/>
    <w:rsid w:val="00B7144B"/>
    <w:rsid w:val="00B84CF3"/>
    <w:rsid w:val="00B902CD"/>
    <w:rsid w:val="00B950FC"/>
    <w:rsid w:val="00B96CE5"/>
    <w:rsid w:val="00BA1B1E"/>
    <w:rsid w:val="00BA2EA4"/>
    <w:rsid w:val="00BA4F9F"/>
    <w:rsid w:val="00BA56E6"/>
    <w:rsid w:val="00BA64FC"/>
    <w:rsid w:val="00BB5B5C"/>
    <w:rsid w:val="00BB6222"/>
    <w:rsid w:val="00BB696C"/>
    <w:rsid w:val="00BB7EE1"/>
    <w:rsid w:val="00BC0279"/>
    <w:rsid w:val="00BC10A9"/>
    <w:rsid w:val="00BC2164"/>
    <w:rsid w:val="00BD4241"/>
    <w:rsid w:val="00BD45DB"/>
    <w:rsid w:val="00BD6950"/>
    <w:rsid w:val="00BE29AE"/>
    <w:rsid w:val="00BE388E"/>
    <w:rsid w:val="00BF12E8"/>
    <w:rsid w:val="00BF2D11"/>
    <w:rsid w:val="00BF42B6"/>
    <w:rsid w:val="00C00777"/>
    <w:rsid w:val="00C02195"/>
    <w:rsid w:val="00C04031"/>
    <w:rsid w:val="00C05699"/>
    <w:rsid w:val="00C07281"/>
    <w:rsid w:val="00C14D01"/>
    <w:rsid w:val="00C151ED"/>
    <w:rsid w:val="00C152AF"/>
    <w:rsid w:val="00C15F94"/>
    <w:rsid w:val="00C16655"/>
    <w:rsid w:val="00C17318"/>
    <w:rsid w:val="00C21E9D"/>
    <w:rsid w:val="00C23621"/>
    <w:rsid w:val="00C24A13"/>
    <w:rsid w:val="00C328A8"/>
    <w:rsid w:val="00C35993"/>
    <w:rsid w:val="00C41FD5"/>
    <w:rsid w:val="00C52219"/>
    <w:rsid w:val="00C52A33"/>
    <w:rsid w:val="00C560D1"/>
    <w:rsid w:val="00C567AD"/>
    <w:rsid w:val="00C602BA"/>
    <w:rsid w:val="00C61571"/>
    <w:rsid w:val="00C62558"/>
    <w:rsid w:val="00C62740"/>
    <w:rsid w:val="00C62B2E"/>
    <w:rsid w:val="00C6425D"/>
    <w:rsid w:val="00C66002"/>
    <w:rsid w:val="00C66595"/>
    <w:rsid w:val="00C70660"/>
    <w:rsid w:val="00C70A7A"/>
    <w:rsid w:val="00C73716"/>
    <w:rsid w:val="00C765C5"/>
    <w:rsid w:val="00C772A7"/>
    <w:rsid w:val="00C84A0C"/>
    <w:rsid w:val="00C856FE"/>
    <w:rsid w:val="00C92B52"/>
    <w:rsid w:val="00C95B8F"/>
    <w:rsid w:val="00C95BE1"/>
    <w:rsid w:val="00C96664"/>
    <w:rsid w:val="00C9701D"/>
    <w:rsid w:val="00C97E64"/>
    <w:rsid w:val="00CA211C"/>
    <w:rsid w:val="00CA4ACF"/>
    <w:rsid w:val="00CA5310"/>
    <w:rsid w:val="00CA5593"/>
    <w:rsid w:val="00CA7B7F"/>
    <w:rsid w:val="00CB0C01"/>
    <w:rsid w:val="00CB3260"/>
    <w:rsid w:val="00CB4FA4"/>
    <w:rsid w:val="00CB5615"/>
    <w:rsid w:val="00CB5F38"/>
    <w:rsid w:val="00CB6B1C"/>
    <w:rsid w:val="00CC1B32"/>
    <w:rsid w:val="00CC25D2"/>
    <w:rsid w:val="00CC41C7"/>
    <w:rsid w:val="00CC67C4"/>
    <w:rsid w:val="00CC7D59"/>
    <w:rsid w:val="00CD5735"/>
    <w:rsid w:val="00CE3CDD"/>
    <w:rsid w:val="00CE6055"/>
    <w:rsid w:val="00CE6429"/>
    <w:rsid w:val="00CE6926"/>
    <w:rsid w:val="00CF26A4"/>
    <w:rsid w:val="00D00BD5"/>
    <w:rsid w:val="00D01953"/>
    <w:rsid w:val="00D0211F"/>
    <w:rsid w:val="00D07A31"/>
    <w:rsid w:val="00D1269D"/>
    <w:rsid w:val="00D1594A"/>
    <w:rsid w:val="00D16A70"/>
    <w:rsid w:val="00D20A07"/>
    <w:rsid w:val="00D21BDD"/>
    <w:rsid w:val="00D22897"/>
    <w:rsid w:val="00D34111"/>
    <w:rsid w:val="00D40E44"/>
    <w:rsid w:val="00D411EF"/>
    <w:rsid w:val="00D42815"/>
    <w:rsid w:val="00D44641"/>
    <w:rsid w:val="00D521A7"/>
    <w:rsid w:val="00D5553C"/>
    <w:rsid w:val="00D601D4"/>
    <w:rsid w:val="00D61833"/>
    <w:rsid w:val="00D61D7C"/>
    <w:rsid w:val="00D62388"/>
    <w:rsid w:val="00D626CC"/>
    <w:rsid w:val="00D635AF"/>
    <w:rsid w:val="00D65740"/>
    <w:rsid w:val="00D65820"/>
    <w:rsid w:val="00D6755A"/>
    <w:rsid w:val="00D67E0C"/>
    <w:rsid w:val="00D70914"/>
    <w:rsid w:val="00D71D34"/>
    <w:rsid w:val="00D728FF"/>
    <w:rsid w:val="00D748A2"/>
    <w:rsid w:val="00D759D4"/>
    <w:rsid w:val="00D770DE"/>
    <w:rsid w:val="00D82F12"/>
    <w:rsid w:val="00D838E8"/>
    <w:rsid w:val="00D83FF8"/>
    <w:rsid w:val="00D85D3F"/>
    <w:rsid w:val="00D878F6"/>
    <w:rsid w:val="00D92597"/>
    <w:rsid w:val="00D9260E"/>
    <w:rsid w:val="00D92D60"/>
    <w:rsid w:val="00D94EE0"/>
    <w:rsid w:val="00D963CA"/>
    <w:rsid w:val="00D96CBB"/>
    <w:rsid w:val="00DA3281"/>
    <w:rsid w:val="00DA5B78"/>
    <w:rsid w:val="00DB506F"/>
    <w:rsid w:val="00DD27AE"/>
    <w:rsid w:val="00DD4158"/>
    <w:rsid w:val="00DD732B"/>
    <w:rsid w:val="00DE0C03"/>
    <w:rsid w:val="00DE1982"/>
    <w:rsid w:val="00DE5A24"/>
    <w:rsid w:val="00DE703A"/>
    <w:rsid w:val="00DE7EB1"/>
    <w:rsid w:val="00DF1136"/>
    <w:rsid w:val="00DF133F"/>
    <w:rsid w:val="00DF1678"/>
    <w:rsid w:val="00DF1A9C"/>
    <w:rsid w:val="00DF33EF"/>
    <w:rsid w:val="00DF3E9D"/>
    <w:rsid w:val="00DF3EBE"/>
    <w:rsid w:val="00DF4AA9"/>
    <w:rsid w:val="00DF4B7B"/>
    <w:rsid w:val="00DF4EAB"/>
    <w:rsid w:val="00DF526B"/>
    <w:rsid w:val="00DF7D9D"/>
    <w:rsid w:val="00E00D9D"/>
    <w:rsid w:val="00E03041"/>
    <w:rsid w:val="00E04FFC"/>
    <w:rsid w:val="00E110F9"/>
    <w:rsid w:val="00E13759"/>
    <w:rsid w:val="00E14FEB"/>
    <w:rsid w:val="00E21227"/>
    <w:rsid w:val="00E224CC"/>
    <w:rsid w:val="00E22714"/>
    <w:rsid w:val="00E2488D"/>
    <w:rsid w:val="00E32D03"/>
    <w:rsid w:val="00E32E0A"/>
    <w:rsid w:val="00E42B64"/>
    <w:rsid w:val="00E43ACA"/>
    <w:rsid w:val="00E44982"/>
    <w:rsid w:val="00E4676B"/>
    <w:rsid w:val="00E4679A"/>
    <w:rsid w:val="00E5037A"/>
    <w:rsid w:val="00E50979"/>
    <w:rsid w:val="00E52668"/>
    <w:rsid w:val="00E55B45"/>
    <w:rsid w:val="00E56C48"/>
    <w:rsid w:val="00E56CB8"/>
    <w:rsid w:val="00E620E9"/>
    <w:rsid w:val="00E647E3"/>
    <w:rsid w:val="00E64AA5"/>
    <w:rsid w:val="00E65C3A"/>
    <w:rsid w:val="00E724DE"/>
    <w:rsid w:val="00E7741A"/>
    <w:rsid w:val="00E775AE"/>
    <w:rsid w:val="00E80800"/>
    <w:rsid w:val="00E826C0"/>
    <w:rsid w:val="00E827D2"/>
    <w:rsid w:val="00E827E6"/>
    <w:rsid w:val="00E92977"/>
    <w:rsid w:val="00E939C1"/>
    <w:rsid w:val="00E950E6"/>
    <w:rsid w:val="00E95909"/>
    <w:rsid w:val="00EA1A78"/>
    <w:rsid w:val="00EA3E3D"/>
    <w:rsid w:val="00EA4071"/>
    <w:rsid w:val="00EA697E"/>
    <w:rsid w:val="00EA6E77"/>
    <w:rsid w:val="00EB32E3"/>
    <w:rsid w:val="00EB3A63"/>
    <w:rsid w:val="00EB4669"/>
    <w:rsid w:val="00EB4A47"/>
    <w:rsid w:val="00EB5AF3"/>
    <w:rsid w:val="00EC0594"/>
    <w:rsid w:val="00EC5D71"/>
    <w:rsid w:val="00ED0141"/>
    <w:rsid w:val="00ED19C0"/>
    <w:rsid w:val="00ED1EB0"/>
    <w:rsid w:val="00ED5BF2"/>
    <w:rsid w:val="00ED7212"/>
    <w:rsid w:val="00ED75F2"/>
    <w:rsid w:val="00EE0F6F"/>
    <w:rsid w:val="00EE16BD"/>
    <w:rsid w:val="00EE373C"/>
    <w:rsid w:val="00EE3AA0"/>
    <w:rsid w:val="00EE3AB4"/>
    <w:rsid w:val="00EE52ED"/>
    <w:rsid w:val="00EE6774"/>
    <w:rsid w:val="00EF1058"/>
    <w:rsid w:val="00EF18E6"/>
    <w:rsid w:val="00EF399F"/>
    <w:rsid w:val="00EF3DB9"/>
    <w:rsid w:val="00F00FD3"/>
    <w:rsid w:val="00F148D7"/>
    <w:rsid w:val="00F14AB2"/>
    <w:rsid w:val="00F243A4"/>
    <w:rsid w:val="00F33544"/>
    <w:rsid w:val="00F35715"/>
    <w:rsid w:val="00F35D41"/>
    <w:rsid w:val="00F36B74"/>
    <w:rsid w:val="00F3772D"/>
    <w:rsid w:val="00F50313"/>
    <w:rsid w:val="00F519CF"/>
    <w:rsid w:val="00F51C22"/>
    <w:rsid w:val="00F554BA"/>
    <w:rsid w:val="00F56757"/>
    <w:rsid w:val="00F57FE4"/>
    <w:rsid w:val="00F60F50"/>
    <w:rsid w:val="00F62B3B"/>
    <w:rsid w:val="00F62F8D"/>
    <w:rsid w:val="00F64703"/>
    <w:rsid w:val="00F6480D"/>
    <w:rsid w:val="00F655E1"/>
    <w:rsid w:val="00F66A50"/>
    <w:rsid w:val="00F67794"/>
    <w:rsid w:val="00F70B90"/>
    <w:rsid w:val="00F72409"/>
    <w:rsid w:val="00F725D7"/>
    <w:rsid w:val="00F72D94"/>
    <w:rsid w:val="00F738E6"/>
    <w:rsid w:val="00F73E9A"/>
    <w:rsid w:val="00F81080"/>
    <w:rsid w:val="00F82204"/>
    <w:rsid w:val="00F82985"/>
    <w:rsid w:val="00F85309"/>
    <w:rsid w:val="00F9253D"/>
    <w:rsid w:val="00F97469"/>
    <w:rsid w:val="00FA0279"/>
    <w:rsid w:val="00FA0368"/>
    <w:rsid w:val="00FA110B"/>
    <w:rsid w:val="00FA25A4"/>
    <w:rsid w:val="00FA6A32"/>
    <w:rsid w:val="00FB18EB"/>
    <w:rsid w:val="00FB5EB6"/>
    <w:rsid w:val="00FC302F"/>
    <w:rsid w:val="00FC32EE"/>
    <w:rsid w:val="00FC453E"/>
    <w:rsid w:val="00FC710B"/>
    <w:rsid w:val="00FC7236"/>
    <w:rsid w:val="00FD1375"/>
    <w:rsid w:val="00FD3333"/>
    <w:rsid w:val="00FE04B8"/>
    <w:rsid w:val="00FE32F0"/>
    <w:rsid w:val="00FE33DB"/>
    <w:rsid w:val="00FE71F4"/>
    <w:rsid w:val="00FF134E"/>
    <w:rsid w:val="00FF1C9D"/>
    <w:rsid w:val="00FF23EE"/>
    <w:rsid w:val="00FF2DA5"/>
    <w:rsid w:val="00FF55A7"/>
    <w:rsid w:val="00FF59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EE0"/>
    <w:pPr>
      <w:suppressAutoHyphens/>
    </w:pPr>
    <w:rPr>
      <w:sz w:val="24"/>
      <w:lang w:val="en-GB" w:eastAsia="fr-FR"/>
    </w:rPr>
  </w:style>
  <w:style w:type="paragraph" w:styleId="Heading1">
    <w:name w:val="heading 1"/>
    <w:basedOn w:val="Normal"/>
    <w:next w:val="Normal"/>
    <w:qFormat/>
    <w:rsid w:val="00D94EE0"/>
    <w:pPr>
      <w:keepNext/>
      <w:spacing w:before="360" w:after="240"/>
      <w:jc w:val="center"/>
      <w:outlineLvl w:val="0"/>
    </w:pPr>
    <w:rPr>
      <w:b/>
      <w:sz w:val="28"/>
    </w:rPr>
  </w:style>
  <w:style w:type="paragraph" w:styleId="Heading2">
    <w:name w:val="heading 2"/>
    <w:basedOn w:val="Normal"/>
    <w:next w:val="Normal"/>
    <w:qFormat/>
    <w:rsid w:val="00D94EE0"/>
    <w:pPr>
      <w:keepNext/>
      <w:spacing w:before="240" w:after="120"/>
      <w:ind w:left="284" w:hanging="284"/>
      <w:outlineLvl w:val="1"/>
    </w:pPr>
    <w:rPr>
      <w:b/>
    </w:rPr>
  </w:style>
  <w:style w:type="paragraph" w:styleId="Heading3">
    <w:name w:val="heading 3"/>
    <w:basedOn w:val="Normal"/>
    <w:next w:val="Normal"/>
    <w:qFormat/>
    <w:rsid w:val="00D94EE0"/>
    <w:pPr>
      <w:keepNext/>
      <w:spacing w:before="120" w:after="60"/>
      <w:ind w:left="1418" w:hanging="851"/>
      <w:outlineLvl w:val="2"/>
    </w:pPr>
    <w:rPr>
      <w:i/>
    </w:rPr>
  </w:style>
  <w:style w:type="character" w:default="1" w:styleId="DefaultParagraphFont">
    <w:name w:val="Default Paragraph Font"/>
    <w:semiHidden/>
    <w:rsid w:val="00D94EE0"/>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D94EE0"/>
  </w:style>
  <w:style w:type="paragraph" w:customStyle="1" w:styleId="JuPara">
    <w:name w:val="Ju_Para"/>
    <w:basedOn w:val="Normal"/>
    <w:link w:val="JuParaCar"/>
    <w:rsid w:val="00D94EE0"/>
    <w:pPr>
      <w:ind w:firstLine="284"/>
      <w:jc w:val="both"/>
    </w:pPr>
  </w:style>
  <w:style w:type="paragraph" w:customStyle="1" w:styleId="JuCase">
    <w:name w:val="Ju_Case"/>
    <w:basedOn w:val="JuPara"/>
    <w:next w:val="JuPara"/>
    <w:rsid w:val="00D94EE0"/>
    <w:rPr>
      <w:b/>
    </w:rPr>
  </w:style>
  <w:style w:type="paragraph" w:customStyle="1" w:styleId="JuJudges">
    <w:name w:val="Ju_Judges"/>
    <w:basedOn w:val="Normal"/>
    <w:link w:val="JuJudgesChar"/>
    <w:rsid w:val="00D94EE0"/>
    <w:pPr>
      <w:tabs>
        <w:tab w:val="left" w:pos="567"/>
        <w:tab w:val="left" w:pos="1134"/>
      </w:tabs>
    </w:pPr>
  </w:style>
  <w:style w:type="paragraph" w:customStyle="1" w:styleId="JuCourt">
    <w:name w:val="Ju_Court"/>
    <w:basedOn w:val="JuJudges"/>
    <w:rsid w:val="00D94EE0"/>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D94EE0"/>
    <w:pPr>
      <w:keepNext/>
      <w:keepLines/>
      <w:spacing w:before="720" w:after="240"/>
      <w:jc w:val="both"/>
    </w:pPr>
    <w:rPr>
      <w:sz w:val="28"/>
    </w:rPr>
  </w:style>
  <w:style w:type="paragraph" w:customStyle="1" w:styleId="JuHIRoman">
    <w:name w:val="Ju_H_I_Roman"/>
    <w:basedOn w:val="JuHHead"/>
    <w:next w:val="JuPara"/>
    <w:rsid w:val="00D94EE0"/>
    <w:pPr>
      <w:tabs>
        <w:tab w:val="left" w:pos="357"/>
      </w:tabs>
      <w:spacing w:before="360"/>
      <w:ind w:left="357" w:hanging="357"/>
    </w:pPr>
    <w:rPr>
      <w:sz w:val="24"/>
    </w:rPr>
  </w:style>
  <w:style w:type="paragraph" w:customStyle="1" w:styleId="JuHA">
    <w:name w:val="Ju_H_A"/>
    <w:basedOn w:val="JuHIRoman"/>
    <w:next w:val="JuPara"/>
    <w:rsid w:val="00D94EE0"/>
    <w:pPr>
      <w:tabs>
        <w:tab w:val="clear" w:pos="357"/>
        <w:tab w:val="left" w:pos="584"/>
      </w:tabs>
      <w:ind w:left="584" w:hanging="352"/>
    </w:pPr>
    <w:rPr>
      <w:b/>
    </w:rPr>
  </w:style>
  <w:style w:type="paragraph" w:customStyle="1" w:styleId="JuHa0">
    <w:name w:val="Ju_H_a"/>
    <w:basedOn w:val="JuH1"/>
    <w:next w:val="JuPara"/>
    <w:rsid w:val="00D94EE0"/>
    <w:pPr>
      <w:tabs>
        <w:tab w:val="clear" w:pos="731"/>
        <w:tab w:val="left" w:pos="975"/>
      </w:tabs>
      <w:ind w:left="975" w:hanging="340"/>
    </w:pPr>
    <w:rPr>
      <w:b/>
      <w:i w:val="0"/>
      <w:sz w:val="20"/>
    </w:rPr>
  </w:style>
  <w:style w:type="paragraph" w:customStyle="1" w:styleId="JuH1">
    <w:name w:val="Ju_H_1."/>
    <w:basedOn w:val="JuHA"/>
    <w:next w:val="JuPara"/>
    <w:rsid w:val="00D94EE0"/>
    <w:pPr>
      <w:tabs>
        <w:tab w:val="clear" w:pos="584"/>
        <w:tab w:val="left" w:pos="731"/>
      </w:tabs>
      <w:spacing w:before="240" w:after="120"/>
      <w:ind w:left="732" w:hanging="301"/>
    </w:pPr>
    <w:rPr>
      <w:b w:val="0"/>
      <w:i/>
    </w:rPr>
  </w:style>
  <w:style w:type="paragraph" w:customStyle="1" w:styleId="JuHi">
    <w:name w:val="Ju_H_i"/>
    <w:basedOn w:val="JuHa0"/>
    <w:next w:val="JuPara"/>
    <w:rsid w:val="00D94EE0"/>
    <w:pPr>
      <w:tabs>
        <w:tab w:val="clear" w:pos="975"/>
        <w:tab w:val="left" w:pos="1191"/>
      </w:tabs>
      <w:ind w:left="1190" w:hanging="357"/>
    </w:pPr>
    <w:rPr>
      <w:b w:val="0"/>
      <w:i/>
    </w:rPr>
  </w:style>
  <w:style w:type="paragraph" w:customStyle="1" w:styleId="JuHalpha">
    <w:name w:val="Ju_H_alpha"/>
    <w:basedOn w:val="JuHi"/>
    <w:next w:val="JuPara"/>
    <w:rsid w:val="00D94EE0"/>
    <w:pPr>
      <w:tabs>
        <w:tab w:val="clear" w:pos="1191"/>
        <w:tab w:val="left" w:pos="1372"/>
      </w:tabs>
      <w:ind w:left="1373" w:hanging="335"/>
    </w:pPr>
    <w:rPr>
      <w:i w:val="0"/>
    </w:rPr>
  </w:style>
  <w:style w:type="paragraph" w:customStyle="1" w:styleId="JuH">
    <w:name w:val="Ju_H_–"/>
    <w:basedOn w:val="JuHalpha"/>
    <w:next w:val="JuPara"/>
    <w:rsid w:val="00D94EE0"/>
    <w:pPr>
      <w:tabs>
        <w:tab w:val="clear" w:pos="1372"/>
      </w:tabs>
      <w:ind w:left="1236" w:firstLine="0"/>
    </w:pPr>
    <w:rPr>
      <w:i/>
    </w:rPr>
  </w:style>
  <w:style w:type="paragraph" w:customStyle="1" w:styleId="JuHeader">
    <w:name w:val="Ju_Header"/>
    <w:basedOn w:val="Header"/>
    <w:rsid w:val="00D94EE0"/>
  </w:style>
  <w:style w:type="paragraph" w:styleId="Header">
    <w:name w:val="header"/>
    <w:basedOn w:val="Normal"/>
    <w:rsid w:val="00D94EE0"/>
    <w:pPr>
      <w:tabs>
        <w:tab w:val="center" w:pos="3686"/>
        <w:tab w:val="right" w:pos="7371"/>
      </w:tabs>
    </w:pPr>
    <w:rPr>
      <w:sz w:val="18"/>
    </w:rPr>
  </w:style>
  <w:style w:type="paragraph" w:customStyle="1" w:styleId="PJuPara">
    <w:name w:val="P_Ju_Para"/>
    <w:basedOn w:val="Normal"/>
    <w:rsid w:val="00D94EE0"/>
    <w:pPr>
      <w:ind w:firstLine="284"/>
      <w:jc w:val="both"/>
    </w:pPr>
  </w:style>
  <w:style w:type="paragraph" w:customStyle="1" w:styleId="JuSigned">
    <w:name w:val="Ju_Signed"/>
    <w:basedOn w:val="Normal"/>
    <w:next w:val="JuParaLast"/>
    <w:link w:val="JuSignedChar"/>
    <w:rsid w:val="00D94EE0"/>
    <w:pPr>
      <w:tabs>
        <w:tab w:val="center" w:pos="851"/>
        <w:tab w:val="center" w:pos="6407"/>
      </w:tabs>
      <w:spacing w:before="720"/>
    </w:pPr>
  </w:style>
  <w:style w:type="paragraph" w:customStyle="1" w:styleId="JuParaLast">
    <w:name w:val="Ju_Para_Last"/>
    <w:basedOn w:val="JuPara"/>
    <w:next w:val="JuPara"/>
    <w:rsid w:val="00D94EE0"/>
    <w:pPr>
      <w:keepNext/>
      <w:keepLines/>
      <w:spacing w:before="240"/>
    </w:pPr>
  </w:style>
  <w:style w:type="paragraph" w:customStyle="1" w:styleId="JuInitialled">
    <w:name w:val="Ju_Initialled"/>
    <w:basedOn w:val="JuSigned"/>
    <w:rsid w:val="00D94EE0"/>
    <w:pPr>
      <w:tabs>
        <w:tab w:val="clear" w:pos="851"/>
      </w:tabs>
      <w:jc w:val="right"/>
    </w:pPr>
  </w:style>
  <w:style w:type="paragraph" w:customStyle="1" w:styleId="JuList">
    <w:name w:val="Ju_List"/>
    <w:basedOn w:val="JuPara"/>
    <w:rsid w:val="00D94EE0"/>
    <w:pPr>
      <w:ind w:left="340" w:hanging="340"/>
    </w:pPr>
  </w:style>
  <w:style w:type="paragraph" w:customStyle="1" w:styleId="JuLista">
    <w:name w:val="Ju_List_a"/>
    <w:basedOn w:val="JuList"/>
    <w:rsid w:val="00D94EE0"/>
    <w:pPr>
      <w:ind w:left="346" w:firstLine="0"/>
    </w:pPr>
  </w:style>
  <w:style w:type="paragraph" w:customStyle="1" w:styleId="JuListi">
    <w:name w:val="Ju_List_i"/>
    <w:basedOn w:val="JuLista"/>
    <w:rsid w:val="00D94EE0"/>
    <w:pPr>
      <w:ind w:left="794"/>
    </w:pPr>
  </w:style>
  <w:style w:type="character" w:styleId="FootnoteReference">
    <w:name w:val="footnote reference"/>
    <w:basedOn w:val="DefaultParagraphFont"/>
    <w:semiHidden/>
    <w:rsid w:val="00D94EE0"/>
    <w:rPr>
      <w:vertAlign w:val="superscript"/>
    </w:rPr>
  </w:style>
  <w:style w:type="paragraph" w:customStyle="1" w:styleId="JuQuot">
    <w:name w:val="Ju_Quot"/>
    <w:basedOn w:val="JuPara"/>
    <w:rsid w:val="00D94EE0"/>
    <w:pPr>
      <w:spacing w:before="120" w:after="120"/>
      <w:ind w:left="425" w:firstLine="142"/>
    </w:pPr>
    <w:rPr>
      <w:sz w:val="20"/>
    </w:rPr>
  </w:style>
  <w:style w:type="paragraph" w:customStyle="1" w:styleId="PJuQuot">
    <w:name w:val="P_Ju_Quot"/>
    <w:basedOn w:val="Normal"/>
    <w:rsid w:val="00D94EE0"/>
    <w:pPr>
      <w:spacing w:before="120" w:after="120"/>
      <w:ind w:left="403" w:firstLine="176"/>
      <w:jc w:val="both"/>
    </w:pPr>
    <w:rPr>
      <w:sz w:val="20"/>
    </w:rPr>
  </w:style>
  <w:style w:type="paragraph" w:customStyle="1" w:styleId="OpiPara">
    <w:name w:val="Opi_Para"/>
    <w:basedOn w:val="JuPara"/>
    <w:rsid w:val="00D94EE0"/>
  </w:style>
  <w:style w:type="paragraph" w:customStyle="1" w:styleId="OpiHA">
    <w:name w:val="Opi_H_A"/>
    <w:basedOn w:val="JuHIRoman"/>
    <w:next w:val="OpiPara"/>
    <w:rsid w:val="00D94EE0"/>
    <w:pPr>
      <w:tabs>
        <w:tab w:val="clear" w:pos="357"/>
      </w:tabs>
    </w:pPr>
    <w:rPr>
      <w:b/>
    </w:rPr>
  </w:style>
  <w:style w:type="paragraph" w:customStyle="1" w:styleId="OpiH1">
    <w:name w:val="Opi_H_1."/>
    <w:basedOn w:val="OpiHA"/>
    <w:next w:val="OpiPara"/>
    <w:rsid w:val="00D94EE0"/>
    <w:pPr>
      <w:spacing w:before="240" w:after="120"/>
      <w:ind w:left="635"/>
    </w:pPr>
    <w:rPr>
      <w:b w:val="0"/>
      <w:i/>
    </w:rPr>
  </w:style>
  <w:style w:type="paragraph" w:customStyle="1" w:styleId="OpiHa0">
    <w:name w:val="Opi_H_a"/>
    <w:basedOn w:val="OpiH1"/>
    <w:next w:val="OpiPara"/>
    <w:rsid w:val="00D94EE0"/>
    <w:pPr>
      <w:ind w:left="834"/>
    </w:pPr>
    <w:rPr>
      <w:b/>
      <w:i w:val="0"/>
      <w:sz w:val="20"/>
    </w:rPr>
  </w:style>
  <w:style w:type="paragraph" w:customStyle="1" w:styleId="OpiHHead">
    <w:name w:val="Opi_H_Head"/>
    <w:basedOn w:val="JuHHead"/>
    <w:next w:val="OpiPara"/>
    <w:rsid w:val="00D94EE0"/>
    <w:pPr>
      <w:spacing w:before="0"/>
      <w:jc w:val="center"/>
    </w:pPr>
  </w:style>
  <w:style w:type="paragraph" w:customStyle="1" w:styleId="OpiTranslation">
    <w:name w:val="Opi_Translation"/>
    <w:basedOn w:val="OpiHHead"/>
    <w:next w:val="OpiPara"/>
    <w:rsid w:val="00D94EE0"/>
    <w:rPr>
      <w:i/>
      <w:sz w:val="24"/>
    </w:rPr>
  </w:style>
  <w:style w:type="paragraph" w:customStyle="1" w:styleId="OpiHi">
    <w:name w:val="Opi_H_i"/>
    <w:basedOn w:val="OpiHa0"/>
    <w:next w:val="OpiPara"/>
    <w:rsid w:val="00D94EE0"/>
    <w:pPr>
      <w:ind w:left="1038"/>
    </w:pPr>
    <w:rPr>
      <w:b w:val="0"/>
      <w:i/>
    </w:rPr>
  </w:style>
  <w:style w:type="paragraph" w:customStyle="1" w:styleId="PListArticleSubject">
    <w:name w:val="P_List_ArticleSubject"/>
    <w:basedOn w:val="Normal"/>
    <w:rsid w:val="00D94EE0"/>
    <w:pPr>
      <w:tabs>
        <w:tab w:val="left" w:pos="2977"/>
      </w:tabs>
      <w:ind w:left="2977" w:hanging="2977"/>
    </w:pPr>
  </w:style>
  <w:style w:type="paragraph" w:customStyle="1" w:styleId="OpiQuot">
    <w:name w:val="Opi_Quot"/>
    <w:basedOn w:val="JuQuot"/>
    <w:rsid w:val="00D94EE0"/>
  </w:style>
  <w:style w:type="character" w:styleId="PageNumber">
    <w:name w:val="page number"/>
    <w:basedOn w:val="DefaultParagraphFont"/>
    <w:rsid w:val="00D94EE0"/>
    <w:rPr>
      <w:sz w:val="18"/>
    </w:rPr>
  </w:style>
  <w:style w:type="paragraph" w:styleId="FootnoteText">
    <w:name w:val="footnote text"/>
    <w:basedOn w:val="Normal"/>
    <w:semiHidden/>
    <w:rsid w:val="00D94EE0"/>
    <w:pPr>
      <w:jc w:val="both"/>
    </w:pPr>
    <w:rPr>
      <w:sz w:val="20"/>
    </w:rPr>
  </w:style>
  <w:style w:type="paragraph" w:customStyle="1" w:styleId="SuCoverTitle1">
    <w:name w:val="Su_Cover_Title1"/>
    <w:basedOn w:val="Normal"/>
    <w:next w:val="SuCoverTitle2"/>
    <w:rsid w:val="00D94EE0"/>
    <w:pPr>
      <w:spacing w:before="2500"/>
      <w:jc w:val="center"/>
    </w:pPr>
    <w:rPr>
      <w:sz w:val="22"/>
    </w:rPr>
  </w:style>
  <w:style w:type="paragraph" w:customStyle="1" w:styleId="SuCoverTitle2">
    <w:name w:val="Su_Cover_Title2"/>
    <w:basedOn w:val="SuCoverTitle1"/>
    <w:next w:val="Normal"/>
    <w:rsid w:val="00D94EE0"/>
    <w:pPr>
      <w:spacing w:before="240"/>
    </w:pPr>
    <w:rPr>
      <w:sz w:val="18"/>
    </w:rPr>
  </w:style>
  <w:style w:type="paragraph" w:customStyle="1" w:styleId="JuQuotSub">
    <w:name w:val="Ju_Quot_Sub"/>
    <w:basedOn w:val="JuQuot"/>
    <w:rsid w:val="00D94EE0"/>
    <w:pPr>
      <w:ind w:left="567"/>
    </w:pPr>
  </w:style>
  <w:style w:type="paragraph" w:styleId="Footer">
    <w:name w:val="footer"/>
    <w:basedOn w:val="Normal"/>
    <w:rsid w:val="00D94EE0"/>
    <w:pPr>
      <w:tabs>
        <w:tab w:val="center" w:pos="3686"/>
        <w:tab w:val="right" w:pos="7371"/>
      </w:tabs>
    </w:pPr>
    <w:rPr>
      <w:sz w:val="18"/>
    </w:rPr>
  </w:style>
  <w:style w:type="paragraph" w:customStyle="1" w:styleId="SuPara">
    <w:name w:val="Su_Para"/>
    <w:basedOn w:val="SuKeywords"/>
    <w:rsid w:val="00D94EE0"/>
    <w:pPr>
      <w:spacing w:before="0" w:after="0"/>
    </w:pPr>
    <w:rPr>
      <w:i w:val="0"/>
    </w:rPr>
  </w:style>
  <w:style w:type="paragraph" w:customStyle="1" w:styleId="SuKeywords">
    <w:name w:val="Su_Keywords"/>
    <w:basedOn w:val="SuHHead"/>
    <w:rsid w:val="00D94EE0"/>
    <w:pPr>
      <w:spacing w:before="120"/>
    </w:pPr>
    <w:rPr>
      <w:b w:val="0"/>
      <w:i/>
    </w:rPr>
  </w:style>
  <w:style w:type="paragraph" w:customStyle="1" w:styleId="SuHHead">
    <w:name w:val="Su_H_Head"/>
    <w:basedOn w:val="SuSubject"/>
    <w:rsid w:val="00D94EE0"/>
    <w:pPr>
      <w:spacing w:after="120"/>
    </w:pPr>
  </w:style>
  <w:style w:type="paragraph" w:customStyle="1" w:styleId="SuSubject">
    <w:name w:val="Su_Subject"/>
    <w:basedOn w:val="SuSummary"/>
    <w:rsid w:val="00D94EE0"/>
    <w:pPr>
      <w:spacing w:before="360"/>
      <w:jc w:val="both"/>
    </w:pPr>
    <w:rPr>
      <w:b/>
      <w:sz w:val="22"/>
    </w:rPr>
  </w:style>
  <w:style w:type="paragraph" w:customStyle="1" w:styleId="SuSummary">
    <w:name w:val="Su_Summary"/>
    <w:basedOn w:val="Normal"/>
    <w:next w:val="SuSubject"/>
    <w:rsid w:val="00D94EE0"/>
    <w:pPr>
      <w:spacing w:after="240"/>
      <w:jc w:val="center"/>
    </w:pPr>
  </w:style>
  <w:style w:type="paragraph" w:customStyle="1" w:styleId="DecHTitle">
    <w:name w:val="Dec_H_Title"/>
    <w:basedOn w:val="Normal"/>
    <w:rsid w:val="00D94EE0"/>
    <w:pPr>
      <w:spacing w:after="240"/>
      <w:jc w:val="center"/>
    </w:pPr>
    <w:rPr>
      <w:sz w:val="28"/>
    </w:rPr>
  </w:style>
  <w:style w:type="paragraph" w:customStyle="1" w:styleId="DecHCase">
    <w:name w:val="Dec_H_Case"/>
    <w:basedOn w:val="DecHTitle"/>
    <w:next w:val="JuPara"/>
    <w:rsid w:val="00D94EE0"/>
    <w:rPr>
      <w:sz w:val="24"/>
    </w:rPr>
  </w:style>
  <w:style w:type="paragraph" w:customStyle="1" w:styleId="DecList">
    <w:name w:val="Dec_List"/>
    <w:basedOn w:val="Normal"/>
    <w:rsid w:val="00D94EE0"/>
    <w:pPr>
      <w:spacing w:before="240"/>
      <w:ind w:left="284"/>
      <w:jc w:val="both"/>
    </w:pPr>
  </w:style>
  <w:style w:type="paragraph" w:customStyle="1" w:styleId="JuParaSub">
    <w:name w:val="Ju_Para_Sub"/>
    <w:basedOn w:val="JuPara"/>
    <w:rsid w:val="00D94EE0"/>
    <w:pPr>
      <w:ind w:left="284"/>
    </w:pPr>
    <w:rPr>
      <w:szCs w:val="24"/>
    </w:rPr>
  </w:style>
  <w:style w:type="character" w:customStyle="1" w:styleId="JuNames">
    <w:name w:val="Ju_Names"/>
    <w:basedOn w:val="DefaultParagraphFont"/>
    <w:rsid w:val="00D94EE0"/>
    <w:rPr>
      <w:smallCaps/>
    </w:rPr>
  </w:style>
  <w:style w:type="paragraph" w:customStyle="1" w:styleId="PListCaseNo">
    <w:name w:val="P_List_CaseNo"/>
    <w:basedOn w:val="Normal"/>
    <w:rsid w:val="00D94EE0"/>
    <w:pPr>
      <w:tabs>
        <w:tab w:val="left" w:pos="1276"/>
      </w:tabs>
      <w:spacing w:line="288" w:lineRule="auto"/>
      <w:ind w:left="1276" w:hanging="1276"/>
    </w:pPr>
  </w:style>
  <w:style w:type="paragraph" w:customStyle="1" w:styleId="PListCases">
    <w:name w:val="P_List_Cases"/>
    <w:basedOn w:val="Normal"/>
    <w:rsid w:val="00D94EE0"/>
    <w:pPr>
      <w:spacing w:line="288" w:lineRule="auto"/>
    </w:pPr>
  </w:style>
  <w:style w:type="paragraph" w:customStyle="1" w:styleId="PTextIntro">
    <w:name w:val="P_Text_Intro"/>
    <w:basedOn w:val="Normal"/>
    <w:rsid w:val="00D94EE0"/>
    <w:pPr>
      <w:jc w:val="both"/>
    </w:pPr>
    <w:rPr>
      <w:i/>
      <w:sz w:val="20"/>
    </w:rPr>
  </w:style>
  <w:style w:type="paragraph" w:customStyle="1" w:styleId="PTitleCover">
    <w:name w:val="P_Title_Cover"/>
    <w:basedOn w:val="Normal"/>
    <w:rsid w:val="00D94EE0"/>
    <w:pPr>
      <w:spacing w:before="2500"/>
      <w:jc w:val="center"/>
    </w:pPr>
    <w:rPr>
      <w:b/>
      <w:smallCaps/>
      <w:sz w:val="30"/>
    </w:rPr>
  </w:style>
  <w:style w:type="paragraph" w:customStyle="1" w:styleId="PTitle1Alpha">
    <w:name w:val="P_Title1_Alpha"/>
    <w:basedOn w:val="Normal"/>
    <w:next w:val="Normal"/>
    <w:rsid w:val="00D94EE0"/>
    <w:pPr>
      <w:spacing w:after="120"/>
      <w:jc w:val="center"/>
    </w:pPr>
    <w:rPr>
      <w:b/>
      <w:smallCaps/>
      <w:sz w:val="30"/>
    </w:rPr>
  </w:style>
  <w:style w:type="paragraph" w:customStyle="1" w:styleId="PTitle1IndexArticle">
    <w:name w:val="P_Title1_IndexArticle"/>
    <w:basedOn w:val="Normal"/>
    <w:rsid w:val="00D94EE0"/>
    <w:pPr>
      <w:spacing w:after="120"/>
      <w:jc w:val="center"/>
    </w:pPr>
    <w:rPr>
      <w:b/>
      <w:smallCaps/>
      <w:sz w:val="30"/>
    </w:rPr>
  </w:style>
  <w:style w:type="paragraph" w:customStyle="1" w:styleId="PTitle1IndexKey">
    <w:name w:val="P_Title1_IndexKey"/>
    <w:basedOn w:val="Normal"/>
    <w:rsid w:val="00D94EE0"/>
    <w:pPr>
      <w:spacing w:after="600"/>
      <w:jc w:val="center"/>
    </w:pPr>
    <w:rPr>
      <w:b/>
      <w:smallCaps/>
      <w:sz w:val="30"/>
    </w:rPr>
  </w:style>
  <w:style w:type="paragraph" w:customStyle="1" w:styleId="PTitle1Num">
    <w:name w:val="P_Title1_Num"/>
    <w:basedOn w:val="Normal"/>
    <w:next w:val="PListCaseNo"/>
    <w:rsid w:val="00D94EE0"/>
    <w:pPr>
      <w:spacing w:after="720"/>
      <w:jc w:val="center"/>
    </w:pPr>
    <w:rPr>
      <w:b/>
      <w:smallCaps/>
      <w:sz w:val="30"/>
    </w:rPr>
  </w:style>
  <w:style w:type="paragraph" w:customStyle="1" w:styleId="PTitle2Country">
    <w:name w:val="P_Title2_Country"/>
    <w:basedOn w:val="Normal"/>
    <w:next w:val="PListCases"/>
    <w:rsid w:val="00D94EE0"/>
    <w:pPr>
      <w:keepNext/>
      <w:keepLines/>
      <w:spacing w:before="600" w:after="360"/>
    </w:pPr>
    <w:rPr>
      <w:b/>
    </w:rPr>
  </w:style>
  <w:style w:type="paragraph" w:customStyle="1" w:styleId="PTitle2Letters">
    <w:name w:val="P_Title2_Letters"/>
    <w:basedOn w:val="Normal"/>
    <w:next w:val="PListCases"/>
    <w:rsid w:val="00D94EE0"/>
    <w:pPr>
      <w:keepNext/>
      <w:keepLines/>
      <w:spacing w:before="600" w:after="360"/>
    </w:pPr>
    <w:rPr>
      <w:b/>
      <w:sz w:val="28"/>
    </w:rPr>
  </w:style>
  <w:style w:type="paragraph" w:customStyle="1" w:styleId="PTitle2Part">
    <w:name w:val="P_Title2_Part"/>
    <w:basedOn w:val="Normal"/>
    <w:rsid w:val="00D94EE0"/>
    <w:pPr>
      <w:keepNext/>
      <w:keepLines/>
      <w:spacing w:before="600" w:after="240"/>
      <w:jc w:val="center"/>
    </w:pPr>
    <w:rPr>
      <w:b/>
      <w:caps/>
    </w:rPr>
  </w:style>
  <w:style w:type="paragraph" w:customStyle="1" w:styleId="PTitle3Article">
    <w:name w:val="P_Title3_Article"/>
    <w:basedOn w:val="Normal"/>
    <w:rsid w:val="00D94EE0"/>
    <w:pPr>
      <w:keepNext/>
      <w:keepLines/>
      <w:spacing w:before="360" w:after="120"/>
      <w:jc w:val="center"/>
    </w:pPr>
    <w:rPr>
      <w:b/>
      <w:smallCaps/>
      <w:sz w:val="22"/>
    </w:rPr>
  </w:style>
  <w:style w:type="paragraph" w:customStyle="1" w:styleId="PTitle4ArticleSub">
    <w:name w:val="P_Title4_Article_Sub"/>
    <w:basedOn w:val="PTitle3Article"/>
    <w:rsid w:val="00D94EE0"/>
    <w:pPr>
      <w:spacing w:before="240"/>
    </w:pPr>
    <w:rPr>
      <w:smallCaps w:val="0"/>
      <w:sz w:val="20"/>
    </w:rPr>
  </w:style>
  <w:style w:type="paragraph" w:customStyle="1" w:styleId="PTitle5Subject">
    <w:name w:val="P_Title5_Subject"/>
    <w:basedOn w:val="Normal"/>
    <w:rsid w:val="00D94EE0"/>
    <w:pPr>
      <w:keepNext/>
      <w:keepLines/>
      <w:spacing w:before="240" w:after="120"/>
      <w:jc w:val="both"/>
    </w:pPr>
    <w:rPr>
      <w:b/>
      <w:i/>
    </w:rPr>
  </w:style>
  <w:style w:type="paragraph" w:customStyle="1" w:styleId="PTitle6SubjectSub">
    <w:name w:val="P_Title6_Subject_Sub"/>
    <w:basedOn w:val="Normal"/>
    <w:rsid w:val="00D94EE0"/>
    <w:pPr>
      <w:keepNext/>
      <w:keepLines/>
      <w:spacing w:before="240" w:after="120"/>
      <w:ind w:left="284"/>
      <w:jc w:val="both"/>
    </w:pPr>
    <w:rPr>
      <w:b/>
      <w:sz w:val="20"/>
    </w:rPr>
  </w:style>
  <w:style w:type="paragraph" w:customStyle="1" w:styleId="PTitle7CaseName">
    <w:name w:val="P_Title7_CaseName"/>
    <w:basedOn w:val="Normal"/>
    <w:rsid w:val="00D94EE0"/>
    <w:pPr>
      <w:keepLines/>
      <w:spacing w:after="240"/>
      <w:jc w:val="right"/>
    </w:pPr>
    <w:rPr>
      <w:sz w:val="22"/>
    </w:rPr>
  </w:style>
  <w:style w:type="paragraph" w:customStyle="1" w:styleId="JuHArticle">
    <w:name w:val="Ju_H_Article"/>
    <w:basedOn w:val="JuHa0"/>
    <w:next w:val="JuQuot"/>
    <w:rsid w:val="00D94EE0"/>
    <w:pPr>
      <w:ind w:left="0" w:firstLine="0"/>
      <w:jc w:val="center"/>
    </w:pPr>
  </w:style>
  <w:style w:type="paragraph" w:customStyle="1" w:styleId="OpiParaSub">
    <w:name w:val="Opi_Para_Sub"/>
    <w:basedOn w:val="JuParaSub"/>
    <w:rsid w:val="00D94EE0"/>
  </w:style>
  <w:style w:type="paragraph" w:customStyle="1" w:styleId="OpiQuotSub">
    <w:name w:val="Opi_Quot_Sub"/>
    <w:basedOn w:val="JuQuotSub"/>
    <w:rsid w:val="00D94EE0"/>
  </w:style>
  <w:style w:type="paragraph" w:customStyle="1" w:styleId="NormalJustified">
    <w:name w:val="Normal_Justified"/>
    <w:basedOn w:val="Normal"/>
    <w:rsid w:val="00D94EE0"/>
    <w:pPr>
      <w:jc w:val="both"/>
    </w:pPr>
  </w:style>
  <w:style w:type="character" w:customStyle="1" w:styleId="JuJudgesChar">
    <w:name w:val="Ju_Judges Char"/>
    <w:basedOn w:val="DefaultParagraphFont"/>
    <w:link w:val="JuJudges"/>
    <w:rsid w:val="00D94EE0"/>
    <w:rPr>
      <w:sz w:val="24"/>
      <w:lang w:val="en-GB" w:eastAsia="fr-FR" w:bidi="ar-SA"/>
    </w:rPr>
  </w:style>
  <w:style w:type="character" w:customStyle="1" w:styleId="JuSignedChar">
    <w:name w:val="Ju_Signed Char"/>
    <w:basedOn w:val="DefaultParagraphFont"/>
    <w:link w:val="JuSigned"/>
    <w:rsid w:val="00D94EE0"/>
    <w:rPr>
      <w:sz w:val="24"/>
      <w:lang w:val="en-GB" w:eastAsia="fr-FR" w:bidi="ar-SA"/>
    </w:rPr>
  </w:style>
  <w:style w:type="character" w:customStyle="1" w:styleId="JuParaCar">
    <w:name w:val="Ju_Para Car"/>
    <w:basedOn w:val="DefaultParagraphFont"/>
    <w:link w:val="JuPara"/>
    <w:rsid w:val="00D94EE0"/>
    <w:rPr>
      <w:sz w:val="24"/>
      <w:lang w:val="en-GB" w:eastAsia="fr-FR" w:bidi="ar-SA"/>
    </w:rPr>
  </w:style>
  <w:style w:type="character" w:customStyle="1" w:styleId="ju-005fpara--char">
    <w:name w:val="ju-005fpara--char"/>
    <w:basedOn w:val="DefaultParagraphFont"/>
    <w:rsid w:val="00D94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6D0D93-B780-44B1-BAC2-0B289083A132}"/>
</file>

<file path=customXml/itemProps2.xml><?xml version="1.0" encoding="utf-8"?>
<ds:datastoreItem xmlns:ds="http://schemas.openxmlformats.org/officeDocument/2006/customXml" ds:itemID="{093209F0-8FEB-4325-97B7-C3A5D5CBCE1F}"/>
</file>

<file path=customXml/itemProps3.xml><?xml version="1.0" encoding="utf-8"?>
<ds:datastoreItem xmlns:ds="http://schemas.openxmlformats.org/officeDocument/2006/customXml" ds:itemID="{C0C97C07-5AB1-4E95-8E48-B037DDEA7836}"/>
</file>

<file path=docProps/app.xml><?xml version="1.0" encoding="utf-8"?>
<Properties xmlns="http://schemas.openxmlformats.org/officeDocument/2006/extended-properties" xmlns:vt="http://schemas.openxmlformats.org/officeDocument/2006/docPropsVTypes">
  <Template>Normal.dotm</Template>
  <TotalTime>1</TotalTime>
  <Pages>1</Pages>
  <Words>1359</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cp:lastPrinted>2009-01-27T16:29:00Z</cp:lastPrinted>
  <dcterms:created xsi:type="dcterms:W3CDTF">2016-07-27T12:32:00Z</dcterms:created>
  <dcterms:modified xsi:type="dcterms:W3CDTF">2016-07-27T12:32:00Z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