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DCE" w:rsidP="00BC4DCE" w:rsidRDefault="00BC4DCE">
      <w:pPr>
        <w:pStyle w:val="DecHTitle"/>
      </w:pPr>
      <w:bookmarkStart w:name="_GoBack" w:id="0"/>
      <w:bookmarkEnd w:id="0"/>
      <w:r w:rsidRPr="000A3D55">
        <w:t>SECOND SECTION</w:t>
      </w:r>
    </w:p>
    <w:p w:rsidR="00BC4DCE" w:rsidP="00BC4DCE" w:rsidRDefault="00BC4DCE">
      <w:pPr>
        <w:pStyle w:val="DecHTitle"/>
      </w:pPr>
      <w:r>
        <w:t>FINAL DECISION</w:t>
      </w:r>
    </w:p>
    <w:p w:rsidR="00BC4DCE" w:rsidP="00BC4DCE" w:rsidRDefault="00BC4DCE">
      <w:pPr>
        <w:pStyle w:val="DecHTitle"/>
      </w:pPr>
      <w:r>
        <w:t>AS TO THE ADMISSIBILITY OF</w:t>
      </w:r>
    </w:p>
    <w:p w:rsidR="00BC4DCE" w:rsidP="00BC4DCE" w:rsidRDefault="00BC4DCE">
      <w:pPr>
        <w:pStyle w:val="DecHCase"/>
      </w:pPr>
      <w:r w:rsidRPr="000A3D55">
        <w:t>Application no. 28578/03</w:t>
      </w:r>
      <w:r w:rsidRPr="000A3D55">
        <w:br/>
        <w:t>by Ernő SZABÓ</w:t>
      </w:r>
      <w:r w:rsidRPr="000A3D55">
        <w:br/>
        <w:t xml:space="preserve">against </w:t>
      </w:r>
      <w:smartTag w:uri="urn:schemas-microsoft-com:office:smarttags" w:element="place">
        <w:smartTag w:uri="urn:schemas-microsoft-com:office:smarttags" w:element="country-region">
          <w:r w:rsidRPr="000A3D55">
            <w:t>Sweden</w:t>
          </w:r>
        </w:smartTag>
      </w:smartTag>
    </w:p>
    <w:p w:rsidRPr="000A3D55" w:rsidR="00BC4DCE" w:rsidP="00BC4DCE" w:rsidRDefault="00BC4DCE">
      <w:pPr>
        <w:pStyle w:val="JuParaChar"/>
      </w:pPr>
      <w:r w:rsidRPr="000A3D55">
        <w:t xml:space="preserve">The European Court of Human Rights (Second Section), sitting on </w:t>
      </w:r>
      <w:r>
        <w:t>27 June 2006</w:t>
      </w:r>
      <w:r w:rsidRPr="000A3D55">
        <w:t xml:space="preserve"> as a Chamber composed of:</w:t>
      </w:r>
    </w:p>
    <w:p w:rsidRPr="000A3D55" w:rsidR="00BC4DCE" w:rsidP="00BC4DCE" w:rsidRDefault="00BC4DCE">
      <w:pPr>
        <w:pStyle w:val="JuJudges"/>
      </w:pPr>
      <w:r w:rsidRPr="00BC4DCE">
        <w:tab/>
        <w:t>Mr</w:t>
      </w:r>
      <w:r w:rsidRPr="00BC4DCE">
        <w:tab/>
      </w:r>
      <w:r w:rsidRPr="00BC4DCE">
        <w:rPr>
          <w:rStyle w:val="JuNames"/>
        </w:rPr>
        <w:t>J.-P.</w:t>
      </w:r>
      <w:r>
        <w:rPr>
          <w:rStyle w:val="JuNames"/>
        </w:rPr>
        <w:t xml:space="preserve"> </w:t>
      </w:r>
      <w:r w:rsidRPr="00BC4DCE">
        <w:rPr>
          <w:rStyle w:val="JuNames"/>
        </w:rPr>
        <w:t>Costa</w:t>
      </w:r>
      <w:r>
        <w:rPr>
          <w:rStyle w:val="JuNames"/>
        </w:rPr>
        <w:t>,</w:t>
      </w:r>
      <w:r w:rsidRPr="00BC4DCE">
        <w:rPr>
          <w:i/>
        </w:rPr>
        <w:t xml:space="preserve"> President,</w:t>
      </w:r>
      <w:r>
        <w:rPr>
          <w:i/>
        </w:rPr>
        <w:br/>
      </w:r>
      <w:r w:rsidRPr="00BC4DCE">
        <w:tab/>
        <w:t>Mr</w:t>
      </w:r>
      <w:r w:rsidRPr="00BC4DCE">
        <w:tab/>
      </w:r>
      <w:r w:rsidRPr="00BC4DCE">
        <w:rPr>
          <w:rStyle w:val="JuNames"/>
        </w:rPr>
        <w:t>I.</w:t>
      </w:r>
      <w:r>
        <w:rPr>
          <w:rStyle w:val="JuNames"/>
        </w:rPr>
        <w:t xml:space="preserve"> </w:t>
      </w:r>
      <w:r w:rsidRPr="00BC4DCE">
        <w:rPr>
          <w:rStyle w:val="JuNames"/>
        </w:rPr>
        <w:t>Cabral Barreto</w:t>
      </w:r>
      <w:r>
        <w:rPr>
          <w:rStyle w:val="JuNames"/>
        </w:rPr>
        <w:t>,</w:t>
      </w:r>
      <w:r>
        <w:rPr>
          <w:i/>
        </w:rPr>
        <w:br/>
      </w:r>
      <w:r w:rsidRPr="00BC4DCE">
        <w:tab/>
        <w:t>Mr</w:t>
      </w:r>
      <w:r w:rsidRPr="00BC4DCE">
        <w:tab/>
      </w:r>
      <w:r w:rsidRPr="00BC4DCE">
        <w:rPr>
          <w:rStyle w:val="JuNames"/>
        </w:rPr>
        <w:t>R.</w:t>
      </w:r>
      <w:r>
        <w:rPr>
          <w:rStyle w:val="JuNames"/>
        </w:rPr>
        <w:t xml:space="preserve"> </w:t>
      </w:r>
      <w:r w:rsidRPr="00BC4DCE">
        <w:rPr>
          <w:rStyle w:val="JuNames"/>
        </w:rPr>
        <w:t>Türmen</w:t>
      </w:r>
      <w:r>
        <w:rPr>
          <w:rStyle w:val="JuNames"/>
        </w:rPr>
        <w:t>,</w:t>
      </w:r>
      <w:r>
        <w:rPr>
          <w:i/>
        </w:rPr>
        <w:br/>
      </w:r>
      <w:r w:rsidRPr="00BC4DCE">
        <w:tab/>
        <w:t>Mr</w:t>
      </w:r>
      <w:r w:rsidRPr="00BC4DCE">
        <w:tab/>
      </w:r>
      <w:r w:rsidRPr="00BC4DCE">
        <w:rPr>
          <w:rStyle w:val="JuNames"/>
        </w:rPr>
        <w:t>M.</w:t>
      </w:r>
      <w:r>
        <w:rPr>
          <w:rStyle w:val="JuNames"/>
        </w:rPr>
        <w:t xml:space="preserve"> </w:t>
      </w:r>
      <w:r w:rsidRPr="00BC4DCE">
        <w:rPr>
          <w:rStyle w:val="JuNames"/>
        </w:rPr>
        <w:t>Ugrekhelidze</w:t>
      </w:r>
      <w:r>
        <w:rPr>
          <w:rStyle w:val="JuNames"/>
        </w:rPr>
        <w:t>,</w:t>
      </w:r>
      <w:r>
        <w:rPr>
          <w:i/>
        </w:rPr>
        <w:br/>
      </w:r>
      <w:r w:rsidRPr="00BC4DCE">
        <w:tab/>
        <w:t>Mrs</w:t>
      </w:r>
      <w:r w:rsidRPr="00BC4DCE">
        <w:tab/>
      </w:r>
      <w:r w:rsidRPr="00BC4DCE">
        <w:rPr>
          <w:rStyle w:val="JuNames"/>
        </w:rPr>
        <w:t>A.</w:t>
      </w:r>
      <w:r>
        <w:rPr>
          <w:rStyle w:val="JuNames"/>
        </w:rPr>
        <w:t xml:space="preserve"> </w:t>
      </w:r>
      <w:r w:rsidRPr="00BC4DCE">
        <w:rPr>
          <w:rStyle w:val="JuNames"/>
        </w:rPr>
        <w:t>Mularoni</w:t>
      </w:r>
      <w:r>
        <w:rPr>
          <w:rStyle w:val="JuNames"/>
        </w:rPr>
        <w:t>,</w:t>
      </w:r>
      <w:r>
        <w:rPr>
          <w:i/>
        </w:rPr>
        <w:br/>
      </w:r>
      <w:r w:rsidRPr="00BC4DCE">
        <w:tab/>
        <w:t>Mrs</w:t>
      </w:r>
      <w:r w:rsidRPr="00BC4DCE">
        <w:tab/>
      </w:r>
      <w:r w:rsidRPr="00BC4DCE">
        <w:rPr>
          <w:rStyle w:val="JuNames"/>
        </w:rPr>
        <w:t>E.</w:t>
      </w:r>
      <w:r>
        <w:rPr>
          <w:rStyle w:val="JuNames"/>
        </w:rPr>
        <w:t xml:space="preserve"> </w:t>
      </w:r>
      <w:r w:rsidRPr="00BC4DCE">
        <w:rPr>
          <w:rStyle w:val="JuNames"/>
        </w:rPr>
        <w:t>Fura-Sandström</w:t>
      </w:r>
      <w:r>
        <w:rPr>
          <w:rStyle w:val="JuNames"/>
        </w:rPr>
        <w:t>,</w:t>
      </w:r>
      <w:r>
        <w:rPr>
          <w:i/>
        </w:rPr>
        <w:br/>
      </w:r>
      <w:r w:rsidRPr="00BC4DCE">
        <w:tab/>
        <w:t>Mr</w:t>
      </w:r>
      <w:r w:rsidRPr="00BC4DCE">
        <w:tab/>
      </w:r>
      <w:r w:rsidRPr="00BC4DCE">
        <w:rPr>
          <w:rStyle w:val="JuNames"/>
        </w:rPr>
        <w:t>D.</w:t>
      </w:r>
      <w:r>
        <w:rPr>
          <w:rStyle w:val="JuNames"/>
        </w:rPr>
        <w:t xml:space="preserve"> </w:t>
      </w:r>
      <w:r w:rsidRPr="00BC4DCE">
        <w:rPr>
          <w:rStyle w:val="JuNames"/>
        </w:rPr>
        <w:t>Popović</w:t>
      </w:r>
      <w:r>
        <w:rPr>
          <w:rStyle w:val="JuNames"/>
        </w:rPr>
        <w:t>,</w:t>
      </w:r>
      <w:r w:rsidRPr="00BC4DCE">
        <w:rPr>
          <w:i/>
        </w:rPr>
        <w:t xml:space="preserve"> judges,</w:t>
      </w:r>
      <w:r>
        <w:rPr>
          <w:i/>
        </w:rPr>
        <w:br/>
      </w:r>
      <w:r w:rsidRPr="000A3D55">
        <w:t xml:space="preserve">and Mrs </w:t>
      </w:r>
      <w:r w:rsidRPr="000A3D55">
        <w:rPr>
          <w:rStyle w:val="JuNames"/>
        </w:rPr>
        <w:t>S.</w:t>
      </w:r>
      <w:r w:rsidRPr="000A3D55">
        <w:t xml:space="preserve"> </w:t>
      </w:r>
      <w:r w:rsidRPr="000A3D55">
        <w:rPr>
          <w:rStyle w:val="JuNames"/>
        </w:rPr>
        <w:t>Dollé</w:t>
      </w:r>
      <w:r w:rsidRPr="000A3D55">
        <w:t xml:space="preserve">, </w:t>
      </w:r>
      <w:r>
        <w:rPr>
          <w:i/>
        </w:rPr>
        <w:t>Section Regi</w:t>
      </w:r>
      <w:r w:rsidR="002B129A">
        <w:rPr>
          <w:i/>
        </w:rPr>
        <w:t>s</w:t>
      </w:r>
      <w:r w:rsidRPr="000A3D55">
        <w:rPr>
          <w:i/>
        </w:rPr>
        <w:t>trar</w:t>
      </w:r>
      <w:r w:rsidRPr="000A3D55">
        <w:t>,</w:t>
      </w:r>
    </w:p>
    <w:p w:rsidRPr="000A3D55" w:rsidR="00BC4DCE" w:rsidP="00BC4DCE" w:rsidRDefault="00BC4DCE">
      <w:pPr>
        <w:pStyle w:val="JuParaChar"/>
      </w:pPr>
      <w:r w:rsidRPr="000A3D55">
        <w:t xml:space="preserve">Having regard to the above application lodged on </w:t>
      </w:r>
      <w:smartTag w:uri="urn:schemas-microsoft-com:office:smarttags" w:element="date">
        <w:smartTagPr>
          <w:attr w:name="Month" w:val="8"/>
          <w:attr w:name="Day" w:val="26"/>
          <w:attr w:name="Year" w:val="2003"/>
        </w:smartTagPr>
        <w:r w:rsidRPr="000A3D55">
          <w:t>26 August 2003</w:t>
        </w:r>
      </w:smartTag>
      <w:r w:rsidRPr="000A3D55">
        <w:t>,</w:t>
      </w:r>
    </w:p>
    <w:p w:rsidRPr="000A3D55" w:rsidR="00BC4DCE" w:rsidP="00BC4DCE" w:rsidRDefault="00BC4DCE">
      <w:pPr>
        <w:pStyle w:val="JuParaChar"/>
      </w:pPr>
      <w:r w:rsidRPr="000A3D55">
        <w:t xml:space="preserve">Having regard to the partial decision of </w:t>
      </w:r>
      <w:smartTag w:uri="urn:schemas-microsoft-com:office:smarttags" w:element="date">
        <w:smartTagPr>
          <w:attr w:name="Month" w:val="10"/>
          <w:attr w:name="Day" w:val="26"/>
          <w:attr w:name="Year" w:val="2004"/>
        </w:smartTagPr>
        <w:r>
          <w:t>26 October 2004</w:t>
        </w:r>
      </w:smartTag>
      <w:r w:rsidRPr="000A3D55">
        <w:t>,</w:t>
      </w:r>
    </w:p>
    <w:p w:rsidRPr="000A3D55" w:rsidR="00BC4DCE" w:rsidP="00BC4DCE" w:rsidRDefault="00BC4DCE">
      <w:pPr>
        <w:pStyle w:val="JuParaChar"/>
      </w:pPr>
      <w:r w:rsidRPr="000A3D55">
        <w:t>Having regard to the observations submitted by the respondent Government and the observations in reply submitted by the applicant,</w:t>
      </w:r>
    </w:p>
    <w:p w:rsidRPr="000A3D55" w:rsidR="00BC4DCE" w:rsidP="00BC4DCE" w:rsidRDefault="00BC4DCE">
      <w:pPr>
        <w:pStyle w:val="JuParaChar"/>
      </w:pPr>
      <w:r w:rsidRPr="000A3D55">
        <w:t>Having regard to the comments submitted by</w:t>
      </w:r>
      <w:r>
        <w:t xml:space="preserve"> the AIRE Centre, </w:t>
      </w:r>
      <w:smartTag w:uri="urn:schemas-microsoft-com:office:smarttags" w:element="place">
        <w:smartTag w:uri="urn:schemas-microsoft-com:office:smarttags" w:element="City">
          <w:r>
            <w:t>London</w:t>
          </w:r>
        </w:smartTag>
      </w:smartTag>
      <w:r w:rsidRPr="000A3D55">
        <w:t>,</w:t>
      </w:r>
    </w:p>
    <w:p w:rsidRPr="000A3D55" w:rsidR="00BC4DCE" w:rsidP="00BC4DCE" w:rsidRDefault="00BC4DCE">
      <w:pPr>
        <w:pStyle w:val="JuParaChar"/>
      </w:pPr>
      <w:r w:rsidRPr="000A3D55">
        <w:t>Having deliberated, decides as follows:</w:t>
      </w:r>
    </w:p>
    <w:p w:rsidRPr="000A3D55" w:rsidR="00BC4DCE" w:rsidP="00BC4DCE" w:rsidRDefault="00BC4DCE">
      <w:pPr>
        <w:pStyle w:val="JuHHead"/>
      </w:pPr>
      <w:r w:rsidRPr="000A3D55">
        <w:t>THE FACTS</w:t>
      </w:r>
    </w:p>
    <w:p w:rsidRPr="000A3D55" w:rsidR="00BC4DCE" w:rsidP="00BC4DCE" w:rsidRDefault="00BC4DCE">
      <w:pPr>
        <w:pStyle w:val="JuParaChar"/>
      </w:pPr>
      <w:r w:rsidRPr="000A3D55">
        <w:t>The applicant, Mr Ernő Szabó, is a Hungarian national who was born in 1953</w:t>
      </w:r>
      <w:r>
        <w:t>. He is</w:t>
      </w:r>
      <w:r w:rsidRPr="000A3D55">
        <w:t xml:space="preserve"> </w:t>
      </w:r>
      <w:r>
        <w:t xml:space="preserve">currently serving a prison sentence in </w:t>
      </w:r>
      <w:smartTag w:uri="urn:schemas-microsoft-com:office:smarttags" w:element="place">
        <w:smartTag w:uri="urn:schemas-microsoft-com:office:smarttags" w:element="country-region">
          <w:r>
            <w:t>Hungary</w:t>
          </w:r>
        </w:smartTag>
      </w:smartTag>
      <w:r>
        <w:t>.</w:t>
      </w:r>
      <w:r w:rsidRPr="000A3D55">
        <w:t xml:space="preserve"> He </w:t>
      </w:r>
      <w:r>
        <w:t>wa</w:t>
      </w:r>
      <w:r w:rsidRPr="000A3D55">
        <w:t xml:space="preserve">s represented before the Court by Mrs L. Farkas, a lawyer practising in </w:t>
      </w:r>
      <w:smartTag w:uri="urn:schemas-microsoft-com:office:smarttags" w:element="place">
        <w:smartTag w:uri="urn:schemas-microsoft-com:office:smarttags" w:element="City">
          <w:r w:rsidRPr="000A3D55">
            <w:t>Budapest</w:t>
          </w:r>
        </w:smartTag>
      </w:smartTag>
      <w:r w:rsidRPr="000A3D55">
        <w:t xml:space="preserve">. The Swedish Government (“the Government”) </w:t>
      </w:r>
      <w:r>
        <w:t>we</w:t>
      </w:r>
      <w:r w:rsidRPr="000A3D55">
        <w:t xml:space="preserve">re represented by their Agent, Ms </w:t>
      </w:r>
      <w:r>
        <w:t xml:space="preserve">I. Kalmerborn, </w:t>
      </w:r>
      <w:r w:rsidR="00B117FC">
        <w:t xml:space="preserve">of the </w:t>
      </w:r>
      <w:r>
        <w:t xml:space="preserve">Ministry </w:t>
      </w:r>
      <w:r w:rsidR="00B117FC">
        <w:t>of</w:t>
      </w:r>
      <w:r>
        <w:t xml:space="preserve"> Foreign Affairs</w:t>
      </w:r>
      <w:r w:rsidRPr="000A3D55">
        <w:t>.</w:t>
      </w:r>
    </w:p>
    <w:p w:rsidRPr="000A3D55" w:rsidR="00BC4DCE" w:rsidP="00BC4DCE" w:rsidRDefault="00BC4DCE">
      <w:pPr>
        <w:pStyle w:val="JuHA"/>
      </w:pPr>
      <w:r w:rsidRPr="000A3D55">
        <w:t>A.  The circu</w:t>
      </w:r>
      <w:smartTag w:uri="urn:schemas-microsoft-com:office:smarttags" w:element="PersonName">
        <w:r w:rsidRPr="000A3D55">
          <w:t>ms</w:t>
        </w:r>
      </w:smartTag>
      <w:r w:rsidRPr="000A3D55">
        <w:t>tances of the case</w:t>
      </w:r>
    </w:p>
    <w:p w:rsidR="00BC4DCE" w:rsidP="00BC4DCE" w:rsidRDefault="00BC4DCE">
      <w:pPr>
        <w:pStyle w:val="JuParaChar"/>
      </w:pPr>
      <w:r w:rsidRPr="000A3D55">
        <w:t>The facts of the case, as submitted by the parties, may be summarised as follows</w:t>
      </w:r>
      <w:r>
        <w:t>.</w:t>
      </w:r>
    </w:p>
    <w:p w:rsidR="00BC4DCE" w:rsidP="00BC4DCE" w:rsidRDefault="00BC4DCE">
      <w:pPr>
        <w:pStyle w:val="JuParaChar"/>
        <w:keepNext/>
        <w:keepLines/>
      </w:pPr>
      <w:r w:rsidRPr="00BE05B0">
        <w:t xml:space="preserve">On 18 December 2000 the </w:t>
      </w:r>
      <w:r w:rsidRPr="00AF6730" w:rsidR="00B117FC">
        <w:t>Malmö</w:t>
      </w:r>
      <w:r w:rsidR="00B117FC">
        <w:t xml:space="preserve"> </w:t>
      </w:r>
      <w:r>
        <w:t>District Court (</w:t>
      </w:r>
      <w:r w:rsidRPr="00AF6730">
        <w:rPr>
          <w:i/>
        </w:rPr>
        <w:t>tingsrätten</w:t>
      </w:r>
      <w:r w:rsidRPr="00AF6730">
        <w:t xml:space="preserve">) </w:t>
      </w:r>
      <w:r>
        <w:t xml:space="preserve">convicted the </w:t>
      </w:r>
      <w:r w:rsidRPr="00BE05B0">
        <w:t xml:space="preserve">applicant of </w:t>
      </w:r>
      <w:r w:rsidR="00CA4C5A">
        <w:t xml:space="preserve">committing </w:t>
      </w:r>
      <w:r w:rsidRPr="00BE05B0">
        <w:t>a</w:t>
      </w:r>
      <w:r w:rsidR="005436A9">
        <w:t xml:space="preserve"> drugs</w:t>
      </w:r>
      <w:r w:rsidRPr="00BE05B0">
        <w:t xml:space="preserve"> offence</w:t>
      </w:r>
      <w:r w:rsidR="00CA4C5A">
        <w:t xml:space="preserve"> </w:t>
      </w:r>
      <w:r w:rsidR="005436A9">
        <w:t>with aggravating circumstances</w:t>
      </w:r>
      <w:r w:rsidRPr="00BE05B0">
        <w:t xml:space="preserve"> and </w:t>
      </w:r>
      <w:r w:rsidR="00B117FC">
        <w:t xml:space="preserve">of </w:t>
      </w:r>
      <w:r w:rsidRPr="00BE05B0">
        <w:t>attempt</w:t>
      </w:r>
      <w:r w:rsidR="00CA4C5A">
        <w:t>ing to commit a</w:t>
      </w:r>
      <w:r w:rsidR="005436A9">
        <w:t xml:space="preserve"> drug</w:t>
      </w:r>
      <w:r w:rsidRPr="00BE05B0">
        <w:t xml:space="preserve"> </w:t>
      </w:r>
      <w:r>
        <w:t>smuggling</w:t>
      </w:r>
      <w:r w:rsidR="00CA4C5A">
        <w:t xml:space="preserve"> offence</w:t>
      </w:r>
      <w:r>
        <w:t xml:space="preserve"> </w:t>
      </w:r>
      <w:r w:rsidR="005436A9">
        <w:t>with aggravating circumstances</w:t>
      </w:r>
      <w:r w:rsidR="00CA4C5A">
        <w:t xml:space="preserve"> </w:t>
      </w:r>
      <w:r>
        <w:t xml:space="preserve">on 21 </w:t>
      </w:r>
      <w:r w:rsidRPr="00AD0B7A">
        <w:t>September 2000</w:t>
      </w:r>
      <w:r w:rsidR="00B117FC">
        <w:t>,</w:t>
      </w:r>
      <w:r>
        <w:t xml:space="preserve"> and</w:t>
      </w:r>
      <w:r w:rsidRPr="00BE05B0">
        <w:t xml:space="preserve"> sentenced </w:t>
      </w:r>
      <w:r>
        <w:t xml:space="preserve">him </w:t>
      </w:r>
      <w:r w:rsidRPr="00BE05B0">
        <w:t>to ten yea</w:t>
      </w:r>
      <w:r>
        <w:t>rs</w:t>
      </w:r>
      <w:r w:rsidR="004D445B">
        <w:t>’</w:t>
      </w:r>
      <w:r>
        <w:t xml:space="preserve"> imprisonment. The court </w:t>
      </w:r>
      <w:r w:rsidR="005436A9">
        <w:t xml:space="preserve">also </w:t>
      </w:r>
      <w:r>
        <w:t xml:space="preserve">ordered that he </w:t>
      </w:r>
      <w:r w:rsidRPr="00BE05B0">
        <w:t>be</w:t>
      </w:r>
      <w:r w:rsidR="005436A9">
        <w:t xml:space="preserve"> permanently</w:t>
      </w:r>
      <w:r w:rsidRPr="00BE05B0">
        <w:t xml:space="preserve"> expelled </w:t>
      </w:r>
      <w:r>
        <w:t xml:space="preserve">from </w:t>
      </w:r>
      <w:smartTag w:uri="urn:schemas-microsoft-com:office:smarttags" w:element="place">
        <w:smartTag w:uri="urn:schemas-microsoft-com:office:smarttags" w:element="country-region">
          <w:r>
            <w:t>Sweden</w:t>
          </w:r>
        </w:smartTag>
      </w:smartTag>
      <w:r>
        <w:t>.</w:t>
      </w:r>
    </w:p>
    <w:p w:rsidRPr="00BE05B0" w:rsidR="00BC4DCE" w:rsidP="00BC4DCE" w:rsidRDefault="00BC4DCE">
      <w:pPr>
        <w:pStyle w:val="JuParaChar"/>
        <w:keepNext/>
        <w:keepLines/>
      </w:pPr>
      <w:r>
        <w:t xml:space="preserve">On 6 </w:t>
      </w:r>
      <w:r w:rsidRPr="00BE05B0">
        <w:t xml:space="preserve">February 2001 the </w:t>
      </w:r>
      <w:r w:rsidR="00B117FC">
        <w:t xml:space="preserve">Skåne and Blekinge </w:t>
      </w:r>
      <w:r>
        <w:t>Court of Appeal (</w:t>
      </w:r>
      <w:r>
        <w:rPr>
          <w:i/>
        </w:rPr>
        <w:t>h</w:t>
      </w:r>
      <w:r w:rsidRPr="00AF6730">
        <w:rPr>
          <w:i/>
        </w:rPr>
        <w:t>ovrätten</w:t>
      </w:r>
      <w:r>
        <w:t xml:space="preserve">) </w:t>
      </w:r>
      <w:r w:rsidR="005436A9">
        <w:t>upheld</w:t>
      </w:r>
      <w:r w:rsidRPr="00BE05B0" w:rsidR="005436A9">
        <w:t xml:space="preserve"> </w:t>
      </w:r>
      <w:r w:rsidRPr="00BE05B0">
        <w:t xml:space="preserve">the </w:t>
      </w:r>
      <w:r>
        <w:t>judgment of the District Court. The applicant did not appeal against the appellate court</w:t>
      </w:r>
      <w:r w:rsidR="004D445B">
        <w:t>’</w:t>
      </w:r>
      <w:r>
        <w:t xml:space="preserve">s judgment, which accordingly </w:t>
      </w:r>
      <w:r w:rsidR="005436A9">
        <w:t xml:space="preserve">became </w:t>
      </w:r>
      <w:r>
        <w:t>legal</w:t>
      </w:r>
      <w:r w:rsidR="005436A9">
        <w:t>ly binding</w:t>
      </w:r>
      <w:r>
        <w:t xml:space="preserve"> on </w:t>
      </w:r>
      <w:smartTag w:uri="urn:schemas-microsoft-com:office:smarttags" w:element="date">
        <w:smartTagPr>
          <w:attr w:name="Month" w:val="3"/>
          <w:attr w:name="Day" w:val="6"/>
          <w:attr w:name="Year" w:val="2001"/>
        </w:smartTagPr>
        <w:r>
          <w:t>6 March 2001</w:t>
        </w:r>
      </w:smartTag>
      <w:r>
        <w:t>.</w:t>
      </w:r>
    </w:p>
    <w:p w:rsidRPr="00BE05B0" w:rsidR="00BC4DCE" w:rsidP="00BC4DCE" w:rsidRDefault="00BC4DCE">
      <w:pPr>
        <w:pStyle w:val="JuParaChar"/>
      </w:pPr>
      <w:r>
        <w:t xml:space="preserve">On </w:t>
      </w:r>
      <w:smartTag w:uri="urn:schemas-microsoft-com:office:smarttags" w:element="date">
        <w:smartTagPr>
          <w:attr w:name="Month" w:val="3"/>
          <w:attr w:name="Day" w:val="26"/>
          <w:attr w:name="Year" w:val="2001"/>
        </w:smartTagPr>
        <w:r>
          <w:t>26</w:t>
        </w:r>
        <w:r w:rsidRPr="00BE05B0">
          <w:t xml:space="preserve"> </w:t>
        </w:r>
        <w:r>
          <w:t>March</w:t>
        </w:r>
        <w:r w:rsidRPr="00BE05B0">
          <w:t xml:space="preserve"> 2001</w:t>
        </w:r>
      </w:smartTag>
      <w:r w:rsidRPr="00BE05B0">
        <w:t xml:space="preserve"> the National Prison</w:t>
      </w:r>
      <w:r>
        <w:t>s and Probation Authority</w:t>
      </w:r>
      <w:r w:rsidRPr="00BE05B0">
        <w:t xml:space="preserve"> (</w:t>
      </w:r>
      <w:r w:rsidRPr="00BE05B0">
        <w:rPr>
          <w:i/>
        </w:rPr>
        <w:t>Kriminalvårdsmyndigheten</w:t>
      </w:r>
      <w:r w:rsidRPr="004D0AFB">
        <w:t>)</w:t>
      </w:r>
      <w:r w:rsidRPr="00BE05B0">
        <w:t xml:space="preserve"> determined the period during which the applicant wa</w:t>
      </w:r>
      <w:r>
        <w:t>s to remain in prison. It noted</w:t>
      </w:r>
      <w:r w:rsidRPr="00BE05B0">
        <w:t xml:space="preserve"> that he had </w:t>
      </w:r>
      <w:r w:rsidR="00B117FC">
        <w:t xml:space="preserve">begun to </w:t>
      </w:r>
      <w:r>
        <w:t>serv</w:t>
      </w:r>
      <w:r w:rsidR="00B117FC">
        <w:t>e</w:t>
      </w:r>
      <w:r>
        <w:t xml:space="preserve"> his sentence on 6</w:t>
      </w:r>
      <w:r w:rsidRPr="00BE05B0">
        <w:t xml:space="preserve"> March 2001</w:t>
      </w:r>
      <w:r>
        <w:t xml:space="preserve"> and that the last day of the prison term, having regard to the total period spent in detention, would be</w:t>
      </w:r>
      <w:r w:rsidRPr="00BE05B0">
        <w:t xml:space="preserve"> </w:t>
      </w:r>
      <w:r>
        <w:t xml:space="preserve">on </w:t>
      </w:r>
      <w:r w:rsidRPr="00BE05B0">
        <w:t>22</w:t>
      </w:r>
      <w:r>
        <w:t> </w:t>
      </w:r>
      <w:r w:rsidRPr="00BE05B0">
        <w:t>September</w:t>
      </w:r>
      <w:r w:rsidR="00E044E2">
        <w:t> </w:t>
      </w:r>
      <w:r w:rsidRPr="00BE05B0">
        <w:t xml:space="preserve">2010. </w:t>
      </w:r>
      <w:r>
        <w:t>The Authority further determined that the applicant would be</w:t>
      </w:r>
      <w:r w:rsidRPr="00BE05B0">
        <w:t xml:space="preserve"> </w:t>
      </w:r>
      <w:r>
        <w:t xml:space="preserve">eligible for conditional </w:t>
      </w:r>
      <w:r w:rsidRPr="00A10DC3">
        <w:t xml:space="preserve">release on </w:t>
      </w:r>
      <w:smartTag w:uri="urn:schemas-microsoft-com:office:smarttags" w:element="date">
        <w:smartTagPr>
          <w:attr w:name="Month" w:val="5"/>
          <w:attr w:name="Day" w:val="25"/>
          <w:attr w:name="Year" w:val="2007"/>
        </w:smartTagPr>
        <w:r w:rsidRPr="00A10DC3">
          <w:t>25 May 2007</w:t>
        </w:r>
      </w:smartTag>
      <w:r w:rsidRPr="00A10DC3">
        <w:t xml:space="preserve"> </w:t>
      </w:r>
      <w:r>
        <w:t>at the earliest.</w:t>
      </w:r>
    </w:p>
    <w:p w:rsidR="00BC4DCE" w:rsidP="00BC4DCE" w:rsidRDefault="00BC4DCE">
      <w:pPr>
        <w:pStyle w:val="JuParaChar"/>
      </w:pPr>
      <w:r w:rsidRPr="00BE05B0">
        <w:t>On 15 August 2002</w:t>
      </w:r>
      <w:r>
        <w:t xml:space="preserve"> the</w:t>
      </w:r>
      <w:r w:rsidRPr="00BE05B0">
        <w:t xml:space="preserve"> National Prison</w:t>
      </w:r>
      <w:r>
        <w:t xml:space="preserve">s and Probation </w:t>
      </w:r>
      <w:r w:rsidRPr="00BE05B0">
        <w:t>Admi</w:t>
      </w:r>
      <w:r>
        <w:t>nistration (</w:t>
      </w:r>
      <w:r w:rsidRPr="003D6B4D">
        <w:rPr>
          <w:i/>
        </w:rPr>
        <w:t>Kriminalvårdsstyrelsen</w:t>
      </w:r>
      <w:r>
        <w:t xml:space="preserve">, </w:t>
      </w:r>
      <w:r w:rsidR="00263284">
        <w:t>hereafter</w:t>
      </w:r>
      <w:r>
        <w:t xml:space="preserve"> “the Administration”) declared its intention to make</w:t>
      </w:r>
      <w:r w:rsidRPr="00BE05B0">
        <w:t xml:space="preserve"> a req</w:t>
      </w:r>
      <w:r>
        <w:t>uest to the</w:t>
      </w:r>
      <w:r w:rsidRPr="00BE05B0">
        <w:t xml:space="preserve"> applicant</w:t>
      </w:r>
      <w:r w:rsidR="004D445B">
        <w:t>’</w:t>
      </w:r>
      <w:r>
        <w:t xml:space="preserve">s country of origin, </w:t>
      </w:r>
      <w:smartTag w:uri="urn:schemas-microsoft-com:office:smarttags" w:element="country-region">
        <w:smartTag w:uri="urn:schemas-microsoft-com:office:smarttags" w:element="place">
          <w:r>
            <w:t>Hungary</w:t>
          </w:r>
        </w:smartTag>
      </w:smartTag>
      <w:r>
        <w:t xml:space="preserve">, </w:t>
      </w:r>
      <w:r w:rsidR="00B117FC">
        <w:t xml:space="preserve">for him to </w:t>
      </w:r>
      <w:r>
        <w:t>serve the remainder of his sentence there.</w:t>
      </w:r>
    </w:p>
    <w:p w:rsidR="00BC4DCE" w:rsidP="00BC4DCE" w:rsidRDefault="00BC4DCE">
      <w:pPr>
        <w:pStyle w:val="JuParaChar"/>
      </w:pPr>
      <w:r w:rsidRPr="00BE05B0">
        <w:t xml:space="preserve">The applicant declared on </w:t>
      </w:r>
      <w:smartTag w:uri="urn:schemas-microsoft-com:office:smarttags" w:element="date">
        <w:smartTagPr>
          <w:attr w:name="Month" w:val="9"/>
          <w:attr w:name="Day" w:val="2"/>
          <w:attr w:name="Year" w:val="2002"/>
        </w:smartTagPr>
        <w:r w:rsidRPr="00BE05B0">
          <w:t>2 September 2002</w:t>
        </w:r>
      </w:smartTag>
      <w:r w:rsidRPr="00BE05B0">
        <w:t xml:space="preserve"> that he did </w:t>
      </w:r>
      <w:r>
        <w:t>not consent to such a transfer.</w:t>
      </w:r>
    </w:p>
    <w:p w:rsidR="00BC4DCE" w:rsidP="00BC4DCE" w:rsidRDefault="00BC4DCE">
      <w:pPr>
        <w:pStyle w:val="JuParaChar"/>
      </w:pPr>
      <w:r>
        <w:t xml:space="preserve">On 2 October 2002 the Administration </w:t>
      </w:r>
      <w:r w:rsidRPr="00BE05B0">
        <w:t xml:space="preserve">requested the transfer of the applicant to </w:t>
      </w:r>
      <w:smartTag w:uri="urn:schemas-microsoft-com:office:smarttags" w:element="country-region">
        <w:smartTag w:uri="urn:schemas-microsoft-com:office:smarttags" w:element="place">
          <w:r w:rsidRPr="00BE05B0">
            <w:t>Hungary</w:t>
          </w:r>
        </w:smartTag>
      </w:smartTag>
      <w:r w:rsidRPr="00BE05B0">
        <w:t xml:space="preserve"> under the Convention on</w:t>
      </w:r>
      <w:r w:rsidR="00236B79">
        <w:t xml:space="preserve"> the</w:t>
      </w:r>
      <w:r w:rsidRPr="00BE05B0">
        <w:t xml:space="preserve"> Transfe</w:t>
      </w:r>
      <w:r>
        <w:t xml:space="preserve">r of Sentenced Persons (hereafter “the Transfer Convention”) and its Additional Protocol. </w:t>
      </w:r>
      <w:r w:rsidRPr="00BE05B0">
        <w:t xml:space="preserve">On </w:t>
      </w:r>
      <w:smartTag w:uri="urn:schemas-microsoft-com:office:smarttags" w:element="date">
        <w:smartTagPr>
          <w:attr w:name="Month" w:val="11"/>
          <w:attr w:name="Day" w:val="4"/>
          <w:attr w:name="Year" w:val="2002"/>
        </w:smartTagPr>
        <w:r w:rsidRPr="00BE05B0">
          <w:t>4 November 2002</w:t>
        </w:r>
      </w:smartTag>
      <w:r w:rsidRPr="00BE05B0">
        <w:t xml:space="preserve"> the Swedish Ministry of Justice</w:t>
      </w:r>
      <w:r>
        <w:t xml:space="preserve"> forwarded this request to the Hungarian Ministry of Justice.</w:t>
      </w:r>
    </w:p>
    <w:p w:rsidR="00BC4DCE" w:rsidP="00BC4DCE" w:rsidRDefault="00BC4DCE">
      <w:pPr>
        <w:pStyle w:val="JuParaChar"/>
      </w:pPr>
      <w:r w:rsidRPr="00BE05B0">
        <w:t xml:space="preserve">In an order dated 13 December 2002 the </w:t>
      </w:r>
      <w:smartTag w:uri="urn:schemas-microsoft-com:office:smarttags" w:element="Street">
        <w:smartTag w:uri="urn:schemas-microsoft-com:office:smarttags" w:element="address">
          <w:r>
            <w:t>Budapest Regional Court</w:t>
          </w:r>
        </w:smartTag>
      </w:smartTag>
      <w:r>
        <w:t xml:space="preserve"> decided that the conditions for taking over </w:t>
      </w:r>
      <w:r w:rsidR="00EA63F8">
        <w:t xml:space="preserve">enforcement </w:t>
      </w:r>
      <w:r>
        <w:t>of the Swedish sentence were met.</w:t>
      </w:r>
    </w:p>
    <w:p w:rsidR="00BC4DCE" w:rsidP="00BC4DCE" w:rsidRDefault="00BC4DCE">
      <w:pPr>
        <w:pStyle w:val="JuParaChar"/>
      </w:pPr>
      <w:r w:rsidRPr="00BE05B0">
        <w:t xml:space="preserve">On </w:t>
      </w:r>
      <w:r>
        <w:t xml:space="preserve">8 </w:t>
      </w:r>
      <w:r w:rsidRPr="00BE05B0">
        <w:t xml:space="preserve">January 2003 the Hungarian Ministry of Justice </w:t>
      </w:r>
      <w:r>
        <w:t xml:space="preserve">informed its Swedish counterpart </w:t>
      </w:r>
      <w:r w:rsidRPr="00BE05B0">
        <w:t>that</w:t>
      </w:r>
      <w:r w:rsidRPr="00B04553">
        <w:t xml:space="preserve"> </w:t>
      </w:r>
      <w:r>
        <w:t xml:space="preserve">the </w:t>
      </w:r>
      <w:r w:rsidRPr="00BE05B0">
        <w:t>Minister of Justice had approved the transfer of the applicant to Hungary</w:t>
      </w:r>
      <w:r>
        <w:t>, that</w:t>
      </w:r>
      <w:r w:rsidRPr="00BE05B0">
        <w:t xml:space="preserve"> the </w:t>
      </w:r>
      <w:r>
        <w:t xml:space="preserve">competent Hungarian court had </w:t>
      </w:r>
      <w:r w:rsidR="00236B79">
        <w:t xml:space="preserve">converted </w:t>
      </w:r>
      <w:r>
        <w:t>his sentence into ten years</w:t>
      </w:r>
      <w:r w:rsidR="004D445B">
        <w:t>’</w:t>
      </w:r>
      <w:r>
        <w:t xml:space="preserve"> imprisonment in conformity with Hungarian law and that he </w:t>
      </w:r>
      <w:r w:rsidR="00236B79">
        <w:t>would be eligible for</w:t>
      </w:r>
      <w:r>
        <w:t xml:space="preserve"> conditional re</w:t>
      </w:r>
      <w:r w:rsidRPr="003F3B58">
        <w:t xml:space="preserve">lease </w:t>
      </w:r>
      <w:r w:rsidRPr="00922BF9">
        <w:t>on 22 September 2008</w:t>
      </w:r>
      <w:r w:rsidR="00236B79">
        <w:t xml:space="preserve"> at the earliest</w:t>
      </w:r>
      <w:r>
        <w:t>.</w:t>
      </w:r>
    </w:p>
    <w:p w:rsidR="00BC4DCE" w:rsidP="00BC4DCE" w:rsidRDefault="00BC4DCE">
      <w:pPr>
        <w:pStyle w:val="JuParaChar"/>
      </w:pPr>
      <w:r>
        <w:t xml:space="preserve">On </w:t>
      </w:r>
      <w:smartTag w:uri="urn:schemas-microsoft-com:office:smarttags" w:element="date">
        <w:smartTagPr>
          <w:attr w:name="Month" w:val="7"/>
          <w:attr w:name="Day" w:val="14"/>
          <w:attr w:name="Year" w:val="2003"/>
        </w:smartTagPr>
        <w:r>
          <w:t>14 July 2003</w:t>
        </w:r>
      </w:smartTag>
      <w:r>
        <w:t xml:space="preserve"> the</w:t>
      </w:r>
      <w:r w:rsidRPr="00BE05B0">
        <w:t xml:space="preserve"> Administration </w:t>
      </w:r>
      <w:r w:rsidR="00236B79">
        <w:t>made a final decision</w:t>
      </w:r>
      <w:r w:rsidRPr="00BE05B0">
        <w:t xml:space="preserve"> </w:t>
      </w:r>
      <w:r>
        <w:t>on</w:t>
      </w:r>
      <w:r w:rsidRPr="00BE05B0">
        <w:t xml:space="preserve"> the </w:t>
      </w:r>
      <w:r>
        <w:t>applicant</w:t>
      </w:r>
      <w:r w:rsidR="004D445B">
        <w:t>’</w:t>
      </w:r>
      <w:r>
        <w:t xml:space="preserve">s </w:t>
      </w:r>
      <w:r w:rsidRPr="00BE05B0">
        <w:t xml:space="preserve">transfer to </w:t>
      </w:r>
      <w:smartTag w:uri="urn:schemas-microsoft-com:office:smarttags" w:element="place">
        <w:smartTag w:uri="urn:schemas-microsoft-com:office:smarttags" w:element="country-region">
          <w:r w:rsidRPr="00BE05B0">
            <w:t>Hungary</w:t>
          </w:r>
        </w:smartTag>
      </w:smartTag>
      <w:r>
        <w:t>.</w:t>
      </w:r>
      <w:r w:rsidRPr="00BE05B0">
        <w:t xml:space="preserve"> It stated that</w:t>
      </w:r>
      <w:r w:rsidR="00263284">
        <w:t>,</w:t>
      </w:r>
      <w:r w:rsidRPr="00BE05B0">
        <w:t xml:space="preserve"> since the applicant</w:t>
      </w:r>
      <w:r w:rsidR="004D445B">
        <w:t>’</w:t>
      </w:r>
      <w:r w:rsidRPr="00BE05B0">
        <w:t xml:space="preserve">s expulsion had been </w:t>
      </w:r>
      <w:r>
        <w:t>ordered</w:t>
      </w:r>
      <w:r w:rsidRPr="00BE05B0">
        <w:t xml:space="preserve"> and he </w:t>
      </w:r>
      <w:r>
        <w:t>would most probably</w:t>
      </w:r>
      <w:r w:rsidRPr="00BE05B0">
        <w:t xml:space="preserve"> be expelled to </w:t>
      </w:r>
      <w:smartTag w:uri="urn:schemas-microsoft-com:office:smarttags" w:element="country-region">
        <w:r w:rsidRPr="00BE05B0">
          <w:t>Hungary</w:t>
        </w:r>
      </w:smartTag>
      <w:r w:rsidRPr="00BE05B0">
        <w:t>, there</w:t>
      </w:r>
      <w:r>
        <w:t xml:space="preserve"> </w:t>
      </w:r>
      <w:r w:rsidR="00236B79">
        <w:t>were</w:t>
      </w:r>
      <w:r w:rsidRPr="00BE05B0" w:rsidR="00236B79">
        <w:t xml:space="preserve"> </w:t>
      </w:r>
      <w:r w:rsidR="00236B79">
        <w:t>grounds</w:t>
      </w:r>
      <w:r w:rsidRPr="00BE05B0" w:rsidR="00236B79">
        <w:t xml:space="preserve"> </w:t>
      </w:r>
      <w:r w:rsidRPr="00BE05B0">
        <w:t xml:space="preserve">under the </w:t>
      </w:r>
      <w:r>
        <w:t xml:space="preserve">Transfer </w:t>
      </w:r>
      <w:r w:rsidRPr="00BE05B0">
        <w:t xml:space="preserve">Convention and the Additional Protocol for the applicant to serve the remainder of his sentence in </w:t>
      </w:r>
      <w:smartTag w:uri="urn:schemas-microsoft-com:office:smarttags" w:element="country-region">
        <w:smartTag w:uri="urn:schemas-microsoft-com:office:smarttags" w:element="place">
          <w:r w:rsidRPr="00BE05B0">
            <w:t>Hungary</w:t>
          </w:r>
        </w:smartTag>
      </w:smartTag>
      <w:r>
        <w:t>.</w:t>
      </w:r>
    </w:p>
    <w:p w:rsidR="00BC4DCE" w:rsidP="00BC4DCE" w:rsidRDefault="00BC4DCE">
      <w:pPr>
        <w:pStyle w:val="JuParaChar"/>
      </w:pPr>
      <w:r w:rsidRPr="00BE05B0">
        <w:t>The applicant appealed</w:t>
      </w:r>
      <w:r w:rsidR="00236B79">
        <w:t xml:space="preserve"> against</w:t>
      </w:r>
      <w:r w:rsidRPr="00BE05B0">
        <w:t xml:space="preserve"> the decision</w:t>
      </w:r>
      <w:r>
        <w:t xml:space="preserve"> to the Government,</w:t>
      </w:r>
      <w:r w:rsidRPr="00BE05B0">
        <w:t xml:space="preserve"> stating</w:t>
      </w:r>
      <w:r>
        <w:t>,</w:t>
      </w:r>
      <w:r w:rsidRPr="00BE05B0">
        <w:t xml:space="preserve"> </w:t>
      </w:r>
      <w:r w:rsidRPr="00BE05B0">
        <w:rPr>
          <w:i/>
        </w:rPr>
        <w:t>inter alia</w:t>
      </w:r>
      <w:r>
        <w:t>,</w:t>
      </w:r>
      <w:r w:rsidRPr="00BE05B0">
        <w:t xml:space="preserve"> that he would be serving a longer sentence in </w:t>
      </w:r>
      <w:smartTag w:uri="urn:schemas-microsoft-com:office:smarttags" w:element="place">
        <w:smartTag w:uri="urn:schemas-microsoft-com:office:smarttags" w:element="country-region">
          <w:r w:rsidRPr="00BE05B0">
            <w:t>Hungary</w:t>
          </w:r>
        </w:smartTag>
      </w:smartTag>
      <w:r>
        <w:t xml:space="preserve"> and that he would be placed in a “higher security </w:t>
      </w:r>
      <w:r w:rsidR="00236B79">
        <w:t>prison</w:t>
      </w:r>
      <w:r>
        <w:t>” where the</w:t>
      </w:r>
      <w:r w:rsidRPr="00BE05B0">
        <w:t xml:space="preserve"> conditio</w:t>
      </w:r>
      <w:r>
        <w:t>ns would be</w:t>
      </w:r>
      <w:r w:rsidRPr="00BE05B0">
        <w:t xml:space="preserve"> much more severe than those i</w:t>
      </w:r>
      <w:r>
        <w:t xml:space="preserve">n Swedish </w:t>
      </w:r>
      <w:r w:rsidR="00236B79">
        <w:t>prisons</w:t>
      </w:r>
      <w:r>
        <w:t>.</w:t>
      </w:r>
    </w:p>
    <w:p w:rsidRPr="00BE05B0" w:rsidR="00BC4DCE" w:rsidP="00BC4DCE" w:rsidRDefault="00BC4DCE">
      <w:pPr>
        <w:pStyle w:val="JuParaChar"/>
      </w:pPr>
      <w:r>
        <w:t xml:space="preserve">On </w:t>
      </w:r>
      <w:smartTag w:uri="urn:schemas-microsoft-com:office:smarttags" w:element="date">
        <w:smartTagPr>
          <w:attr w:name="Month" w:val="9"/>
          <w:attr w:name="Day" w:val="4"/>
          <w:attr w:name="Year" w:val="2003"/>
        </w:smartTagPr>
        <w:r>
          <w:t>4 September 2003</w:t>
        </w:r>
      </w:smartTag>
      <w:r>
        <w:t xml:space="preserve"> the</w:t>
      </w:r>
      <w:r w:rsidRPr="00BE05B0">
        <w:t xml:space="preserve"> Adminis</w:t>
      </w:r>
      <w:r>
        <w:t>tration confirmed its decision.</w:t>
      </w:r>
    </w:p>
    <w:p w:rsidR="00BC4DCE" w:rsidP="00BC4DCE" w:rsidRDefault="00BC4DCE">
      <w:pPr>
        <w:pStyle w:val="JuParaChar"/>
      </w:pPr>
      <w:r w:rsidRPr="00BE05B0">
        <w:t xml:space="preserve">On 25 September 2003 the </w:t>
      </w:r>
      <w:r>
        <w:t xml:space="preserve">Swedish </w:t>
      </w:r>
      <w:r w:rsidRPr="00BE05B0">
        <w:t xml:space="preserve">Government, stating that it </w:t>
      </w:r>
      <w:r>
        <w:t>shared</w:t>
      </w:r>
      <w:r w:rsidR="00263284">
        <w:t xml:space="preserve"> the</w:t>
      </w:r>
      <w:r>
        <w:t xml:space="preserve"> </w:t>
      </w:r>
      <w:r w:rsidRPr="00BE05B0">
        <w:t>Administration</w:t>
      </w:r>
      <w:r w:rsidR="00B117FC">
        <w:t>’s conclusion</w:t>
      </w:r>
      <w:r w:rsidRPr="00BE05B0">
        <w:t xml:space="preserve">, </w:t>
      </w:r>
      <w:r w:rsidR="00263284">
        <w:t>dismissed</w:t>
      </w:r>
      <w:r w:rsidRPr="00BE05B0" w:rsidR="00263284">
        <w:t xml:space="preserve"> </w:t>
      </w:r>
      <w:r w:rsidRPr="00BE05B0">
        <w:t>the applicant</w:t>
      </w:r>
      <w:r w:rsidR="004D445B">
        <w:t>’</w:t>
      </w:r>
      <w:r w:rsidRPr="00BE05B0">
        <w:t>s appeal.</w:t>
      </w:r>
    </w:p>
    <w:p w:rsidR="00BC4DCE" w:rsidP="00BC4DCE" w:rsidRDefault="00BC4DCE">
      <w:pPr>
        <w:pStyle w:val="JuParaChar"/>
      </w:pPr>
      <w:r>
        <w:t xml:space="preserve">The applicant </w:t>
      </w:r>
      <w:r w:rsidRPr="00BE05B0">
        <w:t>was transferred to</w:t>
      </w:r>
      <w:r>
        <w:t xml:space="preserve"> a Hungarian </w:t>
      </w:r>
      <w:r w:rsidR="00236B79">
        <w:t xml:space="preserve">prison </w:t>
      </w:r>
      <w:r>
        <w:t xml:space="preserve">on </w:t>
      </w:r>
      <w:smartTag w:uri="urn:schemas-microsoft-com:office:smarttags" w:element="date">
        <w:smartTagPr>
          <w:attr w:name="Month" w:val="10"/>
          <w:attr w:name="Day" w:val="28"/>
          <w:attr w:name="Year" w:val="2003"/>
        </w:smartTagPr>
        <w:r>
          <w:t xml:space="preserve">28 </w:t>
        </w:r>
        <w:r w:rsidRPr="00BE05B0">
          <w:t>October</w:t>
        </w:r>
        <w:r>
          <w:t xml:space="preserve"> </w:t>
        </w:r>
        <w:r w:rsidRPr="00BE05B0">
          <w:t>2003</w:t>
        </w:r>
      </w:smartTag>
      <w:r>
        <w:t>.</w:t>
      </w:r>
    </w:p>
    <w:p w:rsidRPr="001E1F78" w:rsidR="00BC4DCE" w:rsidP="00BC4DCE" w:rsidRDefault="00BC4DCE">
      <w:pPr>
        <w:pStyle w:val="JuParaChar"/>
      </w:pPr>
      <w:r w:rsidRPr="001E1F78">
        <w:t xml:space="preserve">The applicant was summoned to appear before the </w:t>
      </w:r>
      <w:smartTag w:uri="urn:schemas-microsoft-com:office:smarttags" w:element="Street">
        <w:smartTag w:uri="urn:schemas-microsoft-com:office:smarttags" w:element="address">
          <w:r w:rsidRPr="001E1F78">
            <w:t>Budapest Regional Court</w:t>
          </w:r>
        </w:smartTag>
      </w:smartTag>
      <w:r w:rsidRPr="001E1F78">
        <w:t>, sitting as a first</w:t>
      </w:r>
      <w:r w:rsidR="00236B79">
        <w:t>-</w:t>
      </w:r>
      <w:r w:rsidRPr="001E1F78">
        <w:t xml:space="preserve">instance court, on </w:t>
      </w:r>
      <w:smartTag w:uri="urn:schemas-microsoft-com:office:smarttags" w:element="date">
        <w:smartTagPr>
          <w:attr w:name="Month" w:val="1"/>
          <w:attr w:name="Day" w:val="8"/>
          <w:attr w:name="Year" w:val="2004"/>
        </w:smartTagPr>
        <w:r w:rsidRPr="001E1F78">
          <w:t>8 January 2004</w:t>
        </w:r>
      </w:smartTag>
      <w:r w:rsidRPr="001E1F78">
        <w:t>. On th</w:t>
      </w:r>
      <w:r w:rsidR="00236B79">
        <w:t>at</w:t>
      </w:r>
      <w:r w:rsidRPr="001E1F78">
        <w:t xml:space="preserve"> date a single judge decided that the applicant</w:t>
      </w:r>
      <w:r w:rsidR="004D445B">
        <w:t>’</w:t>
      </w:r>
      <w:r w:rsidRPr="001E1F78">
        <w:t xml:space="preserve">s sentence was to be </w:t>
      </w:r>
      <w:r w:rsidR="00705303">
        <w:t>converted</w:t>
      </w:r>
      <w:r w:rsidR="00263284">
        <w:t xml:space="preserve"> </w:t>
      </w:r>
      <w:r>
        <w:t>into ten years</w:t>
      </w:r>
      <w:r w:rsidR="004D445B">
        <w:t>’</w:t>
      </w:r>
      <w:r w:rsidRPr="001E1F78">
        <w:t xml:space="preserve"> imprisonment under Hungaria</w:t>
      </w:r>
      <w:r w:rsidR="00B6510C">
        <w:t xml:space="preserve">n law, to be served </w:t>
      </w:r>
      <w:r w:rsidR="00B117FC">
        <w:t xml:space="preserve">under </w:t>
      </w:r>
      <w:r w:rsidR="00B6510C">
        <w:t xml:space="preserve">a strict </w:t>
      </w:r>
      <w:r w:rsidRPr="001E1F78" w:rsidR="00B6510C">
        <w:t xml:space="preserve">prison </w:t>
      </w:r>
      <w:r w:rsidRPr="001E1F78">
        <w:t>regime (</w:t>
      </w:r>
      <w:r w:rsidRPr="001E1F78">
        <w:rPr>
          <w:i/>
        </w:rPr>
        <w:t>fegyház</w:t>
      </w:r>
      <w:r w:rsidRPr="001E1F78">
        <w:t>)</w:t>
      </w:r>
      <w:r>
        <w:t>. Th</w:t>
      </w:r>
      <w:r w:rsidR="00236B79">
        <w:t xml:space="preserve">e effect of the latter condition was </w:t>
      </w:r>
      <w:r>
        <w:t xml:space="preserve">that he </w:t>
      </w:r>
      <w:r w:rsidR="00236B79">
        <w:t>would become eligible for</w:t>
      </w:r>
      <w:r>
        <w:t xml:space="preserve"> conditional release</w:t>
      </w:r>
      <w:r w:rsidRPr="001E1F78">
        <w:t xml:space="preserve"> after having </w:t>
      </w:r>
      <w:r w:rsidR="00236B79">
        <w:t>served</w:t>
      </w:r>
      <w:r w:rsidRPr="001E1F78" w:rsidR="00236B79">
        <w:t xml:space="preserve"> </w:t>
      </w:r>
      <w:r w:rsidRPr="001E1F78">
        <w:t>four-fifths of the sentence. The applicant appealed against th</w:t>
      </w:r>
      <w:r w:rsidR="00236B79">
        <w:t>at</w:t>
      </w:r>
      <w:r w:rsidRPr="001E1F78">
        <w:t xml:space="preserve"> decision and requested </w:t>
      </w:r>
      <w:r w:rsidR="00236B79">
        <w:t>to</w:t>
      </w:r>
      <w:r w:rsidR="00B6510C">
        <w:t xml:space="preserve"> serve his sentence </w:t>
      </w:r>
      <w:r w:rsidR="00B117FC">
        <w:t>under</w:t>
      </w:r>
      <w:r w:rsidR="00B6510C">
        <w:t xml:space="preserve"> a normal </w:t>
      </w:r>
      <w:r w:rsidRPr="001E1F78">
        <w:t>prison</w:t>
      </w:r>
      <w:r w:rsidRPr="00B6510C" w:rsidR="00B6510C">
        <w:t xml:space="preserve"> </w:t>
      </w:r>
      <w:r w:rsidRPr="001E1F78" w:rsidR="00B6510C">
        <w:t>regime</w:t>
      </w:r>
      <w:r w:rsidRPr="001E1F78">
        <w:t xml:space="preserve"> (</w:t>
      </w:r>
      <w:r w:rsidRPr="001E1F78">
        <w:rPr>
          <w:i/>
        </w:rPr>
        <w:t>börtön</w:t>
      </w:r>
      <w:r w:rsidRPr="001E1F78">
        <w:t>)</w:t>
      </w:r>
      <w:r>
        <w:t xml:space="preserve">, which would have </w:t>
      </w:r>
      <w:r w:rsidR="00236B79">
        <w:t>made him eligible for</w:t>
      </w:r>
      <w:r w:rsidR="00CA4C5A">
        <w:t xml:space="preserve"> </w:t>
      </w:r>
      <w:r>
        <w:t>release on parole at an earlier date. On 17</w:t>
      </w:r>
      <w:r w:rsidR="00263284">
        <w:t> </w:t>
      </w:r>
      <w:r w:rsidRPr="001E1F78">
        <w:t xml:space="preserve">February 2004 the </w:t>
      </w:r>
      <w:smartTag w:uri="urn:schemas-microsoft-com:office:smarttags" w:element="Street">
        <w:smartTag w:uri="urn:schemas-microsoft-com:office:smarttags" w:element="address">
          <w:r w:rsidRPr="001E1F78">
            <w:t>Budapest Regional Court</w:t>
          </w:r>
        </w:smartTag>
      </w:smartTag>
      <w:r w:rsidRPr="001E1F78">
        <w:t>,</w:t>
      </w:r>
      <w:r w:rsidRPr="00236B79" w:rsidR="00236B79">
        <w:t xml:space="preserve"> </w:t>
      </w:r>
      <w:r w:rsidRPr="001E1F78" w:rsidR="00236B79">
        <w:t>sitting</w:t>
      </w:r>
      <w:r w:rsidRPr="001E1F78">
        <w:t xml:space="preserve"> </w:t>
      </w:r>
      <w:r w:rsidR="00236B79">
        <w:t>as</w:t>
      </w:r>
      <w:r w:rsidRPr="001E1F78" w:rsidR="00236B79">
        <w:t xml:space="preserve"> </w:t>
      </w:r>
      <w:r w:rsidRPr="001E1F78">
        <w:t xml:space="preserve">a chamber of three judges </w:t>
      </w:r>
      <w:r w:rsidR="00236B79">
        <w:t xml:space="preserve">at </w:t>
      </w:r>
      <w:r w:rsidRPr="001E1F78">
        <w:t xml:space="preserve">second instance, </w:t>
      </w:r>
      <w:r w:rsidR="00B117FC">
        <w:t xml:space="preserve">dismissed </w:t>
      </w:r>
      <w:r w:rsidRPr="001E1F78">
        <w:t>the appeal. The Hungarian courts did not make any fresh assessment of the applicant</w:t>
      </w:r>
      <w:r w:rsidR="004D445B">
        <w:t>’</w:t>
      </w:r>
      <w:r w:rsidRPr="001E1F78">
        <w:t>s guilt but accepted the Swedish courts</w:t>
      </w:r>
      <w:r w:rsidR="004D445B">
        <w:t>’</w:t>
      </w:r>
      <w:r w:rsidRPr="001E1F78">
        <w:t xml:space="preserve"> findings as to the facts of the case.</w:t>
      </w:r>
    </w:p>
    <w:p w:rsidRPr="00B900B7" w:rsidR="00BC4DCE" w:rsidP="00BC4DCE" w:rsidRDefault="00BC4DCE">
      <w:pPr>
        <w:pStyle w:val="JuHA"/>
      </w:pPr>
      <w:r w:rsidRPr="00B900B7">
        <w:t>B.  Relevant domestic</w:t>
      </w:r>
      <w:r>
        <w:t xml:space="preserve"> and international</w:t>
      </w:r>
      <w:r w:rsidRPr="00B900B7">
        <w:t xml:space="preserve"> law</w:t>
      </w:r>
    </w:p>
    <w:p w:rsidR="00BC4DCE" w:rsidP="00BC4DCE" w:rsidRDefault="00BC4DCE">
      <w:pPr>
        <w:pStyle w:val="JuH1"/>
        <w:spacing w:before="0"/>
      </w:pPr>
      <w:r>
        <w:t>1.  Swedish penal law</w:t>
      </w:r>
    </w:p>
    <w:p w:rsidRPr="00EC0D1F" w:rsidR="00BC4DCE" w:rsidP="00BC4DCE" w:rsidRDefault="00BC4DCE">
      <w:pPr>
        <w:pStyle w:val="JuParaChar"/>
      </w:pPr>
      <w:r>
        <w:t xml:space="preserve">Section 3 of the </w:t>
      </w:r>
      <w:r w:rsidR="007B09D4">
        <w:t>Drug Offences Act</w:t>
      </w:r>
      <w:r>
        <w:t xml:space="preserve"> (</w:t>
      </w:r>
      <w:r>
        <w:rPr>
          <w:i/>
        </w:rPr>
        <w:t>Narkotikastrafflagen</w:t>
      </w:r>
      <w:r>
        <w:t>; 1968:64) provides that</w:t>
      </w:r>
      <w:r w:rsidRPr="00236B79" w:rsidR="00236B79">
        <w:t xml:space="preserve"> </w:t>
      </w:r>
      <w:r w:rsidR="00236B79">
        <w:t>anyone who commits a drugs offence</w:t>
      </w:r>
      <w:r w:rsidR="00CA4C5A">
        <w:t xml:space="preserve"> </w:t>
      </w:r>
      <w:r w:rsidR="00236B79">
        <w:t>with aggravating circumstances</w:t>
      </w:r>
      <w:r w:rsidR="00CA4C5A">
        <w:t xml:space="preserve"> </w:t>
      </w:r>
      <w:r w:rsidR="00236B79">
        <w:t>shall be liable to between two and ten years</w:t>
      </w:r>
      <w:r w:rsidR="004D445B">
        <w:t>’</w:t>
      </w:r>
      <w:r w:rsidR="00236B79">
        <w:t xml:space="preserve"> imprisonment.</w:t>
      </w:r>
      <w:r w:rsidR="00B117FC">
        <w:t xml:space="preserve"> </w:t>
      </w:r>
      <w:r w:rsidR="00236B79">
        <w:t>In addition</w:t>
      </w:r>
      <w:r>
        <w:t>, under section 3 of the Smuggling of Goods</w:t>
      </w:r>
      <w:r w:rsidR="00236B79">
        <w:t xml:space="preserve"> (Penalties) Act</w:t>
      </w:r>
      <w:r>
        <w:t xml:space="preserve"> (</w:t>
      </w:r>
      <w:r>
        <w:rPr>
          <w:i/>
        </w:rPr>
        <w:t>Lagen om straff för varusmuggling</w:t>
      </w:r>
      <w:r>
        <w:t xml:space="preserve">, 1960:418), which was in force at the material time, the same range of </w:t>
      </w:r>
      <w:r w:rsidR="00B117FC">
        <w:t xml:space="preserve">prison sentences </w:t>
      </w:r>
      <w:r>
        <w:t xml:space="preserve">applied </w:t>
      </w:r>
      <w:r w:rsidR="00236B79">
        <w:t xml:space="preserve">in respect of drug </w:t>
      </w:r>
      <w:r>
        <w:t>smuggling</w:t>
      </w:r>
      <w:r w:rsidR="00236B79">
        <w:t xml:space="preserve"> with aggravat</w:t>
      </w:r>
      <w:r w:rsidR="00B117FC">
        <w:t>ing</w:t>
      </w:r>
      <w:r w:rsidR="00236B79">
        <w:t xml:space="preserve"> circumstances</w:t>
      </w:r>
      <w:r>
        <w:t xml:space="preserve">. </w:t>
      </w:r>
      <w:r w:rsidR="00236B79">
        <w:t xml:space="preserve">With </w:t>
      </w:r>
      <w:r>
        <w:t xml:space="preserve">regard to attempted offences, the latter Act referred to chapter 23 of the Penal Code </w:t>
      </w:r>
      <w:r w:rsidRPr="003F3B58">
        <w:t>(</w:t>
      </w:r>
      <w:r w:rsidRPr="003F3B58">
        <w:rPr>
          <w:i/>
        </w:rPr>
        <w:t xml:space="preserve">Brottsbalken, </w:t>
      </w:r>
      <w:r w:rsidRPr="003F3B58">
        <w:t>1962:700)</w:t>
      </w:r>
      <w:r>
        <w:t xml:space="preserve">, section 1 of which stipulates that the punishment for an attempted offence </w:t>
      </w:r>
      <w:r w:rsidR="00740FC5">
        <w:t xml:space="preserve">shall </w:t>
      </w:r>
      <w:r>
        <w:t xml:space="preserve">not exceed the applicable penalty for a complete offence and </w:t>
      </w:r>
      <w:r w:rsidR="00740FC5">
        <w:t xml:space="preserve">shall </w:t>
      </w:r>
      <w:r>
        <w:t>not be less than imprisonment if the penalty for a complete offence is two or more years</w:t>
      </w:r>
      <w:r w:rsidR="004D445B">
        <w:t>’</w:t>
      </w:r>
      <w:r>
        <w:t xml:space="preserve"> imprisonment.</w:t>
      </w:r>
    </w:p>
    <w:p w:rsidRPr="00BC4DCE" w:rsidR="00BC4DCE" w:rsidP="00BC4DCE" w:rsidRDefault="00BC4DCE">
      <w:pPr>
        <w:pStyle w:val="JuH1"/>
      </w:pPr>
      <w:r w:rsidRPr="00BC4DCE">
        <w:t>2.  Swedish rules on conditional release</w:t>
      </w:r>
    </w:p>
    <w:p w:rsidR="00BC4DCE" w:rsidP="00BC4DCE" w:rsidRDefault="00740FC5">
      <w:pPr>
        <w:pStyle w:val="JuParaChar"/>
      </w:pPr>
      <w:r>
        <w:t xml:space="preserve">Pursuant </w:t>
      </w:r>
      <w:r w:rsidR="00BC4DCE">
        <w:t>to section</w:t>
      </w:r>
      <w:r w:rsidRPr="003F3B58" w:rsidR="00BC4DCE">
        <w:t xml:space="preserve"> 20 of the </w:t>
      </w:r>
      <w:r w:rsidR="00CF5FF6">
        <w:t>Term</w:t>
      </w:r>
      <w:r w:rsidRPr="003F3B58" w:rsidR="00BC4DCE">
        <w:t xml:space="preserve"> of </w:t>
      </w:r>
      <w:r>
        <w:t>Imprisonment</w:t>
      </w:r>
      <w:r w:rsidR="00CF5FF6">
        <w:t xml:space="preserve"> (Calculation)</w:t>
      </w:r>
      <w:r>
        <w:t xml:space="preserve"> Act</w:t>
      </w:r>
      <w:r w:rsidRPr="003F3B58">
        <w:t xml:space="preserve"> </w:t>
      </w:r>
      <w:r w:rsidRPr="003F3B58" w:rsidR="00BC4DCE">
        <w:t>(</w:t>
      </w:r>
      <w:r w:rsidRPr="003F3B58" w:rsidR="00BC4DCE">
        <w:rPr>
          <w:i/>
        </w:rPr>
        <w:t>Lag om beräkning av strafftid m m,</w:t>
      </w:r>
      <w:r w:rsidRPr="003F3B58" w:rsidR="00BC4DCE">
        <w:t xml:space="preserve"> 1974:202)</w:t>
      </w:r>
      <w:r w:rsidR="00BC4DCE">
        <w:t>,</w:t>
      </w:r>
      <w:r w:rsidRPr="003F3B58" w:rsidR="00BC4DCE">
        <w:t xml:space="preserve"> the </w:t>
      </w:r>
      <w:r w:rsidR="00BC4DCE">
        <w:t xml:space="preserve">National Prisons and Probation </w:t>
      </w:r>
      <w:r w:rsidRPr="003F3B58" w:rsidR="00BC4DCE">
        <w:t xml:space="preserve">Administration </w:t>
      </w:r>
      <w:r w:rsidR="00BC4DCE">
        <w:t xml:space="preserve">determines </w:t>
      </w:r>
      <w:r w:rsidRPr="003F3B58" w:rsidR="00BC4DCE">
        <w:t xml:space="preserve">the </w:t>
      </w:r>
      <w:r w:rsidR="00CF5FF6">
        <w:t xml:space="preserve">expiry </w:t>
      </w:r>
      <w:r w:rsidRPr="003F3B58" w:rsidR="00BC4DCE">
        <w:t xml:space="preserve">date of the prison term for a person </w:t>
      </w:r>
      <w:r>
        <w:t>who has</w:t>
      </w:r>
      <w:r w:rsidRPr="003F3B58">
        <w:t xml:space="preserve"> </w:t>
      </w:r>
      <w:r w:rsidRPr="003F3B58" w:rsidR="00BC4DCE">
        <w:t>started serv</w:t>
      </w:r>
      <w:r>
        <w:t>ing</w:t>
      </w:r>
      <w:r w:rsidRPr="003F3B58" w:rsidR="00BC4DCE">
        <w:t xml:space="preserve"> </w:t>
      </w:r>
      <w:r w:rsidR="00BC4DCE">
        <w:t>a</w:t>
      </w:r>
      <w:r w:rsidRPr="003F3B58" w:rsidR="00BC4DCE">
        <w:t xml:space="preserve"> sentence. If the sentence </w:t>
      </w:r>
      <w:r w:rsidR="00BC4DCE">
        <w:t>exceeds</w:t>
      </w:r>
      <w:r w:rsidRPr="003F3B58" w:rsidR="00BC4DCE">
        <w:t xml:space="preserve"> one month</w:t>
      </w:r>
      <w:r w:rsidR="004D445B">
        <w:t>’</w:t>
      </w:r>
      <w:r w:rsidRPr="003F3B58" w:rsidR="00BC4DCE">
        <w:t xml:space="preserve">s imprisonment, the Administration </w:t>
      </w:r>
      <w:r w:rsidR="00BC4DCE">
        <w:t>must</w:t>
      </w:r>
      <w:r w:rsidRPr="003F3B58" w:rsidR="00BC4DCE">
        <w:t xml:space="preserve"> also determine the earliest date of </w:t>
      </w:r>
      <w:r w:rsidR="00BC4DCE">
        <w:t xml:space="preserve">conditional </w:t>
      </w:r>
      <w:r w:rsidRPr="003F3B58" w:rsidR="00BC4DCE">
        <w:t>release</w:t>
      </w:r>
      <w:r w:rsidR="00BC4DCE">
        <w:t>. It further sets the probationary period</w:t>
      </w:r>
      <w:r>
        <w:t>,</w:t>
      </w:r>
      <w:r w:rsidR="00BC4DCE">
        <w:t xml:space="preserve"> which, </w:t>
      </w:r>
      <w:r>
        <w:t>in accordance with</w:t>
      </w:r>
      <w:r w:rsidR="00BC4DCE">
        <w:t xml:space="preserve"> chapter 26, section 10</w:t>
      </w:r>
      <w:r w:rsidR="00CF5FF6">
        <w:t>,</w:t>
      </w:r>
      <w:r w:rsidR="00BC4DCE">
        <w:t xml:space="preserve"> of the Penal Code, corresponds to the remaining portion of the sentence but </w:t>
      </w:r>
      <w:r>
        <w:t>can</w:t>
      </w:r>
      <w:r w:rsidR="00BC4DCE">
        <w:t>not be less than one year.</w:t>
      </w:r>
    </w:p>
    <w:p w:rsidRPr="003F3B58" w:rsidR="00BC4DCE" w:rsidP="00BC4DCE" w:rsidRDefault="00BC4DCE">
      <w:pPr>
        <w:pStyle w:val="JuParaChar"/>
      </w:pPr>
      <w:r>
        <w:t>C</w:t>
      </w:r>
      <w:r w:rsidRPr="003F3B58">
        <w:t>hapter 26, section 6</w:t>
      </w:r>
      <w:r w:rsidR="00CF5FF6">
        <w:t>,</w:t>
      </w:r>
      <w:r w:rsidRPr="003F3B58">
        <w:t xml:space="preserve"> of the Penal Code </w:t>
      </w:r>
      <w:r>
        <w:t xml:space="preserve">provides that </w:t>
      </w:r>
      <w:r w:rsidRPr="003F3B58">
        <w:t>a person sentenced to imprisonment shall</w:t>
      </w:r>
      <w:r>
        <w:t xml:space="preserve">, as a rule, </w:t>
      </w:r>
      <w:r w:rsidRPr="003F3B58">
        <w:t xml:space="preserve">be </w:t>
      </w:r>
      <w:r>
        <w:t xml:space="preserve">conditionally </w:t>
      </w:r>
      <w:r w:rsidRPr="003F3B58">
        <w:t>released when he or she has served two</w:t>
      </w:r>
      <w:r>
        <w:t>-</w:t>
      </w:r>
      <w:r w:rsidRPr="003F3B58">
        <w:t xml:space="preserve">thirds of </w:t>
      </w:r>
      <w:r>
        <w:t>the sentence.</w:t>
      </w:r>
    </w:p>
    <w:p w:rsidR="00BC4DCE" w:rsidP="00BC4DCE" w:rsidRDefault="00BC4DCE">
      <w:pPr>
        <w:pStyle w:val="JuParaChar"/>
      </w:pPr>
      <w:r w:rsidRPr="003F3B58">
        <w:t>Under chapter 26, section 7</w:t>
      </w:r>
      <w:r w:rsidR="00CF5FF6">
        <w:t>,</w:t>
      </w:r>
      <w:r w:rsidRPr="003F3B58">
        <w:t xml:space="preserve"> of the Penal Code, if the sentenced person</w:t>
      </w:r>
      <w:r w:rsidRPr="00740FC5" w:rsidR="00740FC5">
        <w:t xml:space="preserve"> </w:t>
      </w:r>
      <w:r w:rsidR="00CF5FF6">
        <w:t xml:space="preserve">breaches </w:t>
      </w:r>
      <w:r w:rsidRPr="003F3B58">
        <w:t xml:space="preserve">to a </w:t>
      </w:r>
      <w:r>
        <w:t>significant</w:t>
      </w:r>
      <w:r w:rsidRPr="003F3B58">
        <w:t xml:space="preserve"> extent the conditions for serving the sentence, the date of release on parole can be postponed to a later date, but not by more than 15 days on any one</w:t>
      </w:r>
      <w:r>
        <w:t xml:space="preserve"> occasion.</w:t>
      </w:r>
    </w:p>
    <w:p w:rsidRPr="003F3B58" w:rsidR="00BC4DCE" w:rsidP="00BC4DCE" w:rsidRDefault="00BC4DCE">
      <w:pPr>
        <w:pStyle w:val="JuParaChar"/>
      </w:pPr>
      <w:r w:rsidRPr="003F3B58">
        <w:t xml:space="preserve">The preparatory work </w:t>
      </w:r>
      <w:r w:rsidR="00CF5FF6">
        <w:t xml:space="preserve">in respect of </w:t>
      </w:r>
      <w:r w:rsidRPr="003F3B58">
        <w:t xml:space="preserve">the </w:t>
      </w:r>
      <w:r>
        <w:t>latter</w:t>
      </w:r>
      <w:r w:rsidRPr="003F3B58">
        <w:t xml:space="preserve"> provision (</w:t>
      </w:r>
      <w:r w:rsidRPr="003F3B58">
        <w:rPr>
          <w:i/>
        </w:rPr>
        <w:t>Vissa reformer av påföljdssystemet</w:t>
      </w:r>
      <w:r w:rsidRPr="003F3B58">
        <w:t xml:space="preserve">, 1997/98:96) states that “to a </w:t>
      </w:r>
      <w:r>
        <w:t>significant</w:t>
      </w:r>
      <w:r w:rsidRPr="003F3B58">
        <w:t xml:space="preserve"> extent” means that </w:t>
      </w:r>
      <w:r>
        <w:t xml:space="preserve">release may be </w:t>
      </w:r>
      <w:r w:rsidRPr="003F3B58">
        <w:t>postpone</w:t>
      </w:r>
      <w:r>
        <w:t>d on</w:t>
      </w:r>
      <w:r w:rsidRPr="003F3B58">
        <w:t xml:space="preserve">ly </w:t>
      </w:r>
      <w:r w:rsidR="00CF5FF6">
        <w:t xml:space="preserve">for </w:t>
      </w:r>
      <w:r w:rsidRPr="003F3B58">
        <w:t xml:space="preserve">the more flagrant </w:t>
      </w:r>
      <w:r w:rsidR="00CF5FF6">
        <w:t xml:space="preserve">breaches </w:t>
      </w:r>
      <w:r w:rsidRPr="003F3B58">
        <w:t xml:space="preserve">and that a general assessment of whether the inmate has misbehaved </w:t>
      </w:r>
      <w:r>
        <w:t>is not</w:t>
      </w:r>
      <w:r w:rsidRPr="003F3B58">
        <w:t xml:space="preserve"> sufficient. Incidents such as escape</w:t>
      </w:r>
      <w:r>
        <w:t xml:space="preserve"> or attempts to escape</w:t>
      </w:r>
      <w:r w:rsidRPr="003F3B58">
        <w:t xml:space="preserve">, refusal to work, contact with </w:t>
      </w:r>
      <w:r w:rsidR="00740FC5">
        <w:t>drugs</w:t>
      </w:r>
      <w:r w:rsidRPr="003F3B58">
        <w:t xml:space="preserve">, drunkenness and threats or violence towards other inmates or a civil servant are examples of cases entailing a postponement of </w:t>
      </w:r>
      <w:r>
        <w:t>a prisoner</w:t>
      </w:r>
      <w:r w:rsidR="004D445B">
        <w:t>’</w:t>
      </w:r>
      <w:r>
        <w:t>s conditional release</w:t>
      </w:r>
      <w:r w:rsidRPr="003F3B58">
        <w:t xml:space="preserve">. </w:t>
      </w:r>
      <w:r>
        <w:t>No postp</w:t>
      </w:r>
      <w:r w:rsidRPr="003F3B58">
        <w:t xml:space="preserve">onement </w:t>
      </w:r>
      <w:r>
        <w:t xml:space="preserve">is to be ordered, </w:t>
      </w:r>
      <w:r w:rsidRPr="003F3B58">
        <w:t>however</w:t>
      </w:r>
      <w:r>
        <w:t xml:space="preserve">, </w:t>
      </w:r>
      <w:r w:rsidRPr="003F3B58">
        <w:t xml:space="preserve">if the </w:t>
      </w:r>
      <w:r w:rsidR="00CF5FF6">
        <w:t xml:space="preserve">breach results in </w:t>
      </w:r>
      <w:r w:rsidRPr="003F3B58">
        <w:t>a</w:t>
      </w:r>
      <w:r>
        <w:t xml:space="preserve"> criminal</w:t>
      </w:r>
      <w:r w:rsidRPr="003F3B58">
        <w:t xml:space="preserve"> </w:t>
      </w:r>
      <w:r>
        <w:t>indictment.</w:t>
      </w:r>
    </w:p>
    <w:p w:rsidRPr="003F3B58" w:rsidR="00BC4DCE" w:rsidP="00BC4DCE" w:rsidRDefault="00BC4DCE">
      <w:pPr>
        <w:pStyle w:val="JuPara"/>
      </w:pPr>
      <w:r>
        <w:t>Chapter 26, sections 11-23</w:t>
      </w:r>
      <w:r w:rsidR="00CF5FF6">
        <w:t>,</w:t>
      </w:r>
      <w:r>
        <w:t xml:space="preserve"> of the Penal Code provide that</w:t>
      </w:r>
      <w:r w:rsidRPr="00F75723">
        <w:t xml:space="preserve"> </w:t>
      </w:r>
      <w:r>
        <w:t xml:space="preserve">certain restrictions and supervision by a probation officer may be imposed during the probationary period on </w:t>
      </w:r>
      <w:r w:rsidR="00740FC5">
        <w:t xml:space="preserve">a </w:t>
      </w:r>
      <w:r>
        <w:t xml:space="preserve">person who has been conditionally released. If the person breaches his obligations during that period, </w:t>
      </w:r>
      <w:r w:rsidR="00CF5FF6">
        <w:t xml:space="preserve">he may forfeit all or part of his </w:t>
      </w:r>
      <w:r>
        <w:t>conditional liberty.</w:t>
      </w:r>
    </w:p>
    <w:p w:rsidRPr="003F3B58" w:rsidR="00BC4DCE" w:rsidP="00BC4DCE" w:rsidRDefault="00BC4DCE">
      <w:pPr>
        <w:pStyle w:val="JuParaChar"/>
      </w:pPr>
      <w:r w:rsidRPr="003F3B58">
        <w:t>The Execution of Criminal Verdicts</w:t>
      </w:r>
      <w:r w:rsidR="00740FC5">
        <w:t xml:space="preserve"> (</w:t>
      </w:r>
      <w:r w:rsidRPr="003F3B58" w:rsidR="00740FC5">
        <w:t>International Co</w:t>
      </w:r>
      <w:r w:rsidR="00740FC5">
        <w:t>-</w:t>
      </w:r>
      <w:r w:rsidRPr="003F3B58" w:rsidR="00740FC5">
        <w:t>operation</w:t>
      </w:r>
      <w:r w:rsidR="00CA4C5A">
        <w:t>)</w:t>
      </w:r>
      <w:r w:rsidR="00740FC5">
        <w:t xml:space="preserve"> Act</w:t>
      </w:r>
      <w:r w:rsidRPr="003F3B58">
        <w:t xml:space="preserve"> (</w:t>
      </w:r>
      <w:r w:rsidRPr="003F3B58">
        <w:rPr>
          <w:i/>
        </w:rPr>
        <w:t>Lag om internationellt samarbete rörande verkställighet av brottmålsdom,</w:t>
      </w:r>
      <w:r w:rsidRPr="003F3B58">
        <w:t xml:space="preserve"> 1972:260) is based, </w:t>
      </w:r>
      <w:r w:rsidRPr="003F3B58">
        <w:rPr>
          <w:i/>
        </w:rPr>
        <w:t>inter alia</w:t>
      </w:r>
      <w:r w:rsidRPr="003F3B58">
        <w:t xml:space="preserve">, </w:t>
      </w:r>
      <w:r>
        <w:t xml:space="preserve">on </w:t>
      </w:r>
      <w:r w:rsidRPr="003F3B58">
        <w:t>the Transfer Convention and its Additional Protocol. Under the Act, a</w:t>
      </w:r>
      <w:r>
        <w:t xml:space="preserve">n appeal </w:t>
      </w:r>
      <w:r w:rsidR="00740FC5">
        <w:t xml:space="preserve">lies to the Government </w:t>
      </w:r>
      <w:r>
        <w:t>against a</w:t>
      </w:r>
      <w:r w:rsidRPr="003F3B58">
        <w:t xml:space="preserve"> decision </w:t>
      </w:r>
      <w:r>
        <w:t>of the</w:t>
      </w:r>
      <w:r w:rsidRPr="003F3B58">
        <w:t xml:space="preserve"> Administration concerning any issue</w:t>
      </w:r>
      <w:r>
        <w:t xml:space="preserve"> other than the appointment of </w:t>
      </w:r>
      <w:r w:rsidR="00740FC5">
        <w:t>officially assigned</w:t>
      </w:r>
      <w:r w:rsidRPr="003F3B58" w:rsidR="00740FC5">
        <w:t xml:space="preserve"> </w:t>
      </w:r>
      <w:r w:rsidRPr="003F3B58">
        <w:t>counsel</w:t>
      </w:r>
      <w:r w:rsidR="00740FC5">
        <w:t>.</w:t>
      </w:r>
    </w:p>
    <w:p w:rsidRPr="003F3B58" w:rsidR="00BC4DCE" w:rsidP="00BC4DCE" w:rsidRDefault="00BC4DCE">
      <w:pPr>
        <w:pStyle w:val="JuH1"/>
      </w:pPr>
      <w:r>
        <w:t>3</w:t>
      </w:r>
      <w:r w:rsidRPr="003F3B58">
        <w:t>.  The Convention on the Transfer of Sentenced Persons and the Additional Protocol thereto</w:t>
      </w:r>
    </w:p>
    <w:p w:rsidRPr="003F3B58" w:rsidR="00BC4DCE" w:rsidP="00BC4DCE" w:rsidRDefault="00BC4DCE">
      <w:pPr>
        <w:pStyle w:val="JuParaChar"/>
      </w:pPr>
      <w:r w:rsidRPr="003F3B58">
        <w:t>The objectives of the 1983 Transfer Convention (European Treaty Series</w:t>
      </w:r>
      <w:r>
        <w:t>, ETS</w:t>
      </w:r>
      <w:r w:rsidR="00DD7805">
        <w:t>,</w:t>
      </w:r>
      <w:r w:rsidRPr="003F3B58">
        <w:t xml:space="preserve"> </w:t>
      </w:r>
      <w:r>
        <w:t>N</w:t>
      </w:r>
      <w:r w:rsidRPr="003F3B58">
        <w:t xml:space="preserve">o. 112), including its </w:t>
      </w:r>
      <w:r>
        <w:t xml:space="preserve">1997 </w:t>
      </w:r>
      <w:r w:rsidRPr="003F3B58">
        <w:t>Additional Protocol</w:t>
      </w:r>
      <w:r>
        <w:t xml:space="preserve"> (ETS No. 167)</w:t>
      </w:r>
      <w:r w:rsidRPr="003F3B58">
        <w:t>, are to develop international co-operation in the field of criminal law and to further the ends of justice and social rehabilitation of sentenced persons. According to the Preamble to the Transfer Convention, these objectives require that foreigners who are deprived of their liberty as a result of their commission of a criminal offence should be given the opportunity to serve their sentences within their own society.</w:t>
      </w:r>
    </w:p>
    <w:p w:rsidRPr="003F3B58" w:rsidR="00BC4DCE" w:rsidP="00BC4DCE" w:rsidRDefault="00BC4DCE">
      <w:pPr>
        <w:pStyle w:val="JuParaChar"/>
      </w:pPr>
      <w:r w:rsidRPr="003F3B58">
        <w:t>Article 3 § 1 of the Transfer Convention enables the transfer of a sentenced person from “the sentencing State” to “the administering State” provided</w:t>
      </w:r>
      <w:r>
        <w:t>,</w:t>
      </w:r>
      <w:r w:rsidRPr="003F3B58">
        <w:t xml:space="preserve"> </w:t>
      </w:r>
      <w:r w:rsidRPr="003F3B58">
        <w:rPr>
          <w:i/>
        </w:rPr>
        <w:t>inter alia</w:t>
      </w:r>
      <w:r>
        <w:t>,</w:t>
      </w:r>
      <w:r w:rsidRPr="003F3B58">
        <w:t xml:space="preserve"> that the person in question is a national of the administering State; that he or she (or in some instances a legal representative) consents to the transfer; that the acts or omissions on account of which the sentence has been imposed constitute a criminal offence according to the law of the administering State or would constitute a criminal offence if committed on its territory; and that the sentencing and administering States both agree to the transfer.</w:t>
      </w:r>
    </w:p>
    <w:p w:rsidRPr="003F3B58" w:rsidR="00BC4DCE" w:rsidP="00BC4DCE" w:rsidRDefault="00BC4DCE">
      <w:pPr>
        <w:pStyle w:val="JuParaChar"/>
      </w:pPr>
      <w:r w:rsidRPr="003F3B58">
        <w:t xml:space="preserve">Article 9 </w:t>
      </w:r>
      <w:r>
        <w:t xml:space="preserve">of the Transfer Convention </w:t>
      </w:r>
      <w:r w:rsidRPr="003F3B58">
        <w:t>(“Effect of transfer for administering State”)</w:t>
      </w:r>
      <w:r w:rsidR="00740FC5">
        <w:t xml:space="preserve"> provides</w:t>
      </w:r>
      <w:r w:rsidRPr="003F3B58">
        <w:t>:</w:t>
      </w:r>
    </w:p>
    <w:p w:rsidRPr="003F3B58" w:rsidR="00BC4DCE" w:rsidP="00E044E2" w:rsidRDefault="00BC4DCE">
      <w:pPr>
        <w:pStyle w:val="JuQuot"/>
      </w:pPr>
      <w:r w:rsidRPr="003F3B58">
        <w:t>“1.  The competent authorities of the administering State shall:</w:t>
      </w:r>
    </w:p>
    <w:p w:rsidRPr="003F3B58" w:rsidR="00BC4DCE" w:rsidP="00E044E2" w:rsidRDefault="00BC4DCE">
      <w:pPr>
        <w:pStyle w:val="JuQuot"/>
        <w:spacing w:before="0"/>
      </w:pPr>
      <w:r w:rsidRPr="003F3B58">
        <w:t>a.  continue the enforcement of the sen</w:t>
      </w:r>
      <w:r w:rsidRPr="003F3B58">
        <w:softHyphen/>
        <w:t>tence immediately or through a court or administrative order, under the conditions set out in Article</w:t>
      </w:r>
      <w:r w:rsidR="008072CA">
        <w:t xml:space="preserve"> </w:t>
      </w:r>
      <w:r w:rsidRPr="003F3B58">
        <w:t>10, or</w:t>
      </w:r>
    </w:p>
    <w:p w:rsidRPr="003F3B58" w:rsidR="00BC4DCE" w:rsidP="00E044E2" w:rsidRDefault="00BC4DCE">
      <w:pPr>
        <w:pStyle w:val="JuQuot"/>
        <w:spacing w:before="0"/>
      </w:pPr>
      <w:r w:rsidRPr="003F3B58">
        <w:t>b.  convert the sentence, through a judicial or adminis</w:t>
      </w:r>
      <w:r w:rsidRPr="003F3B58">
        <w:softHyphen/>
        <w:t>trative procedure, into a decision of that State, thereby substituting for the sanction imposed in the sentencing State a sanction prescribed by the law of the administering State for the same offence, under the conditions set out in Article</w:t>
      </w:r>
      <w:r w:rsidR="008072CA">
        <w:t xml:space="preserve"> </w:t>
      </w:r>
      <w:r w:rsidRPr="003F3B58">
        <w:t>11.</w:t>
      </w:r>
    </w:p>
    <w:p w:rsidRPr="003F3B58" w:rsidR="00BC4DCE" w:rsidP="00E044E2" w:rsidRDefault="00BC4DCE">
      <w:pPr>
        <w:pStyle w:val="JuQuot"/>
        <w:spacing w:before="0"/>
      </w:pPr>
      <w:r w:rsidRPr="003F3B58">
        <w:t>2.  The administering State, if requested, shall inform the sentencing State before the transfer of the sentenced person as to which of these procedures it will follow.</w:t>
      </w:r>
    </w:p>
    <w:p w:rsidRPr="003F3B58" w:rsidR="00BC4DCE" w:rsidP="00E044E2" w:rsidRDefault="00BC4DCE">
      <w:pPr>
        <w:pStyle w:val="JuQuot"/>
        <w:spacing w:before="0"/>
      </w:pPr>
      <w:r w:rsidRPr="003F3B58">
        <w:t>3.  The enforcement of the sentence shall be governed by the law of the administering State and that State alone shall be competent to take all appropriate decisions. ...”</w:t>
      </w:r>
    </w:p>
    <w:p w:rsidRPr="003F3B58" w:rsidR="00BC4DCE" w:rsidP="00BC4DCE" w:rsidRDefault="00BC4DCE">
      <w:pPr>
        <w:pStyle w:val="JuParaChar"/>
        <w:rPr>
          <w:kern w:val="2"/>
        </w:rPr>
      </w:pPr>
      <w:r w:rsidRPr="003F3B58">
        <w:rPr>
          <w:kern w:val="2"/>
        </w:rPr>
        <w:t xml:space="preserve">Article 10 </w:t>
      </w:r>
      <w:r>
        <w:rPr>
          <w:kern w:val="2"/>
        </w:rPr>
        <w:t xml:space="preserve">of the Transfer Convention </w:t>
      </w:r>
      <w:r w:rsidRPr="003F3B58">
        <w:rPr>
          <w:kern w:val="2"/>
        </w:rPr>
        <w:t>(“Continued enforcement”)</w:t>
      </w:r>
      <w:r w:rsidR="00740FC5">
        <w:rPr>
          <w:kern w:val="2"/>
        </w:rPr>
        <w:t xml:space="preserve"> provides</w:t>
      </w:r>
      <w:r w:rsidRPr="003F3B58">
        <w:rPr>
          <w:kern w:val="2"/>
        </w:rPr>
        <w:t>:</w:t>
      </w:r>
    </w:p>
    <w:p w:rsidRPr="003F3B58" w:rsidR="00BC4DCE" w:rsidP="00E044E2" w:rsidRDefault="00BC4DCE">
      <w:pPr>
        <w:pStyle w:val="JuQuot"/>
      </w:pPr>
      <w:r w:rsidRPr="003F3B58">
        <w:t>“1.  In the case of continued enforcement, the administering State shall be bound by the legal nature and duration of the sentence as determined by the sentencing State.</w:t>
      </w:r>
    </w:p>
    <w:p w:rsidRPr="003F3B58" w:rsidR="00BC4DCE" w:rsidP="00E044E2" w:rsidRDefault="00BC4DCE">
      <w:pPr>
        <w:pStyle w:val="JuQuot"/>
        <w:spacing w:before="0"/>
      </w:pPr>
      <w:r w:rsidRPr="003F3B58">
        <w:t>2.  If, however, this sentence is by its nature or duration incompatible with the law of the administering State, or its law so requires, that State may, by a court or administrative order, adapt the sanction to the punishment or measure prescribed by its own law for a similar offence. As to its nature, the punishment or measure shall, as far as possible, correspond with that imposed by the sentence to be enforced. It shall not aggravate, by its nature or duration, the sanction imposed in the sentencing State, nor exceed the maximum prescribed by the law of the administering State.”</w:t>
      </w:r>
    </w:p>
    <w:p w:rsidRPr="003F3B58" w:rsidR="00BC4DCE" w:rsidP="00BC4DCE" w:rsidRDefault="00BC4DCE">
      <w:pPr>
        <w:pStyle w:val="JuParaChar"/>
        <w:rPr>
          <w:kern w:val="2"/>
        </w:rPr>
      </w:pPr>
      <w:r w:rsidRPr="003F3B58">
        <w:rPr>
          <w:kern w:val="2"/>
        </w:rPr>
        <w:t xml:space="preserve">Article 11 </w:t>
      </w:r>
      <w:r>
        <w:rPr>
          <w:kern w:val="2"/>
        </w:rPr>
        <w:t xml:space="preserve">of the Transfer Convention </w:t>
      </w:r>
      <w:r w:rsidRPr="003F3B58">
        <w:rPr>
          <w:kern w:val="2"/>
        </w:rPr>
        <w:t>(“Conversion of sentence”)</w:t>
      </w:r>
      <w:r w:rsidR="00740FC5">
        <w:rPr>
          <w:kern w:val="2"/>
        </w:rPr>
        <w:t xml:space="preserve"> provides</w:t>
      </w:r>
      <w:r w:rsidRPr="003F3B58">
        <w:rPr>
          <w:kern w:val="2"/>
        </w:rPr>
        <w:t>:</w:t>
      </w:r>
    </w:p>
    <w:p w:rsidRPr="003F3B58" w:rsidR="00BC4DCE" w:rsidP="00E044E2" w:rsidRDefault="00BC4DCE">
      <w:pPr>
        <w:pStyle w:val="JuQuot"/>
      </w:pPr>
      <w:r w:rsidRPr="003F3B58">
        <w:t>“1.  In the case of conversion of sentence, the procedures provided for by the law of the administering State apply. When converting the sentence, the competent authority:</w:t>
      </w:r>
    </w:p>
    <w:p w:rsidRPr="003F3B58" w:rsidR="00BC4DCE" w:rsidP="00E044E2" w:rsidRDefault="00BC4DCE">
      <w:pPr>
        <w:pStyle w:val="JuQuot"/>
        <w:spacing w:before="0"/>
      </w:pPr>
      <w:r w:rsidRPr="003F3B58">
        <w:t>a.  shall be bound by the findings as to the facts insofar as they appear explicitly or implicitly from the judgment imposed in the sentencing State;</w:t>
      </w:r>
    </w:p>
    <w:p w:rsidRPr="003F3B58" w:rsidR="00BC4DCE" w:rsidP="00E044E2" w:rsidRDefault="00BC4DCE">
      <w:pPr>
        <w:pStyle w:val="JuQuot"/>
        <w:spacing w:before="0"/>
      </w:pPr>
      <w:r w:rsidRPr="003F3B58">
        <w:t>b.  may not convert a sanction involving deprivation of liberty to a pecuniary sanction;</w:t>
      </w:r>
    </w:p>
    <w:p w:rsidRPr="003F3B58" w:rsidR="00BC4DCE" w:rsidP="00E044E2" w:rsidRDefault="00BC4DCE">
      <w:pPr>
        <w:pStyle w:val="JuQuot"/>
        <w:spacing w:before="0"/>
      </w:pPr>
      <w:r w:rsidRPr="003F3B58">
        <w:t>c.  shall deduct the full period of deprivation of liberty served by the sentenced person; and</w:t>
      </w:r>
    </w:p>
    <w:p w:rsidRPr="003F3B58" w:rsidR="00BC4DCE" w:rsidP="00E044E2" w:rsidRDefault="00BC4DCE">
      <w:pPr>
        <w:pStyle w:val="JuQuot"/>
        <w:spacing w:before="0"/>
      </w:pPr>
      <w:r w:rsidRPr="003F3B58">
        <w:t>d.  shall not aggravate the penal position of the sentenced person, and shall not be bound by any minimum which the law of the administering State may provide for the offence or offences committed.</w:t>
      </w:r>
    </w:p>
    <w:p w:rsidRPr="003F3B58" w:rsidR="00BC4DCE" w:rsidP="00E044E2" w:rsidRDefault="00BC4DCE">
      <w:pPr>
        <w:pStyle w:val="JuQuot"/>
        <w:spacing w:before="0"/>
      </w:pPr>
      <w:r w:rsidRPr="003F3B58">
        <w:t>2.  If the conversion procedure takes place after the transfer of the sentenced person, the administering State shall keep that person in custody or otherwise ensure his presence in the administering State pending the outcome of that procedure.</w:t>
      </w:r>
      <w:r w:rsidR="00705303">
        <w:t>”</w:t>
      </w:r>
    </w:p>
    <w:p w:rsidRPr="003F3B58" w:rsidR="00BC4DCE" w:rsidP="00BC4DCE" w:rsidRDefault="00BC4DCE">
      <w:pPr>
        <w:pStyle w:val="JuParaChar"/>
      </w:pPr>
      <w:r w:rsidRPr="003F3B58">
        <w:t xml:space="preserve">Article 3 of the Additional Protocol </w:t>
      </w:r>
      <w:r>
        <w:t>(“Sentenced persons subject to an expulsion or deportation order”)</w:t>
      </w:r>
      <w:r w:rsidR="00740FC5">
        <w:t xml:space="preserve"> provides</w:t>
      </w:r>
      <w:r w:rsidRPr="003F3B58">
        <w:t>:</w:t>
      </w:r>
    </w:p>
    <w:p w:rsidR="00BC4DCE" w:rsidP="00E044E2" w:rsidRDefault="00BC4DCE">
      <w:pPr>
        <w:pStyle w:val="JuQuot"/>
      </w:pPr>
      <w:r w:rsidRPr="003F3B58">
        <w:t>“</w:t>
      </w:r>
      <w:r>
        <w:t>1.  </w:t>
      </w:r>
      <w:r w:rsidRPr="003F3B58">
        <w:t>Upon being requested by the sentencing State, the administering State may, subject to the provisions of this Article, agree to the transfer of a sentenced person without the consent of that person, where the sentence passed on the latter, or an administrative decision consequential to that sentence, includes an expulsion or deportation order or any other measure as the result of which that person will no longer be allowed to remain in the territory of the sentencing State once he or she is released from prison.</w:t>
      </w:r>
    </w:p>
    <w:p w:rsidR="00BC4DCE" w:rsidP="00E044E2" w:rsidRDefault="00BC4DCE">
      <w:pPr>
        <w:pStyle w:val="JuQuot"/>
        <w:spacing w:before="0"/>
      </w:pPr>
      <w:r>
        <w:t>...</w:t>
      </w:r>
      <w:r w:rsidRPr="003F3B58">
        <w:t>”</w:t>
      </w:r>
    </w:p>
    <w:p w:rsidR="00BC4DCE" w:rsidP="00BC4DCE" w:rsidRDefault="00BC4DCE">
      <w:pPr>
        <w:pStyle w:val="JuParaChar"/>
      </w:pPr>
      <w:r>
        <w:t>Article 7 of the Additional Protocol (“Temporal application”)</w:t>
      </w:r>
      <w:r w:rsidR="00740FC5">
        <w:t xml:space="preserve"> provides</w:t>
      </w:r>
      <w:r>
        <w:t>:</w:t>
      </w:r>
    </w:p>
    <w:p w:rsidR="00BC4DCE" w:rsidP="00E044E2" w:rsidRDefault="00BC4DCE">
      <w:pPr>
        <w:pStyle w:val="JuQuot"/>
      </w:pPr>
      <w:r>
        <w:t>“This Protocol shall be applicable to the enforcement of sentences imposed either before or after its entry into force.”</w:t>
      </w:r>
    </w:p>
    <w:p w:rsidR="00BC4DCE" w:rsidP="00BC4DCE" w:rsidRDefault="00BC4DCE">
      <w:pPr>
        <w:pStyle w:val="JuParaChar"/>
      </w:pPr>
      <w:r>
        <w:t>Article 21 of the Transfer Convention contains a similar provision on temporal application.</w:t>
      </w:r>
    </w:p>
    <w:p w:rsidR="00BC4DCE" w:rsidP="00BC4DCE" w:rsidRDefault="00BC4DCE">
      <w:pPr>
        <w:pStyle w:val="JuParaChar"/>
      </w:pPr>
      <w:r>
        <w:t>The Explanatory Report to the Additional Protocol recalls in paragraph</w:t>
      </w:r>
      <w:r w:rsidR="00705303">
        <w:t> </w:t>
      </w:r>
      <w:r>
        <w:t>30 that persons may be expelled only subject to the provisions laid down in Article 1 of Protocol No. 7 to the European Convention on Human Rights.</w:t>
      </w:r>
    </w:p>
    <w:p w:rsidR="00BC4DCE" w:rsidP="00BC4DCE" w:rsidRDefault="00BC4DCE">
      <w:pPr>
        <w:pStyle w:val="JuParaChar"/>
      </w:pPr>
      <w:r>
        <w:t xml:space="preserve">The Additional Protocol entered into force in respect of </w:t>
      </w:r>
      <w:smartTag w:uri="urn:schemas-microsoft-com:office:smarttags" w:element="country-region">
        <w:r>
          <w:t>Sweden</w:t>
        </w:r>
      </w:smartTag>
      <w:r>
        <w:t xml:space="preserve"> on </w:t>
      </w:r>
      <w:smartTag w:uri="urn:schemas-microsoft-com:office:smarttags" w:element="date">
        <w:smartTagPr>
          <w:attr w:name="Month" w:val="3"/>
          <w:attr w:name="Day" w:val="1"/>
          <w:attr w:name="Year" w:val="2001"/>
        </w:smartTagPr>
        <w:r>
          <w:t>1 March 2001</w:t>
        </w:r>
      </w:smartTag>
      <w:r>
        <w:t xml:space="preserve"> and in respect of </w:t>
      </w:r>
      <w:smartTag w:uri="urn:schemas-microsoft-com:office:smarttags" w:element="place">
        <w:smartTag w:uri="urn:schemas-microsoft-com:office:smarttags" w:element="country-region">
          <w:r>
            <w:t>Hungary</w:t>
          </w:r>
        </w:smartTag>
      </w:smartTag>
      <w:r>
        <w:t xml:space="preserve"> on </w:t>
      </w:r>
      <w:smartTag w:uri="urn:schemas-microsoft-com:office:smarttags" w:element="date">
        <w:smartTagPr>
          <w:attr w:name="Month" w:val="9"/>
          <w:attr w:name="Day" w:val="1"/>
          <w:attr w:name="Year" w:val="2001"/>
        </w:smartTagPr>
        <w:r>
          <w:t>1 September 2001</w:t>
        </w:r>
      </w:smartTag>
      <w:r>
        <w:t>.</w:t>
      </w:r>
    </w:p>
    <w:p w:rsidRPr="000A3D55" w:rsidR="00BC4DCE" w:rsidP="00BC4DCE" w:rsidRDefault="00BC4DCE">
      <w:pPr>
        <w:pStyle w:val="JuHHead"/>
      </w:pPr>
      <w:r w:rsidRPr="000A3D55">
        <w:t>COMPLAINT</w:t>
      </w:r>
    </w:p>
    <w:p w:rsidR="00BC4DCE" w:rsidP="00BC4DCE" w:rsidRDefault="00BC4DCE">
      <w:pPr>
        <w:pStyle w:val="JuParaChar"/>
      </w:pPr>
      <w:r w:rsidRPr="00AF6730">
        <w:t>The applicant complain</w:t>
      </w:r>
      <w:r>
        <w:t>ed</w:t>
      </w:r>
      <w:r w:rsidRPr="00AF6730">
        <w:t xml:space="preserve"> that his transfer to </w:t>
      </w:r>
      <w:smartTag w:uri="urn:schemas-microsoft-com:office:smarttags" w:element="country-region">
        <w:smartTag w:uri="urn:schemas-microsoft-com:office:smarttags" w:element="place">
          <w:r w:rsidRPr="00AF6730">
            <w:t>Hungary</w:t>
          </w:r>
        </w:smartTag>
      </w:smartTag>
      <w:r w:rsidRPr="00AF6730">
        <w:t xml:space="preserve"> with a view to serving the remainder of his sentence </w:t>
      </w:r>
      <w:r w:rsidR="00705303">
        <w:t>in that country</w:t>
      </w:r>
      <w:r w:rsidRPr="00AF6730" w:rsidR="00705303">
        <w:t xml:space="preserve"> </w:t>
      </w:r>
      <w:r w:rsidR="00CA4C5A">
        <w:t>resulted in</w:t>
      </w:r>
      <w:r w:rsidRPr="00AF6730">
        <w:t xml:space="preserve"> a </w:t>
      </w:r>
      <w:r w:rsidRPr="00ED3D37">
        <w:rPr>
          <w:i/>
        </w:rPr>
        <w:t>de facto</w:t>
      </w:r>
      <w:r w:rsidRPr="00AF6730">
        <w:t xml:space="preserve"> </w:t>
      </w:r>
      <w:r w:rsidR="00CA4C5A">
        <w:t xml:space="preserve">sixteen-month increase in his </w:t>
      </w:r>
      <w:r w:rsidR="00A246C2">
        <w:t xml:space="preserve">term </w:t>
      </w:r>
      <w:r w:rsidR="00CA4C5A">
        <w:t>of</w:t>
      </w:r>
      <w:r w:rsidRPr="00AF6730" w:rsidR="00CA4C5A">
        <w:t xml:space="preserve"> </w:t>
      </w:r>
      <w:r w:rsidRPr="00AF6730">
        <w:t>imprisonment</w:t>
      </w:r>
      <w:r w:rsidR="00CA4C5A">
        <w:t>.</w:t>
      </w:r>
      <w:r w:rsidRPr="00AF6730">
        <w:t xml:space="preserve"> </w:t>
      </w:r>
      <w:r>
        <w:t>He relied on Articles 9, 11 and 14 of the Convention and Article 1 of Protocol No. 12 to the Convention.</w:t>
      </w:r>
    </w:p>
    <w:p w:rsidRPr="000A3D55" w:rsidR="00BC4DCE" w:rsidP="00BC4DCE" w:rsidRDefault="00BC4DCE">
      <w:pPr>
        <w:pStyle w:val="JuHHead"/>
      </w:pPr>
      <w:r w:rsidRPr="000A3D55">
        <w:t>THE LAW</w:t>
      </w:r>
    </w:p>
    <w:p w:rsidR="00BC4DCE" w:rsidP="00BC4DCE" w:rsidRDefault="00BC4DCE">
      <w:pPr>
        <w:pStyle w:val="JuParaChar"/>
      </w:pPr>
      <w:r>
        <w:t>In his application, the applicant relied on Articles 9, 11 and 14 of the Convention and Article 1 of Protocol No. 12 to the Convention. The Court has found, however, that the complaint concerning the</w:t>
      </w:r>
      <w:r w:rsidRPr="00740FC5" w:rsidR="00740FC5">
        <w:t xml:space="preserve"> </w:t>
      </w:r>
      <w:r w:rsidRPr="00AF6730" w:rsidR="00740FC5">
        <w:t>longer</w:t>
      </w:r>
      <w:r>
        <w:t xml:space="preserve"> </w:t>
      </w:r>
      <w:r w:rsidRPr="00ED3D37">
        <w:rPr>
          <w:i/>
        </w:rPr>
        <w:t>de facto</w:t>
      </w:r>
      <w:r w:rsidRPr="00AF6730">
        <w:t xml:space="preserve"> </w:t>
      </w:r>
      <w:r w:rsidR="00740FC5">
        <w:t xml:space="preserve">term of </w:t>
      </w:r>
      <w:r w:rsidRPr="00AF6730">
        <w:t>imprisonment</w:t>
      </w:r>
      <w:r>
        <w:t xml:space="preserve"> in Hungary falls to be considered under Article 5 of the Convention. It has also examined of its own motion whether the application raises issues under Articles 6 and 7 of the Convention.</w:t>
      </w:r>
    </w:p>
    <w:p w:rsidRPr="00010FF7" w:rsidR="00BC4DCE" w:rsidP="00BC4DCE" w:rsidRDefault="00BC4DCE">
      <w:pPr>
        <w:pStyle w:val="JuParaChar"/>
      </w:pPr>
      <w:r>
        <w:t>1.  </w:t>
      </w:r>
      <w:r w:rsidRPr="00010FF7">
        <w:t>The applicant complain</w:t>
      </w:r>
      <w:r>
        <w:t>ed</w:t>
      </w:r>
      <w:r w:rsidRPr="00010FF7">
        <w:t xml:space="preserve"> that in </w:t>
      </w:r>
      <w:smartTag w:uri="urn:schemas-microsoft-com:office:smarttags" w:element="country-region">
        <w:r w:rsidRPr="00010FF7">
          <w:t>Hungary</w:t>
        </w:r>
      </w:smartTag>
      <w:r w:rsidRPr="00010FF7">
        <w:t xml:space="preserve"> he </w:t>
      </w:r>
      <w:r w:rsidR="00740FC5">
        <w:t>would</w:t>
      </w:r>
      <w:r w:rsidRPr="00010FF7" w:rsidR="00740FC5">
        <w:t xml:space="preserve"> </w:t>
      </w:r>
      <w:r w:rsidRPr="00010FF7">
        <w:t xml:space="preserve">have to serve a longer </w:t>
      </w:r>
      <w:r w:rsidRPr="00010FF7">
        <w:rPr>
          <w:i/>
        </w:rPr>
        <w:t>de facto</w:t>
      </w:r>
      <w:r w:rsidRPr="00010FF7">
        <w:t xml:space="preserve"> period of imprisonment than</w:t>
      </w:r>
      <w:r>
        <w:t xml:space="preserve"> if he</w:t>
      </w:r>
      <w:r w:rsidRPr="00010FF7">
        <w:t xml:space="preserve"> had served his sentence in </w:t>
      </w:r>
      <w:smartTag w:uri="urn:schemas-microsoft-com:office:smarttags" w:element="place">
        <w:smartTag w:uri="urn:schemas-microsoft-com:office:smarttags" w:element="country-region">
          <w:r w:rsidRPr="00010FF7">
            <w:t>Sweden</w:t>
          </w:r>
        </w:smartTag>
      </w:smartTag>
      <w:r w:rsidRPr="00010FF7">
        <w:t>.</w:t>
      </w:r>
      <w:r>
        <w:t xml:space="preserve"> The complaint is examined </w:t>
      </w:r>
      <w:r w:rsidRPr="00010FF7">
        <w:t>under Article 5 of the Convention</w:t>
      </w:r>
      <w:r w:rsidR="00740FC5">
        <w:t>, the relevant parts of</w:t>
      </w:r>
      <w:r w:rsidRPr="00010FF7">
        <w:t xml:space="preserve"> which read</w:t>
      </w:r>
      <w:r>
        <w:t xml:space="preserve"> as follows</w:t>
      </w:r>
      <w:r w:rsidRPr="00010FF7">
        <w:t>:</w:t>
      </w:r>
    </w:p>
    <w:p w:rsidRPr="00010FF7" w:rsidR="00BC4DCE" w:rsidP="00E044E2" w:rsidRDefault="00BC4DCE">
      <w:pPr>
        <w:pStyle w:val="JuQuot"/>
      </w:pPr>
      <w:r w:rsidRPr="00010FF7">
        <w:t>“1.  Everyone has the right to liberty and security of person. No one shall be deprived of his liberty save in the following cases and in accordance with a procedure prescribed by law:</w:t>
      </w:r>
    </w:p>
    <w:p w:rsidRPr="00010FF7" w:rsidR="00BC4DCE" w:rsidP="00E044E2" w:rsidRDefault="00BC4DCE">
      <w:pPr>
        <w:pStyle w:val="JuQuot"/>
        <w:spacing w:before="0"/>
      </w:pPr>
      <w:r w:rsidRPr="00010FF7">
        <w:t>(a)  the lawful detention of a person after conviction by a competent court;</w:t>
      </w:r>
      <w:r>
        <w:t xml:space="preserve"> ...</w:t>
      </w:r>
      <w:r w:rsidRPr="00010FF7">
        <w:t>”</w:t>
      </w:r>
    </w:p>
    <w:p w:rsidR="00BC4DCE" w:rsidP="00BC4DCE" w:rsidRDefault="00BC4DCE">
      <w:pPr>
        <w:pStyle w:val="JuParaChar"/>
      </w:pPr>
      <w:r>
        <w:t>The respondent Government submitted that this complaint was manifestly ill-founded. They stated that the applicant</w:t>
      </w:r>
      <w:r w:rsidR="004D445B">
        <w:t>’</w:t>
      </w:r>
      <w:r>
        <w:t xml:space="preserve">s deprivation of liberty in </w:t>
      </w:r>
      <w:smartTag w:uri="urn:schemas-microsoft-com:office:smarttags" w:element="place">
        <w:smartTag w:uri="urn:schemas-microsoft-com:office:smarttags" w:element="country-region">
          <w:r>
            <w:t>Hungary</w:t>
          </w:r>
        </w:smartTag>
      </w:smartTag>
      <w:r>
        <w:t xml:space="preserve"> had its basis in the conviction by the Swedish courts and that the Swedish judgments and decisions were “lawful” and</w:t>
      </w:r>
      <w:r w:rsidR="00D05775">
        <w:t xml:space="preserve"> had been</w:t>
      </w:r>
      <w:r>
        <w:t xml:space="preserve"> adopted “in accordance with a procedure prescribed by law”. The application by the Hungarian authorities of the Hungarian rules on conditional release related to the enforcement of the sentence and did not have any bearing on the lawfulness of the applicant</w:t>
      </w:r>
      <w:r w:rsidR="004D445B">
        <w:t>’</w:t>
      </w:r>
      <w:r>
        <w:t>s deprivation of liberty. The Government maintained that the purpose of Article 5 § 1 – to protect the individual against arbitrary detention – had not been thwarted in the present case and that there was a sufficient causal connection between the conviction and the deprivation of liberty.</w:t>
      </w:r>
    </w:p>
    <w:p w:rsidR="00BC4DCE" w:rsidP="00BC4DCE" w:rsidRDefault="00BC4DCE">
      <w:pPr>
        <w:pStyle w:val="JuParaChar"/>
      </w:pPr>
      <w:r>
        <w:t>The Government further argued that the States adopting the Transfer Convention and its Additional Protocol had been aware that there were differences in their legal syste</w:t>
      </w:r>
      <w:smartTag w:uri="urn:schemas-microsoft-com:office:smarttags" w:element="PersonName">
        <w:r>
          <w:t>ms</w:t>
        </w:r>
      </w:smartTag>
      <w:r>
        <w:t xml:space="preserve"> with regard to the </w:t>
      </w:r>
      <w:r w:rsidR="00EA63F8">
        <w:t xml:space="preserve">enforcement </w:t>
      </w:r>
      <w:r>
        <w:t>of criminal judgments and that there was nothing in these instruments which prevented an administering State from applying stricter rules on conditional release than the sentencing State. Moreover, should the transfer of sentenced persons require that both States involved apply similar provisions of law with respect to conditional release, the objectives of the Transfer Convention and the Additional Protocol would be frustrated and the transfer of sentenced persons to their native countries would, in many cases, be impossible. In the Government</w:t>
      </w:r>
      <w:r w:rsidR="004D445B">
        <w:t>’</w:t>
      </w:r>
      <w:r>
        <w:t>s view, this would not further the social rehabilitation of such persons, especially in cases like the present where the sentenced person would not be allowed to remain in the sentencing State following release from prison.</w:t>
      </w:r>
    </w:p>
    <w:p w:rsidR="00BC4DCE" w:rsidP="00BC4DCE" w:rsidRDefault="00BC4DCE">
      <w:pPr>
        <w:pStyle w:val="JuParaChar"/>
      </w:pPr>
      <w:r>
        <w:t>The applicant claimed that there had been a breach of Article 5 § 1. Referring to Article 11 § 1 (d) of the Transfer Convention,</w:t>
      </w:r>
      <w:r w:rsidR="00CF5FF6">
        <w:t xml:space="preserve"> under </w:t>
      </w:r>
      <w:r>
        <w:t xml:space="preserve">which the competent authority of the administering State, when converting the sentence, </w:t>
      </w:r>
      <w:r w:rsidR="00CF5FF6">
        <w:t xml:space="preserve">must </w:t>
      </w:r>
      <w:r>
        <w:t xml:space="preserve">not aggravate the penal position of the sentenced person, he contended that the penal position did not simply concern the sentence imposed but also the kind of sanction to be enforced. Given that conditional release </w:t>
      </w:r>
      <w:r w:rsidR="00740FC5">
        <w:t xml:space="preserve">was </w:t>
      </w:r>
      <w:r>
        <w:t>automatic in Sweden after two-thirds of the sentence ha</w:t>
      </w:r>
      <w:r w:rsidR="00740FC5">
        <w:t>d</w:t>
      </w:r>
      <w:r>
        <w:t xml:space="preserve"> been served</w:t>
      </w:r>
      <w:r w:rsidR="00D05775">
        <w:t>,</w:t>
      </w:r>
      <w:r>
        <w:t xml:space="preserve"> unless the convict commit</w:t>
      </w:r>
      <w:r w:rsidR="00D05775">
        <w:t>ted</w:t>
      </w:r>
      <w:r>
        <w:t xml:space="preserve"> a more serious disciplinary offence, the </w:t>
      </w:r>
      <w:r>
        <w:rPr>
          <w:i/>
        </w:rPr>
        <w:t>de facto</w:t>
      </w:r>
      <w:r>
        <w:t xml:space="preserve"> </w:t>
      </w:r>
      <w:r w:rsidR="00D05775">
        <w:t xml:space="preserve">term </w:t>
      </w:r>
      <w:r>
        <w:t>of imprisonment in a Swedish prison did not correspon</w:t>
      </w:r>
      <w:r w:rsidR="00B6510C">
        <w:t xml:space="preserve">d to that </w:t>
      </w:r>
      <w:r w:rsidR="00CF5FF6">
        <w:t>of</w:t>
      </w:r>
      <w:r w:rsidR="00B6510C">
        <w:t xml:space="preserve"> a Hungarian strict </w:t>
      </w:r>
      <w:r>
        <w:t>prison</w:t>
      </w:r>
      <w:r w:rsidRPr="00B6510C" w:rsidR="00B6510C">
        <w:t xml:space="preserve"> </w:t>
      </w:r>
      <w:r w:rsidR="00B6510C">
        <w:t>regime</w:t>
      </w:r>
      <w:r>
        <w:t>, where four-fifths of the sentence had to be served before conditional release could be ordered. Moreover, the latter decision, taken by a prison judge, was dependent on the initiative of a prison governor.</w:t>
      </w:r>
    </w:p>
    <w:p w:rsidR="00BC4DCE" w:rsidP="00BC4DCE" w:rsidRDefault="00BC4DCE">
      <w:pPr>
        <w:pStyle w:val="JuParaChar"/>
      </w:pPr>
      <w:r>
        <w:t xml:space="preserve">The applicant further submitted that the conditions under which he had to serve the sentence in </w:t>
      </w:r>
      <w:smartTag w:uri="urn:schemas-microsoft-com:office:smarttags" w:element="country-region">
        <w:r>
          <w:t>Hungary</w:t>
        </w:r>
      </w:smartTag>
      <w:r>
        <w:t xml:space="preserve"> had to be taken into account as part of his penal position, and that the regime in </w:t>
      </w:r>
      <w:smartTag w:uri="urn:schemas-microsoft-com:office:smarttags" w:element="country-region">
        <w:r>
          <w:t>Hungary</w:t>
        </w:r>
      </w:smartTag>
      <w:r>
        <w:t xml:space="preserve"> was stricter than in </w:t>
      </w:r>
      <w:smartTag w:uri="urn:schemas-microsoft-com:office:smarttags" w:element="place">
        <w:smartTag w:uri="urn:schemas-microsoft-com:office:smarttags" w:element="country-region">
          <w:r>
            <w:t>Sweden</w:t>
          </w:r>
        </w:smartTag>
      </w:smartTag>
      <w:r>
        <w:t>. In th</w:t>
      </w:r>
      <w:r w:rsidR="00740FC5">
        <w:t>at</w:t>
      </w:r>
      <w:r>
        <w:t xml:space="preserve"> connection, he contended that the prison conditions played a crucial part in the successful rehabilitation of a convict and that, despite his geographical proximity to his wife and children, his position in </w:t>
      </w:r>
      <w:smartTag w:uri="urn:schemas-microsoft-com:office:smarttags" w:element="country-region">
        <w:r>
          <w:t>Hungary</w:t>
        </w:r>
      </w:smartTag>
      <w:r>
        <w:t xml:space="preserve"> was altogether inferior to that </w:t>
      </w:r>
      <w:r w:rsidR="00CF5FF6">
        <w:t xml:space="preserve">which would have obtained </w:t>
      </w:r>
      <w:r>
        <w:t xml:space="preserve">in </w:t>
      </w:r>
      <w:smartTag w:uri="urn:schemas-microsoft-com:office:smarttags" w:element="country-region">
        <w:smartTag w:uri="urn:schemas-microsoft-com:office:smarttags" w:element="place">
          <w:r>
            <w:t>Sweden</w:t>
          </w:r>
        </w:smartTag>
      </w:smartTag>
      <w:r>
        <w:t>.</w:t>
      </w:r>
    </w:p>
    <w:p w:rsidR="00BC4DCE" w:rsidP="00BC4DCE" w:rsidRDefault="00BC4DCE">
      <w:pPr>
        <w:pStyle w:val="JuParaChar"/>
      </w:pPr>
      <w:r>
        <w:t xml:space="preserve">Finally, given that the decision on his transfer to </w:t>
      </w:r>
      <w:smartTag w:uri="urn:schemas-microsoft-com:office:smarttags" w:element="place">
        <w:smartTag w:uri="urn:schemas-microsoft-com:office:smarttags" w:element="country-region">
          <w:r>
            <w:t>Hungary</w:t>
          </w:r>
        </w:smartTag>
      </w:smartTag>
      <w:r>
        <w:t xml:space="preserve"> had been taken by the Swedish Government, the applicant submitted that his prolonged detention had been the result of a procedure which had not provided </w:t>
      </w:r>
      <w:r w:rsidR="00740FC5">
        <w:t xml:space="preserve">the </w:t>
      </w:r>
      <w:r>
        <w:t xml:space="preserve">safeguards </w:t>
      </w:r>
      <w:r w:rsidR="00740FC5">
        <w:t>necessary in</w:t>
      </w:r>
      <w:r>
        <w:t xml:space="preserve"> cases that </w:t>
      </w:r>
      <w:r w:rsidR="00740FC5">
        <w:t xml:space="preserve">might </w:t>
      </w:r>
      <w:r>
        <w:t>result in the deprivation of liberty.</w:t>
      </w:r>
    </w:p>
    <w:p w:rsidR="00BC4DCE" w:rsidP="00BC4DCE" w:rsidRDefault="00BC4DCE">
      <w:pPr>
        <w:pStyle w:val="JuParaChar"/>
      </w:pPr>
      <w:r>
        <w:t>The Court notes that, under Swedish law, the date set for a prisoner</w:t>
      </w:r>
      <w:r w:rsidR="004D445B">
        <w:t>’</w:t>
      </w:r>
      <w:r>
        <w:t>s release on parole may be postponed in certain circu</w:t>
      </w:r>
      <w:smartTag w:uri="urn:schemas-microsoft-com:office:smarttags" w:element="PersonName">
        <w:r>
          <w:t>ms</w:t>
        </w:r>
      </w:smartTag>
      <w:r>
        <w:t xml:space="preserve">tances. Nevertheless, the applicant had a reasonable expectation of being released in </w:t>
      </w:r>
      <w:smartTag w:uri="urn:schemas-microsoft-com:office:smarttags" w:element="place">
        <w:smartTag w:uri="urn:schemas-microsoft-com:office:smarttags" w:element="country-region">
          <w:r>
            <w:t>Sweden</w:t>
          </w:r>
        </w:smartTag>
      </w:smartTag>
      <w:r>
        <w:t xml:space="preserve"> after having served two-thirds of his ten-year prison sentence, that is, after six years and eight months. As a consequence of his transfer to </w:t>
      </w:r>
      <w:smartTag w:uri="urn:schemas-microsoft-com:office:smarttags" w:element="place">
        <w:smartTag w:uri="urn:schemas-microsoft-com:office:smarttags" w:element="country-region">
          <w:r>
            <w:t>Hungary</w:t>
          </w:r>
        </w:smartTag>
      </w:smartTag>
      <w:r>
        <w:t xml:space="preserve"> and the decision of the Budapest Regional Court of </w:t>
      </w:r>
      <w:smartTag w:uri="urn:schemas-microsoft-com:office:smarttags" w:element="date">
        <w:smartTagPr>
          <w:attr w:name="Month" w:val="2"/>
          <w:attr w:name="Day" w:val="17"/>
          <w:attr w:name="Year" w:val="2004"/>
        </w:smartTagPr>
        <w:r>
          <w:t>17 February 2004</w:t>
        </w:r>
      </w:smartTag>
      <w:r>
        <w:t xml:space="preserve">, he </w:t>
      </w:r>
      <w:r w:rsidR="00740FC5">
        <w:t>will be eligible for</w:t>
      </w:r>
      <w:r>
        <w:t xml:space="preserve"> release on parole following the completion of four-fifths of that sentence, that is, after eight years. Thus, while his sentence has not been increased as a matter of law, the fact remains that in </w:t>
      </w:r>
      <w:smartTag w:uri="urn:schemas-microsoft-com:office:smarttags" w:element="country-region">
        <w:r>
          <w:t>Hungary</w:t>
        </w:r>
      </w:smartTag>
      <w:r>
        <w:t xml:space="preserve"> he is likely to have to serve a </w:t>
      </w:r>
      <w:r w:rsidR="00D05775">
        <w:t xml:space="preserve">term </w:t>
      </w:r>
      <w:r>
        <w:t>of imprisonment which is</w:t>
      </w:r>
      <w:r w:rsidRPr="00AF6730">
        <w:t xml:space="preserve"> one year and four months</w:t>
      </w:r>
      <w:r>
        <w:t xml:space="preserve"> longer than if he had served his sentence in </w:t>
      </w:r>
      <w:smartTag w:uri="urn:schemas-microsoft-com:office:smarttags" w:element="place">
        <w:smartTag w:uri="urn:schemas-microsoft-com:office:smarttags" w:element="country-region">
          <w:r>
            <w:t>Sweden</w:t>
          </w:r>
        </w:smartTag>
      </w:smartTag>
      <w:r>
        <w:t>.</w:t>
      </w:r>
    </w:p>
    <w:p w:rsidR="00BC4DCE" w:rsidP="00BC4DCE" w:rsidRDefault="00BC4DCE">
      <w:pPr>
        <w:pStyle w:val="JuParaChar"/>
      </w:pPr>
      <w:r>
        <w:t>The question is whether the applicant</w:t>
      </w:r>
      <w:r w:rsidR="004D445B">
        <w:t>’</w:t>
      </w:r>
      <w:r>
        <w:t xml:space="preserve">s transfer to </w:t>
      </w:r>
      <w:smartTag w:uri="urn:schemas-microsoft-com:office:smarttags" w:element="place">
        <w:smartTag w:uri="urn:schemas-microsoft-com:office:smarttags" w:element="country-region">
          <w:r>
            <w:t>Hungary</w:t>
          </w:r>
        </w:smartTag>
      </w:smartTag>
      <w:r>
        <w:t xml:space="preserve">, with the resulting longer </w:t>
      </w:r>
      <w:r w:rsidRPr="002656A6" w:rsidR="00740FC5">
        <w:rPr>
          <w:i/>
        </w:rPr>
        <w:t>de facto</w:t>
      </w:r>
      <w:r w:rsidR="00740FC5">
        <w:t xml:space="preserve"> term of </w:t>
      </w:r>
      <w:r>
        <w:t>imprisonment, has involved a violation of Article 5.</w:t>
      </w:r>
    </w:p>
    <w:p w:rsidR="00BC4DCE" w:rsidP="00BC4DCE" w:rsidRDefault="00BC4DCE">
      <w:pPr>
        <w:pStyle w:val="JuParaChar"/>
      </w:pPr>
      <w:r>
        <w:t>The applicant</w:t>
      </w:r>
      <w:r w:rsidR="004D445B">
        <w:t>’</w:t>
      </w:r>
      <w:r>
        <w:t xml:space="preserve">s deprivation of liberty falls to be examined under paragraph 1 (a) of Article 5. There can be no doubt that his conviction in </w:t>
      </w:r>
      <w:smartTag w:uri="urn:schemas-microsoft-com:office:smarttags" w:element="place">
        <w:smartTag w:uri="urn:schemas-microsoft-com:office:smarttags" w:element="country-region">
          <w:r>
            <w:t>Sweden</w:t>
          </w:r>
        </w:smartTag>
      </w:smartTag>
      <w:r>
        <w:t xml:space="preserve"> was pronounced by a competent court within the meaning of that provision or that the relevant judgments were in conformity with the procedural and substantive rules of Swedish law. </w:t>
      </w:r>
      <w:r w:rsidRPr="004A196B">
        <w:t xml:space="preserve">As established </w:t>
      </w:r>
      <w:r>
        <w:t>by</w:t>
      </w:r>
      <w:r w:rsidRPr="004A196B">
        <w:t xml:space="preserve"> the case-law of the Court, </w:t>
      </w:r>
      <w:r>
        <w:t xml:space="preserve">however, </w:t>
      </w:r>
      <w:r w:rsidRPr="004A196B">
        <w:t xml:space="preserve">the word </w:t>
      </w:r>
      <w:r>
        <w:t>“</w:t>
      </w:r>
      <w:r w:rsidRPr="004A196B">
        <w:t>after</w:t>
      </w:r>
      <w:r>
        <w:t xml:space="preserve">” </w:t>
      </w:r>
      <w:r w:rsidRPr="004A196B">
        <w:t xml:space="preserve">in </w:t>
      </w:r>
      <w:r>
        <w:t xml:space="preserve">Article 5 § 1 </w:t>
      </w:r>
      <w:r w:rsidRPr="004A196B">
        <w:t>(a) does not simply mean that the detention must</w:t>
      </w:r>
      <w:r>
        <w:t xml:space="preserve"> </w:t>
      </w:r>
      <w:r w:rsidRPr="004A196B">
        <w:t xml:space="preserve">follow the </w:t>
      </w:r>
      <w:r>
        <w:t>“</w:t>
      </w:r>
      <w:r w:rsidRPr="004A196B">
        <w:t>conviction</w:t>
      </w:r>
      <w:r>
        <w:t>”</w:t>
      </w:r>
      <w:r w:rsidRPr="004A196B">
        <w:t xml:space="preserve"> in point of time: in addition, the detention</w:t>
      </w:r>
      <w:r>
        <w:t xml:space="preserve"> </w:t>
      </w:r>
      <w:r w:rsidRPr="004A196B">
        <w:t>must result from, follow and depend upon or occur by virtue of the</w:t>
      </w:r>
      <w:r>
        <w:t xml:space="preserve"> “</w:t>
      </w:r>
      <w:r w:rsidRPr="004A196B">
        <w:t>conviction</w:t>
      </w:r>
      <w:r>
        <w:t xml:space="preserve">”. </w:t>
      </w:r>
      <w:r w:rsidRPr="004A196B">
        <w:t>In short, there must be a</w:t>
      </w:r>
      <w:r>
        <w:t xml:space="preserve"> </w:t>
      </w:r>
      <w:r w:rsidRPr="004A196B">
        <w:t>sufficient causal connection between the conviction and the</w:t>
      </w:r>
      <w:r>
        <w:t xml:space="preserve"> </w:t>
      </w:r>
      <w:r w:rsidRPr="004A196B">
        <w:t>deprivation of liberty at issue (see</w:t>
      </w:r>
      <w:r>
        <w:t xml:space="preserve">, </w:t>
      </w:r>
      <w:r w:rsidRPr="00CF5FF6" w:rsidR="00CF5FF6">
        <w:rPr>
          <w:i/>
        </w:rPr>
        <w:t>among other authorities</w:t>
      </w:r>
      <w:r>
        <w:t>,</w:t>
      </w:r>
      <w:r w:rsidRPr="004A196B">
        <w:t xml:space="preserve"> </w:t>
      </w:r>
      <w:r w:rsidRPr="00514D04">
        <w:rPr>
          <w:i/>
        </w:rPr>
        <w:t>Weeks v. the United Kingdom</w:t>
      </w:r>
      <w:r>
        <w:t>,</w:t>
      </w:r>
      <w:r w:rsidRPr="004A196B">
        <w:t xml:space="preserve"> </w:t>
      </w:r>
      <w:r>
        <w:t xml:space="preserve">judgment of 2 March 1987, </w:t>
      </w:r>
      <w:r w:rsidRPr="004A196B">
        <w:t xml:space="preserve">Series A no. 114, </w:t>
      </w:r>
      <w:r>
        <w:t xml:space="preserve">p. 23, </w:t>
      </w:r>
      <w:r w:rsidRPr="004A196B">
        <w:t>§ 42).</w:t>
      </w:r>
    </w:p>
    <w:p w:rsidR="00BC4DCE" w:rsidP="00BC4DCE" w:rsidRDefault="00BC4DCE">
      <w:pPr>
        <w:pStyle w:val="JuParaChar"/>
      </w:pPr>
      <w:r>
        <w:t xml:space="preserve">The </w:t>
      </w:r>
      <w:r w:rsidR="00EA63F8">
        <w:t>enforcement</w:t>
      </w:r>
      <w:r w:rsidR="00CF5FF6">
        <w:t xml:space="preserve"> </w:t>
      </w:r>
      <w:r>
        <w:t>of the applicant</w:t>
      </w:r>
      <w:r w:rsidR="004D445B">
        <w:t>’</w:t>
      </w:r>
      <w:r>
        <w:t xml:space="preserve">s sentence is based on his conviction in </w:t>
      </w:r>
      <w:smartTag w:uri="urn:schemas-microsoft-com:office:smarttags" w:element="country-region">
        <w:smartTag w:uri="urn:schemas-microsoft-com:office:smarttags" w:element="place">
          <w:r>
            <w:t>Sweden</w:t>
          </w:r>
        </w:smartTag>
      </w:smartTag>
      <w:r>
        <w:t>. The Hungarian courts converted the sentence into the same term of imprisonment under Hungarian law, without making any fresh assessments as to the facts of the case or the applicant</w:t>
      </w:r>
      <w:r w:rsidR="004D445B">
        <w:t>’</w:t>
      </w:r>
      <w:r>
        <w:t xml:space="preserve">s guilt. Consequently, there is a sufficient causal connection between the conviction and the deprivation of liberty in </w:t>
      </w:r>
      <w:smartTag w:uri="urn:schemas-microsoft-com:office:smarttags" w:element="place">
        <w:smartTag w:uri="urn:schemas-microsoft-com:office:smarttags" w:element="country-region">
          <w:r>
            <w:t>Hungary</w:t>
          </w:r>
        </w:smartTag>
      </w:smartTag>
      <w:r>
        <w:t>.</w:t>
      </w:r>
    </w:p>
    <w:p w:rsidR="00BC4DCE" w:rsidP="00BC4DCE" w:rsidRDefault="00BC4DCE">
      <w:pPr>
        <w:pStyle w:val="JuParaChar"/>
      </w:pPr>
      <w:r>
        <w:t xml:space="preserve">However, the Court must also satisfy itself that there </w:t>
      </w:r>
      <w:r w:rsidR="00E30510">
        <w:t xml:space="preserve">has been </w:t>
      </w:r>
      <w:r>
        <w:t xml:space="preserve">no arbitrariness. As it has repeatedly held, no deprivation of liberty which is arbitrary can be regarded as compatible with Article 5 (see, among other authorities, </w:t>
      </w:r>
      <w:r>
        <w:rPr>
          <w:i/>
        </w:rPr>
        <w:t>Van Droogenbroeck v. Belgium</w:t>
      </w:r>
      <w:r>
        <w:t>, judgment of 24 June 1982, Series A no. 50, pp. 21-22, § 40). In assessing the question of arbitrariness, it reiterates that the Convention cannot be interpreted in a vacuum. The Court must be mindful of the Convention</w:t>
      </w:r>
      <w:r w:rsidR="004D445B">
        <w:t>’</w:t>
      </w:r>
      <w:r>
        <w:t xml:space="preserve">s special character as a human rights treaty, and it must also take the relevant rules of international law into account (see, </w:t>
      </w:r>
      <w:r>
        <w:rPr>
          <w:i/>
          <w:iCs/>
        </w:rPr>
        <w:t>mutatis mutandis</w:t>
      </w:r>
      <w:r>
        <w:t xml:space="preserve">, </w:t>
      </w:r>
      <w:r>
        <w:rPr>
          <w:i/>
          <w:iCs/>
        </w:rPr>
        <w:t>Loizidou v. Turkey</w:t>
      </w:r>
      <w:r>
        <w:t xml:space="preserve"> (merits), judgment of 18</w:t>
      </w:r>
      <w:r w:rsidR="00E30510">
        <w:t> </w:t>
      </w:r>
      <w:r>
        <w:t xml:space="preserve">December 1996, </w:t>
      </w:r>
      <w:r>
        <w:rPr>
          <w:i/>
          <w:iCs/>
        </w:rPr>
        <w:t xml:space="preserve">Reports of Judgments and Decisions </w:t>
      </w:r>
      <w:r>
        <w:t>1996-VI, p. 2231, §</w:t>
      </w:r>
      <w:r w:rsidR="00E30510">
        <w:t> </w:t>
      </w:r>
      <w:r>
        <w:t>43). The Convention should so far as possible be interpreted in harmony with other rules of international law of which it for</w:t>
      </w:r>
      <w:smartTag w:uri="urn:schemas-microsoft-com:office:smarttags" w:element="PersonName">
        <w:r>
          <w:t>ms</w:t>
        </w:r>
      </w:smartTag>
      <w:r>
        <w:t xml:space="preserve"> part (see </w:t>
      </w:r>
      <w:r w:rsidRPr="002656A6">
        <w:rPr>
          <w:i/>
        </w:rPr>
        <w:t xml:space="preserve">Al-Adsani v. the United Kingdom </w:t>
      </w:r>
      <w:r>
        <w:t>[GC], no. 35763/97, § 55, ECHR 2001-XI). In the present situation the Court must, in particular, take into account the Transfer Convention and its Additional Protocol.</w:t>
      </w:r>
    </w:p>
    <w:p w:rsidR="00BC4DCE" w:rsidP="00BC4DCE" w:rsidRDefault="00BC4DCE">
      <w:pPr>
        <w:pStyle w:val="JuParaChar"/>
      </w:pPr>
      <w:r>
        <w:t>T</w:t>
      </w:r>
      <w:r w:rsidRPr="002656A6">
        <w:t>he Convention does not</w:t>
      </w:r>
      <w:r>
        <w:t xml:space="preserve"> </w:t>
      </w:r>
      <w:r w:rsidRPr="002656A6">
        <w:t>require the Contracting Parties to impose its standards on third</w:t>
      </w:r>
      <w:r>
        <w:t xml:space="preserve"> </w:t>
      </w:r>
      <w:r w:rsidRPr="002656A6">
        <w:t>States or territories</w:t>
      </w:r>
      <w:r>
        <w:t xml:space="preserve">. </w:t>
      </w:r>
      <w:r w:rsidRPr="002656A6">
        <w:t>To</w:t>
      </w:r>
      <w:r>
        <w:t xml:space="preserve"> lay down a strict </w:t>
      </w:r>
      <w:r w:rsidRPr="002656A6">
        <w:t>require</w:t>
      </w:r>
      <w:r>
        <w:t>ment</w:t>
      </w:r>
      <w:r w:rsidRPr="002656A6">
        <w:t xml:space="preserve"> </w:t>
      </w:r>
      <w:r>
        <w:t xml:space="preserve">that the sentence served in the administering country should not exceed the sentence that would have to be served in the sentencing country would </w:t>
      </w:r>
      <w:r w:rsidRPr="002656A6">
        <w:rPr>
          <w:rStyle w:val="JuParaCharChar"/>
        </w:rPr>
        <w:t xml:space="preserve">also thwart the current trend towards strengthening international cooperation in the administration of justice, a trend which is </w:t>
      </w:r>
      <w:r>
        <w:rPr>
          <w:rStyle w:val="JuParaCharChar"/>
        </w:rPr>
        <w:t xml:space="preserve">reflected in the Transfer Convention and is </w:t>
      </w:r>
      <w:r w:rsidRPr="002656A6">
        <w:rPr>
          <w:rStyle w:val="JuParaCharChar"/>
        </w:rPr>
        <w:t>in principle in the interests of the persons concerned</w:t>
      </w:r>
      <w:r>
        <w:rPr>
          <w:rStyle w:val="JuParaCharChar"/>
        </w:rPr>
        <w:t xml:space="preserve"> (see </w:t>
      </w:r>
      <w:r w:rsidRPr="002656A6">
        <w:rPr>
          <w:rStyle w:val="JuParaCharChar"/>
          <w:i/>
        </w:rPr>
        <w:t>Drozd and Janousek v. France and Spain</w:t>
      </w:r>
      <w:r>
        <w:rPr>
          <w:rStyle w:val="JuParaCharChar"/>
        </w:rPr>
        <w:t>, judgment of 26 June 1992, Series A no. 240, pp. 34-35, § 110)</w:t>
      </w:r>
      <w:r w:rsidRPr="002656A6">
        <w:rPr>
          <w:rStyle w:val="JuParaCharChar"/>
        </w:rPr>
        <w:t>.</w:t>
      </w:r>
      <w:r>
        <w:rPr>
          <w:rStyle w:val="JuParaCharChar"/>
        </w:rPr>
        <w:t xml:space="preserve"> </w:t>
      </w:r>
      <w:r w:rsidR="00CF5FF6">
        <w:rPr>
          <w:rStyle w:val="JuParaCharChar"/>
        </w:rPr>
        <w:t>Accordingly</w:t>
      </w:r>
      <w:r>
        <w:rPr>
          <w:rStyle w:val="JuParaCharChar"/>
        </w:rPr>
        <w:t>, the possibility of a longer period of imprisonment in the administering State does not in itself render the deprivation of liberty arbitrary as long as the sentence to be served does not exceed the sentence imposed in the original criminal proceedings.</w:t>
      </w:r>
    </w:p>
    <w:p w:rsidR="00BC4DCE" w:rsidP="00BC4DCE" w:rsidRDefault="00BC4DCE">
      <w:pPr>
        <w:pStyle w:val="JuPara"/>
      </w:pPr>
      <w:r>
        <w:t xml:space="preserve">Nevertheless, the Court does not exclude the possibility that a flagrantly longer </w:t>
      </w:r>
      <w:r w:rsidRPr="002656A6">
        <w:rPr>
          <w:i/>
        </w:rPr>
        <w:t>de facto</w:t>
      </w:r>
      <w:r>
        <w:t xml:space="preserve"> </w:t>
      </w:r>
      <w:r w:rsidR="00740FC5">
        <w:t xml:space="preserve">term of </w:t>
      </w:r>
      <w:r>
        <w:t>imprisonment in the administering State could give rise to an issue under Article 5, and hence engage the responsibility of the sentencing State under that Article. However, the sentencing State could only be responsible for consequences which were foreseeable at the time when the transfer decisions were taken.</w:t>
      </w:r>
    </w:p>
    <w:p w:rsidR="00BC4DCE" w:rsidP="00BC4DCE" w:rsidRDefault="00BC4DCE">
      <w:pPr>
        <w:pStyle w:val="JuParaChar"/>
      </w:pPr>
      <w:r>
        <w:t>As has been noted above, following the applicant</w:t>
      </w:r>
      <w:r w:rsidR="004D445B">
        <w:t>’</w:t>
      </w:r>
      <w:r>
        <w:t xml:space="preserve">s transfer to </w:t>
      </w:r>
      <w:smartTag w:uri="urn:schemas-microsoft-com:office:smarttags" w:element="country-region">
        <w:r>
          <w:t>Hungary</w:t>
        </w:r>
      </w:smartTag>
      <w:r>
        <w:t xml:space="preserve"> he is likely to serve eight years of his ten-year prison sentence, whereas he could have expected to serve six years and eight months of that sentence in </w:t>
      </w:r>
      <w:smartTag w:uri="urn:schemas-microsoft-com:office:smarttags" w:element="place">
        <w:smartTag w:uri="urn:schemas-microsoft-com:office:smarttags" w:element="country-region">
          <w:r>
            <w:t>Sweden</w:t>
          </w:r>
        </w:smartTag>
      </w:smartTag>
      <w:r>
        <w:t>. While the difference of one year and four months certainly cannot be considered insignificant</w:t>
      </w:r>
      <w:r w:rsidRPr="00995BE6">
        <w:t>,</w:t>
      </w:r>
      <w:r>
        <w:t xml:space="preserve"> the time he will serve still remains well within the sentence imposed. Moreover, the likely additional period of detention in </w:t>
      </w:r>
      <w:smartTag w:uri="urn:schemas-microsoft-com:office:smarttags" w:element="country-region">
        <w:r>
          <w:t>Hungary</w:t>
        </w:r>
      </w:smartTag>
      <w:r>
        <w:t xml:space="preserve"> corresponds to 20% of the time he could have expected to serve in </w:t>
      </w:r>
      <w:smartTag w:uri="urn:schemas-microsoft-com:office:smarttags" w:element="place">
        <w:smartTag w:uri="urn:schemas-microsoft-com:office:smarttags" w:element="country-region">
          <w:r>
            <w:t>Sweden</w:t>
          </w:r>
        </w:smartTag>
      </w:smartTag>
      <w:r>
        <w:t>. In these circu</w:t>
      </w:r>
      <w:smartTag w:uri="urn:schemas-microsoft-com:office:smarttags" w:element="PersonName">
        <w:r>
          <w:t>ms</w:t>
        </w:r>
      </w:smartTag>
      <w:r>
        <w:t>tances, the Court finds that the</w:t>
      </w:r>
      <w:r w:rsidRPr="005A15F8" w:rsidR="005A15F8">
        <w:t xml:space="preserve"> </w:t>
      </w:r>
      <w:r w:rsidRPr="00CA1C32" w:rsidR="005A15F8">
        <w:t>longer</w:t>
      </w:r>
      <w:r w:rsidRPr="00DD4E99">
        <w:rPr>
          <w:b/>
        </w:rPr>
        <w:t xml:space="preserve"> </w:t>
      </w:r>
      <w:r w:rsidRPr="00CA1C32">
        <w:rPr>
          <w:i/>
        </w:rPr>
        <w:t>de facto</w:t>
      </w:r>
      <w:r w:rsidRPr="00CA1C32">
        <w:t xml:space="preserve"> term of imprisonment</w:t>
      </w:r>
      <w:r>
        <w:t xml:space="preserve"> is not so disproportionate that it will </w:t>
      </w:r>
      <w:r w:rsidR="003A64FD">
        <w:t xml:space="preserve">entail </w:t>
      </w:r>
      <w:r>
        <w:t>a breach of Article 5.</w:t>
      </w:r>
    </w:p>
    <w:p w:rsidR="00BC4DCE" w:rsidP="00BC4DCE" w:rsidRDefault="00BC4DCE">
      <w:pPr>
        <w:pStyle w:val="JuParaChar"/>
        <w:rPr>
          <w:b/>
        </w:rPr>
      </w:pPr>
      <w:r>
        <w:t>Furthermore, this conclusion is not altered by the fact that, as the applicant</w:t>
      </w:r>
      <w:r w:rsidRPr="005A15F8" w:rsidR="005A15F8">
        <w:t xml:space="preserve"> </w:t>
      </w:r>
      <w:r w:rsidR="005A15F8">
        <w:t>claimed</w:t>
      </w:r>
      <w:r>
        <w:t xml:space="preserve">, the prison conditions may be stricter in </w:t>
      </w:r>
      <w:smartTag w:uri="urn:schemas-microsoft-com:office:smarttags" w:element="country-region">
        <w:r>
          <w:t>Hungary</w:t>
        </w:r>
      </w:smartTag>
      <w:r>
        <w:t xml:space="preserve"> than in </w:t>
      </w:r>
      <w:smartTag w:uri="urn:schemas-microsoft-com:office:smarttags" w:element="place">
        <w:smartTag w:uri="urn:schemas-microsoft-com:office:smarttags" w:element="country-region">
          <w:r>
            <w:t>Sweden</w:t>
          </w:r>
        </w:smartTag>
      </w:smartTag>
      <w:r>
        <w:t>. In this connection the Court reiterates that</w:t>
      </w:r>
      <w:r w:rsidR="00582874">
        <w:t>,</w:t>
      </w:r>
      <w:r>
        <w:t xml:space="preserve"> </w:t>
      </w:r>
      <w:r w:rsidR="00582874">
        <w:t>in its decision of 26</w:t>
      </w:r>
      <w:r w:rsidR="00E85F0E">
        <w:t> </w:t>
      </w:r>
      <w:r w:rsidR="00582874">
        <w:t xml:space="preserve">October 2004, </w:t>
      </w:r>
      <w:r>
        <w:t>it declared a similar complaint, submitted by the applicant under Article 3 of the Convention, inadmissible as being manifestly ill-founded.</w:t>
      </w:r>
    </w:p>
    <w:p w:rsidRPr="00CA1C32" w:rsidR="00BC4DCE" w:rsidP="00BC4DCE" w:rsidRDefault="00BC4DCE">
      <w:pPr>
        <w:pStyle w:val="JuParaChar"/>
      </w:pPr>
      <w:r w:rsidRPr="00CA1C32">
        <w:t xml:space="preserve">Accordingly, </w:t>
      </w:r>
      <w:r>
        <w:t>having regard to all the circu</w:t>
      </w:r>
      <w:smartTag w:uri="urn:schemas-microsoft-com:office:smarttags" w:element="PersonName">
        <w:r>
          <w:t>ms</w:t>
        </w:r>
      </w:smartTag>
      <w:r>
        <w:t>tances of the case, the Court finds no appearance of a violation by the respondent State of the applicant</w:t>
      </w:r>
      <w:r w:rsidR="004D445B">
        <w:t>’</w:t>
      </w:r>
      <w:r>
        <w:t>s rights under A</w:t>
      </w:r>
      <w:r w:rsidRPr="00CA1C32">
        <w:t>rt</w:t>
      </w:r>
      <w:r>
        <w:t>icle</w:t>
      </w:r>
      <w:r w:rsidRPr="00CA1C32">
        <w:t xml:space="preserve"> 5</w:t>
      </w:r>
      <w:r>
        <w:t xml:space="preserve"> of the Convention</w:t>
      </w:r>
      <w:r w:rsidRPr="00CA1C32">
        <w:t>.</w:t>
      </w:r>
    </w:p>
    <w:p w:rsidR="00BC4DCE" w:rsidP="00BC4DCE" w:rsidRDefault="00BC4DCE">
      <w:pPr>
        <w:pStyle w:val="JuParaChar"/>
      </w:pPr>
      <w:r>
        <w:t>It follows that this part of the application is manifestly ill-founded and must be rejected in accordance with Article 35 §§ 3 and 4 of the Convention.</w:t>
      </w:r>
    </w:p>
    <w:p w:rsidRPr="00AD0B7A" w:rsidR="00BC4DCE" w:rsidP="00BC4DCE" w:rsidRDefault="00BC4DCE">
      <w:pPr>
        <w:pStyle w:val="JuParaChar"/>
      </w:pPr>
      <w:r>
        <w:t>2.</w:t>
      </w:r>
      <w:r w:rsidRPr="00AD0B7A">
        <w:t xml:space="preserve">  The Court notes that the sentence which the applicant will </w:t>
      </w:r>
      <w:r w:rsidR="00740FC5">
        <w:t xml:space="preserve">actually </w:t>
      </w:r>
      <w:r w:rsidRPr="00AD0B7A">
        <w:t xml:space="preserve">have to serve, upon his transfer to </w:t>
      </w:r>
      <w:smartTag w:uri="urn:schemas-microsoft-com:office:smarttags" w:element="place">
        <w:smartTag w:uri="urn:schemas-microsoft-com:office:smarttags" w:element="country-region">
          <w:r w:rsidRPr="00AD0B7A">
            <w:t>Hungary</w:t>
          </w:r>
        </w:smartTag>
      </w:smartTag>
      <w:r w:rsidRPr="00AD0B7A">
        <w:t>, is longer than the o</w:t>
      </w:r>
      <w:r w:rsidR="00721137">
        <w:t xml:space="preserve">ne provided for by Swedish law. </w:t>
      </w:r>
      <w:r>
        <w:t xml:space="preserve">Furthermore, </w:t>
      </w:r>
      <w:r w:rsidRPr="00AD0B7A">
        <w:t>the final decision regarding the applicant</w:t>
      </w:r>
      <w:r w:rsidR="004D445B">
        <w:t>’</w:t>
      </w:r>
      <w:r w:rsidRPr="00AD0B7A">
        <w:t xml:space="preserve">s transfer to </w:t>
      </w:r>
      <w:smartTag w:uri="urn:schemas-microsoft-com:office:smarttags" w:element="place">
        <w:smartTag w:uri="urn:schemas-microsoft-com:office:smarttags" w:element="country-region">
          <w:r w:rsidRPr="00AD0B7A">
            <w:t>Hungary</w:t>
          </w:r>
        </w:smartTag>
      </w:smartTag>
      <w:r w:rsidRPr="00AD0B7A">
        <w:t xml:space="preserve"> was taken by the </w:t>
      </w:r>
      <w:r>
        <w:t xml:space="preserve">Swedish </w:t>
      </w:r>
      <w:r w:rsidRPr="00AD0B7A">
        <w:t xml:space="preserve">Government. </w:t>
      </w:r>
      <w:r>
        <w:t xml:space="preserve">The Court has examined whether the case raises an issue under Article </w:t>
      </w:r>
      <w:r w:rsidRPr="00AD0B7A">
        <w:t>6 § 1</w:t>
      </w:r>
      <w:r>
        <w:t xml:space="preserve"> of the Convention</w:t>
      </w:r>
      <w:r w:rsidRPr="00AD0B7A">
        <w:t>. Th</w:t>
      </w:r>
      <w:r w:rsidR="00740FC5">
        <w:t>e relevant parts of th</w:t>
      </w:r>
      <w:r w:rsidRPr="00AD0B7A">
        <w:t>is provision read as follows:</w:t>
      </w:r>
    </w:p>
    <w:p w:rsidRPr="00AD0B7A" w:rsidR="00BC4DCE" w:rsidP="00E044E2" w:rsidRDefault="00BC4DCE">
      <w:pPr>
        <w:pStyle w:val="JuQuot"/>
      </w:pPr>
      <w:r w:rsidRPr="00AD0B7A">
        <w:t xml:space="preserve">“In the determination of his civil rights and obligations or of any criminal charge against him, everyone is entitled to a fair and public hearing within a reasonable time by an independent and impartial tribunal established by law. </w:t>
      </w:r>
      <w:r>
        <w:t>...</w:t>
      </w:r>
      <w:r w:rsidRPr="00AD0B7A">
        <w:t>”</w:t>
      </w:r>
    </w:p>
    <w:p w:rsidR="00BC4DCE" w:rsidP="00BC4DCE" w:rsidRDefault="00BC4DCE">
      <w:pPr>
        <w:pStyle w:val="JuParaChar"/>
      </w:pPr>
      <w:r>
        <w:t>The Government submitted that the impugned transfer proceedings had not involved a determination of either the applicant</w:t>
      </w:r>
      <w:r w:rsidR="004D445B">
        <w:t>’</w:t>
      </w:r>
      <w:r>
        <w:t xml:space="preserve">s civil rights and obligations or of any criminal charge against him. They also maintained that the issue of conditional release had concerned the </w:t>
      </w:r>
      <w:r w:rsidR="00EA63F8">
        <w:t xml:space="preserve">enforcement </w:t>
      </w:r>
      <w:r>
        <w:t xml:space="preserve">of a sentence and had not been part of the sentencing of the trial courts. Accordingly, Article 6 </w:t>
      </w:r>
      <w:r w:rsidRPr="00AD0B7A">
        <w:t>§ 1</w:t>
      </w:r>
      <w:r>
        <w:t xml:space="preserve"> did not apply in the present case.</w:t>
      </w:r>
    </w:p>
    <w:p w:rsidR="00BC4DCE" w:rsidP="00BC4DCE" w:rsidRDefault="00BC4DCE">
      <w:pPr>
        <w:pStyle w:val="JuParaChar"/>
      </w:pPr>
      <w:r>
        <w:t xml:space="preserve">Should the Court conclude, however, that Article 6 </w:t>
      </w:r>
      <w:r w:rsidRPr="00AD0B7A">
        <w:t>§ 1</w:t>
      </w:r>
      <w:r>
        <w:t xml:space="preserve"> was applicable, the Government contended that there was no reason to call into question the fairness of the domestic criminal proceedings. The fact that the applicant might be deprived of his liberty for a longer period as a result of the transfer did not affect the fairness of those proceedings but related to the enforcement of the sentence for which the Hungarian authorities were responsible. The Government acknowledged, however, that the applicant had not been able to challenge the lawfulness of his transfer before a Swedish court.</w:t>
      </w:r>
    </w:p>
    <w:p w:rsidR="00BC4DCE" w:rsidP="00BC4DCE" w:rsidRDefault="00BC4DCE">
      <w:pPr>
        <w:pStyle w:val="JuParaChar"/>
      </w:pPr>
      <w:r>
        <w:t xml:space="preserve">The applicant contended that, in deciding on his transfer to </w:t>
      </w:r>
      <w:smartTag w:uri="urn:schemas-microsoft-com:office:smarttags" w:element="place">
        <w:smartTag w:uri="urn:schemas-microsoft-com:office:smarttags" w:element="country-region">
          <w:r>
            <w:t>Hungary</w:t>
          </w:r>
        </w:smartTag>
      </w:smartTag>
      <w:r>
        <w:t>, the Swedish authorities had indeed determined a criminal charge against him, in the course of which he had been entitled to a hearing before a tribunal. He asserted that his case was similar to extradition proceedings, where the determination of criminal charges was indirectly in question. The Swedish authorities had been aware that his transfer would have a detrimental effect on the ter</w:t>
      </w:r>
      <w:smartTag w:uri="urn:schemas-microsoft-com:office:smarttags" w:element="PersonName">
        <w:r>
          <w:t>ms</w:t>
        </w:r>
      </w:smartTag>
      <w:r>
        <w:t xml:space="preserve"> of his imprisonment and result in his penal position being reassessed by the Hungarian courts.</w:t>
      </w:r>
    </w:p>
    <w:p w:rsidR="00BC4DCE" w:rsidP="00BC4DCE" w:rsidRDefault="00BC4DCE">
      <w:pPr>
        <w:pStyle w:val="JuParaChar"/>
      </w:pPr>
      <w:r>
        <w:t>Indisputably, the procedure leading up to the applicant</w:t>
      </w:r>
      <w:r w:rsidR="004D445B">
        <w:t>’</w:t>
      </w:r>
      <w:r>
        <w:t xml:space="preserve">s transfer had not involved a court hearing. Indeed, he had not been heard at all. He therefore maintained that Article 6 </w:t>
      </w:r>
      <w:r w:rsidRPr="00AD0B7A">
        <w:t>§ 1</w:t>
      </w:r>
      <w:r>
        <w:t xml:space="preserve"> had been breached.</w:t>
      </w:r>
    </w:p>
    <w:p w:rsidR="00BC4DCE" w:rsidP="00BC4DCE" w:rsidRDefault="00BC4DCE">
      <w:pPr>
        <w:pStyle w:val="JuParaChar"/>
      </w:pPr>
      <w:r>
        <w:t>Reiterating its above</w:t>
      </w:r>
      <w:r w:rsidR="005A15F8">
        <w:t>-stated</w:t>
      </w:r>
      <w:r>
        <w:t xml:space="preserve"> conclusions </w:t>
      </w:r>
      <w:r w:rsidR="00905473">
        <w:t xml:space="preserve">with </w:t>
      </w:r>
      <w:r>
        <w:t>regard to Article 5 of the Convention, the Court finds nothing to indicate that the criminal proceedings in Sweden leading to the applicant</w:t>
      </w:r>
      <w:r w:rsidR="004D445B">
        <w:t>’</w:t>
      </w:r>
      <w:r>
        <w:t xml:space="preserve">s conviction failed to meet the requirements of Article 6. The question is whether the </w:t>
      </w:r>
      <w:r w:rsidR="00905473">
        <w:t>subsequent</w:t>
      </w:r>
      <w:r>
        <w:t xml:space="preserve"> transfer proceedings, affecting the applicant</w:t>
      </w:r>
      <w:r w:rsidR="004D445B">
        <w:t>’</w:t>
      </w:r>
      <w:r>
        <w:t xml:space="preserve">s expectations </w:t>
      </w:r>
      <w:r w:rsidR="005A15F8">
        <w:t xml:space="preserve">as to </w:t>
      </w:r>
      <w:r>
        <w:t>conditional release, involved a breach of the latter provision. In assessing this issue, it must first be determined whether Article 6 § 1 is applicable to the impugned decisions relating to the transfer.</w:t>
      </w:r>
    </w:p>
    <w:p w:rsidR="00BC4DCE" w:rsidP="00BC4DCE" w:rsidRDefault="00BC4DCE">
      <w:pPr>
        <w:pStyle w:val="JuParaChar"/>
      </w:pPr>
      <w:r>
        <w:t>The Court notes that the applicant</w:t>
      </w:r>
      <w:r w:rsidR="004D445B">
        <w:t>’</w:t>
      </w:r>
      <w:r>
        <w:t xml:space="preserve">s transfer to </w:t>
      </w:r>
      <w:smartTag w:uri="urn:schemas-microsoft-com:office:smarttags" w:element="country-region">
        <w:r>
          <w:t>Hungary</w:t>
        </w:r>
      </w:smartTag>
      <w:r>
        <w:t xml:space="preserve"> was possible partly on account of the fact that his criminal conviction contained an order for his expulsion from </w:t>
      </w:r>
      <w:smartTag w:uri="urn:schemas-microsoft-com:office:smarttags" w:element="place">
        <w:smartTag w:uri="urn:schemas-microsoft-com:office:smarttags" w:element="country-region">
          <w:r>
            <w:t>Sweden</w:t>
          </w:r>
        </w:smartTag>
      </w:smartTag>
      <w:r>
        <w:t xml:space="preserve">, such an order being a precondition for a transfer under the Additional Protocol to the Transfer Convention. The Court has consistently held, however, that Article 6 § 1 does not apply to proceedings concerning expulsion or extradition, as decisions regarding the entry, stay and deportation of aliens do not concern the determination of civil rights or obligations or of a criminal charge, within the meaning of that Article (see, among other authorities, </w:t>
      </w:r>
      <w:r w:rsidRPr="00A96852">
        <w:rPr>
          <w:i/>
        </w:rPr>
        <w:t>Maaouia v. France</w:t>
      </w:r>
      <w:r>
        <w:t xml:space="preserve"> [GC], no. </w:t>
      </w:r>
      <w:r w:rsidRPr="00A96852">
        <w:t>39652/98, §§</w:t>
      </w:r>
      <w:r>
        <w:t xml:space="preserve"> 33-41</w:t>
      </w:r>
      <w:r w:rsidRPr="00A96852">
        <w:t>, ECHR 2000-X</w:t>
      </w:r>
      <w:r>
        <w:t xml:space="preserve">, and </w:t>
      </w:r>
      <w:r>
        <w:rPr>
          <w:i/>
        </w:rPr>
        <w:t>Sardinas Albo v. Italy</w:t>
      </w:r>
      <w:r>
        <w:t xml:space="preserve"> (dec.), no. 56271/00, 8 January 2004).</w:t>
      </w:r>
    </w:p>
    <w:p w:rsidR="00BC4DCE" w:rsidP="00BC4DCE" w:rsidRDefault="00BC4DCE">
      <w:pPr>
        <w:pStyle w:val="JuParaChar"/>
      </w:pPr>
      <w:r>
        <w:t>As noted above</w:t>
      </w:r>
      <w:r w:rsidR="00905473">
        <w:t>,</w:t>
      </w:r>
      <w:r>
        <w:t xml:space="preserve"> </w:t>
      </w:r>
      <w:r w:rsidR="00905473">
        <w:t xml:space="preserve">with regard to </w:t>
      </w:r>
      <w:r>
        <w:t>Article 5 of the Convention, the applicant</w:t>
      </w:r>
      <w:r w:rsidR="004D445B">
        <w:t>’</w:t>
      </w:r>
      <w:r>
        <w:t xml:space="preserve">s transfer is likely to delay the date of his conditional release and may, as claimed by the applicant, subject him to harsher prison conditions. However, the Convention does not confer the right to such release or the right to serve a prison sentence in accordance with a particular regime. Nor does it require that parole decisions be taken by a court. Furthermore, questions of conditional release relate to the manner of implementation of a prison sentence. This conclusion is supported by several provisions of the Transfer Convention and its Additional Protocol, which indicate that a transfer is seen as a measure of </w:t>
      </w:r>
      <w:r w:rsidR="00EA63F8">
        <w:t xml:space="preserve">enforcement </w:t>
      </w:r>
      <w:r>
        <w:t xml:space="preserve">of a sentence. </w:t>
      </w:r>
      <w:r w:rsidR="00E8262A">
        <w:t>Under</w:t>
      </w:r>
      <w:r>
        <w:t xml:space="preserve"> the Court</w:t>
      </w:r>
      <w:r w:rsidR="004D445B">
        <w:t>’</w:t>
      </w:r>
      <w:r>
        <w:t xml:space="preserve">s case-law, proceedings concerning the </w:t>
      </w:r>
      <w:r w:rsidR="00EA63F8">
        <w:t>e</w:t>
      </w:r>
      <w:r w:rsidR="00E8262A">
        <w:t>xecution</w:t>
      </w:r>
      <w:r w:rsidR="00EA63F8">
        <w:t xml:space="preserve"> </w:t>
      </w:r>
      <w:r>
        <w:t xml:space="preserve">of a sentence are not covered by Article 6 § 1 of the Convention (see, </w:t>
      </w:r>
      <w:r w:rsidR="00905473">
        <w:rPr>
          <w:i/>
        </w:rPr>
        <w:t>among other authorities</w:t>
      </w:r>
      <w:r>
        <w:t xml:space="preserve">, </w:t>
      </w:r>
      <w:r w:rsidRPr="00E044E2">
        <w:rPr>
          <w:i/>
        </w:rPr>
        <w:t>Aydin v. Turkey</w:t>
      </w:r>
      <w:r>
        <w:t xml:space="preserve"> (dec.), no. 41954/98, </w:t>
      </w:r>
      <w:smartTag w:uri="urn:schemas-microsoft-com:office:smarttags" w:element="date">
        <w:smartTagPr>
          <w:attr w:name="Month" w:val="9"/>
          <w:attr w:name="Day" w:val="14"/>
          <w:attr w:name="Year" w:val="2000"/>
        </w:smartTagPr>
        <w:r>
          <w:t>14</w:t>
        </w:r>
        <w:r w:rsidR="00E044E2">
          <w:t xml:space="preserve"> </w:t>
        </w:r>
        <w:r>
          <w:t>September 2000</w:t>
        </w:r>
      </w:smartTag>
      <w:r>
        <w:t>).</w:t>
      </w:r>
    </w:p>
    <w:p w:rsidR="00BC4DCE" w:rsidP="00BC4DCE" w:rsidRDefault="00BC4DCE">
      <w:pPr>
        <w:pStyle w:val="JuParaChar"/>
      </w:pPr>
      <w:r>
        <w:t>In this connection, it is further to be observed that the additional period of imprisonment resulting from the applicant</w:t>
      </w:r>
      <w:r w:rsidR="004D445B">
        <w:t>’</w:t>
      </w:r>
      <w:r>
        <w:t xml:space="preserve">s transfer is not a consequence of his having received a penalty in </w:t>
      </w:r>
      <w:r w:rsidR="00905473">
        <w:t xml:space="preserve">fresh </w:t>
      </w:r>
      <w:r>
        <w:t xml:space="preserve">criminal or disciplinary proceedings and that, consequently, the present case can be distinguished from that of </w:t>
      </w:r>
      <w:r>
        <w:rPr>
          <w:i/>
        </w:rPr>
        <w:t xml:space="preserve">Ezeh and Connors v. the United Kingdom </w:t>
      </w:r>
      <w:r>
        <w:t xml:space="preserve">([GC], nos. </w:t>
      </w:r>
      <w:r w:rsidRPr="00A96852">
        <w:t>396</w:t>
      </w:r>
      <w:r>
        <w:t>6</w:t>
      </w:r>
      <w:r w:rsidRPr="00A96852">
        <w:t>5/98</w:t>
      </w:r>
      <w:r>
        <w:t xml:space="preserve"> and 40086/98</w:t>
      </w:r>
      <w:r w:rsidRPr="00A96852">
        <w:t xml:space="preserve">, ECHR </w:t>
      </w:r>
      <w:r w:rsidRPr="007555E2">
        <w:t>2003-</w:t>
      </w:r>
      <w:r>
        <w:t>X, p. 101</w:t>
      </w:r>
      <w:r w:rsidRPr="007555E2">
        <w:t>)</w:t>
      </w:r>
      <w:r w:rsidR="00E85F0E">
        <w:t>.</w:t>
      </w:r>
    </w:p>
    <w:p w:rsidRPr="00AE70B3" w:rsidR="00721137" w:rsidP="00BC4DCE" w:rsidRDefault="00721137">
      <w:pPr>
        <w:pStyle w:val="JuParaChar"/>
      </w:pPr>
    </w:p>
    <w:p w:rsidR="00BC4DCE" w:rsidP="00BC4DCE" w:rsidRDefault="00905473">
      <w:pPr>
        <w:pStyle w:val="JuParaChar"/>
      </w:pPr>
      <w:r>
        <w:t>Lastly</w:t>
      </w:r>
      <w:r w:rsidR="00BC4DCE">
        <w:t xml:space="preserve">, the Court notes that neither the Transfer Convention nor its Additional Protocol stipulates that proceedings relating to a transfer should meet the requirements of Article 6 of the Convention. Thus, for example, Article 9 of the Transfer Convention provides that the administering State may decide on the enforcement of the sentence in accordance with its own laws through either a judicial or an administrative procedure. Furthermore, the Explanatory Report to the Additional Protocol states that persons may be expelled only </w:t>
      </w:r>
      <w:r>
        <w:t xml:space="preserve">where </w:t>
      </w:r>
      <w:r w:rsidR="00BC4DCE">
        <w:t>the conditions laid down in Article 1 of Protocol No. 7 to the Convention</w:t>
      </w:r>
      <w:r>
        <w:t xml:space="preserve"> are met</w:t>
      </w:r>
      <w:r w:rsidR="00BC4DCE">
        <w:t>. In contrast, it does not refer to Article 6 of the Convention.</w:t>
      </w:r>
    </w:p>
    <w:p w:rsidR="00BC4DCE" w:rsidP="00BC4DCE" w:rsidRDefault="00BC4DCE">
      <w:pPr>
        <w:pStyle w:val="JuParaChar"/>
      </w:pPr>
      <w:r>
        <w:t>Having regard to what has been stated above, the Court finds that</w:t>
      </w:r>
      <w:r w:rsidRPr="00507C41">
        <w:t xml:space="preserve"> </w:t>
      </w:r>
      <w:r>
        <w:t>Article</w:t>
      </w:r>
      <w:r w:rsidR="00905473">
        <w:t> </w:t>
      </w:r>
      <w:r>
        <w:t>6</w:t>
      </w:r>
      <w:r w:rsidR="00905473">
        <w:t> </w:t>
      </w:r>
      <w:r>
        <w:t xml:space="preserve"> is not applicable to the transfer decisions in issue.</w:t>
      </w:r>
    </w:p>
    <w:p w:rsidR="00BC4DCE" w:rsidP="00BC4DCE" w:rsidRDefault="00BC4DCE">
      <w:pPr>
        <w:pStyle w:val="JuParaChar"/>
      </w:pPr>
      <w:r>
        <w:t xml:space="preserve">It follows that this complaint is incompatible </w:t>
      </w:r>
      <w:r>
        <w:rPr>
          <w:i/>
        </w:rPr>
        <w:t>ratione materiae</w:t>
      </w:r>
      <w:r>
        <w:t xml:space="preserve"> with the provisions of the Convention within the meaning of Article 35 § 3 and must be rejected in accordance with Article 35 § 4.</w:t>
      </w:r>
    </w:p>
    <w:p w:rsidRPr="00AD0B7A" w:rsidR="00BC4DCE" w:rsidP="00BC4DCE" w:rsidRDefault="00BC4DCE">
      <w:pPr>
        <w:pStyle w:val="JuParaChar"/>
      </w:pPr>
      <w:r>
        <w:t>3</w:t>
      </w:r>
      <w:r w:rsidRPr="00AD0B7A">
        <w:t xml:space="preserve">.  The Court further notes that the crime of which the applicant was convicted was committed on 21 September 2000, at </w:t>
      </w:r>
      <w:r w:rsidR="00263284">
        <w:t xml:space="preserve">a </w:t>
      </w:r>
      <w:r w:rsidRPr="00AD0B7A">
        <w:t xml:space="preserve">time </w:t>
      </w:r>
      <w:r w:rsidR="00905473">
        <w:t xml:space="preserve">when </w:t>
      </w:r>
      <w:r w:rsidRPr="00AD0B7A">
        <w:t>the Additional Protocol to the Transfer Convention</w:t>
      </w:r>
      <w:r>
        <w:t xml:space="preserve"> </w:t>
      </w:r>
      <w:r w:rsidRPr="00AD0B7A">
        <w:t xml:space="preserve">had not yet been ratified by </w:t>
      </w:r>
      <w:smartTag w:uri="urn:schemas-microsoft-com:office:smarttags" w:element="country-region">
        <w:smartTag w:uri="urn:schemas-microsoft-com:office:smarttags" w:element="place">
          <w:r w:rsidRPr="00AD0B7A">
            <w:t>Sweden</w:t>
          </w:r>
        </w:smartTag>
      </w:smartTag>
      <w:r w:rsidRPr="00AD0B7A">
        <w:t xml:space="preserve">. The Court </w:t>
      </w:r>
      <w:r>
        <w:t xml:space="preserve">has examined whether </w:t>
      </w:r>
      <w:r w:rsidRPr="00AD0B7A">
        <w:t>the applicant</w:t>
      </w:r>
      <w:r w:rsidR="004D445B">
        <w:t>’</w:t>
      </w:r>
      <w:r w:rsidRPr="00AD0B7A">
        <w:t xml:space="preserve">s transfer to </w:t>
      </w:r>
      <w:smartTag w:uri="urn:schemas-microsoft-com:office:smarttags" w:element="place">
        <w:smartTag w:uri="urn:schemas-microsoft-com:office:smarttags" w:element="country-region">
          <w:r w:rsidRPr="00AD0B7A">
            <w:t>Hungary</w:t>
          </w:r>
        </w:smartTag>
      </w:smartTag>
      <w:r w:rsidRPr="00AD0B7A">
        <w:t xml:space="preserve"> raise</w:t>
      </w:r>
      <w:r>
        <w:t>s</w:t>
      </w:r>
      <w:r w:rsidRPr="00AD0B7A">
        <w:t xml:space="preserve"> an issue under Article 7 of the Convention</w:t>
      </w:r>
      <w:r>
        <w:t>. This Article provides</w:t>
      </w:r>
      <w:r w:rsidRPr="00AD0B7A">
        <w:t>:</w:t>
      </w:r>
    </w:p>
    <w:p w:rsidRPr="00AD0B7A" w:rsidR="00BC4DCE" w:rsidP="00E044E2" w:rsidRDefault="00BC4DCE">
      <w:pPr>
        <w:pStyle w:val="JuQuot"/>
      </w:pPr>
      <w:r w:rsidRPr="00AD0B7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00BC4DCE" w:rsidP="00E044E2" w:rsidRDefault="00BC4DCE">
      <w:pPr>
        <w:pStyle w:val="JuQuot"/>
        <w:spacing w:before="0"/>
      </w:pPr>
      <w:r w:rsidRPr="00AD0B7A">
        <w:t>2.  This article shall not prejudice the trial and punishment of any person for any act or omission which, at the time when it was committed, was criminal according to the general principles of law recognised by civilised nations.”</w:t>
      </w:r>
    </w:p>
    <w:p w:rsidR="00BC4DCE" w:rsidP="00BC4DCE" w:rsidRDefault="00BC4DCE">
      <w:pPr>
        <w:pStyle w:val="JuParaChar"/>
      </w:pPr>
      <w:r>
        <w:t xml:space="preserve">The Government maintained, firstly, that this issue had not been raised either in form or in substance before the Swedish authorities and that, accordingly, the domestic remedies had not been exhausted. They further submitted that Article 7 of the Convention was not applicable in the present case and that, in any event, it had not been </w:t>
      </w:r>
      <w:r w:rsidR="00905473">
        <w:t>breached</w:t>
      </w:r>
      <w:r>
        <w:t xml:space="preserve">. They argued that the decisions on conditional release that had been taken and those that might be taken in the future by the Hungarian authorities did not constitute any additional “penalty” but related to the </w:t>
      </w:r>
      <w:r w:rsidR="00EA63F8">
        <w:t xml:space="preserve">enforcement </w:t>
      </w:r>
      <w:r>
        <w:t>of the sentence imposed. Moreover, Article 7 of the Additional Protocol to the Transfer Convention stated that the Protocol was applicable to the enforcement of sentences imposed either before or after its entry into force.</w:t>
      </w:r>
    </w:p>
    <w:p w:rsidR="00BC4DCE" w:rsidP="00BC4DCE" w:rsidRDefault="00BC4DCE">
      <w:pPr>
        <w:pStyle w:val="JuParaChar"/>
      </w:pPr>
      <w:r>
        <w:t>The applicant claimed that, when objecting to the transfer, he had expressed the fear of double jeopardy in relation to the risk of a longer and more severe prison term. He therefore asserted that he had raised the issue under Article 7 of the Convention in the domestic proceedings. He further submitted that the Court</w:t>
      </w:r>
      <w:r w:rsidR="004D445B">
        <w:t>’</w:t>
      </w:r>
      <w:r>
        <w:t xml:space="preserve">s assessment </w:t>
      </w:r>
      <w:r w:rsidR="00905473">
        <w:t xml:space="preserve">had to </w:t>
      </w:r>
      <w:r>
        <w:t xml:space="preserve">go beyond appearances. Because of the consequences of the transfer order, which were more far-reaching than those to which he had been exposed at the time of the commission of the offence, his transfer had to be considered as amounting to a “penalty” within the meaning of Article 7. As regards the temporal application of the Transfer Convention and its Additional Protocol, the applicant </w:t>
      </w:r>
      <w:r w:rsidR="00905473">
        <w:t xml:space="preserve">lastly </w:t>
      </w:r>
      <w:r>
        <w:t>argued that it was for the Court to decide under Article 7 of the Convention whether the impugned decisions had contributed to a heavier penalty than that applicable at the time of the commission of the offence and that that assessment was not dependent on the wording of the transfer instruments.</w:t>
      </w:r>
    </w:p>
    <w:p w:rsidR="00BC4DCE" w:rsidP="00BC4DCE" w:rsidRDefault="00BC4DCE">
      <w:pPr>
        <w:pStyle w:val="JuParaChar"/>
      </w:pPr>
      <w:r>
        <w:t>The Court first finds that it need not determine whether the applicant exhausted domestic remedies as, in any event, the present complaint is inadmissible for the following reasons.</w:t>
      </w:r>
    </w:p>
    <w:p w:rsidRPr="007555E2" w:rsidR="00BC4DCE" w:rsidP="00BC4DCE" w:rsidRDefault="00BC4DCE">
      <w:pPr>
        <w:pStyle w:val="JuParaChar"/>
      </w:pPr>
      <w:r w:rsidRPr="007555E2">
        <w:t xml:space="preserve">The relevant part of Article 7 is the second sentence of the first paragraph which prohibits the imposition of a heavier penalty than the one that was applicable at the time the criminal offence was committed. The concept of a </w:t>
      </w:r>
      <w:r>
        <w:t>“</w:t>
      </w:r>
      <w:r w:rsidRPr="007555E2">
        <w:t>penalty</w:t>
      </w:r>
      <w:r>
        <w:t>”</w:t>
      </w:r>
      <w:r w:rsidRPr="007555E2">
        <w:t xml:space="preserve"> in this provision is autonomous.</w:t>
      </w:r>
      <w:r>
        <w:t xml:space="preserve"> </w:t>
      </w:r>
      <w:r w:rsidRPr="007555E2">
        <w:t>To render the protection</w:t>
      </w:r>
      <w:r>
        <w:t xml:space="preserve"> </w:t>
      </w:r>
      <w:r w:rsidRPr="007555E2">
        <w:t>offered by Article 7</w:t>
      </w:r>
      <w:r>
        <w:t xml:space="preserve"> effective</w:t>
      </w:r>
      <w:r w:rsidRPr="007555E2">
        <w:t xml:space="preserve">, the Court must </w:t>
      </w:r>
      <w:r>
        <w:t xml:space="preserve">remain </w:t>
      </w:r>
      <w:r w:rsidRPr="007555E2">
        <w:t xml:space="preserve">free to go </w:t>
      </w:r>
      <w:r w:rsidR="00905473">
        <w:t>beyond</w:t>
      </w:r>
      <w:r w:rsidRPr="007555E2">
        <w:t xml:space="preserve"> appearances and assess for itself whether a</w:t>
      </w:r>
      <w:r>
        <w:t xml:space="preserve"> </w:t>
      </w:r>
      <w:r w:rsidRPr="007555E2">
        <w:t xml:space="preserve">particular measure amounts in substance to a </w:t>
      </w:r>
      <w:r>
        <w:t>“</w:t>
      </w:r>
      <w:r w:rsidRPr="007555E2">
        <w:t>penalty</w:t>
      </w:r>
      <w:r>
        <w:t>”</w:t>
      </w:r>
      <w:r w:rsidRPr="007555E2">
        <w:t xml:space="preserve"> within</w:t>
      </w:r>
      <w:r>
        <w:t xml:space="preserve"> </w:t>
      </w:r>
      <w:r w:rsidRPr="007555E2">
        <w:t xml:space="preserve">the meaning of this provision (see, </w:t>
      </w:r>
      <w:r w:rsidR="00582581">
        <w:rPr>
          <w:i/>
        </w:rPr>
        <w:t>among other authorities</w:t>
      </w:r>
      <w:r w:rsidRPr="007555E2">
        <w:t xml:space="preserve">, </w:t>
      </w:r>
      <w:r w:rsidRPr="00E044E2">
        <w:rPr>
          <w:i/>
        </w:rPr>
        <w:t>Welch v. the United Kingdom</w:t>
      </w:r>
      <w:r>
        <w:t>, judgment of 9 February 1</w:t>
      </w:r>
      <w:r w:rsidR="00E044E2">
        <w:t>995, Series A no. 307, p. 13, § </w:t>
      </w:r>
      <w:r>
        <w:t>27, with further references).</w:t>
      </w:r>
    </w:p>
    <w:p w:rsidR="00BC4DCE" w:rsidP="00BC4DCE" w:rsidRDefault="00BC4DCE">
      <w:pPr>
        <w:pStyle w:val="JuParaChar"/>
      </w:pPr>
      <w:r>
        <w:t xml:space="preserve">As the applicant objected to serving the remainder of his sentence in Hungary, his transfer to Hungary </w:t>
      </w:r>
      <w:r w:rsidR="00740FC5">
        <w:t>was effected by</w:t>
      </w:r>
      <w:r>
        <w:t xml:space="preserve"> application of the Additional Protocol to the Transfer Convention, Article 3 § 1 of which allows for a transfer without the sentenced person</w:t>
      </w:r>
      <w:r w:rsidR="004D445B">
        <w:t>’</w:t>
      </w:r>
      <w:r>
        <w:t xml:space="preserve">s consent. That Protocol entered into force with respect to Sweden on 1 March 2001, whereas the offence </w:t>
      </w:r>
      <w:r w:rsidR="00740FC5">
        <w:t>in respect of</w:t>
      </w:r>
      <w:r>
        <w:t xml:space="preserve"> which the applicant was transferred </w:t>
      </w:r>
      <w:r w:rsidR="00740FC5">
        <w:t xml:space="preserve">for the purpose of serving his sentence </w:t>
      </w:r>
      <w:r>
        <w:t>had been committed about five months</w:t>
      </w:r>
      <w:r w:rsidRPr="00DF7C2C">
        <w:rPr>
          <w:b/>
        </w:rPr>
        <w:t xml:space="preserve"> </w:t>
      </w:r>
      <w:r w:rsidRPr="007555E2">
        <w:t>earlier</w:t>
      </w:r>
      <w:r>
        <w:t>, on 21</w:t>
      </w:r>
      <w:r w:rsidR="00582581">
        <w:t> </w:t>
      </w:r>
      <w:r>
        <w:t>September</w:t>
      </w:r>
      <w:r w:rsidR="00582581">
        <w:t> </w:t>
      </w:r>
      <w:r>
        <w:t>2000. However, notwithstanding the fact that the Protocol was not in force at the time of the commission of the offence in question, under the ter</w:t>
      </w:r>
      <w:smartTag w:uri="urn:schemas-microsoft-com:office:smarttags" w:element="PersonName">
        <w:r>
          <w:t>ms</w:t>
        </w:r>
      </w:smartTag>
      <w:r>
        <w:t xml:space="preserve"> of Article 7 of the Protocol it was still applicable to any enforcement of the sentence taking place after its entry into force.</w:t>
      </w:r>
    </w:p>
    <w:p w:rsidR="00BC4DCE" w:rsidP="00BC4DCE" w:rsidRDefault="00BC4DCE">
      <w:pPr>
        <w:pStyle w:val="JuPara"/>
      </w:pPr>
      <w:r>
        <w:t>Even so, of greater importance for the examination under Article 7 of the Convention</w:t>
      </w:r>
      <w:r w:rsidRPr="00854F06">
        <w:t xml:space="preserve"> </w:t>
      </w:r>
      <w:r>
        <w:t>is the question whether the applicant</w:t>
      </w:r>
      <w:r w:rsidR="004D445B">
        <w:t>’</w:t>
      </w:r>
      <w:r>
        <w:t xml:space="preserve">s transfer or, more specifically, its implications for his conditional release may </w:t>
      </w:r>
      <w:r w:rsidR="00740FC5">
        <w:t>in any way</w:t>
      </w:r>
      <w:r>
        <w:t xml:space="preserve"> be considered as amounting to a “penalty” within the meaning of that provision. The Court reiterates its above </w:t>
      </w:r>
      <w:r w:rsidR="00E85F0E">
        <w:t xml:space="preserve">finding </w:t>
      </w:r>
      <w:r>
        <w:t xml:space="preserve">under Article 6 of the Convention that questions of conditional release concern the </w:t>
      </w:r>
      <w:r w:rsidR="00EA63F8">
        <w:t xml:space="preserve">enforcement </w:t>
      </w:r>
      <w:r>
        <w:t xml:space="preserve">of a sentence. It also notes that the above-mentioned Article 7 of the Additional Protocol, as well as several other provisions of that Protocol and the Transfer Convention, </w:t>
      </w:r>
      <w:r w:rsidR="00740FC5">
        <w:t>speak of</w:t>
      </w:r>
      <w:r>
        <w:t xml:space="preserve"> the enforcement of sentences </w:t>
      </w:r>
      <w:r w:rsidR="00740FC5">
        <w:t xml:space="preserve">with </w:t>
      </w:r>
      <w:r>
        <w:t>clear reference to transfer decisions.</w:t>
      </w:r>
    </w:p>
    <w:p w:rsidR="00BC4DCE" w:rsidP="00BC4DCE" w:rsidRDefault="00BC4DCE">
      <w:pPr>
        <w:pStyle w:val="JuPara"/>
      </w:pPr>
      <w:r>
        <w:t xml:space="preserve">Moreover, the “penalty” for the purposes of Article 7 of the Convention which was imposed on the applicant is the ten-year prison sentence decided by the Swedish courts. This penalty did not exceed the maximum punishment under the relevant provision of the Penal Code, nor has any additional penalty been imposed by virtue of the decisions taken by the Swedish and Hungarian authorities </w:t>
      </w:r>
      <w:r w:rsidR="00582581">
        <w:t xml:space="preserve">with </w:t>
      </w:r>
      <w:r>
        <w:t xml:space="preserve">regard to the transfer. It should further be noted that a </w:t>
      </w:r>
      <w:r w:rsidR="00740FC5">
        <w:t xml:space="preserve">primary </w:t>
      </w:r>
      <w:r>
        <w:t>objective of the transfer of a sentenced foreigner to his native country is to further his social rehabilitation.</w:t>
      </w:r>
    </w:p>
    <w:p w:rsidR="00BC4DCE" w:rsidP="00BC4DCE" w:rsidRDefault="00BC4DCE">
      <w:pPr>
        <w:pStyle w:val="JuParaChar"/>
      </w:pPr>
      <w:r>
        <w:t>In these circu</w:t>
      </w:r>
      <w:smartTag w:uri="urn:schemas-microsoft-com:office:smarttags" w:element="PersonName">
        <w:r>
          <w:t>ms</w:t>
        </w:r>
      </w:smartTag>
      <w:r>
        <w:t xml:space="preserve">tances, the Court cannot find that the transfer of the applicant to </w:t>
      </w:r>
      <w:smartTag w:uri="urn:schemas-microsoft-com:office:smarttags" w:element="country-region">
        <w:smartTag w:uri="urn:schemas-microsoft-com:office:smarttags" w:element="place">
          <w:r>
            <w:t>Hungary</w:t>
          </w:r>
        </w:smartTag>
      </w:smartTag>
      <w:r>
        <w:t xml:space="preserve"> was penal in character or that the transfer decisions could be </w:t>
      </w:r>
      <w:r w:rsidR="00E85F0E">
        <w:t xml:space="preserve">regarded </w:t>
      </w:r>
      <w:r>
        <w:t>as amounting to a “penalty” within the meaning of Article</w:t>
      </w:r>
      <w:r w:rsidR="00E85F0E">
        <w:t> </w:t>
      </w:r>
      <w:r>
        <w:t>7 of the Convention</w:t>
      </w:r>
      <w:r w:rsidRPr="005A15F8" w:rsidR="005A15F8">
        <w:t xml:space="preserve"> </w:t>
      </w:r>
      <w:r w:rsidR="005A15F8">
        <w:t>for any other reasons</w:t>
      </w:r>
      <w:r>
        <w:t>.</w:t>
      </w:r>
    </w:p>
    <w:p w:rsidR="00BC4DCE" w:rsidP="00BC4DCE" w:rsidRDefault="00BC4DCE">
      <w:pPr>
        <w:pStyle w:val="JuParaChar"/>
      </w:pPr>
      <w:r>
        <w:t>It follows that this complaint is</w:t>
      </w:r>
      <w:r w:rsidRPr="00740FC5" w:rsidR="00740FC5">
        <w:t xml:space="preserve"> </w:t>
      </w:r>
      <w:r w:rsidR="00740FC5">
        <w:t>also</w:t>
      </w:r>
      <w:r>
        <w:t xml:space="preserve"> incompatible </w:t>
      </w:r>
      <w:r>
        <w:rPr>
          <w:i/>
        </w:rPr>
        <w:t>ratione materiae</w:t>
      </w:r>
      <w:r>
        <w:t xml:space="preserve"> with the provisions of the Convention within the meaning of Article 35 § 3 and must be rejected in accordance with Article 35 § 4.</w:t>
      </w:r>
    </w:p>
    <w:p w:rsidRPr="000A3D55" w:rsidR="00BC4DCE" w:rsidP="00BC4DCE" w:rsidRDefault="00BC4DCE">
      <w:pPr>
        <w:pStyle w:val="JuParaLast"/>
      </w:pPr>
      <w:r w:rsidRPr="000A3D55">
        <w:t xml:space="preserve">For these reasons, the Court </w:t>
      </w:r>
      <w:r>
        <w:t>unanimously</w:t>
      </w:r>
    </w:p>
    <w:p w:rsidRPr="000A3D55" w:rsidR="00BC4DCE" w:rsidP="00BC4DCE" w:rsidRDefault="00BC4DCE">
      <w:pPr>
        <w:pStyle w:val="DecList"/>
      </w:pPr>
      <w:r w:rsidRPr="000A3D55">
        <w:rPr>
          <w:i/>
        </w:rPr>
        <w:t>Declares</w:t>
      </w:r>
      <w:r w:rsidRPr="000A3D55">
        <w:t xml:space="preserve"> the </w:t>
      </w:r>
      <w:r>
        <w:t xml:space="preserve">remainder of the </w:t>
      </w:r>
      <w:r w:rsidRPr="000A3D55">
        <w:t>application inadmissible.</w:t>
      </w:r>
    </w:p>
    <w:p w:rsidR="007D1912" w:rsidP="00BC4DCE" w:rsidRDefault="00BC4DCE">
      <w:pPr>
        <w:pStyle w:val="JuSigned"/>
        <w:keepNext/>
        <w:keepLines/>
      </w:pPr>
      <w:r w:rsidRPr="004C0DF1">
        <w:tab/>
      </w:r>
      <w:r w:rsidRPr="007E70B8">
        <w:t xml:space="preserve">S. </w:t>
      </w:r>
      <w:r w:rsidRPr="007E70B8">
        <w:rPr>
          <w:rStyle w:val="JuNames"/>
        </w:rPr>
        <w:t>Dollé</w:t>
      </w:r>
      <w:r w:rsidRPr="007E70B8">
        <w:tab/>
      </w:r>
      <w:r w:rsidRPr="007E70B8">
        <w:rPr>
          <w:rStyle w:val="JuNames"/>
        </w:rPr>
        <w:t>J.-P. Costa</w:t>
      </w:r>
      <w:r w:rsidRPr="007E70B8">
        <w:br/>
      </w:r>
      <w:r w:rsidRPr="007E70B8">
        <w:tab/>
        <w:t>Registrar</w:t>
      </w:r>
      <w:r w:rsidRPr="007E70B8">
        <w:tab/>
        <w:t>President</w:t>
      </w:r>
    </w:p>
    <w:sectPr w:rsidR="007D1912" w:rsidSect="00BC4DCE">
      <w:headerReference w:type="even" r:id="rId6"/>
      <w:headerReference w:type="default" r:id="rId7"/>
      <w:headerReference w:type="first" r:id="rId8"/>
      <w:footnotePr>
        <w:numRestart w:val="eachPage"/>
      </w:footnotePr>
      <w:pgSz w:w="11906" w:h="16838"/>
      <w:pgMar w:top="2268" w:right="2274" w:bottom="2098"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449" w:rsidRDefault="00D42449">
      <w:r>
        <w:separator/>
      </w:r>
    </w:p>
  </w:endnote>
  <w:endnote w:type="continuationSeparator" w:id="0">
    <w:p w:rsidR="00D42449" w:rsidRDefault="00D4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449" w:rsidRDefault="00D42449">
      <w:r>
        <w:separator/>
      </w:r>
    </w:p>
  </w:footnote>
  <w:footnote w:type="continuationSeparator" w:id="0">
    <w:p w:rsidR="00D42449" w:rsidRDefault="00D424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449" w:rsidRDefault="00D42449">
    <w:pPr>
      <w:pStyle w:val="JuHeader"/>
    </w:pPr>
    <w:r>
      <w:rPr>
        <w:rStyle w:val="PageNumber"/>
      </w:rPr>
      <w:fldChar w:fldCharType="begin"/>
    </w:r>
    <w:r>
      <w:rPr>
        <w:rStyle w:val="PageNumber"/>
      </w:rPr>
      <w:instrText xml:space="preserve"> PAGE </w:instrText>
    </w:r>
    <w:r>
      <w:rPr>
        <w:rStyle w:val="PageNumber"/>
      </w:rPr>
      <w:fldChar w:fldCharType="separate"/>
    </w:r>
    <w:r w:rsidR="00C0567E">
      <w:rPr>
        <w:rStyle w:val="PageNumber"/>
        <w:noProof/>
      </w:rPr>
      <w:t>6</w:t>
    </w:r>
    <w:r>
      <w:rPr>
        <w:rStyle w:val="PageNumber"/>
      </w:rPr>
      <w:fldChar w:fldCharType="end"/>
    </w:r>
    <w:r>
      <w:tab/>
      <w:t xml:space="preserve">SZABÓ v. </w:t>
    </w:r>
    <w:smartTag w:uri="urn:schemas-microsoft-com:office:smarttags" w:element="place">
      <w:smartTag w:uri="urn:schemas-microsoft-com:office:smarttags" w:element="country-region">
        <w:r>
          <w:t>SWEDEN</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449" w:rsidRDefault="00D42449">
    <w:pPr>
      <w:pStyle w:val="JuHeader"/>
    </w:pPr>
    <w:r>
      <w:tab/>
      <w:t xml:space="preserve">SZABÓ v. </w:t>
    </w:r>
    <w:smartTag w:uri="urn:schemas-microsoft-com:office:smarttags" w:element="place">
      <w:smartTag w:uri="urn:schemas-microsoft-com:office:smarttags" w:element="country-region">
        <w:r>
          <w:t>SWEDEN</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C0567E">
      <w:rPr>
        <w:rStyle w:val="PageNumber"/>
        <w:noProof/>
      </w:rPr>
      <w:t>5</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449" w:rsidRDefault="00D4244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D42449" w:rsidRDefault="00D424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1912"/>
    <w:rsid w:val="00053060"/>
    <w:rsid w:val="00236B79"/>
    <w:rsid w:val="00263284"/>
    <w:rsid w:val="002B129A"/>
    <w:rsid w:val="003A64FD"/>
    <w:rsid w:val="00464D52"/>
    <w:rsid w:val="00472287"/>
    <w:rsid w:val="0048675A"/>
    <w:rsid w:val="004D445B"/>
    <w:rsid w:val="005436A9"/>
    <w:rsid w:val="00582581"/>
    <w:rsid w:val="00582874"/>
    <w:rsid w:val="005A15F8"/>
    <w:rsid w:val="00705303"/>
    <w:rsid w:val="00721137"/>
    <w:rsid w:val="00740FC5"/>
    <w:rsid w:val="007B09D4"/>
    <w:rsid w:val="007D1912"/>
    <w:rsid w:val="008072CA"/>
    <w:rsid w:val="00876701"/>
    <w:rsid w:val="00905473"/>
    <w:rsid w:val="00956648"/>
    <w:rsid w:val="00A246C2"/>
    <w:rsid w:val="00A439FC"/>
    <w:rsid w:val="00B117FC"/>
    <w:rsid w:val="00B6510C"/>
    <w:rsid w:val="00BC4DCE"/>
    <w:rsid w:val="00C0567E"/>
    <w:rsid w:val="00C32D33"/>
    <w:rsid w:val="00C917E6"/>
    <w:rsid w:val="00C95FC4"/>
    <w:rsid w:val="00CA4C5A"/>
    <w:rsid w:val="00CF5FF6"/>
    <w:rsid w:val="00D05775"/>
    <w:rsid w:val="00D42449"/>
    <w:rsid w:val="00DD7805"/>
    <w:rsid w:val="00E044E2"/>
    <w:rsid w:val="00E30510"/>
    <w:rsid w:val="00E8262A"/>
    <w:rsid w:val="00E85F0E"/>
    <w:rsid w:val="00EA63F8"/>
    <w:rsid w:val="00F03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martTagType w:namespaceuri="urn:schemas-microsoft-com:office:smarttags" w:name="d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DCE"/>
    <w:pPr>
      <w:suppressAutoHyphens/>
    </w:pPr>
    <w:rPr>
      <w:sz w:val="24"/>
      <w:lang w:val="en-GB" w:eastAsia="fr-FR"/>
    </w:rPr>
  </w:style>
  <w:style w:type="paragraph" w:styleId="Heading1">
    <w:name w:val="heading 1"/>
    <w:basedOn w:val="Normal"/>
    <w:next w:val="Normal"/>
    <w:qFormat/>
    <w:rsid w:val="00BC4DCE"/>
    <w:pPr>
      <w:keepNext/>
      <w:spacing w:before="360" w:after="240"/>
      <w:jc w:val="center"/>
      <w:outlineLvl w:val="0"/>
    </w:pPr>
    <w:rPr>
      <w:b/>
      <w:sz w:val="28"/>
    </w:rPr>
  </w:style>
  <w:style w:type="paragraph" w:styleId="Heading2">
    <w:name w:val="heading 2"/>
    <w:basedOn w:val="Normal"/>
    <w:next w:val="Normal"/>
    <w:qFormat/>
    <w:rsid w:val="00BC4DCE"/>
    <w:pPr>
      <w:keepNext/>
      <w:spacing w:before="240" w:after="120"/>
      <w:ind w:left="284" w:hanging="284"/>
      <w:outlineLvl w:val="1"/>
    </w:pPr>
    <w:rPr>
      <w:b/>
    </w:rPr>
  </w:style>
  <w:style w:type="paragraph" w:styleId="Heading3">
    <w:name w:val="heading 3"/>
    <w:basedOn w:val="Normal"/>
    <w:next w:val="Normal"/>
    <w:qFormat/>
    <w:rsid w:val="00BC4DCE"/>
    <w:pPr>
      <w:keepNext/>
      <w:spacing w:before="120" w:after="60"/>
      <w:ind w:left="1418" w:hanging="851"/>
      <w:outlineLvl w:val="2"/>
    </w:pPr>
    <w:rPr>
      <w:i/>
    </w:rPr>
  </w:style>
  <w:style w:type="character" w:default="1" w:styleId="DefaultParagraphFont">
    <w:name w:val="Default Paragraph Font"/>
    <w:semiHidden/>
    <w:rsid w:val="00BC4DCE"/>
  </w:style>
  <w:style w:type="table" w:default="1" w:styleId="TableNormal">
    <w:name w:val="Normal Table"/>
    <w:semiHidden/>
    <w:rsid w:val="00BC4DCE"/>
    <w:tblPr>
      <w:tblInd w:w="0" w:type="dxa"/>
      <w:tblCellMar>
        <w:top w:w="0" w:type="dxa"/>
        <w:left w:w="108" w:type="dxa"/>
        <w:bottom w:w="0" w:type="dxa"/>
        <w:right w:w="108" w:type="dxa"/>
      </w:tblCellMar>
    </w:tblPr>
  </w:style>
  <w:style w:type="numbering" w:default="1" w:styleId="NoList">
    <w:name w:val="No List"/>
    <w:semiHidden/>
    <w:rsid w:val="00BC4DCE"/>
  </w:style>
  <w:style w:type="paragraph" w:customStyle="1" w:styleId="Style1">
    <w:name w:val="Style1"/>
    <w:basedOn w:val="EndnoteText"/>
    <w:rsid w:val="007D1912"/>
    <w:rPr>
      <w:lang w:val="sv-SE" w:eastAsia="sv-SE"/>
    </w:rPr>
  </w:style>
  <w:style w:type="paragraph" w:styleId="EndnoteText">
    <w:name w:val="endnote text"/>
    <w:basedOn w:val="Normal"/>
    <w:semiHidden/>
    <w:rsid w:val="007D1912"/>
    <w:rPr>
      <w:sz w:val="20"/>
    </w:rPr>
  </w:style>
  <w:style w:type="paragraph" w:customStyle="1" w:styleId="Style2">
    <w:name w:val="Style2"/>
    <w:basedOn w:val="EndnoteText"/>
    <w:rsid w:val="007D1912"/>
    <w:rPr>
      <w:lang w:val="sv-SE" w:eastAsia="sv-SE"/>
    </w:rPr>
  </w:style>
  <w:style w:type="paragraph" w:customStyle="1" w:styleId="Endnotetext0">
    <w:name w:val="Endnote text"/>
    <w:basedOn w:val="EndnoteText"/>
    <w:rsid w:val="007D1912"/>
    <w:rPr>
      <w:lang w:val="sv-SE" w:eastAsia="sv-SE"/>
    </w:rPr>
  </w:style>
  <w:style w:type="paragraph" w:customStyle="1" w:styleId="JuPara">
    <w:name w:val="Ju_Para"/>
    <w:basedOn w:val="Normal"/>
    <w:rsid w:val="00BC4DCE"/>
    <w:pPr>
      <w:ind w:firstLine="284"/>
      <w:jc w:val="both"/>
    </w:pPr>
  </w:style>
  <w:style w:type="paragraph" w:customStyle="1" w:styleId="JuCase">
    <w:name w:val="Ju_Case"/>
    <w:basedOn w:val="JuPara"/>
    <w:next w:val="JuPara"/>
    <w:rsid w:val="00BC4DCE"/>
    <w:rPr>
      <w:b/>
    </w:rPr>
  </w:style>
  <w:style w:type="paragraph" w:customStyle="1" w:styleId="JuJudges">
    <w:name w:val="Ju_Judges"/>
    <w:basedOn w:val="Normal"/>
    <w:rsid w:val="00BC4DCE"/>
    <w:pPr>
      <w:tabs>
        <w:tab w:val="left" w:pos="567"/>
        <w:tab w:val="left" w:pos="1134"/>
      </w:tabs>
    </w:pPr>
  </w:style>
  <w:style w:type="paragraph" w:customStyle="1" w:styleId="JuCourt">
    <w:name w:val="Ju_Court"/>
    <w:basedOn w:val="JuJudges"/>
    <w:rsid w:val="00BC4DCE"/>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BC4DCE"/>
    <w:pPr>
      <w:keepNext/>
      <w:keepLines/>
      <w:spacing w:before="720" w:after="240"/>
      <w:jc w:val="both"/>
    </w:pPr>
    <w:rPr>
      <w:sz w:val="28"/>
    </w:rPr>
  </w:style>
  <w:style w:type="paragraph" w:customStyle="1" w:styleId="JuHIRoman">
    <w:name w:val="Ju_H_I_Roman"/>
    <w:basedOn w:val="JuHHead"/>
    <w:next w:val="JuPara"/>
    <w:rsid w:val="00BC4DCE"/>
    <w:pPr>
      <w:tabs>
        <w:tab w:val="left" w:pos="357"/>
      </w:tabs>
      <w:spacing w:before="360"/>
      <w:ind w:left="357" w:hanging="357"/>
    </w:pPr>
    <w:rPr>
      <w:sz w:val="24"/>
    </w:rPr>
  </w:style>
  <w:style w:type="paragraph" w:customStyle="1" w:styleId="JuHA">
    <w:name w:val="Ju_H_A"/>
    <w:basedOn w:val="JuHIRoman"/>
    <w:next w:val="JuPara"/>
    <w:rsid w:val="00BC4DCE"/>
    <w:pPr>
      <w:tabs>
        <w:tab w:val="clear" w:pos="357"/>
        <w:tab w:val="left" w:pos="584"/>
      </w:tabs>
      <w:ind w:left="584" w:hanging="352"/>
    </w:pPr>
    <w:rPr>
      <w:b/>
    </w:rPr>
  </w:style>
  <w:style w:type="paragraph" w:customStyle="1" w:styleId="JuHa0">
    <w:name w:val="Ju_H_a"/>
    <w:basedOn w:val="JuH1"/>
    <w:next w:val="JuPara"/>
    <w:rsid w:val="00BC4DCE"/>
    <w:pPr>
      <w:tabs>
        <w:tab w:val="clear" w:pos="731"/>
        <w:tab w:val="left" w:pos="975"/>
      </w:tabs>
      <w:ind w:left="975" w:hanging="340"/>
    </w:pPr>
    <w:rPr>
      <w:b/>
      <w:i w:val="0"/>
      <w:sz w:val="20"/>
    </w:rPr>
  </w:style>
  <w:style w:type="paragraph" w:customStyle="1" w:styleId="JuH1">
    <w:name w:val="Ju_H_1."/>
    <w:basedOn w:val="JuHA"/>
    <w:next w:val="JuPara"/>
    <w:rsid w:val="00BC4DCE"/>
    <w:pPr>
      <w:tabs>
        <w:tab w:val="clear" w:pos="584"/>
        <w:tab w:val="left" w:pos="731"/>
      </w:tabs>
      <w:spacing w:before="240" w:after="120"/>
      <w:ind w:left="732" w:hanging="301"/>
    </w:pPr>
    <w:rPr>
      <w:b w:val="0"/>
      <w:i/>
    </w:rPr>
  </w:style>
  <w:style w:type="paragraph" w:customStyle="1" w:styleId="JuHi">
    <w:name w:val="Ju_H_i"/>
    <w:basedOn w:val="JuHa0"/>
    <w:next w:val="JuPara"/>
    <w:rsid w:val="00BC4DCE"/>
    <w:pPr>
      <w:tabs>
        <w:tab w:val="clear" w:pos="975"/>
        <w:tab w:val="left" w:pos="1191"/>
      </w:tabs>
      <w:ind w:left="1190" w:hanging="357"/>
    </w:pPr>
    <w:rPr>
      <w:b w:val="0"/>
      <w:i/>
    </w:rPr>
  </w:style>
  <w:style w:type="paragraph" w:customStyle="1" w:styleId="JuHalpha">
    <w:name w:val="Ju_H_alpha"/>
    <w:basedOn w:val="JuHi"/>
    <w:next w:val="JuPara"/>
    <w:rsid w:val="00BC4DCE"/>
    <w:pPr>
      <w:tabs>
        <w:tab w:val="clear" w:pos="1191"/>
        <w:tab w:val="left" w:pos="1372"/>
      </w:tabs>
      <w:ind w:left="1373" w:hanging="335"/>
    </w:pPr>
    <w:rPr>
      <w:i w:val="0"/>
    </w:rPr>
  </w:style>
  <w:style w:type="paragraph" w:customStyle="1" w:styleId="JuH">
    <w:name w:val="Ju_H_–"/>
    <w:basedOn w:val="JuHalpha"/>
    <w:next w:val="JuPara"/>
    <w:rsid w:val="00BC4DCE"/>
    <w:pPr>
      <w:tabs>
        <w:tab w:val="clear" w:pos="1372"/>
      </w:tabs>
      <w:ind w:left="1236" w:firstLine="0"/>
    </w:pPr>
    <w:rPr>
      <w:i/>
    </w:rPr>
  </w:style>
  <w:style w:type="paragraph" w:customStyle="1" w:styleId="JuHeader">
    <w:name w:val="Ju_Header"/>
    <w:basedOn w:val="Header"/>
    <w:rsid w:val="00BC4DCE"/>
  </w:style>
  <w:style w:type="paragraph" w:styleId="Header">
    <w:name w:val="header"/>
    <w:basedOn w:val="Normal"/>
    <w:rsid w:val="00BC4DCE"/>
    <w:pPr>
      <w:tabs>
        <w:tab w:val="center" w:pos="3686"/>
        <w:tab w:val="right" w:pos="7371"/>
      </w:tabs>
    </w:pPr>
    <w:rPr>
      <w:sz w:val="18"/>
    </w:rPr>
  </w:style>
  <w:style w:type="paragraph" w:customStyle="1" w:styleId="PJuPara">
    <w:name w:val="P_Ju_Para"/>
    <w:basedOn w:val="Normal"/>
    <w:rsid w:val="00BC4DCE"/>
    <w:pPr>
      <w:ind w:firstLine="284"/>
      <w:jc w:val="both"/>
    </w:pPr>
  </w:style>
  <w:style w:type="paragraph" w:customStyle="1" w:styleId="JuSigned">
    <w:name w:val="Ju_Signed"/>
    <w:basedOn w:val="Normal"/>
    <w:next w:val="JuParaLast"/>
    <w:rsid w:val="00BC4DCE"/>
    <w:pPr>
      <w:tabs>
        <w:tab w:val="center" w:pos="851"/>
        <w:tab w:val="center" w:pos="6407"/>
      </w:tabs>
      <w:spacing w:before="720"/>
    </w:pPr>
  </w:style>
  <w:style w:type="paragraph" w:customStyle="1" w:styleId="JuParaLast">
    <w:name w:val="Ju_Para_Last"/>
    <w:basedOn w:val="JuPara"/>
    <w:next w:val="JuPara"/>
    <w:rsid w:val="00BC4DCE"/>
    <w:pPr>
      <w:keepNext/>
      <w:keepLines/>
      <w:spacing w:before="240"/>
    </w:pPr>
  </w:style>
  <w:style w:type="paragraph" w:customStyle="1" w:styleId="JuInitialled">
    <w:name w:val="Ju_Initialled"/>
    <w:basedOn w:val="JuSigned"/>
    <w:rsid w:val="00BC4DCE"/>
    <w:pPr>
      <w:tabs>
        <w:tab w:val="clear" w:pos="851"/>
      </w:tabs>
      <w:jc w:val="right"/>
    </w:pPr>
  </w:style>
  <w:style w:type="paragraph" w:customStyle="1" w:styleId="JuList">
    <w:name w:val="Ju_List"/>
    <w:basedOn w:val="JuPara"/>
    <w:rsid w:val="00BC4DCE"/>
    <w:pPr>
      <w:ind w:left="340" w:hanging="340"/>
    </w:pPr>
  </w:style>
  <w:style w:type="paragraph" w:customStyle="1" w:styleId="JuLista">
    <w:name w:val="Ju_List_a"/>
    <w:basedOn w:val="JuList"/>
    <w:rsid w:val="00BC4DCE"/>
    <w:pPr>
      <w:ind w:left="346" w:firstLine="0"/>
    </w:pPr>
  </w:style>
  <w:style w:type="paragraph" w:customStyle="1" w:styleId="JuListi">
    <w:name w:val="Ju_List_i"/>
    <w:basedOn w:val="JuLista"/>
    <w:rsid w:val="00BC4DCE"/>
    <w:pPr>
      <w:ind w:left="794"/>
    </w:pPr>
  </w:style>
  <w:style w:type="character" w:styleId="FootnoteReference">
    <w:name w:val="footnote reference"/>
    <w:basedOn w:val="DefaultParagraphFont"/>
    <w:semiHidden/>
    <w:rsid w:val="00BC4DCE"/>
    <w:rPr>
      <w:vertAlign w:val="superscript"/>
    </w:rPr>
  </w:style>
  <w:style w:type="paragraph" w:customStyle="1" w:styleId="JuQuot">
    <w:name w:val="Ju_Quot"/>
    <w:basedOn w:val="JuPara"/>
    <w:rsid w:val="00BC4DCE"/>
    <w:pPr>
      <w:spacing w:before="120" w:after="120"/>
      <w:ind w:left="425" w:firstLine="142"/>
    </w:pPr>
    <w:rPr>
      <w:sz w:val="20"/>
    </w:rPr>
  </w:style>
  <w:style w:type="paragraph" w:customStyle="1" w:styleId="PJuQuot">
    <w:name w:val="P_Ju_Quot"/>
    <w:basedOn w:val="Normal"/>
    <w:rsid w:val="00BC4DCE"/>
    <w:pPr>
      <w:spacing w:before="120" w:after="120"/>
      <w:ind w:left="403" w:firstLine="176"/>
      <w:jc w:val="both"/>
    </w:pPr>
    <w:rPr>
      <w:sz w:val="20"/>
    </w:rPr>
  </w:style>
  <w:style w:type="paragraph" w:customStyle="1" w:styleId="OpiPara">
    <w:name w:val="Opi_Para"/>
    <w:basedOn w:val="JuPara"/>
    <w:rsid w:val="00BC4DCE"/>
  </w:style>
  <w:style w:type="paragraph" w:customStyle="1" w:styleId="OpiHA">
    <w:name w:val="Opi_H_A"/>
    <w:basedOn w:val="JuHIRoman"/>
    <w:next w:val="OpiPara"/>
    <w:rsid w:val="00BC4DCE"/>
    <w:pPr>
      <w:tabs>
        <w:tab w:val="clear" w:pos="357"/>
      </w:tabs>
    </w:pPr>
    <w:rPr>
      <w:b/>
    </w:rPr>
  </w:style>
  <w:style w:type="paragraph" w:customStyle="1" w:styleId="OpiH1">
    <w:name w:val="Opi_H_1."/>
    <w:basedOn w:val="OpiHA"/>
    <w:next w:val="OpiPara"/>
    <w:rsid w:val="00BC4DCE"/>
    <w:pPr>
      <w:spacing w:before="240" w:after="120"/>
      <w:ind w:left="635"/>
    </w:pPr>
    <w:rPr>
      <w:b w:val="0"/>
      <w:i/>
    </w:rPr>
  </w:style>
  <w:style w:type="paragraph" w:customStyle="1" w:styleId="OpiHa0">
    <w:name w:val="Opi_H_a"/>
    <w:basedOn w:val="OpiH1"/>
    <w:next w:val="OpiPara"/>
    <w:rsid w:val="00BC4DCE"/>
    <w:pPr>
      <w:ind w:left="834"/>
    </w:pPr>
    <w:rPr>
      <w:b/>
      <w:i w:val="0"/>
      <w:sz w:val="20"/>
    </w:rPr>
  </w:style>
  <w:style w:type="paragraph" w:customStyle="1" w:styleId="OpiHHead">
    <w:name w:val="Opi_H_Head"/>
    <w:basedOn w:val="JuHHead"/>
    <w:next w:val="OpiPara"/>
    <w:rsid w:val="00BC4DCE"/>
    <w:pPr>
      <w:spacing w:before="0"/>
      <w:jc w:val="center"/>
    </w:pPr>
  </w:style>
  <w:style w:type="paragraph" w:customStyle="1" w:styleId="OpiTranslation">
    <w:name w:val="Opi_Translation"/>
    <w:basedOn w:val="OpiHHead"/>
    <w:next w:val="OpiPara"/>
    <w:rsid w:val="00BC4DCE"/>
    <w:rPr>
      <w:sz w:val="24"/>
    </w:rPr>
  </w:style>
  <w:style w:type="paragraph" w:customStyle="1" w:styleId="OpiHi">
    <w:name w:val="Opi_H_i"/>
    <w:basedOn w:val="OpiHa0"/>
    <w:next w:val="OpiPara"/>
    <w:rsid w:val="00BC4DCE"/>
    <w:pPr>
      <w:ind w:left="1038"/>
    </w:pPr>
    <w:rPr>
      <w:b w:val="0"/>
      <w:i/>
    </w:rPr>
  </w:style>
  <w:style w:type="paragraph" w:customStyle="1" w:styleId="PListArticleSubject">
    <w:name w:val="P_List_ArticleSubject"/>
    <w:basedOn w:val="Normal"/>
    <w:rsid w:val="00BC4DCE"/>
    <w:pPr>
      <w:tabs>
        <w:tab w:val="left" w:pos="2977"/>
      </w:tabs>
      <w:ind w:left="2977" w:hanging="2977"/>
    </w:pPr>
  </w:style>
  <w:style w:type="paragraph" w:customStyle="1" w:styleId="OpiQuot">
    <w:name w:val="Opi_Quot"/>
    <w:basedOn w:val="JuQuot"/>
    <w:rsid w:val="00BC4DCE"/>
  </w:style>
  <w:style w:type="character" w:styleId="PageNumber">
    <w:name w:val="page number"/>
    <w:basedOn w:val="DefaultParagraphFont"/>
    <w:rsid w:val="00BC4DCE"/>
    <w:rPr>
      <w:sz w:val="18"/>
    </w:rPr>
  </w:style>
  <w:style w:type="paragraph" w:styleId="FootnoteText">
    <w:name w:val="footnote text"/>
    <w:basedOn w:val="Normal"/>
    <w:semiHidden/>
    <w:rsid w:val="00BC4DCE"/>
    <w:pPr>
      <w:jc w:val="both"/>
    </w:pPr>
    <w:rPr>
      <w:sz w:val="20"/>
    </w:rPr>
  </w:style>
  <w:style w:type="paragraph" w:customStyle="1" w:styleId="SuCoverTitle1">
    <w:name w:val="Su_Cover_Title1"/>
    <w:basedOn w:val="Normal"/>
    <w:next w:val="SuCoverTitle2"/>
    <w:rsid w:val="00BC4DCE"/>
    <w:pPr>
      <w:spacing w:before="2500"/>
      <w:jc w:val="center"/>
    </w:pPr>
    <w:rPr>
      <w:sz w:val="22"/>
    </w:rPr>
  </w:style>
  <w:style w:type="paragraph" w:customStyle="1" w:styleId="SuCoverTitle2">
    <w:name w:val="Su_Cover_Title2"/>
    <w:basedOn w:val="SuCoverTitle1"/>
    <w:next w:val="Normal"/>
    <w:rsid w:val="00BC4DCE"/>
    <w:pPr>
      <w:spacing w:before="240"/>
    </w:pPr>
    <w:rPr>
      <w:sz w:val="18"/>
    </w:rPr>
  </w:style>
  <w:style w:type="paragraph" w:customStyle="1" w:styleId="JuQuotSub">
    <w:name w:val="Ju_Quot_Sub"/>
    <w:basedOn w:val="JuQuot"/>
    <w:rsid w:val="00BC4DCE"/>
    <w:pPr>
      <w:ind w:left="567"/>
    </w:pPr>
  </w:style>
  <w:style w:type="paragraph" w:styleId="Footer">
    <w:name w:val="footer"/>
    <w:basedOn w:val="Normal"/>
    <w:rsid w:val="00BC4DCE"/>
    <w:pPr>
      <w:tabs>
        <w:tab w:val="center" w:pos="3686"/>
        <w:tab w:val="right" w:pos="7371"/>
      </w:tabs>
    </w:pPr>
    <w:rPr>
      <w:sz w:val="18"/>
    </w:rPr>
  </w:style>
  <w:style w:type="paragraph" w:customStyle="1" w:styleId="SuPara">
    <w:name w:val="Su_Para"/>
    <w:basedOn w:val="SuKeywords"/>
    <w:rsid w:val="00BC4DCE"/>
    <w:pPr>
      <w:spacing w:before="0" w:after="0"/>
    </w:pPr>
    <w:rPr>
      <w:i w:val="0"/>
    </w:rPr>
  </w:style>
  <w:style w:type="paragraph" w:customStyle="1" w:styleId="SuKeywords">
    <w:name w:val="Su_Keywords"/>
    <w:basedOn w:val="SuHHead"/>
    <w:rsid w:val="00BC4DCE"/>
    <w:pPr>
      <w:spacing w:before="120"/>
    </w:pPr>
    <w:rPr>
      <w:b w:val="0"/>
      <w:i/>
    </w:rPr>
  </w:style>
  <w:style w:type="paragraph" w:customStyle="1" w:styleId="SuHHead">
    <w:name w:val="Su_H_Head"/>
    <w:basedOn w:val="SuSubject"/>
    <w:rsid w:val="00BC4DCE"/>
    <w:pPr>
      <w:spacing w:after="120"/>
    </w:pPr>
  </w:style>
  <w:style w:type="paragraph" w:customStyle="1" w:styleId="SuSubject">
    <w:name w:val="Su_Subject"/>
    <w:basedOn w:val="SuSummary"/>
    <w:rsid w:val="00BC4DCE"/>
    <w:pPr>
      <w:spacing w:before="360"/>
      <w:jc w:val="both"/>
    </w:pPr>
    <w:rPr>
      <w:b/>
      <w:sz w:val="22"/>
    </w:rPr>
  </w:style>
  <w:style w:type="paragraph" w:customStyle="1" w:styleId="SuSummary">
    <w:name w:val="Su_Summary"/>
    <w:basedOn w:val="Normal"/>
    <w:next w:val="SuSubject"/>
    <w:rsid w:val="00BC4DCE"/>
    <w:pPr>
      <w:spacing w:after="240"/>
      <w:jc w:val="center"/>
    </w:pPr>
  </w:style>
  <w:style w:type="paragraph" w:customStyle="1" w:styleId="DecHTitle">
    <w:name w:val="Dec_H_Title"/>
    <w:basedOn w:val="Normal"/>
    <w:rsid w:val="00BC4DCE"/>
    <w:pPr>
      <w:spacing w:after="240"/>
      <w:jc w:val="center"/>
    </w:pPr>
    <w:rPr>
      <w:sz w:val="28"/>
    </w:rPr>
  </w:style>
  <w:style w:type="paragraph" w:customStyle="1" w:styleId="DecHCase">
    <w:name w:val="Dec_H_Case"/>
    <w:basedOn w:val="DecHTitle"/>
    <w:next w:val="JuPara"/>
    <w:rsid w:val="00BC4DCE"/>
    <w:rPr>
      <w:sz w:val="24"/>
    </w:rPr>
  </w:style>
  <w:style w:type="paragraph" w:customStyle="1" w:styleId="DecList">
    <w:name w:val="Dec_List"/>
    <w:basedOn w:val="Normal"/>
    <w:rsid w:val="00BC4DCE"/>
    <w:pPr>
      <w:spacing w:before="240"/>
      <w:ind w:left="284"/>
      <w:jc w:val="both"/>
    </w:pPr>
  </w:style>
  <w:style w:type="paragraph" w:customStyle="1" w:styleId="JuParaSub">
    <w:name w:val="Ju_Para_Sub"/>
    <w:basedOn w:val="JuPara"/>
    <w:rsid w:val="00BC4DCE"/>
    <w:pPr>
      <w:ind w:left="284"/>
    </w:pPr>
    <w:rPr>
      <w:szCs w:val="24"/>
    </w:rPr>
  </w:style>
  <w:style w:type="character" w:customStyle="1" w:styleId="JuNames">
    <w:name w:val="Ju_Names"/>
    <w:basedOn w:val="DefaultParagraphFont"/>
    <w:rsid w:val="00BC4DCE"/>
    <w:rPr>
      <w:smallCaps/>
    </w:rPr>
  </w:style>
  <w:style w:type="paragraph" w:customStyle="1" w:styleId="PListCaseNo">
    <w:name w:val="P_List_CaseNo"/>
    <w:basedOn w:val="Normal"/>
    <w:rsid w:val="00BC4DCE"/>
    <w:pPr>
      <w:tabs>
        <w:tab w:val="left" w:pos="1276"/>
      </w:tabs>
      <w:spacing w:line="288" w:lineRule="auto"/>
      <w:ind w:left="1276" w:hanging="1276"/>
    </w:pPr>
  </w:style>
  <w:style w:type="paragraph" w:customStyle="1" w:styleId="PListCases">
    <w:name w:val="P_List_Cases"/>
    <w:basedOn w:val="Normal"/>
    <w:rsid w:val="00BC4DCE"/>
    <w:pPr>
      <w:spacing w:line="288" w:lineRule="auto"/>
    </w:pPr>
  </w:style>
  <w:style w:type="paragraph" w:customStyle="1" w:styleId="PTextIntro">
    <w:name w:val="P_Text_Intro"/>
    <w:basedOn w:val="Normal"/>
    <w:rsid w:val="00BC4DCE"/>
    <w:pPr>
      <w:jc w:val="both"/>
    </w:pPr>
    <w:rPr>
      <w:i/>
      <w:sz w:val="20"/>
    </w:rPr>
  </w:style>
  <w:style w:type="paragraph" w:customStyle="1" w:styleId="PTitleCover">
    <w:name w:val="P_Title_Cover"/>
    <w:basedOn w:val="Normal"/>
    <w:rsid w:val="00BC4DCE"/>
    <w:pPr>
      <w:spacing w:before="2500"/>
      <w:jc w:val="center"/>
    </w:pPr>
    <w:rPr>
      <w:b/>
      <w:smallCaps/>
      <w:sz w:val="30"/>
    </w:rPr>
  </w:style>
  <w:style w:type="paragraph" w:customStyle="1" w:styleId="PTitle1Alpha">
    <w:name w:val="P_Title1_Alpha"/>
    <w:basedOn w:val="Normal"/>
    <w:next w:val="Normal"/>
    <w:rsid w:val="00BC4DCE"/>
    <w:pPr>
      <w:spacing w:after="120"/>
      <w:jc w:val="center"/>
    </w:pPr>
    <w:rPr>
      <w:b/>
      <w:smallCaps/>
      <w:sz w:val="30"/>
    </w:rPr>
  </w:style>
  <w:style w:type="paragraph" w:customStyle="1" w:styleId="PTitle1IndexArticle">
    <w:name w:val="P_Title1_IndexArticle"/>
    <w:basedOn w:val="Normal"/>
    <w:rsid w:val="00BC4DCE"/>
    <w:pPr>
      <w:spacing w:after="120"/>
      <w:jc w:val="center"/>
    </w:pPr>
    <w:rPr>
      <w:b/>
      <w:smallCaps/>
      <w:sz w:val="30"/>
    </w:rPr>
  </w:style>
  <w:style w:type="paragraph" w:customStyle="1" w:styleId="PTitle1IndexKey">
    <w:name w:val="P_Title1_IndexKey"/>
    <w:basedOn w:val="Normal"/>
    <w:rsid w:val="00BC4DCE"/>
    <w:pPr>
      <w:spacing w:after="600"/>
      <w:jc w:val="center"/>
    </w:pPr>
    <w:rPr>
      <w:b/>
      <w:smallCaps/>
      <w:sz w:val="30"/>
    </w:rPr>
  </w:style>
  <w:style w:type="paragraph" w:customStyle="1" w:styleId="PTitle1Num">
    <w:name w:val="P_Title1_Num"/>
    <w:basedOn w:val="Normal"/>
    <w:next w:val="PListCaseNo"/>
    <w:rsid w:val="00BC4DCE"/>
    <w:pPr>
      <w:spacing w:after="720"/>
      <w:jc w:val="center"/>
    </w:pPr>
    <w:rPr>
      <w:b/>
      <w:smallCaps/>
      <w:sz w:val="30"/>
    </w:rPr>
  </w:style>
  <w:style w:type="paragraph" w:customStyle="1" w:styleId="PTitle2Country">
    <w:name w:val="P_Title2_Country"/>
    <w:basedOn w:val="Normal"/>
    <w:next w:val="PListCases"/>
    <w:rsid w:val="00BC4DCE"/>
    <w:pPr>
      <w:keepNext/>
      <w:keepLines/>
      <w:spacing w:before="600" w:after="360"/>
    </w:pPr>
    <w:rPr>
      <w:b/>
    </w:rPr>
  </w:style>
  <w:style w:type="paragraph" w:customStyle="1" w:styleId="PTitle2Letters">
    <w:name w:val="P_Title2_Letters"/>
    <w:basedOn w:val="Normal"/>
    <w:next w:val="PListCases"/>
    <w:rsid w:val="00BC4DCE"/>
    <w:pPr>
      <w:keepNext/>
      <w:keepLines/>
      <w:spacing w:before="600" w:after="360"/>
    </w:pPr>
    <w:rPr>
      <w:b/>
      <w:sz w:val="28"/>
    </w:rPr>
  </w:style>
  <w:style w:type="paragraph" w:customStyle="1" w:styleId="PTitle2Part">
    <w:name w:val="P_Title2_Part"/>
    <w:basedOn w:val="Normal"/>
    <w:rsid w:val="00BC4DCE"/>
    <w:pPr>
      <w:keepNext/>
      <w:keepLines/>
      <w:spacing w:before="600" w:after="240"/>
      <w:jc w:val="center"/>
    </w:pPr>
    <w:rPr>
      <w:b/>
      <w:caps/>
    </w:rPr>
  </w:style>
  <w:style w:type="paragraph" w:customStyle="1" w:styleId="PTitle3Article">
    <w:name w:val="P_Title3_Article"/>
    <w:basedOn w:val="Normal"/>
    <w:rsid w:val="00BC4DCE"/>
    <w:pPr>
      <w:keepNext/>
      <w:keepLines/>
      <w:spacing w:before="360" w:after="120"/>
      <w:jc w:val="center"/>
    </w:pPr>
    <w:rPr>
      <w:b/>
      <w:smallCaps/>
      <w:sz w:val="22"/>
    </w:rPr>
  </w:style>
  <w:style w:type="paragraph" w:customStyle="1" w:styleId="PTitle4ArticleSub">
    <w:name w:val="P_Title4_Article_Sub"/>
    <w:basedOn w:val="PTitle3Article"/>
    <w:rsid w:val="00BC4DCE"/>
    <w:pPr>
      <w:spacing w:before="240"/>
    </w:pPr>
    <w:rPr>
      <w:smallCaps w:val="0"/>
      <w:sz w:val="20"/>
    </w:rPr>
  </w:style>
  <w:style w:type="paragraph" w:customStyle="1" w:styleId="PTitle5Subject">
    <w:name w:val="P_Title5_Subject"/>
    <w:basedOn w:val="Normal"/>
    <w:rsid w:val="00BC4DCE"/>
    <w:pPr>
      <w:keepNext/>
      <w:keepLines/>
      <w:spacing w:before="240" w:after="120"/>
      <w:jc w:val="both"/>
    </w:pPr>
    <w:rPr>
      <w:b/>
      <w:i/>
    </w:rPr>
  </w:style>
  <w:style w:type="paragraph" w:customStyle="1" w:styleId="PTitle6SubjectSub">
    <w:name w:val="P_Title6_Subject_Sub"/>
    <w:basedOn w:val="Normal"/>
    <w:rsid w:val="00BC4DCE"/>
    <w:pPr>
      <w:keepNext/>
      <w:keepLines/>
      <w:spacing w:before="240" w:after="120"/>
      <w:ind w:left="284"/>
      <w:jc w:val="both"/>
    </w:pPr>
    <w:rPr>
      <w:b/>
      <w:sz w:val="20"/>
    </w:rPr>
  </w:style>
  <w:style w:type="paragraph" w:customStyle="1" w:styleId="PTitle7CaseName">
    <w:name w:val="P_Title7_CaseName"/>
    <w:basedOn w:val="Normal"/>
    <w:rsid w:val="00BC4DCE"/>
    <w:pPr>
      <w:keepLines/>
      <w:spacing w:after="240"/>
      <w:jc w:val="right"/>
    </w:pPr>
    <w:rPr>
      <w:sz w:val="22"/>
    </w:rPr>
  </w:style>
  <w:style w:type="paragraph" w:customStyle="1" w:styleId="JuHArticle">
    <w:name w:val="Ju_H_Article"/>
    <w:basedOn w:val="JuHa0"/>
    <w:next w:val="JuQuot"/>
    <w:rsid w:val="00BC4DCE"/>
    <w:pPr>
      <w:ind w:left="0" w:firstLine="0"/>
      <w:jc w:val="center"/>
    </w:pPr>
  </w:style>
  <w:style w:type="paragraph" w:customStyle="1" w:styleId="OpiParaSub">
    <w:name w:val="Opi_Para_Sub"/>
    <w:basedOn w:val="JuParaSub"/>
    <w:rsid w:val="00BC4DCE"/>
  </w:style>
  <w:style w:type="paragraph" w:customStyle="1" w:styleId="OpiQuotSub">
    <w:name w:val="Opi_Quot_Sub"/>
    <w:basedOn w:val="JuQuotSub"/>
    <w:rsid w:val="00BC4DCE"/>
  </w:style>
  <w:style w:type="paragraph" w:customStyle="1" w:styleId="JuParaChar">
    <w:name w:val="Ju_Para Char"/>
    <w:basedOn w:val="Normal"/>
    <w:link w:val="JuParaCharChar"/>
    <w:rsid w:val="00BC4DCE"/>
    <w:pPr>
      <w:ind w:firstLine="284"/>
      <w:jc w:val="both"/>
    </w:pPr>
  </w:style>
  <w:style w:type="paragraph" w:customStyle="1" w:styleId="JuQuotChar">
    <w:name w:val="Ju_Quot Char"/>
    <w:basedOn w:val="JuParaChar"/>
    <w:link w:val="JuQuotCharChar"/>
    <w:rsid w:val="00BC4DCE"/>
    <w:pPr>
      <w:spacing w:before="120" w:after="120"/>
      <w:ind w:left="425" w:firstLine="142"/>
    </w:pPr>
  </w:style>
  <w:style w:type="character" w:customStyle="1" w:styleId="JuParaCharChar">
    <w:name w:val="Ju_Para Char Char"/>
    <w:basedOn w:val="DefaultParagraphFont"/>
    <w:link w:val="JuParaChar"/>
    <w:rsid w:val="00BC4DCE"/>
    <w:rPr>
      <w:sz w:val="24"/>
      <w:lang w:val="en-GB" w:eastAsia="fr-FR" w:bidi="ar-SA"/>
    </w:rPr>
  </w:style>
  <w:style w:type="character" w:customStyle="1" w:styleId="JuQuotCharChar">
    <w:name w:val="Ju_Quot Char Char"/>
    <w:basedOn w:val="JuParaCharChar"/>
    <w:link w:val="JuQuotChar"/>
    <w:rsid w:val="00BC4DCE"/>
    <w:rPr>
      <w:sz w:val="24"/>
      <w:lang w:val="en-GB" w:eastAsia="fr-FR" w:bidi="ar-SA"/>
    </w:rPr>
  </w:style>
  <w:style w:type="paragraph" w:styleId="BalloonText">
    <w:name w:val="Balloon Text"/>
    <w:basedOn w:val="Normal"/>
    <w:semiHidden/>
    <w:rsid w:val="00B117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7B45C6-5E6F-41FB-AD74-97139A85F0F5}"/>
</file>

<file path=customXml/itemProps2.xml><?xml version="1.0" encoding="utf-8"?>
<ds:datastoreItem xmlns:ds="http://schemas.openxmlformats.org/officeDocument/2006/customXml" ds:itemID="{9D614351-F941-4AB5-AD6C-9DC913F7EE8F}"/>
</file>

<file path=customXml/itemProps3.xml><?xml version="1.0" encoding="utf-8"?>
<ds:datastoreItem xmlns:ds="http://schemas.openxmlformats.org/officeDocument/2006/customXml" ds:itemID="{375C5628-7DE2-4E68-AA47-98C02F109B6A}"/>
</file>

<file path=docProps/app.xml><?xml version="1.0" encoding="utf-8"?>
<Properties xmlns="http://schemas.openxmlformats.org/officeDocument/2006/extended-properties" xmlns:vt="http://schemas.openxmlformats.org/officeDocument/2006/docPropsVTypes">
  <Template>Normal.dotm</Template>
  <TotalTime>0</TotalTime>
  <Pages>1</Pages>
  <Words>5558</Words>
  <Characters>31685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cp:lastPrinted>2006-11-03T11:04:00Z</cp:lastPrinted>
  <dcterms:created xsi:type="dcterms:W3CDTF">2015-03-18T09:20:00Z</dcterms:created>
  <dcterms:modified xsi:type="dcterms:W3CDTF">2015-03-18T09:20:00Z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