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BA9" w:rsidRDefault="001D1BA9">
      <w:pPr>
        <w:jc w:val="center"/>
      </w:pPr>
      <w:bookmarkStart w:name="_GoBack" w:id="0"/>
      <w:bookmarkEnd w:id="0"/>
    </w:p>
    <w:p w:rsidR="001D1BA9" w:rsidRDefault="001D1BA9">
      <w:pPr>
        <w:jc w:val="center"/>
      </w:pPr>
    </w:p>
    <w:p w:rsidR="001D1BA9" w:rsidRDefault="001D1BA9">
      <w:pPr>
        <w:jc w:val="center"/>
      </w:pPr>
    </w:p>
    <w:p w:rsidR="001D1BA9" w:rsidRDefault="001D1BA9">
      <w:pPr>
        <w:jc w:val="center"/>
        <w:outlineLvl w:val="0"/>
      </w:pPr>
      <w:r>
        <w:t>FIRST SECTION</w:t>
      </w:r>
    </w:p>
    <w:p w:rsidR="001D1BA9" w:rsidRDefault="001D1BA9">
      <w:pPr>
        <w:jc w:val="center"/>
      </w:pPr>
    </w:p>
    <w:p w:rsidR="001D1BA9" w:rsidRDefault="001D1BA9">
      <w:pPr>
        <w:jc w:val="center"/>
      </w:pPr>
    </w:p>
    <w:p w:rsidR="001D1BA9" w:rsidRDefault="001D1BA9">
      <w:pPr>
        <w:jc w:val="center"/>
      </w:pPr>
    </w:p>
    <w:p w:rsidR="001D1BA9" w:rsidRDefault="001D1BA9">
      <w:pPr>
        <w:jc w:val="center"/>
      </w:pPr>
    </w:p>
    <w:p w:rsidR="001D1BA9" w:rsidRDefault="001D1BA9">
      <w:pPr>
        <w:jc w:val="center"/>
      </w:pPr>
    </w:p>
    <w:p w:rsidR="001D1BA9" w:rsidRDefault="001D1BA9">
      <w:pPr>
        <w:jc w:val="center"/>
      </w:pPr>
    </w:p>
    <w:p w:rsidR="001D1BA9" w:rsidRDefault="001D1BA9">
      <w:pPr>
        <w:jc w:val="center"/>
        <w:outlineLvl w:val="0"/>
        <w:rPr>
          <w:b/>
        </w:rPr>
      </w:pPr>
      <w:r>
        <w:rPr>
          <w:b/>
        </w:rPr>
        <w:t xml:space="preserve">CASE OF RYABYKH v. </w:t>
      </w:r>
      <w:smartTag w:uri="urn:schemas-microsoft-com:office:smarttags" w:element="place">
        <w:smartTag w:uri="urn:schemas-microsoft-com:office:smarttags" w:element="country-region">
          <w:r>
            <w:rPr>
              <w:b/>
            </w:rPr>
            <w:t>RUSSIA</w:t>
          </w:r>
        </w:smartTag>
      </w:smartTag>
    </w:p>
    <w:p w:rsidR="001D1BA9" w:rsidRDefault="001D1BA9">
      <w:pPr>
        <w:jc w:val="center"/>
      </w:pPr>
    </w:p>
    <w:p w:rsidR="001D1BA9" w:rsidRDefault="001D1BA9">
      <w:pPr>
        <w:jc w:val="center"/>
        <w:rPr>
          <w:i/>
        </w:rPr>
      </w:pPr>
      <w:r>
        <w:rPr>
          <w:i/>
        </w:rPr>
        <w:t>(Application no. 52854/99)</w:t>
      </w:r>
    </w:p>
    <w:p w:rsidR="001D1BA9" w:rsidRDefault="001D1BA9">
      <w:pPr>
        <w:jc w:val="center"/>
        <w:rPr>
          <w:sz w:val="22"/>
        </w:rPr>
      </w:pPr>
    </w:p>
    <w:p w:rsidR="001D1BA9" w:rsidRDefault="001D1BA9">
      <w:pPr>
        <w:jc w:val="center"/>
        <w:rPr>
          <w:sz w:val="22"/>
        </w:rPr>
      </w:pPr>
    </w:p>
    <w:p w:rsidR="001D1BA9" w:rsidRDefault="001D1BA9">
      <w:pPr>
        <w:jc w:val="center"/>
        <w:rPr>
          <w:sz w:val="22"/>
        </w:rPr>
      </w:pPr>
    </w:p>
    <w:p w:rsidR="001D1BA9" w:rsidRDefault="001D1BA9">
      <w:pPr>
        <w:jc w:val="center"/>
        <w:rPr>
          <w:sz w:val="22"/>
        </w:rPr>
      </w:pPr>
    </w:p>
    <w:p w:rsidR="001D1BA9" w:rsidRDefault="001D1BA9">
      <w:pPr>
        <w:jc w:val="center"/>
        <w:rPr>
          <w:sz w:val="22"/>
        </w:rPr>
      </w:pPr>
    </w:p>
    <w:p w:rsidR="001D1BA9" w:rsidRDefault="001D1BA9">
      <w:pPr>
        <w:jc w:val="center"/>
        <w:rPr>
          <w:sz w:val="22"/>
        </w:rPr>
      </w:pPr>
    </w:p>
    <w:p w:rsidR="001D1BA9" w:rsidRDefault="001D1BA9">
      <w:pPr>
        <w:jc w:val="center"/>
        <w:rPr>
          <w:sz w:val="22"/>
        </w:rPr>
      </w:pPr>
      <w:r>
        <w:rPr>
          <w:sz w:val="22"/>
        </w:rPr>
        <w:t>JUDGMENT</w:t>
      </w:r>
    </w:p>
    <w:p w:rsidR="001D1BA9" w:rsidRDefault="001D1BA9">
      <w:pPr>
        <w:jc w:val="center"/>
        <w:rPr>
          <w:sz w:val="22"/>
        </w:rPr>
      </w:pPr>
    </w:p>
    <w:p w:rsidR="001D1BA9" w:rsidRDefault="001D1BA9">
      <w:pPr>
        <w:jc w:val="center"/>
        <w:rPr>
          <w:sz w:val="22"/>
        </w:rPr>
      </w:pPr>
    </w:p>
    <w:p w:rsidR="001D1BA9" w:rsidRDefault="001D1BA9">
      <w:pPr>
        <w:jc w:val="center"/>
        <w:rPr>
          <w:sz w:val="22"/>
        </w:rPr>
      </w:pPr>
    </w:p>
    <w:p w:rsidR="001D1BA9" w:rsidRDefault="001D1BA9">
      <w:pPr>
        <w:jc w:val="center"/>
        <w:rPr>
          <w:sz w:val="22"/>
        </w:rPr>
      </w:pPr>
      <w:smartTag w:uri="urn:schemas-microsoft-com:office:smarttags" w:element="place">
        <w:smartTag w:uri="urn:schemas-microsoft-com:office:smarttags" w:element="City">
          <w:r>
            <w:rPr>
              <w:sz w:val="22"/>
            </w:rPr>
            <w:t>STRASBOURG</w:t>
          </w:r>
        </w:smartTag>
      </w:smartTag>
    </w:p>
    <w:p w:rsidR="001D1BA9" w:rsidRDefault="001D1BA9">
      <w:pPr>
        <w:jc w:val="center"/>
        <w:rPr>
          <w:sz w:val="22"/>
        </w:rPr>
      </w:pPr>
    </w:p>
    <w:p w:rsidR="001225CC" w:rsidRDefault="001D1BA9">
      <w:pPr>
        <w:jc w:val="center"/>
        <w:rPr>
          <w:sz w:val="22"/>
        </w:rPr>
      </w:pPr>
      <w:r>
        <w:rPr>
          <w:sz w:val="22"/>
        </w:rPr>
        <w:t>24 July 2003</w:t>
      </w:r>
    </w:p>
    <w:p w:rsidR="00306195" w:rsidP="00306195" w:rsidRDefault="00306195">
      <w:pPr>
        <w:jc w:val="center"/>
        <w:rPr>
          <w:color w:val="FF0000"/>
        </w:rPr>
      </w:pPr>
    </w:p>
    <w:p w:rsidR="00306195" w:rsidP="00306195" w:rsidRDefault="00306195">
      <w:pPr>
        <w:jc w:val="center"/>
        <w:rPr>
          <w:b/>
          <w:color w:val="FF0000"/>
          <w:sz w:val="36"/>
          <w:u w:val="single"/>
        </w:rPr>
      </w:pPr>
      <w:r>
        <w:rPr>
          <w:b/>
          <w:color w:val="FF0000"/>
          <w:sz w:val="36"/>
          <w:u w:val="single"/>
        </w:rPr>
        <w:t>FINAL</w:t>
      </w:r>
    </w:p>
    <w:p w:rsidR="00306195" w:rsidP="00306195" w:rsidRDefault="00306195">
      <w:pPr>
        <w:jc w:val="center"/>
        <w:rPr>
          <w:i/>
          <w:color w:val="FF0000"/>
        </w:rPr>
      </w:pPr>
    </w:p>
    <w:p w:rsidR="00306195" w:rsidP="00306195" w:rsidRDefault="00306195">
      <w:pPr>
        <w:jc w:val="center"/>
        <w:rPr>
          <w:i/>
          <w:color w:val="FF0000"/>
          <w:sz w:val="36"/>
        </w:rPr>
      </w:pPr>
      <w:r>
        <w:rPr>
          <w:i/>
          <w:color w:val="FF0000"/>
          <w:sz w:val="36"/>
        </w:rPr>
        <w:t>03/12/2003</w:t>
      </w:r>
    </w:p>
    <w:p w:rsidR="00306195" w:rsidP="00306195" w:rsidRDefault="00306195">
      <w:pPr>
        <w:jc w:val="center"/>
        <w:rPr>
          <w:color w:val="FF0000"/>
        </w:rPr>
      </w:pPr>
    </w:p>
    <w:p w:rsidR="001D1BA9" w:rsidRDefault="001D1BA9">
      <w:pPr>
        <w:jc w:val="center"/>
        <w:rPr>
          <w:sz w:val="22"/>
        </w:rPr>
      </w:pPr>
    </w:p>
    <w:p w:rsidR="001D1BA9" w:rsidRDefault="001D1BA9">
      <w:pPr>
        <w:pStyle w:val="JuCase"/>
        <w:outlineLvl w:val="0"/>
        <w:sectPr w:rsidR="001D1BA9">
          <w:headerReference w:type="default" r:id="rId7"/>
          <w:footnotePr>
            <w:numRestart w:val="eachPage"/>
          </w:footnotePr>
          <w:pgSz w:w="11906" w:h="16838" w:code="9"/>
          <w:pgMar w:top="2274" w:right="2274" w:bottom="2274" w:left="2274" w:header="1701" w:footer="720" w:gutter="0"/>
          <w:pgNumType w:start="1"/>
          <w:cols w:space="720"/>
        </w:sectPr>
      </w:pPr>
    </w:p>
    <w:p w:rsidR="001D1BA9" w:rsidRDefault="001D1BA9">
      <w:pPr>
        <w:pStyle w:val="JuCase"/>
        <w:outlineLvl w:val="0"/>
      </w:pPr>
      <w:r>
        <w:t xml:space="preserve">In the case of Ryabykh v. </w:t>
      </w:r>
      <w:smartTag w:uri="urn:schemas-microsoft-com:office:smarttags" w:element="place">
        <w:smartTag w:uri="urn:schemas-microsoft-com:office:smarttags" w:element="country-region">
          <w:r>
            <w:t>Russia</w:t>
          </w:r>
        </w:smartTag>
      </w:smartTag>
      <w:r>
        <w:t>,</w:t>
      </w:r>
    </w:p>
    <w:p w:rsidR="001D1BA9" w:rsidRDefault="001D1BA9">
      <w:pPr>
        <w:pStyle w:val="JuPara"/>
      </w:pPr>
      <w:r>
        <w:t>The European Court of Human Rights (First Section), sitting as a Chamber composed of:</w:t>
      </w:r>
    </w:p>
    <w:p w:rsidR="001D1BA9" w:rsidRDefault="001D1BA9">
      <w:pPr>
        <w:pStyle w:val="JuJudges"/>
      </w:pPr>
      <w:r>
        <w:tab/>
        <w:t>Mr</w:t>
      </w:r>
      <w:r>
        <w:tab/>
        <w:t xml:space="preserve">C.L. </w:t>
      </w:r>
      <w:r>
        <w:rPr>
          <w:rStyle w:val="JuNames"/>
        </w:rPr>
        <w:t>Rozakis</w:t>
      </w:r>
      <w:r>
        <w:t xml:space="preserve">, </w:t>
      </w:r>
      <w:r>
        <w:rPr>
          <w:i/>
        </w:rPr>
        <w:t>President</w:t>
      </w:r>
      <w:r>
        <w:t>,</w:t>
      </w:r>
      <w:r>
        <w:br/>
      </w:r>
      <w:r>
        <w:tab/>
        <w:t>Mr</w:t>
      </w:r>
      <w:r>
        <w:tab/>
        <w:t xml:space="preserve">G. </w:t>
      </w:r>
      <w:r>
        <w:rPr>
          <w:rStyle w:val="JuNames"/>
        </w:rPr>
        <w:t>Bonello</w:t>
      </w:r>
      <w:r>
        <w:t>,</w:t>
      </w:r>
      <w:r>
        <w:br/>
      </w:r>
      <w:r>
        <w:tab/>
        <w:t>Mrs</w:t>
      </w:r>
      <w:r>
        <w:tab/>
        <w:t xml:space="preserve">F. </w:t>
      </w:r>
      <w:r>
        <w:rPr>
          <w:rStyle w:val="JuNames"/>
        </w:rPr>
        <w:t>Tulkens</w:t>
      </w:r>
      <w:r>
        <w:t>,</w:t>
      </w:r>
      <w:r>
        <w:br/>
      </w:r>
      <w:r>
        <w:tab/>
        <w:t>Mr</w:t>
      </w:r>
      <w:r>
        <w:tab/>
        <w:t xml:space="preserve">E. </w:t>
      </w:r>
      <w:r>
        <w:rPr>
          <w:rStyle w:val="JuNames"/>
        </w:rPr>
        <w:t>Levits</w:t>
      </w:r>
      <w:r>
        <w:t>,</w:t>
      </w:r>
      <w:r>
        <w:br/>
      </w:r>
      <w:r>
        <w:tab/>
        <w:t>Mrs</w:t>
      </w:r>
      <w:r>
        <w:tab/>
        <w:t xml:space="preserve">S. </w:t>
      </w:r>
      <w:r>
        <w:rPr>
          <w:rStyle w:val="JuNames"/>
        </w:rPr>
        <w:t>Botoucharova</w:t>
      </w:r>
      <w:r>
        <w:t>,</w:t>
      </w:r>
      <w:r>
        <w:br/>
      </w:r>
      <w:r>
        <w:tab/>
        <w:t>Mr</w:t>
      </w:r>
      <w:r>
        <w:tab/>
        <w:t xml:space="preserve">A. </w:t>
      </w:r>
      <w:r>
        <w:rPr>
          <w:rStyle w:val="JuNames"/>
        </w:rPr>
        <w:t>Kovler</w:t>
      </w:r>
      <w:r>
        <w:t>,</w:t>
      </w:r>
      <w:r>
        <w:br/>
      </w:r>
      <w:r>
        <w:tab/>
        <w:t>Mrs</w:t>
      </w:r>
      <w:r>
        <w:tab/>
        <w:t xml:space="preserve">E. </w:t>
      </w:r>
      <w:r>
        <w:rPr>
          <w:rStyle w:val="JuNames"/>
        </w:rPr>
        <w:t>Steiner</w:t>
      </w:r>
      <w:r>
        <w:t xml:space="preserve">, </w:t>
      </w:r>
      <w:r>
        <w:rPr>
          <w:i/>
        </w:rPr>
        <w:t>judges</w:t>
      </w:r>
      <w:r>
        <w:t>,</w:t>
      </w:r>
      <w:r>
        <w:br/>
        <w:t xml:space="preserve">and Mr S. </w:t>
      </w:r>
      <w:r>
        <w:rPr>
          <w:rStyle w:val="JuNames"/>
        </w:rPr>
        <w:t>Nielsen</w:t>
      </w:r>
      <w:r>
        <w:t xml:space="preserve">, </w:t>
      </w:r>
      <w:r>
        <w:rPr>
          <w:i/>
        </w:rPr>
        <w:t>Deputy Section Registrar</w:t>
      </w:r>
      <w:r>
        <w:t>,</w:t>
      </w:r>
    </w:p>
    <w:p w:rsidR="001D1BA9" w:rsidRDefault="001D1BA9">
      <w:pPr>
        <w:pStyle w:val="JuPara"/>
      </w:pPr>
      <w:r>
        <w:t xml:space="preserve">Having deliberated in private on </w:t>
      </w:r>
      <w:smartTag w:uri="urn:schemas-microsoft-com:office:smarttags" w:element="date">
        <w:smartTagPr>
          <w:attr w:name="Month" w:val="7"/>
          <w:attr w:name="Day" w:val="3"/>
          <w:attr w:name="Year" w:val="2003"/>
        </w:smartTagPr>
        <w:r>
          <w:t>3 July 2003</w:t>
        </w:r>
      </w:smartTag>
      <w:r>
        <w:t>,</w:t>
      </w:r>
    </w:p>
    <w:p w:rsidR="001D1BA9" w:rsidRDefault="001D1BA9">
      <w:pPr>
        <w:pStyle w:val="JuPara"/>
      </w:pPr>
      <w:r>
        <w:t>Delivers the following judgment, which was adopted on that date:</w:t>
      </w:r>
    </w:p>
    <w:p w:rsidR="001D1BA9" w:rsidRDefault="001D1BA9">
      <w:pPr>
        <w:pStyle w:val="JuHHead"/>
      </w:pPr>
      <w:r>
        <w:t>PROCEDURE</w:t>
      </w:r>
    </w:p>
    <w:p w:rsidR="001D1BA9" w:rsidRDefault="001D1BA9">
      <w:pPr>
        <w:pStyle w:val="JuPara"/>
      </w:pPr>
      <w:r>
        <w:fldChar w:fldCharType="begin"/>
      </w:r>
      <w:r>
        <w:instrText xml:space="preserve"> SEQ level0 \*arabic </w:instrText>
      </w:r>
      <w:r>
        <w:fldChar w:fldCharType="separate"/>
      </w:r>
      <w:r w:rsidR="009A67BC">
        <w:rPr>
          <w:noProof/>
        </w:rPr>
        <w:t>1</w:t>
      </w:r>
      <w:r>
        <w:fldChar w:fldCharType="end"/>
      </w:r>
      <w:r>
        <w:t xml:space="preserve">.  The case originated in an application (no. 52854/99) against the </w:t>
      </w:r>
      <w:smartTag w:uri="urn:schemas-microsoft-com:office:smarttags" w:element="place">
        <w:smartTag w:uri="urn:schemas-microsoft-com:office:smarttags" w:element="country-region">
          <w:r>
            <w:t>Russian Federation</w:t>
          </w:r>
        </w:smartTag>
      </w:smartTag>
      <w:r>
        <w:t xml:space="preserve"> lodged with the Court under Article 34 of the Convention for the Protection of Human Rights and Fundamental Freedoms (“the Convention”) by a Russian national, Ms Anna Ivanovna Ryabykh (“the applicant”), on </w:t>
      </w:r>
      <w:smartTag w:uri="urn:schemas-microsoft-com:office:smarttags" w:element="date">
        <w:smartTagPr>
          <w:attr w:name="Month" w:val="8"/>
          <w:attr w:name="Day" w:val="19"/>
          <w:attr w:name="Year" w:val="1999"/>
        </w:smartTagPr>
        <w:r>
          <w:t>19 August 1999</w:t>
        </w:r>
      </w:smartTag>
      <w:r>
        <w:t>.</w:t>
      </w:r>
    </w:p>
    <w:p w:rsidR="001D1BA9" w:rsidRDefault="001D1BA9">
      <w:pPr>
        <w:pStyle w:val="JuPara"/>
      </w:pPr>
      <w:r>
        <w:fldChar w:fldCharType="begin"/>
      </w:r>
      <w:r>
        <w:instrText xml:space="preserve"> SEQ level0 \*arabic </w:instrText>
      </w:r>
      <w:r>
        <w:fldChar w:fldCharType="separate"/>
      </w:r>
      <w:r w:rsidR="009A67BC">
        <w:rPr>
          <w:noProof/>
        </w:rPr>
        <w:t>2</w:t>
      </w:r>
      <w:r>
        <w:fldChar w:fldCharType="end"/>
      </w:r>
      <w:r>
        <w:t xml:space="preserve">.  The Russian Government (“the Government”) were represented by Mr P.A. Laptev, Representative of the </w:t>
      </w:r>
      <w:smartTag w:uri="urn:schemas-microsoft-com:office:smarttags" w:element="place">
        <w:smartTag w:uri="urn:schemas-microsoft-com:office:smarttags" w:element="country-region">
          <w:r>
            <w:t>Russian Federation</w:t>
          </w:r>
        </w:smartTag>
      </w:smartTag>
      <w:r>
        <w:t xml:space="preserve"> in the European Court of Human Rights.</w:t>
      </w:r>
    </w:p>
    <w:p w:rsidR="001D1BA9" w:rsidRDefault="001D1BA9">
      <w:pPr>
        <w:pStyle w:val="JuPara"/>
      </w:pPr>
      <w:r>
        <w:fldChar w:fldCharType="begin"/>
      </w:r>
      <w:r>
        <w:instrText xml:space="preserve"> SEQ level0 \*arabic </w:instrText>
      </w:r>
      <w:r>
        <w:fldChar w:fldCharType="separate"/>
      </w:r>
      <w:r w:rsidR="009A67BC">
        <w:rPr>
          <w:noProof/>
        </w:rPr>
        <w:t>3</w:t>
      </w:r>
      <w:r>
        <w:fldChar w:fldCharType="end"/>
      </w:r>
      <w:r>
        <w:t>.  The applicant alleged that her rights under Article 6 § 1 of the Convention and Article 1 of Protocol No. 1 had been breached by the State</w:t>
      </w:r>
      <w:r w:rsidR="00073595">
        <w:t>'</w:t>
      </w:r>
      <w:r>
        <w:t>s reluctance to compensate her for the financial loss she had suffered as a result of inflation, and by the fact that a compensation award made in her favour by a domestic court had been set aside under the supervisory</w:t>
      </w:r>
      <w:r w:rsidR="002B669F">
        <w:t xml:space="preserve"> </w:t>
      </w:r>
      <w:r>
        <w:t>review procedure.</w:t>
      </w:r>
    </w:p>
    <w:p w:rsidR="001D1BA9" w:rsidRDefault="001D1BA9">
      <w:pPr>
        <w:pStyle w:val="JuPara"/>
      </w:pPr>
      <w:r>
        <w:fldChar w:fldCharType="begin"/>
      </w:r>
      <w:r>
        <w:instrText xml:space="preserve"> SEQ level0 \*arabic </w:instrText>
      </w:r>
      <w:r>
        <w:fldChar w:fldCharType="separate"/>
      </w:r>
      <w:r w:rsidR="009A67BC">
        <w:rPr>
          <w:noProof/>
        </w:rPr>
        <w:t>4</w:t>
      </w:r>
      <w:r>
        <w:fldChar w:fldCharType="end"/>
      </w:r>
      <w:r>
        <w:t>.  The application was allocated to the First Section of the Court (Rule 52 § 1 of the Rules of Court). Within that Section, the Chamber that would consider the case (Article 27 § 1 of the Convention) was constituted as provided in Rule 26 § 1.</w:t>
      </w:r>
    </w:p>
    <w:p w:rsidR="001D1BA9" w:rsidRDefault="001D1BA9">
      <w:pPr>
        <w:pStyle w:val="JuPara"/>
      </w:pPr>
      <w:r>
        <w:fldChar w:fldCharType="begin"/>
      </w:r>
      <w:r>
        <w:instrText xml:space="preserve"> SEQ level0 \*arabic </w:instrText>
      </w:r>
      <w:r>
        <w:fldChar w:fldCharType="separate"/>
      </w:r>
      <w:r w:rsidR="009A67BC">
        <w:rPr>
          <w:noProof/>
        </w:rPr>
        <w:t>5</w:t>
      </w:r>
      <w:r>
        <w:fldChar w:fldCharType="end"/>
      </w:r>
      <w:r>
        <w:t xml:space="preserve">.  By a decision of </w:t>
      </w:r>
      <w:smartTag w:uri="urn:schemas-microsoft-com:office:smarttags" w:element="date">
        <w:smartTagPr>
          <w:attr w:name="Month" w:val="2"/>
          <w:attr w:name="Day" w:val="21"/>
          <w:attr w:name="Year" w:val="2002"/>
        </w:smartTagPr>
        <w:r>
          <w:t>21 February 2002</w:t>
        </w:r>
      </w:smartTag>
      <w:r>
        <w:t xml:space="preserve"> the Chamber declared the application admissible.</w:t>
      </w:r>
    </w:p>
    <w:p w:rsidR="001D1BA9" w:rsidRDefault="001D1BA9">
      <w:pPr>
        <w:pStyle w:val="JuPara"/>
      </w:pPr>
      <w:r>
        <w:fldChar w:fldCharType="begin"/>
      </w:r>
      <w:r>
        <w:instrText xml:space="preserve"> SEQ level0 \*arabic </w:instrText>
      </w:r>
      <w:r>
        <w:fldChar w:fldCharType="separate"/>
      </w:r>
      <w:r w:rsidR="009A67BC">
        <w:rPr>
          <w:noProof/>
        </w:rPr>
        <w:t>6</w:t>
      </w:r>
      <w:r>
        <w:fldChar w:fldCharType="end"/>
      </w:r>
      <w:r>
        <w:t xml:space="preserve">.  The applicant and the Government each filed observations on the merits (Rule 59 § 1).The Chamber decided, after consulting the parties, that no hearing on the merits was required (Rule 59 § 2 </w:t>
      </w:r>
      <w:r>
        <w:rPr>
          <w:i/>
        </w:rPr>
        <w:t>in fine</w:t>
      </w:r>
      <w:r>
        <w:t>). The parties then replied in writing to each other</w:t>
      </w:r>
      <w:r w:rsidR="00073595">
        <w:t>'</w:t>
      </w:r>
      <w:r>
        <w:t>s observations.</w:t>
      </w:r>
    </w:p>
    <w:p w:rsidR="001D1BA9" w:rsidRDefault="001D1BA9">
      <w:pPr>
        <w:pStyle w:val="JuHHead"/>
        <w:outlineLvl w:val="0"/>
      </w:pPr>
      <w:r>
        <w:br w:type="page"/>
        <w:t>THE FACTS</w:t>
      </w:r>
    </w:p>
    <w:p w:rsidR="001D1BA9" w:rsidRDefault="001D1BA9">
      <w:pPr>
        <w:pStyle w:val="JuHIRoman"/>
        <w:outlineLvl w:val="0"/>
      </w:pPr>
      <w:r>
        <w:t>I.  THE CIRCUMSTANCES OF THE CASE</w:t>
      </w:r>
    </w:p>
    <w:p w:rsidR="001D1BA9" w:rsidRDefault="001D1BA9">
      <w:pPr>
        <w:pStyle w:val="JuPara"/>
      </w:pPr>
      <w:r>
        <w:fldChar w:fldCharType="begin"/>
      </w:r>
      <w:r>
        <w:instrText xml:space="preserve"> SEQ level0 \*arabic </w:instrText>
      </w:r>
      <w:r>
        <w:fldChar w:fldCharType="separate"/>
      </w:r>
      <w:r w:rsidR="009A67BC">
        <w:rPr>
          <w:noProof/>
        </w:rPr>
        <w:t>7</w:t>
      </w:r>
      <w:r>
        <w:fldChar w:fldCharType="end"/>
      </w:r>
      <w:r>
        <w:t xml:space="preserve">.  The applicant was born in 1949 and lives in Ninovka, a village in the </w:t>
      </w:r>
      <w:smartTag w:uri="urn:schemas-microsoft-com:office:smarttags" w:element="City">
        <w:r>
          <w:t>Belgorod</w:t>
        </w:r>
      </w:smartTag>
      <w:r>
        <w:t xml:space="preserve"> region of </w:t>
      </w:r>
      <w:smartTag w:uri="urn:schemas-microsoft-com:office:smarttags" w:element="place">
        <w:smartTag w:uri="urn:schemas-microsoft-com:office:smarttags" w:element="country-region">
          <w:r>
            <w:t>Russia</w:t>
          </w:r>
        </w:smartTag>
      </w:smartTag>
      <w:r>
        <w:t>.</w:t>
      </w:r>
    </w:p>
    <w:p w:rsidR="001D1BA9" w:rsidRDefault="001D1BA9">
      <w:pPr>
        <w:pStyle w:val="JuHA"/>
        <w:outlineLvl w:val="0"/>
      </w:pPr>
      <w:r>
        <w:t>A.  Original litigation</w:t>
      </w:r>
    </w:p>
    <w:p w:rsidR="001D1BA9" w:rsidRDefault="001D1BA9">
      <w:pPr>
        <w:pStyle w:val="JuPara"/>
      </w:pPr>
      <w:r>
        <w:fldChar w:fldCharType="begin"/>
      </w:r>
      <w:r>
        <w:instrText xml:space="preserve"> SEQ level0 \*arabic </w:instrText>
      </w:r>
      <w:r>
        <w:fldChar w:fldCharType="separate"/>
      </w:r>
      <w:r w:rsidR="009A67BC">
        <w:rPr>
          <w:noProof/>
        </w:rPr>
        <w:t>8</w:t>
      </w:r>
      <w:r>
        <w:fldChar w:fldCharType="end"/>
      </w:r>
      <w:r>
        <w:t xml:space="preserve">.  On an unspecified date the applicant brought proceedings against the Novooskolskiy </w:t>
      </w:r>
      <w:r w:rsidR="002B669F">
        <w:t>b</w:t>
      </w:r>
      <w:r>
        <w:t xml:space="preserve">ranch of the Savings Bank of </w:t>
      </w:r>
      <w:smartTag w:uri="urn:schemas-microsoft-com:office:smarttags" w:element="country-region">
        <w:r>
          <w:t>Russia</w:t>
        </w:r>
      </w:smartTag>
      <w:r>
        <w:t xml:space="preserve">, the Savings Bank of </w:t>
      </w:r>
      <w:smartTag w:uri="urn:schemas-microsoft-com:office:smarttags" w:element="place">
        <w:smartTag w:uri="urn:schemas-microsoft-com:office:smarttags" w:element="country-region">
          <w:r>
            <w:t>Russia</w:t>
          </w:r>
        </w:smartTag>
      </w:smartTag>
      <w:r>
        <w:t xml:space="preserve"> and the State. She claimed that the value of her personal savings that had accrued in her accounts by 1991 had significantly dropped following the economic reforms. Her savings were the result of decades of hard work, and she had intended to buy a flat with the money. However, the State had not revalued the amounts on deposit to offset the effects of inflation, as it had been required to do by the Law on </w:t>
      </w:r>
      <w:r w:rsidR="002B669F">
        <w:t>r</w:t>
      </w:r>
      <w:r>
        <w:t xml:space="preserve">evaluation and </w:t>
      </w:r>
      <w:r w:rsidR="002B669F">
        <w:t>p</w:t>
      </w:r>
      <w:r>
        <w:t xml:space="preserve">rotection of the </w:t>
      </w:r>
      <w:r w:rsidR="002B669F">
        <w:t>s</w:t>
      </w:r>
      <w:r>
        <w:t xml:space="preserve">avings of </w:t>
      </w:r>
      <w:r w:rsidR="002B669F">
        <w:t>c</w:t>
      </w:r>
      <w:r>
        <w:t xml:space="preserve">itizens of the </w:t>
      </w:r>
      <w:smartTag w:uri="urn:schemas-microsoft-com:office:smarttags" w:element="place">
        <w:smartTag w:uri="urn:schemas-microsoft-com:office:smarttags" w:element="country-region">
          <w:r>
            <w:t>Russian Federation</w:t>
          </w:r>
        </w:smartTag>
      </w:smartTag>
      <w:r>
        <w:t xml:space="preserve"> enacted on </w:t>
      </w:r>
      <w:smartTag w:uri="urn:schemas-microsoft-com:office:smarttags" w:element="date">
        <w:smartTagPr>
          <w:attr w:name="Month" w:val="5"/>
          <w:attr w:name="Day" w:val="10"/>
          <w:attr w:name="Year" w:val="1995"/>
        </w:smartTagPr>
        <w:r>
          <w:t>10 May 1995</w:t>
        </w:r>
      </w:smartTag>
      <w:r>
        <w:t xml:space="preserve"> (</w:t>
      </w:r>
      <w:r w:rsidRPr="002B669F">
        <w:t>Федеральный закон «О восстановлении и защите сбережений граждан Российской Федерации»</w:t>
      </w:r>
      <w:r>
        <w:t xml:space="preserve"> – “the Savings Act”).</w:t>
      </w:r>
    </w:p>
    <w:p w:rsidR="001D1BA9" w:rsidRDefault="001D1BA9">
      <w:pPr>
        <w:pStyle w:val="JuH1"/>
      </w:pPr>
      <w:r>
        <w:t>1.  First judgment of the District Court</w:t>
      </w:r>
    </w:p>
    <w:p w:rsidR="001D1BA9" w:rsidRDefault="001D1BA9">
      <w:pPr>
        <w:pStyle w:val="JuPara"/>
      </w:pPr>
      <w:r>
        <w:fldChar w:fldCharType="begin"/>
      </w:r>
      <w:r>
        <w:instrText xml:space="preserve"> SEQ level0 \*arabic </w:instrText>
      </w:r>
      <w:r>
        <w:fldChar w:fldCharType="separate"/>
      </w:r>
      <w:r w:rsidR="009A67BC">
        <w:rPr>
          <w:noProof/>
        </w:rPr>
        <w:t>9</w:t>
      </w:r>
      <w:r>
        <w:fldChar w:fldCharType="end"/>
      </w:r>
      <w:r>
        <w:t xml:space="preserve">.  On </w:t>
      </w:r>
      <w:smartTag w:uri="urn:schemas-microsoft-com:office:smarttags" w:element="date">
        <w:smartTagPr>
          <w:attr w:name="Month" w:val="12"/>
          <w:attr w:name="Day" w:val="30"/>
          <w:attr w:name="Year" w:val="1997"/>
        </w:smartTagPr>
        <w:r>
          <w:t>30 December 1997</w:t>
        </w:r>
      </w:smartTag>
      <w:r>
        <w:t xml:space="preserve"> the Novooskolskiy District Court, presided over by Judge Lebedinskaya, found in the applicant</w:t>
      </w:r>
      <w:r w:rsidR="00073595">
        <w:t>'</w:t>
      </w:r>
      <w:r>
        <w:t>s favour and awarded her 129,544,106 roubles</w:t>
      </w:r>
      <w:r>
        <w:rPr>
          <w:rStyle w:val="FootnoteReference"/>
        </w:rPr>
        <w:footnoteReference w:id="1"/>
      </w:r>
      <w:r>
        <w:t xml:space="preserve"> (RUR) payable by the State treasury. The court rejected the defendants</w:t>
      </w:r>
      <w:r w:rsidR="00073595">
        <w:t>'</w:t>
      </w:r>
      <w:r>
        <w:t xml:space="preserve"> main argument that the reimbursement scheme under the Savings Act could not be implemented in practice since no special secondary legislation had been passed. Noting that the Savings Act recognised the guaranteed deposits as the State</w:t>
      </w:r>
      <w:r w:rsidR="00073595">
        <w:t>'</w:t>
      </w:r>
      <w:r>
        <w:t>s internal debt and that the State had not introduced the necessary rules in time to enable the debt to be repaid, the court held that the defendants were liable under the civil law.</w:t>
      </w:r>
    </w:p>
    <w:p w:rsidR="001D1BA9" w:rsidRDefault="001D1BA9">
      <w:pPr>
        <w:pStyle w:val="JuPara"/>
      </w:pPr>
      <w:r>
        <w:fldChar w:fldCharType="begin"/>
      </w:r>
      <w:r>
        <w:instrText xml:space="preserve"> SEQ level0 \*arabic </w:instrText>
      </w:r>
      <w:r>
        <w:fldChar w:fldCharType="separate"/>
      </w:r>
      <w:r w:rsidR="009A67BC">
        <w:rPr>
          <w:noProof/>
        </w:rPr>
        <w:t>10</w:t>
      </w:r>
      <w:r>
        <w:fldChar w:fldCharType="end"/>
      </w:r>
      <w:r>
        <w:t xml:space="preserve">.  On </w:t>
      </w:r>
      <w:smartTag w:uri="urn:schemas-microsoft-com:office:smarttags" w:element="date">
        <w:smartTagPr>
          <w:attr w:name="Month" w:val="2"/>
          <w:attr w:name="Day" w:val="28"/>
          <w:attr w:name="Year" w:val="1998"/>
        </w:smartTagPr>
        <w:r>
          <w:t>28 February 1998</w:t>
        </w:r>
      </w:smartTag>
      <w:r>
        <w:t xml:space="preserve"> the judgment was set aside on appeal by the </w:t>
      </w:r>
      <w:smartTag w:uri="urn:schemas-microsoft-com:office:smarttags" w:element="Street">
        <w:smartTag w:uri="urn:schemas-microsoft-com:office:smarttags" w:element="address">
          <w:r>
            <w:t>Belgorod Regional Court</w:t>
          </w:r>
        </w:smartTag>
      </w:smartTag>
      <w:r>
        <w:t xml:space="preserve"> and the case remitted for a retrial.</w:t>
      </w:r>
    </w:p>
    <w:p w:rsidR="001D1BA9" w:rsidRDefault="001D1BA9">
      <w:pPr>
        <w:pStyle w:val="JuH1"/>
        <w:keepNext/>
      </w:pPr>
      <w:r>
        <w:t>2.  Second judgment of the District Court</w:t>
      </w:r>
    </w:p>
    <w:p w:rsidR="001D1BA9" w:rsidRDefault="001D1BA9">
      <w:pPr>
        <w:pStyle w:val="JuPara"/>
        <w:keepNext/>
      </w:pPr>
      <w:r>
        <w:fldChar w:fldCharType="begin"/>
      </w:r>
      <w:r>
        <w:instrText xml:space="preserve"> SEQ level0 \*arabic </w:instrText>
      </w:r>
      <w:r>
        <w:fldChar w:fldCharType="separate"/>
      </w:r>
      <w:r w:rsidR="009A67BC">
        <w:rPr>
          <w:noProof/>
        </w:rPr>
        <w:t>11</w:t>
      </w:r>
      <w:r>
        <w:fldChar w:fldCharType="end"/>
      </w:r>
      <w:r>
        <w:t xml:space="preserve">.  On </w:t>
      </w:r>
      <w:smartTag w:uri="urn:schemas-microsoft-com:office:smarttags" w:element="date">
        <w:smartTagPr>
          <w:attr w:name="Month" w:val="6"/>
          <w:attr w:name="Day" w:val="8"/>
          <w:attr w:name="Year" w:val="1998"/>
        </w:smartTagPr>
        <w:r>
          <w:t>8 June 1998</w:t>
        </w:r>
      </w:smartTag>
      <w:r>
        <w:t xml:space="preserve"> the Novooskolskiy District Court, sitting in the same composition, delivered a judgment similar to its judgment of </w:t>
      </w:r>
      <w:smartTag w:uri="urn:schemas-microsoft-com:office:smarttags" w:element="date">
        <w:smartTagPr>
          <w:attr w:name="Month" w:val="12"/>
          <w:attr w:name="Day" w:val="30"/>
          <w:attr w:name="Year" w:val="1997"/>
        </w:smartTagPr>
        <w:r>
          <w:t>30 December 1997</w:t>
        </w:r>
      </w:smartTag>
      <w:r>
        <w:t xml:space="preserve">. The award, however, was readjusted to RUR 133,963.70. No appeal was lodged against the judgment and it became final ten days later, on </w:t>
      </w:r>
      <w:smartTag w:uri="urn:schemas-microsoft-com:office:smarttags" w:element="date">
        <w:smartTagPr>
          <w:attr w:name="Month" w:val="6"/>
          <w:attr w:name="Day" w:val="18"/>
          <w:attr w:name="Year" w:val="1998"/>
        </w:smartTagPr>
        <w:r>
          <w:t>18 June 1998</w:t>
        </w:r>
      </w:smartTag>
      <w:r>
        <w:t>.</w:t>
      </w:r>
    </w:p>
    <w:p w:rsidR="001D1BA9" w:rsidRDefault="001D1BA9">
      <w:pPr>
        <w:pStyle w:val="JuPara"/>
      </w:pPr>
      <w:r>
        <w:fldChar w:fldCharType="begin"/>
      </w:r>
      <w:r>
        <w:instrText xml:space="preserve"> SEQ level0 \*arabic </w:instrText>
      </w:r>
      <w:r>
        <w:fldChar w:fldCharType="separate"/>
      </w:r>
      <w:r w:rsidR="009A67BC">
        <w:rPr>
          <w:noProof/>
        </w:rPr>
        <w:t>12</w:t>
      </w:r>
      <w:r>
        <w:fldChar w:fldCharType="end"/>
      </w:r>
      <w:r>
        <w:t xml:space="preserve">.  Enforcement proceedings commenced on </w:t>
      </w:r>
      <w:smartTag w:uri="urn:schemas-microsoft-com:office:smarttags" w:element="date">
        <w:smartTagPr>
          <w:attr w:name="Month" w:val="1"/>
          <w:attr w:name="Day" w:val="18"/>
          <w:attr w:name="Year" w:val="1999"/>
        </w:smartTagPr>
        <w:r>
          <w:t>18 January 1999</w:t>
        </w:r>
      </w:smartTag>
      <w:r>
        <w:t>.</w:t>
      </w:r>
    </w:p>
    <w:p w:rsidR="001D1BA9" w:rsidRDefault="001D1BA9">
      <w:pPr>
        <w:pStyle w:val="JuHA"/>
        <w:keepNext/>
        <w:keepLines/>
        <w:outlineLvl w:val="0"/>
      </w:pPr>
      <w:r>
        <w:t>B.  Supervisory review and further proceedings</w:t>
      </w:r>
    </w:p>
    <w:p w:rsidR="001D1BA9" w:rsidRDefault="001D1BA9">
      <w:pPr>
        <w:pStyle w:val="JuH1"/>
      </w:pPr>
      <w:r>
        <w:t>1.  Supervisory review</w:t>
      </w:r>
    </w:p>
    <w:p w:rsidR="001D1BA9" w:rsidRDefault="001D1BA9">
      <w:pPr>
        <w:pStyle w:val="JuPara"/>
        <w:keepNext/>
        <w:keepLines/>
      </w:pPr>
      <w:r>
        <w:fldChar w:fldCharType="begin"/>
      </w:r>
      <w:r>
        <w:instrText xml:space="preserve"> SEQ level0 \*arabic </w:instrText>
      </w:r>
      <w:r>
        <w:fldChar w:fldCharType="separate"/>
      </w:r>
      <w:r w:rsidR="009A67BC">
        <w:rPr>
          <w:noProof/>
        </w:rPr>
        <w:t>13</w:t>
      </w:r>
      <w:r>
        <w:fldChar w:fldCharType="end"/>
      </w:r>
      <w:r>
        <w:t xml:space="preserve">.  On an unspecified date in 1999, while the enforcement proceedings were in progress, the President of the </w:t>
      </w:r>
      <w:smartTag w:uri="urn:schemas-microsoft-com:office:smarttags" w:element="Street">
        <w:smartTag w:uri="urn:schemas-microsoft-com:office:smarttags" w:element="address">
          <w:r>
            <w:t>Belgorod Regional Court</w:t>
          </w:r>
        </w:smartTag>
      </w:smartTag>
      <w:r>
        <w:t xml:space="preserve"> lodged an application for supervisory review (</w:t>
      </w:r>
      <w:r w:rsidRPr="002B669F">
        <w:t>протест в порядке надзора</w:t>
      </w:r>
      <w:r>
        <w:t xml:space="preserve">) of the judgment of </w:t>
      </w:r>
      <w:smartTag w:uri="urn:schemas-microsoft-com:office:smarttags" w:element="date">
        <w:smartTagPr>
          <w:attr w:name="Month" w:val="6"/>
          <w:attr w:name="Day" w:val="8"/>
          <w:attr w:name="Year" w:val="1998"/>
        </w:smartTagPr>
        <w:r>
          <w:t>8 June 1998</w:t>
        </w:r>
      </w:smartTag>
      <w:r>
        <w:t>, on the ground that it conflicted with substantive laws.</w:t>
      </w:r>
    </w:p>
    <w:p w:rsidR="001D1BA9" w:rsidRDefault="001D1BA9">
      <w:pPr>
        <w:pStyle w:val="JuPara"/>
      </w:pPr>
      <w:r>
        <w:fldChar w:fldCharType="begin"/>
      </w:r>
      <w:r>
        <w:instrText xml:space="preserve"> SEQ level0 \*arabic </w:instrText>
      </w:r>
      <w:r>
        <w:fldChar w:fldCharType="separate"/>
      </w:r>
      <w:r w:rsidR="009A67BC">
        <w:rPr>
          <w:noProof/>
        </w:rPr>
        <w:t>14</w:t>
      </w:r>
      <w:r>
        <w:fldChar w:fldCharType="end"/>
      </w:r>
      <w:r>
        <w:t xml:space="preserve">.  The application was examined on </w:t>
      </w:r>
      <w:smartTag w:uri="urn:schemas-microsoft-com:office:smarttags" w:element="date">
        <w:smartTagPr>
          <w:attr w:name="Month" w:val="3"/>
          <w:attr w:name="Day" w:val="19"/>
          <w:attr w:name="Year" w:val="1999"/>
        </w:smartTagPr>
        <w:r>
          <w:t>19 March 1999</w:t>
        </w:r>
      </w:smartTag>
      <w:r>
        <w:t xml:space="preserve"> by the Presidium of the </w:t>
      </w:r>
      <w:smartTag w:uri="urn:schemas-microsoft-com:office:smarttags" w:element="Street">
        <w:smartTag w:uri="urn:schemas-microsoft-com:office:smarttags" w:element="address">
          <w:r>
            <w:t>Belgorod Regional Court</w:t>
          </w:r>
        </w:smartTag>
      </w:smartTag>
      <w:r>
        <w:t xml:space="preserve">. Having accepted the reasons set out in the application, the Presidium set aside the judgment of </w:t>
      </w:r>
      <w:smartTag w:uri="urn:schemas-microsoft-com:office:smarttags" w:element="date">
        <w:smartTagPr>
          <w:attr w:name="Month" w:val="6"/>
          <w:attr w:name="Day" w:val="8"/>
          <w:attr w:name="Year" w:val="1998"/>
        </w:smartTagPr>
        <w:r>
          <w:t>8 June 1998</w:t>
        </w:r>
      </w:smartTag>
      <w:r>
        <w:t xml:space="preserve"> and dismissed the applicant</w:t>
      </w:r>
      <w:r w:rsidR="00073595">
        <w:t>'</w:t>
      </w:r>
      <w:r>
        <w:t>s claims altogether. The applicant was not informed that the application for supervisory review had been lodged, or invited to attend the hearing before the Presidium.</w:t>
      </w:r>
    </w:p>
    <w:p w:rsidR="001D1BA9" w:rsidRDefault="001D1BA9">
      <w:pPr>
        <w:pStyle w:val="JuPara"/>
      </w:pPr>
      <w:r>
        <w:fldChar w:fldCharType="begin"/>
      </w:r>
      <w:r>
        <w:instrText xml:space="preserve"> SEQ level0 \*arabic </w:instrText>
      </w:r>
      <w:r>
        <w:fldChar w:fldCharType="separate"/>
      </w:r>
      <w:r w:rsidR="009A67BC">
        <w:rPr>
          <w:noProof/>
        </w:rPr>
        <w:t>15</w:t>
      </w:r>
      <w:r>
        <w:fldChar w:fldCharType="end"/>
      </w:r>
      <w:r>
        <w:t xml:space="preserve">.  On </w:t>
      </w:r>
      <w:smartTag w:uri="urn:schemas-microsoft-com:office:smarttags" w:element="date">
        <w:smartTagPr>
          <w:attr w:name="Month" w:val="6"/>
          <w:attr w:name="Day" w:val="17"/>
          <w:attr w:name="Year" w:val="1999"/>
        </w:smartTagPr>
        <w:r>
          <w:t>17 June 1999</w:t>
        </w:r>
      </w:smartTag>
      <w:r>
        <w:t xml:space="preserve"> the enforcement proceedings were discontinued.</w:t>
      </w:r>
    </w:p>
    <w:p w:rsidR="001D1BA9" w:rsidRDefault="001D1BA9">
      <w:pPr>
        <w:pStyle w:val="JuPara"/>
      </w:pPr>
      <w:r>
        <w:fldChar w:fldCharType="begin"/>
      </w:r>
      <w:r>
        <w:instrText xml:space="preserve"> SEQ level0 \*arabic </w:instrText>
      </w:r>
      <w:r>
        <w:fldChar w:fldCharType="separate"/>
      </w:r>
      <w:r w:rsidR="009A67BC">
        <w:rPr>
          <w:noProof/>
        </w:rPr>
        <w:t>16</w:t>
      </w:r>
      <w:r>
        <w:fldChar w:fldCharType="end"/>
      </w:r>
      <w:r>
        <w:t xml:space="preserve">.  On </w:t>
      </w:r>
      <w:smartTag w:uri="urn:schemas-microsoft-com:office:smarttags" w:element="date">
        <w:smartTagPr>
          <w:attr w:name="Month" w:val="1"/>
          <w:attr w:name="Day" w:val="4"/>
          <w:attr w:name="Year" w:val="2001"/>
        </w:smartTagPr>
        <w:r>
          <w:t>4 January 2001</w:t>
        </w:r>
      </w:smartTag>
      <w:r>
        <w:t xml:space="preserve"> a deputy president of the Supreme Court lodged an application for supervisory review of the judgment of the Presidium of </w:t>
      </w:r>
      <w:smartTag w:uri="urn:schemas-microsoft-com:office:smarttags" w:element="date">
        <w:smartTagPr>
          <w:attr w:name="Month" w:val="3"/>
          <w:attr w:name="Day" w:val="19"/>
          <w:attr w:name="Year" w:val="1999"/>
        </w:smartTagPr>
        <w:r>
          <w:t>19 March 1999</w:t>
        </w:r>
      </w:smartTag>
      <w:r>
        <w:t>.</w:t>
      </w:r>
    </w:p>
    <w:p w:rsidR="001D1BA9" w:rsidRDefault="001D1BA9">
      <w:pPr>
        <w:pStyle w:val="JuPara"/>
      </w:pPr>
      <w:r>
        <w:fldChar w:fldCharType="begin"/>
      </w:r>
      <w:r>
        <w:instrText xml:space="preserve"> SEQ level0 \*arabic </w:instrText>
      </w:r>
      <w:r>
        <w:fldChar w:fldCharType="separate"/>
      </w:r>
      <w:r w:rsidR="009A67BC">
        <w:rPr>
          <w:noProof/>
        </w:rPr>
        <w:t>17</w:t>
      </w:r>
      <w:r>
        <w:fldChar w:fldCharType="end"/>
      </w:r>
      <w:r>
        <w:t xml:space="preserve">.  On </w:t>
      </w:r>
      <w:smartTag w:uri="urn:schemas-microsoft-com:office:smarttags" w:element="date">
        <w:smartTagPr>
          <w:attr w:name="Month" w:val="1"/>
          <w:attr w:name="Day" w:val="22"/>
          <w:attr w:name="Year" w:val="2001"/>
        </w:smartTagPr>
        <w:r>
          <w:t>22 January 2001</w:t>
        </w:r>
      </w:smartTag>
      <w:r>
        <w:t xml:space="preserve"> the Supreme Court granted the application for supervisory review. It upheld the reasons given by the Presidium for setting aside the judgment of 8 June 1998, but ruled that the applicant</w:t>
      </w:r>
      <w:r w:rsidR="00073595">
        <w:t>'</w:t>
      </w:r>
      <w:r>
        <w:t>s case should not have been dismissed in full, as she had thereby been unjustly deprived of the right to seek reimbursement of the money. It also acknowledged that the applicant</w:t>
      </w:r>
      <w:r w:rsidR="00073595">
        <w:t>'</w:t>
      </w:r>
      <w:r>
        <w:t>s right to be informed that the Presidium was reviewing her case had not been respected. The case was remitted to the Novooskolskiy District Court for a fresh examination.</w:t>
      </w:r>
    </w:p>
    <w:p w:rsidR="001D1BA9" w:rsidRDefault="001D1BA9">
      <w:pPr>
        <w:pStyle w:val="JuH1"/>
      </w:pPr>
      <w:r>
        <w:t>2.  Third judgment of the District Court</w:t>
      </w:r>
    </w:p>
    <w:p w:rsidR="001D1BA9" w:rsidRDefault="001D1BA9">
      <w:pPr>
        <w:pStyle w:val="JuPara"/>
      </w:pPr>
      <w:r>
        <w:fldChar w:fldCharType="begin"/>
      </w:r>
      <w:r>
        <w:instrText xml:space="preserve"> SEQ level0 \*arabic </w:instrText>
      </w:r>
      <w:r>
        <w:fldChar w:fldCharType="separate"/>
      </w:r>
      <w:r w:rsidR="009A67BC">
        <w:rPr>
          <w:noProof/>
        </w:rPr>
        <w:t>18</w:t>
      </w:r>
      <w:r>
        <w:fldChar w:fldCharType="end"/>
      </w:r>
      <w:r>
        <w:t xml:space="preserve">.  On </w:t>
      </w:r>
      <w:smartTag w:uri="urn:schemas-microsoft-com:office:smarttags" w:element="date">
        <w:smartTagPr>
          <w:attr w:name="Month" w:val="6"/>
          <w:attr w:name="Day" w:val="4"/>
          <w:attr w:name="Year" w:val="2001"/>
        </w:smartTagPr>
        <w:r>
          <w:t>4 June 2001</w:t>
        </w:r>
      </w:smartTag>
      <w:r>
        <w:t xml:space="preserve"> the same composition of the Novooskolskiy District Court delivered its third judgment in the applicant</w:t>
      </w:r>
      <w:r w:rsidR="00073595">
        <w:t>'</w:t>
      </w:r>
      <w:r>
        <w:t xml:space="preserve">s favour. The award included RUR 188,724 as compensation for devaluation and RUR 60,000 in respect of non-pecuniary damage. The court stated that the </w:t>
      </w:r>
      <w:r w:rsidR="002B669F">
        <w:t>g</w:t>
      </w:r>
      <w:r>
        <w:t>overnment</w:t>
      </w:r>
      <w:r w:rsidR="00073595">
        <w:t>'</w:t>
      </w:r>
      <w:r>
        <w:t xml:space="preserve">s systematic delaying of </w:t>
      </w:r>
      <w:r w:rsidR="002B669F">
        <w:t>its</w:t>
      </w:r>
      <w:r>
        <w:t xml:space="preserve"> obligation to revalue the applicant</w:t>
      </w:r>
      <w:r w:rsidR="00073595">
        <w:t>'</w:t>
      </w:r>
      <w:r>
        <w:t>s savings had caused her moral suffering and anguish.</w:t>
      </w:r>
    </w:p>
    <w:p w:rsidR="001D1BA9" w:rsidRDefault="001D1BA9">
      <w:pPr>
        <w:pStyle w:val="JuPara"/>
      </w:pPr>
      <w:r>
        <w:fldChar w:fldCharType="begin"/>
      </w:r>
      <w:r>
        <w:instrText xml:space="preserve"> SEQ level0 \*arabic </w:instrText>
      </w:r>
      <w:r>
        <w:fldChar w:fldCharType="separate"/>
      </w:r>
      <w:r w:rsidR="009A67BC">
        <w:rPr>
          <w:noProof/>
        </w:rPr>
        <w:t>19</w:t>
      </w:r>
      <w:r>
        <w:fldChar w:fldCharType="end"/>
      </w:r>
      <w:r>
        <w:t xml:space="preserve">.  On </w:t>
      </w:r>
      <w:smartTag w:uri="urn:schemas-microsoft-com:office:smarttags" w:element="date">
        <w:smartTagPr>
          <w:attr w:name="Month" w:val="8"/>
          <w:attr w:name="Day" w:val="14"/>
          <w:attr w:name="Year" w:val="2001"/>
        </w:smartTagPr>
        <w:r>
          <w:t>14 August 2001</w:t>
        </w:r>
      </w:smartTag>
      <w:r>
        <w:t xml:space="preserve"> the judgment was set aside on appeal by the </w:t>
      </w:r>
      <w:smartTag w:uri="urn:schemas-microsoft-com:office:smarttags" w:element="Street">
        <w:smartTag w:uri="urn:schemas-microsoft-com:office:smarttags" w:element="address">
          <w:r>
            <w:t>Belgorod Regional Court</w:t>
          </w:r>
        </w:smartTag>
      </w:smartTag>
      <w:r>
        <w:t xml:space="preserve"> and the case remitted for re-examination.</w:t>
      </w:r>
    </w:p>
    <w:p w:rsidR="001D1BA9" w:rsidRDefault="001D1BA9">
      <w:pPr>
        <w:pStyle w:val="JuH1"/>
        <w:keepNext/>
      </w:pPr>
      <w:r>
        <w:t>3.  Fourth judgment of the District Court</w:t>
      </w:r>
    </w:p>
    <w:p w:rsidR="001D1BA9" w:rsidRDefault="001D1BA9">
      <w:pPr>
        <w:pStyle w:val="JuPara"/>
        <w:keepNext/>
      </w:pPr>
      <w:r>
        <w:fldChar w:fldCharType="begin"/>
      </w:r>
      <w:r>
        <w:instrText xml:space="preserve"> SEQ level0 \*arabic </w:instrText>
      </w:r>
      <w:r>
        <w:fldChar w:fldCharType="separate"/>
      </w:r>
      <w:r w:rsidR="009A67BC">
        <w:rPr>
          <w:noProof/>
        </w:rPr>
        <w:t>20</w:t>
      </w:r>
      <w:r>
        <w:fldChar w:fldCharType="end"/>
      </w:r>
      <w:r>
        <w:t xml:space="preserve">.  On </w:t>
      </w:r>
      <w:smartTag w:uri="urn:schemas-microsoft-com:office:smarttags" w:element="date">
        <w:smartTagPr>
          <w:attr w:name="Month" w:val="9"/>
          <w:attr w:name="Day" w:val="19"/>
          <w:attr w:name="Year" w:val="2001"/>
        </w:smartTagPr>
        <w:r>
          <w:t>19 September 2001</w:t>
        </w:r>
      </w:smartTag>
      <w:r>
        <w:t xml:space="preserve"> the Novooskolskiy District Court, sitting in the same composition, once again reaffirmed its position by awarding compensation in the same amount as in its judgment of </w:t>
      </w:r>
      <w:smartTag w:uri="urn:schemas-microsoft-com:office:smarttags" w:element="date">
        <w:smartTagPr>
          <w:attr w:name="Month" w:val="6"/>
          <w:attr w:name="Day" w:val="4"/>
          <w:attr w:name="Year" w:val="2001"/>
        </w:smartTagPr>
        <w:r>
          <w:t>4 June 2001</w:t>
        </w:r>
      </w:smartTag>
      <w:r>
        <w:t>.</w:t>
      </w:r>
    </w:p>
    <w:p w:rsidR="001D1BA9" w:rsidRDefault="001D1BA9">
      <w:pPr>
        <w:pStyle w:val="JuPara"/>
      </w:pPr>
      <w:r>
        <w:fldChar w:fldCharType="begin"/>
      </w:r>
      <w:r>
        <w:instrText xml:space="preserve"> SEQ level0 \*arabic </w:instrText>
      </w:r>
      <w:r>
        <w:fldChar w:fldCharType="separate"/>
      </w:r>
      <w:r w:rsidR="009A67BC">
        <w:rPr>
          <w:noProof/>
        </w:rPr>
        <w:t>21</w:t>
      </w:r>
      <w:r>
        <w:fldChar w:fldCharType="end"/>
      </w:r>
      <w:r>
        <w:t xml:space="preserve">.  On </w:t>
      </w:r>
      <w:smartTag w:uri="urn:schemas-microsoft-com:office:smarttags" w:element="date">
        <w:smartTagPr>
          <w:attr w:name="Month" w:val="10"/>
          <w:attr w:name="Day" w:val="30"/>
          <w:attr w:name="Year" w:val="2001"/>
        </w:smartTagPr>
        <w:r>
          <w:t>30 October 2001</w:t>
        </w:r>
      </w:smartTag>
      <w:r>
        <w:t xml:space="preserve"> the appellate court quashed the judgment and remitted the case for a fresh examination by the Novooskolskiy District Court. As it was permitted to do by Article 305-2 of the Code of Civil Procedure, it ordered that the case should be retried by a different bench.</w:t>
      </w:r>
    </w:p>
    <w:p w:rsidR="001225CC" w:rsidRDefault="001D1BA9">
      <w:pPr>
        <w:pStyle w:val="JuH1"/>
      </w:pPr>
      <w:r>
        <w:t>4.  Fifth judgment of the District Court</w:t>
      </w:r>
    </w:p>
    <w:p w:rsidR="001D1BA9" w:rsidRDefault="001D1BA9">
      <w:pPr>
        <w:pStyle w:val="JuPara"/>
      </w:pPr>
      <w:r>
        <w:fldChar w:fldCharType="begin"/>
      </w:r>
      <w:r>
        <w:instrText xml:space="preserve"> SEQ level0 \*arabic </w:instrText>
      </w:r>
      <w:r>
        <w:fldChar w:fldCharType="separate"/>
      </w:r>
      <w:r w:rsidR="009A67BC">
        <w:rPr>
          <w:noProof/>
        </w:rPr>
        <w:t>22</w:t>
      </w:r>
      <w:r>
        <w:fldChar w:fldCharType="end"/>
      </w:r>
      <w:r>
        <w:t xml:space="preserve">.  On </w:t>
      </w:r>
      <w:smartTag w:uri="urn:schemas-microsoft-com:office:smarttags" w:element="date">
        <w:smartTagPr>
          <w:attr w:name="Month" w:val="2"/>
          <w:attr w:name="Day" w:val="27"/>
          <w:attr w:name="Year" w:val="2002"/>
        </w:smartTagPr>
        <w:r>
          <w:t>27 February 2002</w:t>
        </w:r>
      </w:smartTag>
      <w:r>
        <w:t xml:space="preserve"> the Novooskolskiy District Court</w:t>
      </w:r>
      <w:r w:rsidR="002B669F">
        <w:t>,</w:t>
      </w:r>
      <w:r>
        <w:t xml:space="preserve"> presided over by Judge Ziminov</w:t>
      </w:r>
      <w:r w:rsidR="002B669F">
        <w:t>,</w:t>
      </w:r>
      <w:r>
        <w:t xml:space="preserve"> dismissed the applicant</w:t>
      </w:r>
      <w:r w:rsidR="00073595">
        <w:t>'</w:t>
      </w:r>
      <w:r>
        <w:t>s case on the ground that her claims had no basis in law.</w:t>
      </w:r>
    </w:p>
    <w:p w:rsidR="001D1BA9" w:rsidRDefault="001D1BA9">
      <w:pPr>
        <w:pStyle w:val="JuPara"/>
      </w:pPr>
      <w:r>
        <w:fldChar w:fldCharType="begin"/>
      </w:r>
      <w:r>
        <w:instrText xml:space="preserve"> SEQ level0 \*arabic </w:instrText>
      </w:r>
      <w:r>
        <w:fldChar w:fldCharType="separate"/>
      </w:r>
      <w:r w:rsidR="009A67BC">
        <w:rPr>
          <w:noProof/>
        </w:rPr>
        <w:t>23</w:t>
      </w:r>
      <w:r>
        <w:fldChar w:fldCharType="end"/>
      </w:r>
      <w:r>
        <w:t xml:space="preserve">.  On </w:t>
      </w:r>
      <w:smartTag w:uri="urn:schemas-microsoft-com:office:smarttags" w:element="date">
        <w:smartTagPr>
          <w:attr w:name="Month" w:val="4"/>
          <w:attr w:name="Day" w:val="2"/>
          <w:attr w:name="Year" w:val="2002"/>
        </w:smartTagPr>
        <w:r>
          <w:t>2 April 2002</w:t>
        </w:r>
      </w:smartTag>
      <w:r>
        <w:t xml:space="preserve"> that judgment was upheld by the </w:t>
      </w:r>
      <w:smartTag w:uri="urn:schemas-microsoft-com:office:smarttags" w:element="Street">
        <w:smartTag w:uri="urn:schemas-microsoft-com:office:smarttags" w:element="address">
          <w:r>
            <w:t>Belgorod Regional Court</w:t>
          </w:r>
        </w:smartTag>
      </w:smartTag>
      <w:r>
        <w:t>.</w:t>
      </w:r>
    </w:p>
    <w:p w:rsidR="001D1BA9" w:rsidRDefault="001D1BA9">
      <w:pPr>
        <w:pStyle w:val="JuPara"/>
      </w:pPr>
      <w:r>
        <w:fldChar w:fldCharType="begin"/>
      </w:r>
      <w:r>
        <w:instrText xml:space="preserve"> SEQ level0 \*arabic </w:instrText>
      </w:r>
      <w:r>
        <w:fldChar w:fldCharType="separate"/>
      </w:r>
      <w:r w:rsidR="009A67BC">
        <w:rPr>
          <w:noProof/>
        </w:rPr>
        <w:t>24</w:t>
      </w:r>
      <w:r>
        <w:fldChar w:fldCharType="end"/>
      </w:r>
      <w:r>
        <w:t xml:space="preserve">.  On </w:t>
      </w:r>
      <w:smartTag w:uri="urn:schemas-microsoft-com:office:smarttags" w:element="date">
        <w:smartTagPr>
          <w:attr w:name="Month" w:val="5"/>
          <w:attr w:name="Day" w:val="8"/>
          <w:attr w:name="Year" w:val="2002"/>
        </w:smartTagPr>
        <w:r>
          <w:t>8 May 2002</w:t>
        </w:r>
      </w:smartTag>
      <w:r>
        <w:t xml:space="preserve"> the Presidium of the </w:t>
      </w:r>
      <w:smartTag w:uri="urn:schemas-microsoft-com:office:smarttags" w:element="Street">
        <w:smartTag w:uri="urn:schemas-microsoft-com:office:smarttags" w:element="address">
          <w:r>
            <w:t>Belgorod Regional Court</w:t>
          </w:r>
        </w:smartTag>
      </w:smartTag>
      <w:r>
        <w:t xml:space="preserve"> quashed the judgment following an application by the President of the </w:t>
      </w:r>
      <w:smartTag w:uri="urn:schemas-microsoft-com:office:smarttags" w:element="Street">
        <w:smartTag w:uri="urn:schemas-microsoft-com:office:smarttags" w:element="address">
          <w:r>
            <w:t>Regional Court</w:t>
          </w:r>
        </w:smartTag>
      </w:smartTag>
      <w:r>
        <w:t xml:space="preserve"> for supervisory review. The Presidium held that the courts below had disregarded the applicant</w:t>
      </w:r>
      <w:r w:rsidR="00073595">
        <w:t>'</w:t>
      </w:r>
      <w:r>
        <w:t xml:space="preserve">s fundamental rights under the Constitution and </w:t>
      </w:r>
      <w:r w:rsidR="002B669F">
        <w:t xml:space="preserve">the </w:t>
      </w:r>
      <w:r>
        <w:t>Convention.</w:t>
      </w:r>
    </w:p>
    <w:p w:rsidR="001D1BA9" w:rsidRDefault="001D1BA9">
      <w:pPr>
        <w:pStyle w:val="JuH1"/>
      </w:pPr>
      <w:r>
        <w:t>5.  Sixth judgment of the District Court</w:t>
      </w:r>
    </w:p>
    <w:p w:rsidR="001D1BA9" w:rsidRDefault="001D1BA9">
      <w:pPr>
        <w:pStyle w:val="JuPara"/>
      </w:pPr>
      <w:r>
        <w:fldChar w:fldCharType="begin"/>
      </w:r>
      <w:r>
        <w:instrText xml:space="preserve"> SEQ level0 \*arabic </w:instrText>
      </w:r>
      <w:r>
        <w:fldChar w:fldCharType="separate"/>
      </w:r>
      <w:r w:rsidR="009A67BC">
        <w:rPr>
          <w:noProof/>
        </w:rPr>
        <w:t>25</w:t>
      </w:r>
      <w:r>
        <w:fldChar w:fldCharType="end"/>
      </w:r>
      <w:r>
        <w:t xml:space="preserve">.  On 10 June 2002 the Novooskolskiy District Court, sitting in the same composition, delivered a new judgment in which, having regard, </w:t>
      </w:r>
      <w:r>
        <w:rPr>
          <w:i/>
        </w:rPr>
        <w:t>inter alia</w:t>
      </w:r>
      <w:r>
        <w:t>, to Article 1 of Protocol No. 1 to the Convention, it granted the applicant</w:t>
      </w:r>
      <w:r w:rsidR="00073595">
        <w:t>'</w:t>
      </w:r>
      <w:r>
        <w:t>s claim in part and awarded her RUR 231,059.19.</w:t>
      </w:r>
    </w:p>
    <w:p w:rsidR="001D1BA9" w:rsidRDefault="001D1BA9">
      <w:pPr>
        <w:pStyle w:val="JuPara"/>
      </w:pPr>
      <w:r>
        <w:fldChar w:fldCharType="begin"/>
      </w:r>
      <w:r>
        <w:instrText xml:space="preserve"> SEQ level0 \*arabic </w:instrText>
      </w:r>
      <w:r>
        <w:fldChar w:fldCharType="separate"/>
      </w:r>
      <w:r w:rsidR="009A67BC">
        <w:rPr>
          <w:noProof/>
        </w:rPr>
        <w:t>26</w:t>
      </w:r>
      <w:r>
        <w:fldChar w:fldCharType="end"/>
      </w:r>
      <w:r>
        <w:t>.  The defendants</w:t>
      </w:r>
      <w:r w:rsidR="00073595">
        <w:t>'</w:t>
      </w:r>
      <w:r>
        <w:t xml:space="preserve"> appeal was dismissed on </w:t>
      </w:r>
      <w:smartTag w:uri="urn:schemas-microsoft-com:office:smarttags" w:element="date">
        <w:smartTagPr>
          <w:attr w:name="Month" w:val="7"/>
          <w:attr w:name="Day" w:val="16"/>
          <w:attr w:name="Year" w:val="2002"/>
        </w:smartTagPr>
        <w:r>
          <w:t>16 July 2002</w:t>
        </w:r>
      </w:smartTag>
      <w:r>
        <w:t xml:space="preserve"> by the </w:t>
      </w:r>
      <w:smartTag w:uri="urn:schemas-microsoft-com:office:smarttags" w:element="Street">
        <w:smartTag w:uri="urn:schemas-microsoft-com:office:smarttags" w:element="address">
          <w:r>
            <w:t>Belgorod Regional Court</w:t>
          </w:r>
        </w:smartTag>
      </w:smartTag>
      <w:r>
        <w:t xml:space="preserve">, following which the judgment of </w:t>
      </w:r>
      <w:smartTag w:uri="urn:schemas-microsoft-com:office:smarttags" w:element="date">
        <w:smartTagPr>
          <w:attr w:name="Month" w:val="6"/>
          <w:attr w:name="Day" w:val="10"/>
          <w:attr w:name="Year" w:val="2002"/>
        </w:smartTagPr>
        <w:r>
          <w:t>10 June 2002</w:t>
        </w:r>
      </w:smartTag>
      <w:r>
        <w:t xml:space="preserve"> became final.</w:t>
      </w:r>
    </w:p>
    <w:p w:rsidR="001D1BA9" w:rsidRDefault="001D1BA9">
      <w:pPr>
        <w:pStyle w:val="JuH1"/>
      </w:pPr>
      <w:r>
        <w:t>6.  Settlement agreement</w:t>
      </w:r>
    </w:p>
    <w:p w:rsidR="001D1BA9" w:rsidRDefault="001D1BA9">
      <w:pPr>
        <w:pStyle w:val="JuPara"/>
      </w:pPr>
      <w:r>
        <w:fldChar w:fldCharType="begin"/>
      </w:r>
      <w:r>
        <w:instrText xml:space="preserve"> SEQ level0 \*arabic </w:instrText>
      </w:r>
      <w:r>
        <w:fldChar w:fldCharType="separate"/>
      </w:r>
      <w:r w:rsidR="009A67BC">
        <w:rPr>
          <w:noProof/>
        </w:rPr>
        <w:t>27</w:t>
      </w:r>
      <w:r>
        <w:fldChar w:fldCharType="end"/>
      </w:r>
      <w:r>
        <w:t xml:space="preserve">.  On </w:t>
      </w:r>
      <w:smartTag w:uri="urn:schemas-microsoft-com:office:smarttags" w:element="date">
        <w:smartTagPr>
          <w:attr w:name="Month" w:val="11"/>
          <w:attr w:name="Day" w:val="1"/>
          <w:attr w:name="Year" w:val="2002"/>
        </w:smartTagPr>
        <w:r>
          <w:t>1 November 2002</w:t>
        </w:r>
      </w:smartTag>
      <w:r>
        <w:t xml:space="preserve"> the applicant and a deputy president of the government of the Belgorod Region signed a settlement agreement, in which the applicant promised to abandon her claims arising out of the judgment of </w:t>
      </w:r>
      <w:smartTag w:uri="urn:schemas-microsoft-com:office:smarttags" w:element="date">
        <w:smartTagPr>
          <w:attr w:name="Month" w:val="6"/>
          <w:attr w:name="Day" w:val="10"/>
          <w:attr w:name="Year" w:val="2002"/>
        </w:smartTagPr>
        <w:r>
          <w:t>10 June 2002</w:t>
        </w:r>
      </w:smartTag>
      <w:r>
        <w:t xml:space="preserve"> for a consideration of RUR 248,724. On the same day the agreement was approved by the Novooskolskiy District Court in a consent order, as requested by the parties.</w:t>
      </w:r>
    </w:p>
    <w:p w:rsidR="001D1BA9" w:rsidRDefault="001D1BA9">
      <w:pPr>
        <w:pStyle w:val="JuPara"/>
      </w:pPr>
      <w:r>
        <w:fldChar w:fldCharType="begin"/>
      </w:r>
      <w:r>
        <w:instrText xml:space="preserve"> SEQ level0 \*arabic </w:instrText>
      </w:r>
      <w:r>
        <w:fldChar w:fldCharType="separate"/>
      </w:r>
      <w:r w:rsidR="009A67BC">
        <w:rPr>
          <w:noProof/>
        </w:rPr>
        <w:t>28</w:t>
      </w:r>
      <w:r>
        <w:fldChar w:fldCharType="end"/>
      </w:r>
      <w:r>
        <w:t xml:space="preserve">.  On </w:t>
      </w:r>
      <w:smartTag w:uri="urn:schemas-microsoft-com:office:smarttags" w:element="date">
        <w:smartTagPr>
          <w:attr w:name="Month" w:val="11"/>
          <w:attr w:name="Day" w:val="6"/>
          <w:attr w:name="Year" w:val="2002"/>
        </w:smartTagPr>
        <w:r>
          <w:t>6 November 2002</w:t>
        </w:r>
      </w:smartTag>
      <w:r>
        <w:t xml:space="preserve"> the applicant lodged an application with the </w:t>
      </w:r>
      <w:smartTag w:uri="urn:schemas-microsoft-com:office:smarttags" w:element="Street">
        <w:smartTag w:uri="urn:schemas-microsoft-com:office:smarttags" w:element="address">
          <w:r>
            <w:t>Belgorod Regional Court</w:t>
          </w:r>
        </w:smartTag>
      </w:smartTag>
      <w:r>
        <w:t xml:space="preserve"> to have the consent order of </w:t>
      </w:r>
      <w:smartTag w:uri="urn:schemas-microsoft-com:office:smarttags" w:element="date">
        <w:smartTagPr>
          <w:attr w:name="Month" w:val="11"/>
          <w:attr w:name="Day" w:val="1"/>
          <w:attr w:name="Year" w:val="2002"/>
        </w:smartTagPr>
        <w:r>
          <w:t>1 November 2002</w:t>
        </w:r>
      </w:smartTag>
      <w:r>
        <w:t xml:space="preserve"> set aside.</w:t>
      </w:r>
    </w:p>
    <w:p w:rsidR="001D1BA9" w:rsidRDefault="001D1BA9">
      <w:pPr>
        <w:pStyle w:val="JuPara"/>
      </w:pPr>
      <w:r>
        <w:fldChar w:fldCharType="begin"/>
      </w:r>
      <w:r>
        <w:instrText xml:space="preserve"> SEQ level0 \*arabic </w:instrText>
      </w:r>
      <w:r>
        <w:fldChar w:fldCharType="separate"/>
      </w:r>
      <w:r w:rsidR="009A67BC">
        <w:rPr>
          <w:noProof/>
        </w:rPr>
        <w:t>29</w:t>
      </w:r>
      <w:r>
        <w:fldChar w:fldCharType="end"/>
      </w:r>
      <w:r>
        <w:t xml:space="preserve">.  On </w:t>
      </w:r>
      <w:smartTag w:uri="urn:schemas-microsoft-com:office:smarttags" w:element="date">
        <w:smartTagPr>
          <w:attr w:name="Month" w:val="11"/>
          <w:attr w:name="Day" w:val="19"/>
          <w:attr w:name="Year" w:val="2002"/>
        </w:smartTagPr>
        <w:r>
          <w:t>19 November 2002</w:t>
        </w:r>
      </w:smartTag>
      <w:r>
        <w:t xml:space="preserve"> the applicant withdrew that application. She said that the </w:t>
      </w:r>
      <w:r w:rsidR="002B669F">
        <w:t>g</w:t>
      </w:r>
      <w:r>
        <w:t xml:space="preserve">overnment had </w:t>
      </w:r>
      <w:r w:rsidR="002B669F">
        <w:t>bought</w:t>
      </w:r>
      <w:r>
        <w:t xml:space="preserve"> her a flat in Novyi Oskol </w:t>
      </w:r>
      <w:r w:rsidR="002B669F">
        <w:t>for</w:t>
      </w:r>
      <w:r>
        <w:t xml:space="preserve"> RUR</w:t>
      </w:r>
      <w:r w:rsidR="002B669F">
        <w:t> </w:t>
      </w:r>
      <w:r>
        <w:t>330,000, and that she had no more claims against the State.</w:t>
      </w:r>
    </w:p>
    <w:p w:rsidR="001D1BA9" w:rsidRDefault="001D1BA9">
      <w:pPr>
        <w:pStyle w:val="JuPara"/>
      </w:pPr>
      <w:r>
        <w:fldChar w:fldCharType="begin"/>
      </w:r>
      <w:r>
        <w:instrText xml:space="preserve"> SEQ level0 \*arabic </w:instrText>
      </w:r>
      <w:r>
        <w:fldChar w:fldCharType="separate"/>
      </w:r>
      <w:r w:rsidR="009A67BC">
        <w:rPr>
          <w:noProof/>
        </w:rPr>
        <w:t>30</w:t>
      </w:r>
      <w:r>
        <w:fldChar w:fldCharType="end"/>
      </w:r>
      <w:r>
        <w:t xml:space="preserve">.  On </w:t>
      </w:r>
      <w:smartTag w:uri="urn:schemas-microsoft-com:office:smarttags" w:element="date">
        <w:smartTagPr>
          <w:attr w:name="Month" w:val="3"/>
          <w:attr w:name="Day" w:val="23"/>
          <w:attr w:name="Year" w:val="2003"/>
        </w:smartTagPr>
        <w:r>
          <w:t>23 March 2003</w:t>
        </w:r>
      </w:smartTag>
      <w:r>
        <w:t xml:space="preserve"> the applicant informed the Court that the price of the flat did not cover the damage sustained by her because the money she had had </w:t>
      </w:r>
      <w:r w:rsidR="002B669F">
        <w:t>i</w:t>
      </w:r>
      <w:r>
        <w:t xml:space="preserve">n her savings account in 1991, if converted </w:t>
      </w:r>
      <w:r w:rsidR="002B669F">
        <w:t>in</w:t>
      </w:r>
      <w:r>
        <w:t xml:space="preserve">to </w:t>
      </w:r>
      <w:smartTag w:uri="urn:schemas-microsoft-com:office:smarttags" w:element="place">
        <w:smartTag w:uri="urn:schemas-microsoft-com:office:smarttags" w:element="country-region">
          <w:r>
            <w:t>United States</w:t>
          </w:r>
        </w:smartTag>
      </w:smartTag>
      <w:r>
        <w:t xml:space="preserve"> dollars, </w:t>
      </w:r>
      <w:r>
        <w:rPr>
          <w:snapToGrid w:val="0"/>
          <w:color w:val="000000"/>
          <w:lang w:val="en-US" w:eastAsia="en-US"/>
        </w:rPr>
        <w:t xml:space="preserve">would exceed the price of the flat. The applicant asked the Court </w:t>
      </w:r>
      <w:r w:rsidR="002B669F">
        <w:rPr>
          <w:snapToGrid w:val="0"/>
          <w:color w:val="000000"/>
          <w:lang w:val="en-US" w:eastAsia="en-US"/>
        </w:rPr>
        <w:t xml:space="preserve">for an order enabling her </w:t>
      </w:r>
      <w:r>
        <w:rPr>
          <w:snapToGrid w:val="0"/>
          <w:color w:val="000000"/>
          <w:lang w:val="en-US" w:eastAsia="en-US"/>
        </w:rPr>
        <w:t>to recover the difference from the State.</w:t>
      </w:r>
    </w:p>
    <w:p w:rsidR="001D1BA9" w:rsidRDefault="001D1BA9">
      <w:pPr>
        <w:pStyle w:val="JuHIRoman"/>
        <w:outlineLvl w:val="0"/>
      </w:pPr>
      <w:r>
        <w:t>II.  RELEVANT DOMESTIC LAW</w:t>
      </w:r>
    </w:p>
    <w:p w:rsidR="001D1BA9" w:rsidRDefault="001D1BA9">
      <w:pPr>
        <w:pStyle w:val="JuPara"/>
        <w:keepNext/>
        <w:keepLines/>
      </w:pPr>
      <w:r>
        <w:fldChar w:fldCharType="begin"/>
      </w:r>
      <w:r>
        <w:instrText xml:space="preserve"> SEQ level0 \*arabic </w:instrText>
      </w:r>
      <w:r>
        <w:fldChar w:fldCharType="separate"/>
      </w:r>
      <w:r w:rsidR="009A67BC">
        <w:rPr>
          <w:noProof/>
        </w:rPr>
        <w:t>31</w:t>
      </w:r>
      <w:r>
        <w:fldChar w:fldCharType="end"/>
      </w:r>
      <w:r>
        <w:t>.  Under the 1964 Code of Civil Procedure, which was in force at the material time, judgments became final as follows:</w:t>
      </w:r>
    </w:p>
    <w:p w:rsidR="001D1BA9" w:rsidP="001D1BA9" w:rsidRDefault="001D1BA9">
      <w:pPr>
        <w:pStyle w:val="JuHArticle"/>
        <w:outlineLvl w:val="0"/>
      </w:pPr>
      <w:r>
        <w:t>Article 208</w:t>
      </w:r>
      <w:r>
        <w:br/>
        <w:t>Coming into force of judgments</w:t>
      </w:r>
    </w:p>
    <w:p w:rsidR="001D1BA9" w:rsidRDefault="001D1BA9">
      <w:pPr>
        <w:pStyle w:val="JuQuot"/>
      </w:pPr>
      <w:r>
        <w:t>“Court judgments shall become legally binding on the expiration of the time-limit for lodging a cassation appeal if no such appeal has been lodged. If the judgment is not quashed following a cassation appeal, it shall become legally binding when the higher court delivers its decision</w:t>
      </w:r>
      <w:r w:rsidR="002B669F">
        <w:t>.</w:t>
      </w:r>
      <w:r>
        <w:t xml:space="preserve"> ...”</w:t>
      </w:r>
    </w:p>
    <w:p w:rsidR="001D1BA9" w:rsidRDefault="001D1BA9">
      <w:pPr>
        <w:pStyle w:val="JuPara"/>
      </w:pPr>
      <w:r>
        <w:fldChar w:fldCharType="begin"/>
      </w:r>
      <w:r>
        <w:instrText xml:space="preserve"> SEQ level0 \*arabic </w:instrText>
      </w:r>
      <w:r>
        <w:fldChar w:fldCharType="separate"/>
      </w:r>
      <w:r w:rsidR="009A67BC">
        <w:rPr>
          <w:noProof/>
        </w:rPr>
        <w:t>32</w:t>
      </w:r>
      <w:r>
        <w:fldChar w:fldCharType="end"/>
      </w:r>
      <w:r>
        <w:t>.  The only further means of recou</w:t>
      </w:r>
      <w:r w:rsidR="002B669F">
        <w:t xml:space="preserve">rse was the special supervisory </w:t>
      </w:r>
      <w:r>
        <w:t>review procedure that enabled courts to reopen final judgments (</w:t>
      </w:r>
      <w:r w:rsidRPr="002B669F">
        <w:rPr>
          <w:lang w:val="ru-RU"/>
        </w:rPr>
        <w:t>пересмотр</w:t>
      </w:r>
      <w:r w:rsidRPr="002B669F">
        <w:t xml:space="preserve"> </w:t>
      </w:r>
      <w:r w:rsidRPr="002B669F">
        <w:rPr>
          <w:lang w:val="ru-RU"/>
        </w:rPr>
        <w:t>в</w:t>
      </w:r>
      <w:r w:rsidRPr="002B669F">
        <w:t xml:space="preserve"> </w:t>
      </w:r>
      <w:r w:rsidRPr="002B669F">
        <w:rPr>
          <w:lang w:val="ru-RU"/>
        </w:rPr>
        <w:t>порядке</w:t>
      </w:r>
      <w:r w:rsidRPr="002B669F">
        <w:t xml:space="preserve"> </w:t>
      </w:r>
      <w:r w:rsidRPr="002B669F">
        <w:rPr>
          <w:lang w:val="ru-RU"/>
        </w:rPr>
        <w:t>судебного</w:t>
      </w:r>
      <w:r w:rsidRPr="002B669F">
        <w:t xml:space="preserve"> </w:t>
      </w:r>
      <w:r w:rsidRPr="002B669F">
        <w:rPr>
          <w:lang w:val="ru-RU"/>
        </w:rPr>
        <w:t>надзора</w:t>
      </w:r>
      <w:r>
        <w:t>):</w:t>
      </w:r>
    </w:p>
    <w:p w:rsidR="001D1BA9" w:rsidRDefault="001D1BA9">
      <w:pPr>
        <w:pStyle w:val="JuHArticle"/>
        <w:outlineLvl w:val="0"/>
      </w:pPr>
      <w:r>
        <w:t>Article 319</w:t>
      </w:r>
      <w:r>
        <w:br/>
        <w:t>Judgments, decisions and rulings amenable to supervisory review</w:t>
      </w:r>
    </w:p>
    <w:p w:rsidR="001D1BA9" w:rsidRDefault="001D1BA9">
      <w:pPr>
        <w:pStyle w:val="JuQuot"/>
      </w:pPr>
      <w:r>
        <w:t>“Final judgments, decisions and rulings of all Russian courts shall be amenable to supervisory review on an application lodged by the officials listed in Article 320 of the Code.”</w:t>
      </w:r>
    </w:p>
    <w:p w:rsidR="001D1BA9" w:rsidRDefault="001D1BA9">
      <w:pPr>
        <w:pStyle w:val="JuPara"/>
      </w:pPr>
      <w:r>
        <w:fldChar w:fldCharType="begin"/>
      </w:r>
      <w:r>
        <w:instrText xml:space="preserve"> SEQ level0 \*arabic </w:instrText>
      </w:r>
      <w:r>
        <w:fldChar w:fldCharType="separate"/>
      </w:r>
      <w:r w:rsidR="009A67BC">
        <w:rPr>
          <w:noProof/>
        </w:rPr>
        <w:t>33</w:t>
      </w:r>
      <w:r>
        <w:fldChar w:fldCharType="end"/>
      </w:r>
      <w:r>
        <w:t>.  The power of officials to lodge an application (</w:t>
      </w:r>
      <w:r w:rsidRPr="002B669F">
        <w:rPr>
          <w:lang w:val="ru-RU"/>
        </w:rPr>
        <w:t>протест</w:t>
      </w:r>
      <w:r>
        <w:t>) depended on their rank and territorial jurisdiction:</w:t>
      </w:r>
    </w:p>
    <w:p w:rsidR="001D1BA9" w:rsidRDefault="001D1BA9">
      <w:pPr>
        <w:pStyle w:val="JuHArticle"/>
        <w:keepNext/>
        <w:outlineLvl w:val="0"/>
      </w:pPr>
      <w:r>
        <w:t>Article 320</w:t>
      </w:r>
      <w:r>
        <w:br/>
        <w:t>Officials who may initiate supervisory review</w:t>
      </w:r>
    </w:p>
    <w:p w:rsidR="001D1BA9" w:rsidRDefault="001D1BA9">
      <w:pPr>
        <w:pStyle w:val="JuQuot"/>
        <w:keepNext/>
      </w:pPr>
      <w:r>
        <w:t>“Applications may be lodged by:</w:t>
      </w:r>
    </w:p>
    <w:p w:rsidR="001D1BA9" w:rsidRDefault="001D1BA9">
      <w:pPr>
        <w:pStyle w:val="JuQuotSub"/>
        <w:keepNext/>
      </w:pPr>
      <w:r>
        <w:t>(1)  </w:t>
      </w:r>
      <w:r w:rsidR="002B669F">
        <w:t>t</w:t>
      </w:r>
      <w:r>
        <w:t>he Prosecutor General – against judgments, decisions and rulings of any court;</w:t>
      </w:r>
    </w:p>
    <w:p w:rsidR="001D1BA9" w:rsidRDefault="001D1BA9">
      <w:pPr>
        <w:pStyle w:val="JuQuotSub"/>
      </w:pPr>
      <w:r>
        <w:t>(2)  </w:t>
      </w:r>
      <w:r w:rsidR="002B669F">
        <w:t>t</w:t>
      </w:r>
      <w:r>
        <w:t xml:space="preserve">he President of the Supreme Court – against rulings of the Presidium of the Supreme Court and judgments and decisions of the Civil </w:t>
      </w:r>
      <w:r w:rsidR="002B669F">
        <w:t>Division</w:t>
      </w:r>
      <w:r>
        <w:t xml:space="preserve"> of the Supreme Court acting as a court of first instance;</w:t>
      </w:r>
    </w:p>
    <w:p w:rsidR="001D1BA9" w:rsidRDefault="001D1BA9">
      <w:pPr>
        <w:pStyle w:val="JuQuotSub"/>
      </w:pPr>
      <w:r>
        <w:t>(3)  Deputy Prosecutors General – against judgments, decisions and rulings of any court other than rulings of the Presidium of the Supreme Court;</w:t>
      </w:r>
    </w:p>
    <w:p w:rsidR="001D1BA9" w:rsidRDefault="001D1BA9">
      <w:pPr>
        <w:pStyle w:val="JuQuotSub"/>
      </w:pPr>
      <w:r>
        <w:t xml:space="preserve">(4)  Vice-Presidents of the Supreme Court – against judgments and decisions of the Civil </w:t>
      </w:r>
      <w:r w:rsidR="002B669F">
        <w:t>Division</w:t>
      </w:r>
      <w:r>
        <w:t xml:space="preserve"> of the Supreme Court acting as a court of first instance;</w:t>
      </w:r>
    </w:p>
    <w:p w:rsidR="001D1BA9" w:rsidRDefault="001D1BA9">
      <w:pPr>
        <w:pStyle w:val="JuQuotSub"/>
      </w:pPr>
      <w:r>
        <w:t>(5)  </w:t>
      </w:r>
      <w:r w:rsidR="002B669F">
        <w:t>t</w:t>
      </w:r>
      <w:r>
        <w:t>he Prosecutor General, Deputy Prosecutor General, the President and Vice-Presidents of the Supreme Court – against judgments, decisions and rulings of any court other than rulings of the Presidium of the Supreme Court;</w:t>
      </w:r>
    </w:p>
    <w:p w:rsidR="001D1BA9" w:rsidRDefault="001D1BA9">
      <w:pPr>
        <w:pStyle w:val="JuQuotSub"/>
      </w:pPr>
      <w:r>
        <w:t>(6)  </w:t>
      </w:r>
      <w:r w:rsidR="002B669F">
        <w:t>t</w:t>
      </w:r>
      <w:r>
        <w:t>he President of the Supreme Court of an autonomous republic, a regional court, a city court, a court of an autonomous region or a court of an autonomous district, the public prosecutor of an autonomous republic, a region, a city, an autonomous region or an autonomous district – against judgments and decisions of district (city) people</w:t>
      </w:r>
      <w:r w:rsidR="00073595">
        <w:t>'</w:t>
      </w:r>
      <w:r>
        <w:t xml:space="preserve">s courts and against decisions of civil </w:t>
      </w:r>
      <w:r w:rsidR="002B669F">
        <w:t>divisions</w:t>
      </w:r>
      <w:r>
        <w:t xml:space="preserve"> of, respectively, the Supreme Court of an autonomous republic, regional court, city court, court of an autonomous region or court of an autonomous district that examined the case on appeal.”</w:t>
      </w:r>
    </w:p>
    <w:p w:rsidR="001D1BA9" w:rsidRDefault="001D1BA9">
      <w:pPr>
        <w:pStyle w:val="JuPara"/>
      </w:pPr>
      <w:r>
        <w:fldChar w:fldCharType="begin"/>
      </w:r>
      <w:r>
        <w:instrText xml:space="preserve"> SEQ level0 \*arabic </w:instrText>
      </w:r>
      <w:r>
        <w:fldChar w:fldCharType="separate"/>
      </w:r>
      <w:r w:rsidR="009A67BC">
        <w:rPr>
          <w:noProof/>
        </w:rPr>
        <w:t>34</w:t>
      </w:r>
      <w:r>
        <w:fldChar w:fldCharType="end"/>
      </w:r>
      <w:r>
        <w:t>.  The power to lodge such applications was discretionary, that is to say it was solely for the official concerned to decide whether or not a particular case warranted supervisory review.</w:t>
      </w:r>
    </w:p>
    <w:p w:rsidR="001D1BA9" w:rsidRDefault="001D1BA9">
      <w:pPr>
        <w:pStyle w:val="JuPara"/>
      </w:pPr>
      <w:r>
        <w:fldChar w:fldCharType="begin"/>
      </w:r>
      <w:r>
        <w:instrText xml:space="preserve"> SEQ level0 \*arabic </w:instrText>
      </w:r>
      <w:r>
        <w:fldChar w:fldCharType="separate"/>
      </w:r>
      <w:r w:rsidR="009A67BC">
        <w:rPr>
          <w:noProof/>
        </w:rPr>
        <w:t>35</w:t>
      </w:r>
      <w:r>
        <w:fldChar w:fldCharType="end"/>
      </w:r>
      <w:r>
        <w:t>.  Under Article 322 officials listed in Article 320 who considered that a case deserved closer examination could, in certain circumstances, obtain the case file in order to establish whether good grounds for lodging an application existed.</w:t>
      </w:r>
    </w:p>
    <w:p w:rsidR="001D1BA9" w:rsidRDefault="001D1BA9">
      <w:pPr>
        <w:pStyle w:val="JuPara"/>
      </w:pPr>
      <w:r>
        <w:fldChar w:fldCharType="begin"/>
      </w:r>
      <w:r>
        <w:instrText xml:space="preserve"> SEQ level0 \*arabic </w:instrText>
      </w:r>
      <w:r>
        <w:fldChar w:fldCharType="separate"/>
      </w:r>
      <w:r w:rsidR="009A67BC">
        <w:rPr>
          <w:noProof/>
        </w:rPr>
        <w:t>36</w:t>
      </w:r>
      <w:r>
        <w:fldChar w:fldCharType="end"/>
      </w:r>
      <w:r>
        <w:t>.  Article 323 of the Code empowered the relevant officials to stay the execution of the judgment, decision or ruling in question until the supervisory</w:t>
      </w:r>
      <w:r w:rsidR="002B669F">
        <w:t xml:space="preserve"> </w:t>
      </w:r>
      <w:r>
        <w:t>review proceedings had been completed.</w:t>
      </w:r>
    </w:p>
    <w:p w:rsidR="001225CC" w:rsidRDefault="001D1BA9">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9A67BC">
        <w:rPr>
          <w:noProof/>
          <w:snapToGrid w:val="0"/>
          <w:lang w:eastAsia="en-US"/>
        </w:rPr>
        <w:t>37</w:t>
      </w:r>
      <w:r>
        <w:rPr>
          <w:snapToGrid w:val="0"/>
          <w:lang w:eastAsia="en-US"/>
        </w:rPr>
        <w:fldChar w:fldCharType="end"/>
      </w:r>
      <w:r>
        <w:rPr>
          <w:snapToGrid w:val="0"/>
          <w:lang w:eastAsia="en-US"/>
        </w:rPr>
        <w:t>.  Article 324 of the Code provided that the official concerned should draft the application and forward it – in sufficient copies for each of the parties – with the case file to the relevant court.</w:t>
      </w:r>
    </w:p>
    <w:p w:rsidR="001D1BA9" w:rsidRDefault="001D1BA9">
      <w:pPr>
        <w:pStyle w:val="JuPara"/>
        <w:keepNext/>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9A67BC">
        <w:rPr>
          <w:noProof/>
          <w:snapToGrid w:val="0"/>
          <w:lang w:eastAsia="en-US"/>
        </w:rPr>
        <w:t>38</w:t>
      </w:r>
      <w:r>
        <w:rPr>
          <w:snapToGrid w:val="0"/>
          <w:lang w:eastAsia="en-US"/>
        </w:rPr>
        <w:fldChar w:fldCharType="end"/>
      </w:r>
      <w:r>
        <w:rPr>
          <w:snapToGrid w:val="0"/>
          <w:lang w:eastAsia="en-US"/>
        </w:rPr>
        <w:t>.  Article 325 read as follows:</w:t>
      </w:r>
    </w:p>
    <w:p w:rsidR="001D1BA9" w:rsidRDefault="001D1BA9">
      <w:pPr>
        <w:pStyle w:val="JuQuot"/>
        <w:keepNext/>
        <w:rPr>
          <w:snapToGrid w:val="0"/>
          <w:lang w:eastAsia="en-US"/>
        </w:rPr>
      </w:pPr>
      <w:r>
        <w:rPr>
          <w:snapToGrid w:val="0"/>
          <w:lang w:eastAsia="en-US"/>
        </w:rPr>
        <w:t>“The parties ... shall be served copies of the application. If circumstances so require, the parties ... shall be informed of the time and place of the hearing.</w:t>
      </w:r>
    </w:p>
    <w:p w:rsidR="001D1BA9" w:rsidRDefault="001D1BA9">
      <w:pPr>
        <w:pStyle w:val="JuQuot"/>
        <w:rPr>
          <w:snapToGrid w:val="0"/>
          <w:lang w:eastAsia="en-US"/>
        </w:rPr>
      </w:pPr>
      <w:r>
        <w:rPr>
          <w:snapToGrid w:val="0"/>
          <w:lang w:eastAsia="en-US"/>
        </w:rPr>
        <w:t xml:space="preserve">The copies of the application shall be served </w:t>
      </w:r>
      <w:r w:rsidR="002B669F">
        <w:rPr>
          <w:snapToGrid w:val="0"/>
          <w:lang w:eastAsia="en-US"/>
        </w:rPr>
        <w:t>on</w:t>
      </w:r>
      <w:r>
        <w:rPr>
          <w:snapToGrid w:val="0"/>
          <w:lang w:eastAsia="en-US"/>
        </w:rPr>
        <w:t xml:space="preserve"> the parties by the court [examining the application]. The court shall give the parties sufficient time before the hearing to submit a written reply to the application and any additional material.”</w:t>
      </w:r>
    </w:p>
    <w:p w:rsidR="001D1BA9" w:rsidRDefault="001D1BA9">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9A67BC">
        <w:rPr>
          <w:noProof/>
          <w:snapToGrid w:val="0"/>
          <w:lang w:eastAsia="en-US"/>
        </w:rPr>
        <w:t>39</w:t>
      </w:r>
      <w:r>
        <w:rPr>
          <w:snapToGrid w:val="0"/>
          <w:lang w:eastAsia="en-US"/>
        </w:rPr>
        <w:fldChar w:fldCharType="end"/>
      </w:r>
      <w:r>
        <w:rPr>
          <w:snapToGrid w:val="0"/>
          <w:lang w:eastAsia="en-US"/>
        </w:rPr>
        <w:t>.  Under Article 328 of the Code, proceedings on an application for supervisory review were normally oral and the parties were invited to make comments once the judge concerned had reported to the court.</w:t>
      </w:r>
    </w:p>
    <w:p w:rsidR="001D1BA9" w:rsidRDefault="001D1BA9">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9A67BC">
        <w:rPr>
          <w:noProof/>
          <w:snapToGrid w:val="0"/>
          <w:lang w:eastAsia="en-US"/>
        </w:rPr>
        <w:t>40</w:t>
      </w:r>
      <w:r>
        <w:rPr>
          <w:snapToGrid w:val="0"/>
          <w:lang w:eastAsia="en-US"/>
        </w:rPr>
        <w:fldChar w:fldCharType="end"/>
      </w:r>
      <w:r>
        <w:rPr>
          <w:snapToGrid w:val="0"/>
          <w:lang w:eastAsia="en-US"/>
        </w:rPr>
        <w:t>.  Courts hearing applications for supervisory review had extensive jurisdiction in respect of final judgments:</w:t>
      </w:r>
    </w:p>
    <w:p w:rsidR="001D1BA9" w:rsidRDefault="001D1BA9">
      <w:pPr>
        <w:pStyle w:val="JuHArticle"/>
        <w:keepNext/>
        <w:keepLines/>
        <w:outlineLvl w:val="0"/>
        <w:rPr>
          <w:snapToGrid w:val="0"/>
          <w:lang w:eastAsia="en-US"/>
        </w:rPr>
      </w:pPr>
      <w:r>
        <w:rPr>
          <w:snapToGrid w:val="0"/>
          <w:lang w:eastAsia="en-US"/>
        </w:rPr>
        <w:t>Article 329</w:t>
      </w:r>
      <w:r>
        <w:rPr>
          <w:snapToGrid w:val="0"/>
          <w:lang w:eastAsia="en-US"/>
        </w:rPr>
        <w:br/>
        <w:t>Powers of supervisory</w:t>
      </w:r>
      <w:r w:rsidR="002B669F">
        <w:rPr>
          <w:snapToGrid w:val="0"/>
          <w:lang w:eastAsia="en-US"/>
        </w:rPr>
        <w:t xml:space="preserve"> </w:t>
      </w:r>
      <w:r>
        <w:rPr>
          <w:snapToGrid w:val="0"/>
          <w:lang w:eastAsia="en-US"/>
        </w:rPr>
        <w:t>review court</w:t>
      </w:r>
      <w:r w:rsidR="002B669F">
        <w:rPr>
          <w:snapToGrid w:val="0"/>
          <w:lang w:eastAsia="en-US"/>
        </w:rPr>
        <w:t>s</w:t>
      </w:r>
    </w:p>
    <w:p w:rsidR="001D1BA9" w:rsidRDefault="001D1BA9">
      <w:pPr>
        <w:pStyle w:val="JuQuot"/>
        <w:keepNext/>
        <w:keepLines/>
        <w:rPr>
          <w:snapToGrid w:val="0"/>
          <w:lang w:eastAsia="en-US"/>
        </w:rPr>
      </w:pPr>
      <w:r>
        <w:rPr>
          <w:snapToGrid w:val="0"/>
          <w:lang w:eastAsia="en-US"/>
        </w:rPr>
        <w:t>“The court that examines an application for supervisory review may:</w:t>
      </w:r>
    </w:p>
    <w:p w:rsidR="001D1BA9" w:rsidRDefault="001D1BA9">
      <w:pPr>
        <w:pStyle w:val="JuQuotSub"/>
        <w:rPr>
          <w:snapToGrid w:val="0"/>
          <w:lang w:eastAsia="en-US"/>
        </w:rPr>
      </w:pPr>
      <w:r>
        <w:rPr>
          <w:snapToGrid w:val="0"/>
          <w:lang w:eastAsia="en-US"/>
        </w:rPr>
        <w:t>(1)  </w:t>
      </w:r>
      <w:r w:rsidR="002B669F">
        <w:rPr>
          <w:snapToGrid w:val="0"/>
          <w:lang w:eastAsia="en-US"/>
        </w:rPr>
        <w:t>u</w:t>
      </w:r>
      <w:r>
        <w:rPr>
          <w:snapToGrid w:val="0"/>
          <w:lang w:eastAsia="en-US"/>
        </w:rPr>
        <w:t>phold the judgment, decision or ruling and dismiss the application;</w:t>
      </w:r>
    </w:p>
    <w:p w:rsidR="001D1BA9" w:rsidRDefault="001D1BA9">
      <w:pPr>
        <w:pStyle w:val="JuQuotSub"/>
        <w:rPr>
          <w:snapToGrid w:val="0"/>
          <w:lang w:eastAsia="en-US"/>
        </w:rPr>
      </w:pPr>
      <w:r>
        <w:rPr>
          <w:snapToGrid w:val="0"/>
          <w:lang w:eastAsia="en-US"/>
        </w:rPr>
        <w:t>(2)  </w:t>
      </w:r>
      <w:r w:rsidR="002B669F">
        <w:rPr>
          <w:snapToGrid w:val="0"/>
          <w:lang w:eastAsia="en-US"/>
        </w:rPr>
        <w:t>q</w:t>
      </w:r>
      <w:r>
        <w:rPr>
          <w:snapToGrid w:val="0"/>
          <w:lang w:eastAsia="en-US"/>
        </w:rPr>
        <w:t>uash all or part of the judgment, decision or ruling and order a fresh examination of the case at first or cassation instance;</w:t>
      </w:r>
    </w:p>
    <w:p w:rsidR="001D1BA9" w:rsidRDefault="001D1BA9">
      <w:pPr>
        <w:pStyle w:val="JuQuotSub"/>
        <w:rPr>
          <w:snapToGrid w:val="0"/>
          <w:lang w:eastAsia="en-US"/>
        </w:rPr>
      </w:pPr>
      <w:r>
        <w:rPr>
          <w:snapToGrid w:val="0"/>
          <w:lang w:eastAsia="en-US"/>
        </w:rPr>
        <w:t>(3)  </w:t>
      </w:r>
      <w:r w:rsidR="002B669F">
        <w:rPr>
          <w:snapToGrid w:val="0"/>
          <w:lang w:eastAsia="en-US"/>
        </w:rPr>
        <w:t>q</w:t>
      </w:r>
      <w:r>
        <w:rPr>
          <w:snapToGrid w:val="0"/>
          <w:lang w:eastAsia="en-US"/>
        </w:rPr>
        <w:t>uash all or part of the judgment, decision or ruling and terminate the proceedings or leave the claim undecided;</w:t>
      </w:r>
    </w:p>
    <w:p w:rsidR="001D1BA9" w:rsidRDefault="001D1BA9">
      <w:pPr>
        <w:pStyle w:val="JuQuotSub"/>
        <w:rPr>
          <w:snapToGrid w:val="0"/>
          <w:lang w:eastAsia="en-US"/>
        </w:rPr>
      </w:pPr>
      <w:r>
        <w:rPr>
          <w:snapToGrid w:val="0"/>
          <w:lang w:eastAsia="en-US"/>
        </w:rPr>
        <w:t>(4)  </w:t>
      </w:r>
      <w:r w:rsidR="002B669F">
        <w:rPr>
          <w:snapToGrid w:val="0"/>
          <w:lang w:eastAsia="en-US"/>
        </w:rPr>
        <w:t>u</w:t>
      </w:r>
      <w:r>
        <w:rPr>
          <w:snapToGrid w:val="0"/>
          <w:lang w:eastAsia="en-US"/>
        </w:rPr>
        <w:t>phold any of the previous judgments, decisions or rulings in the case;</w:t>
      </w:r>
    </w:p>
    <w:p w:rsidR="001D1BA9" w:rsidRDefault="001D1BA9">
      <w:pPr>
        <w:pStyle w:val="JuQuotSub"/>
        <w:rPr>
          <w:snapToGrid w:val="0"/>
          <w:lang w:eastAsia="en-US"/>
        </w:rPr>
      </w:pPr>
      <w:r>
        <w:rPr>
          <w:snapToGrid w:val="0"/>
          <w:lang w:eastAsia="en-US"/>
        </w:rPr>
        <w:t>(5)  </w:t>
      </w:r>
      <w:r w:rsidR="002B669F">
        <w:rPr>
          <w:snapToGrid w:val="0"/>
          <w:lang w:eastAsia="en-US"/>
        </w:rPr>
        <w:t>q</w:t>
      </w:r>
      <w:r>
        <w:rPr>
          <w:snapToGrid w:val="0"/>
          <w:lang w:eastAsia="en-US"/>
        </w:rPr>
        <w:t>uash or vary the judgment of the court of first or cassation instance or of a court that has carried out supervisory review and deliver a new judgment without remitting the case for re-examination if substantive laws have been erroneously construed and applied.”</w:t>
      </w:r>
    </w:p>
    <w:p w:rsidR="001D1BA9" w:rsidRDefault="001D1BA9">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9A67BC">
        <w:rPr>
          <w:noProof/>
          <w:snapToGrid w:val="0"/>
          <w:lang w:eastAsia="en-US"/>
        </w:rPr>
        <w:t>41</w:t>
      </w:r>
      <w:r>
        <w:rPr>
          <w:snapToGrid w:val="0"/>
          <w:lang w:eastAsia="en-US"/>
        </w:rPr>
        <w:fldChar w:fldCharType="end"/>
      </w:r>
      <w:r>
        <w:rPr>
          <w:snapToGrid w:val="0"/>
          <w:lang w:eastAsia="en-US"/>
        </w:rPr>
        <w:t>.  The grounds for setting aside final judgments were as follows:</w:t>
      </w:r>
    </w:p>
    <w:p w:rsidR="001D1BA9" w:rsidRDefault="001D1BA9">
      <w:pPr>
        <w:pStyle w:val="JuHArticle"/>
        <w:outlineLvl w:val="0"/>
        <w:rPr>
          <w:snapToGrid w:val="0"/>
          <w:lang w:eastAsia="en-US"/>
        </w:rPr>
      </w:pPr>
      <w:r>
        <w:rPr>
          <w:snapToGrid w:val="0"/>
          <w:lang w:eastAsia="en-US"/>
        </w:rPr>
        <w:t>Article 330</w:t>
      </w:r>
      <w:r>
        <w:rPr>
          <w:snapToGrid w:val="0"/>
          <w:lang w:eastAsia="en-US"/>
        </w:rPr>
        <w:br/>
        <w:t>Grounds for setting aside judgments on supervisory review</w:t>
      </w:r>
    </w:p>
    <w:p w:rsidR="001D1BA9" w:rsidRDefault="001D1BA9">
      <w:pPr>
        <w:pStyle w:val="JuQuot"/>
        <w:rPr>
          <w:snapToGrid w:val="0"/>
          <w:lang w:eastAsia="en-US"/>
        </w:rPr>
      </w:pPr>
      <w:r>
        <w:rPr>
          <w:snapToGrid w:val="0"/>
          <w:lang w:eastAsia="en-US"/>
        </w:rPr>
        <w:t>“...</w:t>
      </w:r>
    </w:p>
    <w:p w:rsidR="001D1BA9" w:rsidRDefault="001D1BA9">
      <w:pPr>
        <w:pStyle w:val="JuQuotSub"/>
        <w:rPr>
          <w:snapToGrid w:val="0"/>
          <w:lang w:eastAsia="en-US"/>
        </w:rPr>
      </w:pPr>
      <w:r>
        <w:rPr>
          <w:snapToGrid w:val="0"/>
          <w:lang w:eastAsia="en-US"/>
        </w:rPr>
        <w:t>(1)  wrongful application or interpretation of substantive laws;</w:t>
      </w:r>
    </w:p>
    <w:p w:rsidR="001D1BA9" w:rsidRDefault="001D1BA9">
      <w:pPr>
        <w:pStyle w:val="JuQuotSub"/>
        <w:rPr>
          <w:snapToGrid w:val="0"/>
          <w:lang w:eastAsia="en-US"/>
        </w:rPr>
      </w:pPr>
      <w:r>
        <w:rPr>
          <w:snapToGrid w:val="0"/>
          <w:lang w:eastAsia="en-US"/>
        </w:rPr>
        <w:t xml:space="preserve">(2)  significant breach of procedural rules which led to </w:t>
      </w:r>
      <w:r w:rsidR="002B669F">
        <w:rPr>
          <w:snapToGrid w:val="0"/>
          <w:lang w:eastAsia="en-US"/>
        </w:rPr>
        <w:t xml:space="preserve">the </w:t>
      </w:r>
      <w:r>
        <w:rPr>
          <w:snapToGrid w:val="0"/>
          <w:lang w:eastAsia="en-US"/>
        </w:rPr>
        <w:t xml:space="preserve">delivery of </w:t>
      </w:r>
      <w:r w:rsidR="002B669F">
        <w:rPr>
          <w:snapToGrid w:val="0"/>
          <w:lang w:eastAsia="en-US"/>
        </w:rPr>
        <w:t xml:space="preserve">an </w:t>
      </w:r>
      <w:r>
        <w:rPr>
          <w:snapToGrid w:val="0"/>
          <w:lang w:eastAsia="en-US"/>
        </w:rPr>
        <w:t xml:space="preserve">unlawful judgment, decision or ruling </w:t>
      </w:r>
      <w:r w:rsidR="00306195">
        <w:rPr>
          <w:snapToGrid w:val="0"/>
          <w:lang w:eastAsia="en-US"/>
        </w:rPr>
        <w:t>...</w:t>
      </w:r>
      <w:r>
        <w:rPr>
          <w:snapToGrid w:val="0"/>
          <w:lang w:eastAsia="en-US"/>
        </w:rPr>
        <w:t>”</w:t>
      </w:r>
    </w:p>
    <w:p w:rsidR="001D1BA9" w:rsidRDefault="001D1BA9">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9A67BC">
        <w:rPr>
          <w:noProof/>
          <w:snapToGrid w:val="0"/>
          <w:lang w:eastAsia="en-US"/>
        </w:rPr>
        <w:t>42</w:t>
      </w:r>
      <w:r>
        <w:rPr>
          <w:snapToGrid w:val="0"/>
          <w:lang w:eastAsia="en-US"/>
        </w:rPr>
        <w:fldChar w:fldCharType="end"/>
      </w:r>
      <w:r>
        <w:rPr>
          <w:snapToGrid w:val="0"/>
          <w:lang w:eastAsia="en-US"/>
        </w:rPr>
        <w:t>.  There was no time-limit for lodging an application for supervisory review, and, in principle, such applications could be lodged at any time after a judgment had become final.</w:t>
      </w:r>
    </w:p>
    <w:p w:rsidR="001D1BA9" w:rsidRDefault="001D1BA9">
      <w:pPr>
        <w:pStyle w:val="JuHHead"/>
        <w:outlineLvl w:val="0"/>
      </w:pPr>
      <w:r>
        <w:t>THE LAW</w:t>
      </w:r>
    </w:p>
    <w:p w:rsidR="001D1BA9" w:rsidRDefault="001D1BA9">
      <w:pPr>
        <w:pStyle w:val="JuHIRoman"/>
        <w:keepNext/>
        <w:outlineLvl w:val="0"/>
      </w:pPr>
      <w:r>
        <w:t>I.  ALLEGED VIOLATION OF ARTICLE 6 § 1 OF THE CONVENTION</w:t>
      </w:r>
    </w:p>
    <w:p w:rsidR="001D1BA9" w:rsidRDefault="001D1BA9">
      <w:pPr>
        <w:pStyle w:val="JuPara"/>
      </w:pPr>
      <w:r>
        <w:fldChar w:fldCharType="begin"/>
      </w:r>
      <w:r>
        <w:instrText xml:space="preserve"> SEQ level0 \*arabic </w:instrText>
      </w:r>
      <w:r>
        <w:fldChar w:fldCharType="separate"/>
      </w:r>
      <w:r w:rsidR="009A67BC">
        <w:rPr>
          <w:noProof/>
        </w:rPr>
        <w:t>43</w:t>
      </w:r>
      <w:r>
        <w:fldChar w:fldCharType="end"/>
      </w:r>
      <w:r>
        <w:t xml:space="preserve">.  The applicant complained that the decision of the Presidium of the Belgorod Regional Court of 19 March 1999, which set aside a final judgment in her favour, had violated Article 6 § 1 of the Convention. She also complained under the same Article that the proceedings before the Presidium of the </w:t>
      </w:r>
      <w:smartTag w:uri="urn:schemas-microsoft-com:office:smarttags" w:element="Street">
        <w:smartTag w:uri="urn:schemas-microsoft-com:office:smarttags" w:element="address">
          <w:r>
            <w:t>Belgorod Regional Court</w:t>
          </w:r>
        </w:smartTag>
      </w:smartTag>
      <w:r>
        <w:t xml:space="preserve"> had been unfair in that she had not been informed that the application for supervisory review had been lodged or invited to attend the hearing. She had not learnt of the Presidium</w:t>
      </w:r>
      <w:r w:rsidR="00073595">
        <w:t>'</w:t>
      </w:r>
      <w:r>
        <w:t>s decision until five months after it had been given.</w:t>
      </w:r>
    </w:p>
    <w:p w:rsidR="001D1BA9" w:rsidRDefault="001D1BA9">
      <w:pPr>
        <w:pStyle w:val="JuPara"/>
      </w:pPr>
      <w:r>
        <w:t>The relevant part of Article 6 § 1 reads as follows:</w:t>
      </w:r>
    </w:p>
    <w:p w:rsidR="001D1BA9" w:rsidRDefault="001D1BA9">
      <w:pPr>
        <w:pStyle w:val="JuQuot"/>
      </w:pPr>
      <w:r>
        <w:t>“In the determination of his civil rights and obligations or of any criminal charge against him, everyone is entitled to a fair and public hearing within a reasonable time by an independent and impartial tribunal established by law</w:t>
      </w:r>
      <w:r w:rsidR="002B669F">
        <w:t>.</w:t>
      </w:r>
      <w:r>
        <w:t xml:space="preserve"> ...”</w:t>
      </w:r>
    </w:p>
    <w:p w:rsidR="001D1BA9" w:rsidRDefault="001D1BA9">
      <w:pPr>
        <w:pStyle w:val="JuHA"/>
        <w:keepNext/>
        <w:outlineLvl w:val="0"/>
      </w:pPr>
      <w:r>
        <w:t>A.  Whether the applicant is still a “victim”</w:t>
      </w:r>
    </w:p>
    <w:p w:rsidR="001D1BA9" w:rsidRDefault="001D1BA9">
      <w:pPr>
        <w:pStyle w:val="JuPara"/>
      </w:pPr>
      <w:r>
        <w:fldChar w:fldCharType="begin"/>
      </w:r>
      <w:r>
        <w:instrText xml:space="preserve"> SEQ level0 \*arabic </w:instrText>
      </w:r>
      <w:r>
        <w:fldChar w:fldCharType="separate"/>
      </w:r>
      <w:r w:rsidR="009A67BC">
        <w:rPr>
          <w:noProof/>
        </w:rPr>
        <w:t>44</w:t>
      </w:r>
      <w:r>
        <w:fldChar w:fldCharType="end"/>
      </w:r>
      <w:r>
        <w:t xml:space="preserve">.  When declaring the case admissible, the Court considered the question whether the applicant could claim to be a victim of the alleged breaches of the Convention. As a number of events have taken place since then – in particular, the judgment of the Novooskolskiy District Court of </w:t>
      </w:r>
      <w:smartTag w:uri="urn:schemas-microsoft-com:office:smarttags" w:element="date">
        <w:smartTagPr>
          <w:attr w:name="Month" w:val="6"/>
          <w:attr w:name="Day" w:val="10"/>
          <w:attr w:name="Year" w:val="2002"/>
        </w:smartTagPr>
        <w:r>
          <w:t>10 June 2002</w:t>
        </w:r>
      </w:smartTag>
      <w:r>
        <w:t xml:space="preserve"> and the acquisition of the flat – the Court must return to this question.</w:t>
      </w:r>
    </w:p>
    <w:p w:rsidR="001D1BA9" w:rsidRDefault="001D1BA9">
      <w:pPr>
        <w:pStyle w:val="JuPara"/>
      </w:pPr>
      <w:r>
        <w:fldChar w:fldCharType="begin"/>
      </w:r>
      <w:r>
        <w:instrText xml:space="preserve"> SEQ level0 \*arabic </w:instrText>
      </w:r>
      <w:r>
        <w:fldChar w:fldCharType="separate"/>
      </w:r>
      <w:r w:rsidR="009A67BC">
        <w:rPr>
          <w:noProof/>
        </w:rPr>
        <w:t>45</w:t>
      </w:r>
      <w:r>
        <w:fldChar w:fldCharType="end"/>
      </w:r>
      <w:r>
        <w:t>.  It appears from the chronology of events set out above that the State has made efforts to remedy the applicant</w:t>
      </w:r>
      <w:r w:rsidR="00073595">
        <w:t>'</w:t>
      </w:r>
      <w:r>
        <w:t>s situation, first by delivering a judgment requiring her savings to be restored to their real value, and subsequently, by purchasing a flat</w:t>
      </w:r>
      <w:r w:rsidR="002B669F">
        <w:t xml:space="preserve"> for her</w:t>
      </w:r>
      <w:r>
        <w:t>.</w:t>
      </w:r>
    </w:p>
    <w:p w:rsidR="001D1BA9" w:rsidRDefault="001D1BA9">
      <w:pPr>
        <w:pStyle w:val="JuPara"/>
      </w:pPr>
      <w:r>
        <w:fldChar w:fldCharType="begin"/>
      </w:r>
      <w:r>
        <w:instrText xml:space="preserve"> SEQ level0 \*arabic </w:instrText>
      </w:r>
      <w:r>
        <w:fldChar w:fldCharType="separate"/>
      </w:r>
      <w:r w:rsidR="009A67BC">
        <w:rPr>
          <w:noProof/>
        </w:rPr>
        <w:t>46</w:t>
      </w:r>
      <w:r>
        <w:fldChar w:fldCharType="end"/>
      </w:r>
      <w:r>
        <w:t>.  However, it is not the State</w:t>
      </w:r>
      <w:r w:rsidR="00073595">
        <w:t>'</w:t>
      </w:r>
      <w:r>
        <w:t>s failure to reinstate the applicant</w:t>
      </w:r>
      <w:r w:rsidR="00073595">
        <w:t>'</w:t>
      </w:r>
      <w:r>
        <w:t xml:space="preserve">s savings which lies at the heart of the complaint under Article 6 (see </w:t>
      </w:r>
      <w:r>
        <w:rPr>
          <w:i/>
        </w:rPr>
        <w:t>X v. Germany</w:t>
      </w:r>
      <w:r>
        <w:t xml:space="preserve">, no. 8724/79, Commission decision of 6 March 1980, Decisions and Reports 20, p. 226; </w:t>
      </w:r>
      <w:r>
        <w:rPr>
          <w:i/>
        </w:rPr>
        <w:t>Rudzinska v. Poland</w:t>
      </w:r>
      <w:r>
        <w:t xml:space="preserve"> (dec.), no. 45223/99, ECHR 1999-VI; </w:t>
      </w:r>
      <w:r>
        <w:rPr>
          <w:i/>
        </w:rPr>
        <w:t>Gayduk and Others v. Ukraine</w:t>
      </w:r>
      <w:r>
        <w:t xml:space="preserve"> (dec.), nos. 45526/99</w:t>
      </w:r>
      <w:r w:rsidR="006A752B">
        <w:t xml:space="preserve"> et seq.</w:t>
      </w:r>
      <w:r>
        <w:t xml:space="preserve">, ECHR 2002-VI; or, as a more recent authority, </w:t>
      </w:r>
      <w:r>
        <w:rPr>
          <w:i/>
        </w:rPr>
        <w:t>Appolonov v. Russia</w:t>
      </w:r>
      <w:r w:rsidR="00095DED">
        <w:t xml:space="preserve"> (dec.), no. 67578/01, 29 </w:t>
      </w:r>
      <w:r>
        <w:t xml:space="preserve">August 2002). Under this provision the Court is instead concerned </w:t>
      </w:r>
      <w:r w:rsidR="002B669F">
        <w:t xml:space="preserve">with the effect the supervisory </w:t>
      </w:r>
      <w:r>
        <w:t>review procedure had on the applicant</w:t>
      </w:r>
      <w:r w:rsidR="00073595">
        <w:t>'</w:t>
      </w:r>
      <w:r>
        <w:t>s rights under the Convention.</w:t>
      </w:r>
    </w:p>
    <w:p w:rsidR="001D1BA9" w:rsidRDefault="001D1BA9">
      <w:pPr>
        <w:pStyle w:val="JuPara"/>
      </w:pPr>
      <w:r>
        <w:fldChar w:fldCharType="begin"/>
      </w:r>
      <w:r>
        <w:instrText xml:space="preserve"> SEQ level0 \*arabic </w:instrText>
      </w:r>
      <w:r>
        <w:fldChar w:fldCharType="separate"/>
      </w:r>
      <w:r w:rsidR="009A67BC">
        <w:rPr>
          <w:noProof/>
        </w:rPr>
        <w:t>47</w:t>
      </w:r>
      <w:r>
        <w:fldChar w:fldCharType="end"/>
      </w:r>
      <w:r>
        <w:t xml:space="preserve">.  In this connection, the Court reiterates that a decision or measure favourable to the applicant is not in principle sufficient to deprive him or her of his or her status as a “victim” unless the national authorities have acknowledged, either expressly or in substance, and then afforded redress for, the breach of the Convention (see </w:t>
      </w:r>
      <w:r>
        <w:rPr>
          <w:i/>
        </w:rPr>
        <w:t>Amuur v. France</w:t>
      </w:r>
      <w:r>
        <w:t>, judgment of 25 June 199</w:t>
      </w:r>
      <w:r w:rsidR="006A752B">
        <w:t>6</w:t>
      </w:r>
      <w:r>
        <w:t xml:space="preserve">, </w:t>
      </w:r>
      <w:r>
        <w:rPr>
          <w:i/>
        </w:rPr>
        <w:t>Reports of Judgments and Decisions</w:t>
      </w:r>
      <w:r>
        <w:t xml:space="preserve"> 1996-III, p. 846, § 36</w:t>
      </w:r>
      <w:r w:rsidR="002B669F">
        <w:t>,</w:t>
      </w:r>
      <w:r>
        <w:t xml:space="preserve"> and </w:t>
      </w:r>
      <w:r>
        <w:rPr>
          <w:i/>
        </w:rPr>
        <w:t>Dalban v. Romania</w:t>
      </w:r>
      <w:r w:rsidR="006A752B">
        <w:t xml:space="preserve"> [GC]</w:t>
      </w:r>
      <w:r>
        <w:t xml:space="preserve">, </w:t>
      </w:r>
      <w:r w:rsidR="006A752B">
        <w:t xml:space="preserve">no. 28114/95, § 44, ECHR </w:t>
      </w:r>
      <w:r>
        <w:t>1999-VI).</w:t>
      </w:r>
    </w:p>
    <w:p w:rsidR="001D1BA9" w:rsidRDefault="001D1BA9">
      <w:pPr>
        <w:pStyle w:val="JuPara"/>
      </w:pPr>
      <w:r>
        <w:fldChar w:fldCharType="begin"/>
      </w:r>
      <w:r>
        <w:instrText xml:space="preserve"> SEQ level0 \*arabic </w:instrText>
      </w:r>
      <w:r>
        <w:fldChar w:fldCharType="separate"/>
      </w:r>
      <w:r w:rsidR="009A67BC">
        <w:rPr>
          <w:noProof/>
        </w:rPr>
        <w:t>48</w:t>
      </w:r>
      <w:r>
        <w:fldChar w:fldCharType="end"/>
      </w:r>
      <w:r>
        <w:t>.  It is true that the applicant</w:t>
      </w:r>
      <w:r w:rsidR="00073595">
        <w:t>'</w:t>
      </w:r>
      <w:r>
        <w:t>s claim to have her savings revalued was ultimately granted. However, that does not mean that the State was mindful of the breach of the applicant</w:t>
      </w:r>
      <w:r w:rsidR="00073595">
        <w:t>'</w:t>
      </w:r>
      <w:r>
        <w:t xml:space="preserve">s right to benefit from the judgment of </w:t>
      </w:r>
      <w:smartTag w:uri="urn:schemas-microsoft-com:office:smarttags" w:element="date">
        <w:smartTagPr>
          <w:attr w:name="Month" w:val="6"/>
          <w:attr w:name="Day" w:val="8"/>
          <w:attr w:name="Year" w:val="1998"/>
        </w:smartTagPr>
        <w:r>
          <w:t>8 June 1998</w:t>
        </w:r>
      </w:smartTag>
      <w:r>
        <w:t xml:space="preserve"> as soon as </w:t>
      </w:r>
      <w:r w:rsidR="002B669F">
        <w:t>it</w:t>
      </w:r>
      <w:r>
        <w:t xml:space="preserve"> became enforceable.</w:t>
      </w:r>
    </w:p>
    <w:p w:rsidR="001D1BA9" w:rsidRDefault="001D1BA9">
      <w:pPr>
        <w:pStyle w:val="JuPara"/>
      </w:pPr>
      <w:r>
        <w:fldChar w:fldCharType="begin"/>
      </w:r>
      <w:r>
        <w:instrText xml:space="preserve"> SEQ level0 \*arabic </w:instrText>
      </w:r>
      <w:r>
        <w:fldChar w:fldCharType="separate"/>
      </w:r>
      <w:r w:rsidR="009A67BC">
        <w:rPr>
          <w:noProof/>
        </w:rPr>
        <w:t>49</w:t>
      </w:r>
      <w:r>
        <w:fldChar w:fldCharType="end"/>
      </w:r>
      <w:r>
        <w:t>.  In other words, the fact that the applicant</w:t>
      </w:r>
      <w:r w:rsidR="00073595">
        <w:t>'</w:t>
      </w:r>
      <w:r>
        <w:t xml:space="preserve">s claims were ultimately satisfied does not by itself efface the effects of the legal uncertainty which she had to endure for three years after the final judgment of 8 June 1998 was quashed (see </w:t>
      </w:r>
      <w:r>
        <w:rPr>
          <w:i/>
        </w:rPr>
        <w:t>Brumărescu v. Romania</w:t>
      </w:r>
      <w:r w:rsidR="006A752B">
        <w:t xml:space="preserve"> [GC]</w:t>
      </w:r>
      <w:r>
        <w:t xml:space="preserve">, </w:t>
      </w:r>
      <w:r w:rsidR="006A752B">
        <w:t xml:space="preserve">no. 28342/95, § 50, ECHR </w:t>
      </w:r>
      <w:r>
        <w:t>1999-VII).</w:t>
      </w:r>
    </w:p>
    <w:p w:rsidR="001D1BA9" w:rsidRDefault="001D1BA9">
      <w:pPr>
        <w:pStyle w:val="JuPara"/>
      </w:pPr>
      <w:r>
        <w:fldChar w:fldCharType="begin"/>
      </w:r>
      <w:r>
        <w:instrText xml:space="preserve"> SEQ level0 \*arabic </w:instrText>
      </w:r>
      <w:r>
        <w:fldChar w:fldCharType="separate"/>
      </w:r>
      <w:r w:rsidR="009A67BC">
        <w:rPr>
          <w:noProof/>
        </w:rPr>
        <w:t>50</w:t>
      </w:r>
      <w:r>
        <w:fldChar w:fldCharType="end"/>
      </w:r>
      <w:r>
        <w:t xml:space="preserve">.  In these circumstances, the Court considers that the applicant continues to have standing as a “victim” to complain that the decision of the Presidium of the Belgorod </w:t>
      </w:r>
      <w:r w:rsidR="006A752B">
        <w:t xml:space="preserve">Regional </w:t>
      </w:r>
      <w:r>
        <w:t>Court of 19 March 1999 and the ensuing events violated her rights under Article 6 § 1.</w:t>
      </w:r>
    </w:p>
    <w:p w:rsidR="001D1BA9" w:rsidRDefault="001D1BA9">
      <w:pPr>
        <w:pStyle w:val="JuHA"/>
        <w:keepNext/>
        <w:outlineLvl w:val="0"/>
      </w:pPr>
      <w:r>
        <w:t>B.  Supervisory</w:t>
      </w:r>
      <w:r w:rsidR="002B669F">
        <w:t xml:space="preserve"> </w:t>
      </w:r>
      <w:r>
        <w:t>review procedure: substantive issues</w:t>
      </w:r>
    </w:p>
    <w:p w:rsidR="001D1BA9" w:rsidRDefault="001D1BA9">
      <w:pPr>
        <w:pStyle w:val="JuPara"/>
      </w:pPr>
      <w:r>
        <w:fldChar w:fldCharType="begin"/>
      </w:r>
      <w:r>
        <w:instrText xml:space="preserve"> SEQ level0 \*arabic </w:instrText>
      </w:r>
      <w:r>
        <w:fldChar w:fldCharType="separate"/>
      </w:r>
      <w:r w:rsidR="009A67BC">
        <w:rPr>
          <w:noProof/>
        </w:rPr>
        <w:t>51</w:t>
      </w:r>
      <w:r>
        <w:fldChar w:fldCharType="end"/>
      </w:r>
      <w:r>
        <w:t>.  With regard to the substance of the complaint, the Court reiterates that the right to a fair hearing before a tribunal as guaranteed by Article</w:t>
      </w:r>
      <w:r w:rsidR="006A752B">
        <w:t xml:space="preserve"> </w:t>
      </w:r>
      <w:r>
        <w:t>6 § 1 of the Convention must be interpreted in the light of the Pr</w:t>
      </w:r>
      <w:r w:rsidR="002B669F">
        <w:t>eamble to the Convention, which</w:t>
      </w:r>
      <w:r>
        <w:t xml:space="preserve">, in its relevant part, </w:t>
      </w:r>
      <w:r w:rsidR="002B669F">
        <w:t xml:space="preserve">declares </w:t>
      </w:r>
      <w:r>
        <w:t xml:space="preserve">the rule of law to be part of the common heritage of the Contracting States. One of the fundamental aspects of the rule of law is the principle of legal certainty, which requires, among other things, that where the courts have finally determined an issue, their ruling should not be called into question (see </w:t>
      </w:r>
      <w:r>
        <w:rPr>
          <w:i/>
        </w:rPr>
        <w:t>Brumărescu</w:t>
      </w:r>
      <w:r>
        <w:t>, cited above, § 61).</w:t>
      </w:r>
    </w:p>
    <w:p w:rsidR="001D1BA9" w:rsidRDefault="001D1BA9">
      <w:pPr>
        <w:pStyle w:val="JuPara"/>
      </w:pPr>
      <w:r>
        <w:fldChar w:fldCharType="begin"/>
      </w:r>
      <w:r>
        <w:instrText xml:space="preserve"> SEQ level0 \*arabic </w:instrText>
      </w:r>
      <w:r>
        <w:fldChar w:fldCharType="separate"/>
      </w:r>
      <w:r w:rsidR="009A67BC">
        <w:rPr>
          <w:noProof/>
        </w:rPr>
        <w:t>52</w:t>
      </w:r>
      <w:r>
        <w:fldChar w:fldCharType="end"/>
      </w:r>
      <w:r>
        <w:t xml:space="preserve">.  Legal certainty presupposes respect </w:t>
      </w:r>
      <w:r w:rsidR="002B669F">
        <w:t>for</w:t>
      </w:r>
      <w:r>
        <w:t xml:space="preserve"> the principle of </w:t>
      </w:r>
      <w:r>
        <w:rPr>
          <w:i/>
        </w:rPr>
        <w:t>res judicata</w:t>
      </w:r>
      <w:r>
        <w:t xml:space="preserve"> (</w:t>
      </w:r>
      <w:r w:rsidR="006A752B">
        <w:t>ibid.</w:t>
      </w:r>
      <w:r>
        <w:t xml:space="preserve">, § 62), that is the principle of </w:t>
      </w:r>
      <w:r w:rsidR="002B669F">
        <w:t xml:space="preserve">the </w:t>
      </w:r>
      <w:r>
        <w:t xml:space="preserve">finality of judgments. This principle </w:t>
      </w:r>
      <w:r w:rsidR="00106A9D">
        <w:t>underlines</w:t>
      </w:r>
      <w:r>
        <w:t xml:space="preserve"> that no party is entitled to seek a review of a final and binding judgment merely for the purpose of </w:t>
      </w:r>
      <w:r w:rsidR="002B669F">
        <w:t xml:space="preserve">obtaining </w:t>
      </w:r>
      <w:r>
        <w:t xml:space="preserve">a rehearing and a fresh </w:t>
      </w:r>
      <w:r w:rsidR="002B669F">
        <w:t>determination</w:t>
      </w:r>
      <w:r>
        <w:t xml:space="preserve"> of the case. Higher courts</w:t>
      </w:r>
      <w:r w:rsidR="00073595">
        <w:t>'</w:t>
      </w:r>
      <w:r>
        <w:t xml:space="preserve"> power of review should be exercised </w:t>
      </w:r>
      <w:r w:rsidR="006A752B">
        <w:t>to</w:t>
      </w:r>
      <w:r>
        <w:t xml:space="preserve"> correct judicial </w:t>
      </w:r>
      <w:r w:rsidR="006A752B">
        <w:t>errors and</w:t>
      </w:r>
      <w:r>
        <w:t xml:space="preserve"> miscarriages of justice, </w:t>
      </w:r>
      <w:r w:rsidR="006A752B">
        <w:t xml:space="preserve">but </w:t>
      </w:r>
      <w:r>
        <w:t xml:space="preserve">not to </w:t>
      </w:r>
      <w:r w:rsidR="006A752B">
        <w:t>carry out a fresh examination</w:t>
      </w:r>
      <w:r>
        <w:t xml:space="preserve">. The review </w:t>
      </w:r>
      <w:r w:rsidR="002B669F">
        <w:t xml:space="preserve">should </w:t>
      </w:r>
      <w:r>
        <w:t xml:space="preserve">not be treated as an appeal in disguise, and the mere possibility of </w:t>
      </w:r>
      <w:r w:rsidR="002B669F">
        <w:t xml:space="preserve">there being </w:t>
      </w:r>
      <w:r>
        <w:t xml:space="preserve">two views on the subject is not a ground for re-examination. </w:t>
      </w:r>
      <w:r w:rsidR="002B669F">
        <w:t>A d</w:t>
      </w:r>
      <w:r>
        <w:t xml:space="preserve">eparture from that principle </w:t>
      </w:r>
      <w:r w:rsidR="002B669F">
        <w:t>is</w:t>
      </w:r>
      <w:r>
        <w:t xml:space="preserve"> justified only when made necessary by circumstances of a substantial and compelling character.</w:t>
      </w:r>
    </w:p>
    <w:p w:rsidR="001D1BA9" w:rsidRDefault="001D1BA9">
      <w:pPr>
        <w:pStyle w:val="JuPara"/>
      </w:pPr>
      <w:r>
        <w:fldChar w:fldCharType="begin"/>
      </w:r>
      <w:r>
        <w:instrText xml:space="preserve"> SEQ level0 \*arabic </w:instrText>
      </w:r>
      <w:r>
        <w:fldChar w:fldCharType="separate"/>
      </w:r>
      <w:r w:rsidR="009A67BC">
        <w:rPr>
          <w:noProof/>
        </w:rPr>
        <w:t>53</w:t>
      </w:r>
      <w:r>
        <w:fldChar w:fldCharType="end"/>
      </w:r>
      <w:r>
        <w:t>.  In the applicant</w:t>
      </w:r>
      <w:r w:rsidR="00073595">
        <w:t>'</w:t>
      </w:r>
      <w:r>
        <w:t xml:space="preserve">s case, however, the judgment of </w:t>
      </w:r>
      <w:smartTag w:uri="urn:schemas-microsoft-com:office:smarttags" w:element="date">
        <w:smartTagPr>
          <w:attr w:name="Month" w:val="6"/>
          <w:attr w:name="Day" w:val="8"/>
          <w:attr w:name="Year" w:val="1998"/>
        </w:smartTagPr>
        <w:r>
          <w:t>8 June 1998</w:t>
        </w:r>
      </w:smartTag>
      <w:r>
        <w:t xml:space="preserve"> was overturned on </w:t>
      </w:r>
      <w:smartTag w:uri="urn:schemas-microsoft-com:office:smarttags" w:element="date">
        <w:smartTagPr>
          <w:attr w:name="Month" w:val="3"/>
          <w:attr w:name="Day" w:val="19"/>
          <w:attr w:name="Year" w:val="1999"/>
        </w:smartTagPr>
        <w:r>
          <w:t>19 March 1999</w:t>
        </w:r>
      </w:smartTag>
      <w:r>
        <w:t xml:space="preserve"> by the Presidium of the </w:t>
      </w:r>
      <w:smartTag w:uri="urn:schemas-microsoft-com:office:smarttags" w:element="Street">
        <w:smartTag w:uri="urn:schemas-microsoft-com:office:smarttags" w:element="address">
          <w:r>
            <w:t>Belgorod Regional Court</w:t>
          </w:r>
        </w:smartTag>
      </w:smartTag>
      <w:r>
        <w:t xml:space="preserve"> on the ground that Judge Lebedinskaya of the Novooskolskiy District Court had misinterpreted relevant laws. The Presidium dismissed the applicant</w:t>
      </w:r>
      <w:r w:rsidR="00073595">
        <w:t>'</w:t>
      </w:r>
      <w:r>
        <w:t>s claims and closed the matter, thus setting at naught an entire judicial process which had ended in a decision that was legally binding under Article 208 of the Code of Civil Procedure and in respect of which e</w:t>
      </w:r>
      <w:r w:rsidR="002B669F">
        <w:t>nforcement</w:t>
      </w:r>
      <w:r>
        <w:t xml:space="preserve"> proceedings had commenced.</w:t>
      </w:r>
    </w:p>
    <w:p w:rsidR="001D1BA9" w:rsidRDefault="001D1BA9">
      <w:pPr>
        <w:pStyle w:val="JuPara"/>
      </w:pPr>
      <w:r>
        <w:fldChar w:fldCharType="begin"/>
      </w:r>
      <w:r>
        <w:instrText xml:space="preserve"> SEQ level0 \*arabic </w:instrText>
      </w:r>
      <w:r>
        <w:fldChar w:fldCharType="separate"/>
      </w:r>
      <w:r w:rsidR="009A67BC">
        <w:rPr>
          <w:noProof/>
        </w:rPr>
        <w:t>54</w:t>
      </w:r>
      <w:r>
        <w:fldChar w:fldCharType="end"/>
      </w:r>
      <w:r>
        <w:t xml:space="preserve">.  The Court notes that the supervisory review of the judgment of </w:t>
      </w:r>
      <w:smartTag w:uri="urn:schemas-microsoft-com:office:smarttags" w:element="date">
        <w:smartTagPr>
          <w:attr w:name="Month" w:val="6"/>
          <w:attr w:name="Day" w:val="8"/>
          <w:attr w:name="Year" w:val="1998"/>
        </w:smartTagPr>
        <w:r>
          <w:t>8 June 1998</w:t>
        </w:r>
      </w:smartTag>
      <w:r>
        <w:t xml:space="preserve"> was set in motion by the President of the </w:t>
      </w:r>
      <w:smartTag w:uri="urn:schemas-microsoft-com:office:smarttags" w:element="Street">
        <w:smartTag w:uri="urn:schemas-microsoft-com:office:smarttags" w:element="address">
          <w:r>
            <w:t>Belgorod Regional Court</w:t>
          </w:r>
        </w:smartTag>
      </w:smartTag>
      <w:r w:rsidR="006A752B">
        <w:t xml:space="preserve"> </w:t>
      </w:r>
      <w:r>
        <w:t xml:space="preserve">– who was not </w:t>
      </w:r>
      <w:r w:rsidR="002B669F">
        <w:t xml:space="preserve">a </w:t>
      </w:r>
      <w:r>
        <w:t xml:space="preserve">party to the proceedings – in whom such power was vested by Articles 319 and 320 of the Code of Civil Procedure. As with the situation under Romanian law examined in </w:t>
      </w:r>
      <w:r>
        <w:rPr>
          <w:i/>
        </w:rPr>
        <w:t>Brumărescu</w:t>
      </w:r>
      <w:r>
        <w:t xml:space="preserve">, </w:t>
      </w:r>
      <w:r w:rsidR="009A67BC">
        <w:t xml:space="preserve">cited above, </w:t>
      </w:r>
      <w:r>
        <w:t>the exercise of this power by the President was not subject to any time-limit, so that judgments were liable to challenge indefinitely.</w:t>
      </w:r>
    </w:p>
    <w:p w:rsidR="001D1BA9" w:rsidRDefault="001D1BA9">
      <w:pPr>
        <w:pStyle w:val="JuPara"/>
      </w:pPr>
      <w:r>
        <w:fldChar w:fldCharType="begin"/>
      </w:r>
      <w:r>
        <w:instrText xml:space="preserve"> SEQ level0 \*arabic </w:instrText>
      </w:r>
      <w:r>
        <w:fldChar w:fldCharType="separate"/>
      </w:r>
      <w:r w:rsidR="009A67BC">
        <w:rPr>
          <w:noProof/>
        </w:rPr>
        <w:t>55</w:t>
      </w:r>
      <w:r>
        <w:fldChar w:fldCharType="end"/>
      </w:r>
      <w:r>
        <w:t xml:space="preserve">.  The Court reiterates that Article 6 § 1 secures to everyone the right to have any claim relating to his civil rights and obligations brought before a court or tribunal. In this way it embodies the “right to a court”, of which the right of access, that is the right to institute proceedings before courts in civil matters, constitutes one aspect. However, that right would be illusory if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rsidR="00073595">
        <w:t>'</w:t>
      </w:r>
      <w:r>
        <w:t xml:space="preserve">s domestic legal system allowed a final, binding judicial decision to remain inoperative to the detriment of one party. It would be inconceivable that Article 6 § 1 should describe in detail procedural guarantees afforded to litigants – proceedings that are fair, public and expeditious – without protecting the implementation of judicial decisions; to construe Article 6 as being concerned exclusively with access to a court and the conduct of proceedings would be likely to lead to situations incompatible with the principle of the rule of law which the Contracting States undertook to respect when they ratified the Convention (see </w:t>
      </w:r>
      <w:r>
        <w:rPr>
          <w:i/>
        </w:rPr>
        <w:t>Hornsby</w:t>
      </w:r>
      <w:r w:rsidR="006A752B">
        <w:rPr>
          <w:i/>
        </w:rPr>
        <w:t xml:space="preserve"> </w:t>
      </w:r>
      <w:r>
        <w:rPr>
          <w:i/>
        </w:rPr>
        <w:t>v. Greece</w:t>
      </w:r>
      <w:r>
        <w:t xml:space="preserve">, judgment of 19 March 1997, </w:t>
      </w:r>
      <w:r>
        <w:rPr>
          <w:i/>
        </w:rPr>
        <w:t>Reports</w:t>
      </w:r>
      <w:r>
        <w:t xml:space="preserve"> 1997-II, p</w:t>
      </w:r>
      <w:r w:rsidR="006A752B">
        <w:t>p</w:t>
      </w:r>
      <w:r>
        <w:t>. 510</w:t>
      </w:r>
      <w:r w:rsidR="006A752B">
        <w:t>-11</w:t>
      </w:r>
      <w:r>
        <w:t>, §</w:t>
      </w:r>
      <w:r w:rsidR="006A752B">
        <w:t xml:space="preserve"> </w:t>
      </w:r>
      <w:r>
        <w:t>40).</w:t>
      </w:r>
    </w:p>
    <w:p w:rsidR="001D1BA9" w:rsidRDefault="001D1BA9">
      <w:pPr>
        <w:pStyle w:val="JuPara"/>
      </w:pPr>
      <w:r>
        <w:fldChar w:fldCharType="begin"/>
      </w:r>
      <w:r>
        <w:instrText xml:space="preserve"> SEQ level0 \*arabic </w:instrText>
      </w:r>
      <w:r>
        <w:fldChar w:fldCharType="separate"/>
      </w:r>
      <w:r w:rsidR="009A67BC">
        <w:rPr>
          <w:noProof/>
        </w:rPr>
        <w:t>56</w:t>
      </w:r>
      <w:r>
        <w:fldChar w:fldCharType="end"/>
      </w:r>
      <w:r>
        <w:t xml:space="preserve">.  The Court considers that the right of a litigant to a court would be equally illusory if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rsidR="00073595">
        <w:t>'</w:t>
      </w:r>
      <w:r>
        <w:t>s legal system allowed a judicial decision which had become final and binding to be quashed by a higher court on an application made by a State official.</w:t>
      </w:r>
    </w:p>
    <w:p w:rsidR="001D1BA9" w:rsidRDefault="001D1BA9">
      <w:pPr>
        <w:pStyle w:val="JuPara"/>
      </w:pPr>
      <w:r>
        <w:fldChar w:fldCharType="begin"/>
      </w:r>
      <w:r>
        <w:instrText xml:space="preserve"> SEQ level0 \*arabic </w:instrText>
      </w:r>
      <w:r>
        <w:fldChar w:fldCharType="separate"/>
      </w:r>
      <w:r w:rsidR="009A67BC">
        <w:rPr>
          <w:noProof/>
        </w:rPr>
        <w:t>57</w:t>
      </w:r>
      <w:r>
        <w:fldChar w:fldCharType="end"/>
      </w:r>
      <w:r>
        <w:t>.  By using the supervisory</w:t>
      </w:r>
      <w:r w:rsidR="002B669F">
        <w:t xml:space="preserve"> </w:t>
      </w:r>
      <w:r>
        <w:t>review procedure to set aside the judgment of 8 June 1998</w:t>
      </w:r>
      <w:r w:rsidR="002B669F">
        <w:t>,</w:t>
      </w:r>
      <w:r>
        <w:t xml:space="preserve"> the Presidium of the Belgorod Regional Court infringed the principle of legal certainty and the applicant</w:t>
      </w:r>
      <w:r w:rsidR="00073595">
        <w:t>'</w:t>
      </w:r>
      <w:r>
        <w:t>s “right to a court” under Article 6 § 1 of the Convention.</w:t>
      </w:r>
    </w:p>
    <w:p w:rsidR="001D1BA9" w:rsidRDefault="001D1BA9">
      <w:pPr>
        <w:pStyle w:val="JuPara"/>
      </w:pPr>
      <w:r>
        <w:fldChar w:fldCharType="begin"/>
      </w:r>
      <w:r>
        <w:instrText xml:space="preserve"> SEQ level0 \*arabic </w:instrText>
      </w:r>
      <w:r>
        <w:fldChar w:fldCharType="separate"/>
      </w:r>
      <w:r w:rsidR="009A67BC">
        <w:rPr>
          <w:noProof/>
        </w:rPr>
        <w:t>58</w:t>
      </w:r>
      <w:r>
        <w:fldChar w:fldCharType="end"/>
      </w:r>
      <w:r>
        <w:t>.  There has accordingly been a violation of that Article.</w:t>
      </w:r>
    </w:p>
    <w:p w:rsidR="001D1BA9" w:rsidRDefault="001D1BA9">
      <w:pPr>
        <w:pStyle w:val="JuHA"/>
        <w:outlineLvl w:val="0"/>
      </w:pPr>
      <w:r>
        <w:t>C.  Supervisory</w:t>
      </w:r>
      <w:r w:rsidR="002B669F">
        <w:t xml:space="preserve"> </w:t>
      </w:r>
      <w:r>
        <w:t>review procedure: procedural issues</w:t>
      </w:r>
    </w:p>
    <w:p w:rsidR="001D1BA9" w:rsidRDefault="001D1BA9">
      <w:pPr>
        <w:pStyle w:val="JuPara"/>
      </w:pPr>
      <w:r>
        <w:fldChar w:fldCharType="begin"/>
      </w:r>
      <w:r>
        <w:instrText xml:space="preserve"> SEQ level0 \*arabic </w:instrText>
      </w:r>
      <w:r>
        <w:fldChar w:fldCharType="separate"/>
      </w:r>
      <w:r w:rsidR="009A67BC">
        <w:rPr>
          <w:noProof/>
        </w:rPr>
        <w:t>59</w:t>
      </w:r>
      <w:r>
        <w:fldChar w:fldCharType="end"/>
      </w:r>
      <w:r>
        <w:t>.  With regard to the complaint about the procedural defects of the hearing before the Presidium of the Belgorod Regional Court, the Court finds that</w:t>
      </w:r>
      <w:r w:rsidR="002B669F">
        <w:t>,</w:t>
      </w:r>
      <w:r>
        <w:t xml:space="preserve"> having concluded that there has been an infringement of the applicant</w:t>
      </w:r>
      <w:r w:rsidR="00073595">
        <w:t>'</w:t>
      </w:r>
      <w:r>
        <w:t>s “right to a court” by the very use of the supervisory</w:t>
      </w:r>
      <w:r w:rsidR="002B669F">
        <w:t xml:space="preserve"> </w:t>
      </w:r>
      <w:r>
        <w:t>review procedure, it is not necessary to consider whether the procedural guarantees of Article 6 of the Convention were available in those proceedings.</w:t>
      </w:r>
    </w:p>
    <w:p w:rsidR="001D1BA9" w:rsidRDefault="001D1BA9">
      <w:pPr>
        <w:pStyle w:val="JuHIRoman"/>
        <w:keepNext/>
        <w:outlineLvl w:val="0"/>
      </w:pPr>
      <w:r>
        <w:t>II.</w:t>
      </w:r>
      <w:r>
        <w:tab/>
        <w:t>ALLEGED VIOLATION OF ARTICLE 1 OF PROTOCOL N</w:t>
      </w:r>
      <w:r w:rsidR="006A752B">
        <w:t>o</w:t>
      </w:r>
      <w:r>
        <w:t>.</w:t>
      </w:r>
      <w:r w:rsidR="006A752B">
        <w:t xml:space="preserve"> </w:t>
      </w:r>
      <w:r>
        <w:t>1</w:t>
      </w:r>
    </w:p>
    <w:p w:rsidR="001D1BA9" w:rsidRDefault="001D1BA9">
      <w:pPr>
        <w:pStyle w:val="JuPara"/>
        <w:keepNext/>
      </w:pPr>
      <w:r>
        <w:fldChar w:fldCharType="begin"/>
      </w:r>
      <w:r>
        <w:instrText xml:space="preserve"> SEQ level0 \*arabic </w:instrText>
      </w:r>
      <w:r>
        <w:fldChar w:fldCharType="separate"/>
      </w:r>
      <w:r w:rsidR="009A67BC">
        <w:rPr>
          <w:noProof/>
        </w:rPr>
        <w:t>60</w:t>
      </w:r>
      <w:r>
        <w:fldChar w:fldCharType="end"/>
      </w:r>
      <w:r>
        <w:t>.  The applicant further complained that the State had not revalued her savings and that the supervisory review of her case and the quashing of the judgment in her favour had violated Article 1 of Protocol No. 1. That provision reads as follows:</w:t>
      </w:r>
    </w:p>
    <w:p w:rsidR="001D1BA9" w:rsidRDefault="001D1BA9">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1D1BA9" w:rsidRDefault="001D1BA9">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1D1BA9" w:rsidRDefault="001D1BA9">
      <w:pPr>
        <w:pStyle w:val="JuPara"/>
      </w:pPr>
      <w:r>
        <w:fldChar w:fldCharType="begin"/>
      </w:r>
      <w:r>
        <w:instrText xml:space="preserve"> SEQ level0 \*arabic </w:instrText>
      </w:r>
      <w:r>
        <w:fldChar w:fldCharType="separate"/>
      </w:r>
      <w:r w:rsidR="009A67BC">
        <w:rPr>
          <w:noProof/>
        </w:rPr>
        <w:t>61</w:t>
      </w:r>
      <w:r>
        <w:fldChar w:fldCharType="end"/>
      </w:r>
      <w:r>
        <w:t xml:space="preserve">.  The Court reiterates that a judgment debt may be regarded as a “possession” for the purposes of Article 1 of Protocol No. 1 (see, among other authorities, </w:t>
      </w:r>
      <w:r>
        <w:rPr>
          <w:i/>
        </w:rPr>
        <w:t>Burdov v. Russia</w:t>
      </w:r>
      <w:r>
        <w:t>, no. 59498/00, § 40, ECHR 200</w:t>
      </w:r>
      <w:r w:rsidR="006A752B">
        <w:t>2-III</w:t>
      </w:r>
      <w:r w:rsidR="002B669F">
        <w:t>,</w:t>
      </w:r>
      <w:r>
        <w:t xml:space="preserve"> and the cases cited therein). Furthermore, quashing such a judgment after it has become final and unappealable will constitute an interference with the judgment beneficiary</w:t>
      </w:r>
      <w:r w:rsidR="00073595">
        <w:t>'</w:t>
      </w:r>
      <w:r>
        <w:t xml:space="preserve">s right to the peaceful enjoyment of that possession (see </w:t>
      </w:r>
      <w:r>
        <w:rPr>
          <w:i/>
        </w:rPr>
        <w:t>Brumărescu</w:t>
      </w:r>
      <w:r>
        <w:t>, cited above, § 74).</w:t>
      </w:r>
    </w:p>
    <w:p w:rsidR="001D1BA9" w:rsidRDefault="001D1BA9">
      <w:pPr>
        <w:pStyle w:val="JuPara"/>
      </w:pPr>
      <w:r>
        <w:fldChar w:fldCharType="begin"/>
      </w:r>
      <w:r>
        <w:instrText xml:space="preserve"> SEQ level0 \*arabic </w:instrText>
      </w:r>
      <w:r>
        <w:fldChar w:fldCharType="separate"/>
      </w:r>
      <w:r w:rsidR="009A67BC">
        <w:rPr>
          <w:noProof/>
        </w:rPr>
        <w:t>62</w:t>
      </w:r>
      <w:r>
        <w:fldChar w:fldCharType="end"/>
      </w:r>
      <w:r>
        <w:t xml:space="preserve">.  However, in the judgment of </w:t>
      </w:r>
      <w:smartTag w:uri="urn:schemas-microsoft-com:office:smarttags" w:element="date">
        <w:smartTagPr>
          <w:attr w:name="Month" w:val="6"/>
          <w:attr w:name="Day" w:val="8"/>
          <w:attr w:name="Year" w:val="1998"/>
        </w:smartTagPr>
        <w:r>
          <w:t>8 June 1998</w:t>
        </w:r>
      </w:smartTag>
      <w:r>
        <w:t xml:space="preserve"> the applicant was awarded RUR 133,963.70. After the application for supervisory review was granted, the applicant</w:t>
      </w:r>
      <w:r w:rsidR="00073595">
        <w:t>'</w:t>
      </w:r>
      <w:r>
        <w:t>s case was re-examined four more times, ending with a settlement under which the State provided the applicant with a flat worth RUR 330,000. This amount significantly exceeded (even after inflation is taken into account) the amount she was initially entitled to and was allegedly arbitrarily deprived of as a result of the supervisory</w:t>
      </w:r>
      <w:r w:rsidR="002B669F">
        <w:t xml:space="preserve"> </w:t>
      </w:r>
      <w:r>
        <w:t>review procedure.</w:t>
      </w:r>
    </w:p>
    <w:p w:rsidR="001D1BA9" w:rsidRDefault="001D1BA9">
      <w:pPr>
        <w:pStyle w:val="JuPara"/>
      </w:pPr>
      <w:r>
        <w:fldChar w:fldCharType="begin"/>
      </w:r>
      <w:r>
        <w:instrText xml:space="preserve"> SEQ level0 \*arabic </w:instrText>
      </w:r>
      <w:r>
        <w:fldChar w:fldCharType="separate"/>
      </w:r>
      <w:r w:rsidR="009A67BC">
        <w:rPr>
          <w:noProof/>
        </w:rPr>
        <w:t>63</w:t>
      </w:r>
      <w:r>
        <w:fldChar w:fldCharType="end"/>
      </w:r>
      <w:r>
        <w:t xml:space="preserve">.  Moreover, the Court </w:t>
      </w:r>
      <w:r w:rsidR="002B669F">
        <w:t>observes</w:t>
      </w:r>
      <w:r>
        <w:t xml:space="preserve"> that it has previously examined in detail complaints arising out of the State</w:t>
      </w:r>
      <w:r w:rsidR="00073595">
        <w:t>'</w:t>
      </w:r>
      <w:r>
        <w:t xml:space="preserve">s failure to revalue deposits in the Savings Bank (see </w:t>
      </w:r>
      <w:r>
        <w:rPr>
          <w:i/>
        </w:rPr>
        <w:t>Appolonov</w:t>
      </w:r>
      <w:r>
        <w:t>, cit</w:t>
      </w:r>
      <w:r w:rsidR="002B669F">
        <w:t>ed above) and found that they did</w:t>
      </w:r>
      <w:r>
        <w:t xml:space="preserve"> not disclose any appearance of a violation of Article 1 of Protocol No. 1. In that case the Court pointed out that</w:t>
      </w:r>
      <w:r w:rsidR="002B669F">
        <w:t>,</w:t>
      </w:r>
      <w:r>
        <w:t xml:space="preserve"> although Mr</w:t>
      </w:r>
      <w:r w:rsidR="006A752B">
        <w:t xml:space="preserve"> </w:t>
      </w:r>
      <w:r>
        <w:t>Appolonov</w:t>
      </w:r>
      <w:r w:rsidR="00073595">
        <w:t>'</w:t>
      </w:r>
      <w:r>
        <w:t>s savings decreased due to inflation, Article 1 of Protocol</w:t>
      </w:r>
      <w:r w:rsidR="006A752B">
        <w:t xml:space="preserve"> </w:t>
      </w:r>
      <w:r>
        <w:t xml:space="preserve">No. 1 did not oblige the State to maintain the purchasing power of sums deposited with financial institutions. Nor did the Savings Act, as interpreted by </w:t>
      </w:r>
      <w:r w:rsidR="002B669F">
        <w:t xml:space="preserve">the </w:t>
      </w:r>
      <w:r>
        <w:t>domestic courts, establish for the State an enforceable obligation to compensate for losses caused by inflation. The Court sees no reason to deviate from that finding in the present case.</w:t>
      </w:r>
    </w:p>
    <w:p w:rsidR="001D1BA9" w:rsidRDefault="001D1BA9">
      <w:pPr>
        <w:pStyle w:val="JuPara"/>
      </w:pPr>
      <w:r>
        <w:fldChar w:fldCharType="begin"/>
      </w:r>
      <w:r>
        <w:instrText xml:space="preserve"> SEQ level0 \*arabic </w:instrText>
      </w:r>
      <w:r>
        <w:fldChar w:fldCharType="separate"/>
      </w:r>
      <w:r w:rsidR="009A67BC">
        <w:rPr>
          <w:noProof/>
        </w:rPr>
        <w:t>64</w:t>
      </w:r>
      <w:r>
        <w:fldChar w:fldCharType="end"/>
      </w:r>
      <w:r>
        <w:t>.  It follows that there has been no violation of Article 1 of Protocol</w:t>
      </w:r>
      <w:r w:rsidR="006A752B">
        <w:t xml:space="preserve"> </w:t>
      </w:r>
      <w:r>
        <w:t>No. 1.</w:t>
      </w:r>
    </w:p>
    <w:p w:rsidR="001D1BA9" w:rsidRDefault="001D1BA9">
      <w:pPr>
        <w:pStyle w:val="JuHIRoman"/>
        <w:outlineLvl w:val="0"/>
      </w:pPr>
      <w:r>
        <w:t>III.  APPLICATION OF ARTICLE 41 OF THE CONVENTION</w:t>
      </w:r>
    </w:p>
    <w:p w:rsidR="001D1BA9" w:rsidRDefault="001D1BA9">
      <w:pPr>
        <w:pStyle w:val="JuPara"/>
        <w:keepNext/>
        <w:keepLines/>
      </w:pPr>
      <w:r>
        <w:fldChar w:fldCharType="begin"/>
      </w:r>
      <w:r>
        <w:instrText xml:space="preserve"> SEQ level0 \*arabic </w:instrText>
      </w:r>
      <w:r>
        <w:fldChar w:fldCharType="separate"/>
      </w:r>
      <w:r w:rsidR="009A67BC">
        <w:rPr>
          <w:noProof/>
        </w:rPr>
        <w:t>65</w:t>
      </w:r>
      <w:r>
        <w:fldChar w:fldCharType="end"/>
      </w:r>
      <w:r>
        <w:t>.  Article 41 of the Convention provides:</w:t>
      </w:r>
    </w:p>
    <w:p w:rsidR="001D1BA9" w:rsidRDefault="001D1BA9">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1D1BA9" w:rsidRDefault="001D1BA9">
      <w:pPr>
        <w:pStyle w:val="JuPara"/>
      </w:pPr>
      <w:r>
        <w:fldChar w:fldCharType="begin"/>
      </w:r>
      <w:r>
        <w:instrText xml:space="preserve"> SEQ level0 \*arabic </w:instrText>
      </w:r>
      <w:r>
        <w:fldChar w:fldCharType="separate"/>
      </w:r>
      <w:r w:rsidR="009A67BC">
        <w:rPr>
          <w:noProof/>
        </w:rPr>
        <w:t>66</w:t>
      </w:r>
      <w:r>
        <w:fldChar w:fldCharType="end"/>
      </w:r>
      <w:r>
        <w:t>.  The Court points out that under Rule 60 of the Rules of Court any claim for just satisfaction must be itemised and submitted in writing together with the relevant supporting documents or vouchers, “failing which the Chamber may reject the claim in whole or in part”.</w:t>
      </w:r>
    </w:p>
    <w:p w:rsidR="001D1BA9" w:rsidRDefault="001D1BA9">
      <w:pPr>
        <w:pStyle w:val="JuPara"/>
      </w:pPr>
      <w:r>
        <w:fldChar w:fldCharType="begin"/>
      </w:r>
      <w:r>
        <w:instrText xml:space="preserve"> SEQ level0 \*arabic </w:instrText>
      </w:r>
      <w:r>
        <w:fldChar w:fldCharType="separate"/>
      </w:r>
      <w:r w:rsidR="009A67BC">
        <w:rPr>
          <w:noProof/>
        </w:rPr>
        <w:t>67</w:t>
      </w:r>
      <w:r>
        <w:fldChar w:fldCharType="end"/>
      </w:r>
      <w:r>
        <w:t xml:space="preserve">.  In the instant case, on </w:t>
      </w:r>
      <w:smartTag w:uri="urn:schemas-microsoft-com:office:smarttags" w:element="date">
        <w:smartTagPr>
          <w:attr w:name="Month" w:val="3"/>
          <w:attr w:name="Day" w:val="1"/>
          <w:attr w:name="Year" w:val="2002"/>
        </w:smartTagPr>
        <w:r>
          <w:t>1 March 2002</w:t>
        </w:r>
      </w:smartTag>
      <w:r>
        <w:t>, after the application was declared admissible, the applicant was invited to submit her claims for just satisfaction. She did not submit any such claims within the required time-limit.</w:t>
      </w:r>
    </w:p>
    <w:p w:rsidR="001D1BA9" w:rsidRDefault="001D1BA9">
      <w:pPr>
        <w:pStyle w:val="JuPara"/>
      </w:pPr>
      <w:r>
        <w:fldChar w:fldCharType="begin"/>
      </w:r>
      <w:r>
        <w:instrText xml:space="preserve"> SEQ level0 \*arabic </w:instrText>
      </w:r>
      <w:r>
        <w:fldChar w:fldCharType="separate"/>
      </w:r>
      <w:r w:rsidR="009A67BC">
        <w:rPr>
          <w:noProof/>
        </w:rPr>
        <w:t>68</w:t>
      </w:r>
      <w:r>
        <w:fldChar w:fldCharType="end"/>
      </w:r>
      <w:r>
        <w:t>.  In these circumstances, the Court makes no award under Article 41</w:t>
      </w:r>
      <w:r w:rsidR="006A752B">
        <w:t xml:space="preserve"> of the Convention</w:t>
      </w:r>
      <w:r>
        <w:t>.</w:t>
      </w:r>
    </w:p>
    <w:p w:rsidR="001D1BA9" w:rsidRDefault="001D1BA9">
      <w:pPr>
        <w:pStyle w:val="JuHHead"/>
        <w:keepNext/>
        <w:outlineLvl w:val="0"/>
      </w:pPr>
      <w:r>
        <w:t>FOR THESE REASONS, THE COURT UNANIMOUSLY</w:t>
      </w:r>
    </w:p>
    <w:p w:rsidR="001D1BA9" w:rsidRDefault="001D1BA9">
      <w:pPr>
        <w:pStyle w:val="JuList"/>
      </w:pPr>
      <w:r>
        <w:t>1.  </w:t>
      </w:r>
      <w:r>
        <w:rPr>
          <w:i/>
        </w:rPr>
        <w:t>Holds</w:t>
      </w:r>
      <w:r>
        <w:t xml:space="preserve"> that there has been a violation of the applicant</w:t>
      </w:r>
      <w:r w:rsidR="00073595">
        <w:t>'</w:t>
      </w:r>
      <w:r>
        <w:t>s right to a fair trial and the right to a court as guaranteed by Article 6 § 1 of the Convention in that the final judgment was quashed on supervisory review;</w:t>
      </w:r>
    </w:p>
    <w:p w:rsidR="001D1BA9" w:rsidRDefault="001D1BA9">
      <w:pPr>
        <w:pStyle w:val="JuList"/>
        <w:rPr>
          <w:i/>
        </w:rPr>
      </w:pPr>
    </w:p>
    <w:p w:rsidR="001D1BA9" w:rsidRDefault="001D1BA9">
      <w:pPr>
        <w:pStyle w:val="JuList"/>
      </w:pPr>
      <w:r>
        <w:t>2.  </w:t>
      </w:r>
      <w:r>
        <w:rPr>
          <w:i/>
        </w:rPr>
        <w:t>Holds</w:t>
      </w:r>
      <w:r>
        <w:t xml:space="preserve"> that it is not necessary to consider the allegation of procedural unfairness of the supervisory</w:t>
      </w:r>
      <w:r w:rsidR="002B669F">
        <w:t xml:space="preserve"> </w:t>
      </w:r>
      <w:r>
        <w:t>review proceedings;</w:t>
      </w:r>
    </w:p>
    <w:p w:rsidR="001D1BA9" w:rsidRDefault="001D1BA9">
      <w:pPr>
        <w:pStyle w:val="JuList"/>
        <w:rPr>
          <w:i/>
        </w:rPr>
      </w:pPr>
    </w:p>
    <w:p w:rsidR="001D1BA9" w:rsidRDefault="001D1BA9">
      <w:pPr>
        <w:pStyle w:val="JuList"/>
      </w:pPr>
      <w:r>
        <w:t>3.  </w:t>
      </w:r>
      <w:r>
        <w:rPr>
          <w:i/>
        </w:rPr>
        <w:t>Holds</w:t>
      </w:r>
      <w:r>
        <w:t xml:space="preserve"> that there has been no violation of Article 1 of Protocol No. 1.</w:t>
      </w:r>
    </w:p>
    <w:p w:rsidR="001D1BA9" w:rsidRDefault="001D1BA9">
      <w:pPr>
        <w:pStyle w:val="JuParaLast"/>
      </w:pPr>
      <w:r>
        <w:t xml:space="preserve">Done in English, and notified in writing on </w:t>
      </w:r>
      <w:smartTag w:uri="urn:schemas-microsoft-com:office:smarttags" w:element="date">
        <w:smartTagPr>
          <w:attr w:name="Month" w:val="7"/>
          <w:attr w:name="Day" w:val="24"/>
          <w:attr w:name="Year" w:val="2003"/>
        </w:smartTagPr>
        <w:r>
          <w:t>24 July 2003</w:t>
        </w:r>
      </w:smartTag>
      <w:r>
        <w:t>, pursuant to Rule 77 §§ 2 and 3 of the Rules of Court.</w:t>
      </w:r>
    </w:p>
    <w:p w:rsidR="001D1BA9" w:rsidRDefault="001D1BA9">
      <w:pPr>
        <w:pStyle w:val="JuSigned"/>
        <w:keepNext/>
        <w:keepLines/>
        <w:jc w:val="both"/>
      </w:pPr>
      <w:r>
        <w:tab/>
        <w:t xml:space="preserve">Søren </w:t>
      </w:r>
      <w:r>
        <w:rPr>
          <w:rStyle w:val="JuNames"/>
        </w:rPr>
        <w:t>Nielsen</w:t>
      </w:r>
      <w:r>
        <w:tab/>
        <w:t xml:space="preserve">Christos </w:t>
      </w:r>
      <w:r>
        <w:rPr>
          <w:rStyle w:val="JuNames"/>
        </w:rPr>
        <w:t>Rozakis</w:t>
      </w:r>
      <w:r>
        <w:br/>
      </w:r>
      <w:r>
        <w:tab/>
        <w:t>Deputy Registrar</w:t>
      </w:r>
      <w:r>
        <w:tab/>
        <w:t>President</w:t>
      </w:r>
    </w:p>
    <w:sectPr w:rsidR="001D1BA9">
      <w:headerReference w:type="even" r:id="rId8"/>
      <w:headerReference w:type="default" r:id="rId9"/>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5CC" w:rsidRDefault="001225CC">
      <w:r>
        <w:separator/>
      </w:r>
    </w:p>
  </w:endnote>
  <w:endnote w:type="continuationSeparator" w:id="0">
    <w:p w:rsidR="001225CC" w:rsidRDefault="00122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5CC" w:rsidRDefault="001225CC">
      <w:r>
        <w:separator/>
      </w:r>
    </w:p>
  </w:footnote>
  <w:footnote w:type="continuationSeparator" w:id="0">
    <w:p w:rsidR="001225CC" w:rsidRDefault="001225CC">
      <w:r>
        <w:continuationSeparator/>
      </w:r>
    </w:p>
  </w:footnote>
  <w:footnote w:id="1">
    <w:p w:rsidR="001225CC" w:rsidRDefault="001225CC" w:rsidP="001D1BA9">
      <w:pPr>
        <w:pStyle w:val="FootnoteText"/>
      </w:pPr>
      <w:r>
        <w:t xml:space="preserve">1.  The amount is indicated without regard to the denomination of 1998. In accordance with the Presidential Decree “on the modification of the face value of Russian currency and standards of value” of </w:t>
      </w:r>
      <w:smartTag w:uri="urn:schemas-microsoft-com:office:smarttags" w:element="date">
        <w:smartTagPr>
          <w:attr w:name="Month" w:val="8"/>
          <w:attr w:name="Day" w:val="4"/>
          <w:attr w:name="Year" w:val="1997"/>
        </w:smartTagPr>
        <w:r>
          <w:t>4 August 1997</w:t>
        </w:r>
      </w:smartTag>
      <w:r>
        <w:t xml:space="preserve">, 1,000 old roubles became 1 new rouble as of </w:t>
      </w:r>
      <w:smartTag w:uri="urn:schemas-microsoft-com:office:smarttags" w:element="date">
        <w:smartTagPr>
          <w:attr w:name="Month" w:val="1"/>
          <w:attr w:name="Day" w:val="1"/>
          <w:attr w:name="Year" w:val="1998"/>
        </w:smartTagPr>
        <w:r>
          <w:t>1 January 1998</w:t>
        </w:r>
      </w:smartTag>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5CC" w:rsidRDefault="001225C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1225CC" w:rsidRDefault="001225CC">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5CC" w:rsidRDefault="001225CC">
    <w:pPr>
      <w:pStyle w:val="JuHeader"/>
    </w:pPr>
    <w:r>
      <w:rPr>
        <w:rStyle w:val="PageNumber"/>
      </w:rPr>
      <w:fldChar w:fldCharType="begin"/>
    </w:r>
    <w:r>
      <w:rPr>
        <w:rStyle w:val="PageNumber"/>
      </w:rPr>
      <w:instrText xml:space="preserve"> PAGE </w:instrText>
    </w:r>
    <w:r>
      <w:rPr>
        <w:rStyle w:val="PageNumber"/>
      </w:rPr>
      <w:fldChar w:fldCharType="separate"/>
    </w:r>
    <w:r w:rsidR="00073595">
      <w:rPr>
        <w:rStyle w:val="PageNumber"/>
        <w:noProof/>
      </w:rPr>
      <w:t>12</w:t>
    </w:r>
    <w:r>
      <w:rPr>
        <w:rStyle w:val="PageNumber"/>
      </w:rPr>
      <w:fldChar w:fldCharType="end"/>
    </w:r>
    <w:r>
      <w:tab/>
      <w:t xml:space="preserve">RYABYKH v. </w:t>
    </w:r>
    <w:smartTag w:uri="urn:schemas-microsoft-com:office:smarttags" w:element="place">
      <w:smartTag w:uri="urn:schemas-microsoft-com:office:smarttags" w:element="country-region">
        <w:r>
          <w:t>RUSSIA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5CC" w:rsidRDefault="001225CC">
    <w:pPr>
      <w:pStyle w:val="JuHeader"/>
      <w:rPr>
        <w:rStyle w:val="PageNumber"/>
      </w:rPr>
    </w:pPr>
    <w:r>
      <w:tab/>
      <w:t xml:space="preserve">RYABYKH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073595">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1BA9"/>
    <w:rsid w:val="00073595"/>
    <w:rsid w:val="00095DED"/>
    <w:rsid w:val="00106A9D"/>
    <w:rsid w:val="001225CC"/>
    <w:rsid w:val="001D1BA9"/>
    <w:rsid w:val="002B669F"/>
    <w:rsid w:val="00306195"/>
    <w:rsid w:val="006A752B"/>
    <w:rsid w:val="009A67BC"/>
    <w:rsid w:val="009B69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date"/>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styleId="DocumentMap">
    <w:name w:val="Document Map"/>
    <w:basedOn w:val="Normal"/>
    <w:semiHidden/>
    <w:pPr>
      <w:shd w:val="clear" w:color="auto" w:fill="000080"/>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D9E5DA-9035-4213-AA23-267416A7AF6F}"/>
</file>

<file path=customXml/itemProps2.xml><?xml version="1.0" encoding="utf-8"?>
<ds:datastoreItem xmlns:ds="http://schemas.openxmlformats.org/officeDocument/2006/customXml" ds:itemID="{108205F5-9571-491B-B539-524D82C97A3D}"/>
</file>

<file path=customXml/itemProps3.xml><?xml version="1.0" encoding="utf-8"?>
<ds:datastoreItem xmlns:ds="http://schemas.openxmlformats.org/officeDocument/2006/customXml" ds:itemID="{C136A57B-C67C-4249-828E-577E06278166}"/>
</file>

<file path=docProps/app.xml><?xml version="1.0" encoding="utf-8"?>
<Properties xmlns="http://schemas.openxmlformats.org/officeDocument/2006/extended-properties" xmlns:vt="http://schemas.openxmlformats.org/officeDocument/2006/docPropsVTypes">
  <Template>Normal.dotm</Template>
  <TotalTime>166</TotalTime>
  <Pages>1</Pages>
  <Words>4266</Words>
  <Characters>24317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28526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6</cp:revision>
  <cp:lastPrinted>2003-07-18T08:22:00Z</cp:lastPrinted>
  <dcterms:created xsi:type="dcterms:W3CDTF">2018-06-07T14:15:00Z</dcterms:created>
  <dcterms:modified xsi:type="dcterms:W3CDTF">2018-06-07T14:15:00Z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