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6.0 -->
  <w:body>
    <w:p w:rsidRPr="00065271" w:rsidR="00092CE9" w:rsidP="00092CE9">
      <w:pPr>
        <w:pStyle w:val="JuPara"/>
        <w:jc w:val="center"/>
        <w:rPr>
          <w:lang w:val="en-GB"/>
        </w:rPr>
      </w:pPr>
    </w:p>
    <w:p w:rsidRPr="00065271" w:rsidR="00092CE9" w:rsidP="00092CE9">
      <w:pPr>
        <w:jc w:val="center"/>
        <w:rPr>
          <w:lang w:val="en-GB"/>
        </w:rPr>
      </w:pPr>
    </w:p>
    <w:p w:rsidRPr="00065271" w:rsidR="00092CE9" w:rsidP="00092CE9">
      <w:pPr>
        <w:jc w:val="center"/>
        <w:rPr>
          <w:lang w:val="en-GB"/>
        </w:rPr>
      </w:pPr>
    </w:p>
    <w:p w:rsidRPr="00A014C3" w:rsidR="00092CE9" w:rsidP="00092CE9">
      <w:pPr>
        <w:jc w:val="center"/>
        <w:rPr>
          <w:lang w:val="en-GB"/>
        </w:rPr>
      </w:pPr>
      <w:r>
        <w:rPr>
          <w:lang w:val="en-GB"/>
        </w:rPr>
        <w:t>COURT (PLENARY)</w:t>
      </w:r>
    </w:p>
    <w:p w:rsidRPr="00A014C3" w:rsidR="00092CE9" w:rsidP="00092CE9">
      <w:pPr>
        <w:jc w:val="center"/>
        <w:rPr>
          <w:lang w:val="en-GB"/>
        </w:rPr>
      </w:pPr>
    </w:p>
    <w:p w:rsidRPr="00A014C3" w:rsidR="00092CE9" w:rsidP="00092CE9">
      <w:pPr>
        <w:jc w:val="center"/>
        <w:rPr>
          <w:lang w:val="en-GB"/>
        </w:rPr>
      </w:pPr>
    </w:p>
    <w:p w:rsidRPr="00A014C3" w:rsidR="00092CE9" w:rsidP="00092CE9">
      <w:pPr>
        <w:jc w:val="center"/>
        <w:rPr>
          <w:lang w:val="en-GB"/>
        </w:rPr>
      </w:pPr>
    </w:p>
    <w:p w:rsidRPr="00A014C3" w:rsidR="00092CE9" w:rsidP="00092CE9">
      <w:pPr>
        <w:jc w:val="center"/>
        <w:rPr>
          <w:lang w:val="en-GB"/>
        </w:rPr>
      </w:pPr>
    </w:p>
    <w:p w:rsidRPr="00A014C3" w:rsidR="00092CE9" w:rsidP="00092CE9">
      <w:pPr>
        <w:jc w:val="center"/>
        <w:rPr>
          <w:lang w:val="en-GB"/>
        </w:rPr>
      </w:pPr>
    </w:p>
    <w:p w:rsidRPr="00A014C3" w:rsidR="00092CE9" w:rsidP="00092CE9">
      <w:pPr>
        <w:jc w:val="center"/>
        <w:rPr>
          <w:lang w:val="en-GB"/>
        </w:rPr>
      </w:pPr>
    </w:p>
    <w:p w:rsidRPr="00092CE9" w:rsidR="00092CE9" w:rsidP="00092CE9">
      <w:pPr>
        <w:jc w:val="center"/>
        <w:rPr>
          <w:b/>
          <w:szCs w:val="24"/>
          <w:lang w:val="en-GB"/>
        </w:rPr>
      </w:pPr>
      <w:bookmarkStart w:name="To" w:id="0"/>
      <w:r w:rsidRPr="00FC63FB">
        <w:rPr>
          <w:b/>
          <w:szCs w:val="24"/>
          <w:lang w:val="en-GB"/>
        </w:rPr>
        <w:t>CASE OF</w:t>
      </w:r>
      <w:bookmarkEnd w:id="0"/>
      <w:r w:rsidRPr="00FC63FB">
        <w:rPr>
          <w:b/>
          <w:szCs w:val="24"/>
          <w:lang w:val="en-GB"/>
        </w:rPr>
        <w:t xml:space="preserve"> </w:t>
      </w:r>
      <w:r w:rsidRPr="00092CE9">
        <w:rPr>
          <w:b/>
          <w:bCs/>
          <w:color w:val="000000"/>
          <w:szCs w:val="24"/>
          <w:lang w:val="en-GB"/>
        </w:rPr>
        <w:t xml:space="preserve">JAMES AND OTHERS v. THE </w:t>
      </w:r>
      <w:smartTag w:uri="urn:schemas-microsoft-com:office:smarttags" w:element="place">
        <w:smartTag w:uri="urn:schemas-microsoft-com:office:smarttags" w:element="country-region">
          <w:r w:rsidRPr="00092CE9">
            <w:rPr>
              <w:b/>
              <w:bCs/>
              <w:color w:val="000000"/>
              <w:szCs w:val="24"/>
              <w:lang w:val="en-GB"/>
            </w:rPr>
            <w:t>UNITED KINGDOM</w:t>
          </w:r>
        </w:smartTag>
      </w:smartTag>
    </w:p>
    <w:p w:rsidRPr="003015FF" w:rsidR="00092CE9" w:rsidP="00092CE9">
      <w:pPr>
        <w:jc w:val="center"/>
        <w:rPr>
          <w:lang w:val="en-GB"/>
        </w:rPr>
      </w:pPr>
    </w:p>
    <w:p w:rsidRPr="003015FF" w:rsidR="00092CE9" w:rsidP="00092CE9">
      <w:pPr>
        <w:jc w:val="center"/>
        <w:rPr>
          <w:i/>
          <w:iCs/>
          <w:lang w:val="en-GB"/>
        </w:rPr>
      </w:pPr>
      <w:r w:rsidRPr="003015FF">
        <w:rPr>
          <w:i/>
          <w:iCs/>
          <w:lang w:val="en-GB"/>
        </w:rPr>
        <w:t xml:space="preserve">(Application no. </w:t>
      </w:r>
      <w:r>
        <w:rPr>
          <w:i/>
          <w:color w:val="000000"/>
          <w:szCs w:val="24"/>
          <w:lang w:val="en-GB"/>
        </w:rPr>
        <w:t>8793/79</w:t>
      </w:r>
      <w:r w:rsidRPr="003015FF">
        <w:rPr>
          <w:i/>
          <w:iCs/>
          <w:lang w:val="en-GB"/>
        </w:rPr>
        <w:t>)</w:t>
      </w:r>
    </w:p>
    <w:p w:rsidRPr="003015FF" w:rsidR="00092CE9" w:rsidP="00092CE9">
      <w:pPr>
        <w:pStyle w:val="JuCase"/>
        <w:jc w:val="center"/>
        <w:rPr>
          <w:b w:val="0"/>
          <w:lang w:val="en-GB"/>
        </w:rPr>
      </w:pPr>
    </w:p>
    <w:p w:rsidRPr="003015FF" w:rsidR="00092CE9" w:rsidP="00092CE9">
      <w:pPr>
        <w:pStyle w:val="JuPara"/>
        <w:rPr>
          <w:lang w:val="en-GB"/>
        </w:rPr>
      </w:pPr>
    </w:p>
    <w:p w:rsidRPr="003015FF" w:rsidR="00092CE9" w:rsidP="00092CE9">
      <w:pPr>
        <w:pStyle w:val="JuPara"/>
        <w:rPr>
          <w:lang w:val="en-GB"/>
        </w:rPr>
      </w:pPr>
    </w:p>
    <w:p w:rsidRPr="003015FF" w:rsidR="00092CE9" w:rsidP="00092CE9">
      <w:pPr>
        <w:pStyle w:val="JuPara"/>
        <w:rPr>
          <w:lang w:val="en-GB"/>
        </w:rPr>
      </w:pPr>
    </w:p>
    <w:p w:rsidRPr="003015FF" w:rsidR="00092CE9" w:rsidP="00092CE9">
      <w:pPr>
        <w:pStyle w:val="JuPara"/>
        <w:rPr>
          <w:lang w:val="en-GB"/>
        </w:rPr>
      </w:pPr>
    </w:p>
    <w:p w:rsidRPr="003015FF" w:rsidR="00092CE9" w:rsidP="00092CE9">
      <w:pPr>
        <w:pStyle w:val="JuPara"/>
        <w:rPr>
          <w:lang w:val="en-GB"/>
        </w:rPr>
      </w:pPr>
    </w:p>
    <w:p w:rsidRPr="003015FF" w:rsidR="00092CE9" w:rsidP="00092CE9">
      <w:pPr>
        <w:pStyle w:val="JuPara"/>
        <w:jc w:val="center"/>
        <w:rPr>
          <w:lang w:val="en-GB"/>
        </w:rPr>
      </w:pPr>
      <w:r w:rsidRPr="003015FF">
        <w:rPr>
          <w:lang w:val="en-GB"/>
        </w:rPr>
        <w:t>JUDGMENT</w:t>
      </w:r>
    </w:p>
    <w:p w:rsidRPr="003015FF" w:rsidR="00092CE9" w:rsidP="00092CE9">
      <w:pPr>
        <w:pStyle w:val="JuPara"/>
        <w:jc w:val="center"/>
        <w:rPr>
          <w:lang w:val="en-GB"/>
        </w:rPr>
      </w:pPr>
    </w:p>
    <w:p w:rsidRPr="003015FF" w:rsidR="00092CE9" w:rsidP="00092CE9">
      <w:pPr>
        <w:pStyle w:val="JuPara"/>
        <w:jc w:val="center"/>
        <w:rPr>
          <w:lang w:val="en-GB"/>
        </w:rPr>
      </w:pPr>
    </w:p>
    <w:p w:rsidRPr="003015FF" w:rsidR="00092CE9" w:rsidP="00092CE9">
      <w:pPr>
        <w:pStyle w:val="JuPara"/>
        <w:jc w:val="center"/>
        <w:rPr>
          <w:lang w:val="en-GB"/>
        </w:rPr>
      </w:pPr>
    </w:p>
    <w:p w:rsidRPr="003015FF" w:rsidR="00092CE9" w:rsidP="00092CE9">
      <w:pPr>
        <w:pStyle w:val="JuPara"/>
        <w:jc w:val="center"/>
        <w:rPr>
          <w:lang w:val="en-GB"/>
        </w:rPr>
      </w:pPr>
      <w:smartTag w:uri="urn:schemas-microsoft-com:office:smarttags" w:element="place">
        <w:smartTag w:uri="urn:schemas-microsoft-com:office:smarttags" w:element="City">
          <w:r w:rsidRPr="003015FF">
            <w:rPr>
              <w:lang w:val="en-GB"/>
            </w:rPr>
            <w:t>STRASBOURG</w:t>
          </w:r>
        </w:smartTag>
      </w:smartTag>
    </w:p>
    <w:p w:rsidRPr="003015FF" w:rsidR="00092CE9" w:rsidP="00092CE9">
      <w:pPr>
        <w:pStyle w:val="JuPara"/>
        <w:jc w:val="center"/>
        <w:rPr>
          <w:lang w:val="en-GB"/>
        </w:rPr>
      </w:pPr>
    </w:p>
    <w:p w:rsidR="007B6873" w:rsidP="00092CE9">
      <w:pPr>
        <w:pStyle w:val="JuPara"/>
        <w:jc w:val="center"/>
        <w:rPr>
          <w:lang w:val="en-GB"/>
        </w:rPr>
        <w:sectPr w:rsidSect="00AC25D9">
          <w:headerReference w:type="even" r:id="rId5"/>
          <w:headerReference w:type="default" r:id="rId6"/>
          <w:footnotePr>
            <w:numRestart w:val="eachSect"/>
          </w:footnotePr>
          <w:pgSz w:w="11906" w:h="16838" w:code="9"/>
          <w:pgMar w:top="2274" w:right="2274" w:bottom="2274" w:left="2274" w:header="1701" w:footer="708" w:gutter="0"/>
          <w:pgNumType w:start="0"/>
          <w:cols w:space="708"/>
          <w:noEndnote/>
        </w:sectPr>
      </w:pPr>
      <w:smartTag w:uri="urn:schemas-microsoft-com:office:smarttags" w:element="date">
        <w:smartTagPr>
          <w:attr w:name="Day" w:val="21"/>
          <w:attr w:name="Month" w:val="2"/>
          <w:attr w:name="Year" w:val="1986"/>
        </w:smartTagPr>
        <w:r w:rsidR="00092CE9">
          <w:rPr>
            <w:lang w:val="en-GB"/>
          </w:rPr>
          <w:t>21 February 1986</w:t>
        </w:r>
      </w:smartTag>
    </w:p>
    <w:p w:rsidR="004E7F2A" w:rsidP="00F47072">
      <w:pPr>
        <w:rPr>
          <w:lang w:val="en-GB"/>
        </w:rPr>
      </w:pPr>
      <w:r w:rsidR="00B27F1A">
        <w:rPr>
          <w:lang w:val="en-GB"/>
        </w:rPr>
        <w:br w:type="page"/>
      </w:r>
    </w:p>
    <w:p w:rsidR="003B5C5F" w:rsidP="004E7F2A">
      <w:pPr>
        <w:pStyle w:val="JuCase"/>
        <w:rPr>
          <w:lang w:val="en-GB"/>
        </w:rPr>
      </w:pPr>
      <w:r w:rsidRPr="00F47072" w:rsidR="00F47072">
        <w:rPr>
          <w:lang w:val="en-GB"/>
        </w:rPr>
        <w:t xml:space="preserve">In the case of </w:t>
      </w:r>
      <w:r w:rsidR="004E7F2A">
        <w:rPr>
          <w:lang w:val="en-GB"/>
        </w:rPr>
        <w:t>James and Others</w:t>
      </w:r>
      <w:r>
        <w:rPr>
          <w:rStyle w:val="FootnoteReference"/>
          <w:rFonts w:ascii="Symbol" w:hAnsi="Symbol"/>
          <w:lang w:val="en-GB"/>
        </w:rPr>
        <w:footnoteReference w:customMarkFollows="1" w:id="2"/>
        <w:sym w:font="Symbol" w:char="F02A"/>
      </w:r>
      <w:r w:rsidRPr="00F47072" w:rsidR="00F47072">
        <w:rPr>
          <w:lang w:val="en-GB"/>
        </w:rPr>
        <w:t>,</w:t>
      </w:r>
    </w:p>
    <w:p w:rsidR="003B5C5F" w:rsidP="004E7F2A">
      <w:pPr>
        <w:pStyle w:val="JuPara"/>
        <w:rPr>
          <w:lang w:val="en-GB"/>
        </w:rPr>
      </w:pPr>
      <w:r w:rsidRPr="00F47072" w:rsidR="00F47072">
        <w:rPr>
          <w:lang w:val="en-GB"/>
        </w:rPr>
        <w:t>The European Court of Human Rights, taking its decision in plenary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session in pursuance of Rule 50 of the Rules of Court and composed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following judges:</w:t>
      </w:r>
    </w:p>
    <w:p w:rsidRPr="003B5C5F" w:rsidR="004E7F2A" w:rsidP="004E7F2A">
      <w:pPr>
        <w:pStyle w:val="JuJudges"/>
        <w:rPr>
          <w:lang w:val="nl-NL"/>
        </w:rPr>
      </w:pPr>
      <w:r>
        <w:rPr>
          <w:lang w:val="en-GB"/>
        </w:rPr>
        <w:tab/>
      </w:r>
      <w:r w:rsidRPr="003B5C5F" w:rsidR="00F47072">
        <w:rPr>
          <w:lang w:val="nl-NL"/>
        </w:rPr>
        <w:t xml:space="preserve">Mr. </w:t>
      </w:r>
      <w:r w:rsidRPr="003B5C5F">
        <w:rPr>
          <w:lang w:val="nl-NL"/>
        </w:rPr>
        <w:tab/>
      </w:r>
      <w:r w:rsidRPr="003B5C5F" w:rsidR="00F47072">
        <w:rPr>
          <w:lang w:val="nl-NL"/>
        </w:rPr>
        <w:t xml:space="preserve">R. </w:t>
      </w:r>
      <w:r w:rsidRPr="003B5C5F" w:rsidR="00F47072">
        <w:rPr>
          <w:rStyle w:val="JuNames"/>
          <w:lang w:val="nl-NL"/>
        </w:rPr>
        <w:t>Ryssdal</w:t>
      </w:r>
      <w:r w:rsidRPr="003B5C5F" w:rsidR="00F47072">
        <w:rPr>
          <w:lang w:val="nl-NL"/>
        </w:rPr>
        <w:t xml:space="preserve">, </w:t>
      </w:r>
      <w:r w:rsidRPr="003B5C5F" w:rsidR="00F47072">
        <w:rPr>
          <w:rStyle w:val="JuJudgesItalicChar"/>
          <w:lang w:val="nl-NL"/>
        </w:rPr>
        <w:t>President</w:t>
      </w:r>
      <w:r w:rsidRPr="003B5C5F" w:rsidR="00F47072">
        <w:rPr>
          <w:lang w:val="nl-NL"/>
        </w:rPr>
        <w:t>,</w:t>
      </w:r>
    </w:p>
    <w:p w:rsidRPr="004E7F2A" w:rsidR="004E7F2A" w:rsidP="004E7F2A">
      <w:pPr>
        <w:pStyle w:val="JuJudges"/>
        <w:rPr>
          <w:lang w:val="nl-NL"/>
        </w:rPr>
      </w:pPr>
      <w:r w:rsidRPr="003B5C5F">
        <w:rPr>
          <w:lang w:val="nl-NL"/>
        </w:rPr>
        <w:tab/>
      </w:r>
      <w:r w:rsidRPr="004E7F2A" w:rsidR="00F47072">
        <w:rPr>
          <w:lang w:val="nl-NL"/>
        </w:rPr>
        <w:t>M</w:t>
      </w:r>
      <w:r w:rsidRPr="004E7F2A">
        <w:rPr>
          <w:lang w:val="nl-NL"/>
        </w:rPr>
        <w:t xml:space="preserve">r. </w:t>
        <w:tab/>
        <w:t xml:space="preserve">W. </w:t>
      </w:r>
      <w:r w:rsidRPr="004E7F2A">
        <w:rPr>
          <w:rStyle w:val="JuNames"/>
          <w:lang w:val="nl-NL"/>
        </w:rPr>
        <w:t>Ganshof van der Meersch</w:t>
      </w:r>
      <w:r w:rsidRPr="004E7F2A">
        <w:rPr>
          <w:lang w:val="nl-NL"/>
        </w:rPr>
        <w:t>,</w:t>
      </w:r>
    </w:p>
    <w:p w:rsidRPr="003B5C5F" w:rsidR="004E7F2A" w:rsidP="004E7F2A">
      <w:pPr>
        <w:pStyle w:val="JuJudges"/>
        <w:rPr>
          <w:lang w:val="en-GB"/>
        </w:rPr>
      </w:pPr>
      <w:r>
        <w:rPr>
          <w:lang w:val="nl-NL"/>
        </w:rPr>
        <w:tab/>
      </w:r>
      <w:r w:rsidRPr="003B5C5F" w:rsidR="00F47072">
        <w:rPr>
          <w:lang w:val="en-GB"/>
        </w:rPr>
        <w:t xml:space="preserve">Mr. </w:t>
      </w:r>
      <w:r w:rsidRPr="003B5C5F">
        <w:rPr>
          <w:lang w:val="en-GB"/>
        </w:rPr>
        <w:tab/>
      </w:r>
      <w:r w:rsidRPr="003B5C5F" w:rsidR="00F47072">
        <w:rPr>
          <w:lang w:val="en-GB"/>
        </w:rPr>
        <w:t xml:space="preserve">J. </w:t>
      </w:r>
      <w:smartTag w:uri="urn:schemas-microsoft-com:office:smarttags" w:element="place">
        <w:smartTag w:uri="urn:schemas-microsoft-com:office:smarttags" w:element="City">
          <w:r w:rsidRPr="003B5C5F" w:rsidR="00F47072">
            <w:rPr>
              <w:rStyle w:val="JuNames"/>
              <w:lang w:val="en-GB"/>
            </w:rPr>
            <w:t>Cremona</w:t>
          </w:r>
        </w:smartTag>
      </w:smartTag>
      <w:r w:rsidRPr="003B5C5F" w:rsidR="00F47072">
        <w:rPr>
          <w:lang w:val="en-GB"/>
        </w:rPr>
        <w:t>,</w:t>
      </w:r>
    </w:p>
    <w:p w:rsidRPr="003B5C5F" w:rsidR="004E7F2A" w:rsidP="004E7F2A">
      <w:pPr>
        <w:pStyle w:val="JuJudges"/>
        <w:rPr>
          <w:lang w:val="en-GB"/>
        </w:rPr>
      </w:pPr>
      <w:r w:rsidRPr="003B5C5F">
        <w:rPr>
          <w:lang w:val="en-GB"/>
        </w:rPr>
        <w:tab/>
      </w:r>
      <w:r w:rsidRPr="003B5C5F" w:rsidR="00F47072">
        <w:rPr>
          <w:lang w:val="en-GB"/>
        </w:rPr>
        <w:t xml:space="preserve">Mr. </w:t>
      </w:r>
      <w:r w:rsidRPr="003B5C5F">
        <w:rPr>
          <w:lang w:val="en-GB"/>
        </w:rPr>
        <w:tab/>
      </w:r>
      <w:r w:rsidRPr="003B5C5F" w:rsidR="00F47072">
        <w:rPr>
          <w:lang w:val="en-GB"/>
        </w:rPr>
        <w:t xml:space="preserve">G. </w:t>
      </w:r>
      <w:r w:rsidRPr="003B5C5F" w:rsidR="00F47072">
        <w:rPr>
          <w:rStyle w:val="JuNames"/>
          <w:lang w:val="en-GB"/>
        </w:rPr>
        <w:t>Wiarda</w:t>
      </w:r>
      <w:r w:rsidRPr="003B5C5F" w:rsidR="00F47072">
        <w:rPr>
          <w:lang w:val="en-GB"/>
        </w:rPr>
        <w:t>,</w:t>
      </w:r>
    </w:p>
    <w:p w:rsidRPr="003B5C5F" w:rsidR="004E7F2A" w:rsidP="004E7F2A">
      <w:pPr>
        <w:pStyle w:val="JuJudges"/>
        <w:rPr>
          <w:lang w:val="en-GB"/>
        </w:rPr>
      </w:pPr>
      <w:r w:rsidRPr="003B5C5F">
        <w:rPr>
          <w:lang w:val="en-GB"/>
        </w:rPr>
        <w:tab/>
      </w:r>
      <w:r w:rsidRPr="003B5C5F" w:rsidR="00F47072">
        <w:rPr>
          <w:lang w:val="en-GB"/>
        </w:rPr>
        <w:t xml:space="preserve">Mr. </w:t>
      </w:r>
      <w:r w:rsidRPr="003B5C5F">
        <w:rPr>
          <w:lang w:val="en-GB"/>
        </w:rPr>
        <w:tab/>
      </w:r>
      <w:r w:rsidRPr="003B5C5F" w:rsidR="00F47072">
        <w:rPr>
          <w:lang w:val="en-GB"/>
        </w:rPr>
        <w:t xml:space="preserve">Thór </w:t>
      </w:r>
      <w:r w:rsidRPr="003B5C5F" w:rsidR="00F47072">
        <w:rPr>
          <w:rStyle w:val="JuNames"/>
          <w:lang w:val="en-GB"/>
        </w:rPr>
        <w:t>Vilhjálmsson</w:t>
      </w:r>
      <w:r w:rsidRPr="003B5C5F" w:rsidR="00F47072">
        <w:rPr>
          <w:lang w:val="en-GB"/>
        </w:rPr>
        <w:t>,</w:t>
      </w:r>
    </w:p>
    <w:p w:rsidRPr="004E7F2A" w:rsidR="004E7F2A" w:rsidP="004E7F2A">
      <w:pPr>
        <w:pStyle w:val="JuJudges"/>
        <w:rPr>
          <w:lang w:val="en-GB"/>
        </w:rPr>
      </w:pPr>
      <w:r w:rsidRPr="003B5C5F">
        <w:rPr>
          <w:lang w:val="en-GB"/>
        </w:rPr>
        <w:tab/>
      </w:r>
      <w:r w:rsidRPr="004E7F2A" w:rsidR="00F47072">
        <w:rPr>
          <w:lang w:val="en-GB"/>
        </w:rPr>
        <w:t xml:space="preserve">Mrs. </w:t>
      </w:r>
      <w:r w:rsidRPr="004E7F2A">
        <w:rPr>
          <w:lang w:val="en-GB"/>
        </w:rPr>
        <w:tab/>
      </w:r>
      <w:r w:rsidRPr="004E7F2A" w:rsidR="00F47072">
        <w:rPr>
          <w:lang w:val="en-GB"/>
        </w:rPr>
        <w:t xml:space="preserve">D. </w:t>
      </w:r>
      <w:r w:rsidRPr="004E7F2A" w:rsidR="00F47072">
        <w:rPr>
          <w:rStyle w:val="JuNames"/>
          <w:lang w:val="en-GB"/>
        </w:rPr>
        <w:t>Bindschedler-Robert</w:t>
      </w:r>
      <w:r w:rsidRPr="004E7F2A" w:rsidR="00F47072">
        <w:rPr>
          <w:lang w:val="en-GB"/>
        </w:rPr>
        <w:t>,</w:t>
      </w:r>
    </w:p>
    <w:p w:rsidRPr="004E7F2A"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D. </w:t>
      </w:r>
      <w:r w:rsidRPr="004E7F2A" w:rsidR="00F47072">
        <w:rPr>
          <w:rStyle w:val="JuNames"/>
          <w:lang w:val="en-GB"/>
        </w:rPr>
        <w:t>Evrigenis</w:t>
      </w:r>
      <w:r w:rsidRPr="004E7F2A" w:rsidR="00F47072">
        <w:rPr>
          <w:lang w:val="en-GB"/>
        </w:rPr>
        <w:t>,</w:t>
      </w:r>
    </w:p>
    <w:p w:rsidRPr="004E7F2A"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G. </w:t>
      </w:r>
      <w:r w:rsidRPr="004E7F2A" w:rsidR="00F47072">
        <w:rPr>
          <w:rStyle w:val="JuNames"/>
          <w:lang w:val="en-GB"/>
        </w:rPr>
        <w:t>Lagergren</w:t>
      </w:r>
      <w:r w:rsidRPr="004E7F2A" w:rsidR="00F47072">
        <w:rPr>
          <w:lang w:val="en-GB"/>
        </w:rPr>
        <w:t>,</w:t>
      </w:r>
    </w:p>
    <w:p w:rsidRPr="004E7F2A"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F. </w:t>
      </w:r>
      <w:r w:rsidRPr="004E7F2A" w:rsidR="00F47072">
        <w:rPr>
          <w:rStyle w:val="JuNames"/>
          <w:lang w:val="en-GB"/>
        </w:rPr>
        <w:t>Gölcüklü</w:t>
      </w:r>
      <w:r w:rsidRPr="004E7F2A" w:rsidR="00F47072">
        <w:rPr>
          <w:lang w:val="en-GB"/>
        </w:rPr>
        <w:t>,</w:t>
      </w:r>
    </w:p>
    <w:p w:rsidRPr="004E7F2A"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F. </w:t>
      </w:r>
      <w:r w:rsidRPr="004E7F2A" w:rsidR="00F47072">
        <w:rPr>
          <w:rStyle w:val="JuNames"/>
          <w:lang w:val="en-GB"/>
        </w:rPr>
        <w:t>Matscher</w:t>
      </w:r>
      <w:r w:rsidRPr="004E7F2A" w:rsidR="00F47072">
        <w:rPr>
          <w:lang w:val="en-GB"/>
        </w:rPr>
        <w:t>,</w:t>
      </w:r>
    </w:p>
    <w:p w:rsidRPr="004E7F2A"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>Mr.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J. </w:t>
      </w:r>
      <w:r w:rsidRPr="004E7F2A" w:rsidR="00F47072">
        <w:rPr>
          <w:rStyle w:val="JuNames"/>
          <w:lang w:val="en-GB"/>
        </w:rPr>
        <w:t>Pinheiro Farinha</w:t>
      </w:r>
      <w:r w:rsidRPr="004E7F2A" w:rsidR="00F47072">
        <w:rPr>
          <w:lang w:val="en-GB"/>
        </w:rPr>
        <w:t>,</w:t>
      </w:r>
    </w:p>
    <w:p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L.-E. </w:t>
      </w:r>
      <w:r w:rsidRPr="004E7F2A" w:rsidR="00F47072">
        <w:rPr>
          <w:rStyle w:val="JuNames"/>
          <w:lang w:val="en-GB"/>
        </w:rPr>
        <w:t>Pettiti</w:t>
      </w:r>
      <w:r w:rsidRPr="004E7F2A" w:rsidR="00F47072">
        <w:rPr>
          <w:lang w:val="en-GB"/>
        </w:rPr>
        <w:t>,</w:t>
      </w:r>
    </w:p>
    <w:p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B. </w:t>
      </w:r>
      <w:r w:rsidRPr="004E7F2A" w:rsidR="00F47072">
        <w:rPr>
          <w:rStyle w:val="JuNames"/>
          <w:lang w:val="en-GB"/>
        </w:rPr>
        <w:t>Walsh</w:t>
      </w:r>
      <w:r w:rsidRPr="004E7F2A" w:rsidR="00F47072">
        <w:rPr>
          <w:lang w:val="en-GB"/>
        </w:rPr>
        <w:t>,</w:t>
      </w:r>
    </w:p>
    <w:p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>Sir</w:t>
      </w:r>
      <w:r w:rsidR="003B5C5F">
        <w:rPr>
          <w:lang w:val="en-GB"/>
        </w:rPr>
        <w:t xml:space="preserve">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Vincent </w:t>
      </w:r>
      <w:r w:rsidRPr="004E7F2A" w:rsidR="00F47072">
        <w:rPr>
          <w:rStyle w:val="JuNames"/>
          <w:lang w:val="en-GB"/>
        </w:rPr>
        <w:t>Evans</w:t>
      </w:r>
      <w:r w:rsidRPr="004E7F2A" w:rsidR="00F47072">
        <w:rPr>
          <w:lang w:val="en-GB"/>
        </w:rPr>
        <w:t>,</w:t>
      </w:r>
    </w:p>
    <w:p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C. </w:t>
      </w:r>
      <w:r w:rsidRPr="004E7F2A" w:rsidR="00F47072">
        <w:rPr>
          <w:rStyle w:val="JuNames"/>
          <w:lang w:val="en-GB"/>
        </w:rPr>
        <w:t>Russo</w:t>
      </w:r>
      <w:r w:rsidRPr="004E7F2A" w:rsidR="00F47072">
        <w:rPr>
          <w:lang w:val="en-GB"/>
        </w:rPr>
        <w:t>,</w:t>
      </w:r>
    </w:p>
    <w:p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R. </w:t>
      </w:r>
      <w:r w:rsidRPr="004E7F2A" w:rsidR="00F47072">
        <w:rPr>
          <w:rStyle w:val="JuNames"/>
          <w:lang w:val="en-GB"/>
        </w:rPr>
        <w:t>Bernhardt</w:t>
      </w:r>
      <w:r w:rsidRPr="004E7F2A" w:rsidR="00F47072">
        <w:rPr>
          <w:lang w:val="en-GB"/>
        </w:rPr>
        <w:t>,</w:t>
      </w:r>
    </w:p>
    <w:p w:rsidR="004E7F2A" w:rsidP="004E7F2A">
      <w:pPr>
        <w:pStyle w:val="JuJudges"/>
        <w:rPr>
          <w:lang w:val="en-GB"/>
        </w:rPr>
      </w:pPr>
      <w:r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>
        <w:rPr>
          <w:lang w:val="en-GB"/>
        </w:rPr>
        <w:tab/>
      </w:r>
      <w:r w:rsidRPr="004E7F2A" w:rsidR="00F47072">
        <w:rPr>
          <w:lang w:val="en-GB"/>
        </w:rPr>
        <w:t xml:space="preserve">J. </w:t>
      </w:r>
      <w:r w:rsidRPr="004E7F2A" w:rsidR="00F47072">
        <w:rPr>
          <w:rStyle w:val="JuNames"/>
          <w:lang w:val="en-GB"/>
        </w:rPr>
        <w:t>Gersing</w:t>
      </w:r>
      <w:r w:rsidRPr="004E7F2A" w:rsidR="00F47072">
        <w:rPr>
          <w:lang w:val="en-GB"/>
        </w:rPr>
        <w:t>,</w:t>
      </w:r>
    </w:p>
    <w:p w:rsidR="003B5C5F" w:rsidP="004E7F2A">
      <w:pPr>
        <w:pStyle w:val="JuJudges"/>
        <w:rPr>
          <w:lang w:val="en-GB"/>
        </w:rPr>
      </w:pPr>
      <w:r w:rsidR="004E7F2A">
        <w:rPr>
          <w:lang w:val="en-GB"/>
        </w:rPr>
        <w:tab/>
      </w:r>
      <w:r w:rsidRPr="004E7F2A" w:rsidR="00F47072">
        <w:rPr>
          <w:lang w:val="en-GB"/>
        </w:rPr>
        <w:t xml:space="preserve">Mr. </w:t>
      </w:r>
      <w:r w:rsidR="004E7F2A">
        <w:rPr>
          <w:lang w:val="en-GB"/>
        </w:rPr>
        <w:tab/>
      </w:r>
      <w:r w:rsidRPr="004E7F2A" w:rsidR="00F47072">
        <w:rPr>
          <w:lang w:val="en-GB"/>
        </w:rPr>
        <w:t xml:space="preserve">A. </w:t>
      </w:r>
      <w:r w:rsidRPr="004E7F2A" w:rsidR="00F47072">
        <w:rPr>
          <w:rStyle w:val="JuNames"/>
          <w:lang w:val="en-GB"/>
        </w:rPr>
        <w:t>Spielmann</w:t>
      </w:r>
      <w:r w:rsidRPr="004E7F2A" w:rsidR="00F47072">
        <w:rPr>
          <w:lang w:val="en-GB"/>
        </w:rPr>
        <w:t>,</w:t>
      </w:r>
    </w:p>
    <w:p w:rsidR="003B5C5F" w:rsidP="004E7F2A">
      <w:pPr>
        <w:pStyle w:val="JuPara"/>
        <w:rPr>
          <w:lang w:val="en-GB"/>
        </w:rPr>
      </w:pPr>
      <w:r w:rsidRPr="00F47072" w:rsidR="00F47072">
        <w:rPr>
          <w:lang w:val="en-GB"/>
        </w:rPr>
        <w:t xml:space="preserve">and also of </w:t>
      </w:r>
      <w:r w:rsidRPr="004E7F2A" w:rsidR="00F47072">
        <w:rPr>
          <w:rStyle w:val="JuJudgesChar"/>
          <w:lang w:val="en-GB"/>
        </w:rPr>
        <w:t xml:space="preserve">Mr. M.-A. </w:t>
      </w:r>
      <w:r w:rsidRPr="004E7F2A" w:rsidR="00F47072">
        <w:rPr>
          <w:rStyle w:val="JuNames"/>
          <w:lang w:val="en-GB"/>
        </w:rPr>
        <w:t>Eissen</w:t>
      </w:r>
      <w:r w:rsidRPr="004E7F2A" w:rsidR="00F47072">
        <w:rPr>
          <w:rStyle w:val="JuJudgesChar"/>
          <w:lang w:val="en-GB"/>
        </w:rPr>
        <w:t xml:space="preserve">, </w:t>
      </w:r>
      <w:r w:rsidRPr="004E7F2A" w:rsidR="00F47072">
        <w:rPr>
          <w:rStyle w:val="JuJudgesItalicChar"/>
          <w:lang w:val="en-GB"/>
        </w:rPr>
        <w:t>Registrar</w:t>
      </w:r>
      <w:r w:rsidRPr="00F47072" w:rsidR="00F47072">
        <w:rPr>
          <w:lang w:val="en-GB"/>
        </w:rPr>
        <w:t xml:space="preserve">, and </w:t>
      </w:r>
      <w:r w:rsidRPr="004E7F2A" w:rsidR="00F47072">
        <w:rPr>
          <w:rStyle w:val="JuJudgesChar"/>
          <w:lang w:val="en-GB"/>
        </w:rPr>
        <w:t xml:space="preserve">Mr. H. </w:t>
      </w:r>
      <w:r w:rsidRPr="004E7F2A" w:rsidR="00F47072">
        <w:rPr>
          <w:rStyle w:val="JuNames"/>
          <w:lang w:val="en-GB"/>
        </w:rPr>
        <w:t>Petzold</w:t>
      </w:r>
      <w:r w:rsidRPr="004E7F2A" w:rsidR="00F47072">
        <w:rPr>
          <w:rStyle w:val="JuJudgesChar"/>
          <w:lang w:val="en-GB"/>
        </w:rPr>
        <w:t xml:space="preserve">, </w:t>
      </w:r>
      <w:r w:rsidRPr="004E7F2A" w:rsidR="00F47072">
        <w:rPr>
          <w:rStyle w:val="JuJudgesItalicChar"/>
          <w:lang w:val="en-GB"/>
        </w:rPr>
        <w:t>Deputy Registrar</w:t>
      </w:r>
      <w:r w:rsidRPr="00F47072" w:rsidR="00F47072">
        <w:rPr>
          <w:lang w:val="en-GB"/>
        </w:rPr>
        <w:t>,</w:t>
      </w:r>
    </w:p>
    <w:p w:rsidR="003B5C5F" w:rsidP="004E7F2A">
      <w:pPr>
        <w:pStyle w:val="JuPara"/>
        <w:rPr>
          <w:lang w:val="en-GB"/>
        </w:rPr>
      </w:pPr>
      <w:r w:rsidRPr="00F47072" w:rsidR="00F47072">
        <w:rPr>
          <w:lang w:val="en-GB"/>
        </w:rPr>
        <w:t xml:space="preserve">Having deliberated in private on 27 and </w:t>
      </w:r>
      <w:smartTag w:uri="urn:schemas-microsoft-com:office:smarttags" w:element="date">
        <w:smartTagPr>
          <w:attr w:name="Day" w:val="28"/>
          <w:attr w:name="Month" w:val="9"/>
          <w:attr w:name="Year" w:val="1985"/>
        </w:smartTagPr>
        <w:r w:rsidRPr="00F47072" w:rsidR="00F47072">
          <w:rPr>
            <w:lang w:val="en-GB"/>
          </w:rPr>
          <w:t>28 September 1985</w:t>
        </w:r>
      </w:smartTag>
      <w:r w:rsidRPr="00F47072" w:rsidR="00F47072">
        <w:rPr>
          <w:lang w:val="en-GB"/>
        </w:rPr>
        <w:t xml:space="preserve">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on 21 and </w:t>
      </w:r>
      <w:smartTag w:uri="urn:schemas-microsoft-com:office:smarttags" w:element="date">
        <w:smartTagPr>
          <w:attr w:name="Day" w:val="22"/>
          <w:attr w:name="Month" w:val="1"/>
          <w:attr w:name="Year" w:val="1986"/>
        </w:smartTagPr>
        <w:r w:rsidRPr="00F47072" w:rsidR="00F47072">
          <w:rPr>
            <w:lang w:val="en-GB"/>
          </w:rPr>
          <w:t>22 January 1986</w:t>
        </w:r>
      </w:smartTag>
      <w:r w:rsidRPr="00F47072" w:rsidR="00F47072">
        <w:rPr>
          <w:lang w:val="en-GB"/>
        </w:rPr>
        <w:t>,</w:t>
      </w:r>
    </w:p>
    <w:p w:rsidR="003B5C5F" w:rsidP="004E7F2A">
      <w:pPr>
        <w:pStyle w:val="JuPara"/>
        <w:rPr>
          <w:lang w:val="en-GB"/>
        </w:rPr>
      </w:pPr>
      <w:r w:rsidRPr="00F47072" w:rsidR="00F47072">
        <w:rPr>
          <w:lang w:val="en-GB"/>
        </w:rPr>
        <w:t>Delivers the following judgment, which was adopted 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last-mentioned date:</w:t>
      </w:r>
    </w:p>
    <w:p w:rsidR="003B5C5F" w:rsidP="004E7F2A">
      <w:pPr>
        <w:pStyle w:val="JuHHead"/>
        <w:rPr>
          <w:lang w:val="en-GB"/>
        </w:rPr>
      </w:pPr>
      <w:r w:rsidRPr="00F47072" w:rsidR="00F47072">
        <w:rPr>
          <w:lang w:val="en-GB"/>
        </w:rPr>
        <w:t>PROCEDURE</w:t>
      </w:r>
    </w:p>
    <w:p w:rsidR="003B5C5F" w:rsidP="00F907FC">
      <w:pPr>
        <w:pStyle w:val="JuPara"/>
        <w:rPr>
          <w:lang w:val="en-GB"/>
        </w:rPr>
      </w:pPr>
      <w:r w:rsidRPr="00F47072" w:rsidR="00F47072">
        <w:rPr>
          <w:lang w:val="en-GB"/>
        </w:rPr>
        <w:t>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present case was referred to the Court by the European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Commission of Human Rights ("the Commission") on </w:t>
      </w:r>
      <w:smartTag w:uri="urn:schemas-microsoft-com:office:smarttags" w:element="date">
        <w:smartTagPr>
          <w:attr w:name="Day" w:val="12"/>
          <w:attr w:name="Month" w:val="7"/>
          <w:attr w:name="Year" w:val="1984"/>
        </w:smartTagPr>
        <w:r w:rsidRPr="00F47072" w:rsidR="00F47072">
          <w:rPr>
            <w:lang w:val="en-GB"/>
          </w:rPr>
          <w:t>12 July 1984</w:t>
        </w:r>
      </w:smartTag>
      <w:r w:rsidRPr="00F47072" w:rsidR="00F47072">
        <w:rPr>
          <w:lang w:val="en-GB"/>
        </w:rPr>
        <w:t>, within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three-month period laid down by Article 32 para. 1 and Article 47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32-1, art. 47) of the Convention for the Protection of Human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Rights and Fundamental Freedoms ("the Convention").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case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originated in an application (no. 8793/79) against the United Kingdom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Great Britain and Northern Ireland, lodged with the Commission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1979 by four British citizens, namely John Nigel Courtenay James,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Gerald Cavendish the Sixth Duke of Westminster,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Patrick Geoffrey Corbett and Sir Richard Baker Wilbraham.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Commission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request referred to Articles 44 and 48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(art. 44, art. 48) and to the declaration whereby the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United Kingdom</w:t>
          </w:r>
        </w:smartTag>
      </w:smartTag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recognised the compulsory jurisdiction of the Court.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object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request was to obtain a decision by the Court as to whether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facts of the case disclosed a breach by the respondent State of its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obligations under Article 1 of Protocol No. 1 (P1-1)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Convention, taken alone or in conjunction with Article 14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14+P1-1) of the Convention, and under Article 13 (art. 13)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Convention.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response to the inquiry made in accordance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Rule 33 para. 3 (d) of the Rules of Court, the applicants stated that they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wished to take part in the proceedings pending before the Court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designated the lawyers who would represent them (Rule 30).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Chamber of seven judges to be constituted included, as ex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officio members, Sir Vincent Evans, the elected judge of British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nationality (Article 43 of the Convention) (art. 43),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Mr. G. Wiarda, the then President of the Court (Rule 21 para. 3 (b)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Rules of Court).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On 2 August 1984, the President drew by lot,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presence of the Registrar, the names of the five other members,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namely Mr. W. Ganshof van der Meersch, Mrs. D. Bindschedler-Robert,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Mr. G. Lagergren, Mr. R. Bernhardt and Mr. J. Gersing (Article 43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fine of the Convention and Rule 21 para. 4) (art. 43).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Mr. Wiarda assumed the office of President of the Chamber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(Rule 21 para. 5).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He ascertained, through the Registrar, the views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Agent of the United Kingdom Government ("the Government"),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Delegate of the Commission and the lawyers for the applicants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regarding the need for a written procedure (Rule 37 para. 1).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Thereafter, in accordance with the Orders and directions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President of the Chamber, the following documents were lodged at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registry: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 xml:space="preserve">- on </w:t>
      </w:r>
      <w:smartTag w:uri="urn:schemas-microsoft-com:office:smarttags" w:element="date">
        <w:smartTagPr>
          <w:attr w:name="Day" w:val="14"/>
          <w:attr w:name="Month" w:val="12"/>
          <w:attr w:name="Year" w:val="1984"/>
        </w:smartTagPr>
        <w:r w:rsidRPr="00F47072" w:rsidR="00F47072">
          <w:rPr>
            <w:lang w:val="en-GB"/>
          </w:rPr>
          <w:t>14 December 1984</w:t>
        </w:r>
      </w:smartTag>
      <w:r w:rsidRPr="00F47072" w:rsidR="00F47072">
        <w:rPr>
          <w:lang w:val="en-GB"/>
        </w:rPr>
        <w:t>, the memorial of the applicants, together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certain other documents referred to therein;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 xml:space="preserve">- on </w:t>
      </w:r>
      <w:smartTag w:uri="urn:schemas-microsoft-com:office:smarttags" w:element="date">
        <w:smartTagPr>
          <w:attr w:name="Day" w:val="22"/>
          <w:attr w:name="Month" w:val="12"/>
          <w:attr w:name="Year" w:val="1984"/>
        </w:smartTagPr>
        <w:r w:rsidRPr="00F47072" w:rsidR="00F47072">
          <w:rPr>
            <w:lang w:val="en-GB"/>
          </w:rPr>
          <w:t>22 December 1984</w:t>
        </w:r>
      </w:smartTag>
      <w:r w:rsidRPr="00F47072" w:rsidR="00F47072">
        <w:rPr>
          <w:lang w:val="en-GB"/>
        </w:rPr>
        <w:t>, the memorial of the Government.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 xml:space="preserve">By letter received on </w:t>
      </w:r>
      <w:smartTag w:uri="urn:schemas-microsoft-com:office:smarttags" w:element="date">
        <w:smartTagPr>
          <w:attr w:name="Day" w:val="19"/>
          <w:attr w:name="Month" w:val="4"/>
          <w:attr w:name="Year" w:val="1985"/>
        </w:smartTagPr>
        <w:r w:rsidRPr="00F47072" w:rsidR="00F47072">
          <w:rPr>
            <w:lang w:val="en-GB"/>
          </w:rPr>
          <w:t>19 April 1985</w:t>
        </w:r>
      </w:smartTag>
      <w:r w:rsidRPr="00F47072" w:rsidR="00F47072">
        <w:rPr>
          <w:lang w:val="en-GB"/>
        </w:rPr>
        <w:t>, the Secretary to the Commission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informed the Registrar that the Delegate did not wish to reply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writing to these memorials.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After consulting, through the Registrar, the Agent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Government, the Commission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Delegate and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representatives,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the President of the Chamber directed on </w:t>
      </w:r>
      <w:smartTag w:uri="urn:schemas-microsoft-com:office:smarttags" w:element="date">
        <w:smartTagPr>
          <w:attr w:name="Day" w:val="22"/>
          <w:attr w:name="Month" w:val="4"/>
          <w:attr w:name="Year" w:val="1985"/>
        </w:smartTagPr>
        <w:r w:rsidRPr="00F47072" w:rsidR="00F47072">
          <w:rPr>
            <w:lang w:val="en-GB"/>
          </w:rPr>
          <w:t>22 April 1985</w:t>
        </w:r>
      </w:smartTag>
      <w:r w:rsidRPr="00F47072" w:rsidR="00F47072">
        <w:rPr>
          <w:lang w:val="en-GB"/>
        </w:rPr>
        <w:t xml:space="preserve"> that the oral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proceedings should open on </w:t>
      </w:r>
      <w:smartTag w:uri="urn:schemas-microsoft-com:office:smarttags" w:element="date">
        <w:smartTagPr>
          <w:attr w:name="Day" w:val="23"/>
          <w:attr w:name="Month" w:val="9"/>
          <w:attr w:name="Year" w:val="1985"/>
        </w:smartTagPr>
        <w:r w:rsidRPr="00F47072" w:rsidR="00F47072">
          <w:rPr>
            <w:lang w:val="en-GB"/>
          </w:rPr>
          <w:t>23 September 1985</w:t>
        </w:r>
      </w:smartTag>
      <w:r w:rsidRPr="00F47072" w:rsidR="00F47072">
        <w:rPr>
          <w:lang w:val="en-GB"/>
        </w:rPr>
        <w:t xml:space="preserve"> (Rule 38).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 xml:space="preserve">On </w:t>
      </w:r>
      <w:smartTag w:uri="urn:schemas-microsoft-com:office:smarttags" w:element="date">
        <w:smartTagPr>
          <w:attr w:name="Day" w:val="26"/>
          <w:attr w:name="Month" w:val="6"/>
          <w:attr w:name="Year" w:val="1985"/>
        </w:smartTagPr>
        <w:r w:rsidRPr="00F47072" w:rsidR="00F47072">
          <w:rPr>
            <w:lang w:val="en-GB"/>
          </w:rPr>
          <w:t>26 June 1985</w:t>
        </w:r>
      </w:smartTag>
      <w:r w:rsidRPr="00F47072" w:rsidR="00F47072">
        <w:rPr>
          <w:lang w:val="en-GB"/>
        </w:rPr>
        <w:t>, the Chamber decided to relinquish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jurisdiction forthwith in favour of the plenary Court (Rule 50).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 xml:space="preserve">The hearings were held in public at the </w:t>
      </w:r>
      <w:smartTag w:uri="urn:schemas-microsoft-com:office:smarttags" w:element="place">
        <w:smartTag w:uri="urn:schemas-microsoft-com:office:smarttags" w:element="PlaceName">
          <w:r w:rsidRPr="00F47072" w:rsidR="00F47072">
            <w:rPr>
              <w:lang w:val="en-GB"/>
            </w:rPr>
            <w:t>Human</w:t>
          </w:r>
        </w:smartTag>
        <w:r w:rsidRPr="00F47072" w:rsidR="00F47072">
          <w:rPr>
            <w:lang w:val="en-GB"/>
          </w:rPr>
          <w:t xml:space="preserve"> </w:t>
        </w:r>
        <w:smartTag w:uri="urn:schemas-microsoft-com:office:smarttags" w:element="PlaceName">
          <w:r w:rsidRPr="00F47072" w:rsidR="00F47072">
            <w:rPr>
              <w:lang w:val="en-GB"/>
            </w:rPr>
            <w:t>Rights</w:t>
          </w:r>
        </w:smartTag>
        <w:r w:rsidRPr="00F47072" w:rsidR="00F47072">
          <w:rPr>
            <w:lang w:val="en-GB"/>
          </w:rPr>
          <w:t xml:space="preserve"> </w:t>
        </w:r>
        <w:smartTag w:uri="urn:schemas-microsoft-com:office:smarttags" w:element="PlaceType">
          <w:r w:rsidRPr="00F47072" w:rsidR="00F47072">
            <w:rPr>
              <w:lang w:val="en-GB"/>
            </w:rPr>
            <w:t>Building</w:t>
          </w:r>
        </w:smartTag>
      </w:smartTag>
      <w:r w:rsidRPr="00F47072" w:rsidR="00F47072">
        <w:rPr>
          <w:lang w:val="en-GB"/>
        </w:rPr>
        <w:t>,</w:t>
      </w:r>
      <w:r w:rsidR="00F47072">
        <w:rPr>
          <w:lang w:val="en-GB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Strasbourg</w:t>
          </w:r>
        </w:smartTag>
      </w:smartTag>
      <w:r w:rsidRPr="00F47072" w:rsidR="00F47072">
        <w:rPr>
          <w:lang w:val="en-GB"/>
        </w:rPr>
        <w:t xml:space="preserve">, on 23 and </w:t>
      </w:r>
      <w:smartTag w:uri="urn:schemas-microsoft-com:office:smarttags" w:element="date">
        <w:smartTagPr>
          <w:attr w:name="Day" w:val="24"/>
          <w:attr w:name="Month" w:val="9"/>
          <w:attr w:name="Year" w:val="1985"/>
        </w:smartTagPr>
        <w:r w:rsidRPr="00F47072" w:rsidR="00F47072">
          <w:rPr>
            <w:lang w:val="en-GB"/>
          </w:rPr>
          <w:t>24 September 1985</w:t>
        </w:r>
      </w:smartTag>
      <w:r w:rsidRPr="00F47072" w:rsidR="00F47072">
        <w:rPr>
          <w:lang w:val="en-GB"/>
        </w:rPr>
        <w:t>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Immediately before they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opened, the Court had held a preparatory meeting.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During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hearings, the Government and the applicants filed written answers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questions put by the Court.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There appeared before the Court: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- for the Government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M. </w:t>
      </w:r>
      <w:r w:rsidRPr="00502B75" w:rsidR="00F47072">
        <w:rPr>
          <w:rStyle w:val="JuNames"/>
          <w:lang w:val="en-GB"/>
        </w:rPr>
        <w:t>Eaton</w:t>
      </w:r>
      <w:r w:rsidRPr="00F47072" w:rsidR="00F47072">
        <w:rPr>
          <w:lang w:val="en-GB"/>
        </w:rPr>
        <w:t>, Legal Counsellor,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  <w:tab/>
        <w:tab/>
      </w:r>
      <w:r w:rsidRPr="00F47072" w:rsidR="00F47072">
        <w:rPr>
          <w:lang w:val="en-GB"/>
        </w:rPr>
        <w:t>F</w:t>
      </w:r>
      <w:r w:rsidR="00FF6C08">
        <w:rPr>
          <w:lang w:val="en-GB"/>
        </w:rPr>
        <w:t xml:space="preserve">oreign and Commonwealth Office, </w:t>
      </w:r>
      <w:r w:rsidR="00502B75">
        <w:rPr>
          <w:lang w:val="en-GB"/>
        </w:rPr>
        <w:tab/>
      </w:r>
      <w:r w:rsidRPr="00502B75" w:rsidR="00F47072">
        <w:rPr>
          <w:i/>
          <w:lang w:val="en-GB"/>
        </w:rPr>
        <w:t>Agent</w:t>
      </w:r>
      <w:r w:rsidRPr="00F47072" w:rsidR="00F47072">
        <w:rPr>
          <w:lang w:val="en-GB"/>
        </w:rPr>
        <w:t>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R. </w:t>
      </w:r>
      <w:r w:rsidRPr="00502B75" w:rsidR="00F47072">
        <w:rPr>
          <w:rStyle w:val="JuNames"/>
          <w:lang w:val="en-GB"/>
        </w:rPr>
        <w:t>Alexander</w:t>
      </w:r>
      <w:r w:rsidRPr="00F47072" w:rsidR="00F47072">
        <w:rPr>
          <w:lang w:val="en-GB"/>
        </w:rPr>
        <w:t>, Q.C.,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N. </w:t>
      </w:r>
      <w:r w:rsidRPr="00502B75" w:rsidR="00F47072">
        <w:rPr>
          <w:rStyle w:val="JuNames"/>
          <w:lang w:val="en-GB"/>
        </w:rPr>
        <w:t>Bratza</w:t>
      </w:r>
      <w:r w:rsidRPr="00F47072" w:rsidR="00F47072">
        <w:rPr>
          <w:lang w:val="en-GB"/>
        </w:rPr>
        <w:t xml:space="preserve">, Barrister-at-Law, </w:t>
      </w:r>
      <w:r w:rsidR="00502B75">
        <w:rPr>
          <w:lang w:val="en-GB"/>
        </w:rPr>
        <w:tab/>
      </w:r>
      <w:r w:rsidRPr="00502B75" w:rsidR="00F47072">
        <w:rPr>
          <w:i/>
          <w:lang w:val="en-GB"/>
        </w:rPr>
        <w:t>Counsel</w:t>
      </w:r>
      <w:r w:rsidRPr="00F47072" w:rsidR="00F47072">
        <w:rPr>
          <w:lang w:val="en-GB"/>
        </w:rPr>
        <w:t>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J. </w:t>
      </w:r>
      <w:r w:rsidRPr="00502B75" w:rsidR="00F47072">
        <w:rPr>
          <w:rStyle w:val="JuNames"/>
          <w:lang w:val="en-GB"/>
        </w:rPr>
        <w:t>Cane</w:t>
      </w:r>
      <w:r w:rsidRPr="00F47072" w:rsidR="00F47072">
        <w:rPr>
          <w:lang w:val="en-GB"/>
        </w:rPr>
        <w:t>, Department of the Environment,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Ms. D. </w:t>
      </w:r>
      <w:r w:rsidRPr="00502B75" w:rsidR="00F47072">
        <w:rPr>
          <w:rStyle w:val="JuNames"/>
          <w:lang w:val="en-GB"/>
        </w:rPr>
        <w:t>Phillips</w:t>
      </w:r>
      <w:r w:rsidRPr="00F47072" w:rsidR="00F47072">
        <w:rPr>
          <w:lang w:val="en-GB"/>
        </w:rPr>
        <w:t xml:space="preserve">, Department of the Environment, </w:t>
      </w:r>
      <w:r w:rsidR="00502B75">
        <w:rPr>
          <w:lang w:val="en-GB"/>
        </w:rPr>
        <w:tab/>
      </w:r>
      <w:r w:rsidRPr="00502B75" w:rsidR="00F47072">
        <w:rPr>
          <w:i/>
          <w:lang w:val="en-GB"/>
        </w:rPr>
        <w:t>Advisers</w:t>
      </w:r>
      <w:r w:rsidRPr="00F47072" w:rsidR="00F47072">
        <w:rPr>
          <w:lang w:val="en-GB"/>
        </w:rPr>
        <w:t>;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- for the Commission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Gaukur </w:t>
      </w:r>
      <w:r w:rsidRPr="00502B75" w:rsidR="00F47072">
        <w:rPr>
          <w:rStyle w:val="JuNames"/>
          <w:lang w:val="en-GB"/>
        </w:rPr>
        <w:t>Jörundsson</w:t>
      </w:r>
      <w:r w:rsidRPr="00F47072" w:rsidR="00F47072">
        <w:rPr>
          <w:lang w:val="en-GB"/>
        </w:rPr>
        <w:t xml:space="preserve">, </w:t>
      </w:r>
      <w:r w:rsidR="00502B75">
        <w:rPr>
          <w:lang w:val="en-GB"/>
        </w:rPr>
        <w:tab/>
      </w:r>
      <w:r w:rsidRPr="00502B75" w:rsidR="00F47072">
        <w:rPr>
          <w:i/>
          <w:lang w:val="en-GB"/>
        </w:rPr>
        <w:t>Delegate</w:t>
      </w:r>
      <w:r w:rsidRPr="00F47072" w:rsidR="00F47072">
        <w:rPr>
          <w:lang w:val="en-GB"/>
        </w:rPr>
        <w:t>;</w:t>
      </w:r>
    </w:p>
    <w:p w:rsidR="003B5C5F" w:rsidP="00FF6C08">
      <w:pPr>
        <w:pStyle w:val="JuPara"/>
        <w:rPr>
          <w:lang w:val="en-GB"/>
        </w:rPr>
      </w:pPr>
      <w:r w:rsidRPr="00F47072" w:rsidR="00F47072">
        <w:rPr>
          <w:lang w:val="en-GB"/>
        </w:rPr>
        <w:t>- for the applicants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>The Hon.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 xml:space="preserve">Michael </w:t>
      </w:r>
      <w:r w:rsidRPr="00502B75" w:rsidR="00F47072">
        <w:rPr>
          <w:rStyle w:val="JuNames"/>
          <w:lang w:val="en-GB"/>
        </w:rPr>
        <w:t>Beloff</w:t>
      </w:r>
      <w:r w:rsidRPr="00F47072" w:rsidR="00F47072">
        <w:rPr>
          <w:lang w:val="en-GB"/>
        </w:rPr>
        <w:t>, Q.C.,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F. </w:t>
      </w:r>
      <w:r w:rsidRPr="00502B75" w:rsidR="00F47072">
        <w:rPr>
          <w:rStyle w:val="JuNames"/>
          <w:lang w:val="en-GB"/>
        </w:rPr>
        <w:t>Jacobs</w:t>
      </w:r>
      <w:r w:rsidRPr="00F47072" w:rsidR="00F47072">
        <w:rPr>
          <w:lang w:val="en-GB"/>
        </w:rPr>
        <w:t>, Q.C.,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D. </w:t>
      </w:r>
      <w:r w:rsidRPr="00502B75" w:rsidR="00F47072">
        <w:rPr>
          <w:rStyle w:val="JuNames"/>
          <w:lang w:val="en-GB"/>
        </w:rPr>
        <w:t>Neuberger</w:t>
      </w:r>
      <w:r w:rsidRPr="00F47072" w:rsidR="00F47072">
        <w:rPr>
          <w:lang w:val="en-GB"/>
        </w:rPr>
        <w:t xml:space="preserve">, </w:t>
      </w:r>
      <w:r w:rsidR="00502B75">
        <w:rPr>
          <w:lang w:val="en-GB"/>
        </w:rPr>
        <w:tab/>
      </w:r>
      <w:r w:rsidRPr="00502B75" w:rsidR="00F47072">
        <w:rPr>
          <w:i/>
          <w:lang w:val="en-GB"/>
        </w:rPr>
        <w:t>Counsel</w:t>
      </w:r>
      <w:r w:rsidRPr="00F47072" w:rsidR="00F47072">
        <w:rPr>
          <w:lang w:val="en-GB"/>
        </w:rPr>
        <w:t>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T. Seager </w:t>
      </w:r>
      <w:smartTag w:uri="urn:schemas-microsoft-com:office:smarttags" w:element="place">
        <w:smartTag w:uri="urn:schemas-microsoft-com:office:smarttags" w:element="State">
          <w:r w:rsidRPr="00502B75" w:rsidR="00F47072">
            <w:rPr>
              <w:rStyle w:val="JuNames"/>
              <w:lang w:val="en-GB"/>
            </w:rPr>
            <w:t>Berry</w:t>
          </w:r>
        </w:smartTag>
      </w:smartTag>
      <w:r w:rsidRPr="00F47072" w:rsidR="00F47072">
        <w:rPr>
          <w:lang w:val="en-GB"/>
        </w:rPr>
        <w:t>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P. </w:t>
      </w:r>
      <w:r w:rsidRPr="00502B75" w:rsidR="00F47072">
        <w:rPr>
          <w:rStyle w:val="JuNames"/>
          <w:lang w:val="en-GB"/>
        </w:rPr>
        <w:t>Howcroft</w:t>
      </w:r>
      <w:r w:rsidRPr="00F47072" w:rsidR="00F47072">
        <w:rPr>
          <w:lang w:val="en-GB"/>
        </w:rPr>
        <w:t>, Solicitors,</w:t>
      </w:r>
    </w:p>
    <w:p w:rsidR="003B5C5F" w:rsidP="00FF6C08">
      <w:pPr>
        <w:pStyle w:val="JuCourt"/>
        <w:rPr>
          <w:lang w:val="en-GB"/>
        </w:rPr>
      </w:pPr>
      <w:r w:rsidR="00502B75">
        <w:rPr>
          <w:lang w:val="en-GB"/>
        </w:rPr>
        <w:tab/>
      </w:r>
      <w:r w:rsidRPr="00F47072" w:rsidR="00F47072">
        <w:rPr>
          <w:lang w:val="en-GB"/>
        </w:rPr>
        <w:t xml:space="preserve">Mr. H. </w:t>
      </w:r>
      <w:r w:rsidRPr="00502B75" w:rsidR="00F47072">
        <w:rPr>
          <w:rStyle w:val="JuNames"/>
          <w:lang w:val="en-GB"/>
        </w:rPr>
        <w:t>Kidd</w:t>
      </w:r>
      <w:r w:rsidRPr="00F47072" w:rsidR="00F47072">
        <w:rPr>
          <w:lang w:val="en-GB"/>
        </w:rPr>
        <w:t xml:space="preserve">, </w:t>
      </w:r>
      <w:r w:rsidR="00502B75">
        <w:rPr>
          <w:lang w:val="en-GB"/>
        </w:rPr>
        <w:tab/>
      </w:r>
      <w:r w:rsidRPr="00502B75" w:rsidR="00F47072">
        <w:rPr>
          <w:i/>
          <w:lang w:val="en-GB"/>
        </w:rPr>
        <w:t>Adviser</w:t>
      </w:r>
      <w:r w:rsidRPr="00F47072" w:rsidR="00F47072">
        <w:rPr>
          <w:lang w:val="en-GB"/>
        </w:rPr>
        <w:t>.</w:t>
      </w:r>
    </w:p>
    <w:p w:rsidR="003B5C5F" w:rsidP="00536A69">
      <w:pPr>
        <w:pStyle w:val="JuPara"/>
        <w:rPr>
          <w:lang w:val="en-GB"/>
        </w:rPr>
      </w:pPr>
      <w:r w:rsidRPr="00F47072" w:rsidR="00F47072">
        <w:rPr>
          <w:lang w:val="en-GB"/>
        </w:rPr>
        <w:t>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Court heard addresses by Mr. Alexander for the Government,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Mr. Gaukur Jörundsson for the Commission and by Mr. Beloff for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applicants, as well as their replies to its questions.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applicants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subsequently completed in writing their replies, in a document filed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at the registry on </w:t>
      </w:r>
      <w:smartTag w:uri="urn:schemas-microsoft-com:office:smarttags" w:element="date">
        <w:smartTagPr>
          <w:attr w:name="Day" w:val="13"/>
          <w:attr w:name="Month" w:val="11"/>
          <w:attr w:name="Year" w:val="1985"/>
        </w:smartTagPr>
        <w:r w:rsidRPr="00F47072" w:rsidR="00F47072">
          <w:rPr>
            <w:lang w:val="en-GB"/>
          </w:rPr>
          <w:t>13 November 1985</w:t>
        </w:r>
      </w:smartTag>
      <w:r w:rsidRPr="00F47072" w:rsidR="00F47072">
        <w:rPr>
          <w:lang w:val="en-GB"/>
        </w:rPr>
        <w:t>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Government submitted written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comments on these replies on </w:t>
      </w:r>
      <w:smartTag w:uri="urn:schemas-microsoft-com:office:smarttags" w:element="date">
        <w:smartTagPr>
          <w:attr w:name="Day" w:val="10"/>
          <w:attr w:name="Month" w:val="1"/>
          <w:attr w:name="Year" w:val="1986"/>
        </w:smartTagPr>
        <w:r w:rsidRPr="00F47072" w:rsidR="00F47072">
          <w:rPr>
            <w:lang w:val="en-GB"/>
          </w:rPr>
          <w:t>10 January 1986</w:t>
        </w:r>
      </w:smartTag>
      <w:r w:rsidRPr="00F47072" w:rsidR="00F47072">
        <w:rPr>
          <w:lang w:val="en-GB"/>
        </w:rPr>
        <w:t>.</w:t>
      </w:r>
    </w:p>
    <w:p w:rsidR="003B5C5F" w:rsidP="00536A69">
      <w:pPr>
        <w:pStyle w:val="JuHHead"/>
        <w:rPr>
          <w:lang w:val="en-GB"/>
        </w:rPr>
      </w:pPr>
      <w:r w:rsidRPr="00F47072" w:rsidR="00F47072">
        <w:rPr>
          <w:lang w:val="en-GB"/>
        </w:rPr>
        <w:t>AS TO THE FACTS</w:t>
      </w:r>
    </w:p>
    <w:p w:rsidR="003B5C5F" w:rsidP="00536A69">
      <w:pPr>
        <w:pStyle w:val="JuHA"/>
        <w:rPr>
          <w:lang w:val="en-GB"/>
        </w:rPr>
      </w:pPr>
      <w:r w:rsidRPr="00F47072" w:rsidR="00F47072">
        <w:rPr>
          <w:lang w:val="en-GB"/>
        </w:rPr>
        <w:t>A.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Introduction</w:t>
      </w:r>
    </w:p>
    <w:p w:rsidR="003B5C5F" w:rsidP="00536A69">
      <w:pPr>
        <w:pStyle w:val="JuPara"/>
        <w:rPr>
          <w:lang w:val="en-GB"/>
        </w:rPr>
      </w:pPr>
      <w:r w:rsidRPr="00F47072" w:rsidR="00F47072">
        <w:rPr>
          <w:lang w:val="en-GB"/>
        </w:rPr>
        <w:t>10.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are or were trustees acting under the Will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Second Duke of Westminster.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first applicant, John Nigel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Courtenay James, is a chartered surveyor resident in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London</w:t>
          </w:r>
        </w:smartTag>
      </w:smartTag>
      <w:r w:rsidRPr="00F47072" w:rsidR="00F47072">
        <w:rPr>
          <w:lang w:val="en-GB"/>
        </w:rPr>
        <w:t>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second applicant, Gerald Cavendish the Sixth Duke of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Westminster</w:t>
          </w:r>
        </w:smartTag>
      </w:smartTag>
      <w:r w:rsidRPr="00F47072" w:rsidR="00F47072">
        <w:rPr>
          <w:lang w:val="en-GB"/>
        </w:rPr>
        <w:t>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resides at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Chester</w:t>
          </w:r>
        </w:smartTag>
      </w:smartTag>
      <w:r w:rsidRPr="00F47072" w:rsidR="00F47072">
        <w:rPr>
          <w:lang w:val="en-GB"/>
        </w:rPr>
        <w:t>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third applicant, Patrick Geoffrey Corbett,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is a chartered accountant resident in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Sussex</w:t>
          </w:r>
        </w:smartTag>
      </w:smartTag>
      <w:r w:rsidRPr="00F47072" w:rsidR="00F47072">
        <w:rPr>
          <w:lang w:val="en-GB"/>
        </w:rPr>
        <w:t>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fourth applicant,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Sir Richard Baker Wilbraham, is a banker in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London</w:t>
          </w:r>
        </w:smartTag>
      </w:smartTag>
      <w:r w:rsidRPr="00F47072" w:rsidR="00F47072">
        <w:rPr>
          <w:lang w:val="en-GB"/>
        </w:rPr>
        <w:t>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fourth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applicant was appointed as trustee on </w:t>
      </w:r>
      <w:smartTag w:uri="urn:schemas-microsoft-com:office:smarttags" w:element="date">
        <w:smartTagPr>
          <w:attr w:name="Day" w:val="31"/>
          <w:attr w:name="Month" w:val="12"/>
          <w:attr w:name="Year" w:val="1981"/>
        </w:smartTagPr>
        <w:r w:rsidRPr="00F47072" w:rsidR="00F47072">
          <w:rPr>
            <w:lang w:val="en-GB"/>
          </w:rPr>
          <w:t>31 December 1981</w:t>
        </w:r>
      </w:smartTag>
      <w:r w:rsidRPr="00F47072" w:rsidR="00F47072">
        <w:rPr>
          <w:lang w:val="en-GB"/>
        </w:rPr>
        <w:t xml:space="preserve"> in place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third applicant, who retired.</w:t>
      </w:r>
    </w:p>
    <w:p w:rsidR="003B5C5F" w:rsidP="00536A69">
      <w:pPr>
        <w:pStyle w:val="JuPara"/>
        <w:rPr>
          <w:lang w:val="en-GB"/>
        </w:rPr>
      </w:pPr>
      <w:r w:rsidRPr="00F47072" w:rsidR="00F47072">
        <w:rPr>
          <w:lang w:val="en-GB"/>
        </w:rPr>
        <w:t>In the area of Belgravia in Central London, upon a site which was once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farmland on the outskirts of the City of London, the Westminster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family and its trustees have developed a large Estate comprising about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2,000 houses which has become one of the most desirable residential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areas in the capital.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applicants, as trustees, have been deprived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their ownership of a number of properties in this Estate through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exercise by the occupants of rights of acquisition conferred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Leasehold Reform Act 1967, as amended.</w:t>
      </w:r>
    </w:p>
    <w:p w:rsidR="003B5C5F" w:rsidP="00536A69">
      <w:pPr>
        <w:pStyle w:val="JuPara"/>
        <w:rPr>
          <w:lang w:val="en-GB"/>
        </w:rPr>
      </w:pPr>
      <w:r w:rsidRPr="00F47072" w:rsidR="00F47072">
        <w:rPr>
          <w:lang w:val="en-GB"/>
        </w:rPr>
        <w:t>11.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This legislation confers on tenants residing in houses held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"long leases" (over, or renewed for periods totalling over, 21 years)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at "low rents" the right to purchase compulsorily the "freehold"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property (the ground landlord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interest) on prescribed terms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subject to certain prescribed conditions (see paragraphs 20 to 26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below).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Under the system of long leaseholds, a tenant will typically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purchase a long lease of property for a capital sum and pay a small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even nominal rent for it thereafter.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lease is a real-property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interest, registerable in the Land Registry.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legislation in issue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the present case is not concerned with the ordinary system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rented tenure under which the tenant pays a "rack rent" reflecting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full annual value of the property.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landlord/tenant relationship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under the ordinary system is regulated, for houses under a certain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(rateable) value, by separate legislation in the form of the "Rent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Acts", which provide machinery for fixing "fair rents" and provide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certain security of tenure for tenants.</w:t>
      </w:r>
    </w:p>
    <w:p w:rsidR="003B5C5F" w:rsidP="002F14C8">
      <w:pPr>
        <w:pStyle w:val="JuHA"/>
        <w:rPr>
          <w:lang w:val="en-GB"/>
        </w:rPr>
      </w:pPr>
      <w:r w:rsidRPr="00F47072" w:rsidR="00F47072">
        <w:rPr>
          <w:lang w:val="en-GB"/>
        </w:rPr>
        <w:t>B.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system of long leasehold tenure and the background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 Reform Act 1967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12.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Two principal forms of long lease of residential property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exist.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first is a building lease, typically for 99 years, under which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 pays a "ground rent" - a low rent fixed by reference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 of the bare site - and undertakes to erect a house on the site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in general also to deliver it up in good repair at the end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second is a premium lease where the tenant pays the landlord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capital sum or "premium" for a house provided by the landlord,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thereafter a rent.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duration of the lease is variable, as are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relative proportions of premium and rent.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According to evidence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submitted to the Court, the premium charged will typically take into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account the building cost and an appropriate profit element.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Factors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entering into the calculation will normally include the length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proposed lease, its terms (for example, whether sub-letting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allowed) and the state of the property at the time when the lease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granted.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method used to calculate the premiums under the leases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concerned in the present case is described below (paragraph 27).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distinction between the two types of lease is not clear-cut.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example, a "premium lease" may contain an obligation to carry out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substantial repairs, alterations, additions or improvements to 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existing property, and thus be analogous to a building lease.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event, it is the almost invariable practice for the lease to contain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clause making the tenant responsible for all running repairs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house during the currency of the lease and requiring him to yield up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property at the end of the lease in good repair.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tenant holding a property under a long lease may normally sell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 to a third party, who then acquires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rights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obligations under the lease for the remainder of its duration.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practice, leases are commonly bought and sold on the property market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without the landlord playing any part in the transaction.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 tenant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may normally also grant an "under-lease" of the property.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As a matter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law, however, whether there is a right to sell the lease or sublet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depends on the terms of the particular lease.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13.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capital value of the landlord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 in a property let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 a long lease arises from two sources: firstly, the rent payable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under the lease and, secondly, the prospect of reversion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to him at the end of the lease.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At the beginning of a very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long lease the value of the reversion may be very little and the total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market value of the landlord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 may therefore amount to little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more than the capitalised value of the rent.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capital value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 arises from his right to occupy the house under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lease, and the time for which that right will subsist is of critical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importance in relation to its value.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At the beginning of a very long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lease, the value of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 may be more or less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equivalent to a "freehold" interest if the rent payable is a nominal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one.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lease, however, is a wasting asset.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As a lease progresses,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 of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 in the property diminishes, whilst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 of the landlord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 increases.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At the end of the lease,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interest ceases to exist and the buildings, including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improvements and repairs made, revert to the landlord without 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compensation to the tenant.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sum of the values of the landlord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and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respective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interests is less than the freehold value of the property with vacant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possession, since neither the landlord alone nor the tenant alone can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offer a third party the freehold with such possession.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If, however,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reversion is sold to the occupying tenant, who can then merge both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interests into a simple freehold, its value is greater than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investment value to a third party purchasing the reversion subject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existing lease.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free market transactions, it is usual for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vendor and the purchaser to share this additional value, known as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"merger value", in agreed proportions.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14.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long-leasehold system of tenure has been widely used in</w:t>
      </w:r>
      <w:r w:rsidR="00F47072">
        <w:rPr>
          <w:lang w:val="en-GB"/>
        </w:rPr>
        <w:t xml:space="preserve">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England</w:t>
          </w:r>
        </w:smartTag>
      </w:smartTag>
      <w:r w:rsidRPr="00F47072" w:rsidR="00F47072">
        <w:rPr>
          <w:lang w:val="en-GB"/>
        </w:rPr>
        <w:t xml:space="preserve"> and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Wales</w:t>
          </w:r>
        </w:smartTag>
      </w:smartTag>
      <w:r w:rsidRPr="00F47072" w:rsidR="00F47072">
        <w:rPr>
          <w:lang w:val="en-GB"/>
        </w:rPr>
        <w:t>, and in particular was associated with much urban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development in the nineteenth century following the industrial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revolution.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15.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From about 1880 onwards, demands began to be made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"leasehold enfranchisement", that is the right for tenants to purchase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compulsorily the freehold of their holdings.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Between 1884 and 1929,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number of unsuccessful Bills to grant some measure of leasehold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were introduced into Parliament.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16.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Demand for reform of the law revived soon after the Second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World War and in 1948 a Committee (the Leasehold Committee)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appointed by the Lord Chancellor to consider various aspects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 question.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In their report, presented to Parliament in 1950 (Command Paper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Cmd 7982), the majority of the Committee came out against giving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a right of enfranchisement.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concluded that there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both general objections of principle and practical obstacles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such a course of action.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further believed that "leasehold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... would not be in the public interest"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(paragraph 100).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did, however, recommend that occupying tenants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houses under a certain rateable value should have security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tenure under the Rent Acts.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minority report of the Committee drew attention to the strong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bitter sense of injustice felt by long leaseholders in the case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building leases and recommended that certain occupying tenants should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have a right of leasehold enfranchisement by compulsory purchase.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The Labour Government of the day did not have time to put forward 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permanent legislation following the Leasehold Committee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report.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Conservative Government elected in 1951 accepted the majority view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Committee, and its recommendations were enacted in the Landlord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Tenant Act 1954 ("the 1954 Act").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broad terms, the effect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this Act was - and still is - that on the expiry of a long residential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 the tenant should have the right to continue occupying the house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a sitting tenant under the Rent Acts, paying a "fair rent"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defined in those Acts and enjoying the security of tenure afforded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ordinary rent 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privilege is transferable on death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other members of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family residing in the property.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17.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Public discussion of the matter continued.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1961, claims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were made in Parliament that leaseholders were being subjected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hardship as a result of the onerous terms which landlords were asking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the sale of reversions or for the extension or renewal of existing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Enquiries were made by the Government who invited the bodies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representing professions most experienced in the field (solicitors,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surveyors, auctioneers, estate and property agents) to report 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practice of ground landlords in this respect.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July 1962, a White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Paper was published presenting a summary of their assessments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(Residential Leasehold Property - Command Paper Cmnd 1789).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general, the professional bodies appeared to find that the existing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system worked adequately, although there was widespread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dissatisfaction among tenants as to the limited nature of the interest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they held.</w:t>
      </w:r>
    </w:p>
    <w:p w:rsidR="003B5C5F" w:rsidP="002F14C8">
      <w:pPr>
        <w:pStyle w:val="JuPara"/>
        <w:rPr>
          <w:lang w:val="en-GB"/>
        </w:rPr>
      </w:pPr>
      <w:r w:rsidRPr="00F47072" w:rsidR="00F47072">
        <w:rPr>
          <w:lang w:val="en-GB"/>
        </w:rPr>
        <w:t>18.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For some years compulsory enfranchisement had been part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Labour Party policy.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After the election of a Labour Government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1964, a further White Paper was published in 1966 setting out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proposals for reform including a scheme of compulsory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enfranchisement (Leasehold Reform in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England</w:t>
          </w:r>
        </w:smartTag>
      </w:smartTag>
      <w:r w:rsidRPr="00F47072" w:rsidR="00F47072">
        <w:rPr>
          <w:lang w:val="en-GB"/>
        </w:rPr>
        <w:t xml:space="preserve"> and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Wales</w:t>
          </w:r>
        </w:smartTag>
      </w:smartTag>
      <w:r w:rsidRPr="00F47072" w:rsidR="00F47072">
        <w:rPr>
          <w:lang w:val="en-GB"/>
        </w:rPr>
        <w:t xml:space="preserve"> - Command Paper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Cmnd 2916).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grounds on which the Government considered reform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 necessary were set out as follows: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"The purpose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1.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White Paper is concerned with residential long leases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particularly those granted originally in the latter half of the last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century.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 case of long leases, experience has shown that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system has worked very unfairly against the occupying leaseholder.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freeholder has provided the land; but in the great majority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cases it is the leaseholder or his predecessor in title who at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own expense have built the house on the land.</w:t>
      </w:r>
      <w:r w:rsidR="009D43C3">
        <w:rPr>
          <w:lang w:val="en-GB"/>
        </w:rPr>
        <w:t xml:space="preserve"> </w:t>
      </w:r>
      <w:r w:rsidRPr="00F47072" w:rsidR="00F47072">
        <w:rPr>
          <w:lang w:val="en-GB"/>
        </w:rPr>
        <w:t>Whether this is so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 in all cases, it is almost universally true that over the years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the lessee and his predecessors who have borne the cost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improvements and maintenance, and these will probably have cost far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more than the original building itself.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At their expense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leaseholders have preserved it as a habitable dwelling and have used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as such, and not unnaturally, an occupying leaseholder who at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end of the term has lived in it for such a period of years regards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his family home.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is in such cases quite indefensible, if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justice is to be done as between freeholder and occupying leaseholder,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that at the end of the term, the law should allow the ownership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house to revert to the freeholder without his paying anything for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 that he gets not only the land but also the house, the improvements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everything the leaseholder and his predecessors have added to it.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2.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Government has decided that a solution must be found to right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this injustice.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 Government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view the basic principle of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reform which will do justice between the parties should be that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freeholder owns the land and the occupying leaseholder is morally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entitled to the ownership of the building which has been put on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maintained on that land.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3.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Two circumstances make reform a matter of urgency.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First, most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people buy their house on mortgage and for them the leasehold system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works particularly harshly.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 purchaser on mortgage may pay virtually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freehold price for a lease with a good many years to run but as 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reaches the end of his mortgage term he will feel a sharpening sense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injustice.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He will realise that after he has discharged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mortgage he will have an interest far less valuable than it was when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he bought it, and difficult to sell because a subsequent purchaser may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 be able to get a mortgage.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is the reality now confronting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many owner occupiers who purchased their houses on setting up home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immediately after the war.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Second, a great many leasehold estates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were built in the second half of the nineteenth century when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landowners used their monopoly power to prevent development taking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place on other than leasehold terms.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occurred particularly in</w:t>
      </w:r>
      <w:r w:rsidR="00F47072">
        <w:rPr>
          <w:lang w:val="en-GB"/>
        </w:rPr>
        <w:t xml:space="preserve"> </w:t>
      </w:r>
      <w:smartTag w:uri="urn:schemas-microsoft-com:office:smarttags" w:element="place">
        <w:r w:rsidRPr="00F47072" w:rsidR="00F47072">
          <w:rPr>
            <w:lang w:val="en-GB"/>
          </w:rPr>
          <w:t>South Wales</w:t>
        </w:r>
      </w:smartTag>
      <w:r w:rsidRPr="00F47072" w:rsidR="00F47072">
        <w:rPr>
          <w:lang w:val="en-GB"/>
        </w:rPr>
        <w:t xml:space="preserve"> and in some English areas.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These leases are beginning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fall in and the leaseholders are now experiencing the full harshness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leasehold system.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The Plan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4.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Government will, therefore, introduce a Bill to give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leaseholders with an original long lease greater security and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enable them to acquire the freehold on fair terms.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Bill will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based on the principle that the land belongs in equity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landowner and the house belongs in equity to the occupying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leaseholder.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follows that the leaseholder will have the right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retain his house after the lease expires and the right to enfranchise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his lease."</w:t>
      </w:r>
    </w:p>
    <w:p w:rsidR="003B5C5F" w:rsidP="00FE525C">
      <w:pPr>
        <w:pStyle w:val="JuPara"/>
        <w:rPr>
          <w:lang w:val="en-GB"/>
        </w:rPr>
      </w:pPr>
      <w:r w:rsidRPr="00F47072" w:rsidR="00F47072">
        <w:rPr>
          <w:lang w:val="en-GB"/>
        </w:rPr>
        <w:t>The White Paper contained details of the Government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proposals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allow certain qualified leaseholders to acquire the freehold or obtain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fifty-year extension of their existing lease.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Government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proposals as to the terms of enfranchisement were explained as follows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paragraphs 11 and 12 of the White Paper: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"11.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Subject to provision for special cases, a qualified leaseholder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will have the right at any time during the original term of the lease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acquire the freehold by buying out the landlord compulsorily.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important to ensure that the price paid for enfranchisement is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fair price.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But present market prices reflect the position under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present law which is inequitable to the leaseholder, and the price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must accordingly be based not on present market values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but on the value of the land itself, including any development value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attaching to it.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price of enfranchisement must be calculated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accordance with the principle that in equity the bricks and mortar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belong to the qualified leaseholder and the land to the landlord.</w:t>
      </w:r>
    </w:p>
    <w:p w:rsidR="003B5C5F" w:rsidP="00FE525C">
      <w:pPr>
        <w:pStyle w:val="JuQuot"/>
        <w:rPr>
          <w:lang w:val="en-GB"/>
        </w:rPr>
      </w:pPr>
      <w:r w:rsidRPr="00F47072" w:rsidR="00F47072">
        <w:rPr>
          <w:lang w:val="en-GB"/>
        </w:rPr>
        <w:t>12.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follows, and the Bill will so provide, that where there is no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development value (and often there will not be) the fair price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will be the value of the freehold interest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site, subject to the lease and its extension of 50 years.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will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completely disregard the value of the building on reversion."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19.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Thereafter, following their re-election in 1966, the (Labour)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 introduced a Bill into Parliament to give effect to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proposals.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During the Parliamentary proceedings, the (Conservative)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Opposition accepted the principle, enunciated in their 1966 Election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Manifesto, that there should be legislation "to allow ground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leaseholders to buy or rent their houses on fair terms except where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property is to be developed", but they opposed the terms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Bill as being confiscatory.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argued that the case for basing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price of enfranchisement solely on the site value rested on a wholly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false argument that the house belonged to the leaseholder.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fact,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he had only purchased a right to live in it for a specified period.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Market prices should be paid for what belonged to the landlords.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In the parliamentary debates on the Bill, members of all political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parties expressed the view that the 1954 Act, which provides security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tenure (see paragraph 16 above), had not succeeded in relieving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hardship or injustice caused to tenants at the expiry of long leases.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Two of the reasons given were the continuing liability of the tenant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pay freshly assessed rents and the potential burden of heavy claims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dilapidations which some landlords used as a means of persuading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to give up their statutory right of possession.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One criticism which was made of the provisions of the Bill was that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did not distinguish between "deserving" and "undeserving" tenants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did not provide machinery for a court or tribunal to determine whether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was reasonable to make an enfranchisement order in favour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reason given for rejecting this criticism was the concern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that, in view of the very large number of houses held on long leases,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system whereby the reasonableness of the enfranchisement would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be established in each individual case would inevitably give rise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considerable uncertainty, to delay, to litigation in many cases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and, no doubt in some tenants, to the feeling that it might be too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expensive to venture on the uncertain exercise.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Another point raised in the debates arose from the fact that, under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Bill, the right of enfranchisement would be restricted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of houses under a certain value.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was argued that if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 system worked unjustly for the reasons suggested by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Government, then logically it must work unjustly in respect of all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tenants, regardless of the value of the house.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reasons put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forward by the Government spokesmen for confining the applicability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legislation to houses below a certain value were essentially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follows: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(a)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was appropriate for legislation improving the position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leaseholders to apply to the same class of property as the Rent Acts;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(b)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Government had tried to define the cases of greatest hardship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justified them in rectifying existing contracts; the precedent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had therefore been followed of the limits set by the Rent Acts; whilst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might be argued on grounds of logic and consistency that no limit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should be set, that would involve rectification to an unnecessary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degree;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(c)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to a degree the Government were influenced by the large capital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gains which could be made by some tenants if the limits were removed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entirely.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After extensive debate in both Houses of Parliament, the Bill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introduced by the Government was duly enacted as the Leasehold Reform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Act 1967.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There were about one and a quarter million dwellinghouses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occupied by long leaseholders in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England</w:t>
          </w:r>
        </w:smartTag>
      </w:smartTag>
      <w:r w:rsidRPr="00F47072" w:rsidR="00F47072">
        <w:rPr>
          <w:lang w:val="en-GB"/>
        </w:rPr>
        <w:t xml:space="preserve"> and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Wales</w:t>
          </w:r>
        </w:smartTag>
      </w:smartTag>
      <w:r w:rsidRPr="00F47072" w:rsidR="00F47072">
        <w:rPr>
          <w:lang w:val="en-GB"/>
        </w:rPr>
        <w:t xml:space="preserve"> in 1967.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estimated at the time by the Government that all but one or two per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cent fell within the scope of the enfranchisement scheme introduced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Act.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Subsequently, as a result of an amendment introduced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1974, a band of more valuable houses within this remaining one or two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 cent was also made susceptible of enfranchisement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 21 (b) below).</w:t>
      </w:r>
    </w:p>
    <w:p w:rsidR="003B5C5F" w:rsidP="00AA3707">
      <w:pPr>
        <w:pStyle w:val="JuHA"/>
        <w:rPr>
          <w:lang w:val="en-GB"/>
        </w:rPr>
      </w:pPr>
      <w:r w:rsidRPr="00F47072" w:rsidR="00F47072">
        <w:rPr>
          <w:lang w:val="en-GB"/>
        </w:rPr>
        <w:t>C.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leasehold reform legislation</w:t>
      </w:r>
    </w:p>
    <w:p w:rsidR="003B5C5F" w:rsidP="00AA3707">
      <w:pPr>
        <w:pStyle w:val="JuPara"/>
        <w:rPr>
          <w:lang w:val="en-GB"/>
        </w:rPr>
      </w:pPr>
      <w:r w:rsidRPr="00F47072" w:rsidR="00F47072">
        <w:rPr>
          <w:lang w:val="en-GB"/>
        </w:rPr>
        <w:t>20.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legislation governing leasehold enfranchisement now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consists of the Leasehold Reform Act 1967 ("the 1967 Act"), as amended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the Housing Act 1969 ("the 1969 Act"), the Housing Act 1974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("the 1974 Act"), the Leasehold Reform Act 1979, the Housing Act 1980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("the 1980 Act") and the Housing and Building Control Act 1984.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provides occupying tenants of "houses" let on long leases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in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England</w:t>
          </w:r>
        </w:smartTag>
      </w:smartTag>
      <w:r w:rsidRPr="00F47072" w:rsidR="00F47072">
        <w:rPr>
          <w:lang w:val="en-GB"/>
        </w:rPr>
        <w:t xml:space="preserve"> and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Wales</w:t>
          </w:r>
        </w:smartTag>
      </w:smartTag>
      <w:r w:rsidRPr="00F47072" w:rsidR="00F47072">
        <w:rPr>
          <w:lang w:val="en-GB"/>
        </w:rPr>
        <w:t xml:space="preserve"> with the right to acquire the freehold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house, or an extended lease, on certain terms and conditions.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term "house", as defined, includes semi-detached and terrace houses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but not flats and maisonettes (section 2 of the 1967 Act).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21.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following, in broad terms, are the principal conditions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must be satisfied before the tenant of a house becomes entitled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the right of acquisition conferred by the Act: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(a)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tenancy must be a "long" tenancy, that is either for a term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certain of 21 years or more or for a lesser term once it has been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renewed for periods totalling over 21 years (sections 1 and 3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1967 Act).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(b)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With certain exceptions not relevant for present purposes,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"rateable value" of the house (that is, the notional annual rental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 fixed for local taxation purposes) must not exceed £750,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£1,500 if the house is in Greater London (section 1 of the 1967 Act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amended by section 118 of the 1974 Act).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original rateable-value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limits fixed in the 1967 Act (£200 and, for Greater London, £400)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revised (in effect being raised to £500 and £1,000, respectively)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1974 Act to take account of the country-wide rating revaluation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carried out in 1973.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1974 Act further extended the scope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scheme under the 1967 Act by bringing in houses of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still higher rateable value (between £500 and £750 and, for Greater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London, between £1,000 and £1,500), in respect of which, however,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different purchase price was payable (see paragraph 23 below).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Certain even more valuable properties, being outside the global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rateable-value limits, remain outside the ambit of the legislation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altogether.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(c)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annual rent must be a "low" rent, that is less than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two-thirds of the rateable value (sections 1 and 4 of the 1967 Act).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(d)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tenant must occupy the house as his only or main residence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must have done so for at least three years prior to the time when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he gives notice of his desire to exercise his rights under the Act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(section 1 of the 1967 Act as amended by section 141 and schedule 21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1980 Act - the 1967 Act originally provided for a five-year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minimum period).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22.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Where the above conditions are satisfied the tenant has two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rights: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(a)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he can obtain a fifty-year extension of the lease at a rent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representing the letting value of the ground (without buildings),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rent being subject to revision after 25 years (sections 14 and 15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1967 Act);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(b)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he can purchase the freehold on the terms outlined below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(section 8 of the 1967 Act).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The tenant can set in motion the procedure for exercising his right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purchase the freehold at any time up to the original term date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lease, but not thereafter (section 16 of the 1967 Act).</w:t>
      </w:r>
    </w:p>
    <w:p w:rsidR="003B5C5F" w:rsidP="00BE7A58">
      <w:pPr>
        <w:pStyle w:val="JuPara"/>
        <w:rPr>
          <w:lang w:val="en-GB"/>
        </w:rPr>
      </w:pPr>
      <w:r w:rsidRPr="00F47072" w:rsidR="00F47072">
        <w:rPr>
          <w:lang w:val="en-GB"/>
        </w:rPr>
        <w:t>23.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No price or premium is payable for an extended lease other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than the rent.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On the purchase of a freehold, a price is payable to the landlord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determined in accordance with one or other of two bases of valuation.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These are referred to as the "1967 basis of valuation", which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introduced by the 1967 Act (as amended by the 1969 Act), and the "1974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basis of valuation", which was introduced by the 1974 Act.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1967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basis applies to less valuable properties, and the 1974 basis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small percentage of more valuable properties (see paragraphs 19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fine and 21 (b) above) brought within the scope of the legislation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first time by the 1974 Act.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essential features of the two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bases of valuation may be summarised as follows: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(a)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1967 basis of valuation applies to properties with a rateable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 of up to £500, or £1,000 if the house is in Greater London.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price payable is the amount which the house, if sold on the open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market by a willing seller, might be expected to realise 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assumptions, inter alia, that (i) the tenant has exercised 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statutory right to obtain an extension of the lease for fifty years,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(ii) the purchaser is someone other than the tenant (section 9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1967 Act, section 82 of the 1969 Act and section 118 of the 1974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effect of the assumption as to the extension of the lease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that the tenant pays approximately the site value, and pays nothing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the buildings on the site.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assumption that the purchaser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someone other than the tenant, introduced by the 1969 Act, also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excludes any element of "merger value" from the price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 13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basis of valuation reflects the policy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outlined in the 1966 White Paper (see paragraph 18 above).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(b)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1974 basis of valuation applies to properties with rateable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values of over £500 and up to £750, or over £1,000 and up to £1,500 if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house is in Greater London.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price payable is the amount which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house, if sold on the open market by a willing seller, might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expected to realise on the assumption, inter alia, that at the end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tenancy the tenant had the right to remain in possession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house under the 1954 Act, that is as a statutory tenant paying a "fair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rent" reflecting his occupation of the house (see paragraph 16 above -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section 9 of the 1967 Act as amended by section 118 of the 1974 Act).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principle, this basis of valuation is more favourable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landlord and is intended to provide a price approximately equivalent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the market value of the site and house, assuming it to be tenanted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under the 1954 Act; it also allows the landlord a share of the "merger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value".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However, in a case where a tenant had obtained a fifty-year extension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lease and subsequently, before expiry of the original term date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tenancy, applied for the freehold, it was held by the Lands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Tribunal (see paragraph 25 below) that the assessment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compensation had to be on the basis of the tenant having extended 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 (Hickman v. Phillimore Estate (1985) Estates Gazette, Vol. 274,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p. 261).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such circumstances, therefore, the landlord receives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substantially less than the above market value in compensation.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 recognised at the hearings before the Court that this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decision had identified a loophole in the 1974 Act that needed to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cured by amending 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has since been informed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Government that the decision of the Lands Tribunal has been set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down for appeal.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Special provisions apply for extinguishing any intermediate lease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where the occupying tenant claiming enfranchisement does not hold 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 direct from the freeholder (schedule 1 to the 1967 Act).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provisions do not, however, appear to be relevant in the present case.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24.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tenant may, at any time before the price of the property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has been fixed, institute a procedure to have the rateable value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house adjusted for the purposes of the legislation so as to leave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out of account the value of structural improvements carried out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himself or his predecessors (section 118 and schedule 8 of the 1974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County Court is competent to determine disputes as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whether improvements are within the scope of the scheme and, since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1980 Act came into force, there has been a right of appeal to the High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 from such decisions.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25.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legislation lays down procedures for carrying the relevant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transactions into effect and for determining disputes.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Where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 wishes to acquire the freehold, he must first give the landlord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written notice of his desire to do so (section 8 of the 1967 Act).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Disputes over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entitlement to acquire the freehold under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Act and related matters are within the jurisdiction of the County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 (section 20 of the 1967 Act).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such proceedings, the County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 has powers to penalise in costs a tenant who is guilty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unreasonable delay or default in the performance of the obligations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arising from the notice of enfranchisement (ibid.).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default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agreement, the price payable is now subject to determination by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local Leasehold Valuation Tribunal, with a right of appeal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London-based Lands Tribunal which forms part of the High Court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(section 142 and schedule 22 of the 1980 Act).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Before the 1980 Act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came into force, disputes as to price were within the jurisdiction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Lands Tribunal (section 21 of the 1967 Act).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is open to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landlord who believes that the enfranchising tenant is deliberately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unnecessarily delaying the process of enfranchisement to refer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matter to the Leasehold Valuation Tribunal (or, formerly, to the Lands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Tribunal).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Regulations prescribe a timetable for completion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purchase after the price has been determined (paragraph 6 of Part I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schedule to the Leasehold Reform (Enfranchisement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Extension) Regulations 1967, S.I. 1967 No. 1879).</w:t>
      </w:r>
    </w:p>
    <w:p w:rsidR="003B5C5F" w:rsidP="00702E39">
      <w:pPr>
        <w:pStyle w:val="JuPara"/>
        <w:rPr>
          <w:lang w:val="en-GB"/>
        </w:rPr>
      </w:pPr>
      <w:r w:rsidRPr="00F47072" w:rsidR="00F47072">
        <w:rPr>
          <w:lang w:val="en-GB"/>
        </w:rPr>
        <w:t>26.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For the purpose of assessing the price payable, the house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valued as at the date of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notice to the landlord of 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desire to acquire the freehold (sections 9 (1) and 37 (1) (d)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1967 Act), and not as at the date when the valuation is being carried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out.</w:t>
      </w:r>
    </w:p>
    <w:p w:rsidR="003B5C5F" w:rsidP="00702E39">
      <w:pPr>
        <w:pStyle w:val="JuHA"/>
        <w:rPr>
          <w:lang w:val="en-GB"/>
        </w:rPr>
      </w:pPr>
      <w:r w:rsidRPr="00F47072" w:rsidR="00F47072">
        <w:rPr>
          <w:lang w:val="en-GB"/>
        </w:rPr>
        <w:t>D.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Transactions affecting the applicants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27.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transactions completed between April 1979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November 1983, the tenants of some 80 long leasehold properties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forming part of the residential Estate in </w:t>
      </w:r>
      <w:smartTag w:uri="urn:schemas-microsoft-com:office:smarttags" w:element="place">
        <w:r w:rsidRPr="00F47072" w:rsidR="00F47072">
          <w:rPr>
            <w:lang w:val="en-GB"/>
          </w:rPr>
          <w:t>Belgravia</w:t>
        </w:r>
      </w:smartTag>
      <w:r w:rsidRPr="00F47072" w:rsidR="00F47072">
        <w:rPr>
          <w:lang w:val="en-GB"/>
        </w:rPr>
        <w:t xml:space="preserve"> (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London</w:t>
          </w:r>
        </w:smartTag>
      </w:smartTag>
      <w:r w:rsidRPr="00F47072" w:rsidR="00F47072">
        <w:rPr>
          <w:lang w:val="en-GB"/>
        </w:rPr>
        <w:t>) which the</w:t>
      </w:r>
      <w:r w:rsidR="00F47072">
        <w:rPr>
          <w:lang w:val="en-GB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Westminster</w:t>
          </w:r>
        </w:smartTag>
      </w:smartTag>
      <w:r w:rsidRPr="00F47072" w:rsidR="00F47072">
        <w:rPr>
          <w:lang w:val="en-GB"/>
        </w:rPr>
        <w:t xml:space="preserve"> family and its trustees have developed (see paragraph 10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above) exercised their powers under the contested legislation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acquire compulsorily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interest as freehold owners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properties.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These transactions related to 77 properties held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"premium" leases and 3 properties held on "building" leases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 12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applicants explained that under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practice followed by the Estate at the time, the premiums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calculated on the following basis: first the rent under the lease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fixed as a percentage of the estimated market rent obtainable and then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premium was the calculated capitalised value of the balance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estimated market rent over the term of the lease.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relevant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properties were valued on the 1967 basis in 28 transactions and 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1974 basis in 52 transactions (see paragraph 23 above).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As time passes, according to the applicants, the 1974 Act will affect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 increasingly higher ratio of properties on their Estate.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Since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November 1983, another 43 enfranchisements have taken place, bringing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up to a total of about 215 the number of properties enfranchised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Estate under the leasehold reform legislation to date.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 estimate that there are likely to be between 500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800 further enfranchisements on their Estate in the future.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28.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each of the 80 transactions the subject of the present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case, the price paid was fixed by negotiation.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applicants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advised by their legal advisers that they had no grounds for disputing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right of any of the tenants to acquire the freehold, and that they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could not reasonably hope to obtain a higher price for any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relevant properties in proceedings before the Lands Tribunal or,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respect of the more recent transactions, a Leasehold Valuation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Tribunal.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29.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drew attention to the following features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individual transactions in question: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(i)</w:t>
      </w:r>
      <w:r w:rsidR="009D43C3">
        <w:rPr>
          <w:lang w:val="en-GB"/>
        </w:rPr>
        <w:t xml:space="preserve"> </w:t>
      </w:r>
      <w:r w:rsidRPr="00F47072" w:rsidR="00F47072">
        <w:rPr>
          <w:lang w:val="en-GB"/>
        </w:rPr>
        <w:t>in no case except 3 was the property built either by the tenant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who enfranchised or by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predecessors;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(ii)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only 6 cases was the property occupied by members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family continuously since the date of creation of the lease;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(iii) the period of occupation of the tenant prior to the date of 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or her notice to acquire had varied from three to thirty-five years;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34 out of the 80 instances, it had been under eight years;</w:t>
      </w:r>
    </w:p>
    <w:p w:rsidR="003B5C5F" w:rsidP="00937E44">
      <w:pPr>
        <w:pStyle w:val="JuPara"/>
        <w:rPr>
          <w:lang w:val="en-GB"/>
        </w:rPr>
      </w:pPr>
      <w:r w:rsidRPr="00F47072" w:rsidR="00F47072">
        <w:rPr>
          <w:lang w:val="en-GB"/>
        </w:rPr>
        <w:t>(iv)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all the cases, the tenant was entitled to security of tenure,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subject to the conditions laid down by the Rent Acts, upon expiry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lease (see paragraph 16 above);</w:t>
      </w:r>
    </w:p>
    <w:p w:rsidR="003B5C5F" w:rsidP="00C34A23">
      <w:pPr>
        <w:pStyle w:val="JuPara"/>
        <w:rPr>
          <w:lang w:val="en-GB"/>
        </w:rPr>
      </w:pPr>
      <w:r w:rsidRPr="00F47072" w:rsidR="00F47072">
        <w:rPr>
          <w:lang w:val="en-GB"/>
        </w:rPr>
        <w:t>(v)</w:t>
      </w:r>
      <w:r w:rsidR="009D43C3">
        <w:rPr>
          <w:lang w:val="en-GB"/>
        </w:rPr>
        <w:t xml:space="preserve"> </w:t>
      </w:r>
      <w:r w:rsidRPr="00F47072" w:rsidR="00F47072">
        <w:rPr>
          <w:lang w:val="en-GB"/>
        </w:rPr>
        <w:t>the period between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notice (the relevant date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assessment of the price - see paragraph 26 above) and completion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sale varied between one and thirteen years, and in 34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80 transactions was more than five years;</w:t>
      </w:r>
    </w:p>
    <w:p w:rsidR="003B5C5F" w:rsidP="00C34A23">
      <w:pPr>
        <w:pStyle w:val="JuPara"/>
        <w:rPr>
          <w:lang w:val="en-GB"/>
        </w:rPr>
      </w:pPr>
      <w:r w:rsidRPr="00F47072" w:rsidR="00F47072">
        <w:rPr>
          <w:lang w:val="en-GB"/>
        </w:rPr>
        <w:t>(vi)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unencumbered freehold value of the properties (as assessed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the applicants) varied from £44,000 to £225,000, whereas the price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paid for enfranchisement by the tenant varied from £2,500 to £111,000;</w:t>
      </w:r>
    </w:p>
    <w:p w:rsidR="003B5C5F" w:rsidP="00C34A23">
      <w:pPr>
        <w:pStyle w:val="JuPara"/>
        <w:rPr>
          <w:lang w:val="en-GB"/>
        </w:rPr>
      </w:pPr>
      <w:r w:rsidRPr="00F47072" w:rsidR="00F47072">
        <w:rPr>
          <w:lang w:val="en-GB"/>
        </w:rPr>
        <w:t>(vii) the value of the unexpired portion of the lease to the tenants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was said to be up to £153,750 - without taking into account the right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enfranchise;</w:t>
      </w:r>
    </w:p>
    <w:p w:rsidR="003B5C5F" w:rsidP="00C34A23">
      <w:pPr>
        <w:pStyle w:val="JuPara"/>
        <w:rPr>
          <w:lang w:val="en-GB"/>
        </w:rPr>
      </w:pPr>
      <w:r w:rsidRPr="00F47072" w:rsidR="00F47072">
        <w:rPr>
          <w:lang w:val="en-GB"/>
        </w:rPr>
        <w:t>(viii) in 15 cases, the tenant sold the lease, after making the claim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but before enfranchising, with the benefit of the right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enfranchise;</w:t>
      </w:r>
    </w:p>
    <w:p w:rsidR="003B5C5F" w:rsidP="00C34A23">
      <w:pPr>
        <w:pStyle w:val="JuPara"/>
        <w:rPr>
          <w:lang w:val="en-GB"/>
        </w:rPr>
      </w:pPr>
      <w:r w:rsidRPr="00F47072" w:rsidR="00F47072">
        <w:rPr>
          <w:lang w:val="en-GB"/>
        </w:rPr>
        <w:t>(ix) in at least 25 out of the 80 cases, the tenant who enfranchised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did not remain in occupation of the property, but sold the freehold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within one year of acquiring it, and in 9 of these cases did not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occupy after enfranchisement at all;</w:t>
      </w:r>
    </w:p>
    <w:p w:rsidR="003B5C5F" w:rsidP="00C34A23">
      <w:pPr>
        <w:pStyle w:val="JuPara"/>
        <w:rPr>
          <w:lang w:val="en-GB"/>
        </w:rPr>
      </w:pPr>
      <w:r w:rsidRPr="00F47072" w:rsidR="00F47072">
        <w:rPr>
          <w:lang w:val="en-GB"/>
        </w:rPr>
        <w:t>(x)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profits said to have been made by the tenants on such onward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sale varied from £32,000 to £182,000, with at least 7 cases where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 made over £100,000; in particular in one case, the tenant who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had come into occupation three months before publication of the 1966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White Paper (see paragraph 18 above) - and who had paid a low price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(£9,000) for the lease, without prospect of enfranchisement at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time - was able to buy the freehold at 28 per cent of its proper value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(as assessed by the applicants), and sold it less than a year later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a profit of 636 per cent - a profit of £116,000.</w:t>
      </w:r>
    </w:p>
    <w:p w:rsidR="003B5C5F" w:rsidP="00C34A23">
      <w:pPr>
        <w:pStyle w:val="JuPara"/>
        <w:rPr>
          <w:lang w:val="en-GB"/>
        </w:rPr>
      </w:pPr>
      <w:r w:rsidRPr="00F47072" w:rsidR="00F47072">
        <w:rPr>
          <w:lang w:val="en-GB"/>
        </w:rPr>
        <w:t>The losses claimed by the applicants to have been sustained through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having to sell on the statutory terms as opposed to open-market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conditions range from £1,350 to £148,080 on each transaction,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total £1,479,407 for properties in respect of which the 1967 basis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valuation obtained and £1,050,496 for properties in respect of which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1974 basis of valuation obtained.</w:t>
      </w:r>
    </w:p>
    <w:p w:rsidR="003B5C5F" w:rsidP="00C34A23">
      <w:pPr>
        <w:pStyle w:val="JuHHead"/>
        <w:rPr>
          <w:lang w:val="en-GB"/>
        </w:rPr>
      </w:pPr>
      <w:r w:rsidRPr="00F47072" w:rsidR="00F47072">
        <w:rPr>
          <w:lang w:val="en-GB"/>
        </w:rPr>
        <w:t>PROCEEDINGS BEFORE THE COMMISSION</w:t>
      </w:r>
    </w:p>
    <w:p w:rsidR="003B5C5F" w:rsidP="000A051A">
      <w:pPr>
        <w:pStyle w:val="JuPara"/>
        <w:rPr>
          <w:lang w:val="en-GB"/>
        </w:rPr>
      </w:pPr>
      <w:r w:rsidRPr="00F47072" w:rsidR="00F47072">
        <w:rPr>
          <w:lang w:val="en-GB"/>
        </w:rPr>
        <w:t>30.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their application (no. 8793/79) lodged with the Commission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 23 October 1979, the applicants claimed that the compulsory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transfer of 10 of their properties gave rise, ipso facto and/or at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price paid, to a breach of Article 1 of Protocol No. 1 (P1-1)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also alleged that the circumstances of the transfer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involved discrimination contrary to Article 14 (art. 14)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and that the absence of any system of appeal against such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transfer violated Article 13 (art. 13) of the Convention.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what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they termed seventeen "supplementary applications" filed between</w:t>
      </w:r>
      <w:r w:rsidR="00F47072">
        <w:rPr>
          <w:lang w:val="en-GB"/>
        </w:rPr>
        <w:t xml:space="preserve"> </w:t>
      </w:r>
      <w:smartTag w:uri="urn:schemas-microsoft-com:office:smarttags" w:element="date">
        <w:smartTagPr>
          <w:attr w:name="Day" w:val="17"/>
          <w:attr w:name="Month" w:val="4"/>
          <w:attr w:name="Year" w:val="1980"/>
        </w:smartTagPr>
        <w:r w:rsidRPr="00F47072" w:rsidR="00F47072">
          <w:rPr>
            <w:lang w:val="en-GB"/>
          </w:rPr>
          <w:t>17 April 1980</w:t>
        </w:r>
      </w:smartTag>
      <w:r w:rsidRPr="00F47072" w:rsidR="00F47072">
        <w:rPr>
          <w:lang w:val="en-GB"/>
        </w:rPr>
        <w:t xml:space="preserve"> and </w:t>
      </w:r>
      <w:smartTag w:uri="urn:schemas-microsoft-com:office:smarttags" w:element="date">
        <w:smartTagPr>
          <w:attr w:name="Day" w:val="3"/>
          <w:attr w:name="Month" w:val="1"/>
          <w:attr w:name="Year" w:val="1984"/>
        </w:smartTagPr>
        <w:r w:rsidRPr="00F47072" w:rsidR="00F47072">
          <w:rPr>
            <w:lang w:val="en-GB"/>
          </w:rPr>
          <w:t>3 January 1984</w:t>
        </w:r>
      </w:smartTag>
      <w:r w:rsidRPr="00F47072" w:rsidR="00F47072">
        <w:rPr>
          <w:lang w:val="en-GB"/>
        </w:rPr>
        <w:t>, the applicants complained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further 70 transactions.</w:t>
      </w:r>
    </w:p>
    <w:p w:rsidR="003B5C5F" w:rsidP="000A051A">
      <w:pPr>
        <w:pStyle w:val="JuPara"/>
        <w:rPr>
          <w:lang w:val="en-GB"/>
        </w:rPr>
      </w:pPr>
      <w:r w:rsidRPr="00F47072" w:rsidR="00F47072">
        <w:rPr>
          <w:lang w:val="en-GB"/>
        </w:rPr>
        <w:t>31.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Commission declared the application admissible on</w:t>
      </w:r>
      <w:r w:rsidR="00F47072">
        <w:rPr>
          <w:lang w:val="en-GB"/>
        </w:rPr>
        <w:t xml:space="preserve"> </w:t>
      </w:r>
      <w:smartTag w:uri="urn:schemas-microsoft-com:office:smarttags" w:element="date">
        <w:smartTagPr>
          <w:attr w:name="Day" w:val="28"/>
          <w:attr w:name="Month" w:val="1"/>
          <w:attr w:name="Year" w:val="1983"/>
        </w:smartTagPr>
        <w:r w:rsidRPr="00F47072" w:rsidR="00F47072">
          <w:rPr>
            <w:lang w:val="en-GB"/>
          </w:rPr>
          <w:t>28 January 1983</w:t>
        </w:r>
      </w:smartTag>
      <w:r w:rsidRPr="00F47072" w:rsidR="00F47072">
        <w:rPr>
          <w:lang w:val="en-GB"/>
        </w:rPr>
        <w:t>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 xml:space="preserve">In its report adopted on </w:t>
      </w:r>
      <w:smartTag w:uri="urn:schemas-microsoft-com:office:smarttags" w:element="date">
        <w:smartTagPr>
          <w:attr w:name="Day" w:val="11"/>
          <w:attr w:name="Month" w:val="5"/>
          <w:attr w:name="Year" w:val="1984"/>
        </w:smartTagPr>
        <w:r w:rsidRPr="00F47072" w:rsidR="00F47072">
          <w:rPr>
            <w:lang w:val="en-GB"/>
          </w:rPr>
          <w:t>11 May 1984</w:t>
        </w:r>
      </w:smartTag>
      <w:r w:rsidRPr="00F47072" w:rsidR="00F47072">
        <w:rPr>
          <w:lang w:val="en-GB"/>
        </w:rPr>
        <w:t xml:space="preserve"> (Article 31)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31), the Commission expressed the unanimous opinion that there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had been no breach of any of the Articles relied 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full text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Commission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opinion is reproduced as an annex to the present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judgment.</w:t>
      </w:r>
    </w:p>
    <w:p w:rsidR="003B5C5F" w:rsidP="000A051A">
      <w:pPr>
        <w:pStyle w:val="JuHHead"/>
        <w:rPr>
          <w:lang w:val="en-GB"/>
        </w:rPr>
      </w:pPr>
      <w:r w:rsidRPr="00F47072" w:rsidR="00F47072">
        <w:rPr>
          <w:lang w:val="en-GB"/>
        </w:rPr>
        <w:t>FINAL SUBMISSIONS TO THE COURT</w:t>
      </w:r>
    </w:p>
    <w:p w:rsidR="003B5C5F" w:rsidP="000A051A">
      <w:pPr>
        <w:pStyle w:val="JuPara"/>
        <w:rPr>
          <w:lang w:val="en-GB"/>
        </w:rPr>
      </w:pPr>
      <w:r w:rsidRPr="00F47072" w:rsidR="00F47072">
        <w:rPr>
          <w:lang w:val="en-GB"/>
        </w:rPr>
        <w:t>32.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 xml:space="preserve">At the public hearings on 23 and </w:t>
      </w:r>
      <w:smartTag w:uri="urn:schemas-microsoft-com:office:smarttags" w:element="date">
        <w:smartTagPr>
          <w:attr w:name="Day" w:val="24"/>
          <w:attr w:name="Month" w:val="9"/>
          <w:attr w:name="Year" w:val="1985"/>
        </w:smartTagPr>
        <w:r w:rsidRPr="00F47072" w:rsidR="00F47072">
          <w:rPr>
            <w:lang w:val="en-GB"/>
          </w:rPr>
          <w:t>24 September 1985</w:t>
        </w:r>
      </w:smartTag>
      <w:r w:rsidRPr="00F47072" w:rsidR="00F47072">
        <w:rPr>
          <w:lang w:val="en-GB"/>
        </w:rPr>
        <w:t>, the Government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made the following final submission:</w:t>
      </w:r>
    </w:p>
    <w:p w:rsidR="003B5C5F" w:rsidP="000A051A">
      <w:pPr>
        <w:pStyle w:val="JuQuot"/>
        <w:rPr>
          <w:lang w:val="en-GB"/>
        </w:rPr>
      </w:pPr>
      <w:r w:rsidRPr="00F47072" w:rsidR="00F47072">
        <w:rPr>
          <w:lang w:val="en-GB"/>
        </w:rPr>
        <w:t>"Having regard to the written and oral arguments and to the report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Commission, we invite the Court to hold in favour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 ... and dismiss the complaints of the applicants."</w:t>
      </w:r>
    </w:p>
    <w:p w:rsidR="003B5C5F" w:rsidP="000A051A">
      <w:pPr>
        <w:pStyle w:val="JuPara"/>
        <w:rPr>
          <w:lang w:val="en-GB"/>
        </w:rPr>
      </w:pPr>
      <w:r w:rsidRPr="00F47072" w:rsidR="00F47072">
        <w:rPr>
          <w:lang w:val="en-GB"/>
        </w:rPr>
        <w:t>33.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For their part, the applicants</w:t>
      </w:r>
    </w:p>
    <w:p w:rsidR="003B5C5F" w:rsidP="000A051A">
      <w:pPr>
        <w:pStyle w:val="JuQuot"/>
        <w:rPr>
          <w:lang w:val="en-GB"/>
        </w:rPr>
      </w:pPr>
      <w:r w:rsidRPr="00F47072" w:rsidR="00F47072">
        <w:rPr>
          <w:lang w:val="en-GB"/>
        </w:rPr>
        <w:t>"respectfully invite[d] the Court to hold these applications well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founded, to rule that in each and every application the applicants</w:t>
      </w:r>
      <w:r w:rsidR="00204045">
        <w:rPr>
          <w:lang w:val="en-GB"/>
        </w:rPr>
        <w:t>’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rights referred to, and in particular their right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under Article 1 [of Protocol No. 1] (P1-1), were wrongfully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violated, and to procure for these applicants just satisfaction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those violations".</w:t>
      </w:r>
    </w:p>
    <w:p w:rsidR="003B5C5F" w:rsidP="00270CBD">
      <w:pPr>
        <w:pStyle w:val="JuHHead"/>
        <w:rPr>
          <w:lang w:val="en-GB"/>
        </w:rPr>
      </w:pPr>
      <w:r w:rsidRPr="00F47072" w:rsidR="00F47072">
        <w:rPr>
          <w:lang w:val="en-GB"/>
        </w:rPr>
        <w:t>AS TO THE LAW</w:t>
      </w:r>
    </w:p>
    <w:p w:rsidR="003B5C5F" w:rsidP="00270CBD">
      <w:pPr>
        <w:pStyle w:val="JuHIRoman"/>
        <w:rPr>
          <w:lang w:val="en-GB"/>
        </w:rPr>
      </w:pPr>
      <w:r w:rsidRPr="00F47072" w:rsidR="00F47072">
        <w:rPr>
          <w:lang w:val="en-GB"/>
        </w:rPr>
        <w:t>I.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ARTICLE 1 OF PROTOCOL NO. 1 (P1-1)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34.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claimed that the compulsory transfer of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under the Leasehold Reform Act 1967, as amended, gave rise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violation of Article 1 of Protocol No. 1 (P1-1) to the Convention,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reads:</w:t>
      </w:r>
    </w:p>
    <w:p w:rsidR="003B5C5F" w:rsidP="00270CBD">
      <w:pPr>
        <w:pStyle w:val="JuQuot"/>
        <w:rPr>
          <w:lang w:val="en-GB"/>
        </w:rPr>
      </w:pPr>
      <w:r w:rsidRPr="00F47072" w:rsidR="00F47072">
        <w:rPr>
          <w:lang w:val="en-GB"/>
        </w:rPr>
        <w:t>"Every natural or legal person is entitled to the peaceful enjoyment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his possessions.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No one shall be deprived of his possessions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except in the public interest and subject to the conditions provided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by law and by the general principles of international law.</w:t>
      </w:r>
    </w:p>
    <w:p w:rsidR="003B5C5F" w:rsidP="00C423AB">
      <w:pPr>
        <w:pStyle w:val="JuQuot"/>
        <w:rPr>
          <w:lang w:val="en-GB"/>
        </w:rPr>
      </w:pPr>
      <w:r w:rsidRPr="00F47072" w:rsidR="00F47072">
        <w:rPr>
          <w:lang w:val="en-GB"/>
        </w:rPr>
        <w:t>The preceding provisions shall not, however, in any way impair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right of a State to enforce such laws as it deems necessary to control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use of property in accordance with the general interest or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secure the payment of taxes or other contributions or penalties."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They submitted that the Act has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(i)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interfered with agreements between the applicants and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freely made before it came into effect;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(ii)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frustrated the expectations with which the applicants entered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into the agreements, and on which the terms of such agreements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based;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(iii)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compelled the applicants to sell the properties, against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will, to private individuals for the benefit of those individuals;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(iv)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deprived the applicants of their property at a price always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below, and often far below, market value;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(v)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enabled tenants to sell the properties in the open market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large profits after claiming enfranchisement;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(vi)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provided no machinery whereby the applicants can challenge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either the validity of or the justification for the deprivation,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principles upon which the compensation is to be calculated, once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only it is established that the tenancy is within the ambit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Act;</w:t>
      </w:r>
    </w:p>
    <w:p w:rsidR="003B5C5F" w:rsidP="00270CBD">
      <w:pPr>
        <w:pStyle w:val="JuPara"/>
        <w:rPr>
          <w:lang w:val="en-GB"/>
        </w:rPr>
      </w:pPr>
      <w:r w:rsidRPr="00F47072" w:rsidR="00F47072">
        <w:rPr>
          <w:lang w:val="en-GB"/>
        </w:rPr>
        <w:t>(vii)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made arbitrary distinctions between the properties of which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they can be deprived, and those of which they cannot.</w:t>
      </w:r>
    </w:p>
    <w:p w:rsidR="003B5C5F" w:rsidP="006F47E1">
      <w:pPr>
        <w:pStyle w:val="JuHA"/>
        <w:rPr>
          <w:lang w:val="en-GB"/>
        </w:rPr>
      </w:pPr>
      <w:r w:rsidRPr="00F47072" w:rsidR="00F47072">
        <w:rPr>
          <w:lang w:val="en-GB"/>
        </w:rPr>
        <w:t>A.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General considerations</w:t>
      </w:r>
    </w:p>
    <w:p w:rsidR="003B5C5F" w:rsidP="000B46EE">
      <w:pPr>
        <w:pStyle w:val="JuPara"/>
        <w:rPr>
          <w:lang w:val="en-GB"/>
        </w:rPr>
      </w:pPr>
      <w:r w:rsidRPr="00F47072" w:rsidR="00F47072">
        <w:rPr>
          <w:lang w:val="en-GB"/>
        </w:rPr>
        <w:t>35.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maintained that since their grievance concerned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substance the effect of the legislation on the ownership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specific properties formerly belonging to them, each individual act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before the Court should be examined on its merits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compliance with Article 1 (P1-1).</w:t>
      </w:r>
    </w:p>
    <w:p w:rsidR="003B5C5F" w:rsidP="000B46EE">
      <w:pPr>
        <w:pStyle w:val="JuPara"/>
        <w:rPr>
          <w:lang w:val="en-GB"/>
        </w:rPr>
      </w:pPr>
      <w:r w:rsidRPr="00F47072" w:rsidR="00F47072">
        <w:rPr>
          <w:lang w:val="en-GB"/>
        </w:rPr>
        <w:t>In its report, the Commission rejected this approach.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noted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particular matters of which the applicants complained resulted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from transactions between private individuals for which the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United</w:t>
          </w:r>
          <w:r w:rsidR="00F47072">
            <w:rPr>
              <w:lang w:val="en-GB"/>
            </w:rPr>
            <w:t xml:space="preserve"> </w:t>
          </w:r>
          <w:r w:rsidRPr="00F47072" w:rsidR="00F47072">
            <w:rPr>
              <w:lang w:val="en-GB"/>
            </w:rPr>
            <w:t>Kingdom</w:t>
          </w:r>
        </w:smartTag>
      </w:smartTag>
      <w:r w:rsidRPr="00F47072" w:rsidR="00F47072">
        <w:rPr>
          <w:lang w:val="en-GB"/>
        </w:rPr>
        <w:t xml:space="preserve"> was responsible qua legislator but not otherwise.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For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Commission, although account must be taken of the practical effects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legislation, the essential issue for decision is whether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respondent State has breached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rights under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by empowering tenants to acquire their property 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terms and conditions laid down in the legislation; and this issue has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be determined by considering whether the legislation is compatible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with the Convention rather than by separate scrutiny of the individual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transactions.</w:t>
      </w:r>
    </w:p>
    <w:p w:rsidR="003B5C5F" w:rsidP="000B46EE">
      <w:pPr>
        <w:pStyle w:val="JuPara"/>
        <w:rPr>
          <w:lang w:val="en-GB"/>
        </w:rPr>
      </w:pPr>
      <w:r w:rsidRPr="00F47072" w:rsidR="00F47072">
        <w:rPr>
          <w:lang w:val="en-GB"/>
        </w:rPr>
        <w:t>The Government adopted the same approach as the Commission.</w:t>
      </w:r>
    </w:p>
    <w:p w:rsidR="003B5C5F" w:rsidP="000B46EE">
      <w:pPr>
        <w:pStyle w:val="JuPara"/>
        <w:rPr>
          <w:lang w:val="en-GB"/>
        </w:rPr>
      </w:pPr>
      <w:r w:rsidRPr="00F47072" w:rsidR="00F47072">
        <w:rPr>
          <w:lang w:val="en-GB"/>
        </w:rPr>
        <w:t>36.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Court has frequently stated the principle that, without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losing sight of the general context of the case, it must,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proceedings originating in an individual application, confine its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attention, as far as possible, to the concrete case (see, as the most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recent authority, the Ashingdane judgment of </w:t>
      </w:r>
      <w:smartTag w:uri="urn:schemas-microsoft-com:office:smarttags" w:element="date">
        <w:smartTagPr>
          <w:attr w:name="Day" w:val="28"/>
          <w:attr w:name="Month" w:val="5"/>
          <w:attr w:name="Year" w:val="1985"/>
        </w:smartTagPr>
        <w:r w:rsidRPr="00F47072" w:rsidR="00F47072">
          <w:rPr>
            <w:lang w:val="en-GB"/>
          </w:rPr>
          <w:t>28 May 1985</w:t>
        </w:r>
      </w:smartTag>
      <w:r w:rsidRPr="00F47072" w:rsidR="00F47072">
        <w:rPr>
          <w:lang w:val="en-GB"/>
        </w:rPr>
        <w:t>, Series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no. 93, p. 25, para. 59).</w:t>
      </w:r>
    </w:p>
    <w:p w:rsidR="003B5C5F" w:rsidP="000B46EE">
      <w:pPr>
        <w:pStyle w:val="JuPara"/>
        <w:rPr>
          <w:lang w:val="en-GB"/>
        </w:rPr>
      </w:pPr>
      <w:r w:rsidRPr="00F47072" w:rsidR="00F47072">
        <w:rPr>
          <w:lang w:val="en-GB"/>
        </w:rPr>
        <w:t>In the present case, however, the essence of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complaint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directed against the terms and conditions of the contested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does not relate to the manner of execution of the law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a State authority, be it administrative or judicial.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Indeed, one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criticisms was that the legislation does not allow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scope for discretionary and variable implementation according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particular circumstances of each individual property.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must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therefore, like the Commission, direct its attention primarily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contested legislation itself, in order to determine whether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is compatible with Article 1 of Protocol No. 1 (P1-1).</w:t>
      </w:r>
    </w:p>
    <w:p w:rsidR="003B5C5F" w:rsidP="00F55AB9">
      <w:pPr>
        <w:pStyle w:val="JuPara"/>
        <w:rPr>
          <w:lang w:val="en-GB"/>
        </w:rPr>
      </w:pPr>
      <w:r w:rsidRPr="00F47072" w:rsidR="00F47072">
        <w:rPr>
          <w:lang w:val="en-GB"/>
        </w:rPr>
        <w:t>This does not mean that the Court will examine the legislation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abstracto.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individual enfranchisements complained of are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illustrative of the impact in practice of the reform it introduced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and, as such, material to the issue of its compatibility with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this respect, the consequences of application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such as occurred in the 80 specific transactions before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Court are to be taken into account.</w:t>
      </w:r>
    </w:p>
    <w:p w:rsidR="003B5C5F" w:rsidP="00F55AB9">
      <w:pPr>
        <w:pStyle w:val="JuPara"/>
        <w:rPr>
          <w:lang w:val="en-GB"/>
        </w:rPr>
      </w:pPr>
      <w:r w:rsidRPr="00F47072" w:rsidR="00F47072">
        <w:rPr>
          <w:lang w:val="en-GB"/>
        </w:rPr>
        <w:t>The Court will accordingly consider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claims 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basis of the above approach.</w:t>
      </w:r>
    </w:p>
    <w:p w:rsidR="003B5C5F" w:rsidP="00F55AB9">
      <w:pPr>
        <w:pStyle w:val="JuPara"/>
        <w:rPr>
          <w:lang w:val="en-GB"/>
        </w:rPr>
      </w:pPr>
      <w:r w:rsidRPr="00F47072" w:rsidR="00F47072">
        <w:rPr>
          <w:lang w:val="en-GB"/>
        </w:rPr>
        <w:t>37.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Article 1 (P1-1) in substance guarantees the right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property (see the Marckx judgment of </w:t>
      </w:r>
      <w:smartTag w:uri="urn:schemas-microsoft-com:office:smarttags" w:element="date">
        <w:smartTagPr>
          <w:attr w:name="Day" w:val="13"/>
          <w:attr w:name="Month" w:val="6"/>
          <w:attr w:name="Year" w:val="1979"/>
        </w:smartTagPr>
        <w:r w:rsidRPr="00F47072" w:rsidR="00F47072">
          <w:rPr>
            <w:lang w:val="en-GB"/>
          </w:rPr>
          <w:t>13 June 1979</w:t>
        </w:r>
      </w:smartTag>
      <w:r w:rsidRPr="00F47072" w:rsidR="00F47072">
        <w:rPr>
          <w:lang w:val="en-GB"/>
        </w:rPr>
        <w:t>, Series A no. 31,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pp. 27-28, para. 63).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its judgment of 23 September 1982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case of Sporrong and Lönnroth, the Court analysed Article 1 (P1-1)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comprising "three distinct rules": the first rule, set out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first sentence of the first paragraph, is of a general nature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enunciates the principle of the peaceful enjoyment of property;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second rule, contained in the second sentence of the first paragraph,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covers deprivation of possessions and subjects it to certain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conditions; the third rule, stated in the second paragraph, recognises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that the Contracting States are entitled, amongst other things,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control the use of property in accordance with the general interest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(Series A no. 52, p. 24, para. 61).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further observed that,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before inquiring whether the first general rule has been complied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with, it must determine whether the last two are applicable (ibid.).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three rules are not, however, "distinct" in the sense of being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unconnected.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second and third rules are concerned with particular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instances of interference with the right to peaceful enjoyment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and should therefore be construed in the light of the general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 enunciated in the first rule.</w:t>
      </w:r>
    </w:p>
    <w:p w:rsidR="003B5C5F" w:rsidP="00A77B60">
      <w:pPr>
        <w:pStyle w:val="JuHA"/>
        <w:rPr>
          <w:lang w:val="en-GB"/>
        </w:rPr>
      </w:pPr>
      <w:r w:rsidRPr="00F47072" w:rsidR="00F47072">
        <w:rPr>
          <w:lang w:val="en-GB"/>
        </w:rPr>
        <w:t>B.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Second sentence of the first paragraph ("the deprivation rule")</w:t>
      </w:r>
    </w:p>
    <w:p w:rsidR="003B5C5F" w:rsidP="00A77B60">
      <w:pPr>
        <w:pStyle w:val="JuH1"/>
        <w:rPr>
          <w:lang w:val="en-GB"/>
        </w:rPr>
      </w:pPr>
      <w:r w:rsidRPr="00F47072" w:rsidR="00F47072">
        <w:rPr>
          <w:lang w:val="en-GB"/>
        </w:rPr>
        <w:t>1.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Applicability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38.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Court considers that the applicants were "deprived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[their] possessions", within the meaning of the second sentence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 (P1-1), by virtue of the contested legislation.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This point was not disputed before the Court.</w:t>
      </w:r>
    </w:p>
    <w:p w:rsidR="003B5C5F" w:rsidP="00A77B60">
      <w:pPr>
        <w:pStyle w:val="JuH1"/>
        <w:rPr>
          <w:lang w:val="en-GB"/>
        </w:rPr>
      </w:pPr>
      <w:r w:rsidRPr="00F47072" w:rsidR="00F47072">
        <w:rPr>
          <w:lang w:val="en-GB"/>
        </w:rPr>
        <w:t>2.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"In the public interest": private individuals as beneficiaries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39.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first contention was that the "public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interest" test in the deprivation rule is satisfied only if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is taken for a public purpose of benefit to the community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generally and that, as a corollary, the transfer of property from one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person to another for the latter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private benefit alone can never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"in the public interest".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their submission, the contested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does not satisfy this condition.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The Commission and the Government, on the other hand, were agreed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thinking that a compulsory transfer of property from one individual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another may in principle be considered to be "in the public interest"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if the taking is effected in pursuance of legitimate social policies.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40.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Court agrees with the applicants that a deprivation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effected for no reason other than to confer a private benefit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 a private party cannot be "in the public interest".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Nonetheless,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compulsory transfer of property from one individual to another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may, depending upon the circumstances, constitute a legitimate means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promoting the public interest.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this connection, even where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texts in force employ expressions like "for the public use", no common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 can be identified in the constitutions, legislation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case-law of the Contracting States that would warrant understanding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notion of public interest as outlawing compulsory transfer between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private parties.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same may be said of certain other democratic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countries; thus, the applicants and the Government cited in argument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 of the Supreme Court of the United States of America, which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concerned State legislation in Hawaii compulsorily transferring title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real property from lessors to lessees in order to reduce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concentration of land ownership (Hawaii Housing Authority v. Midkiff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104 S.Ct.2321 [1984]).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41.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Neither can it be read into the English expression "in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public interest" that the transferred property should be put into use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the general public or that the community generally, or even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substantial proportion of it, should directly benefit from the taking.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taking of property in pursuance of a policy calculated to enhance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social justice within the community can properly be described as being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"in the public interest".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particular, the fairness of a system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law governing the contractual or property rights of private parties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matter of public concern and therefore legislative measures intended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bring about such fairness are capable of being "in the public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interest", even if they involve the compulsory transfer of property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from one individual to another.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42.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expression "pour cause 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utilité publique" used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French text of Article 1 (P1-1) may indeed be read as having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narrow sense argued by the applicants, as is shown by the domestic law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some, but not all, of the Contracting States where the expression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or its equivalent is found in the context of expropriation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That, however, is not decisive, as many Convention concepts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have been recognised in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case-law as having an "autonomous"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meaning.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Moreover, the words "utilité publique" are also capable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bearing a wider meaning, covering expropriation measures taken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implementation of policies calculated to enhance social justice.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The Court, like the Commission, considers that such an interpretation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best reconciles the language of the English and French texts, having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regard to the object and purpose of Article 1 (P1-1) (see Article 33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1969 Vienna Convention on the Law of Treaties and the Sunday</w:t>
      </w:r>
      <w:r w:rsidR="00F47072">
        <w:rPr>
          <w:lang w:val="en-GB"/>
        </w:rPr>
        <w:t xml:space="preserve"> </w:t>
      </w:r>
      <w:smartTag w:uri="urn:schemas-microsoft-com:office:smarttags" w:element="PersonName">
        <w:r w:rsidRPr="00F47072" w:rsidR="00F47072">
          <w:rPr>
            <w:lang w:val="en-GB"/>
          </w:rPr>
          <w:t>Tim</w:t>
        </w:r>
      </w:smartTag>
      <w:r w:rsidRPr="00F47072" w:rsidR="00F47072">
        <w:rPr>
          <w:lang w:val="en-GB"/>
        </w:rPr>
        <w:t>es judgment of 26 April 1979, Series A no. 30, p. 30, para. 48),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is primarily to guard against the arbitrary confiscation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43.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submitted that the use in the same context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different phrases - "public interest" in the first paragraph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 (P1-1) and "general interest" in the second paragraph -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should, according to a generally recognised principle of treaty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interpretation, be assumed to indicate an intention to refer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different concepts.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construed Article 1 (P1-1) as granting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State more latitude to control the use of someone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property than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take it away from him.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In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opinion, even if there could be differences between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concepts of "public interest" and "general interest" in Article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(P1-1), on the point under consideration no fundamental distinction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kind contended for by the applicants can be drawn between them.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44.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accepted that measures designed to ensure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equitable distribution of economic advantages, for example by way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taxation, are licensed by Article 1 (P1-1), but, so they argued,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solely by the second paragraph and not by the first paragraph.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Court, however, sees no cogent reason why a State should be prohibited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under Article 1 (P1-1) from implementing such a policy by resort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deprivation of property.</w:t>
      </w:r>
    </w:p>
    <w:p w:rsidR="003B5C5F" w:rsidP="00A77B60">
      <w:pPr>
        <w:pStyle w:val="JuPara"/>
        <w:rPr>
          <w:lang w:val="en-GB"/>
        </w:rPr>
      </w:pPr>
      <w:r w:rsidRPr="00F47072" w:rsidR="00F47072">
        <w:rPr>
          <w:lang w:val="en-GB"/>
        </w:rPr>
        <w:t>45.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For these reasons, the Court comes to the same conclusion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Commission: a taking of property effected in pursuance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legitimate social, economic or other policies may be "in the public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interest", even if the community at large has no direct use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enjoyment of the property taken.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leasehold reform legislation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 therefore ipso facto an infringement of Article 1 (P1-1)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this ground.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Accordingly, it is necessary to inquire whether in other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respects the legislation satisfied the "public interest" test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remaining requirements laid down in the second sentence of Article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(P1-1).</w:t>
      </w:r>
    </w:p>
    <w:p w:rsidR="003B5C5F" w:rsidP="00A568D5">
      <w:pPr>
        <w:pStyle w:val="JuH1"/>
        <w:rPr>
          <w:lang w:val="en-GB"/>
        </w:rPr>
      </w:pPr>
      <w:r w:rsidRPr="00F47072" w:rsidR="00F47072">
        <w:rPr>
          <w:lang w:val="en-GB"/>
        </w:rPr>
        <w:t>3.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Whether the leasehold reform legislation complied with the "public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interest" test and the remaining requirements of the deprivation rule</w:t>
      </w:r>
    </w:p>
    <w:p w:rsidR="003B5C5F" w:rsidP="00A568D5">
      <w:pPr>
        <w:pStyle w:val="JuHa0"/>
        <w:rPr>
          <w:lang w:val="en-GB"/>
        </w:rPr>
      </w:pPr>
      <w:r w:rsidRPr="00F47072" w:rsidR="00F47072">
        <w:rPr>
          <w:lang w:val="en-GB"/>
        </w:rPr>
        <w:t>(a)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Margin of appreciation</w:t>
      </w:r>
    </w:p>
    <w:p w:rsidR="003B5C5F" w:rsidP="00A568D5">
      <w:pPr>
        <w:pStyle w:val="JuPara"/>
        <w:rPr>
          <w:lang w:val="en-GB"/>
        </w:rPr>
      </w:pPr>
      <w:r w:rsidRPr="00F47072" w:rsidR="00F47072">
        <w:rPr>
          <w:lang w:val="en-GB"/>
        </w:rPr>
        <w:t>46.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Because of their direct knowledge of their society and its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needs, the national authorities are in principle better placed than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international judge to appreciate what is "in the public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interest".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Under the system of protection established by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Convention, it is thus for the national authorities to make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initial assessment both of the existence of a problem of public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concern warranting measures of deprivation of property and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remedial action to be taken (see, mutatis mutandis, the Handyside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 of 7 December 1976, Series A no. 24, p. 22, para. 48).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Here,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in other fields to which the safeguards of the Convention extend,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national authorities accordingly enjoy a certain margin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appreciation.</w:t>
      </w:r>
    </w:p>
    <w:p w:rsidR="003B5C5F" w:rsidP="00B86041">
      <w:pPr>
        <w:pStyle w:val="JuPara"/>
        <w:rPr>
          <w:lang w:val="en-GB"/>
        </w:rPr>
      </w:pPr>
      <w:r w:rsidRPr="00F47072" w:rsidR="00F47072">
        <w:rPr>
          <w:lang w:val="en-GB"/>
        </w:rPr>
        <w:t>Furthermore, the notion of "public interest" is necessarily extensive.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particular, as the Commission noted, the decision to enact laws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expropriating property will commonly involve consideration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political, economic and social issues on which opinions within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democratic society may reasonably differ widely.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Court, finding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natural that the margin of appreciation available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legislature in implementing social and economic policies should be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wide one, will respect the legislature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judgment as to what is "in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public interest" unless that judgment be manifestly without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reasonable foundation.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other words, although the Court cannot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substitute its own assessment for that of the national authorities,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bound to review the contested measures under Article 1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Protocol No. 1 (P1-1) and, in so doing, to make an inquiry into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facts with reference to which the national authorities acted.</w:t>
      </w:r>
    </w:p>
    <w:p w:rsidR="003B5C5F" w:rsidP="00B86041">
      <w:pPr>
        <w:pStyle w:val="JuHa0"/>
        <w:rPr>
          <w:lang w:val="en-GB"/>
        </w:rPr>
      </w:pPr>
      <w:r w:rsidRPr="00F47072" w:rsidR="00F47072">
        <w:rPr>
          <w:lang w:val="en-GB"/>
        </w:rPr>
        <w:t>(b)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Whether the aim of the contested legislation was a legitimate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one, in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principle and on the facts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47.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aim of the 1967 Act, as spelt out in the 1966 White Paper,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was to right the injustice which was felt to be caused to occupying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by the operation of the long leasehold system of tenure (see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 18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Act was designed to reform the existing law,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said to be "inequitable to the leaseholder", and to give effect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what was described as the occupying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"moral entitlement"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ownership of the house (ibid.).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Eliminating what are judged to be social injustices is an example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functions of a democratic legislature.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More especially, modern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societies consider housing of the population to be a prime social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need, the regulation of which cannot entirely be left to the play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market forces.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margin of appreciation is wide enough to cover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aimed at securing greater social justice in the sphere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people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homes, even where such legislation interferes with existing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contractual relations between private parties and confers no direct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benefit on the State or the community at large.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principle,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therefore, the aim pursued by the leasehold reform legislation is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legitimate one.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48.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suggested that the 1967 Act was not enacted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purposes of public benefit but was in reality motivated by purely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political considerations as a vote-seeking measure by the Labour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 then in office.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The Court notes, however, that leasehold reform in England and Wales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had been a matter of public concern for almost a century and that,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when the 1967 Act was passed, enfranchisement was accepted as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 by all the major political parties, although they expressed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different views as to how it should be implemented (see paragraphs 15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19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was not disputed by the applicants that the main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criticisms now made by them of the substantive provisions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were voiced at the time and fully debated in Parliament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before being rejected (see paragraph 19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does not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find that such political considerations as may have influenced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legislative process, socio-economic legislation being bound to reflect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political attitudes to a greater or lesser degree, precluded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objective pursued by the 1967 Act from being a legitimate one "in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public interest".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Similar reasoning applies to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claim that the amendment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introduced by the Conservative Government in 1974, whereby a small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percentage of more valuable dwellinghouses were for the first time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brought within the scope of the legislation (see paragraphs 19 in fine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21 (b) above), "was born of political expediency alone".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49.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further disputed the existence of any problem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justifying 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According to the applicants, the long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 system of tenure, certainly as far as premium leases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concerned (see paragraph 12 above), did not in fact suffer from 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unfairness and it could not be said that the tenant had any "moral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entitlement" to ownership of the house merely by reason of occupying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house built, repaired or improved by previous tenants in accordance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with the contractual terms of a lease.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As stated above (at paragraph 46), the Court has jurisdiction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inquire into the factual basis of the justification pleaded by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respondent Government.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That review, however, is limited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determining whether the legislature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assessment of the relevant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social and economic conditions came within the 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margin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appreciation (ibid.).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Government conceded that the convictions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the 1967 Act was based were by no means universally shared;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this is borne out by the 1962 White Paper (see paragraph 17 above).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the Commission observed in its report, the justice or injustice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leasehold system and the respective "moral entitlements"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and landlords are matters of judgment on which there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clearly room for legitimate conflict of opinions.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applicants</w:t>
      </w:r>
      <w:r w:rsidR="00204045">
        <w:rPr>
          <w:lang w:val="en-GB"/>
        </w:rPr>
        <w:t>’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views cannot be qualified as groundless.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Nonetheless, there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sufficient evidence to justify the contrary views.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a building lease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original tenant will have built the house, in a premium lease 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will have paid an initial capital sum which typically took account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building cost, and in both kinds of lease the tenant will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been responsible for all running repairs (see paragraph 12 above).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This means that the long-leasehold tenant and his predecessors will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over the years have invested a considerable amount of money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house which is their home, whereas the landlord will normally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made no contribution towards its maintenance subsequent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granting of the original lease.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The Court therefore agrees with the Commission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conclusion :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United Kingdom Parliament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belief in the existence of a social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injustice was not such as could be characterised as manifestly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unreasonable.</w:t>
      </w:r>
    </w:p>
    <w:p w:rsidR="003B5C5F" w:rsidP="00A91C62">
      <w:pPr>
        <w:pStyle w:val="JuHa0"/>
        <w:rPr>
          <w:lang w:val="en-GB"/>
        </w:rPr>
      </w:pPr>
      <w:r w:rsidRPr="00F47072" w:rsidR="00F47072">
        <w:rPr>
          <w:lang w:val="en-GB"/>
        </w:rPr>
        <w:t>(c)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Means chosen to achieve the aim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This, however, does not settle the issue.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Not only must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measure depriving a person of his property pursue, on the facts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well as in principle, a legitimate aim "in the public interest", but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 must also be a reasonable relationship of proportionality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between the means employed and the aim sought to be realised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(see, amongst others, and mutatis mutandis, the above-mentioned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Ashingdane judgment, Series A no. 93, pp. 24-25, para. 57).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latter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requirement was expressed in other terms in the Sporrong and Lönnroth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 by the notion of the "fair balance" that must be struck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between the demands of the general interest of the community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requirements of the protection of the individual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fundamental rights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(Series A no. 52, p. 26, para. 69).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requisite balance will not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found if the person concerned has had to bear "an individual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excessive burden" (ibid., p. 28, para. 73).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Although the Court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speaking in that judgment in the context of the general rule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peaceful enjoyment of property enunciated in the first sentence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first paragraph, it pointed out that "the search for this balance is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... reflected in the structure of Article 1 (P1-1)" as a whole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(ibid., p. 26, para. 69).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It was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contention that the leasehold reform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does not satisfy these conditions.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their submission,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even assuming there to be a social injustice, the means chosen to cure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were so inappropriate or disproportionate as to take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legislature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decision outside the margin of appreciation.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The Court considers that a measure must be both appropriate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achieving its aim and not disproportionate thereto.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Whether this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 on the facts will be examined below when dealing with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various arguments.</w:t>
      </w:r>
    </w:p>
    <w:p w:rsidR="003B5C5F" w:rsidP="00A91C62">
      <w:pPr>
        <w:pStyle w:val="JuHalpha"/>
        <w:rPr>
          <w:lang w:val="en-GB"/>
        </w:rPr>
      </w:pPr>
      <w:r w:rsidRPr="00F47072" w:rsidR="00F47072">
        <w:rPr>
          <w:lang w:val="en-GB"/>
        </w:rPr>
        <w:t>(i)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principle of enfranchisement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According to the applicants, the security of tenure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already had under the law in force (see paragraphs 11 in fine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16 above) provided an adequate response and the draconian nature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means devised to give effect to the alleged moral entitlement,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namely deprivation of property, went too far.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was said to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confirmed by the absence of any true equivalent to the 1967 Act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municipal legislation of the other Contracting States and, indeed,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generally in democratic societies.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is, so the applicants argued,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only if there was no other less drastic remedy for the perceived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injustice that the extreme remedy of expropriation could satisfy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requirements of Article 1 (P1-1).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This amounts to reading a test of strict necessity into the Article,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 interpretation which the Court does not find warranted.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availability of alternative solutions does not in itself render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 reform legislation unjustified; it constitutes one factor,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along with others, relevant for determining whether the means chosen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could be regarded as reasonable and suited to achieving the legitimate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aim being pursued, having regard to the need to strike a "fair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balance".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Provided the legislature remained within these bounds,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not for the Court to say whether the legislation represented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best solution for dealing with the problem or whether the legislative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discretion should have been exercised in another way (see, mutatis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mutandis, the Klass and Others judgment of 6 September 1978, Series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no. 28, p. 23, para. 49).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The occupying leaseholder was considered by Parliament to have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"moral entitlement" to ownership of the house, of which inadequate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account was taken under the existing law (see the extracts from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1966 White Paper quoted above at paragraph 18).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concern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legislature was not simply to regulate more fairly the relationship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landlord and tenant but to right a perceived injustice that went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very issue of ownership.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Allowing a mechanism for the compulsory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transfer of the freehold interest in the house and the land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tenant, with financial compensation to the landlord, cannot in itself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 qualified in the circumstances as an inappropriate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disproportionate method for readjusting the law so as to meet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concern.</w:t>
      </w:r>
    </w:p>
    <w:p w:rsidR="003B5C5F" w:rsidP="00A91C62">
      <w:pPr>
        <w:pStyle w:val="JuHalpha"/>
        <w:rPr>
          <w:lang w:val="en-GB"/>
        </w:rPr>
      </w:pPr>
      <w:r w:rsidRPr="00F47072" w:rsidR="00F47072">
        <w:rPr>
          <w:lang w:val="en-GB"/>
        </w:rPr>
        <w:t>(ii) Rateable-value limits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As to the conditions laid down for enfranchisement,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 contended that the restriction of the scope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to houses below a certain rateable value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 21 (b) above) introduces an arbitrary element and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inconsistent with the philosophy on which the legislation was based,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since the same moral entitlement would arise for the tenant whatever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value of the property.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The Court notes that, on the Government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undisputed estimate, all but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one or two per cent of dwellinghouses held on long leases in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England</w:t>
          </w:r>
        </w:smartTag>
      </w:smartTag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Wales were within the 1967 Act (see paragraph 19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explanations given on behalf of the Government during the debates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Bill for inserting the rateable-value limits (ibid.) cannot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dismissed as irrational.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particular, although the argument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"moral entitlement" was logically capable of being applied across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board, Parliament cannot be said to have acted unreasonably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restricting, as a matter of judgment, the right of enfranchisement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under the 1967 Act to less valuable houses so as to redress what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perceived to be the cases of greatest hardship.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Neither can the Court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find that the amendment in the 1974 Act, whereby a more valuable class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property was rendered liable to enfranchisement (see paragraphs 19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fine and 21 (b) above), fell outside the 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margin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appreciation.</w:t>
      </w:r>
    </w:p>
    <w:p w:rsidR="003B5C5F" w:rsidP="00A91C62">
      <w:pPr>
        <w:pStyle w:val="JuHalpha"/>
        <w:rPr>
          <w:lang w:val="en-GB"/>
        </w:rPr>
      </w:pPr>
      <w:r w:rsidRPr="00F47072" w:rsidR="00F47072">
        <w:rPr>
          <w:lang w:val="en-GB"/>
        </w:rPr>
        <w:t>(iii)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Compensation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also objected to the compensation terms under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legislation.</w:t>
      </w:r>
    </w:p>
    <w:p w:rsidR="003B5C5F" w:rsidP="00A91C62">
      <w:pPr>
        <w:pStyle w:val="JuH"/>
        <w:rPr>
          <w:lang w:val="en-GB"/>
        </w:rPr>
      </w:pPr>
      <w:r w:rsidRPr="00F47072" w:rsidR="00F47072">
        <w:rPr>
          <w:lang w:val="en-GB"/>
        </w:rPr>
        <w:t>(a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Entitlement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first question that arises is whether the availability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amount of compensation are material considerations under the second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sentence of the first paragraph of Article 1 (P1-1), the text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provision being silent on the point.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Commission, with whom both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Government and the applicants agreed, read Article 1 (P1-1)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in general impliedly requiring the payment of compensation as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necessary condition for the taking of property of anyone within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jurisdiction of a </w:t>
      </w:r>
      <w:smartTag w:uri="urn:schemas-microsoft-com:office:smarttags" w:element="place">
        <w:smartTag w:uri="urn:schemas-microsoft-com:office:smarttags" w:element="PlaceName">
          <w:r w:rsidRPr="00F47072" w:rsidR="00F47072">
            <w:rPr>
              <w:lang w:val="en-GB"/>
            </w:rPr>
            <w:t>Contracting</w:t>
          </w:r>
        </w:smartTag>
        <w:r w:rsidRPr="00F47072" w:rsidR="00F47072">
          <w:rPr>
            <w:lang w:val="en-GB"/>
          </w:rPr>
          <w:t xml:space="preserve"> </w:t>
        </w:r>
        <w:smartTag w:uri="urn:schemas-microsoft-com:office:smarttags" w:element="PlaceType">
          <w:r w:rsidRPr="00F47072" w:rsidR="00F47072">
            <w:rPr>
              <w:lang w:val="en-GB"/>
            </w:rPr>
            <w:t>State</w:t>
          </w:r>
        </w:smartTag>
      </w:smartTag>
      <w:r w:rsidRPr="00F47072" w:rsidR="00F47072">
        <w:rPr>
          <w:lang w:val="en-GB"/>
        </w:rPr>
        <w:t>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Like the Commission, the Court observes that under the legal systems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Contracting States, the taking of property in the public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interest without payment of compensation is treated as justifiable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only in exceptional circumstances not relevant for present purposes.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far as Article 1 (P1-1) is concerned, the protection of the right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it affords would be largely illusory and ineffective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absence of any equivalent principle.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Clearly, compensation terms are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material to the assessment whether the contested legislation respects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fair balance between the various interests at stake and, notably,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whether it does not impose a disproportionate burden on the applicants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the above-mentioned Sporrong and Lönnroth judgment, Series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no. 52, pp. 26 and 28, paras. 69 and 73).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The Court further accepts the Commission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conclusion as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standard of compensation: the taking of property without payment of 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amount reasonably related to its value would normally constitute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disproportionate interference which could not be considered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justifiable under Article 1 (P1-1).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Article 1 (P1-1) does not,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however, guarantee a right to full compensation in all circumstances.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Legitimate objectives of "public interest", such as pursued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measures of economic reform or measures designed to achieve greater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social justice, may call for less than reimbursement of the full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market value.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Furthermore,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power of review is limited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ascertaining whether the choice of compensation terms falls outside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wide margin of appreciation in this domain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 46 above).</w:t>
      </w:r>
    </w:p>
    <w:p w:rsidR="003B5C5F" w:rsidP="00A91C62">
      <w:pPr>
        <w:pStyle w:val="JuH"/>
        <w:rPr>
          <w:lang w:val="en-GB"/>
        </w:rPr>
      </w:pPr>
      <w:r w:rsidRPr="00F47072" w:rsidR="00F47072">
        <w:rPr>
          <w:lang w:val="en-GB"/>
        </w:rPr>
        <w:t>(b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grievances on the facts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grievances as to compensation fall under two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heads.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Firstly, the 1967 basis of valuation does not accord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 the full market value of the properties enfranchised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 23 (a)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Secondly, under both the 1967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1974 bases the property is valued as at the date of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notice of his desire to acquire (see paragraph 26 above),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complaint being that the landlord suffers loss as a result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delay between the date of valuation and payment on completion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transaction.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As to the first head of complaint, the 1967 basis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valuation, the effect of which is that the tenant pays approximately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site value but nothing for the buildings on the site, clearly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deliberately favours the tenant.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was designed to give effect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view underlying the whole of the contested legislation, namely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that "in equity the bricks and mortar belong to the qualified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leaseholder" because of the money he (or his predecessor in title)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paid out initially as a capital sum and has then spent over the years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 repairs, maintenance and improvements to the house (see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passages from the 1966 White Paper quoted at paragraph 18 above).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effect, the tenant and his predecessors are deemed already to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paid for the house.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That assessment of the factual situation, so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 has held, is one which Parliament was entitled to adopt and act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 in the public interest (see paragraph 49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On the view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Parliament took, it logically follows that "in equity" the tenant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should only be required to pay for that part of the property which 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has not already paid for, that is the value of the ground.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1967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basis of valuation, although it excludes the "merger value" (see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paragraphs 13 and 23 (a) above), does compensate the landlord for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existing investment value of his interest in the ground.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objective pursued by the leasehold reform legislation is to prevent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perceived unjust enrichment accruing to the landlord on the reversion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property.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 light of that objective, judged by the Court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be legitimate for the purposes of Article 1 (P1-1), it has not been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established, having regard to the respondent 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wide margin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appreciation, that the 1967 basis of valuation is not such as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afford a fair balance between the interests of the private parties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concerned and thereby between the general interest of society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landlord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right of property.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As to the second head of complaint, it is possible, as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shown by the circumstances of the enfranchisements affecting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 (see paragraph 29 (v) above), for delays, sometimes long,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occur between valuation date and payment of the price.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other hand, it is open to a landlord who believes that the process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is being deliberately or unnecessarily delayed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refer the matter to the competent tribunal (see paragraph 25 above).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cannot be treated as a defect in the system that a landlord should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choose not to avail himself of this remedy and so should permit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 to protract the conduct of the negotiations.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law also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contains provisions for avoiding and penalising delays (ibid.).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 accordingly concludes that the compensation procedures laid down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the contested legislation do not inherently lead to delays of such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degree as to involve a violation of Article 1 (P1-1).</w:t>
      </w:r>
    </w:p>
    <w:p w:rsidR="003B5C5F" w:rsidP="00A91C62">
      <w:pPr>
        <w:pStyle w:val="JuH"/>
        <w:rPr>
          <w:lang w:val="en-GB"/>
        </w:rPr>
      </w:pPr>
      <w:r w:rsidRPr="00F47072" w:rsidR="00F47072">
        <w:rPr>
          <w:lang w:val="en-GB"/>
        </w:rPr>
        <w:t>(c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General principles of international law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argued in the alternative that the reference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second sentence of Article 1 (P1-1) to "the general principles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international law" meant that the international law requirement of, so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they asserted, prompt, adequate and effective compensation for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expropriation of property of foreigners also applied to nationals.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59.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Commission has consistently held that the principles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question are not applicable to a taking by a State of the property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its own nationals.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Government supported this opinion.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likewise agrees with it for the following reasons.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60.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the first place, purely as a matter of general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international law, the principles in question apply solely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non-nationals.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were specifically developed for the benefit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non-nationals.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As such, these principles did not relate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treatment accorded by States to their own nationals.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61.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support of their argument, the applicants relied first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actual text of Article 1 (P1-1).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their submission, since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second sentence opened with the words "No one", it was impossible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construe that sentence as meaning that whereas everyone was entitled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the safeguards afforded by the phrases "in the public interest"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"subject to the conditions provided for by law", only non-nationals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were entitled to the safeguards afforded by the phrase "subject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conditions provided for ... by the general principles of international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law".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further pointed out that where the authors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intended to differentiate between nationals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non-nationals, they did so expressly, as was exemplified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16 (art. 16).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Whilst there is some force in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argument as a matter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grammatical construction, there are convincing reasons for a different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interpretation.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Textually the Court finds it more natural to take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reference to the general principles of international law in Article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Protocol No. 1 (P1-1) to mean that those principles are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incorporated into that Article (P1-1), but only as regards those acts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they are normally applicable, that is to say acts of a State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relation to non-nationals.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Moreover, the words of a treaty should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understood to have their ordinary meaning (see Article 31 of the 1969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Vienna Convention on the Law of Treaties), and to interpret the phrase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question as extending the general principles of international law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beyond their normal sphere of applicability is less consistent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ordinary meaning of the terms used, notwithstanding their context.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62.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further argued that, on the Commission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interpretation, the reference in Article 1 (P1-1) to the general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principles of international law would be redundant since non-nationals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already enjoyed the protection thereof.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The Court does not share this view.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inclusion of the reference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can be seen to serve at least two purposes.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Firstly, it enables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non-nationals to resort directly to the machinery of the Convention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enforce their rights on the basis of the relevant principles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international law, whereas otherwise they would have to seek recourse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diplomatic channels or to other available means of dispute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settlement to do so.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Secondly, the reference ensures that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position of non-nationals is safeguarded, in that it excludes 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possible argument that the entry into force of Protocol No. 1 (P1)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has led to a diminution of their rights.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this connection, it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also noteworthy that Article 1 (P1-1) expressly provides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deprivation of property must be effected "in the public interest":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since such a requirement has always been included amongst the general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principles of international law, this express provision would itself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have been superfluous if Article 1 (P1-1) had had the effect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rendering those principles applicable to nationals as well as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non-nationals.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63.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Finally, the applicants pointed out that to treat the general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principles of international law as inapplicable to a taking by a State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property of its own nationals would permit differentiation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ground of nationality.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This, they said, would be incompatible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with two provisions that are incorporated in Protocol No. 1 by virtue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Article 5 thereof (P1-5): Article 1 (art. 1) of the Convention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obliges the Contracting States to secure to everyone within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their jurisdiction the rights and freedoms guaranteed and Article 14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14) of the Convention which enshrines the principle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non-discrimination.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As to Article 1 (art. 1) of the Convention, it is true that under most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provisions of the Convention and its Protocols nationals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non-nationals enjoy the same protection but this does not exclude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exceptions as far as this may be indicated in a particular text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(see, for example, Articles 4 para. 3 (b), 5 para. 1 (f) and 16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Convention, Articles 3 and 4 of Protocol No. 4) (art. 4-3-b,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art. 5-1-f, art. 16, P4-3, P4-4).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As to Article 14 (art. 14) of the Convention, the Court has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consistently held that differences of treatment do not constitute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discrimination if they have an "objective and reasonable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justification" (see, as the most recent authority, the Abdulaziz,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Cabales and Balkandali judgment of 28 May 1985, Series A no. 94,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pp. 35-36, para. 72).</w:t>
      </w:r>
    </w:p>
    <w:p w:rsidR="003B5C5F" w:rsidP="00A91C62">
      <w:pPr>
        <w:pStyle w:val="JuPara"/>
        <w:rPr>
          <w:lang w:val="en-GB"/>
        </w:rPr>
      </w:pPr>
      <w:r w:rsidRPr="00F47072" w:rsidR="00F47072">
        <w:rPr>
          <w:lang w:val="en-GB"/>
        </w:rPr>
        <w:t>Especially as regards a taking of property effected in the context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social reform, there may well be good grounds for drawing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distinction between nationals and non-nationals as far as compensation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concerned.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To begin with, non-nationals are more vulnerable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domestic legislation: unlike nationals, they will generally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played no part in the election or designation of its authors nor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been consulted on its adoption.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Secondly, although a taking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must always be effected in the public interest, different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considerations may apply to nationals and non-nationals and there may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well be legitimate reason for requiring nationals to bear a greater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burden in the public interest than non-nationals.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64.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Confronted with a text whose interpretation has given rise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such disagreement, the Court considers it proper to have recourse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travaux préparatoires as a supplementary means of interpretation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Article 32 of the Vienna Convention on the Law of Treaties).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Examination of the travaux préparatoires reveals that the express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reference to a right to compensation contained in earlier drafts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 (P1-1) was excluded, notably in the face of opposition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on the part of the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United Kingdom</w:t>
          </w:r>
        </w:smartTag>
      </w:smartTag>
      <w:r w:rsidRPr="00F47072" w:rsidR="00F47072">
        <w:rPr>
          <w:lang w:val="en-GB"/>
        </w:rPr>
        <w:t xml:space="preserve"> and other States.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mention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general principles of international law was subsequently included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was the subject of several statements to the effect that they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protected only foreigners.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Thus, when the German Government stated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that they could accept the text provided that it was explicitly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recognised that those principles involved the obligation to pay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compensation in the event of expropriation, the Swedish delegation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pointed out that those principles only applied to relations between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State and non-nationals.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And it was then agreed, at the request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German and Belgian delegations, that "the general principles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international law, in their present connotation, entailed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obligation to pay compensation to non-nationals in cases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expropriation" (emphasis added).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Above all, in their Resolution (52) 1 of 19 March 1952 approving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text of the Protocol and opening it for signature, the Committee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Ministers expressly stated that, "as regards Article 1 (P1-1),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general principles of international law in their present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connotation entail the obligation to pay compensation to non-nationals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cases of expropriation" (emphasis added).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Having regard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negotiating history as a whole, the Court considers that this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Resolution must be taken as a clear indication that the reference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general principles of international law was not intended to extend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nationals.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The travaux préparatoires accordingly do not support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interpretation for which the applicants contended.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65.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Finally, it has not been demonstrated that, since the entry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into force of Protocol No. 1 (P1), State practice has developed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point where it can be said that the parties to that instrument regard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reference therein to the general principles of international law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being applicable to the treatment accorded by them to their own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nationals.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evidence adduced points distinctly in the opposite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direction.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66.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For all these reasons, the Court concludes that the general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principles of international law are not applicable to a taking by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State of the property of its own nationals.</w:t>
      </w:r>
    </w:p>
    <w:p w:rsidR="003B5C5F" w:rsidP="00BC1720">
      <w:pPr>
        <w:pStyle w:val="JuH"/>
        <w:rPr>
          <w:lang w:val="en-GB"/>
        </w:rPr>
      </w:pPr>
      <w:r w:rsidRPr="00F47072" w:rsidR="00F47072">
        <w:rPr>
          <w:lang w:val="en-GB"/>
        </w:rPr>
        <w:t>(d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"Conditions provided for by law"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67.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the further alternative, the applicants argued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deprivation of property without payment of compensation, or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compensation which is unfair or unjust, does not fulfil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requirement in Article 1 (P1-1) that the deprivation should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"subject to the conditions provided for by law", interpreting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phrase as adverting not merely to municipal law but to the fundamental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principles of law common to all the Contracting States.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submission, a taking of property will be arbitrary and hence not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accordance with "the conditions provided for by law" in this sense if,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occurred in their case, the amount paid as compensation for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taking bears no reasonable relation to the value of the property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taken.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The Court has consistently held that the terms "law" or "lawful"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Convention "[do] not merely refer back to domestic law but also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[relate] to the quality of the law, requiring it to be compatible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rule of law" (see, as the most recent authority, the Malone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 of 2 August 1984, Series A no. 82, p. 32, para. 67).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However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facts, for the reasons given at paragraphs 56 and 57 above, there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are no grounds for finding that the enfranchisement of the applicants</w:t>
      </w:r>
      <w:r w:rsidR="00204045">
        <w:rPr>
          <w:lang w:val="en-GB"/>
        </w:rPr>
        <w:t>’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properties was arbitrary because of the terms of compensation provided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under the leasehold reform 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For the rest,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opinion, such other requirements as may be included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phrase "subject to the conditions provided for by law" were satisfied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the circumstances of the taking of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properties (see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paragraphs 141 - 143 of the Commission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report and, mutatis mutandis,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above-mentioned Malone judgment, pp. 32-33, paras. 66-68,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authorities cited there).</w:t>
      </w:r>
    </w:p>
    <w:p w:rsidR="003B5C5F" w:rsidP="003456D3">
      <w:pPr>
        <w:pStyle w:val="JuHalpha"/>
        <w:rPr>
          <w:lang w:val="en-GB"/>
        </w:rPr>
      </w:pPr>
      <w:r w:rsidRPr="00F47072" w:rsidR="00F47072">
        <w:rPr>
          <w:lang w:val="en-GB"/>
        </w:rPr>
        <w:t>(iv)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Absence of independent consideration of the reasonableness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each proposed enfranchisement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68.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contended that the operation of the leasehold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reform legislation is indiscriminate since it does not provide 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machinery whereby the landlord can seek an independent consideration,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any particular case, of either the justification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or the principles on which the compensation is to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calculated, once only it is established that the tenancy is within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ambit of the 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pointed to evident differences between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leasehold tenants of modest housing in </w:t>
      </w:r>
      <w:smartTag w:uri="urn:schemas-microsoft-com:office:smarttags" w:element="place">
        <w:r w:rsidRPr="00F47072" w:rsidR="00F47072">
          <w:rPr>
            <w:lang w:val="en-GB"/>
          </w:rPr>
          <w:t>South Wales</w:t>
        </w:r>
      </w:smartTag>
      <w:r w:rsidRPr="00F47072" w:rsidR="00F47072">
        <w:rPr>
          <w:lang w:val="en-GB"/>
        </w:rPr>
        <w:t xml:space="preserve"> and the better off,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middle-class tenants on their Estate in </w:t>
      </w:r>
      <w:smartTag w:uri="urn:schemas-microsoft-com:office:smarttags" w:element="place">
        <w:r w:rsidRPr="00F47072" w:rsidR="00F47072">
          <w:rPr>
            <w:lang w:val="en-GB"/>
          </w:rPr>
          <w:t>Belgravia</w:t>
        </w:r>
      </w:smartTag>
      <w:r w:rsidRPr="00F47072" w:rsidR="00F47072">
        <w:rPr>
          <w:lang w:val="en-GB"/>
        </w:rPr>
        <w:t>, who on the whole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could not be classified as needy or deserving of protection.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submission, in order to avoid injustice for the landlord as well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tenant, the legislation should have provided for judicial review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going into the details and reasonableness of each proposed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enfranchisement.</w:t>
      </w:r>
    </w:p>
    <w:p w:rsidR="003B5C5F" w:rsidP="00BC1720">
      <w:pPr>
        <w:pStyle w:val="JuPara"/>
        <w:rPr>
          <w:lang w:val="en-GB"/>
        </w:rPr>
      </w:pPr>
      <w:r w:rsidRPr="00F47072" w:rsidR="00F47072">
        <w:rPr>
          <w:lang w:val="en-GB"/>
        </w:rPr>
        <w:t>Such a system may have been possible, and indeed a proposal to this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effect was made during the debates on the draft legislation (see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 19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However, Parliament chose instead to lay down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broad and general categories within which the right of enfranchisement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was to arise.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reason for this choice, according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Government, was to avoid the uncertainty, litigation, expense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delay that would inevitably be caused for both tenants and landlords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under a scheme of individual examination of each of many thousands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cases.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Expropriation legislation of wide sweep, in particular if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implements a programme of social and economic reform, is hardly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capable of doing entire justice in the diverse circumstances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very large number of different individuals concerned.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It is in the first place for Parliament to assess the advantages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disadvantages involved in the various legislative alternatives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available (see paragraph 46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view of the fact that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was estimated to be likely to affect 98 to 99 per cent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one and a quarter million dwellinghouses held on long leases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England and Wales (see paragraph 19 in fine above), the system chosen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Parliament cannot in itself be dismissed as irrational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inappropriate.</w:t>
      </w:r>
    </w:p>
    <w:p w:rsidR="003B5C5F" w:rsidP="009928B9">
      <w:pPr>
        <w:pStyle w:val="JuHalpha"/>
        <w:rPr>
          <w:lang w:val="en-GB"/>
        </w:rPr>
      </w:pPr>
      <w:r w:rsidRPr="00F47072" w:rsidR="00F47072">
        <w:rPr>
          <w:lang w:val="en-GB"/>
        </w:rPr>
        <w:t>(v)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Individual transactions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69.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finally submitted that even if enfranchisement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capable in principle of being "in the public interest",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80 individual transactions complained of (see paragraph 27 above)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 justified.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applicants drew attention to the factors listed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 29 above to show that the enfranchising tenants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80 houses concerned in Belgravia bore no resemblance to the kind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people, deserving of protection, whom the 1966 White Paper said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was designed to benefit (see paragraph 18 above).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Irrespective of its possible general compatibility with Article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(P1-1), the leasehold reform legislation, as applied in the concrete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circumstances of these transactions, was alleged to infringe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principle of proportionality as it resulted in effects going far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beyond what was required to achieve its apparent purpose.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illustrate that contention, they referred to one of their former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properties where the tenant who purchased the lease near the end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its term for a low price before the introduction of the 1967 Act made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substantial and wholly "undeserved" gain on re-selling the property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after enfranchising (see paragraph 29 (x) above).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The view taken by Parliament as to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"moral entitlement"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ownership of the house, which the Court has found to be within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margin of appreciation (see paragraph 49 above), is one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applies equally to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properties in Belgravia.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inevitable consequence of the legislation giving effect to that view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 that any tenant who sells the unencumbered freehold of the property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(comprising house and land) after enfranchising is bound to make 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apparent gain, since the price of enfranchisement, at least on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1967 basis of valuation, did not include the house and the tenant has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benefited from the so-called merger value (see paragraphs 13 and 23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addition, the broad sweep and scale of the redistribution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interests achieved by the reform mean that some anomalies, such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making of "windfall profits" by tenants who purchased end-of-term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leases at the right time, are unavoidable.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Parliament decided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landlords affected by the legislation should be deprived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enrichment, considered unjust, that would otherwise come to them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reversion of the property, at the risk of a number of "undeserving"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being able to make "windfall profits".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That was a policy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decision by Parliament, which the Court cannot find to be so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unreasonable as to be outside the 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margin of appreciation.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Neither does the operation of the legislation in practice, notably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illustrated by the 80 transactions concerning the applicants, show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scale of anomalies to be such as to render the legislation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unacceptable under Article 1 (P1-1).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Furthermore, in all the specific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transactions complained of, even those where "windfall profits" were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made by tenants in onward sales, the applicants received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prescribed compensation for what Parliament considered to be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entitlement in equity as landlords (see paragraph 28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hardship as a result of the making of a "windfall profit" was suffered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 by the applicants, whose loss and compensation were unaffected,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but rather by the predecessor(s) in title of the enfranchising tenant.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The 80 enfranchisements complained of by the applicants remained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within the framework of the legislation, which framework the Court has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found to be compatible with the second sentence of Article 1 (P1-1).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These enfranchisements did not result in placing an excessive burden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 the applicants, over and above the disadvantageous effects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generally inherent for landlords in the application of the scheme set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up under the leasehold reform 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Accordingly, the requisite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balance under Article 1 (P1-1) was not destroyed.</w:t>
      </w:r>
    </w:p>
    <w:p w:rsidR="003B5C5F" w:rsidP="009928B9">
      <w:pPr>
        <w:pStyle w:val="JuH1"/>
        <w:rPr>
          <w:lang w:val="en-GB"/>
        </w:rPr>
      </w:pPr>
      <w:r w:rsidRPr="00F47072" w:rsidR="00F47072">
        <w:rPr>
          <w:lang w:val="en-GB"/>
        </w:rPr>
        <w:t>4.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Recapitulation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To sum up, each of the requirements of the second sentence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therefore satisfied in relation to the contested deprivation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possessions suffered by the applicants.</w:t>
      </w:r>
    </w:p>
    <w:p w:rsidR="003B5C5F" w:rsidP="009928B9">
      <w:pPr>
        <w:pStyle w:val="JuHA"/>
        <w:rPr>
          <w:lang w:val="en-GB"/>
        </w:rPr>
      </w:pPr>
      <w:r w:rsidRPr="00F47072" w:rsidR="00F47072">
        <w:rPr>
          <w:lang w:val="en-GB"/>
        </w:rPr>
        <w:t>C.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First sentence of the first paragraph ("the peaceful enjoyment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rule")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Alternatively and additionally, the applicants asserted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violation of their rights of peaceful enjoyment of property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guaranteed by the first sentence of Article 1 (P1-1).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The rule (in the second sentence) subjecting deprivation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possessions to certain conditions concerns a particular category,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indeed the most radical kind, of interference with the right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peaceful enjoyment of property (see paragraph 37 in fine above);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second sentence supplements and qualifies the general principle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enunciated in the first sentence.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being so, it is inconceivable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that application of that general principle to the present case should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lead to any conclusion different from that already arrived at by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 in application of the second sentence.</w:t>
      </w:r>
    </w:p>
    <w:p w:rsidR="003B5C5F" w:rsidP="009928B9">
      <w:pPr>
        <w:pStyle w:val="JuHA"/>
        <w:rPr>
          <w:lang w:val="en-GB"/>
        </w:rPr>
      </w:pPr>
      <w:r w:rsidRPr="00F47072" w:rsidR="00F47072">
        <w:rPr>
          <w:lang w:val="en-GB"/>
        </w:rPr>
        <w:t>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Conclusion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Neither by reason of the terms and conditions of the Leasehold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Reform Act 1967 as amended nor by reason of the particular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circumstances of the enfranchisement transactions concerning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properties has there been a breach of Article 1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Protocol No. 1 (P1-1).</w:t>
      </w:r>
    </w:p>
    <w:p w:rsidR="003B5C5F" w:rsidP="009928B9">
      <w:pPr>
        <w:pStyle w:val="JuHIRoman"/>
        <w:rPr>
          <w:lang w:val="en-GB"/>
        </w:rPr>
      </w:pPr>
      <w:r w:rsidRPr="00F47072" w:rsidR="00F47072">
        <w:rPr>
          <w:lang w:val="en-GB"/>
        </w:rPr>
        <w:t>II.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ARTICLE 14 OF THE CONVENTION TAKEN IN CONJUNCTION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 OF PROTOCOL NO. 1 (art. 14+P1-1)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claimed that they had been the victims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discrimination in the enjoyment of their right of property under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 of Protocol No. 1 (P1-1).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They alleged breach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14 (art. 14) of the Convention, which provides:</w:t>
      </w:r>
    </w:p>
    <w:p w:rsidR="003B5C5F" w:rsidP="009928B9">
      <w:pPr>
        <w:pStyle w:val="JuQuot"/>
        <w:rPr>
          <w:lang w:val="en-GB"/>
        </w:rPr>
      </w:pPr>
      <w:r w:rsidRPr="00F47072" w:rsidR="00F47072">
        <w:rPr>
          <w:lang w:val="en-GB"/>
        </w:rPr>
        <w:t>"The enjoyment of the rights and freedoms set forth in [the]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shall be secured without discrimination on any ground such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sex, race, colour, language, religion, political or other opinion,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national or social origin, association with a national minority,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property, birth or other status."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In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submission, the leasehold reform legislation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discriminatory on the ground of "property" ("fortune" in the French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text), in that, firstly, it is a measure redistributing property which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applies only to a restricted class of property, that is long leasehold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houses occupied by the leaseholders; and, secondly, the lower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value of his property the more harshly the landlord is treated.</w:t>
      </w:r>
    </w:p>
    <w:p w:rsidR="003B5C5F" w:rsidP="009928B9">
      <w:pPr>
        <w:pStyle w:val="JuHA"/>
        <w:rPr>
          <w:lang w:val="en-GB"/>
        </w:rPr>
      </w:pPr>
      <w:r w:rsidRPr="00F47072" w:rsidR="00F47072">
        <w:rPr>
          <w:lang w:val="en-GB"/>
        </w:rPr>
        <w:t>A.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Applicability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Government argued that the contested legislation does not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draw any distinction on the ground of "property", within the meaning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Article 14 (art. 14), since it is neither based nor applied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criteria of wealth.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The list of prohibited grounds of discrimination as set out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14 (art. 14) is not exhaustive (see, as the most recent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authority, the Rasmussen judgment of </w:t>
      </w:r>
      <w:smartTag w:uri="urn:schemas-microsoft-com:office:smarttags" w:element="date">
        <w:smartTagPr>
          <w:attr w:name="Day" w:val="28"/>
          <w:attr w:name="Month" w:val="11"/>
          <w:attr w:name="Year" w:val="1984"/>
        </w:smartTagPr>
        <w:r w:rsidRPr="00F47072" w:rsidR="00F47072">
          <w:rPr>
            <w:lang w:val="en-GB"/>
          </w:rPr>
          <w:t>28 November 1984</w:t>
        </w:r>
      </w:smartTag>
      <w:r w:rsidRPr="00F47072" w:rsidR="00F47072">
        <w:rPr>
          <w:lang w:val="en-GB"/>
        </w:rPr>
        <w:t>, Series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no. 87, p. 13, para. 34 in fine).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On the facts, the legislation does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entail differences of treatment in regard to different categories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owners in the enjoyment of the right safeguarded by Article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Protocol No. 1 (P1-1).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opinion, the grounds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those differences of treatment are based are relevant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context of Article 14 (art. 14) of the Convention and, accordingly,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14 (art. 14) is applicable to the present case.</w:t>
      </w:r>
    </w:p>
    <w:p w:rsidR="003B5C5F" w:rsidP="009928B9">
      <w:pPr>
        <w:pStyle w:val="JuHA"/>
        <w:rPr>
          <w:lang w:val="en-GB"/>
        </w:rPr>
      </w:pPr>
      <w:r w:rsidRPr="00F47072" w:rsidR="00F47072">
        <w:rPr>
          <w:lang w:val="en-GB"/>
        </w:rPr>
        <w:t>B.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Compliance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For the purposes of Article 14 (art. 14), a difference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treatment is discriminatory if it has no objective and reasonable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justification, that is, if it does not pursue a legitimate aim or if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 is not a reasonable relationship of proportionality between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means employed and the aim sought to be realised (see, as the most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recent authority, the above-mentioned Abdulaziz, Cabales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Balkandali judgment, Series A no. 94, pp. 35-36, para. 72).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As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relation to the means for giving effect to the right of property,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Contracting States enjoy a certain margin of appreciation in assessing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whether and to what extent differences in otherwise similar situations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permit a different treatment in law (ibid.).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As to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first head of complaint, it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inevitable that the contested legislation, being designed to remedy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perceived imbalance in the relations between landlords and occupying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tenants under the long leasehold system of tenure, should affect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landlords coming within that restricted category rather than all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other property owners.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aim pursued by the legislation has been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held by the Court to be a legitimate one in the public interest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paragraphs 47 to 49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According to the applicants,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however, that is not sufficient to justify the distinction since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takes no account of the personal circumstances,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notably the respective resources and needs, of the landlord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tenant.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 amounts in substance to the same complaint, albeit seen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from another angle, as that which has been examined under Article 1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Protocol No. 1 (P1-1).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that context, the absence of a mechanism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inquiry into the details and individual merits of each proposed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enfranchisement was not judged by the Court to have the consequence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rendering the operation of the legislation unacceptable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 68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sees no cause for arriving at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different conclusion in relation to Article 14 (art. 14)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Convention: having regard to the margin of appreciation, the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United</w:t>
          </w:r>
          <w:r w:rsidR="00F47072">
            <w:rPr>
              <w:lang w:val="en-GB"/>
            </w:rPr>
            <w:t xml:space="preserve"> </w:t>
          </w:r>
          <w:r w:rsidRPr="00F47072" w:rsidR="00F47072">
            <w:rPr>
              <w:lang w:val="en-GB"/>
            </w:rPr>
            <w:t>Kingdom</w:t>
          </w:r>
        </w:smartTag>
      </w:smartTag>
      <w:r w:rsidRPr="00F47072" w:rsidR="00F47072">
        <w:rPr>
          <w:lang w:val="en-GB"/>
        </w:rPr>
        <w:t xml:space="preserve"> legislature did not transgress the principle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proportionality.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opinion, therefore, the contested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distinction drawn in the legislation is reasonably and objectively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justified.</w:t>
      </w:r>
    </w:p>
    <w:p w:rsidR="003B5C5F" w:rsidP="009928B9">
      <w:pPr>
        <w:pStyle w:val="JuPara"/>
        <w:rPr>
          <w:lang w:val="en-GB"/>
        </w:rPr>
      </w:pPr>
      <w:r w:rsidRPr="00F47072" w:rsidR="00F47072">
        <w:rPr>
          <w:lang w:val="en-GB"/>
        </w:rPr>
        <w:t>77.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second head of complaint must also be examined 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light of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finding under Article 1 of Protocol No.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(P1-1) that the United Kingdom Parliament was entitled to consider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scheme embodied in the leasehold reform legislation as a reasonable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appropriate means for achieving the legitimate aim pursued.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Commission pointed out, the distinctions drawn under the 1967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1974 Acts as to the availability of the right of enfranchisement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to the levels of compensation (see paragraphs 21 and 23 above)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 objective basis in the rateable value of the property.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introduction of the rateable-value limits and the institution of two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levels of compensation reflect Parliament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desire to exclude from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benefits of enfranchisement the small percentage of better-off tenants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 considered to be in need of economic protection and to provide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more favourable terms of purchase for the vast majority of tenants,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most likely to suffer hardship under the existing system (see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 19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view of the legitimate objectives being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pursued in the public interest and having regard to the respondent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margin of appreciation, that policy of different treatment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cannot be considered as unreasonable or as imposing a disproportionate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burden on the applicants (see, mutatis mutandis,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similar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conclusion in the context of Article 1 of Protocol No. 1 (P1-1),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paragraphs 52 and 56 above).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provisions in the legislation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entailing progressively disadvantageous treatment for the landlord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lower the value of the property must be deemed to have a reasonable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objective justification and, consequently, are not discriminatory.</w:t>
      </w:r>
    </w:p>
    <w:p w:rsidR="003B5C5F" w:rsidP="00E11503">
      <w:pPr>
        <w:pStyle w:val="JuHA"/>
        <w:rPr>
          <w:lang w:val="en-GB"/>
        </w:rPr>
      </w:pPr>
      <w:r w:rsidRPr="00F47072" w:rsidR="00F47072">
        <w:rPr>
          <w:lang w:val="en-GB"/>
        </w:rPr>
        <w:t>C.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Conclusion</w:t>
      </w:r>
    </w:p>
    <w:p w:rsidR="003B5C5F" w:rsidP="00E11503">
      <w:pPr>
        <w:pStyle w:val="JuPara"/>
        <w:rPr>
          <w:lang w:val="en-GB"/>
        </w:rPr>
      </w:pPr>
      <w:r w:rsidRPr="00F47072" w:rsidR="00F47072">
        <w:rPr>
          <w:lang w:val="en-GB"/>
        </w:rPr>
        <w:t>78.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Court, like the Commission, therefore finds that the facts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present case do not disclose any breach of Article 14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taken in conjunction with Article 1 of Protocol No.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14+P1-1).</w:t>
      </w:r>
    </w:p>
    <w:p w:rsidR="003B5C5F" w:rsidP="00E11503">
      <w:pPr>
        <w:pStyle w:val="JuHIRoman"/>
        <w:rPr>
          <w:lang w:val="en-GB"/>
        </w:rPr>
      </w:pPr>
      <w:r w:rsidRPr="00F47072" w:rsidR="00F47072">
        <w:rPr>
          <w:lang w:val="en-GB"/>
        </w:rPr>
        <w:t>III.</w:t>
      </w:r>
      <w:r w:rsidR="009D43C3">
        <w:rPr>
          <w:lang w:val="en-GB"/>
        </w:rPr>
        <w:t xml:space="preserve"> </w:t>
      </w:r>
      <w:r w:rsidRPr="00F47072" w:rsidR="00F47072">
        <w:rPr>
          <w:lang w:val="en-GB"/>
        </w:rPr>
        <w:t>ARTICLE 6 PARA. 1 (art. 6-1) OF THE CONVENTION</w:t>
      </w:r>
    </w:p>
    <w:p w:rsidR="003B5C5F" w:rsidP="00E11503">
      <w:pPr>
        <w:pStyle w:val="JuPara"/>
        <w:rPr>
          <w:lang w:val="en-GB"/>
        </w:rPr>
      </w:pPr>
      <w:r w:rsidRPr="00F47072" w:rsidR="00F47072">
        <w:rPr>
          <w:lang w:val="en-GB"/>
        </w:rPr>
        <w:t>79.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also alleged violation of Article 6 para.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6-1) of the Convention, which provides:</w:t>
      </w:r>
    </w:p>
    <w:p w:rsidR="003B5C5F" w:rsidP="00E11503">
      <w:pPr>
        <w:pStyle w:val="JuQuot"/>
        <w:rPr>
          <w:lang w:val="en-GB"/>
        </w:rPr>
      </w:pPr>
      <w:r w:rsidRPr="00F47072" w:rsidR="00F47072">
        <w:rPr>
          <w:lang w:val="en-GB"/>
        </w:rPr>
        <w:t>"In the determination of his civil rights and obligations ...,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everyone is entitled to a ... hearing ... by an independent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impartial tribunal established by law.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..."</w:t>
      </w:r>
    </w:p>
    <w:p w:rsidR="003B5C5F" w:rsidP="00E11503">
      <w:pPr>
        <w:pStyle w:val="JuPara"/>
        <w:rPr>
          <w:lang w:val="en-GB"/>
        </w:rPr>
      </w:pPr>
      <w:r w:rsidRPr="00F47072" w:rsidR="00F47072">
        <w:rPr>
          <w:lang w:val="en-GB"/>
        </w:rPr>
        <w:t>80.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This complaint was new in that it was not pleaded before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Commission.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does have, however, an evident connection with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complaints examined by the Commission.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Indeed, it recurs in another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form in the arguments advanced under Article 1 of Protocol No. 1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Articles 13 and 14 (P1-1, art. 13, art. 14) of the Convention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(see paragraphs 68 and 76 above and paragraph 83 below); it concerns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very same facts which were the subject of the application declared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admissible by the Commission and no preliminary objection going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admissibility of this complaint was raised either by the Commission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the Government.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thus considers that it has jurisdiction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entertain the matter (see, amongst others and mutatis mutandis,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Delcourt judgment of </w:t>
      </w:r>
      <w:smartTag w:uri="urn:schemas-microsoft-com:office:smarttags" w:element="date">
        <w:smartTagPr>
          <w:attr w:name="Day" w:val="17"/>
          <w:attr w:name="Month" w:val="1"/>
          <w:attr w:name="Year" w:val="1970"/>
        </w:smartTagPr>
        <w:r w:rsidRPr="00F47072" w:rsidR="00F47072">
          <w:rPr>
            <w:lang w:val="en-GB"/>
          </w:rPr>
          <w:t>17 January 1970</w:t>
        </w:r>
      </w:smartTag>
      <w:r w:rsidRPr="00F47072" w:rsidR="00F47072">
        <w:rPr>
          <w:lang w:val="en-GB"/>
        </w:rPr>
        <w:t>, Series A no. 11, p. 20, para. 40,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the Bönisch judgment of </w:t>
      </w:r>
      <w:smartTag w:uri="urn:schemas-microsoft-com:office:smarttags" w:element="date">
        <w:smartTagPr>
          <w:attr w:name="Day" w:val="6"/>
          <w:attr w:name="Month" w:val="5"/>
          <w:attr w:name="Year" w:val="1985"/>
        </w:smartTagPr>
        <w:r w:rsidRPr="00F47072" w:rsidR="00F47072">
          <w:rPr>
            <w:lang w:val="en-GB"/>
          </w:rPr>
          <w:t>6 May 1985</w:t>
        </w:r>
      </w:smartTag>
      <w:r w:rsidRPr="00F47072" w:rsidR="00F47072">
        <w:rPr>
          <w:lang w:val="en-GB"/>
        </w:rPr>
        <w:t>, Series A no. 92, p. 17, para. 37).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81.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complained that under the scheme set up by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 reform legislation landlords threatened with loss of their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have no means of challenging the tenants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right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enfranchise, once only the criteria laid down in the legislation are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satisfied.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their submission, the fact that no question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individual merits, no question of hardship, is susceptible of review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any court or tribunal gives rise to a breach of Article 6 para.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6-1).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Article 6 para. 1 (art. 6-1) extends only to "contestations" (disputes) over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(civil) "rights and obligations" which can be said, at least 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arguable grounds, to be recognised under domestic law; it does not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itself guarantee any particular content for (civil) "rights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obligations" in the substantive law of the Contracting States.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Confirmation of this analysis is to be found in the fact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6 para. 1 (art. 6-1) does not require that there be a national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 with competence to invalidate or override national law.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present case, the immediate consequence of the British legislation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issue is that the landlord cannot challenge the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entitlement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acquire the property compulsorily in so far as the acquisition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conformity with the legislation.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In the case of Sporrong and Lönnroth, upon which the applicants placed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heavy reliance, the Court found Article 6 para. 1 (art. 6-1), firstly,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be applicable because there existed an arguable grievance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non-compliance with Swedish law (Series A no. 52, p. 30, para. 81) and,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secondly, to have been violated because of the lack of a remedy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whereby that grievance could be brought before "a tribunal competent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determine all the aspects of the matter" (in French: "un tribunal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jouissant de la plénitude de juridiction") (ibid., p. 31, para. 87).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the present case in contrast, in so far as the applicants may have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considered that there was cause for alleging non-compliance with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leasehold reform legislation, they had unimpeded access to a tribunal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competent to determine any such issue (see paragraphs 24 and 25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above).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82.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There has accordingly been no breach of Article 6 para.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6-1) of the Convention in the present case.</w:t>
      </w:r>
    </w:p>
    <w:p w:rsidR="003B5C5F" w:rsidP="0042212D">
      <w:pPr>
        <w:pStyle w:val="JuHIRoman"/>
        <w:rPr>
          <w:lang w:val="en-GB"/>
        </w:rPr>
      </w:pPr>
      <w:r w:rsidRPr="00F47072" w:rsidR="00F47072">
        <w:rPr>
          <w:lang w:val="en-GB"/>
        </w:rPr>
        <w:t>IV.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ARTICLE 13 (art. 13) OF THE CONVENTION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83.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applicants also alleged breach of Article 13 (art. 13)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Convention, which provides:</w:t>
      </w:r>
    </w:p>
    <w:p w:rsidR="003B5C5F" w:rsidP="0042212D">
      <w:pPr>
        <w:pStyle w:val="JuQuot"/>
        <w:rPr>
          <w:lang w:val="en-GB"/>
        </w:rPr>
      </w:pPr>
      <w:r w:rsidRPr="00F47072" w:rsidR="00F47072">
        <w:rPr>
          <w:lang w:val="en-GB"/>
        </w:rPr>
        <w:t>"Everyone whose rights and freedoms as set forth in [the] Convention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are violated shall have an effective remedy before a national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authority notwithstanding that the violation has been committed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persons acting in an official capacity."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84.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Article 13 (art. 13) requires that "where an individual has 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arguable claim to be the victim of a violation of the rights set forth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the Convention, he should have a remedy before a national authority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order both to have his claim decided and, if appropriate, to obtain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redress" (see the Silver and Others judgment of 25 March 1983, Series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no. 61, p. 42, para. 113).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However, "neither Article 13 (art. 13) nor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Convention in general lays down for the Contracting States any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given manner for ensuring within their internal law the effective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implementation of any of the provisions of the Convention" (see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Swedish Engine Drivers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Union judgment of 6 February 1967, Series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no. 20, p. 18, para. 50).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Although there is thus no obligation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incorporate the Convention into domestic law, by virtue of Article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1) of the Convention the substance of the rights and freedoms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set forth must be secured under the domestic legal order, in some form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or another, to everyone within the jurisdiction of the Contracting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States (see the Ireland v. the United Kingdom judgment of 18 January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1978, Series A no. 25, p. 91, para. 239).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Subject to the qualification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explained in the following paragraph, Article 13 (art. 13) guarantees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availability within the national legal order of an effective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remedy to enforce the Convention rights and freedoms in whatever form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they may happen to be secured.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85.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 xml:space="preserve">The Convention is not part of the domestic law of the </w:t>
      </w:r>
      <w:smartTag w:uri="urn:schemas-microsoft-com:office:smarttags" w:element="place">
        <w:smartTag w:uri="urn:schemas-microsoft-com:office:smarttags" w:element="country-region">
          <w:r w:rsidRPr="00F47072" w:rsidR="00F47072">
            <w:rPr>
              <w:lang w:val="en-GB"/>
            </w:rPr>
            <w:t>United</w:t>
          </w:r>
          <w:r w:rsidR="00F47072">
            <w:rPr>
              <w:lang w:val="en-GB"/>
            </w:rPr>
            <w:t xml:space="preserve"> </w:t>
          </w:r>
          <w:r w:rsidRPr="00F47072" w:rsidR="00F47072">
            <w:rPr>
              <w:lang w:val="en-GB"/>
            </w:rPr>
            <w:t>Kingdom</w:t>
          </w:r>
        </w:smartTag>
      </w:smartTag>
      <w:r w:rsidRPr="00F47072" w:rsidR="00F47072">
        <w:rPr>
          <w:lang w:val="en-GB"/>
        </w:rPr>
        <w:t>, nor does there exist any constitutional procedure permitting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validity of laws to be challenged for non-observance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fundamental rights.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There thus was, and could be, no domestic remedy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respect of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complaint that the leasehold reform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itself does not measure up to the standards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and its Protocols.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Court, however, concurs with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Commission that Article 13 (art. 13) does not go so far as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guarantee a remedy allowing a Contracting 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laws as such to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challenged before a national authority on the ground of being contrary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the Convention or to equivalent domestic legal norms.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therefore unable to uphold the argument to this effect advanced by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applicants.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86.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Adducing the same facts as in the context of Article 6 para.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6-1), the applicants also relied on Article 13 (art. 13)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regards the consequences entailed for them by the application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leasehold reform legislation.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Court has found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legislation, including its effects in the applicants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 xml:space="preserve"> case, to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compatible with the substantive provisions of the Convention.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such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situation, the requirements of Article 13 (art. 13) will be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satisfied if there exists domestic machinery whereby the individual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can secure compliance with the relevant laws (see the above-mentioned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Silver and Others judgment, Series A no. 61, p. 44, para. 118).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Effective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remedies in this sense were and remain available to the applicants.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 particular, disputes over a tenant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entitlement to acquire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freehold under the leasehold reform legislation and over related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matters are within the jurisdiction of the County Court;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purchase price payable is subject to determination, in default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agreement, by the local Leasehold Valuation Tribunal (or, formerly,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Lands Tribunal) (see paragraphs 24 and 25 above).</w:t>
      </w:r>
    </w:p>
    <w:p w:rsidR="003B5C5F" w:rsidP="0042212D">
      <w:pPr>
        <w:pStyle w:val="JuPara"/>
        <w:rPr>
          <w:lang w:val="en-GB"/>
        </w:rPr>
      </w:pPr>
      <w:r w:rsidRPr="00F47072" w:rsidR="00F47072">
        <w:rPr>
          <w:lang w:val="en-GB"/>
        </w:rPr>
        <w:t>87.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facts of the present case therefore disclose no violation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Article 13 (art. 13) of the Convention.</w:t>
      </w:r>
    </w:p>
    <w:p w:rsidR="003B5C5F" w:rsidP="0042212D">
      <w:pPr>
        <w:pStyle w:val="JuHHead"/>
        <w:rPr>
          <w:lang w:val="en-GB"/>
        </w:rPr>
      </w:pPr>
      <w:r w:rsidRPr="00F47072" w:rsidR="00F47072">
        <w:rPr>
          <w:lang w:val="en-GB"/>
        </w:rPr>
        <w:t>FOR THESE REASONS, THE COURT UNANIMOUSLY</w:t>
      </w:r>
    </w:p>
    <w:p w:rsidR="003B5C5F" w:rsidP="004D6C13">
      <w:pPr>
        <w:pStyle w:val="JuList"/>
        <w:rPr>
          <w:lang w:val="en-GB"/>
        </w:rPr>
      </w:pPr>
      <w:r w:rsidRPr="00F47072" w:rsidR="00F47072">
        <w:rPr>
          <w:lang w:val="en-GB"/>
        </w:rPr>
        <w:t>Holds that there has been no breach either of Article 1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Protocol No. 1 (P1-1), whether taken on its own or in conjunction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14 (art. 14+P1-1) of the Convention, or of Articles 6 para. 1 and 13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6-1, art. 13) of the Convention.</w:t>
      </w:r>
    </w:p>
    <w:p w:rsidR="0042212D" w:rsidP="00F47072">
      <w:pPr>
        <w:rPr>
          <w:lang w:val="en-GB"/>
        </w:rPr>
      </w:pPr>
    </w:p>
    <w:p w:rsidR="003B5C5F" w:rsidP="004D6C13">
      <w:pPr>
        <w:pStyle w:val="JuParaLast"/>
        <w:rPr>
          <w:lang w:val="en-GB"/>
        </w:rPr>
      </w:pPr>
      <w:r w:rsidRPr="00F47072" w:rsidR="00F47072">
        <w:rPr>
          <w:lang w:val="en-GB"/>
        </w:rPr>
        <w:t>Done in English and in French, and delivered at a public hearing 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the Human Rights Building,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Strasbourg</w:t>
          </w:r>
        </w:smartTag>
      </w:smartTag>
      <w:r w:rsidRPr="00F47072" w:rsidR="00F47072">
        <w:rPr>
          <w:lang w:val="en-GB"/>
        </w:rPr>
        <w:t xml:space="preserve">, on </w:t>
      </w:r>
      <w:smartTag w:uri="urn:schemas-microsoft-com:office:smarttags" w:element="date">
        <w:smartTagPr>
          <w:attr w:name="Day" w:val="21"/>
          <w:attr w:name="Month" w:val="2"/>
          <w:attr w:name="Year" w:val="1986"/>
        </w:smartTagPr>
        <w:r w:rsidRPr="00F47072" w:rsidR="00F47072">
          <w:rPr>
            <w:lang w:val="en-GB"/>
          </w:rPr>
          <w:t>21 February 1986</w:t>
        </w:r>
      </w:smartTag>
      <w:r w:rsidRPr="00F47072" w:rsidR="00F47072">
        <w:rPr>
          <w:lang w:val="en-GB"/>
        </w:rPr>
        <w:t>.</w:t>
      </w:r>
    </w:p>
    <w:p w:rsidR="0042212D" w:rsidP="00F47072">
      <w:pPr>
        <w:rPr>
          <w:lang w:val="en-GB"/>
        </w:rPr>
      </w:pPr>
    </w:p>
    <w:p w:rsidR="0042212D" w:rsidP="004D6C13">
      <w:pPr>
        <w:pStyle w:val="JuSigned"/>
        <w:jc w:val="right"/>
        <w:rPr>
          <w:lang w:val="sv-SE"/>
        </w:rPr>
      </w:pPr>
      <w:r w:rsidRPr="0042212D" w:rsidR="00F47072">
        <w:rPr>
          <w:lang w:val="sv-SE"/>
        </w:rPr>
        <w:t xml:space="preserve">Rolv </w:t>
      </w:r>
      <w:r w:rsidRPr="003D5E05" w:rsidR="00F47072">
        <w:rPr>
          <w:rStyle w:val="JuNames"/>
          <w:lang w:val="sv-SE"/>
        </w:rPr>
        <w:t>Ryssdal</w:t>
      </w:r>
    </w:p>
    <w:p w:rsidR="003B5C5F" w:rsidP="004D6C13">
      <w:pPr>
        <w:pStyle w:val="JuSigned"/>
        <w:jc w:val="right"/>
        <w:rPr>
          <w:lang w:val="sv-SE"/>
        </w:rPr>
      </w:pPr>
      <w:r w:rsidRPr="0042212D" w:rsidR="00F47072">
        <w:rPr>
          <w:lang w:val="sv-SE"/>
        </w:rPr>
        <w:t>President</w:t>
      </w:r>
    </w:p>
    <w:p w:rsidR="0042212D" w:rsidP="004D6C13">
      <w:pPr>
        <w:pStyle w:val="JuSigned"/>
        <w:rPr>
          <w:lang w:val="sv-SE"/>
        </w:rPr>
      </w:pPr>
    </w:p>
    <w:p w:rsidR="0042212D" w:rsidP="004D6C13">
      <w:pPr>
        <w:pStyle w:val="JuSigned"/>
        <w:rPr>
          <w:lang w:val="sv-SE"/>
        </w:rPr>
      </w:pPr>
      <w:r w:rsidRPr="0042212D" w:rsidR="00F47072">
        <w:rPr>
          <w:lang w:val="sv-SE"/>
        </w:rPr>
        <w:t xml:space="preserve">Marc-André </w:t>
      </w:r>
      <w:r w:rsidRPr="003D5E05" w:rsidR="00F47072">
        <w:rPr>
          <w:rStyle w:val="JuNames"/>
          <w:lang w:val="sv-SE"/>
        </w:rPr>
        <w:t>Eissen</w:t>
      </w:r>
    </w:p>
    <w:p w:rsidR="003B5C5F" w:rsidP="004D6C13">
      <w:pPr>
        <w:pStyle w:val="JuSigned"/>
        <w:rPr>
          <w:lang w:val="sv-SE"/>
        </w:rPr>
      </w:pPr>
      <w:r w:rsidRPr="0042212D" w:rsidR="00F47072">
        <w:rPr>
          <w:lang w:val="sv-SE"/>
        </w:rPr>
        <w:t>Registrar</w:t>
      </w:r>
    </w:p>
    <w:p w:rsidRPr="003D5E05" w:rsidR="0042212D" w:rsidP="00F47072">
      <w:pPr>
        <w:rPr>
          <w:lang w:val="sv-SE"/>
        </w:rPr>
      </w:pPr>
    </w:p>
    <w:p w:rsidR="003B5C5F" w:rsidP="00BC67BD">
      <w:pPr>
        <w:pStyle w:val="JuParaLast"/>
        <w:rPr>
          <w:lang w:val="en-GB"/>
        </w:rPr>
      </w:pPr>
      <w:r w:rsidRPr="00F47072" w:rsidR="00F47072">
        <w:rPr>
          <w:lang w:val="en-GB"/>
        </w:rPr>
        <w:t>The separate concurring opinions of the following judges are annexed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the present judgment in accordance with Article 51 para. 2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51-2) of the Convention and Rule 52 para. 2 of the Rules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Court:</w:t>
      </w:r>
    </w:p>
    <w:p w:rsidR="003B5C5F" w:rsidP="00BC67BD">
      <w:pPr>
        <w:pStyle w:val="JuParaLast"/>
        <w:rPr>
          <w:lang w:val="en-GB"/>
        </w:rPr>
      </w:pPr>
      <w:r w:rsidRPr="00F47072" w:rsidR="00F47072">
        <w:rPr>
          <w:lang w:val="en-GB"/>
        </w:rPr>
        <w:t>- opinion of Mr. Thór Vilhjálmsson (Article 1 of Protocol No. 1);</w:t>
      </w:r>
    </w:p>
    <w:p w:rsidR="003B5C5F" w:rsidP="00BC67BD">
      <w:pPr>
        <w:pStyle w:val="JuParaLast"/>
        <w:rPr>
          <w:lang w:val="en-GB"/>
        </w:rPr>
      </w:pPr>
      <w:r w:rsidRPr="00F47072" w:rsidR="00F47072">
        <w:rPr>
          <w:lang w:val="en-GB"/>
        </w:rPr>
        <w:t>- opinion of Mrs. Bindschedler-Robert, Mr. Gölcüklü, Mr. Matscher,</w:t>
      </w:r>
      <w:r w:rsidR="009D43C3">
        <w:rPr>
          <w:lang w:val="en-GB"/>
        </w:rPr>
        <w:t xml:space="preserve"> </w:t>
      </w:r>
      <w:r w:rsidRPr="00F47072" w:rsidR="00F47072">
        <w:rPr>
          <w:lang w:val="en-GB"/>
        </w:rPr>
        <w:t>Mr. Pettiti, Mr. Russo and Mr. Spielmann (Article 1 of Protocol No. 1);</w:t>
      </w:r>
    </w:p>
    <w:p w:rsidR="003B5C5F" w:rsidP="00BC67BD">
      <w:pPr>
        <w:pStyle w:val="JuParaLast"/>
        <w:rPr>
          <w:lang w:val="en-GB"/>
        </w:rPr>
      </w:pPr>
      <w:r w:rsidRPr="00F47072" w:rsidR="00F47072">
        <w:rPr>
          <w:lang w:val="en-GB"/>
        </w:rPr>
        <w:t>- opinion of Mrs. Bindschedler-Robert, Mr. Gölcüklü, Mr. Matscher and</w:t>
      </w:r>
      <w:r w:rsidR="009D43C3">
        <w:rPr>
          <w:lang w:val="en-GB"/>
        </w:rPr>
        <w:t xml:space="preserve"> </w:t>
      </w:r>
      <w:r w:rsidRPr="00F47072" w:rsidR="00F47072">
        <w:rPr>
          <w:lang w:val="en-GB"/>
        </w:rPr>
        <w:t>Mr. Spielmann (Article 13 of the Convention);</w:t>
      </w:r>
    </w:p>
    <w:p w:rsidR="003B5C5F" w:rsidP="00BC67BD">
      <w:pPr>
        <w:pStyle w:val="JuParaLast"/>
        <w:rPr>
          <w:lang w:val="en-GB"/>
        </w:rPr>
      </w:pPr>
      <w:r w:rsidRPr="00F47072" w:rsidR="00F47072">
        <w:rPr>
          <w:lang w:val="en-GB"/>
        </w:rPr>
        <w:t>- opinion of Mr. Pinheiro Farinha (Article 13 of the Convention);</w:t>
      </w:r>
    </w:p>
    <w:p w:rsidR="003B5C5F" w:rsidP="00BC67BD">
      <w:pPr>
        <w:pStyle w:val="JuParaLast"/>
        <w:rPr>
          <w:lang w:val="en-GB"/>
        </w:rPr>
      </w:pPr>
      <w:r w:rsidRPr="00F47072" w:rsidR="00F47072">
        <w:rPr>
          <w:lang w:val="en-GB"/>
        </w:rPr>
        <w:t>- opinion of Mr. Pettiti and Mr. Russo (Article 13 of the Convention).</w:t>
      </w:r>
    </w:p>
    <w:p w:rsidR="0042212D" w:rsidP="00F47072">
      <w:pPr>
        <w:rPr>
          <w:lang w:val="en-GB"/>
        </w:rPr>
      </w:pPr>
    </w:p>
    <w:p w:rsidR="003B5C5F" w:rsidP="0030182D">
      <w:pPr>
        <w:pStyle w:val="JuInitialled"/>
        <w:rPr>
          <w:lang w:val="en-GB"/>
        </w:rPr>
      </w:pPr>
      <w:r w:rsidRPr="00F47072" w:rsidR="00F47072">
        <w:rPr>
          <w:lang w:val="en-GB"/>
        </w:rPr>
        <w:t>R.R.</w:t>
      </w:r>
    </w:p>
    <w:p w:rsidR="003B5C5F" w:rsidP="0030182D">
      <w:pPr>
        <w:pStyle w:val="JuInitialled"/>
        <w:rPr>
          <w:lang w:val="en-GB"/>
        </w:rPr>
      </w:pPr>
      <w:r w:rsidRPr="00F47072" w:rsidR="00F47072">
        <w:rPr>
          <w:lang w:val="en-GB"/>
        </w:rPr>
        <w:t>M.-A.E.</w:t>
      </w:r>
    </w:p>
    <w:p w:rsidR="002F5BB8" w:rsidP="00F47072">
      <w:pPr>
        <w:rPr>
          <w:lang w:val="en-GB"/>
        </w:rPr>
        <w:sectPr w:rsidSect="00942160">
          <w:headerReference w:type="even" r:id="rId7"/>
          <w:headerReference w:type="default" r:id="rId8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08" w:gutter="0"/>
          <w:cols w:space="708"/>
          <w:noEndnote/>
        </w:sectPr>
      </w:pPr>
    </w:p>
    <w:p w:rsidR="0042212D" w:rsidP="00F47072">
      <w:pPr>
        <w:rPr>
          <w:lang w:val="en-GB"/>
        </w:rPr>
      </w:pPr>
    </w:p>
    <w:p w:rsidR="003B5C5F" w:rsidP="002F5BB8">
      <w:pPr>
        <w:pStyle w:val="OpiHHead"/>
        <w:rPr>
          <w:lang w:val="en-GB"/>
        </w:rPr>
      </w:pPr>
      <w:r w:rsidR="002F5BB8">
        <w:rPr>
          <w:lang w:val="en-GB"/>
        </w:rPr>
        <w:br w:type="page"/>
      </w:r>
      <w:r w:rsidRPr="00F47072" w:rsidR="00F47072">
        <w:rPr>
          <w:lang w:val="en-GB"/>
        </w:rPr>
        <w:t>CONCURRING OPINION OF JUDGE THÓR VILHJÁLMSSON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(ARTICLE 1 OF PROTOCOL N</w:t>
      </w:r>
      <w:r w:rsidRPr="003B5C5F">
        <w:rPr>
          <w:vertAlign w:val="superscript"/>
          <w:lang w:val="en-GB"/>
        </w:rPr>
        <w:t>o</w:t>
      </w:r>
      <w:r w:rsidRPr="00F47072" w:rsidR="00F47072">
        <w:rPr>
          <w:lang w:val="en-GB"/>
        </w:rPr>
        <w:t xml:space="preserve"> 1) (P1-1)</w:t>
      </w:r>
    </w:p>
    <w:p w:rsidR="003B5C5F" w:rsidP="002F5BB8">
      <w:pPr>
        <w:pStyle w:val="OpiPara"/>
        <w:rPr>
          <w:lang w:val="en-GB"/>
        </w:rPr>
      </w:pPr>
      <w:r w:rsidRPr="00F47072" w:rsidR="00F47072">
        <w:rPr>
          <w:lang w:val="en-GB"/>
        </w:rPr>
        <w:t>In the present case, I have voted with the other members of the Court.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 am, however, unable to agree with what is stated in the judgment 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compensation (see paragraphs 53 to 57).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To my regret, I have come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the conclusion that Article 1 of Protocol No. 1 (P1-1) does not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embody a right to compensation in the event of expropriation of one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property.</w:t>
      </w:r>
    </w:p>
    <w:p w:rsidR="003B5C5F" w:rsidP="002F5BB8">
      <w:pPr>
        <w:pStyle w:val="OpiPara"/>
        <w:rPr>
          <w:lang w:val="en-GB"/>
        </w:rPr>
      </w:pPr>
      <w:r w:rsidRPr="00F47072" w:rsidR="00F47072">
        <w:rPr>
          <w:lang w:val="en-GB"/>
        </w:rPr>
        <w:t>The text of the Article (P1-1) makes no mention of compensation.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my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opinion, that should have been done if part of its purpose had been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guarantee a right to compensation.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ordinary meaning of the text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it stands is therefore that it is not concerned with compensation.</w:t>
      </w:r>
    </w:p>
    <w:p w:rsidR="003B5C5F" w:rsidP="002F5BB8">
      <w:pPr>
        <w:pStyle w:val="OpiPara"/>
        <w:rPr>
          <w:lang w:val="en-GB"/>
        </w:rPr>
      </w:pPr>
      <w:r w:rsidRPr="00F47072" w:rsidR="00F47072">
        <w:rPr>
          <w:lang w:val="en-GB"/>
        </w:rPr>
        <w:t>Should it nevertheless be felt necessary to confirm this meaning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recourse to supplementary means of interpretation, the travaux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préparatoires point to the very same conclusion, namely that Article 1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(P1-1) does not confer a right to compensation.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relevant points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are the following.</w:t>
      </w:r>
    </w:p>
    <w:p w:rsidR="003B5C5F" w:rsidP="002F5BB8">
      <w:pPr>
        <w:pStyle w:val="OpiPara"/>
        <w:rPr>
          <w:lang w:val="en-GB"/>
        </w:rPr>
      </w:pPr>
      <w:r w:rsidRPr="00F47072" w:rsidR="00F47072">
        <w:rPr>
          <w:lang w:val="en-GB"/>
        </w:rPr>
        <w:t>The Committee of Ministers examined in November 1950 various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amendments proposed by the Parliamentary Consultative Assembly to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draft Convention on Human Rights.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When it became clear that immediate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agreement could not be reached with regard to certain matters, it was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decided that they should be removed from the draft and submitted to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committee of experts for further study.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One of these matters was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right to property.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amendment proposed by the Assembly did not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speak of compensation.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spite of that, the majority of the member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States considered that compensation should be guaranteed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accordingly the text of the expert committee contained words to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effect (see the Collected Edition of the "Travaux préparatoires",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volume VII, pages 208 and 223-224).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 number of Governments, however,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could not agree to the inclusion in the Convention of the principle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compensation and reference to it was thereafter deleted from the text.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 short account of how the text changed during the drafting period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given in the commentary of </w:t>
      </w:r>
      <w:smartTag w:uri="urn:schemas-microsoft-com:office:smarttags" w:element="date">
        <w:smartTagPr>
          <w:attr w:name="Day" w:val="18"/>
          <w:attr w:name="Month" w:val="9"/>
          <w:attr w:name="Year" w:val="1951"/>
        </w:smartTagPr>
        <w:r w:rsidRPr="00F47072" w:rsidR="00F47072">
          <w:rPr>
            <w:lang w:val="en-GB"/>
          </w:rPr>
          <w:t>18 September 1951</w:t>
        </w:r>
      </w:smartTag>
      <w:r w:rsidRPr="00F47072" w:rsidR="00F47072">
        <w:rPr>
          <w:lang w:val="en-GB"/>
        </w:rPr>
        <w:t xml:space="preserve"> by the Secretary General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(loc. cit., volume VIII, pages 4-10).</w:t>
      </w:r>
    </w:p>
    <w:p w:rsidR="003B5C5F" w:rsidP="002F5BB8">
      <w:pPr>
        <w:pStyle w:val="OpiPara"/>
        <w:rPr>
          <w:lang w:val="en-GB"/>
        </w:rPr>
      </w:pPr>
      <w:r w:rsidRPr="00F47072" w:rsidR="00F47072">
        <w:rPr>
          <w:lang w:val="en-GB"/>
        </w:rPr>
        <w:t>In view of all this, I am bound to draw the conclusion that the object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purpose of Article 1 of the Protocol (P1-1) did not go so far as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include a guarantee of a right to compensation.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Even if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 is to be interpreted in the light of present-day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conditions, I fail to see any development which could justify now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another interpretation of the Article (P1-1).</w:t>
      </w:r>
    </w:p>
    <w:p w:rsidR="002F5BB8" w:rsidP="00F47072">
      <w:pPr>
        <w:rPr>
          <w:lang w:val="en-GB"/>
        </w:rPr>
        <w:sectPr w:rsidSect="00942160">
          <w:headerReference w:type="even" r:id="rId9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08" w:gutter="0"/>
          <w:cols w:space="708"/>
          <w:noEndnote/>
        </w:sectPr>
      </w:pPr>
    </w:p>
    <w:p w:rsidR="002F5BB8" w:rsidP="00F47072">
      <w:pPr>
        <w:rPr>
          <w:lang w:val="en-GB"/>
        </w:rPr>
      </w:pPr>
    </w:p>
    <w:p w:rsidR="003B5C5F" w:rsidP="00B17FF1">
      <w:pPr>
        <w:pStyle w:val="OpiHHead"/>
        <w:rPr>
          <w:lang w:val="en-GB"/>
        </w:rPr>
      </w:pPr>
      <w:r w:rsidR="002F5BB8">
        <w:rPr>
          <w:lang w:val="en-GB"/>
        </w:rPr>
        <w:br w:type="page"/>
      </w:r>
      <w:r w:rsidRPr="00F47072" w:rsidR="00F47072">
        <w:rPr>
          <w:lang w:val="en-GB"/>
        </w:rPr>
        <w:t>CONCURRING OPINION OF JUDGES BINDSCHEDLER-ROBERT, GÖLCÜKLÜ, MATSCHER,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PETTITI, RUSSO AND SPIELMANN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(ARTICLE 1 OF PROTOCOL N</w:t>
      </w:r>
      <w:r w:rsidRPr="003B5C5F">
        <w:rPr>
          <w:vertAlign w:val="superscript"/>
          <w:lang w:val="en-GB"/>
        </w:rPr>
        <w:t>o</w:t>
      </w:r>
      <w:r w:rsidRPr="00F47072" w:rsidR="00F47072">
        <w:rPr>
          <w:lang w:val="en-GB"/>
        </w:rPr>
        <w:t xml:space="preserve"> 1) (P1-1)</w:t>
      </w:r>
    </w:p>
    <w:p w:rsidR="003B5C5F" w:rsidP="00B17FF1">
      <w:pPr>
        <w:pStyle w:val="OpiTranslation"/>
        <w:rPr>
          <w:lang w:val="en-GB"/>
        </w:rPr>
      </w:pPr>
      <w:r w:rsidRPr="00F47072" w:rsidR="00F47072">
        <w:rPr>
          <w:lang w:val="en-GB"/>
        </w:rPr>
        <w:t>(Translation)</w:t>
      </w:r>
    </w:p>
    <w:p w:rsidR="003B5C5F" w:rsidP="00B17FF1">
      <w:pPr>
        <w:pStyle w:val="OpiPara"/>
        <w:rPr>
          <w:lang w:val="en-GB"/>
        </w:rPr>
      </w:pPr>
      <w:r w:rsidRPr="00F47072" w:rsidR="00F47072">
        <w:rPr>
          <w:lang w:val="en-GB"/>
        </w:rPr>
        <w:t>In paragraph 66, the judgment affirms that the general principles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international law are not applicable to a taking by a State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property of its own nationals.</w:t>
      </w:r>
    </w:p>
    <w:p w:rsidR="003B5C5F" w:rsidP="00B17FF1">
      <w:pPr>
        <w:pStyle w:val="OpiPara"/>
        <w:rPr>
          <w:lang w:val="en-GB"/>
        </w:rPr>
      </w:pPr>
      <w:r w:rsidRPr="00F47072" w:rsidR="00F47072">
        <w:rPr>
          <w:lang w:val="en-GB"/>
        </w:rPr>
        <w:t>It must, however, be acknowledged that the reasoning set out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paragraphs 60 to 65 is, taken globally, far from convincing, even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though it does contain some not insignificant arguments (for example,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reference to the drafting history in paragraph 64.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Nevertheless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should be remembered that it is often dangerous to place too much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reliance on such history).</w:t>
      </w:r>
    </w:p>
    <w:p w:rsidR="003B5C5F" w:rsidP="00B17FF1">
      <w:pPr>
        <w:pStyle w:val="OpiPara"/>
        <w:rPr>
          <w:lang w:val="en-GB"/>
        </w:rPr>
      </w:pPr>
      <w:r w:rsidRPr="00F47072" w:rsidR="00F47072">
        <w:rPr>
          <w:lang w:val="en-GB"/>
        </w:rPr>
        <w:t>Be this as it may, the thesis accepted by the judgment leads to 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difference in the treatment of nationals and aliens under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Convention, which plainly conflicts with both the underlying spirit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the general scheme of the Convention (see Article 1)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1).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rare exceptions to this principle are always either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expressly stated (cf. for example, Article 16 of the Convention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Articles 3 and 4 of Protocol No. 4) (art. 16, P4-3, P4-4), 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dealt with in a way which leaves no room for doubt (for example,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5 para. 1 (f) of the Convention) (art. 5-1-f).</w:t>
      </w:r>
    </w:p>
    <w:p w:rsidR="003B5C5F" w:rsidP="00B17FF1">
      <w:pPr>
        <w:pStyle w:val="OpiPara"/>
        <w:rPr>
          <w:lang w:val="en-GB"/>
        </w:rPr>
      </w:pPr>
      <w:r w:rsidRPr="00F47072" w:rsidR="00F47072">
        <w:rPr>
          <w:lang w:val="en-GB"/>
        </w:rPr>
        <w:t>The judgment does not give a satisfactory answer to this question,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we think is of fundamental importance for the interpretation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Convention.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We are even of the opinion that the arguments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developed in paragraphs 61 and 63 are weak and that, generally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speaking, the principles of interpretation on which the judgment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based deal merely with points of detail.</w:t>
      </w:r>
    </w:p>
    <w:p w:rsidR="003B5C5F" w:rsidP="00B17FF1">
      <w:pPr>
        <w:pStyle w:val="OpiPara"/>
        <w:rPr>
          <w:lang w:val="en-GB"/>
        </w:rPr>
      </w:pPr>
      <w:r w:rsidRPr="00F47072" w:rsidR="00F47072">
        <w:rPr>
          <w:lang w:val="en-GB"/>
        </w:rPr>
        <w:t>Moreover, it must not be forgotten that in the various Contracting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States, legal opinion is extremely divided on the issue in question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that, at present, there is growing support for those who consider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that the general principles of international law are applicable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nationals under Article 1 of Protocol No. 1 (P1-1).</w:t>
      </w:r>
    </w:p>
    <w:p w:rsidR="003B5C5F" w:rsidP="00B17FF1">
      <w:pPr>
        <w:pStyle w:val="OpiPara"/>
        <w:rPr>
          <w:lang w:val="en-GB"/>
        </w:rPr>
      </w:pPr>
      <w:r w:rsidRPr="00F47072" w:rsidR="00F47072">
        <w:rPr>
          <w:lang w:val="en-GB"/>
        </w:rPr>
        <w:t>The elasticity of the general principles of international law in this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area can also be seen from a number of international arbitration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awards which apply them in a flexible manner to nationalisations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third-world developing States.</w:t>
      </w:r>
    </w:p>
    <w:p w:rsidR="003B5C5F" w:rsidP="00B17FF1">
      <w:pPr>
        <w:pStyle w:val="OpiPara"/>
        <w:rPr>
          <w:lang w:val="en-GB"/>
        </w:rPr>
      </w:pPr>
      <w:r w:rsidRPr="00F47072" w:rsidR="00F47072">
        <w:rPr>
          <w:lang w:val="en-GB"/>
        </w:rPr>
        <w:t>In these circumstances, we would have preferred it if the issue had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not been settled in this judgment, especially as it is not decisive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the final conclusion arrived at in the judgment.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On the one hand,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 is accepted that the general principles of international law (the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content of which is, moreover, uncertain) seem to require no more than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adequate compensation in the case of expropriation for the purpose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social and economic reforms.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On the other hand, it is recognised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 of Protocol No. 1 (P1-1) in principle requires some measure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compensation in order to achieve a fair balance between the interests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society and the sacrifices imposed on private individuals.</w:t>
      </w:r>
    </w:p>
    <w:p w:rsidR="00B17FF1" w:rsidP="00F47072">
      <w:pPr>
        <w:rPr>
          <w:lang w:val="en-GB"/>
        </w:rPr>
        <w:sectPr w:rsidSect="00942160">
          <w:headerReference w:type="even" r:id="rId10"/>
          <w:headerReference w:type="default" r:id="rId11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08" w:gutter="0"/>
          <w:cols w:space="708"/>
          <w:noEndnote/>
        </w:sectPr>
      </w:pPr>
    </w:p>
    <w:p w:rsidR="00B17FF1" w:rsidP="00F47072">
      <w:pPr>
        <w:rPr>
          <w:lang w:val="en-GB"/>
        </w:rPr>
      </w:pPr>
    </w:p>
    <w:p w:rsidR="003B5C5F" w:rsidP="00295521">
      <w:pPr>
        <w:pStyle w:val="OpiHHead"/>
        <w:rPr>
          <w:lang w:val="en-GB"/>
        </w:rPr>
      </w:pPr>
      <w:r w:rsidR="00B17FF1">
        <w:rPr>
          <w:lang w:val="en-GB"/>
        </w:rPr>
        <w:br w:type="page"/>
      </w:r>
      <w:r w:rsidRPr="00F47072" w:rsidR="00F47072">
        <w:rPr>
          <w:lang w:val="en-GB"/>
        </w:rPr>
        <w:t>CONCURRING OPINION OF JUDGES BINDSCHEDLER-ROBERT, GÖLCÜKLÜ, MATSCHER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SPIELMANN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(ARTICLE 13 OF THE CONVENTION) (art. 13)</w:t>
      </w:r>
    </w:p>
    <w:p w:rsidR="003B5C5F" w:rsidP="00295521">
      <w:pPr>
        <w:pStyle w:val="OpiTranslation"/>
        <w:rPr>
          <w:lang w:val="en-GB"/>
        </w:rPr>
      </w:pPr>
      <w:r w:rsidRPr="00F47072" w:rsidR="00F47072">
        <w:rPr>
          <w:lang w:val="en-GB"/>
        </w:rPr>
        <w:t>(Translation)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We know that Article 13 (art. 13) is one of the most ambiguous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Articles in the Convention and that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doctrine with regard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its application is not yet firmly established.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Nevertheless,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its previous decisions the Court has endeavoured to define the scope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this Article (art. 13) (see the Klass and Others judgment,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paras. 63 et seq., the Silver and Others judgment, para. 113,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Sporrong and Lönnroth judgment, para. 88).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One of the most difficult problems raised by its interpretation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concerns the perpetrators of the alleged violation of a substantive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provision of the Convention, against whom Article 13 (art. 13)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guarantees a remedy before a national authority.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The provision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question does not contain any limitation in this respect.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According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a literal reading of the wording, such a remedy ought to exist even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when the alleged violation results from the operation of a statute,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is tantamount to saying that under Article 13 (art. 13) it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should be possible for the private individual in question to institute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proceedings before a national authority even against national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thought to be incompatible with the Convention.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This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opinion has been expressed in several recent judgments of the Court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(see the Silver and Others judgment, paras. 118 and 119, the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Campbell</w:t>
          </w:r>
        </w:smartTag>
      </w:smartTag>
      <w:r w:rsidRPr="00F47072" w:rsidR="00F47072">
        <w:rPr>
          <w:lang w:val="en-GB"/>
        </w:rPr>
        <w:t xml:space="preserve">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Fell </w:t>
      </w:r>
      <w:r w:rsidRPr="00F47072" w:rsidR="00295521">
        <w:rPr>
          <w:lang w:val="en-GB"/>
        </w:rPr>
        <w:t>judgment</w:t>
      </w:r>
      <w:r w:rsidRPr="00F47072" w:rsidR="00F47072">
        <w:rPr>
          <w:lang w:val="en-GB"/>
        </w:rPr>
        <w:t>, para. 127, and the Abdulaziz, Cabales and Balkandali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judgment, para. 93).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Yet it seems fairly improbable that those drafting the Convention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intended the scope of Article 13 (art. 13) to extend to this point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as, when the Convention was ratified, only a few Contracting States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made legislative provision for private individuals to test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constitutionality of a statute (or its compatibility with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Convention), and this is still the position.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It therefore seems that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judgment is right in holding (in paragraph 85) that Article 13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13) does not go so far as to guarantee a remedy allowing a</w:t>
      </w:r>
      <w:r w:rsidR="00F47072">
        <w:rPr>
          <w:lang w:val="en-GB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F47072" w:rsidR="00F47072">
            <w:rPr>
              <w:lang w:val="en-GB"/>
            </w:rPr>
            <w:t>Contracting</w:t>
          </w:r>
        </w:smartTag>
        <w:r w:rsidRPr="00F47072" w:rsidR="00F47072">
          <w:rPr>
            <w:lang w:val="en-GB"/>
          </w:rPr>
          <w:t xml:space="preserve"> </w:t>
        </w:r>
        <w:smartTag w:uri="urn:schemas-microsoft-com:office:smarttags" w:element="PlaceType">
          <w:r w:rsidRPr="00F47072" w:rsidR="00F47072">
            <w:rPr>
              <w:lang w:val="en-GB"/>
            </w:rPr>
            <w:t>State</w:t>
          </w:r>
        </w:smartTag>
      </w:smartTag>
      <w:r w:rsidR="00204045">
        <w:rPr>
          <w:lang w:val="en-GB"/>
        </w:rPr>
        <w:t>’</w:t>
      </w:r>
      <w:r w:rsidRPr="00F47072" w:rsidR="00F47072">
        <w:rPr>
          <w:lang w:val="en-GB"/>
        </w:rPr>
        <w:t>s laws as such to be challenged before a national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authority on the ground of being contrary to the Convention.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However,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 observation of this kind, which amounts to a restrictive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construction (in French: "réduction terminologique") of Article 13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(art. 13), ought not to be limited to a mere assertion, without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providing at least an indication of the justifying reasons, especially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as the contrary principle, which is consonant with the letter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Article 13 (art. 13), has been propounded in some earlier judgments.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A brief separate opinion is not the place to remedy this omission.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We will therefore restrict ourselves to outlining the main reasons,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which ought to be explained in greater detail in a future judgment,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when the occasion arises.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1.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As we have already pointed out, the existing legislation in most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Contracting States supports a restrictive interpretation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scope of Article 13 (art. 13).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2.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From the wording of Article 13 (art. 13) itself, when it refers to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violations committed by persons acting in an official capacity, it is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also permissible to infer that this provision has primarily in mind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possible violations of the Convention committed by entities belonging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the executive or the judiciary.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It was reasoning along these lines which allowed us to agree with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 also in respect of the finding under Article 13 (art. 13).</w:t>
      </w:r>
    </w:p>
    <w:p w:rsidR="003B5C5F" w:rsidP="00295521">
      <w:pPr>
        <w:pStyle w:val="OpiPara"/>
        <w:rPr>
          <w:lang w:val="en-GB"/>
        </w:rPr>
      </w:pPr>
      <w:r w:rsidRPr="00F47072" w:rsidR="00F47072">
        <w:rPr>
          <w:lang w:val="en-GB"/>
        </w:rPr>
        <w:t>To conclude, we would stress that we are not at all convinced by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argument that it would be inconsistent with the sovereignty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Parliament if its Acts were subject to review by another national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authority, since, on the one hand, as a matter of international law,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there is no longer any doubt as to the State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responsibility even for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Acts passed by its legislature, and, on the other hand,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legislation of a number of States provides for judicial control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Acts of Parliament by a constitutional court.</w:t>
      </w:r>
    </w:p>
    <w:p w:rsidR="00295521" w:rsidP="00F47072">
      <w:pPr>
        <w:rPr>
          <w:lang w:val="en-GB"/>
        </w:rPr>
        <w:sectPr w:rsidSect="00942160">
          <w:headerReference w:type="even" r:id="rId12"/>
          <w:headerReference w:type="default" r:id="rId13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08" w:gutter="0"/>
          <w:cols w:space="708"/>
          <w:noEndnote/>
        </w:sectPr>
      </w:pPr>
    </w:p>
    <w:p w:rsidR="00295521" w:rsidP="00F47072">
      <w:pPr>
        <w:rPr>
          <w:lang w:val="en-GB"/>
        </w:rPr>
      </w:pPr>
    </w:p>
    <w:p w:rsidR="003B5C5F" w:rsidP="000F1E9A">
      <w:pPr>
        <w:pStyle w:val="OpiHHead"/>
        <w:rPr>
          <w:lang w:val="en-GB"/>
        </w:rPr>
      </w:pPr>
      <w:r w:rsidR="00295521">
        <w:rPr>
          <w:lang w:val="en-GB"/>
        </w:rPr>
        <w:br w:type="page"/>
      </w:r>
      <w:r w:rsidRPr="00F47072" w:rsidR="00F47072">
        <w:rPr>
          <w:lang w:val="en-GB"/>
        </w:rPr>
        <w:t>CONCURRING OPINION OF JUDGE PINHEIRO FARINHA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(ARTICLE 13 OF THE CONVENTION) (art. 13)</w:t>
      </w:r>
    </w:p>
    <w:p w:rsidR="003B5C5F" w:rsidP="000F1E9A">
      <w:pPr>
        <w:pStyle w:val="OpiTranslation"/>
        <w:rPr>
          <w:lang w:val="en-GB"/>
        </w:rPr>
      </w:pPr>
      <w:r w:rsidRPr="00F47072" w:rsidR="00F47072">
        <w:rPr>
          <w:lang w:val="en-GB"/>
        </w:rPr>
        <w:t>(Translation)</w:t>
      </w:r>
    </w:p>
    <w:p w:rsidR="003B5C5F" w:rsidP="000F1E9A">
      <w:pPr>
        <w:pStyle w:val="OpiPara"/>
        <w:rPr>
          <w:lang w:val="en-GB"/>
        </w:rPr>
      </w:pPr>
      <w:r w:rsidRPr="00F47072" w:rsidR="00F47072">
        <w:rPr>
          <w:lang w:val="en-GB"/>
        </w:rPr>
        <w:t>1.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 agree with the majority as regards the findings of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judgment.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 also accept the reasoning contained in the judgment,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except for paragraph 85.</w:t>
      </w:r>
    </w:p>
    <w:p w:rsidR="003B5C5F" w:rsidP="000F1E9A">
      <w:pPr>
        <w:pStyle w:val="OpiPara"/>
        <w:rPr>
          <w:lang w:val="en-GB"/>
        </w:rPr>
      </w:pPr>
      <w:r w:rsidRPr="00F47072" w:rsidR="00F47072">
        <w:rPr>
          <w:lang w:val="en-GB"/>
        </w:rPr>
        <w:t>2.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The Convention sets forth a collective guarantee of certain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rights, for example in Article 13 (art. 13) which provides:</w:t>
      </w:r>
    </w:p>
    <w:p w:rsidR="003B5C5F" w:rsidP="00E53237">
      <w:pPr>
        <w:pStyle w:val="OpiQuot"/>
        <w:rPr>
          <w:lang w:val="en-GB"/>
        </w:rPr>
      </w:pPr>
      <w:r w:rsidRPr="00F47072" w:rsidR="00F47072">
        <w:rPr>
          <w:lang w:val="en-GB"/>
        </w:rPr>
        <w:t>"Everyone whose rights and freedoms as set forth in this Convention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are violated shall have an effective remedy before a national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authority notwithstanding that the violation has been committed by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persons acting in an official capacity." (my emphasis)</w:t>
      </w:r>
    </w:p>
    <w:p w:rsidR="003B5C5F" w:rsidP="00DB1A19">
      <w:pPr>
        <w:pStyle w:val="OpiPara"/>
        <w:rPr>
          <w:lang w:val="en-GB"/>
        </w:rPr>
      </w:pPr>
      <w:r w:rsidRPr="00F47072" w:rsidR="00F47072">
        <w:rPr>
          <w:lang w:val="en-GB"/>
        </w:rPr>
        <w:t>The violation of the rights conferred by the Convention may be caused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by the law itself and the acts complained of may be in accordance with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the domestic law, in other words not be due to an improper application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of the law.</w:t>
      </w:r>
      <w:r>
        <w:rPr>
          <w:lang w:val="en-GB"/>
        </w:rPr>
        <w:t xml:space="preserve"> </w:t>
      </w:r>
      <w:r w:rsidRPr="00F47072" w:rsidR="00F47072">
        <w:rPr>
          <w:lang w:val="en-GB"/>
        </w:rPr>
        <w:t>In this case (and I see no reason to make an exception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for the acts of the legislature), there must be a national authority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and it must have jurisdiction to deal with the violation.</w:t>
      </w:r>
    </w:p>
    <w:p w:rsidR="003B5C5F" w:rsidP="00DB1A19">
      <w:pPr>
        <w:pStyle w:val="OpiPara"/>
        <w:rPr>
          <w:lang w:val="en-GB"/>
        </w:rPr>
      </w:pPr>
      <w:r w:rsidRPr="00F47072" w:rsidR="00F47072">
        <w:rPr>
          <w:lang w:val="en-GB"/>
        </w:rPr>
        <w:t>The Court itself has already adopted this position in the case of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Silver and Others, the case of Abdulaziz, Cabales and Balkandali and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the case of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Campbell</w:t>
          </w:r>
        </w:smartTag>
      </w:smartTag>
      <w:r w:rsidRPr="00F47072" w:rsidR="00F47072">
        <w:rPr>
          <w:lang w:val="en-GB"/>
        </w:rPr>
        <w:t xml:space="preserve"> and Fell.</w:t>
      </w:r>
    </w:p>
    <w:p w:rsidR="003B5C5F" w:rsidP="00DB1A19">
      <w:pPr>
        <w:pStyle w:val="OpiPara"/>
        <w:rPr>
          <w:lang w:val="en-GB"/>
        </w:rPr>
      </w:pPr>
      <w:r w:rsidRPr="00F47072" w:rsidR="00F47072">
        <w:rPr>
          <w:lang w:val="en-GB"/>
        </w:rPr>
        <w:t>3.</w:t>
      </w:r>
      <w:r w:rsidR="00204045">
        <w:rPr>
          <w:lang w:val="en-GB"/>
        </w:rPr>
        <w:t xml:space="preserve"> </w:t>
      </w:r>
      <w:r w:rsidRPr="00F47072" w:rsidR="00F47072">
        <w:rPr>
          <w:lang w:val="en-GB"/>
        </w:rPr>
        <w:t>In the instant case, since "the Court has found [the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contested] legislation ... to be compatible with the substantive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provisions of the Convention and its Protocols," what I have just said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does not prevent me from concluding that, for the reasons stated in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paragraph 86 of the judgment, "the facts of the present case therefore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disclose no violation of Article 13 (art. 13) of the Convention".</w:t>
      </w:r>
    </w:p>
    <w:p w:rsidR="000F1E9A" w:rsidP="00DB1A19">
      <w:pPr>
        <w:pStyle w:val="OpiPara"/>
        <w:rPr>
          <w:lang w:val="en-GB"/>
        </w:rPr>
        <w:sectPr w:rsidSect="00942160">
          <w:headerReference w:type="default" r:id="rId14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08" w:gutter="0"/>
          <w:cols w:space="708"/>
          <w:noEndnote/>
        </w:sectPr>
      </w:pPr>
    </w:p>
    <w:p w:rsidR="000F1E9A" w:rsidP="00DB1A19">
      <w:pPr>
        <w:pStyle w:val="OpiPara"/>
        <w:rPr>
          <w:lang w:val="en-GB"/>
        </w:rPr>
      </w:pPr>
    </w:p>
    <w:p w:rsidR="003B5C5F" w:rsidP="005B7412">
      <w:pPr>
        <w:pStyle w:val="OpiHHead"/>
        <w:rPr>
          <w:lang w:val="en-GB"/>
        </w:rPr>
      </w:pPr>
      <w:r w:rsidR="000F1E9A">
        <w:rPr>
          <w:lang w:val="en-GB"/>
        </w:rPr>
        <w:br w:type="page"/>
      </w:r>
      <w:r w:rsidRPr="00F47072" w:rsidR="00F47072">
        <w:rPr>
          <w:lang w:val="en-GB"/>
        </w:rPr>
        <w:t>CONCURRING OPINION OF JUDGES PETTITI AND RUSSO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(ARTICLE 13 OF THE CONVENTION) (art. 13)</w:t>
      </w:r>
    </w:p>
    <w:p w:rsidR="003B5C5F" w:rsidP="005B7412">
      <w:pPr>
        <w:pStyle w:val="OpiTranslation"/>
        <w:rPr>
          <w:lang w:val="en-GB"/>
        </w:rPr>
      </w:pPr>
      <w:r w:rsidRPr="00F47072" w:rsidR="00F47072">
        <w:rPr>
          <w:lang w:val="en-GB"/>
        </w:rPr>
        <w:t>(Translation)</w:t>
      </w:r>
    </w:p>
    <w:p w:rsidR="009D43C3" w:rsidP="005B7412">
      <w:pPr>
        <w:pStyle w:val="OpiPara"/>
        <w:rPr>
          <w:lang w:val="en-GB"/>
        </w:rPr>
      </w:pPr>
      <w:r w:rsidRPr="00F47072" w:rsidR="00F47072">
        <w:rPr>
          <w:lang w:val="en-GB"/>
        </w:rPr>
        <w:t>We recognise the difficulty of construing Article 13 (art. 13); indeed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this difficulty explains the differences of opinion within the Court.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Nevertheless, we continue to prefer the Court</w:t>
      </w:r>
      <w:r w:rsidR="00204045">
        <w:rPr>
          <w:lang w:val="en-GB"/>
        </w:rPr>
        <w:t>’</w:t>
      </w:r>
      <w:r w:rsidRPr="00F47072" w:rsidR="00F47072">
        <w:rPr>
          <w:lang w:val="en-GB"/>
        </w:rPr>
        <w:t>s traditional doctrine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on the interpretation of Article 13 (art. 13) (see especially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 xml:space="preserve">Silver and Others judgment, the </w:t>
      </w:r>
      <w:smartTag w:uri="urn:schemas-microsoft-com:office:smarttags" w:element="place">
        <w:smartTag w:uri="urn:schemas-microsoft-com:office:smarttags" w:element="City">
          <w:r w:rsidRPr="00F47072" w:rsidR="00F47072">
            <w:rPr>
              <w:lang w:val="en-GB"/>
            </w:rPr>
            <w:t>Campbell</w:t>
          </w:r>
        </w:smartTag>
      </w:smartTag>
      <w:r w:rsidRPr="00F47072" w:rsidR="00F47072">
        <w:rPr>
          <w:lang w:val="en-GB"/>
        </w:rPr>
        <w:t xml:space="preserve"> and Fell judgment, and the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Abdulaziz, Cabales and Balkandali judgment).</w:t>
      </w:r>
      <w:r w:rsidR="003B5C5F">
        <w:rPr>
          <w:lang w:val="en-GB"/>
        </w:rPr>
        <w:t xml:space="preserve"> </w:t>
      </w:r>
      <w:r w:rsidRPr="00F47072" w:rsidR="00F47072">
        <w:rPr>
          <w:lang w:val="en-GB"/>
        </w:rPr>
        <w:t>If the Court had cause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to change its doctrine on this point (which we do not consider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necessary), more detailed reasons should have been given than those</w:t>
      </w:r>
      <w:r w:rsidR="00F47072">
        <w:rPr>
          <w:lang w:val="en-GB"/>
        </w:rPr>
        <w:t xml:space="preserve"> </w:t>
      </w:r>
      <w:r w:rsidRPr="00F47072" w:rsidR="00F47072">
        <w:rPr>
          <w:lang w:val="en-GB"/>
        </w:rPr>
        <w:t>adopted in the present judgment.</w:t>
      </w:r>
    </w:p>
    <w:p w:rsidRPr="006E07EB" w:rsidR="004F07C7" w:rsidP="005B7412">
      <w:pPr>
        <w:pStyle w:val="OpiPara"/>
        <w:rPr>
          <w:lang w:val="en-GB"/>
        </w:rPr>
      </w:pPr>
    </w:p>
    <w:sectPr w:rsidSect="00942160">
      <w:headerReference w:type="even" r:id="rId15"/>
      <w:footnotePr>
        <w:numRestart w:val="eachSect"/>
      </w:footnotePr>
      <w:type w:val="continuous"/>
      <w:pgSz w:w="11906" w:h="16838" w:code="9"/>
      <w:pgMar w:top="2274" w:right="2274" w:bottom="2274" w:left="2274" w:header="1701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045"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 w:rsidR="00204045" w:rsidRPr="004E7F2A">
      <w:pPr>
        <w:pStyle w:val="FootnoteText"/>
        <w:rPr>
          <w:lang w:val="en-GB"/>
        </w:rPr>
      </w:pPr>
      <w:r w:rsidRPr="004E7F2A">
        <w:rPr>
          <w:rStyle w:val="FootnoteReference"/>
          <w:rFonts w:ascii="Symbol" w:hAnsi="Symbol"/>
        </w:rPr>
        <w:sym w:font="Symbol" w:char="F02A"/>
      </w:r>
      <w:r w:rsidRPr="004E7F2A">
        <w:rPr>
          <w:lang w:val="en-GB"/>
        </w:rPr>
        <w:t xml:space="preserve"> </w:t>
      </w:r>
      <w:r w:rsidRPr="00F47072">
        <w:rPr>
          <w:lang w:val="en-GB"/>
        </w:rPr>
        <w:t>Note by the Registrar: The case is numbered 3/1984/75</w:t>
      </w:r>
      <w:r>
        <w:rPr>
          <w:lang w:val="en-GB"/>
        </w:rPr>
        <w:t xml:space="preserve">/119. </w:t>
      </w:r>
      <w:r w:rsidRPr="00F47072">
        <w:rPr>
          <w:lang w:val="en-GB"/>
        </w:rPr>
        <w:t>The</w:t>
      </w:r>
      <w:r>
        <w:rPr>
          <w:lang w:val="en-GB"/>
        </w:rPr>
        <w:t xml:space="preserve"> </w:t>
      </w:r>
      <w:r w:rsidRPr="00F47072">
        <w:rPr>
          <w:lang w:val="en-GB"/>
        </w:rPr>
        <w:t>second figure indicates the year in which the case was referred to the</w:t>
      </w:r>
      <w:r>
        <w:rPr>
          <w:lang w:val="en-GB"/>
        </w:rPr>
        <w:t xml:space="preserve"> </w:t>
      </w:r>
      <w:r w:rsidRPr="00F47072">
        <w:rPr>
          <w:lang w:val="en-GB"/>
        </w:rPr>
        <w:t>Court and the first figure its place on the list of cases referred in</w:t>
      </w:r>
      <w:r>
        <w:rPr>
          <w:lang w:val="en-GB"/>
        </w:rPr>
        <w:t xml:space="preserve"> </w:t>
      </w:r>
      <w:r w:rsidRPr="00F47072">
        <w:rPr>
          <w:lang w:val="en-GB"/>
        </w:rPr>
        <w:t>that year; the last two figures indicate, respectively, the case's</w:t>
      </w:r>
      <w:r>
        <w:rPr>
          <w:lang w:val="en-GB"/>
        </w:rPr>
        <w:t xml:space="preserve"> </w:t>
      </w:r>
      <w:r w:rsidRPr="00F47072">
        <w:rPr>
          <w:lang w:val="en-GB"/>
        </w:rPr>
        <w:t>order on the list of cases and of originating applications (to the</w:t>
      </w:r>
      <w:r>
        <w:rPr>
          <w:lang w:val="en-GB"/>
        </w:rPr>
        <w:t xml:space="preserve"> </w:t>
      </w:r>
      <w:r w:rsidRPr="00F47072">
        <w:rPr>
          <w:lang w:val="en-GB"/>
        </w:rPr>
        <w:t>Commission) referred to the Court since its creation.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P="008C7A71">
    <w:pPr>
      <w:pStyle w:val="Ju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width:337.55pt;height:139.55pt" filled="f" fillcolor="window" stroked="f">
          <v:fill o:detectmouseclick="f"/>
          <v:imagedata r:id="rId1" o:title=""/>
        </v:shape>
      </w:pict>
    </w:r>
  </w:p>
  <w:p w:rsidR="00204045" w:rsidRPr="00235D00" w:rsidP="008C7A71">
    <w:pPr>
      <w:pStyle w:val="Ju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23</w:t>
    </w:r>
    <w:r>
      <w:rPr>
        <w:rStyle w:val="PageNumber"/>
      </w:rPr>
      <w:fldChar w:fldCharType="end"/>
    </w:r>
  </w:p>
  <w:p w:rsidR="00204045" w:rsidRPr="00DA7CC2" w:rsidP="008C7A71">
    <w:pPr>
      <w:pStyle w:val="JuHeader"/>
    </w:pPr>
    <w:r w:rsidRPr="00C50BD9">
      <w:t>ASHINGDANE</w:t>
    </w:r>
    <w:r>
      <w:t xml:space="preserve"> v. THE </w:t>
    </w:r>
    <w:smartTag w:uri="urn:schemas-microsoft-com:office:smarttags" w:element="place">
      <w:smartTag w:uri="urn:schemas-microsoft-com:office:smarttags" w:element="country-region">
        <w:r>
          <w:t>UNITED KINGDOM</w:t>
        </w:r>
      </w:smartTag>
    </w:smartTag>
    <w:r>
      <w:t xml:space="preserve"> </w:t>
    </w:r>
    <w:r w:rsidRPr="00DA7CC2">
      <w:t>JUGDMENT</w:t>
    </w:r>
  </w:p>
  <w:p w:rsidR="00204045" w:rsidP="008C7A71">
    <w:pPr>
      <w:pStyle w:val="Ju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RPr="003370DD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36</w:t>
    </w:r>
    <w:r>
      <w:rPr>
        <w:rStyle w:val="PageNumber"/>
      </w:rPr>
      <w:fldChar w:fldCharType="end"/>
    </w:r>
  </w:p>
  <w:p w:rsidR="00204045" w:rsidP="00B547A3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RPr="00495F04" w:rsidP="00B547A3">
    <w:pPr>
      <w:pStyle w:val="Ju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37</w:t>
    </w:r>
    <w:r>
      <w:rPr>
        <w:rStyle w:val="PageNumber"/>
      </w:rPr>
      <w:fldChar w:fldCharType="end"/>
    </w:r>
  </w:p>
  <w:p w:rsidR="00204045" w:rsidP="008C7A71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RPr="00DA7CC2" w:rsidP="008C7A71">
    <w:pPr>
      <w:pStyle w:val="Ju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RPr="003370DD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38</w:t>
    </w:r>
    <w:r>
      <w:rPr>
        <w:rStyle w:val="PageNumber"/>
      </w:rPr>
      <w:fldChar w:fldCharType="end"/>
    </w:r>
  </w:p>
  <w:p w:rsidR="00204045" w:rsidP="00B547A3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P="002F5BB8">
    <w:pPr>
      <w:pStyle w:val="JuHeader"/>
    </w:pPr>
    <w:r w:rsidRPr="00F47072">
      <w:t>CONCURRING OPINION OF JUDGE THÓR VILHJÁLMSSON</w:t>
    </w:r>
    <w:r>
      <w:t xml:space="preserve"> </w:t>
    </w:r>
  </w:p>
  <w:p w:rsidR="00204045" w:rsidRPr="00495F04" w:rsidP="002F5BB8">
    <w:pPr>
      <w:pStyle w:val="JuHeader"/>
    </w:pPr>
    <w:r w:rsidRPr="00F47072">
      <w:t>(ARTICLE 1 OF PROTOCOL N° 1) (P1-1)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RPr="003370DD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40</w:t>
    </w:r>
    <w:r>
      <w:rPr>
        <w:rStyle w:val="PageNumber"/>
      </w:rPr>
      <w:fldChar w:fldCharType="end"/>
    </w:r>
  </w:p>
  <w:p w:rsidR="00204045" w:rsidP="00B547A3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P="002F5BB8">
    <w:pPr>
      <w:pStyle w:val="JuHeader"/>
    </w:pPr>
    <w:r w:rsidRPr="00F47072">
      <w:t>CONCURRING OPINION OF JUDGES BINDSCHEDLER-ROBERT, GÖLCÜKLÜ, MATSCHER,</w:t>
    </w:r>
    <w:r>
      <w:t xml:space="preserve"> </w:t>
    </w:r>
    <w:r w:rsidRPr="00F47072">
      <w:t>PETTITI, RUSSO AND SPIELMANN</w:t>
    </w:r>
    <w:r>
      <w:t xml:space="preserve"> </w:t>
    </w:r>
  </w:p>
  <w:p w:rsidR="00204045" w:rsidRPr="00495F04" w:rsidP="002F5BB8">
    <w:pPr>
      <w:pStyle w:val="JuHeader"/>
    </w:pPr>
    <w:r w:rsidRPr="00F47072">
      <w:t>(ARTICLE 1 OF PROTOCOL N° 1) (P1-1)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39</w:t>
    </w:r>
    <w:r>
      <w:rPr>
        <w:rStyle w:val="PageNumber"/>
      </w:rPr>
      <w:fldChar w:fldCharType="end"/>
    </w:r>
  </w:p>
  <w:p w:rsidR="00204045" w:rsidP="008C7A71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P="002F5BB8">
    <w:pPr>
      <w:pStyle w:val="JuHeader"/>
    </w:pPr>
    <w:r w:rsidRPr="00F47072">
      <w:t>CONCURRING OPINION OF JUDGES BINDSCHEDLER-ROBERT, GÖLCÜKLÜ, MATSCHER,</w:t>
    </w:r>
    <w:r>
      <w:t xml:space="preserve"> </w:t>
    </w:r>
    <w:r w:rsidRPr="00F47072">
      <w:t>PETTITI, RUSSO AND SPIELMANN</w:t>
    </w:r>
    <w:r>
      <w:t xml:space="preserve"> </w:t>
    </w:r>
  </w:p>
  <w:p w:rsidR="00204045" w:rsidRPr="00DA7CC2" w:rsidP="002F5BB8">
    <w:pPr>
      <w:pStyle w:val="JuHeader"/>
    </w:pPr>
    <w:r w:rsidRPr="00F47072">
      <w:t>(ARTICLE 1 OF PROTOCOL N° 1) (P1-1)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RPr="003370DD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42</w:t>
    </w:r>
    <w:r>
      <w:rPr>
        <w:rStyle w:val="PageNumber"/>
      </w:rPr>
      <w:fldChar w:fldCharType="end"/>
    </w:r>
  </w:p>
  <w:p w:rsidR="00204045" w:rsidP="00B547A3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RPr="00495F04" w:rsidP="00B17FF1">
    <w:pPr>
      <w:pStyle w:val="JuHeader"/>
    </w:pPr>
    <w:r w:rsidRPr="00F47072">
      <w:t>CONCURRING OPINION OF JUDGES BINDSCHEDLER-ROBERT, GÖLCÜKLÜ, MATSCHER</w:t>
    </w:r>
    <w:r>
      <w:t xml:space="preserve"> </w:t>
    </w:r>
    <w:r w:rsidRPr="00F47072">
      <w:t>AND SPIELMANN</w:t>
    </w:r>
    <w:r>
      <w:t xml:space="preserve"> </w:t>
    </w:r>
    <w:r w:rsidRPr="00F47072">
      <w:t>(ARTICLE 13 OF THE CONVENTION) (art. 13)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41</w:t>
    </w:r>
    <w:r>
      <w:rPr>
        <w:rStyle w:val="PageNumber"/>
      </w:rPr>
      <w:fldChar w:fldCharType="end"/>
    </w:r>
  </w:p>
  <w:p w:rsidR="00204045" w:rsidP="008C7A71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RPr="00DA7CC2" w:rsidP="00B17FF1">
    <w:pPr>
      <w:pStyle w:val="JuHeader"/>
    </w:pPr>
    <w:r w:rsidRPr="00F47072">
      <w:t>CONCURRING OPINION OF JUDGES BINDSCHEDLER-ROBERT, GÖLCÜKLÜ, MATSCHER</w:t>
    </w:r>
    <w:r>
      <w:t xml:space="preserve"> </w:t>
    </w:r>
    <w:r w:rsidRPr="00F47072">
      <w:t>AND SPIELMANN</w:t>
    </w:r>
    <w:r>
      <w:t xml:space="preserve"> </w:t>
    </w:r>
    <w:r w:rsidRPr="00F47072">
      <w:t>(ARTICLE 13 OF THE CONVENTION) (art. 13)</w: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43</w:t>
    </w:r>
    <w:r>
      <w:rPr>
        <w:rStyle w:val="PageNumber"/>
      </w:rPr>
      <w:fldChar w:fldCharType="end"/>
    </w:r>
  </w:p>
  <w:p w:rsidR="00204045" w:rsidP="008C7A71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RPr="00DA7CC2" w:rsidP="00295521">
    <w:pPr>
      <w:pStyle w:val="JuHeader"/>
    </w:pPr>
    <w:r w:rsidRPr="00F47072">
      <w:t>CONCURRING OPINION OF JUDGE PINHEIRO FARINHA</w:t>
    </w:r>
    <w:r>
      <w:t xml:space="preserve"> </w:t>
    </w:r>
    <w:r w:rsidRPr="00F47072">
      <w:t>(ARTICLE 13 OF THE CONVENTION) (art. 13)</w: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45" w:rsidRPr="003370DD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6D3">
      <w:rPr>
        <w:rStyle w:val="PageNumber"/>
        <w:noProof/>
      </w:rPr>
      <w:t>44</w:t>
    </w:r>
    <w:r>
      <w:rPr>
        <w:rStyle w:val="PageNumber"/>
      </w:rPr>
      <w:fldChar w:fldCharType="end"/>
    </w:r>
  </w:p>
  <w:p w:rsidR="00204045" w:rsidP="00B547A3">
    <w:pPr>
      <w:pStyle w:val="JuHeader"/>
    </w:pPr>
    <w:r w:rsidRPr="00B547A3">
      <w:t xml:space="preserve">JAMES AND OTHERS v. THE </w:t>
    </w:r>
    <w:smartTag w:uri="urn:schemas-microsoft-com:office:smarttags" w:element="place">
      <w:smartTag w:uri="urn:schemas-microsoft-com:office:smarttags" w:element="country-region">
        <w:r w:rsidRPr="00B547A3">
          <w:t>UNITED KINGDOM</w:t>
        </w:r>
      </w:smartTag>
    </w:smartTag>
    <w:r w:rsidRPr="00DA7CC2">
      <w:t xml:space="preserve"> JUGDMENT</w:t>
    </w:r>
  </w:p>
  <w:p w:rsidR="00204045" w:rsidRPr="00495F04" w:rsidP="00B17FF1">
    <w:pPr>
      <w:pStyle w:val="JuHeader"/>
    </w:pPr>
    <w:r w:rsidRPr="00F47072">
      <w:t>CONCURRING OPINION OF JUDGES PETTITI AND RUSSO</w:t>
    </w:r>
    <w:r>
      <w:t xml:space="preserve"> </w:t>
    </w:r>
    <w:r w:rsidRPr="00F47072">
      <w:t>(ARTICLE 13 OF THE CONVENTION) (art. 13)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93ADE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37AAF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BDC49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3AA2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2480D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6073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29676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024C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1C9D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86C2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F324D"/>
    <w:multiLevelType w:val="singleLevel"/>
    <w:tmpl w:val="AEB835E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11">
    <w:nsid w:val="04BA7420"/>
    <w:multiLevelType w:val="singleLevel"/>
    <w:tmpl w:val="FD00765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2">
    <w:nsid w:val="05070F18"/>
    <w:multiLevelType w:val="singleLevel"/>
    <w:tmpl w:val="AEB835E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13">
    <w:nsid w:val="05FF3BC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4">
    <w:nsid w:val="07EB6DCB"/>
    <w:multiLevelType w:val="singleLevel"/>
    <w:tmpl w:val="57C0F45E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15">
    <w:nsid w:val="0A050944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6">
    <w:nsid w:val="0B8104C5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7">
    <w:nsid w:val="0F060C30"/>
    <w:multiLevelType w:val="singleLevel"/>
    <w:tmpl w:val="CE92328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</w:abstractNum>
  <w:abstractNum w:abstractNumId="18">
    <w:nsid w:val="10D14BA6"/>
    <w:multiLevelType w:val="singleLevel"/>
    <w:tmpl w:val="E8D25928"/>
    <w:lvl w:ilvl="0">
      <w:start w:val="0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1486134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0">
    <w:nsid w:val="17304E21"/>
    <w:multiLevelType w:val="singleLevel"/>
    <w:tmpl w:val="6D52421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</w:abstractNum>
  <w:abstractNum w:abstractNumId="21">
    <w:nsid w:val="1CE35BA0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2">
    <w:nsid w:val="1DDB7EF0"/>
    <w:multiLevelType w:val="singleLevel"/>
    <w:tmpl w:val="237A5032"/>
    <w:lvl w:ilvl="0">
      <w:start w:val="0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2EC6E04"/>
    <w:multiLevelType w:val="singleLevel"/>
    <w:tmpl w:val="BAC48052"/>
    <w:lvl w:ilvl="0">
      <w:start w:val="1"/>
      <w:numFmt w:val="decimal"/>
      <w:lvlText w:val="%1."/>
      <w:lvlJc w:val="left"/>
      <w:pPr>
        <w:tabs>
          <w:tab w:val="num" w:pos="1412"/>
        </w:tabs>
        <w:ind w:left="1412" w:hanging="705"/>
      </w:pPr>
      <w:rPr>
        <w:rFonts w:hint="default"/>
        <w:u w:val="none"/>
      </w:rPr>
    </w:lvl>
  </w:abstractNum>
  <w:abstractNum w:abstractNumId="24">
    <w:nsid w:val="233972CD"/>
    <w:multiLevelType w:val="singleLevel"/>
    <w:tmpl w:val="C702232C"/>
    <w:lvl w:ilvl="0">
      <w:start w:val="0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2399540C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6">
    <w:nsid w:val="23B05B16"/>
    <w:multiLevelType w:val="singleLevel"/>
    <w:tmpl w:val="326805F0"/>
    <w:lvl w:ilvl="0">
      <w:start w:val="0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2C4C22E6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8">
    <w:nsid w:val="2D4157B2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9">
    <w:nsid w:val="336B5001"/>
    <w:multiLevelType w:val="singleLevel"/>
    <w:tmpl w:val="57C0F45E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30">
    <w:nsid w:val="37351914"/>
    <w:multiLevelType w:val="singleLevel"/>
    <w:tmpl w:val="AEB835E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31">
    <w:nsid w:val="37E04B0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2">
    <w:nsid w:val="3A6A403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3">
    <w:nsid w:val="3C513E2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4">
    <w:nsid w:val="3C95542D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5">
    <w:nsid w:val="3DB337B2"/>
    <w:multiLevelType w:val="singleLevel"/>
    <w:tmpl w:val="AEB835E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36">
    <w:nsid w:val="3E626E9E"/>
    <w:multiLevelType w:val="singleLevel"/>
    <w:tmpl w:val="E484225C"/>
    <w:lvl w:ilvl="0">
      <w:start w:val="0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435C6F01"/>
    <w:multiLevelType w:val="singleLevel"/>
    <w:tmpl w:val="AEB835E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38">
    <w:nsid w:val="4F827300"/>
    <w:multiLevelType w:val="singleLevel"/>
    <w:tmpl w:val="57C0F45E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39">
    <w:nsid w:val="50760D66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0">
    <w:nsid w:val="52140A4E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1">
    <w:nsid w:val="546B62D4"/>
    <w:multiLevelType w:val="singleLevel"/>
    <w:tmpl w:val="57C0F45E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42">
    <w:nsid w:val="601A116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3">
    <w:nsid w:val="612339BC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4">
    <w:nsid w:val="651B1C3D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5">
    <w:nsid w:val="68ED0762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6">
    <w:nsid w:val="6C2336F9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7">
    <w:nsid w:val="740005CA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8">
    <w:nsid w:val="74884767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9">
    <w:nsid w:val="784844C6"/>
    <w:multiLevelType w:val="singleLevel"/>
    <w:tmpl w:val="AEB835E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50">
    <w:nsid w:val="785C3F08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1">
    <w:nsid w:val="7A9048F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2">
    <w:nsid w:val="7ACC4983"/>
    <w:multiLevelType w:val="singleLevel"/>
    <w:tmpl w:val="E00E1CFC"/>
    <w:lvl w:ilvl="0">
      <w:start w:val="0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3">
    <w:nsid w:val="7BDE393F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4">
    <w:nsid w:val="7BF83EEE"/>
    <w:multiLevelType w:val="singleLevel"/>
    <w:tmpl w:val="BDC6F92C"/>
    <w:lvl w:ilvl="0">
      <w:start w:val="0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5">
    <w:nsid w:val="7D556EA3"/>
    <w:multiLevelType w:val="multilevel"/>
    <w:tmpl w:val="94D40CD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21"/>
  </w:num>
  <w:num w:numId="2">
    <w:abstractNumId w:val="46"/>
  </w:num>
  <w:num w:numId="3">
    <w:abstractNumId w:val="27"/>
  </w:num>
  <w:num w:numId="4">
    <w:abstractNumId w:val="44"/>
  </w:num>
  <w:num w:numId="5">
    <w:abstractNumId w:val="55"/>
  </w:num>
  <w:num w:numId="6">
    <w:abstractNumId w:val="13"/>
  </w:num>
  <w:num w:numId="7">
    <w:abstractNumId w:val="50"/>
  </w:num>
  <w:num w:numId="8">
    <w:abstractNumId w:val="9"/>
  </w:num>
  <w:num w:numId="9">
    <w:abstractNumId w:val="7"/>
  </w:num>
  <w:num w:numId="10">
    <w:abstractNumId w:val="6"/>
  </w:num>
  <w:num w:numId="11">
    <w:abstractNumId w:val="4"/>
  </w:num>
  <w:num w:numId="12">
    <w:abstractNumId w:val="8"/>
  </w:num>
  <w:num w:numId="13">
    <w:abstractNumId w:val="23"/>
  </w:num>
  <w:num w:numId="14">
    <w:abstractNumId w:val="42"/>
  </w:num>
  <w:num w:numId="15">
    <w:abstractNumId w:val="47"/>
  </w:num>
  <w:num w:numId="16">
    <w:abstractNumId w:val="28"/>
  </w:num>
  <w:num w:numId="17">
    <w:abstractNumId w:val="43"/>
  </w:num>
  <w:num w:numId="18">
    <w:abstractNumId w:val="51"/>
  </w:num>
  <w:num w:numId="19">
    <w:abstractNumId w:val="48"/>
  </w:num>
  <w:num w:numId="20">
    <w:abstractNumId w:val="25"/>
  </w:num>
  <w:num w:numId="21">
    <w:abstractNumId w:val="45"/>
  </w:num>
  <w:num w:numId="22">
    <w:abstractNumId w:val="33"/>
  </w:num>
  <w:num w:numId="23">
    <w:abstractNumId w:val="39"/>
  </w:num>
  <w:num w:numId="24">
    <w:abstractNumId w:val="15"/>
  </w:num>
  <w:num w:numId="25">
    <w:abstractNumId w:val="19"/>
  </w:num>
  <w:num w:numId="26">
    <w:abstractNumId w:val="53"/>
  </w:num>
  <w:num w:numId="27">
    <w:abstractNumId w:val="32"/>
  </w:num>
  <w:num w:numId="28">
    <w:abstractNumId w:val="40"/>
  </w:num>
  <w:num w:numId="29">
    <w:abstractNumId w:val="34"/>
  </w:num>
  <w:num w:numId="30">
    <w:abstractNumId w:val="31"/>
  </w:num>
  <w:num w:numId="31">
    <w:abstractNumId w:val="16"/>
  </w:num>
  <w:num w:numId="32">
    <w:abstractNumId w:val="5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49"/>
  </w:num>
  <w:num w:numId="38">
    <w:abstractNumId w:val="26"/>
  </w:num>
  <w:num w:numId="39">
    <w:abstractNumId w:val="30"/>
  </w:num>
  <w:num w:numId="40">
    <w:abstractNumId w:val="36"/>
  </w:num>
  <w:num w:numId="41">
    <w:abstractNumId w:val="20"/>
  </w:num>
  <w:num w:numId="42">
    <w:abstractNumId w:val="18"/>
  </w:num>
  <w:num w:numId="43">
    <w:abstractNumId w:val="17"/>
  </w:num>
  <w:num w:numId="44">
    <w:abstractNumId w:val="29"/>
  </w:num>
  <w:num w:numId="45">
    <w:abstractNumId w:val="54"/>
  </w:num>
  <w:num w:numId="46">
    <w:abstractNumId w:val="38"/>
  </w:num>
  <w:num w:numId="47">
    <w:abstractNumId w:val="24"/>
  </w:num>
  <w:num w:numId="48">
    <w:abstractNumId w:val="41"/>
  </w:num>
  <w:num w:numId="49">
    <w:abstractNumId w:val="22"/>
  </w:num>
  <w:num w:numId="50">
    <w:abstractNumId w:val="14"/>
  </w:num>
  <w:num w:numId="51">
    <w:abstractNumId w:val="12"/>
  </w:num>
  <w:num w:numId="52">
    <w:abstractNumId w:val="37"/>
  </w:num>
  <w:num w:numId="53">
    <w:abstractNumId w:val="10"/>
  </w:num>
  <w:num w:numId="54">
    <w:abstractNumId w:val="52"/>
  </w:num>
  <w:num w:numId="55">
    <w:abstractNumId w:val="35"/>
  </w:num>
  <w:num w:numId="5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75"/>
  <w:removePersonalInformation/>
  <w:embedSystemFonts/>
  <w:stylePaneFormatFilter w:val="3F01"/>
  <w:defaultTabStop w:val="709"/>
  <w:hyphenationZone w:val="425"/>
  <w:evenAndOddHeaders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footnotePr>
    <w:numRestart w:val="eachSect"/>
    <w:footnote w:id="0"/>
    <w:footnote w:id="1"/>
  </w:foot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07C7"/>
    <w:rsid w:val="00001CF5"/>
    <w:rsid w:val="00001E3F"/>
    <w:rsid w:val="00011F4D"/>
    <w:rsid w:val="000159ED"/>
    <w:rsid w:val="00022802"/>
    <w:rsid w:val="00043945"/>
    <w:rsid w:val="000502C8"/>
    <w:rsid w:val="00063711"/>
    <w:rsid w:val="00065271"/>
    <w:rsid w:val="00074977"/>
    <w:rsid w:val="00081680"/>
    <w:rsid w:val="000828CF"/>
    <w:rsid w:val="00090A68"/>
    <w:rsid w:val="00092CE9"/>
    <w:rsid w:val="00093307"/>
    <w:rsid w:val="00093BBB"/>
    <w:rsid w:val="00095AC5"/>
    <w:rsid w:val="000A051A"/>
    <w:rsid w:val="000A5028"/>
    <w:rsid w:val="000B46EE"/>
    <w:rsid w:val="000B5F77"/>
    <w:rsid w:val="000C0A75"/>
    <w:rsid w:val="000C25BC"/>
    <w:rsid w:val="000D001B"/>
    <w:rsid w:val="000D0CC3"/>
    <w:rsid w:val="000D132E"/>
    <w:rsid w:val="000D1B0E"/>
    <w:rsid w:val="000D4C80"/>
    <w:rsid w:val="000E1D78"/>
    <w:rsid w:val="000F1E9A"/>
    <w:rsid w:val="000F51D6"/>
    <w:rsid w:val="000F7743"/>
    <w:rsid w:val="00100005"/>
    <w:rsid w:val="00100688"/>
    <w:rsid w:val="00112F80"/>
    <w:rsid w:val="0011730E"/>
    <w:rsid w:val="00132610"/>
    <w:rsid w:val="0013632E"/>
    <w:rsid w:val="001375CD"/>
    <w:rsid w:val="00141D62"/>
    <w:rsid w:val="00147366"/>
    <w:rsid w:val="00150870"/>
    <w:rsid w:val="001568DB"/>
    <w:rsid w:val="00170B65"/>
    <w:rsid w:val="00175601"/>
    <w:rsid w:val="00184EE0"/>
    <w:rsid w:val="00186924"/>
    <w:rsid w:val="001A2615"/>
    <w:rsid w:val="001A3783"/>
    <w:rsid w:val="001A43E0"/>
    <w:rsid w:val="001A4566"/>
    <w:rsid w:val="001B5C7C"/>
    <w:rsid w:val="001C140C"/>
    <w:rsid w:val="001C4342"/>
    <w:rsid w:val="001D0E00"/>
    <w:rsid w:val="001D5D15"/>
    <w:rsid w:val="001E0E04"/>
    <w:rsid w:val="001E1248"/>
    <w:rsid w:val="001F3D14"/>
    <w:rsid w:val="001F7890"/>
    <w:rsid w:val="002003A0"/>
    <w:rsid w:val="00204045"/>
    <w:rsid w:val="00211313"/>
    <w:rsid w:val="00211610"/>
    <w:rsid w:val="0022393B"/>
    <w:rsid w:val="00224D62"/>
    <w:rsid w:val="00235D00"/>
    <w:rsid w:val="00243EBB"/>
    <w:rsid w:val="00253A5C"/>
    <w:rsid w:val="00261B2F"/>
    <w:rsid w:val="00270CBD"/>
    <w:rsid w:val="002727F5"/>
    <w:rsid w:val="0027489A"/>
    <w:rsid w:val="00274962"/>
    <w:rsid w:val="00283D31"/>
    <w:rsid w:val="002947BA"/>
    <w:rsid w:val="00295521"/>
    <w:rsid w:val="002A2508"/>
    <w:rsid w:val="002A2EBF"/>
    <w:rsid w:val="002C1AD7"/>
    <w:rsid w:val="002C25AE"/>
    <w:rsid w:val="002C367F"/>
    <w:rsid w:val="002C679A"/>
    <w:rsid w:val="002D2511"/>
    <w:rsid w:val="002D5D6E"/>
    <w:rsid w:val="002D73EB"/>
    <w:rsid w:val="002D7CED"/>
    <w:rsid w:val="002E0FF0"/>
    <w:rsid w:val="002E2F72"/>
    <w:rsid w:val="002E7B68"/>
    <w:rsid w:val="002F14C8"/>
    <w:rsid w:val="002F1CFA"/>
    <w:rsid w:val="002F5BB8"/>
    <w:rsid w:val="002F7FB8"/>
    <w:rsid w:val="003015FF"/>
    <w:rsid w:val="0030182D"/>
    <w:rsid w:val="00306FF6"/>
    <w:rsid w:val="00310E61"/>
    <w:rsid w:val="00311689"/>
    <w:rsid w:val="003160C7"/>
    <w:rsid w:val="003166A6"/>
    <w:rsid w:val="00321453"/>
    <w:rsid w:val="00322669"/>
    <w:rsid w:val="00325E7D"/>
    <w:rsid w:val="00332169"/>
    <w:rsid w:val="00334F2B"/>
    <w:rsid w:val="00336E22"/>
    <w:rsid w:val="00336F1B"/>
    <w:rsid w:val="003370DD"/>
    <w:rsid w:val="00340D2D"/>
    <w:rsid w:val="00344699"/>
    <w:rsid w:val="003456D3"/>
    <w:rsid w:val="00346A30"/>
    <w:rsid w:val="00351798"/>
    <w:rsid w:val="0035533B"/>
    <w:rsid w:val="00355AC2"/>
    <w:rsid w:val="00362BF4"/>
    <w:rsid w:val="003632BE"/>
    <w:rsid w:val="003657CA"/>
    <w:rsid w:val="00365AEE"/>
    <w:rsid w:val="00366857"/>
    <w:rsid w:val="003718EB"/>
    <w:rsid w:val="00371F71"/>
    <w:rsid w:val="0037311E"/>
    <w:rsid w:val="00376374"/>
    <w:rsid w:val="003815DE"/>
    <w:rsid w:val="00385831"/>
    <w:rsid w:val="003A77A6"/>
    <w:rsid w:val="003B2EA4"/>
    <w:rsid w:val="003B5C5F"/>
    <w:rsid w:val="003B6814"/>
    <w:rsid w:val="003B73AA"/>
    <w:rsid w:val="003C23F9"/>
    <w:rsid w:val="003C3B53"/>
    <w:rsid w:val="003D28CB"/>
    <w:rsid w:val="003D5E05"/>
    <w:rsid w:val="003D6071"/>
    <w:rsid w:val="003E0401"/>
    <w:rsid w:val="003E19FE"/>
    <w:rsid w:val="003E272A"/>
    <w:rsid w:val="003E5F2E"/>
    <w:rsid w:val="003E6863"/>
    <w:rsid w:val="003E71A6"/>
    <w:rsid w:val="003F3041"/>
    <w:rsid w:val="0041084E"/>
    <w:rsid w:val="0041440D"/>
    <w:rsid w:val="0041455B"/>
    <w:rsid w:val="00414B93"/>
    <w:rsid w:val="004175C0"/>
    <w:rsid w:val="00417BAF"/>
    <w:rsid w:val="0042212D"/>
    <w:rsid w:val="00422F2E"/>
    <w:rsid w:val="004305B3"/>
    <w:rsid w:val="00445582"/>
    <w:rsid w:val="00446688"/>
    <w:rsid w:val="00452C4B"/>
    <w:rsid w:val="00453845"/>
    <w:rsid w:val="004560B4"/>
    <w:rsid w:val="00457842"/>
    <w:rsid w:val="00471988"/>
    <w:rsid w:val="00481F7F"/>
    <w:rsid w:val="0048225F"/>
    <w:rsid w:val="00486288"/>
    <w:rsid w:val="00491A9A"/>
    <w:rsid w:val="004935D8"/>
    <w:rsid w:val="00495F04"/>
    <w:rsid w:val="00496BEA"/>
    <w:rsid w:val="004A1E27"/>
    <w:rsid w:val="004A5107"/>
    <w:rsid w:val="004A57A3"/>
    <w:rsid w:val="004A6121"/>
    <w:rsid w:val="004B24C2"/>
    <w:rsid w:val="004B383C"/>
    <w:rsid w:val="004C2D34"/>
    <w:rsid w:val="004D696B"/>
    <w:rsid w:val="004D6C13"/>
    <w:rsid w:val="004E3C48"/>
    <w:rsid w:val="004E49E7"/>
    <w:rsid w:val="004E6B58"/>
    <w:rsid w:val="004E7F2A"/>
    <w:rsid w:val="004F07C7"/>
    <w:rsid w:val="005015A9"/>
    <w:rsid w:val="0050258F"/>
    <w:rsid w:val="00502A5C"/>
    <w:rsid w:val="00502B75"/>
    <w:rsid w:val="00506668"/>
    <w:rsid w:val="00512533"/>
    <w:rsid w:val="005148F8"/>
    <w:rsid w:val="00520114"/>
    <w:rsid w:val="00521B09"/>
    <w:rsid w:val="00523145"/>
    <w:rsid w:val="005274DB"/>
    <w:rsid w:val="00536A69"/>
    <w:rsid w:val="00545B2D"/>
    <w:rsid w:val="00562567"/>
    <w:rsid w:val="00564B80"/>
    <w:rsid w:val="0056591B"/>
    <w:rsid w:val="0057498C"/>
    <w:rsid w:val="005831F2"/>
    <w:rsid w:val="005859AC"/>
    <w:rsid w:val="00596864"/>
    <w:rsid w:val="00597504"/>
    <w:rsid w:val="005A13F1"/>
    <w:rsid w:val="005A3DEC"/>
    <w:rsid w:val="005A5E42"/>
    <w:rsid w:val="005B5B59"/>
    <w:rsid w:val="005B7412"/>
    <w:rsid w:val="005C6F74"/>
    <w:rsid w:val="005C6F77"/>
    <w:rsid w:val="005C7B98"/>
    <w:rsid w:val="005C7BC0"/>
    <w:rsid w:val="005D7525"/>
    <w:rsid w:val="005E1441"/>
    <w:rsid w:val="005E3822"/>
    <w:rsid w:val="005E5D39"/>
    <w:rsid w:val="005F40BC"/>
    <w:rsid w:val="006020AF"/>
    <w:rsid w:val="0061017A"/>
    <w:rsid w:val="006143CD"/>
    <w:rsid w:val="00615A9B"/>
    <w:rsid w:val="00620B0F"/>
    <w:rsid w:val="006220BC"/>
    <w:rsid w:val="00637C60"/>
    <w:rsid w:val="00644148"/>
    <w:rsid w:val="00646BB1"/>
    <w:rsid w:val="006474D2"/>
    <w:rsid w:val="00647990"/>
    <w:rsid w:val="00651873"/>
    <w:rsid w:val="00651E5E"/>
    <w:rsid w:val="00657D2B"/>
    <w:rsid w:val="00663B32"/>
    <w:rsid w:val="00663E8D"/>
    <w:rsid w:val="006676B8"/>
    <w:rsid w:val="00677216"/>
    <w:rsid w:val="00690312"/>
    <w:rsid w:val="00692484"/>
    <w:rsid w:val="006942EF"/>
    <w:rsid w:val="0069444B"/>
    <w:rsid w:val="006946D9"/>
    <w:rsid w:val="0069585C"/>
    <w:rsid w:val="006B0EEB"/>
    <w:rsid w:val="006B67DC"/>
    <w:rsid w:val="006D1B9C"/>
    <w:rsid w:val="006D5CDF"/>
    <w:rsid w:val="006E025C"/>
    <w:rsid w:val="006E07EB"/>
    <w:rsid w:val="006E2BDD"/>
    <w:rsid w:val="006E3A0A"/>
    <w:rsid w:val="006E51CB"/>
    <w:rsid w:val="006E5A09"/>
    <w:rsid w:val="006F0157"/>
    <w:rsid w:val="006F47E1"/>
    <w:rsid w:val="007011F3"/>
    <w:rsid w:val="00702E39"/>
    <w:rsid w:val="007101FA"/>
    <w:rsid w:val="00712437"/>
    <w:rsid w:val="00713843"/>
    <w:rsid w:val="00714AAE"/>
    <w:rsid w:val="0072365C"/>
    <w:rsid w:val="007257AE"/>
    <w:rsid w:val="00733520"/>
    <w:rsid w:val="00733C16"/>
    <w:rsid w:val="00735197"/>
    <w:rsid w:val="00742BED"/>
    <w:rsid w:val="00746726"/>
    <w:rsid w:val="00747314"/>
    <w:rsid w:val="00755A20"/>
    <w:rsid w:val="00757338"/>
    <w:rsid w:val="00762C0C"/>
    <w:rsid w:val="00764199"/>
    <w:rsid w:val="007653EF"/>
    <w:rsid w:val="00765DA7"/>
    <w:rsid w:val="00774386"/>
    <w:rsid w:val="00774750"/>
    <w:rsid w:val="00780775"/>
    <w:rsid w:val="00781A6E"/>
    <w:rsid w:val="0078375D"/>
    <w:rsid w:val="00786BCC"/>
    <w:rsid w:val="00787F6B"/>
    <w:rsid w:val="007932B3"/>
    <w:rsid w:val="007A3576"/>
    <w:rsid w:val="007A44E8"/>
    <w:rsid w:val="007A4C77"/>
    <w:rsid w:val="007A4F34"/>
    <w:rsid w:val="007B2649"/>
    <w:rsid w:val="007B6873"/>
    <w:rsid w:val="007E508F"/>
    <w:rsid w:val="007E7092"/>
    <w:rsid w:val="007F089B"/>
    <w:rsid w:val="007F0C45"/>
    <w:rsid w:val="0080236A"/>
    <w:rsid w:val="0081682F"/>
    <w:rsid w:val="0082250C"/>
    <w:rsid w:val="00824A57"/>
    <w:rsid w:val="008272A6"/>
    <w:rsid w:val="00830539"/>
    <w:rsid w:val="00830A83"/>
    <w:rsid w:val="00843B48"/>
    <w:rsid w:val="008455C1"/>
    <w:rsid w:val="008469EE"/>
    <w:rsid w:val="00852C22"/>
    <w:rsid w:val="00866C31"/>
    <w:rsid w:val="008775E1"/>
    <w:rsid w:val="00877B27"/>
    <w:rsid w:val="00877B80"/>
    <w:rsid w:val="0088300C"/>
    <w:rsid w:val="008833FE"/>
    <w:rsid w:val="00887EFA"/>
    <w:rsid w:val="00891116"/>
    <w:rsid w:val="008937A8"/>
    <w:rsid w:val="00893AFE"/>
    <w:rsid w:val="00896400"/>
    <w:rsid w:val="00897A27"/>
    <w:rsid w:val="008A0273"/>
    <w:rsid w:val="008A3FA1"/>
    <w:rsid w:val="008B0272"/>
    <w:rsid w:val="008B1110"/>
    <w:rsid w:val="008B35F5"/>
    <w:rsid w:val="008B70B4"/>
    <w:rsid w:val="008C7A71"/>
    <w:rsid w:val="008C7C8F"/>
    <w:rsid w:val="008D18BB"/>
    <w:rsid w:val="008D43E3"/>
    <w:rsid w:val="008D4873"/>
    <w:rsid w:val="008D617B"/>
    <w:rsid w:val="008E5EF8"/>
    <w:rsid w:val="008F4FF8"/>
    <w:rsid w:val="008F5CE2"/>
    <w:rsid w:val="008F5E08"/>
    <w:rsid w:val="008F7E55"/>
    <w:rsid w:val="00900AA3"/>
    <w:rsid w:val="009021F2"/>
    <w:rsid w:val="009053B9"/>
    <w:rsid w:val="00912121"/>
    <w:rsid w:val="00913278"/>
    <w:rsid w:val="009225C0"/>
    <w:rsid w:val="00922C71"/>
    <w:rsid w:val="0093133C"/>
    <w:rsid w:val="00934CA4"/>
    <w:rsid w:val="00937E44"/>
    <w:rsid w:val="00940567"/>
    <w:rsid w:val="00942160"/>
    <w:rsid w:val="00953889"/>
    <w:rsid w:val="009668D8"/>
    <w:rsid w:val="009727D2"/>
    <w:rsid w:val="009734E6"/>
    <w:rsid w:val="00974C8B"/>
    <w:rsid w:val="00976BA9"/>
    <w:rsid w:val="009827FE"/>
    <w:rsid w:val="009835D2"/>
    <w:rsid w:val="00987164"/>
    <w:rsid w:val="00987F02"/>
    <w:rsid w:val="00990589"/>
    <w:rsid w:val="009928B9"/>
    <w:rsid w:val="0099553C"/>
    <w:rsid w:val="009975F6"/>
    <w:rsid w:val="009A2EC0"/>
    <w:rsid w:val="009A3710"/>
    <w:rsid w:val="009A3952"/>
    <w:rsid w:val="009A521B"/>
    <w:rsid w:val="009A53F1"/>
    <w:rsid w:val="009A581B"/>
    <w:rsid w:val="009A7992"/>
    <w:rsid w:val="009B294B"/>
    <w:rsid w:val="009C72DD"/>
    <w:rsid w:val="009D43C3"/>
    <w:rsid w:val="009D4E3B"/>
    <w:rsid w:val="009D5830"/>
    <w:rsid w:val="009E1312"/>
    <w:rsid w:val="009E1D82"/>
    <w:rsid w:val="009E3A6D"/>
    <w:rsid w:val="009E669A"/>
    <w:rsid w:val="009F0E99"/>
    <w:rsid w:val="009F4A6C"/>
    <w:rsid w:val="009F7D2B"/>
    <w:rsid w:val="00A014C3"/>
    <w:rsid w:val="00A01ADA"/>
    <w:rsid w:val="00A02772"/>
    <w:rsid w:val="00A05583"/>
    <w:rsid w:val="00A06925"/>
    <w:rsid w:val="00A22028"/>
    <w:rsid w:val="00A225C0"/>
    <w:rsid w:val="00A32C6E"/>
    <w:rsid w:val="00A33ECA"/>
    <w:rsid w:val="00A42FA8"/>
    <w:rsid w:val="00A435E8"/>
    <w:rsid w:val="00A4561D"/>
    <w:rsid w:val="00A45660"/>
    <w:rsid w:val="00A462F6"/>
    <w:rsid w:val="00A46FDC"/>
    <w:rsid w:val="00A51098"/>
    <w:rsid w:val="00A519D9"/>
    <w:rsid w:val="00A5398E"/>
    <w:rsid w:val="00A56382"/>
    <w:rsid w:val="00A568D5"/>
    <w:rsid w:val="00A57CCF"/>
    <w:rsid w:val="00A60899"/>
    <w:rsid w:val="00A6133D"/>
    <w:rsid w:val="00A65C96"/>
    <w:rsid w:val="00A760BF"/>
    <w:rsid w:val="00A77B60"/>
    <w:rsid w:val="00A829C6"/>
    <w:rsid w:val="00A845E7"/>
    <w:rsid w:val="00A91C62"/>
    <w:rsid w:val="00AA3707"/>
    <w:rsid w:val="00AA3F64"/>
    <w:rsid w:val="00AB1CA0"/>
    <w:rsid w:val="00AB7532"/>
    <w:rsid w:val="00AC0BC9"/>
    <w:rsid w:val="00AC1A61"/>
    <w:rsid w:val="00AC25D9"/>
    <w:rsid w:val="00AC59C9"/>
    <w:rsid w:val="00AD14D1"/>
    <w:rsid w:val="00AD1D96"/>
    <w:rsid w:val="00AD32E8"/>
    <w:rsid w:val="00AD4D37"/>
    <w:rsid w:val="00AD5CE3"/>
    <w:rsid w:val="00AE3BE6"/>
    <w:rsid w:val="00AF2821"/>
    <w:rsid w:val="00AF7CAC"/>
    <w:rsid w:val="00B122E5"/>
    <w:rsid w:val="00B14A52"/>
    <w:rsid w:val="00B15837"/>
    <w:rsid w:val="00B17FF1"/>
    <w:rsid w:val="00B2022E"/>
    <w:rsid w:val="00B2661A"/>
    <w:rsid w:val="00B27F1A"/>
    <w:rsid w:val="00B30B46"/>
    <w:rsid w:val="00B32C1A"/>
    <w:rsid w:val="00B33B7D"/>
    <w:rsid w:val="00B34065"/>
    <w:rsid w:val="00B371D4"/>
    <w:rsid w:val="00B37990"/>
    <w:rsid w:val="00B547A3"/>
    <w:rsid w:val="00B60B61"/>
    <w:rsid w:val="00B70993"/>
    <w:rsid w:val="00B712CF"/>
    <w:rsid w:val="00B744D8"/>
    <w:rsid w:val="00B75E13"/>
    <w:rsid w:val="00B77086"/>
    <w:rsid w:val="00B803FD"/>
    <w:rsid w:val="00B86041"/>
    <w:rsid w:val="00B967B6"/>
    <w:rsid w:val="00B977E6"/>
    <w:rsid w:val="00BA06A7"/>
    <w:rsid w:val="00BA1E3C"/>
    <w:rsid w:val="00BA2DAC"/>
    <w:rsid w:val="00BA4C0A"/>
    <w:rsid w:val="00BA5857"/>
    <w:rsid w:val="00BB06DB"/>
    <w:rsid w:val="00BB3716"/>
    <w:rsid w:val="00BB7E48"/>
    <w:rsid w:val="00BC1720"/>
    <w:rsid w:val="00BC239F"/>
    <w:rsid w:val="00BC67BD"/>
    <w:rsid w:val="00BD6BD3"/>
    <w:rsid w:val="00BD7251"/>
    <w:rsid w:val="00BD79C4"/>
    <w:rsid w:val="00BE16C3"/>
    <w:rsid w:val="00BE321E"/>
    <w:rsid w:val="00BE36D5"/>
    <w:rsid w:val="00BE7A58"/>
    <w:rsid w:val="00BF1DA8"/>
    <w:rsid w:val="00BF292D"/>
    <w:rsid w:val="00BF3107"/>
    <w:rsid w:val="00BF51B1"/>
    <w:rsid w:val="00BF6B3D"/>
    <w:rsid w:val="00C00ABE"/>
    <w:rsid w:val="00C03FAD"/>
    <w:rsid w:val="00C07C85"/>
    <w:rsid w:val="00C16195"/>
    <w:rsid w:val="00C170B6"/>
    <w:rsid w:val="00C203E6"/>
    <w:rsid w:val="00C227D0"/>
    <w:rsid w:val="00C24066"/>
    <w:rsid w:val="00C32681"/>
    <w:rsid w:val="00C34A23"/>
    <w:rsid w:val="00C35B9B"/>
    <w:rsid w:val="00C37FE6"/>
    <w:rsid w:val="00C423AB"/>
    <w:rsid w:val="00C46CB9"/>
    <w:rsid w:val="00C50BD9"/>
    <w:rsid w:val="00C50D97"/>
    <w:rsid w:val="00C81057"/>
    <w:rsid w:val="00C8334A"/>
    <w:rsid w:val="00C96C2A"/>
    <w:rsid w:val="00CA21C4"/>
    <w:rsid w:val="00CB32FD"/>
    <w:rsid w:val="00CB3988"/>
    <w:rsid w:val="00CC0C72"/>
    <w:rsid w:val="00CC3C9B"/>
    <w:rsid w:val="00CC5438"/>
    <w:rsid w:val="00CD217F"/>
    <w:rsid w:val="00CD423E"/>
    <w:rsid w:val="00CD7DCB"/>
    <w:rsid w:val="00CE661D"/>
    <w:rsid w:val="00CE69CD"/>
    <w:rsid w:val="00CE7147"/>
    <w:rsid w:val="00CF431A"/>
    <w:rsid w:val="00CF63AF"/>
    <w:rsid w:val="00CF7AD1"/>
    <w:rsid w:val="00D10C2E"/>
    <w:rsid w:val="00D21BBF"/>
    <w:rsid w:val="00D21EF7"/>
    <w:rsid w:val="00D22426"/>
    <w:rsid w:val="00D25948"/>
    <w:rsid w:val="00D30925"/>
    <w:rsid w:val="00D34031"/>
    <w:rsid w:val="00D3485F"/>
    <w:rsid w:val="00D4561E"/>
    <w:rsid w:val="00D4692E"/>
    <w:rsid w:val="00D540AE"/>
    <w:rsid w:val="00D7147F"/>
    <w:rsid w:val="00D80045"/>
    <w:rsid w:val="00D81DB5"/>
    <w:rsid w:val="00D838A5"/>
    <w:rsid w:val="00D863F2"/>
    <w:rsid w:val="00D9269D"/>
    <w:rsid w:val="00D9483D"/>
    <w:rsid w:val="00DA15A5"/>
    <w:rsid w:val="00DA3787"/>
    <w:rsid w:val="00DA6046"/>
    <w:rsid w:val="00DA7CC2"/>
    <w:rsid w:val="00DB1A19"/>
    <w:rsid w:val="00DB7019"/>
    <w:rsid w:val="00DB7204"/>
    <w:rsid w:val="00DB7852"/>
    <w:rsid w:val="00DC069D"/>
    <w:rsid w:val="00DC3F93"/>
    <w:rsid w:val="00DD5886"/>
    <w:rsid w:val="00DD65BA"/>
    <w:rsid w:val="00DE2942"/>
    <w:rsid w:val="00DE374F"/>
    <w:rsid w:val="00DE5395"/>
    <w:rsid w:val="00E00D04"/>
    <w:rsid w:val="00E103E9"/>
    <w:rsid w:val="00E11503"/>
    <w:rsid w:val="00E15EF7"/>
    <w:rsid w:val="00E16A26"/>
    <w:rsid w:val="00E226EA"/>
    <w:rsid w:val="00E22937"/>
    <w:rsid w:val="00E247D9"/>
    <w:rsid w:val="00E30741"/>
    <w:rsid w:val="00E4224B"/>
    <w:rsid w:val="00E4617D"/>
    <w:rsid w:val="00E478C0"/>
    <w:rsid w:val="00E508E7"/>
    <w:rsid w:val="00E5234E"/>
    <w:rsid w:val="00E53237"/>
    <w:rsid w:val="00E563EF"/>
    <w:rsid w:val="00E60194"/>
    <w:rsid w:val="00E62525"/>
    <w:rsid w:val="00E64847"/>
    <w:rsid w:val="00E761C4"/>
    <w:rsid w:val="00E80276"/>
    <w:rsid w:val="00E84B15"/>
    <w:rsid w:val="00E865BA"/>
    <w:rsid w:val="00E9105A"/>
    <w:rsid w:val="00E95DCA"/>
    <w:rsid w:val="00EA5934"/>
    <w:rsid w:val="00EB04E4"/>
    <w:rsid w:val="00EB1839"/>
    <w:rsid w:val="00EB3277"/>
    <w:rsid w:val="00ED69F1"/>
    <w:rsid w:val="00ED6DE9"/>
    <w:rsid w:val="00EE5B47"/>
    <w:rsid w:val="00EF19AB"/>
    <w:rsid w:val="00F11860"/>
    <w:rsid w:val="00F11871"/>
    <w:rsid w:val="00F128E9"/>
    <w:rsid w:val="00F14D3A"/>
    <w:rsid w:val="00F21BFB"/>
    <w:rsid w:val="00F256FD"/>
    <w:rsid w:val="00F31FE3"/>
    <w:rsid w:val="00F36AB5"/>
    <w:rsid w:val="00F443D6"/>
    <w:rsid w:val="00F46E94"/>
    <w:rsid w:val="00F47072"/>
    <w:rsid w:val="00F5113B"/>
    <w:rsid w:val="00F55AB9"/>
    <w:rsid w:val="00F5674E"/>
    <w:rsid w:val="00F56BED"/>
    <w:rsid w:val="00F6185C"/>
    <w:rsid w:val="00F7178E"/>
    <w:rsid w:val="00F73FEF"/>
    <w:rsid w:val="00F75C49"/>
    <w:rsid w:val="00F75DF1"/>
    <w:rsid w:val="00F86085"/>
    <w:rsid w:val="00F871F0"/>
    <w:rsid w:val="00F907FC"/>
    <w:rsid w:val="00F94C1C"/>
    <w:rsid w:val="00F95B1C"/>
    <w:rsid w:val="00FA02C7"/>
    <w:rsid w:val="00FA21BE"/>
    <w:rsid w:val="00FB2496"/>
    <w:rsid w:val="00FC0FF1"/>
    <w:rsid w:val="00FC63FB"/>
    <w:rsid w:val="00FD11B0"/>
    <w:rsid w:val="00FD506E"/>
    <w:rsid w:val="00FD5115"/>
    <w:rsid w:val="00FD5334"/>
    <w:rsid w:val="00FE1CA2"/>
    <w:rsid w:val="00FE525C"/>
    <w:rsid w:val="00FE72E4"/>
    <w:rsid w:val="00FF4050"/>
    <w:rsid w:val="00FF5756"/>
    <w:rsid w:val="00FF6C08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jc w:val="both"/>
    </w:pPr>
    <w:rPr>
      <w:sz w:val="24"/>
      <w:lang w:val="fr-FR" w:eastAsia="fr-FR" w:bidi="ar-SA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uiPriority w:val="9"/>
    <w:qFormat/>
    <w:pPr>
      <w:widowControl w:val="0"/>
      <w:numPr>
        <w:ilvl w:val="4"/>
        <w:numId w:val="0"/>
      </w:numPr>
      <w:outlineLvl w:val="3"/>
    </w:pPr>
    <w:rPr>
      <w:rFonts w:ascii="Courier" w:hAnsi="Courier"/>
      <w:noProof w:val="0"/>
      <w:snapToGrid w:val="0"/>
      <w:lang w:val="en-US" w:eastAsia="en-US"/>
    </w:rPr>
  </w:style>
  <w:style w:type="paragraph" w:styleId="Heading5">
    <w:name w:val="heading 5"/>
    <w:basedOn w:val="Normal"/>
    <w:next w:val="Normal"/>
    <w:uiPriority w:val="9"/>
    <w:qFormat/>
    <w:pPr>
      <w:widowControl w:val="0"/>
      <w:numPr>
        <w:ilvl w:val="5"/>
        <w:numId w:val="0"/>
      </w:numPr>
      <w:outlineLvl w:val="4"/>
    </w:pPr>
    <w:rPr>
      <w:rFonts w:ascii="Courier" w:hAnsi="Courier"/>
      <w:noProof w:val="0"/>
      <w:snapToGrid w:val="0"/>
      <w:lang w:val="en-US" w:eastAsia="en-US"/>
    </w:rPr>
  </w:style>
  <w:style w:type="paragraph" w:styleId="Heading6">
    <w:name w:val="heading 6"/>
    <w:basedOn w:val="Normal"/>
    <w:next w:val="Normal"/>
    <w:uiPriority w:val="9"/>
    <w:qFormat/>
    <w:pPr>
      <w:widowControl w:val="0"/>
      <w:numPr>
        <w:ilvl w:val="6"/>
        <w:numId w:val="0"/>
      </w:numPr>
      <w:outlineLvl w:val="5"/>
    </w:pPr>
    <w:rPr>
      <w:rFonts w:ascii="Courier" w:hAnsi="Courier"/>
      <w:noProof w:val="0"/>
      <w:snapToGrid w:val="0"/>
      <w:lang w:val="en-US" w:eastAsia="en-US"/>
    </w:rPr>
  </w:style>
  <w:style w:type="paragraph" w:styleId="Heading7">
    <w:name w:val="heading 7"/>
    <w:basedOn w:val="Normal"/>
    <w:next w:val="Normal"/>
    <w:uiPriority w:val="9"/>
    <w:qFormat/>
    <w:pPr>
      <w:widowControl w:val="0"/>
      <w:numPr>
        <w:ilvl w:val="7"/>
        <w:numId w:val="0"/>
      </w:numPr>
      <w:outlineLvl w:val="6"/>
    </w:pPr>
    <w:rPr>
      <w:rFonts w:ascii="Courier" w:hAnsi="Courier"/>
      <w:noProof w:val="0"/>
      <w:snapToGrid w:val="0"/>
      <w:lang w:val="en-US" w:eastAsia="en-US"/>
    </w:rPr>
  </w:style>
  <w:style w:type="paragraph" w:styleId="Heading8">
    <w:name w:val="heading 8"/>
    <w:basedOn w:val="Normal"/>
    <w:next w:val="Normal"/>
    <w:uiPriority w:val="9"/>
    <w:qFormat/>
    <w:pPr>
      <w:widowControl w:val="0"/>
      <w:numPr>
        <w:ilvl w:val="8"/>
        <w:numId w:val="0"/>
      </w:numPr>
      <w:outlineLvl w:val="7"/>
    </w:pPr>
    <w:rPr>
      <w:rFonts w:ascii="Courier" w:hAnsi="Courier"/>
      <w:noProof w:val="0"/>
      <w:snapToGrid w:val="0"/>
      <w:lang w:val="en-US" w:eastAsia="en-US"/>
    </w:rPr>
  </w:style>
  <w:style w:type="paragraph" w:styleId="Heading9">
    <w:name w:val="heading 9"/>
    <w:basedOn w:val="Normal"/>
    <w:next w:val="Normal"/>
    <w:uiPriority w:val="9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jc w:val="both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rsid w:val="00306FF6"/>
    <w:pPr>
      <w:ind w:firstLine="284"/>
    </w:pPr>
  </w:style>
  <w:style w:type="paragraph" w:customStyle="1" w:styleId="JuHIRoman">
    <w:name w:val="Ju_H_I_Roman"/>
    <w:basedOn w:val="JuHHead"/>
    <w:next w:val="JuPara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pPr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</w:style>
  <w:style w:type="paragraph" w:customStyle="1" w:styleId="JuJudges">
    <w:name w:val="Ju_Judges"/>
    <w:basedOn w:val="Normal"/>
    <w:link w:val="JuJudges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pPr>
      <w:tabs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pPr>
      <w:spacing w:before="120" w:after="120"/>
      <w:ind w:left="403" w:firstLine="176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autoRedefine/>
    <w:rsid w:val="000B5F77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link w:val="JuListChar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tabs>
        <w:tab w:val="clear" w:pos="584"/>
        <w:tab w:val="left" w:pos="907"/>
      </w:tabs>
      <w:spacing w:before="240" w:after="120"/>
      <w:ind w:left="907" w:hanging="272"/>
    </w:pPr>
    <w:rPr>
      <w:sz w:val="20"/>
    </w:rPr>
  </w:style>
  <w:style w:type="paragraph" w:customStyle="1" w:styleId="JuQuotList">
    <w:name w:val="Ju_Quot_List"/>
    <w:basedOn w:val="JuQuot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link w:val="JuCourtChar"/>
    <w:autoRedefine/>
    <w:rsid w:val="00093307"/>
    <w:pPr>
      <w:tabs>
        <w:tab w:val="clear" w:pos="567"/>
        <w:tab w:val="left" w:pos="907"/>
        <w:tab w:val="clear" w:pos="1134"/>
        <w:tab w:val="left" w:pos="1701"/>
        <w:tab w:val="right" w:pos="7371"/>
      </w:tabs>
      <w:ind w:left="397" w:hanging="397"/>
    </w:pPr>
  </w:style>
  <w:style w:type="paragraph" w:customStyle="1" w:styleId="OpiHHead">
    <w:name w:val="Opi_H_Head"/>
    <w:basedOn w:val="JuHHead"/>
    <w:next w:val="OpiPara"/>
    <w:link w:val="OpiHHeadChar"/>
    <w:pPr>
      <w:spacing w:before="0"/>
      <w:jc w:val="center"/>
    </w:pPr>
  </w:style>
  <w:style w:type="paragraph" w:customStyle="1" w:styleId="OpiPara">
    <w:name w:val="Opi_Para"/>
    <w:basedOn w:val="JuPara"/>
  </w:style>
  <w:style w:type="paragraph" w:customStyle="1" w:styleId="OpiTranslation">
    <w:name w:val="Opi_Translation"/>
    <w:basedOn w:val="OpiHHead"/>
    <w:next w:val="OpiPara"/>
    <w:link w:val="OpiTranslationChar"/>
    <w:rsid w:val="00E80276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pPr>
      <w:tabs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FootnoteText">
    <w:name w:val="footnote text"/>
    <w:basedOn w:val="Normal"/>
    <w:semiHidden/>
    <w:pPr>
      <w:jc w:val="both"/>
    </w:pPr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tabs>
        <w:tab w:val="clear" w:pos="907"/>
        <w:tab w:val="left" w:pos="1111"/>
      </w:tabs>
      <w:ind w:left="1111" w:hanging="278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tabs>
        <w:tab w:val="clear" w:pos="907"/>
        <w:tab w:val="left" w:pos="1304"/>
      </w:tabs>
      <w:ind w:left="1304" w:hanging="266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left" w:pos="686"/>
        <w:tab w:val="clear" w:pos="691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tabs>
        <w:tab w:val="left" w:pos="1446"/>
      </w:tabs>
      <w:ind w:left="1446" w:hanging="210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8A3FA1"/>
    <w:pPr>
      <w:tabs>
        <w:tab w:val="clear" w:pos="851"/>
        <w:tab w:val="clear" w:pos="6521"/>
      </w:tabs>
      <w:spacing w:before="0"/>
      <w:jc w:val="right"/>
    </w:pPr>
  </w:style>
  <w:style w:type="paragraph" w:customStyle="1" w:styleId="JuHeader">
    <w:name w:val="Ju_Header"/>
    <w:basedOn w:val="Header"/>
    <w:autoRedefine/>
    <w:rsid w:val="002F1CFA"/>
    <w:pPr>
      <w:ind w:right="360" w:firstLine="360"/>
      <w:jc w:val="center"/>
    </w:pPr>
    <w:rPr>
      <w:color w:val="000000"/>
      <w:sz w:val="20"/>
      <w:szCs w:val="24"/>
      <w:lang w:val="en-GB"/>
    </w:rPr>
  </w:style>
  <w:style w:type="paragraph" w:customStyle="1" w:styleId="OpiCommission">
    <w:name w:val="Opi_Commission"/>
    <w:basedOn w:val="JuJudges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sz w:val="20"/>
    </w:rPr>
  </w:style>
  <w:style w:type="character" w:customStyle="1" w:styleId="OpiNamesSignature">
    <w:name w:val="Opi_Names_Signature"/>
    <w:basedOn w:val="JuNames"/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"/>
    <w:pPr>
      <w:tabs>
        <w:tab w:val="clear" w:pos="851"/>
        <w:tab w:val="center" w:pos="1418"/>
        <w:tab w:val="center" w:pos="5954"/>
        <w:tab w:val="clear" w:pos="6521"/>
      </w:tabs>
    </w:pPr>
  </w:style>
  <w:style w:type="paragraph" w:customStyle="1" w:styleId="DecHTitle">
    <w:name w:val="Dec_H_Title"/>
    <w:basedOn w:val="Normal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Normal"/>
    <w:pPr>
      <w:spacing w:before="240"/>
      <w:ind w:left="284"/>
    </w:pPr>
  </w:style>
  <w:style w:type="paragraph" w:customStyle="1" w:styleId="SuCoverTitle1">
    <w:name w:val="Su_Cover_Title1"/>
    <w:basedOn w:val="Normal"/>
    <w:next w:val="SuCoverTitle2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pPr>
      <w:spacing w:before="240"/>
    </w:pPr>
    <w:rPr>
      <w:sz w:val="18"/>
    </w:rPr>
  </w:style>
  <w:style w:type="paragraph" w:customStyle="1" w:styleId="JuQuotSub">
    <w:name w:val="Ju_Quot_Sub"/>
    <w:basedOn w:val="JuQuot"/>
    <w:pPr>
      <w:ind w:firstLine="459"/>
    </w:pPr>
  </w:style>
  <w:style w:type="paragraph" w:customStyle="1" w:styleId="JuParaSub">
    <w:name w:val="Ju_Para_Sub"/>
    <w:basedOn w:val="JuPara"/>
    <w:pPr>
      <w:ind w:firstLine="567"/>
    </w:pPr>
  </w:style>
  <w:style w:type="paragraph" w:customStyle="1" w:styleId="SuPara">
    <w:name w:val="Su_Para"/>
    <w:basedOn w:val="SuKeywords"/>
    <w:pPr>
      <w:spacing w:before="0" w:after="0"/>
    </w:pPr>
    <w:rPr>
      <w:i w:val="0"/>
    </w:rPr>
  </w:style>
  <w:style w:type="paragraph" w:customStyle="1" w:styleId="SuSubject">
    <w:name w:val="Su_Subject"/>
    <w:basedOn w:val="SuSummary"/>
    <w:pPr>
      <w:spacing w:before="360"/>
      <w:jc w:val="both"/>
    </w:pPr>
    <w:rPr>
      <w:b/>
      <w:sz w:val="22"/>
    </w:rPr>
  </w:style>
  <w:style w:type="paragraph" w:customStyle="1" w:styleId="SuHHead">
    <w:name w:val="Su_H_Head"/>
    <w:basedOn w:val="SuSubject"/>
    <w:pPr>
      <w:spacing w:after="120"/>
    </w:pPr>
  </w:style>
  <w:style w:type="paragraph" w:customStyle="1" w:styleId="SuKeywords">
    <w:name w:val="Su_Keywords"/>
    <w:basedOn w:val="SuHHead"/>
    <w:pPr>
      <w:spacing w:before="120"/>
    </w:pPr>
    <w:rPr>
      <w:b w:val="0"/>
      <w:i/>
    </w:rPr>
  </w:style>
  <w:style w:type="paragraph" w:customStyle="1" w:styleId="SuSummary">
    <w:name w:val="Su_Summary"/>
    <w:basedOn w:val="Normal"/>
    <w:next w:val="SuSubject"/>
    <w:pPr>
      <w:spacing w:after="240"/>
      <w:jc w:val="center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JuJudgesChar">
    <w:name w:val="Ju_Judges Char"/>
    <w:basedOn w:val="DefaultParagraphFont"/>
    <w:link w:val="JuJudges"/>
    <w:rsid w:val="003015FF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306FF6"/>
    <w:rPr>
      <w:sz w:val="24"/>
      <w:lang w:val="fr-FR" w:eastAsia="fr-FR" w:bidi="ar-SA"/>
    </w:rPr>
  </w:style>
  <w:style w:type="paragraph" w:customStyle="1" w:styleId="JuJudgesItalic">
    <w:name w:val="Ju_Judges Italic"/>
    <w:basedOn w:val="JuJudges"/>
    <w:link w:val="JuJudgesItalicChar"/>
    <w:rsid w:val="003015FF"/>
    <w:rPr>
      <w:i/>
    </w:rPr>
  </w:style>
  <w:style w:type="character" w:customStyle="1" w:styleId="JuJudgesItalicChar">
    <w:name w:val="Ju_Judges Italic Char"/>
    <w:basedOn w:val="JuJudgesChar"/>
    <w:link w:val="JuJudgesItalic"/>
    <w:rsid w:val="003015FF"/>
    <w:rPr>
      <w:i/>
    </w:rPr>
  </w:style>
  <w:style w:type="character" w:customStyle="1" w:styleId="JuHHeadChar">
    <w:name w:val="Ju_H_Head Char"/>
    <w:basedOn w:val="DefaultParagraphFont"/>
    <w:link w:val="JuHHead"/>
    <w:rsid w:val="007E508F"/>
    <w:rPr>
      <w:sz w:val="28"/>
      <w:lang w:val="fr-FR" w:eastAsia="fr-FR" w:bidi="ar-SA"/>
    </w:rPr>
  </w:style>
  <w:style w:type="character" w:customStyle="1" w:styleId="OpiHHeadChar">
    <w:name w:val="Opi_H_Head Char"/>
    <w:basedOn w:val="JuHHeadChar"/>
    <w:link w:val="OpiHHead"/>
    <w:rsid w:val="007E508F"/>
  </w:style>
  <w:style w:type="character" w:customStyle="1" w:styleId="OpiTranslationChar">
    <w:name w:val="Opi_Translation Char"/>
    <w:basedOn w:val="OpiHHeadChar"/>
    <w:link w:val="OpiTranslation"/>
    <w:rsid w:val="00E80276"/>
    <w:rPr>
      <w:i/>
      <w:sz w:val="24"/>
    </w:rPr>
  </w:style>
  <w:style w:type="character" w:customStyle="1" w:styleId="JuCourtChar">
    <w:name w:val="Ju_Court Char"/>
    <w:basedOn w:val="JuJudgesChar"/>
    <w:link w:val="JuCourt"/>
    <w:rsid w:val="00093307"/>
  </w:style>
  <w:style w:type="character" w:customStyle="1" w:styleId="JuSignedChar">
    <w:name w:val="Ju_Signed Char"/>
    <w:basedOn w:val="DefaultParagraphFont"/>
    <w:link w:val="JuSigned"/>
    <w:rsid w:val="000B5F77"/>
    <w:rPr>
      <w:sz w:val="24"/>
      <w:lang w:val="fr-FR" w:eastAsia="fr-FR" w:bidi="ar-SA"/>
    </w:rPr>
  </w:style>
  <w:style w:type="paragraph" w:customStyle="1" w:styleId="StyleJuSignedRight">
    <w:name w:val="Style Ju_Signed + Right"/>
    <w:basedOn w:val="JuSigned"/>
    <w:rsid w:val="008A3FA1"/>
    <w:pPr>
      <w:spacing w:before="0"/>
      <w:jc w:val="right"/>
    </w:pPr>
  </w:style>
  <w:style w:type="character" w:customStyle="1" w:styleId="JuListChar">
    <w:name w:val="Ju_List Char"/>
    <w:basedOn w:val="JuParaChar"/>
    <w:link w:val="JuList"/>
    <w:rsid w:val="0031168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eader" Target="header9.xml" /><Relationship Id="rId14" Type="http://schemas.openxmlformats.org/officeDocument/2006/relationships/header" Target="header10.xml" /><Relationship Id="rId15" Type="http://schemas.openxmlformats.org/officeDocument/2006/relationships/header" Target="header11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87</TotalTime>
  <Pages>45</Pages>
  <Words>18670</Words>
  <Characters>94662</Characters>
  <Application>Microsoft Office Word</Application>
  <DocSecurity>0</DocSecurity>
  <Lines>1753</Lines>
  <Paragraphs>392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Company/>
  <LinksUpToDate>false</LinksUpToDate>
  <CharactersWithSpaces>112940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creator>AEBY</dc:creator>
  <cp:revision>55</cp:revision>
  <cp:lastPrinted>2004-03-23T10:30:00Z</cp:lastPrinted>
  <dcterms:created xsi:type="dcterms:W3CDTF">2006-02-01T14:08:00Z</dcterms:created>
  <dcterms:modified xsi:type="dcterms:W3CDTF">2006-02-20T12:17:00Z</dcterms:modified>
</cp:coreProperties>
</file>