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430EA" w:rsidR="00BB6A3C" w:rsidP="00A430EA" w14:paraId="0B1171E8" w14:textId="77777777">
      <w:pPr>
        <w:jc w:val="center"/>
        <w:rPr>
          <w:rFonts w:ascii="Times New Roman" w:hAnsi="Times New Roman" w:cs="Times New Roman"/>
          <w:noProof/>
          <w:lang w:val="uk-UA"/>
        </w:rPr>
      </w:pPr>
      <w:r w:rsidRPr="00A430EA">
        <w:rPr>
          <w:rFonts w:ascii="Times New Roman" w:hAnsi="Times New Roman" w:cs="Times New Roman"/>
          <w:noProof/>
          <w:lang w:val="uk-UA"/>
        </w:rPr>
        <w:t>ЄВРОПЕЙСЬКИЙ СУД З ПРАВ ЛЮДИНИ</w:t>
      </w:r>
    </w:p>
    <w:p w:rsidRPr="00A430EA" w:rsidR="0090584F" w:rsidP="00A430EA" w14:paraId="374B8C53" w14:textId="77777777">
      <w:pPr>
        <w:jc w:val="center"/>
        <w:rPr>
          <w:rFonts w:ascii="Times New Roman" w:hAnsi="Times New Roman" w:cs="Times New Roman"/>
          <w:noProof/>
          <w:lang w:val="uk-UA"/>
        </w:rPr>
      </w:pPr>
    </w:p>
    <w:p w:rsidRPr="00A430EA" w:rsidR="0098410D" w:rsidP="00A430EA" w14:paraId="68532B16" w14:textId="77777777">
      <w:pPr>
        <w:jc w:val="center"/>
        <w:rPr>
          <w:lang w:val="uk-UA"/>
        </w:rPr>
      </w:pPr>
    </w:p>
    <w:p w:rsidRPr="00A430EA" w:rsidR="0098410D" w:rsidP="00A430EA" w14:paraId="59A8CA26" w14:textId="3A4E76AA">
      <w:pPr>
        <w:pStyle w:val="DecHTitle"/>
        <w:rPr>
          <w:lang w:val="uk-UA"/>
        </w:rPr>
      </w:pPr>
      <w:r w:rsidRPr="00A430EA">
        <w:rPr>
          <w:lang w:val="uk-UA"/>
        </w:rPr>
        <w:t>П</w:t>
      </w:r>
      <w:r w:rsidRPr="00A430EA" w:rsidR="00A430EA">
        <w:rPr>
          <w:lang w:val="uk-UA"/>
        </w:rPr>
        <w:t>’</w:t>
      </w:r>
      <w:r w:rsidRPr="00A430EA">
        <w:rPr>
          <w:lang w:val="uk-UA"/>
        </w:rPr>
        <w:t>ЯТА СЕКЦІЯ</w:t>
      </w:r>
    </w:p>
    <w:p w:rsidRPr="00A430EA" w:rsidR="0090584F" w:rsidP="00A430EA" w14:paraId="3B6007DF" w14:textId="77777777">
      <w:pPr>
        <w:pStyle w:val="JuTitle"/>
        <w:rPr>
          <w:color w:val="000000" w:themeColor="text1"/>
          <w:lang w:val="uk-UA"/>
        </w:rPr>
      </w:pPr>
      <w:r w:rsidRPr="00A430EA">
        <w:rPr>
          <w:color w:val="000000" w:themeColor="text1"/>
          <w:lang w:val="uk-UA"/>
        </w:rPr>
        <w:t>СПРАВА «КАСАНДЯК ПРОТИ УКРАЇНИ»</w:t>
      </w:r>
    </w:p>
    <w:p w:rsidRPr="00A430EA" w:rsidR="008E6217" w:rsidP="00A430EA" w14:paraId="6E1AB759" w14:textId="77777777">
      <w:pPr>
        <w:pStyle w:val="JuTitle"/>
        <w:rPr>
          <w:lang w:val="uk-UA"/>
        </w:rPr>
      </w:pPr>
      <w:r w:rsidRPr="00A430EA">
        <w:rPr>
          <w:color w:val="000000" w:themeColor="text1"/>
          <w:lang w:val="uk-UA"/>
        </w:rPr>
        <w:t xml:space="preserve">(CASE OF </w:t>
      </w:r>
      <w:r w:rsidRPr="00A430EA" w:rsidR="00BB6A3C">
        <w:rPr>
          <w:lang w:val="uk-UA"/>
        </w:rPr>
        <w:t>KASANDYAK v. UKRAINE</w:t>
      </w:r>
      <w:r w:rsidRPr="00A430EA">
        <w:rPr>
          <w:lang w:val="uk-UA"/>
        </w:rPr>
        <w:t>)</w:t>
      </w:r>
    </w:p>
    <w:p w:rsidRPr="00A430EA" w:rsidR="00D74888" w:rsidP="00A430EA" w14:paraId="11F8BA29" w14:textId="77777777">
      <w:pPr>
        <w:pStyle w:val="ECHRCoverTitle4"/>
        <w:rPr>
          <w:lang w:val="uk-UA"/>
        </w:rPr>
      </w:pPr>
      <w:r w:rsidRPr="00A430EA">
        <w:rPr>
          <w:lang w:val="uk-UA"/>
        </w:rPr>
        <w:t>(</w:t>
      </w:r>
      <w:r w:rsidRPr="00A430EA" w:rsidR="0090584F">
        <w:rPr>
          <w:noProof/>
          <w:lang w:val="uk-UA"/>
        </w:rPr>
        <w:t>Заява № </w:t>
      </w:r>
      <w:r w:rsidRPr="00A430EA" w:rsidR="00BB6A3C">
        <w:rPr>
          <w:lang w:val="uk-UA"/>
        </w:rPr>
        <w:t>66128/16</w:t>
      </w:r>
      <w:r w:rsidRPr="00A430EA">
        <w:rPr>
          <w:lang w:val="uk-UA"/>
        </w:rPr>
        <w:t>)</w:t>
      </w:r>
    </w:p>
    <w:p w:rsidRPr="00A430EA" w:rsidR="0098410D" w:rsidP="00A430EA" w14:paraId="0E0A6EDF" w14:textId="77777777">
      <w:pPr>
        <w:pStyle w:val="DecHCase"/>
        <w:rPr>
          <w:lang w:val="uk-UA"/>
        </w:rPr>
      </w:pPr>
    </w:p>
    <w:p w:rsidRPr="00A430EA" w:rsidR="0054716E" w:rsidP="00A430EA" w14:paraId="414C086D" w14:textId="77777777">
      <w:pPr>
        <w:pStyle w:val="DecHCase"/>
        <w:rPr>
          <w:lang w:val="uk-UA"/>
        </w:rPr>
      </w:pPr>
    </w:p>
    <w:p w:rsidRPr="00A430EA" w:rsidR="0054716E" w:rsidP="00A430EA" w14:paraId="1CEC05E8" w14:textId="77777777">
      <w:pPr>
        <w:pStyle w:val="DecHCase"/>
        <w:rPr>
          <w:lang w:val="uk-UA"/>
        </w:rPr>
      </w:pPr>
    </w:p>
    <w:p w:rsidRPr="00A430EA" w:rsidR="0098410D" w:rsidP="00A430EA" w14:paraId="25AB53A0" w14:textId="77777777">
      <w:pPr>
        <w:pStyle w:val="DecHCase"/>
        <w:rPr>
          <w:lang w:val="uk-UA"/>
        </w:rPr>
      </w:pPr>
    </w:p>
    <w:p w:rsidRPr="00A430EA" w:rsidR="00AC4CD4" w:rsidP="00A430EA" w14:paraId="38B3D966" w14:textId="77777777">
      <w:pPr>
        <w:pStyle w:val="DecHCase"/>
        <w:rPr>
          <w:lang w:val="uk-UA"/>
        </w:rPr>
      </w:pPr>
    </w:p>
    <w:p w:rsidRPr="00A430EA" w:rsidR="0098410D" w:rsidP="00A430EA" w14:paraId="66A7E157" w14:textId="77777777">
      <w:pPr>
        <w:pStyle w:val="DecHCase"/>
        <w:rPr>
          <w:lang w:val="uk-UA"/>
        </w:rPr>
      </w:pPr>
    </w:p>
    <w:p w:rsidRPr="00A430EA" w:rsidR="0098410D" w:rsidP="00A430EA" w14:paraId="517CA4CA" w14:textId="77777777">
      <w:pPr>
        <w:pStyle w:val="DecHCase"/>
        <w:rPr>
          <w:lang w:val="uk-UA"/>
        </w:rPr>
      </w:pPr>
      <w:r w:rsidRPr="00A430EA">
        <w:rPr>
          <w:lang w:val="uk-UA"/>
        </w:rPr>
        <w:t>РІШЕННЯ</w:t>
      </w:r>
      <w:r w:rsidRPr="00A430EA" w:rsidR="00AC4CD4">
        <w:rPr>
          <w:lang w:val="uk-UA"/>
        </w:rPr>
        <w:br/>
      </w:r>
    </w:p>
    <w:p w:rsidRPr="00A430EA" w:rsidR="0098410D" w:rsidP="00A430EA" w14:paraId="35CABF96" w14:textId="77777777">
      <w:pPr>
        <w:pStyle w:val="DecHCase"/>
        <w:rPr>
          <w:lang w:val="uk-UA"/>
        </w:rPr>
      </w:pPr>
      <w:r w:rsidRPr="00A430EA">
        <w:rPr>
          <w:lang w:val="uk-UA"/>
        </w:rPr>
        <w:t>СТРАСБУРГ</w:t>
      </w:r>
    </w:p>
    <w:p w:rsidRPr="00A430EA" w:rsidR="0098410D" w:rsidP="00A430EA" w14:paraId="3E24AE0A" w14:textId="77777777">
      <w:pPr>
        <w:pStyle w:val="DecHCase"/>
        <w:rPr>
          <w:lang w:val="uk-UA"/>
        </w:rPr>
      </w:pPr>
      <w:r w:rsidRPr="00A430EA">
        <w:rPr>
          <w:rFonts w:ascii="Times New Roman" w:hAnsi="Times New Roman" w:cs="Times New Roman"/>
          <w:lang w:val="uk-UA"/>
        </w:rPr>
        <w:t xml:space="preserve">18 </w:t>
      </w:r>
      <w:r w:rsidRPr="00A430EA" w:rsidR="0090584F">
        <w:rPr>
          <w:rFonts w:ascii="Times New Roman" w:hAnsi="Times New Roman" w:cs="Times New Roman"/>
          <w:lang w:val="uk-UA"/>
        </w:rPr>
        <w:t>червня</w:t>
      </w:r>
      <w:r w:rsidRPr="00A430EA">
        <w:rPr>
          <w:rFonts w:ascii="Times New Roman" w:hAnsi="Times New Roman" w:cs="Times New Roman"/>
          <w:lang w:val="uk-UA"/>
        </w:rPr>
        <w:t xml:space="preserve"> 2026</w:t>
      </w:r>
      <w:r w:rsidRPr="00A430EA" w:rsidR="0090584F">
        <w:rPr>
          <w:rFonts w:ascii="Times New Roman" w:hAnsi="Times New Roman" w:cs="Times New Roman"/>
          <w:lang w:val="uk-UA"/>
        </w:rPr>
        <w:t xml:space="preserve"> року</w:t>
      </w:r>
    </w:p>
    <w:p w:rsidRPr="00A430EA" w:rsidR="00AC4CD4" w:rsidP="00A430EA" w14:paraId="20359997" w14:textId="77777777">
      <w:pPr>
        <w:pStyle w:val="JuPara"/>
        <w:rPr>
          <w:lang w:val="uk-UA"/>
        </w:rPr>
      </w:pPr>
    </w:p>
    <w:p w:rsidRPr="00A430EA" w:rsidR="0098410D" w:rsidP="00A430EA" w14:paraId="4351F52C" w14:textId="77777777">
      <w:pPr>
        <w:rPr>
          <w:lang w:val="uk-UA"/>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r w:rsidRPr="00A430EA">
        <w:rPr>
          <w:bCs/>
          <w:i/>
          <w:sz w:val="22"/>
          <w:lang w:val="uk-UA"/>
        </w:rPr>
        <w:t>Це рішення є остаточним, але може підлягати редакційним виправленням.</w:t>
      </w:r>
    </w:p>
    <w:p w:rsidRPr="00A430EA" w:rsidR="0090584F" w:rsidP="00A430EA" w14:paraId="3A375F1E" w14:textId="77777777">
      <w:pPr>
        <w:pStyle w:val="JuCase"/>
        <w:rPr>
          <w:bCs/>
          <w:lang w:val="uk-UA"/>
        </w:rPr>
      </w:pPr>
      <w:r w:rsidRPr="00A430EA">
        <w:rPr>
          <w:lang w:val="uk-UA"/>
        </w:rPr>
        <w:t>У справі «Касандяк проти України»</w:t>
      </w:r>
    </w:p>
    <w:p w:rsidRPr="00A430EA" w:rsidR="0090584F" w:rsidP="00A430EA" w14:paraId="7948DC55" w14:textId="676DE880">
      <w:pPr>
        <w:pStyle w:val="JuCase"/>
        <w:rPr>
          <w:b w:val="0"/>
          <w:bCs/>
          <w:lang w:val="uk-UA"/>
        </w:rPr>
      </w:pPr>
      <w:r w:rsidRPr="00A430EA">
        <w:rPr>
          <w:b w:val="0"/>
          <w:bCs/>
          <w:lang w:val="uk-UA"/>
        </w:rPr>
        <w:t>Європейський суд з прав людини (П</w:t>
      </w:r>
      <w:r w:rsidRPr="00A430EA" w:rsidR="00A430EA">
        <w:rPr>
          <w:b w:val="0"/>
          <w:bCs/>
          <w:lang w:val="uk-UA"/>
        </w:rPr>
        <w:t>’</w:t>
      </w:r>
      <w:r w:rsidRPr="00A430EA">
        <w:rPr>
          <w:b w:val="0"/>
          <w:bCs/>
          <w:lang w:val="uk-UA"/>
        </w:rPr>
        <w:t>ята секція), засідаючи комітетом, до складу якого увійшли:</w:t>
      </w:r>
    </w:p>
    <w:p w:rsidRPr="00A430EA" w:rsidR="0090584F" w:rsidP="00A430EA" w14:paraId="7B39B24B" w14:textId="77777777">
      <w:pPr>
        <w:pStyle w:val="JuJudges"/>
        <w:rPr>
          <w:bCs/>
          <w:i/>
          <w:iCs/>
          <w:lang w:val="uk-UA"/>
        </w:rPr>
      </w:pPr>
      <w:r w:rsidRPr="00A430EA">
        <w:rPr>
          <w:bCs/>
          <w:lang w:val="uk-UA"/>
        </w:rPr>
        <w:tab/>
        <w:t xml:space="preserve">Марія Елосегі </w:t>
      </w:r>
      <w:r w:rsidRPr="00A430EA">
        <w:rPr>
          <w:bCs/>
          <w:i/>
          <w:iCs/>
          <w:lang w:val="uk-UA"/>
        </w:rPr>
        <w:t>(María Elósegui)</w:t>
      </w:r>
      <w:r w:rsidRPr="00A430EA">
        <w:rPr>
          <w:bCs/>
          <w:lang w:val="uk-UA"/>
        </w:rPr>
        <w:t xml:space="preserve">, </w:t>
      </w:r>
      <w:r w:rsidRPr="00A430EA">
        <w:rPr>
          <w:bCs/>
          <w:i/>
          <w:iCs/>
          <w:lang w:val="uk-UA"/>
        </w:rPr>
        <w:t>Голова,</w:t>
      </w:r>
    </w:p>
    <w:p w:rsidRPr="00A430EA" w:rsidR="0090584F" w:rsidP="00A430EA" w14:paraId="6F79EC8A" w14:textId="77777777">
      <w:pPr>
        <w:pStyle w:val="JuJudges"/>
        <w:rPr>
          <w:bCs/>
          <w:i/>
          <w:lang w:val="uk-UA"/>
        </w:rPr>
      </w:pPr>
      <w:r w:rsidRPr="00A430EA">
        <w:rPr>
          <w:bCs/>
          <w:lang w:val="uk-UA"/>
        </w:rPr>
        <w:tab/>
        <w:t xml:space="preserve">Андреас Зюнд </w:t>
      </w:r>
      <w:r w:rsidRPr="00A430EA">
        <w:rPr>
          <w:bCs/>
          <w:i/>
          <w:iCs/>
          <w:lang w:val="uk-UA"/>
        </w:rPr>
        <w:t>(</w:t>
      </w:r>
      <w:r w:rsidRPr="00A430EA">
        <w:rPr>
          <w:i/>
          <w:iCs/>
          <w:lang w:val="uk-UA"/>
        </w:rPr>
        <w:t>Andreas Zünd</w:t>
      </w:r>
      <w:r w:rsidRPr="00A430EA">
        <w:rPr>
          <w:bCs/>
          <w:i/>
          <w:iCs/>
          <w:lang w:val="uk-UA"/>
        </w:rPr>
        <w:t>)</w:t>
      </w:r>
      <w:r w:rsidRPr="00A430EA">
        <w:rPr>
          <w:bCs/>
          <w:lang w:val="uk-UA"/>
        </w:rPr>
        <w:t>,</w:t>
      </w:r>
      <w:r w:rsidRPr="00A430EA">
        <w:rPr>
          <w:lang w:val="uk-UA"/>
        </w:rPr>
        <w:br/>
      </w:r>
      <w:r w:rsidRPr="00A430EA">
        <w:rPr>
          <w:lang w:val="uk-UA"/>
        </w:rPr>
        <w:tab/>
      </w:r>
      <w:r w:rsidRPr="00A430EA">
        <w:rPr>
          <w:bCs/>
          <w:lang w:val="uk-UA"/>
        </w:rPr>
        <w:t xml:space="preserve">Микола Гнатовський </w:t>
      </w:r>
      <w:r w:rsidRPr="00A430EA">
        <w:rPr>
          <w:bCs/>
          <w:i/>
          <w:iCs/>
          <w:lang w:val="uk-UA"/>
        </w:rPr>
        <w:t>(Mykola Gnatovskyy), судді,</w:t>
      </w:r>
    </w:p>
    <w:p w:rsidRPr="00A430EA" w:rsidR="0090584F" w:rsidP="00A430EA" w14:paraId="33746FBB" w14:textId="77777777">
      <w:pPr>
        <w:pStyle w:val="JuJudges"/>
        <w:rPr>
          <w:bCs/>
          <w:lang w:val="uk-UA"/>
        </w:rPr>
      </w:pPr>
      <w:r w:rsidRPr="00A430EA">
        <w:rPr>
          <w:bCs/>
          <w:lang w:val="uk-UA"/>
        </w:rPr>
        <w:t xml:space="preserve">та Мартіна Келлер </w:t>
      </w:r>
      <w:r w:rsidRPr="00A430EA">
        <w:rPr>
          <w:bCs/>
          <w:i/>
          <w:iCs/>
          <w:lang w:val="uk-UA"/>
        </w:rPr>
        <w:t>(Martina Keller)</w:t>
      </w:r>
      <w:r w:rsidRPr="00A430EA">
        <w:rPr>
          <w:bCs/>
          <w:lang w:val="uk-UA"/>
        </w:rPr>
        <w:t xml:space="preserve">, </w:t>
      </w:r>
      <w:r w:rsidRPr="00A430EA">
        <w:rPr>
          <w:bCs/>
          <w:i/>
          <w:iCs/>
          <w:lang w:val="uk-UA"/>
        </w:rPr>
        <w:t>заступник Секретаря секції,</w:t>
      </w:r>
    </w:p>
    <w:p w:rsidRPr="00A430EA" w:rsidR="0090584F" w:rsidP="00A430EA" w14:paraId="14EF2DAE" w14:textId="77777777">
      <w:pPr>
        <w:pStyle w:val="JuJudges"/>
        <w:tabs>
          <w:tab w:val="clear" w:pos="567"/>
          <w:tab w:val="clear" w:pos="1134"/>
        </w:tabs>
        <w:ind w:firstLine="284"/>
        <w:rPr>
          <w:bCs/>
          <w:lang w:val="uk-UA"/>
        </w:rPr>
      </w:pPr>
      <w:r w:rsidRPr="00A430EA">
        <w:rPr>
          <w:bCs/>
          <w:lang w:val="uk-UA"/>
        </w:rPr>
        <w:t>з огляду на:</w:t>
      </w:r>
    </w:p>
    <w:p w:rsidRPr="00A430EA" w:rsidR="00DB5E8B" w:rsidP="00A430EA" w14:paraId="36B83066" w14:textId="77777777">
      <w:pPr>
        <w:pStyle w:val="JuPara"/>
        <w:rPr>
          <w:lang w:val="uk-UA"/>
        </w:rPr>
      </w:pPr>
      <w:r w:rsidRPr="00A430EA">
        <w:rPr>
          <w:lang w:val="uk-UA"/>
        </w:rPr>
        <w:t>заяву (№ 66128/16), яку 04 листопада 2016 року подав до Суду проти України на підставі статті 34 Конвенції про захист прав людини і основоположних свобод (далі – Конвенція) громадянин України, пан Володимир Васильович Касандяк (далі – заявник), 1967 року народження, який проживає у м. Київ;</w:t>
      </w:r>
    </w:p>
    <w:p w:rsidRPr="00A430EA" w:rsidR="00DB5E8B" w:rsidP="00A430EA" w14:paraId="532577C5" w14:textId="77777777">
      <w:pPr>
        <w:pStyle w:val="JuJudges"/>
        <w:tabs>
          <w:tab w:val="clear" w:pos="567"/>
          <w:tab w:val="clear" w:pos="1134"/>
        </w:tabs>
        <w:ind w:firstLine="284"/>
        <w:jc w:val="both"/>
        <w:rPr>
          <w:lang w:val="uk-UA"/>
        </w:rPr>
      </w:pPr>
      <w:r w:rsidRPr="00A430EA">
        <w:rPr>
          <w:lang w:val="uk-UA"/>
        </w:rPr>
        <w:t>рішення повідомити Уряд України (далі – Уряд), який представляла його Уповноважений, пані М. Сокоренко, з Міністерства юстиції, про скаргу за пунктом 1 статті 6 Конвенції на позбавлення практичної можливості вимагати відшкодування шкоди на національному рівні, а також визнати решту скарг у заяві неприйнятними;</w:t>
      </w:r>
    </w:p>
    <w:p w:rsidRPr="00A430EA" w:rsidR="00DB5E8B" w:rsidP="00A430EA" w14:paraId="5F709BAD" w14:textId="77777777">
      <w:pPr>
        <w:pStyle w:val="JuJudges"/>
        <w:ind w:firstLine="284"/>
        <w:rPr>
          <w:lang w:val="uk-UA"/>
        </w:rPr>
      </w:pPr>
      <w:r w:rsidRPr="00A430EA">
        <w:rPr>
          <w:lang w:val="uk-UA"/>
        </w:rPr>
        <w:t>зауваження сторін;</w:t>
      </w:r>
    </w:p>
    <w:p w:rsidRPr="00A430EA" w:rsidR="00DB5E8B" w:rsidP="00A430EA" w14:paraId="7E113740" w14:textId="77777777">
      <w:pPr>
        <w:pStyle w:val="JuJudges"/>
        <w:ind w:firstLine="284"/>
        <w:rPr>
          <w:lang w:val="uk-UA"/>
        </w:rPr>
      </w:pPr>
      <w:r w:rsidRPr="00A430EA">
        <w:rPr>
          <w:lang w:val="uk-UA"/>
        </w:rPr>
        <w:t>після обговорення за зачиненими дверима 28 травня 2026 року</w:t>
      </w:r>
    </w:p>
    <w:p w:rsidRPr="00A430EA" w:rsidR="009F4C8F" w:rsidP="00A430EA" w14:paraId="758198AB" w14:textId="77777777">
      <w:pPr>
        <w:pStyle w:val="JuJudges"/>
        <w:ind w:firstLine="284"/>
        <w:rPr>
          <w:lang w:val="uk-UA"/>
        </w:rPr>
      </w:pPr>
      <w:r w:rsidRPr="00A430EA">
        <w:rPr>
          <w:lang w:val="uk-UA"/>
        </w:rPr>
        <w:t>постановляє таке рішення, що було ухвалено у той день:</w:t>
      </w:r>
    </w:p>
    <w:p w:rsidRPr="00A430EA" w:rsidR="00BB6A3C" w:rsidP="00A430EA" w14:paraId="07CAD33B" w14:textId="77777777">
      <w:pPr>
        <w:pStyle w:val="JuHHead"/>
        <w:rPr>
          <w:lang w:val="uk-UA"/>
        </w:rPr>
      </w:pPr>
      <w:r w:rsidRPr="00A430EA">
        <w:rPr>
          <w:lang w:val="uk-UA"/>
        </w:rPr>
        <w:t>ПРЕДМЕТ СПРАВИ</w:t>
      </w:r>
    </w:p>
    <w:p w:rsidRPr="00A430EA" w:rsidR="00DB5E8B" w:rsidP="00A430EA" w14:paraId="0B1642B2" w14:textId="2D87B157">
      <w:pPr>
        <w:pStyle w:val="JuPara"/>
        <w:rPr>
          <w:lang w:val="uk-UA"/>
        </w:rPr>
      </w:pPr>
      <w:r w:rsidRPr="00A430EA">
        <w:rPr>
          <w:lang w:val="uk-UA"/>
        </w:rPr>
        <w:t>1.  Справа стосується відмови національних судів розглянути по суті позов заявника щодо відшкодування моральної шкоди у зв</w:t>
      </w:r>
      <w:r w:rsidRPr="00A430EA" w:rsidR="00A430EA">
        <w:rPr>
          <w:lang w:val="uk-UA"/>
        </w:rPr>
        <w:t>’</w:t>
      </w:r>
      <w:r w:rsidRPr="00A430EA">
        <w:rPr>
          <w:lang w:val="uk-UA"/>
        </w:rPr>
        <w:t xml:space="preserve">язку з </w:t>
      </w:r>
      <w:r w:rsidRPr="00A430EA" w:rsidR="00A61714">
        <w:rPr>
          <w:lang w:val="uk-UA"/>
        </w:rPr>
        <w:t xml:space="preserve">протиправною </w:t>
      </w:r>
      <w:r w:rsidRPr="00A430EA">
        <w:rPr>
          <w:lang w:val="uk-UA"/>
        </w:rPr>
        <w:t xml:space="preserve">затримкою </w:t>
      </w:r>
      <w:r w:rsidRPr="00A430EA" w:rsidR="00442174">
        <w:rPr>
          <w:lang w:val="uk-UA"/>
        </w:rPr>
        <w:t xml:space="preserve">в обробці </w:t>
      </w:r>
      <w:r w:rsidRPr="00A430EA">
        <w:rPr>
          <w:lang w:val="uk-UA"/>
        </w:rPr>
        <w:t>його документів</w:t>
      </w:r>
      <w:r w:rsidRPr="00A430EA" w:rsidR="00BA1EF8">
        <w:rPr>
          <w:lang w:val="uk-UA"/>
        </w:rPr>
        <w:t xml:space="preserve"> про призначення пенсії</w:t>
      </w:r>
      <w:r w:rsidRPr="00A430EA">
        <w:rPr>
          <w:lang w:val="uk-UA"/>
        </w:rPr>
        <w:t xml:space="preserve"> колишнім роботодавцем</w:t>
      </w:r>
      <w:r w:rsidRPr="00A430EA" w:rsidR="00A61714">
        <w:rPr>
          <w:lang w:val="uk-UA"/>
        </w:rPr>
        <w:t xml:space="preserve"> – у</w:t>
      </w:r>
      <w:r w:rsidRPr="00A430EA">
        <w:rPr>
          <w:lang w:val="uk-UA"/>
        </w:rPr>
        <w:t>правлінням Міністерства внутрішніх справ України (далі – управління). Заявник скаржився на порушення пункту 1 статті 6 Конвенції.</w:t>
      </w:r>
    </w:p>
    <w:p w:rsidRPr="00A430EA" w:rsidR="00A61714" w:rsidP="00A430EA" w14:paraId="70096C58" w14:textId="77777777">
      <w:pPr>
        <w:pStyle w:val="JuPara"/>
        <w:rPr>
          <w:lang w:val="uk-UA"/>
        </w:rPr>
      </w:pPr>
      <w:r w:rsidRPr="00A430EA">
        <w:rPr>
          <w:lang w:val="uk-UA"/>
        </w:rPr>
        <w:t>2.  </w:t>
      </w:r>
      <w:r w:rsidRPr="00A430EA">
        <w:rPr>
          <w:lang w:val="uk-UA"/>
        </w:rPr>
        <w:t xml:space="preserve">Постановою від 01 березня 2011 року, залишеною без змін в апеляційному та касаційному </w:t>
      </w:r>
      <w:r w:rsidRPr="00A430EA" w:rsidR="00442174">
        <w:rPr>
          <w:lang w:val="uk-UA"/>
        </w:rPr>
        <w:t>порядку</w:t>
      </w:r>
      <w:r w:rsidRPr="00A430EA">
        <w:rPr>
          <w:lang w:val="uk-UA"/>
        </w:rPr>
        <w:t>, Окружний адміністративний суд міста Києва визнав управління відповідальним за затримки в обробці документів</w:t>
      </w:r>
      <w:r w:rsidRPr="00A430EA" w:rsidR="00BA1EF8">
        <w:rPr>
          <w:lang w:val="uk-UA"/>
        </w:rPr>
        <w:t xml:space="preserve"> заявника про призначення пенсії</w:t>
      </w:r>
      <w:r w:rsidRPr="00A430EA">
        <w:rPr>
          <w:lang w:val="uk-UA"/>
        </w:rPr>
        <w:t>.</w:t>
      </w:r>
    </w:p>
    <w:p w:rsidRPr="00A430EA" w:rsidR="00BB6A3C" w:rsidP="00A430EA" w14:paraId="348E6953" w14:textId="77777777">
      <w:pPr>
        <w:pStyle w:val="JuHIRoman"/>
        <w:rPr>
          <w:lang w:val="uk-UA"/>
        </w:rPr>
      </w:pPr>
      <w:r w:rsidRPr="00A430EA">
        <w:rPr>
          <w:lang w:val="uk-UA"/>
        </w:rPr>
        <w:t>ЦИВІЛЬНИЙ ПОЗОВ ПРОТИ УПРАВЛІННЯ</w:t>
      </w:r>
    </w:p>
    <w:p w:rsidRPr="00A430EA" w:rsidR="00635864" w:rsidP="00A430EA" w14:paraId="566B6AA5" w14:textId="77777777">
      <w:pPr>
        <w:pStyle w:val="JuPara"/>
        <w:rPr>
          <w:lang w:val="uk-UA"/>
        </w:rPr>
      </w:pPr>
      <w:r w:rsidRPr="00A430EA">
        <w:rPr>
          <w:lang w:val="uk-UA"/>
        </w:rPr>
        <w:t>3.</w:t>
      </w:r>
      <w:r w:rsidRPr="00A430EA" w:rsidR="00FA4F6C">
        <w:rPr>
          <w:lang w:val="uk-UA"/>
        </w:rPr>
        <w:t>  </w:t>
      </w:r>
      <w:r w:rsidRPr="00A430EA">
        <w:rPr>
          <w:lang w:val="uk-UA"/>
        </w:rPr>
        <w:t xml:space="preserve">Посилаючись на </w:t>
      </w:r>
      <w:r w:rsidRPr="00A430EA" w:rsidR="00301DDD">
        <w:rPr>
          <w:lang w:val="uk-UA"/>
        </w:rPr>
        <w:t xml:space="preserve">постанову </w:t>
      </w:r>
      <w:r w:rsidRPr="00A430EA">
        <w:rPr>
          <w:lang w:val="uk-UA"/>
        </w:rPr>
        <w:t>від 01 березня 2011 року та статтю 56 Конституції</w:t>
      </w:r>
      <w:r w:rsidRPr="00A430EA" w:rsidR="00220B35">
        <w:rPr>
          <w:lang w:val="uk-UA"/>
        </w:rPr>
        <w:t xml:space="preserve"> України</w:t>
      </w:r>
      <w:r w:rsidRPr="00A430EA">
        <w:rPr>
          <w:lang w:val="uk-UA"/>
        </w:rPr>
        <w:t>, у січні 2013 року заявник подав цивільний позов про відшкодування моральної шкоди проти управління, спочатку вимагаючи відшкодування у розмірі приблизно 1 600 євро, а пізніше збільшивши суму позову приблизно до 4</w:t>
      </w:r>
      <w:r w:rsidRPr="00A430EA" w:rsidR="00301DDD">
        <w:rPr>
          <w:lang w:val="uk-UA"/>
        </w:rPr>
        <w:t> 800 </w:t>
      </w:r>
      <w:r w:rsidRPr="00A430EA">
        <w:rPr>
          <w:lang w:val="uk-UA"/>
        </w:rPr>
        <w:t>євро.</w:t>
      </w:r>
    </w:p>
    <w:p w:rsidRPr="00A430EA" w:rsidR="00635864" w:rsidP="00A430EA" w14:paraId="71E71F72" w14:textId="77777777">
      <w:pPr>
        <w:pStyle w:val="JuPara"/>
        <w:rPr>
          <w:lang w:val="uk-UA"/>
        </w:rPr>
      </w:pPr>
      <w:r w:rsidRPr="00A430EA">
        <w:rPr>
          <w:lang w:val="uk-UA"/>
        </w:rPr>
        <w:t>4.</w:t>
      </w:r>
      <w:r w:rsidRPr="00A430EA" w:rsidR="00FA4F6C">
        <w:rPr>
          <w:lang w:val="uk-UA"/>
        </w:rPr>
        <w:t>  </w:t>
      </w:r>
      <w:r w:rsidRPr="00A430EA">
        <w:rPr>
          <w:lang w:val="uk-UA"/>
        </w:rPr>
        <w:t xml:space="preserve">Рішенням Апеляційного суду міста Києва від 23 квітня 2013 року в задоволенні позову заявника було відмовлено. Посилаючись на </w:t>
      </w:r>
      <w:r w:rsidRPr="00A430EA">
        <w:rPr>
          <w:lang w:val="uk-UA"/>
        </w:rPr>
        <w:t xml:space="preserve">статтю 1173 Цивільного кодексу України та Постанову Пленуму Верховного Суду України від 31 березня 1995 року «Про судову практику </w:t>
      </w:r>
      <w:r w:rsidRPr="00A430EA" w:rsidR="00301DDD">
        <w:rPr>
          <w:lang w:val="uk-UA"/>
        </w:rPr>
        <w:t xml:space="preserve">в </w:t>
      </w:r>
      <w:r w:rsidRPr="00A430EA">
        <w:rPr>
          <w:lang w:val="uk-UA"/>
        </w:rPr>
        <w:t>справах про відшкодування моральної (нема</w:t>
      </w:r>
      <w:r w:rsidRPr="00A430EA" w:rsidR="00466674">
        <w:rPr>
          <w:lang w:val="uk-UA"/>
        </w:rPr>
        <w:t>йнової</w:t>
      </w:r>
      <w:r w:rsidRPr="00A430EA">
        <w:rPr>
          <w:lang w:val="uk-UA"/>
        </w:rPr>
        <w:t>) шкоди</w:t>
      </w:r>
      <w:r w:rsidRPr="00A430EA" w:rsidR="00466674">
        <w:rPr>
          <w:lang w:val="uk-UA"/>
        </w:rPr>
        <w:t>»</w:t>
      </w:r>
      <w:r w:rsidRPr="00A430EA">
        <w:rPr>
          <w:lang w:val="uk-UA"/>
        </w:rPr>
        <w:t xml:space="preserve"> (див. пункт 10), апеляційний суд зазначив, що в таких випадках моральн</w:t>
      </w:r>
      <w:r w:rsidRPr="00A430EA" w:rsidR="00466674">
        <w:rPr>
          <w:lang w:val="uk-UA"/>
        </w:rPr>
        <w:t>у</w:t>
      </w:r>
      <w:r w:rsidRPr="00A430EA">
        <w:rPr>
          <w:lang w:val="uk-UA"/>
        </w:rPr>
        <w:t xml:space="preserve"> шкод</w:t>
      </w:r>
      <w:r w:rsidRPr="00A430EA" w:rsidR="00466674">
        <w:rPr>
          <w:lang w:val="uk-UA"/>
        </w:rPr>
        <w:t>у</w:t>
      </w:r>
      <w:r w:rsidRPr="00A430EA">
        <w:rPr>
          <w:lang w:val="uk-UA"/>
        </w:rPr>
        <w:t xml:space="preserve"> </w:t>
      </w:r>
      <w:r w:rsidRPr="00A430EA" w:rsidR="007F26C7">
        <w:rPr>
          <w:lang w:val="uk-UA"/>
        </w:rPr>
        <w:t xml:space="preserve">мала </w:t>
      </w:r>
      <w:r w:rsidRPr="00A430EA">
        <w:rPr>
          <w:lang w:val="uk-UA"/>
        </w:rPr>
        <w:t>відшкодов</w:t>
      </w:r>
      <w:r w:rsidRPr="00A430EA" w:rsidR="00466674">
        <w:rPr>
          <w:lang w:val="uk-UA"/>
        </w:rPr>
        <w:t>ув</w:t>
      </w:r>
      <w:r w:rsidRPr="00A430EA">
        <w:rPr>
          <w:lang w:val="uk-UA"/>
        </w:rPr>
        <w:t>а</w:t>
      </w:r>
      <w:r w:rsidRPr="00A430EA" w:rsidR="00466674">
        <w:rPr>
          <w:lang w:val="uk-UA"/>
        </w:rPr>
        <w:t>ти</w:t>
      </w:r>
      <w:r w:rsidRPr="00A430EA">
        <w:rPr>
          <w:lang w:val="uk-UA"/>
        </w:rPr>
        <w:t xml:space="preserve"> держав</w:t>
      </w:r>
      <w:r w:rsidRPr="00A430EA" w:rsidR="00466674">
        <w:rPr>
          <w:lang w:val="uk-UA"/>
        </w:rPr>
        <w:t>а</w:t>
      </w:r>
      <w:r w:rsidRPr="00A430EA">
        <w:rPr>
          <w:lang w:val="uk-UA"/>
        </w:rPr>
        <w:t>, а не безпосередньо орган, який завдав шкод</w:t>
      </w:r>
      <w:r w:rsidRPr="00A430EA" w:rsidR="00466674">
        <w:rPr>
          <w:lang w:val="uk-UA"/>
        </w:rPr>
        <w:t>у</w:t>
      </w:r>
      <w:r w:rsidRPr="00A430EA">
        <w:rPr>
          <w:lang w:val="uk-UA"/>
        </w:rPr>
        <w:t xml:space="preserve">. Таким чином, позови про відшкодування </w:t>
      </w:r>
      <w:r w:rsidRPr="00A430EA" w:rsidR="00466674">
        <w:rPr>
          <w:lang w:val="uk-UA"/>
        </w:rPr>
        <w:t xml:space="preserve">шкоди </w:t>
      </w:r>
      <w:r w:rsidRPr="00A430EA">
        <w:rPr>
          <w:lang w:val="uk-UA"/>
        </w:rPr>
        <w:t>з</w:t>
      </w:r>
      <w:r w:rsidRPr="00A430EA" w:rsidR="00466674">
        <w:rPr>
          <w:lang w:val="uk-UA"/>
        </w:rPr>
        <w:t xml:space="preserve">а </w:t>
      </w:r>
      <w:r w:rsidRPr="00A430EA">
        <w:rPr>
          <w:lang w:val="uk-UA"/>
        </w:rPr>
        <w:t xml:space="preserve">статтею 1173 Цивільного кодексу </w:t>
      </w:r>
      <w:r w:rsidRPr="00A430EA" w:rsidR="00466674">
        <w:rPr>
          <w:lang w:val="uk-UA"/>
        </w:rPr>
        <w:t xml:space="preserve">України </w:t>
      </w:r>
      <w:r w:rsidRPr="00A430EA" w:rsidR="007F26C7">
        <w:rPr>
          <w:lang w:val="uk-UA"/>
        </w:rPr>
        <w:t xml:space="preserve">мали </w:t>
      </w:r>
      <w:r w:rsidRPr="00A430EA">
        <w:rPr>
          <w:lang w:val="uk-UA"/>
        </w:rPr>
        <w:t xml:space="preserve">бути подані проти держави, а </w:t>
      </w:r>
      <w:r w:rsidRPr="00A430EA" w:rsidR="00C57799">
        <w:rPr>
          <w:lang w:val="uk-UA"/>
        </w:rPr>
        <w:t xml:space="preserve">Державна казначейська служба України </w:t>
      </w:r>
      <w:r w:rsidRPr="00A430EA">
        <w:rPr>
          <w:lang w:val="uk-UA"/>
        </w:rPr>
        <w:t>ма</w:t>
      </w:r>
      <w:r w:rsidRPr="00A430EA" w:rsidR="00C57799">
        <w:rPr>
          <w:lang w:val="uk-UA"/>
        </w:rPr>
        <w:t>ла</w:t>
      </w:r>
      <w:r w:rsidRPr="00A430EA">
        <w:rPr>
          <w:lang w:val="uk-UA"/>
        </w:rPr>
        <w:t xml:space="preserve"> бути </w:t>
      </w:r>
      <w:r w:rsidRPr="00A430EA" w:rsidR="007F26C7">
        <w:rPr>
          <w:lang w:val="uk-UA"/>
        </w:rPr>
        <w:t xml:space="preserve">залучена </w:t>
      </w:r>
      <w:r w:rsidRPr="00A430EA">
        <w:rPr>
          <w:lang w:val="uk-UA"/>
        </w:rPr>
        <w:t>до провадження як відповідач разом із відповідним органом.</w:t>
      </w:r>
    </w:p>
    <w:p w:rsidRPr="00A430EA" w:rsidR="00BB6A3C" w:rsidP="00A430EA" w14:paraId="4AAE3AA5" w14:textId="77777777">
      <w:pPr>
        <w:pStyle w:val="JuPara"/>
        <w:rPr>
          <w:lang w:val="uk-UA"/>
        </w:rPr>
      </w:pPr>
      <w:r w:rsidRPr="00A430EA">
        <w:rPr>
          <w:lang w:val="uk-UA"/>
        </w:rPr>
        <w:t>5.  </w:t>
      </w:r>
      <w:r w:rsidRPr="00A430EA" w:rsidR="00A758F2">
        <w:rPr>
          <w:lang w:val="uk-UA"/>
        </w:rPr>
        <w:t>Заявник не подавав касаційну скаргу.</w:t>
      </w:r>
    </w:p>
    <w:p w:rsidRPr="00A430EA" w:rsidR="00BB6A3C" w:rsidP="00A430EA" w14:paraId="190CAAE1" w14:textId="77777777">
      <w:pPr>
        <w:pStyle w:val="JuHIRoman"/>
        <w:rPr>
          <w:lang w:val="uk-UA"/>
        </w:rPr>
      </w:pPr>
      <w:r w:rsidRPr="00A430EA">
        <w:rPr>
          <w:lang w:val="uk-UA"/>
        </w:rPr>
        <w:t>ЦИВІЛЬНИЙ ПОЗОВ ПРОТИ ДЕРЖАВИ</w:t>
      </w:r>
    </w:p>
    <w:p w:rsidRPr="00A430EA" w:rsidR="00630E3E" w:rsidP="00A430EA" w14:paraId="16043289" w14:textId="77777777">
      <w:pPr>
        <w:pStyle w:val="JuPara"/>
        <w:rPr>
          <w:lang w:val="uk-UA"/>
        </w:rPr>
      </w:pPr>
      <w:r w:rsidRPr="00A430EA">
        <w:rPr>
          <w:lang w:val="uk-UA"/>
        </w:rPr>
        <w:t>6.  </w:t>
      </w:r>
      <w:r w:rsidRPr="00A430EA">
        <w:rPr>
          <w:lang w:val="uk-UA"/>
        </w:rPr>
        <w:t xml:space="preserve">У липні 2013 року заявник подав аналогічний цивільний позов проти держави, вказавши </w:t>
      </w:r>
      <w:r w:rsidRPr="00A430EA" w:rsidR="00205A2D">
        <w:rPr>
          <w:lang w:val="uk-UA"/>
        </w:rPr>
        <w:t xml:space="preserve">Державну казначейську службу </w:t>
      </w:r>
      <w:r w:rsidRPr="00A430EA" w:rsidR="00B76437">
        <w:rPr>
          <w:lang w:val="uk-UA"/>
        </w:rPr>
        <w:t xml:space="preserve">України </w:t>
      </w:r>
      <w:r w:rsidRPr="00A430EA">
        <w:rPr>
          <w:lang w:val="uk-UA"/>
        </w:rPr>
        <w:t>як відповідача. Він збільшив суму</w:t>
      </w:r>
      <w:r w:rsidRPr="00A430EA" w:rsidR="009C36F3">
        <w:rPr>
          <w:lang w:val="uk-UA"/>
        </w:rPr>
        <w:t xml:space="preserve">, яка вимагалася </w:t>
      </w:r>
      <w:r w:rsidRPr="00A430EA">
        <w:rPr>
          <w:lang w:val="uk-UA"/>
        </w:rPr>
        <w:t>приблизно до 10</w:t>
      </w:r>
      <w:r w:rsidRPr="00A430EA" w:rsidR="00B76437">
        <w:rPr>
          <w:lang w:val="uk-UA"/>
        </w:rPr>
        <w:t> </w:t>
      </w:r>
      <w:r w:rsidRPr="00A430EA" w:rsidR="00F14DDB">
        <w:rPr>
          <w:lang w:val="uk-UA"/>
        </w:rPr>
        <w:t> 000 </w:t>
      </w:r>
      <w:r w:rsidRPr="00A430EA">
        <w:rPr>
          <w:lang w:val="uk-UA"/>
        </w:rPr>
        <w:t xml:space="preserve">євро. </w:t>
      </w:r>
      <w:r w:rsidRPr="00A430EA" w:rsidR="00B76437">
        <w:rPr>
          <w:lang w:val="uk-UA"/>
        </w:rPr>
        <w:t xml:space="preserve">Управління </w:t>
      </w:r>
      <w:r w:rsidRPr="00A430EA">
        <w:rPr>
          <w:lang w:val="uk-UA"/>
        </w:rPr>
        <w:t xml:space="preserve">було залучене </w:t>
      </w:r>
      <w:r w:rsidRPr="00A430EA" w:rsidR="009C36F3">
        <w:rPr>
          <w:lang w:val="uk-UA"/>
        </w:rPr>
        <w:t xml:space="preserve">до провадження </w:t>
      </w:r>
      <w:r w:rsidRPr="00A430EA">
        <w:rPr>
          <w:lang w:val="uk-UA"/>
        </w:rPr>
        <w:t>як третя сторона.</w:t>
      </w:r>
    </w:p>
    <w:p w:rsidRPr="00A430EA" w:rsidR="00A430EA" w:rsidP="00A430EA" w14:paraId="62CCCB3F" w14:textId="77777777">
      <w:pPr>
        <w:pStyle w:val="JuPara"/>
        <w:rPr>
          <w:lang w:val="uk-UA"/>
        </w:rPr>
      </w:pPr>
      <w:r w:rsidRPr="00A430EA">
        <w:rPr>
          <w:lang w:val="uk-UA"/>
        </w:rPr>
        <w:t>7.  </w:t>
      </w:r>
      <w:r w:rsidRPr="00A430EA" w:rsidR="00B76437">
        <w:rPr>
          <w:lang w:val="uk-UA"/>
        </w:rPr>
        <w:t xml:space="preserve">Суд першої інстанції призначив проведення експертизи для оцінки </w:t>
      </w:r>
      <w:r w:rsidRPr="00A430EA" w:rsidR="009C36F3">
        <w:rPr>
          <w:lang w:val="uk-UA"/>
        </w:rPr>
        <w:t xml:space="preserve">зазнаної заявником </w:t>
      </w:r>
      <w:r w:rsidRPr="00A430EA" w:rsidR="00B76437">
        <w:rPr>
          <w:lang w:val="uk-UA"/>
        </w:rPr>
        <w:t xml:space="preserve">психологічної шкоди. Висновок експерта від 06 серпня 2014 року підтвердив, що заявник зазнав психологічної шкоди </w:t>
      </w:r>
      <w:r w:rsidRPr="00A430EA" w:rsidR="00134797">
        <w:rPr>
          <w:lang w:val="uk-UA"/>
        </w:rPr>
        <w:t>у зв</w:t>
      </w:r>
      <w:r w:rsidRPr="00A430EA">
        <w:rPr>
          <w:lang w:val="uk-UA"/>
        </w:rPr>
        <w:t>’</w:t>
      </w:r>
      <w:r w:rsidRPr="00A430EA" w:rsidR="00134797">
        <w:rPr>
          <w:lang w:val="uk-UA"/>
        </w:rPr>
        <w:t xml:space="preserve">язку з протиправною </w:t>
      </w:r>
      <w:r w:rsidRPr="00A430EA" w:rsidR="00B76437">
        <w:rPr>
          <w:lang w:val="uk-UA"/>
        </w:rPr>
        <w:t>бездіяльніст</w:t>
      </w:r>
      <w:r w:rsidRPr="00A430EA" w:rsidR="00134797">
        <w:rPr>
          <w:lang w:val="uk-UA"/>
        </w:rPr>
        <w:t>ю</w:t>
      </w:r>
      <w:r w:rsidRPr="00A430EA" w:rsidR="00B76437">
        <w:rPr>
          <w:lang w:val="uk-UA"/>
        </w:rPr>
        <w:t xml:space="preserve"> </w:t>
      </w:r>
      <w:r w:rsidRPr="00A430EA" w:rsidR="00134797">
        <w:rPr>
          <w:lang w:val="uk-UA"/>
        </w:rPr>
        <w:t>управління</w:t>
      </w:r>
      <w:r w:rsidRPr="00A430EA" w:rsidR="00B76437">
        <w:rPr>
          <w:lang w:val="uk-UA"/>
        </w:rPr>
        <w:t xml:space="preserve">, </w:t>
      </w:r>
      <w:r w:rsidRPr="00A430EA" w:rsidR="009C36F3">
        <w:rPr>
          <w:lang w:val="uk-UA"/>
        </w:rPr>
        <w:t>встановленою</w:t>
      </w:r>
      <w:r w:rsidRPr="00A430EA" w:rsidR="00B76437">
        <w:rPr>
          <w:lang w:val="uk-UA"/>
        </w:rPr>
        <w:t xml:space="preserve"> </w:t>
      </w:r>
      <w:r w:rsidRPr="00A430EA" w:rsidR="00134797">
        <w:rPr>
          <w:lang w:val="uk-UA"/>
        </w:rPr>
        <w:t xml:space="preserve">постановою </w:t>
      </w:r>
      <w:r w:rsidRPr="00A430EA" w:rsidR="00B76437">
        <w:rPr>
          <w:lang w:val="uk-UA"/>
        </w:rPr>
        <w:t xml:space="preserve">від </w:t>
      </w:r>
      <w:r w:rsidRPr="00A430EA" w:rsidR="00134797">
        <w:rPr>
          <w:lang w:val="uk-UA"/>
        </w:rPr>
        <w:t>0</w:t>
      </w:r>
      <w:r w:rsidRPr="00A430EA" w:rsidR="00B76437">
        <w:rPr>
          <w:lang w:val="uk-UA"/>
        </w:rPr>
        <w:t>1 березня 2011 року (див. пункт 2).</w:t>
      </w:r>
    </w:p>
    <w:p w:rsidRPr="00A430EA" w:rsidR="00134797" w:rsidP="00A430EA" w14:paraId="190E064C" w14:textId="1222F990">
      <w:pPr>
        <w:pStyle w:val="JuPara"/>
        <w:rPr>
          <w:lang w:val="uk-UA"/>
        </w:rPr>
      </w:pPr>
      <w:r w:rsidRPr="00A430EA">
        <w:rPr>
          <w:lang w:val="uk-UA"/>
        </w:rPr>
        <w:t>8.  </w:t>
      </w:r>
      <w:r w:rsidRPr="00A430EA">
        <w:rPr>
          <w:lang w:val="uk-UA"/>
        </w:rPr>
        <w:t xml:space="preserve">Остаточною ухвалою Вищого спеціалізованого суду України з розгляду цивільних і кримінальних справ від 16 березня 2016 року в задоволенні позову було відмовлено, оскільки заявник не довів, що </w:t>
      </w:r>
      <w:r w:rsidRPr="00A430EA" w:rsidR="00205A2D">
        <w:rPr>
          <w:lang w:val="uk-UA"/>
        </w:rPr>
        <w:t xml:space="preserve">Державна казначейська служба України </w:t>
      </w:r>
      <w:r w:rsidRPr="00A430EA">
        <w:rPr>
          <w:lang w:val="uk-UA"/>
        </w:rPr>
        <w:t>завдал</w:t>
      </w:r>
      <w:r w:rsidRPr="00A430EA" w:rsidR="00205A2D">
        <w:rPr>
          <w:lang w:val="uk-UA"/>
        </w:rPr>
        <w:t>а</w:t>
      </w:r>
      <w:r w:rsidRPr="00A430EA">
        <w:rPr>
          <w:lang w:val="uk-UA"/>
        </w:rPr>
        <w:t xml:space="preserve"> йому будь-якої шкоди, а також він не подавав жодних позовів до Міністерства внутрішніх справ України, підпорядкований орган якого був </w:t>
      </w:r>
      <w:r w:rsidRPr="00A430EA" w:rsidR="009C36F3">
        <w:rPr>
          <w:lang w:val="uk-UA"/>
        </w:rPr>
        <w:t xml:space="preserve">відповідальний </w:t>
      </w:r>
      <w:r w:rsidRPr="00A430EA">
        <w:rPr>
          <w:lang w:val="uk-UA"/>
        </w:rPr>
        <w:t xml:space="preserve">за стверджувану шкоду. Посилаючись на пункт 10-1 Постанови Пленуму Верховного Суду України від 31 березня 1995 року (див. пункт 10), Вищий спеціалізований суд України з розгляду цивільних і кримінальних справ постановив, що відповідальний за </w:t>
      </w:r>
      <w:r w:rsidRPr="00A430EA" w:rsidR="0011532D">
        <w:rPr>
          <w:lang w:val="uk-UA"/>
        </w:rPr>
        <w:t xml:space="preserve">стверджувану </w:t>
      </w:r>
      <w:r w:rsidRPr="00A430EA">
        <w:rPr>
          <w:lang w:val="uk-UA"/>
        </w:rPr>
        <w:t>шкоду</w:t>
      </w:r>
      <w:r w:rsidRPr="00A430EA" w:rsidR="0011532D">
        <w:rPr>
          <w:lang w:val="uk-UA"/>
        </w:rPr>
        <w:t xml:space="preserve"> орган</w:t>
      </w:r>
      <w:r w:rsidRPr="00A430EA">
        <w:rPr>
          <w:lang w:val="uk-UA"/>
        </w:rPr>
        <w:t xml:space="preserve"> мав бути залучений до провадження </w:t>
      </w:r>
      <w:r w:rsidRPr="00A430EA" w:rsidR="0011532D">
        <w:rPr>
          <w:lang w:val="uk-UA"/>
        </w:rPr>
        <w:t xml:space="preserve">в </w:t>
      </w:r>
      <w:r w:rsidRPr="00A430EA">
        <w:rPr>
          <w:lang w:val="uk-UA"/>
        </w:rPr>
        <w:t>як</w:t>
      </w:r>
      <w:r w:rsidRPr="00A430EA" w:rsidR="0011532D">
        <w:rPr>
          <w:lang w:val="uk-UA"/>
        </w:rPr>
        <w:t>ості</w:t>
      </w:r>
      <w:r w:rsidRPr="00A430EA">
        <w:rPr>
          <w:lang w:val="uk-UA"/>
        </w:rPr>
        <w:t xml:space="preserve"> відповідач</w:t>
      </w:r>
      <w:r w:rsidRPr="00A430EA" w:rsidR="0011532D">
        <w:rPr>
          <w:lang w:val="uk-UA"/>
        </w:rPr>
        <w:t>а</w:t>
      </w:r>
      <w:r w:rsidRPr="00A430EA">
        <w:rPr>
          <w:lang w:val="uk-UA"/>
        </w:rPr>
        <w:t xml:space="preserve"> разом із </w:t>
      </w:r>
      <w:r w:rsidRPr="00A430EA" w:rsidR="00C57799">
        <w:rPr>
          <w:lang w:val="uk-UA"/>
        </w:rPr>
        <w:t>Державною казначейською службою України</w:t>
      </w:r>
      <w:r w:rsidRPr="00A430EA">
        <w:rPr>
          <w:lang w:val="uk-UA"/>
        </w:rPr>
        <w:t>.</w:t>
      </w:r>
    </w:p>
    <w:p w:rsidRPr="00A430EA" w:rsidR="00BB6A3C" w:rsidP="00A430EA" w14:paraId="4A145412" w14:textId="77777777">
      <w:pPr>
        <w:pStyle w:val="JuHHead"/>
        <w:rPr>
          <w:lang w:val="uk-UA"/>
        </w:rPr>
      </w:pPr>
      <w:r w:rsidRPr="00A430EA">
        <w:rPr>
          <w:lang w:val="uk-UA"/>
        </w:rPr>
        <w:t>ВІДПОВІ</w:t>
      </w:r>
      <w:r w:rsidRPr="00A430EA" w:rsidR="00F848EA">
        <w:rPr>
          <w:lang w:val="uk-UA"/>
        </w:rPr>
        <w:t>Д</w:t>
      </w:r>
      <w:r w:rsidRPr="00A430EA">
        <w:rPr>
          <w:lang w:val="uk-UA"/>
        </w:rPr>
        <w:t>НА НОРМАТИВНО-ПРАВОВА БАЗА</w:t>
      </w:r>
    </w:p>
    <w:p w:rsidRPr="00A430EA" w:rsidR="00220B35" w:rsidP="00A430EA" w14:paraId="08EA14CD" w14:textId="77777777">
      <w:pPr>
        <w:pStyle w:val="JuPara"/>
        <w:rPr>
          <w:lang w:val="uk-UA"/>
        </w:rPr>
      </w:pPr>
      <w:bookmarkStart w:name="paragraph00009" w:id="0"/>
      <w:r w:rsidRPr="00A430EA">
        <w:rPr>
          <w:lang w:val="uk-UA"/>
        </w:rPr>
        <w:t>9</w:t>
      </w:r>
      <w:bookmarkEnd w:id="0"/>
      <w:r w:rsidRPr="00A430EA">
        <w:rPr>
          <w:lang w:val="uk-UA"/>
        </w:rPr>
        <w:t>.  </w:t>
      </w:r>
      <w:r w:rsidRPr="00A430EA">
        <w:rPr>
          <w:lang w:val="uk-UA"/>
        </w:rPr>
        <w:t xml:space="preserve">Стаття 56 Конституції України гарантує кожному право на відшкодування шкоди, завданої незаконними рішеннями, діями чи бездіяльністю органів державної влади. Стаття 1173 Цивільного кодексу </w:t>
      </w:r>
      <w:r w:rsidRPr="00A430EA" w:rsidR="00F0607B">
        <w:rPr>
          <w:lang w:val="uk-UA"/>
        </w:rPr>
        <w:t xml:space="preserve">України </w:t>
      </w:r>
      <w:r w:rsidRPr="00A430EA" w:rsidR="00D64376">
        <w:rPr>
          <w:lang w:val="uk-UA"/>
        </w:rPr>
        <w:t xml:space="preserve">процитована </w:t>
      </w:r>
      <w:r w:rsidRPr="00A430EA" w:rsidR="00F0607B">
        <w:rPr>
          <w:lang w:val="uk-UA"/>
        </w:rPr>
        <w:t xml:space="preserve">в рішенні </w:t>
      </w:r>
      <w:r w:rsidRPr="00A430EA">
        <w:rPr>
          <w:lang w:val="uk-UA"/>
        </w:rPr>
        <w:t xml:space="preserve">у справі </w:t>
      </w:r>
      <w:r w:rsidRPr="00A430EA" w:rsidR="00F0607B">
        <w:rPr>
          <w:lang w:val="uk-UA"/>
        </w:rPr>
        <w:t>«</w:t>
      </w:r>
      <w:r w:rsidRPr="00A430EA">
        <w:rPr>
          <w:lang w:val="uk-UA"/>
        </w:rPr>
        <w:t xml:space="preserve">Дроздик та Мікула </w:t>
      </w:r>
      <w:r w:rsidRPr="00A430EA">
        <w:rPr>
          <w:lang w:val="uk-UA"/>
        </w:rPr>
        <w:t>проти України</w:t>
      </w:r>
      <w:r w:rsidRPr="00A430EA" w:rsidR="00F0607B">
        <w:rPr>
          <w:lang w:val="uk-UA"/>
        </w:rPr>
        <w:t xml:space="preserve">» </w:t>
      </w:r>
      <w:r w:rsidRPr="00A430EA" w:rsidR="00F0607B">
        <w:rPr>
          <w:i/>
          <w:iCs/>
          <w:lang w:val="uk-UA"/>
        </w:rPr>
        <w:t>(Drozdyk and Mikula v. Ukraine),</w:t>
      </w:r>
      <w:r w:rsidRPr="00A430EA">
        <w:rPr>
          <w:lang w:val="uk-UA"/>
        </w:rPr>
        <w:t xml:space="preserve"> </w:t>
      </w:r>
      <w:r w:rsidRPr="00A430EA" w:rsidR="00F0607B">
        <w:rPr>
          <w:lang w:val="uk-UA"/>
        </w:rPr>
        <w:t xml:space="preserve">заяви </w:t>
      </w:r>
      <w:r w:rsidRPr="00A430EA">
        <w:rPr>
          <w:lang w:val="uk-UA"/>
        </w:rPr>
        <w:t>№</w:t>
      </w:r>
      <w:r w:rsidRPr="00A430EA" w:rsidR="00F0607B">
        <w:rPr>
          <w:lang w:val="uk-UA"/>
        </w:rPr>
        <w:t> </w:t>
      </w:r>
      <w:r w:rsidRPr="00A430EA">
        <w:rPr>
          <w:lang w:val="uk-UA"/>
        </w:rPr>
        <w:t xml:space="preserve">27849/15 </w:t>
      </w:r>
      <w:r w:rsidRPr="00A430EA" w:rsidR="00F0607B">
        <w:rPr>
          <w:lang w:val="uk-UA"/>
        </w:rPr>
        <w:t>і</w:t>
      </w:r>
      <w:r w:rsidRPr="00A430EA">
        <w:rPr>
          <w:lang w:val="uk-UA"/>
        </w:rPr>
        <w:t xml:space="preserve"> </w:t>
      </w:r>
      <w:r w:rsidRPr="00A430EA" w:rsidR="00F0607B">
        <w:rPr>
          <w:lang w:val="uk-UA"/>
        </w:rPr>
        <w:t>№ </w:t>
      </w:r>
      <w:r w:rsidRPr="00A430EA">
        <w:rPr>
          <w:lang w:val="uk-UA"/>
        </w:rPr>
        <w:t xml:space="preserve">33358/15, </w:t>
      </w:r>
      <w:r w:rsidRPr="00A430EA" w:rsidR="00F0607B">
        <w:rPr>
          <w:lang w:val="uk-UA"/>
        </w:rPr>
        <w:t>пункт</w:t>
      </w:r>
      <w:r w:rsidRPr="00A430EA">
        <w:rPr>
          <w:lang w:val="uk-UA"/>
        </w:rPr>
        <w:t xml:space="preserve"> 20,</w:t>
      </w:r>
      <w:r w:rsidRPr="00A430EA" w:rsidR="00F0607B">
        <w:rPr>
          <w:lang w:val="uk-UA"/>
        </w:rPr>
        <w:t xml:space="preserve"> від</w:t>
      </w:r>
      <w:r w:rsidRPr="00A430EA">
        <w:rPr>
          <w:lang w:val="uk-UA"/>
        </w:rPr>
        <w:t xml:space="preserve"> 24 жовтня 2024 року).</w:t>
      </w:r>
    </w:p>
    <w:p w:rsidRPr="00A430EA" w:rsidR="004A2E69" w:rsidP="00A430EA" w14:paraId="172CC348" w14:textId="77777777">
      <w:pPr>
        <w:pStyle w:val="JuPara"/>
        <w:rPr>
          <w:lang w:val="uk-UA"/>
        </w:rPr>
      </w:pPr>
      <w:bookmarkStart w:name="paragraph00010" w:id="1"/>
      <w:r w:rsidRPr="00A430EA">
        <w:rPr>
          <w:lang w:val="uk-UA"/>
        </w:rPr>
        <w:t>10</w:t>
      </w:r>
      <w:bookmarkEnd w:id="1"/>
      <w:r w:rsidRPr="00A430EA">
        <w:rPr>
          <w:lang w:val="uk-UA"/>
        </w:rPr>
        <w:t>.  </w:t>
      </w:r>
      <w:r w:rsidRPr="00A430EA">
        <w:rPr>
          <w:lang w:val="uk-UA"/>
        </w:rPr>
        <w:t>Відповідна частина Постанови Пленуму Верховного Суду України від 31 березня 1995 року «Про судову практику у справах про відшкодування моральної (немайнової) шкоди» передбачає:</w:t>
      </w:r>
    </w:p>
    <w:p w:rsidRPr="00A430EA" w:rsidR="004A2E69" w:rsidP="00A430EA" w14:paraId="2B4C6D96" w14:textId="15C06D04">
      <w:pPr>
        <w:pStyle w:val="JuQuot"/>
        <w:rPr>
          <w:lang w:val="uk-UA"/>
        </w:rPr>
      </w:pPr>
      <w:r w:rsidRPr="00A430EA">
        <w:rPr>
          <w:lang w:val="uk-UA"/>
        </w:rPr>
        <w:t xml:space="preserve">«10-1. При розгляді справ за позовами про відшкодування моральної шкоди на підставі статті 56 Конституції судам слід мати на увазі, що при встановленні факту заподіяння такої шкоди незаконними рішеннями, діями чи бездіяльністю органу державної влади, місцевого самоврядування [або] їх посадових чи службових осіб при здійсненні ними своїх повноважень вона підлягає відшкодуванню за рахунок держави чи органів місцевого самоврядування. </w:t>
      </w:r>
      <w:r w:rsidRPr="00A430EA" w:rsidR="00A430EA">
        <w:rPr>
          <w:lang w:val="uk-UA"/>
        </w:rPr>
        <w:t>...</w:t>
      </w:r>
      <w:r w:rsidRPr="00A430EA">
        <w:rPr>
          <w:lang w:val="uk-UA"/>
        </w:rPr>
        <w:t xml:space="preserve"> При вирішенні спору про відшкодування моральної шкоди, заподіяної громадянинові незаконними рішеннями, діями чи бездіяльністю органу державної влади, його посадовими </w:t>
      </w:r>
      <w:r w:rsidRPr="00A430EA" w:rsidR="00D64376">
        <w:rPr>
          <w:lang w:val="uk-UA"/>
        </w:rPr>
        <w:t>[або]</w:t>
      </w:r>
      <w:r w:rsidRPr="00A430EA" w:rsidR="00D64376">
        <w:rPr>
          <w:lang w:val="uk-UA"/>
        </w:rPr>
        <w:t xml:space="preserve"> </w:t>
      </w:r>
      <w:r w:rsidRPr="00A430EA">
        <w:rPr>
          <w:lang w:val="uk-UA"/>
        </w:rPr>
        <w:t xml:space="preserve">службовими особами, судам слід виходити з того, що зазначений орган має бути відповідачем у такій справі, якщо це передбачено відповідним законом (наприклад, ст. 9 Закону «Про оперативно-розшукову діяльність»). Якщо ж відповідним законом чи іншим нормативним актом не передбачено </w:t>
      </w:r>
      <w:r w:rsidRPr="00A430EA" w:rsidR="00D64376">
        <w:rPr>
          <w:lang w:val="uk-UA"/>
        </w:rPr>
        <w:t xml:space="preserve">[притягнення відповідного державного органу як відповідача] </w:t>
      </w:r>
      <w:r w:rsidRPr="00A430EA">
        <w:rPr>
          <w:lang w:val="uk-UA"/>
        </w:rPr>
        <w:t>або в ньому зазначено, що шкода відшкодовується державою (за рахунок держави), то поряд із відповідним державним органом суд має притягнути як відповідача відповідний орган Державного казначейства України.»</w:t>
      </w:r>
    </w:p>
    <w:p w:rsidRPr="00A430EA" w:rsidR="00BB6A3C" w:rsidP="00A430EA" w14:paraId="2E14D176" w14:textId="77777777">
      <w:pPr>
        <w:pStyle w:val="JuHHead"/>
        <w:rPr>
          <w:lang w:val="uk-UA"/>
        </w:rPr>
      </w:pPr>
      <w:r w:rsidRPr="00A430EA">
        <w:rPr>
          <w:lang w:val="uk-UA"/>
        </w:rPr>
        <w:t>ОЦІНКА СУДУ</w:t>
      </w:r>
    </w:p>
    <w:p w:rsidRPr="00A430EA" w:rsidR="00240F38" w:rsidP="00A430EA" w14:paraId="6FB457A8" w14:textId="77777777">
      <w:pPr>
        <w:pStyle w:val="JuPara"/>
        <w:rPr>
          <w:lang w:val="uk-UA"/>
        </w:rPr>
      </w:pPr>
      <w:r w:rsidRPr="00A430EA">
        <w:rPr>
          <w:lang w:val="uk-UA"/>
        </w:rPr>
        <w:t>11.  </w:t>
      </w:r>
      <w:r w:rsidRPr="00A430EA">
        <w:rPr>
          <w:lang w:val="uk-UA"/>
        </w:rPr>
        <w:t xml:space="preserve">Заявник скаржився за пунктом 1 статті 6 Конвенції, що йому було відмовлено в практичній можливості вимагати відшкодування </w:t>
      </w:r>
      <w:r w:rsidRPr="00A430EA" w:rsidR="00FE4FB1">
        <w:rPr>
          <w:lang w:val="uk-UA"/>
        </w:rPr>
        <w:t xml:space="preserve">визнаної національними судами </w:t>
      </w:r>
      <w:r w:rsidRPr="00A430EA">
        <w:rPr>
          <w:lang w:val="uk-UA"/>
        </w:rPr>
        <w:t xml:space="preserve">шкоди, на </w:t>
      </w:r>
      <w:r w:rsidRPr="00A430EA" w:rsidR="0031355F">
        <w:rPr>
          <w:lang w:val="uk-UA"/>
        </w:rPr>
        <w:t xml:space="preserve">яке </w:t>
      </w:r>
      <w:r w:rsidRPr="00A430EA">
        <w:rPr>
          <w:lang w:val="uk-UA"/>
        </w:rPr>
        <w:t>він мав право.</w:t>
      </w:r>
    </w:p>
    <w:p w:rsidRPr="00A430EA" w:rsidR="00BB6A3C" w:rsidP="00A430EA" w14:paraId="7493C648" w14:textId="77777777">
      <w:pPr>
        <w:pStyle w:val="JuHA"/>
        <w:rPr>
          <w:lang w:val="uk-UA"/>
        </w:rPr>
      </w:pPr>
      <w:r w:rsidRPr="00A430EA">
        <w:rPr>
          <w:lang w:val="uk-UA"/>
        </w:rPr>
        <w:t>Прийнятність</w:t>
      </w:r>
    </w:p>
    <w:p w:rsidRPr="00A430EA" w:rsidR="00071FAB" w:rsidP="00A430EA" w14:paraId="642ABAE7" w14:textId="77777777">
      <w:pPr>
        <w:pStyle w:val="JuPara"/>
        <w:rPr>
          <w:lang w:val="uk-UA"/>
        </w:rPr>
      </w:pPr>
      <w:bookmarkStart w:name="paragraph00012" w:id="2"/>
      <w:r w:rsidRPr="00A430EA">
        <w:rPr>
          <w:lang w:val="uk-UA"/>
        </w:rPr>
        <w:t>12</w:t>
      </w:r>
      <w:bookmarkEnd w:id="2"/>
      <w:r w:rsidRPr="00A430EA">
        <w:rPr>
          <w:lang w:val="uk-UA"/>
        </w:rPr>
        <w:t xml:space="preserve">.  Уряд стверджував, що заявник не вичерпав національні засоби юридичного захисту, оскільки він не подав касаційну скаргу у провадженні проти управління (див. пункт 5). Він зазначив, що </w:t>
      </w:r>
      <w:r w:rsidRPr="00A430EA" w:rsidR="00340756">
        <w:rPr>
          <w:lang w:val="uk-UA"/>
        </w:rPr>
        <w:t xml:space="preserve">касаційний </w:t>
      </w:r>
      <w:r w:rsidRPr="00A430EA">
        <w:rPr>
          <w:lang w:val="uk-UA"/>
        </w:rPr>
        <w:t xml:space="preserve">суд був уповноважений скасувати рішення апеляційного суду від 23 квітня 2013 року та повернути справу до суду першої інстанції на новий розгляд у межах провадження, до якого </w:t>
      </w:r>
      <w:r w:rsidRPr="00A430EA" w:rsidR="002D2E5C">
        <w:rPr>
          <w:lang w:val="uk-UA"/>
        </w:rPr>
        <w:t xml:space="preserve">могла </w:t>
      </w:r>
      <w:r w:rsidRPr="00A430EA">
        <w:rPr>
          <w:lang w:val="uk-UA"/>
        </w:rPr>
        <w:t xml:space="preserve">бути </w:t>
      </w:r>
      <w:r w:rsidRPr="00A430EA" w:rsidR="002D2E5C">
        <w:rPr>
          <w:lang w:val="uk-UA"/>
        </w:rPr>
        <w:t xml:space="preserve">залучена Державна казначейська служба </w:t>
      </w:r>
      <w:r w:rsidRPr="00A430EA">
        <w:rPr>
          <w:lang w:val="uk-UA"/>
        </w:rPr>
        <w:t xml:space="preserve">України. Уряд також доводив, що скарга заявника була явно необґрунтованою, оскільки у другому цивільному провадженні він вказав </w:t>
      </w:r>
      <w:r w:rsidRPr="00A430EA" w:rsidR="00AE6298">
        <w:rPr>
          <w:lang w:val="uk-UA"/>
        </w:rPr>
        <w:t xml:space="preserve">Державну казначейську службу </w:t>
      </w:r>
      <w:r w:rsidRPr="00A430EA" w:rsidR="006A6588">
        <w:rPr>
          <w:lang w:val="uk-UA"/>
        </w:rPr>
        <w:t xml:space="preserve">України </w:t>
      </w:r>
      <w:r w:rsidRPr="00A430EA">
        <w:rPr>
          <w:lang w:val="uk-UA"/>
        </w:rPr>
        <w:t xml:space="preserve">як єдиного відповідача, тоді як він також мав би </w:t>
      </w:r>
      <w:r w:rsidRPr="00A430EA" w:rsidR="006A6588">
        <w:rPr>
          <w:lang w:val="uk-UA"/>
        </w:rPr>
        <w:t xml:space="preserve">подати </w:t>
      </w:r>
      <w:r w:rsidRPr="00A430EA">
        <w:rPr>
          <w:lang w:val="uk-UA"/>
        </w:rPr>
        <w:t>св</w:t>
      </w:r>
      <w:r w:rsidRPr="00A430EA" w:rsidR="006A6588">
        <w:rPr>
          <w:lang w:val="uk-UA"/>
        </w:rPr>
        <w:t xml:space="preserve">ій </w:t>
      </w:r>
      <w:r w:rsidRPr="00A430EA">
        <w:rPr>
          <w:lang w:val="uk-UA"/>
        </w:rPr>
        <w:t xml:space="preserve">позов </w:t>
      </w:r>
      <w:r w:rsidRPr="00A430EA" w:rsidR="006A6588">
        <w:rPr>
          <w:lang w:val="uk-UA"/>
        </w:rPr>
        <w:t>проти</w:t>
      </w:r>
      <w:r w:rsidRPr="00A430EA">
        <w:rPr>
          <w:lang w:val="uk-UA"/>
        </w:rPr>
        <w:t xml:space="preserve"> Міністерства внутрішніх справ</w:t>
      </w:r>
      <w:r w:rsidRPr="00A430EA" w:rsidR="006A6588">
        <w:rPr>
          <w:lang w:val="uk-UA"/>
        </w:rPr>
        <w:t xml:space="preserve"> України</w:t>
      </w:r>
      <w:r w:rsidRPr="00A430EA">
        <w:rPr>
          <w:lang w:val="uk-UA"/>
        </w:rPr>
        <w:t>, бездіяльність підпорядкованого органу якого</w:t>
      </w:r>
      <w:r w:rsidRPr="00A430EA" w:rsidR="006A6588">
        <w:rPr>
          <w:lang w:val="uk-UA"/>
        </w:rPr>
        <w:t xml:space="preserve"> спричинила</w:t>
      </w:r>
      <w:r w:rsidRPr="00A430EA">
        <w:rPr>
          <w:lang w:val="uk-UA"/>
        </w:rPr>
        <w:t xml:space="preserve"> шкод</w:t>
      </w:r>
      <w:r w:rsidRPr="00A430EA" w:rsidR="006A6588">
        <w:rPr>
          <w:lang w:val="uk-UA"/>
        </w:rPr>
        <w:t>у</w:t>
      </w:r>
      <w:r w:rsidRPr="00A430EA">
        <w:rPr>
          <w:lang w:val="uk-UA"/>
        </w:rPr>
        <w:t xml:space="preserve"> заявнику.</w:t>
      </w:r>
    </w:p>
    <w:p w:rsidRPr="00A430EA" w:rsidR="006A6588" w:rsidP="00A430EA" w14:paraId="56512EC5" w14:textId="6A0EF009">
      <w:pPr>
        <w:pStyle w:val="JuPara"/>
        <w:rPr>
          <w:lang w:val="uk-UA"/>
        </w:rPr>
      </w:pPr>
      <w:r w:rsidRPr="00A430EA">
        <w:rPr>
          <w:lang w:val="uk-UA"/>
        </w:rPr>
        <w:t>13</w:t>
      </w:r>
      <w:r w:rsidRPr="00A430EA" w:rsidR="00FA4F6C">
        <w:rPr>
          <w:lang w:val="uk-UA"/>
        </w:rPr>
        <w:t>.  </w:t>
      </w:r>
      <w:r w:rsidRPr="00A430EA">
        <w:rPr>
          <w:lang w:val="uk-UA"/>
        </w:rPr>
        <w:t>Суд вважає, що заперечення Уряду щодо невичерпання національних засобів юридичного захисту тісно пов</w:t>
      </w:r>
      <w:r w:rsidRPr="00A430EA" w:rsidR="00A430EA">
        <w:rPr>
          <w:lang w:val="uk-UA"/>
        </w:rPr>
        <w:t>’</w:t>
      </w:r>
      <w:r w:rsidRPr="00A430EA">
        <w:rPr>
          <w:lang w:val="uk-UA"/>
        </w:rPr>
        <w:t xml:space="preserve">язане </w:t>
      </w:r>
      <w:r w:rsidRPr="00A430EA" w:rsidR="001525E5">
        <w:rPr>
          <w:lang w:val="uk-UA"/>
        </w:rPr>
        <w:t>і</w:t>
      </w:r>
      <w:r w:rsidRPr="00A430EA">
        <w:rPr>
          <w:lang w:val="uk-UA"/>
        </w:rPr>
        <w:t xml:space="preserve">з суттю </w:t>
      </w:r>
      <w:r w:rsidRPr="00A430EA">
        <w:rPr>
          <w:lang w:val="uk-UA"/>
        </w:rPr>
        <w:t>скарги заявника за пунктом 1 статті 6 Конвенції, а тому має бути долучене до розгляду справи по суті.</w:t>
      </w:r>
    </w:p>
    <w:p w:rsidRPr="00A430EA" w:rsidR="006A6588" w:rsidP="00A430EA" w14:paraId="037C2944" w14:textId="77777777">
      <w:pPr>
        <w:pStyle w:val="JuPara"/>
        <w:rPr>
          <w:lang w:val="uk-UA"/>
        </w:rPr>
      </w:pPr>
      <w:r w:rsidRPr="00A430EA">
        <w:rPr>
          <w:lang w:val="uk-UA"/>
        </w:rPr>
        <w:t>14</w:t>
      </w:r>
      <w:r w:rsidRPr="00A430EA" w:rsidR="00FA4F6C">
        <w:rPr>
          <w:lang w:val="uk-UA"/>
        </w:rPr>
        <w:t>.  </w:t>
      </w:r>
      <w:r w:rsidRPr="00A430EA">
        <w:rPr>
          <w:lang w:val="uk-UA"/>
        </w:rPr>
        <w:t xml:space="preserve">Суд вважає, що </w:t>
      </w:r>
      <w:r w:rsidRPr="00A430EA" w:rsidR="00340756">
        <w:rPr>
          <w:lang w:val="uk-UA"/>
        </w:rPr>
        <w:t xml:space="preserve">ця </w:t>
      </w:r>
      <w:r w:rsidRPr="00A430EA">
        <w:rPr>
          <w:lang w:val="uk-UA"/>
        </w:rPr>
        <w:t>заява не є ні явно необґрунтованою у розумінні підпункту «а» пункту 3 статті 35 Конвенції, ні неприйнятною з будь-яких інших підстав. Тому вона має бути визнана прийнятною.</w:t>
      </w:r>
    </w:p>
    <w:p w:rsidRPr="00A430EA" w:rsidR="00BB6A3C" w:rsidP="00A430EA" w14:paraId="4D47C62E" w14:textId="77777777">
      <w:pPr>
        <w:pStyle w:val="JuHA"/>
        <w:rPr>
          <w:lang w:val="uk-UA"/>
        </w:rPr>
      </w:pPr>
      <w:r w:rsidRPr="00A430EA">
        <w:rPr>
          <w:lang w:val="uk-UA"/>
        </w:rPr>
        <w:t>Суть</w:t>
      </w:r>
    </w:p>
    <w:p w:rsidRPr="00A430EA" w:rsidR="00501BD8" w:rsidP="00A430EA" w14:paraId="558AC08E" w14:textId="6CBDC0E7">
      <w:pPr>
        <w:pStyle w:val="JuPara"/>
        <w:rPr>
          <w:lang w:val="uk-UA"/>
        </w:rPr>
      </w:pPr>
      <w:r w:rsidRPr="00A430EA">
        <w:rPr>
          <w:lang w:val="uk-UA"/>
        </w:rPr>
        <w:t>15</w:t>
      </w:r>
      <w:r w:rsidRPr="00A430EA" w:rsidR="00FA4F6C">
        <w:rPr>
          <w:lang w:val="uk-UA"/>
        </w:rPr>
        <w:t>.  </w:t>
      </w:r>
      <w:r w:rsidRPr="00A430EA">
        <w:rPr>
          <w:lang w:val="uk-UA"/>
        </w:rPr>
        <w:t xml:space="preserve">Суд зазначає, що в обох провадженнях у </w:t>
      </w:r>
      <w:r w:rsidRPr="00A430EA" w:rsidR="004427B9">
        <w:rPr>
          <w:lang w:val="uk-UA"/>
        </w:rPr>
        <w:t xml:space="preserve">задоволенні позовів </w:t>
      </w:r>
      <w:r w:rsidRPr="00A430EA">
        <w:rPr>
          <w:lang w:val="uk-UA"/>
        </w:rPr>
        <w:t>заявника про відшкодування шкоди було відмовлено по суті у зв</w:t>
      </w:r>
      <w:r w:rsidRPr="00A430EA" w:rsidR="00A430EA">
        <w:rPr>
          <w:lang w:val="uk-UA"/>
        </w:rPr>
        <w:t>’</w:t>
      </w:r>
      <w:r w:rsidRPr="00A430EA">
        <w:rPr>
          <w:lang w:val="uk-UA"/>
        </w:rPr>
        <w:t xml:space="preserve">язку з тим, що він не зазначив належного відповідача. Таким чином, слід розглянути, чи було заявнику відмовлено в доступі до суду всупереч пункту 1 статті 6 Конвенції (див. рішення у справах «Костадін Михайлов проти Болгарії» </w:t>
      </w:r>
      <w:r w:rsidRPr="00A430EA">
        <w:rPr>
          <w:i/>
          <w:iCs/>
          <w:lang w:val="uk-UA"/>
        </w:rPr>
        <w:t>(Kostadin Mihaylov v. Bulgaria)</w:t>
      </w:r>
      <w:r w:rsidRPr="00A430EA">
        <w:rPr>
          <w:lang w:val="uk-UA"/>
        </w:rPr>
        <w:t xml:space="preserve">, заява № 17868/07, пункти 37 – 43, від 27 березня 2008 року та «Спасовський проти колишньої Югославської Республіки Македонія» </w:t>
      </w:r>
      <w:r w:rsidRPr="00A430EA">
        <w:rPr>
          <w:i/>
          <w:iCs/>
          <w:lang w:val="uk-UA"/>
        </w:rPr>
        <w:t>(Spasovski v. the former Yugoslav Republic of Macedonia)</w:t>
      </w:r>
      <w:r w:rsidRPr="00A430EA">
        <w:rPr>
          <w:lang w:val="uk-UA"/>
        </w:rPr>
        <w:t>, заява № 45150/05, пункти 29 – 33, від 10 червня 2010 року).</w:t>
      </w:r>
    </w:p>
    <w:p w:rsidRPr="00A430EA" w:rsidR="00672254" w:rsidP="00A430EA" w14:paraId="4709EC5D" w14:textId="77777777">
      <w:pPr>
        <w:pStyle w:val="JuPara"/>
        <w:rPr>
          <w:lang w:val="uk-UA"/>
        </w:rPr>
      </w:pPr>
      <w:r w:rsidRPr="00A430EA">
        <w:rPr>
          <w:lang w:val="uk-UA"/>
        </w:rPr>
        <w:t>16</w:t>
      </w:r>
      <w:r w:rsidRPr="00A430EA" w:rsidR="00FA4F6C">
        <w:rPr>
          <w:lang w:val="uk-UA"/>
        </w:rPr>
        <w:t>.  </w:t>
      </w:r>
      <w:r w:rsidRPr="00A430EA">
        <w:rPr>
          <w:lang w:val="uk-UA"/>
        </w:rPr>
        <w:t xml:space="preserve">Відповідні загальні принципи були наведені в згаданому рішенні у справі «Костадін Михайлов проти Болгарії» </w:t>
      </w:r>
      <w:r w:rsidRPr="00A430EA">
        <w:rPr>
          <w:i/>
          <w:iCs/>
          <w:lang w:val="uk-UA"/>
        </w:rPr>
        <w:t>(Kostadin Mihaylov v. Bulgaria)</w:t>
      </w:r>
      <w:r w:rsidRPr="00A430EA">
        <w:rPr>
          <w:lang w:val="uk-UA"/>
        </w:rPr>
        <w:t>, пункти 35 – 42) та в рішенні у справі «</w:t>
      </w:r>
      <w:r w:rsidRPr="00A430EA" w:rsidR="00A2735A">
        <w:rPr>
          <w:lang w:val="uk-UA"/>
        </w:rPr>
        <w:t>Джорджел і Джорджета Стоіческу проти Румунії</w:t>
      </w:r>
      <w:r w:rsidRPr="00A430EA">
        <w:rPr>
          <w:lang w:val="uk-UA"/>
        </w:rPr>
        <w:t xml:space="preserve">» </w:t>
      </w:r>
      <w:r w:rsidRPr="00A430EA">
        <w:rPr>
          <w:i/>
          <w:iCs/>
          <w:lang w:val="uk-UA"/>
        </w:rPr>
        <w:t>(</w:t>
      </w:r>
      <w:r w:rsidRPr="00A430EA" w:rsidR="00A2735A">
        <w:rPr>
          <w:i/>
          <w:iCs/>
          <w:lang w:val="uk-UA"/>
        </w:rPr>
        <w:t>Georgel and Georgeta Stoicescu v. Romania</w:t>
      </w:r>
      <w:r w:rsidRPr="00A430EA">
        <w:rPr>
          <w:i/>
          <w:iCs/>
          <w:lang w:val="uk-UA"/>
        </w:rPr>
        <w:t>)</w:t>
      </w:r>
      <w:r w:rsidRPr="00A430EA" w:rsidR="00A2735A">
        <w:rPr>
          <w:i/>
          <w:iCs/>
          <w:lang w:val="uk-UA"/>
        </w:rPr>
        <w:t>,</w:t>
      </w:r>
      <w:r w:rsidRPr="00A430EA">
        <w:rPr>
          <w:lang w:val="uk-UA"/>
        </w:rPr>
        <w:t xml:space="preserve"> </w:t>
      </w:r>
      <w:r w:rsidRPr="00A430EA" w:rsidR="00A2735A">
        <w:rPr>
          <w:lang w:val="uk-UA"/>
        </w:rPr>
        <w:t xml:space="preserve">заява </w:t>
      </w:r>
      <w:r w:rsidRPr="00A430EA">
        <w:rPr>
          <w:lang w:val="uk-UA"/>
        </w:rPr>
        <w:t>№</w:t>
      </w:r>
      <w:r w:rsidRPr="00A430EA" w:rsidR="00A2735A">
        <w:rPr>
          <w:lang w:val="uk-UA"/>
        </w:rPr>
        <w:t> </w:t>
      </w:r>
      <w:r w:rsidRPr="00A430EA">
        <w:rPr>
          <w:lang w:val="uk-UA"/>
        </w:rPr>
        <w:t xml:space="preserve">9718/03, </w:t>
      </w:r>
      <w:r w:rsidRPr="00A430EA" w:rsidR="00A2735A">
        <w:rPr>
          <w:lang w:val="uk-UA"/>
        </w:rPr>
        <w:t>пункти</w:t>
      </w:r>
      <w:r w:rsidRPr="00A430EA">
        <w:rPr>
          <w:lang w:val="uk-UA"/>
        </w:rPr>
        <w:t xml:space="preserve"> 68</w:t>
      </w:r>
      <w:r w:rsidRPr="00A430EA" w:rsidR="00A2735A">
        <w:rPr>
          <w:lang w:val="uk-UA"/>
        </w:rPr>
        <w:t xml:space="preserve"> – </w:t>
      </w:r>
      <w:r w:rsidRPr="00A430EA">
        <w:rPr>
          <w:lang w:val="uk-UA"/>
        </w:rPr>
        <w:t>76,</w:t>
      </w:r>
      <w:r w:rsidRPr="00A430EA" w:rsidR="00A2735A">
        <w:rPr>
          <w:lang w:val="uk-UA"/>
        </w:rPr>
        <w:t xml:space="preserve"> від</w:t>
      </w:r>
      <w:r w:rsidRPr="00A430EA">
        <w:rPr>
          <w:lang w:val="uk-UA"/>
        </w:rPr>
        <w:t xml:space="preserve"> 26 липня 2011 року).</w:t>
      </w:r>
    </w:p>
    <w:p w:rsidRPr="00A430EA" w:rsidR="00A2735A" w:rsidP="00A430EA" w14:paraId="62BD9163" w14:textId="43C46610">
      <w:pPr>
        <w:pStyle w:val="JuPara"/>
        <w:rPr>
          <w:lang w:val="uk-UA"/>
        </w:rPr>
      </w:pPr>
      <w:r w:rsidRPr="00A430EA">
        <w:rPr>
          <w:lang w:val="uk-UA"/>
        </w:rPr>
        <w:t>17</w:t>
      </w:r>
      <w:r w:rsidRPr="00A430EA" w:rsidR="00FA4F6C">
        <w:rPr>
          <w:lang w:val="uk-UA"/>
        </w:rPr>
        <w:t>.  </w:t>
      </w:r>
      <w:r w:rsidRPr="00A430EA">
        <w:rPr>
          <w:lang w:val="uk-UA"/>
        </w:rPr>
        <w:t xml:space="preserve">Коли орган </w:t>
      </w:r>
      <w:r w:rsidRPr="00A430EA" w:rsidR="004427B9">
        <w:rPr>
          <w:lang w:val="uk-UA"/>
        </w:rPr>
        <w:t xml:space="preserve">державної </w:t>
      </w:r>
      <w:r w:rsidRPr="00A430EA">
        <w:rPr>
          <w:lang w:val="uk-UA"/>
        </w:rPr>
        <w:t>влади несе відповідальність за завдану шкоду, позитивний обов</w:t>
      </w:r>
      <w:r w:rsidRPr="00A430EA" w:rsidR="00A430EA">
        <w:rPr>
          <w:lang w:val="uk-UA"/>
        </w:rPr>
        <w:t>’</w:t>
      </w:r>
      <w:r w:rsidRPr="00A430EA">
        <w:rPr>
          <w:lang w:val="uk-UA"/>
        </w:rPr>
        <w:t xml:space="preserve">язок держави сприяти встановленню правильного відповідача набуває ще більшого значення (див. рішення у справі «Дзірніс проти Латвії» </w:t>
      </w:r>
      <w:r w:rsidRPr="00A430EA">
        <w:rPr>
          <w:i/>
          <w:iCs/>
          <w:lang w:val="uk-UA"/>
        </w:rPr>
        <w:t>(Dzirnis v. Latvia)</w:t>
      </w:r>
      <w:r w:rsidRPr="00A430EA">
        <w:rPr>
          <w:lang w:val="uk-UA"/>
        </w:rPr>
        <w:t>, заява № 25082/05, пункт 93, від 26 січня 2017 року).</w:t>
      </w:r>
    </w:p>
    <w:p w:rsidRPr="00A430EA" w:rsidR="009C5D86" w:rsidP="00A430EA" w14:paraId="1D7F687F" w14:textId="77777777">
      <w:pPr>
        <w:pStyle w:val="JuPara"/>
        <w:rPr>
          <w:lang w:val="uk-UA"/>
        </w:rPr>
      </w:pPr>
      <w:r w:rsidRPr="00A430EA">
        <w:rPr>
          <w:lang w:val="uk-UA"/>
        </w:rPr>
        <w:t>18</w:t>
      </w:r>
      <w:r w:rsidRPr="00A430EA" w:rsidR="00FA4F6C">
        <w:rPr>
          <w:lang w:val="uk-UA"/>
        </w:rPr>
        <w:t>.  </w:t>
      </w:r>
      <w:r w:rsidRPr="00A430EA">
        <w:rPr>
          <w:lang w:val="uk-UA"/>
        </w:rPr>
        <w:t xml:space="preserve">У цій справі заявник отримав постанову, яка визнавала відповідальність управління за затримку </w:t>
      </w:r>
      <w:r w:rsidRPr="00A430EA" w:rsidR="00F94A24">
        <w:rPr>
          <w:lang w:val="uk-UA"/>
        </w:rPr>
        <w:t xml:space="preserve">в обробці </w:t>
      </w:r>
      <w:r w:rsidRPr="00A430EA">
        <w:rPr>
          <w:lang w:val="uk-UA"/>
        </w:rPr>
        <w:t>його документів</w:t>
      </w:r>
      <w:r w:rsidRPr="00A430EA" w:rsidR="004427B9">
        <w:rPr>
          <w:lang w:val="uk-UA"/>
        </w:rPr>
        <w:t xml:space="preserve"> про призначення пенсії</w:t>
      </w:r>
      <w:r w:rsidRPr="00A430EA">
        <w:rPr>
          <w:lang w:val="uk-UA"/>
        </w:rPr>
        <w:t xml:space="preserve">, та висновок експерта, який підтверджував, що він зазнав моральної шкоди внаслідок такої затримки (див. пункти 2 і 7). Дотримуючись вказівок апеляційного суду в першому провадженні (див. пункт 4), він </w:t>
      </w:r>
      <w:r w:rsidRPr="00A430EA" w:rsidR="004427B9">
        <w:rPr>
          <w:lang w:val="uk-UA"/>
        </w:rPr>
        <w:t xml:space="preserve">подав </w:t>
      </w:r>
      <w:r w:rsidRPr="00A430EA">
        <w:rPr>
          <w:lang w:val="uk-UA"/>
        </w:rPr>
        <w:t xml:space="preserve">позов проти держави (друге провадження), зазначивши </w:t>
      </w:r>
      <w:r w:rsidRPr="00A430EA" w:rsidR="00B758C8">
        <w:rPr>
          <w:lang w:val="uk-UA"/>
        </w:rPr>
        <w:t xml:space="preserve">Державну казначейську службу </w:t>
      </w:r>
      <w:r w:rsidRPr="00A430EA">
        <w:rPr>
          <w:lang w:val="uk-UA"/>
        </w:rPr>
        <w:t>України відповідачем.</w:t>
      </w:r>
    </w:p>
    <w:p w:rsidRPr="00A430EA" w:rsidR="009850B7" w:rsidP="00A430EA" w14:paraId="3BD88855" w14:textId="77777777">
      <w:pPr>
        <w:pStyle w:val="JuPara"/>
        <w:rPr>
          <w:lang w:val="uk-UA"/>
        </w:rPr>
      </w:pPr>
      <w:r w:rsidRPr="00A430EA">
        <w:rPr>
          <w:lang w:val="uk-UA"/>
        </w:rPr>
        <w:t>19</w:t>
      </w:r>
      <w:r w:rsidRPr="00A430EA" w:rsidR="00FA4F6C">
        <w:rPr>
          <w:lang w:val="uk-UA"/>
        </w:rPr>
        <w:t>.  </w:t>
      </w:r>
      <w:r w:rsidRPr="00A430EA">
        <w:rPr>
          <w:lang w:val="uk-UA"/>
        </w:rPr>
        <w:t>Дійсно заявник не подав додатково свій другий позов проти управління, як того вимагало національне законодавство та згідно з ухвалою Вищого спеціалізованого суду України з розгляду цивільних і кримінальних справ. Проте управління, вина якого була встановлена остаточною постановою від 01 березня 2011 року (див. пункт 2), брало участь у другому провадженні щодо відшкодування шкоди як третя сторона та мало змогу подати пояснення щодо всіх аспектів справи, у тому числі питання про стверджувану заявником шкоду.</w:t>
      </w:r>
    </w:p>
    <w:p w:rsidRPr="00A430EA" w:rsidR="00B74991" w:rsidP="00A430EA" w14:paraId="7CF3078E" w14:textId="1DD467C6">
      <w:pPr>
        <w:pStyle w:val="JuPara"/>
        <w:rPr>
          <w:lang w:val="uk-UA"/>
        </w:rPr>
      </w:pPr>
      <w:r w:rsidRPr="00A430EA">
        <w:rPr>
          <w:lang w:val="uk-UA"/>
        </w:rPr>
        <w:t>20</w:t>
      </w:r>
      <w:r w:rsidRPr="00A430EA" w:rsidR="00FA4F6C">
        <w:rPr>
          <w:lang w:val="uk-UA"/>
        </w:rPr>
        <w:t>.  </w:t>
      </w:r>
      <w:r w:rsidRPr="00A430EA">
        <w:rPr>
          <w:lang w:val="uk-UA"/>
        </w:rPr>
        <w:t xml:space="preserve">Крім того, з огляду на вказівки, що </w:t>
      </w:r>
      <w:r w:rsidRPr="00A430EA" w:rsidR="004427B9">
        <w:rPr>
          <w:lang w:val="uk-UA"/>
        </w:rPr>
        <w:t xml:space="preserve">містилися </w:t>
      </w:r>
      <w:r w:rsidRPr="00A430EA">
        <w:rPr>
          <w:lang w:val="uk-UA"/>
        </w:rPr>
        <w:t>в рішенні апеляційного суду від 23 квітня 2013 року, та формулювання пункту 10-1 Постанови Пленуму Верховного Суду України від 31 березня 1995 року (див. пункти 4 і 10), заявнику могло бути не зовсім зрозуміло, що він мав конкретно вказати управління як співвідповідача у своєму другому позові про відшкодування шкоди. У зв</w:t>
      </w:r>
      <w:r w:rsidRPr="00A430EA" w:rsidR="00A430EA">
        <w:rPr>
          <w:lang w:val="uk-UA"/>
        </w:rPr>
        <w:t>’</w:t>
      </w:r>
      <w:r w:rsidRPr="00A430EA">
        <w:rPr>
          <w:lang w:val="uk-UA"/>
        </w:rPr>
        <w:t>язку з цим Суд зазначає, що раніше він встановив, що стаття 1173 Цивільного кодексу України викладена в дуже загальних формулюваннях, що призводить до залежності її практичного застосування від подальшого роз</w:t>
      </w:r>
      <w:r w:rsidRPr="00A430EA" w:rsidR="00A430EA">
        <w:rPr>
          <w:lang w:val="uk-UA"/>
        </w:rPr>
        <w:t>’</w:t>
      </w:r>
      <w:r w:rsidRPr="00A430EA">
        <w:rPr>
          <w:lang w:val="uk-UA"/>
        </w:rPr>
        <w:t>яснення умов</w:t>
      </w:r>
      <w:r w:rsidRPr="00A430EA" w:rsidR="002047DE">
        <w:rPr>
          <w:lang w:val="uk-UA"/>
        </w:rPr>
        <w:t xml:space="preserve"> </w:t>
      </w:r>
      <w:r w:rsidRPr="00A430EA">
        <w:rPr>
          <w:lang w:val="uk-UA"/>
        </w:rPr>
        <w:t xml:space="preserve">та порядку, </w:t>
      </w:r>
      <w:r w:rsidRPr="00A430EA" w:rsidR="002047DE">
        <w:rPr>
          <w:lang w:val="uk-UA"/>
        </w:rPr>
        <w:t xml:space="preserve">яких </w:t>
      </w:r>
      <w:r w:rsidRPr="00A430EA">
        <w:rPr>
          <w:lang w:val="uk-UA"/>
        </w:rPr>
        <w:t xml:space="preserve">слід дотримуватися для визначення розміру та отримання такого відшкодування (див., наприклад, згадане рішення у справі «Дроздик та Мікула проти України» </w:t>
      </w:r>
      <w:r w:rsidRPr="00A430EA">
        <w:rPr>
          <w:i/>
          <w:iCs/>
          <w:lang w:val="uk-UA"/>
        </w:rPr>
        <w:t>(Drozdyk and Mikula v. Ukraine)</w:t>
      </w:r>
      <w:r w:rsidRPr="00A430EA">
        <w:rPr>
          <w:lang w:val="uk-UA"/>
        </w:rPr>
        <w:t>, пункт 32 з подальшими посиланнями).</w:t>
      </w:r>
    </w:p>
    <w:p w:rsidRPr="00A430EA" w:rsidR="006C0FFF" w:rsidP="00A430EA" w14:paraId="1275DB42" w14:textId="77777777">
      <w:pPr>
        <w:pStyle w:val="JuPara"/>
        <w:rPr>
          <w:lang w:val="uk-UA"/>
        </w:rPr>
      </w:pPr>
      <w:r w:rsidRPr="00A430EA">
        <w:rPr>
          <w:lang w:val="uk-UA"/>
        </w:rPr>
        <w:t>21</w:t>
      </w:r>
      <w:r w:rsidRPr="00A430EA" w:rsidR="00FA4F6C">
        <w:rPr>
          <w:lang w:val="uk-UA"/>
        </w:rPr>
        <w:t>.  </w:t>
      </w:r>
      <w:r w:rsidRPr="00A430EA">
        <w:rPr>
          <w:lang w:val="uk-UA"/>
        </w:rPr>
        <w:t xml:space="preserve">Наведені міркування призвели до висновку Суду, що рішення судів про відмову у задоволенні позову заявника у другому провадженні були надмірно формальними та, фактично, позбавили його практичного та ефективного доступу до суду </w:t>
      </w:r>
      <w:r w:rsidRPr="00A430EA" w:rsidR="00A80390">
        <w:rPr>
          <w:lang w:val="uk-UA"/>
        </w:rPr>
        <w:t xml:space="preserve">згідно з </w:t>
      </w:r>
      <w:r w:rsidRPr="00A430EA">
        <w:rPr>
          <w:lang w:val="uk-UA"/>
        </w:rPr>
        <w:t xml:space="preserve">пунктом 1 статті 6 Конвенції (див. рішення у справі «Зубач проти Хорватії» [ВП] </w:t>
      </w:r>
      <w:r w:rsidRPr="00A430EA">
        <w:rPr>
          <w:i/>
          <w:iCs/>
          <w:lang w:val="uk-UA"/>
        </w:rPr>
        <w:t>(Zubac v. Croatia)</w:t>
      </w:r>
      <w:r w:rsidRPr="00A430EA">
        <w:rPr>
          <w:lang w:val="uk-UA"/>
        </w:rPr>
        <w:t xml:space="preserve"> [GC], заява № 40160/12, пункти 96 – 99, від 05 квітня 2018 року з подальшими посиланнями).</w:t>
      </w:r>
    </w:p>
    <w:p w:rsidRPr="00A430EA" w:rsidR="006C0FFF" w:rsidP="00A430EA" w14:paraId="4E693271" w14:textId="77777777">
      <w:pPr>
        <w:pStyle w:val="JuPara"/>
        <w:rPr>
          <w:lang w:val="uk-UA"/>
        </w:rPr>
      </w:pPr>
      <w:r w:rsidRPr="00A430EA">
        <w:rPr>
          <w:lang w:val="uk-UA"/>
        </w:rPr>
        <w:t>22</w:t>
      </w:r>
      <w:r w:rsidRPr="00A430EA" w:rsidR="00FA4F6C">
        <w:rPr>
          <w:lang w:val="uk-UA"/>
        </w:rPr>
        <w:t>.  </w:t>
      </w:r>
      <w:r w:rsidRPr="00A430EA">
        <w:rPr>
          <w:lang w:val="uk-UA"/>
        </w:rPr>
        <w:t>За цих обставин заявнику не можна дорікнути, що він не подав касаційну скаргу в першому провадженні. Таким чином, заперечення Уряду стосовно цього питання, яке раніше було долучено до розгляду по суті, має бути відхилено.</w:t>
      </w:r>
    </w:p>
    <w:p w:rsidRPr="00A430EA" w:rsidR="00BB6A3C" w:rsidP="00A430EA" w14:paraId="34C0ED1F" w14:textId="77777777">
      <w:pPr>
        <w:pStyle w:val="JuPara"/>
        <w:rPr>
          <w:lang w:val="uk-UA"/>
        </w:rPr>
      </w:pPr>
      <w:r w:rsidRPr="00A430EA">
        <w:rPr>
          <w:lang w:val="uk-UA"/>
        </w:rPr>
        <w:t>23</w:t>
      </w:r>
      <w:r w:rsidRPr="00A430EA" w:rsidR="00FA4F6C">
        <w:rPr>
          <w:lang w:val="uk-UA"/>
        </w:rPr>
        <w:t>.  </w:t>
      </w:r>
      <w:r w:rsidRPr="00A430EA" w:rsidR="006C0FFF">
        <w:rPr>
          <w:lang w:val="uk-UA"/>
        </w:rPr>
        <w:t>Отже, було порушено пункт 1 статті 6 Конвенції.</w:t>
      </w:r>
    </w:p>
    <w:p w:rsidRPr="00A430EA" w:rsidR="00BB6A3C" w:rsidP="00A430EA" w14:paraId="68559075" w14:textId="77777777">
      <w:pPr>
        <w:pStyle w:val="JuHHead"/>
        <w:rPr>
          <w:lang w:val="uk-UA"/>
        </w:rPr>
      </w:pPr>
      <w:r w:rsidRPr="00A430EA">
        <w:rPr>
          <w:caps w:val="0"/>
          <w:lang w:val="uk-UA"/>
        </w:rPr>
        <w:t>ЗАСТОСУВАННЯ СТАТТІ 41 КОНВЕНЦІЇ</w:t>
      </w:r>
    </w:p>
    <w:p w:rsidRPr="00A430EA" w:rsidR="0077658E" w:rsidP="00A430EA" w14:paraId="3593BC4F" w14:textId="77777777">
      <w:pPr>
        <w:pStyle w:val="JuPara"/>
        <w:rPr>
          <w:lang w:val="uk-UA"/>
        </w:rPr>
      </w:pPr>
      <w:r w:rsidRPr="00A430EA">
        <w:rPr>
          <w:lang w:val="uk-UA"/>
        </w:rPr>
        <w:t>24</w:t>
      </w:r>
      <w:r w:rsidRPr="00A430EA" w:rsidR="00FA4F6C">
        <w:rPr>
          <w:lang w:val="uk-UA"/>
        </w:rPr>
        <w:t>.  </w:t>
      </w:r>
      <w:r w:rsidRPr="00A430EA">
        <w:rPr>
          <w:lang w:val="uk-UA"/>
        </w:rPr>
        <w:t>Заявник вимагав 3 000 євро в якості відшкодування моральної шкоди.</w:t>
      </w:r>
    </w:p>
    <w:p w:rsidRPr="00A430EA" w:rsidR="0077658E" w:rsidP="00A430EA" w14:paraId="7FABFA70" w14:textId="77777777">
      <w:pPr>
        <w:pStyle w:val="JuPara"/>
        <w:rPr>
          <w:lang w:val="uk-UA"/>
        </w:rPr>
      </w:pPr>
      <w:r w:rsidRPr="00A430EA">
        <w:rPr>
          <w:lang w:val="uk-UA"/>
        </w:rPr>
        <w:t>25</w:t>
      </w:r>
      <w:r w:rsidRPr="00A430EA" w:rsidR="00FA4F6C">
        <w:rPr>
          <w:lang w:val="uk-UA"/>
        </w:rPr>
        <w:t>.  </w:t>
      </w:r>
      <w:r w:rsidRPr="00A430EA">
        <w:rPr>
          <w:lang w:val="uk-UA"/>
        </w:rPr>
        <w:t>Уряд заперечив проти цієї вимоги.</w:t>
      </w:r>
    </w:p>
    <w:p w:rsidRPr="00A430EA" w:rsidR="0077658E" w:rsidP="00A430EA" w14:paraId="03B38F6E" w14:textId="77777777">
      <w:pPr>
        <w:pStyle w:val="JuPara"/>
        <w:rPr>
          <w:lang w:val="uk-UA"/>
        </w:rPr>
      </w:pPr>
      <w:r w:rsidRPr="00A430EA">
        <w:rPr>
          <w:lang w:val="uk-UA"/>
        </w:rPr>
        <w:t>26</w:t>
      </w:r>
      <w:r w:rsidRPr="00A430EA" w:rsidR="00FA4F6C">
        <w:rPr>
          <w:lang w:val="uk-UA"/>
        </w:rPr>
        <w:t>.  </w:t>
      </w:r>
      <w:r w:rsidRPr="00A430EA">
        <w:rPr>
          <w:lang w:val="uk-UA"/>
        </w:rPr>
        <w:t xml:space="preserve">Ухвалюючи рішення на засадах справедливості, Суд присуджує заявнику 1 500 євро </w:t>
      </w:r>
      <w:r w:rsidRPr="00A430EA" w:rsidR="002A4D64">
        <w:rPr>
          <w:lang w:val="uk-UA"/>
        </w:rPr>
        <w:t>та додатково суму будь-якого податку, що може нараховуватися, в якості відшкодування моральної шкоди.</w:t>
      </w:r>
    </w:p>
    <w:p w:rsidRPr="00A430EA" w:rsidR="00BB6A3C" w:rsidP="00A430EA" w14:paraId="1A922270" w14:textId="77777777">
      <w:pPr>
        <w:pStyle w:val="JuPara"/>
        <w:rPr>
          <w:lang w:val="uk-UA"/>
        </w:rPr>
      </w:pPr>
      <w:r w:rsidRPr="00A430EA">
        <w:rPr>
          <w:lang w:val="uk-UA"/>
        </w:rPr>
        <w:t>Суд вважає за належне призначити пеню на підставі граничної позичкової ставки Європейського центрального банку, до якої має бути додано три відсоткові пункти.</w:t>
      </w:r>
    </w:p>
    <w:p w:rsidRPr="00A430EA" w:rsidR="00BB6A3C" w:rsidP="00A430EA" w14:paraId="733FF45B" w14:textId="77777777">
      <w:pPr>
        <w:pStyle w:val="JuHHead"/>
        <w:rPr>
          <w:lang w:val="uk-UA"/>
        </w:rPr>
      </w:pPr>
      <w:r w:rsidRPr="00A430EA">
        <w:rPr>
          <w:lang w:val="uk-UA"/>
        </w:rPr>
        <w:t>ЗА ЦИХ ПІДСТАВ СУД ОДНОГОЛОСНО</w:t>
      </w:r>
    </w:p>
    <w:p w:rsidRPr="00A430EA" w:rsidR="002A4D64" w:rsidP="00A430EA" w14:paraId="778E46CF" w14:textId="77777777">
      <w:pPr>
        <w:pStyle w:val="JuList"/>
        <w:rPr>
          <w:iCs/>
          <w:lang w:val="uk-UA"/>
        </w:rPr>
      </w:pPr>
      <w:r w:rsidRPr="00A430EA">
        <w:rPr>
          <w:i/>
          <w:lang w:val="uk-UA"/>
        </w:rPr>
        <w:t xml:space="preserve">Долучає </w:t>
      </w:r>
      <w:r w:rsidRPr="00A430EA">
        <w:rPr>
          <w:iCs/>
          <w:lang w:val="uk-UA"/>
        </w:rPr>
        <w:t xml:space="preserve">до розгляду по суті заперечення Уряду щодо невичерпання національних засобів юридичного захисту та </w:t>
      </w:r>
      <w:r w:rsidRPr="00A430EA">
        <w:rPr>
          <w:i/>
          <w:lang w:val="uk-UA"/>
        </w:rPr>
        <w:t>відхиляє</w:t>
      </w:r>
      <w:r w:rsidRPr="00A430EA">
        <w:rPr>
          <w:iCs/>
          <w:lang w:val="uk-UA"/>
        </w:rPr>
        <w:t xml:space="preserve"> його;</w:t>
      </w:r>
    </w:p>
    <w:p w:rsidRPr="00A430EA" w:rsidR="00BB6A3C" w:rsidP="00A430EA" w14:paraId="283F67DD" w14:textId="77777777">
      <w:pPr>
        <w:pStyle w:val="JuList"/>
        <w:rPr>
          <w:lang w:val="uk-UA"/>
        </w:rPr>
      </w:pPr>
      <w:r w:rsidRPr="00A430EA">
        <w:rPr>
          <w:i/>
          <w:lang w:val="uk-UA"/>
        </w:rPr>
        <w:t xml:space="preserve">Оголошує </w:t>
      </w:r>
      <w:r w:rsidRPr="00A430EA">
        <w:rPr>
          <w:iCs/>
          <w:lang w:val="uk-UA"/>
        </w:rPr>
        <w:t>заяву прийнятною;</w:t>
      </w:r>
    </w:p>
    <w:p w:rsidRPr="00A430EA" w:rsidR="00BB6A3C" w:rsidP="00A430EA" w14:paraId="23805C15" w14:textId="77777777">
      <w:pPr>
        <w:pStyle w:val="JuList"/>
        <w:rPr>
          <w:lang w:val="uk-UA"/>
        </w:rPr>
      </w:pPr>
      <w:r w:rsidRPr="00A430EA">
        <w:rPr>
          <w:i/>
          <w:lang w:val="uk-UA"/>
        </w:rPr>
        <w:t xml:space="preserve">Постановляє, </w:t>
      </w:r>
      <w:r w:rsidRPr="00A430EA">
        <w:rPr>
          <w:iCs/>
          <w:lang w:val="uk-UA"/>
        </w:rPr>
        <w:t>що було порушено пункт 1 статті 6 Конвенції;</w:t>
      </w:r>
    </w:p>
    <w:p w:rsidRPr="00A430EA" w:rsidR="00BB6A3C" w:rsidP="00A430EA" w14:paraId="0E596075" w14:textId="77777777">
      <w:pPr>
        <w:pStyle w:val="JuList"/>
        <w:rPr>
          <w:lang w:val="uk-UA"/>
        </w:rPr>
      </w:pPr>
      <w:r w:rsidRPr="00A430EA">
        <w:rPr>
          <w:i/>
          <w:lang w:val="uk-UA"/>
        </w:rPr>
        <w:t xml:space="preserve">Постановляє, </w:t>
      </w:r>
      <w:r w:rsidRPr="00A430EA">
        <w:rPr>
          <w:iCs/>
          <w:lang w:val="uk-UA"/>
        </w:rPr>
        <w:t>що:</w:t>
      </w:r>
    </w:p>
    <w:p w:rsidRPr="00A430EA" w:rsidR="002A4D64" w:rsidP="00A430EA" w14:paraId="15D61F48" w14:textId="5BD4A223">
      <w:pPr>
        <w:pStyle w:val="JuLista"/>
        <w:numPr>
          <w:ilvl w:val="1"/>
          <w:numId w:val="5"/>
        </w:numPr>
        <w:rPr>
          <w:lang w:val="uk-UA"/>
        </w:rPr>
      </w:pPr>
      <w:r w:rsidRPr="00A430EA">
        <w:rPr>
          <w:lang w:val="uk-UA"/>
        </w:rPr>
        <w:t>упродовж трьох місяців держава-відповідач повинна сплатити заявнику 1 500 (одна тисяча п</w:t>
      </w:r>
      <w:r w:rsidRPr="00A430EA" w:rsidR="00A430EA">
        <w:rPr>
          <w:lang w:val="uk-UA"/>
        </w:rPr>
        <w:t>’</w:t>
      </w:r>
      <w:r w:rsidRPr="00A430EA">
        <w:rPr>
          <w:lang w:val="uk-UA"/>
        </w:rPr>
        <w:t>ятсот) євро та додатково суму будь-якого податку, що може нараховуватись, в якості відшкодування моральної шкоди, які мають бути конвертовані в національну валюту держави-відповідача за курсом на день здійснення платежу;</w:t>
      </w:r>
    </w:p>
    <w:p w:rsidRPr="00A430EA" w:rsidR="004D0EC7" w:rsidP="00A430EA" w14:paraId="527AB82A" w14:textId="77777777">
      <w:pPr>
        <w:pStyle w:val="JuLista"/>
        <w:numPr>
          <w:ilvl w:val="1"/>
          <w:numId w:val="5"/>
        </w:numPr>
        <w:rPr>
          <w:lang w:val="uk-UA"/>
        </w:rPr>
      </w:pPr>
      <w:r w:rsidRPr="00A430EA">
        <w:rPr>
          <w:lang w:val="uk-UA"/>
        </w:rPr>
        <w:t xml:space="preserve">із закінченням зазначеного тримісячного строку до остаточного розрахунку на </w:t>
      </w:r>
      <w:r w:rsidRPr="00A430EA" w:rsidR="00C22B86">
        <w:rPr>
          <w:lang w:val="uk-UA"/>
        </w:rPr>
        <w:t xml:space="preserve">зазначену суму </w:t>
      </w:r>
      <w:r w:rsidRPr="00A430EA">
        <w:rPr>
          <w:lang w:val="uk-UA"/>
        </w:rPr>
        <w:t xml:space="preserve">нараховуватиметься простий відсоток </w:t>
      </w:r>
      <w:r w:rsidRPr="00A430EA">
        <w:rPr>
          <w:i/>
          <w:iCs/>
          <w:lang w:val="uk-UA"/>
        </w:rPr>
        <w:t xml:space="preserve">(simple interest) </w:t>
      </w:r>
      <w:r w:rsidRPr="00A430EA">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A430EA" w:rsidR="002A4D64" w:rsidP="00A430EA" w14:paraId="48F80723" w14:textId="77777777">
      <w:pPr>
        <w:pStyle w:val="JuList"/>
        <w:numPr>
          <w:ilvl w:val="0"/>
          <w:numId w:val="0"/>
        </w:numPr>
        <w:ind w:firstLine="284"/>
        <w:rPr>
          <w:lang w:val="uk-UA"/>
        </w:rPr>
      </w:pPr>
      <w:r w:rsidRPr="00A430EA">
        <w:rPr>
          <w:lang w:val="uk-UA"/>
        </w:rPr>
        <w:t>Учинено англійською мовою та повідомлено письмово 18 червня 2026 року відповідно до пунктів 2 і 3 Правила 77 Регламенту Суду.</w:t>
      </w:r>
    </w:p>
    <w:p w:rsidRPr="00A430EA" w:rsidR="002A4D64" w:rsidP="00A430EA" w14:paraId="6E36A86C" w14:textId="77777777">
      <w:pPr>
        <w:pStyle w:val="JuList"/>
        <w:numPr>
          <w:ilvl w:val="0"/>
          <w:numId w:val="0"/>
        </w:numPr>
        <w:ind w:firstLine="284"/>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rsidTr="004427B9" w14:paraId="5BB69165" w14:textId="77777777">
        <w:tblPrEx>
          <w:tblW w:w="0" w:type="auto"/>
          <w:tblLook w:val="04A0"/>
        </w:tblPrEx>
        <w:trPr>
          <w:trHeight w:val="60"/>
        </w:trPr>
        <w:tc>
          <w:tcPr>
            <w:tcW w:w="3674" w:type="dxa"/>
            <w:hideMark/>
          </w:tcPr>
          <w:p w:rsidRPr="00A430EA" w:rsidR="002A4D64" w:rsidP="00A430EA" w14:paraId="41E827DA" w14:textId="77777777">
            <w:pPr>
              <w:pStyle w:val="ECHRPlaceholder"/>
              <w:spacing w:before="0"/>
              <w:jc w:val="center"/>
              <w:rPr>
                <w:color w:val="000000" w:themeColor="text1"/>
                <w:lang w:val="uk-UA"/>
              </w:rPr>
            </w:pPr>
            <w:r w:rsidRPr="00A430EA">
              <w:rPr>
                <w:color w:val="000000" w:themeColor="text1"/>
                <w:lang w:val="uk-UA"/>
              </w:rPr>
              <w:t>Мартіна Келлер</w:t>
            </w:r>
          </w:p>
          <w:p w:rsidRPr="00A430EA" w:rsidR="002A4D64" w:rsidP="00A430EA" w14:paraId="024DB057" w14:textId="77777777">
            <w:pPr>
              <w:pStyle w:val="ECHRPlaceholder"/>
              <w:spacing w:before="0"/>
              <w:jc w:val="center"/>
              <w:rPr>
                <w:i/>
                <w:iCs/>
                <w:color w:val="000000" w:themeColor="text1"/>
                <w:lang w:val="uk-UA"/>
              </w:rPr>
            </w:pPr>
            <w:r w:rsidRPr="00A430EA">
              <w:rPr>
                <w:i/>
                <w:iCs/>
                <w:color w:val="000000" w:themeColor="text1"/>
                <w:lang w:val="uk-UA"/>
              </w:rPr>
              <w:t>(Martina Keller)</w:t>
            </w:r>
          </w:p>
          <w:p w:rsidRPr="00A430EA" w:rsidR="002A4D64" w:rsidP="00A430EA" w14:paraId="79729A6C" w14:textId="77777777">
            <w:pPr>
              <w:pStyle w:val="ECHRPlaceholder"/>
              <w:spacing w:before="0"/>
              <w:jc w:val="center"/>
              <w:rPr>
                <w:color w:val="000000" w:themeColor="text1"/>
                <w:lang w:val="uk-UA"/>
              </w:rPr>
            </w:pPr>
            <w:r w:rsidRPr="00A430EA">
              <w:rPr>
                <w:color w:val="000000" w:themeColor="text1"/>
                <w:lang w:val="uk-UA"/>
              </w:rPr>
              <w:t>Заступник Секретаря</w:t>
            </w:r>
          </w:p>
        </w:tc>
        <w:tc>
          <w:tcPr>
            <w:tcW w:w="3674" w:type="dxa"/>
            <w:hideMark/>
          </w:tcPr>
          <w:p w:rsidRPr="00A430EA" w:rsidR="002A4D64" w:rsidP="00A430EA" w14:paraId="3C9B1081" w14:textId="77777777">
            <w:pPr>
              <w:pStyle w:val="ECHRPlaceholder"/>
              <w:spacing w:before="0"/>
              <w:jc w:val="center"/>
              <w:rPr>
                <w:bCs/>
                <w:color w:val="000000" w:themeColor="text1"/>
                <w:lang w:val="uk-UA"/>
              </w:rPr>
            </w:pPr>
            <w:r w:rsidRPr="00A430EA">
              <w:rPr>
                <w:bCs/>
                <w:color w:val="000000" w:themeColor="text1"/>
                <w:lang w:val="uk-UA"/>
              </w:rPr>
              <w:t>Марія Елосегі</w:t>
            </w:r>
          </w:p>
          <w:p w:rsidRPr="00A430EA" w:rsidR="002A4D64" w:rsidP="00A430EA" w14:paraId="23D50B98" w14:textId="77777777">
            <w:pPr>
              <w:pStyle w:val="ECHRPlaceholder"/>
              <w:spacing w:before="0"/>
              <w:jc w:val="center"/>
              <w:rPr>
                <w:i/>
                <w:iCs/>
                <w:color w:val="000000" w:themeColor="text1"/>
                <w:lang w:val="uk-UA"/>
              </w:rPr>
            </w:pPr>
            <w:r w:rsidRPr="00A430EA">
              <w:rPr>
                <w:i/>
                <w:iCs/>
                <w:color w:val="000000" w:themeColor="text1"/>
                <w:lang w:val="uk-UA"/>
              </w:rPr>
              <w:t>(</w:t>
            </w:r>
            <w:r w:rsidRPr="00A430EA">
              <w:rPr>
                <w:i/>
                <w:iCs/>
                <w:noProof/>
                <w:color w:val="000000" w:themeColor="text1"/>
                <w:lang w:val="uk-UA"/>
              </w:rPr>
              <w:t>María Elósegui</w:t>
            </w:r>
            <w:r w:rsidRPr="00A430EA">
              <w:rPr>
                <w:i/>
                <w:iCs/>
                <w:color w:val="000000" w:themeColor="text1"/>
                <w:lang w:val="uk-UA"/>
              </w:rPr>
              <w:t>)</w:t>
            </w:r>
          </w:p>
          <w:p w:rsidRPr="00A430EA" w:rsidR="002A4D64" w:rsidP="00A430EA" w14:paraId="3F2A7AD2" w14:textId="77777777">
            <w:pPr>
              <w:pStyle w:val="ECHRPlaceholder"/>
              <w:spacing w:before="0"/>
              <w:jc w:val="center"/>
              <w:rPr>
                <w:color w:val="000000" w:themeColor="text1"/>
                <w:lang w:val="uk-UA"/>
              </w:rPr>
            </w:pPr>
            <w:r w:rsidRPr="00A430EA">
              <w:rPr>
                <w:color w:val="000000" w:themeColor="text1"/>
                <w:lang w:val="uk-UA"/>
              </w:rPr>
              <w:t>Голова</w:t>
            </w:r>
          </w:p>
        </w:tc>
      </w:tr>
    </w:tbl>
    <w:p w:rsidRPr="00A430EA" w:rsidR="00675AF2" w:rsidP="00A430EA" w14:paraId="05F4B7FF" w14:textId="77777777">
      <w:pPr>
        <w:pStyle w:val="JuPara"/>
        <w:rPr>
          <w:lang w:val="uk-UA"/>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RPr="00150BFA" w:rsidP="0020718E" w14:paraId="442CACF2" w14:textId="77777777">
    <w:pPr>
      <w:jc w:val="center"/>
    </w:pPr>
    <w:r>
      <w:rPr>
        <w:noProof/>
        <w:lang w:val="uk-UA" w:eastAsia="uk-UA"/>
      </w:rPr>
      <w:drawing>
        <wp:inline distT="0" distB="0" distL="0" distR="0">
          <wp:extent cx="771525" cy="619125"/>
          <wp:effectExtent l="0" t="0" r="9525" b="9525"/>
          <wp:docPr id="5602766" name="Picture 56027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7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05A2D" w:rsidRPr="00BB6A3C" w:rsidP="00AF12C5" w14:paraId="00F3900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RPr="00150BFA" w:rsidP="0020718E" w14:paraId="01421D21"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05A2D" w:rsidRPr="00BB6A3C" w:rsidP="009E7A6F" w14:paraId="60642A3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P="009A115C" w14:paraId="7343EA9C" w14:textId="77777777">
    <w:pPr>
      <w:pStyle w:val="JuHeader"/>
    </w:pPr>
    <w:r>
      <w:fldChar w:fldCharType="begin"/>
    </w:r>
    <w:r>
      <w:instrText xml:space="preserve"> PAGE  \* MERGEFORMAT </w:instrText>
    </w:r>
    <w:r>
      <w:fldChar w:fldCharType="separate"/>
    </w:r>
    <w:r>
      <w:rPr>
        <w:noProof/>
      </w:rPr>
      <w:t>6</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RPr="000B7195" w:rsidP="007D3701" w14:paraId="165E2CD9" w14:textId="77777777">
    <w:pPr>
      <w:pStyle w:val="JuHeader"/>
    </w:pPr>
    <w:r>
      <w:fldChar w:fldCharType="begin"/>
    </w:r>
    <w:r>
      <w:instrText xml:space="preserve"> PAGE  \* MERGEFORMAT </w:instrText>
    </w:r>
    <w:r>
      <w:fldChar w:fldCharType="separate"/>
    </w:r>
    <w:r>
      <w:rPr>
        <w:noProof/>
      </w:rPr>
      <w:t>5</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RPr="00A45145" w:rsidP="00A45145" w14:paraId="7476A5D3"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05A2D" w:rsidRPr="00BB6A3C" w:rsidP="00B14793" w14:paraId="06C4910F"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RPr="00A45145" w:rsidP="00A45145" w14:paraId="69D8FC9F" w14:textId="77777777">
    <w:pPr>
      <w:jc w:val="center"/>
    </w:pPr>
    <w:r>
      <w:rPr>
        <w:noProof/>
        <w:lang w:val="uk-UA" w:eastAsia="uk-UA"/>
      </w:rPr>
      <w:drawing>
        <wp:inline distT="0" distB="0" distL="0" distR="0">
          <wp:extent cx="2962275" cy="1219200"/>
          <wp:effectExtent l="0" t="0" r="9525" b="0"/>
          <wp:docPr id="752863779" name="Picture 7528637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6377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05A2D" w:rsidRPr="00BB6A3C" w14:paraId="4460558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RPr="0090584F" w:rsidP="0090584F" w14:paraId="6AE65B00" w14:textId="77777777">
    <w:pPr>
      <w:pStyle w:val="JuHeader"/>
      <w:rPr>
        <w:lang w:val="uk-UA"/>
      </w:rPr>
    </w:pPr>
    <w:r>
      <w:rPr>
        <w:lang w:val="uk-UA"/>
      </w:rPr>
      <w:t>РІШЕННЯ У СПРАВІ «КАСАНДЯК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A2D" w:rsidRPr="0090584F" w:rsidP="007D3701" w14:paraId="41785409" w14:textId="77777777">
    <w:pPr>
      <w:pStyle w:val="JuHeader"/>
      <w:rPr>
        <w:lang w:val="uk-UA"/>
      </w:rPr>
    </w:pPr>
    <w:r>
      <w:rPr>
        <w:lang w:val="uk-UA"/>
      </w:rPr>
      <w:t>РІШЕННЯ У СПРАВІ «КАСАНДЯК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41616307">
    <w:abstractNumId w:val="14"/>
  </w:num>
  <w:num w:numId="2" w16cid:durableId="597106381">
    <w:abstractNumId w:val="12"/>
  </w:num>
  <w:num w:numId="3" w16cid:durableId="1967856606">
    <w:abstractNumId w:val="11"/>
  </w:num>
  <w:num w:numId="4" w16cid:durableId="409623563">
    <w:abstractNumId w:val="15"/>
  </w:num>
  <w:num w:numId="5" w16cid:durableId="127169122">
    <w:abstractNumId w:val="13"/>
  </w:num>
  <w:num w:numId="6" w16cid:durableId="1249925777">
    <w:abstractNumId w:val="16"/>
  </w:num>
  <w:num w:numId="7" w16cid:durableId="717634093">
    <w:abstractNumId w:val="17"/>
  </w:num>
  <w:num w:numId="8" w16cid:durableId="1679187527">
    <w:abstractNumId w:val="7"/>
  </w:num>
  <w:num w:numId="9" w16cid:durableId="108211086">
    <w:abstractNumId w:val="6"/>
  </w:num>
  <w:num w:numId="10" w16cid:durableId="1216311217">
    <w:abstractNumId w:val="5"/>
  </w:num>
  <w:num w:numId="11" w16cid:durableId="2080862202">
    <w:abstractNumId w:val="4"/>
  </w:num>
  <w:num w:numId="12" w16cid:durableId="161236186">
    <w:abstractNumId w:val="8"/>
  </w:num>
  <w:num w:numId="13" w16cid:durableId="708141433">
    <w:abstractNumId w:val="3"/>
  </w:num>
  <w:num w:numId="14" w16cid:durableId="1099179928">
    <w:abstractNumId w:val="2"/>
  </w:num>
  <w:num w:numId="15" w16cid:durableId="1660304563">
    <w:abstractNumId w:val="1"/>
  </w:num>
  <w:num w:numId="16" w16cid:durableId="1265572193">
    <w:abstractNumId w:val="0"/>
  </w:num>
  <w:num w:numId="17" w16cid:durableId="1233269508">
    <w:abstractNumId w:val="15"/>
  </w:num>
  <w:num w:numId="18" w16cid:durableId="351879713">
    <w:abstractNumId w:val="16"/>
  </w:num>
  <w:num w:numId="19" w16cid:durableId="1599749547">
    <w:abstractNumId w:val="10"/>
  </w:num>
  <w:num w:numId="20" w16cid:durableId="44377133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A3C"/>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6480"/>
    <w:rsid w:val="00041560"/>
    <w:rsid w:val="000602DF"/>
    <w:rsid w:val="00061B05"/>
    <w:rsid w:val="000632D5"/>
    <w:rsid w:val="000644EE"/>
    <w:rsid w:val="00067E57"/>
    <w:rsid w:val="000712E3"/>
    <w:rsid w:val="00071FAB"/>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BAC"/>
    <w:rsid w:val="000F52F4"/>
    <w:rsid w:val="000F5B14"/>
    <w:rsid w:val="000F7851"/>
    <w:rsid w:val="00101505"/>
    <w:rsid w:val="00104E23"/>
    <w:rsid w:val="00110DA8"/>
    <w:rsid w:val="00111B0C"/>
    <w:rsid w:val="0011532D"/>
    <w:rsid w:val="00120D6C"/>
    <w:rsid w:val="001257EC"/>
    <w:rsid w:val="00133D33"/>
    <w:rsid w:val="00134797"/>
    <w:rsid w:val="00134B6A"/>
    <w:rsid w:val="00134D64"/>
    <w:rsid w:val="00135A30"/>
    <w:rsid w:val="0013612C"/>
    <w:rsid w:val="00137FF6"/>
    <w:rsid w:val="00141650"/>
    <w:rsid w:val="00150BFA"/>
    <w:rsid w:val="001525E5"/>
    <w:rsid w:val="001561B6"/>
    <w:rsid w:val="00162A12"/>
    <w:rsid w:val="00166530"/>
    <w:rsid w:val="00170027"/>
    <w:rsid w:val="00173CD9"/>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47DE"/>
    <w:rsid w:val="002052BC"/>
    <w:rsid w:val="00205A2D"/>
    <w:rsid w:val="00205F9F"/>
    <w:rsid w:val="0020718E"/>
    <w:rsid w:val="00210338"/>
    <w:rsid w:val="002115FC"/>
    <w:rsid w:val="00212C60"/>
    <w:rsid w:val="0021423C"/>
    <w:rsid w:val="00220B35"/>
    <w:rsid w:val="00226C89"/>
    <w:rsid w:val="00230D00"/>
    <w:rsid w:val="00231DF7"/>
    <w:rsid w:val="00231FD1"/>
    <w:rsid w:val="002339E0"/>
    <w:rsid w:val="00233CF8"/>
    <w:rsid w:val="0023575D"/>
    <w:rsid w:val="00237148"/>
    <w:rsid w:val="00237783"/>
    <w:rsid w:val="00240F3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4D64"/>
    <w:rsid w:val="002A613A"/>
    <w:rsid w:val="002A61B1"/>
    <w:rsid w:val="002A663C"/>
    <w:rsid w:val="002A6DC8"/>
    <w:rsid w:val="002B444B"/>
    <w:rsid w:val="002B5887"/>
    <w:rsid w:val="002B5B43"/>
    <w:rsid w:val="002C0E27"/>
    <w:rsid w:val="002C3040"/>
    <w:rsid w:val="002C4433"/>
    <w:rsid w:val="002C5ADD"/>
    <w:rsid w:val="002C7826"/>
    <w:rsid w:val="002D022D"/>
    <w:rsid w:val="002D24BB"/>
    <w:rsid w:val="002D2E5C"/>
    <w:rsid w:val="002D2FA7"/>
    <w:rsid w:val="002D47BA"/>
    <w:rsid w:val="002D77B9"/>
    <w:rsid w:val="002E46DA"/>
    <w:rsid w:val="002E7764"/>
    <w:rsid w:val="002F2AF7"/>
    <w:rsid w:val="002F69C4"/>
    <w:rsid w:val="002F7D9E"/>
    <w:rsid w:val="002F7E1C"/>
    <w:rsid w:val="00301A75"/>
    <w:rsid w:val="00301DDD"/>
    <w:rsid w:val="00302F70"/>
    <w:rsid w:val="0030336F"/>
    <w:rsid w:val="0030375E"/>
    <w:rsid w:val="00312A30"/>
    <w:rsid w:val="0031355F"/>
    <w:rsid w:val="003201D8"/>
    <w:rsid w:val="00320F72"/>
    <w:rsid w:val="0032463E"/>
    <w:rsid w:val="00326224"/>
    <w:rsid w:val="00337EE4"/>
    <w:rsid w:val="00340756"/>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035F"/>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174"/>
    <w:rsid w:val="004427B9"/>
    <w:rsid w:val="00443D98"/>
    <w:rsid w:val="00445366"/>
    <w:rsid w:val="00447F5B"/>
    <w:rsid w:val="00461DB0"/>
    <w:rsid w:val="00463926"/>
    <w:rsid w:val="00464AB7"/>
    <w:rsid w:val="00464C9A"/>
    <w:rsid w:val="00466674"/>
    <w:rsid w:val="00474F3D"/>
    <w:rsid w:val="00477E3A"/>
    <w:rsid w:val="00483E5F"/>
    <w:rsid w:val="00485FF9"/>
    <w:rsid w:val="0049049B"/>
    <w:rsid w:val="004907F0"/>
    <w:rsid w:val="0049140B"/>
    <w:rsid w:val="004923A5"/>
    <w:rsid w:val="0049310E"/>
    <w:rsid w:val="004950E2"/>
    <w:rsid w:val="00496BFB"/>
    <w:rsid w:val="004A15C7"/>
    <w:rsid w:val="004A2E69"/>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709F"/>
    <w:rsid w:val="00501BD8"/>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54AD"/>
    <w:rsid w:val="00611C80"/>
    <w:rsid w:val="006130A3"/>
    <w:rsid w:val="00620692"/>
    <w:rsid w:val="00623885"/>
    <w:rsid w:val="006242CA"/>
    <w:rsid w:val="00627507"/>
    <w:rsid w:val="00630E3E"/>
    <w:rsid w:val="00633717"/>
    <w:rsid w:val="006344E1"/>
    <w:rsid w:val="00635864"/>
    <w:rsid w:val="00643524"/>
    <w:rsid w:val="0064393B"/>
    <w:rsid w:val="00645CF2"/>
    <w:rsid w:val="00653BED"/>
    <w:rsid w:val="006545C4"/>
    <w:rsid w:val="00661971"/>
    <w:rsid w:val="00661CE8"/>
    <w:rsid w:val="006623D9"/>
    <w:rsid w:val="006642A5"/>
    <w:rsid w:val="0066550C"/>
    <w:rsid w:val="00665BD2"/>
    <w:rsid w:val="006716F2"/>
    <w:rsid w:val="00672254"/>
    <w:rsid w:val="00675AF2"/>
    <w:rsid w:val="00676010"/>
    <w:rsid w:val="00682BF2"/>
    <w:rsid w:val="0068573E"/>
    <w:rsid w:val="006859CE"/>
    <w:rsid w:val="00691270"/>
    <w:rsid w:val="00694BA8"/>
    <w:rsid w:val="006A037C"/>
    <w:rsid w:val="006A0C84"/>
    <w:rsid w:val="006A36F4"/>
    <w:rsid w:val="006A406F"/>
    <w:rsid w:val="006A4E97"/>
    <w:rsid w:val="006A5D3A"/>
    <w:rsid w:val="006A6588"/>
    <w:rsid w:val="006B1942"/>
    <w:rsid w:val="006B3C57"/>
    <w:rsid w:val="006C0FFF"/>
    <w:rsid w:val="006C23D4"/>
    <w:rsid w:val="006C7BB0"/>
    <w:rsid w:val="006D3237"/>
    <w:rsid w:val="006E2E37"/>
    <w:rsid w:val="006E3CF1"/>
    <w:rsid w:val="006E68A3"/>
    <w:rsid w:val="006E7E80"/>
    <w:rsid w:val="006F1C2D"/>
    <w:rsid w:val="006F48CA"/>
    <w:rsid w:val="006F64DD"/>
    <w:rsid w:val="006F712D"/>
    <w:rsid w:val="006F745F"/>
    <w:rsid w:val="007001CB"/>
    <w:rsid w:val="00715127"/>
    <w:rsid w:val="00715E8E"/>
    <w:rsid w:val="00723580"/>
    <w:rsid w:val="00723755"/>
    <w:rsid w:val="0073136C"/>
    <w:rsid w:val="00731F0F"/>
    <w:rsid w:val="00733250"/>
    <w:rsid w:val="0073633B"/>
    <w:rsid w:val="00741404"/>
    <w:rsid w:val="007449E5"/>
    <w:rsid w:val="0074750E"/>
    <w:rsid w:val="00747FF0"/>
    <w:rsid w:val="00751066"/>
    <w:rsid w:val="0075566E"/>
    <w:rsid w:val="00763602"/>
    <w:rsid w:val="00764D4E"/>
    <w:rsid w:val="00765A1F"/>
    <w:rsid w:val="00775B6D"/>
    <w:rsid w:val="0077658E"/>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59D1"/>
    <w:rsid w:val="007E21B2"/>
    <w:rsid w:val="007E2C4E"/>
    <w:rsid w:val="007E2C8C"/>
    <w:rsid w:val="007E51BA"/>
    <w:rsid w:val="007E73D7"/>
    <w:rsid w:val="007E79A4"/>
    <w:rsid w:val="007F1905"/>
    <w:rsid w:val="007F26C7"/>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067B"/>
    <w:rsid w:val="0084535A"/>
    <w:rsid w:val="00845723"/>
    <w:rsid w:val="008519E7"/>
    <w:rsid w:val="00851EF9"/>
    <w:rsid w:val="008577FD"/>
    <w:rsid w:val="00860B03"/>
    <w:rsid w:val="0086497A"/>
    <w:rsid w:val="0086538E"/>
    <w:rsid w:val="00867066"/>
    <w:rsid w:val="008713A1"/>
    <w:rsid w:val="00872584"/>
    <w:rsid w:val="008754AB"/>
    <w:rsid w:val="0088060C"/>
    <w:rsid w:val="008807E7"/>
    <w:rsid w:val="00882CD5"/>
    <w:rsid w:val="00883151"/>
    <w:rsid w:val="008836E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584F"/>
    <w:rsid w:val="009066FC"/>
    <w:rsid w:val="009140A3"/>
    <w:rsid w:val="009144A2"/>
    <w:rsid w:val="00914F50"/>
    <w:rsid w:val="0091510C"/>
    <w:rsid w:val="009259AC"/>
    <w:rsid w:val="00926F38"/>
    <w:rsid w:val="00927BEB"/>
    <w:rsid w:val="0093242F"/>
    <w:rsid w:val="009333DC"/>
    <w:rsid w:val="00934301"/>
    <w:rsid w:val="00936CD1"/>
    <w:rsid w:val="0094131C"/>
    <w:rsid w:val="00941747"/>
    <w:rsid w:val="00941EFB"/>
    <w:rsid w:val="00947AFB"/>
    <w:rsid w:val="00951AA3"/>
    <w:rsid w:val="00951D7D"/>
    <w:rsid w:val="00955F93"/>
    <w:rsid w:val="00956D0C"/>
    <w:rsid w:val="009630C7"/>
    <w:rsid w:val="00972B55"/>
    <w:rsid w:val="009743B7"/>
    <w:rsid w:val="0098228B"/>
    <w:rsid w:val="009828DA"/>
    <w:rsid w:val="0098410D"/>
    <w:rsid w:val="009850B7"/>
    <w:rsid w:val="00985BAB"/>
    <w:rsid w:val="00986B3C"/>
    <w:rsid w:val="009A115C"/>
    <w:rsid w:val="009A7FC1"/>
    <w:rsid w:val="009B0A65"/>
    <w:rsid w:val="009B1606"/>
    <w:rsid w:val="009B1B5F"/>
    <w:rsid w:val="009B6673"/>
    <w:rsid w:val="009C191B"/>
    <w:rsid w:val="009C2BD6"/>
    <w:rsid w:val="009C2DE8"/>
    <w:rsid w:val="009C36F3"/>
    <w:rsid w:val="009C5D86"/>
    <w:rsid w:val="009D57AA"/>
    <w:rsid w:val="009E1F32"/>
    <w:rsid w:val="009E2CC2"/>
    <w:rsid w:val="009E47A2"/>
    <w:rsid w:val="009E6CF2"/>
    <w:rsid w:val="009E776C"/>
    <w:rsid w:val="009E7A6F"/>
    <w:rsid w:val="009F4C8F"/>
    <w:rsid w:val="00A02972"/>
    <w:rsid w:val="00A05588"/>
    <w:rsid w:val="00A079B8"/>
    <w:rsid w:val="00A15601"/>
    <w:rsid w:val="00A1726E"/>
    <w:rsid w:val="00A204CF"/>
    <w:rsid w:val="00A21D2B"/>
    <w:rsid w:val="00A22745"/>
    <w:rsid w:val="00A23D49"/>
    <w:rsid w:val="00A27004"/>
    <w:rsid w:val="00A2735A"/>
    <w:rsid w:val="00A308CE"/>
    <w:rsid w:val="00A30C29"/>
    <w:rsid w:val="00A34DD6"/>
    <w:rsid w:val="00A35683"/>
    <w:rsid w:val="00A36819"/>
    <w:rsid w:val="00A36989"/>
    <w:rsid w:val="00A41D86"/>
    <w:rsid w:val="00A430EA"/>
    <w:rsid w:val="00A43628"/>
    <w:rsid w:val="00A45145"/>
    <w:rsid w:val="00A51D0F"/>
    <w:rsid w:val="00A54192"/>
    <w:rsid w:val="00A57147"/>
    <w:rsid w:val="00A6035E"/>
    <w:rsid w:val="00A6144C"/>
    <w:rsid w:val="00A61714"/>
    <w:rsid w:val="00A66617"/>
    <w:rsid w:val="00A671F8"/>
    <w:rsid w:val="00A673A4"/>
    <w:rsid w:val="00A724AE"/>
    <w:rsid w:val="00A73329"/>
    <w:rsid w:val="00A758F2"/>
    <w:rsid w:val="00A80390"/>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6298"/>
    <w:rsid w:val="00AF12C5"/>
    <w:rsid w:val="00AF2D2C"/>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74991"/>
    <w:rsid w:val="00B758C8"/>
    <w:rsid w:val="00B76437"/>
    <w:rsid w:val="00B8086C"/>
    <w:rsid w:val="00B81C58"/>
    <w:rsid w:val="00B82381"/>
    <w:rsid w:val="00B861B4"/>
    <w:rsid w:val="00B86DFE"/>
    <w:rsid w:val="00B90990"/>
    <w:rsid w:val="00B922FF"/>
    <w:rsid w:val="00B9281E"/>
    <w:rsid w:val="00B93925"/>
    <w:rsid w:val="00B95187"/>
    <w:rsid w:val="00BA1EF8"/>
    <w:rsid w:val="00BA2D55"/>
    <w:rsid w:val="00BA71B1"/>
    <w:rsid w:val="00BB0637"/>
    <w:rsid w:val="00BB345F"/>
    <w:rsid w:val="00BB68EA"/>
    <w:rsid w:val="00BB6A3C"/>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5B27"/>
    <w:rsid w:val="00C1672D"/>
    <w:rsid w:val="00C22687"/>
    <w:rsid w:val="00C22B86"/>
    <w:rsid w:val="00C26A92"/>
    <w:rsid w:val="00C26B1C"/>
    <w:rsid w:val="00C32E4D"/>
    <w:rsid w:val="00C333A0"/>
    <w:rsid w:val="00C36A81"/>
    <w:rsid w:val="00C41974"/>
    <w:rsid w:val="00C44A2C"/>
    <w:rsid w:val="00C44F09"/>
    <w:rsid w:val="00C477F7"/>
    <w:rsid w:val="00C509A6"/>
    <w:rsid w:val="00C53F4A"/>
    <w:rsid w:val="00C54125"/>
    <w:rsid w:val="00C55B54"/>
    <w:rsid w:val="00C57799"/>
    <w:rsid w:val="00C6098E"/>
    <w:rsid w:val="00C6152C"/>
    <w:rsid w:val="00C71424"/>
    <w:rsid w:val="00C74810"/>
    <w:rsid w:val="00C90D68"/>
    <w:rsid w:val="00C939FE"/>
    <w:rsid w:val="00CA4BDA"/>
    <w:rsid w:val="00CA59E1"/>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4376"/>
    <w:rsid w:val="00D64544"/>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5E8B"/>
    <w:rsid w:val="00DC00A8"/>
    <w:rsid w:val="00DC169B"/>
    <w:rsid w:val="00DC2AB9"/>
    <w:rsid w:val="00DC63F0"/>
    <w:rsid w:val="00DD37EA"/>
    <w:rsid w:val="00DD6EE5"/>
    <w:rsid w:val="00DE386C"/>
    <w:rsid w:val="00DE4D35"/>
    <w:rsid w:val="00DF098B"/>
    <w:rsid w:val="00DF11C4"/>
    <w:rsid w:val="00DF210C"/>
    <w:rsid w:val="00DF4B6A"/>
    <w:rsid w:val="00E001C9"/>
    <w:rsid w:val="00E004C0"/>
    <w:rsid w:val="00E02C09"/>
    <w:rsid w:val="00E04D59"/>
    <w:rsid w:val="00E07DA1"/>
    <w:rsid w:val="00E123CB"/>
    <w:rsid w:val="00E13B09"/>
    <w:rsid w:val="00E2096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164"/>
    <w:rsid w:val="00E97396"/>
    <w:rsid w:val="00EA185E"/>
    <w:rsid w:val="00EA3828"/>
    <w:rsid w:val="00EA592A"/>
    <w:rsid w:val="00EB14E4"/>
    <w:rsid w:val="00EB32A5"/>
    <w:rsid w:val="00EB34ED"/>
    <w:rsid w:val="00EB447C"/>
    <w:rsid w:val="00EB7BE0"/>
    <w:rsid w:val="00EC003A"/>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607B"/>
    <w:rsid w:val="00F07C1E"/>
    <w:rsid w:val="00F105DB"/>
    <w:rsid w:val="00F132BC"/>
    <w:rsid w:val="00F13D80"/>
    <w:rsid w:val="00F14DDB"/>
    <w:rsid w:val="00F15B4D"/>
    <w:rsid w:val="00F16A7C"/>
    <w:rsid w:val="00F16AAA"/>
    <w:rsid w:val="00F1709C"/>
    <w:rsid w:val="00F21161"/>
    <w:rsid w:val="00F218EF"/>
    <w:rsid w:val="00F21BC7"/>
    <w:rsid w:val="00F266A2"/>
    <w:rsid w:val="00F32269"/>
    <w:rsid w:val="00F32E79"/>
    <w:rsid w:val="00F35B7A"/>
    <w:rsid w:val="00F56A6F"/>
    <w:rsid w:val="00F5709C"/>
    <w:rsid w:val="00F60B85"/>
    <w:rsid w:val="00F64EF1"/>
    <w:rsid w:val="00F71A2D"/>
    <w:rsid w:val="00F72498"/>
    <w:rsid w:val="00F72B14"/>
    <w:rsid w:val="00F7349B"/>
    <w:rsid w:val="00F848EA"/>
    <w:rsid w:val="00F8765F"/>
    <w:rsid w:val="00F90767"/>
    <w:rsid w:val="00F9263C"/>
    <w:rsid w:val="00F94A24"/>
    <w:rsid w:val="00FA1637"/>
    <w:rsid w:val="00FA4F6C"/>
    <w:rsid w:val="00FA685B"/>
    <w:rsid w:val="00FB0C01"/>
    <w:rsid w:val="00FB5934"/>
    <w:rsid w:val="00FC18F2"/>
    <w:rsid w:val="00FC2A17"/>
    <w:rsid w:val="00FC38CF"/>
    <w:rsid w:val="00FC39E5"/>
    <w:rsid w:val="00FC3A78"/>
    <w:rsid w:val="00FD1005"/>
    <w:rsid w:val="00FD1F7F"/>
    <w:rsid w:val="00FD6C75"/>
    <w:rsid w:val="00FD7972"/>
    <w:rsid w:val="00FD7C3D"/>
    <w:rsid w:val="00FE0401"/>
    <w:rsid w:val="00FE4FB1"/>
    <w:rsid w:val="00FE71B3"/>
    <w:rsid w:val="00FF2F92"/>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1E2D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A4F6C"/>
    <w:rPr>
      <w:sz w:val="24"/>
      <w:szCs w:val="24"/>
      <w:lang w:val="en-GB"/>
    </w:rPr>
  </w:style>
  <w:style w:type="paragraph" w:styleId="Heading1">
    <w:name w:val="heading 1"/>
    <w:basedOn w:val="Normal"/>
    <w:next w:val="Normal"/>
    <w:link w:val="Heading1Char"/>
    <w:uiPriority w:val="98"/>
    <w:semiHidden/>
    <w:rsid w:val="00FA4F6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A4F6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A4F6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A4F6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A4F6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A4F6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A4F6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A4F6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A4F6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A4F6C"/>
    <w:rPr>
      <w:rFonts w:ascii="Tahoma" w:hAnsi="Tahoma" w:cs="Tahoma"/>
      <w:sz w:val="16"/>
      <w:szCs w:val="16"/>
    </w:rPr>
  </w:style>
  <w:style w:type="character" w:customStyle="1" w:styleId="BalloonTextChar">
    <w:name w:val="Balloon Text Char"/>
    <w:basedOn w:val="DefaultParagraphFont"/>
    <w:link w:val="BalloonText"/>
    <w:uiPriority w:val="98"/>
    <w:semiHidden/>
    <w:rsid w:val="00FA4F6C"/>
    <w:rPr>
      <w:rFonts w:ascii="Tahoma" w:hAnsi="Tahoma" w:cs="Tahoma"/>
      <w:sz w:val="16"/>
      <w:szCs w:val="16"/>
      <w:lang w:val="en-GB"/>
    </w:rPr>
  </w:style>
  <w:style w:type="character" w:styleId="BookTitle">
    <w:name w:val="Book Title"/>
    <w:uiPriority w:val="98"/>
    <w:semiHidden/>
    <w:qFormat/>
    <w:rsid w:val="00FA4F6C"/>
    <w:rPr>
      <w:i/>
      <w:iCs/>
      <w:smallCaps/>
      <w:spacing w:val="5"/>
    </w:rPr>
  </w:style>
  <w:style w:type="paragraph" w:customStyle="1" w:styleId="JuHeader">
    <w:name w:val="Ju_Header"/>
    <w:aliases w:val="_Header"/>
    <w:basedOn w:val="Header0"/>
    <w:uiPriority w:val="29"/>
    <w:qFormat/>
    <w:rsid w:val="00FA4F6C"/>
    <w:pPr>
      <w:tabs>
        <w:tab w:val="clear" w:pos="4536"/>
        <w:tab w:val="clear" w:pos="9072"/>
      </w:tabs>
      <w:jc w:val="center"/>
    </w:pPr>
    <w:rPr>
      <w:sz w:val="18"/>
    </w:rPr>
  </w:style>
  <w:style w:type="paragraph" w:customStyle="1" w:styleId="NormalJustified">
    <w:name w:val="Normal_Justified"/>
    <w:basedOn w:val="Normal"/>
    <w:semiHidden/>
    <w:rsid w:val="00FA4F6C"/>
    <w:pPr>
      <w:jc w:val="both"/>
    </w:pPr>
  </w:style>
  <w:style w:type="character" w:styleId="Strong">
    <w:name w:val="Strong"/>
    <w:uiPriority w:val="98"/>
    <w:semiHidden/>
    <w:qFormat/>
    <w:rsid w:val="00FA4F6C"/>
    <w:rPr>
      <w:b/>
      <w:bCs/>
    </w:rPr>
  </w:style>
  <w:style w:type="paragraph" w:styleId="NoSpacing">
    <w:name w:val="No Spacing"/>
    <w:basedOn w:val="Normal"/>
    <w:link w:val="NoSpacingChar"/>
    <w:uiPriority w:val="98"/>
    <w:semiHidden/>
    <w:qFormat/>
    <w:rsid w:val="00FA4F6C"/>
  </w:style>
  <w:style w:type="character" w:customStyle="1" w:styleId="NoSpacingChar">
    <w:name w:val="No Spacing Char"/>
    <w:basedOn w:val="DefaultParagraphFont"/>
    <w:link w:val="NoSpacing"/>
    <w:uiPriority w:val="98"/>
    <w:semiHidden/>
    <w:rsid w:val="00FA4F6C"/>
    <w:rPr>
      <w:sz w:val="24"/>
      <w:szCs w:val="24"/>
      <w:lang w:val="en-GB"/>
    </w:rPr>
  </w:style>
  <w:style w:type="paragraph" w:customStyle="1" w:styleId="JuQuot">
    <w:name w:val="Ju_Quot"/>
    <w:aliases w:val="_Quote"/>
    <w:basedOn w:val="NormalJustified"/>
    <w:uiPriority w:val="20"/>
    <w:qFormat/>
    <w:rsid w:val="00FA4F6C"/>
    <w:pPr>
      <w:spacing w:before="120" w:after="120"/>
      <w:ind w:left="425" w:firstLine="142"/>
    </w:pPr>
    <w:rPr>
      <w:sz w:val="20"/>
    </w:rPr>
  </w:style>
  <w:style w:type="table" w:customStyle="1" w:styleId="GridTable1Light1">
    <w:name w:val="Grid Table 1 Light1"/>
    <w:basedOn w:val="TableNormal"/>
    <w:uiPriority w:val="46"/>
    <w:semiHidden/>
    <w:rsid w:val="00FA4F6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
    <w:name w:val="Ju_List"/>
    <w:aliases w:val="_List_1"/>
    <w:basedOn w:val="NormalJustified"/>
    <w:uiPriority w:val="23"/>
    <w:qFormat/>
    <w:rsid w:val="00FA4F6C"/>
    <w:pPr>
      <w:numPr>
        <w:numId w:val="20"/>
      </w:numPr>
      <w:spacing w:before="280" w:after="60"/>
    </w:pPr>
  </w:style>
  <w:style w:type="paragraph" w:customStyle="1" w:styleId="JuLista">
    <w:name w:val="Ju_List_a"/>
    <w:aliases w:val="_List_2"/>
    <w:basedOn w:val="NormalJustified"/>
    <w:uiPriority w:val="23"/>
    <w:rsid w:val="00FA4F6C"/>
    <w:pPr>
      <w:numPr>
        <w:ilvl w:val="1"/>
        <w:numId w:val="20"/>
      </w:numPr>
    </w:pPr>
  </w:style>
  <w:style w:type="paragraph" w:customStyle="1" w:styleId="JuListi">
    <w:name w:val="Ju_List_i"/>
    <w:aliases w:val="_List_3"/>
    <w:basedOn w:val="NormalJustified"/>
    <w:uiPriority w:val="23"/>
    <w:rsid w:val="00FA4F6C"/>
    <w:pPr>
      <w:numPr>
        <w:ilvl w:val="2"/>
        <w:numId w:val="20"/>
      </w:numPr>
    </w:pPr>
  </w:style>
  <w:style w:type="paragraph" w:customStyle="1" w:styleId="JuHArticle">
    <w:name w:val="Ju_H_Article"/>
    <w:aliases w:val="_Title_Quote"/>
    <w:basedOn w:val="Normal"/>
    <w:next w:val="JuQuot"/>
    <w:uiPriority w:val="19"/>
    <w:qFormat/>
    <w:rsid w:val="00FA4F6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A4F6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A4F6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A4F6C"/>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A4F6C"/>
    <w:pPr>
      <w:numPr>
        <w:numId w:val="4"/>
      </w:numPr>
    </w:pPr>
  </w:style>
  <w:style w:type="paragraph" w:customStyle="1" w:styleId="JuSigned">
    <w:name w:val="Ju_Signed"/>
    <w:aliases w:val="_Signature"/>
    <w:basedOn w:val="Normal"/>
    <w:next w:val="JuPara"/>
    <w:uiPriority w:val="31"/>
    <w:qFormat/>
    <w:rsid w:val="00FA4F6C"/>
    <w:pPr>
      <w:tabs>
        <w:tab w:val="center" w:pos="1418"/>
        <w:tab w:val="center" w:pos="5954"/>
      </w:tabs>
      <w:spacing w:before="720"/>
    </w:pPr>
  </w:style>
  <w:style w:type="paragraph" w:styleId="Title">
    <w:name w:val="Title"/>
    <w:basedOn w:val="Normal"/>
    <w:next w:val="Normal"/>
    <w:link w:val="TitleChar"/>
    <w:uiPriority w:val="98"/>
    <w:semiHidden/>
    <w:qFormat/>
    <w:rsid w:val="00FA4F6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A4F6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A4F6C"/>
    <w:pPr>
      <w:numPr>
        <w:numId w:val="5"/>
      </w:numPr>
    </w:pPr>
  </w:style>
  <w:style w:type="numbering" w:customStyle="1" w:styleId="ECHRA1StyleNumberedList">
    <w:name w:val="ECHR_A1_Style_Numbered_List"/>
    <w:basedOn w:val="NoList"/>
    <w:rsid w:val="00FA4F6C"/>
    <w:pPr>
      <w:numPr>
        <w:numId w:val="6"/>
      </w:numPr>
    </w:pPr>
  </w:style>
  <w:style w:type="table" w:customStyle="1" w:styleId="ECHRTable2019">
    <w:name w:val="ECHR_Table_2019"/>
    <w:basedOn w:val="TableNormal"/>
    <w:uiPriority w:val="99"/>
    <w:rsid w:val="00FA4F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A4F6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A4F6C"/>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A4F6C"/>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A4F6C"/>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FA4F6C"/>
    <w:pPr>
      <w:tabs>
        <w:tab w:val="center" w:pos="4536"/>
        <w:tab w:val="right" w:pos="9072"/>
      </w:tabs>
    </w:pPr>
  </w:style>
  <w:style w:type="character" w:customStyle="1" w:styleId="HeaderChar">
    <w:name w:val="Header Char"/>
    <w:basedOn w:val="DefaultParagraphFont"/>
    <w:link w:val="Header0"/>
    <w:uiPriority w:val="98"/>
    <w:semiHidden/>
    <w:rsid w:val="00FA4F6C"/>
    <w:rPr>
      <w:sz w:val="24"/>
      <w:szCs w:val="24"/>
      <w:lang w:val="en-GB"/>
    </w:rPr>
  </w:style>
  <w:style w:type="character" w:customStyle="1" w:styleId="Heading1Char">
    <w:name w:val="Heading 1 Char"/>
    <w:basedOn w:val="DefaultParagraphFont"/>
    <w:link w:val="Heading1"/>
    <w:uiPriority w:val="98"/>
    <w:semiHidden/>
    <w:rsid w:val="00FA4F6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A4F6C"/>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FA4F6C"/>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A4F6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A4F6C"/>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A4F6C"/>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FA4F6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A4F6C"/>
    <w:pPr>
      <w:keepNext/>
      <w:keepLines/>
      <w:spacing w:before="240" w:after="240"/>
      <w:ind w:firstLine="284"/>
    </w:pPr>
  </w:style>
  <w:style w:type="paragraph" w:customStyle="1" w:styleId="JuJudges">
    <w:name w:val="Ju_Judges"/>
    <w:aliases w:val="_Judges"/>
    <w:basedOn w:val="Normal"/>
    <w:uiPriority w:val="32"/>
    <w:qFormat/>
    <w:rsid w:val="00FA4F6C"/>
    <w:pPr>
      <w:tabs>
        <w:tab w:val="left" w:pos="567"/>
        <w:tab w:val="left" w:pos="1134"/>
      </w:tabs>
    </w:pPr>
  </w:style>
  <w:style w:type="character" w:customStyle="1" w:styleId="Heading4Char">
    <w:name w:val="Heading 4 Char"/>
    <w:basedOn w:val="DefaultParagraphFont"/>
    <w:link w:val="Heading4"/>
    <w:uiPriority w:val="98"/>
    <w:semiHidden/>
    <w:rsid w:val="00FA4F6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A4F6C"/>
    <w:pPr>
      <w:tabs>
        <w:tab w:val="center" w:pos="6407"/>
      </w:tabs>
      <w:spacing w:before="720"/>
      <w:jc w:val="right"/>
    </w:pPr>
  </w:style>
  <w:style w:type="character" w:customStyle="1" w:styleId="Heading5Char">
    <w:name w:val="Heading 5 Char"/>
    <w:basedOn w:val="DefaultParagraphFont"/>
    <w:link w:val="Heading5"/>
    <w:uiPriority w:val="98"/>
    <w:semiHidden/>
    <w:rsid w:val="00FA4F6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A4F6C"/>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A4F6C"/>
    <w:rPr>
      <w:caps w:val="0"/>
      <w:smallCaps/>
    </w:rPr>
  </w:style>
  <w:style w:type="character" w:styleId="SubtleEmphasis">
    <w:name w:val="Subtle Emphasis"/>
    <w:uiPriority w:val="98"/>
    <w:semiHidden/>
    <w:qFormat/>
    <w:rsid w:val="00FA4F6C"/>
    <w:rPr>
      <w:i/>
      <w:iCs/>
    </w:rPr>
  </w:style>
  <w:style w:type="table" w:customStyle="1" w:styleId="ECHRTable">
    <w:name w:val="ECHR_Table"/>
    <w:basedOn w:val="TableNormal"/>
    <w:rsid w:val="00FA4F6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A4F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A4F6C"/>
    <w:rPr>
      <w:b/>
      <w:bCs/>
      <w:i/>
      <w:iCs/>
      <w:spacing w:val="10"/>
      <w:bdr w:val="none" w:sz="0" w:space="0" w:color="auto"/>
      <w:shd w:val="clear" w:color="auto" w:fill="auto"/>
    </w:rPr>
  </w:style>
  <w:style w:type="paragraph" w:styleId="Footer1">
    <w:name w:val="footer"/>
    <w:basedOn w:val="Normal"/>
    <w:link w:val="FooterChar"/>
    <w:uiPriority w:val="98"/>
    <w:semiHidden/>
    <w:rsid w:val="00FA4F6C"/>
    <w:pPr>
      <w:tabs>
        <w:tab w:val="center" w:pos="3686"/>
        <w:tab w:val="right" w:pos="7371"/>
      </w:tabs>
    </w:pPr>
  </w:style>
  <w:style w:type="character" w:customStyle="1" w:styleId="FooterChar">
    <w:name w:val="Footer Char"/>
    <w:basedOn w:val="DefaultParagraphFont"/>
    <w:link w:val="Footer1"/>
    <w:uiPriority w:val="98"/>
    <w:semiHidden/>
    <w:rsid w:val="00FA4F6C"/>
    <w:rPr>
      <w:sz w:val="24"/>
      <w:szCs w:val="24"/>
      <w:lang w:val="en-GB"/>
    </w:rPr>
  </w:style>
  <w:style w:type="character" w:styleId="FootnoteReference">
    <w:name w:val="footnote reference"/>
    <w:basedOn w:val="DefaultParagraphFont"/>
    <w:uiPriority w:val="98"/>
    <w:semiHidden/>
    <w:rsid w:val="00FA4F6C"/>
    <w:rPr>
      <w:vertAlign w:val="superscript"/>
    </w:rPr>
  </w:style>
  <w:style w:type="paragraph" w:styleId="FootnoteText">
    <w:name w:val="footnote text"/>
    <w:basedOn w:val="NormalJustified"/>
    <w:link w:val="FootnoteTextChar"/>
    <w:uiPriority w:val="98"/>
    <w:semiHidden/>
    <w:rsid w:val="00FA4F6C"/>
    <w:rPr>
      <w:sz w:val="20"/>
      <w:szCs w:val="20"/>
    </w:rPr>
  </w:style>
  <w:style w:type="character" w:customStyle="1" w:styleId="FootnoteTextChar">
    <w:name w:val="Footnote Text Char"/>
    <w:basedOn w:val="DefaultParagraphFont"/>
    <w:link w:val="FootnoteText"/>
    <w:uiPriority w:val="98"/>
    <w:semiHidden/>
    <w:rsid w:val="00FA4F6C"/>
    <w:rPr>
      <w:sz w:val="20"/>
      <w:szCs w:val="20"/>
      <w:lang w:val="en-GB"/>
    </w:rPr>
  </w:style>
  <w:style w:type="character" w:customStyle="1" w:styleId="Heading6Char">
    <w:name w:val="Heading 6 Char"/>
    <w:basedOn w:val="DefaultParagraphFont"/>
    <w:link w:val="Heading6"/>
    <w:uiPriority w:val="98"/>
    <w:semiHidden/>
    <w:rsid w:val="00FA4F6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A4F6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A4F6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A4F6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A4F6C"/>
    <w:rPr>
      <w:color w:val="0072BC" w:themeColor="hyperlink"/>
      <w:u w:val="single"/>
    </w:rPr>
  </w:style>
  <w:style w:type="character" w:styleId="IntenseEmphasis">
    <w:name w:val="Intense Emphasis"/>
    <w:uiPriority w:val="98"/>
    <w:semiHidden/>
    <w:qFormat/>
    <w:rsid w:val="00FA4F6C"/>
    <w:rPr>
      <w:b/>
      <w:bCs/>
    </w:rPr>
  </w:style>
  <w:style w:type="paragraph" w:styleId="IntenseQuote">
    <w:name w:val="Intense Quote"/>
    <w:basedOn w:val="Normal"/>
    <w:next w:val="Normal"/>
    <w:link w:val="IntenseQuoteChar"/>
    <w:uiPriority w:val="98"/>
    <w:semiHidden/>
    <w:qFormat/>
    <w:rsid w:val="00FA4F6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A4F6C"/>
    <w:rPr>
      <w:b/>
      <w:bCs/>
      <w:i/>
      <w:iCs/>
      <w:sz w:val="24"/>
      <w:szCs w:val="24"/>
      <w:lang w:val="en-GB" w:bidi="en-US"/>
    </w:rPr>
  </w:style>
  <w:style w:type="character" w:styleId="IntenseReference">
    <w:name w:val="Intense Reference"/>
    <w:uiPriority w:val="98"/>
    <w:semiHidden/>
    <w:qFormat/>
    <w:rsid w:val="00FA4F6C"/>
    <w:rPr>
      <w:smallCaps/>
      <w:spacing w:val="5"/>
      <w:u w:val="single"/>
    </w:rPr>
  </w:style>
  <w:style w:type="paragraph" w:styleId="ListParagraph">
    <w:name w:val="List Paragraph"/>
    <w:basedOn w:val="Normal"/>
    <w:uiPriority w:val="98"/>
    <w:semiHidden/>
    <w:qFormat/>
    <w:rsid w:val="00FA4F6C"/>
    <w:pPr>
      <w:ind w:left="720"/>
      <w:contextualSpacing/>
    </w:pPr>
  </w:style>
  <w:style w:type="table" w:customStyle="1" w:styleId="LtrTableAddress">
    <w:name w:val="Ltr_Table_Address"/>
    <w:aliases w:val="ECHR_Ltr_Table_Address"/>
    <w:basedOn w:val="TableNormal"/>
    <w:uiPriority w:val="99"/>
    <w:rsid w:val="00FA4F6C"/>
    <w:rPr>
      <w:sz w:val="24"/>
      <w:szCs w:val="24"/>
    </w:rPr>
    <w:tblPr>
      <w:tblInd w:w="5103" w:type="dxa"/>
    </w:tblPr>
  </w:style>
  <w:style w:type="paragraph" w:styleId="Quote0">
    <w:name w:val="Quote"/>
    <w:basedOn w:val="Normal"/>
    <w:next w:val="Normal"/>
    <w:link w:val="QuoteChar"/>
    <w:uiPriority w:val="98"/>
    <w:semiHidden/>
    <w:qFormat/>
    <w:rsid w:val="00FA4F6C"/>
    <w:pPr>
      <w:spacing w:before="200"/>
      <w:ind w:left="360" w:right="360"/>
    </w:pPr>
    <w:rPr>
      <w:i/>
      <w:iCs/>
      <w:lang w:bidi="en-US"/>
    </w:rPr>
  </w:style>
  <w:style w:type="character" w:customStyle="1" w:styleId="QuoteChar">
    <w:name w:val="Quote Char"/>
    <w:basedOn w:val="DefaultParagraphFont"/>
    <w:link w:val="Quote0"/>
    <w:uiPriority w:val="98"/>
    <w:semiHidden/>
    <w:rsid w:val="00FA4F6C"/>
    <w:rPr>
      <w:i/>
      <w:iCs/>
      <w:sz w:val="24"/>
      <w:szCs w:val="24"/>
      <w:lang w:val="en-GB" w:bidi="en-US"/>
    </w:rPr>
  </w:style>
  <w:style w:type="character" w:styleId="SubtleReference">
    <w:name w:val="Subtle Reference"/>
    <w:uiPriority w:val="98"/>
    <w:semiHidden/>
    <w:qFormat/>
    <w:rsid w:val="00FA4F6C"/>
    <w:rPr>
      <w:smallCaps/>
    </w:rPr>
  </w:style>
  <w:style w:type="table" w:styleId="TableGrid">
    <w:name w:val="Table Grid"/>
    <w:basedOn w:val="TableNormal"/>
    <w:uiPriority w:val="59"/>
    <w:semiHidden/>
    <w:rsid w:val="00FA4F6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A4F6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A4F6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A4F6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A4F6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A4F6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A4F6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A4F6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A4F6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A4F6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A4F6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A4F6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A4F6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A4F6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A4F6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A4F6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A4F6C"/>
    <w:pPr>
      <w:numPr>
        <w:numId w:val="1"/>
      </w:numPr>
    </w:pPr>
  </w:style>
  <w:style w:type="paragraph" w:customStyle="1" w:styleId="JuPara">
    <w:name w:val="Ju_Para"/>
    <w:aliases w:val="_Para"/>
    <w:basedOn w:val="NormalJustified"/>
    <w:link w:val="JuParaChar"/>
    <w:uiPriority w:val="4"/>
    <w:qFormat/>
    <w:rsid w:val="00FA4F6C"/>
    <w:pPr>
      <w:ind w:firstLine="284"/>
    </w:pPr>
  </w:style>
  <w:style w:type="numbering" w:styleId="1ai">
    <w:name w:val="Outline List 1"/>
    <w:basedOn w:val="NoList"/>
    <w:uiPriority w:val="99"/>
    <w:semiHidden/>
    <w:unhideWhenUsed/>
    <w:rsid w:val="00FA4F6C"/>
    <w:pPr>
      <w:numPr>
        <w:numId w:val="2"/>
      </w:numPr>
    </w:pPr>
  </w:style>
  <w:style w:type="table" w:customStyle="1" w:styleId="ECHRTableSimpleBox">
    <w:name w:val="ECHR_Table_Simple_Box"/>
    <w:basedOn w:val="TableNormal"/>
    <w:uiPriority w:val="99"/>
    <w:rsid w:val="00FA4F6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A4F6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A4F6C"/>
    <w:pPr>
      <w:numPr>
        <w:numId w:val="3"/>
      </w:numPr>
    </w:pPr>
  </w:style>
  <w:style w:type="table" w:customStyle="1" w:styleId="ECHRTableForInternalUse">
    <w:name w:val="ECHR_Table_For_Internal_Use"/>
    <w:basedOn w:val="TableNormal"/>
    <w:uiPriority w:val="99"/>
    <w:rsid w:val="00FA4F6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A4F6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A4F6C"/>
  </w:style>
  <w:style w:type="paragraph" w:styleId="BlockText">
    <w:name w:val="Block Text"/>
    <w:basedOn w:val="Normal"/>
    <w:uiPriority w:val="98"/>
    <w:semiHidden/>
    <w:rsid w:val="00FA4F6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A4F6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A4F6C"/>
    <w:pPr>
      <w:spacing w:after="120"/>
    </w:pPr>
  </w:style>
  <w:style w:type="character" w:customStyle="1" w:styleId="BodyTextChar">
    <w:name w:val="Body Text Char"/>
    <w:basedOn w:val="DefaultParagraphFont"/>
    <w:link w:val="BodyText"/>
    <w:uiPriority w:val="98"/>
    <w:semiHidden/>
    <w:rsid w:val="00FA4F6C"/>
    <w:rPr>
      <w:sz w:val="24"/>
      <w:szCs w:val="24"/>
      <w:lang w:val="en-GB"/>
    </w:rPr>
  </w:style>
  <w:style w:type="table" w:customStyle="1" w:styleId="ECHRTableOddBanded">
    <w:name w:val="ECHR_Table_Odd_Banded"/>
    <w:basedOn w:val="TableNormal"/>
    <w:uiPriority w:val="99"/>
    <w:rsid w:val="00FA4F6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A4F6C"/>
    <w:pPr>
      <w:spacing w:after="120" w:line="480" w:lineRule="auto"/>
    </w:pPr>
  </w:style>
  <w:style w:type="table" w:customStyle="1" w:styleId="ECHRHeaderTableReduced">
    <w:name w:val="ECHR_Header_Table_Reduced"/>
    <w:basedOn w:val="TableNormal"/>
    <w:uiPriority w:val="99"/>
    <w:rsid w:val="00FA4F6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A4F6C"/>
    <w:pPr>
      <w:ind w:firstLine="284"/>
    </w:pPr>
    <w:rPr>
      <w:b/>
    </w:rPr>
  </w:style>
  <w:style w:type="character" w:styleId="PageNumber">
    <w:name w:val="page number"/>
    <w:uiPriority w:val="98"/>
    <w:semiHidden/>
    <w:rsid w:val="00FA4F6C"/>
    <w:rPr>
      <w:sz w:val="18"/>
    </w:rPr>
  </w:style>
  <w:style w:type="paragraph" w:styleId="ListBullet">
    <w:name w:val="List Bullet"/>
    <w:basedOn w:val="Normal"/>
    <w:uiPriority w:val="98"/>
    <w:semiHidden/>
    <w:rsid w:val="00FA4F6C"/>
    <w:pPr>
      <w:numPr>
        <w:numId w:val="7"/>
      </w:numPr>
    </w:pPr>
  </w:style>
  <w:style w:type="paragraph" w:styleId="ListBullet3">
    <w:name w:val="List Bullet 3"/>
    <w:basedOn w:val="Normal"/>
    <w:uiPriority w:val="98"/>
    <w:semiHidden/>
    <w:rsid w:val="00FA4F6C"/>
    <w:pPr>
      <w:numPr>
        <w:numId w:val="9"/>
      </w:numPr>
      <w:contextualSpacing/>
    </w:pPr>
  </w:style>
  <w:style w:type="character" w:customStyle="1" w:styleId="BodyText2Char">
    <w:name w:val="Body Text 2 Char"/>
    <w:basedOn w:val="DefaultParagraphFont"/>
    <w:link w:val="BodyText2"/>
    <w:uiPriority w:val="98"/>
    <w:semiHidden/>
    <w:rsid w:val="00FA4F6C"/>
    <w:rPr>
      <w:sz w:val="24"/>
      <w:szCs w:val="24"/>
      <w:lang w:val="en-GB"/>
    </w:rPr>
  </w:style>
  <w:style w:type="paragraph" w:styleId="BodyText3">
    <w:name w:val="Body Text 3"/>
    <w:basedOn w:val="Normal"/>
    <w:link w:val="BodyText3Char"/>
    <w:uiPriority w:val="98"/>
    <w:semiHidden/>
    <w:rsid w:val="00FA4F6C"/>
    <w:pPr>
      <w:spacing w:after="120"/>
    </w:pPr>
    <w:rPr>
      <w:sz w:val="16"/>
      <w:szCs w:val="16"/>
    </w:rPr>
  </w:style>
  <w:style w:type="character" w:customStyle="1" w:styleId="BodyText3Char">
    <w:name w:val="Body Text 3 Char"/>
    <w:basedOn w:val="DefaultParagraphFont"/>
    <w:link w:val="BodyText3"/>
    <w:uiPriority w:val="98"/>
    <w:semiHidden/>
    <w:rsid w:val="00FA4F6C"/>
    <w:rPr>
      <w:sz w:val="16"/>
      <w:szCs w:val="16"/>
      <w:lang w:val="en-GB"/>
    </w:rPr>
  </w:style>
  <w:style w:type="paragraph" w:styleId="BodyTextFirstIndent">
    <w:name w:val="Body Text First Indent"/>
    <w:basedOn w:val="BodyText"/>
    <w:link w:val="BodyTextFirstIndentChar"/>
    <w:uiPriority w:val="98"/>
    <w:semiHidden/>
    <w:rsid w:val="00FA4F6C"/>
    <w:pPr>
      <w:spacing w:after="0"/>
      <w:ind w:firstLine="360"/>
    </w:pPr>
  </w:style>
  <w:style w:type="character" w:customStyle="1" w:styleId="BodyTextFirstIndentChar">
    <w:name w:val="Body Text First Indent Char"/>
    <w:basedOn w:val="BodyTextChar"/>
    <w:link w:val="BodyTextFirstIndent"/>
    <w:uiPriority w:val="98"/>
    <w:semiHidden/>
    <w:rsid w:val="00FA4F6C"/>
    <w:rPr>
      <w:sz w:val="24"/>
      <w:szCs w:val="24"/>
      <w:lang w:val="en-GB"/>
    </w:rPr>
  </w:style>
  <w:style w:type="paragraph" w:styleId="BodyTextIndent">
    <w:name w:val="Body Text Indent"/>
    <w:basedOn w:val="Normal"/>
    <w:link w:val="BodyTextIndentChar"/>
    <w:uiPriority w:val="98"/>
    <w:semiHidden/>
    <w:rsid w:val="00FA4F6C"/>
    <w:pPr>
      <w:spacing w:after="120"/>
      <w:ind w:left="283"/>
    </w:pPr>
  </w:style>
  <w:style w:type="character" w:customStyle="1" w:styleId="BodyTextIndentChar">
    <w:name w:val="Body Text Indent Char"/>
    <w:basedOn w:val="DefaultParagraphFont"/>
    <w:link w:val="BodyTextIndent"/>
    <w:uiPriority w:val="98"/>
    <w:semiHidden/>
    <w:rsid w:val="00FA4F6C"/>
    <w:rPr>
      <w:sz w:val="24"/>
      <w:szCs w:val="24"/>
      <w:lang w:val="en-GB"/>
    </w:rPr>
  </w:style>
  <w:style w:type="paragraph" w:styleId="BodyTextFirstIndent2">
    <w:name w:val="Body Text First Indent 2"/>
    <w:basedOn w:val="BodyTextIndent"/>
    <w:link w:val="BodyTextFirstIndent2Char"/>
    <w:uiPriority w:val="98"/>
    <w:semiHidden/>
    <w:rsid w:val="00FA4F6C"/>
    <w:pPr>
      <w:spacing w:after="0"/>
      <w:ind w:left="360" w:firstLine="360"/>
    </w:pPr>
  </w:style>
  <w:style w:type="character" w:customStyle="1" w:styleId="BodyTextFirstIndent2Char">
    <w:name w:val="Body Text First Indent 2 Char"/>
    <w:basedOn w:val="BodyTextIndentChar"/>
    <w:link w:val="BodyTextFirstIndent2"/>
    <w:uiPriority w:val="98"/>
    <w:semiHidden/>
    <w:rsid w:val="00FA4F6C"/>
    <w:rPr>
      <w:sz w:val="24"/>
      <w:szCs w:val="24"/>
      <w:lang w:val="en-GB"/>
    </w:rPr>
  </w:style>
  <w:style w:type="paragraph" w:styleId="BodyTextIndent2">
    <w:name w:val="Body Text Indent 2"/>
    <w:basedOn w:val="Normal"/>
    <w:link w:val="BodyTextIndent2Char"/>
    <w:uiPriority w:val="98"/>
    <w:semiHidden/>
    <w:rsid w:val="00FA4F6C"/>
    <w:pPr>
      <w:spacing w:after="120" w:line="480" w:lineRule="auto"/>
      <w:ind w:left="283"/>
    </w:pPr>
  </w:style>
  <w:style w:type="character" w:customStyle="1" w:styleId="BodyTextIndent2Char">
    <w:name w:val="Body Text Indent 2 Char"/>
    <w:basedOn w:val="DefaultParagraphFont"/>
    <w:link w:val="BodyTextIndent2"/>
    <w:uiPriority w:val="98"/>
    <w:semiHidden/>
    <w:rsid w:val="00FA4F6C"/>
    <w:rPr>
      <w:sz w:val="24"/>
      <w:szCs w:val="24"/>
      <w:lang w:val="en-GB"/>
    </w:rPr>
  </w:style>
  <w:style w:type="paragraph" w:styleId="BodyTextIndent3">
    <w:name w:val="Body Text Indent 3"/>
    <w:basedOn w:val="Normal"/>
    <w:link w:val="BodyTextIndent3Char"/>
    <w:uiPriority w:val="98"/>
    <w:semiHidden/>
    <w:rsid w:val="00FA4F6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A4F6C"/>
    <w:rPr>
      <w:sz w:val="16"/>
      <w:szCs w:val="16"/>
      <w:lang w:val="en-GB"/>
    </w:rPr>
  </w:style>
  <w:style w:type="paragraph" w:styleId="Caption">
    <w:name w:val="caption"/>
    <w:basedOn w:val="Normal"/>
    <w:next w:val="Normal"/>
    <w:uiPriority w:val="98"/>
    <w:semiHidden/>
    <w:qFormat/>
    <w:rsid w:val="00FA4F6C"/>
    <w:pPr>
      <w:spacing w:after="200"/>
    </w:pPr>
    <w:rPr>
      <w:b/>
      <w:bCs/>
      <w:color w:val="0072BC" w:themeColor="accent1"/>
      <w:sz w:val="18"/>
      <w:szCs w:val="18"/>
    </w:rPr>
  </w:style>
  <w:style w:type="paragraph" w:styleId="Closing">
    <w:name w:val="Closing"/>
    <w:basedOn w:val="Normal"/>
    <w:link w:val="ClosingChar"/>
    <w:uiPriority w:val="98"/>
    <w:semiHidden/>
    <w:rsid w:val="00FA4F6C"/>
    <w:pPr>
      <w:ind w:left="4252"/>
    </w:pPr>
  </w:style>
  <w:style w:type="character" w:customStyle="1" w:styleId="ClosingChar">
    <w:name w:val="Closing Char"/>
    <w:basedOn w:val="DefaultParagraphFont"/>
    <w:link w:val="Closing"/>
    <w:uiPriority w:val="98"/>
    <w:semiHidden/>
    <w:rsid w:val="00FA4F6C"/>
    <w:rPr>
      <w:sz w:val="24"/>
      <w:szCs w:val="24"/>
      <w:lang w:val="en-GB"/>
    </w:rPr>
  </w:style>
  <w:style w:type="table" w:customStyle="1" w:styleId="1">
    <w:name w:val="Кольорова сітка1"/>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A4F6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FA4F6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A4F6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A4F6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A4F6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A4F6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A4F6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A4F6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FA4F6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A4F6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A4F6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A4F6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A4F6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A4F6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A4F6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A4F6C"/>
    <w:rPr>
      <w:sz w:val="16"/>
      <w:szCs w:val="16"/>
    </w:rPr>
  </w:style>
  <w:style w:type="paragraph" w:styleId="CommentText">
    <w:name w:val="annotation text"/>
    <w:basedOn w:val="Normal"/>
    <w:link w:val="CommentTextChar"/>
    <w:uiPriority w:val="98"/>
    <w:semiHidden/>
    <w:rsid w:val="00FA4F6C"/>
    <w:rPr>
      <w:sz w:val="20"/>
      <w:szCs w:val="20"/>
    </w:rPr>
  </w:style>
  <w:style w:type="character" w:customStyle="1" w:styleId="CommentTextChar">
    <w:name w:val="Comment Text Char"/>
    <w:basedOn w:val="DefaultParagraphFont"/>
    <w:link w:val="CommentText"/>
    <w:uiPriority w:val="98"/>
    <w:semiHidden/>
    <w:rsid w:val="00FA4F6C"/>
    <w:rPr>
      <w:sz w:val="20"/>
      <w:szCs w:val="20"/>
      <w:lang w:val="en-GB"/>
    </w:rPr>
  </w:style>
  <w:style w:type="paragraph" w:styleId="CommentSubject">
    <w:name w:val="annotation subject"/>
    <w:basedOn w:val="CommentText"/>
    <w:next w:val="CommentText"/>
    <w:link w:val="CommentSubjectChar"/>
    <w:uiPriority w:val="98"/>
    <w:semiHidden/>
    <w:rsid w:val="00FA4F6C"/>
    <w:rPr>
      <w:b/>
      <w:bCs/>
    </w:rPr>
  </w:style>
  <w:style w:type="character" w:customStyle="1" w:styleId="CommentSubjectChar">
    <w:name w:val="Comment Subject Char"/>
    <w:basedOn w:val="CommentTextChar"/>
    <w:link w:val="CommentSubject"/>
    <w:uiPriority w:val="98"/>
    <w:semiHidden/>
    <w:rsid w:val="00FA4F6C"/>
    <w:rPr>
      <w:b/>
      <w:bCs/>
      <w:sz w:val="20"/>
      <w:szCs w:val="20"/>
      <w:lang w:val="en-GB"/>
    </w:rPr>
  </w:style>
  <w:style w:type="table" w:customStyle="1" w:styleId="12">
    <w:name w:val="Темний список1"/>
    <w:basedOn w:val="TableNormal"/>
    <w:uiPriority w:val="70"/>
    <w:semiHidden/>
    <w:rsid w:val="00FA4F6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A4F6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A4F6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A4F6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A4F6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A4F6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A4F6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A4F6C"/>
  </w:style>
  <w:style w:type="character" w:customStyle="1" w:styleId="DateChar">
    <w:name w:val="Date Char"/>
    <w:basedOn w:val="DefaultParagraphFont"/>
    <w:link w:val="Date"/>
    <w:uiPriority w:val="98"/>
    <w:semiHidden/>
    <w:rsid w:val="00FA4F6C"/>
    <w:rPr>
      <w:sz w:val="24"/>
      <w:szCs w:val="24"/>
      <w:lang w:val="en-GB"/>
    </w:rPr>
  </w:style>
  <w:style w:type="paragraph" w:styleId="DocumentMap">
    <w:name w:val="Document Map"/>
    <w:basedOn w:val="Normal"/>
    <w:link w:val="DocumentMapChar"/>
    <w:uiPriority w:val="98"/>
    <w:semiHidden/>
    <w:rsid w:val="00FA4F6C"/>
    <w:rPr>
      <w:rFonts w:ascii="Tahoma" w:hAnsi="Tahoma" w:cs="Tahoma"/>
      <w:sz w:val="16"/>
      <w:szCs w:val="16"/>
    </w:rPr>
  </w:style>
  <w:style w:type="character" w:customStyle="1" w:styleId="DocumentMapChar">
    <w:name w:val="Document Map Char"/>
    <w:basedOn w:val="DefaultParagraphFont"/>
    <w:link w:val="DocumentMap"/>
    <w:uiPriority w:val="98"/>
    <w:semiHidden/>
    <w:rsid w:val="00FA4F6C"/>
    <w:rPr>
      <w:rFonts w:ascii="Tahoma" w:hAnsi="Tahoma" w:cs="Tahoma"/>
      <w:sz w:val="16"/>
      <w:szCs w:val="16"/>
      <w:lang w:val="en-GB"/>
    </w:rPr>
  </w:style>
  <w:style w:type="paragraph" w:styleId="E-mailSignature">
    <w:name w:val="E-mail Signature"/>
    <w:basedOn w:val="Normal"/>
    <w:link w:val="E-mailSignatureChar"/>
    <w:uiPriority w:val="98"/>
    <w:semiHidden/>
    <w:rsid w:val="00FA4F6C"/>
  </w:style>
  <w:style w:type="character" w:customStyle="1" w:styleId="E-mailSignatureChar">
    <w:name w:val="E-mail Signature Char"/>
    <w:basedOn w:val="DefaultParagraphFont"/>
    <w:link w:val="E-mailSignature"/>
    <w:uiPriority w:val="98"/>
    <w:semiHidden/>
    <w:rsid w:val="00FA4F6C"/>
    <w:rPr>
      <w:sz w:val="24"/>
      <w:szCs w:val="24"/>
      <w:lang w:val="en-GB"/>
    </w:rPr>
  </w:style>
  <w:style w:type="character" w:styleId="EndnoteReference">
    <w:name w:val="endnote reference"/>
    <w:basedOn w:val="DefaultParagraphFont"/>
    <w:uiPriority w:val="98"/>
    <w:semiHidden/>
    <w:rsid w:val="00FA4F6C"/>
    <w:rPr>
      <w:vertAlign w:val="superscript"/>
    </w:rPr>
  </w:style>
  <w:style w:type="paragraph" w:styleId="EndnoteText">
    <w:name w:val="endnote text"/>
    <w:basedOn w:val="Normal"/>
    <w:link w:val="EndnoteTextChar"/>
    <w:uiPriority w:val="98"/>
    <w:semiHidden/>
    <w:rsid w:val="00FA4F6C"/>
    <w:rPr>
      <w:sz w:val="20"/>
      <w:szCs w:val="20"/>
    </w:rPr>
  </w:style>
  <w:style w:type="character" w:customStyle="1" w:styleId="EndnoteTextChar">
    <w:name w:val="Endnote Text Char"/>
    <w:basedOn w:val="DefaultParagraphFont"/>
    <w:link w:val="EndnoteText"/>
    <w:uiPriority w:val="98"/>
    <w:semiHidden/>
    <w:rsid w:val="00FA4F6C"/>
    <w:rPr>
      <w:sz w:val="20"/>
      <w:szCs w:val="20"/>
      <w:lang w:val="en-GB"/>
    </w:rPr>
  </w:style>
  <w:style w:type="paragraph" w:styleId="EnvelopeAddress">
    <w:name w:val="envelope address"/>
    <w:basedOn w:val="Normal"/>
    <w:uiPriority w:val="98"/>
    <w:semiHidden/>
    <w:rsid w:val="00FA4F6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A4F6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A4F6C"/>
    <w:rPr>
      <w:color w:val="7030A0" w:themeColor="followedHyperlink"/>
      <w:u w:val="single"/>
    </w:rPr>
  </w:style>
  <w:style w:type="character" w:styleId="HTMLAcronym">
    <w:name w:val="HTML Acronym"/>
    <w:basedOn w:val="DefaultParagraphFont"/>
    <w:uiPriority w:val="98"/>
    <w:semiHidden/>
    <w:rsid w:val="00FA4F6C"/>
  </w:style>
  <w:style w:type="paragraph" w:styleId="HTMLAddress">
    <w:name w:val="HTML Address"/>
    <w:basedOn w:val="Normal"/>
    <w:link w:val="HTMLAddressChar"/>
    <w:uiPriority w:val="98"/>
    <w:semiHidden/>
    <w:rsid w:val="00FA4F6C"/>
    <w:rPr>
      <w:i/>
      <w:iCs/>
    </w:rPr>
  </w:style>
  <w:style w:type="character" w:customStyle="1" w:styleId="HTMLAddressChar">
    <w:name w:val="HTML Address Char"/>
    <w:basedOn w:val="DefaultParagraphFont"/>
    <w:link w:val="HTMLAddress"/>
    <w:uiPriority w:val="98"/>
    <w:semiHidden/>
    <w:rsid w:val="00FA4F6C"/>
    <w:rPr>
      <w:i/>
      <w:iCs/>
      <w:sz w:val="24"/>
      <w:szCs w:val="24"/>
      <w:lang w:val="en-GB"/>
    </w:rPr>
  </w:style>
  <w:style w:type="character" w:styleId="HTMLCite">
    <w:name w:val="HTML Cite"/>
    <w:basedOn w:val="DefaultParagraphFont"/>
    <w:uiPriority w:val="98"/>
    <w:semiHidden/>
    <w:rsid w:val="00FA4F6C"/>
    <w:rPr>
      <w:i/>
      <w:iCs/>
    </w:rPr>
  </w:style>
  <w:style w:type="character" w:styleId="HTMLCode">
    <w:name w:val="HTML Code"/>
    <w:basedOn w:val="DefaultParagraphFont"/>
    <w:uiPriority w:val="98"/>
    <w:semiHidden/>
    <w:rsid w:val="00FA4F6C"/>
    <w:rPr>
      <w:rFonts w:ascii="Consolas" w:hAnsi="Consolas" w:cs="Consolas"/>
      <w:sz w:val="20"/>
      <w:szCs w:val="20"/>
    </w:rPr>
  </w:style>
  <w:style w:type="character" w:styleId="HTMLDefinition">
    <w:name w:val="HTML Definition"/>
    <w:basedOn w:val="DefaultParagraphFont"/>
    <w:uiPriority w:val="98"/>
    <w:semiHidden/>
    <w:rsid w:val="00FA4F6C"/>
    <w:rPr>
      <w:i/>
      <w:iCs/>
    </w:rPr>
  </w:style>
  <w:style w:type="character" w:styleId="HTMLKeyboard">
    <w:name w:val="HTML Keyboard"/>
    <w:basedOn w:val="DefaultParagraphFont"/>
    <w:uiPriority w:val="98"/>
    <w:semiHidden/>
    <w:rsid w:val="00FA4F6C"/>
    <w:rPr>
      <w:rFonts w:ascii="Consolas" w:hAnsi="Consolas" w:cs="Consolas"/>
      <w:sz w:val="20"/>
      <w:szCs w:val="20"/>
    </w:rPr>
  </w:style>
  <w:style w:type="paragraph" w:styleId="HTMLPreformatted">
    <w:name w:val="HTML Preformatted"/>
    <w:basedOn w:val="Normal"/>
    <w:link w:val="HTMLPreformattedChar"/>
    <w:uiPriority w:val="98"/>
    <w:semiHidden/>
    <w:rsid w:val="00FA4F6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A4F6C"/>
    <w:rPr>
      <w:rFonts w:ascii="Consolas" w:hAnsi="Consolas" w:cs="Consolas"/>
      <w:sz w:val="20"/>
      <w:szCs w:val="20"/>
      <w:lang w:val="en-GB"/>
    </w:rPr>
  </w:style>
  <w:style w:type="character" w:styleId="HTMLSample">
    <w:name w:val="HTML Sample"/>
    <w:basedOn w:val="DefaultParagraphFont"/>
    <w:uiPriority w:val="98"/>
    <w:semiHidden/>
    <w:rsid w:val="00FA4F6C"/>
    <w:rPr>
      <w:rFonts w:ascii="Consolas" w:hAnsi="Consolas" w:cs="Consolas"/>
      <w:sz w:val="24"/>
      <w:szCs w:val="24"/>
    </w:rPr>
  </w:style>
  <w:style w:type="character" w:styleId="HTMLTypewriter">
    <w:name w:val="HTML Typewriter"/>
    <w:basedOn w:val="DefaultParagraphFont"/>
    <w:uiPriority w:val="98"/>
    <w:semiHidden/>
    <w:rsid w:val="00FA4F6C"/>
    <w:rPr>
      <w:rFonts w:ascii="Consolas" w:hAnsi="Consolas" w:cs="Consolas"/>
      <w:sz w:val="20"/>
      <w:szCs w:val="20"/>
    </w:rPr>
  </w:style>
  <w:style w:type="character" w:styleId="HTMLVariable">
    <w:name w:val="HTML Variable"/>
    <w:basedOn w:val="DefaultParagraphFont"/>
    <w:uiPriority w:val="98"/>
    <w:semiHidden/>
    <w:rsid w:val="00FA4F6C"/>
    <w:rPr>
      <w:i/>
      <w:iCs/>
    </w:rPr>
  </w:style>
  <w:style w:type="paragraph" w:styleId="Index1">
    <w:name w:val="index 1"/>
    <w:basedOn w:val="Normal"/>
    <w:next w:val="Normal"/>
    <w:autoRedefine/>
    <w:uiPriority w:val="98"/>
    <w:semiHidden/>
    <w:rsid w:val="00FA4F6C"/>
    <w:pPr>
      <w:ind w:left="240" w:hanging="240"/>
    </w:pPr>
  </w:style>
  <w:style w:type="paragraph" w:styleId="Index2">
    <w:name w:val="index 2"/>
    <w:basedOn w:val="Normal"/>
    <w:next w:val="Normal"/>
    <w:autoRedefine/>
    <w:uiPriority w:val="98"/>
    <w:semiHidden/>
    <w:rsid w:val="00FA4F6C"/>
    <w:pPr>
      <w:ind w:left="480" w:hanging="240"/>
    </w:pPr>
  </w:style>
  <w:style w:type="paragraph" w:styleId="Index3">
    <w:name w:val="index 3"/>
    <w:basedOn w:val="Normal"/>
    <w:next w:val="Normal"/>
    <w:autoRedefine/>
    <w:uiPriority w:val="98"/>
    <w:semiHidden/>
    <w:rsid w:val="00FA4F6C"/>
    <w:pPr>
      <w:ind w:left="720" w:hanging="240"/>
    </w:pPr>
  </w:style>
  <w:style w:type="paragraph" w:styleId="Index4">
    <w:name w:val="index 4"/>
    <w:basedOn w:val="Normal"/>
    <w:next w:val="Normal"/>
    <w:autoRedefine/>
    <w:uiPriority w:val="98"/>
    <w:semiHidden/>
    <w:rsid w:val="00FA4F6C"/>
    <w:pPr>
      <w:ind w:left="960" w:hanging="240"/>
    </w:pPr>
  </w:style>
  <w:style w:type="paragraph" w:styleId="Index5">
    <w:name w:val="index 5"/>
    <w:basedOn w:val="Normal"/>
    <w:next w:val="Normal"/>
    <w:autoRedefine/>
    <w:uiPriority w:val="98"/>
    <w:semiHidden/>
    <w:rsid w:val="00FA4F6C"/>
    <w:pPr>
      <w:ind w:left="1200" w:hanging="240"/>
    </w:pPr>
  </w:style>
  <w:style w:type="paragraph" w:styleId="Index6">
    <w:name w:val="index 6"/>
    <w:basedOn w:val="Normal"/>
    <w:next w:val="Normal"/>
    <w:autoRedefine/>
    <w:uiPriority w:val="98"/>
    <w:semiHidden/>
    <w:rsid w:val="00FA4F6C"/>
    <w:pPr>
      <w:ind w:left="1440" w:hanging="240"/>
    </w:pPr>
  </w:style>
  <w:style w:type="paragraph" w:styleId="Index7">
    <w:name w:val="index 7"/>
    <w:basedOn w:val="Normal"/>
    <w:next w:val="Normal"/>
    <w:autoRedefine/>
    <w:uiPriority w:val="98"/>
    <w:semiHidden/>
    <w:rsid w:val="00FA4F6C"/>
    <w:pPr>
      <w:ind w:left="1680" w:hanging="240"/>
    </w:pPr>
  </w:style>
  <w:style w:type="paragraph" w:styleId="Index8">
    <w:name w:val="index 8"/>
    <w:basedOn w:val="Normal"/>
    <w:next w:val="Normal"/>
    <w:autoRedefine/>
    <w:uiPriority w:val="98"/>
    <w:semiHidden/>
    <w:rsid w:val="00FA4F6C"/>
    <w:pPr>
      <w:ind w:left="1920" w:hanging="240"/>
    </w:pPr>
  </w:style>
  <w:style w:type="paragraph" w:styleId="Index9">
    <w:name w:val="index 9"/>
    <w:basedOn w:val="Normal"/>
    <w:next w:val="Normal"/>
    <w:autoRedefine/>
    <w:uiPriority w:val="98"/>
    <w:semiHidden/>
    <w:rsid w:val="00FA4F6C"/>
    <w:pPr>
      <w:ind w:left="2160" w:hanging="240"/>
    </w:pPr>
  </w:style>
  <w:style w:type="paragraph" w:styleId="IndexHeading">
    <w:name w:val="index heading"/>
    <w:basedOn w:val="Normal"/>
    <w:next w:val="Index1"/>
    <w:uiPriority w:val="98"/>
    <w:semiHidden/>
    <w:rsid w:val="00FA4F6C"/>
    <w:rPr>
      <w:rFonts w:asciiTheme="majorHAnsi" w:eastAsiaTheme="majorEastAsia" w:hAnsiTheme="majorHAnsi" w:cstheme="majorBidi"/>
      <w:b/>
      <w:bCs/>
    </w:rPr>
  </w:style>
  <w:style w:type="table" w:customStyle="1" w:styleId="13">
    <w:name w:val="Світла сітка1"/>
    <w:basedOn w:val="TableNormal"/>
    <w:uiPriority w:val="62"/>
    <w:semiHidden/>
    <w:rsid w:val="00FA4F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FA4F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A4F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A4F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A4F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A4F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A4F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FA4F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FA4F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A4F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A4F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A4F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A4F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A4F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FA4F6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FA4F6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A4F6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A4F6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A4F6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A4F6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A4F6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A4F6C"/>
  </w:style>
  <w:style w:type="paragraph" w:styleId="List">
    <w:name w:val="List"/>
    <w:basedOn w:val="Normal"/>
    <w:uiPriority w:val="98"/>
    <w:semiHidden/>
    <w:rsid w:val="00FA4F6C"/>
    <w:pPr>
      <w:ind w:left="283" w:hanging="283"/>
      <w:contextualSpacing/>
    </w:pPr>
  </w:style>
  <w:style w:type="paragraph" w:styleId="List20">
    <w:name w:val="List 2"/>
    <w:basedOn w:val="Normal"/>
    <w:uiPriority w:val="98"/>
    <w:semiHidden/>
    <w:rsid w:val="00FA4F6C"/>
    <w:pPr>
      <w:ind w:left="566" w:hanging="283"/>
      <w:contextualSpacing/>
    </w:pPr>
  </w:style>
  <w:style w:type="paragraph" w:styleId="List30">
    <w:name w:val="List 3"/>
    <w:basedOn w:val="Normal"/>
    <w:uiPriority w:val="98"/>
    <w:semiHidden/>
    <w:rsid w:val="00FA4F6C"/>
    <w:pPr>
      <w:ind w:left="849" w:hanging="283"/>
      <w:contextualSpacing/>
    </w:pPr>
  </w:style>
  <w:style w:type="paragraph" w:styleId="List4">
    <w:name w:val="List 4"/>
    <w:basedOn w:val="Normal"/>
    <w:uiPriority w:val="98"/>
    <w:semiHidden/>
    <w:rsid w:val="00FA4F6C"/>
    <w:pPr>
      <w:ind w:left="1132" w:hanging="283"/>
      <w:contextualSpacing/>
    </w:pPr>
  </w:style>
  <w:style w:type="paragraph" w:styleId="List5">
    <w:name w:val="List 5"/>
    <w:basedOn w:val="Normal"/>
    <w:uiPriority w:val="98"/>
    <w:semiHidden/>
    <w:rsid w:val="00FA4F6C"/>
    <w:pPr>
      <w:ind w:left="1415" w:hanging="283"/>
      <w:contextualSpacing/>
    </w:pPr>
  </w:style>
  <w:style w:type="paragraph" w:styleId="ListBullet2">
    <w:name w:val="List Bullet 2"/>
    <w:basedOn w:val="Normal"/>
    <w:uiPriority w:val="98"/>
    <w:semiHidden/>
    <w:rsid w:val="00FA4F6C"/>
    <w:pPr>
      <w:numPr>
        <w:numId w:val="8"/>
      </w:numPr>
      <w:contextualSpacing/>
    </w:pPr>
  </w:style>
  <w:style w:type="paragraph" w:styleId="ListBullet4">
    <w:name w:val="List Bullet 4"/>
    <w:basedOn w:val="Normal"/>
    <w:uiPriority w:val="98"/>
    <w:semiHidden/>
    <w:rsid w:val="00FA4F6C"/>
    <w:pPr>
      <w:numPr>
        <w:numId w:val="10"/>
      </w:numPr>
      <w:contextualSpacing/>
    </w:pPr>
  </w:style>
  <w:style w:type="paragraph" w:styleId="ListBullet5">
    <w:name w:val="List Bullet 5"/>
    <w:basedOn w:val="Normal"/>
    <w:uiPriority w:val="98"/>
    <w:semiHidden/>
    <w:rsid w:val="00FA4F6C"/>
    <w:pPr>
      <w:numPr>
        <w:numId w:val="11"/>
      </w:numPr>
      <w:contextualSpacing/>
    </w:pPr>
  </w:style>
  <w:style w:type="paragraph" w:styleId="ListContinue">
    <w:name w:val="List Continue"/>
    <w:basedOn w:val="Normal"/>
    <w:uiPriority w:val="98"/>
    <w:semiHidden/>
    <w:rsid w:val="00FA4F6C"/>
    <w:pPr>
      <w:spacing w:after="120"/>
      <w:ind w:left="283"/>
      <w:contextualSpacing/>
    </w:pPr>
  </w:style>
  <w:style w:type="paragraph" w:styleId="ListContinue2">
    <w:name w:val="List Continue 2"/>
    <w:basedOn w:val="Normal"/>
    <w:uiPriority w:val="98"/>
    <w:semiHidden/>
    <w:rsid w:val="00FA4F6C"/>
    <w:pPr>
      <w:spacing w:after="120"/>
      <w:ind w:left="566"/>
      <w:contextualSpacing/>
    </w:pPr>
  </w:style>
  <w:style w:type="paragraph" w:styleId="ListContinue3">
    <w:name w:val="List Continue 3"/>
    <w:basedOn w:val="Normal"/>
    <w:uiPriority w:val="98"/>
    <w:semiHidden/>
    <w:rsid w:val="00FA4F6C"/>
    <w:pPr>
      <w:spacing w:after="120"/>
      <w:ind w:left="849"/>
      <w:contextualSpacing/>
    </w:pPr>
  </w:style>
  <w:style w:type="paragraph" w:styleId="ListContinue4">
    <w:name w:val="List Continue 4"/>
    <w:basedOn w:val="Normal"/>
    <w:uiPriority w:val="98"/>
    <w:semiHidden/>
    <w:rsid w:val="00FA4F6C"/>
    <w:pPr>
      <w:spacing w:after="120"/>
      <w:ind w:left="1132"/>
      <w:contextualSpacing/>
    </w:pPr>
  </w:style>
  <w:style w:type="paragraph" w:styleId="ListContinue5">
    <w:name w:val="List Continue 5"/>
    <w:basedOn w:val="Normal"/>
    <w:uiPriority w:val="98"/>
    <w:semiHidden/>
    <w:rsid w:val="00FA4F6C"/>
    <w:pPr>
      <w:spacing w:after="120"/>
      <w:ind w:left="1415"/>
      <w:contextualSpacing/>
    </w:pPr>
  </w:style>
  <w:style w:type="paragraph" w:styleId="ListNumber">
    <w:name w:val="List Number"/>
    <w:basedOn w:val="Normal"/>
    <w:uiPriority w:val="98"/>
    <w:semiHidden/>
    <w:rsid w:val="00FA4F6C"/>
    <w:pPr>
      <w:numPr>
        <w:numId w:val="12"/>
      </w:numPr>
      <w:contextualSpacing/>
    </w:pPr>
  </w:style>
  <w:style w:type="paragraph" w:styleId="ListNumber2">
    <w:name w:val="List Number 2"/>
    <w:basedOn w:val="Normal"/>
    <w:uiPriority w:val="98"/>
    <w:semiHidden/>
    <w:rsid w:val="00FA4F6C"/>
    <w:pPr>
      <w:numPr>
        <w:numId w:val="13"/>
      </w:numPr>
      <w:contextualSpacing/>
    </w:pPr>
  </w:style>
  <w:style w:type="paragraph" w:styleId="ListNumber3">
    <w:name w:val="List Number 3"/>
    <w:basedOn w:val="Normal"/>
    <w:uiPriority w:val="98"/>
    <w:semiHidden/>
    <w:rsid w:val="00FA4F6C"/>
    <w:pPr>
      <w:numPr>
        <w:numId w:val="14"/>
      </w:numPr>
      <w:contextualSpacing/>
    </w:pPr>
  </w:style>
  <w:style w:type="paragraph" w:styleId="ListNumber4">
    <w:name w:val="List Number 4"/>
    <w:basedOn w:val="Normal"/>
    <w:uiPriority w:val="98"/>
    <w:semiHidden/>
    <w:rsid w:val="00FA4F6C"/>
    <w:pPr>
      <w:numPr>
        <w:numId w:val="15"/>
      </w:numPr>
      <w:contextualSpacing/>
    </w:pPr>
  </w:style>
  <w:style w:type="paragraph" w:styleId="ListNumber5">
    <w:name w:val="List Number 5"/>
    <w:basedOn w:val="Normal"/>
    <w:uiPriority w:val="98"/>
    <w:semiHidden/>
    <w:rsid w:val="00FA4F6C"/>
    <w:pPr>
      <w:numPr>
        <w:numId w:val="16"/>
      </w:numPr>
      <w:contextualSpacing/>
    </w:pPr>
  </w:style>
  <w:style w:type="paragraph" w:styleId="Macro">
    <w:name w:val="macro"/>
    <w:link w:val="MacroTextChar"/>
    <w:uiPriority w:val="98"/>
    <w:semiHidden/>
    <w:rsid w:val="00FA4F6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A4F6C"/>
    <w:rPr>
      <w:rFonts w:ascii="Consolas" w:hAnsi="Consolas" w:eastAsiaTheme="minorEastAsia" w:cs="Consolas"/>
      <w:sz w:val="20"/>
      <w:szCs w:val="20"/>
    </w:rPr>
  </w:style>
  <w:style w:type="table" w:customStyle="1" w:styleId="113">
    <w:name w:val="Середня сітка 11"/>
    <w:basedOn w:val="TableNormal"/>
    <w:uiPriority w:val="67"/>
    <w:semiHidden/>
    <w:rsid w:val="00FA4F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A4F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A4F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A4F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A4F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A4F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A4F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A4F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FA4F6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FA4F6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A4F6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A4F6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A4F6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A4F6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A4F6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A4F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FA4F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FA4F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A4F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A4F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A4F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A4F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A4F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A4F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A4F6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A4F6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A4F6C"/>
    <w:rPr>
      <w:rFonts w:ascii="Times New Roman" w:hAnsi="Times New Roman" w:cs="Times New Roman"/>
    </w:rPr>
  </w:style>
  <w:style w:type="paragraph" w:styleId="NormalIndent">
    <w:name w:val="Normal Indent"/>
    <w:basedOn w:val="Normal"/>
    <w:uiPriority w:val="98"/>
    <w:semiHidden/>
    <w:rsid w:val="00FA4F6C"/>
    <w:pPr>
      <w:ind w:left="720"/>
    </w:pPr>
  </w:style>
  <w:style w:type="paragraph" w:styleId="NoteHeading">
    <w:name w:val="Note Heading"/>
    <w:basedOn w:val="Normal"/>
    <w:next w:val="Normal"/>
    <w:link w:val="NoteHeadingChar"/>
    <w:uiPriority w:val="98"/>
    <w:semiHidden/>
    <w:rsid w:val="00FA4F6C"/>
  </w:style>
  <w:style w:type="character" w:customStyle="1" w:styleId="NoteHeadingChar">
    <w:name w:val="Note Heading Char"/>
    <w:basedOn w:val="DefaultParagraphFont"/>
    <w:link w:val="NoteHeading"/>
    <w:uiPriority w:val="98"/>
    <w:semiHidden/>
    <w:rsid w:val="00FA4F6C"/>
    <w:rPr>
      <w:sz w:val="24"/>
      <w:szCs w:val="24"/>
      <w:lang w:val="en-GB"/>
    </w:rPr>
  </w:style>
  <w:style w:type="character" w:styleId="PlaceholderText">
    <w:name w:val="Placeholder Text"/>
    <w:basedOn w:val="DefaultParagraphFont"/>
    <w:uiPriority w:val="98"/>
    <w:semiHidden/>
    <w:rsid w:val="00FA4F6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A4F6C"/>
    <w:rPr>
      <w:rFonts w:ascii="Consolas" w:hAnsi="Consolas" w:cs="Consolas"/>
      <w:sz w:val="21"/>
      <w:szCs w:val="21"/>
    </w:rPr>
  </w:style>
  <w:style w:type="character" w:customStyle="1" w:styleId="PlainTextChar">
    <w:name w:val="Plain Text Char"/>
    <w:basedOn w:val="DefaultParagraphFont"/>
    <w:link w:val="PlainText"/>
    <w:uiPriority w:val="98"/>
    <w:semiHidden/>
    <w:rsid w:val="00FA4F6C"/>
    <w:rPr>
      <w:rFonts w:ascii="Consolas" w:hAnsi="Consolas" w:cs="Consolas"/>
      <w:sz w:val="21"/>
      <w:szCs w:val="21"/>
      <w:lang w:val="en-GB"/>
    </w:rPr>
  </w:style>
  <w:style w:type="paragraph" w:styleId="Salutation">
    <w:name w:val="Salutation"/>
    <w:basedOn w:val="Normal"/>
    <w:next w:val="Normal"/>
    <w:link w:val="SalutationChar"/>
    <w:uiPriority w:val="98"/>
    <w:semiHidden/>
    <w:rsid w:val="00FA4F6C"/>
  </w:style>
  <w:style w:type="character" w:customStyle="1" w:styleId="SalutationChar">
    <w:name w:val="Salutation Char"/>
    <w:basedOn w:val="DefaultParagraphFont"/>
    <w:link w:val="Salutation"/>
    <w:uiPriority w:val="98"/>
    <w:semiHidden/>
    <w:rsid w:val="00FA4F6C"/>
    <w:rPr>
      <w:sz w:val="24"/>
      <w:szCs w:val="24"/>
      <w:lang w:val="en-GB"/>
    </w:rPr>
  </w:style>
  <w:style w:type="paragraph" w:styleId="Signature0">
    <w:name w:val="Signature"/>
    <w:basedOn w:val="Normal"/>
    <w:link w:val="SignatureChar"/>
    <w:uiPriority w:val="98"/>
    <w:semiHidden/>
    <w:rsid w:val="00FA4F6C"/>
    <w:pPr>
      <w:ind w:left="4252"/>
    </w:pPr>
  </w:style>
  <w:style w:type="character" w:customStyle="1" w:styleId="SignatureChar">
    <w:name w:val="Signature Char"/>
    <w:basedOn w:val="DefaultParagraphFont"/>
    <w:link w:val="Signature0"/>
    <w:uiPriority w:val="98"/>
    <w:semiHidden/>
    <w:rsid w:val="00FA4F6C"/>
    <w:rPr>
      <w:sz w:val="24"/>
      <w:szCs w:val="24"/>
      <w:lang w:val="en-GB"/>
    </w:rPr>
  </w:style>
  <w:style w:type="table" w:styleId="Table3Deffects1">
    <w:name w:val="Table 3D effects 1"/>
    <w:basedOn w:val="TableNormal"/>
    <w:uiPriority w:val="99"/>
    <w:semiHidden/>
    <w:unhideWhenUsed/>
    <w:rsid w:val="00FA4F6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4F6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4F6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4F6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4F6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4F6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4F6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4F6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4F6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4F6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4F6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4F6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4F6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4F6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4F6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4F6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4F6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A4F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4F6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4F6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4F6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4F6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4F6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A4F6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4F6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4F6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4F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4F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4F6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4F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A4F6C"/>
    <w:pPr>
      <w:ind w:left="240" w:hanging="240"/>
    </w:pPr>
  </w:style>
  <w:style w:type="paragraph" w:styleId="TableofFigures">
    <w:name w:val="table of figures"/>
    <w:basedOn w:val="Normal"/>
    <w:next w:val="Normal"/>
    <w:uiPriority w:val="98"/>
    <w:semiHidden/>
    <w:rsid w:val="00FA4F6C"/>
  </w:style>
  <w:style w:type="table" w:styleId="TableProfessional">
    <w:name w:val="Table Professional"/>
    <w:basedOn w:val="TableNormal"/>
    <w:uiPriority w:val="99"/>
    <w:semiHidden/>
    <w:unhideWhenUsed/>
    <w:rsid w:val="00FA4F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4F6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4F6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4F6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4F6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4F6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4F6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4F6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4F6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4F6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A4F6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A4F6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A4F6C"/>
    <w:pPr>
      <w:spacing w:after="100"/>
      <w:ind w:left="1680"/>
    </w:pPr>
  </w:style>
  <w:style w:type="paragraph" w:styleId="TOC9">
    <w:name w:val="toc 9"/>
    <w:basedOn w:val="Normal"/>
    <w:next w:val="Normal"/>
    <w:autoRedefine/>
    <w:uiPriority w:val="98"/>
    <w:semiHidden/>
    <w:rsid w:val="00FA4F6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A4F6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A4F6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A4F6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A4F6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A4F6C"/>
    <w:pPr>
      <w:numPr>
        <w:numId w:val="17"/>
      </w:numPr>
      <w:spacing w:before="60" w:after="60"/>
    </w:pPr>
  </w:style>
  <w:style w:type="paragraph" w:customStyle="1" w:styleId="ECHRBullet2">
    <w:name w:val="ECHR_Bullet_2"/>
    <w:aliases w:val="_Bul_2"/>
    <w:basedOn w:val="ECHRBullet1"/>
    <w:uiPriority w:val="23"/>
    <w:semiHidden/>
    <w:rsid w:val="00FA4F6C"/>
    <w:pPr>
      <w:numPr>
        <w:ilvl w:val="1"/>
      </w:numPr>
    </w:pPr>
  </w:style>
  <w:style w:type="paragraph" w:customStyle="1" w:styleId="ECHRBullet3">
    <w:name w:val="ECHR_Bullet_3"/>
    <w:aliases w:val="_Bul_3"/>
    <w:basedOn w:val="ECHRBullet2"/>
    <w:uiPriority w:val="23"/>
    <w:semiHidden/>
    <w:rsid w:val="00FA4F6C"/>
    <w:pPr>
      <w:numPr>
        <w:ilvl w:val="2"/>
      </w:numPr>
    </w:pPr>
  </w:style>
  <w:style w:type="paragraph" w:customStyle="1" w:styleId="ECHRBullet4">
    <w:name w:val="ECHR_Bullet_4"/>
    <w:aliases w:val="_Bul_4"/>
    <w:basedOn w:val="ECHRBullet3"/>
    <w:uiPriority w:val="23"/>
    <w:semiHidden/>
    <w:rsid w:val="00FA4F6C"/>
    <w:pPr>
      <w:numPr>
        <w:ilvl w:val="3"/>
      </w:numPr>
    </w:pPr>
  </w:style>
  <w:style w:type="paragraph" w:customStyle="1" w:styleId="ECHRConfidential">
    <w:name w:val="ECHR_Confidential"/>
    <w:aliases w:val="_Confidential"/>
    <w:basedOn w:val="Normal"/>
    <w:next w:val="Normal"/>
    <w:uiPriority w:val="42"/>
    <w:semiHidden/>
    <w:qFormat/>
    <w:rsid w:val="00FA4F6C"/>
    <w:pPr>
      <w:jc w:val="right"/>
    </w:pPr>
    <w:rPr>
      <w:color w:val="C00000"/>
      <w:sz w:val="20"/>
    </w:rPr>
  </w:style>
  <w:style w:type="paragraph" w:customStyle="1" w:styleId="ECHRDecisionBody">
    <w:name w:val="ECHR_Decision_Body"/>
    <w:aliases w:val="_Decision_Body"/>
    <w:basedOn w:val="NormalJustified"/>
    <w:uiPriority w:val="54"/>
    <w:semiHidden/>
    <w:rsid w:val="00FA4F6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A4F6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A4F6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A4F6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A4F6C"/>
    <w:pPr>
      <w:jc w:val="right"/>
    </w:pPr>
    <w:rPr>
      <w:sz w:val="20"/>
    </w:rPr>
  </w:style>
  <w:style w:type="paragraph" w:customStyle="1" w:styleId="ECHRHeaderRefIt">
    <w:name w:val="ECHR_Header_Ref_It"/>
    <w:aliases w:val="_Ref_Ital"/>
    <w:basedOn w:val="Normal"/>
    <w:next w:val="ECHRHeaderDate"/>
    <w:uiPriority w:val="43"/>
    <w:semiHidden/>
    <w:qFormat/>
    <w:rsid w:val="00FA4F6C"/>
    <w:pPr>
      <w:jc w:val="right"/>
    </w:pPr>
    <w:rPr>
      <w:i/>
      <w:sz w:val="20"/>
    </w:rPr>
  </w:style>
  <w:style w:type="paragraph" w:customStyle="1" w:styleId="ECHRHeading9">
    <w:name w:val="ECHR_Heading_9"/>
    <w:aliases w:val="_Head_9"/>
    <w:basedOn w:val="Heading9"/>
    <w:uiPriority w:val="17"/>
    <w:semiHidden/>
    <w:rsid w:val="00FA4F6C"/>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A4F6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A4F6C"/>
    <w:pPr>
      <w:numPr>
        <w:numId w:val="18"/>
      </w:numPr>
      <w:spacing w:before="60" w:after="60"/>
    </w:pPr>
  </w:style>
  <w:style w:type="paragraph" w:customStyle="1" w:styleId="ECHRNumberedList2">
    <w:name w:val="ECHR_Numbered_List_2"/>
    <w:aliases w:val="_Num_2"/>
    <w:basedOn w:val="ECHRNumberedList1"/>
    <w:uiPriority w:val="23"/>
    <w:semiHidden/>
    <w:rsid w:val="00FA4F6C"/>
    <w:pPr>
      <w:numPr>
        <w:ilvl w:val="1"/>
      </w:numPr>
    </w:pPr>
  </w:style>
  <w:style w:type="paragraph" w:customStyle="1" w:styleId="ECHRNumberedList3">
    <w:name w:val="ECHR_Numbered_List_3"/>
    <w:aliases w:val="_Num_3"/>
    <w:basedOn w:val="ECHRNumberedList2"/>
    <w:uiPriority w:val="23"/>
    <w:semiHidden/>
    <w:rsid w:val="00FA4F6C"/>
    <w:pPr>
      <w:numPr>
        <w:ilvl w:val="2"/>
      </w:numPr>
    </w:pPr>
  </w:style>
  <w:style w:type="paragraph" w:customStyle="1" w:styleId="ECHRParaHanging">
    <w:name w:val="ECHR_Para_Hanging"/>
    <w:aliases w:val="_Hanging"/>
    <w:basedOn w:val="NormalJustified"/>
    <w:uiPriority w:val="8"/>
    <w:semiHidden/>
    <w:qFormat/>
    <w:rsid w:val="00FA4F6C"/>
    <w:pPr>
      <w:ind w:left="567" w:hanging="567"/>
    </w:pPr>
  </w:style>
  <w:style w:type="paragraph" w:customStyle="1" w:styleId="ECHRParaIndent">
    <w:name w:val="ECHR_Para_Indent"/>
    <w:aliases w:val="_Indent"/>
    <w:basedOn w:val="NormalJustified"/>
    <w:uiPriority w:val="7"/>
    <w:semiHidden/>
    <w:qFormat/>
    <w:rsid w:val="00FA4F6C"/>
    <w:pPr>
      <w:spacing w:before="120" w:after="120"/>
      <w:ind w:left="284"/>
    </w:pPr>
  </w:style>
  <w:style w:type="character" w:customStyle="1" w:styleId="ECHRRed">
    <w:name w:val="ECHR_Red"/>
    <w:aliases w:val="_Red"/>
    <w:basedOn w:val="DefaultParagraphFont"/>
    <w:uiPriority w:val="15"/>
    <w:semiHidden/>
    <w:qFormat/>
    <w:rsid w:val="00FA4F6C"/>
    <w:rPr>
      <w:color w:val="C00000" w:themeColor="accent2"/>
    </w:rPr>
  </w:style>
  <w:style w:type="paragraph" w:customStyle="1" w:styleId="DecList">
    <w:name w:val="Dec_List"/>
    <w:aliases w:val="_List"/>
    <w:basedOn w:val="JuList"/>
    <w:uiPriority w:val="22"/>
    <w:rsid w:val="00FA4F6C"/>
    <w:pPr>
      <w:numPr>
        <w:numId w:val="0"/>
      </w:numPr>
      <w:ind w:left="284"/>
    </w:pPr>
  </w:style>
  <w:style w:type="table" w:customStyle="1" w:styleId="ECHRTable2">
    <w:name w:val="ECHR_Table_2"/>
    <w:basedOn w:val="TableNormal"/>
    <w:uiPriority w:val="99"/>
    <w:rsid w:val="00FA4F6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A4F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A4F6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A4F6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A4F6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A4F6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A4F6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A4F6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A4F6C"/>
    <w:pPr>
      <w:outlineLvl w:val="0"/>
    </w:pPr>
  </w:style>
  <w:style w:type="paragraph" w:customStyle="1" w:styleId="ECHRTitleTOC1">
    <w:name w:val="ECHR_Title_TOC_1"/>
    <w:aliases w:val="_Title_L_TOC"/>
    <w:basedOn w:val="ECHRTitle1"/>
    <w:next w:val="Normal"/>
    <w:uiPriority w:val="27"/>
    <w:semiHidden/>
    <w:qFormat/>
    <w:rsid w:val="00FA4F6C"/>
    <w:pPr>
      <w:outlineLvl w:val="0"/>
    </w:pPr>
  </w:style>
  <w:style w:type="paragraph" w:customStyle="1" w:styleId="ECHRPlaceholder">
    <w:name w:val="ECHR_Placeholder"/>
    <w:aliases w:val="_Placeholder"/>
    <w:basedOn w:val="JuSigned"/>
    <w:uiPriority w:val="31"/>
    <w:rsid w:val="00FA4F6C"/>
    <w:rPr>
      <w:color w:val="FFFFFF"/>
    </w:rPr>
  </w:style>
  <w:style w:type="paragraph" w:customStyle="1" w:styleId="ECHRSpacer">
    <w:name w:val="ECHR_Spacer"/>
    <w:aliases w:val="_Spacer"/>
    <w:basedOn w:val="Normal"/>
    <w:uiPriority w:val="45"/>
    <w:semiHidden/>
    <w:rsid w:val="00FA4F6C"/>
    <w:rPr>
      <w:sz w:val="4"/>
    </w:rPr>
  </w:style>
  <w:style w:type="table" w:customStyle="1" w:styleId="ECHRTableGrey">
    <w:name w:val="ECHR_Table_Grey"/>
    <w:basedOn w:val="TableNormal"/>
    <w:uiPriority w:val="99"/>
    <w:rsid w:val="00FA4F6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FA4F6C"/>
    <w:rPr>
      <w:color w:val="605E5C"/>
      <w:shd w:val="clear" w:color="auto" w:fill="E1DFDD"/>
    </w:rPr>
  </w:style>
  <w:style w:type="character" w:customStyle="1" w:styleId="JuParaChar">
    <w:name w:val="Ju_Para Char"/>
    <w:aliases w:val="_Para Char"/>
    <w:link w:val="JuPara"/>
    <w:uiPriority w:val="4"/>
    <w:rsid w:val="00BB6A3C"/>
    <w:rPr>
      <w:sz w:val="24"/>
      <w:szCs w:val="24"/>
      <w:lang w:val="en-GB"/>
    </w:rPr>
  </w:style>
  <w:style w:type="table" w:customStyle="1" w:styleId="GridTable1Light-Accent11">
    <w:name w:val="Grid Table 1 Light - Accent 11"/>
    <w:basedOn w:val="TableNormal"/>
    <w:uiPriority w:val="46"/>
    <w:semiHidden/>
    <w:rsid w:val="00FA4F6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A4F6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A4F6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A4F6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A4F6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A4F6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A4F6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A4F6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A4F6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A4F6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FA4F6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A4F6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A4F6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A4F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A4F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A4F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A4F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FA4F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A4F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A4F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A4F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A4F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A4F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A4F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FA4F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A4F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A4F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A4F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A4F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A4F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A4F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A4F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FA4F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A4F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A4F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A4F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A4F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A4F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A4F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FA4F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A4F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A4F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FA4F6C"/>
    <w:rPr>
      <w:color w:val="2B579A"/>
      <w:shd w:val="clear" w:color="auto" w:fill="E1DFDD"/>
    </w:rPr>
  </w:style>
  <w:style w:type="table" w:customStyle="1" w:styleId="ListTable1Light1">
    <w:name w:val="List Table 1 Light1"/>
    <w:basedOn w:val="TableNormal"/>
    <w:uiPriority w:val="46"/>
    <w:semiHidden/>
    <w:rsid w:val="00FA4F6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A4F6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A4F6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A4F6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FA4F6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A4F6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A4F6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A4F6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A4F6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A4F6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A4F6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FA4F6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A4F6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A4F6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A4F6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A4F6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A4F6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A4F6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FA4F6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A4F6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A4F6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A4F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A4F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A4F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A4F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FA4F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A4F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A4F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A4F6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A4F6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A4F6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A4F6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A4F6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A4F6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A4F6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A4F6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A4F6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A4F6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A4F6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FA4F6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A4F6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A4F6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A4F6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A4F6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A4F6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A4F6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A4F6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A4F6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A4F6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FA4F6C"/>
    <w:rPr>
      <w:color w:val="2B579A"/>
      <w:shd w:val="clear" w:color="auto" w:fill="E1DFDD"/>
    </w:rPr>
  </w:style>
  <w:style w:type="table" w:customStyle="1" w:styleId="PlainTable11">
    <w:name w:val="Plain Table 11"/>
    <w:basedOn w:val="TableNormal"/>
    <w:uiPriority w:val="41"/>
    <w:semiHidden/>
    <w:rsid w:val="00FA4F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FA4F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A4F6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A4F6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FA4F6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FA4F6C"/>
    <w:rPr>
      <w:u w:val="dotted"/>
    </w:rPr>
  </w:style>
  <w:style w:type="character" w:customStyle="1" w:styleId="SmartLink1">
    <w:name w:val="SmartLink1"/>
    <w:basedOn w:val="DefaultParagraphFont"/>
    <w:uiPriority w:val="99"/>
    <w:semiHidden/>
    <w:unhideWhenUsed/>
    <w:rsid w:val="00FA4F6C"/>
    <w:rPr>
      <w:color w:val="0000FF"/>
      <w:u w:val="single"/>
      <w:shd w:val="clear" w:color="auto" w:fill="F3F2F1"/>
    </w:rPr>
  </w:style>
  <w:style w:type="table" w:customStyle="1" w:styleId="TableGridLight1">
    <w:name w:val="Table Grid Light1"/>
    <w:basedOn w:val="TableNormal"/>
    <w:uiPriority w:val="40"/>
    <w:semiHidden/>
    <w:rsid w:val="00FA4F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ummyStyle">
    <w:name w:val="Dummy_Style"/>
    <w:aliases w:val="_Dummy"/>
    <w:basedOn w:val="Normal"/>
    <w:semiHidden/>
    <w:qFormat/>
    <w:rsid w:val="00FA4F6C"/>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1817</Words>
  <Characters>11048</Characters>
  <Application>Microsoft Office Word</Application>
  <DocSecurity>0</DocSecurity>
  <Lines>245</Lines>
  <Paragraphs>81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2026-06-09T13:21:00Z</cp:lastPrinted>
  <dcterms:created xsi:type="dcterms:W3CDTF">2026-08-18T04:27:00Z</dcterms:created>
  <dcterms:modified xsi:type="dcterms:W3CDTF">2026-08-18T04:27:00Z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1259620</vt:lpwstr>
  </property>
  <property fmtid="{D5CDD505-2E9C-101B-9397-08002B2CF9AE}" pid="3" name="cstLanguage">
    <vt:i4>2057</vt:i4>
  </property>
  <property fmtid="{D5CDD505-2E9C-101B-9397-08002B2CF9AE}" pid="4" name="RegisteredNo">
    <vt:lpwstr>66128/16</vt:lpwstr>
  </property>
</Properties>
</file>