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2517E" w:rsidR="008544F0" w:rsidP="00A2517E" w14:paraId="7A8BA089" w14:textId="77777777">
      <w:pPr>
        <w:jc w:val="center"/>
        <w:rPr>
          <w:rFonts w:ascii="Times New Roman" w:hAnsi="Times New Roman" w:cs="Times New Roman"/>
          <w:noProof/>
          <w:lang w:val="uk-UA"/>
        </w:rPr>
      </w:pPr>
      <w:r w:rsidRPr="00A2517E">
        <w:rPr>
          <w:rFonts w:ascii="Times New Roman" w:hAnsi="Times New Roman" w:cs="Times New Roman"/>
          <w:noProof/>
          <w:lang w:val="uk-UA"/>
        </w:rPr>
        <w:t>ЄВРОПЕЙСЬКИЙ СУД З ПРАВ ЛЮДИНИ</w:t>
      </w:r>
    </w:p>
    <w:p w:rsidRPr="00A2517E" w:rsidR="00A516A0" w:rsidP="00A2517E" w14:paraId="599A971D" w14:textId="77777777">
      <w:pPr>
        <w:jc w:val="center"/>
        <w:rPr>
          <w:rFonts w:ascii="Times New Roman" w:hAnsi="Times New Roman" w:cs="Times New Roman"/>
          <w:noProof/>
          <w:lang w:val="uk-UA"/>
        </w:rPr>
      </w:pPr>
    </w:p>
    <w:p w:rsidRPr="00A2517E" w:rsidR="0098410D" w:rsidP="00A2517E" w14:paraId="1AA40A61" w14:textId="77777777">
      <w:pPr>
        <w:jc w:val="center"/>
        <w:rPr>
          <w:lang w:val="uk-UA"/>
        </w:rPr>
      </w:pPr>
    </w:p>
    <w:p w:rsidRPr="00A2517E" w:rsidR="0098410D" w:rsidP="00A2517E" w14:paraId="222EF2B9" w14:textId="58728E09">
      <w:pPr>
        <w:pStyle w:val="DecHTitle"/>
        <w:rPr>
          <w:lang w:val="uk-UA"/>
        </w:rPr>
      </w:pPr>
      <w:r w:rsidRPr="00A2517E">
        <w:rPr>
          <w:lang w:val="uk-UA"/>
        </w:rPr>
        <w:t>П</w:t>
      </w:r>
      <w:r w:rsidRPr="00A2517E" w:rsidR="00A2517E">
        <w:rPr>
          <w:lang w:val="uk-UA"/>
        </w:rPr>
        <w:t>’</w:t>
      </w:r>
      <w:r w:rsidRPr="00A2517E">
        <w:rPr>
          <w:lang w:val="uk-UA"/>
        </w:rPr>
        <w:t>ЯТА СЕКЦІЯ</w:t>
      </w:r>
    </w:p>
    <w:p w:rsidRPr="00A2517E" w:rsidR="00A516A0" w:rsidP="00A2517E" w14:paraId="7E22619E" w14:textId="77777777">
      <w:pPr>
        <w:pStyle w:val="JuTitle"/>
        <w:rPr>
          <w:color w:val="000000" w:themeColor="text1"/>
          <w:lang w:val="uk-UA"/>
        </w:rPr>
      </w:pPr>
      <w:r w:rsidRPr="00A2517E">
        <w:rPr>
          <w:color w:val="000000" w:themeColor="text1"/>
          <w:lang w:val="uk-UA"/>
        </w:rPr>
        <w:t>СПРАВА «САМАНЮК ПРОТИ УКРАЇНИ»</w:t>
      </w:r>
    </w:p>
    <w:p w:rsidRPr="00A2517E" w:rsidR="008E6217" w:rsidP="00A2517E" w14:paraId="0807F65E" w14:textId="77777777">
      <w:pPr>
        <w:pStyle w:val="JuTitle"/>
        <w:rPr>
          <w:lang w:val="uk-UA"/>
        </w:rPr>
      </w:pPr>
      <w:r w:rsidRPr="00A2517E">
        <w:rPr>
          <w:color w:val="000000" w:themeColor="text1"/>
          <w:lang w:val="uk-UA"/>
        </w:rPr>
        <w:t xml:space="preserve">(CASE OF </w:t>
      </w:r>
      <w:r w:rsidRPr="00A2517E" w:rsidR="008544F0">
        <w:rPr>
          <w:lang w:val="uk-UA"/>
        </w:rPr>
        <w:t>SAMANYUK v. UKRAINE</w:t>
      </w:r>
      <w:r w:rsidRPr="00A2517E">
        <w:rPr>
          <w:lang w:val="uk-UA"/>
        </w:rPr>
        <w:t>)</w:t>
      </w:r>
    </w:p>
    <w:p w:rsidRPr="00A2517E" w:rsidR="00D74888" w:rsidP="00A2517E" w14:paraId="34833350" w14:textId="77777777">
      <w:pPr>
        <w:pStyle w:val="ECHRCoverTitle4"/>
        <w:rPr>
          <w:lang w:val="uk-UA"/>
        </w:rPr>
      </w:pPr>
      <w:r w:rsidRPr="00A2517E">
        <w:rPr>
          <w:lang w:val="uk-UA"/>
        </w:rPr>
        <w:t>(</w:t>
      </w:r>
      <w:r w:rsidRPr="00A2517E" w:rsidR="00A516A0">
        <w:rPr>
          <w:noProof/>
          <w:lang w:val="uk-UA"/>
        </w:rPr>
        <w:t>Заява № </w:t>
      </w:r>
      <w:r w:rsidRPr="00A2517E" w:rsidR="008544F0">
        <w:rPr>
          <w:lang w:val="uk-UA"/>
        </w:rPr>
        <w:t>65686/17</w:t>
      </w:r>
      <w:r w:rsidRPr="00A2517E">
        <w:rPr>
          <w:lang w:val="uk-UA"/>
        </w:rPr>
        <w:t>)</w:t>
      </w:r>
    </w:p>
    <w:p w:rsidRPr="00A2517E" w:rsidR="0098410D" w:rsidP="00A2517E" w14:paraId="285462A0" w14:textId="77777777">
      <w:pPr>
        <w:pStyle w:val="DecHCase"/>
        <w:rPr>
          <w:lang w:val="uk-UA"/>
        </w:rPr>
      </w:pPr>
    </w:p>
    <w:p w:rsidRPr="00A2517E" w:rsidR="0054716E" w:rsidP="00A2517E" w14:paraId="48585071" w14:textId="77777777">
      <w:pPr>
        <w:pStyle w:val="DecHCase"/>
        <w:rPr>
          <w:lang w:val="uk-UA"/>
        </w:rPr>
      </w:pPr>
    </w:p>
    <w:p w:rsidRPr="00A2517E" w:rsidR="0054716E" w:rsidP="00A2517E" w14:paraId="7F12E15A" w14:textId="77777777">
      <w:pPr>
        <w:pStyle w:val="DecHCase"/>
        <w:rPr>
          <w:lang w:val="uk-UA"/>
        </w:rPr>
      </w:pPr>
    </w:p>
    <w:p w:rsidRPr="00A2517E" w:rsidR="0098410D" w:rsidP="00A2517E" w14:paraId="125C45E4" w14:textId="77777777">
      <w:pPr>
        <w:pStyle w:val="DecHCase"/>
        <w:rPr>
          <w:lang w:val="uk-UA"/>
        </w:rPr>
      </w:pPr>
    </w:p>
    <w:p w:rsidRPr="00A2517E" w:rsidR="00AC4CD4" w:rsidP="00A2517E" w14:paraId="78F1E99B" w14:textId="77777777">
      <w:pPr>
        <w:pStyle w:val="DecHCase"/>
        <w:rPr>
          <w:lang w:val="uk-UA"/>
        </w:rPr>
      </w:pPr>
    </w:p>
    <w:p w:rsidRPr="00A2517E" w:rsidR="0098410D" w:rsidP="00A2517E" w14:paraId="739BDED5" w14:textId="77777777">
      <w:pPr>
        <w:pStyle w:val="DecHCase"/>
        <w:rPr>
          <w:lang w:val="uk-UA"/>
        </w:rPr>
      </w:pPr>
    </w:p>
    <w:p w:rsidRPr="00A2517E" w:rsidR="0098410D" w:rsidP="00A2517E" w14:paraId="3DC09793" w14:textId="77777777">
      <w:pPr>
        <w:pStyle w:val="DecHCase"/>
        <w:rPr>
          <w:lang w:val="uk-UA"/>
        </w:rPr>
      </w:pPr>
      <w:r w:rsidRPr="00A2517E">
        <w:rPr>
          <w:lang w:val="uk-UA"/>
        </w:rPr>
        <w:t>РІШЕННЯ</w:t>
      </w:r>
      <w:r w:rsidRPr="00A2517E" w:rsidR="00AC4CD4">
        <w:rPr>
          <w:lang w:val="uk-UA"/>
        </w:rPr>
        <w:br/>
      </w:r>
    </w:p>
    <w:p w:rsidRPr="00A2517E" w:rsidR="0098410D" w:rsidP="00A2517E" w14:paraId="2083C888" w14:textId="77777777">
      <w:pPr>
        <w:pStyle w:val="DecHCase"/>
        <w:rPr>
          <w:lang w:val="uk-UA"/>
        </w:rPr>
      </w:pPr>
      <w:r w:rsidRPr="00A2517E">
        <w:rPr>
          <w:lang w:val="uk-UA"/>
        </w:rPr>
        <w:t>СТРАСБУРГ</w:t>
      </w:r>
    </w:p>
    <w:p w:rsidRPr="00A2517E" w:rsidR="0098410D" w:rsidP="00A2517E" w14:paraId="7AB0D2FC" w14:textId="77777777">
      <w:pPr>
        <w:pStyle w:val="DecHCase"/>
        <w:rPr>
          <w:lang w:val="uk-UA"/>
        </w:rPr>
      </w:pPr>
      <w:r w:rsidRPr="00A2517E">
        <w:rPr>
          <w:rFonts w:ascii="Times New Roman" w:hAnsi="Times New Roman" w:cs="Times New Roman"/>
          <w:lang w:val="uk-UA"/>
        </w:rPr>
        <w:t xml:space="preserve">18 </w:t>
      </w:r>
      <w:r w:rsidRPr="00A2517E" w:rsidR="00A516A0">
        <w:rPr>
          <w:rFonts w:ascii="Times New Roman" w:hAnsi="Times New Roman" w:cs="Times New Roman"/>
          <w:lang w:val="uk-UA"/>
        </w:rPr>
        <w:t>червня</w:t>
      </w:r>
      <w:r w:rsidRPr="00A2517E">
        <w:rPr>
          <w:rFonts w:ascii="Times New Roman" w:hAnsi="Times New Roman" w:cs="Times New Roman"/>
          <w:lang w:val="uk-UA"/>
        </w:rPr>
        <w:t xml:space="preserve"> 2026</w:t>
      </w:r>
      <w:r w:rsidRPr="00A2517E" w:rsidR="00A516A0">
        <w:rPr>
          <w:rFonts w:ascii="Times New Roman" w:hAnsi="Times New Roman" w:cs="Times New Roman"/>
          <w:lang w:val="uk-UA"/>
        </w:rPr>
        <w:t xml:space="preserve"> року</w:t>
      </w:r>
    </w:p>
    <w:p w:rsidRPr="00A2517E" w:rsidR="00AC4CD4" w:rsidP="00A2517E" w14:paraId="6C9AF59F" w14:textId="77777777">
      <w:pPr>
        <w:pStyle w:val="JuPara"/>
        <w:rPr>
          <w:lang w:val="uk-UA"/>
        </w:rPr>
      </w:pPr>
    </w:p>
    <w:p w:rsidRPr="00A2517E" w:rsidR="002422B6" w:rsidP="00A2517E" w14:paraId="0FCDBA25" w14:textId="77777777">
      <w:pPr>
        <w:rPr>
          <w:i/>
          <w:sz w:val="22"/>
          <w:lang w:val="uk-UA"/>
        </w:rPr>
      </w:pPr>
      <w:r w:rsidRPr="00A2517E">
        <w:rPr>
          <w:bCs/>
          <w:i/>
          <w:sz w:val="22"/>
          <w:lang w:val="uk-UA"/>
        </w:rPr>
        <w:t>Це рішення є остаточним, але може підлягати редакційним виправленням</w:t>
      </w:r>
      <w:r w:rsidRPr="00A2517E">
        <w:rPr>
          <w:i/>
          <w:sz w:val="22"/>
          <w:lang w:val="uk-UA"/>
        </w:rPr>
        <w:t>.</w:t>
      </w:r>
    </w:p>
    <w:p w:rsidRPr="00A2517E" w:rsidR="0098410D" w:rsidP="00A2517E" w14:paraId="626AC7C6" w14:textId="77777777">
      <w:pPr>
        <w:rPr>
          <w:lang w:val="uk-UA"/>
        </w:r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2517E" w:rsidR="00A516A0" w:rsidP="00A2517E" w14:paraId="357EE8D2" w14:textId="77777777">
      <w:pPr>
        <w:pStyle w:val="JuCase"/>
        <w:rPr>
          <w:bCs/>
          <w:lang w:val="uk-UA"/>
        </w:rPr>
      </w:pPr>
      <w:r w:rsidRPr="00A2517E">
        <w:rPr>
          <w:lang w:val="uk-UA"/>
        </w:rPr>
        <w:t>У справі «Саманюк проти України»</w:t>
      </w:r>
    </w:p>
    <w:p w:rsidRPr="00A2517E" w:rsidR="00A516A0" w:rsidP="00A2517E" w14:paraId="60B69DB9" w14:textId="050B40E3">
      <w:pPr>
        <w:pStyle w:val="JuCase"/>
        <w:rPr>
          <w:b w:val="0"/>
          <w:lang w:val="uk-UA"/>
        </w:rPr>
      </w:pPr>
      <w:r w:rsidRPr="00A2517E">
        <w:rPr>
          <w:b w:val="0"/>
          <w:lang w:val="uk-UA"/>
        </w:rPr>
        <w:t>Європейський суд з прав людини (П</w:t>
      </w:r>
      <w:r w:rsidRPr="00A2517E" w:rsidR="00A2517E">
        <w:rPr>
          <w:b w:val="0"/>
          <w:lang w:val="uk-UA"/>
        </w:rPr>
        <w:t>’</w:t>
      </w:r>
      <w:r w:rsidRPr="00A2517E">
        <w:rPr>
          <w:b w:val="0"/>
          <w:lang w:val="uk-UA"/>
        </w:rPr>
        <w:t>ята секція), засідаючи комітетом, до складу якого увійшли:</w:t>
      </w:r>
    </w:p>
    <w:p w:rsidRPr="00A2517E" w:rsidR="00A516A0" w:rsidP="00A2517E" w14:paraId="58CDAF74" w14:textId="77777777">
      <w:pPr>
        <w:pStyle w:val="JuCase"/>
        <w:rPr>
          <w:b w:val="0"/>
          <w:i/>
          <w:iCs/>
          <w:lang w:val="uk-UA"/>
        </w:rPr>
      </w:pPr>
      <w:r w:rsidRPr="00A2517E">
        <w:rPr>
          <w:b w:val="0"/>
          <w:lang w:val="uk-UA"/>
        </w:rPr>
        <w:tab/>
        <w:t xml:space="preserve">Марія Елосегі </w:t>
      </w:r>
      <w:r w:rsidRPr="00A2517E">
        <w:rPr>
          <w:b w:val="0"/>
          <w:i/>
          <w:iCs/>
          <w:lang w:val="uk-UA"/>
        </w:rPr>
        <w:t>(María Elósegui)</w:t>
      </w:r>
      <w:r w:rsidRPr="00A2517E">
        <w:rPr>
          <w:b w:val="0"/>
          <w:lang w:val="uk-UA"/>
        </w:rPr>
        <w:t xml:space="preserve">, </w:t>
      </w:r>
      <w:r w:rsidRPr="00A2517E">
        <w:rPr>
          <w:b w:val="0"/>
          <w:i/>
          <w:iCs/>
          <w:lang w:val="uk-UA"/>
        </w:rPr>
        <w:t>Голова,</w:t>
      </w:r>
    </w:p>
    <w:p w:rsidRPr="00A2517E" w:rsidR="00A516A0" w:rsidP="00A2517E" w14:paraId="65D0C889" w14:textId="77777777">
      <w:pPr>
        <w:pStyle w:val="JuCase"/>
        <w:rPr>
          <w:b w:val="0"/>
          <w:lang w:val="uk-UA"/>
        </w:rPr>
      </w:pPr>
      <w:r w:rsidRPr="00A2517E">
        <w:rPr>
          <w:b w:val="0"/>
          <w:lang w:val="uk-UA"/>
        </w:rPr>
        <w:tab/>
        <w:t xml:space="preserve">Андреас Зюнд </w:t>
      </w:r>
      <w:r w:rsidRPr="00A2517E">
        <w:rPr>
          <w:b w:val="0"/>
          <w:i/>
          <w:iCs/>
          <w:lang w:val="uk-UA"/>
        </w:rPr>
        <w:t>(Andreas Zünd)</w:t>
      </w:r>
      <w:r w:rsidRPr="00A2517E">
        <w:rPr>
          <w:b w:val="0"/>
          <w:lang w:val="uk-UA"/>
        </w:rPr>
        <w:t>,</w:t>
      </w:r>
    </w:p>
    <w:p w:rsidRPr="00A2517E" w:rsidR="00A516A0" w:rsidP="00A2517E" w14:paraId="15AA0FFB" w14:textId="77777777">
      <w:pPr>
        <w:pStyle w:val="JuCase"/>
        <w:rPr>
          <w:b w:val="0"/>
          <w:i/>
          <w:lang w:val="uk-UA"/>
        </w:rPr>
      </w:pPr>
      <w:r w:rsidRPr="00A2517E">
        <w:rPr>
          <w:b w:val="0"/>
          <w:lang w:val="uk-UA"/>
        </w:rPr>
        <w:tab/>
        <w:t xml:space="preserve">Микола Гнатовський </w:t>
      </w:r>
      <w:r w:rsidRPr="00A2517E">
        <w:rPr>
          <w:b w:val="0"/>
          <w:i/>
          <w:iCs/>
          <w:lang w:val="uk-UA"/>
        </w:rPr>
        <w:t>(Mykola Gnatovskyy), судді,</w:t>
      </w:r>
    </w:p>
    <w:p w:rsidRPr="00A2517E" w:rsidR="00A516A0" w:rsidP="00A2517E" w14:paraId="3833CC5A" w14:textId="77777777">
      <w:pPr>
        <w:pStyle w:val="JuCase"/>
        <w:ind w:firstLine="0"/>
        <w:rPr>
          <w:b w:val="0"/>
          <w:lang w:val="uk-UA"/>
        </w:rPr>
      </w:pPr>
      <w:r w:rsidRPr="00A2517E">
        <w:rPr>
          <w:b w:val="0"/>
          <w:lang w:val="uk-UA"/>
        </w:rPr>
        <w:t xml:space="preserve">та Мартіна Келлер </w:t>
      </w:r>
      <w:r w:rsidRPr="00A2517E">
        <w:rPr>
          <w:b w:val="0"/>
          <w:i/>
          <w:iCs/>
          <w:lang w:val="uk-UA"/>
        </w:rPr>
        <w:t>(Martina Keller)</w:t>
      </w:r>
      <w:r w:rsidRPr="00A2517E">
        <w:rPr>
          <w:b w:val="0"/>
          <w:lang w:val="uk-UA"/>
        </w:rPr>
        <w:t xml:space="preserve">, </w:t>
      </w:r>
      <w:r w:rsidRPr="00A2517E">
        <w:rPr>
          <w:b w:val="0"/>
          <w:i/>
          <w:iCs/>
          <w:lang w:val="uk-UA"/>
        </w:rPr>
        <w:t>заступник Секретаря секції,</w:t>
      </w:r>
    </w:p>
    <w:p w:rsidRPr="00A2517E" w:rsidR="00A516A0" w:rsidP="00A2517E" w14:paraId="36336D11" w14:textId="77777777">
      <w:pPr>
        <w:pStyle w:val="JuCase"/>
        <w:rPr>
          <w:b w:val="0"/>
          <w:lang w:val="uk-UA"/>
        </w:rPr>
      </w:pPr>
      <w:r w:rsidRPr="00A2517E">
        <w:rPr>
          <w:b w:val="0"/>
          <w:lang w:val="uk-UA"/>
        </w:rPr>
        <w:t>з огляду на:</w:t>
      </w:r>
    </w:p>
    <w:p w:rsidRPr="00A2517E" w:rsidR="00644170" w:rsidP="00A2517E" w14:paraId="6DEBECE1" w14:textId="77777777">
      <w:pPr>
        <w:pStyle w:val="JuPara"/>
        <w:rPr>
          <w:lang w:val="uk-UA"/>
        </w:rPr>
      </w:pPr>
      <w:r w:rsidRPr="00A2517E">
        <w:rPr>
          <w:bCs/>
          <w:lang w:val="uk-UA"/>
        </w:rPr>
        <w:t xml:space="preserve">заяву (№ 65686/17), яку 23 серпня 2017 року подав до Суду проти України на підставі статті 34 Конвенції про захист прав людини і основоположних свобод (далі – Конвенція) громадянин України, пан Яків Якович Саманюк (далі – заявник), 1957 року народження, який проживає у </w:t>
      </w:r>
      <w:r w:rsidRPr="00A2517E">
        <w:rPr>
          <w:lang w:val="uk-UA"/>
        </w:rPr>
        <w:t>с</w:t>
      </w:r>
      <w:r w:rsidRPr="00A2517E">
        <w:rPr>
          <w:lang w:val="uk-UA"/>
        </w:rPr>
        <w:t>.</w:t>
      </w:r>
      <w:r w:rsidRPr="00A2517E">
        <w:rPr>
          <w:bCs/>
          <w:lang w:val="uk-UA"/>
        </w:rPr>
        <w:t> Микуличин</w:t>
      </w:r>
      <w:r w:rsidRPr="00A2517E">
        <w:rPr>
          <w:bCs/>
          <w:lang w:val="uk-UA"/>
        </w:rPr>
        <w:t xml:space="preserve">, </w:t>
      </w:r>
      <w:r w:rsidRPr="00A2517E" w:rsidR="00A4424C">
        <w:rPr>
          <w:bCs/>
          <w:lang w:val="uk-UA"/>
        </w:rPr>
        <w:t xml:space="preserve">та якого </w:t>
      </w:r>
      <w:r w:rsidRPr="00A2517E">
        <w:rPr>
          <w:lang w:val="uk-UA"/>
        </w:rPr>
        <w:t xml:space="preserve">його представляли </w:t>
      </w:r>
      <w:r w:rsidRPr="00A2517E" w:rsidR="00A4424C">
        <w:rPr>
          <w:lang w:val="uk-UA"/>
        </w:rPr>
        <w:br/>
        <w:t xml:space="preserve">пані </w:t>
      </w:r>
      <w:r w:rsidRPr="00A2517E">
        <w:rPr>
          <w:lang w:val="uk-UA"/>
        </w:rPr>
        <w:t xml:space="preserve">В. Лисенко та </w:t>
      </w:r>
      <w:r w:rsidRPr="00A2517E" w:rsidR="00A4424C">
        <w:rPr>
          <w:lang w:val="uk-UA"/>
        </w:rPr>
        <w:t xml:space="preserve">пані </w:t>
      </w:r>
      <w:r w:rsidRPr="00A2517E">
        <w:rPr>
          <w:lang w:val="uk-UA"/>
        </w:rPr>
        <w:t>Г. Захарчук, юристи, які практикують у м. Яремче;</w:t>
      </w:r>
    </w:p>
    <w:p w:rsidRPr="00A2517E" w:rsidR="00644170" w:rsidP="00A2517E" w14:paraId="0EEB6D6D" w14:textId="77777777">
      <w:pPr>
        <w:pStyle w:val="JuPara"/>
        <w:rPr>
          <w:lang w:val="uk-UA"/>
        </w:rPr>
      </w:pPr>
      <w:r w:rsidRPr="00A2517E">
        <w:rPr>
          <w:lang w:val="uk-UA"/>
        </w:rPr>
        <w:t>рішення повідомити Уряд України (далі – Уряд), який представляла його Уповноважений, пані М. Сокоренко, про скарги за статтею 6 Конвенції та статтею 1 Першого протоколу до Конвенції (</w:t>
      </w:r>
      <w:r w:rsidRPr="00A2517E" w:rsidR="009B2DCC">
        <w:rPr>
          <w:lang w:val="uk-UA"/>
        </w:rPr>
        <w:t>стверджуване</w:t>
      </w:r>
      <w:r w:rsidRPr="00A2517E">
        <w:rPr>
          <w:lang w:val="uk-UA"/>
        </w:rPr>
        <w:t xml:space="preserve"> несправедливе судове провадження, у тому числі застосування строку давності, що призвело до протиправного та непропорційного позбавлення заявника земельної ділянки, придбаної у місцевих органів влади), а також визнати решту скарг у заяві неприйнятними;</w:t>
      </w:r>
    </w:p>
    <w:p w:rsidRPr="00A2517E" w:rsidR="00644170" w:rsidP="00A2517E" w14:paraId="78D1A179" w14:textId="77777777">
      <w:pPr>
        <w:pStyle w:val="JuPara"/>
        <w:rPr>
          <w:lang w:val="uk-UA"/>
        </w:rPr>
      </w:pPr>
      <w:r w:rsidRPr="00A2517E">
        <w:rPr>
          <w:lang w:val="uk-UA"/>
        </w:rPr>
        <w:t>рішення запропонувати сторонам подати додаткові зауваження згідно з підпунктом «с» пункту 2 Правила 54 Регламенту Суду стосовно</w:t>
      </w:r>
      <w:r w:rsidRPr="00A2517E" w:rsidR="00526429">
        <w:rPr>
          <w:lang w:val="uk-UA"/>
        </w:rPr>
        <w:t xml:space="preserve"> стверджуваної</w:t>
      </w:r>
      <w:r w:rsidRPr="00A2517E">
        <w:rPr>
          <w:lang w:val="uk-UA"/>
        </w:rPr>
        <w:t xml:space="preserve"> </w:t>
      </w:r>
      <w:r w:rsidRPr="00A2517E">
        <w:rPr>
          <w:lang w:val="uk-UA"/>
        </w:rPr>
        <w:t xml:space="preserve">відсутності достатніх підстав </w:t>
      </w:r>
      <w:r w:rsidRPr="00A2517E">
        <w:rPr>
          <w:lang w:val="uk-UA"/>
        </w:rPr>
        <w:t>в ухвалі</w:t>
      </w:r>
      <w:r w:rsidRPr="00A2517E">
        <w:rPr>
          <w:lang w:val="uk-UA"/>
        </w:rPr>
        <w:t xml:space="preserve"> Верховного Суду про від</w:t>
      </w:r>
      <w:r w:rsidRPr="00A2517E">
        <w:rPr>
          <w:lang w:val="uk-UA"/>
        </w:rPr>
        <w:t xml:space="preserve">мову у </w:t>
      </w:r>
      <w:r w:rsidRPr="00A2517E" w:rsidR="00CF251F">
        <w:rPr>
          <w:lang w:val="uk-UA"/>
        </w:rPr>
        <w:t>допуску</w:t>
      </w:r>
      <w:r w:rsidRPr="00A2517E">
        <w:rPr>
          <w:lang w:val="uk-UA"/>
        </w:rPr>
        <w:t xml:space="preserve"> </w:t>
      </w:r>
      <w:r w:rsidRPr="00A2517E" w:rsidR="00CF251F">
        <w:rPr>
          <w:lang w:val="uk-UA"/>
        </w:rPr>
        <w:t xml:space="preserve">до </w:t>
      </w:r>
      <w:r w:rsidRPr="00A2517E" w:rsidR="00001820">
        <w:rPr>
          <w:lang w:val="uk-UA"/>
        </w:rPr>
        <w:t>провадження</w:t>
      </w:r>
      <w:r w:rsidRPr="00A2517E" w:rsidR="005D0170">
        <w:rPr>
          <w:lang w:val="uk-UA"/>
        </w:rPr>
        <w:t xml:space="preserve"> </w:t>
      </w:r>
      <w:r w:rsidRPr="00A2517E">
        <w:rPr>
          <w:lang w:val="uk-UA"/>
        </w:rPr>
        <w:t xml:space="preserve">заяви </w:t>
      </w:r>
      <w:r w:rsidRPr="00A2517E">
        <w:rPr>
          <w:lang w:val="uk-UA"/>
        </w:rPr>
        <w:t xml:space="preserve">заявника </w:t>
      </w:r>
      <w:r w:rsidRPr="00A2517E" w:rsidR="00CF251F">
        <w:rPr>
          <w:lang w:val="uk-UA"/>
        </w:rPr>
        <w:t xml:space="preserve">про перегляд </w:t>
      </w:r>
      <w:r w:rsidRPr="00A2517E">
        <w:rPr>
          <w:lang w:val="uk-UA"/>
        </w:rPr>
        <w:t xml:space="preserve">на підставі розбіжностей </w:t>
      </w:r>
      <w:r w:rsidRPr="00A2517E" w:rsidR="00001820">
        <w:rPr>
          <w:lang w:val="uk-UA"/>
        </w:rPr>
        <w:t xml:space="preserve">у </w:t>
      </w:r>
      <w:r w:rsidRPr="00A2517E" w:rsidR="005D0170">
        <w:rPr>
          <w:lang w:val="uk-UA"/>
        </w:rPr>
        <w:t>практи</w:t>
      </w:r>
      <w:r w:rsidRPr="00A2517E" w:rsidR="00001820">
        <w:rPr>
          <w:lang w:val="uk-UA"/>
        </w:rPr>
        <w:t>ці</w:t>
      </w:r>
      <w:r w:rsidRPr="00A2517E">
        <w:rPr>
          <w:lang w:val="uk-UA"/>
        </w:rPr>
        <w:t xml:space="preserve">; </w:t>
      </w:r>
      <w:r w:rsidRPr="00A2517E" w:rsidR="00DB0771">
        <w:rPr>
          <w:lang w:val="uk-UA"/>
        </w:rPr>
        <w:t>і</w:t>
      </w:r>
    </w:p>
    <w:p w:rsidRPr="00A2517E" w:rsidR="00CF251F" w:rsidP="00A2517E" w14:paraId="1D2C859C" w14:textId="77777777">
      <w:pPr>
        <w:pStyle w:val="JuPara"/>
        <w:rPr>
          <w:lang w:val="uk-UA"/>
        </w:rPr>
      </w:pPr>
      <w:r w:rsidRPr="00A2517E">
        <w:rPr>
          <w:lang w:val="uk-UA"/>
        </w:rPr>
        <w:t>зауваження сторін та їхні додаткові зауваження;</w:t>
      </w:r>
    </w:p>
    <w:p w:rsidRPr="00A2517E" w:rsidR="00CF251F" w:rsidP="00A2517E" w14:paraId="500E85D1" w14:textId="77777777">
      <w:pPr>
        <w:pStyle w:val="JuPara"/>
        <w:rPr>
          <w:lang w:val="uk-UA"/>
        </w:rPr>
      </w:pPr>
      <w:r w:rsidRPr="00A2517E">
        <w:rPr>
          <w:lang w:val="uk-UA"/>
        </w:rPr>
        <w:t>після обговорення за зачиненими дверима 28 травня 2026 року</w:t>
      </w:r>
    </w:p>
    <w:p w:rsidRPr="00A2517E" w:rsidR="00CF251F" w:rsidP="00A2517E" w14:paraId="58307C17" w14:textId="77777777">
      <w:pPr>
        <w:pStyle w:val="JuPara"/>
        <w:rPr>
          <w:lang w:val="uk-UA"/>
        </w:rPr>
      </w:pPr>
      <w:r w:rsidRPr="00A2517E">
        <w:rPr>
          <w:lang w:val="uk-UA"/>
        </w:rPr>
        <w:t>постановляє таке рішення, що було ухвалено у той день:</w:t>
      </w:r>
    </w:p>
    <w:p w:rsidRPr="00A2517E" w:rsidR="008544F0" w:rsidP="00A2517E" w14:paraId="57155E0A" w14:textId="77777777">
      <w:pPr>
        <w:pStyle w:val="JuHHead"/>
        <w:rPr>
          <w:lang w:val="uk-UA"/>
        </w:rPr>
      </w:pPr>
      <w:r w:rsidRPr="00A2517E">
        <w:rPr>
          <w:lang w:val="uk-UA"/>
        </w:rPr>
        <w:t>ПРЕДМЕТ СПРАВИ</w:t>
      </w:r>
    </w:p>
    <w:p w:rsidRPr="00A2517E" w:rsidR="00CF251F" w:rsidP="00A2517E" w14:paraId="69C57DBF" w14:textId="77777777">
      <w:pPr>
        <w:pStyle w:val="JuPara"/>
        <w:rPr>
          <w:lang w:val="uk-UA"/>
        </w:rPr>
      </w:pPr>
      <w:r w:rsidRPr="00A2517E">
        <w:rPr>
          <w:lang w:val="uk-UA"/>
        </w:rPr>
        <w:t>1</w:t>
      </w:r>
      <w:r w:rsidRPr="00A2517E" w:rsidR="000B2D76">
        <w:rPr>
          <w:lang w:val="uk-UA"/>
        </w:rPr>
        <w:t>.  </w:t>
      </w:r>
      <w:r w:rsidRPr="00A2517E">
        <w:rPr>
          <w:lang w:val="uk-UA"/>
        </w:rPr>
        <w:t>Ця справа стосується визнання недійсним права заявника на земельну ділянку, яку він роками використовував для діяльності кафе, оскільки вона знаходилася в межах смуг відведення залізниці. Заявник скаржився за статтею 6 Конвенції та статтею 1 Першого протоколу до Конвенції.</w:t>
      </w:r>
    </w:p>
    <w:p w:rsidRPr="00A2517E" w:rsidR="000D7230" w:rsidP="00A2517E" w14:paraId="5875F99A" w14:textId="77777777">
      <w:pPr>
        <w:pStyle w:val="JuPara"/>
        <w:rPr>
          <w:lang w:val="uk-UA"/>
        </w:rPr>
      </w:pPr>
      <w:r w:rsidRPr="00A2517E">
        <w:rPr>
          <w:lang w:val="uk-UA"/>
        </w:rPr>
        <w:t>2</w:t>
      </w:r>
      <w:r w:rsidRPr="00A2517E" w:rsidR="000B2D76">
        <w:rPr>
          <w:lang w:val="uk-UA"/>
        </w:rPr>
        <w:t>.  </w:t>
      </w:r>
      <w:r w:rsidRPr="00A2517E">
        <w:rPr>
          <w:lang w:val="uk-UA"/>
        </w:rPr>
        <w:t xml:space="preserve">У 2002 році, після відповідного рішення місцевих органів влади, заявник придбав у них земельну ділянку для будівництва кафе. У 2004 році він також орендував сусідню земельну ділянку для розміщення літньої тераси. Обидві земельні ділянки розташовувалися в безпосередній близькості від залізничної колії. Заявник отримав усі </w:t>
      </w:r>
      <w:r w:rsidRPr="00A2517E">
        <w:rPr>
          <w:lang w:val="uk-UA"/>
        </w:rPr>
        <w:t xml:space="preserve">необхідні погодження та дозволи на свою </w:t>
      </w:r>
      <w:r w:rsidRPr="00A2517E" w:rsidR="00DB0771">
        <w:rPr>
          <w:lang w:val="uk-UA"/>
        </w:rPr>
        <w:t xml:space="preserve">земельну </w:t>
      </w:r>
      <w:r w:rsidRPr="00A2517E">
        <w:rPr>
          <w:lang w:val="uk-UA"/>
        </w:rPr>
        <w:t>ділянку та належним чином оформив своє право власності. Він відкрито використовував земельну ділянку та будівлі для свого бізнесу.</w:t>
      </w:r>
    </w:p>
    <w:p w:rsidRPr="00A2517E" w:rsidR="000D7230" w:rsidP="00A2517E" w14:paraId="40F57465" w14:textId="77777777">
      <w:pPr>
        <w:pStyle w:val="JuPara"/>
        <w:rPr>
          <w:lang w:val="uk-UA"/>
        </w:rPr>
      </w:pPr>
      <w:r w:rsidRPr="00A2517E">
        <w:rPr>
          <w:lang w:val="uk-UA"/>
        </w:rPr>
        <w:t>3.  </w:t>
      </w:r>
      <w:r w:rsidRPr="00A2517E" w:rsidR="004727E9">
        <w:rPr>
          <w:lang w:val="uk-UA"/>
        </w:rPr>
        <w:t xml:space="preserve">Після перевірки у </w:t>
      </w:r>
      <w:r w:rsidRPr="00A2517E">
        <w:rPr>
          <w:lang w:val="uk-UA"/>
        </w:rPr>
        <w:t xml:space="preserve">2014 році </w:t>
      </w:r>
      <w:r w:rsidRPr="00A2517E" w:rsidR="004727E9">
        <w:rPr>
          <w:lang w:val="uk-UA"/>
        </w:rPr>
        <w:t>національн</w:t>
      </w:r>
      <w:r w:rsidRPr="00A2517E" w:rsidR="00DB0771">
        <w:rPr>
          <w:lang w:val="uk-UA"/>
        </w:rPr>
        <w:t>е</w:t>
      </w:r>
      <w:r w:rsidRPr="00A2517E" w:rsidR="004727E9">
        <w:rPr>
          <w:lang w:val="uk-UA"/>
        </w:rPr>
        <w:t xml:space="preserve"> акціонерн</w:t>
      </w:r>
      <w:r w:rsidRPr="00A2517E" w:rsidR="00DB0771">
        <w:rPr>
          <w:lang w:val="uk-UA"/>
        </w:rPr>
        <w:t>е</w:t>
      </w:r>
      <w:r w:rsidRPr="00A2517E" w:rsidR="004727E9">
        <w:rPr>
          <w:lang w:val="uk-UA"/>
        </w:rPr>
        <w:t xml:space="preserve"> товариств</w:t>
      </w:r>
      <w:r w:rsidRPr="00A2517E" w:rsidR="00DB0771">
        <w:rPr>
          <w:lang w:val="uk-UA"/>
        </w:rPr>
        <w:t>о</w:t>
      </w:r>
      <w:r w:rsidRPr="00A2517E" w:rsidR="004727E9">
        <w:rPr>
          <w:lang w:val="uk-UA"/>
        </w:rPr>
        <w:t xml:space="preserve"> «Укрзалізниця»</w:t>
      </w:r>
      <w:r w:rsidRPr="00A2517E" w:rsidR="00255A8E">
        <w:rPr>
          <w:lang w:val="uk-UA"/>
        </w:rPr>
        <w:t xml:space="preserve"> (далі – </w:t>
      </w:r>
      <w:r w:rsidRPr="00A2517E" w:rsidR="004727E9">
        <w:rPr>
          <w:lang w:val="uk-UA"/>
        </w:rPr>
        <w:t>АТ «Укрзалізниця»</w:t>
      </w:r>
      <w:r w:rsidRPr="00A2517E" w:rsidR="00DB0771">
        <w:rPr>
          <w:lang w:val="uk-UA"/>
        </w:rPr>
        <w:t>)</w:t>
      </w:r>
      <w:r w:rsidRPr="00A2517E" w:rsidR="00255A8E">
        <w:rPr>
          <w:lang w:val="uk-UA"/>
        </w:rPr>
        <w:t xml:space="preserve"> </w:t>
      </w:r>
      <w:r w:rsidRPr="00A2517E">
        <w:rPr>
          <w:lang w:val="uk-UA"/>
        </w:rPr>
        <w:t>по</w:t>
      </w:r>
      <w:r w:rsidRPr="00A2517E" w:rsidR="00BD16E1">
        <w:rPr>
          <w:lang w:val="uk-UA"/>
        </w:rPr>
        <w:t xml:space="preserve">дало позов </w:t>
      </w:r>
      <w:r w:rsidRPr="00A2517E">
        <w:rPr>
          <w:lang w:val="uk-UA"/>
        </w:rPr>
        <w:t>про визнання недійсним продажу та оренди зем</w:t>
      </w:r>
      <w:r w:rsidRPr="00A2517E" w:rsidR="00BD16E1">
        <w:rPr>
          <w:lang w:val="uk-UA"/>
        </w:rPr>
        <w:t>е</w:t>
      </w:r>
      <w:r w:rsidRPr="00A2517E">
        <w:rPr>
          <w:lang w:val="uk-UA"/>
        </w:rPr>
        <w:t>л</w:t>
      </w:r>
      <w:r w:rsidRPr="00A2517E" w:rsidR="00BD16E1">
        <w:rPr>
          <w:lang w:val="uk-UA"/>
        </w:rPr>
        <w:t xml:space="preserve">ьної ділянки </w:t>
      </w:r>
      <w:r w:rsidRPr="00A2517E" w:rsidR="00DB0771">
        <w:rPr>
          <w:lang w:val="uk-UA"/>
        </w:rPr>
        <w:t>заявником</w:t>
      </w:r>
      <w:r w:rsidRPr="00A2517E">
        <w:rPr>
          <w:lang w:val="uk-UA"/>
        </w:rPr>
        <w:t>, оскільки ц</w:t>
      </w:r>
      <w:r w:rsidRPr="00A2517E" w:rsidR="00BD16E1">
        <w:rPr>
          <w:lang w:val="uk-UA"/>
        </w:rPr>
        <w:t xml:space="preserve">і земельні ділянки, як </w:t>
      </w:r>
      <w:r w:rsidRPr="00A2517E" w:rsidR="004727E9">
        <w:rPr>
          <w:lang w:val="uk-UA"/>
        </w:rPr>
        <w:t>стверджувалося</w:t>
      </w:r>
      <w:r w:rsidRPr="00A2517E" w:rsidR="00BD16E1">
        <w:rPr>
          <w:lang w:val="uk-UA"/>
        </w:rPr>
        <w:t>, були розташовані в межах смуги відведення залізниці</w:t>
      </w:r>
      <w:r w:rsidRPr="00A2517E">
        <w:rPr>
          <w:lang w:val="uk-UA"/>
        </w:rPr>
        <w:t xml:space="preserve">. </w:t>
      </w:r>
      <w:r w:rsidRPr="00A2517E" w:rsidR="004727E9">
        <w:rPr>
          <w:lang w:val="uk-UA"/>
        </w:rPr>
        <w:t xml:space="preserve">Ключове </w:t>
      </w:r>
      <w:r w:rsidRPr="00A2517E">
        <w:rPr>
          <w:lang w:val="uk-UA"/>
        </w:rPr>
        <w:t>питання</w:t>
      </w:r>
      <w:r w:rsidRPr="00A2517E" w:rsidR="004727E9">
        <w:rPr>
          <w:lang w:val="uk-UA"/>
        </w:rPr>
        <w:t xml:space="preserve"> до</w:t>
      </w:r>
      <w:r w:rsidRPr="00A2517E">
        <w:rPr>
          <w:lang w:val="uk-UA"/>
        </w:rPr>
        <w:t xml:space="preserve"> </w:t>
      </w:r>
      <w:r w:rsidRPr="00A2517E" w:rsidR="004727E9">
        <w:rPr>
          <w:lang w:val="uk-UA"/>
        </w:rPr>
        <w:t>судів полягало у тому</w:t>
      </w:r>
      <w:r w:rsidRPr="00A2517E">
        <w:rPr>
          <w:lang w:val="uk-UA"/>
        </w:rPr>
        <w:t>, чи повинн</w:t>
      </w:r>
      <w:r w:rsidRPr="00A2517E" w:rsidR="00BD16E1">
        <w:rPr>
          <w:lang w:val="uk-UA"/>
        </w:rPr>
        <w:t>о</w:t>
      </w:r>
      <w:r w:rsidRPr="00A2517E">
        <w:rPr>
          <w:lang w:val="uk-UA"/>
        </w:rPr>
        <w:t xml:space="preserve"> бул</w:t>
      </w:r>
      <w:r w:rsidRPr="00A2517E" w:rsidR="00BD16E1">
        <w:rPr>
          <w:lang w:val="uk-UA"/>
        </w:rPr>
        <w:t>о</w:t>
      </w:r>
      <w:r w:rsidRPr="00A2517E">
        <w:rPr>
          <w:lang w:val="uk-UA"/>
        </w:rPr>
        <w:t xml:space="preserve"> </w:t>
      </w:r>
      <w:r w:rsidRPr="00A2517E" w:rsidR="004727E9">
        <w:rPr>
          <w:lang w:val="uk-UA"/>
        </w:rPr>
        <w:t xml:space="preserve">АТ «Укрзалізниця» </w:t>
      </w:r>
      <w:r w:rsidRPr="00A2517E">
        <w:rPr>
          <w:lang w:val="uk-UA"/>
        </w:rPr>
        <w:t>мати належним чином оформлене (зареєстроване) право власності на зем</w:t>
      </w:r>
      <w:r w:rsidRPr="00A2517E" w:rsidR="003A3E84">
        <w:rPr>
          <w:lang w:val="uk-UA"/>
        </w:rPr>
        <w:t>е</w:t>
      </w:r>
      <w:r w:rsidRPr="00A2517E">
        <w:rPr>
          <w:lang w:val="uk-UA"/>
        </w:rPr>
        <w:t>л</w:t>
      </w:r>
      <w:r w:rsidRPr="00A2517E" w:rsidR="003A3E84">
        <w:rPr>
          <w:lang w:val="uk-UA"/>
        </w:rPr>
        <w:t>ьну ділянку</w:t>
      </w:r>
      <w:r w:rsidRPr="00A2517E">
        <w:rPr>
          <w:lang w:val="uk-UA"/>
        </w:rPr>
        <w:t xml:space="preserve">, чи </w:t>
      </w:r>
      <w:r w:rsidRPr="00A2517E" w:rsidR="00DB0771">
        <w:rPr>
          <w:lang w:val="uk-UA"/>
        </w:rPr>
        <w:t xml:space="preserve">було достатньо </w:t>
      </w:r>
      <w:r w:rsidRPr="00A2517E">
        <w:rPr>
          <w:lang w:val="uk-UA"/>
        </w:rPr>
        <w:t>технічн</w:t>
      </w:r>
      <w:r w:rsidRPr="00A2517E" w:rsidR="008D23C1">
        <w:rPr>
          <w:lang w:val="uk-UA"/>
        </w:rPr>
        <w:t>ої</w:t>
      </w:r>
      <w:r w:rsidRPr="00A2517E">
        <w:rPr>
          <w:lang w:val="uk-UA"/>
        </w:rPr>
        <w:t xml:space="preserve"> документаці</w:t>
      </w:r>
      <w:r w:rsidRPr="00A2517E" w:rsidR="008D23C1">
        <w:rPr>
          <w:lang w:val="uk-UA"/>
        </w:rPr>
        <w:t>ї</w:t>
      </w:r>
      <w:r w:rsidRPr="00A2517E">
        <w:rPr>
          <w:lang w:val="uk-UA"/>
        </w:rPr>
        <w:t xml:space="preserve"> на будівництво залізниці, дат</w:t>
      </w:r>
      <w:r w:rsidRPr="00A2517E" w:rsidR="008D23C1">
        <w:rPr>
          <w:lang w:val="uk-UA"/>
        </w:rPr>
        <w:t xml:space="preserve">ованої </w:t>
      </w:r>
      <w:r w:rsidRPr="00A2517E">
        <w:rPr>
          <w:lang w:val="uk-UA"/>
        </w:rPr>
        <w:t xml:space="preserve">1950-ми </w:t>
      </w:r>
      <w:r w:rsidRPr="00A2517E" w:rsidR="008D23C1">
        <w:rPr>
          <w:lang w:val="uk-UA"/>
        </w:rPr>
        <w:t>і</w:t>
      </w:r>
      <w:r w:rsidRPr="00A2517E">
        <w:rPr>
          <w:lang w:val="uk-UA"/>
        </w:rPr>
        <w:t xml:space="preserve"> 1990-ми роками, для підтвердження її прав на зем</w:t>
      </w:r>
      <w:r w:rsidRPr="00A2517E" w:rsidR="008D23C1">
        <w:rPr>
          <w:lang w:val="uk-UA"/>
        </w:rPr>
        <w:t>е</w:t>
      </w:r>
      <w:r w:rsidRPr="00A2517E">
        <w:rPr>
          <w:lang w:val="uk-UA"/>
        </w:rPr>
        <w:t>л</w:t>
      </w:r>
      <w:r w:rsidRPr="00A2517E" w:rsidR="008D23C1">
        <w:rPr>
          <w:lang w:val="uk-UA"/>
        </w:rPr>
        <w:t xml:space="preserve">ьну ділянку </w:t>
      </w:r>
      <w:r w:rsidRPr="00A2517E">
        <w:rPr>
          <w:lang w:val="uk-UA"/>
        </w:rPr>
        <w:t>зі спеціальним статусом «зем</w:t>
      </w:r>
      <w:r w:rsidRPr="00A2517E" w:rsidR="008D23C1">
        <w:rPr>
          <w:lang w:val="uk-UA"/>
        </w:rPr>
        <w:t>е</w:t>
      </w:r>
      <w:r w:rsidRPr="00A2517E">
        <w:rPr>
          <w:lang w:val="uk-UA"/>
        </w:rPr>
        <w:t>л</w:t>
      </w:r>
      <w:r w:rsidRPr="00A2517E" w:rsidR="008D23C1">
        <w:rPr>
          <w:lang w:val="uk-UA"/>
        </w:rPr>
        <w:t>ь</w:t>
      </w:r>
      <w:r w:rsidRPr="00A2517E">
        <w:rPr>
          <w:lang w:val="uk-UA"/>
        </w:rPr>
        <w:t xml:space="preserve"> </w:t>
      </w:r>
      <w:r w:rsidRPr="00A2517E" w:rsidR="008D23C1">
        <w:rPr>
          <w:lang w:val="uk-UA"/>
        </w:rPr>
        <w:t xml:space="preserve">залізничного </w:t>
      </w:r>
      <w:r w:rsidRPr="00A2517E">
        <w:rPr>
          <w:lang w:val="uk-UA"/>
        </w:rPr>
        <w:t xml:space="preserve">транспорту» (див., </w:t>
      </w:r>
      <w:r w:rsidRPr="00A2517E" w:rsidR="008D23C1">
        <w:rPr>
          <w:lang w:val="uk-UA"/>
        </w:rPr>
        <w:t xml:space="preserve">подібну </w:t>
      </w:r>
      <w:r w:rsidRPr="00A2517E">
        <w:rPr>
          <w:lang w:val="uk-UA"/>
        </w:rPr>
        <w:t>факт</w:t>
      </w:r>
      <w:r w:rsidRPr="00A2517E" w:rsidR="008D23C1">
        <w:rPr>
          <w:lang w:val="uk-UA"/>
        </w:rPr>
        <w:t xml:space="preserve">ологічну </w:t>
      </w:r>
      <w:r w:rsidRPr="00A2517E">
        <w:rPr>
          <w:lang w:val="uk-UA"/>
        </w:rPr>
        <w:t>ситуаці</w:t>
      </w:r>
      <w:r w:rsidRPr="00A2517E" w:rsidR="008D23C1">
        <w:rPr>
          <w:lang w:val="uk-UA"/>
        </w:rPr>
        <w:t>ю</w:t>
      </w:r>
      <w:r w:rsidRPr="00A2517E">
        <w:rPr>
          <w:lang w:val="uk-UA"/>
        </w:rPr>
        <w:t xml:space="preserve"> та відповідн</w:t>
      </w:r>
      <w:r w:rsidRPr="00A2517E" w:rsidR="008D23C1">
        <w:rPr>
          <w:lang w:val="uk-UA"/>
        </w:rPr>
        <w:t>е</w:t>
      </w:r>
      <w:r w:rsidRPr="00A2517E">
        <w:rPr>
          <w:lang w:val="uk-UA"/>
        </w:rPr>
        <w:t xml:space="preserve"> національн</w:t>
      </w:r>
      <w:r w:rsidRPr="00A2517E" w:rsidR="008D23C1">
        <w:rPr>
          <w:lang w:val="uk-UA"/>
        </w:rPr>
        <w:t>е</w:t>
      </w:r>
      <w:r w:rsidRPr="00A2517E">
        <w:rPr>
          <w:lang w:val="uk-UA"/>
        </w:rPr>
        <w:t xml:space="preserve"> законодавств</w:t>
      </w:r>
      <w:r w:rsidRPr="00A2517E" w:rsidR="008D23C1">
        <w:rPr>
          <w:lang w:val="uk-UA"/>
        </w:rPr>
        <w:t>о в рішенні у справі</w:t>
      </w:r>
      <w:r w:rsidRPr="00A2517E">
        <w:rPr>
          <w:lang w:val="uk-UA"/>
        </w:rPr>
        <w:t xml:space="preserve"> </w:t>
      </w:r>
      <w:r w:rsidRPr="00A2517E" w:rsidR="008D23C1">
        <w:rPr>
          <w:lang w:val="uk-UA"/>
        </w:rPr>
        <w:t>«</w:t>
      </w:r>
      <w:r w:rsidRPr="00A2517E">
        <w:rPr>
          <w:lang w:val="uk-UA"/>
        </w:rPr>
        <w:t>Дроздик та Мікула проти України</w:t>
      </w:r>
      <w:r w:rsidRPr="00A2517E" w:rsidR="008D23C1">
        <w:rPr>
          <w:lang w:val="uk-UA"/>
        </w:rPr>
        <w:t>»</w:t>
      </w:r>
      <w:r w:rsidRPr="00A2517E" w:rsidR="008D23C1">
        <w:rPr>
          <w:i/>
          <w:iCs/>
          <w:lang w:val="uk-UA"/>
        </w:rPr>
        <w:t xml:space="preserve"> (Drozdyk and Mikula v. Ukraine)</w:t>
      </w:r>
      <w:r w:rsidRPr="00A2517E">
        <w:rPr>
          <w:lang w:val="uk-UA"/>
        </w:rPr>
        <w:t xml:space="preserve">, </w:t>
      </w:r>
      <w:r w:rsidRPr="00A2517E" w:rsidR="008D23C1">
        <w:rPr>
          <w:lang w:val="uk-UA"/>
        </w:rPr>
        <w:t xml:space="preserve">заяви </w:t>
      </w:r>
      <w:r w:rsidRPr="00A2517E">
        <w:rPr>
          <w:lang w:val="uk-UA"/>
        </w:rPr>
        <w:t>№</w:t>
      </w:r>
      <w:r w:rsidRPr="00A2517E" w:rsidR="008D23C1">
        <w:rPr>
          <w:lang w:val="uk-UA"/>
        </w:rPr>
        <w:t> </w:t>
      </w:r>
      <w:r w:rsidRPr="00A2517E">
        <w:rPr>
          <w:lang w:val="uk-UA"/>
        </w:rPr>
        <w:t xml:space="preserve">27849/15 </w:t>
      </w:r>
      <w:r w:rsidRPr="00A2517E" w:rsidR="008D23C1">
        <w:rPr>
          <w:lang w:val="uk-UA"/>
        </w:rPr>
        <w:t>і № </w:t>
      </w:r>
      <w:r w:rsidRPr="00A2517E">
        <w:rPr>
          <w:lang w:val="uk-UA"/>
        </w:rPr>
        <w:t xml:space="preserve">33358/15, </w:t>
      </w:r>
      <w:r w:rsidRPr="00A2517E" w:rsidR="008D23C1">
        <w:rPr>
          <w:lang w:val="uk-UA"/>
        </w:rPr>
        <w:t>пункти</w:t>
      </w:r>
      <w:r w:rsidRPr="00A2517E">
        <w:rPr>
          <w:lang w:val="uk-UA"/>
        </w:rPr>
        <w:t xml:space="preserve"> 8</w:t>
      </w:r>
      <w:r w:rsidRPr="00A2517E" w:rsidR="008D23C1">
        <w:rPr>
          <w:lang w:val="uk-UA"/>
        </w:rPr>
        <w:t xml:space="preserve"> – </w:t>
      </w:r>
      <w:r w:rsidRPr="00A2517E">
        <w:rPr>
          <w:lang w:val="uk-UA"/>
        </w:rPr>
        <w:t>12, 16</w:t>
      </w:r>
      <w:r w:rsidRPr="00A2517E" w:rsidR="008D23C1">
        <w:rPr>
          <w:lang w:val="uk-UA"/>
        </w:rPr>
        <w:t xml:space="preserve"> – </w:t>
      </w:r>
      <w:r w:rsidRPr="00A2517E">
        <w:rPr>
          <w:lang w:val="uk-UA"/>
        </w:rPr>
        <w:t xml:space="preserve">19 </w:t>
      </w:r>
      <w:r w:rsidRPr="00A2517E" w:rsidR="008D23C1">
        <w:rPr>
          <w:lang w:val="uk-UA"/>
        </w:rPr>
        <w:t>і</w:t>
      </w:r>
      <w:r w:rsidRPr="00A2517E">
        <w:rPr>
          <w:lang w:val="uk-UA"/>
        </w:rPr>
        <w:t xml:space="preserve"> 21</w:t>
      </w:r>
      <w:r w:rsidRPr="00A2517E" w:rsidR="008D23C1">
        <w:rPr>
          <w:lang w:val="uk-UA"/>
        </w:rPr>
        <w:t xml:space="preserve"> – </w:t>
      </w:r>
      <w:r w:rsidRPr="00A2517E">
        <w:rPr>
          <w:lang w:val="uk-UA"/>
        </w:rPr>
        <w:t>22,</w:t>
      </w:r>
      <w:r w:rsidRPr="00A2517E" w:rsidR="008D23C1">
        <w:rPr>
          <w:lang w:val="uk-UA"/>
        </w:rPr>
        <w:t xml:space="preserve"> від</w:t>
      </w:r>
      <w:r w:rsidRPr="00A2517E">
        <w:rPr>
          <w:lang w:val="uk-UA"/>
        </w:rPr>
        <w:t xml:space="preserve"> </w:t>
      </w:r>
      <w:r w:rsidRPr="00A2517E" w:rsidR="00586A4D">
        <w:rPr>
          <w:lang w:val="uk-UA"/>
        </w:rPr>
        <w:t xml:space="preserve">24 </w:t>
      </w:r>
      <w:r w:rsidRPr="00A2517E">
        <w:rPr>
          <w:lang w:val="uk-UA"/>
        </w:rPr>
        <w:t xml:space="preserve">жовтня 2024 року). </w:t>
      </w:r>
      <w:r w:rsidRPr="00A2517E" w:rsidR="00ED5BAD">
        <w:rPr>
          <w:lang w:val="uk-UA"/>
        </w:rPr>
        <w:t>В ході</w:t>
      </w:r>
      <w:r w:rsidRPr="00A2517E">
        <w:rPr>
          <w:lang w:val="uk-UA"/>
        </w:rPr>
        <w:t xml:space="preserve"> провадження заявник також стверджував, що </w:t>
      </w:r>
      <w:r w:rsidRPr="00A2517E" w:rsidR="00A216AC">
        <w:rPr>
          <w:lang w:val="uk-UA"/>
        </w:rPr>
        <w:t>АТ</w:t>
      </w:r>
      <w:r w:rsidRPr="00A2517E" w:rsidR="00586A4D">
        <w:rPr>
          <w:lang w:val="uk-UA"/>
        </w:rPr>
        <w:t> </w:t>
      </w:r>
      <w:r w:rsidRPr="00A2517E" w:rsidR="00A216AC">
        <w:rPr>
          <w:lang w:val="uk-UA"/>
        </w:rPr>
        <w:t>«Укрзалізниця»</w:t>
      </w:r>
      <w:r w:rsidRPr="00A2517E">
        <w:rPr>
          <w:lang w:val="uk-UA"/>
        </w:rPr>
        <w:t xml:space="preserve"> пропустил</w:t>
      </w:r>
      <w:r w:rsidRPr="00A2517E" w:rsidR="00ED5BAD">
        <w:rPr>
          <w:lang w:val="uk-UA"/>
        </w:rPr>
        <w:t>о</w:t>
      </w:r>
      <w:r w:rsidRPr="00A2517E">
        <w:rPr>
          <w:lang w:val="uk-UA"/>
        </w:rPr>
        <w:t xml:space="preserve"> встановлений законом трирічний строк позовної давності для подання сво</w:t>
      </w:r>
      <w:r w:rsidRPr="00A2517E" w:rsidR="00ED5BAD">
        <w:rPr>
          <w:lang w:val="uk-UA"/>
        </w:rPr>
        <w:t>го</w:t>
      </w:r>
      <w:r w:rsidRPr="00A2517E">
        <w:rPr>
          <w:lang w:val="uk-UA"/>
        </w:rPr>
        <w:t xml:space="preserve"> позову, який мав об</w:t>
      </w:r>
      <w:r w:rsidRPr="00A2517E" w:rsidR="00ED5BAD">
        <w:rPr>
          <w:lang w:val="uk-UA"/>
        </w:rPr>
        <w:t xml:space="preserve">раховуватися </w:t>
      </w:r>
      <w:r w:rsidRPr="00A2517E">
        <w:rPr>
          <w:lang w:val="uk-UA"/>
        </w:rPr>
        <w:t xml:space="preserve">з дати реєстрації його права власності, а не з дати </w:t>
      </w:r>
      <w:r w:rsidRPr="00A2517E" w:rsidR="00ED5BAD">
        <w:rPr>
          <w:lang w:val="uk-UA"/>
        </w:rPr>
        <w:t xml:space="preserve">проведення </w:t>
      </w:r>
      <w:r w:rsidRPr="00A2517E">
        <w:rPr>
          <w:lang w:val="uk-UA"/>
        </w:rPr>
        <w:t>перевірки 2014 року.</w:t>
      </w:r>
    </w:p>
    <w:p w:rsidRPr="00A2517E" w:rsidR="00632508" w:rsidP="00A2517E" w14:paraId="237F0C4D" w14:textId="77777777">
      <w:pPr>
        <w:pStyle w:val="JuPara"/>
        <w:rPr>
          <w:lang w:val="uk-UA"/>
        </w:rPr>
      </w:pPr>
      <w:r w:rsidRPr="00A2517E">
        <w:rPr>
          <w:lang w:val="uk-UA"/>
        </w:rPr>
        <w:t>4</w:t>
      </w:r>
      <w:r w:rsidRPr="00A2517E" w:rsidR="000B2D76">
        <w:rPr>
          <w:lang w:val="uk-UA"/>
        </w:rPr>
        <w:t>.  </w:t>
      </w:r>
      <w:r w:rsidRPr="00A2517E">
        <w:rPr>
          <w:lang w:val="uk-UA"/>
        </w:rPr>
        <w:t xml:space="preserve">Після двох повторних розглядів справи позовні вимоги </w:t>
      </w:r>
      <w:r w:rsidRPr="00A2517E" w:rsidR="00A216AC">
        <w:rPr>
          <w:lang w:val="uk-UA"/>
        </w:rPr>
        <w:t>АТ</w:t>
      </w:r>
      <w:r w:rsidRPr="00A2517E" w:rsidR="000811DE">
        <w:rPr>
          <w:lang w:val="uk-UA"/>
        </w:rPr>
        <w:t> </w:t>
      </w:r>
      <w:r w:rsidRPr="00A2517E" w:rsidR="00A216AC">
        <w:rPr>
          <w:lang w:val="uk-UA"/>
        </w:rPr>
        <w:t>«Укрзалізниця»</w:t>
      </w:r>
      <w:r w:rsidRPr="00A2517E">
        <w:rPr>
          <w:lang w:val="uk-UA"/>
        </w:rPr>
        <w:t xml:space="preserve"> були зрештою задоволені. Суди встановили, що в технічній документації на будівництво залізниці чітко </w:t>
      </w:r>
      <w:r w:rsidRPr="00A2517E" w:rsidR="006762F3">
        <w:rPr>
          <w:lang w:val="uk-UA"/>
        </w:rPr>
        <w:t xml:space="preserve">вказувалася </w:t>
      </w:r>
      <w:r w:rsidRPr="00A2517E">
        <w:rPr>
          <w:lang w:val="uk-UA"/>
        </w:rPr>
        <w:t xml:space="preserve">ширина смуги відведення залізниці у відповідній місцевості, і це становило достатні підстави для класифікації земельної ділянки як «земель залізничного транспорту». </w:t>
      </w:r>
      <w:r w:rsidRPr="00A2517E" w:rsidR="004B641B">
        <w:rPr>
          <w:lang w:val="uk-UA"/>
        </w:rPr>
        <w:t xml:space="preserve">З огляду на те, що </w:t>
      </w:r>
      <w:r w:rsidRPr="00A2517E">
        <w:rPr>
          <w:lang w:val="uk-UA"/>
        </w:rPr>
        <w:t xml:space="preserve">обидві відповідні земельні ділянки </w:t>
      </w:r>
      <w:r w:rsidRPr="00A2517E" w:rsidR="004B641B">
        <w:rPr>
          <w:lang w:val="uk-UA"/>
        </w:rPr>
        <w:t xml:space="preserve">були </w:t>
      </w:r>
      <w:r w:rsidRPr="00A2517E">
        <w:rPr>
          <w:lang w:val="uk-UA"/>
        </w:rPr>
        <w:t>розташовані в межах цієї смуги відведення і не могли бути передані у приватну власність, суди дійшли висновку, що</w:t>
      </w:r>
      <w:r w:rsidRPr="00A2517E" w:rsidR="00CB3852">
        <w:rPr>
          <w:lang w:val="uk-UA"/>
        </w:rPr>
        <w:t xml:space="preserve"> вони </w:t>
      </w:r>
      <w:r w:rsidRPr="00A2517E" w:rsidR="004B641B">
        <w:rPr>
          <w:lang w:val="uk-UA"/>
        </w:rPr>
        <w:t xml:space="preserve">мали </w:t>
      </w:r>
      <w:r w:rsidRPr="00A2517E" w:rsidR="00CB3852">
        <w:rPr>
          <w:lang w:val="uk-UA"/>
        </w:rPr>
        <w:t xml:space="preserve">бути відчужені </w:t>
      </w:r>
      <w:r w:rsidRPr="00A2517E">
        <w:rPr>
          <w:lang w:val="uk-UA"/>
        </w:rPr>
        <w:t xml:space="preserve">у заявника. Суди також відхилили аргумент заявника щодо строку позовної давності, встановивши, що саме у 2014 році </w:t>
      </w:r>
      <w:r w:rsidRPr="00A2517E" w:rsidR="00A216AC">
        <w:rPr>
          <w:lang w:val="uk-UA"/>
        </w:rPr>
        <w:t>АТ «Укрзалізниця»</w:t>
      </w:r>
      <w:r w:rsidRPr="00A2517E" w:rsidR="004B641B">
        <w:rPr>
          <w:lang w:val="uk-UA"/>
        </w:rPr>
        <w:t xml:space="preserve"> </w:t>
      </w:r>
      <w:r w:rsidRPr="00A2517E">
        <w:rPr>
          <w:lang w:val="uk-UA"/>
        </w:rPr>
        <w:t>дізнал</w:t>
      </w:r>
      <w:r w:rsidRPr="00A2517E" w:rsidR="00CB3852">
        <w:rPr>
          <w:lang w:val="uk-UA"/>
        </w:rPr>
        <w:t>о</w:t>
      </w:r>
      <w:r w:rsidRPr="00A2517E">
        <w:rPr>
          <w:lang w:val="uk-UA"/>
        </w:rPr>
        <w:t>ся про порушення своїх прав на зем</w:t>
      </w:r>
      <w:r w:rsidRPr="00A2517E" w:rsidR="00CB3852">
        <w:rPr>
          <w:lang w:val="uk-UA"/>
        </w:rPr>
        <w:t>е</w:t>
      </w:r>
      <w:r w:rsidRPr="00A2517E">
        <w:rPr>
          <w:lang w:val="uk-UA"/>
        </w:rPr>
        <w:t>л</w:t>
      </w:r>
      <w:r w:rsidRPr="00A2517E" w:rsidR="00CB3852">
        <w:rPr>
          <w:lang w:val="uk-UA"/>
        </w:rPr>
        <w:t>ьну ділянку.</w:t>
      </w:r>
    </w:p>
    <w:p w:rsidRPr="00A2517E" w:rsidR="00CB3852" w:rsidP="00A2517E" w14:paraId="5C07B5FF" w14:textId="77777777">
      <w:pPr>
        <w:pStyle w:val="JuPara"/>
        <w:rPr>
          <w:lang w:val="uk-UA"/>
        </w:rPr>
      </w:pPr>
      <w:r w:rsidRPr="00A2517E">
        <w:rPr>
          <w:lang w:val="uk-UA"/>
        </w:rPr>
        <w:t>5</w:t>
      </w:r>
      <w:r w:rsidRPr="00A2517E" w:rsidR="000B2D76">
        <w:rPr>
          <w:lang w:val="uk-UA"/>
        </w:rPr>
        <w:t>.  </w:t>
      </w:r>
      <w:r w:rsidRPr="00A2517E">
        <w:rPr>
          <w:lang w:val="uk-UA"/>
        </w:rPr>
        <w:t xml:space="preserve">На стадії розгляду справи у Вищому господарському суді України позови щодо оренди та продажу були фактично «розділені» на два провадження. Остаточні постанови були ухвалені Вищим господарським судом України 20 грудня 2016 року та 24 жовтня </w:t>
      </w:r>
      <w:r w:rsidRPr="00A2517E" w:rsidR="00477FA2">
        <w:rPr>
          <w:lang w:val="uk-UA"/>
        </w:rPr>
        <w:t>2017 </w:t>
      </w:r>
      <w:r w:rsidRPr="00A2517E">
        <w:rPr>
          <w:lang w:val="uk-UA"/>
        </w:rPr>
        <w:t>року відповідно.</w:t>
      </w:r>
    </w:p>
    <w:p w:rsidRPr="00A2517E" w:rsidR="00CB3852" w:rsidP="00A2517E" w14:paraId="2EDDD12D" w14:textId="10107605">
      <w:pPr>
        <w:pStyle w:val="JuPara"/>
        <w:rPr>
          <w:lang w:val="uk-UA"/>
        </w:rPr>
      </w:pPr>
      <w:r w:rsidRPr="00A2517E">
        <w:rPr>
          <w:lang w:val="uk-UA"/>
        </w:rPr>
        <w:t>6.  </w:t>
      </w:r>
      <w:r w:rsidRPr="00A2517E">
        <w:rPr>
          <w:lang w:val="uk-UA"/>
        </w:rPr>
        <w:t xml:space="preserve">Заявник звернувся </w:t>
      </w:r>
      <w:r w:rsidRPr="00A2517E" w:rsidR="00B26B61">
        <w:rPr>
          <w:lang w:val="uk-UA"/>
        </w:rPr>
        <w:t>і</w:t>
      </w:r>
      <w:r w:rsidRPr="00A2517E">
        <w:rPr>
          <w:lang w:val="uk-UA"/>
        </w:rPr>
        <w:t xml:space="preserve">з </w:t>
      </w:r>
      <w:r w:rsidRPr="00A2517E" w:rsidR="00B26B61">
        <w:rPr>
          <w:lang w:val="uk-UA"/>
        </w:rPr>
        <w:t>заявою</w:t>
      </w:r>
      <w:r w:rsidRPr="00A2517E">
        <w:rPr>
          <w:lang w:val="uk-UA"/>
        </w:rPr>
        <w:t xml:space="preserve"> про перегляд цих </w:t>
      </w:r>
      <w:r w:rsidRPr="00A2517E" w:rsidR="00B26B61">
        <w:rPr>
          <w:lang w:val="uk-UA"/>
        </w:rPr>
        <w:t xml:space="preserve">постанов </w:t>
      </w:r>
      <w:r w:rsidRPr="00A2517E">
        <w:rPr>
          <w:lang w:val="uk-UA"/>
        </w:rPr>
        <w:t xml:space="preserve">Верховним Судом на підставі </w:t>
      </w:r>
      <w:r w:rsidRPr="00A2517E" w:rsidR="005D0170">
        <w:rPr>
          <w:lang w:val="uk-UA"/>
        </w:rPr>
        <w:t xml:space="preserve">неоднакового </w:t>
      </w:r>
      <w:r w:rsidRPr="00A2517E">
        <w:rPr>
          <w:lang w:val="uk-UA"/>
        </w:rPr>
        <w:t xml:space="preserve">застосування </w:t>
      </w:r>
      <w:r w:rsidRPr="00A2517E" w:rsidR="00E93386">
        <w:rPr>
          <w:lang w:val="uk-UA"/>
        </w:rPr>
        <w:t>законодавства</w:t>
      </w:r>
      <w:r w:rsidRPr="00A2517E">
        <w:rPr>
          <w:lang w:val="uk-UA"/>
        </w:rPr>
        <w:t xml:space="preserve">. Він посилався на </w:t>
      </w:r>
      <w:r w:rsidRPr="00A2517E" w:rsidR="00B26B61">
        <w:rPr>
          <w:lang w:val="uk-UA"/>
        </w:rPr>
        <w:t>де</w:t>
      </w:r>
      <w:r w:rsidRPr="00A2517E">
        <w:rPr>
          <w:lang w:val="uk-UA"/>
        </w:rPr>
        <w:t xml:space="preserve">кілька </w:t>
      </w:r>
      <w:r w:rsidRPr="00A2517E" w:rsidR="00B26B61">
        <w:rPr>
          <w:lang w:val="uk-UA"/>
        </w:rPr>
        <w:t xml:space="preserve">ухвалених раніше </w:t>
      </w:r>
      <w:r w:rsidRPr="00A2517E">
        <w:rPr>
          <w:lang w:val="uk-UA"/>
        </w:rPr>
        <w:t xml:space="preserve">судових </w:t>
      </w:r>
      <w:r w:rsidRPr="00A2517E" w:rsidR="00B26B61">
        <w:rPr>
          <w:lang w:val="uk-UA"/>
        </w:rPr>
        <w:t>постанов</w:t>
      </w:r>
      <w:r w:rsidRPr="00A2517E">
        <w:rPr>
          <w:lang w:val="uk-UA"/>
        </w:rPr>
        <w:t>, які він вважав факт</w:t>
      </w:r>
      <w:r w:rsidRPr="00A2517E" w:rsidR="00B26B61">
        <w:rPr>
          <w:lang w:val="uk-UA"/>
        </w:rPr>
        <w:t>ологі</w:t>
      </w:r>
      <w:r w:rsidRPr="00A2517E">
        <w:rPr>
          <w:lang w:val="uk-UA"/>
        </w:rPr>
        <w:t xml:space="preserve">чно та юридично подібними, з питань як </w:t>
      </w:r>
      <w:r w:rsidRPr="00A2517E" w:rsidR="005D0170">
        <w:rPr>
          <w:lang w:val="uk-UA"/>
        </w:rPr>
        <w:t xml:space="preserve">доведення </w:t>
      </w:r>
      <w:r w:rsidRPr="00A2517E">
        <w:rPr>
          <w:lang w:val="uk-UA"/>
        </w:rPr>
        <w:t xml:space="preserve">права власності, так і застосування строку </w:t>
      </w:r>
      <w:r w:rsidRPr="00A2517E">
        <w:rPr>
          <w:lang w:val="uk-UA"/>
        </w:rPr>
        <w:t xml:space="preserve">позовної давності. </w:t>
      </w:r>
      <w:r w:rsidRPr="00A2517E" w:rsidR="00B26B61">
        <w:rPr>
          <w:lang w:val="uk-UA"/>
        </w:rPr>
        <w:t>Стосовно</w:t>
      </w:r>
      <w:r w:rsidRPr="00A2517E">
        <w:rPr>
          <w:lang w:val="uk-UA"/>
        </w:rPr>
        <w:t xml:space="preserve"> пов</w:t>
      </w:r>
      <w:r w:rsidRPr="00A2517E" w:rsidR="00A2517E">
        <w:rPr>
          <w:lang w:val="uk-UA"/>
        </w:rPr>
        <w:t>’</w:t>
      </w:r>
      <w:r w:rsidRPr="00A2517E">
        <w:rPr>
          <w:lang w:val="uk-UA"/>
        </w:rPr>
        <w:t>язаних з правами власності</w:t>
      </w:r>
      <w:r w:rsidRPr="00A2517E" w:rsidR="00B26B61">
        <w:rPr>
          <w:lang w:val="uk-UA"/>
        </w:rPr>
        <w:t xml:space="preserve"> питань,</w:t>
      </w:r>
      <w:r w:rsidRPr="00A2517E">
        <w:rPr>
          <w:lang w:val="uk-UA"/>
        </w:rPr>
        <w:t xml:space="preserve"> </w:t>
      </w:r>
      <w:r w:rsidRPr="00A2517E" w:rsidR="003A763E">
        <w:rPr>
          <w:lang w:val="uk-UA"/>
        </w:rPr>
        <w:t xml:space="preserve">то </w:t>
      </w:r>
      <w:r w:rsidRPr="00A2517E">
        <w:rPr>
          <w:lang w:val="uk-UA"/>
        </w:rPr>
        <w:t>він з</w:t>
      </w:r>
      <w:r w:rsidRPr="00A2517E" w:rsidR="00B26B61">
        <w:rPr>
          <w:lang w:val="uk-UA"/>
        </w:rPr>
        <w:t>азначив</w:t>
      </w:r>
      <w:r w:rsidRPr="00A2517E">
        <w:rPr>
          <w:lang w:val="uk-UA"/>
        </w:rPr>
        <w:t xml:space="preserve"> справи №</w:t>
      </w:r>
      <w:r w:rsidRPr="00A2517E" w:rsidR="00B26B61">
        <w:rPr>
          <w:lang w:val="uk-UA"/>
        </w:rPr>
        <w:t> </w:t>
      </w:r>
      <w:r w:rsidRPr="00A2517E">
        <w:rPr>
          <w:lang w:val="uk-UA"/>
        </w:rPr>
        <w:t xml:space="preserve">926/1018/14 та </w:t>
      </w:r>
      <w:r w:rsidRPr="00A2517E" w:rsidR="00B26B61">
        <w:rPr>
          <w:lang w:val="uk-UA"/>
        </w:rPr>
        <w:t>№ </w:t>
      </w:r>
      <w:r w:rsidRPr="00A2517E">
        <w:rPr>
          <w:lang w:val="uk-UA"/>
        </w:rPr>
        <w:t xml:space="preserve">926/584/14, в яких Вищий господарський суд </w:t>
      </w:r>
      <w:r w:rsidRPr="00A2517E" w:rsidR="00B26B61">
        <w:rPr>
          <w:lang w:val="uk-UA"/>
        </w:rPr>
        <w:t xml:space="preserve">України </w:t>
      </w:r>
      <w:r w:rsidRPr="00A2517E">
        <w:rPr>
          <w:lang w:val="uk-UA"/>
        </w:rPr>
        <w:t>від</w:t>
      </w:r>
      <w:r w:rsidRPr="00A2517E" w:rsidR="00B26B61">
        <w:rPr>
          <w:lang w:val="uk-UA"/>
        </w:rPr>
        <w:t>мовив у задоволенні</w:t>
      </w:r>
      <w:r w:rsidRPr="00A2517E">
        <w:rPr>
          <w:lang w:val="uk-UA"/>
        </w:rPr>
        <w:t xml:space="preserve"> позов</w:t>
      </w:r>
      <w:r w:rsidRPr="00A2517E" w:rsidR="00B26B61">
        <w:rPr>
          <w:lang w:val="uk-UA"/>
        </w:rPr>
        <w:t>н</w:t>
      </w:r>
      <w:r w:rsidRPr="00A2517E">
        <w:rPr>
          <w:lang w:val="uk-UA"/>
        </w:rPr>
        <w:t>и</w:t>
      </w:r>
      <w:r w:rsidRPr="00A2517E" w:rsidR="00B26B61">
        <w:rPr>
          <w:lang w:val="uk-UA"/>
        </w:rPr>
        <w:t>х вимог</w:t>
      </w:r>
      <w:r w:rsidRPr="00A2517E">
        <w:rPr>
          <w:lang w:val="uk-UA"/>
        </w:rPr>
        <w:t xml:space="preserve"> </w:t>
      </w:r>
      <w:r w:rsidRPr="00A2517E" w:rsidR="00A216AC">
        <w:rPr>
          <w:lang w:val="uk-UA"/>
        </w:rPr>
        <w:t>АТ</w:t>
      </w:r>
      <w:r w:rsidRPr="00A2517E" w:rsidR="003A763E">
        <w:rPr>
          <w:lang w:val="uk-UA"/>
        </w:rPr>
        <w:t> </w:t>
      </w:r>
      <w:r w:rsidRPr="00A2517E" w:rsidR="00A216AC">
        <w:rPr>
          <w:lang w:val="uk-UA"/>
        </w:rPr>
        <w:t>«Укрзалізниця»</w:t>
      </w:r>
      <w:r w:rsidRPr="00A2517E" w:rsidR="00B26B61">
        <w:rPr>
          <w:lang w:val="uk-UA"/>
        </w:rPr>
        <w:t xml:space="preserve"> </w:t>
      </w:r>
      <w:r w:rsidRPr="00A2517E">
        <w:rPr>
          <w:lang w:val="uk-UA"/>
        </w:rPr>
        <w:t>щодо певних земельних ділянок у Чернівецькій області, які</w:t>
      </w:r>
      <w:r w:rsidRPr="00A2517E" w:rsidR="00B26B61">
        <w:rPr>
          <w:lang w:val="uk-UA"/>
        </w:rPr>
        <w:t xml:space="preserve">, як стверджувалося, </w:t>
      </w:r>
      <w:r w:rsidRPr="00A2517E">
        <w:rPr>
          <w:lang w:val="uk-UA"/>
        </w:rPr>
        <w:t xml:space="preserve">належали до </w:t>
      </w:r>
      <w:r w:rsidRPr="00A2517E" w:rsidR="00B26B61">
        <w:rPr>
          <w:lang w:val="uk-UA"/>
        </w:rPr>
        <w:t xml:space="preserve">смуг </w:t>
      </w:r>
      <w:r w:rsidRPr="00A2517E">
        <w:rPr>
          <w:lang w:val="uk-UA"/>
        </w:rPr>
        <w:t>від</w:t>
      </w:r>
      <w:r w:rsidRPr="00A2517E" w:rsidR="00B26B61">
        <w:rPr>
          <w:lang w:val="uk-UA"/>
        </w:rPr>
        <w:t>ведення з</w:t>
      </w:r>
      <w:r w:rsidRPr="00A2517E">
        <w:rPr>
          <w:lang w:val="uk-UA"/>
        </w:rPr>
        <w:t>алізниц</w:t>
      </w:r>
      <w:r w:rsidRPr="00A2517E" w:rsidR="00B26B61">
        <w:rPr>
          <w:lang w:val="uk-UA"/>
        </w:rPr>
        <w:t>і</w:t>
      </w:r>
      <w:r w:rsidRPr="00A2517E">
        <w:rPr>
          <w:lang w:val="uk-UA"/>
        </w:rPr>
        <w:t>, на підставі</w:t>
      </w:r>
      <w:r w:rsidRPr="00A2517E" w:rsidR="00B26B61">
        <w:rPr>
          <w:lang w:val="uk-UA"/>
        </w:rPr>
        <w:t xml:space="preserve"> того</w:t>
      </w:r>
      <w:r w:rsidRPr="00A2517E">
        <w:rPr>
          <w:lang w:val="uk-UA"/>
        </w:rPr>
        <w:t xml:space="preserve">, що </w:t>
      </w:r>
      <w:r w:rsidRPr="00A2517E" w:rsidR="00A216AC">
        <w:rPr>
          <w:lang w:val="uk-UA"/>
        </w:rPr>
        <w:t>АТ «Укрзалізниця»</w:t>
      </w:r>
      <w:r w:rsidRPr="00A2517E">
        <w:rPr>
          <w:lang w:val="uk-UA"/>
        </w:rPr>
        <w:t xml:space="preserve"> не довел</w:t>
      </w:r>
      <w:r w:rsidRPr="00A2517E" w:rsidR="00B26B61">
        <w:rPr>
          <w:lang w:val="uk-UA"/>
        </w:rPr>
        <w:t>о</w:t>
      </w:r>
      <w:r w:rsidRPr="00A2517E">
        <w:rPr>
          <w:lang w:val="uk-UA"/>
        </w:rPr>
        <w:t>, що вон</w:t>
      </w:r>
      <w:r w:rsidRPr="00A2517E" w:rsidR="00B26B61">
        <w:rPr>
          <w:lang w:val="uk-UA"/>
        </w:rPr>
        <w:t>о</w:t>
      </w:r>
      <w:r w:rsidRPr="00A2517E">
        <w:rPr>
          <w:lang w:val="uk-UA"/>
        </w:rPr>
        <w:t xml:space="preserve"> належним чином оформил</w:t>
      </w:r>
      <w:r w:rsidRPr="00A2517E" w:rsidR="00B26B61">
        <w:rPr>
          <w:lang w:val="uk-UA"/>
        </w:rPr>
        <w:t xml:space="preserve">о </w:t>
      </w:r>
      <w:r w:rsidRPr="00A2517E">
        <w:rPr>
          <w:lang w:val="uk-UA"/>
        </w:rPr>
        <w:t>свої права на цю зем</w:t>
      </w:r>
      <w:r w:rsidRPr="00A2517E" w:rsidR="00B26B61">
        <w:rPr>
          <w:lang w:val="uk-UA"/>
        </w:rPr>
        <w:t>е</w:t>
      </w:r>
      <w:r w:rsidRPr="00A2517E">
        <w:rPr>
          <w:lang w:val="uk-UA"/>
        </w:rPr>
        <w:t>л</w:t>
      </w:r>
      <w:r w:rsidRPr="00A2517E" w:rsidR="00B26B61">
        <w:rPr>
          <w:lang w:val="uk-UA"/>
        </w:rPr>
        <w:t>ьну ділянку</w:t>
      </w:r>
      <w:r w:rsidRPr="00A2517E">
        <w:rPr>
          <w:lang w:val="uk-UA"/>
        </w:rPr>
        <w:t>, та прямо від</w:t>
      </w:r>
      <w:r w:rsidRPr="00A2517E" w:rsidR="00B26B61">
        <w:rPr>
          <w:lang w:val="uk-UA"/>
        </w:rPr>
        <w:t xml:space="preserve">хиливши </w:t>
      </w:r>
      <w:r w:rsidRPr="00A2517E">
        <w:rPr>
          <w:lang w:val="uk-UA"/>
        </w:rPr>
        <w:t>у зв</w:t>
      </w:r>
      <w:r w:rsidRPr="00A2517E" w:rsidR="00A2517E">
        <w:rPr>
          <w:lang w:val="uk-UA"/>
        </w:rPr>
        <w:t>’</w:t>
      </w:r>
      <w:r w:rsidRPr="00A2517E">
        <w:rPr>
          <w:lang w:val="uk-UA"/>
        </w:rPr>
        <w:t>язку з цим посилання на технічну документацію щодо будівництва залізниці.</w:t>
      </w:r>
    </w:p>
    <w:p w:rsidRPr="00A2517E" w:rsidR="00EC1B49" w:rsidP="00A2517E" w14:paraId="0EAE8783" w14:textId="31ADF640">
      <w:pPr>
        <w:pStyle w:val="JuPara"/>
        <w:rPr>
          <w:lang w:val="uk-UA"/>
        </w:rPr>
      </w:pPr>
      <w:r w:rsidRPr="00A2517E">
        <w:rPr>
          <w:lang w:val="uk-UA"/>
        </w:rPr>
        <w:t>7.  </w:t>
      </w:r>
      <w:r w:rsidRPr="00A2517E" w:rsidR="005D0170">
        <w:rPr>
          <w:lang w:val="uk-UA"/>
        </w:rPr>
        <w:t xml:space="preserve">В </w:t>
      </w:r>
      <w:r w:rsidRPr="00A2517E" w:rsidR="00BE7384">
        <w:rPr>
          <w:lang w:val="uk-UA"/>
        </w:rPr>
        <w:t>ухвалах</w:t>
      </w:r>
      <w:r w:rsidRPr="00A2517E">
        <w:rPr>
          <w:lang w:val="uk-UA"/>
        </w:rPr>
        <w:t xml:space="preserve"> від 10 березня 2017 року та </w:t>
      </w:r>
      <w:r w:rsidRPr="00A2517E" w:rsidR="00056259">
        <w:rPr>
          <w:lang w:val="uk-UA"/>
        </w:rPr>
        <w:t>0</w:t>
      </w:r>
      <w:r w:rsidRPr="00A2517E">
        <w:rPr>
          <w:lang w:val="uk-UA"/>
        </w:rPr>
        <w:t xml:space="preserve">1 березня 2018 року Верховний Суд відмовив у </w:t>
      </w:r>
      <w:r w:rsidRPr="00A2517E" w:rsidR="00076D11">
        <w:rPr>
          <w:lang w:val="uk-UA"/>
        </w:rPr>
        <w:t>допуску справи до</w:t>
      </w:r>
      <w:r w:rsidRPr="00A2517E">
        <w:rPr>
          <w:lang w:val="uk-UA"/>
        </w:rPr>
        <w:t xml:space="preserve"> провадження </w:t>
      </w:r>
      <w:r w:rsidRPr="00A2517E" w:rsidR="005D0170">
        <w:rPr>
          <w:lang w:val="uk-UA"/>
        </w:rPr>
        <w:t>у зв</w:t>
      </w:r>
      <w:r w:rsidRPr="00A2517E" w:rsidR="00A2517E">
        <w:rPr>
          <w:lang w:val="uk-UA"/>
        </w:rPr>
        <w:t>’</w:t>
      </w:r>
      <w:r w:rsidRPr="00A2517E" w:rsidR="005D0170">
        <w:rPr>
          <w:lang w:val="uk-UA"/>
        </w:rPr>
        <w:t>язку з поданими</w:t>
      </w:r>
      <w:r w:rsidRPr="00A2517E" w:rsidR="00076D11">
        <w:rPr>
          <w:lang w:val="uk-UA"/>
        </w:rPr>
        <w:t xml:space="preserve"> </w:t>
      </w:r>
      <w:r w:rsidRPr="00A2517E" w:rsidR="005D0170">
        <w:rPr>
          <w:lang w:val="uk-UA"/>
        </w:rPr>
        <w:t>заявником заявами</w:t>
      </w:r>
      <w:r w:rsidRPr="00A2517E">
        <w:rPr>
          <w:lang w:val="uk-UA"/>
        </w:rPr>
        <w:t xml:space="preserve">. </w:t>
      </w:r>
      <w:r w:rsidRPr="00A2517E" w:rsidR="00076D11">
        <w:rPr>
          <w:lang w:val="uk-UA"/>
        </w:rPr>
        <w:t>В ухвалі</w:t>
      </w:r>
      <w:r w:rsidRPr="00A2517E">
        <w:rPr>
          <w:lang w:val="uk-UA"/>
        </w:rPr>
        <w:t xml:space="preserve"> від </w:t>
      </w:r>
      <w:r w:rsidRPr="00A2517E" w:rsidR="00076D11">
        <w:rPr>
          <w:lang w:val="uk-UA"/>
        </w:rPr>
        <w:t>0</w:t>
      </w:r>
      <w:r w:rsidRPr="00A2517E">
        <w:rPr>
          <w:lang w:val="uk-UA"/>
        </w:rPr>
        <w:t xml:space="preserve">1 березня 2018 року, </w:t>
      </w:r>
      <w:r w:rsidRPr="00A2517E" w:rsidR="00076D11">
        <w:rPr>
          <w:lang w:val="uk-UA"/>
        </w:rPr>
        <w:t xml:space="preserve">постановленій </w:t>
      </w:r>
      <w:r w:rsidRPr="00A2517E">
        <w:rPr>
          <w:lang w:val="uk-UA"/>
        </w:rPr>
        <w:t>у справі щодо продажу зем</w:t>
      </w:r>
      <w:r w:rsidRPr="00A2517E" w:rsidR="00076D11">
        <w:rPr>
          <w:lang w:val="uk-UA"/>
        </w:rPr>
        <w:t>е</w:t>
      </w:r>
      <w:r w:rsidRPr="00A2517E">
        <w:rPr>
          <w:lang w:val="uk-UA"/>
        </w:rPr>
        <w:t>л</w:t>
      </w:r>
      <w:r w:rsidRPr="00A2517E" w:rsidR="00076D11">
        <w:rPr>
          <w:lang w:val="uk-UA"/>
        </w:rPr>
        <w:t>ьної ділянки</w:t>
      </w:r>
      <w:r w:rsidRPr="00A2517E">
        <w:rPr>
          <w:lang w:val="uk-UA"/>
        </w:rPr>
        <w:t xml:space="preserve">, Верховний Суд спочатку наголосив, що його юрисдикція </w:t>
      </w:r>
      <w:r w:rsidRPr="00A2517E" w:rsidR="005D0170">
        <w:rPr>
          <w:lang w:val="uk-UA"/>
        </w:rPr>
        <w:t>полягала</w:t>
      </w:r>
      <w:r w:rsidRPr="00A2517E" w:rsidR="00076D11">
        <w:rPr>
          <w:lang w:val="uk-UA"/>
        </w:rPr>
        <w:t>,</w:t>
      </w:r>
      <w:r w:rsidRPr="00A2517E">
        <w:rPr>
          <w:lang w:val="uk-UA"/>
        </w:rPr>
        <w:t xml:space="preserve"> головним чином</w:t>
      </w:r>
      <w:r w:rsidRPr="00A2517E" w:rsidR="00076D11">
        <w:rPr>
          <w:lang w:val="uk-UA"/>
        </w:rPr>
        <w:t>,</w:t>
      </w:r>
      <w:r w:rsidRPr="00A2517E">
        <w:rPr>
          <w:lang w:val="uk-UA"/>
        </w:rPr>
        <w:t xml:space="preserve"> у </w:t>
      </w:r>
      <w:r w:rsidRPr="00A2517E" w:rsidR="00076D11">
        <w:rPr>
          <w:lang w:val="uk-UA"/>
        </w:rPr>
        <w:t>розв</w:t>
      </w:r>
      <w:r w:rsidRPr="00A2517E" w:rsidR="00A2517E">
        <w:rPr>
          <w:lang w:val="uk-UA"/>
        </w:rPr>
        <w:t>’</w:t>
      </w:r>
      <w:r w:rsidRPr="00A2517E" w:rsidR="00076D11">
        <w:rPr>
          <w:lang w:val="uk-UA"/>
        </w:rPr>
        <w:t xml:space="preserve">язанні </w:t>
      </w:r>
      <w:r w:rsidRPr="00A2517E">
        <w:rPr>
          <w:lang w:val="uk-UA"/>
        </w:rPr>
        <w:t>невідповідностей</w:t>
      </w:r>
      <w:r w:rsidRPr="00A2517E">
        <w:rPr>
          <w:lang w:val="uk-UA"/>
        </w:rPr>
        <w:t xml:space="preserve"> національн</w:t>
      </w:r>
      <w:r w:rsidRPr="00A2517E" w:rsidR="00076D11">
        <w:rPr>
          <w:lang w:val="uk-UA"/>
        </w:rPr>
        <w:t xml:space="preserve">ої </w:t>
      </w:r>
      <w:r w:rsidRPr="00A2517E">
        <w:rPr>
          <w:lang w:val="uk-UA"/>
        </w:rPr>
        <w:t>судов</w:t>
      </w:r>
      <w:r w:rsidRPr="00A2517E" w:rsidR="00076D11">
        <w:rPr>
          <w:lang w:val="uk-UA"/>
        </w:rPr>
        <w:t xml:space="preserve">ої </w:t>
      </w:r>
      <w:r w:rsidRPr="00A2517E">
        <w:rPr>
          <w:lang w:val="uk-UA"/>
        </w:rPr>
        <w:t>практи</w:t>
      </w:r>
      <w:r w:rsidRPr="00A2517E" w:rsidR="00076D11">
        <w:rPr>
          <w:lang w:val="uk-UA"/>
        </w:rPr>
        <w:t>ки</w:t>
      </w:r>
      <w:r w:rsidRPr="00A2517E">
        <w:rPr>
          <w:lang w:val="uk-UA"/>
        </w:rPr>
        <w:t xml:space="preserve"> </w:t>
      </w:r>
      <w:r w:rsidRPr="00A2517E" w:rsidR="00076D11">
        <w:rPr>
          <w:lang w:val="uk-UA"/>
        </w:rPr>
        <w:t xml:space="preserve">у спосіб надання рекомендацій </w:t>
      </w:r>
      <w:r w:rsidRPr="00A2517E">
        <w:rPr>
          <w:lang w:val="uk-UA"/>
        </w:rPr>
        <w:t xml:space="preserve">судам нижчих інстанцій </w:t>
      </w:r>
      <w:r w:rsidRPr="00A2517E" w:rsidR="00076D11">
        <w:rPr>
          <w:lang w:val="uk-UA"/>
        </w:rPr>
        <w:t>щодо</w:t>
      </w:r>
      <w:r w:rsidRPr="00A2517E">
        <w:rPr>
          <w:lang w:val="uk-UA"/>
        </w:rPr>
        <w:t xml:space="preserve"> застосуванн</w:t>
      </w:r>
      <w:r w:rsidRPr="00A2517E" w:rsidR="00076D11">
        <w:rPr>
          <w:lang w:val="uk-UA"/>
        </w:rPr>
        <w:t>я</w:t>
      </w:r>
      <w:r w:rsidRPr="00A2517E">
        <w:rPr>
          <w:lang w:val="uk-UA"/>
        </w:rPr>
        <w:t xml:space="preserve"> </w:t>
      </w:r>
      <w:r w:rsidRPr="00A2517E" w:rsidR="00076D11">
        <w:rPr>
          <w:lang w:val="uk-UA"/>
        </w:rPr>
        <w:t xml:space="preserve">законодавства </w:t>
      </w:r>
      <w:r w:rsidRPr="00A2517E">
        <w:rPr>
          <w:lang w:val="uk-UA"/>
        </w:rPr>
        <w:t xml:space="preserve">в аналогічних </w:t>
      </w:r>
      <w:r w:rsidRPr="00A2517E" w:rsidR="00076D11">
        <w:rPr>
          <w:lang w:val="uk-UA"/>
        </w:rPr>
        <w:t>юридичних</w:t>
      </w:r>
      <w:r w:rsidRPr="00A2517E">
        <w:rPr>
          <w:lang w:val="uk-UA"/>
        </w:rPr>
        <w:t xml:space="preserve"> питаннях. Потім він повторив висновки судів нижчих інстанцій у справі заявника та у тих справах, які він навів як приклади </w:t>
      </w:r>
      <w:r w:rsidRPr="00A2517E" w:rsidR="005D0170">
        <w:rPr>
          <w:lang w:val="uk-UA"/>
        </w:rPr>
        <w:t xml:space="preserve">неоднакового </w:t>
      </w:r>
      <w:r w:rsidRPr="00A2517E">
        <w:rPr>
          <w:lang w:val="uk-UA"/>
        </w:rPr>
        <w:t xml:space="preserve">застосування </w:t>
      </w:r>
      <w:r w:rsidRPr="00A2517E" w:rsidR="00E93386">
        <w:rPr>
          <w:lang w:val="uk-UA"/>
        </w:rPr>
        <w:t>законодавства</w:t>
      </w:r>
      <w:r w:rsidRPr="00A2517E">
        <w:rPr>
          <w:lang w:val="uk-UA"/>
        </w:rPr>
        <w:t xml:space="preserve">, </w:t>
      </w:r>
      <w:r w:rsidRPr="00A2517E" w:rsidR="00076D11">
        <w:rPr>
          <w:lang w:val="uk-UA"/>
        </w:rPr>
        <w:t xml:space="preserve">у тому числі </w:t>
      </w:r>
      <w:r w:rsidRPr="00A2517E" w:rsidR="004A3EE4">
        <w:rPr>
          <w:lang w:val="uk-UA"/>
        </w:rPr>
        <w:t xml:space="preserve">згаданих </w:t>
      </w:r>
      <w:r w:rsidRPr="00A2517E">
        <w:rPr>
          <w:lang w:val="uk-UA"/>
        </w:rPr>
        <w:t>справ</w:t>
      </w:r>
      <w:r w:rsidRPr="00A2517E" w:rsidR="0020041C">
        <w:rPr>
          <w:lang w:val="uk-UA"/>
        </w:rPr>
        <w:t>ах</w:t>
      </w:r>
      <w:r w:rsidRPr="00A2517E">
        <w:rPr>
          <w:lang w:val="uk-UA"/>
        </w:rPr>
        <w:t xml:space="preserve"> №</w:t>
      </w:r>
      <w:r w:rsidRPr="00A2517E" w:rsidR="00076D11">
        <w:rPr>
          <w:lang w:val="uk-UA"/>
        </w:rPr>
        <w:t> </w:t>
      </w:r>
      <w:r w:rsidRPr="00A2517E">
        <w:rPr>
          <w:lang w:val="uk-UA"/>
        </w:rPr>
        <w:t xml:space="preserve">926/1018/14 та </w:t>
      </w:r>
      <w:r w:rsidRPr="00A2517E" w:rsidR="00076D11">
        <w:rPr>
          <w:lang w:val="uk-UA"/>
        </w:rPr>
        <w:t>№ </w:t>
      </w:r>
      <w:r w:rsidRPr="00A2517E">
        <w:rPr>
          <w:lang w:val="uk-UA"/>
        </w:rPr>
        <w:t>926/584/14. Верховний Суд також зазначив:</w:t>
      </w:r>
    </w:p>
    <w:p w:rsidRPr="00A2517E" w:rsidR="002F2C09" w:rsidP="00A2517E" w14:paraId="58917019" w14:textId="10BED699">
      <w:pPr>
        <w:pStyle w:val="JuQuot"/>
        <w:rPr>
          <w:lang w:val="uk-UA"/>
        </w:rPr>
      </w:pPr>
      <w:r w:rsidRPr="00A2517E">
        <w:rPr>
          <w:lang w:val="uk-UA"/>
        </w:rPr>
        <w:t>«</w:t>
      </w:r>
      <w:r w:rsidRPr="00A2517E" w:rsidR="00D6101A">
        <w:rPr>
          <w:lang w:val="uk-UA"/>
        </w:rPr>
        <w:t>Отже, порівняння змісту зазначених постанов [вищих судів] зі змістом постанови [</w:t>
      </w:r>
      <w:r w:rsidRPr="00A2517E" w:rsidR="00F369F3">
        <w:rPr>
          <w:lang w:val="uk-UA"/>
        </w:rPr>
        <w:t xml:space="preserve">ухваленої </w:t>
      </w:r>
      <w:r w:rsidRPr="00A2517E" w:rsidR="00D6101A">
        <w:rPr>
          <w:lang w:val="uk-UA"/>
        </w:rPr>
        <w:t xml:space="preserve">у справі заявника] про перегляд якої подано заяву, не дає підстав для висновку про неоднакове застосування судом касаційної інстанції одних і тих самих норм матеріального права, що спричинило до ухвалення різних за змістом судових рішень у подібних правовідносинах </w:t>
      </w:r>
      <w:r w:rsidRPr="00A2517E" w:rsidR="00A2517E">
        <w:rPr>
          <w:lang w:val="uk-UA"/>
        </w:rPr>
        <w:t>...</w:t>
      </w:r>
    </w:p>
    <w:p w:rsidRPr="00A2517E" w:rsidR="00CF15F5" w:rsidP="00A2517E" w14:paraId="5E86622C" w14:textId="77777777">
      <w:pPr>
        <w:pStyle w:val="JuQuot"/>
        <w:rPr>
          <w:lang w:val="uk-UA"/>
        </w:rPr>
      </w:pPr>
      <w:r w:rsidRPr="00A2517E">
        <w:rPr>
          <w:lang w:val="uk-UA"/>
        </w:rPr>
        <w:t xml:space="preserve">З огляду на </w:t>
      </w:r>
      <w:r w:rsidRPr="00A2517E">
        <w:rPr>
          <w:lang w:val="uk-UA"/>
        </w:rPr>
        <w:t>[</w:t>
      </w:r>
      <w:r w:rsidRPr="00A2517E" w:rsidR="00F369F3">
        <w:rPr>
          <w:lang w:val="uk-UA"/>
        </w:rPr>
        <w:t>міркування</w:t>
      </w:r>
      <w:r w:rsidRPr="00A2517E">
        <w:rPr>
          <w:lang w:val="uk-UA"/>
        </w:rPr>
        <w:t>]</w:t>
      </w:r>
      <w:r w:rsidRPr="00A2517E" w:rsidR="00295972">
        <w:rPr>
          <w:lang w:val="uk-UA"/>
        </w:rPr>
        <w:t xml:space="preserve"> вище</w:t>
      </w:r>
      <w:r w:rsidRPr="00A2517E">
        <w:rPr>
          <w:lang w:val="uk-UA"/>
        </w:rPr>
        <w:t xml:space="preserve">, </w:t>
      </w:r>
      <w:r w:rsidRPr="00A2517E">
        <w:rPr>
          <w:lang w:val="uk-UA"/>
        </w:rPr>
        <w:t>у справі, у якій подано заяву про перегляд судових рішень, та у справах, за результатами розгляду яких ухвалені надані для порівняння судові рішення, не є подібними зміст позовних вимог, матеріально-правове регулювання спірних правовідносин, а судами прийнято рішення в залежності від встановлених різних фактичних обставин».</w:t>
      </w:r>
    </w:p>
    <w:p w:rsidRPr="00A2517E" w:rsidR="009D371F" w:rsidP="00A2517E" w14:paraId="64710BD2" w14:textId="77777777">
      <w:pPr>
        <w:pStyle w:val="JuPara"/>
        <w:rPr>
          <w:lang w:val="uk-UA"/>
        </w:rPr>
      </w:pPr>
      <w:r w:rsidRPr="00A2517E">
        <w:rPr>
          <w:lang w:val="uk-UA"/>
        </w:rPr>
        <w:t>8</w:t>
      </w:r>
      <w:r w:rsidRPr="00A2517E" w:rsidR="000B2D76">
        <w:rPr>
          <w:lang w:val="uk-UA"/>
        </w:rPr>
        <w:t>.  </w:t>
      </w:r>
      <w:r w:rsidRPr="00A2517E" w:rsidR="0009033B">
        <w:rPr>
          <w:lang w:val="uk-UA"/>
        </w:rPr>
        <w:t>У своїх подальших за</w:t>
      </w:r>
      <w:r w:rsidRPr="00A2517E" w:rsidR="00231B72">
        <w:rPr>
          <w:lang w:val="uk-UA"/>
        </w:rPr>
        <w:t>уваженнях</w:t>
      </w:r>
      <w:r w:rsidRPr="00A2517E" w:rsidR="0009033B">
        <w:rPr>
          <w:lang w:val="uk-UA"/>
        </w:rPr>
        <w:t xml:space="preserve"> сторони повідомили Суд, що у 2024 році </w:t>
      </w:r>
      <w:r w:rsidRPr="00A2517E" w:rsidR="00A216AC">
        <w:rPr>
          <w:lang w:val="uk-UA"/>
        </w:rPr>
        <w:t>АТ «Укрзалізниця»</w:t>
      </w:r>
      <w:r w:rsidRPr="00A2517E" w:rsidR="00295972">
        <w:rPr>
          <w:lang w:val="uk-UA"/>
        </w:rPr>
        <w:t xml:space="preserve"> </w:t>
      </w:r>
      <w:r w:rsidRPr="00A2517E" w:rsidR="0009033B">
        <w:rPr>
          <w:lang w:val="uk-UA"/>
        </w:rPr>
        <w:t>по</w:t>
      </w:r>
      <w:r w:rsidRPr="00A2517E" w:rsidR="00231B72">
        <w:rPr>
          <w:lang w:val="uk-UA"/>
        </w:rPr>
        <w:t>дало</w:t>
      </w:r>
      <w:r w:rsidRPr="00A2517E" w:rsidR="0009033B">
        <w:rPr>
          <w:lang w:val="uk-UA"/>
        </w:rPr>
        <w:t xml:space="preserve"> ще од</w:t>
      </w:r>
      <w:r w:rsidRPr="00A2517E" w:rsidR="00231B72">
        <w:rPr>
          <w:lang w:val="uk-UA"/>
        </w:rPr>
        <w:t>и</w:t>
      </w:r>
      <w:r w:rsidRPr="00A2517E" w:rsidR="0009033B">
        <w:rPr>
          <w:lang w:val="uk-UA"/>
        </w:rPr>
        <w:t>н п</w:t>
      </w:r>
      <w:r w:rsidRPr="00A2517E" w:rsidR="00231B72">
        <w:rPr>
          <w:lang w:val="uk-UA"/>
        </w:rPr>
        <w:t xml:space="preserve">озов </w:t>
      </w:r>
      <w:r w:rsidRPr="00A2517E" w:rsidR="0009033B">
        <w:rPr>
          <w:lang w:val="uk-UA"/>
        </w:rPr>
        <w:t>проти заявника, вимагаючи звільнення земельних ділянок, на яких</w:t>
      </w:r>
      <w:r w:rsidRPr="00A2517E" w:rsidR="00295972">
        <w:rPr>
          <w:lang w:val="uk-UA"/>
        </w:rPr>
        <w:t xml:space="preserve"> було</w:t>
      </w:r>
      <w:r w:rsidRPr="00A2517E" w:rsidR="0009033B">
        <w:rPr>
          <w:lang w:val="uk-UA"/>
        </w:rPr>
        <w:t xml:space="preserve"> розташова</w:t>
      </w:r>
      <w:r w:rsidRPr="00A2517E" w:rsidR="00231B72">
        <w:rPr>
          <w:lang w:val="uk-UA"/>
        </w:rPr>
        <w:t>не</w:t>
      </w:r>
      <w:r w:rsidRPr="00A2517E" w:rsidR="0009033B">
        <w:rPr>
          <w:lang w:val="uk-UA"/>
        </w:rPr>
        <w:t xml:space="preserve"> кафе. </w:t>
      </w:r>
      <w:r w:rsidRPr="00A2517E" w:rsidR="00FF6D98">
        <w:rPr>
          <w:lang w:val="uk-UA"/>
        </w:rPr>
        <w:t>У задоволенні цього</w:t>
      </w:r>
      <w:r w:rsidRPr="00A2517E" w:rsidR="0009033B">
        <w:rPr>
          <w:lang w:val="uk-UA"/>
        </w:rPr>
        <w:t xml:space="preserve"> позов</w:t>
      </w:r>
      <w:r w:rsidRPr="00A2517E" w:rsidR="00FF6D98">
        <w:rPr>
          <w:lang w:val="uk-UA"/>
        </w:rPr>
        <w:t>у</w:t>
      </w:r>
      <w:r w:rsidRPr="00A2517E" w:rsidR="0009033B">
        <w:rPr>
          <w:lang w:val="uk-UA"/>
        </w:rPr>
        <w:t xml:space="preserve"> </w:t>
      </w:r>
      <w:r w:rsidRPr="00A2517E" w:rsidR="00FF6D98">
        <w:rPr>
          <w:lang w:val="uk-UA"/>
        </w:rPr>
        <w:t>районний</w:t>
      </w:r>
      <w:r w:rsidRPr="00A2517E" w:rsidR="0009033B">
        <w:rPr>
          <w:lang w:val="uk-UA"/>
        </w:rPr>
        <w:t xml:space="preserve"> та апеляційн</w:t>
      </w:r>
      <w:r w:rsidRPr="00A2517E" w:rsidR="00FF6D98">
        <w:rPr>
          <w:lang w:val="uk-UA"/>
        </w:rPr>
        <w:t>ий</w:t>
      </w:r>
      <w:r w:rsidRPr="00A2517E" w:rsidR="0009033B">
        <w:rPr>
          <w:lang w:val="uk-UA"/>
        </w:rPr>
        <w:t xml:space="preserve"> суди</w:t>
      </w:r>
      <w:r w:rsidRPr="00A2517E" w:rsidR="00FF6D98">
        <w:rPr>
          <w:lang w:val="uk-UA"/>
        </w:rPr>
        <w:t xml:space="preserve"> відмовили</w:t>
      </w:r>
      <w:r w:rsidRPr="00A2517E" w:rsidR="0009033B">
        <w:rPr>
          <w:lang w:val="uk-UA"/>
        </w:rPr>
        <w:t>, встанови</w:t>
      </w:r>
      <w:r w:rsidRPr="00A2517E" w:rsidR="00FF6D98">
        <w:rPr>
          <w:lang w:val="uk-UA"/>
        </w:rPr>
        <w:t>вш</w:t>
      </w:r>
      <w:r w:rsidRPr="00A2517E" w:rsidR="0009033B">
        <w:rPr>
          <w:lang w:val="uk-UA"/>
        </w:rPr>
        <w:t xml:space="preserve">и, що, хоча в попередніх </w:t>
      </w:r>
      <w:r w:rsidRPr="00A2517E" w:rsidR="00FF6D98">
        <w:rPr>
          <w:lang w:val="uk-UA"/>
        </w:rPr>
        <w:t xml:space="preserve">справах </w:t>
      </w:r>
      <w:r w:rsidRPr="00A2517E" w:rsidR="0009033B">
        <w:rPr>
          <w:lang w:val="uk-UA"/>
        </w:rPr>
        <w:t>право заявника на зем</w:t>
      </w:r>
      <w:r w:rsidRPr="00A2517E" w:rsidR="00FF6D98">
        <w:rPr>
          <w:lang w:val="uk-UA"/>
        </w:rPr>
        <w:t>е</w:t>
      </w:r>
      <w:r w:rsidRPr="00A2517E" w:rsidR="0009033B">
        <w:rPr>
          <w:lang w:val="uk-UA"/>
        </w:rPr>
        <w:t>л</w:t>
      </w:r>
      <w:r w:rsidRPr="00A2517E" w:rsidR="00FF6D98">
        <w:rPr>
          <w:lang w:val="uk-UA"/>
        </w:rPr>
        <w:t xml:space="preserve">ьну ділянку </w:t>
      </w:r>
      <w:r w:rsidRPr="00A2517E" w:rsidR="0009033B">
        <w:rPr>
          <w:lang w:val="uk-UA"/>
        </w:rPr>
        <w:t xml:space="preserve">було визнано недійсним, він був добросовісним власником нерухомості, якою </w:t>
      </w:r>
      <w:r w:rsidRPr="00A2517E" w:rsidR="00FF6D98">
        <w:rPr>
          <w:lang w:val="uk-UA"/>
        </w:rPr>
        <w:t xml:space="preserve">щонайменше до </w:t>
      </w:r>
      <w:r w:rsidRPr="00A2517E" w:rsidR="00030BD2">
        <w:rPr>
          <w:lang w:val="uk-UA"/>
        </w:rPr>
        <w:t>2014 </w:t>
      </w:r>
      <w:r w:rsidRPr="00A2517E" w:rsidR="0009033B">
        <w:rPr>
          <w:lang w:val="uk-UA"/>
        </w:rPr>
        <w:t xml:space="preserve">року відкрито користувався без </w:t>
      </w:r>
      <w:r w:rsidRPr="00A2517E" w:rsidR="00FF6D98">
        <w:rPr>
          <w:lang w:val="uk-UA"/>
        </w:rPr>
        <w:t xml:space="preserve">жодних </w:t>
      </w:r>
      <w:r w:rsidRPr="00A2517E" w:rsidR="0009033B">
        <w:rPr>
          <w:lang w:val="uk-UA"/>
        </w:rPr>
        <w:t>заперечень (</w:t>
      </w:r>
      <w:r w:rsidRPr="00A2517E" w:rsidR="00FF6D98">
        <w:rPr>
          <w:lang w:val="uk-UA"/>
        </w:rPr>
        <w:t>чи</w:t>
      </w:r>
      <w:r w:rsidRPr="00A2517E" w:rsidR="0009033B">
        <w:rPr>
          <w:lang w:val="uk-UA"/>
        </w:rPr>
        <w:t xml:space="preserve"> будь-яких дій) з боку </w:t>
      </w:r>
      <w:r w:rsidRPr="00A2517E" w:rsidR="00A216AC">
        <w:rPr>
          <w:lang w:val="uk-UA"/>
        </w:rPr>
        <w:t>АТ «Укрзалізниця»</w:t>
      </w:r>
      <w:r w:rsidRPr="00A2517E" w:rsidR="0009033B">
        <w:rPr>
          <w:lang w:val="uk-UA"/>
        </w:rPr>
        <w:t>. Таким чином, наказ про знесення без будь-яко</w:t>
      </w:r>
      <w:r w:rsidRPr="00A2517E">
        <w:rPr>
          <w:lang w:val="uk-UA"/>
        </w:rPr>
        <w:t xml:space="preserve">го відшкодування </w:t>
      </w:r>
      <w:r w:rsidRPr="00A2517E" w:rsidR="00295972">
        <w:rPr>
          <w:lang w:val="uk-UA"/>
        </w:rPr>
        <w:t xml:space="preserve">становив би </w:t>
      </w:r>
      <w:r w:rsidRPr="00A2517E" w:rsidR="0009033B">
        <w:rPr>
          <w:lang w:val="uk-UA"/>
        </w:rPr>
        <w:t xml:space="preserve">надмірний тягар для заявника. </w:t>
      </w:r>
      <w:r w:rsidRPr="00A2517E">
        <w:rPr>
          <w:lang w:val="uk-UA"/>
        </w:rPr>
        <w:t>Доходячи</w:t>
      </w:r>
      <w:r w:rsidRPr="00A2517E" w:rsidR="0009033B">
        <w:rPr>
          <w:lang w:val="uk-UA"/>
        </w:rPr>
        <w:t xml:space="preserve"> так</w:t>
      </w:r>
      <w:r w:rsidRPr="00A2517E">
        <w:rPr>
          <w:lang w:val="uk-UA"/>
        </w:rPr>
        <w:t>ого</w:t>
      </w:r>
      <w:r w:rsidRPr="00A2517E" w:rsidR="0009033B">
        <w:rPr>
          <w:lang w:val="uk-UA"/>
        </w:rPr>
        <w:t xml:space="preserve"> висновк</w:t>
      </w:r>
      <w:r w:rsidRPr="00A2517E">
        <w:rPr>
          <w:lang w:val="uk-UA"/>
        </w:rPr>
        <w:t>у</w:t>
      </w:r>
      <w:r w:rsidRPr="00A2517E" w:rsidR="0009033B">
        <w:rPr>
          <w:lang w:val="uk-UA"/>
        </w:rPr>
        <w:t xml:space="preserve"> суди посилалися, </w:t>
      </w:r>
      <w:r w:rsidRPr="00A2517E">
        <w:rPr>
          <w:i/>
          <w:iCs/>
          <w:lang w:val="uk-UA"/>
        </w:rPr>
        <w:t>inter alia</w:t>
      </w:r>
      <w:r w:rsidRPr="00A2517E" w:rsidR="0009033B">
        <w:rPr>
          <w:lang w:val="uk-UA"/>
        </w:rPr>
        <w:t xml:space="preserve">, на висновки Суду </w:t>
      </w:r>
      <w:r w:rsidRPr="00A2517E">
        <w:rPr>
          <w:lang w:val="uk-UA"/>
        </w:rPr>
        <w:t xml:space="preserve">в рішеннях </w:t>
      </w:r>
      <w:r w:rsidRPr="00A2517E" w:rsidR="0009033B">
        <w:rPr>
          <w:lang w:val="uk-UA"/>
        </w:rPr>
        <w:t xml:space="preserve">у справах </w:t>
      </w:r>
      <w:r w:rsidRPr="00A2517E">
        <w:rPr>
          <w:lang w:val="uk-UA"/>
        </w:rPr>
        <w:t>«</w:t>
      </w:r>
      <w:r w:rsidRPr="00A2517E" w:rsidR="0009033B">
        <w:rPr>
          <w:lang w:val="uk-UA"/>
        </w:rPr>
        <w:t>Рисовський проти України</w:t>
      </w:r>
      <w:r w:rsidRPr="00A2517E">
        <w:rPr>
          <w:lang w:val="uk-UA"/>
        </w:rPr>
        <w:t xml:space="preserve">» </w:t>
      </w:r>
      <w:r w:rsidRPr="00A2517E">
        <w:rPr>
          <w:i/>
          <w:iCs/>
          <w:lang w:val="uk-UA"/>
        </w:rPr>
        <w:t>(Rysovskyy v. Ukraine),</w:t>
      </w:r>
      <w:r w:rsidRPr="00A2517E" w:rsidR="0009033B">
        <w:rPr>
          <w:lang w:val="uk-UA"/>
        </w:rPr>
        <w:t xml:space="preserve"> </w:t>
      </w:r>
      <w:r w:rsidRPr="00A2517E">
        <w:rPr>
          <w:lang w:val="uk-UA"/>
        </w:rPr>
        <w:t xml:space="preserve">заява </w:t>
      </w:r>
      <w:r w:rsidRPr="00A2517E" w:rsidR="0009033B">
        <w:rPr>
          <w:lang w:val="uk-UA"/>
        </w:rPr>
        <w:t>№</w:t>
      </w:r>
      <w:r w:rsidRPr="00A2517E">
        <w:rPr>
          <w:lang w:val="uk-UA"/>
        </w:rPr>
        <w:t> </w:t>
      </w:r>
      <w:r w:rsidRPr="00A2517E" w:rsidR="0009033B">
        <w:rPr>
          <w:lang w:val="uk-UA"/>
        </w:rPr>
        <w:t>29979/04,</w:t>
      </w:r>
      <w:r w:rsidRPr="00A2517E">
        <w:rPr>
          <w:lang w:val="uk-UA"/>
        </w:rPr>
        <w:t xml:space="preserve"> від</w:t>
      </w:r>
      <w:r w:rsidRPr="00A2517E" w:rsidR="0009033B">
        <w:rPr>
          <w:lang w:val="uk-UA"/>
        </w:rPr>
        <w:t xml:space="preserve"> 20 жовтня 2011 року) та </w:t>
      </w:r>
      <w:r w:rsidRPr="00A2517E">
        <w:rPr>
          <w:lang w:val="uk-UA"/>
        </w:rPr>
        <w:t xml:space="preserve">згадане </w:t>
      </w:r>
      <w:r w:rsidRPr="00A2517E">
        <w:rPr>
          <w:lang w:val="uk-UA"/>
        </w:rPr>
        <w:t>рішення у справі «Дроздик та Мікула проти України»</w:t>
      </w:r>
      <w:r w:rsidRPr="00A2517E">
        <w:rPr>
          <w:i/>
          <w:iCs/>
          <w:lang w:val="uk-UA"/>
        </w:rPr>
        <w:t xml:space="preserve"> (Drozdyk and Mikula v. Ukraine)</w:t>
      </w:r>
      <w:r w:rsidRPr="00A2517E" w:rsidR="0009033B">
        <w:rPr>
          <w:lang w:val="uk-UA"/>
        </w:rPr>
        <w:t xml:space="preserve">. 27 серпня 2025 року Верховний Суд </w:t>
      </w:r>
      <w:r w:rsidRPr="00A2517E">
        <w:rPr>
          <w:lang w:val="uk-UA"/>
        </w:rPr>
        <w:t xml:space="preserve">закрив касаційне провадження </w:t>
      </w:r>
      <w:r w:rsidRPr="00A2517E" w:rsidR="0009033B">
        <w:rPr>
          <w:lang w:val="uk-UA"/>
        </w:rPr>
        <w:t>за касаційною скаргою</w:t>
      </w:r>
      <w:r w:rsidRPr="00A2517E">
        <w:rPr>
          <w:lang w:val="uk-UA"/>
        </w:rPr>
        <w:t xml:space="preserve"> </w:t>
      </w:r>
      <w:r w:rsidRPr="00A2517E" w:rsidR="00A216AC">
        <w:rPr>
          <w:lang w:val="uk-UA"/>
        </w:rPr>
        <w:t>АТ «Укрзалізниця».</w:t>
      </w:r>
    </w:p>
    <w:p w:rsidRPr="00A2517E" w:rsidR="008544F0" w:rsidP="00A2517E" w14:paraId="5FDF6F53" w14:textId="77777777">
      <w:pPr>
        <w:pStyle w:val="JuHHead"/>
        <w:rPr>
          <w:lang w:val="uk-UA"/>
        </w:rPr>
      </w:pPr>
      <w:r w:rsidRPr="00A2517E">
        <w:rPr>
          <w:lang w:val="uk-UA"/>
        </w:rPr>
        <w:t>ОЦІНКА СУДУ</w:t>
      </w:r>
    </w:p>
    <w:p w:rsidRPr="00A2517E" w:rsidR="008544F0" w:rsidP="00A2517E" w14:paraId="19BE9C8B" w14:textId="77777777">
      <w:pPr>
        <w:pStyle w:val="JuHIRoman"/>
        <w:ind w:left="397" w:hanging="397"/>
        <w:rPr>
          <w:lang w:val="uk-UA"/>
        </w:rPr>
      </w:pPr>
      <w:r w:rsidRPr="00A2517E">
        <w:rPr>
          <w:lang w:val="uk-UA"/>
        </w:rPr>
        <w:t>СТВЕРДЖУВАНЕ ПОРУШЕННЯ СТАТТІ 1 ПЕРШОГО ПРОТОКОЛУ ДО КОНВЕНЦІЇ</w:t>
      </w:r>
    </w:p>
    <w:p w:rsidRPr="00A2517E" w:rsidR="00F942FA" w:rsidP="00A2517E" w14:paraId="40884EB9" w14:textId="77777777">
      <w:pPr>
        <w:pStyle w:val="JuPara"/>
        <w:rPr>
          <w:lang w:val="uk-UA"/>
        </w:rPr>
      </w:pPr>
      <w:r w:rsidRPr="00A2517E">
        <w:rPr>
          <w:lang w:val="uk-UA"/>
        </w:rPr>
        <w:t>9</w:t>
      </w:r>
      <w:r w:rsidRPr="00A2517E" w:rsidR="000B2D76">
        <w:rPr>
          <w:lang w:val="uk-UA"/>
        </w:rPr>
        <w:t>.</w:t>
      </w:r>
      <w:r w:rsidRPr="00A2517E" w:rsidR="000F055A">
        <w:rPr>
          <w:lang w:val="uk-UA"/>
        </w:rPr>
        <w:t>  </w:t>
      </w:r>
      <w:r w:rsidRPr="00A2517E">
        <w:rPr>
          <w:lang w:val="uk-UA"/>
        </w:rPr>
        <w:t xml:space="preserve">Заявник скаржився, що його незаконно позбавили майна, яке він набув добросовісно, і що йому не було запропоновано жодного відшкодування шкоди. Він також наголосив, що відповідні погодження та дозволи були отримані до передачі йому земельної ділянки. Він вважав </w:t>
      </w:r>
      <w:r w:rsidRPr="00A2517E" w:rsidR="00654232">
        <w:rPr>
          <w:lang w:val="uk-UA"/>
        </w:rPr>
        <w:t xml:space="preserve">постанови та ухвали </w:t>
      </w:r>
      <w:r w:rsidRPr="00A2517E">
        <w:rPr>
          <w:lang w:val="uk-UA"/>
        </w:rPr>
        <w:t>судів, в яких вони зрештою ухвалили рішення не на його користь, необґрунтованими.</w:t>
      </w:r>
    </w:p>
    <w:p w:rsidRPr="00A2517E" w:rsidR="009F5FFD" w:rsidP="00A2517E" w14:paraId="4840DAF6" w14:textId="40769F6F">
      <w:pPr>
        <w:pStyle w:val="JuPara"/>
        <w:rPr>
          <w:lang w:val="uk-UA"/>
        </w:rPr>
      </w:pPr>
      <w:r w:rsidRPr="00A2517E">
        <w:rPr>
          <w:lang w:val="uk-UA"/>
        </w:rPr>
        <w:t>10</w:t>
      </w:r>
      <w:r w:rsidRPr="00A2517E" w:rsidR="000B2D76">
        <w:rPr>
          <w:lang w:val="uk-UA"/>
        </w:rPr>
        <w:t>.  </w:t>
      </w:r>
      <w:r w:rsidRPr="00A2517E">
        <w:rPr>
          <w:lang w:val="uk-UA"/>
        </w:rPr>
        <w:t>Уряд доводив, що заявник не вичерпав національні засоби юридичного захисту, оскільки він не подав позов про відшкодування шкоди після визнання його права власності недійсним. Уряд посилався на декілька положень Цивільного кодексу України, стверджуючи, що заявник міг вимагати відшкодування шкоди або за статтею 1173 (про обов</w:t>
      </w:r>
      <w:r w:rsidRPr="00A2517E" w:rsidR="00A2517E">
        <w:rPr>
          <w:lang w:val="uk-UA"/>
        </w:rPr>
        <w:t>’</w:t>
      </w:r>
      <w:r w:rsidRPr="00A2517E">
        <w:rPr>
          <w:lang w:val="uk-UA"/>
        </w:rPr>
        <w:t xml:space="preserve">язок органів державної влади відшкодовувати шкоду, завдану їхніми незаконними рішеннями, діями чи бездіяльністю), або за статтею 216 (про правові наслідки недійсності правочину). В якості альтернативи, він також міг вимагати відшкодування шкоди за статтею 390 стосовно коштів, які він інвестував в утримання майна. Уряд навів приклади з національної практики. Насамкінець він стверджував, що заявник міг звернутися до органів державної влади із заявою </w:t>
      </w:r>
      <w:r w:rsidRPr="00A2517E" w:rsidR="007C2380">
        <w:rPr>
          <w:lang w:val="uk-UA"/>
        </w:rPr>
        <w:t xml:space="preserve">про </w:t>
      </w:r>
      <w:r w:rsidRPr="00A2517E">
        <w:rPr>
          <w:lang w:val="uk-UA"/>
        </w:rPr>
        <w:t>отримання іншої земельної ділянки, але не скористався цим засобом юридичного захисту.</w:t>
      </w:r>
    </w:p>
    <w:p w:rsidRPr="00A2517E" w:rsidR="009F5FFD" w:rsidP="00A2517E" w14:paraId="7B1CDB57" w14:textId="77777777">
      <w:pPr>
        <w:pStyle w:val="JuPara"/>
        <w:rPr>
          <w:lang w:val="uk-UA"/>
        </w:rPr>
      </w:pPr>
      <w:r w:rsidRPr="00A2517E">
        <w:rPr>
          <w:lang w:val="uk-UA"/>
        </w:rPr>
        <w:t>11</w:t>
      </w:r>
      <w:r w:rsidRPr="00A2517E" w:rsidR="000B2D76">
        <w:rPr>
          <w:lang w:val="uk-UA"/>
        </w:rPr>
        <w:t>.  </w:t>
      </w:r>
      <w:r w:rsidRPr="00A2517E">
        <w:rPr>
          <w:lang w:val="uk-UA"/>
        </w:rPr>
        <w:t xml:space="preserve">В якості альтернативи щодо прийнятності Уряд доводив, що заявник не міг стверджувати про наявність </w:t>
      </w:r>
      <w:r w:rsidRPr="00A2517E" w:rsidR="007C2380">
        <w:rPr>
          <w:lang w:val="uk-UA"/>
        </w:rPr>
        <w:t xml:space="preserve">у нього </w:t>
      </w:r>
      <w:r w:rsidRPr="00A2517E">
        <w:rPr>
          <w:lang w:val="uk-UA"/>
        </w:rPr>
        <w:t>«законного очікування», оскільки він отримав земельну ділянку з порушенням закону. Таким чином, його скарга була явно необґрунтованою.</w:t>
      </w:r>
    </w:p>
    <w:p w:rsidRPr="00A2517E" w:rsidR="009F5FFD" w:rsidP="00A2517E" w14:paraId="1D179FDA" w14:textId="77777777">
      <w:pPr>
        <w:pStyle w:val="JuPara"/>
        <w:rPr>
          <w:lang w:val="uk-UA"/>
        </w:rPr>
      </w:pPr>
      <w:r w:rsidRPr="00A2517E">
        <w:rPr>
          <w:lang w:val="uk-UA"/>
        </w:rPr>
        <w:t>12</w:t>
      </w:r>
      <w:r w:rsidRPr="00A2517E" w:rsidR="000B2D76">
        <w:rPr>
          <w:lang w:val="uk-UA"/>
        </w:rPr>
        <w:t>.  </w:t>
      </w:r>
      <w:r w:rsidRPr="00A2517E">
        <w:rPr>
          <w:lang w:val="uk-UA"/>
        </w:rPr>
        <w:t xml:space="preserve">Щодо суті справи, </w:t>
      </w:r>
      <w:r w:rsidRPr="00A2517E" w:rsidR="007C2380">
        <w:rPr>
          <w:lang w:val="uk-UA"/>
        </w:rPr>
        <w:t xml:space="preserve">то </w:t>
      </w:r>
      <w:r w:rsidRPr="00A2517E">
        <w:rPr>
          <w:lang w:val="uk-UA"/>
        </w:rPr>
        <w:t xml:space="preserve">Уряд </w:t>
      </w:r>
      <w:r w:rsidRPr="00A2517E" w:rsidR="00036D14">
        <w:rPr>
          <w:lang w:val="uk-UA"/>
        </w:rPr>
        <w:t>погодився</w:t>
      </w:r>
      <w:r w:rsidRPr="00A2517E">
        <w:rPr>
          <w:lang w:val="uk-UA"/>
        </w:rPr>
        <w:t>, що визнання права власності заявника на відповідну земельну ділянку недійсним становило втручання в його майнові права, але стверджував, що воно було законним, оскільки ґрунтувалося на відповідних положеннях національного законодавства про права на землю. Втручання також переслідувало суспільний інтерес, а саме</w:t>
      </w:r>
      <w:r w:rsidRPr="00A2517E" w:rsidR="00D42586">
        <w:rPr>
          <w:lang w:val="uk-UA"/>
        </w:rPr>
        <w:t>,</w:t>
      </w:r>
      <w:r w:rsidRPr="00A2517E">
        <w:rPr>
          <w:lang w:val="uk-UA"/>
        </w:rPr>
        <w:t xml:space="preserve"> захист земель, що </w:t>
      </w:r>
      <w:r w:rsidRPr="00A2517E" w:rsidR="00D42586">
        <w:rPr>
          <w:lang w:val="uk-UA"/>
        </w:rPr>
        <w:t xml:space="preserve">використовувалися </w:t>
      </w:r>
      <w:r w:rsidRPr="00A2517E">
        <w:rPr>
          <w:lang w:val="uk-UA"/>
        </w:rPr>
        <w:t xml:space="preserve">для обслуговування транспортних будівель та безпечного користування ними. </w:t>
      </w:r>
      <w:r w:rsidRPr="00A2517E" w:rsidR="007C2380">
        <w:rPr>
          <w:lang w:val="uk-UA"/>
        </w:rPr>
        <w:t>Щодо</w:t>
      </w:r>
      <w:r w:rsidRPr="00A2517E">
        <w:rPr>
          <w:lang w:val="uk-UA"/>
        </w:rPr>
        <w:t xml:space="preserve"> пропорційності, </w:t>
      </w:r>
      <w:r w:rsidRPr="00A2517E" w:rsidR="007C2380">
        <w:rPr>
          <w:lang w:val="uk-UA"/>
        </w:rPr>
        <w:t xml:space="preserve">то </w:t>
      </w:r>
      <w:r w:rsidRPr="00A2517E">
        <w:rPr>
          <w:lang w:val="uk-UA"/>
        </w:rPr>
        <w:t xml:space="preserve">він повторив свій аргумент, що заявник мав подати позов про відшкодування шкоди на національному рівні. Уряд також стверджував, що заявнику не </w:t>
      </w:r>
      <w:r w:rsidRPr="00A2517E">
        <w:rPr>
          <w:lang w:val="uk-UA"/>
        </w:rPr>
        <w:t xml:space="preserve">заборонялося продовжувати </w:t>
      </w:r>
      <w:r w:rsidRPr="00A2517E" w:rsidR="00D42586">
        <w:rPr>
          <w:lang w:val="uk-UA"/>
        </w:rPr>
        <w:t xml:space="preserve">свою </w:t>
      </w:r>
      <w:r w:rsidRPr="00A2517E">
        <w:rPr>
          <w:lang w:val="uk-UA"/>
        </w:rPr>
        <w:t>підприємницьку діяльність, що, на</w:t>
      </w:r>
      <w:r w:rsidRPr="00A2517E" w:rsidR="007C2380">
        <w:rPr>
          <w:lang w:val="uk-UA"/>
        </w:rPr>
        <w:t xml:space="preserve"> </w:t>
      </w:r>
      <w:r w:rsidRPr="00A2517E">
        <w:rPr>
          <w:lang w:val="uk-UA"/>
        </w:rPr>
        <w:t>думку</w:t>
      </w:r>
      <w:r w:rsidRPr="00A2517E" w:rsidR="007C2380">
        <w:rPr>
          <w:lang w:val="uk-UA"/>
        </w:rPr>
        <w:t xml:space="preserve"> Уряду</w:t>
      </w:r>
      <w:r w:rsidRPr="00A2517E">
        <w:rPr>
          <w:lang w:val="uk-UA"/>
        </w:rPr>
        <w:t>, становило суть його скарг.</w:t>
      </w:r>
    </w:p>
    <w:p w:rsidRPr="00A2517E" w:rsidR="009F5FFD" w:rsidP="00A2517E" w14:paraId="2E5C42CA" w14:textId="77777777">
      <w:pPr>
        <w:pStyle w:val="JuPara"/>
        <w:rPr>
          <w:lang w:val="uk-UA"/>
        </w:rPr>
      </w:pPr>
      <w:r w:rsidRPr="00A2517E">
        <w:rPr>
          <w:lang w:val="uk-UA"/>
        </w:rPr>
        <w:t>13</w:t>
      </w:r>
      <w:r w:rsidRPr="00A2517E" w:rsidR="000B2D76">
        <w:rPr>
          <w:lang w:val="uk-UA"/>
        </w:rPr>
        <w:t>.  </w:t>
      </w:r>
      <w:r w:rsidRPr="00A2517E">
        <w:rPr>
          <w:lang w:val="uk-UA"/>
        </w:rPr>
        <w:t xml:space="preserve">Суд насамперед зазначає, що в </w:t>
      </w:r>
      <w:r w:rsidRPr="00A2517E" w:rsidR="00354DF1">
        <w:rPr>
          <w:lang w:val="uk-UA"/>
        </w:rPr>
        <w:t>межах</w:t>
      </w:r>
      <w:r w:rsidRPr="00A2517E">
        <w:rPr>
          <w:lang w:val="uk-UA"/>
        </w:rPr>
        <w:t xml:space="preserve"> цієї справи він розгля</w:t>
      </w:r>
      <w:r w:rsidRPr="00A2517E" w:rsidR="00354DF1">
        <w:rPr>
          <w:lang w:val="uk-UA"/>
        </w:rPr>
        <w:t xml:space="preserve">не </w:t>
      </w:r>
      <w:r w:rsidRPr="00A2517E">
        <w:rPr>
          <w:lang w:val="uk-UA"/>
        </w:rPr>
        <w:t>лише скарги заявника</w:t>
      </w:r>
      <w:r w:rsidRPr="00A2517E" w:rsidR="00354DF1">
        <w:rPr>
          <w:lang w:val="uk-UA"/>
        </w:rPr>
        <w:t xml:space="preserve"> щодо</w:t>
      </w:r>
      <w:r w:rsidRPr="00A2517E">
        <w:rPr>
          <w:lang w:val="uk-UA"/>
        </w:rPr>
        <w:t xml:space="preserve"> придбано</w:t>
      </w:r>
      <w:r w:rsidRPr="00A2517E" w:rsidR="00354DF1">
        <w:rPr>
          <w:lang w:val="uk-UA"/>
        </w:rPr>
        <w:t>ї</w:t>
      </w:r>
      <w:r w:rsidRPr="00A2517E">
        <w:rPr>
          <w:lang w:val="uk-UA"/>
        </w:rPr>
        <w:t xml:space="preserve"> у місцевих органів влади</w:t>
      </w:r>
      <w:r w:rsidRPr="00A2517E" w:rsidR="00354DF1">
        <w:rPr>
          <w:lang w:val="uk-UA"/>
        </w:rPr>
        <w:t xml:space="preserve"> земельної ділянки,</w:t>
      </w:r>
      <w:r w:rsidRPr="00A2517E">
        <w:rPr>
          <w:lang w:val="uk-UA"/>
        </w:rPr>
        <w:t xml:space="preserve"> оскільки його відповідні скарги щодо орендованої зем</w:t>
      </w:r>
      <w:r w:rsidRPr="00A2517E" w:rsidR="00354DF1">
        <w:rPr>
          <w:lang w:val="uk-UA"/>
        </w:rPr>
        <w:t>е</w:t>
      </w:r>
      <w:r w:rsidRPr="00A2517E">
        <w:rPr>
          <w:lang w:val="uk-UA"/>
        </w:rPr>
        <w:t>л</w:t>
      </w:r>
      <w:r w:rsidRPr="00A2517E" w:rsidR="00354DF1">
        <w:rPr>
          <w:lang w:val="uk-UA"/>
        </w:rPr>
        <w:t xml:space="preserve">ьної ділянки </w:t>
      </w:r>
      <w:r w:rsidRPr="00A2517E">
        <w:rPr>
          <w:lang w:val="uk-UA"/>
        </w:rPr>
        <w:t xml:space="preserve">були відхилені як неприйнятні </w:t>
      </w:r>
      <w:r w:rsidRPr="00A2517E" w:rsidR="00354DF1">
        <w:rPr>
          <w:lang w:val="uk-UA"/>
        </w:rPr>
        <w:t>заступником Голови</w:t>
      </w:r>
      <w:r w:rsidRPr="00A2517E">
        <w:rPr>
          <w:lang w:val="uk-UA"/>
        </w:rPr>
        <w:t>, який діяв як одноосібний суддя, на етапі повідомлення Уряд</w:t>
      </w:r>
      <w:r w:rsidRPr="00A2517E" w:rsidR="00354DF1">
        <w:rPr>
          <w:lang w:val="uk-UA"/>
        </w:rPr>
        <w:t>у про заяву</w:t>
      </w:r>
      <w:r w:rsidRPr="00A2517E">
        <w:rPr>
          <w:lang w:val="uk-UA"/>
        </w:rPr>
        <w:t>.</w:t>
      </w:r>
    </w:p>
    <w:p w:rsidRPr="00A2517E" w:rsidR="00A2517E" w:rsidP="00A2517E" w14:paraId="73396573" w14:textId="77777777">
      <w:pPr>
        <w:pStyle w:val="JuPara"/>
        <w:rPr>
          <w:lang w:val="uk-UA"/>
        </w:rPr>
      </w:pPr>
      <w:r w:rsidRPr="00A2517E">
        <w:rPr>
          <w:lang w:val="uk-UA"/>
        </w:rPr>
        <w:t>14</w:t>
      </w:r>
      <w:r w:rsidRPr="00A2517E" w:rsidR="000B2D76">
        <w:rPr>
          <w:lang w:val="uk-UA"/>
        </w:rPr>
        <w:t>.  </w:t>
      </w:r>
      <w:r w:rsidRPr="00A2517E" w:rsidR="00354DF1">
        <w:rPr>
          <w:lang w:val="uk-UA"/>
        </w:rPr>
        <w:t xml:space="preserve">До того ж Суд повторює, що існування засобу юридичного захисту, який міг би дозволити заявнику отримати відшкодування шкоди, але не призвів би до відновлення права власності, слід враховувати не в контексті вичерпання національних засобів юридичного захисту, а з метою оцінки пропорційності втручання та розрахунку матеріальної шкоди, якщо буде встановлено порушення статті 1 Першого протоколу до Конвенції (див., наприклад, рішення у справі «Фонд «Батьківська Турбота» проти України» </w:t>
      </w:r>
      <w:r w:rsidRPr="00A2517E" w:rsidR="00354DF1">
        <w:rPr>
          <w:i/>
          <w:iCs/>
          <w:lang w:val="uk-UA"/>
        </w:rPr>
        <w:t>(Batkivska Turbota Foundation v. Ukraine)</w:t>
      </w:r>
      <w:r w:rsidRPr="00A2517E" w:rsidR="00354DF1">
        <w:rPr>
          <w:lang w:val="uk-UA"/>
        </w:rPr>
        <w:t xml:space="preserve">, заява № 5876/15, пункт 47, від </w:t>
      </w:r>
      <w:r w:rsidRPr="00A2517E" w:rsidR="00111FD3">
        <w:rPr>
          <w:lang w:val="uk-UA"/>
        </w:rPr>
        <w:t>09 </w:t>
      </w:r>
      <w:r w:rsidRPr="00A2517E" w:rsidR="00354DF1">
        <w:rPr>
          <w:lang w:val="uk-UA"/>
        </w:rPr>
        <w:t xml:space="preserve">жовтня </w:t>
      </w:r>
      <w:r w:rsidRPr="00A2517E" w:rsidR="00111FD3">
        <w:rPr>
          <w:lang w:val="uk-UA"/>
        </w:rPr>
        <w:t xml:space="preserve">2018 </w:t>
      </w:r>
      <w:r w:rsidRPr="00A2517E" w:rsidR="00354DF1">
        <w:rPr>
          <w:lang w:val="uk-UA"/>
        </w:rPr>
        <w:t>року). Тому аргументи Уряду про будь-яке відшкодування шкоди, яке заявник міг отримати, будуть розглянуті в межах оцінки Суду по суті справи, як і твердження Уряду, що скарга була явно необґрунтованою.</w:t>
      </w:r>
    </w:p>
    <w:p w:rsidRPr="00A2517E" w:rsidR="00354DF1" w:rsidP="00A2517E" w14:paraId="21EDCC99" w14:textId="043B5505">
      <w:pPr>
        <w:pStyle w:val="JuPara"/>
        <w:rPr>
          <w:lang w:val="uk-UA"/>
        </w:rPr>
      </w:pPr>
      <w:r w:rsidRPr="00A2517E">
        <w:rPr>
          <w:lang w:val="uk-UA"/>
        </w:rPr>
        <w:t>15</w:t>
      </w:r>
      <w:r w:rsidRPr="00A2517E" w:rsidR="000B2D76">
        <w:rPr>
          <w:lang w:val="uk-UA"/>
        </w:rPr>
        <w:t>.  </w:t>
      </w:r>
      <w:r w:rsidRPr="00A2517E">
        <w:rPr>
          <w:lang w:val="uk-UA"/>
        </w:rPr>
        <w:t xml:space="preserve">Суд зазначає, що </w:t>
      </w:r>
      <w:r w:rsidRPr="00A2517E" w:rsidR="00111FD3">
        <w:rPr>
          <w:lang w:val="uk-UA"/>
        </w:rPr>
        <w:t xml:space="preserve">ця </w:t>
      </w:r>
      <w:r w:rsidRPr="00A2517E">
        <w:rPr>
          <w:lang w:val="uk-UA"/>
        </w:rPr>
        <w:t>заява не є явно необґрунтованою у розумінні підпункту «а» пункту 3 статті 35 Конвенції або неприйнятною з будь-яких інших підстав. Тому вона має бути визнана прийнятною.</w:t>
      </w:r>
    </w:p>
    <w:p w:rsidRPr="00A2517E" w:rsidR="00354DF1" w:rsidP="00A2517E" w14:paraId="3ACEBD95" w14:textId="77777777">
      <w:pPr>
        <w:pStyle w:val="JuPara"/>
        <w:rPr>
          <w:lang w:val="uk-UA"/>
        </w:rPr>
      </w:pPr>
      <w:r w:rsidRPr="00A2517E">
        <w:rPr>
          <w:lang w:val="uk-UA"/>
        </w:rPr>
        <w:t>16</w:t>
      </w:r>
      <w:r w:rsidRPr="00A2517E" w:rsidR="000B2D76">
        <w:rPr>
          <w:lang w:val="uk-UA"/>
        </w:rPr>
        <w:t>.  </w:t>
      </w:r>
      <w:r w:rsidRPr="00A2517E">
        <w:rPr>
          <w:lang w:val="uk-UA"/>
        </w:rPr>
        <w:t xml:space="preserve">Суд вважає, що визнання недійсним належним чином зареєстрованого та </w:t>
      </w:r>
      <w:r w:rsidRPr="00A2517E" w:rsidR="00111FD3">
        <w:rPr>
          <w:lang w:val="uk-UA"/>
        </w:rPr>
        <w:t xml:space="preserve">багаторічного </w:t>
      </w:r>
      <w:r w:rsidRPr="00A2517E">
        <w:rPr>
          <w:lang w:val="uk-UA"/>
        </w:rPr>
        <w:t>права власності заявника на спірну земельну ділянку становило втручання в його право на мирне володіння своїм майном.</w:t>
      </w:r>
    </w:p>
    <w:p w:rsidRPr="00A2517E" w:rsidR="00354DF1" w:rsidP="00A2517E" w14:paraId="284BD938" w14:textId="77777777">
      <w:pPr>
        <w:pStyle w:val="JuPara"/>
        <w:rPr>
          <w:lang w:val="uk-UA"/>
        </w:rPr>
      </w:pPr>
      <w:r w:rsidRPr="00A2517E">
        <w:rPr>
          <w:lang w:val="uk-UA"/>
        </w:rPr>
        <w:t>17</w:t>
      </w:r>
      <w:r w:rsidRPr="00A2517E" w:rsidR="000B2D76">
        <w:rPr>
          <w:lang w:val="uk-UA"/>
        </w:rPr>
        <w:t>.  </w:t>
      </w:r>
      <w:r w:rsidRPr="00A2517E">
        <w:rPr>
          <w:lang w:val="uk-UA"/>
        </w:rPr>
        <w:t xml:space="preserve">Загальні принципи щодо втручання в мирне володіння майном були наведені, наприклад, в рішенні у справі «Кривенький проти України» </w:t>
      </w:r>
      <w:r w:rsidRPr="00A2517E">
        <w:rPr>
          <w:i/>
          <w:iCs/>
          <w:lang w:val="uk-UA"/>
        </w:rPr>
        <w:t xml:space="preserve">(Kryvenkyy v. Ukraine), </w:t>
      </w:r>
      <w:r w:rsidRPr="00A2517E">
        <w:rPr>
          <w:lang w:val="uk-UA"/>
        </w:rPr>
        <w:t>заява № 43768/07, пункт 42, від 16 лютого 2017 року). Зокрема, Суд повинен оцінити, чи було втручання законним і чи здійснювалося воно в суспільних інтересах, а також чи переслідувало воно законну мету засобами, що були обґрунтовано пропорційними меті, яку прагнули досягти.</w:t>
      </w:r>
    </w:p>
    <w:p w:rsidRPr="00A2517E" w:rsidR="003C63FE" w:rsidP="00A2517E" w14:paraId="00D8F5E4" w14:textId="268EC1BE">
      <w:pPr>
        <w:pStyle w:val="JuPara"/>
        <w:rPr>
          <w:lang w:val="uk-UA"/>
        </w:rPr>
      </w:pPr>
      <w:r w:rsidRPr="00A2517E">
        <w:rPr>
          <w:lang w:val="uk-UA"/>
        </w:rPr>
        <w:t>18</w:t>
      </w:r>
      <w:r w:rsidRPr="00A2517E" w:rsidR="000B2D76">
        <w:rPr>
          <w:lang w:val="uk-UA"/>
        </w:rPr>
        <w:t>.  </w:t>
      </w:r>
      <w:r w:rsidRPr="00A2517E">
        <w:rPr>
          <w:lang w:val="uk-UA"/>
        </w:rPr>
        <w:t xml:space="preserve">Суд зауважує, що суть цієї справи полягає у питанні пропорційності втручання. У подібній справі, коли заявника було позбавлено земельної ділянки, яку він купив у місцевих органів влади, Суд не встановив порушення статті 1 Першого протоколу до Конвенції (див. рішення у справі «Звонар проти України» [Комітет] </w:t>
      </w:r>
      <w:r w:rsidRPr="00A2517E">
        <w:rPr>
          <w:i/>
          <w:iCs/>
          <w:lang w:val="uk-UA"/>
        </w:rPr>
        <w:t>(Zvonar v. Ukraine)</w:t>
      </w:r>
      <w:r w:rsidRPr="00A2517E">
        <w:rPr>
          <w:lang w:val="uk-UA"/>
        </w:rPr>
        <w:t xml:space="preserve"> [Committee], заява № 20532/16, від 20 листопада 2025 року). У </w:t>
      </w:r>
      <w:r w:rsidRPr="00A2517E" w:rsidR="00B350C1">
        <w:rPr>
          <w:lang w:val="uk-UA"/>
        </w:rPr>
        <w:t>згадан</w:t>
      </w:r>
      <w:r w:rsidRPr="00A2517E" w:rsidR="00210D5C">
        <w:rPr>
          <w:lang w:val="uk-UA"/>
        </w:rPr>
        <w:t>і</w:t>
      </w:r>
      <w:r w:rsidRPr="00A2517E" w:rsidR="00B350C1">
        <w:rPr>
          <w:lang w:val="uk-UA"/>
        </w:rPr>
        <w:t xml:space="preserve">й </w:t>
      </w:r>
      <w:r w:rsidRPr="00A2517E">
        <w:rPr>
          <w:lang w:val="uk-UA"/>
        </w:rPr>
        <w:t xml:space="preserve">справі Суд, зокрема, постановив, що земельна ділянка була придбана за договором купівлі-продажу, укладеним з місцевим </w:t>
      </w:r>
      <w:r w:rsidRPr="00A2517E">
        <w:rPr>
          <w:lang w:val="uk-UA"/>
        </w:rPr>
        <w:t>органом влади, який діяв за тих обставин як і будь-яка інша приватна сторона за цивільним договором, а тому його дії у зв</w:t>
      </w:r>
      <w:r w:rsidRPr="00A2517E" w:rsidR="00A2517E">
        <w:rPr>
          <w:lang w:val="uk-UA"/>
        </w:rPr>
        <w:t>’</w:t>
      </w:r>
      <w:r w:rsidRPr="00A2517E">
        <w:rPr>
          <w:lang w:val="uk-UA"/>
        </w:rPr>
        <w:t xml:space="preserve">язку з цим регулювалися положеннями цивільного права, зокрема щодо наслідків визнання договору купівлі-продажу недійсним та можливості отримання відшкодування сплаченої суми (там само, пункт 29). Враховуючи, що цивільне законодавство України передбачало механізм відшкодування, який не здавався явно неефективним або недоступним (там само, пункт 34 з подальшими посиланнями), Суд постановив, що заявник </w:t>
      </w:r>
      <w:r w:rsidRPr="00A2517E" w:rsidR="00B350C1">
        <w:rPr>
          <w:lang w:val="uk-UA"/>
        </w:rPr>
        <w:t>мав</w:t>
      </w:r>
      <w:r w:rsidRPr="00A2517E">
        <w:rPr>
          <w:lang w:val="uk-UA"/>
        </w:rPr>
        <w:t xml:space="preserve"> спробувати отримати відшкодування шкоди за відчужене майно (там само, пункт 35 з подальшими посиланнями; див. також, </w:t>
      </w:r>
      <w:r w:rsidRPr="00A2517E">
        <w:rPr>
          <w:i/>
          <w:iCs/>
          <w:lang w:val="uk-UA"/>
        </w:rPr>
        <w:t>mutatis mutandis</w:t>
      </w:r>
      <w:r w:rsidRPr="00A2517E">
        <w:rPr>
          <w:lang w:val="uk-UA"/>
        </w:rPr>
        <w:t xml:space="preserve">, ухвалу щодо прийнятності у справі «ТОВ «SAN11» проти України» </w:t>
      </w:r>
      <w:r w:rsidRPr="00A2517E">
        <w:rPr>
          <w:i/>
          <w:iCs/>
          <w:lang w:val="uk-UA"/>
        </w:rPr>
        <w:t>(SAN11, TOV v. Ukraine)</w:t>
      </w:r>
      <w:r w:rsidRPr="00A2517E">
        <w:rPr>
          <w:lang w:val="uk-UA"/>
        </w:rPr>
        <w:t xml:space="preserve">, заява № 42402/17, пункти 27, 28 і 30, від 23 жовтня 2025 року; в якості протилежного прикладу рішення у справі «Космацька проти України» </w:t>
      </w:r>
      <w:r w:rsidRPr="00A2517E">
        <w:rPr>
          <w:i/>
          <w:iCs/>
          <w:lang w:val="uk-UA"/>
        </w:rPr>
        <w:t>(Kosmatska v. Ukraine)</w:t>
      </w:r>
      <w:r w:rsidRPr="00A2517E">
        <w:rPr>
          <w:lang w:val="uk-UA"/>
        </w:rPr>
        <w:t xml:space="preserve">, заява № 9953/16, пункт 48, від 04 грудня </w:t>
      </w:r>
      <w:r w:rsidRPr="00A2517E" w:rsidR="00D42586">
        <w:rPr>
          <w:lang w:val="uk-UA"/>
        </w:rPr>
        <w:t>2025 </w:t>
      </w:r>
      <w:r w:rsidRPr="00A2517E">
        <w:rPr>
          <w:lang w:val="uk-UA"/>
        </w:rPr>
        <w:t>року).</w:t>
      </w:r>
    </w:p>
    <w:p w:rsidRPr="00A2517E" w:rsidR="00D84ED9" w:rsidP="00A2517E" w14:paraId="1E5DD651" w14:textId="77777777">
      <w:pPr>
        <w:pStyle w:val="JuPara"/>
        <w:rPr>
          <w:lang w:val="uk-UA"/>
        </w:rPr>
      </w:pPr>
      <w:r w:rsidRPr="00A2517E">
        <w:rPr>
          <w:lang w:val="uk-UA"/>
        </w:rPr>
        <w:t>19</w:t>
      </w:r>
      <w:r w:rsidRPr="00A2517E" w:rsidR="000B2D76">
        <w:rPr>
          <w:lang w:val="uk-UA"/>
        </w:rPr>
        <w:t>.  </w:t>
      </w:r>
      <w:r w:rsidRPr="00A2517E">
        <w:rPr>
          <w:lang w:val="uk-UA"/>
        </w:rPr>
        <w:t xml:space="preserve">Суд не вбачає підстав відходити від зазначеного висновку у цій справі. Заявник не навів аргументів, чому він не спробував повернути грошові кошти, </w:t>
      </w:r>
      <w:r w:rsidRPr="00A2517E" w:rsidR="00B350C1">
        <w:rPr>
          <w:lang w:val="uk-UA"/>
        </w:rPr>
        <w:t>сплачені</w:t>
      </w:r>
      <w:r w:rsidRPr="00A2517E">
        <w:rPr>
          <w:lang w:val="uk-UA"/>
        </w:rPr>
        <w:t xml:space="preserve"> </w:t>
      </w:r>
      <w:r w:rsidRPr="00A2517E" w:rsidR="00B350C1">
        <w:rPr>
          <w:lang w:val="uk-UA"/>
        </w:rPr>
        <w:t xml:space="preserve">ним </w:t>
      </w:r>
      <w:r w:rsidRPr="00A2517E">
        <w:rPr>
          <w:lang w:val="uk-UA"/>
        </w:rPr>
        <w:t>за земельну ділянку, або чому це могло бути неможливим або недоступним. Він також не стверджував, що таке відшкодування шкоди, якби він його належним чином вимагав, не було б адекватним. Заявник також не стверджував, що наразі він був позбавлений можливості скористатися цією можливістю.</w:t>
      </w:r>
    </w:p>
    <w:p w:rsidRPr="00A2517E" w:rsidR="00D84ED9" w:rsidP="00A2517E" w14:paraId="10F39488" w14:textId="77777777">
      <w:pPr>
        <w:pStyle w:val="JuPara"/>
        <w:rPr>
          <w:lang w:val="uk-UA"/>
        </w:rPr>
      </w:pPr>
      <w:r w:rsidRPr="00A2517E">
        <w:rPr>
          <w:lang w:val="uk-UA"/>
        </w:rPr>
        <w:t>20</w:t>
      </w:r>
      <w:r w:rsidRPr="00A2517E" w:rsidR="000B2D76">
        <w:rPr>
          <w:lang w:val="uk-UA"/>
        </w:rPr>
        <w:t>.  </w:t>
      </w:r>
      <w:r w:rsidRPr="00A2517E">
        <w:rPr>
          <w:lang w:val="uk-UA"/>
        </w:rPr>
        <w:t xml:space="preserve">З огляду на зазначене Суд вважає, що втручання у права заявника за статтею 1 Першого протоколу до Конвенції не </w:t>
      </w:r>
      <w:r w:rsidRPr="00A2517E" w:rsidR="00B350C1">
        <w:rPr>
          <w:lang w:val="uk-UA"/>
        </w:rPr>
        <w:t xml:space="preserve">порушило </w:t>
      </w:r>
      <w:r w:rsidRPr="00A2517E">
        <w:rPr>
          <w:lang w:val="uk-UA"/>
        </w:rPr>
        <w:t xml:space="preserve">вимогу щодо встановлення справедливого балансу між </w:t>
      </w:r>
      <w:r w:rsidRPr="00A2517E" w:rsidR="00DF5735">
        <w:rPr>
          <w:lang w:val="uk-UA"/>
        </w:rPr>
        <w:t xml:space="preserve">гарантованими Конвенцією </w:t>
      </w:r>
      <w:r w:rsidRPr="00A2517E">
        <w:rPr>
          <w:lang w:val="uk-UA"/>
        </w:rPr>
        <w:t>правами особи та суспільним інтерес</w:t>
      </w:r>
      <w:r w:rsidRPr="00A2517E" w:rsidR="00DF5735">
        <w:rPr>
          <w:lang w:val="uk-UA"/>
        </w:rPr>
        <w:t>о</w:t>
      </w:r>
      <w:r w:rsidRPr="00A2517E">
        <w:rPr>
          <w:lang w:val="uk-UA"/>
        </w:rPr>
        <w:t>м.</w:t>
      </w:r>
    </w:p>
    <w:p w:rsidRPr="00A2517E" w:rsidR="00DF5735" w:rsidP="00A2517E" w14:paraId="6B95DFBC" w14:textId="77777777">
      <w:pPr>
        <w:pStyle w:val="JuPara"/>
        <w:rPr>
          <w:lang w:val="uk-UA"/>
        </w:rPr>
      </w:pPr>
      <w:r w:rsidRPr="00A2517E">
        <w:rPr>
          <w:lang w:val="uk-UA"/>
        </w:rPr>
        <w:t>21</w:t>
      </w:r>
      <w:r w:rsidRPr="00A2517E" w:rsidR="000B2D76">
        <w:rPr>
          <w:lang w:val="uk-UA"/>
        </w:rPr>
        <w:t>.  </w:t>
      </w:r>
      <w:r w:rsidRPr="00A2517E">
        <w:rPr>
          <w:lang w:val="uk-UA"/>
        </w:rPr>
        <w:t>З цього випливає, що не було порушення статті 1 Першого протоколу до Конвенції.</w:t>
      </w:r>
    </w:p>
    <w:p w:rsidRPr="00A2517E" w:rsidR="008544F0" w:rsidP="00A2517E" w14:paraId="6FB52BF0" w14:textId="77777777">
      <w:pPr>
        <w:pStyle w:val="JuHIRoman"/>
        <w:tabs>
          <w:tab w:val="left" w:pos="567"/>
          <w:tab w:val="left" w:pos="680"/>
        </w:tabs>
        <w:ind w:left="397" w:hanging="397"/>
        <w:rPr>
          <w:lang w:val="uk-UA"/>
        </w:rPr>
      </w:pPr>
      <w:r w:rsidRPr="00A2517E">
        <w:rPr>
          <w:lang w:val="uk-UA"/>
        </w:rPr>
        <w:t>СТВЕРДЖУВАНЕ ПОРУШЕННЯ СТАТТІ 6 КОНВЕНЦІЇ</w:t>
      </w:r>
    </w:p>
    <w:p w:rsidRPr="00A2517E" w:rsidR="00083E0F" w:rsidP="00A2517E" w14:paraId="1463895B" w14:textId="77777777">
      <w:pPr>
        <w:pStyle w:val="JuPara"/>
        <w:rPr>
          <w:lang w:val="uk-UA"/>
        </w:rPr>
      </w:pPr>
      <w:r w:rsidRPr="00A2517E">
        <w:rPr>
          <w:lang w:val="uk-UA"/>
        </w:rPr>
        <w:t>22</w:t>
      </w:r>
      <w:r w:rsidRPr="00A2517E" w:rsidR="000B2D76">
        <w:rPr>
          <w:lang w:val="uk-UA"/>
        </w:rPr>
        <w:t>.  </w:t>
      </w:r>
      <w:r w:rsidRPr="00A2517E">
        <w:rPr>
          <w:lang w:val="uk-UA"/>
        </w:rPr>
        <w:t xml:space="preserve">Заявник скаржився, що Верховний Суд належним чином не розглянув його обґрунтовану заяву про перегляд справи на підставі </w:t>
      </w:r>
      <w:r w:rsidRPr="00A2517E" w:rsidR="007A40C6">
        <w:rPr>
          <w:lang w:val="uk-UA"/>
        </w:rPr>
        <w:t xml:space="preserve">неоднакового </w:t>
      </w:r>
      <w:r w:rsidRPr="00A2517E">
        <w:rPr>
          <w:lang w:val="uk-UA"/>
        </w:rPr>
        <w:t xml:space="preserve">застосування </w:t>
      </w:r>
      <w:r w:rsidRPr="00A2517E" w:rsidR="00E93386">
        <w:rPr>
          <w:lang w:val="uk-UA"/>
        </w:rPr>
        <w:t>законодавства</w:t>
      </w:r>
      <w:r w:rsidRPr="00A2517E">
        <w:rPr>
          <w:lang w:val="uk-UA"/>
        </w:rPr>
        <w:t xml:space="preserve"> і таким чином не забезпечив єдності національної судової практики.</w:t>
      </w:r>
    </w:p>
    <w:p w:rsidRPr="00A2517E" w:rsidR="00083E0F" w:rsidP="00A2517E" w14:paraId="49992294" w14:textId="4203E495">
      <w:pPr>
        <w:pStyle w:val="JuPara"/>
        <w:rPr>
          <w:lang w:val="uk-UA"/>
        </w:rPr>
      </w:pPr>
      <w:r w:rsidRPr="00A2517E">
        <w:rPr>
          <w:lang w:val="uk-UA"/>
        </w:rPr>
        <w:t>23</w:t>
      </w:r>
      <w:r w:rsidRPr="00A2517E" w:rsidR="000B2D76">
        <w:rPr>
          <w:lang w:val="uk-UA"/>
        </w:rPr>
        <w:t>.  </w:t>
      </w:r>
      <w:r w:rsidRPr="00A2517E">
        <w:rPr>
          <w:lang w:val="uk-UA"/>
        </w:rPr>
        <w:t xml:space="preserve">Уряд стверджував, що Верховний Суд належним чином розглянув справу заявника та навів чіткі підстави </w:t>
      </w:r>
      <w:r w:rsidRPr="00A2517E" w:rsidR="003E2DCC">
        <w:rPr>
          <w:lang w:val="uk-UA"/>
        </w:rPr>
        <w:t xml:space="preserve">для </w:t>
      </w:r>
      <w:r w:rsidRPr="00A2517E">
        <w:rPr>
          <w:lang w:val="uk-UA"/>
        </w:rPr>
        <w:t xml:space="preserve">відмови в допуску до </w:t>
      </w:r>
      <w:r w:rsidRPr="00A2517E" w:rsidR="0057135D">
        <w:rPr>
          <w:lang w:val="uk-UA"/>
        </w:rPr>
        <w:t xml:space="preserve">провадження </w:t>
      </w:r>
      <w:r w:rsidRPr="00A2517E">
        <w:rPr>
          <w:lang w:val="uk-UA"/>
        </w:rPr>
        <w:t xml:space="preserve">його заяви про перегляд, зокрема щодо питання </w:t>
      </w:r>
      <w:r w:rsidRPr="00A2517E" w:rsidR="0057135D">
        <w:rPr>
          <w:lang w:val="uk-UA"/>
        </w:rPr>
        <w:t>доведення у зв</w:t>
      </w:r>
      <w:r w:rsidRPr="00A2517E" w:rsidR="00A2517E">
        <w:rPr>
          <w:lang w:val="uk-UA"/>
        </w:rPr>
        <w:t>’</w:t>
      </w:r>
      <w:r w:rsidRPr="00A2517E" w:rsidR="0057135D">
        <w:rPr>
          <w:lang w:val="uk-UA"/>
        </w:rPr>
        <w:t xml:space="preserve">язку з майновими </w:t>
      </w:r>
      <w:r w:rsidRPr="00A2517E">
        <w:rPr>
          <w:lang w:val="uk-UA"/>
        </w:rPr>
        <w:t>прав</w:t>
      </w:r>
      <w:r w:rsidRPr="00A2517E" w:rsidR="0057135D">
        <w:rPr>
          <w:lang w:val="uk-UA"/>
        </w:rPr>
        <w:t>ами</w:t>
      </w:r>
      <w:r w:rsidRPr="00A2517E">
        <w:rPr>
          <w:lang w:val="uk-UA"/>
        </w:rPr>
        <w:t xml:space="preserve">. Він також надав детальний аналіз справ № 914/4649/13 і № 363/100/15-ц у контексті </w:t>
      </w:r>
      <w:r w:rsidRPr="00A2517E" w:rsidR="00F82AA0">
        <w:rPr>
          <w:lang w:val="uk-UA"/>
        </w:rPr>
        <w:t xml:space="preserve">неоднакової </w:t>
      </w:r>
      <w:r w:rsidRPr="00A2517E">
        <w:rPr>
          <w:lang w:val="uk-UA"/>
        </w:rPr>
        <w:t xml:space="preserve">судової практики щодо питання застосування строку позовної давності. Уряд не пояснив, чому він надав такий </w:t>
      </w:r>
      <w:r w:rsidRPr="00A2517E" w:rsidR="00186F40">
        <w:rPr>
          <w:lang w:val="uk-UA"/>
        </w:rPr>
        <w:t xml:space="preserve">широкий </w:t>
      </w:r>
      <w:r w:rsidRPr="00A2517E">
        <w:rPr>
          <w:lang w:val="uk-UA"/>
        </w:rPr>
        <w:t xml:space="preserve">аналіз </w:t>
      </w:r>
      <w:r w:rsidRPr="00A2517E" w:rsidR="00A236A4">
        <w:rPr>
          <w:lang w:val="uk-UA"/>
        </w:rPr>
        <w:t>постанов</w:t>
      </w:r>
      <w:r w:rsidRPr="00A2517E">
        <w:rPr>
          <w:lang w:val="uk-UA"/>
        </w:rPr>
        <w:t xml:space="preserve"> у справах, на які, вочевидь, не посилався заявник </w:t>
      </w:r>
      <w:r w:rsidRPr="00A2517E">
        <w:rPr>
          <w:lang w:val="uk-UA"/>
        </w:rPr>
        <w:t xml:space="preserve">(принаймні як це </w:t>
      </w:r>
      <w:r w:rsidRPr="00A2517E" w:rsidR="00186F40">
        <w:rPr>
          <w:lang w:val="uk-UA"/>
        </w:rPr>
        <w:t xml:space="preserve">вбачається </w:t>
      </w:r>
      <w:r w:rsidRPr="00A2517E">
        <w:rPr>
          <w:lang w:val="uk-UA"/>
        </w:rPr>
        <w:t xml:space="preserve">з наявних у Суду документів), і які не були проаналізовані Верховним Судом у </w:t>
      </w:r>
      <w:r w:rsidRPr="00A2517E" w:rsidR="00FF24EB">
        <w:rPr>
          <w:lang w:val="uk-UA"/>
        </w:rPr>
        <w:t>його</w:t>
      </w:r>
      <w:r w:rsidRPr="00A2517E" w:rsidR="00186F40">
        <w:rPr>
          <w:lang w:val="uk-UA"/>
        </w:rPr>
        <w:t xml:space="preserve"> </w:t>
      </w:r>
      <w:r w:rsidRPr="00A2517E">
        <w:rPr>
          <w:lang w:val="uk-UA"/>
        </w:rPr>
        <w:t>ухвалі.</w:t>
      </w:r>
    </w:p>
    <w:p w:rsidRPr="00A2517E" w:rsidR="00A236A4" w:rsidP="00A2517E" w14:paraId="12D05C4A" w14:textId="77777777">
      <w:pPr>
        <w:pStyle w:val="JuPara"/>
        <w:rPr>
          <w:lang w:val="uk-UA"/>
        </w:rPr>
      </w:pPr>
      <w:r w:rsidRPr="00A2517E">
        <w:rPr>
          <w:lang w:val="uk-UA"/>
        </w:rPr>
        <w:t>24</w:t>
      </w:r>
      <w:r w:rsidRPr="00A2517E" w:rsidR="000B2D76">
        <w:rPr>
          <w:lang w:val="uk-UA"/>
        </w:rPr>
        <w:t>.  </w:t>
      </w:r>
      <w:r w:rsidRPr="00A2517E">
        <w:rPr>
          <w:lang w:val="uk-UA"/>
        </w:rPr>
        <w:t xml:space="preserve">Уряд також наголосив на </w:t>
      </w:r>
      <w:r w:rsidRPr="00A2517E" w:rsidR="00343105">
        <w:rPr>
          <w:lang w:val="uk-UA"/>
        </w:rPr>
        <w:t xml:space="preserve">допоміжній </w:t>
      </w:r>
      <w:r w:rsidRPr="00A2517E">
        <w:rPr>
          <w:lang w:val="uk-UA"/>
        </w:rPr>
        <w:t>ролі Суду</w:t>
      </w:r>
      <w:r w:rsidRPr="00A2517E" w:rsidR="003828D6">
        <w:rPr>
          <w:lang w:val="uk-UA"/>
        </w:rPr>
        <w:t>,</w:t>
      </w:r>
      <w:r w:rsidRPr="00A2517E">
        <w:rPr>
          <w:lang w:val="uk-UA"/>
        </w:rPr>
        <w:t xml:space="preserve"> </w:t>
      </w:r>
      <w:r w:rsidRPr="00A2517E" w:rsidR="003828D6">
        <w:rPr>
          <w:lang w:val="uk-UA"/>
        </w:rPr>
        <w:t>і</w:t>
      </w:r>
      <w:r w:rsidRPr="00A2517E" w:rsidR="00D80585">
        <w:rPr>
          <w:lang w:val="uk-UA"/>
        </w:rPr>
        <w:t xml:space="preserve"> на тому,</w:t>
      </w:r>
      <w:r w:rsidRPr="00A2517E">
        <w:rPr>
          <w:lang w:val="uk-UA"/>
        </w:rPr>
        <w:t xml:space="preserve"> що він не повинен ставити під сумнів висновки національних судів щодо фактів або їхн</w:t>
      </w:r>
      <w:r w:rsidRPr="00A2517E" w:rsidR="003828D6">
        <w:rPr>
          <w:lang w:val="uk-UA"/>
        </w:rPr>
        <w:t>ього</w:t>
      </w:r>
      <w:r w:rsidRPr="00A2517E">
        <w:rPr>
          <w:lang w:val="uk-UA"/>
        </w:rPr>
        <w:t xml:space="preserve"> тлумачення національного законодавства. Загалом, в</w:t>
      </w:r>
      <w:r w:rsidRPr="00A2517E" w:rsidR="003828D6">
        <w:rPr>
          <w:lang w:val="uk-UA"/>
        </w:rPr>
        <w:t xml:space="preserve">ін </w:t>
      </w:r>
      <w:r w:rsidRPr="00A2517E">
        <w:rPr>
          <w:lang w:val="uk-UA"/>
        </w:rPr>
        <w:t>вважа</w:t>
      </w:r>
      <w:r w:rsidRPr="00A2517E" w:rsidR="003828D6">
        <w:rPr>
          <w:lang w:val="uk-UA"/>
        </w:rPr>
        <w:t>в</w:t>
      </w:r>
      <w:r w:rsidRPr="00A2517E">
        <w:rPr>
          <w:lang w:val="uk-UA"/>
        </w:rPr>
        <w:t>, що скарга заявника була явно необґрунтованою або що порушення його прав не було.</w:t>
      </w:r>
    </w:p>
    <w:p w:rsidRPr="00A2517E" w:rsidR="003828D6" w:rsidP="00A2517E" w14:paraId="5E713229" w14:textId="4892DD01">
      <w:pPr>
        <w:pStyle w:val="JuPara"/>
        <w:rPr>
          <w:lang w:val="uk-UA"/>
        </w:rPr>
      </w:pPr>
      <w:r w:rsidRPr="00A2517E">
        <w:rPr>
          <w:lang w:val="uk-UA"/>
        </w:rPr>
        <w:t>25</w:t>
      </w:r>
      <w:r w:rsidRPr="00A2517E" w:rsidR="000B2D76">
        <w:rPr>
          <w:lang w:val="uk-UA"/>
        </w:rPr>
        <w:t>.  </w:t>
      </w:r>
      <w:r w:rsidRPr="00A2517E">
        <w:rPr>
          <w:lang w:val="uk-UA"/>
        </w:rPr>
        <w:t xml:space="preserve">Насамперед Суд зазначає, що він уже розглянув статус та повноваження Верховного Суду на момент </w:t>
      </w:r>
      <w:r w:rsidRPr="00A2517E" w:rsidR="00522AC0">
        <w:rPr>
          <w:lang w:val="uk-UA"/>
        </w:rPr>
        <w:t>подій</w:t>
      </w:r>
      <w:r w:rsidRPr="00A2517E">
        <w:rPr>
          <w:lang w:val="uk-UA"/>
        </w:rPr>
        <w:t xml:space="preserve"> та встановив, що </w:t>
      </w:r>
      <w:r w:rsidRPr="00A2517E" w:rsidR="00522AC0">
        <w:rPr>
          <w:lang w:val="uk-UA"/>
        </w:rPr>
        <w:t>у зв</w:t>
      </w:r>
      <w:r w:rsidRPr="00A2517E" w:rsidR="00A2517E">
        <w:rPr>
          <w:lang w:val="uk-UA"/>
        </w:rPr>
        <w:t>’</w:t>
      </w:r>
      <w:r w:rsidRPr="00A2517E" w:rsidR="00522AC0">
        <w:rPr>
          <w:lang w:val="uk-UA"/>
        </w:rPr>
        <w:t xml:space="preserve">язку із </w:t>
      </w:r>
      <w:r w:rsidRPr="00A2517E">
        <w:rPr>
          <w:lang w:val="uk-UA"/>
        </w:rPr>
        <w:t>заяв</w:t>
      </w:r>
      <w:r w:rsidRPr="00A2517E" w:rsidR="00522AC0">
        <w:rPr>
          <w:lang w:val="uk-UA"/>
        </w:rPr>
        <w:t>ами</w:t>
      </w:r>
      <w:r w:rsidRPr="00A2517E">
        <w:rPr>
          <w:lang w:val="uk-UA"/>
        </w:rPr>
        <w:t xml:space="preserve"> </w:t>
      </w:r>
      <w:r w:rsidRPr="00A2517E" w:rsidR="00522AC0">
        <w:rPr>
          <w:lang w:val="uk-UA"/>
        </w:rPr>
        <w:t xml:space="preserve">стосовно </w:t>
      </w:r>
      <w:r w:rsidRPr="00A2517E">
        <w:rPr>
          <w:lang w:val="uk-UA"/>
        </w:rPr>
        <w:t xml:space="preserve">перегляду на підставі </w:t>
      </w:r>
      <w:r w:rsidRPr="00A2517E" w:rsidR="00522AC0">
        <w:rPr>
          <w:lang w:val="uk-UA"/>
        </w:rPr>
        <w:t xml:space="preserve">попередньо </w:t>
      </w:r>
      <w:r w:rsidRPr="00A2517E">
        <w:rPr>
          <w:lang w:val="uk-UA"/>
        </w:rPr>
        <w:t xml:space="preserve">існуючої практики це не був надзвичайний випадок перегляду, а кінцевий елемент у ланцюжку національних засобів юридичного захисту, наявний у розпорядженні сторін. Таким чином, якщо питання Конвенції, які згодом були порушені </w:t>
      </w:r>
      <w:r w:rsidRPr="00A2517E" w:rsidR="00DB6CD7">
        <w:rPr>
          <w:lang w:val="uk-UA"/>
        </w:rPr>
        <w:t>у Суді</w:t>
      </w:r>
      <w:r w:rsidRPr="00A2517E">
        <w:rPr>
          <w:lang w:val="uk-UA"/>
        </w:rPr>
        <w:t xml:space="preserve">, випливали з розбіжностей </w:t>
      </w:r>
      <w:r w:rsidRPr="00A2517E" w:rsidR="00DB6CD7">
        <w:rPr>
          <w:lang w:val="uk-UA"/>
        </w:rPr>
        <w:t xml:space="preserve">в попередньо </w:t>
      </w:r>
      <w:r w:rsidRPr="00A2517E">
        <w:rPr>
          <w:lang w:val="uk-UA"/>
        </w:rPr>
        <w:t xml:space="preserve">існуючій судовій практиці або були </w:t>
      </w:r>
      <w:r w:rsidRPr="00A2517E" w:rsidR="00DB6CD7">
        <w:rPr>
          <w:lang w:val="uk-UA"/>
        </w:rPr>
        <w:t>достатньою</w:t>
      </w:r>
      <w:r w:rsidRPr="00A2517E">
        <w:rPr>
          <w:lang w:val="uk-UA"/>
        </w:rPr>
        <w:t xml:space="preserve"> </w:t>
      </w:r>
      <w:r w:rsidRPr="00A2517E" w:rsidR="00DB6CD7">
        <w:rPr>
          <w:lang w:val="uk-UA"/>
        </w:rPr>
        <w:t xml:space="preserve">мірою </w:t>
      </w:r>
      <w:r w:rsidRPr="00A2517E">
        <w:rPr>
          <w:lang w:val="uk-UA"/>
        </w:rPr>
        <w:t>пов</w:t>
      </w:r>
      <w:r w:rsidRPr="00A2517E" w:rsidR="00A2517E">
        <w:rPr>
          <w:lang w:val="uk-UA"/>
        </w:rPr>
        <w:t>’</w:t>
      </w:r>
      <w:r w:rsidRPr="00A2517E">
        <w:rPr>
          <w:lang w:val="uk-UA"/>
        </w:rPr>
        <w:t xml:space="preserve">язані з ними, можливість подання заяви про перегляд до Верховного Суду на підставі цих розбіжностей могла вважатися ефективним національним засобом юридичного захисту для цілей пункту 1 статті 35 Конвенції (див. ухвалу щодо прийнятності у справі </w:t>
      </w:r>
      <w:r w:rsidRPr="00A2517E" w:rsidR="00F758D6">
        <w:rPr>
          <w:lang w:val="uk-UA"/>
        </w:rPr>
        <w:t>«</w:t>
      </w:r>
      <w:r w:rsidRPr="00A2517E">
        <w:rPr>
          <w:lang w:val="uk-UA"/>
        </w:rPr>
        <w:t xml:space="preserve">ПП «Вестра» та інші проти України» </w:t>
      </w:r>
      <w:r w:rsidRPr="00A2517E">
        <w:rPr>
          <w:i/>
          <w:iCs/>
          <w:lang w:val="uk-UA"/>
        </w:rPr>
        <w:t>(Vestra PP and others v. Ukraine)</w:t>
      </w:r>
      <w:r w:rsidRPr="00A2517E">
        <w:rPr>
          <w:lang w:val="uk-UA"/>
        </w:rPr>
        <w:t xml:space="preserve">, заява № 60680/16, пункти 48 – 50, від </w:t>
      </w:r>
      <w:r w:rsidRPr="00A2517E" w:rsidR="00151790">
        <w:rPr>
          <w:lang w:val="uk-UA"/>
        </w:rPr>
        <w:t xml:space="preserve">02 </w:t>
      </w:r>
      <w:r w:rsidRPr="00A2517E">
        <w:rPr>
          <w:lang w:val="uk-UA"/>
        </w:rPr>
        <w:t>вересня 2025 року).</w:t>
      </w:r>
    </w:p>
    <w:p w:rsidRPr="00A2517E" w:rsidR="003828D6" w:rsidP="00A2517E" w14:paraId="379E4056" w14:textId="77777777">
      <w:pPr>
        <w:pStyle w:val="JuPara"/>
        <w:rPr>
          <w:lang w:val="uk-UA"/>
        </w:rPr>
      </w:pPr>
      <w:r w:rsidRPr="00A2517E">
        <w:rPr>
          <w:lang w:val="uk-UA"/>
        </w:rPr>
        <w:t>26</w:t>
      </w:r>
      <w:r w:rsidRPr="00A2517E" w:rsidR="000B2D76">
        <w:rPr>
          <w:lang w:val="uk-UA"/>
        </w:rPr>
        <w:t>.  </w:t>
      </w:r>
      <w:r w:rsidRPr="00A2517E">
        <w:rPr>
          <w:lang w:val="uk-UA"/>
        </w:rPr>
        <w:t>У цій справі заявник звернувся із заявою про перегляд його справи Верховним Судом саме на підставі розбіжностей між висновками вищих судів у попередніх справах та висновками у його власній справі. Таким чином, він скористався звичайним засобом юридичного захисту, доступним у межах національного правового порядку, і тому всі гарантії статті 6 Конвенції застосовувалися в цьому провадженні.</w:t>
      </w:r>
    </w:p>
    <w:p w:rsidRPr="00A2517E" w:rsidR="00A2517E" w:rsidP="00A2517E" w14:paraId="2104D3CD" w14:textId="77777777">
      <w:pPr>
        <w:pStyle w:val="JuPara"/>
        <w:rPr>
          <w:lang w:val="uk-UA"/>
        </w:rPr>
      </w:pPr>
      <w:r w:rsidRPr="00A2517E">
        <w:rPr>
          <w:lang w:val="uk-UA"/>
        </w:rPr>
        <w:t>27</w:t>
      </w:r>
      <w:r w:rsidRPr="00A2517E" w:rsidR="000B2D76">
        <w:rPr>
          <w:lang w:val="uk-UA"/>
        </w:rPr>
        <w:t>.  </w:t>
      </w:r>
      <w:r w:rsidRPr="00A2517E" w:rsidR="003828D6">
        <w:rPr>
          <w:lang w:val="uk-UA"/>
        </w:rPr>
        <w:t>Зокрема, пункт 1 стаття 6 Конвенції зобов</w:t>
      </w:r>
      <w:r w:rsidRPr="00A2517E">
        <w:rPr>
          <w:lang w:val="uk-UA"/>
        </w:rPr>
        <w:t>’</w:t>
      </w:r>
      <w:r w:rsidRPr="00A2517E" w:rsidR="003828D6">
        <w:rPr>
          <w:lang w:val="uk-UA"/>
        </w:rPr>
        <w:t xml:space="preserve">язує національні суди обґрунтовувати свої рішення. Відповідні загальні принципи з цього питання наведені в рішенні у справі «Рамос Нунеш де Карвальо е Са проти Португалії» [ВП] </w:t>
      </w:r>
      <w:r w:rsidRPr="00A2517E" w:rsidR="003828D6">
        <w:rPr>
          <w:i/>
          <w:iCs/>
          <w:lang w:val="uk-UA"/>
        </w:rPr>
        <w:t xml:space="preserve">(Ramos Nunes de Carvalho e Sá v. Portugal) </w:t>
      </w:r>
      <w:r w:rsidRPr="00A2517E" w:rsidR="003828D6">
        <w:rPr>
          <w:lang w:val="uk-UA"/>
        </w:rPr>
        <w:t xml:space="preserve">[GC], заява № 55391/13 та 2 інші заяви, пункти 185 і 186, від 06 листопада 2018 року з подальшими посиланнями). Суд також повторює, </w:t>
      </w:r>
      <w:r w:rsidRPr="00A2517E" w:rsidR="00215A7E">
        <w:rPr>
          <w:lang w:val="uk-UA"/>
        </w:rPr>
        <w:t xml:space="preserve">що </w:t>
      </w:r>
      <w:r w:rsidRPr="00A2517E" w:rsidR="00E93386">
        <w:rPr>
          <w:lang w:val="uk-UA"/>
        </w:rPr>
        <w:t xml:space="preserve">він не має діяти як суд четвертої інстанції, а тому не ставитиме під сумнів рішення національних судів за пунктом 1 статті 6 Конвенції, якщо тільки їхні висновки не </w:t>
      </w:r>
      <w:r w:rsidRPr="00A2517E" w:rsidR="00C2115A">
        <w:rPr>
          <w:lang w:val="uk-UA"/>
        </w:rPr>
        <w:t xml:space="preserve">можуть вважатися </w:t>
      </w:r>
      <w:r w:rsidRPr="00A2517E" w:rsidR="00E93386">
        <w:rPr>
          <w:lang w:val="uk-UA"/>
        </w:rPr>
        <w:t xml:space="preserve">свавільними або явно необґрунтованими (див. рішення у справі «Бочан проти України (№ 2)» [ВП] </w:t>
      </w:r>
      <w:r w:rsidRPr="00A2517E" w:rsidR="00E93386">
        <w:rPr>
          <w:i/>
          <w:iCs/>
          <w:lang w:val="uk-UA"/>
        </w:rPr>
        <w:t>(Bochan v. Ukraine (no. 2))</w:t>
      </w:r>
      <w:r w:rsidRPr="00A2517E" w:rsidR="00E93386">
        <w:rPr>
          <w:lang w:val="uk-UA"/>
        </w:rPr>
        <w:t xml:space="preserve"> [GC], заява № 22251/08, пункт 61, ЄСПЛ 2015 з подальшими посиланнями).</w:t>
      </w:r>
    </w:p>
    <w:p w:rsidRPr="00A2517E" w:rsidR="00E93386" w:rsidP="00A2517E" w14:paraId="05FDA00C" w14:textId="7BF5D54D">
      <w:pPr>
        <w:pStyle w:val="JuPara"/>
        <w:rPr>
          <w:lang w:val="uk-UA"/>
        </w:rPr>
      </w:pPr>
      <w:r w:rsidRPr="00A2517E">
        <w:rPr>
          <w:lang w:val="uk-UA"/>
        </w:rPr>
        <w:t>28</w:t>
      </w:r>
      <w:r w:rsidRPr="00A2517E" w:rsidR="000B2D76">
        <w:rPr>
          <w:lang w:val="uk-UA"/>
        </w:rPr>
        <w:t>.  </w:t>
      </w:r>
      <w:r w:rsidRPr="00A2517E">
        <w:rPr>
          <w:lang w:val="uk-UA"/>
        </w:rPr>
        <w:t xml:space="preserve">Повертаючись до фактів цієї справи Суд зауважує, що ключовим питанням, яке мали розглянути національні суди, було: чи належним чином </w:t>
      </w:r>
      <w:r w:rsidRPr="00A2517E" w:rsidR="00A216AC">
        <w:rPr>
          <w:lang w:val="uk-UA"/>
        </w:rPr>
        <w:t>АТ «Укрзалізниця»</w:t>
      </w:r>
      <w:r w:rsidRPr="00A2517E" w:rsidR="00C2115A">
        <w:rPr>
          <w:lang w:val="uk-UA"/>
        </w:rPr>
        <w:t xml:space="preserve"> </w:t>
      </w:r>
      <w:r w:rsidRPr="00A2517E" w:rsidR="00215A7E">
        <w:rPr>
          <w:lang w:val="uk-UA"/>
        </w:rPr>
        <w:t xml:space="preserve">довело </w:t>
      </w:r>
      <w:r w:rsidRPr="00A2517E">
        <w:rPr>
          <w:lang w:val="uk-UA"/>
        </w:rPr>
        <w:t xml:space="preserve">своє право власності на відповідну земельну ділянку і, зокрема, які </w:t>
      </w:r>
      <w:r w:rsidRPr="00A2517E" w:rsidR="00215A7E">
        <w:rPr>
          <w:lang w:val="uk-UA"/>
        </w:rPr>
        <w:t xml:space="preserve">докази </w:t>
      </w:r>
      <w:r w:rsidRPr="00A2517E">
        <w:rPr>
          <w:lang w:val="uk-UA"/>
        </w:rPr>
        <w:t xml:space="preserve">воно мало надати на </w:t>
      </w:r>
      <w:r w:rsidRPr="00A2517E">
        <w:rPr>
          <w:lang w:val="uk-UA"/>
        </w:rPr>
        <w:t>підтвердження цього</w:t>
      </w:r>
      <w:r w:rsidRPr="00A2517E" w:rsidR="00215A7E">
        <w:rPr>
          <w:lang w:val="uk-UA"/>
        </w:rPr>
        <w:t>:</w:t>
      </w:r>
      <w:r w:rsidRPr="00A2517E">
        <w:rPr>
          <w:lang w:val="uk-UA"/>
        </w:rPr>
        <w:t xml:space="preserve"> належним чином зареєстроване право власності чи наявну технічну документацію щодо будівництва залізниці (див. пункт 3). Зрештою, вони дійшли висновку, що технічна документація була достатньою підставою для класифікації земельної ділянки як «земель залізничного транспорту», тобто такої, що </w:t>
      </w:r>
      <w:r w:rsidRPr="00A2517E" w:rsidR="00C2115A">
        <w:rPr>
          <w:lang w:val="uk-UA"/>
        </w:rPr>
        <w:t xml:space="preserve">належала </w:t>
      </w:r>
      <w:r w:rsidRPr="00A2517E" w:rsidR="00A216AC">
        <w:rPr>
          <w:lang w:val="uk-UA"/>
        </w:rPr>
        <w:t>АТ «Укрзалізниця»</w:t>
      </w:r>
      <w:r w:rsidRPr="00A2517E">
        <w:rPr>
          <w:lang w:val="uk-UA"/>
        </w:rPr>
        <w:t xml:space="preserve">. У своїй заяві про перегляд заявник навів приклади постанов вищих судів, які, на його думку, містили протилежний висновок стосовно того самого юридичного питання і, таким чином, вимагали розгляду Верховним Судом для вирішення можливої розбіжної </w:t>
      </w:r>
      <w:r w:rsidRPr="00A2517E" w:rsidR="00C2115A">
        <w:rPr>
          <w:lang w:val="uk-UA"/>
        </w:rPr>
        <w:t xml:space="preserve">у застосуванні </w:t>
      </w:r>
      <w:r w:rsidRPr="00A2517E">
        <w:rPr>
          <w:lang w:val="uk-UA"/>
        </w:rPr>
        <w:t xml:space="preserve">законодавства. Як вбачається, дві </w:t>
      </w:r>
      <w:r w:rsidRPr="00A2517E" w:rsidR="00031B75">
        <w:rPr>
          <w:lang w:val="uk-UA"/>
        </w:rPr>
        <w:t xml:space="preserve">зазначені ним </w:t>
      </w:r>
      <w:r w:rsidRPr="00A2517E">
        <w:rPr>
          <w:lang w:val="uk-UA"/>
        </w:rPr>
        <w:t xml:space="preserve">попередні постанови стосувалися, або принаймні значною мірою збігалися з тими самими юридичними питаннями, які були порушені в його власній справі, і навіть стосувалися тієї самої сторони – </w:t>
      </w:r>
      <w:r w:rsidRPr="00A2517E" w:rsidR="00A216AC">
        <w:rPr>
          <w:lang w:val="uk-UA"/>
        </w:rPr>
        <w:t>АТ</w:t>
      </w:r>
      <w:r w:rsidRPr="00A2517E" w:rsidR="00215A7E">
        <w:rPr>
          <w:lang w:val="uk-UA"/>
        </w:rPr>
        <w:t> </w:t>
      </w:r>
      <w:r w:rsidRPr="00A2517E" w:rsidR="00A216AC">
        <w:rPr>
          <w:lang w:val="uk-UA"/>
        </w:rPr>
        <w:t>«Укрзалізниця»</w:t>
      </w:r>
      <w:r w:rsidRPr="00A2517E" w:rsidR="00A216AC">
        <w:rPr>
          <w:lang w:val="uk-UA"/>
        </w:rPr>
        <w:t xml:space="preserve"> </w:t>
      </w:r>
      <w:r w:rsidRPr="00A2517E">
        <w:rPr>
          <w:lang w:val="uk-UA"/>
        </w:rPr>
        <w:t>(див. пункт 6).</w:t>
      </w:r>
    </w:p>
    <w:p w:rsidRPr="00A2517E" w:rsidR="00031B75" w:rsidP="00A2517E" w14:paraId="6DF19724" w14:textId="69E35759">
      <w:pPr>
        <w:pStyle w:val="JuPara"/>
        <w:rPr>
          <w:lang w:val="uk-UA"/>
        </w:rPr>
      </w:pPr>
      <w:r w:rsidRPr="00A2517E">
        <w:rPr>
          <w:lang w:val="uk-UA"/>
        </w:rPr>
        <w:t>29</w:t>
      </w:r>
      <w:r w:rsidRPr="00A2517E" w:rsidR="000B2D76">
        <w:rPr>
          <w:lang w:val="uk-UA"/>
        </w:rPr>
        <w:t>.  </w:t>
      </w:r>
      <w:r w:rsidRPr="00A2517E">
        <w:rPr>
          <w:lang w:val="uk-UA"/>
        </w:rPr>
        <w:t xml:space="preserve">У відповідь, у своїй ухвалі від 01 березня 2018 року, Верховний Суд відмовив у допуску заяви заявника до </w:t>
      </w:r>
      <w:r w:rsidRPr="00A2517E" w:rsidR="00C2115A">
        <w:rPr>
          <w:lang w:val="uk-UA"/>
        </w:rPr>
        <w:t>провадження</w:t>
      </w:r>
      <w:r w:rsidRPr="00A2517E">
        <w:rPr>
          <w:lang w:val="uk-UA"/>
        </w:rPr>
        <w:t xml:space="preserve">, постановивши, що постанови, на які він посилався, не могли слугувати «для порівняння» щодо встановлення </w:t>
      </w:r>
      <w:r w:rsidRPr="00A2517E" w:rsidR="00215A7E">
        <w:rPr>
          <w:lang w:val="uk-UA"/>
        </w:rPr>
        <w:t xml:space="preserve">неоднакового </w:t>
      </w:r>
      <w:r w:rsidRPr="00A2517E">
        <w:rPr>
          <w:lang w:val="uk-UA"/>
        </w:rPr>
        <w:t xml:space="preserve">застосування законодавства. Він </w:t>
      </w:r>
      <w:r w:rsidRPr="00A2517E" w:rsidR="00C2115A">
        <w:rPr>
          <w:lang w:val="uk-UA"/>
        </w:rPr>
        <w:t>виклав це у формі підсумку</w:t>
      </w:r>
      <w:r w:rsidRPr="00A2517E">
        <w:rPr>
          <w:lang w:val="uk-UA"/>
        </w:rPr>
        <w:t xml:space="preserve">, не навівши детальних пояснень (див. пункт 7), хоча навіть власне повторення Верховним Судом фактів справи заявника та попередніх справ, на які він посилався, свідчать, що вони </w:t>
      </w:r>
      <w:r w:rsidRPr="00A2517E" w:rsidR="00C2115A">
        <w:rPr>
          <w:lang w:val="uk-UA"/>
        </w:rPr>
        <w:t xml:space="preserve">були </w:t>
      </w:r>
      <w:r w:rsidRPr="00A2517E">
        <w:rPr>
          <w:lang w:val="uk-UA"/>
        </w:rPr>
        <w:t xml:space="preserve">дуже </w:t>
      </w:r>
      <w:r w:rsidRPr="00A2517E" w:rsidR="00C2115A">
        <w:rPr>
          <w:lang w:val="uk-UA"/>
        </w:rPr>
        <w:t>подібними</w:t>
      </w:r>
      <w:r w:rsidRPr="00A2517E">
        <w:rPr>
          <w:lang w:val="uk-UA"/>
        </w:rPr>
        <w:t>, і навіть неспеціаліст міг би поставити обґрунтовані питання у зв</w:t>
      </w:r>
      <w:r w:rsidRPr="00A2517E" w:rsidR="00A2517E">
        <w:rPr>
          <w:lang w:val="uk-UA"/>
        </w:rPr>
        <w:t>’</w:t>
      </w:r>
      <w:r w:rsidRPr="00A2517E">
        <w:rPr>
          <w:lang w:val="uk-UA"/>
        </w:rPr>
        <w:t xml:space="preserve">язку з цим. З огляду на ці обставини Суд не може не дійти висновку, що в такій ситуації потрібне </w:t>
      </w:r>
      <w:r w:rsidRPr="00A2517E" w:rsidR="00C2115A">
        <w:rPr>
          <w:lang w:val="uk-UA"/>
        </w:rPr>
        <w:t xml:space="preserve">було </w:t>
      </w:r>
      <w:r w:rsidRPr="00A2517E">
        <w:rPr>
          <w:lang w:val="uk-UA"/>
        </w:rPr>
        <w:t>детальне обґрунтування.</w:t>
      </w:r>
    </w:p>
    <w:p w:rsidRPr="00A2517E" w:rsidR="00031B75" w:rsidP="00A2517E" w14:paraId="6840356A" w14:textId="3B48BEF5">
      <w:pPr>
        <w:pStyle w:val="JuPara"/>
        <w:rPr>
          <w:lang w:val="uk-UA"/>
        </w:rPr>
      </w:pPr>
      <w:r w:rsidRPr="00A2517E">
        <w:rPr>
          <w:lang w:val="uk-UA"/>
        </w:rPr>
        <w:t>30</w:t>
      </w:r>
      <w:r w:rsidRPr="00A2517E" w:rsidR="000B2D76">
        <w:rPr>
          <w:lang w:val="uk-UA"/>
        </w:rPr>
        <w:t>.  </w:t>
      </w:r>
      <w:r w:rsidRPr="00A2517E">
        <w:rPr>
          <w:lang w:val="uk-UA"/>
        </w:rPr>
        <w:t>Таким чином, Суд вважає, що Верховний Суд не виконав свого обов</w:t>
      </w:r>
      <w:r w:rsidRPr="00A2517E" w:rsidR="00A2517E">
        <w:rPr>
          <w:lang w:val="uk-UA"/>
        </w:rPr>
        <w:t>’</w:t>
      </w:r>
      <w:r w:rsidRPr="00A2517E">
        <w:rPr>
          <w:lang w:val="uk-UA"/>
        </w:rPr>
        <w:t>язку щодо обґрунтування своїх рішень та не розглянув висунуті заявником доречні та важливі аргументи. Отже, було порушено пункт 1 статті 6 Конвенції.</w:t>
      </w:r>
    </w:p>
    <w:p w:rsidRPr="00A2517E" w:rsidR="008544F0" w:rsidP="00A2517E" w14:paraId="024E0EBC" w14:textId="77777777">
      <w:pPr>
        <w:pStyle w:val="JuHIRoman"/>
        <w:tabs>
          <w:tab w:val="left" w:pos="567"/>
          <w:tab w:val="left" w:pos="680"/>
        </w:tabs>
        <w:ind w:left="397" w:hanging="397"/>
        <w:rPr>
          <w:lang w:val="uk-UA"/>
        </w:rPr>
      </w:pPr>
      <w:r w:rsidRPr="00A2517E">
        <w:rPr>
          <w:lang w:val="uk-UA"/>
        </w:rPr>
        <w:t>інші скарги</w:t>
      </w:r>
    </w:p>
    <w:p w:rsidRPr="00A2517E" w:rsidR="00A2517E" w:rsidP="00A2517E" w14:paraId="56163E30" w14:textId="77777777">
      <w:pPr>
        <w:pStyle w:val="JuPara"/>
        <w:rPr>
          <w:lang w:val="uk-UA"/>
        </w:rPr>
      </w:pPr>
      <w:r w:rsidRPr="00A2517E">
        <w:rPr>
          <w:lang w:val="uk-UA"/>
        </w:rPr>
        <w:t>31</w:t>
      </w:r>
      <w:r w:rsidRPr="00A2517E" w:rsidR="000B2D76">
        <w:rPr>
          <w:lang w:val="uk-UA"/>
        </w:rPr>
        <w:t>.  </w:t>
      </w:r>
      <w:r w:rsidRPr="00A2517E">
        <w:rPr>
          <w:lang w:val="uk-UA"/>
        </w:rPr>
        <w:t>Заявник також подав інші скарги за статтею 6 Конвенції та статтею 1 Першого протоколу до Конвенції (застосування строку позовної давності, ігнорування деяких доказів). Суд розглянув цю частину заяви та вважає,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 передбаченим статтями 34 та 35 Конвенції, або не виявляють жодних ознак порушення прав і свобод, гарантованих Конвенцією або протоколами до неї.</w:t>
      </w:r>
    </w:p>
    <w:p w:rsidRPr="00A2517E" w:rsidR="00031B75" w:rsidP="00A2517E" w14:paraId="6B522363" w14:textId="513E1772">
      <w:pPr>
        <w:pStyle w:val="JuPara"/>
        <w:rPr>
          <w:lang w:val="uk-UA"/>
        </w:rPr>
      </w:pPr>
      <w:r w:rsidRPr="00A2517E">
        <w:rPr>
          <w:lang w:val="uk-UA"/>
        </w:rPr>
        <w:t>32</w:t>
      </w:r>
      <w:r w:rsidRPr="00A2517E" w:rsidR="000B2D76">
        <w:rPr>
          <w:lang w:val="uk-UA"/>
        </w:rPr>
        <w:t>.  </w:t>
      </w:r>
      <w:r w:rsidRPr="00A2517E">
        <w:rPr>
          <w:lang w:val="uk-UA"/>
        </w:rPr>
        <w:t>З цього випливає, що ця частина заяви має бути відхилена на підставі пункту 4 статті 35 Конвенції.</w:t>
      </w:r>
    </w:p>
    <w:p w:rsidRPr="00A2517E" w:rsidR="008544F0" w:rsidP="00A2517E" w14:paraId="49247C60" w14:textId="77777777">
      <w:pPr>
        <w:pStyle w:val="JuHHead"/>
        <w:rPr>
          <w:lang w:val="uk-UA"/>
        </w:rPr>
      </w:pPr>
      <w:r w:rsidRPr="00A2517E">
        <w:rPr>
          <w:caps w:val="0"/>
          <w:lang w:val="uk-UA"/>
        </w:rPr>
        <w:t>ЗАСТОСУВАННЯ СТАТТІ 41 КОНВЕНЦІЇ</w:t>
      </w:r>
    </w:p>
    <w:p w:rsidRPr="00A2517E" w:rsidR="008544F0" w:rsidP="00A2517E" w14:paraId="17C43D54" w14:textId="598D12AA">
      <w:pPr>
        <w:pStyle w:val="JuPara"/>
        <w:rPr>
          <w:lang w:val="uk-UA"/>
        </w:rPr>
      </w:pPr>
      <w:r w:rsidRPr="00A2517E">
        <w:rPr>
          <w:lang w:val="uk-UA"/>
        </w:rPr>
        <w:t>33</w:t>
      </w:r>
      <w:r w:rsidRPr="00A2517E" w:rsidR="000B2D76">
        <w:rPr>
          <w:lang w:val="uk-UA"/>
        </w:rPr>
        <w:t>.  </w:t>
      </w:r>
      <w:r w:rsidRPr="00A2517E" w:rsidR="003145EA">
        <w:rPr>
          <w:lang w:val="uk-UA"/>
        </w:rPr>
        <w:t>Заявник не подав вимогу про справедливу сатисфакцію. Отже, Суд вважає, що немає підстав присуджувати йому якусь суму у зв</w:t>
      </w:r>
      <w:r w:rsidRPr="00A2517E" w:rsidR="00A2517E">
        <w:rPr>
          <w:lang w:val="uk-UA"/>
        </w:rPr>
        <w:t>’</w:t>
      </w:r>
      <w:r w:rsidRPr="00A2517E" w:rsidR="003145EA">
        <w:rPr>
          <w:lang w:val="uk-UA"/>
        </w:rPr>
        <w:t>язку з цим</w:t>
      </w:r>
      <w:r w:rsidRPr="00A2517E" w:rsidR="000B2D76">
        <w:rPr>
          <w:lang w:val="uk-UA"/>
        </w:rPr>
        <w:t>.</w:t>
      </w:r>
    </w:p>
    <w:p w:rsidRPr="00A2517E" w:rsidR="008544F0" w:rsidP="00A2517E" w14:paraId="5E7179CF" w14:textId="77777777">
      <w:pPr>
        <w:pStyle w:val="JuHHead"/>
        <w:rPr>
          <w:lang w:val="uk-UA"/>
        </w:rPr>
      </w:pPr>
      <w:r w:rsidRPr="00A2517E">
        <w:rPr>
          <w:lang w:val="uk-UA"/>
        </w:rPr>
        <w:t>ЗА ЦИХ ПІДСТАВ СУД ОДНОГОЛОСНО</w:t>
      </w:r>
    </w:p>
    <w:p w:rsidRPr="00A2517E" w:rsidR="003145EA" w:rsidP="00A2517E" w14:paraId="425AE02D" w14:textId="77777777">
      <w:pPr>
        <w:pStyle w:val="JuList"/>
        <w:rPr>
          <w:lang w:val="uk-UA"/>
        </w:rPr>
      </w:pPr>
      <w:r w:rsidRPr="00A2517E">
        <w:rPr>
          <w:i/>
          <w:lang w:val="uk-UA"/>
        </w:rPr>
        <w:t xml:space="preserve">Оголошує </w:t>
      </w:r>
      <w:r w:rsidRPr="00A2517E">
        <w:rPr>
          <w:iCs/>
          <w:lang w:val="uk-UA"/>
        </w:rPr>
        <w:t xml:space="preserve">прийнятними скарги за статтею 1 Першого протоколу до Конвенції (позбавлення заявника земельної ділянки, придбаної у місцевих органів влади) та за статтею 6 Конвенції (відсутність </w:t>
      </w:r>
      <w:r w:rsidRPr="00A2517E" w:rsidR="00807B28">
        <w:rPr>
          <w:iCs/>
          <w:lang w:val="uk-UA"/>
        </w:rPr>
        <w:t xml:space="preserve">достатнього обґрунтування </w:t>
      </w:r>
      <w:r w:rsidRPr="00A2517E">
        <w:rPr>
          <w:iCs/>
          <w:lang w:val="uk-UA"/>
        </w:rPr>
        <w:t xml:space="preserve">в ухвалі Верховного Суду від 01 березня </w:t>
      </w:r>
      <w:r w:rsidRPr="00A2517E" w:rsidR="00802084">
        <w:rPr>
          <w:iCs/>
          <w:lang w:val="uk-UA"/>
        </w:rPr>
        <w:t>2018 </w:t>
      </w:r>
      <w:r w:rsidRPr="00A2517E">
        <w:rPr>
          <w:iCs/>
          <w:lang w:val="uk-UA"/>
        </w:rPr>
        <w:t>року), а решту скарг у заяві – неприйнятними;</w:t>
      </w:r>
    </w:p>
    <w:p w:rsidRPr="00A2517E" w:rsidR="003145EA" w:rsidP="00A2517E" w14:paraId="3357005B" w14:textId="77777777">
      <w:pPr>
        <w:pStyle w:val="JuList"/>
        <w:rPr>
          <w:lang w:val="uk-UA"/>
        </w:rPr>
      </w:pPr>
      <w:r w:rsidRPr="00A2517E">
        <w:rPr>
          <w:i/>
          <w:lang w:val="uk-UA"/>
        </w:rPr>
        <w:t xml:space="preserve">Постановляє, </w:t>
      </w:r>
      <w:r w:rsidRPr="00A2517E">
        <w:rPr>
          <w:iCs/>
          <w:lang w:val="uk-UA"/>
        </w:rPr>
        <w:t xml:space="preserve">що не було </w:t>
      </w:r>
      <w:r w:rsidRPr="00A2517E" w:rsidR="00802084">
        <w:rPr>
          <w:iCs/>
          <w:lang w:val="uk-UA"/>
        </w:rPr>
        <w:t xml:space="preserve">порушено статтю </w:t>
      </w:r>
      <w:r w:rsidRPr="00A2517E">
        <w:rPr>
          <w:iCs/>
          <w:lang w:val="uk-UA"/>
        </w:rPr>
        <w:t>1 Першого протоколу до Конвенції;</w:t>
      </w:r>
    </w:p>
    <w:p w:rsidRPr="00A2517E" w:rsidR="00A2517E" w:rsidP="00A2517E" w14:paraId="335D3E83" w14:textId="77777777">
      <w:pPr>
        <w:pStyle w:val="JuList"/>
        <w:rPr>
          <w:iCs/>
          <w:lang w:val="uk-UA"/>
        </w:rPr>
      </w:pPr>
      <w:r w:rsidRPr="00A2517E">
        <w:rPr>
          <w:i/>
          <w:lang w:val="uk-UA"/>
        </w:rPr>
        <w:t xml:space="preserve">Постановляє, </w:t>
      </w:r>
      <w:r w:rsidRPr="00A2517E">
        <w:rPr>
          <w:iCs/>
          <w:lang w:val="uk-UA"/>
        </w:rPr>
        <w:t>що було порушено статтю 6 Конвенції.</w:t>
      </w:r>
    </w:p>
    <w:p w:rsidRPr="00A2517E" w:rsidR="003145EA" w:rsidP="00A2517E" w14:paraId="6A23F0A4" w14:textId="2E5CA61C">
      <w:pPr>
        <w:pStyle w:val="JuList"/>
        <w:numPr>
          <w:ilvl w:val="0"/>
          <w:numId w:val="0"/>
        </w:numPr>
        <w:ind w:firstLine="284"/>
        <w:rPr>
          <w:lang w:val="uk-UA"/>
        </w:rPr>
      </w:pPr>
      <w:r w:rsidRPr="00A2517E">
        <w:rPr>
          <w:lang w:val="uk-UA"/>
        </w:rPr>
        <w:t>Учинено англійською мовою та повідомлено письмово 18 червня 2026 року відповідно до пунктів 2 і 3 Правила 77 Регламенту Суду.</w:t>
      </w:r>
    </w:p>
    <w:p w:rsidRPr="00A2517E" w:rsidR="003145EA" w:rsidP="00A2517E" w14:paraId="7FD3BAA3" w14:textId="77777777">
      <w:pPr>
        <w:pStyle w:val="JuList"/>
        <w:numPr>
          <w:ilvl w:val="0"/>
          <w:numId w:val="0"/>
        </w:numPr>
        <w:ind w:firstLine="284"/>
        <w:rPr>
          <w:lang w:val="uk-UA"/>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14:paraId="4E751DCE" w14:textId="77777777">
        <w:tblPrEx>
          <w:tblW w:w="0" w:type="auto"/>
          <w:tblLook w:val="04A0"/>
        </w:tblPrEx>
        <w:trPr>
          <w:trHeight w:val="60"/>
        </w:trPr>
        <w:tc>
          <w:tcPr>
            <w:tcW w:w="3674" w:type="dxa"/>
            <w:hideMark/>
          </w:tcPr>
          <w:p w:rsidRPr="00A2517E" w:rsidR="003145EA" w:rsidP="00A2517E" w14:paraId="78ABF11A" w14:textId="77777777">
            <w:pPr>
              <w:pStyle w:val="ECHRPlaceholder"/>
              <w:spacing w:before="0"/>
              <w:jc w:val="center"/>
              <w:rPr>
                <w:color w:val="auto"/>
                <w:lang w:val="uk-UA"/>
              </w:rPr>
            </w:pPr>
            <w:r w:rsidRPr="00A2517E">
              <w:rPr>
                <w:color w:val="auto"/>
                <w:lang w:val="uk-UA"/>
              </w:rPr>
              <w:t>Мартіна Келлер</w:t>
            </w:r>
          </w:p>
          <w:p w:rsidRPr="00A2517E" w:rsidR="003145EA" w:rsidP="00A2517E" w14:paraId="774D763E" w14:textId="77777777">
            <w:pPr>
              <w:pStyle w:val="ECHRPlaceholder"/>
              <w:spacing w:before="0"/>
              <w:jc w:val="center"/>
              <w:rPr>
                <w:i/>
                <w:iCs/>
                <w:color w:val="auto"/>
                <w:lang w:val="uk-UA"/>
              </w:rPr>
            </w:pPr>
            <w:r w:rsidRPr="00A2517E">
              <w:rPr>
                <w:i/>
                <w:iCs/>
                <w:color w:val="auto"/>
                <w:lang w:val="uk-UA"/>
              </w:rPr>
              <w:t>(Martina Keller)</w:t>
            </w:r>
          </w:p>
          <w:p w:rsidRPr="00A2517E" w:rsidR="003145EA" w:rsidP="00A2517E" w14:paraId="71BE15D7" w14:textId="77777777">
            <w:pPr>
              <w:pStyle w:val="ECHRPlaceholder"/>
              <w:spacing w:before="0"/>
              <w:jc w:val="center"/>
              <w:rPr>
                <w:color w:val="auto"/>
                <w:lang w:val="uk-UA"/>
              </w:rPr>
            </w:pPr>
            <w:r w:rsidRPr="00A2517E">
              <w:rPr>
                <w:color w:val="auto"/>
                <w:lang w:val="uk-UA"/>
              </w:rPr>
              <w:t>Заступник Секретаря</w:t>
            </w:r>
          </w:p>
        </w:tc>
        <w:tc>
          <w:tcPr>
            <w:tcW w:w="3674" w:type="dxa"/>
            <w:hideMark/>
          </w:tcPr>
          <w:p w:rsidRPr="00A2517E" w:rsidR="003145EA" w:rsidP="00A2517E" w14:paraId="2458D9E9" w14:textId="77777777">
            <w:pPr>
              <w:pStyle w:val="ECHRPlaceholder"/>
              <w:spacing w:before="0"/>
              <w:jc w:val="center"/>
              <w:rPr>
                <w:bCs/>
                <w:color w:val="auto"/>
                <w:lang w:val="uk-UA"/>
              </w:rPr>
            </w:pPr>
            <w:r w:rsidRPr="00A2517E">
              <w:rPr>
                <w:bCs/>
                <w:color w:val="auto"/>
                <w:lang w:val="uk-UA"/>
              </w:rPr>
              <w:t>Марія Елосегі</w:t>
            </w:r>
          </w:p>
          <w:p w:rsidRPr="00A2517E" w:rsidR="003145EA" w:rsidP="00A2517E" w14:paraId="7FAC7C68" w14:textId="77777777">
            <w:pPr>
              <w:pStyle w:val="ECHRPlaceholder"/>
              <w:spacing w:before="0"/>
              <w:jc w:val="center"/>
              <w:rPr>
                <w:i/>
                <w:iCs/>
                <w:color w:val="auto"/>
                <w:lang w:val="uk-UA"/>
              </w:rPr>
            </w:pPr>
            <w:r w:rsidRPr="00A2517E">
              <w:rPr>
                <w:i/>
                <w:iCs/>
                <w:color w:val="auto"/>
                <w:lang w:val="uk-UA"/>
              </w:rPr>
              <w:t>(María Elósegui)</w:t>
            </w:r>
          </w:p>
          <w:p w:rsidRPr="00A2517E" w:rsidR="003145EA" w:rsidP="00A2517E" w14:paraId="172DADE6" w14:textId="77777777">
            <w:pPr>
              <w:pStyle w:val="ECHRPlaceholder"/>
              <w:spacing w:before="0"/>
              <w:jc w:val="center"/>
              <w:rPr>
                <w:color w:val="auto"/>
                <w:lang w:val="uk-UA"/>
              </w:rPr>
            </w:pPr>
            <w:r w:rsidRPr="00A2517E">
              <w:rPr>
                <w:color w:val="auto"/>
                <w:lang w:val="uk-UA"/>
              </w:rPr>
              <w:t>Голова</w:t>
            </w:r>
          </w:p>
        </w:tc>
      </w:tr>
    </w:tbl>
    <w:p w:rsidRPr="00A2517E" w:rsidR="007E79A4" w:rsidP="00A2517E" w14:paraId="7E054C16" w14:textId="77777777">
      <w:pPr>
        <w:pStyle w:val="ECHRPlaceholder"/>
        <w:rPr>
          <w:szCs w:val="22"/>
          <w:lang w:val="uk-UA"/>
        </w:rPr>
      </w:pPr>
      <w:r w:rsidRPr="00A2517E">
        <w:rPr>
          <w:lang w:val="uk-UA"/>
        </w:rPr>
        <w:tab/>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0170" w:rsidRPr="00150BFA" w:rsidP="0020718E" w14:paraId="29707B05" w14:textId="77777777">
    <w:pPr>
      <w:jc w:val="center"/>
    </w:pPr>
    <w:r>
      <w:rPr>
        <w:noProof/>
        <w:lang w:val="uk-UA" w:eastAsia="uk-UA"/>
      </w:rPr>
      <w:drawing>
        <wp:inline distT="0" distB="0" distL="0" distR="0">
          <wp:extent cx="771525" cy="619125"/>
          <wp:effectExtent l="0" t="0" r="9525" b="9525"/>
          <wp:docPr id="683926499" name="Picture 68392649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2649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D0170" w:rsidRPr="008544F0" w:rsidP="00AF12C5" w14:paraId="5B2C46DB"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0170" w:rsidRPr="00150BFA" w:rsidP="0020718E" w14:paraId="0B5052C9" w14:textId="77777777">
    <w:pPr>
      <w:jc w:val="center"/>
    </w:pPr>
    <w:r>
      <w:rPr>
        <w:noProof/>
        <w:lang w:val="uk-UA" w:eastAsia="uk-UA"/>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D0170" w:rsidRPr="008544F0" w:rsidP="009E7A6F" w14:paraId="23849CF2"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0170" w:rsidP="009A115C" w14:paraId="23F1D55C" w14:textId="77777777">
    <w:pPr>
      <w:pStyle w:val="JuHeader"/>
    </w:pPr>
    <w:r>
      <w:fldChar w:fldCharType="begin"/>
    </w:r>
    <w:r>
      <w:instrText xml:space="preserve"> PAGE  \* MERGEFORMAT </w:instrText>
    </w:r>
    <w:r>
      <w:fldChar w:fldCharType="separate"/>
    </w:r>
    <w:r>
      <w:rPr>
        <w:noProof/>
      </w:rPr>
      <w:t>8</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0170" w:rsidRPr="000B7195" w:rsidP="007D3701" w14:paraId="111549B2" w14:textId="77777777">
    <w:pPr>
      <w:pStyle w:val="JuHeader"/>
    </w:pPr>
    <w:r>
      <w:fldChar w:fldCharType="begin"/>
    </w:r>
    <w:r>
      <w:instrText xml:space="preserve"> PAGE  \* MERGEFORMAT </w:instrText>
    </w:r>
    <w:r>
      <w:fldChar w:fldCharType="separate"/>
    </w:r>
    <w:r>
      <w:rPr>
        <w:noProof/>
      </w:rPr>
      <w:t>9</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0170" w:rsidRPr="00A45145" w:rsidP="00A45145" w14:paraId="641FC5B8"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D0170" w:rsidRPr="008544F0" w:rsidP="00B14793" w14:paraId="31F10EFE"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0170" w:rsidRPr="00A45145" w:rsidP="00A45145" w14:paraId="43FBB367" w14:textId="77777777">
    <w:pPr>
      <w:jc w:val="center"/>
    </w:pPr>
    <w:r>
      <w:rPr>
        <w:noProof/>
        <w:lang w:val="uk-UA" w:eastAsia="uk-UA"/>
      </w:rPr>
      <w:drawing>
        <wp:inline distT="0" distB="0" distL="0" distR="0">
          <wp:extent cx="2962275" cy="1219200"/>
          <wp:effectExtent l="0" t="0" r="9525" b="0"/>
          <wp:docPr id="275686376" name="Picture 27568637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8637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D0170" w:rsidRPr="008544F0" w14:paraId="2A1E620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0170" w:rsidRPr="00A516A0" w:rsidP="00A516A0" w14:paraId="73E4AAEE" w14:textId="77777777">
    <w:pPr>
      <w:pStyle w:val="JuHeader"/>
      <w:rPr>
        <w:lang w:val="uk-UA"/>
      </w:rPr>
    </w:pPr>
    <w:r>
      <w:rPr>
        <w:lang w:val="uk-UA"/>
      </w:rPr>
      <w:t>РІШЕННЯ У СПРАВІ «САМАНЮК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0170" w:rsidRPr="00A516A0" w:rsidP="007D3701" w14:paraId="59B437BE" w14:textId="77777777">
    <w:pPr>
      <w:pStyle w:val="JuHeader"/>
      <w:rPr>
        <w:lang w:val="uk-UA"/>
      </w:rPr>
    </w:pPr>
    <w:r>
      <w:rPr>
        <w:lang w:val="uk-UA"/>
      </w:rPr>
      <w:t>РІШЕННЯ У СПРАВІ «САМАНЮК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042246559">
    <w:abstractNumId w:val="14"/>
  </w:num>
  <w:num w:numId="2" w16cid:durableId="1286817006">
    <w:abstractNumId w:val="12"/>
  </w:num>
  <w:num w:numId="3" w16cid:durableId="1485122479">
    <w:abstractNumId w:val="11"/>
  </w:num>
  <w:num w:numId="4" w16cid:durableId="1062096397">
    <w:abstractNumId w:val="15"/>
  </w:num>
  <w:num w:numId="5" w16cid:durableId="2018537327">
    <w:abstractNumId w:val="13"/>
  </w:num>
  <w:num w:numId="6" w16cid:durableId="1350910515">
    <w:abstractNumId w:val="16"/>
  </w:num>
  <w:num w:numId="7" w16cid:durableId="2019579989">
    <w:abstractNumId w:val="17"/>
  </w:num>
  <w:num w:numId="8" w16cid:durableId="1748770072">
    <w:abstractNumId w:val="7"/>
  </w:num>
  <w:num w:numId="9" w16cid:durableId="397437443">
    <w:abstractNumId w:val="6"/>
  </w:num>
  <w:num w:numId="10" w16cid:durableId="1866670777">
    <w:abstractNumId w:val="5"/>
  </w:num>
  <w:num w:numId="11" w16cid:durableId="222101682">
    <w:abstractNumId w:val="4"/>
  </w:num>
  <w:num w:numId="12" w16cid:durableId="1669943122">
    <w:abstractNumId w:val="8"/>
  </w:num>
  <w:num w:numId="13" w16cid:durableId="1082799157">
    <w:abstractNumId w:val="3"/>
  </w:num>
  <w:num w:numId="14" w16cid:durableId="1531456218">
    <w:abstractNumId w:val="2"/>
  </w:num>
  <w:num w:numId="15" w16cid:durableId="2019967990">
    <w:abstractNumId w:val="1"/>
  </w:num>
  <w:num w:numId="16" w16cid:durableId="2141149291">
    <w:abstractNumId w:val="0"/>
  </w:num>
  <w:num w:numId="17" w16cid:durableId="829296192">
    <w:abstractNumId w:val="15"/>
  </w:num>
  <w:num w:numId="18" w16cid:durableId="2118062671">
    <w:abstractNumId w:val="16"/>
  </w:num>
  <w:num w:numId="19" w16cid:durableId="357389103">
    <w:abstractNumId w:val="10"/>
  </w:num>
  <w:num w:numId="20" w16cid:durableId="22657677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4F0"/>
    <w:rsid w:val="00001820"/>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0BD2"/>
    <w:rsid w:val="00031428"/>
    <w:rsid w:val="00031B75"/>
    <w:rsid w:val="00034987"/>
    <w:rsid w:val="00036D14"/>
    <w:rsid w:val="00041560"/>
    <w:rsid w:val="00043A4F"/>
    <w:rsid w:val="00056259"/>
    <w:rsid w:val="000602DF"/>
    <w:rsid w:val="00061B05"/>
    <w:rsid w:val="000632D5"/>
    <w:rsid w:val="000644EE"/>
    <w:rsid w:val="000712E3"/>
    <w:rsid w:val="00076D11"/>
    <w:rsid w:val="0007780A"/>
    <w:rsid w:val="000811DE"/>
    <w:rsid w:val="00083E0F"/>
    <w:rsid w:val="00085457"/>
    <w:rsid w:val="0009033B"/>
    <w:rsid w:val="000925AD"/>
    <w:rsid w:val="00096FE1"/>
    <w:rsid w:val="00097A62"/>
    <w:rsid w:val="000A24EB"/>
    <w:rsid w:val="000B2D76"/>
    <w:rsid w:val="000B686A"/>
    <w:rsid w:val="000B6923"/>
    <w:rsid w:val="000B7195"/>
    <w:rsid w:val="000C5F3C"/>
    <w:rsid w:val="000C6DCC"/>
    <w:rsid w:val="000D47AA"/>
    <w:rsid w:val="000D721F"/>
    <w:rsid w:val="000D7230"/>
    <w:rsid w:val="000E069B"/>
    <w:rsid w:val="000E0E82"/>
    <w:rsid w:val="000E1DC5"/>
    <w:rsid w:val="000E223F"/>
    <w:rsid w:val="000E46B8"/>
    <w:rsid w:val="000E7D45"/>
    <w:rsid w:val="000F055A"/>
    <w:rsid w:val="000F52F4"/>
    <w:rsid w:val="000F7851"/>
    <w:rsid w:val="00101505"/>
    <w:rsid w:val="00104E23"/>
    <w:rsid w:val="00110DA8"/>
    <w:rsid w:val="00111B0C"/>
    <w:rsid w:val="00111FD3"/>
    <w:rsid w:val="00120D6C"/>
    <w:rsid w:val="001257EC"/>
    <w:rsid w:val="00133D33"/>
    <w:rsid w:val="00134B6A"/>
    <w:rsid w:val="00134D64"/>
    <w:rsid w:val="00134FD0"/>
    <w:rsid w:val="00135A30"/>
    <w:rsid w:val="0013612C"/>
    <w:rsid w:val="00137FF6"/>
    <w:rsid w:val="00141650"/>
    <w:rsid w:val="00150BFA"/>
    <w:rsid w:val="00151790"/>
    <w:rsid w:val="001561B6"/>
    <w:rsid w:val="00162A12"/>
    <w:rsid w:val="00166530"/>
    <w:rsid w:val="00170027"/>
    <w:rsid w:val="00182EBA"/>
    <w:rsid w:val="001832BD"/>
    <w:rsid w:val="00186F40"/>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041C"/>
    <w:rsid w:val="00202752"/>
    <w:rsid w:val="0020335A"/>
    <w:rsid w:val="00204746"/>
    <w:rsid w:val="002052BC"/>
    <w:rsid w:val="00205F9F"/>
    <w:rsid w:val="0020718E"/>
    <w:rsid w:val="00210338"/>
    <w:rsid w:val="00210D5C"/>
    <w:rsid w:val="002115FC"/>
    <w:rsid w:val="0021423C"/>
    <w:rsid w:val="00215A7E"/>
    <w:rsid w:val="00226C89"/>
    <w:rsid w:val="00230D00"/>
    <w:rsid w:val="00231B72"/>
    <w:rsid w:val="00231DF7"/>
    <w:rsid w:val="00231FD1"/>
    <w:rsid w:val="002339E0"/>
    <w:rsid w:val="00233CF8"/>
    <w:rsid w:val="0023575D"/>
    <w:rsid w:val="00237148"/>
    <w:rsid w:val="0024222D"/>
    <w:rsid w:val="002422B6"/>
    <w:rsid w:val="0024239A"/>
    <w:rsid w:val="00244B0E"/>
    <w:rsid w:val="00244F6C"/>
    <w:rsid w:val="00246B89"/>
    <w:rsid w:val="00252C4E"/>
    <w:rsid w:val="002532C5"/>
    <w:rsid w:val="00254DF2"/>
    <w:rsid w:val="00255A8E"/>
    <w:rsid w:val="00260C03"/>
    <w:rsid w:val="0026439A"/>
    <w:rsid w:val="0026540E"/>
    <w:rsid w:val="00275123"/>
    <w:rsid w:val="00281B7C"/>
    <w:rsid w:val="00282240"/>
    <w:rsid w:val="00282BD8"/>
    <w:rsid w:val="00287AD5"/>
    <w:rsid w:val="002934D0"/>
    <w:rsid w:val="00293676"/>
    <w:rsid w:val="00293BD9"/>
    <w:rsid w:val="002948AD"/>
    <w:rsid w:val="00295972"/>
    <w:rsid w:val="002A01CC"/>
    <w:rsid w:val="002A613A"/>
    <w:rsid w:val="002A61B1"/>
    <w:rsid w:val="002A663C"/>
    <w:rsid w:val="002B3C6A"/>
    <w:rsid w:val="002B444B"/>
    <w:rsid w:val="002B5887"/>
    <w:rsid w:val="002B5B43"/>
    <w:rsid w:val="002C0E27"/>
    <w:rsid w:val="002C3040"/>
    <w:rsid w:val="002C4433"/>
    <w:rsid w:val="002C5ADD"/>
    <w:rsid w:val="002C73B1"/>
    <w:rsid w:val="002C7826"/>
    <w:rsid w:val="002D022D"/>
    <w:rsid w:val="002D24BB"/>
    <w:rsid w:val="002D2FA7"/>
    <w:rsid w:val="002D47BA"/>
    <w:rsid w:val="002D77B9"/>
    <w:rsid w:val="002E0CE7"/>
    <w:rsid w:val="002E46DA"/>
    <w:rsid w:val="002E7764"/>
    <w:rsid w:val="002F2AF7"/>
    <w:rsid w:val="002F2C09"/>
    <w:rsid w:val="002F69C4"/>
    <w:rsid w:val="002F7D9E"/>
    <w:rsid w:val="002F7E1C"/>
    <w:rsid w:val="00301A75"/>
    <w:rsid w:val="00302F70"/>
    <w:rsid w:val="0030336F"/>
    <w:rsid w:val="0030375E"/>
    <w:rsid w:val="00312A30"/>
    <w:rsid w:val="003145EA"/>
    <w:rsid w:val="003201D8"/>
    <w:rsid w:val="00320F72"/>
    <w:rsid w:val="0032463E"/>
    <w:rsid w:val="00326224"/>
    <w:rsid w:val="00337EE4"/>
    <w:rsid w:val="00340FFD"/>
    <w:rsid w:val="00343105"/>
    <w:rsid w:val="00345C41"/>
    <w:rsid w:val="003506B1"/>
    <w:rsid w:val="00354DF1"/>
    <w:rsid w:val="00355877"/>
    <w:rsid w:val="00356AC7"/>
    <w:rsid w:val="003609FA"/>
    <w:rsid w:val="003710C8"/>
    <w:rsid w:val="003750BE"/>
    <w:rsid w:val="003828D6"/>
    <w:rsid w:val="00385A36"/>
    <w:rsid w:val="00385F3D"/>
    <w:rsid w:val="0038740C"/>
    <w:rsid w:val="00387B9D"/>
    <w:rsid w:val="00387C70"/>
    <w:rsid w:val="00390294"/>
    <w:rsid w:val="0039364F"/>
    <w:rsid w:val="0039365D"/>
    <w:rsid w:val="00396686"/>
    <w:rsid w:val="0039778E"/>
    <w:rsid w:val="003A3E84"/>
    <w:rsid w:val="003A763E"/>
    <w:rsid w:val="003B4941"/>
    <w:rsid w:val="003C5714"/>
    <w:rsid w:val="003C63FE"/>
    <w:rsid w:val="003C6B9F"/>
    <w:rsid w:val="003C6E2A"/>
    <w:rsid w:val="003D0299"/>
    <w:rsid w:val="003E2DCC"/>
    <w:rsid w:val="003E6D80"/>
    <w:rsid w:val="003E7BCC"/>
    <w:rsid w:val="003F05FA"/>
    <w:rsid w:val="003F244A"/>
    <w:rsid w:val="003F2517"/>
    <w:rsid w:val="003F30B8"/>
    <w:rsid w:val="003F4C45"/>
    <w:rsid w:val="003F5F7B"/>
    <w:rsid w:val="003F7D64"/>
    <w:rsid w:val="0040433A"/>
    <w:rsid w:val="00414300"/>
    <w:rsid w:val="00414F27"/>
    <w:rsid w:val="004177E7"/>
    <w:rsid w:val="00420703"/>
    <w:rsid w:val="00425C67"/>
    <w:rsid w:val="00427870"/>
    <w:rsid w:val="00427E7A"/>
    <w:rsid w:val="004355AC"/>
    <w:rsid w:val="00436C49"/>
    <w:rsid w:val="00443D98"/>
    <w:rsid w:val="00445366"/>
    <w:rsid w:val="00447F5B"/>
    <w:rsid w:val="00461DB0"/>
    <w:rsid w:val="00463926"/>
    <w:rsid w:val="00464AB7"/>
    <w:rsid w:val="00464C9A"/>
    <w:rsid w:val="004727E9"/>
    <w:rsid w:val="00474F3D"/>
    <w:rsid w:val="00477E3A"/>
    <w:rsid w:val="00477FA2"/>
    <w:rsid w:val="00483E5F"/>
    <w:rsid w:val="00485FF9"/>
    <w:rsid w:val="0049049B"/>
    <w:rsid w:val="004907F0"/>
    <w:rsid w:val="0049140B"/>
    <w:rsid w:val="004923A5"/>
    <w:rsid w:val="0049310E"/>
    <w:rsid w:val="004950E2"/>
    <w:rsid w:val="00496BFB"/>
    <w:rsid w:val="004A15C7"/>
    <w:rsid w:val="004A3201"/>
    <w:rsid w:val="004A3EE4"/>
    <w:rsid w:val="004A7044"/>
    <w:rsid w:val="004B013B"/>
    <w:rsid w:val="004B112B"/>
    <w:rsid w:val="004B444E"/>
    <w:rsid w:val="004B641B"/>
    <w:rsid w:val="004B6C3D"/>
    <w:rsid w:val="004C01E4"/>
    <w:rsid w:val="004C086C"/>
    <w:rsid w:val="004C1F56"/>
    <w:rsid w:val="004C27BC"/>
    <w:rsid w:val="004C6621"/>
    <w:rsid w:val="004D096A"/>
    <w:rsid w:val="004D0EC7"/>
    <w:rsid w:val="004D15F3"/>
    <w:rsid w:val="004D21D9"/>
    <w:rsid w:val="004D3B3D"/>
    <w:rsid w:val="004D4EF1"/>
    <w:rsid w:val="004D5311"/>
    <w:rsid w:val="004D5DCC"/>
    <w:rsid w:val="004D7E45"/>
    <w:rsid w:val="004F10AF"/>
    <w:rsid w:val="004F11A4"/>
    <w:rsid w:val="004F2389"/>
    <w:rsid w:val="004F304D"/>
    <w:rsid w:val="004F4290"/>
    <w:rsid w:val="004F61BE"/>
    <w:rsid w:val="004F66B1"/>
    <w:rsid w:val="004F7E7D"/>
    <w:rsid w:val="00505F69"/>
    <w:rsid w:val="00511C07"/>
    <w:rsid w:val="005125CB"/>
    <w:rsid w:val="00512EC4"/>
    <w:rsid w:val="00514D33"/>
    <w:rsid w:val="0051725A"/>
    <w:rsid w:val="005173A6"/>
    <w:rsid w:val="00517BB8"/>
    <w:rsid w:val="00520354"/>
    <w:rsid w:val="00520BAA"/>
    <w:rsid w:val="005217D8"/>
    <w:rsid w:val="00522AC0"/>
    <w:rsid w:val="00525208"/>
    <w:rsid w:val="005257A5"/>
    <w:rsid w:val="00526429"/>
    <w:rsid w:val="005264C0"/>
    <w:rsid w:val="00526A8A"/>
    <w:rsid w:val="00527FB1"/>
    <w:rsid w:val="00530FE6"/>
    <w:rsid w:val="00531DF2"/>
    <w:rsid w:val="0053315C"/>
    <w:rsid w:val="005369BF"/>
    <w:rsid w:val="00537476"/>
    <w:rsid w:val="005442EE"/>
    <w:rsid w:val="00545DA6"/>
    <w:rsid w:val="0054716E"/>
    <w:rsid w:val="00547353"/>
    <w:rsid w:val="005474E7"/>
    <w:rsid w:val="005512A3"/>
    <w:rsid w:val="005578CE"/>
    <w:rsid w:val="00562781"/>
    <w:rsid w:val="00562B6C"/>
    <w:rsid w:val="00566AA9"/>
    <w:rsid w:val="0057135D"/>
    <w:rsid w:val="0057271C"/>
    <w:rsid w:val="00572845"/>
    <w:rsid w:val="0057613C"/>
    <w:rsid w:val="00586A4D"/>
    <w:rsid w:val="005879A2"/>
    <w:rsid w:val="00592772"/>
    <w:rsid w:val="005933A3"/>
    <w:rsid w:val="0059574A"/>
    <w:rsid w:val="005A1B9B"/>
    <w:rsid w:val="005A2221"/>
    <w:rsid w:val="005A2E79"/>
    <w:rsid w:val="005A6751"/>
    <w:rsid w:val="005B092E"/>
    <w:rsid w:val="005B152C"/>
    <w:rsid w:val="005B1EE0"/>
    <w:rsid w:val="005B2B24"/>
    <w:rsid w:val="005B4425"/>
    <w:rsid w:val="005B4B94"/>
    <w:rsid w:val="005C2C62"/>
    <w:rsid w:val="005C3EE8"/>
    <w:rsid w:val="005D0170"/>
    <w:rsid w:val="005D2F2A"/>
    <w:rsid w:val="005D34F9"/>
    <w:rsid w:val="005D4190"/>
    <w:rsid w:val="005D67A3"/>
    <w:rsid w:val="005E2988"/>
    <w:rsid w:val="005E3085"/>
    <w:rsid w:val="005F0EB3"/>
    <w:rsid w:val="005F51E1"/>
    <w:rsid w:val="00611C80"/>
    <w:rsid w:val="00620692"/>
    <w:rsid w:val="00623885"/>
    <w:rsid w:val="006242CA"/>
    <w:rsid w:val="00627507"/>
    <w:rsid w:val="00632508"/>
    <w:rsid w:val="00633717"/>
    <w:rsid w:val="006344E1"/>
    <w:rsid w:val="00643524"/>
    <w:rsid w:val="0064393B"/>
    <w:rsid w:val="00644170"/>
    <w:rsid w:val="00645CF2"/>
    <w:rsid w:val="00653BED"/>
    <w:rsid w:val="00654232"/>
    <w:rsid w:val="006545C4"/>
    <w:rsid w:val="00661971"/>
    <w:rsid w:val="00661CE8"/>
    <w:rsid w:val="006623D9"/>
    <w:rsid w:val="006642A5"/>
    <w:rsid w:val="00664829"/>
    <w:rsid w:val="0066550C"/>
    <w:rsid w:val="00665BD2"/>
    <w:rsid w:val="00666915"/>
    <w:rsid w:val="006716F2"/>
    <w:rsid w:val="00675AF2"/>
    <w:rsid w:val="006762F3"/>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6720F"/>
    <w:rsid w:val="00775B6D"/>
    <w:rsid w:val="00776D68"/>
    <w:rsid w:val="00781140"/>
    <w:rsid w:val="0078323E"/>
    <w:rsid w:val="007849C2"/>
    <w:rsid w:val="007850EE"/>
    <w:rsid w:val="00785B95"/>
    <w:rsid w:val="00790E96"/>
    <w:rsid w:val="007926FD"/>
    <w:rsid w:val="00793366"/>
    <w:rsid w:val="0079666C"/>
    <w:rsid w:val="007A40C6"/>
    <w:rsid w:val="007A716F"/>
    <w:rsid w:val="007B270A"/>
    <w:rsid w:val="007B4182"/>
    <w:rsid w:val="007C0695"/>
    <w:rsid w:val="007C2380"/>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084"/>
    <w:rsid w:val="00802C64"/>
    <w:rsid w:val="00805E52"/>
    <w:rsid w:val="008061D0"/>
    <w:rsid w:val="00807B28"/>
    <w:rsid w:val="00810B38"/>
    <w:rsid w:val="008204C7"/>
    <w:rsid w:val="00820992"/>
    <w:rsid w:val="00823602"/>
    <w:rsid w:val="008255F5"/>
    <w:rsid w:val="00826890"/>
    <w:rsid w:val="0083014E"/>
    <w:rsid w:val="0083214A"/>
    <w:rsid w:val="00834220"/>
    <w:rsid w:val="00845723"/>
    <w:rsid w:val="008519E7"/>
    <w:rsid w:val="00851EF9"/>
    <w:rsid w:val="008544F0"/>
    <w:rsid w:val="008577FD"/>
    <w:rsid w:val="00860B03"/>
    <w:rsid w:val="00863002"/>
    <w:rsid w:val="0086497A"/>
    <w:rsid w:val="0086538E"/>
    <w:rsid w:val="00867066"/>
    <w:rsid w:val="008713A1"/>
    <w:rsid w:val="00872584"/>
    <w:rsid w:val="008754AB"/>
    <w:rsid w:val="0088060C"/>
    <w:rsid w:val="00882CD5"/>
    <w:rsid w:val="00883151"/>
    <w:rsid w:val="00891DA8"/>
    <w:rsid w:val="00893576"/>
    <w:rsid w:val="00893E73"/>
    <w:rsid w:val="008B02DC"/>
    <w:rsid w:val="008B092C"/>
    <w:rsid w:val="008B57CE"/>
    <w:rsid w:val="008B7ADF"/>
    <w:rsid w:val="008C26DE"/>
    <w:rsid w:val="008D1668"/>
    <w:rsid w:val="008D2225"/>
    <w:rsid w:val="008D23C1"/>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2D6"/>
    <w:rsid w:val="00947AFB"/>
    <w:rsid w:val="00951AA3"/>
    <w:rsid w:val="00951D7D"/>
    <w:rsid w:val="00956D0C"/>
    <w:rsid w:val="009630C7"/>
    <w:rsid w:val="00972B55"/>
    <w:rsid w:val="009743B7"/>
    <w:rsid w:val="0098228B"/>
    <w:rsid w:val="009828DA"/>
    <w:rsid w:val="0098410D"/>
    <w:rsid w:val="00985BAB"/>
    <w:rsid w:val="00986B3C"/>
    <w:rsid w:val="00991DF9"/>
    <w:rsid w:val="009A115C"/>
    <w:rsid w:val="009A7FC1"/>
    <w:rsid w:val="009B1606"/>
    <w:rsid w:val="009B1B5F"/>
    <w:rsid w:val="009B2DCC"/>
    <w:rsid w:val="009B6673"/>
    <w:rsid w:val="009C191B"/>
    <w:rsid w:val="009C2BD6"/>
    <w:rsid w:val="009D371F"/>
    <w:rsid w:val="009D57AA"/>
    <w:rsid w:val="009E1F32"/>
    <w:rsid w:val="009E2CC2"/>
    <w:rsid w:val="009E47A2"/>
    <w:rsid w:val="009E776C"/>
    <w:rsid w:val="009E7A6F"/>
    <w:rsid w:val="009F08CF"/>
    <w:rsid w:val="009F4C8F"/>
    <w:rsid w:val="009F5FFD"/>
    <w:rsid w:val="00A02972"/>
    <w:rsid w:val="00A05588"/>
    <w:rsid w:val="00A15601"/>
    <w:rsid w:val="00A1726E"/>
    <w:rsid w:val="00A204CF"/>
    <w:rsid w:val="00A216AC"/>
    <w:rsid w:val="00A21D2B"/>
    <w:rsid w:val="00A22745"/>
    <w:rsid w:val="00A236A4"/>
    <w:rsid w:val="00A23D49"/>
    <w:rsid w:val="00A2517E"/>
    <w:rsid w:val="00A27004"/>
    <w:rsid w:val="00A308CE"/>
    <w:rsid w:val="00A30C29"/>
    <w:rsid w:val="00A34DD6"/>
    <w:rsid w:val="00A35683"/>
    <w:rsid w:val="00A3624D"/>
    <w:rsid w:val="00A36819"/>
    <w:rsid w:val="00A36989"/>
    <w:rsid w:val="00A41D86"/>
    <w:rsid w:val="00A43628"/>
    <w:rsid w:val="00A4424C"/>
    <w:rsid w:val="00A45145"/>
    <w:rsid w:val="00A516A0"/>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1ADF"/>
    <w:rsid w:val="00A92625"/>
    <w:rsid w:val="00A94C20"/>
    <w:rsid w:val="00A95D81"/>
    <w:rsid w:val="00AA00E1"/>
    <w:rsid w:val="00AA1B09"/>
    <w:rsid w:val="00AA227F"/>
    <w:rsid w:val="00AA3BC7"/>
    <w:rsid w:val="00AA754A"/>
    <w:rsid w:val="00AB099E"/>
    <w:rsid w:val="00AB4328"/>
    <w:rsid w:val="00AC38DE"/>
    <w:rsid w:val="00AC4CD4"/>
    <w:rsid w:val="00AE0A2E"/>
    <w:rsid w:val="00AE354C"/>
    <w:rsid w:val="00AF12C5"/>
    <w:rsid w:val="00AF4553"/>
    <w:rsid w:val="00AF4B07"/>
    <w:rsid w:val="00AF6186"/>
    <w:rsid w:val="00AF7A3A"/>
    <w:rsid w:val="00B02587"/>
    <w:rsid w:val="00B049D1"/>
    <w:rsid w:val="00B14793"/>
    <w:rsid w:val="00B153A0"/>
    <w:rsid w:val="00B160DB"/>
    <w:rsid w:val="00B20836"/>
    <w:rsid w:val="00B235BB"/>
    <w:rsid w:val="00B26B61"/>
    <w:rsid w:val="00B27A44"/>
    <w:rsid w:val="00B30BBF"/>
    <w:rsid w:val="00B31F32"/>
    <w:rsid w:val="00B33C03"/>
    <w:rsid w:val="00B350C1"/>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16E1"/>
    <w:rsid w:val="00BD4CDB"/>
    <w:rsid w:val="00BE14E3"/>
    <w:rsid w:val="00BE3774"/>
    <w:rsid w:val="00BE41E5"/>
    <w:rsid w:val="00BE4CE2"/>
    <w:rsid w:val="00BE7384"/>
    <w:rsid w:val="00BF118F"/>
    <w:rsid w:val="00BF272E"/>
    <w:rsid w:val="00BF4009"/>
    <w:rsid w:val="00BF4109"/>
    <w:rsid w:val="00BF4CC3"/>
    <w:rsid w:val="00C054C7"/>
    <w:rsid w:val="00C057B5"/>
    <w:rsid w:val="00C07D0E"/>
    <w:rsid w:val="00C115C3"/>
    <w:rsid w:val="00C15547"/>
    <w:rsid w:val="00C1672D"/>
    <w:rsid w:val="00C2115A"/>
    <w:rsid w:val="00C22687"/>
    <w:rsid w:val="00C26A92"/>
    <w:rsid w:val="00C26B1C"/>
    <w:rsid w:val="00C32E4D"/>
    <w:rsid w:val="00C333A0"/>
    <w:rsid w:val="00C36A81"/>
    <w:rsid w:val="00C41974"/>
    <w:rsid w:val="00C44A2C"/>
    <w:rsid w:val="00C44F09"/>
    <w:rsid w:val="00C4770E"/>
    <w:rsid w:val="00C477F7"/>
    <w:rsid w:val="00C509A6"/>
    <w:rsid w:val="00C53F4A"/>
    <w:rsid w:val="00C54125"/>
    <w:rsid w:val="00C55B54"/>
    <w:rsid w:val="00C6098E"/>
    <w:rsid w:val="00C61453"/>
    <w:rsid w:val="00C6152C"/>
    <w:rsid w:val="00C71424"/>
    <w:rsid w:val="00C74810"/>
    <w:rsid w:val="00C90D68"/>
    <w:rsid w:val="00C939FE"/>
    <w:rsid w:val="00CA4BDA"/>
    <w:rsid w:val="00CA59E1"/>
    <w:rsid w:val="00CB13E3"/>
    <w:rsid w:val="00CB1F66"/>
    <w:rsid w:val="00CB232C"/>
    <w:rsid w:val="00CB2951"/>
    <w:rsid w:val="00CB3852"/>
    <w:rsid w:val="00CB4277"/>
    <w:rsid w:val="00CC5067"/>
    <w:rsid w:val="00CD11D3"/>
    <w:rsid w:val="00CD282B"/>
    <w:rsid w:val="00CD447B"/>
    <w:rsid w:val="00CD4C35"/>
    <w:rsid w:val="00CD7369"/>
    <w:rsid w:val="00CE0B0E"/>
    <w:rsid w:val="00CE3831"/>
    <w:rsid w:val="00CF15F5"/>
    <w:rsid w:val="00CF2397"/>
    <w:rsid w:val="00CF251F"/>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2586"/>
    <w:rsid w:val="00D44C2E"/>
    <w:rsid w:val="00D45414"/>
    <w:rsid w:val="00D50A0A"/>
    <w:rsid w:val="00D53548"/>
    <w:rsid w:val="00D5576B"/>
    <w:rsid w:val="00D566BD"/>
    <w:rsid w:val="00D57A4D"/>
    <w:rsid w:val="00D60AA7"/>
    <w:rsid w:val="00D6101A"/>
    <w:rsid w:val="00D6435F"/>
    <w:rsid w:val="00D66471"/>
    <w:rsid w:val="00D669D4"/>
    <w:rsid w:val="00D70641"/>
    <w:rsid w:val="00D7367D"/>
    <w:rsid w:val="00D74888"/>
    <w:rsid w:val="00D7488B"/>
    <w:rsid w:val="00D75E28"/>
    <w:rsid w:val="00D772C2"/>
    <w:rsid w:val="00D8008E"/>
    <w:rsid w:val="00D80585"/>
    <w:rsid w:val="00D82C45"/>
    <w:rsid w:val="00D84ED9"/>
    <w:rsid w:val="00D908A8"/>
    <w:rsid w:val="00D977B6"/>
    <w:rsid w:val="00DA1223"/>
    <w:rsid w:val="00DA4A31"/>
    <w:rsid w:val="00DA7B04"/>
    <w:rsid w:val="00DB0771"/>
    <w:rsid w:val="00DB36C2"/>
    <w:rsid w:val="00DB6CD7"/>
    <w:rsid w:val="00DC00A8"/>
    <w:rsid w:val="00DC169B"/>
    <w:rsid w:val="00DC2AB9"/>
    <w:rsid w:val="00DC63F0"/>
    <w:rsid w:val="00DD37EA"/>
    <w:rsid w:val="00DD6EE5"/>
    <w:rsid w:val="00DE386C"/>
    <w:rsid w:val="00DE4D35"/>
    <w:rsid w:val="00DF098B"/>
    <w:rsid w:val="00DF11C4"/>
    <w:rsid w:val="00DF210C"/>
    <w:rsid w:val="00DF4B6A"/>
    <w:rsid w:val="00DF5735"/>
    <w:rsid w:val="00E004C0"/>
    <w:rsid w:val="00E02C09"/>
    <w:rsid w:val="00E04D59"/>
    <w:rsid w:val="00E07DA1"/>
    <w:rsid w:val="00E123CB"/>
    <w:rsid w:val="00E13B09"/>
    <w:rsid w:val="00E17C3E"/>
    <w:rsid w:val="00E20E13"/>
    <w:rsid w:val="00E21DBC"/>
    <w:rsid w:val="00E275D7"/>
    <w:rsid w:val="00E27DBE"/>
    <w:rsid w:val="00E32AB1"/>
    <w:rsid w:val="00E33392"/>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0469"/>
    <w:rsid w:val="00E91D05"/>
    <w:rsid w:val="00E9262D"/>
    <w:rsid w:val="00E93386"/>
    <w:rsid w:val="00E94245"/>
    <w:rsid w:val="00E95C1E"/>
    <w:rsid w:val="00E97396"/>
    <w:rsid w:val="00EA185E"/>
    <w:rsid w:val="00EA592A"/>
    <w:rsid w:val="00EB14E4"/>
    <w:rsid w:val="00EB32A5"/>
    <w:rsid w:val="00EB34ED"/>
    <w:rsid w:val="00EB447C"/>
    <w:rsid w:val="00EB7994"/>
    <w:rsid w:val="00EB7BE0"/>
    <w:rsid w:val="00EC003A"/>
    <w:rsid w:val="00EC1B49"/>
    <w:rsid w:val="00EC315E"/>
    <w:rsid w:val="00ED077C"/>
    <w:rsid w:val="00ED10A9"/>
    <w:rsid w:val="00ED1190"/>
    <w:rsid w:val="00ED34AC"/>
    <w:rsid w:val="00ED5BAD"/>
    <w:rsid w:val="00ED6544"/>
    <w:rsid w:val="00EE0277"/>
    <w:rsid w:val="00EE2899"/>
    <w:rsid w:val="00EE3E00"/>
    <w:rsid w:val="00EE5DD2"/>
    <w:rsid w:val="00EF36C5"/>
    <w:rsid w:val="00EF3DB4"/>
    <w:rsid w:val="00F00A79"/>
    <w:rsid w:val="00F00D13"/>
    <w:rsid w:val="00F00E86"/>
    <w:rsid w:val="00F07C1E"/>
    <w:rsid w:val="00F105DB"/>
    <w:rsid w:val="00F12D87"/>
    <w:rsid w:val="00F132BC"/>
    <w:rsid w:val="00F13D80"/>
    <w:rsid w:val="00F15B4D"/>
    <w:rsid w:val="00F16A7C"/>
    <w:rsid w:val="00F16AAA"/>
    <w:rsid w:val="00F1709C"/>
    <w:rsid w:val="00F21161"/>
    <w:rsid w:val="00F218EF"/>
    <w:rsid w:val="00F21BC7"/>
    <w:rsid w:val="00F266A2"/>
    <w:rsid w:val="00F32269"/>
    <w:rsid w:val="00F35B7A"/>
    <w:rsid w:val="00F369F3"/>
    <w:rsid w:val="00F56A6F"/>
    <w:rsid w:val="00F5709C"/>
    <w:rsid w:val="00F60B85"/>
    <w:rsid w:val="00F64EF1"/>
    <w:rsid w:val="00F67F28"/>
    <w:rsid w:val="00F72498"/>
    <w:rsid w:val="00F72B14"/>
    <w:rsid w:val="00F7349B"/>
    <w:rsid w:val="00F758D6"/>
    <w:rsid w:val="00F82AA0"/>
    <w:rsid w:val="00F8765F"/>
    <w:rsid w:val="00F90767"/>
    <w:rsid w:val="00F9263C"/>
    <w:rsid w:val="00F942FA"/>
    <w:rsid w:val="00FA1637"/>
    <w:rsid w:val="00FA2B4E"/>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24EB"/>
    <w:rsid w:val="00FF42C5"/>
    <w:rsid w:val="00FF6D98"/>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7807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B2D76"/>
    <w:rPr>
      <w:sz w:val="24"/>
      <w:szCs w:val="24"/>
      <w:lang w:val="en-GB"/>
    </w:rPr>
  </w:style>
  <w:style w:type="paragraph" w:styleId="Heading1">
    <w:name w:val="heading 1"/>
    <w:basedOn w:val="Normal"/>
    <w:next w:val="Normal"/>
    <w:link w:val="Heading1Char"/>
    <w:uiPriority w:val="98"/>
    <w:semiHidden/>
    <w:rsid w:val="000B2D7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B2D7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B2D7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B2D7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B2D7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B2D7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B2D7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B2D7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B2D7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B2D76"/>
    <w:rPr>
      <w:rFonts w:ascii="Tahoma" w:hAnsi="Tahoma" w:cs="Tahoma"/>
      <w:sz w:val="16"/>
      <w:szCs w:val="16"/>
    </w:rPr>
  </w:style>
  <w:style w:type="character" w:customStyle="1" w:styleId="BalloonTextChar">
    <w:name w:val="Balloon Text Char"/>
    <w:basedOn w:val="DefaultParagraphFont"/>
    <w:link w:val="BalloonText"/>
    <w:uiPriority w:val="98"/>
    <w:semiHidden/>
    <w:rsid w:val="000B2D76"/>
    <w:rPr>
      <w:rFonts w:ascii="Tahoma" w:hAnsi="Tahoma" w:cs="Tahoma"/>
      <w:sz w:val="16"/>
      <w:szCs w:val="16"/>
      <w:lang w:val="en-GB"/>
    </w:rPr>
  </w:style>
  <w:style w:type="character" w:styleId="BookTitle">
    <w:name w:val="Book Title"/>
    <w:uiPriority w:val="98"/>
    <w:semiHidden/>
    <w:qFormat/>
    <w:rsid w:val="000B2D76"/>
    <w:rPr>
      <w:i/>
      <w:iCs/>
      <w:smallCaps/>
      <w:spacing w:val="5"/>
    </w:rPr>
  </w:style>
  <w:style w:type="paragraph" w:customStyle="1" w:styleId="JuHeader">
    <w:name w:val="Ju_Header"/>
    <w:aliases w:val="_Header"/>
    <w:basedOn w:val="Header0"/>
    <w:uiPriority w:val="29"/>
    <w:qFormat/>
    <w:rsid w:val="000B2D76"/>
    <w:pPr>
      <w:tabs>
        <w:tab w:val="clear" w:pos="4536"/>
        <w:tab w:val="clear" w:pos="9072"/>
      </w:tabs>
      <w:jc w:val="center"/>
    </w:pPr>
    <w:rPr>
      <w:sz w:val="18"/>
    </w:rPr>
  </w:style>
  <w:style w:type="paragraph" w:customStyle="1" w:styleId="NormalJustified">
    <w:name w:val="Normal_Justified"/>
    <w:basedOn w:val="Normal"/>
    <w:semiHidden/>
    <w:rsid w:val="000B2D76"/>
    <w:pPr>
      <w:jc w:val="both"/>
    </w:pPr>
  </w:style>
  <w:style w:type="character" w:styleId="Strong">
    <w:name w:val="Strong"/>
    <w:uiPriority w:val="98"/>
    <w:semiHidden/>
    <w:qFormat/>
    <w:rsid w:val="000B2D76"/>
    <w:rPr>
      <w:b/>
      <w:bCs/>
    </w:rPr>
  </w:style>
  <w:style w:type="paragraph" w:styleId="NoSpacing">
    <w:name w:val="No Spacing"/>
    <w:basedOn w:val="Normal"/>
    <w:link w:val="NoSpacingChar"/>
    <w:uiPriority w:val="98"/>
    <w:semiHidden/>
    <w:qFormat/>
    <w:rsid w:val="000B2D76"/>
  </w:style>
  <w:style w:type="character" w:customStyle="1" w:styleId="NoSpacingChar">
    <w:name w:val="No Spacing Char"/>
    <w:basedOn w:val="DefaultParagraphFont"/>
    <w:link w:val="NoSpacing"/>
    <w:uiPriority w:val="98"/>
    <w:semiHidden/>
    <w:rsid w:val="000B2D76"/>
    <w:rPr>
      <w:sz w:val="24"/>
      <w:szCs w:val="24"/>
      <w:lang w:val="en-GB"/>
    </w:rPr>
  </w:style>
  <w:style w:type="paragraph" w:customStyle="1" w:styleId="JuQuot">
    <w:name w:val="Ju_Quot"/>
    <w:aliases w:val="_Quote"/>
    <w:basedOn w:val="NormalJustified"/>
    <w:uiPriority w:val="20"/>
    <w:qFormat/>
    <w:rsid w:val="000B2D76"/>
    <w:pPr>
      <w:spacing w:before="120" w:after="120"/>
      <w:ind w:left="425" w:firstLine="142"/>
    </w:pPr>
    <w:rPr>
      <w:sz w:val="20"/>
    </w:rPr>
  </w:style>
  <w:style w:type="table" w:customStyle="1" w:styleId="GridTable1Light1">
    <w:name w:val="Grid Table 1 Light1"/>
    <w:basedOn w:val="TableNormal"/>
    <w:uiPriority w:val="46"/>
    <w:semiHidden/>
    <w:rsid w:val="000F055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
    <w:name w:val="Ju_List"/>
    <w:aliases w:val="_List_1"/>
    <w:basedOn w:val="NormalJustified"/>
    <w:uiPriority w:val="23"/>
    <w:qFormat/>
    <w:rsid w:val="000B2D76"/>
    <w:pPr>
      <w:numPr>
        <w:numId w:val="20"/>
      </w:numPr>
      <w:spacing w:before="280" w:after="60"/>
    </w:pPr>
  </w:style>
  <w:style w:type="paragraph" w:customStyle="1" w:styleId="JuLista">
    <w:name w:val="Ju_List_a"/>
    <w:aliases w:val="_List_2"/>
    <w:basedOn w:val="NormalJustified"/>
    <w:uiPriority w:val="23"/>
    <w:rsid w:val="000B2D76"/>
    <w:pPr>
      <w:numPr>
        <w:ilvl w:val="1"/>
        <w:numId w:val="20"/>
      </w:numPr>
    </w:pPr>
  </w:style>
  <w:style w:type="paragraph" w:customStyle="1" w:styleId="JuListi">
    <w:name w:val="Ju_List_i"/>
    <w:aliases w:val="_List_3"/>
    <w:basedOn w:val="NormalJustified"/>
    <w:uiPriority w:val="23"/>
    <w:rsid w:val="000B2D76"/>
    <w:pPr>
      <w:numPr>
        <w:ilvl w:val="2"/>
        <w:numId w:val="20"/>
      </w:numPr>
    </w:pPr>
  </w:style>
  <w:style w:type="paragraph" w:customStyle="1" w:styleId="JuHArticle">
    <w:name w:val="Ju_H_Article"/>
    <w:aliases w:val="_Title_Quote"/>
    <w:basedOn w:val="Normal"/>
    <w:next w:val="JuQuot"/>
    <w:uiPriority w:val="19"/>
    <w:qFormat/>
    <w:rsid w:val="000B2D7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B2D7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B2D7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B2D76"/>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B2D76"/>
    <w:pPr>
      <w:numPr>
        <w:numId w:val="4"/>
      </w:numPr>
    </w:pPr>
  </w:style>
  <w:style w:type="paragraph" w:customStyle="1" w:styleId="JuSigned">
    <w:name w:val="Ju_Signed"/>
    <w:aliases w:val="_Signature"/>
    <w:basedOn w:val="Normal"/>
    <w:next w:val="JuPara"/>
    <w:uiPriority w:val="31"/>
    <w:qFormat/>
    <w:rsid w:val="000B2D76"/>
    <w:pPr>
      <w:tabs>
        <w:tab w:val="center" w:pos="1418"/>
        <w:tab w:val="center" w:pos="5954"/>
      </w:tabs>
      <w:spacing w:before="720"/>
    </w:pPr>
  </w:style>
  <w:style w:type="paragraph" w:styleId="Title">
    <w:name w:val="Title"/>
    <w:basedOn w:val="Normal"/>
    <w:next w:val="Normal"/>
    <w:link w:val="TitleChar"/>
    <w:uiPriority w:val="98"/>
    <w:semiHidden/>
    <w:qFormat/>
    <w:rsid w:val="000B2D7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B2D7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B2D76"/>
    <w:pPr>
      <w:numPr>
        <w:numId w:val="5"/>
      </w:numPr>
    </w:pPr>
  </w:style>
  <w:style w:type="numbering" w:customStyle="1" w:styleId="ECHRA1StyleNumberedList">
    <w:name w:val="ECHR_A1_Style_Numbered_List"/>
    <w:basedOn w:val="NoList"/>
    <w:rsid w:val="000B2D76"/>
    <w:pPr>
      <w:numPr>
        <w:numId w:val="6"/>
      </w:numPr>
    </w:pPr>
  </w:style>
  <w:style w:type="table" w:customStyle="1" w:styleId="ECHRTable2019">
    <w:name w:val="ECHR_Table_2019"/>
    <w:basedOn w:val="TableNormal"/>
    <w:uiPriority w:val="99"/>
    <w:rsid w:val="000B2D7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B2D7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B2D76"/>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B2D76"/>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B2D76"/>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0B2D76"/>
    <w:pPr>
      <w:tabs>
        <w:tab w:val="center" w:pos="4536"/>
        <w:tab w:val="right" w:pos="9072"/>
      </w:tabs>
    </w:pPr>
  </w:style>
  <w:style w:type="character" w:customStyle="1" w:styleId="HeaderChar">
    <w:name w:val="Header Char"/>
    <w:basedOn w:val="DefaultParagraphFont"/>
    <w:link w:val="Header0"/>
    <w:uiPriority w:val="98"/>
    <w:semiHidden/>
    <w:rsid w:val="000B2D76"/>
    <w:rPr>
      <w:sz w:val="24"/>
      <w:szCs w:val="24"/>
      <w:lang w:val="en-GB"/>
    </w:rPr>
  </w:style>
  <w:style w:type="character" w:customStyle="1" w:styleId="Heading1Char">
    <w:name w:val="Heading 1 Char"/>
    <w:basedOn w:val="DefaultParagraphFont"/>
    <w:link w:val="Heading1"/>
    <w:uiPriority w:val="98"/>
    <w:semiHidden/>
    <w:rsid w:val="000B2D7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B2D76"/>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0B2D76"/>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B2D7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B2D76"/>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B2D76"/>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0B2D7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B2D76"/>
    <w:pPr>
      <w:keepNext/>
      <w:keepLines/>
      <w:spacing w:before="240" w:after="240"/>
      <w:ind w:firstLine="284"/>
    </w:pPr>
  </w:style>
  <w:style w:type="paragraph" w:customStyle="1" w:styleId="JuJudges">
    <w:name w:val="Ju_Judges"/>
    <w:aliases w:val="_Judges"/>
    <w:basedOn w:val="Normal"/>
    <w:uiPriority w:val="32"/>
    <w:qFormat/>
    <w:rsid w:val="000B2D76"/>
    <w:pPr>
      <w:tabs>
        <w:tab w:val="left" w:pos="567"/>
        <w:tab w:val="left" w:pos="1134"/>
      </w:tabs>
    </w:pPr>
  </w:style>
  <w:style w:type="character" w:customStyle="1" w:styleId="Heading4Char">
    <w:name w:val="Heading 4 Char"/>
    <w:basedOn w:val="DefaultParagraphFont"/>
    <w:link w:val="Heading4"/>
    <w:uiPriority w:val="98"/>
    <w:semiHidden/>
    <w:rsid w:val="000B2D7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B2D76"/>
    <w:pPr>
      <w:tabs>
        <w:tab w:val="center" w:pos="6407"/>
      </w:tabs>
      <w:spacing w:before="720"/>
      <w:jc w:val="right"/>
    </w:pPr>
  </w:style>
  <w:style w:type="character" w:customStyle="1" w:styleId="Heading5Char">
    <w:name w:val="Heading 5 Char"/>
    <w:basedOn w:val="DefaultParagraphFont"/>
    <w:link w:val="Heading5"/>
    <w:uiPriority w:val="98"/>
    <w:semiHidden/>
    <w:rsid w:val="000B2D7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B2D76"/>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0B2D76"/>
    <w:rPr>
      <w:caps w:val="0"/>
      <w:smallCaps/>
    </w:rPr>
  </w:style>
  <w:style w:type="character" w:styleId="SubtleEmphasis">
    <w:name w:val="Subtle Emphasis"/>
    <w:uiPriority w:val="98"/>
    <w:semiHidden/>
    <w:qFormat/>
    <w:rsid w:val="000B2D76"/>
    <w:rPr>
      <w:i/>
      <w:iCs/>
    </w:rPr>
  </w:style>
  <w:style w:type="table" w:customStyle="1" w:styleId="ECHRTable">
    <w:name w:val="ECHR_Table"/>
    <w:basedOn w:val="TableNormal"/>
    <w:rsid w:val="000B2D7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B2D7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0B2D76"/>
    <w:rPr>
      <w:b/>
      <w:bCs/>
      <w:i/>
      <w:iCs/>
      <w:spacing w:val="10"/>
      <w:bdr w:val="none" w:sz="0" w:space="0" w:color="auto"/>
      <w:shd w:val="clear" w:color="auto" w:fill="auto"/>
    </w:rPr>
  </w:style>
  <w:style w:type="paragraph" w:styleId="Footer1">
    <w:name w:val="footer"/>
    <w:basedOn w:val="Normal"/>
    <w:link w:val="FooterChar"/>
    <w:uiPriority w:val="98"/>
    <w:semiHidden/>
    <w:rsid w:val="000B2D76"/>
    <w:pPr>
      <w:tabs>
        <w:tab w:val="center" w:pos="3686"/>
        <w:tab w:val="right" w:pos="7371"/>
      </w:tabs>
    </w:pPr>
  </w:style>
  <w:style w:type="character" w:customStyle="1" w:styleId="FooterChar">
    <w:name w:val="Footer Char"/>
    <w:basedOn w:val="DefaultParagraphFont"/>
    <w:link w:val="Footer1"/>
    <w:uiPriority w:val="98"/>
    <w:semiHidden/>
    <w:rsid w:val="000B2D76"/>
    <w:rPr>
      <w:sz w:val="24"/>
      <w:szCs w:val="24"/>
      <w:lang w:val="en-GB"/>
    </w:rPr>
  </w:style>
  <w:style w:type="character" w:styleId="FootnoteReference">
    <w:name w:val="footnote reference"/>
    <w:basedOn w:val="DefaultParagraphFont"/>
    <w:uiPriority w:val="98"/>
    <w:semiHidden/>
    <w:rsid w:val="000B2D76"/>
    <w:rPr>
      <w:vertAlign w:val="superscript"/>
    </w:rPr>
  </w:style>
  <w:style w:type="paragraph" w:styleId="FootnoteText">
    <w:name w:val="footnote text"/>
    <w:basedOn w:val="NormalJustified"/>
    <w:link w:val="FootnoteTextChar"/>
    <w:uiPriority w:val="98"/>
    <w:semiHidden/>
    <w:rsid w:val="000B2D76"/>
    <w:rPr>
      <w:sz w:val="20"/>
      <w:szCs w:val="20"/>
    </w:rPr>
  </w:style>
  <w:style w:type="character" w:customStyle="1" w:styleId="FootnoteTextChar">
    <w:name w:val="Footnote Text Char"/>
    <w:basedOn w:val="DefaultParagraphFont"/>
    <w:link w:val="FootnoteText"/>
    <w:uiPriority w:val="98"/>
    <w:semiHidden/>
    <w:rsid w:val="000B2D76"/>
    <w:rPr>
      <w:sz w:val="20"/>
      <w:szCs w:val="20"/>
      <w:lang w:val="en-GB"/>
    </w:rPr>
  </w:style>
  <w:style w:type="character" w:customStyle="1" w:styleId="Heading6Char">
    <w:name w:val="Heading 6 Char"/>
    <w:basedOn w:val="DefaultParagraphFont"/>
    <w:link w:val="Heading6"/>
    <w:uiPriority w:val="98"/>
    <w:semiHidden/>
    <w:rsid w:val="000B2D7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B2D7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B2D7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B2D7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B2D76"/>
    <w:rPr>
      <w:color w:val="0072BC" w:themeColor="hyperlink"/>
      <w:u w:val="single"/>
    </w:rPr>
  </w:style>
  <w:style w:type="character" w:styleId="IntenseEmphasis">
    <w:name w:val="Intense Emphasis"/>
    <w:uiPriority w:val="98"/>
    <w:semiHidden/>
    <w:qFormat/>
    <w:rsid w:val="000B2D76"/>
    <w:rPr>
      <w:b/>
      <w:bCs/>
    </w:rPr>
  </w:style>
  <w:style w:type="paragraph" w:styleId="IntenseQuote">
    <w:name w:val="Intense Quote"/>
    <w:basedOn w:val="Normal"/>
    <w:next w:val="Normal"/>
    <w:link w:val="IntenseQuoteChar"/>
    <w:uiPriority w:val="98"/>
    <w:semiHidden/>
    <w:qFormat/>
    <w:rsid w:val="000B2D7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B2D76"/>
    <w:rPr>
      <w:b/>
      <w:bCs/>
      <w:i/>
      <w:iCs/>
      <w:sz w:val="24"/>
      <w:szCs w:val="24"/>
      <w:lang w:val="en-GB" w:bidi="en-US"/>
    </w:rPr>
  </w:style>
  <w:style w:type="character" w:styleId="IntenseReference">
    <w:name w:val="Intense Reference"/>
    <w:uiPriority w:val="98"/>
    <w:semiHidden/>
    <w:qFormat/>
    <w:rsid w:val="000B2D76"/>
    <w:rPr>
      <w:smallCaps/>
      <w:spacing w:val="5"/>
      <w:u w:val="single"/>
    </w:rPr>
  </w:style>
  <w:style w:type="paragraph" w:styleId="ListParagraph">
    <w:name w:val="List Paragraph"/>
    <w:basedOn w:val="Normal"/>
    <w:uiPriority w:val="98"/>
    <w:semiHidden/>
    <w:qFormat/>
    <w:rsid w:val="000B2D76"/>
    <w:pPr>
      <w:ind w:left="720"/>
      <w:contextualSpacing/>
    </w:pPr>
  </w:style>
  <w:style w:type="table" w:customStyle="1" w:styleId="LtrTableAddress">
    <w:name w:val="Ltr_Table_Address"/>
    <w:aliases w:val="ECHR_Ltr_Table_Address"/>
    <w:basedOn w:val="TableNormal"/>
    <w:uiPriority w:val="99"/>
    <w:rsid w:val="000B2D76"/>
    <w:rPr>
      <w:sz w:val="24"/>
      <w:szCs w:val="24"/>
    </w:rPr>
    <w:tblPr>
      <w:tblInd w:w="5103" w:type="dxa"/>
    </w:tblPr>
  </w:style>
  <w:style w:type="paragraph" w:styleId="Quote0">
    <w:name w:val="Quote"/>
    <w:basedOn w:val="Normal"/>
    <w:next w:val="Normal"/>
    <w:link w:val="QuoteChar"/>
    <w:uiPriority w:val="98"/>
    <w:semiHidden/>
    <w:qFormat/>
    <w:rsid w:val="000B2D76"/>
    <w:pPr>
      <w:spacing w:before="200"/>
      <w:ind w:left="360" w:right="360"/>
    </w:pPr>
    <w:rPr>
      <w:i/>
      <w:iCs/>
      <w:lang w:bidi="en-US"/>
    </w:rPr>
  </w:style>
  <w:style w:type="character" w:customStyle="1" w:styleId="QuoteChar">
    <w:name w:val="Quote Char"/>
    <w:basedOn w:val="DefaultParagraphFont"/>
    <w:link w:val="Quote0"/>
    <w:uiPriority w:val="98"/>
    <w:semiHidden/>
    <w:rsid w:val="000B2D76"/>
    <w:rPr>
      <w:i/>
      <w:iCs/>
      <w:sz w:val="24"/>
      <w:szCs w:val="24"/>
      <w:lang w:val="en-GB" w:bidi="en-US"/>
    </w:rPr>
  </w:style>
  <w:style w:type="character" w:styleId="SubtleReference">
    <w:name w:val="Subtle Reference"/>
    <w:uiPriority w:val="98"/>
    <w:semiHidden/>
    <w:qFormat/>
    <w:rsid w:val="000B2D76"/>
    <w:rPr>
      <w:smallCaps/>
    </w:rPr>
  </w:style>
  <w:style w:type="table" w:styleId="TableGrid">
    <w:name w:val="Table Grid"/>
    <w:basedOn w:val="TableNormal"/>
    <w:uiPriority w:val="59"/>
    <w:rsid w:val="000B2D7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B2D7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B2D7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B2D7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B2D7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B2D7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B2D7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B2D7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B2D7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B2D7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B2D7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B2D7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B2D7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B2D7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B2D7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B2D7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B2D76"/>
    <w:pPr>
      <w:numPr>
        <w:numId w:val="1"/>
      </w:numPr>
    </w:pPr>
  </w:style>
  <w:style w:type="paragraph" w:customStyle="1" w:styleId="JuPara">
    <w:name w:val="Ju_Para"/>
    <w:aliases w:val="_Para"/>
    <w:basedOn w:val="NormalJustified"/>
    <w:uiPriority w:val="4"/>
    <w:qFormat/>
    <w:rsid w:val="000B2D76"/>
    <w:pPr>
      <w:ind w:firstLine="284"/>
    </w:pPr>
  </w:style>
  <w:style w:type="numbering" w:styleId="1ai">
    <w:name w:val="Outline List 1"/>
    <w:basedOn w:val="NoList"/>
    <w:uiPriority w:val="99"/>
    <w:semiHidden/>
    <w:unhideWhenUsed/>
    <w:rsid w:val="000B2D76"/>
    <w:pPr>
      <w:numPr>
        <w:numId w:val="2"/>
      </w:numPr>
    </w:pPr>
  </w:style>
  <w:style w:type="table" w:customStyle="1" w:styleId="ECHRTableSimpleBox">
    <w:name w:val="ECHR_Table_Simple_Box"/>
    <w:basedOn w:val="TableNormal"/>
    <w:uiPriority w:val="99"/>
    <w:rsid w:val="000B2D7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B2D7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0B2D76"/>
    <w:pPr>
      <w:numPr>
        <w:numId w:val="3"/>
      </w:numPr>
    </w:pPr>
  </w:style>
  <w:style w:type="table" w:customStyle="1" w:styleId="ECHRTableForInternalUse">
    <w:name w:val="ECHR_Table_For_Internal_Use"/>
    <w:basedOn w:val="TableNormal"/>
    <w:uiPriority w:val="99"/>
    <w:rsid w:val="000B2D7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B2D7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B2D76"/>
  </w:style>
  <w:style w:type="paragraph" w:styleId="BlockText">
    <w:name w:val="Block Text"/>
    <w:basedOn w:val="Normal"/>
    <w:uiPriority w:val="98"/>
    <w:semiHidden/>
    <w:rsid w:val="000B2D7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B2D7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B2D76"/>
    <w:pPr>
      <w:spacing w:after="120"/>
    </w:pPr>
  </w:style>
  <w:style w:type="character" w:customStyle="1" w:styleId="BodyTextChar">
    <w:name w:val="Body Text Char"/>
    <w:basedOn w:val="DefaultParagraphFont"/>
    <w:link w:val="BodyText"/>
    <w:uiPriority w:val="98"/>
    <w:semiHidden/>
    <w:rsid w:val="000B2D76"/>
    <w:rPr>
      <w:sz w:val="24"/>
      <w:szCs w:val="24"/>
      <w:lang w:val="en-GB"/>
    </w:rPr>
  </w:style>
  <w:style w:type="table" w:customStyle="1" w:styleId="ECHRTableOddBanded">
    <w:name w:val="ECHR_Table_Odd_Banded"/>
    <w:basedOn w:val="TableNormal"/>
    <w:uiPriority w:val="99"/>
    <w:rsid w:val="000B2D7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B2D76"/>
    <w:pPr>
      <w:spacing w:after="120" w:line="480" w:lineRule="auto"/>
    </w:pPr>
  </w:style>
  <w:style w:type="table" w:customStyle="1" w:styleId="ECHRHeaderTableReduced">
    <w:name w:val="ECHR_Header_Table_Reduced"/>
    <w:basedOn w:val="TableNormal"/>
    <w:uiPriority w:val="99"/>
    <w:rsid w:val="000B2D7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B2D76"/>
    <w:pPr>
      <w:ind w:firstLine="284"/>
    </w:pPr>
    <w:rPr>
      <w:b/>
    </w:rPr>
  </w:style>
  <w:style w:type="character" w:styleId="PageNumber">
    <w:name w:val="page number"/>
    <w:uiPriority w:val="98"/>
    <w:semiHidden/>
    <w:rsid w:val="000B2D76"/>
    <w:rPr>
      <w:sz w:val="18"/>
    </w:rPr>
  </w:style>
  <w:style w:type="paragraph" w:styleId="ListBullet">
    <w:name w:val="List Bullet"/>
    <w:basedOn w:val="Normal"/>
    <w:uiPriority w:val="98"/>
    <w:semiHidden/>
    <w:rsid w:val="000B2D76"/>
    <w:pPr>
      <w:numPr>
        <w:numId w:val="7"/>
      </w:numPr>
    </w:pPr>
  </w:style>
  <w:style w:type="paragraph" w:styleId="ListBullet3">
    <w:name w:val="List Bullet 3"/>
    <w:basedOn w:val="Normal"/>
    <w:uiPriority w:val="98"/>
    <w:semiHidden/>
    <w:rsid w:val="000B2D76"/>
    <w:pPr>
      <w:numPr>
        <w:numId w:val="9"/>
      </w:numPr>
      <w:contextualSpacing/>
    </w:pPr>
  </w:style>
  <w:style w:type="character" w:customStyle="1" w:styleId="BodyText2Char">
    <w:name w:val="Body Text 2 Char"/>
    <w:basedOn w:val="DefaultParagraphFont"/>
    <w:link w:val="BodyText2"/>
    <w:uiPriority w:val="98"/>
    <w:semiHidden/>
    <w:rsid w:val="000B2D76"/>
    <w:rPr>
      <w:sz w:val="24"/>
      <w:szCs w:val="24"/>
      <w:lang w:val="en-GB"/>
    </w:rPr>
  </w:style>
  <w:style w:type="paragraph" w:styleId="BodyText3">
    <w:name w:val="Body Text 3"/>
    <w:basedOn w:val="Normal"/>
    <w:link w:val="BodyText3Char"/>
    <w:uiPriority w:val="98"/>
    <w:semiHidden/>
    <w:rsid w:val="000B2D76"/>
    <w:pPr>
      <w:spacing w:after="120"/>
    </w:pPr>
    <w:rPr>
      <w:sz w:val="16"/>
      <w:szCs w:val="16"/>
    </w:rPr>
  </w:style>
  <w:style w:type="character" w:customStyle="1" w:styleId="BodyText3Char">
    <w:name w:val="Body Text 3 Char"/>
    <w:basedOn w:val="DefaultParagraphFont"/>
    <w:link w:val="BodyText3"/>
    <w:uiPriority w:val="98"/>
    <w:semiHidden/>
    <w:rsid w:val="000B2D76"/>
    <w:rPr>
      <w:sz w:val="16"/>
      <w:szCs w:val="16"/>
      <w:lang w:val="en-GB"/>
    </w:rPr>
  </w:style>
  <w:style w:type="paragraph" w:styleId="BodyTextFirstIndent">
    <w:name w:val="Body Text First Indent"/>
    <w:basedOn w:val="BodyText"/>
    <w:link w:val="BodyTextFirstIndentChar"/>
    <w:uiPriority w:val="98"/>
    <w:semiHidden/>
    <w:rsid w:val="000B2D76"/>
    <w:pPr>
      <w:spacing w:after="0"/>
      <w:ind w:firstLine="360"/>
    </w:pPr>
  </w:style>
  <w:style w:type="character" w:customStyle="1" w:styleId="BodyTextFirstIndentChar">
    <w:name w:val="Body Text First Indent Char"/>
    <w:basedOn w:val="BodyTextChar"/>
    <w:link w:val="BodyTextFirstIndent"/>
    <w:uiPriority w:val="98"/>
    <w:semiHidden/>
    <w:rsid w:val="000B2D76"/>
    <w:rPr>
      <w:sz w:val="24"/>
      <w:szCs w:val="24"/>
      <w:lang w:val="en-GB"/>
    </w:rPr>
  </w:style>
  <w:style w:type="paragraph" w:styleId="BodyTextIndent">
    <w:name w:val="Body Text Indent"/>
    <w:basedOn w:val="Normal"/>
    <w:link w:val="BodyTextIndentChar"/>
    <w:uiPriority w:val="98"/>
    <w:semiHidden/>
    <w:rsid w:val="000B2D76"/>
    <w:pPr>
      <w:spacing w:after="120"/>
      <w:ind w:left="283"/>
    </w:pPr>
  </w:style>
  <w:style w:type="character" w:customStyle="1" w:styleId="BodyTextIndentChar">
    <w:name w:val="Body Text Indent Char"/>
    <w:basedOn w:val="DefaultParagraphFont"/>
    <w:link w:val="BodyTextIndent"/>
    <w:uiPriority w:val="98"/>
    <w:semiHidden/>
    <w:rsid w:val="000B2D76"/>
    <w:rPr>
      <w:sz w:val="24"/>
      <w:szCs w:val="24"/>
      <w:lang w:val="en-GB"/>
    </w:rPr>
  </w:style>
  <w:style w:type="paragraph" w:styleId="BodyTextFirstIndent2">
    <w:name w:val="Body Text First Indent 2"/>
    <w:basedOn w:val="BodyTextIndent"/>
    <w:link w:val="BodyTextFirstIndent2Char"/>
    <w:uiPriority w:val="98"/>
    <w:semiHidden/>
    <w:rsid w:val="000B2D76"/>
    <w:pPr>
      <w:spacing w:after="0"/>
      <w:ind w:left="360" w:firstLine="360"/>
    </w:pPr>
  </w:style>
  <w:style w:type="character" w:customStyle="1" w:styleId="BodyTextFirstIndent2Char">
    <w:name w:val="Body Text First Indent 2 Char"/>
    <w:basedOn w:val="BodyTextIndentChar"/>
    <w:link w:val="BodyTextFirstIndent2"/>
    <w:uiPriority w:val="98"/>
    <w:semiHidden/>
    <w:rsid w:val="000B2D76"/>
    <w:rPr>
      <w:sz w:val="24"/>
      <w:szCs w:val="24"/>
      <w:lang w:val="en-GB"/>
    </w:rPr>
  </w:style>
  <w:style w:type="paragraph" w:styleId="BodyTextIndent2">
    <w:name w:val="Body Text Indent 2"/>
    <w:basedOn w:val="Normal"/>
    <w:link w:val="BodyTextIndent2Char"/>
    <w:uiPriority w:val="98"/>
    <w:semiHidden/>
    <w:rsid w:val="000B2D76"/>
    <w:pPr>
      <w:spacing w:after="120" w:line="480" w:lineRule="auto"/>
      <w:ind w:left="283"/>
    </w:pPr>
  </w:style>
  <w:style w:type="character" w:customStyle="1" w:styleId="BodyTextIndent2Char">
    <w:name w:val="Body Text Indent 2 Char"/>
    <w:basedOn w:val="DefaultParagraphFont"/>
    <w:link w:val="BodyTextIndent2"/>
    <w:uiPriority w:val="98"/>
    <w:semiHidden/>
    <w:rsid w:val="000B2D76"/>
    <w:rPr>
      <w:sz w:val="24"/>
      <w:szCs w:val="24"/>
      <w:lang w:val="en-GB"/>
    </w:rPr>
  </w:style>
  <w:style w:type="paragraph" w:styleId="BodyTextIndent3">
    <w:name w:val="Body Text Indent 3"/>
    <w:basedOn w:val="Normal"/>
    <w:link w:val="BodyTextIndent3Char"/>
    <w:uiPriority w:val="98"/>
    <w:semiHidden/>
    <w:rsid w:val="000B2D7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B2D76"/>
    <w:rPr>
      <w:sz w:val="16"/>
      <w:szCs w:val="16"/>
      <w:lang w:val="en-GB"/>
    </w:rPr>
  </w:style>
  <w:style w:type="paragraph" w:styleId="Caption">
    <w:name w:val="caption"/>
    <w:basedOn w:val="Normal"/>
    <w:next w:val="Normal"/>
    <w:uiPriority w:val="98"/>
    <w:semiHidden/>
    <w:qFormat/>
    <w:rsid w:val="000B2D76"/>
    <w:pPr>
      <w:spacing w:after="200"/>
    </w:pPr>
    <w:rPr>
      <w:b/>
      <w:bCs/>
      <w:color w:val="0072BC" w:themeColor="accent1"/>
      <w:sz w:val="18"/>
      <w:szCs w:val="18"/>
    </w:rPr>
  </w:style>
  <w:style w:type="paragraph" w:styleId="Closing">
    <w:name w:val="Closing"/>
    <w:basedOn w:val="Normal"/>
    <w:link w:val="ClosingChar"/>
    <w:uiPriority w:val="98"/>
    <w:semiHidden/>
    <w:rsid w:val="000B2D76"/>
    <w:pPr>
      <w:ind w:left="4252"/>
    </w:pPr>
  </w:style>
  <w:style w:type="character" w:customStyle="1" w:styleId="ClosingChar">
    <w:name w:val="Closing Char"/>
    <w:basedOn w:val="DefaultParagraphFont"/>
    <w:link w:val="Closing"/>
    <w:uiPriority w:val="98"/>
    <w:semiHidden/>
    <w:rsid w:val="000B2D76"/>
    <w:rPr>
      <w:sz w:val="24"/>
      <w:szCs w:val="24"/>
      <w:lang w:val="en-GB"/>
    </w:rPr>
  </w:style>
  <w:style w:type="table" w:styleId="ColorfulGrid">
    <w:name w:val="Colorful Grid"/>
    <w:basedOn w:val="TableNormal"/>
    <w:uiPriority w:val="73"/>
    <w:semiHidden/>
    <w:rsid w:val="000B2D7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B2D7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B2D7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B2D7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B2D7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B2D7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B2D7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B2D7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B2D7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B2D7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B2D7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B2D7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B2D7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B2D7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B2D7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B2D7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B2D7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B2D7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B2D7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B2D7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B2D7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B2D76"/>
    <w:rPr>
      <w:sz w:val="16"/>
      <w:szCs w:val="16"/>
    </w:rPr>
  </w:style>
  <w:style w:type="paragraph" w:styleId="CommentText">
    <w:name w:val="annotation text"/>
    <w:basedOn w:val="Normal"/>
    <w:link w:val="CommentTextChar"/>
    <w:uiPriority w:val="98"/>
    <w:semiHidden/>
    <w:rsid w:val="000B2D76"/>
    <w:rPr>
      <w:sz w:val="20"/>
      <w:szCs w:val="20"/>
    </w:rPr>
  </w:style>
  <w:style w:type="character" w:customStyle="1" w:styleId="CommentTextChar">
    <w:name w:val="Comment Text Char"/>
    <w:basedOn w:val="DefaultParagraphFont"/>
    <w:link w:val="CommentText"/>
    <w:uiPriority w:val="98"/>
    <w:semiHidden/>
    <w:rsid w:val="000B2D76"/>
    <w:rPr>
      <w:sz w:val="20"/>
      <w:szCs w:val="20"/>
      <w:lang w:val="en-GB"/>
    </w:rPr>
  </w:style>
  <w:style w:type="paragraph" w:styleId="CommentSubject">
    <w:name w:val="annotation subject"/>
    <w:basedOn w:val="CommentText"/>
    <w:next w:val="CommentText"/>
    <w:link w:val="CommentSubjectChar"/>
    <w:uiPriority w:val="98"/>
    <w:semiHidden/>
    <w:rsid w:val="000B2D76"/>
    <w:rPr>
      <w:b/>
      <w:bCs/>
    </w:rPr>
  </w:style>
  <w:style w:type="character" w:customStyle="1" w:styleId="CommentSubjectChar">
    <w:name w:val="Comment Subject Char"/>
    <w:basedOn w:val="CommentTextChar"/>
    <w:link w:val="CommentSubject"/>
    <w:uiPriority w:val="98"/>
    <w:semiHidden/>
    <w:rsid w:val="000B2D76"/>
    <w:rPr>
      <w:b/>
      <w:bCs/>
      <w:sz w:val="20"/>
      <w:szCs w:val="20"/>
      <w:lang w:val="en-GB"/>
    </w:rPr>
  </w:style>
  <w:style w:type="table" w:styleId="DarkList">
    <w:name w:val="Dark List"/>
    <w:basedOn w:val="TableNormal"/>
    <w:uiPriority w:val="70"/>
    <w:semiHidden/>
    <w:rsid w:val="000B2D7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B2D7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B2D7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B2D7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B2D7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B2D7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B2D7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B2D76"/>
  </w:style>
  <w:style w:type="character" w:customStyle="1" w:styleId="DateChar">
    <w:name w:val="Date Char"/>
    <w:basedOn w:val="DefaultParagraphFont"/>
    <w:link w:val="Date"/>
    <w:uiPriority w:val="98"/>
    <w:semiHidden/>
    <w:rsid w:val="000B2D76"/>
    <w:rPr>
      <w:sz w:val="24"/>
      <w:szCs w:val="24"/>
      <w:lang w:val="en-GB"/>
    </w:rPr>
  </w:style>
  <w:style w:type="paragraph" w:styleId="DocumentMap">
    <w:name w:val="Document Map"/>
    <w:basedOn w:val="Normal"/>
    <w:link w:val="DocumentMapChar"/>
    <w:uiPriority w:val="98"/>
    <w:semiHidden/>
    <w:rsid w:val="000B2D76"/>
    <w:rPr>
      <w:rFonts w:ascii="Tahoma" w:hAnsi="Tahoma" w:cs="Tahoma"/>
      <w:sz w:val="16"/>
      <w:szCs w:val="16"/>
    </w:rPr>
  </w:style>
  <w:style w:type="character" w:customStyle="1" w:styleId="DocumentMapChar">
    <w:name w:val="Document Map Char"/>
    <w:basedOn w:val="DefaultParagraphFont"/>
    <w:link w:val="DocumentMap"/>
    <w:uiPriority w:val="98"/>
    <w:semiHidden/>
    <w:rsid w:val="000B2D76"/>
    <w:rPr>
      <w:rFonts w:ascii="Tahoma" w:hAnsi="Tahoma" w:cs="Tahoma"/>
      <w:sz w:val="16"/>
      <w:szCs w:val="16"/>
      <w:lang w:val="en-GB"/>
    </w:rPr>
  </w:style>
  <w:style w:type="paragraph" w:styleId="E-mailSignature">
    <w:name w:val="E-mail Signature"/>
    <w:basedOn w:val="Normal"/>
    <w:link w:val="E-mailSignatureChar"/>
    <w:uiPriority w:val="98"/>
    <w:semiHidden/>
    <w:rsid w:val="000B2D76"/>
  </w:style>
  <w:style w:type="character" w:customStyle="1" w:styleId="E-mailSignatureChar">
    <w:name w:val="E-mail Signature Char"/>
    <w:basedOn w:val="DefaultParagraphFont"/>
    <w:link w:val="E-mailSignature"/>
    <w:uiPriority w:val="98"/>
    <w:semiHidden/>
    <w:rsid w:val="000B2D76"/>
    <w:rPr>
      <w:sz w:val="24"/>
      <w:szCs w:val="24"/>
      <w:lang w:val="en-GB"/>
    </w:rPr>
  </w:style>
  <w:style w:type="character" w:styleId="EndnoteReference">
    <w:name w:val="endnote reference"/>
    <w:basedOn w:val="DefaultParagraphFont"/>
    <w:uiPriority w:val="98"/>
    <w:semiHidden/>
    <w:rsid w:val="000B2D76"/>
    <w:rPr>
      <w:vertAlign w:val="superscript"/>
    </w:rPr>
  </w:style>
  <w:style w:type="paragraph" w:styleId="EndnoteText">
    <w:name w:val="endnote text"/>
    <w:basedOn w:val="Normal"/>
    <w:link w:val="EndnoteTextChar"/>
    <w:uiPriority w:val="98"/>
    <w:semiHidden/>
    <w:rsid w:val="000B2D76"/>
    <w:rPr>
      <w:sz w:val="20"/>
      <w:szCs w:val="20"/>
    </w:rPr>
  </w:style>
  <w:style w:type="character" w:customStyle="1" w:styleId="EndnoteTextChar">
    <w:name w:val="Endnote Text Char"/>
    <w:basedOn w:val="DefaultParagraphFont"/>
    <w:link w:val="EndnoteText"/>
    <w:uiPriority w:val="98"/>
    <w:semiHidden/>
    <w:rsid w:val="000B2D76"/>
    <w:rPr>
      <w:sz w:val="20"/>
      <w:szCs w:val="20"/>
      <w:lang w:val="en-GB"/>
    </w:rPr>
  </w:style>
  <w:style w:type="paragraph" w:styleId="EnvelopeAddress">
    <w:name w:val="envelope address"/>
    <w:basedOn w:val="Normal"/>
    <w:uiPriority w:val="98"/>
    <w:semiHidden/>
    <w:rsid w:val="000B2D7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B2D7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B2D76"/>
    <w:rPr>
      <w:color w:val="7030A0" w:themeColor="followedHyperlink"/>
      <w:u w:val="single"/>
    </w:rPr>
  </w:style>
  <w:style w:type="character" w:styleId="HTMLAcronym">
    <w:name w:val="HTML Acronym"/>
    <w:basedOn w:val="DefaultParagraphFont"/>
    <w:uiPriority w:val="98"/>
    <w:semiHidden/>
    <w:rsid w:val="000B2D76"/>
  </w:style>
  <w:style w:type="paragraph" w:styleId="HTMLAddress">
    <w:name w:val="HTML Address"/>
    <w:basedOn w:val="Normal"/>
    <w:link w:val="HTMLAddressChar"/>
    <w:uiPriority w:val="98"/>
    <w:semiHidden/>
    <w:rsid w:val="000B2D76"/>
    <w:rPr>
      <w:i/>
      <w:iCs/>
    </w:rPr>
  </w:style>
  <w:style w:type="character" w:customStyle="1" w:styleId="HTMLAddressChar">
    <w:name w:val="HTML Address Char"/>
    <w:basedOn w:val="DefaultParagraphFont"/>
    <w:link w:val="HTMLAddress"/>
    <w:uiPriority w:val="98"/>
    <w:semiHidden/>
    <w:rsid w:val="000B2D76"/>
    <w:rPr>
      <w:i/>
      <w:iCs/>
      <w:sz w:val="24"/>
      <w:szCs w:val="24"/>
      <w:lang w:val="en-GB"/>
    </w:rPr>
  </w:style>
  <w:style w:type="character" w:styleId="HTMLCite">
    <w:name w:val="HTML Cite"/>
    <w:basedOn w:val="DefaultParagraphFont"/>
    <w:uiPriority w:val="98"/>
    <w:semiHidden/>
    <w:rsid w:val="000B2D76"/>
    <w:rPr>
      <w:i/>
      <w:iCs/>
    </w:rPr>
  </w:style>
  <w:style w:type="character" w:styleId="HTMLCode">
    <w:name w:val="HTML Code"/>
    <w:basedOn w:val="DefaultParagraphFont"/>
    <w:uiPriority w:val="98"/>
    <w:semiHidden/>
    <w:rsid w:val="000B2D76"/>
    <w:rPr>
      <w:rFonts w:ascii="Consolas" w:hAnsi="Consolas" w:cs="Consolas"/>
      <w:sz w:val="20"/>
      <w:szCs w:val="20"/>
    </w:rPr>
  </w:style>
  <w:style w:type="character" w:styleId="HTMLDefinition">
    <w:name w:val="HTML Definition"/>
    <w:basedOn w:val="DefaultParagraphFont"/>
    <w:uiPriority w:val="98"/>
    <w:semiHidden/>
    <w:rsid w:val="000B2D76"/>
    <w:rPr>
      <w:i/>
      <w:iCs/>
    </w:rPr>
  </w:style>
  <w:style w:type="character" w:styleId="HTMLKeyboard">
    <w:name w:val="HTML Keyboard"/>
    <w:basedOn w:val="DefaultParagraphFont"/>
    <w:uiPriority w:val="98"/>
    <w:semiHidden/>
    <w:rsid w:val="000B2D76"/>
    <w:rPr>
      <w:rFonts w:ascii="Consolas" w:hAnsi="Consolas" w:cs="Consolas"/>
      <w:sz w:val="20"/>
      <w:szCs w:val="20"/>
    </w:rPr>
  </w:style>
  <w:style w:type="paragraph" w:styleId="HTMLPreformatted">
    <w:name w:val="HTML Preformatted"/>
    <w:basedOn w:val="Normal"/>
    <w:link w:val="HTMLPreformattedChar"/>
    <w:uiPriority w:val="98"/>
    <w:semiHidden/>
    <w:rsid w:val="000B2D7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B2D76"/>
    <w:rPr>
      <w:rFonts w:ascii="Consolas" w:hAnsi="Consolas" w:cs="Consolas"/>
      <w:sz w:val="20"/>
      <w:szCs w:val="20"/>
      <w:lang w:val="en-GB"/>
    </w:rPr>
  </w:style>
  <w:style w:type="character" w:styleId="HTMLSample">
    <w:name w:val="HTML Sample"/>
    <w:basedOn w:val="DefaultParagraphFont"/>
    <w:uiPriority w:val="98"/>
    <w:semiHidden/>
    <w:rsid w:val="000B2D76"/>
    <w:rPr>
      <w:rFonts w:ascii="Consolas" w:hAnsi="Consolas" w:cs="Consolas"/>
      <w:sz w:val="24"/>
      <w:szCs w:val="24"/>
    </w:rPr>
  </w:style>
  <w:style w:type="character" w:styleId="HTMLTypewriter">
    <w:name w:val="HTML Typewriter"/>
    <w:basedOn w:val="DefaultParagraphFont"/>
    <w:uiPriority w:val="98"/>
    <w:semiHidden/>
    <w:rsid w:val="000B2D76"/>
    <w:rPr>
      <w:rFonts w:ascii="Consolas" w:hAnsi="Consolas" w:cs="Consolas"/>
      <w:sz w:val="20"/>
      <w:szCs w:val="20"/>
    </w:rPr>
  </w:style>
  <w:style w:type="character" w:styleId="HTMLVariable">
    <w:name w:val="HTML Variable"/>
    <w:basedOn w:val="DefaultParagraphFont"/>
    <w:uiPriority w:val="98"/>
    <w:semiHidden/>
    <w:rsid w:val="000B2D76"/>
    <w:rPr>
      <w:i/>
      <w:iCs/>
    </w:rPr>
  </w:style>
  <w:style w:type="paragraph" w:styleId="Index1">
    <w:name w:val="index 1"/>
    <w:basedOn w:val="Normal"/>
    <w:next w:val="Normal"/>
    <w:autoRedefine/>
    <w:uiPriority w:val="98"/>
    <w:semiHidden/>
    <w:rsid w:val="000B2D76"/>
    <w:pPr>
      <w:ind w:left="240" w:hanging="240"/>
    </w:pPr>
  </w:style>
  <w:style w:type="paragraph" w:styleId="Index2">
    <w:name w:val="index 2"/>
    <w:basedOn w:val="Normal"/>
    <w:next w:val="Normal"/>
    <w:autoRedefine/>
    <w:uiPriority w:val="98"/>
    <w:semiHidden/>
    <w:rsid w:val="000B2D76"/>
    <w:pPr>
      <w:ind w:left="480" w:hanging="240"/>
    </w:pPr>
  </w:style>
  <w:style w:type="paragraph" w:styleId="Index3">
    <w:name w:val="index 3"/>
    <w:basedOn w:val="Normal"/>
    <w:next w:val="Normal"/>
    <w:autoRedefine/>
    <w:uiPriority w:val="98"/>
    <w:semiHidden/>
    <w:rsid w:val="000B2D76"/>
    <w:pPr>
      <w:ind w:left="720" w:hanging="240"/>
    </w:pPr>
  </w:style>
  <w:style w:type="paragraph" w:styleId="Index4">
    <w:name w:val="index 4"/>
    <w:basedOn w:val="Normal"/>
    <w:next w:val="Normal"/>
    <w:autoRedefine/>
    <w:uiPriority w:val="98"/>
    <w:semiHidden/>
    <w:rsid w:val="000B2D76"/>
    <w:pPr>
      <w:ind w:left="960" w:hanging="240"/>
    </w:pPr>
  </w:style>
  <w:style w:type="paragraph" w:styleId="Index5">
    <w:name w:val="index 5"/>
    <w:basedOn w:val="Normal"/>
    <w:next w:val="Normal"/>
    <w:autoRedefine/>
    <w:uiPriority w:val="98"/>
    <w:semiHidden/>
    <w:rsid w:val="000B2D76"/>
    <w:pPr>
      <w:ind w:left="1200" w:hanging="240"/>
    </w:pPr>
  </w:style>
  <w:style w:type="paragraph" w:styleId="Index6">
    <w:name w:val="index 6"/>
    <w:basedOn w:val="Normal"/>
    <w:next w:val="Normal"/>
    <w:autoRedefine/>
    <w:uiPriority w:val="98"/>
    <w:semiHidden/>
    <w:rsid w:val="000B2D76"/>
    <w:pPr>
      <w:ind w:left="1440" w:hanging="240"/>
    </w:pPr>
  </w:style>
  <w:style w:type="paragraph" w:styleId="Index7">
    <w:name w:val="index 7"/>
    <w:basedOn w:val="Normal"/>
    <w:next w:val="Normal"/>
    <w:autoRedefine/>
    <w:uiPriority w:val="98"/>
    <w:semiHidden/>
    <w:rsid w:val="000B2D76"/>
    <w:pPr>
      <w:ind w:left="1680" w:hanging="240"/>
    </w:pPr>
  </w:style>
  <w:style w:type="paragraph" w:styleId="Index8">
    <w:name w:val="index 8"/>
    <w:basedOn w:val="Normal"/>
    <w:next w:val="Normal"/>
    <w:autoRedefine/>
    <w:uiPriority w:val="98"/>
    <w:semiHidden/>
    <w:rsid w:val="000B2D76"/>
    <w:pPr>
      <w:ind w:left="1920" w:hanging="240"/>
    </w:pPr>
  </w:style>
  <w:style w:type="paragraph" w:styleId="Index9">
    <w:name w:val="index 9"/>
    <w:basedOn w:val="Normal"/>
    <w:next w:val="Normal"/>
    <w:autoRedefine/>
    <w:uiPriority w:val="98"/>
    <w:semiHidden/>
    <w:rsid w:val="000B2D76"/>
    <w:pPr>
      <w:ind w:left="2160" w:hanging="240"/>
    </w:pPr>
  </w:style>
  <w:style w:type="paragraph" w:styleId="IndexHeading">
    <w:name w:val="index heading"/>
    <w:basedOn w:val="Normal"/>
    <w:next w:val="Index1"/>
    <w:uiPriority w:val="98"/>
    <w:semiHidden/>
    <w:rsid w:val="000B2D76"/>
    <w:rPr>
      <w:rFonts w:asciiTheme="majorHAnsi" w:eastAsiaTheme="majorEastAsia" w:hAnsiTheme="majorHAnsi" w:cstheme="majorBidi"/>
      <w:b/>
      <w:bCs/>
    </w:rPr>
  </w:style>
  <w:style w:type="table" w:styleId="LightGrid">
    <w:name w:val="Light Grid"/>
    <w:basedOn w:val="TableNormal"/>
    <w:uiPriority w:val="62"/>
    <w:semiHidden/>
    <w:rsid w:val="000B2D7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B2D7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B2D7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B2D7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B2D7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B2D7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B2D7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B2D7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B2D7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B2D7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B2D7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B2D7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B2D7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B2D7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B2D7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B2D7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B2D7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B2D7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B2D7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B2D7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B2D7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B2D76"/>
  </w:style>
  <w:style w:type="paragraph" w:styleId="List">
    <w:name w:val="List"/>
    <w:basedOn w:val="Normal"/>
    <w:uiPriority w:val="98"/>
    <w:semiHidden/>
    <w:rsid w:val="000B2D76"/>
    <w:pPr>
      <w:ind w:left="283" w:hanging="283"/>
      <w:contextualSpacing/>
    </w:pPr>
  </w:style>
  <w:style w:type="paragraph" w:styleId="List20">
    <w:name w:val="List 2"/>
    <w:basedOn w:val="Normal"/>
    <w:uiPriority w:val="98"/>
    <w:semiHidden/>
    <w:rsid w:val="000B2D76"/>
    <w:pPr>
      <w:ind w:left="566" w:hanging="283"/>
      <w:contextualSpacing/>
    </w:pPr>
  </w:style>
  <w:style w:type="paragraph" w:styleId="List30">
    <w:name w:val="List 3"/>
    <w:basedOn w:val="Normal"/>
    <w:uiPriority w:val="98"/>
    <w:semiHidden/>
    <w:rsid w:val="000B2D76"/>
    <w:pPr>
      <w:ind w:left="849" w:hanging="283"/>
      <w:contextualSpacing/>
    </w:pPr>
  </w:style>
  <w:style w:type="paragraph" w:styleId="List4">
    <w:name w:val="List 4"/>
    <w:basedOn w:val="Normal"/>
    <w:uiPriority w:val="98"/>
    <w:semiHidden/>
    <w:rsid w:val="000B2D76"/>
    <w:pPr>
      <w:ind w:left="1132" w:hanging="283"/>
      <w:contextualSpacing/>
    </w:pPr>
  </w:style>
  <w:style w:type="paragraph" w:styleId="List5">
    <w:name w:val="List 5"/>
    <w:basedOn w:val="Normal"/>
    <w:uiPriority w:val="98"/>
    <w:semiHidden/>
    <w:rsid w:val="000B2D76"/>
    <w:pPr>
      <w:ind w:left="1415" w:hanging="283"/>
      <w:contextualSpacing/>
    </w:pPr>
  </w:style>
  <w:style w:type="paragraph" w:styleId="ListBullet2">
    <w:name w:val="List Bullet 2"/>
    <w:basedOn w:val="Normal"/>
    <w:uiPriority w:val="98"/>
    <w:semiHidden/>
    <w:rsid w:val="000B2D76"/>
    <w:pPr>
      <w:numPr>
        <w:numId w:val="8"/>
      </w:numPr>
      <w:contextualSpacing/>
    </w:pPr>
  </w:style>
  <w:style w:type="paragraph" w:styleId="ListBullet4">
    <w:name w:val="List Bullet 4"/>
    <w:basedOn w:val="Normal"/>
    <w:uiPriority w:val="98"/>
    <w:semiHidden/>
    <w:rsid w:val="000B2D76"/>
    <w:pPr>
      <w:numPr>
        <w:numId w:val="10"/>
      </w:numPr>
      <w:contextualSpacing/>
    </w:pPr>
  </w:style>
  <w:style w:type="paragraph" w:styleId="ListBullet5">
    <w:name w:val="List Bullet 5"/>
    <w:basedOn w:val="Normal"/>
    <w:uiPriority w:val="98"/>
    <w:semiHidden/>
    <w:rsid w:val="000B2D76"/>
    <w:pPr>
      <w:numPr>
        <w:numId w:val="11"/>
      </w:numPr>
      <w:contextualSpacing/>
    </w:pPr>
  </w:style>
  <w:style w:type="paragraph" w:styleId="ListContinue">
    <w:name w:val="List Continue"/>
    <w:basedOn w:val="Normal"/>
    <w:uiPriority w:val="98"/>
    <w:semiHidden/>
    <w:rsid w:val="000B2D76"/>
    <w:pPr>
      <w:spacing w:after="120"/>
      <w:ind w:left="283"/>
      <w:contextualSpacing/>
    </w:pPr>
  </w:style>
  <w:style w:type="paragraph" w:styleId="ListContinue2">
    <w:name w:val="List Continue 2"/>
    <w:basedOn w:val="Normal"/>
    <w:uiPriority w:val="98"/>
    <w:semiHidden/>
    <w:rsid w:val="000B2D76"/>
    <w:pPr>
      <w:spacing w:after="120"/>
      <w:ind w:left="566"/>
      <w:contextualSpacing/>
    </w:pPr>
  </w:style>
  <w:style w:type="paragraph" w:styleId="ListContinue3">
    <w:name w:val="List Continue 3"/>
    <w:basedOn w:val="Normal"/>
    <w:uiPriority w:val="98"/>
    <w:semiHidden/>
    <w:rsid w:val="000B2D76"/>
    <w:pPr>
      <w:spacing w:after="120"/>
      <w:ind w:left="849"/>
      <w:contextualSpacing/>
    </w:pPr>
  </w:style>
  <w:style w:type="paragraph" w:styleId="ListContinue4">
    <w:name w:val="List Continue 4"/>
    <w:basedOn w:val="Normal"/>
    <w:uiPriority w:val="98"/>
    <w:semiHidden/>
    <w:rsid w:val="000B2D76"/>
    <w:pPr>
      <w:spacing w:after="120"/>
      <w:ind w:left="1132"/>
      <w:contextualSpacing/>
    </w:pPr>
  </w:style>
  <w:style w:type="paragraph" w:styleId="ListContinue5">
    <w:name w:val="List Continue 5"/>
    <w:basedOn w:val="Normal"/>
    <w:uiPriority w:val="98"/>
    <w:semiHidden/>
    <w:rsid w:val="000B2D76"/>
    <w:pPr>
      <w:spacing w:after="120"/>
      <w:ind w:left="1415"/>
      <w:contextualSpacing/>
    </w:pPr>
  </w:style>
  <w:style w:type="paragraph" w:styleId="ListNumber">
    <w:name w:val="List Number"/>
    <w:basedOn w:val="Normal"/>
    <w:uiPriority w:val="98"/>
    <w:semiHidden/>
    <w:rsid w:val="000B2D76"/>
    <w:pPr>
      <w:numPr>
        <w:numId w:val="12"/>
      </w:numPr>
      <w:contextualSpacing/>
    </w:pPr>
  </w:style>
  <w:style w:type="paragraph" w:styleId="ListNumber2">
    <w:name w:val="List Number 2"/>
    <w:basedOn w:val="Normal"/>
    <w:uiPriority w:val="98"/>
    <w:semiHidden/>
    <w:rsid w:val="000B2D76"/>
    <w:pPr>
      <w:numPr>
        <w:numId w:val="13"/>
      </w:numPr>
      <w:contextualSpacing/>
    </w:pPr>
  </w:style>
  <w:style w:type="paragraph" w:styleId="ListNumber3">
    <w:name w:val="List Number 3"/>
    <w:basedOn w:val="Normal"/>
    <w:uiPriority w:val="98"/>
    <w:semiHidden/>
    <w:rsid w:val="000B2D76"/>
    <w:pPr>
      <w:numPr>
        <w:numId w:val="14"/>
      </w:numPr>
      <w:contextualSpacing/>
    </w:pPr>
  </w:style>
  <w:style w:type="paragraph" w:styleId="ListNumber4">
    <w:name w:val="List Number 4"/>
    <w:basedOn w:val="Normal"/>
    <w:uiPriority w:val="98"/>
    <w:semiHidden/>
    <w:rsid w:val="000B2D76"/>
    <w:pPr>
      <w:numPr>
        <w:numId w:val="15"/>
      </w:numPr>
      <w:contextualSpacing/>
    </w:pPr>
  </w:style>
  <w:style w:type="paragraph" w:styleId="ListNumber5">
    <w:name w:val="List Number 5"/>
    <w:basedOn w:val="Normal"/>
    <w:uiPriority w:val="98"/>
    <w:semiHidden/>
    <w:rsid w:val="000B2D76"/>
    <w:pPr>
      <w:numPr>
        <w:numId w:val="16"/>
      </w:numPr>
      <w:contextualSpacing/>
    </w:pPr>
  </w:style>
  <w:style w:type="paragraph" w:styleId="Macro">
    <w:name w:val="macro"/>
    <w:link w:val="MacroTextChar"/>
    <w:uiPriority w:val="98"/>
    <w:semiHidden/>
    <w:rsid w:val="000B2D7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B2D76"/>
    <w:rPr>
      <w:rFonts w:ascii="Consolas" w:hAnsi="Consolas" w:eastAsiaTheme="minorEastAsia" w:cs="Consolas"/>
      <w:sz w:val="20"/>
      <w:szCs w:val="20"/>
    </w:rPr>
  </w:style>
  <w:style w:type="table" w:styleId="MediumGrid1">
    <w:name w:val="Medium Grid 1"/>
    <w:basedOn w:val="TableNormal"/>
    <w:uiPriority w:val="67"/>
    <w:semiHidden/>
    <w:rsid w:val="000B2D7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B2D7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B2D7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B2D7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B2D7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B2D7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B2D7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B2D7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B2D7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B2D7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B2D7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B2D7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B2D7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B2D7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B2D7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B2D7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B2D7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B2D7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B2D7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B2D7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B2D7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B2D7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B2D7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B2D7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B2D7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B2D7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B2D7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B2D7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B2D7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B2D7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B2D7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B2D7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B2D7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B2D7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B2D7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B2D7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B2D7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B2D7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B2D76"/>
    <w:rPr>
      <w:rFonts w:ascii="Times New Roman" w:hAnsi="Times New Roman" w:cs="Times New Roman"/>
    </w:rPr>
  </w:style>
  <w:style w:type="paragraph" w:styleId="NormalIndent">
    <w:name w:val="Normal Indent"/>
    <w:basedOn w:val="Normal"/>
    <w:uiPriority w:val="98"/>
    <w:semiHidden/>
    <w:rsid w:val="000B2D76"/>
    <w:pPr>
      <w:ind w:left="720"/>
    </w:pPr>
  </w:style>
  <w:style w:type="paragraph" w:styleId="NoteHeading">
    <w:name w:val="Note Heading"/>
    <w:basedOn w:val="Normal"/>
    <w:next w:val="Normal"/>
    <w:link w:val="NoteHeadingChar"/>
    <w:uiPriority w:val="98"/>
    <w:semiHidden/>
    <w:rsid w:val="000B2D76"/>
  </w:style>
  <w:style w:type="character" w:customStyle="1" w:styleId="NoteHeadingChar">
    <w:name w:val="Note Heading Char"/>
    <w:basedOn w:val="DefaultParagraphFont"/>
    <w:link w:val="NoteHeading"/>
    <w:uiPriority w:val="98"/>
    <w:semiHidden/>
    <w:rsid w:val="000B2D76"/>
    <w:rPr>
      <w:sz w:val="24"/>
      <w:szCs w:val="24"/>
      <w:lang w:val="en-GB"/>
    </w:rPr>
  </w:style>
  <w:style w:type="character" w:styleId="PlaceholderText">
    <w:name w:val="Placeholder Text"/>
    <w:basedOn w:val="DefaultParagraphFont"/>
    <w:uiPriority w:val="98"/>
    <w:semiHidden/>
    <w:rsid w:val="000B2D7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B2D76"/>
    <w:rPr>
      <w:rFonts w:ascii="Consolas" w:hAnsi="Consolas" w:cs="Consolas"/>
      <w:sz w:val="21"/>
      <w:szCs w:val="21"/>
    </w:rPr>
  </w:style>
  <w:style w:type="character" w:customStyle="1" w:styleId="PlainTextChar">
    <w:name w:val="Plain Text Char"/>
    <w:basedOn w:val="DefaultParagraphFont"/>
    <w:link w:val="PlainText"/>
    <w:uiPriority w:val="98"/>
    <w:semiHidden/>
    <w:rsid w:val="000B2D76"/>
    <w:rPr>
      <w:rFonts w:ascii="Consolas" w:hAnsi="Consolas" w:cs="Consolas"/>
      <w:sz w:val="21"/>
      <w:szCs w:val="21"/>
      <w:lang w:val="en-GB"/>
    </w:rPr>
  </w:style>
  <w:style w:type="paragraph" w:styleId="Salutation">
    <w:name w:val="Salutation"/>
    <w:basedOn w:val="Normal"/>
    <w:next w:val="Normal"/>
    <w:link w:val="SalutationChar"/>
    <w:uiPriority w:val="98"/>
    <w:semiHidden/>
    <w:rsid w:val="000B2D76"/>
  </w:style>
  <w:style w:type="character" w:customStyle="1" w:styleId="SalutationChar">
    <w:name w:val="Salutation Char"/>
    <w:basedOn w:val="DefaultParagraphFont"/>
    <w:link w:val="Salutation"/>
    <w:uiPriority w:val="98"/>
    <w:semiHidden/>
    <w:rsid w:val="000B2D76"/>
    <w:rPr>
      <w:sz w:val="24"/>
      <w:szCs w:val="24"/>
      <w:lang w:val="en-GB"/>
    </w:rPr>
  </w:style>
  <w:style w:type="paragraph" w:styleId="Signature0">
    <w:name w:val="Signature"/>
    <w:basedOn w:val="Normal"/>
    <w:link w:val="SignatureChar"/>
    <w:uiPriority w:val="98"/>
    <w:semiHidden/>
    <w:rsid w:val="000B2D76"/>
    <w:pPr>
      <w:ind w:left="4252"/>
    </w:pPr>
  </w:style>
  <w:style w:type="character" w:customStyle="1" w:styleId="SignatureChar">
    <w:name w:val="Signature Char"/>
    <w:basedOn w:val="DefaultParagraphFont"/>
    <w:link w:val="Signature0"/>
    <w:uiPriority w:val="98"/>
    <w:semiHidden/>
    <w:rsid w:val="000B2D76"/>
    <w:rPr>
      <w:sz w:val="24"/>
      <w:szCs w:val="24"/>
      <w:lang w:val="en-GB"/>
    </w:rPr>
  </w:style>
  <w:style w:type="table" w:styleId="Table3Deffects1">
    <w:name w:val="Table 3D effects 1"/>
    <w:basedOn w:val="TableNormal"/>
    <w:uiPriority w:val="99"/>
    <w:semiHidden/>
    <w:unhideWhenUsed/>
    <w:rsid w:val="000B2D7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B2D7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B2D7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B2D7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B2D7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B2D7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B2D7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B2D7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B2D7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B2D7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B2D7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B2D7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B2D7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B2D7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B2D7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B2D7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B2D7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B2D7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B2D7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B2D7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B2D7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B2D7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B2D7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B2D7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B2D7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B2D7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B2D7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B2D7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B2D7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B2D7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B2D7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B2D7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B2D7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B2D76"/>
    <w:pPr>
      <w:ind w:left="240" w:hanging="240"/>
    </w:pPr>
  </w:style>
  <w:style w:type="paragraph" w:styleId="TableofFigures">
    <w:name w:val="table of figures"/>
    <w:basedOn w:val="Normal"/>
    <w:next w:val="Normal"/>
    <w:uiPriority w:val="98"/>
    <w:semiHidden/>
    <w:rsid w:val="000B2D76"/>
  </w:style>
  <w:style w:type="table" w:styleId="TableProfessional">
    <w:name w:val="Table Professional"/>
    <w:basedOn w:val="TableNormal"/>
    <w:uiPriority w:val="99"/>
    <w:semiHidden/>
    <w:unhideWhenUsed/>
    <w:rsid w:val="000B2D7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B2D7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B2D7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B2D7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B2D7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B2D7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B2D7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B2D7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B2D7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B2D7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B2D7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B2D7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B2D76"/>
    <w:pPr>
      <w:spacing w:after="100"/>
      <w:ind w:left="1680"/>
    </w:pPr>
  </w:style>
  <w:style w:type="paragraph" w:styleId="TOC9">
    <w:name w:val="toc 9"/>
    <w:basedOn w:val="Normal"/>
    <w:next w:val="Normal"/>
    <w:autoRedefine/>
    <w:uiPriority w:val="98"/>
    <w:semiHidden/>
    <w:rsid w:val="000B2D7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B2D7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B2D7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B2D7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0B2D7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B2D76"/>
    <w:pPr>
      <w:numPr>
        <w:numId w:val="17"/>
      </w:numPr>
      <w:spacing w:before="60" w:after="60"/>
    </w:pPr>
  </w:style>
  <w:style w:type="paragraph" w:customStyle="1" w:styleId="ECHRBullet2">
    <w:name w:val="ECHR_Bullet_2"/>
    <w:aliases w:val="_Bul_2"/>
    <w:basedOn w:val="ECHRBullet1"/>
    <w:uiPriority w:val="23"/>
    <w:semiHidden/>
    <w:rsid w:val="000B2D76"/>
    <w:pPr>
      <w:numPr>
        <w:ilvl w:val="1"/>
      </w:numPr>
    </w:pPr>
  </w:style>
  <w:style w:type="paragraph" w:customStyle="1" w:styleId="ECHRBullet3">
    <w:name w:val="ECHR_Bullet_3"/>
    <w:aliases w:val="_Bul_3"/>
    <w:basedOn w:val="ECHRBullet2"/>
    <w:uiPriority w:val="23"/>
    <w:semiHidden/>
    <w:rsid w:val="000B2D76"/>
    <w:pPr>
      <w:numPr>
        <w:ilvl w:val="2"/>
      </w:numPr>
    </w:pPr>
  </w:style>
  <w:style w:type="paragraph" w:customStyle="1" w:styleId="ECHRBullet4">
    <w:name w:val="ECHR_Bullet_4"/>
    <w:aliases w:val="_Bul_4"/>
    <w:basedOn w:val="ECHRBullet3"/>
    <w:uiPriority w:val="23"/>
    <w:semiHidden/>
    <w:rsid w:val="000B2D76"/>
    <w:pPr>
      <w:numPr>
        <w:ilvl w:val="3"/>
      </w:numPr>
    </w:pPr>
  </w:style>
  <w:style w:type="paragraph" w:customStyle="1" w:styleId="ECHRConfidential">
    <w:name w:val="ECHR_Confidential"/>
    <w:aliases w:val="_Confidential"/>
    <w:basedOn w:val="Normal"/>
    <w:next w:val="Normal"/>
    <w:uiPriority w:val="42"/>
    <w:semiHidden/>
    <w:qFormat/>
    <w:rsid w:val="000B2D76"/>
    <w:pPr>
      <w:jc w:val="right"/>
    </w:pPr>
    <w:rPr>
      <w:color w:val="C00000"/>
      <w:sz w:val="20"/>
    </w:rPr>
  </w:style>
  <w:style w:type="paragraph" w:customStyle="1" w:styleId="ECHRDecisionBody">
    <w:name w:val="ECHR_Decision_Body"/>
    <w:aliases w:val="_Decision_Body"/>
    <w:basedOn w:val="NormalJustified"/>
    <w:uiPriority w:val="54"/>
    <w:semiHidden/>
    <w:rsid w:val="000B2D7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B2D7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B2D7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B2D7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B2D76"/>
    <w:pPr>
      <w:jc w:val="right"/>
    </w:pPr>
    <w:rPr>
      <w:sz w:val="20"/>
    </w:rPr>
  </w:style>
  <w:style w:type="paragraph" w:customStyle="1" w:styleId="ECHRHeaderRefIt">
    <w:name w:val="ECHR_Header_Ref_It"/>
    <w:aliases w:val="_Ref_Ital"/>
    <w:basedOn w:val="Normal"/>
    <w:next w:val="ECHRHeaderDate"/>
    <w:uiPriority w:val="43"/>
    <w:semiHidden/>
    <w:qFormat/>
    <w:rsid w:val="000B2D76"/>
    <w:pPr>
      <w:jc w:val="right"/>
    </w:pPr>
    <w:rPr>
      <w:i/>
      <w:sz w:val="20"/>
    </w:rPr>
  </w:style>
  <w:style w:type="paragraph" w:customStyle="1" w:styleId="ECHRHeading9">
    <w:name w:val="ECHR_Heading_9"/>
    <w:aliases w:val="_Head_9"/>
    <w:basedOn w:val="Heading9"/>
    <w:uiPriority w:val="17"/>
    <w:semiHidden/>
    <w:rsid w:val="000B2D76"/>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B2D7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B2D76"/>
    <w:pPr>
      <w:numPr>
        <w:numId w:val="18"/>
      </w:numPr>
      <w:spacing w:before="60" w:after="60"/>
    </w:pPr>
  </w:style>
  <w:style w:type="paragraph" w:customStyle="1" w:styleId="ECHRNumberedList2">
    <w:name w:val="ECHR_Numbered_List_2"/>
    <w:aliases w:val="_Num_2"/>
    <w:basedOn w:val="ECHRNumberedList1"/>
    <w:uiPriority w:val="23"/>
    <w:semiHidden/>
    <w:rsid w:val="000B2D76"/>
    <w:pPr>
      <w:numPr>
        <w:ilvl w:val="1"/>
      </w:numPr>
    </w:pPr>
  </w:style>
  <w:style w:type="paragraph" w:customStyle="1" w:styleId="ECHRNumberedList3">
    <w:name w:val="ECHR_Numbered_List_3"/>
    <w:aliases w:val="_Num_3"/>
    <w:basedOn w:val="ECHRNumberedList2"/>
    <w:uiPriority w:val="23"/>
    <w:semiHidden/>
    <w:rsid w:val="000B2D76"/>
    <w:pPr>
      <w:numPr>
        <w:ilvl w:val="2"/>
      </w:numPr>
    </w:pPr>
  </w:style>
  <w:style w:type="paragraph" w:customStyle="1" w:styleId="ECHRParaHanging">
    <w:name w:val="ECHR_Para_Hanging"/>
    <w:aliases w:val="_Hanging"/>
    <w:basedOn w:val="NormalJustified"/>
    <w:uiPriority w:val="8"/>
    <w:semiHidden/>
    <w:qFormat/>
    <w:rsid w:val="000B2D76"/>
    <w:pPr>
      <w:ind w:left="567" w:hanging="567"/>
    </w:pPr>
  </w:style>
  <w:style w:type="paragraph" w:customStyle="1" w:styleId="ECHRParaIndent">
    <w:name w:val="ECHR_Para_Indent"/>
    <w:aliases w:val="_Indent"/>
    <w:basedOn w:val="NormalJustified"/>
    <w:uiPriority w:val="7"/>
    <w:semiHidden/>
    <w:qFormat/>
    <w:rsid w:val="000B2D76"/>
    <w:pPr>
      <w:spacing w:before="120" w:after="120"/>
      <w:ind w:left="284"/>
    </w:pPr>
  </w:style>
  <w:style w:type="character" w:customStyle="1" w:styleId="ECHRRed">
    <w:name w:val="ECHR_Red"/>
    <w:aliases w:val="_Red"/>
    <w:basedOn w:val="DefaultParagraphFont"/>
    <w:uiPriority w:val="15"/>
    <w:semiHidden/>
    <w:qFormat/>
    <w:rsid w:val="000B2D76"/>
    <w:rPr>
      <w:color w:val="C00000" w:themeColor="accent2"/>
    </w:rPr>
  </w:style>
  <w:style w:type="paragraph" w:customStyle="1" w:styleId="DecList">
    <w:name w:val="Dec_List"/>
    <w:aliases w:val="_List"/>
    <w:basedOn w:val="JuList"/>
    <w:uiPriority w:val="22"/>
    <w:rsid w:val="000B2D76"/>
    <w:pPr>
      <w:numPr>
        <w:numId w:val="0"/>
      </w:numPr>
      <w:ind w:left="284"/>
    </w:pPr>
  </w:style>
  <w:style w:type="table" w:customStyle="1" w:styleId="ECHRTable2">
    <w:name w:val="ECHR_Table_2"/>
    <w:basedOn w:val="TableNormal"/>
    <w:uiPriority w:val="99"/>
    <w:rsid w:val="000B2D7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B2D7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B2D7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B2D7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B2D7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B2D7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B2D7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B2D7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B2D76"/>
    <w:pPr>
      <w:outlineLvl w:val="0"/>
    </w:pPr>
  </w:style>
  <w:style w:type="paragraph" w:customStyle="1" w:styleId="ECHRTitleTOC1">
    <w:name w:val="ECHR_Title_TOC_1"/>
    <w:aliases w:val="_Title_L_TOC"/>
    <w:basedOn w:val="ECHRTitle1"/>
    <w:next w:val="Normal"/>
    <w:uiPriority w:val="27"/>
    <w:semiHidden/>
    <w:qFormat/>
    <w:rsid w:val="000B2D76"/>
    <w:pPr>
      <w:outlineLvl w:val="0"/>
    </w:pPr>
  </w:style>
  <w:style w:type="paragraph" w:customStyle="1" w:styleId="ECHRPlaceholder">
    <w:name w:val="ECHR_Placeholder"/>
    <w:aliases w:val="_Placeholder"/>
    <w:basedOn w:val="JuSigned"/>
    <w:uiPriority w:val="31"/>
    <w:rsid w:val="000B2D76"/>
    <w:rPr>
      <w:color w:val="FFFFFF"/>
    </w:rPr>
  </w:style>
  <w:style w:type="paragraph" w:customStyle="1" w:styleId="ECHRSpacer">
    <w:name w:val="ECHR_Spacer"/>
    <w:aliases w:val="_Spacer"/>
    <w:basedOn w:val="Normal"/>
    <w:uiPriority w:val="45"/>
    <w:semiHidden/>
    <w:rsid w:val="000B2D76"/>
    <w:rPr>
      <w:sz w:val="4"/>
    </w:rPr>
  </w:style>
  <w:style w:type="table" w:customStyle="1" w:styleId="ECHRTableGrey">
    <w:name w:val="ECHR_Table_Grey"/>
    <w:basedOn w:val="TableNormal"/>
    <w:uiPriority w:val="99"/>
    <w:rsid w:val="000B2D7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0B2D76"/>
    <w:rPr>
      <w:color w:val="605E5C"/>
      <w:shd w:val="clear" w:color="auto" w:fill="E1DFDD"/>
    </w:rPr>
  </w:style>
  <w:style w:type="table" w:customStyle="1" w:styleId="GridTable1Light-Accent11">
    <w:name w:val="Grid Table 1 Light - Accent 11"/>
    <w:basedOn w:val="TableNormal"/>
    <w:uiPriority w:val="46"/>
    <w:semiHidden/>
    <w:rsid w:val="000F055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0F055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0F055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0F055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0F055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0F055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0F055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0F055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0F055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0F055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0F055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0F055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0F055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0F05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0F055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0F055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0F055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0F055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0F055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0F055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0F05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0F055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0F055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0F055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0F055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0F055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0F055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0F05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0F05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0F05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0F05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0F05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0F05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0F05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0F05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0F055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0F055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0F055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0F055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0F055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0F055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0F05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0F055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0F055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0F055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0F055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0F055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0F055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0F055A"/>
    <w:rPr>
      <w:color w:val="2B579A"/>
      <w:shd w:val="clear" w:color="auto" w:fill="E1DFDD"/>
    </w:rPr>
  </w:style>
  <w:style w:type="table" w:customStyle="1" w:styleId="ListTable1Light1">
    <w:name w:val="List Table 1 Light1"/>
    <w:basedOn w:val="TableNormal"/>
    <w:uiPriority w:val="46"/>
    <w:semiHidden/>
    <w:rsid w:val="000F055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0F055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0F055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0F055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0F055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0F055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0F055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0F055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0F055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0F055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0F055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0F055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0F055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0F055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0F055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0F055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0F055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0F055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0F055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0F055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0F055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0F05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0F055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0F055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0F055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0F055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0F055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0F055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0F055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0F055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0F055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0F055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0F055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0F055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0F055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0F055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0F055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0F055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0F055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0F055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0F055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0F055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0F055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0F055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0F055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0F055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0F055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0F055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0F055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0F055A"/>
    <w:rPr>
      <w:color w:val="2B579A"/>
      <w:shd w:val="clear" w:color="auto" w:fill="E1DFDD"/>
    </w:rPr>
  </w:style>
  <w:style w:type="table" w:customStyle="1" w:styleId="PlainTable11">
    <w:name w:val="Plain Table 11"/>
    <w:basedOn w:val="TableNormal"/>
    <w:uiPriority w:val="41"/>
    <w:semiHidden/>
    <w:rsid w:val="000F055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0F055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0F055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0F055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0F055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0F055A"/>
    <w:rPr>
      <w:u w:val="dotted"/>
    </w:rPr>
  </w:style>
  <w:style w:type="character" w:customStyle="1" w:styleId="SmartLink1">
    <w:name w:val="SmartLink1"/>
    <w:basedOn w:val="DefaultParagraphFont"/>
    <w:uiPriority w:val="99"/>
    <w:semiHidden/>
    <w:unhideWhenUsed/>
    <w:rsid w:val="000F055A"/>
    <w:rPr>
      <w:color w:val="0000FF"/>
      <w:u w:val="single"/>
      <w:shd w:val="clear" w:color="auto" w:fill="F3F2F1"/>
    </w:rPr>
  </w:style>
  <w:style w:type="table" w:customStyle="1" w:styleId="TableGridLight1">
    <w:name w:val="Table Grid Light1"/>
    <w:basedOn w:val="TableNormal"/>
    <w:uiPriority w:val="40"/>
    <w:semiHidden/>
    <w:rsid w:val="000F055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ummyStyle">
    <w:name w:val="Dummy_Style"/>
    <w:aliases w:val="_Dummy"/>
    <w:basedOn w:val="Normal"/>
    <w:semiHidden/>
    <w:qFormat/>
    <w:rsid w:val="000B2D76"/>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3070</Words>
  <Characters>18420</Characters>
  <Application>Microsoft Office Word</Application>
  <DocSecurity>0</DocSecurity>
  <Lines>391</Lines>
  <Paragraphs>86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21404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cp:lastPrinted>2026-06-09T12:47:00Z</cp:lastPrinted>
  <dcterms:created xsi:type="dcterms:W3CDTF">2026-08-18T04:25:00Z</dcterms:created>
  <dcterms:modified xsi:type="dcterms:W3CDTF">2026-08-18T04:25:00Z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1338943</vt:lpwstr>
  </property>
  <property fmtid="{D5CDD505-2E9C-101B-9397-08002B2CF9AE}" pid="3" name="cstLanguage">
    <vt:i4>2057</vt:i4>
  </property>
  <property fmtid="{D5CDD505-2E9C-101B-9397-08002B2CF9AE}" pid="4" name="RegisteredNo">
    <vt:lpwstr>65686/17</vt:lpwstr>
  </property>
</Properties>
</file>