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637B6" w:rsidR="0098410D" w:rsidP="00F637B6" w14:paraId="1C2CE174" w14:textId="77777777">
      <w:pPr>
        <w:jc w:val="center"/>
        <w:rPr>
          <w:lang w:val="uk-UA"/>
        </w:rPr>
      </w:pPr>
      <w:r w:rsidRPr="00F637B6">
        <w:rPr>
          <w:lang w:val="uk-UA"/>
        </w:rPr>
        <w:t>ЄВРОПЕЙСЬКИЙ СУД З ПРАВ ЛЮДИНИ</w:t>
      </w:r>
    </w:p>
    <w:p w:rsidRPr="00F637B6" w:rsidR="00376A5F" w:rsidP="00F637B6" w14:paraId="00D1CFB3" w14:textId="77777777">
      <w:pPr>
        <w:jc w:val="center"/>
        <w:rPr>
          <w:lang w:val="uk-UA"/>
        </w:rPr>
      </w:pPr>
    </w:p>
    <w:p w:rsidRPr="00F637B6" w:rsidR="0098410D" w:rsidP="00F637B6" w14:paraId="0C19AE1E" w14:textId="3C28A70E">
      <w:pPr>
        <w:pStyle w:val="DecHTitle"/>
        <w:rPr>
          <w:lang w:val="uk-UA"/>
        </w:rPr>
      </w:pPr>
      <w:r w:rsidRPr="00F637B6">
        <w:rPr>
          <w:lang w:val="uk-UA"/>
        </w:rPr>
        <w:t>П</w:t>
      </w:r>
      <w:r w:rsidRPr="00F637B6" w:rsidR="00F637B6">
        <w:rPr>
          <w:lang w:val="uk-UA"/>
        </w:rPr>
        <w:t>’</w:t>
      </w:r>
      <w:r w:rsidRPr="00F637B6">
        <w:rPr>
          <w:lang w:val="uk-UA"/>
        </w:rPr>
        <w:t>ЯТА СЕКЦІЯ</w:t>
      </w:r>
    </w:p>
    <w:p w:rsidRPr="00F637B6" w:rsidR="00376A5F" w:rsidP="00F637B6" w14:paraId="50396F31" w14:textId="77777777">
      <w:pPr>
        <w:pStyle w:val="JuTitle"/>
        <w:spacing w:before="720"/>
        <w:rPr>
          <w:color w:val="000000" w:themeColor="text1"/>
          <w:lang w:val="uk-UA"/>
        </w:rPr>
      </w:pPr>
      <w:r w:rsidRPr="00F637B6">
        <w:rPr>
          <w:color w:val="000000" w:themeColor="text1"/>
          <w:lang w:val="uk-UA"/>
        </w:rPr>
        <w:t>СПРАВА «ЗІНЧЕНКО ТА ТАМТУРА ПРОТИ УКРАЇНИ»</w:t>
      </w:r>
    </w:p>
    <w:p w:rsidRPr="00F637B6" w:rsidR="008E6217" w:rsidP="00F637B6" w14:paraId="466B9C48" w14:textId="77777777">
      <w:pPr>
        <w:pStyle w:val="JuTitle"/>
        <w:spacing w:before="960"/>
        <w:rPr>
          <w:lang w:val="uk-UA"/>
        </w:rPr>
      </w:pPr>
      <w:r w:rsidRPr="00F637B6">
        <w:rPr>
          <w:color w:val="000000" w:themeColor="text1"/>
          <w:lang w:val="uk-UA"/>
        </w:rPr>
        <w:t xml:space="preserve">(CASE OF </w:t>
      </w:r>
      <w:r w:rsidRPr="00F637B6" w:rsidR="0083656D">
        <w:rPr>
          <w:lang w:val="uk-UA"/>
        </w:rPr>
        <w:t xml:space="preserve">ZINCHENKO </w:t>
      </w:r>
      <w:r w:rsidRPr="00F637B6" w:rsidR="003E595D">
        <w:rPr>
          <w:lang w:val="uk-UA"/>
        </w:rPr>
        <w:t>AND TAMTURA</w:t>
      </w:r>
      <w:r w:rsidRPr="00F637B6" w:rsidR="00924BE8">
        <w:rPr>
          <w:lang w:val="uk-UA"/>
        </w:rPr>
        <w:t xml:space="preserve"> </w:t>
      </w:r>
      <w:r w:rsidRPr="00F637B6" w:rsidR="0083656D">
        <w:rPr>
          <w:lang w:val="uk-UA"/>
        </w:rPr>
        <w:t>v. UKRAINE</w:t>
      </w:r>
      <w:r w:rsidRPr="00F637B6">
        <w:rPr>
          <w:lang w:val="uk-UA"/>
        </w:rPr>
        <w:t>)</w:t>
      </w:r>
    </w:p>
    <w:p w:rsidRPr="00F637B6" w:rsidR="00D74888" w:rsidP="00F637B6" w14:paraId="2957407D" w14:textId="77777777">
      <w:pPr>
        <w:pStyle w:val="ECHRCoverTitle4"/>
        <w:rPr>
          <w:lang w:val="uk-UA"/>
        </w:rPr>
      </w:pPr>
      <w:r w:rsidRPr="00F637B6">
        <w:rPr>
          <w:lang w:val="uk-UA"/>
        </w:rPr>
        <w:t>(</w:t>
      </w:r>
      <w:r w:rsidRPr="00F637B6" w:rsidR="00376A5F">
        <w:rPr>
          <w:lang w:val="uk-UA"/>
        </w:rPr>
        <w:t>Заяви № </w:t>
      </w:r>
      <w:r w:rsidRPr="00F637B6" w:rsidR="0083656D">
        <w:rPr>
          <w:lang w:val="uk-UA"/>
        </w:rPr>
        <w:t xml:space="preserve">46839/17 </w:t>
      </w:r>
      <w:r w:rsidRPr="00F637B6" w:rsidR="00376A5F">
        <w:rPr>
          <w:lang w:val="uk-UA"/>
        </w:rPr>
        <w:t>та № </w:t>
      </w:r>
      <w:r w:rsidRPr="00F637B6" w:rsidR="003E595D">
        <w:rPr>
          <w:lang w:val="uk-UA"/>
        </w:rPr>
        <w:t>74462/17)</w:t>
      </w:r>
    </w:p>
    <w:p w:rsidRPr="00F637B6" w:rsidR="0098410D" w:rsidP="00F637B6" w14:paraId="1351B615" w14:textId="77777777">
      <w:pPr>
        <w:pStyle w:val="DecHCase"/>
        <w:spacing w:after="120"/>
        <w:rPr>
          <w:lang w:val="uk-UA"/>
        </w:rPr>
      </w:pPr>
    </w:p>
    <w:p w:rsidRPr="00F637B6" w:rsidR="0098410D" w:rsidP="00F637B6" w14:paraId="40C2FFB9" w14:textId="77777777">
      <w:pPr>
        <w:pStyle w:val="DecHCase"/>
        <w:spacing w:after="120"/>
        <w:rPr>
          <w:lang w:val="uk-UA"/>
        </w:rPr>
      </w:pPr>
      <w:r w:rsidRPr="00F637B6">
        <w:rPr>
          <w:lang w:val="uk-UA"/>
        </w:rPr>
        <w:t>РІШЕННЯ</w:t>
      </w:r>
    </w:p>
    <w:p w:rsidRPr="00F637B6" w:rsidR="006E64F2" w:rsidP="00F637B6" w14:paraId="13D9299C" w14:textId="77777777">
      <w:pPr>
        <w:pStyle w:val="JuPara"/>
        <w:jc w:val="center"/>
        <w:rPr>
          <w:i/>
          <w:lang w:val="uk-UA"/>
        </w:rPr>
      </w:pPr>
      <w:r w:rsidRPr="00F637B6">
        <w:rPr>
          <w:i/>
          <w:lang w:val="uk-UA"/>
        </w:rPr>
        <w:t>У цю версію тексту було внесено зміни 19 травня 2026 року</w:t>
      </w:r>
    </w:p>
    <w:p w:rsidRPr="00F637B6" w:rsidR="006E64F2" w:rsidP="00F637B6" w14:paraId="0D1E1181" w14:textId="77777777">
      <w:pPr>
        <w:pStyle w:val="JuPara"/>
        <w:jc w:val="center"/>
        <w:rPr>
          <w:i/>
          <w:lang w:val="uk-UA"/>
        </w:rPr>
      </w:pPr>
      <w:r w:rsidRPr="00F637B6">
        <w:rPr>
          <w:i/>
          <w:lang w:val="uk-UA"/>
        </w:rPr>
        <w:t>відповідно до Правила 81 Регламенту Суду.</w:t>
      </w:r>
    </w:p>
    <w:p w:rsidRPr="00F637B6" w:rsidR="006E64F2" w:rsidP="00F637B6" w14:paraId="55922E72" w14:textId="77777777">
      <w:pPr>
        <w:pStyle w:val="JuPara"/>
        <w:rPr>
          <w:lang w:val="uk-UA"/>
        </w:rPr>
      </w:pPr>
    </w:p>
    <w:p w:rsidRPr="00F637B6" w:rsidR="00666A39" w:rsidP="00F637B6" w14:paraId="640CA82C" w14:textId="77777777">
      <w:pPr>
        <w:pBdr>
          <w:top w:val="single" w:color="auto" w:sz="4" w:space="1"/>
          <w:left w:val="single" w:color="auto" w:sz="4" w:space="4"/>
          <w:bottom w:val="single" w:color="auto" w:sz="4" w:space="1"/>
          <w:right w:val="single" w:color="auto" w:sz="4" w:space="4"/>
        </w:pBdr>
        <w:jc w:val="both"/>
        <w:rPr>
          <w:bCs/>
          <w:lang w:val="uk-UA"/>
        </w:rPr>
      </w:pPr>
      <w:r w:rsidRPr="00F637B6">
        <w:rPr>
          <w:bCs/>
          <w:lang w:val="uk-UA"/>
        </w:rPr>
        <w:t xml:space="preserve">Ст. 3 </w:t>
      </w:r>
      <w:r w:rsidRPr="00F637B6" w:rsidR="004A7D80">
        <w:rPr>
          <w:bCs/>
          <w:lang w:val="uk-UA"/>
        </w:rPr>
        <w:t xml:space="preserve">Конвенції </w:t>
      </w:r>
      <w:r w:rsidRPr="00F637B6">
        <w:rPr>
          <w:bCs/>
          <w:lang w:val="uk-UA"/>
        </w:rPr>
        <w:t xml:space="preserve">(матеріальний аспект) • Таке, що принижує гідність, поводження • </w:t>
      </w:r>
      <w:r w:rsidRPr="00F637B6" w:rsidR="005E4994">
        <w:rPr>
          <w:bCs/>
          <w:lang w:val="uk-UA"/>
        </w:rPr>
        <w:t xml:space="preserve">Тримання у скляній кабіні під час судових засідань у кримінальній справі </w:t>
      </w:r>
      <w:r w:rsidRPr="00F637B6">
        <w:rPr>
          <w:bCs/>
          <w:lang w:val="uk-UA"/>
        </w:rPr>
        <w:t xml:space="preserve">• </w:t>
      </w:r>
      <w:r w:rsidRPr="00F637B6" w:rsidR="004A7D80">
        <w:rPr>
          <w:bCs/>
          <w:lang w:val="uk-UA"/>
        </w:rPr>
        <w:t xml:space="preserve">Захід, що сам собою не містить елемента приниження, достатнього для досягнення мінімального рівня суворості, на відміну від тримання в металевих клітках </w:t>
      </w:r>
      <w:r w:rsidRPr="00F637B6">
        <w:rPr>
          <w:bCs/>
          <w:lang w:val="uk-UA"/>
        </w:rPr>
        <w:t xml:space="preserve">• </w:t>
      </w:r>
      <w:r w:rsidRPr="00F637B6" w:rsidR="004A7D80">
        <w:rPr>
          <w:bCs/>
          <w:lang w:val="uk-UA"/>
        </w:rPr>
        <w:t xml:space="preserve">За сукупності обставин тримання мінімальний рівень суворості досягнутий не був </w:t>
      </w:r>
      <w:r w:rsidRPr="00F637B6">
        <w:rPr>
          <w:bCs/>
          <w:lang w:val="uk-UA"/>
        </w:rPr>
        <w:t>• Явно необґрунтован</w:t>
      </w:r>
      <w:r w:rsidRPr="00F637B6" w:rsidR="004A7D80">
        <w:rPr>
          <w:bCs/>
          <w:lang w:val="uk-UA"/>
        </w:rPr>
        <w:t>а</w:t>
      </w:r>
    </w:p>
    <w:p w:rsidRPr="00F637B6" w:rsidR="0021711C" w:rsidP="00F637B6" w14:paraId="549C9B3E" w14:textId="77777777">
      <w:pPr>
        <w:pStyle w:val="JuPara"/>
        <w:pBdr>
          <w:top w:val="single" w:color="auto" w:sz="4" w:space="1"/>
          <w:left w:val="single" w:color="auto" w:sz="4" w:space="4"/>
          <w:bottom w:val="single" w:color="auto" w:sz="4" w:space="1"/>
          <w:right w:val="single" w:color="auto" w:sz="4" w:space="4"/>
        </w:pBdr>
        <w:ind w:firstLine="0"/>
        <w:rPr>
          <w:bCs/>
          <w:lang w:val="uk-UA"/>
        </w:rPr>
      </w:pPr>
      <w:r w:rsidRPr="00F637B6">
        <w:rPr>
          <w:bCs/>
          <w:lang w:val="uk-UA"/>
        </w:rPr>
        <w:t xml:space="preserve">П. 3 ст. 5 </w:t>
      </w:r>
      <w:r w:rsidRPr="00F637B6" w:rsidR="004A7D80">
        <w:rPr>
          <w:bCs/>
          <w:lang w:val="uk-UA"/>
        </w:rPr>
        <w:t xml:space="preserve">Конвенції </w:t>
      </w:r>
      <w:r w:rsidRPr="00F637B6">
        <w:rPr>
          <w:bCs/>
          <w:lang w:val="uk-UA"/>
        </w:rPr>
        <w:t xml:space="preserve">• </w:t>
      </w:r>
      <w:r w:rsidRPr="00F637B6" w:rsidR="004A7D80">
        <w:rPr>
          <w:bCs/>
          <w:lang w:val="uk-UA"/>
        </w:rPr>
        <w:t xml:space="preserve">Розумність тримання під вартою </w:t>
      </w:r>
      <w:r w:rsidRPr="00F637B6">
        <w:rPr>
          <w:bCs/>
          <w:lang w:val="uk-UA"/>
        </w:rPr>
        <w:t xml:space="preserve">• </w:t>
      </w:r>
      <w:r w:rsidRPr="00F637B6" w:rsidR="00CF0AAB">
        <w:rPr>
          <w:bCs/>
          <w:lang w:val="uk-UA"/>
        </w:rPr>
        <w:t xml:space="preserve">Ненаведення </w:t>
      </w:r>
      <w:r w:rsidRPr="00F637B6" w:rsidR="004A7D80">
        <w:rPr>
          <w:bCs/>
          <w:lang w:val="uk-UA"/>
        </w:rPr>
        <w:t xml:space="preserve">національними судами «відповідного» та «достатнього» обґрунтування для продовження </w:t>
      </w:r>
      <w:r w:rsidRPr="00F637B6">
        <w:rPr>
          <w:bCs/>
          <w:lang w:val="uk-UA"/>
        </w:rPr>
        <w:t xml:space="preserve">строку тримання другого заявника під вартою та його </w:t>
      </w:r>
      <w:r w:rsidRPr="00F637B6" w:rsidR="00E02C94">
        <w:rPr>
          <w:bCs/>
          <w:lang w:val="uk-UA"/>
        </w:rPr>
        <w:t xml:space="preserve">тривалості у </w:t>
      </w:r>
      <w:r w:rsidRPr="00F637B6">
        <w:rPr>
          <w:bCs/>
          <w:lang w:val="uk-UA"/>
        </w:rPr>
        <w:t>чотири роки та десять місяців</w:t>
      </w:r>
    </w:p>
    <w:p w:rsidRPr="00F637B6" w:rsidR="00666A39" w:rsidP="00F637B6" w14:paraId="16FC6BA6" w14:textId="77777777">
      <w:pPr>
        <w:pStyle w:val="JuPara"/>
        <w:pBdr>
          <w:top w:val="single" w:color="auto" w:sz="4" w:space="1"/>
          <w:left w:val="single" w:color="auto" w:sz="4" w:space="4"/>
          <w:bottom w:val="single" w:color="auto" w:sz="4" w:space="1"/>
          <w:right w:val="single" w:color="auto" w:sz="4" w:space="4"/>
        </w:pBdr>
        <w:rPr>
          <w:lang w:val="uk-UA"/>
        </w:rPr>
      </w:pPr>
    </w:p>
    <w:p w:rsidRPr="00F637B6" w:rsidR="00666A39" w:rsidP="00F637B6" w14:paraId="6CBA75C6" w14:textId="7C4B0699">
      <w:pPr>
        <w:pStyle w:val="JuPara"/>
        <w:pBdr>
          <w:top w:val="single" w:color="auto" w:sz="4" w:space="1"/>
          <w:left w:val="single" w:color="auto" w:sz="4" w:space="4"/>
          <w:bottom w:val="single" w:color="auto" w:sz="4" w:space="1"/>
          <w:right w:val="single" w:color="auto" w:sz="4" w:space="4"/>
        </w:pBdr>
        <w:jc w:val="center"/>
        <w:rPr>
          <w:lang w:val="uk-UA"/>
        </w:rPr>
      </w:pPr>
      <w:r w:rsidRPr="00F637B6">
        <w:rPr>
          <w:sz w:val="20"/>
          <w:szCs w:val="20"/>
          <w:lang w:val="uk-UA"/>
        </w:rPr>
        <w:t>Підготовлено Секретаріатом. Не є обов</w:t>
      </w:r>
      <w:r w:rsidRPr="00F637B6" w:rsidR="00F637B6">
        <w:rPr>
          <w:sz w:val="20"/>
          <w:szCs w:val="20"/>
          <w:lang w:val="uk-UA"/>
        </w:rPr>
        <w:t>’</w:t>
      </w:r>
      <w:r w:rsidRPr="00F637B6">
        <w:rPr>
          <w:sz w:val="20"/>
          <w:szCs w:val="20"/>
          <w:lang w:val="uk-UA"/>
        </w:rPr>
        <w:t>язковим для Суду.</w:t>
      </w:r>
    </w:p>
    <w:p w:rsidRPr="00F637B6" w:rsidR="00666A39" w:rsidP="00F637B6" w14:paraId="48452F28" w14:textId="77777777">
      <w:pPr>
        <w:pStyle w:val="JuPara"/>
        <w:ind w:firstLine="0"/>
        <w:rPr>
          <w:lang w:val="uk-UA"/>
        </w:rPr>
      </w:pPr>
    </w:p>
    <w:p w:rsidRPr="00F637B6" w:rsidR="0098410D" w:rsidP="00F637B6" w14:paraId="212EDFAF" w14:textId="77777777">
      <w:pPr>
        <w:pStyle w:val="DecHCase"/>
        <w:rPr>
          <w:lang w:val="uk-UA"/>
        </w:rPr>
      </w:pPr>
      <w:r w:rsidRPr="00F637B6">
        <w:rPr>
          <w:lang w:val="uk-UA"/>
        </w:rPr>
        <w:t>СТРАСБУРГ</w:t>
      </w:r>
    </w:p>
    <w:p w:rsidRPr="00F637B6" w:rsidR="0098410D" w:rsidP="00F637B6" w14:paraId="1E48015C" w14:textId="77777777">
      <w:pPr>
        <w:pStyle w:val="DecHCase"/>
        <w:rPr>
          <w:rFonts w:ascii="Times New Roman" w:hAnsi="Times New Roman" w:cs="Times New Roman"/>
          <w:lang w:val="uk-UA"/>
        </w:rPr>
      </w:pPr>
      <w:r w:rsidRPr="00F637B6">
        <w:rPr>
          <w:rFonts w:ascii="Times New Roman" w:hAnsi="Times New Roman" w:cs="Times New Roman"/>
          <w:lang w:val="uk-UA"/>
        </w:rPr>
        <w:t>05 березня 2026 року</w:t>
      </w:r>
    </w:p>
    <w:p w:rsidRPr="00F637B6" w:rsidR="00376A5F" w:rsidP="00F637B6" w14:paraId="4B68F685" w14:textId="77777777">
      <w:pPr>
        <w:pStyle w:val="JuPara"/>
        <w:ind w:firstLine="0"/>
        <w:jc w:val="center"/>
        <w:rPr>
          <w:b/>
          <w:bCs/>
          <w:color w:val="EE0000"/>
          <w:u w:val="single"/>
          <w:lang w:val="uk-UA"/>
        </w:rPr>
      </w:pPr>
      <w:r w:rsidRPr="00F637B6">
        <w:rPr>
          <w:b/>
          <w:bCs/>
          <w:color w:val="EE0000"/>
          <w:u w:val="single"/>
          <w:lang w:val="uk-UA"/>
        </w:rPr>
        <w:t>ОСТАТОЧНЕ</w:t>
      </w:r>
    </w:p>
    <w:p w:rsidRPr="00F637B6" w:rsidR="00376A5F" w:rsidP="00F637B6" w14:paraId="14C62CD4" w14:textId="77777777">
      <w:pPr>
        <w:pStyle w:val="JuPara"/>
        <w:spacing w:before="120"/>
        <w:ind w:firstLine="0"/>
        <w:jc w:val="center"/>
        <w:rPr>
          <w:color w:val="EE0000"/>
          <w:lang w:val="uk-UA"/>
        </w:rPr>
      </w:pPr>
      <w:r w:rsidRPr="00F637B6">
        <w:rPr>
          <w:color w:val="EE0000"/>
          <w:lang w:val="uk-UA"/>
        </w:rPr>
        <w:t>05.06.2026</w:t>
      </w:r>
    </w:p>
    <w:p w:rsidRPr="00F637B6" w:rsidR="00B461F4" w:rsidP="00F637B6" w14:paraId="11B272B2" w14:textId="77777777">
      <w:pPr>
        <w:spacing w:before="120"/>
        <w:rPr>
          <w:lang w:val="uk-UA"/>
        </w:rPr>
      </w:pPr>
      <w:r w:rsidRPr="00F637B6">
        <w:rPr>
          <w:i/>
          <w:iCs/>
          <w:sz w:val="22"/>
          <w:lang w:val="uk-UA"/>
        </w:rPr>
        <w:t>Це рішення набуло статусу остаточного відповідно до пункту 2 статті 44 Конвенції. Його текст може підлягати редакційним виправленням</w:t>
      </w:r>
      <w:r w:rsidRPr="00F637B6">
        <w:rPr>
          <w:i/>
          <w:sz w:val="22"/>
          <w:lang w:val="uk-UA"/>
        </w:rPr>
        <w:t>.</w:t>
      </w:r>
    </w:p>
    <w:p w:rsidRPr="00F637B6" w:rsidR="00666A39" w:rsidP="00F637B6" w14:paraId="05E6DA8E"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637B6" w:rsidR="00D04920" w:rsidP="00F637B6" w14:paraId="045B1C6E" w14:textId="77777777">
      <w:pPr>
        <w:pStyle w:val="JuCase"/>
        <w:rPr>
          <w:lang w:val="uk-UA"/>
        </w:rPr>
      </w:pPr>
      <w:r w:rsidRPr="00F637B6">
        <w:rPr>
          <w:bCs/>
          <w:lang w:val="uk-UA"/>
        </w:rPr>
        <w:t>У справі «Зінченко та Тамтура проти України»</w:t>
      </w:r>
    </w:p>
    <w:p w:rsidRPr="00F637B6" w:rsidR="00D04920" w:rsidP="00F637B6" w14:paraId="365E6D32" w14:textId="412EBA98">
      <w:pPr>
        <w:pStyle w:val="JuCase"/>
        <w:rPr>
          <w:b w:val="0"/>
          <w:lang w:val="uk-UA"/>
        </w:rPr>
      </w:pPr>
      <w:r w:rsidRPr="00F637B6">
        <w:rPr>
          <w:b w:val="0"/>
          <w:lang w:val="uk-UA"/>
        </w:rPr>
        <w:t>Європейський суд з прав людини (П</w:t>
      </w:r>
      <w:r w:rsidRPr="00F637B6" w:rsidR="00F637B6">
        <w:rPr>
          <w:b w:val="0"/>
          <w:lang w:val="uk-UA"/>
        </w:rPr>
        <w:t>’</w:t>
      </w:r>
      <w:r w:rsidRPr="00F637B6">
        <w:rPr>
          <w:b w:val="0"/>
          <w:lang w:val="uk-UA"/>
        </w:rPr>
        <w:t>ята секція), засідаючи палатою, до складу якої увійшли:</w:t>
      </w:r>
    </w:p>
    <w:p w:rsidRPr="00F637B6" w:rsidR="00D04920" w:rsidP="00F637B6" w14:paraId="5F8FEAB5" w14:textId="77777777">
      <w:pPr>
        <w:pStyle w:val="JuCase"/>
        <w:ind w:left="284" w:firstLine="0"/>
        <w:jc w:val="left"/>
        <w:rPr>
          <w:b w:val="0"/>
          <w:lang w:val="uk-UA"/>
        </w:rPr>
      </w:pPr>
      <w:r w:rsidRPr="00F637B6">
        <w:rPr>
          <w:b w:val="0"/>
          <w:lang w:val="uk-UA"/>
        </w:rPr>
        <w:t xml:space="preserve">Катержіна Шімачкова </w:t>
      </w:r>
      <w:r w:rsidRPr="00F637B6">
        <w:rPr>
          <w:b w:val="0"/>
          <w:i/>
          <w:iCs/>
          <w:lang w:val="uk-UA"/>
        </w:rPr>
        <w:t>(Kateřina Šimáčková), Голова</w:t>
      </w:r>
      <w:r w:rsidRPr="00F637B6">
        <w:rPr>
          <w:b w:val="0"/>
          <w:lang w:val="uk-UA"/>
        </w:rPr>
        <w:t>,</w:t>
      </w:r>
      <w:r w:rsidRPr="00F637B6">
        <w:rPr>
          <w:b w:val="0"/>
          <w:lang w:val="uk-UA"/>
        </w:rPr>
        <w:br/>
        <w:t xml:space="preserve">Марія Елосегі </w:t>
      </w:r>
      <w:r w:rsidRPr="00F637B6">
        <w:rPr>
          <w:b w:val="0"/>
          <w:i/>
          <w:iCs/>
          <w:lang w:val="uk-UA"/>
        </w:rPr>
        <w:t>(</w:t>
      </w:r>
      <w:r w:rsidRPr="00F637B6">
        <w:rPr>
          <w:b w:val="0"/>
          <w:bCs/>
          <w:i/>
          <w:iCs/>
          <w:lang w:val="uk-UA"/>
        </w:rPr>
        <w:t>María Elósegui),</w:t>
      </w:r>
    </w:p>
    <w:p w:rsidRPr="00F637B6" w:rsidR="00D04920" w:rsidP="00F637B6" w14:paraId="2F2C0FE6" w14:textId="77777777">
      <w:pPr>
        <w:pStyle w:val="JuCase"/>
        <w:ind w:left="284" w:firstLine="0"/>
        <w:jc w:val="left"/>
        <w:rPr>
          <w:b w:val="0"/>
          <w:lang w:val="uk-UA"/>
        </w:rPr>
      </w:pPr>
      <w:r w:rsidRPr="00F637B6">
        <w:rPr>
          <w:b w:val="0"/>
          <w:lang w:val="uk-UA"/>
        </w:rPr>
        <w:t>Георгі</w:t>
      </w:r>
      <w:r w:rsidRPr="00F637B6" w:rsidR="009B7C93">
        <w:rPr>
          <w:b w:val="0"/>
          <w:lang w:val="uk-UA"/>
        </w:rPr>
        <w:t>о</w:t>
      </w:r>
      <w:r w:rsidRPr="00F637B6">
        <w:rPr>
          <w:b w:val="0"/>
          <w:lang w:val="uk-UA"/>
        </w:rPr>
        <w:t xml:space="preserve">с А. Сергідес </w:t>
      </w:r>
      <w:r w:rsidRPr="00F637B6">
        <w:rPr>
          <w:b w:val="0"/>
          <w:i/>
          <w:lang w:val="uk-UA"/>
        </w:rPr>
        <w:t>(Georgios A. Serghides)</w:t>
      </w:r>
      <w:r w:rsidRPr="00F637B6">
        <w:rPr>
          <w:b w:val="0"/>
          <w:lang w:val="uk-UA"/>
        </w:rPr>
        <w:t>,</w:t>
      </w:r>
      <w:r w:rsidRPr="00F637B6">
        <w:rPr>
          <w:b w:val="0"/>
          <w:lang w:val="uk-UA"/>
        </w:rPr>
        <w:br/>
        <w:t xml:space="preserve">Ґільберто Фелічі </w:t>
      </w:r>
      <w:r w:rsidRPr="00F637B6">
        <w:rPr>
          <w:b w:val="0"/>
          <w:i/>
          <w:iCs/>
          <w:lang w:val="uk-UA"/>
        </w:rPr>
        <w:t>(Gilberto Felici)</w:t>
      </w:r>
      <w:r w:rsidRPr="00F637B6">
        <w:rPr>
          <w:b w:val="0"/>
          <w:lang w:val="uk-UA"/>
        </w:rPr>
        <w:t>,</w:t>
      </w:r>
      <w:r w:rsidRPr="00F637B6">
        <w:rPr>
          <w:b w:val="0"/>
          <w:lang w:val="uk-UA"/>
        </w:rPr>
        <w:br/>
        <w:t xml:space="preserve">Діана Сирку </w:t>
      </w:r>
      <w:r w:rsidRPr="00F637B6">
        <w:rPr>
          <w:b w:val="0"/>
          <w:i/>
          <w:iCs/>
          <w:lang w:val="uk-UA"/>
        </w:rPr>
        <w:t>(</w:t>
      </w:r>
      <w:r w:rsidRPr="00F637B6">
        <w:rPr>
          <w:b w:val="0"/>
          <w:bCs/>
          <w:i/>
          <w:iCs/>
          <w:lang w:val="uk-UA"/>
        </w:rPr>
        <w:t>Diana Sârcu</w:t>
      </w:r>
      <w:r w:rsidRPr="00F637B6">
        <w:rPr>
          <w:b w:val="0"/>
          <w:i/>
          <w:iCs/>
          <w:lang w:val="uk-UA"/>
        </w:rPr>
        <w:t>),</w:t>
      </w:r>
    </w:p>
    <w:p w:rsidRPr="00F637B6" w:rsidR="00D04920" w:rsidP="00F637B6" w14:paraId="486AC4D8" w14:textId="77777777">
      <w:pPr>
        <w:pStyle w:val="JuCase"/>
        <w:jc w:val="left"/>
        <w:rPr>
          <w:b w:val="0"/>
          <w:i/>
          <w:lang w:val="uk-UA"/>
        </w:rPr>
      </w:pPr>
      <w:r w:rsidRPr="00F637B6">
        <w:rPr>
          <w:b w:val="0"/>
          <w:lang w:val="uk-UA"/>
        </w:rPr>
        <w:t xml:space="preserve">Микола Гнатовський </w:t>
      </w:r>
      <w:r w:rsidRPr="00F637B6">
        <w:rPr>
          <w:b w:val="0"/>
          <w:i/>
          <w:iCs/>
          <w:lang w:val="uk-UA"/>
        </w:rPr>
        <w:t>(Mykola Gnatovskyy),</w:t>
      </w:r>
    </w:p>
    <w:p w:rsidRPr="00F637B6" w:rsidR="00D04920" w:rsidP="00F637B6" w14:paraId="430E6796" w14:textId="77777777">
      <w:pPr>
        <w:pStyle w:val="JuCase"/>
        <w:jc w:val="left"/>
        <w:rPr>
          <w:b w:val="0"/>
          <w:lang w:val="uk-UA"/>
        </w:rPr>
      </w:pPr>
      <w:r w:rsidRPr="00F637B6">
        <w:rPr>
          <w:b w:val="0"/>
          <w:iCs/>
          <w:lang w:val="uk-UA"/>
        </w:rPr>
        <w:t xml:space="preserve">Ваге Григорян </w:t>
      </w:r>
      <w:r w:rsidRPr="00F637B6">
        <w:rPr>
          <w:b w:val="0"/>
          <w:i/>
          <w:lang w:val="uk-UA"/>
        </w:rPr>
        <w:t>(Vahe Grigoryan)</w:t>
      </w:r>
      <w:r w:rsidRPr="00F637B6">
        <w:rPr>
          <w:b w:val="0"/>
          <w:lang w:val="uk-UA"/>
        </w:rPr>
        <w:t>,</w:t>
      </w:r>
      <w:r w:rsidRPr="00F637B6">
        <w:rPr>
          <w:b w:val="0"/>
          <w:i/>
          <w:lang w:val="uk-UA"/>
        </w:rPr>
        <w:t xml:space="preserve"> судді</w:t>
      </w:r>
      <w:r w:rsidRPr="00F637B6">
        <w:rPr>
          <w:b w:val="0"/>
          <w:lang w:val="uk-UA"/>
        </w:rPr>
        <w:t>,</w:t>
      </w:r>
      <w:r w:rsidRPr="00F637B6">
        <w:rPr>
          <w:b w:val="0"/>
          <w:lang w:val="uk-UA"/>
        </w:rPr>
        <w:br/>
        <w:t xml:space="preserve">та Віктор Соловейчік </w:t>
      </w:r>
      <w:r w:rsidRPr="00F637B6">
        <w:rPr>
          <w:b w:val="0"/>
          <w:i/>
          <w:iCs/>
          <w:lang w:val="uk-UA"/>
        </w:rPr>
        <w:t>(Victor Soloveytchik)</w:t>
      </w:r>
      <w:r w:rsidRPr="00F637B6">
        <w:rPr>
          <w:b w:val="0"/>
          <w:lang w:val="uk-UA"/>
        </w:rPr>
        <w:t xml:space="preserve">, </w:t>
      </w:r>
      <w:r w:rsidRPr="00F637B6">
        <w:rPr>
          <w:b w:val="0"/>
          <w:i/>
          <w:iCs/>
          <w:lang w:val="uk-UA"/>
        </w:rPr>
        <w:t>Секретар секції,</w:t>
      </w:r>
    </w:p>
    <w:p w:rsidRPr="00F637B6" w:rsidR="00D04920" w:rsidP="00F637B6" w14:paraId="1AA8CC85" w14:textId="77777777">
      <w:pPr>
        <w:pStyle w:val="JuCase"/>
        <w:jc w:val="left"/>
        <w:rPr>
          <w:b w:val="0"/>
          <w:lang w:val="uk-UA"/>
        </w:rPr>
      </w:pPr>
      <w:r w:rsidRPr="00F637B6">
        <w:rPr>
          <w:b w:val="0"/>
          <w:lang w:val="uk-UA"/>
        </w:rPr>
        <w:t>з огляду на:</w:t>
      </w:r>
    </w:p>
    <w:p w:rsidRPr="00F637B6" w:rsidR="00D04920" w:rsidP="00F637B6" w14:paraId="58BADACA" w14:textId="77777777">
      <w:pPr>
        <w:pStyle w:val="JuCase"/>
        <w:rPr>
          <w:b w:val="0"/>
          <w:lang w:val="uk-UA"/>
        </w:rPr>
      </w:pPr>
      <w:r w:rsidRPr="00F637B6">
        <w:rPr>
          <w:b w:val="0"/>
          <w:lang w:val="uk-UA"/>
        </w:rPr>
        <w:t>заяви (№ </w:t>
      </w:r>
      <w:r w:rsidRPr="00F637B6">
        <w:rPr>
          <w:b w:val="0"/>
          <w:bCs/>
          <w:lang w:val="uk-UA"/>
        </w:rPr>
        <w:t xml:space="preserve">46839/17 </w:t>
      </w:r>
      <w:r w:rsidRPr="00F637B6" w:rsidR="00EE6B85">
        <w:rPr>
          <w:b w:val="0"/>
          <w:bCs/>
          <w:lang w:val="uk-UA"/>
        </w:rPr>
        <w:t>та</w:t>
      </w:r>
      <w:r w:rsidRPr="00F637B6">
        <w:rPr>
          <w:rFonts w:eastAsia="Times New Roman"/>
          <w:b w:val="0"/>
          <w:bCs/>
          <w:lang w:val="uk-UA"/>
        </w:rPr>
        <w:t xml:space="preserve"> № 74462/17</w:t>
      </w:r>
      <w:r w:rsidRPr="00F637B6">
        <w:rPr>
          <w:b w:val="0"/>
          <w:lang w:val="uk-UA"/>
        </w:rPr>
        <w:t>), які 23 червня та 10 жовтня 2017 року відповідно подали до Суду проти України на підставі статті 34 Конвенції про захист прав людини і основоположних свобод (далі – Конвенція) двоє громадян України, пан Сергій Павлович Зінченко (далі – перший заявник) і пан Сергій Борисович Тамтура (далі – другий заявник);</w:t>
      </w:r>
    </w:p>
    <w:p w:rsidRPr="00F637B6" w:rsidR="00D04920" w:rsidP="00F637B6" w14:paraId="1368545F" w14:textId="77777777">
      <w:pPr>
        <w:pStyle w:val="JuCase"/>
        <w:rPr>
          <w:b w:val="0"/>
          <w:bCs/>
          <w:lang w:val="uk-UA"/>
        </w:rPr>
      </w:pPr>
      <w:r w:rsidRPr="00F637B6">
        <w:rPr>
          <w:b w:val="0"/>
          <w:bCs/>
          <w:lang w:val="uk-UA"/>
        </w:rPr>
        <w:t>рішення повідомити Уряд України (далі – Уряд) про скарги за статтею 3 Конвенції (поміщення до скляно</w:t>
      </w:r>
      <w:r w:rsidRPr="00F637B6" w:rsidR="004A7D80">
        <w:rPr>
          <w:b w:val="0"/>
          <w:bCs/>
          <w:lang w:val="uk-UA"/>
        </w:rPr>
        <w:t xml:space="preserve">ї кабіни </w:t>
      </w:r>
      <w:r w:rsidRPr="00F637B6">
        <w:rPr>
          <w:b w:val="0"/>
          <w:bCs/>
          <w:lang w:val="uk-UA"/>
        </w:rPr>
        <w:t>під час судових засідань) та пунктом 3 статті 5 Конвенції, а також визнати решту скарг у заяві неприйнятними;</w:t>
      </w:r>
    </w:p>
    <w:p w:rsidRPr="00F637B6" w:rsidR="00D04920" w:rsidP="00F637B6" w14:paraId="247983F3" w14:textId="77777777">
      <w:pPr>
        <w:pStyle w:val="JuPara"/>
        <w:rPr>
          <w:lang w:val="uk-UA"/>
        </w:rPr>
      </w:pPr>
      <w:r w:rsidRPr="00F637B6">
        <w:rPr>
          <w:lang w:val="uk-UA"/>
        </w:rPr>
        <w:t>зауваження сторін;</w:t>
      </w:r>
    </w:p>
    <w:p w:rsidRPr="00F637B6" w:rsidR="00D04920" w:rsidP="00F637B6" w14:paraId="64C7C709" w14:textId="77777777">
      <w:pPr>
        <w:pStyle w:val="JuPara"/>
        <w:rPr>
          <w:lang w:val="uk-UA"/>
        </w:rPr>
      </w:pPr>
      <w:r w:rsidRPr="00F637B6">
        <w:rPr>
          <w:lang w:val="uk-UA"/>
        </w:rPr>
        <w:t>після обговорення за зачиненими дверима 20 січня 2026 року</w:t>
      </w:r>
    </w:p>
    <w:p w:rsidRPr="00F637B6" w:rsidR="00D04920" w:rsidP="00F637B6" w14:paraId="5F2B823A" w14:textId="77777777">
      <w:pPr>
        <w:pStyle w:val="JuPara"/>
        <w:rPr>
          <w:lang w:val="uk-UA"/>
        </w:rPr>
      </w:pPr>
      <w:r w:rsidRPr="00F637B6">
        <w:rPr>
          <w:lang w:val="uk-UA"/>
        </w:rPr>
        <w:t>постановляє таке рішення, що було ухвалено у той день:</w:t>
      </w:r>
    </w:p>
    <w:p w:rsidRPr="00F637B6" w:rsidR="0083656D" w:rsidP="00F637B6" w14:paraId="232FE2BC" w14:textId="77777777">
      <w:pPr>
        <w:pStyle w:val="JuHHead"/>
        <w:numPr>
          <w:ilvl w:val="0"/>
          <w:numId w:val="0"/>
        </w:numPr>
        <w:rPr>
          <w:lang w:val="uk-UA"/>
        </w:rPr>
      </w:pPr>
      <w:r w:rsidRPr="00F637B6">
        <w:rPr>
          <w:lang w:val="uk-UA"/>
        </w:rPr>
        <w:t>ВСТУП</w:t>
      </w:r>
    </w:p>
    <w:p w:rsidRPr="00F637B6" w:rsidR="00791898" w:rsidP="00F637B6" w14:paraId="7F19FCD7" w14:textId="77777777">
      <w:pPr>
        <w:pStyle w:val="JuPara"/>
        <w:rPr>
          <w:lang w:val="uk-UA"/>
        </w:rPr>
      </w:pPr>
      <w:r w:rsidRPr="00F637B6">
        <w:rPr>
          <w:lang w:val="uk-UA"/>
        </w:rPr>
        <w:t>1.  </w:t>
      </w:r>
      <w:r w:rsidRPr="00F637B6" w:rsidR="004A7D80">
        <w:rPr>
          <w:lang w:val="uk-UA"/>
        </w:rPr>
        <w:t>Справа стосується скарги заявників за статтею 3 Конвенції щодо тримання їх у скляній кабіні під час судових засідань</w:t>
      </w:r>
      <w:r w:rsidRPr="00F637B6">
        <w:rPr>
          <w:lang w:val="uk-UA"/>
        </w:rPr>
        <w:t xml:space="preserve">, а також скарги другого заявника за пунктом 3 статті 5 Конвенції на необґрунтовану тривалість тримання </w:t>
      </w:r>
      <w:r w:rsidRPr="00F637B6" w:rsidR="00F75BCF">
        <w:rPr>
          <w:lang w:val="uk-UA"/>
        </w:rPr>
        <w:t xml:space="preserve">його </w:t>
      </w:r>
      <w:r w:rsidRPr="00F637B6">
        <w:rPr>
          <w:lang w:val="uk-UA"/>
        </w:rPr>
        <w:t>під вартою.</w:t>
      </w:r>
    </w:p>
    <w:p w:rsidRPr="00F637B6" w:rsidR="0083656D" w:rsidP="00F637B6" w14:paraId="2305CD4D" w14:textId="77777777">
      <w:pPr>
        <w:pStyle w:val="JuHHead"/>
        <w:rPr>
          <w:lang w:val="uk-UA"/>
        </w:rPr>
      </w:pPr>
      <w:r w:rsidRPr="00F637B6">
        <w:rPr>
          <w:lang w:val="uk-UA"/>
        </w:rPr>
        <w:t>ФАКТИ</w:t>
      </w:r>
    </w:p>
    <w:p w:rsidRPr="00F637B6" w:rsidR="00791898" w:rsidP="00F637B6" w14:paraId="30A1CCEE" w14:textId="77777777">
      <w:pPr>
        <w:pStyle w:val="JuPara"/>
        <w:rPr>
          <w:lang w:val="uk-UA"/>
        </w:rPr>
      </w:pPr>
      <w:r w:rsidRPr="00F637B6">
        <w:rPr>
          <w:lang w:val="uk-UA"/>
        </w:rPr>
        <w:t>2.  </w:t>
      </w:r>
      <w:r w:rsidRPr="00F637B6">
        <w:rPr>
          <w:lang w:val="uk-UA"/>
        </w:rPr>
        <w:t xml:space="preserve">Заявники народилися у 1990 та 1989 роках відповідно </w:t>
      </w:r>
      <w:r w:rsidRPr="00F637B6" w:rsidR="004A7D80">
        <w:rPr>
          <w:lang w:val="uk-UA"/>
        </w:rPr>
        <w:t>і</w:t>
      </w:r>
      <w:r w:rsidRPr="00F637B6">
        <w:rPr>
          <w:lang w:val="uk-UA"/>
        </w:rPr>
        <w:t xml:space="preserve"> проживають у м. Київ. Обох заявників представляв пан І. Варфоломєєв, юрист, який практикує </w:t>
      </w:r>
      <w:r w:rsidRPr="00F637B6" w:rsidR="00F24B2D">
        <w:rPr>
          <w:lang w:val="uk-UA"/>
        </w:rPr>
        <w:t xml:space="preserve">у </w:t>
      </w:r>
      <w:r w:rsidRPr="00F637B6">
        <w:rPr>
          <w:lang w:val="uk-UA"/>
        </w:rPr>
        <w:t>м. Київ.</w:t>
      </w:r>
    </w:p>
    <w:p w:rsidRPr="00F637B6" w:rsidR="00791898" w:rsidP="00F637B6" w14:paraId="4A3F84A7" w14:textId="77777777">
      <w:pPr>
        <w:pStyle w:val="JuPara"/>
        <w:rPr>
          <w:lang w:val="uk-UA"/>
        </w:rPr>
      </w:pPr>
      <w:r w:rsidRPr="00F637B6">
        <w:rPr>
          <w:lang w:val="uk-UA"/>
        </w:rPr>
        <w:t>3.  </w:t>
      </w:r>
      <w:r w:rsidRPr="00F637B6">
        <w:rPr>
          <w:lang w:val="uk-UA"/>
        </w:rPr>
        <w:t>Уряд представляла його Уповноважений, пані М. Сокоренко з Міністерства юстиції.</w:t>
      </w:r>
    </w:p>
    <w:p w:rsidRPr="00F637B6" w:rsidR="0083656D" w:rsidP="00F637B6" w14:paraId="01D0CB5F" w14:textId="77777777">
      <w:pPr>
        <w:pStyle w:val="JuPara"/>
        <w:rPr>
          <w:lang w:val="uk-UA"/>
        </w:rPr>
      </w:pPr>
      <w:r w:rsidRPr="00F637B6">
        <w:rPr>
          <w:lang w:val="uk-UA"/>
        </w:rPr>
        <w:t>4.  </w:t>
      </w:r>
      <w:r w:rsidRPr="00F637B6" w:rsidR="00791898">
        <w:rPr>
          <w:lang w:val="uk-UA"/>
        </w:rPr>
        <w:t>Факти справи можуть бути узагальнені таким чином</w:t>
      </w:r>
      <w:r w:rsidRPr="00F637B6">
        <w:rPr>
          <w:lang w:val="uk-UA"/>
        </w:rPr>
        <w:t>.</w:t>
      </w:r>
    </w:p>
    <w:p w:rsidRPr="00F637B6" w:rsidR="0083656D" w:rsidP="00F637B6" w14:paraId="4216A0AD" w14:textId="77777777">
      <w:pPr>
        <w:pStyle w:val="JuHIRoman"/>
        <w:rPr>
          <w:lang w:val="uk-UA"/>
        </w:rPr>
      </w:pPr>
      <w:r w:rsidRPr="00F637B6">
        <w:rPr>
          <w:lang w:val="uk-UA"/>
        </w:rPr>
        <w:t>ЗАТРИМАННЯ ЗАЯВНИКІВ ТА ТРИМАННЯ ПІД ВАРТОЮ</w:t>
      </w:r>
    </w:p>
    <w:p w:rsidRPr="00F637B6" w:rsidR="00C930CA" w:rsidP="00F637B6" w14:paraId="791EEA48" w14:textId="77777777">
      <w:pPr>
        <w:pStyle w:val="JuPara"/>
        <w:rPr>
          <w:lang w:val="uk-UA"/>
        </w:rPr>
      </w:pPr>
      <w:r w:rsidRPr="00F637B6">
        <w:rPr>
          <w:lang w:val="uk-UA"/>
        </w:rPr>
        <w:t>5.  </w:t>
      </w:r>
      <w:r w:rsidRPr="00F637B6">
        <w:rPr>
          <w:lang w:val="uk-UA"/>
        </w:rPr>
        <w:t xml:space="preserve">Заявники, які на момент подій були працівниками правоохоронних органів, були підозрюваними у кримінальному провадженні щодо подій на Майдані </w:t>
      </w:r>
      <w:r w:rsidRPr="00F637B6" w:rsidR="00350266">
        <w:rPr>
          <w:lang w:val="uk-UA"/>
        </w:rPr>
        <w:t xml:space="preserve">у </w:t>
      </w:r>
      <w:r w:rsidRPr="00F637B6">
        <w:rPr>
          <w:lang w:val="uk-UA"/>
        </w:rPr>
        <w:t>м</w:t>
      </w:r>
      <w:r w:rsidRPr="00F637B6" w:rsidR="00350266">
        <w:rPr>
          <w:lang w:val="uk-UA"/>
        </w:rPr>
        <w:t xml:space="preserve">. </w:t>
      </w:r>
      <w:r w:rsidRPr="00F637B6">
        <w:rPr>
          <w:lang w:val="uk-UA"/>
        </w:rPr>
        <w:t xml:space="preserve">Київ (див. рішення у справі «Шморгунов та інші проти України» </w:t>
      </w:r>
      <w:r w:rsidRPr="00F637B6">
        <w:rPr>
          <w:i/>
          <w:iCs/>
          <w:lang w:val="uk-UA"/>
        </w:rPr>
        <w:t>(Shmorgunov and Others v. Ukraine)</w:t>
      </w:r>
      <w:r w:rsidRPr="00F637B6">
        <w:rPr>
          <w:lang w:val="uk-UA"/>
        </w:rPr>
        <w:t xml:space="preserve">, заява № 15367/14 та 13 інших заяв, від 21 січня 2021 року). Згідно з відповідним розслідуванням заявників підозрювали у застосуванні вогнепальної зброї проти протестувальників, що призвело до загибелі 48 осіб та поранення </w:t>
      </w:r>
      <w:r w:rsidRPr="00F637B6" w:rsidR="00DA4DF2">
        <w:rPr>
          <w:lang w:val="uk-UA"/>
        </w:rPr>
        <w:t>80</w:t>
      </w:r>
      <w:r w:rsidRPr="00F637B6" w:rsidR="00F24B2D">
        <w:rPr>
          <w:lang w:val="uk-UA"/>
        </w:rPr>
        <w:t xml:space="preserve"> </w:t>
      </w:r>
      <w:r w:rsidRPr="00F637B6">
        <w:rPr>
          <w:lang w:val="uk-UA"/>
        </w:rPr>
        <w:t xml:space="preserve">осіб. Заявників </w:t>
      </w:r>
      <w:r w:rsidRPr="00F637B6" w:rsidR="00F26733">
        <w:rPr>
          <w:lang w:val="uk-UA"/>
        </w:rPr>
        <w:t>затримали</w:t>
      </w:r>
      <w:r w:rsidRPr="00F637B6">
        <w:rPr>
          <w:lang w:val="uk-UA"/>
        </w:rPr>
        <w:t xml:space="preserve"> в період з квітня 2014 року до червня </w:t>
      </w:r>
      <w:r w:rsidRPr="00F637B6" w:rsidR="00DA4DF2">
        <w:rPr>
          <w:lang w:val="uk-UA"/>
        </w:rPr>
        <w:t>2015</w:t>
      </w:r>
      <w:r w:rsidRPr="00F637B6" w:rsidR="00F24B2D">
        <w:rPr>
          <w:lang w:val="uk-UA"/>
        </w:rPr>
        <w:t xml:space="preserve"> </w:t>
      </w:r>
      <w:r w:rsidRPr="00F637B6">
        <w:rPr>
          <w:lang w:val="uk-UA"/>
        </w:rPr>
        <w:t>року.</w:t>
      </w:r>
    </w:p>
    <w:p w:rsidRPr="00F637B6" w:rsidR="00C930CA" w:rsidP="00F637B6" w14:paraId="320ED068" w14:textId="332DC087">
      <w:pPr>
        <w:pStyle w:val="JuPara"/>
        <w:rPr>
          <w:lang w:val="uk-UA"/>
        </w:rPr>
      </w:pPr>
      <w:bookmarkStart w:name="para_6" w:id="0"/>
      <w:r w:rsidRPr="00F637B6">
        <w:rPr>
          <w:lang w:val="uk-UA"/>
        </w:rPr>
        <w:t>6</w:t>
      </w:r>
      <w:bookmarkEnd w:id="0"/>
      <w:r w:rsidRPr="00F637B6">
        <w:rPr>
          <w:lang w:val="uk-UA"/>
        </w:rPr>
        <w:t>.  </w:t>
      </w:r>
      <w:r w:rsidRPr="00F637B6">
        <w:rPr>
          <w:lang w:val="uk-UA"/>
        </w:rPr>
        <w:t xml:space="preserve">Невдовзі після затримання заявників 02 квітня 2014 року та 23 лютого 2015 року відповідно, національні суди ухвалили </w:t>
      </w:r>
      <w:r w:rsidRPr="00F637B6" w:rsidR="002E4592">
        <w:rPr>
          <w:lang w:val="uk-UA"/>
        </w:rPr>
        <w:t>помістити</w:t>
      </w:r>
      <w:r w:rsidRPr="00F637B6" w:rsidR="00F26733">
        <w:rPr>
          <w:lang w:val="uk-UA"/>
        </w:rPr>
        <w:t xml:space="preserve"> </w:t>
      </w:r>
      <w:r w:rsidRPr="00F637B6">
        <w:rPr>
          <w:lang w:val="uk-UA"/>
        </w:rPr>
        <w:t xml:space="preserve">їх під </w:t>
      </w:r>
      <w:r w:rsidRPr="00F637B6" w:rsidR="00F26733">
        <w:rPr>
          <w:lang w:val="uk-UA"/>
        </w:rPr>
        <w:t xml:space="preserve">варту </w:t>
      </w:r>
      <w:r w:rsidRPr="00F637B6">
        <w:rPr>
          <w:lang w:val="uk-UA"/>
        </w:rPr>
        <w:t xml:space="preserve">в контексті кримінальних проваджень. Зокрема, 24 лютого 2015 року Печерський районний суд міста Києва </w:t>
      </w:r>
      <w:r w:rsidRPr="00F637B6" w:rsidR="003334C2">
        <w:rPr>
          <w:lang w:val="uk-UA"/>
        </w:rPr>
        <w:t>ухвалив</w:t>
      </w:r>
      <w:r w:rsidRPr="00F637B6">
        <w:rPr>
          <w:lang w:val="uk-UA"/>
        </w:rPr>
        <w:t xml:space="preserve"> взяття другого заявника під варту, посилаючись на тяжкість висунутих проти нього обвинувачень, винятковий </w:t>
      </w:r>
      <w:r w:rsidRPr="00F637B6" w:rsidR="00CC3939">
        <w:rPr>
          <w:lang w:val="uk-UA"/>
        </w:rPr>
        <w:t xml:space="preserve">предмет </w:t>
      </w:r>
      <w:r w:rsidRPr="00F637B6">
        <w:rPr>
          <w:lang w:val="uk-UA"/>
        </w:rPr>
        <w:t xml:space="preserve">справи, суспільний інтерес у </w:t>
      </w:r>
      <w:r w:rsidRPr="00F637B6" w:rsidR="00CC3939">
        <w:rPr>
          <w:lang w:val="uk-UA"/>
        </w:rPr>
        <w:t xml:space="preserve">результатах </w:t>
      </w:r>
      <w:r w:rsidRPr="00F637B6">
        <w:rPr>
          <w:lang w:val="uk-UA"/>
        </w:rPr>
        <w:t xml:space="preserve">розслідування та ризики, що він міг </w:t>
      </w:r>
      <w:r w:rsidRPr="00F637B6" w:rsidR="00CC3939">
        <w:rPr>
          <w:lang w:val="uk-UA"/>
        </w:rPr>
        <w:t xml:space="preserve">переховуватися </w:t>
      </w:r>
      <w:r w:rsidRPr="00F637B6">
        <w:rPr>
          <w:lang w:val="uk-UA"/>
        </w:rPr>
        <w:t>або перешкоджати розслідуванню, зокрема шляхом знищення доказів та впливу на свідків. Печерський районний суд міста Києва, а згодом Святошинський районний суд міста Києва, діючи як суд першої інстанції, продовжува</w:t>
      </w:r>
      <w:r w:rsidRPr="00F637B6" w:rsidR="00A21A30">
        <w:rPr>
          <w:lang w:val="uk-UA"/>
        </w:rPr>
        <w:t>в</w:t>
      </w:r>
      <w:r w:rsidRPr="00F637B6">
        <w:rPr>
          <w:lang w:val="uk-UA"/>
        </w:rPr>
        <w:t xml:space="preserve"> строк тримання другого заявника під вартою, останній раз до 16 липня 2019 року. Це було пов</w:t>
      </w:r>
      <w:r w:rsidRPr="00F637B6" w:rsidR="00F637B6">
        <w:rPr>
          <w:lang w:val="uk-UA"/>
        </w:rPr>
        <w:t>’</w:t>
      </w:r>
      <w:r w:rsidRPr="00F637B6">
        <w:rPr>
          <w:lang w:val="uk-UA"/>
        </w:rPr>
        <w:t>язано, головним чином, з п</w:t>
      </w:r>
      <w:r w:rsidRPr="00F637B6" w:rsidR="00A21A30">
        <w:rPr>
          <w:lang w:val="uk-UA"/>
        </w:rPr>
        <w:t>ідставами</w:t>
      </w:r>
      <w:r w:rsidRPr="00F637B6">
        <w:rPr>
          <w:lang w:val="uk-UA"/>
        </w:rPr>
        <w:t xml:space="preserve">, зазначеними в первинній </w:t>
      </w:r>
      <w:r w:rsidRPr="00F637B6" w:rsidR="003334C2">
        <w:rPr>
          <w:lang w:val="uk-UA"/>
        </w:rPr>
        <w:t>ухвалі</w:t>
      </w:r>
      <w:r w:rsidRPr="00F637B6">
        <w:rPr>
          <w:lang w:val="uk-UA"/>
        </w:rPr>
        <w:t xml:space="preserve"> про тримання під вартою, оскільки ці п</w:t>
      </w:r>
      <w:r w:rsidRPr="00F637B6" w:rsidR="00A21A30">
        <w:rPr>
          <w:lang w:val="uk-UA"/>
        </w:rPr>
        <w:t>ідстав</w:t>
      </w:r>
      <w:r w:rsidRPr="00F637B6">
        <w:rPr>
          <w:lang w:val="uk-UA"/>
        </w:rPr>
        <w:t xml:space="preserve">и </w:t>
      </w:r>
      <w:r w:rsidRPr="00F637B6" w:rsidR="0080557D">
        <w:rPr>
          <w:lang w:val="uk-UA"/>
        </w:rPr>
        <w:t xml:space="preserve">усе ще </w:t>
      </w:r>
      <w:r w:rsidRPr="00F637B6">
        <w:rPr>
          <w:lang w:val="uk-UA"/>
        </w:rPr>
        <w:t xml:space="preserve">існували. </w:t>
      </w:r>
      <w:r w:rsidRPr="00F637B6" w:rsidR="003334C2">
        <w:rPr>
          <w:lang w:val="uk-UA"/>
        </w:rPr>
        <w:t>Ухвали</w:t>
      </w:r>
      <w:r w:rsidRPr="00F637B6">
        <w:rPr>
          <w:lang w:val="uk-UA"/>
        </w:rPr>
        <w:t xml:space="preserve"> судів щодо тримання другого заявника під вартою не містили жодних подальших пояснень, чому зазначені в п</w:t>
      </w:r>
      <w:r w:rsidRPr="00F637B6" w:rsidR="003334C2">
        <w:rPr>
          <w:lang w:val="uk-UA"/>
        </w:rPr>
        <w:t>ервинній ухвалі</w:t>
      </w:r>
      <w:r w:rsidRPr="00F637B6">
        <w:rPr>
          <w:lang w:val="uk-UA"/>
        </w:rPr>
        <w:t xml:space="preserve"> про тримання під вартою п</w:t>
      </w:r>
      <w:r w:rsidRPr="00F637B6" w:rsidR="00A21A30">
        <w:rPr>
          <w:lang w:val="uk-UA"/>
        </w:rPr>
        <w:t>ідстави</w:t>
      </w:r>
      <w:r w:rsidRPr="00F637B6">
        <w:rPr>
          <w:lang w:val="uk-UA"/>
        </w:rPr>
        <w:t xml:space="preserve"> </w:t>
      </w:r>
      <w:r w:rsidRPr="00F637B6" w:rsidR="0080557D">
        <w:rPr>
          <w:lang w:val="uk-UA"/>
        </w:rPr>
        <w:t xml:space="preserve">усе ще </w:t>
      </w:r>
      <w:r w:rsidRPr="00F637B6" w:rsidR="003334C2">
        <w:rPr>
          <w:lang w:val="uk-UA"/>
        </w:rPr>
        <w:t>залишалися</w:t>
      </w:r>
      <w:r w:rsidRPr="00F637B6">
        <w:rPr>
          <w:lang w:val="uk-UA"/>
        </w:rPr>
        <w:t xml:space="preserve"> актуальними. 16 липня 2019 року суд першої інстанції змінив запобіжний захід у вигляді тримання другого заявника під вартою на </w:t>
      </w:r>
      <w:r w:rsidRPr="00F637B6" w:rsidR="00B461F4">
        <w:rPr>
          <w:lang w:val="uk-UA"/>
        </w:rPr>
        <w:t>цілодобовий</w:t>
      </w:r>
      <w:r w:rsidRPr="00F637B6">
        <w:rPr>
          <w:lang w:val="uk-UA"/>
        </w:rPr>
        <w:t xml:space="preserve"> домашній арешт, </w:t>
      </w:r>
      <w:r w:rsidRPr="00F637B6" w:rsidR="00B461F4">
        <w:rPr>
          <w:lang w:val="uk-UA"/>
        </w:rPr>
        <w:t xml:space="preserve">який тривав до </w:t>
      </w:r>
      <w:r w:rsidRPr="00F637B6" w:rsidR="00691821">
        <w:rPr>
          <w:lang w:val="uk-UA"/>
        </w:rPr>
        <w:t>24</w:t>
      </w:r>
      <w:r w:rsidRPr="00F637B6">
        <w:rPr>
          <w:lang w:val="uk-UA"/>
        </w:rPr>
        <w:t xml:space="preserve"> </w:t>
      </w:r>
      <w:r w:rsidRPr="00F637B6" w:rsidR="00691821">
        <w:rPr>
          <w:lang w:val="uk-UA"/>
        </w:rPr>
        <w:t>жовтня</w:t>
      </w:r>
      <w:r w:rsidRPr="00F637B6" w:rsidR="00B461F4">
        <w:rPr>
          <w:lang w:val="uk-UA"/>
        </w:rPr>
        <w:t xml:space="preserve"> 2019</w:t>
      </w:r>
      <w:r w:rsidRPr="00F637B6" w:rsidR="007F01D7">
        <w:rPr>
          <w:lang w:val="uk-UA"/>
        </w:rPr>
        <w:t xml:space="preserve"> </w:t>
      </w:r>
      <w:r w:rsidRPr="00F637B6" w:rsidR="00B461F4">
        <w:rPr>
          <w:lang w:val="uk-UA"/>
        </w:rPr>
        <w:t>року</w:t>
      </w:r>
      <w:r>
        <w:rPr>
          <w:rStyle w:val="FootnoteReference"/>
          <w:lang w:val="uk-UA"/>
        </w:rPr>
        <w:footnoteReference w:id="2"/>
      </w:r>
      <w:r w:rsidRPr="00F637B6" w:rsidR="00B461F4">
        <w:rPr>
          <w:lang w:val="uk-UA"/>
        </w:rPr>
        <w:t xml:space="preserve">, коли закінчилося позбавлення його </w:t>
      </w:r>
      <w:r w:rsidRPr="00F637B6" w:rsidR="0080557D">
        <w:rPr>
          <w:lang w:val="uk-UA"/>
        </w:rPr>
        <w:t>свободи</w:t>
      </w:r>
      <w:r w:rsidRPr="00F637B6">
        <w:rPr>
          <w:lang w:val="uk-UA"/>
        </w:rPr>
        <w:t>.</w:t>
      </w:r>
    </w:p>
    <w:p w:rsidRPr="00F637B6" w:rsidR="0083656D" w:rsidP="00F637B6" w14:paraId="7D5DF02E" w14:textId="77777777">
      <w:pPr>
        <w:pStyle w:val="JuHIRoman"/>
        <w:rPr>
          <w:lang w:val="uk-UA"/>
        </w:rPr>
      </w:pPr>
      <w:r w:rsidRPr="00F637B6">
        <w:rPr>
          <w:lang w:val="uk-UA"/>
        </w:rPr>
        <w:t>УМОВИ ТРИМАННЯ ЗАЯВНИКІВ У ЗАЛІ СУДОВИХ ЗАСІДАНЬ</w:t>
      </w:r>
    </w:p>
    <w:p w:rsidRPr="00F637B6" w:rsidR="001912FE" w:rsidP="00F637B6" w14:paraId="17D42314" w14:textId="77777777">
      <w:pPr>
        <w:pStyle w:val="JuPara"/>
        <w:rPr>
          <w:lang w:val="uk-UA"/>
        </w:rPr>
      </w:pPr>
      <w:r w:rsidRPr="00F637B6">
        <w:rPr>
          <w:lang w:val="uk-UA"/>
        </w:rPr>
        <w:t>7.  </w:t>
      </w:r>
      <w:r w:rsidRPr="00F637B6">
        <w:rPr>
          <w:lang w:val="uk-UA"/>
        </w:rPr>
        <w:t>З</w:t>
      </w:r>
      <w:r w:rsidRPr="00F637B6" w:rsidR="00C86F61">
        <w:rPr>
          <w:lang w:val="uk-UA"/>
        </w:rPr>
        <w:t xml:space="preserve">гідно з твердженнями </w:t>
      </w:r>
      <w:r w:rsidRPr="00F637B6">
        <w:rPr>
          <w:lang w:val="uk-UA"/>
        </w:rPr>
        <w:t>заявників під час розгляду кримінально</w:t>
      </w:r>
      <w:r w:rsidRPr="00F637B6" w:rsidR="00B20086">
        <w:rPr>
          <w:lang w:val="uk-UA"/>
        </w:rPr>
        <w:t>го</w:t>
      </w:r>
      <w:r w:rsidRPr="00F637B6">
        <w:rPr>
          <w:lang w:val="uk-UA"/>
        </w:rPr>
        <w:t xml:space="preserve"> </w:t>
      </w:r>
      <w:r w:rsidRPr="00F637B6" w:rsidR="00B20086">
        <w:rPr>
          <w:lang w:val="uk-UA"/>
        </w:rPr>
        <w:t xml:space="preserve">провадження щодо </w:t>
      </w:r>
      <w:r w:rsidRPr="00F637B6">
        <w:rPr>
          <w:lang w:val="uk-UA"/>
        </w:rPr>
        <w:t xml:space="preserve">них судом першої інстанції </w:t>
      </w:r>
      <w:r w:rsidRPr="00F637B6" w:rsidR="006678BC">
        <w:rPr>
          <w:lang w:val="uk-UA"/>
        </w:rPr>
        <w:t xml:space="preserve">у період </w:t>
      </w:r>
      <w:r w:rsidRPr="00F637B6">
        <w:rPr>
          <w:lang w:val="uk-UA"/>
        </w:rPr>
        <w:t xml:space="preserve">з 12 травня </w:t>
      </w:r>
      <w:r w:rsidRPr="00F637B6" w:rsidR="0045107D">
        <w:rPr>
          <w:lang w:val="uk-UA"/>
        </w:rPr>
        <w:t>2016 </w:t>
      </w:r>
      <w:r w:rsidRPr="00F637B6">
        <w:rPr>
          <w:lang w:val="uk-UA"/>
        </w:rPr>
        <w:t xml:space="preserve">року </w:t>
      </w:r>
      <w:r w:rsidRPr="00F637B6" w:rsidR="00B20086">
        <w:rPr>
          <w:lang w:val="uk-UA"/>
        </w:rPr>
        <w:t>д</w:t>
      </w:r>
      <w:r w:rsidRPr="00F637B6">
        <w:rPr>
          <w:lang w:val="uk-UA"/>
        </w:rPr>
        <w:t xml:space="preserve">о </w:t>
      </w:r>
      <w:r w:rsidRPr="00F637B6" w:rsidR="00B20086">
        <w:rPr>
          <w:lang w:val="uk-UA"/>
        </w:rPr>
        <w:t>0</w:t>
      </w:r>
      <w:r w:rsidRPr="00F637B6">
        <w:rPr>
          <w:lang w:val="uk-UA"/>
        </w:rPr>
        <w:t xml:space="preserve">4 жовтня 2017 року 77 разів </w:t>
      </w:r>
      <w:r w:rsidRPr="00F637B6" w:rsidR="00A21A30">
        <w:rPr>
          <w:lang w:val="uk-UA"/>
        </w:rPr>
        <w:t xml:space="preserve">їх </w:t>
      </w:r>
      <w:r w:rsidRPr="00F637B6">
        <w:rPr>
          <w:lang w:val="uk-UA"/>
        </w:rPr>
        <w:t xml:space="preserve">тримали разом із трьома іншими співобвинуваченими </w:t>
      </w:r>
      <w:r w:rsidRPr="00F637B6" w:rsidR="00B20086">
        <w:rPr>
          <w:lang w:val="uk-UA"/>
        </w:rPr>
        <w:t xml:space="preserve">в </w:t>
      </w:r>
      <w:r w:rsidRPr="00F637B6">
        <w:rPr>
          <w:lang w:val="uk-UA"/>
        </w:rPr>
        <w:t>склян</w:t>
      </w:r>
      <w:r w:rsidRPr="00F637B6" w:rsidR="00A21A30">
        <w:rPr>
          <w:lang w:val="uk-UA"/>
        </w:rPr>
        <w:t xml:space="preserve">ій кабіні </w:t>
      </w:r>
      <w:r w:rsidRPr="00F637B6">
        <w:rPr>
          <w:lang w:val="uk-UA"/>
        </w:rPr>
        <w:t xml:space="preserve">розміром 3,6 м </w:t>
      </w:r>
      <w:r w:rsidRPr="00F637B6" w:rsidR="00A21A30">
        <w:rPr>
          <w:lang w:val="uk-UA"/>
        </w:rPr>
        <w:t>у довжину</w:t>
      </w:r>
      <w:r w:rsidRPr="00F637B6">
        <w:rPr>
          <w:lang w:val="uk-UA"/>
        </w:rPr>
        <w:t xml:space="preserve">, 1,2 м </w:t>
      </w:r>
      <w:r w:rsidRPr="00F637B6" w:rsidR="00A21A30">
        <w:rPr>
          <w:lang w:val="uk-UA"/>
        </w:rPr>
        <w:t>у ширину</w:t>
      </w:r>
      <w:r w:rsidRPr="00F637B6">
        <w:rPr>
          <w:lang w:val="uk-UA"/>
        </w:rPr>
        <w:t xml:space="preserve"> та 2,2 м </w:t>
      </w:r>
      <w:r w:rsidRPr="00F637B6" w:rsidR="00A21A30">
        <w:rPr>
          <w:lang w:val="uk-UA"/>
        </w:rPr>
        <w:t>у висоту</w:t>
      </w:r>
      <w:r w:rsidRPr="00F637B6">
        <w:rPr>
          <w:lang w:val="uk-UA"/>
        </w:rPr>
        <w:t xml:space="preserve">. 62 </w:t>
      </w:r>
      <w:r w:rsidRPr="00F637B6" w:rsidR="006678BC">
        <w:rPr>
          <w:lang w:val="uk-UA"/>
        </w:rPr>
        <w:t xml:space="preserve">рази </w:t>
      </w:r>
      <w:r w:rsidRPr="00F637B6">
        <w:rPr>
          <w:lang w:val="uk-UA"/>
        </w:rPr>
        <w:t xml:space="preserve">засідання тривали від трьох до семи годин. Заявники також надали фотографії, на яких вони </w:t>
      </w:r>
      <w:r w:rsidRPr="00F637B6" w:rsidR="006678BC">
        <w:rPr>
          <w:lang w:val="uk-UA"/>
        </w:rPr>
        <w:t xml:space="preserve">сиділи </w:t>
      </w:r>
      <w:r w:rsidRPr="00F637B6">
        <w:rPr>
          <w:lang w:val="uk-UA"/>
        </w:rPr>
        <w:t xml:space="preserve">разом </w:t>
      </w:r>
      <w:r w:rsidRPr="00F637B6" w:rsidR="00B20086">
        <w:rPr>
          <w:lang w:val="uk-UA"/>
        </w:rPr>
        <w:t xml:space="preserve">у </w:t>
      </w:r>
      <w:r w:rsidRPr="00F637B6">
        <w:rPr>
          <w:lang w:val="uk-UA"/>
        </w:rPr>
        <w:t>склян</w:t>
      </w:r>
      <w:r w:rsidRPr="00F637B6" w:rsidR="00A21A30">
        <w:rPr>
          <w:lang w:val="uk-UA"/>
        </w:rPr>
        <w:t xml:space="preserve">ій кабіні </w:t>
      </w:r>
      <w:r w:rsidRPr="00F637B6">
        <w:rPr>
          <w:lang w:val="uk-UA"/>
        </w:rPr>
        <w:t>під час судових засідань.</w:t>
      </w:r>
    </w:p>
    <w:p w:rsidRPr="00F637B6" w:rsidR="00B20086" w:rsidP="00F637B6" w14:paraId="40526E3D" w14:textId="77777777">
      <w:pPr>
        <w:pStyle w:val="JuPara"/>
        <w:rPr>
          <w:lang w:val="uk-UA"/>
        </w:rPr>
      </w:pPr>
      <w:r w:rsidRPr="00F637B6">
        <w:rPr>
          <w:lang w:val="uk-UA"/>
        </w:rPr>
        <w:t>8.  </w:t>
      </w:r>
      <w:r w:rsidRPr="00F637B6" w:rsidR="00A21A30">
        <w:rPr>
          <w:lang w:val="uk-UA"/>
        </w:rPr>
        <w:t xml:space="preserve">Згідно з твердженнями Уряду скляна кабіна у залі судових засідань мала розміри 4,3 м у довжину, 1,2 м у ширину та 2,2 м у висоту. Вона була спроєктована відповідно до стандартів, затверджених Державною судовою адміністрацією України </w:t>
      </w:r>
      <w:r w:rsidRPr="00F637B6">
        <w:rPr>
          <w:lang w:val="uk-UA"/>
        </w:rPr>
        <w:t xml:space="preserve">(див. пункт 11). </w:t>
      </w:r>
      <w:r w:rsidRPr="00F637B6" w:rsidR="00A21A30">
        <w:rPr>
          <w:lang w:val="uk-UA"/>
        </w:rPr>
        <w:t>Кабіна мала сталевий каркас із прозорим захисним склом спереду та сталевим листом ззаду</w:t>
      </w:r>
      <w:r w:rsidRPr="00F637B6">
        <w:rPr>
          <w:lang w:val="uk-UA"/>
        </w:rPr>
        <w:t xml:space="preserve">. </w:t>
      </w:r>
      <w:r w:rsidRPr="00F637B6" w:rsidR="00A21A30">
        <w:rPr>
          <w:lang w:val="uk-UA"/>
        </w:rPr>
        <w:t>Зверху кабіна була закрита ґратчастим металевим перекриттям, яке забезпечувало належну вентиляцію, але унеможливлювало втечу підсудних</w:t>
      </w:r>
      <w:r w:rsidRPr="00F637B6">
        <w:rPr>
          <w:lang w:val="uk-UA"/>
        </w:rPr>
        <w:t xml:space="preserve">. Уряд також надав фотографії </w:t>
      </w:r>
      <w:r w:rsidRPr="00F637B6" w:rsidR="00A21A30">
        <w:rPr>
          <w:lang w:val="uk-UA"/>
        </w:rPr>
        <w:t>кабіни</w:t>
      </w:r>
      <w:r w:rsidRPr="00F637B6">
        <w:rPr>
          <w:lang w:val="uk-UA"/>
        </w:rPr>
        <w:t>, подібн</w:t>
      </w:r>
      <w:r w:rsidRPr="00F637B6" w:rsidR="00A21A30">
        <w:rPr>
          <w:lang w:val="uk-UA"/>
        </w:rPr>
        <w:t xml:space="preserve">ій </w:t>
      </w:r>
      <w:r w:rsidRPr="00F637B6">
        <w:rPr>
          <w:lang w:val="uk-UA"/>
        </w:rPr>
        <w:t>до т</w:t>
      </w:r>
      <w:r w:rsidRPr="00F637B6" w:rsidR="00A21A30">
        <w:rPr>
          <w:lang w:val="uk-UA"/>
        </w:rPr>
        <w:t>ієї</w:t>
      </w:r>
      <w:r w:rsidRPr="00F637B6">
        <w:rPr>
          <w:lang w:val="uk-UA"/>
        </w:rPr>
        <w:t xml:space="preserve">, </w:t>
      </w:r>
      <w:r w:rsidRPr="00F637B6" w:rsidR="000F1FB1">
        <w:rPr>
          <w:lang w:val="uk-UA"/>
        </w:rPr>
        <w:t>у</w:t>
      </w:r>
      <w:r w:rsidRPr="00F637B6">
        <w:rPr>
          <w:lang w:val="uk-UA"/>
        </w:rPr>
        <w:t xml:space="preserve"> як</w:t>
      </w:r>
      <w:r w:rsidRPr="00F637B6" w:rsidR="00A21A30">
        <w:rPr>
          <w:lang w:val="uk-UA"/>
        </w:rPr>
        <w:t xml:space="preserve">ій </w:t>
      </w:r>
      <w:r w:rsidRPr="00F637B6">
        <w:rPr>
          <w:lang w:val="uk-UA"/>
        </w:rPr>
        <w:t>тримали заявник</w:t>
      </w:r>
      <w:r w:rsidRPr="00F637B6" w:rsidR="000F1FB1">
        <w:rPr>
          <w:lang w:val="uk-UA"/>
        </w:rPr>
        <w:t>ів</w:t>
      </w:r>
      <w:r w:rsidRPr="00F637B6">
        <w:rPr>
          <w:lang w:val="uk-UA"/>
        </w:rPr>
        <w:t>. В</w:t>
      </w:r>
      <w:r w:rsidRPr="00F637B6" w:rsidR="000F1FB1">
        <w:rPr>
          <w:lang w:val="uk-UA"/>
        </w:rPr>
        <w:t xml:space="preserve">ін </w:t>
      </w:r>
      <w:r w:rsidRPr="00F637B6">
        <w:rPr>
          <w:lang w:val="uk-UA"/>
        </w:rPr>
        <w:t>не зм</w:t>
      </w:r>
      <w:r w:rsidRPr="00F637B6" w:rsidR="000F1FB1">
        <w:rPr>
          <w:lang w:val="uk-UA"/>
        </w:rPr>
        <w:t>і</w:t>
      </w:r>
      <w:r w:rsidRPr="00F637B6">
        <w:rPr>
          <w:lang w:val="uk-UA"/>
        </w:rPr>
        <w:t>г надати фотографії конкретно</w:t>
      </w:r>
      <w:r w:rsidRPr="00F637B6" w:rsidR="00A21A30">
        <w:rPr>
          <w:lang w:val="uk-UA"/>
        </w:rPr>
        <w:t>ї кабіни</w:t>
      </w:r>
      <w:r w:rsidRPr="00F637B6">
        <w:rPr>
          <w:lang w:val="uk-UA"/>
        </w:rPr>
        <w:t xml:space="preserve">, </w:t>
      </w:r>
      <w:r w:rsidRPr="00F637B6" w:rsidR="000F1FB1">
        <w:rPr>
          <w:lang w:val="uk-UA"/>
        </w:rPr>
        <w:t>у</w:t>
      </w:r>
      <w:r w:rsidRPr="00F637B6">
        <w:rPr>
          <w:lang w:val="uk-UA"/>
        </w:rPr>
        <w:t xml:space="preserve"> як</w:t>
      </w:r>
      <w:r w:rsidRPr="00F637B6" w:rsidR="00A21A30">
        <w:rPr>
          <w:lang w:val="uk-UA"/>
        </w:rPr>
        <w:t>ій</w:t>
      </w:r>
      <w:r w:rsidRPr="00F637B6" w:rsidR="000F1FB1">
        <w:rPr>
          <w:lang w:val="uk-UA"/>
        </w:rPr>
        <w:t xml:space="preserve"> </w:t>
      </w:r>
      <w:r w:rsidRPr="00F637B6">
        <w:rPr>
          <w:lang w:val="uk-UA"/>
        </w:rPr>
        <w:t xml:space="preserve">їх тримали, оскільки суд першої інстанції </w:t>
      </w:r>
      <w:r w:rsidRPr="00F637B6" w:rsidR="000F1FB1">
        <w:rPr>
          <w:lang w:val="uk-UA"/>
        </w:rPr>
        <w:t xml:space="preserve">був </w:t>
      </w:r>
      <w:r w:rsidRPr="00F637B6">
        <w:rPr>
          <w:lang w:val="uk-UA"/>
        </w:rPr>
        <w:t>пере</w:t>
      </w:r>
      <w:r w:rsidRPr="00F637B6" w:rsidR="000F1FB1">
        <w:rPr>
          <w:lang w:val="uk-UA"/>
        </w:rPr>
        <w:t xml:space="preserve">міщений </w:t>
      </w:r>
      <w:r w:rsidRPr="00F637B6">
        <w:rPr>
          <w:lang w:val="uk-UA"/>
        </w:rPr>
        <w:t xml:space="preserve">до іншого приміщення у </w:t>
      </w:r>
      <w:r w:rsidRPr="00F637B6" w:rsidR="007F01D7">
        <w:rPr>
          <w:lang w:val="uk-UA"/>
        </w:rPr>
        <w:t>2020 </w:t>
      </w:r>
      <w:r w:rsidRPr="00F637B6">
        <w:rPr>
          <w:lang w:val="uk-UA"/>
        </w:rPr>
        <w:t>році.</w:t>
      </w:r>
    </w:p>
    <w:p w:rsidRPr="00F637B6" w:rsidR="000F1FB1" w:rsidP="00F637B6" w14:paraId="355BE7F0" w14:textId="3AAC738B">
      <w:pPr>
        <w:pStyle w:val="JuPara"/>
        <w:rPr>
          <w:lang w:val="uk-UA"/>
        </w:rPr>
      </w:pPr>
      <w:r w:rsidRPr="00F637B6">
        <w:rPr>
          <w:lang w:val="uk-UA"/>
        </w:rPr>
        <w:t>9.  </w:t>
      </w:r>
      <w:r w:rsidRPr="00F637B6">
        <w:rPr>
          <w:lang w:val="uk-UA"/>
        </w:rPr>
        <w:t>18 квітня 2017 року захисники заявників подали клопотання до суду першої інстанції з проханням дозволити заявникам сидіти поруч із ними під час засідань. Захисники стверджували, що не було підстав тримати заявників у склян</w:t>
      </w:r>
      <w:r w:rsidRPr="00F637B6" w:rsidR="00A21A30">
        <w:rPr>
          <w:lang w:val="uk-UA"/>
        </w:rPr>
        <w:t>ій кабіні</w:t>
      </w:r>
      <w:r w:rsidRPr="00F637B6">
        <w:rPr>
          <w:lang w:val="uk-UA"/>
        </w:rPr>
        <w:t xml:space="preserve">, і що це принижувало їхню гідність і могло </w:t>
      </w:r>
      <w:r w:rsidRPr="00F637B6" w:rsidR="00B26149">
        <w:rPr>
          <w:lang w:val="uk-UA"/>
        </w:rPr>
        <w:t xml:space="preserve">прирівнятися </w:t>
      </w:r>
      <w:r w:rsidRPr="00F637B6">
        <w:rPr>
          <w:lang w:val="uk-UA"/>
        </w:rPr>
        <w:t>до тримання у металевій клітці</w:t>
      </w:r>
      <w:r w:rsidRPr="00F637B6" w:rsidR="00B26149">
        <w:rPr>
          <w:lang w:val="uk-UA"/>
        </w:rPr>
        <w:t xml:space="preserve"> усупереч</w:t>
      </w:r>
      <w:r w:rsidRPr="00F637B6">
        <w:rPr>
          <w:lang w:val="uk-UA"/>
        </w:rPr>
        <w:t xml:space="preserve"> </w:t>
      </w:r>
      <w:r w:rsidRPr="00F637B6" w:rsidR="00B26149">
        <w:rPr>
          <w:lang w:val="uk-UA"/>
        </w:rPr>
        <w:t xml:space="preserve">статті </w:t>
      </w:r>
      <w:r w:rsidRPr="00F637B6">
        <w:rPr>
          <w:lang w:val="uk-UA"/>
        </w:rPr>
        <w:t>3 Конвенції. Вони також стверджували, що у зв</w:t>
      </w:r>
      <w:r w:rsidRPr="00F637B6" w:rsidR="00F637B6">
        <w:rPr>
          <w:lang w:val="uk-UA"/>
        </w:rPr>
        <w:t>’</w:t>
      </w:r>
      <w:r w:rsidRPr="00F637B6">
        <w:rPr>
          <w:lang w:val="uk-UA"/>
        </w:rPr>
        <w:t xml:space="preserve">язку зі специфікою конструкції </w:t>
      </w:r>
      <w:r w:rsidRPr="00F637B6" w:rsidR="00A21A30">
        <w:rPr>
          <w:lang w:val="uk-UA"/>
        </w:rPr>
        <w:t xml:space="preserve">кабіни </w:t>
      </w:r>
      <w:r w:rsidRPr="00F637B6">
        <w:rPr>
          <w:lang w:val="uk-UA"/>
        </w:rPr>
        <w:t>заявники не могли ефективно спілкуватися зі своїми захисниками або добре чути учасників провадження. До того ж їм бракувало свіжого повітря.</w:t>
      </w:r>
    </w:p>
    <w:p w:rsidRPr="00F637B6" w:rsidR="000F1FB1" w:rsidP="00F637B6" w14:paraId="21DDAA7F" w14:textId="77777777">
      <w:pPr>
        <w:pStyle w:val="JuPara"/>
        <w:rPr>
          <w:lang w:val="uk-UA"/>
        </w:rPr>
      </w:pPr>
      <w:bookmarkStart w:name="para_11" w:id="1"/>
      <w:r w:rsidRPr="00F637B6">
        <w:rPr>
          <w:lang w:val="uk-UA"/>
        </w:rPr>
        <w:t>10</w:t>
      </w:r>
      <w:bookmarkEnd w:id="1"/>
      <w:r w:rsidRPr="00F637B6">
        <w:rPr>
          <w:lang w:val="uk-UA"/>
        </w:rPr>
        <w:t>.  </w:t>
      </w:r>
      <w:r w:rsidRPr="00F637B6">
        <w:rPr>
          <w:lang w:val="uk-UA"/>
        </w:rPr>
        <w:t xml:space="preserve">25 квітня 2017 року суд першої інстанції </w:t>
      </w:r>
      <w:r w:rsidRPr="00F637B6" w:rsidR="00670F8C">
        <w:rPr>
          <w:lang w:val="uk-UA"/>
        </w:rPr>
        <w:t>залишив без</w:t>
      </w:r>
      <w:r w:rsidRPr="00F637B6" w:rsidR="007D0AE9">
        <w:rPr>
          <w:lang w:val="uk-UA"/>
        </w:rPr>
        <w:t xml:space="preserve"> задоволенн</w:t>
      </w:r>
      <w:r w:rsidRPr="00F637B6" w:rsidR="00670F8C">
        <w:rPr>
          <w:lang w:val="uk-UA"/>
        </w:rPr>
        <w:t>я</w:t>
      </w:r>
      <w:r w:rsidRPr="00F637B6">
        <w:rPr>
          <w:lang w:val="uk-UA"/>
        </w:rPr>
        <w:t xml:space="preserve"> ц</w:t>
      </w:r>
      <w:r w:rsidRPr="00F637B6" w:rsidR="00670F8C">
        <w:rPr>
          <w:lang w:val="uk-UA"/>
        </w:rPr>
        <w:t xml:space="preserve">е </w:t>
      </w:r>
      <w:r w:rsidRPr="00F637B6">
        <w:rPr>
          <w:lang w:val="uk-UA"/>
        </w:rPr>
        <w:t>клопотання як необґрунтован</w:t>
      </w:r>
      <w:r w:rsidRPr="00F637B6" w:rsidR="00670F8C">
        <w:rPr>
          <w:lang w:val="uk-UA"/>
        </w:rPr>
        <w:t>е</w:t>
      </w:r>
      <w:r w:rsidRPr="00F637B6">
        <w:rPr>
          <w:lang w:val="uk-UA"/>
        </w:rPr>
        <w:t xml:space="preserve">, </w:t>
      </w:r>
      <w:r w:rsidRPr="00F637B6" w:rsidR="00670F8C">
        <w:rPr>
          <w:lang w:val="uk-UA"/>
        </w:rPr>
        <w:t>ухваливши</w:t>
      </w:r>
      <w:r w:rsidRPr="00F637B6">
        <w:rPr>
          <w:lang w:val="uk-UA"/>
        </w:rPr>
        <w:t xml:space="preserve">, що тримання заявників </w:t>
      </w:r>
      <w:r w:rsidRPr="00F637B6" w:rsidR="007D0AE9">
        <w:rPr>
          <w:lang w:val="uk-UA"/>
        </w:rPr>
        <w:t xml:space="preserve">у </w:t>
      </w:r>
      <w:r w:rsidRPr="00F637B6" w:rsidR="00A21A30">
        <w:rPr>
          <w:lang w:val="uk-UA"/>
        </w:rPr>
        <w:t>кабіні</w:t>
      </w:r>
      <w:r w:rsidRPr="00F637B6">
        <w:rPr>
          <w:lang w:val="uk-UA"/>
        </w:rPr>
        <w:t xml:space="preserve"> було виправдано міркуваннями безпеки</w:t>
      </w:r>
      <w:r w:rsidRPr="00F637B6" w:rsidR="007D0AE9">
        <w:rPr>
          <w:lang w:val="uk-UA"/>
        </w:rPr>
        <w:t xml:space="preserve"> з огляду на</w:t>
      </w:r>
      <w:r w:rsidRPr="00F637B6">
        <w:rPr>
          <w:lang w:val="uk-UA"/>
        </w:rPr>
        <w:t xml:space="preserve"> </w:t>
      </w:r>
      <w:r w:rsidRPr="00F637B6" w:rsidR="007D0AE9">
        <w:rPr>
          <w:lang w:val="uk-UA"/>
        </w:rPr>
        <w:t>резонансн</w:t>
      </w:r>
      <w:r w:rsidRPr="00F637B6" w:rsidR="00FF61CF">
        <w:rPr>
          <w:lang w:val="uk-UA"/>
        </w:rPr>
        <w:t xml:space="preserve">ість </w:t>
      </w:r>
      <w:r w:rsidRPr="00F637B6" w:rsidR="007D0AE9">
        <w:rPr>
          <w:lang w:val="uk-UA"/>
        </w:rPr>
        <w:t>справи</w:t>
      </w:r>
      <w:r w:rsidRPr="00F637B6">
        <w:rPr>
          <w:lang w:val="uk-UA"/>
        </w:rPr>
        <w:t xml:space="preserve"> та </w:t>
      </w:r>
      <w:r w:rsidRPr="00F637B6" w:rsidR="007D0AE9">
        <w:rPr>
          <w:lang w:val="uk-UA"/>
        </w:rPr>
        <w:t>ступінь</w:t>
      </w:r>
      <w:r w:rsidRPr="00F637B6">
        <w:rPr>
          <w:lang w:val="uk-UA"/>
        </w:rPr>
        <w:t xml:space="preserve"> </w:t>
      </w:r>
      <w:r w:rsidRPr="00F637B6" w:rsidR="007D0AE9">
        <w:rPr>
          <w:lang w:val="uk-UA"/>
        </w:rPr>
        <w:t xml:space="preserve">приділеної їй </w:t>
      </w:r>
      <w:r w:rsidRPr="00F637B6">
        <w:rPr>
          <w:lang w:val="uk-UA"/>
        </w:rPr>
        <w:t>громадської уваги. Суд першої інстанції також за</w:t>
      </w:r>
      <w:r w:rsidRPr="00F637B6" w:rsidR="00FF61CF">
        <w:rPr>
          <w:lang w:val="uk-UA"/>
        </w:rPr>
        <w:t>уважив</w:t>
      </w:r>
      <w:r w:rsidRPr="00F637B6">
        <w:rPr>
          <w:lang w:val="uk-UA"/>
        </w:rPr>
        <w:t xml:space="preserve">, що </w:t>
      </w:r>
      <w:r w:rsidRPr="00F637B6" w:rsidR="00A21A30">
        <w:rPr>
          <w:lang w:val="uk-UA"/>
        </w:rPr>
        <w:t xml:space="preserve">кабіна </w:t>
      </w:r>
      <w:r w:rsidRPr="00F637B6" w:rsidR="00FF61CF">
        <w:rPr>
          <w:lang w:val="uk-UA"/>
        </w:rPr>
        <w:t>бу</w:t>
      </w:r>
      <w:r w:rsidRPr="00F637B6" w:rsidR="00A21A30">
        <w:rPr>
          <w:lang w:val="uk-UA"/>
        </w:rPr>
        <w:t>ла</w:t>
      </w:r>
      <w:r w:rsidRPr="00F637B6" w:rsidR="00FF61CF">
        <w:rPr>
          <w:lang w:val="uk-UA"/>
        </w:rPr>
        <w:t xml:space="preserve"> </w:t>
      </w:r>
      <w:r w:rsidRPr="00F637B6">
        <w:rPr>
          <w:lang w:val="uk-UA"/>
        </w:rPr>
        <w:t xml:space="preserve">4,3 м </w:t>
      </w:r>
      <w:r w:rsidRPr="00F637B6" w:rsidR="00A21A30">
        <w:rPr>
          <w:lang w:val="uk-UA"/>
        </w:rPr>
        <w:t>у довжину</w:t>
      </w:r>
      <w:r w:rsidRPr="00F637B6" w:rsidR="00FF61CF">
        <w:rPr>
          <w:lang w:val="uk-UA"/>
        </w:rPr>
        <w:t xml:space="preserve"> </w:t>
      </w:r>
      <w:r w:rsidRPr="00F637B6">
        <w:rPr>
          <w:lang w:val="uk-UA"/>
        </w:rPr>
        <w:t xml:space="preserve">та 1,2 м </w:t>
      </w:r>
      <w:r w:rsidRPr="00F637B6" w:rsidR="00A21A30">
        <w:rPr>
          <w:lang w:val="uk-UA"/>
        </w:rPr>
        <w:t>у ширину</w:t>
      </w:r>
      <w:r w:rsidRPr="00F637B6">
        <w:rPr>
          <w:lang w:val="uk-UA"/>
        </w:rPr>
        <w:t xml:space="preserve">, і що </w:t>
      </w:r>
      <w:r w:rsidRPr="00F637B6" w:rsidR="00A21A30">
        <w:rPr>
          <w:lang w:val="uk-UA"/>
        </w:rPr>
        <w:t>її</w:t>
      </w:r>
      <w:r w:rsidRPr="00F637B6">
        <w:rPr>
          <w:lang w:val="uk-UA"/>
        </w:rPr>
        <w:t xml:space="preserve"> розміри дозволяли заявникам сидіти </w:t>
      </w:r>
      <w:r w:rsidRPr="00F637B6" w:rsidR="00FF61CF">
        <w:rPr>
          <w:lang w:val="uk-UA"/>
        </w:rPr>
        <w:t>чи</w:t>
      </w:r>
      <w:r w:rsidRPr="00F637B6">
        <w:rPr>
          <w:lang w:val="uk-UA"/>
        </w:rPr>
        <w:t xml:space="preserve"> пересуватися, не торкаючись один одного. </w:t>
      </w:r>
      <w:r w:rsidRPr="00F637B6" w:rsidR="00FF61CF">
        <w:rPr>
          <w:lang w:val="uk-UA"/>
        </w:rPr>
        <w:t>Суд</w:t>
      </w:r>
      <w:r w:rsidRPr="00F637B6">
        <w:rPr>
          <w:lang w:val="uk-UA"/>
        </w:rPr>
        <w:t xml:space="preserve"> також зазначив, що заявники завжди мали доступ до питної води, а зала судових засідань була обладнана системою кондиціонування повітря, яка могла ефективно контролювати вентиляцію та температуру </w:t>
      </w:r>
      <w:r w:rsidRPr="00F637B6" w:rsidR="00FF61CF">
        <w:rPr>
          <w:lang w:val="uk-UA"/>
        </w:rPr>
        <w:t xml:space="preserve">у </w:t>
      </w:r>
      <w:r w:rsidRPr="00F637B6" w:rsidR="00DE52A5">
        <w:rPr>
          <w:lang w:val="uk-UA"/>
        </w:rPr>
        <w:t xml:space="preserve">кабіні. </w:t>
      </w:r>
      <w:r w:rsidRPr="00F637B6">
        <w:rPr>
          <w:lang w:val="uk-UA"/>
        </w:rPr>
        <w:t xml:space="preserve">На </w:t>
      </w:r>
      <w:r w:rsidRPr="00F637B6" w:rsidR="00FF61CF">
        <w:rPr>
          <w:lang w:val="uk-UA"/>
        </w:rPr>
        <w:t>підставі</w:t>
      </w:r>
      <w:r w:rsidRPr="00F637B6">
        <w:rPr>
          <w:lang w:val="uk-UA"/>
        </w:rPr>
        <w:t xml:space="preserve"> зазначених факторів суд першої інстанції дійшов висновку, що умови, в яких заявники перебували </w:t>
      </w:r>
      <w:r w:rsidRPr="00F637B6" w:rsidR="00FF61CF">
        <w:rPr>
          <w:lang w:val="uk-UA"/>
        </w:rPr>
        <w:t xml:space="preserve">у </w:t>
      </w:r>
      <w:r w:rsidRPr="00F637B6" w:rsidR="00DE52A5">
        <w:rPr>
          <w:lang w:val="uk-UA"/>
        </w:rPr>
        <w:t>кабіні,</w:t>
      </w:r>
      <w:r w:rsidRPr="00F637B6">
        <w:rPr>
          <w:lang w:val="uk-UA"/>
        </w:rPr>
        <w:t xml:space="preserve"> відповідали вимогам статті 3 Конвенції.</w:t>
      </w:r>
    </w:p>
    <w:p w:rsidRPr="00F637B6" w:rsidR="0083656D" w:rsidP="00F637B6" w14:paraId="4FE2887A" w14:textId="77777777">
      <w:pPr>
        <w:pStyle w:val="JuHHead"/>
        <w:rPr>
          <w:caps w:val="0"/>
          <w:lang w:val="uk-UA"/>
        </w:rPr>
      </w:pPr>
      <w:r w:rsidRPr="00F637B6">
        <w:rPr>
          <w:caps w:val="0"/>
          <w:lang w:val="uk-UA"/>
        </w:rPr>
        <w:t>ВІДПОВІДНА НОРМАТИВНО-ПРАВОВА БАЗА</w:t>
      </w:r>
    </w:p>
    <w:p w:rsidRPr="00F637B6" w:rsidR="0083656D" w:rsidP="00F637B6" w14:paraId="409A8EF4" w14:textId="77777777">
      <w:pPr>
        <w:pStyle w:val="JuPara"/>
        <w:rPr>
          <w:lang w:val="uk-UA"/>
        </w:rPr>
      </w:pPr>
      <w:bookmarkStart w:name="para_13" w:id="2"/>
      <w:bookmarkStart w:name="para_12" w:id="3"/>
      <w:r w:rsidRPr="00F637B6">
        <w:rPr>
          <w:lang w:val="uk-UA"/>
        </w:rPr>
        <w:t>11</w:t>
      </w:r>
      <w:bookmarkEnd w:id="2"/>
      <w:bookmarkEnd w:id="3"/>
      <w:r w:rsidRPr="00F637B6">
        <w:rPr>
          <w:lang w:val="uk-UA"/>
        </w:rPr>
        <w:t xml:space="preserve">.  Загальні вимоги до скляних кабін були затверджені наказом Державної судової адміністрації України від 20 березня 2017 року № 350. Відповідно до цих вимог конструкція кабіни має бути модульною, що дозволяє її демонтаж і монтаж. Кожен модуль повинен мати 1,2 м у довжину, 1,2 м у ширину та 2,2 м у висоту. Кількість модулів, що підлягають демонтажу і монтажу, визначається залежно від розміру конкретної зали судових засідань. Кабіна виготовляється зі </w:t>
      </w:r>
      <w:r w:rsidRPr="00F637B6">
        <w:rPr>
          <w:lang w:val="uk-UA"/>
        </w:rPr>
        <w:t>сталевого каркаса з прозорим захисним склом спереду та сталевим листом ззаду. Верхня частина кабіни має решітку, а нижня частина – раму з планками, що забезпечує належну вентиляцію, але перешкоджає втечі обвинувачених. Конструкція кабіни забезпечує проходження звуку в усіх напрямках через отвори, які не порушують жорсткості самої кабіни.</w:t>
      </w:r>
    </w:p>
    <w:p w:rsidRPr="00F637B6" w:rsidR="0083656D" w:rsidP="00F637B6" w14:paraId="046B104B" w14:textId="77777777">
      <w:pPr>
        <w:pStyle w:val="JuHHead"/>
        <w:numPr>
          <w:ilvl w:val="0"/>
          <w:numId w:val="1"/>
        </w:numPr>
        <w:tabs>
          <w:tab w:val="num" w:pos="340"/>
        </w:tabs>
        <w:ind w:left="340" w:hanging="340"/>
        <w:rPr>
          <w:lang w:val="uk-UA"/>
        </w:rPr>
      </w:pPr>
      <w:r w:rsidRPr="00F637B6">
        <w:rPr>
          <w:lang w:val="uk-UA"/>
        </w:rPr>
        <w:t>ПРАВО</w:t>
      </w:r>
    </w:p>
    <w:p w:rsidRPr="00F637B6" w:rsidR="0083656D" w:rsidP="00F637B6" w14:paraId="1A5CC512" w14:textId="248E6064">
      <w:pPr>
        <w:pStyle w:val="JuHIRoman"/>
        <w:rPr>
          <w:lang w:val="uk-UA"/>
        </w:rPr>
      </w:pPr>
      <w:r w:rsidRPr="00F637B6">
        <w:rPr>
          <w:lang w:val="uk-UA"/>
        </w:rPr>
        <w:t>ОБ</w:t>
      </w:r>
      <w:r w:rsidRPr="00F637B6" w:rsidR="00F637B6">
        <w:rPr>
          <w:lang w:val="uk-UA"/>
        </w:rPr>
        <w:t>’</w:t>
      </w:r>
      <w:r w:rsidRPr="00F637B6">
        <w:rPr>
          <w:lang w:val="uk-UA"/>
        </w:rPr>
        <w:t>ЄДНАННЯ ЗАЯВ</w:t>
      </w:r>
    </w:p>
    <w:p w:rsidRPr="00F637B6" w:rsidR="0083656D" w:rsidP="00F637B6" w14:paraId="74010360" w14:textId="77777777">
      <w:pPr>
        <w:pStyle w:val="JuPara"/>
        <w:rPr>
          <w:lang w:val="uk-UA"/>
        </w:rPr>
      </w:pPr>
      <w:r w:rsidRPr="00F637B6">
        <w:rPr>
          <w:lang w:val="uk-UA"/>
        </w:rPr>
        <w:t>12.  Беручи до уваги схожість предмета заяв, Суд вважає за доцільне розглянути їх спільно в одному рішенні.</w:t>
      </w:r>
    </w:p>
    <w:p w:rsidRPr="00F637B6" w:rsidR="0083656D" w:rsidP="00F637B6" w14:paraId="65EB70C9" w14:textId="77777777">
      <w:pPr>
        <w:pStyle w:val="JuHIRoman"/>
        <w:tabs>
          <w:tab w:val="left" w:pos="567"/>
          <w:tab w:val="left" w:pos="680"/>
        </w:tabs>
        <w:ind w:left="397" w:hanging="397"/>
        <w:rPr>
          <w:lang w:val="uk-UA"/>
        </w:rPr>
      </w:pPr>
      <w:r w:rsidRPr="00F637B6">
        <w:rPr>
          <w:lang w:val="uk-UA"/>
        </w:rPr>
        <w:t>СТВЕРДЖУВАНЕ ПОРУШЕННЯ СТАТЕЙ 3 І 13 КОНВЕНЦІЇ</w:t>
      </w:r>
    </w:p>
    <w:p w:rsidRPr="00F637B6" w:rsidR="00A95ACB" w:rsidP="00F637B6" w14:paraId="1452B30D" w14:textId="04D455DC">
      <w:pPr>
        <w:pStyle w:val="JuPara"/>
        <w:rPr>
          <w:lang w:val="uk-UA"/>
        </w:rPr>
      </w:pPr>
      <w:r w:rsidRPr="00F637B6">
        <w:rPr>
          <w:lang w:val="uk-UA"/>
        </w:rPr>
        <w:t>13.  </w:t>
      </w:r>
      <w:r w:rsidRPr="00F637B6">
        <w:rPr>
          <w:lang w:val="uk-UA"/>
        </w:rPr>
        <w:t>Заявники скаржилися, що їхнє перебування у скляній кабіні під час судових засідань, що відбу</w:t>
      </w:r>
      <w:r w:rsidRPr="00F637B6" w:rsidR="007F01D7">
        <w:rPr>
          <w:lang w:val="uk-UA"/>
        </w:rPr>
        <w:t>ва</w:t>
      </w:r>
      <w:r w:rsidRPr="00F637B6">
        <w:rPr>
          <w:lang w:val="uk-UA"/>
        </w:rPr>
        <w:t xml:space="preserve">лися у період з 12 травня 2016 року до 04 жовтня 2017 року, було нелюдським і таким, що принижує гідність, і що вони не мали ефективного національного засобу юридичного захисту </w:t>
      </w:r>
      <w:r w:rsidRPr="00F637B6" w:rsidR="00112F8F">
        <w:rPr>
          <w:lang w:val="uk-UA"/>
        </w:rPr>
        <w:t>у зв</w:t>
      </w:r>
      <w:r w:rsidRPr="00F637B6" w:rsidR="00F637B6">
        <w:rPr>
          <w:lang w:val="uk-UA"/>
        </w:rPr>
        <w:t>’</w:t>
      </w:r>
      <w:r w:rsidRPr="00F637B6" w:rsidR="00112F8F">
        <w:rPr>
          <w:lang w:val="uk-UA"/>
        </w:rPr>
        <w:t>язку із зазначеною скаргою</w:t>
      </w:r>
      <w:r w:rsidRPr="00F637B6">
        <w:rPr>
          <w:lang w:val="uk-UA"/>
        </w:rPr>
        <w:t>. Вони посилалися на статті 3 та 13 Конвенції, які передбачають:</w:t>
      </w:r>
    </w:p>
    <w:p w:rsidRPr="00F637B6" w:rsidR="0083656D" w:rsidP="00F637B6" w14:paraId="43ABC001" w14:textId="77777777">
      <w:pPr>
        <w:pStyle w:val="JuHArticle"/>
        <w:rPr>
          <w:lang w:val="uk-UA"/>
        </w:rPr>
      </w:pPr>
      <w:r w:rsidRPr="00F637B6">
        <w:rPr>
          <w:lang w:val="uk-UA"/>
        </w:rPr>
        <w:t>Стаття 3 Конвенції</w:t>
      </w:r>
    </w:p>
    <w:p w:rsidRPr="00F637B6" w:rsidR="0083656D" w:rsidP="00F637B6" w14:paraId="2EF1CEBD" w14:textId="77777777">
      <w:pPr>
        <w:pStyle w:val="JuQuot"/>
        <w:rPr>
          <w:lang w:val="uk-UA"/>
        </w:rPr>
      </w:pPr>
      <w:r w:rsidRPr="00F637B6">
        <w:rPr>
          <w:lang w:val="uk-UA"/>
        </w:rPr>
        <w:t>«Нікого не може бути піддано катуванню або нелюдському чи такому, що принижує гідність, поводженню або покаранню.»</w:t>
      </w:r>
    </w:p>
    <w:p w:rsidRPr="00F637B6" w:rsidR="0083656D" w:rsidP="00F637B6" w14:paraId="0D95037A" w14:textId="77777777">
      <w:pPr>
        <w:pStyle w:val="JuHArticle"/>
        <w:rPr>
          <w:lang w:val="uk-UA"/>
        </w:rPr>
      </w:pPr>
      <w:r w:rsidRPr="00F637B6">
        <w:rPr>
          <w:lang w:val="uk-UA"/>
        </w:rPr>
        <w:t>Стаття 13 Конвенції</w:t>
      </w:r>
    </w:p>
    <w:p w:rsidRPr="00F637B6" w:rsidR="00C930CA" w:rsidP="00F637B6" w14:paraId="28B3187E" w14:textId="77777777">
      <w:pPr>
        <w:pStyle w:val="JuQuot"/>
        <w:rPr>
          <w:lang w:val="uk-UA"/>
        </w:rPr>
      </w:pPr>
      <w:r w:rsidRPr="00F637B6">
        <w:rPr>
          <w:lang w:val="uk-UA"/>
        </w:rPr>
        <w:t>«Кожен, чиї права та свободи, визнані в [цій] Конвенції, було порушено, має право на ефективний засіб юридичного захисту в національному органі, навіть якщо таке порушення було вчинене особами, які здійснювали свої офіційні повноваження.»</w:t>
      </w:r>
    </w:p>
    <w:p w:rsidRPr="00F637B6" w:rsidR="0083656D" w:rsidP="00F637B6" w14:paraId="79BF63F3" w14:textId="77777777">
      <w:pPr>
        <w:pStyle w:val="JuHA"/>
        <w:numPr>
          <w:ilvl w:val="0"/>
          <w:numId w:val="0"/>
        </w:numPr>
        <w:ind w:left="170" w:firstLine="170"/>
        <w:rPr>
          <w:lang w:val="uk-UA"/>
        </w:rPr>
      </w:pPr>
      <w:r w:rsidRPr="00F637B6">
        <w:rPr>
          <w:lang w:val="uk-UA"/>
        </w:rPr>
        <w:t>Прийнятність</w:t>
      </w:r>
    </w:p>
    <w:p w:rsidRPr="00F637B6" w:rsidR="0083656D" w:rsidP="00F637B6" w14:paraId="3E6A5ABD" w14:textId="77777777">
      <w:pPr>
        <w:pStyle w:val="JuH1"/>
        <w:rPr>
          <w:lang w:val="uk-UA"/>
        </w:rPr>
      </w:pPr>
      <w:r w:rsidRPr="00F637B6">
        <w:rPr>
          <w:lang w:val="uk-UA"/>
        </w:rPr>
        <w:t>Стаття 3 Конвенції</w:t>
      </w:r>
    </w:p>
    <w:p w:rsidRPr="00F637B6" w:rsidR="00A95ACB" w:rsidP="00F637B6" w14:paraId="1127C913" w14:textId="77777777">
      <w:pPr>
        <w:pStyle w:val="JuPara"/>
        <w:rPr>
          <w:lang w:val="uk-UA"/>
        </w:rPr>
      </w:pPr>
      <w:r w:rsidRPr="00F637B6">
        <w:rPr>
          <w:lang w:val="uk-UA"/>
        </w:rPr>
        <w:t xml:space="preserve">14.  Уряд стверджував, що заявники не вичерпали національні засоби юридичного захисту, оскільки вони не оскаржили рішення працівників конвою помістити їх у скляну кабіну. Заявники також не скаржилися на умови їхнього перебування у кабіні, і не вимагали відшкодування шкоди за стверджуване порушення їхніх прав. Стосовно суті скарги заявників, то Уряд стверджував, що тримання їх у скляній кабіні було виправдане міркуваннями безпеки та відповідало статті 3 Конвенції. Зокрема, кабіна була достатньо великою, заявники </w:t>
      </w:r>
      <w:r w:rsidRPr="00F637B6">
        <w:rPr>
          <w:lang w:val="uk-UA"/>
        </w:rPr>
        <w:t>могли сидіти, не торкаючись один одного, мали змогу спілкуватися зі своїми захисниками та без перешкод стежити за розглядом провадження. Крім того, у кабіні була належна вентиляція, температура була комфортною, а також було забезпечено доступ до води та туалету.</w:t>
      </w:r>
    </w:p>
    <w:p w:rsidRPr="00F637B6" w:rsidR="00406A1A" w:rsidP="00F637B6" w14:paraId="3E598B29" w14:textId="77777777">
      <w:pPr>
        <w:pStyle w:val="JuPara"/>
        <w:rPr>
          <w:bCs/>
          <w:lang w:val="uk-UA"/>
        </w:rPr>
      </w:pPr>
      <w:r w:rsidRPr="00F637B6">
        <w:rPr>
          <w:lang w:val="uk-UA"/>
        </w:rPr>
        <w:t>15.  </w:t>
      </w:r>
      <w:r w:rsidRPr="00F637B6">
        <w:rPr>
          <w:lang w:val="uk-UA"/>
        </w:rPr>
        <w:t xml:space="preserve">У своїх первинних формулярах заяви заявники стверджували, що умови тримання </w:t>
      </w:r>
      <w:r w:rsidRPr="00F637B6" w:rsidR="00EC6BDF">
        <w:rPr>
          <w:lang w:val="uk-UA"/>
        </w:rPr>
        <w:t xml:space="preserve">їх </w:t>
      </w:r>
      <w:r w:rsidRPr="00F637B6">
        <w:rPr>
          <w:lang w:val="uk-UA"/>
        </w:rPr>
        <w:t xml:space="preserve">у скляній кабіні були такими, що принижували їхню гідність і були подібними до умов тримання обвинувачених у </w:t>
      </w:r>
      <w:r w:rsidRPr="00F637B6">
        <w:rPr>
          <w:bCs/>
          <w:lang w:val="uk-UA"/>
        </w:rPr>
        <w:t>металевій клітці. Зокрема, вони відчували труднощі у спілкуванні зі своїми захисниками та не чули сторін процесу. Заявники не деталізували свої скарги у відповідь на зауваження Уряду і не зазначали прямо або по суті, що труднощі у спілкуванні із захисниками обмежили їхні права за статтею 6 Конвенції.</w:t>
      </w:r>
    </w:p>
    <w:p w:rsidRPr="00F637B6" w:rsidR="00406A1A" w:rsidP="00F637B6" w14:paraId="0C3C72A6" w14:textId="77777777">
      <w:pPr>
        <w:pStyle w:val="JuPara"/>
        <w:rPr>
          <w:lang w:val="uk-UA"/>
        </w:rPr>
      </w:pPr>
      <w:r w:rsidRPr="00F637B6">
        <w:rPr>
          <w:lang w:val="uk-UA"/>
        </w:rPr>
        <w:t>16.  Стосовно заперечення Уряду про невичерпання засобів юридичного захисту, то Суд зазначає, що заявники насправді зверталися до суду першої інстанції з клопотанням дозволити їм сидіти поруч з їхніми захисниками, і суд першої інстанції розглянув їхнє клопотання 25 квітня 2017 року та залишив його без задоволення (див. пункт 10). Проте Суд не вважає за необхідне розглядати це заперечення Уряду, оскільки вважає цю частину заяви у будь-якому випадку неприйнятною з таких підстав.</w:t>
      </w:r>
    </w:p>
    <w:p w:rsidRPr="00F637B6" w:rsidR="0083656D" w:rsidP="00F637B6" w14:paraId="0606FA1D" w14:textId="77777777">
      <w:pPr>
        <w:pStyle w:val="JuPara"/>
        <w:rPr>
          <w:lang w:val="uk-UA"/>
        </w:rPr>
      </w:pPr>
      <w:r w:rsidRPr="00F637B6">
        <w:rPr>
          <w:lang w:val="uk-UA"/>
        </w:rPr>
        <w:t xml:space="preserve">17.  Як Суд неодноразово зазначав, стаття 3 Конвенції втілює одну з основоположних цінностей демократичного суспільства. Вона містить абсолютну заборону катування або нелюдського чи такого, що принижує гідність, поводження або покарання, незалежно від умов </w:t>
      </w:r>
      <w:r w:rsidRPr="00F637B6" w:rsidR="004F10C5">
        <w:rPr>
          <w:lang w:val="uk-UA"/>
        </w:rPr>
        <w:t xml:space="preserve">та </w:t>
      </w:r>
      <w:r w:rsidRPr="00F637B6">
        <w:rPr>
          <w:lang w:val="uk-UA"/>
        </w:rPr>
        <w:t xml:space="preserve">поведінки потерпілого (див. серед багатьох інших джерел рішення у справі «Лабіта проти Італії» [ВП] </w:t>
      </w:r>
      <w:r w:rsidRPr="00F637B6">
        <w:rPr>
          <w:i/>
          <w:lang w:val="uk-UA"/>
        </w:rPr>
        <w:t>(Labita v.Italy)</w:t>
      </w:r>
      <w:r w:rsidRPr="00F637B6">
        <w:rPr>
          <w:lang w:val="uk-UA"/>
        </w:rPr>
        <w:t xml:space="preserve"> [GC], заява № 26772/95, пункт 119, ЄСПЛ 2000</w:t>
      </w:r>
      <w:r w:rsidRPr="00F637B6">
        <w:rPr>
          <w:lang w:val="uk-UA"/>
        </w:rPr>
        <w:noBreakHyphen/>
        <w:t>IV).</w:t>
      </w:r>
    </w:p>
    <w:p w:rsidRPr="00F637B6" w:rsidR="00406A1A" w:rsidP="00F637B6" w14:paraId="54B5D9AA" w14:textId="3AF19233">
      <w:pPr>
        <w:pStyle w:val="JuPara"/>
        <w:rPr>
          <w:lang w:val="uk-UA"/>
        </w:rPr>
      </w:pPr>
      <w:r w:rsidRPr="00F637B6">
        <w:rPr>
          <w:lang w:val="uk-UA"/>
        </w:rPr>
        <w:t xml:space="preserve">18.  Жорстоке поводження має досягти </w:t>
      </w:r>
      <w:r w:rsidRPr="00F637B6">
        <w:rPr>
          <w:bCs/>
          <w:lang w:val="uk-UA"/>
        </w:rPr>
        <w:t>мінімального рівня суворості</w:t>
      </w:r>
      <w:r w:rsidRPr="00F637B6">
        <w:rPr>
          <w:lang w:val="uk-UA"/>
        </w:rPr>
        <w:t>, щоб підпадати під сферу дії статті 3 Конвенції</w:t>
      </w:r>
      <w:r w:rsidRPr="00F637B6" w:rsidR="007F01D7">
        <w:rPr>
          <w:lang w:val="uk-UA"/>
        </w:rPr>
        <w:t>.</w:t>
      </w:r>
      <w:r w:rsidRPr="00F637B6">
        <w:rPr>
          <w:lang w:val="uk-UA"/>
        </w:rPr>
        <w:t xml:space="preserve"> Оцінка такого мінімального рівня є відносною: вона залежить від усіх обставин справи, таких як тривалість поводження, фізичні та психологічні наслідки, а у деяких випадках від статі, віку та стану здоров</w:t>
      </w:r>
      <w:r w:rsidRPr="00F637B6" w:rsidR="00F637B6">
        <w:rPr>
          <w:lang w:val="uk-UA"/>
        </w:rPr>
        <w:t>’</w:t>
      </w:r>
      <w:r w:rsidRPr="00F637B6">
        <w:rPr>
          <w:lang w:val="uk-UA"/>
        </w:rPr>
        <w:t xml:space="preserve">я потерпілого (див., наприклад, рішення у справі «Яллох проти Німеччини» [ВП] </w:t>
      </w:r>
      <w:r w:rsidRPr="00F637B6">
        <w:rPr>
          <w:i/>
          <w:lang w:val="uk-UA"/>
        </w:rPr>
        <w:t>(Jalloh v. Germany)</w:t>
      </w:r>
      <w:r w:rsidRPr="00F637B6">
        <w:rPr>
          <w:lang w:val="uk-UA"/>
        </w:rPr>
        <w:t xml:space="preserve"> [GC], заява № 54810/00, пункт 67, ЄСПЛ 2006</w:t>
      </w:r>
      <w:r w:rsidRPr="00F637B6">
        <w:rPr>
          <w:lang w:val="uk-UA"/>
        </w:rPr>
        <w:noBreakHyphen/>
        <w:t>IX). Публічний характер поводження може бути відповідним або обтяжуючим фактором під час оцінки того, чи є воно «таким, що принижує гідність» у розумінні статті 3 Конвенції (див. рішення у справах «</w:t>
      </w:r>
      <w:r w:rsidRPr="00F637B6">
        <w:rPr>
          <w:iCs/>
          <w:lang w:val="uk-UA"/>
        </w:rPr>
        <w:t>Тайрер проти Сполученого Королівства»</w:t>
      </w:r>
      <w:r w:rsidRPr="00F637B6">
        <w:rPr>
          <w:i/>
          <w:iCs/>
          <w:lang w:val="uk-UA"/>
        </w:rPr>
        <w:t xml:space="preserve"> (Tyrer v. the United Kingdom), </w:t>
      </w:r>
      <w:r w:rsidRPr="00F637B6">
        <w:rPr>
          <w:lang w:val="uk-UA"/>
        </w:rPr>
        <w:t xml:space="preserve">від 25 квітня 1978 року, пункт 32, Серія A № 26; </w:t>
      </w:r>
      <w:r w:rsidRPr="00F637B6">
        <w:rPr>
          <w:iCs/>
          <w:lang w:val="uk-UA"/>
        </w:rPr>
        <w:t>«Ердоган Яіз проти Туреччини»</w:t>
      </w:r>
      <w:r w:rsidRPr="00F637B6">
        <w:rPr>
          <w:i/>
          <w:iCs/>
          <w:lang w:val="uk-UA"/>
        </w:rPr>
        <w:t xml:space="preserve"> (Erdoğan Yağız v. Turkey), </w:t>
      </w:r>
      <w:r w:rsidRPr="00F637B6">
        <w:rPr>
          <w:iCs/>
          <w:lang w:val="uk-UA"/>
        </w:rPr>
        <w:t>заява № 27473/02,</w:t>
      </w:r>
      <w:r w:rsidRPr="00F637B6">
        <w:rPr>
          <w:lang w:val="uk-UA"/>
        </w:rPr>
        <w:t xml:space="preserve"> пункт 37, від 06 березня 2007 року та </w:t>
      </w:r>
      <w:r w:rsidRPr="00F637B6">
        <w:rPr>
          <w:iCs/>
          <w:lang w:val="uk-UA"/>
        </w:rPr>
        <w:t>«Куммер проти Чеської Республіки»</w:t>
      </w:r>
      <w:r w:rsidRPr="00F637B6">
        <w:rPr>
          <w:i/>
          <w:iCs/>
          <w:lang w:val="uk-UA"/>
        </w:rPr>
        <w:t xml:space="preserve"> (Kummer v. the Czech Republic)</w:t>
      </w:r>
      <w:r w:rsidRPr="00F637B6">
        <w:rPr>
          <w:lang w:val="uk-UA"/>
        </w:rPr>
        <w:t>, заява № 32133/11, пункт 64, від 25 липня 2013 року).</w:t>
      </w:r>
    </w:p>
    <w:p w:rsidRPr="00F637B6" w:rsidR="00406A1A" w:rsidP="00F637B6" w14:paraId="5F6C3243" w14:textId="0C06A0B1">
      <w:pPr>
        <w:pStyle w:val="JuPara"/>
        <w:rPr>
          <w:lang w:val="uk-UA"/>
        </w:rPr>
      </w:pPr>
      <w:r w:rsidRPr="00F637B6">
        <w:rPr>
          <w:lang w:val="uk-UA"/>
        </w:rPr>
        <w:t xml:space="preserve">19.  У контексті заходів безпеки в залі суду Суд наголошував, що обрані засоби забезпечення порядку та безпеки у залі суду не повинні включати заходи стримування, які за рівнем суворості або за своєю природою підпадатимуть під дію статті 3 Конвенції, оскільки не може бути виправдання катуванням або нелюдському чи такому, що принижує гідність, поводженню або покаранню (див. рішення у справі </w:t>
      </w:r>
      <w:r w:rsidRPr="00F637B6">
        <w:rPr>
          <w:iCs/>
          <w:lang w:val="uk-UA"/>
        </w:rPr>
        <w:t xml:space="preserve">«Свинаренко та Сляднєв проти Росії» [ВП] </w:t>
      </w:r>
      <w:r w:rsidRPr="00F637B6">
        <w:rPr>
          <w:i/>
          <w:iCs/>
          <w:lang w:val="uk-UA"/>
        </w:rPr>
        <w:t xml:space="preserve">(Svinarenko and Slyadnev v. Russia) </w:t>
      </w:r>
      <w:r w:rsidRPr="00F637B6">
        <w:rPr>
          <w:iCs/>
          <w:lang w:val="uk-UA"/>
        </w:rPr>
        <w:t xml:space="preserve">[GC], заяви № 32541/08 та № 43441/08, пункт </w:t>
      </w:r>
      <w:r w:rsidRPr="00F637B6">
        <w:rPr>
          <w:lang w:val="uk-UA"/>
        </w:rPr>
        <w:t xml:space="preserve">127, ЄСПЛ 2014 (витяги)). Суд встановив, зокрема, що тримання у </w:t>
      </w:r>
      <w:r w:rsidRPr="00F637B6">
        <w:rPr>
          <w:bCs/>
          <w:lang w:val="uk-UA"/>
        </w:rPr>
        <w:t>металевій клітці</w:t>
      </w:r>
      <w:r w:rsidRPr="00F637B6">
        <w:rPr>
          <w:lang w:val="uk-UA"/>
        </w:rPr>
        <w:t xml:space="preserve"> суперечило статті 3 Конвенції з огляду на його об</w:t>
      </w:r>
      <w:r w:rsidRPr="00F637B6" w:rsidR="00F637B6">
        <w:rPr>
          <w:lang w:val="uk-UA"/>
        </w:rPr>
        <w:t>’</w:t>
      </w:r>
      <w:r w:rsidRPr="00F637B6">
        <w:rPr>
          <w:lang w:val="uk-UA"/>
        </w:rPr>
        <w:t>єктивно принизливий характер (там само, пункти 135 – 138).</w:t>
      </w:r>
    </w:p>
    <w:p w:rsidRPr="00F637B6" w:rsidR="0081101B" w:rsidP="00F637B6" w14:paraId="54D11692" w14:textId="77777777">
      <w:pPr>
        <w:pStyle w:val="JuPara"/>
        <w:rPr>
          <w:lang w:val="uk-UA"/>
        </w:rPr>
      </w:pPr>
      <w:r w:rsidRPr="00F637B6">
        <w:rPr>
          <w:lang w:val="uk-UA"/>
        </w:rPr>
        <w:t>20.  </w:t>
      </w:r>
      <w:r w:rsidRPr="00F637B6">
        <w:rPr>
          <w:lang w:val="uk-UA"/>
        </w:rPr>
        <w:t xml:space="preserve">Суд уже зазначав, що поміщення підсудних за скляні перегородки або до скляних кабін </w:t>
      </w:r>
      <w:r w:rsidRPr="00F637B6">
        <w:rPr>
          <w:bCs/>
          <w:lang w:val="uk-UA"/>
        </w:rPr>
        <w:t>саме собою не містить елемента приниження</w:t>
      </w:r>
      <w:r w:rsidRPr="00F637B6">
        <w:rPr>
          <w:lang w:val="uk-UA"/>
        </w:rPr>
        <w:t xml:space="preserve">, достатнього для досягнення мінімального рівня суворості, як це має місце у випадку з металевими клітками (див. рішення у справі </w:t>
      </w:r>
      <w:r w:rsidRPr="00F637B6">
        <w:rPr>
          <w:iCs/>
          <w:lang w:val="uk-UA"/>
        </w:rPr>
        <w:t>«Ярослав Бєлоусов проти Росії»</w:t>
      </w:r>
      <w:r w:rsidRPr="00F637B6">
        <w:rPr>
          <w:lang w:val="uk-UA"/>
        </w:rPr>
        <w:t xml:space="preserve"> </w:t>
      </w:r>
      <w:r w:rsidRPr="00F637B6">
        <w:rPr>
          <w:i/>
          <w:lang w:val="uk-UA"/>
        </w:rPr>
        <w:t>(Yaroslav Belousov v. Russia)</w:t>
      </w:r>
      <w:r w:rsidRPr="00F637B6">
        <w:rPr>
          <w:lang w:val="uk-UA"/>
        </w:rPr>
        <w:t xml:space="preserve">, заяви № 2653/13 та № 60980/14, пункт 124, від 04 жовтня 2016 року). Проте цей рівень може бути досягнутий, якщо обставини тримання, розглядаючи їх загалом, завдають їм душевних страждань чи труднощів такого рівня, який би перевищував невідворотний рівень страждання, притаманний триманню під вартою (див. рішення у справі </w:t>
      </w:r>
      <w:r w:rsidRPr="00F637B6">
        <w:rPr>
          <w:iCs/>
          <w:lang w:val="uk-UA"/>
        </w:rPr>
        <w:t>«Кудла проти Польщі» [ВП]</w:t>
      </w:r>
      <w:r w:rsidRPr="00F637B6">
        <w:rPr>
          <w:i/>
          <w:iCs/>
          <w:lang w:val="uk-UA"/>
        </w:rPr>
        <w:t xml:space="preserve"> (Kudła v. Poland) </w:t>
      </w:r>
      <w:r w:rsidRPr="00F637B6">
        <w:rPr>
          <w:iCs/>
          <w:lang w:val="uk-UA"/>
        </w:rPr>
        <w:t>[GC],</w:t>
      </w:r>
      <w:r w:rsidRPr="00F637B6">
        <w:rPr>
          <w:i/>
          <w:iCs/>
          <w:lang w:val="uk-UA"/>
        </w:rPr>
        <w:t xml:space="preserve"> </w:t>
      </w:r>
      <w:r w:rsidRPr="00F637B6">
        <w:rPr>
          <w:iCs/>
          <w:lang w:val="uk-UA"/>
        </w:rPr>
        <w:t>заява № 30210/96</w:t>
      </w:r>
      <w:r w:rsidRPr="00F637B6">
        <w:rPr>
          <w:i/>
          <w:iCs/>
          <w:lang w:val="uk-UA"/>
        </w:rPr>
        <w:t xml:space="preserve">, </w:t>
      </w:r>
      <w:r w:rsidRPr="00F637B6">
        <w:rPr>
          <w:lang w:val="uk-UA"/>
        </w:rPr>
        <w:t>пункти 92 – 94, ЄСПЛ 2000-XI).</w:t>
      </w:r>
    </w:p>
    <w:p w:rsidRPr="00F637B6" w:rsidR="0081101B" w:rsidP="00F637B6" w14:paraId="745BBDE5" w14:textId="77777777">
      <w:pPr>
        <w:pStyle w:val="JuPara"/>
        <w:rPr>
          <w:lang w:val="uk-UA"/>
        </w:rPr>
      </w:pPr>
      <w:r w:rsidRPr="00F637B6">
        <w:rPr>
          <w:lang w:val="uk-UA"/>
        </w:rPr>
        <w:t>21.  </w:t>
      </w:r>
      <w:r w:rsidRPr="00F637B6">
        <w:rPr>
          <w:lang w:val="uk-UA"/>
        </w:rPr>
        <w:t>Таким чином, Суд ретельно дослідить загальні обставини тримання заявників у скляній кабіні, щоб визначити, чи досягли відповідні умови загалом мінімального рівня суворості, необхідного для охарактеризування поводження із заявниками як такого, що принижує гідність у розумінні статті 3 Конвенції.</w:t>
      </w:r>
    </w:p>
    <w:p w:rsidRPr="00F637B6" w:rsidR="0081101B" w:rsidP="00F637B6" w14:paraId="7E90F8BE" w14:textId="77777777">
      <w:pPr>
        <w:pStyle w:val="JuPara"/>
        <w:rPr>
          <w:lang w:val="uk-UA"/>
        </w:rPr>
      </w:pPr>
      <w:r w:rsidRPr="00F637B6">
        <w:rPr>
          <w:lang w:val="uk-UA"/>
        </w:rPr>
        <w:t>22.  </w:t>
      </w:r>
      <w:r w:rsidRPr="00F637B6">
        <w:rPr>
          <w:lang w:val="uk-UA"/>
        </w:rPr>
        <w:t xml:space="preserve">Насамперед Суд зауважує, що справа заявників стосувалася обвинувачень у незаконному застосуванні вогнепальної зброї щодо протестувальників, що призвело до численних смертей та поранень у контексті драматичних подій, які мали велике значення для країни. Заявники не довели, що використання </w:t>
      </w:r>
      <w:r w:rsidRPr="00F637B6">
        <w:rPr>
          <w:bCs/>
          <w:lang w:val="uk-UA"/>
        </w:rPr>
        <w:t>скляної кабіни</w:t>
      </w:r>
      <w:r w:rsidRPr="00F637B6" w:rsidR="006E4DDC">
        <w:rPr>
          <w:lang w:val="uk-UA"/>
        </w:rPr>
        <w:t xml:space="preserve"> під час судових засідань</w:t>
      </w:r>
      <w:r w:rsidRPr="00F637B6" w:rsidR="006E4DDC">
        <w:rPr>
          <w:bCs/>
          <w:lang w:val="uk-UA"/>
        </w:rPr>
        <w:t>, яке ґрунтувалося на міркуваннях безпеки,</w:t>
      </w:r>
      <w:r w:rsidRPr="00F637B6">
        <w:rPr>
          <w:lang w:val="uk-UA"/>
        </w:rPr>
        <w:t xml:space="preserve"> було свавільним заходом. Суд також бере до уваги конструкцію кабіни, описану Урядом, і зауважує, що сам собою факт перебування заявників за скляною перегородкою під час засідань не був принизливим елементом, що зумовлював би застосування статті 3 Конвенції, на відміну від підходу Суду до тримання підсудних у металевих клітках (див. згадане рішення у справі «</w:t>
      </w:r>
      <w:r w:rsidRPr="00F637B6">
        <w:rPr>
          <w:iCs/>
          <w:lang w:val="uk-UA"/>
        </w:rPr>
        <w:t>Свинаренко та Сляднєв проти Росії»</w:t>
      </w:r>
      <w:r w:rsidRPr="00F637B6">
        <w:rPr>
          <w:i/>
          <w:iCs/>
          <w:lang w:val="uk-UA"/>
        </w:rPr>
        <w:t xml:space="preserve"> (Svinarenko and Slyadnev v. Russia)</w:t>
      </w:r>
      <w:r w:rsidRPr="00F637B6">
        <w:rPr>
          <w:lang w:val="uk-UA"/>
        </w:rPr>
        <w:t>, пункти 136 та 138).</w:t>
      </w:r>
    </w:p>
    <w:p w:rsidRPr="00F637B6" w:rsidR="0081101B" w:rsidP="00F637B6" w14:paraId="1AA38949" w14:textId="77777777">
      <w:pPr>
        <w:pStyle w:val="JuPara"/>
        <w:rPr>
          <w:lang w:val="uk-UA"/>
        </w:rPr>
      </w:pPr>
      <w:r w:rsidRPr="00F637B6">
        <w:rPr>
          <w:lang w:val="uk-UA"/>
        </w:rPr>
        <w:t xml:space="preserve">23.  Суд також враховує розбіжності сторін щодо розміру кабіни, у якій трималися заявники під час судових засідань. Однак, як вбачається, немає підстав ставити під сумнів висновки суду першої </w:t>
      </w:r>
      <w:r w:rsidRPr="00F637B6">
        <w:rPr>
          <w:lang w:val="uk-UA"/>
        </w:rPr>
        <w:t xml:space="preserve">інстанції в його ухвалі від 25 квітня 2017 року (див. пункт 10), що кабіна мала розміри 4,3 м у довжину та 1,2 м у ширину. Взявши ці виміри за основу для розрахунку, Суд встановлює, що конструкція кабіни забезпечувала кожному підсудному щонайменше 1 кв. м особистого простору. Однак Суд зазначає, що навіть якщо </w:t>
      </w:r>
      <w:r w:rsidRPr="00F637B6" w:rsidR="00234110">
        <w:rPr>
          <w:lang w:val="uk-UA"/>
        </w:rPr>
        <w:t xml:space="preserve">погодитися з </w:t>
      </w:r>
      <w:r w:rsidRPr="00F637B6">
        <w:rPr>
          <w:lang w:val="uk-UA"/>
        </w:rPr>
        <w:t>твердження</w:t>
      </w:r>
      <w:r w:rsidRPr="00F637B6" w:rsidR="00234110">
        <w:rPr>
          <w:lang w:val="uk-UA"/>
        </w:rPr>
        <w:t>м</w:t>
      </w:r>
      <w:r w:rsidRPr="00F637B6">
        <w:rPr>
          <w:lang w:val="uk-UA"/>
        </w:rPr>
        <w:t xml:space="preserve"> заявників щодо розміру кабіни, яка забезпечувала кожному підсудному щонайменше 0,8 кв. м особистого простору, цей факт сам собою не може вплинути на оцінку Суду в цій справі.</w:t>
      </w:r>
    </w:p>
    <w:p w:rsidRPr="00F637B6" w:rsidR="00B37CCB" w:rsidP="00F637B6" w14:paraId="0ED67D87" w14:textId="36FCAFF5">
      <w:pPr>
        <w:pStyle w:val="JuPara"/>
        <w:rPr>
          <w:lang w:val="uk-UA"/>
        </w:rPr>
      </w:pPr>
      <w:r w:rsidRPr="00F637B6">
        <w:rPr>
          <w:lang w:val="uk-UA"/>
        </w:rPr>
        <w:t>24.  </w:t>
      </w:r>
      <w:r w:rsidRPr="00F637B6">
        <w:rPr>
          <w:lang w:val="uk-UA"/>
        </w:rPr>
        <w:t>У зв</w:t>
      </w:r>
      <w:r w:rsidRPr="00F637B6" w:rsidR="00F637B6">
        <w:rPr>
          <w:lang w:val="uk-UA"/>
        </w:rPr>
        <w:t>’</w:t>
      </w:r>
      <w:r w:rsidRPr="00F637B6">
        <w:rPr>
          <w:lang w:val="uk-UA"/>
        </w:rPr>
        <w:t>язку з цим Суд також посилається на решту висновків суду першої інстанції, зроблених у його ухвалі від 25 квітня 2017 року, а саме, що розмір кабіни дозволяв їм сидіти або пересуватися, не торкаючись одне одного, а також що температура та вентиляція в кабіні були належними (див. пункт 10). У зв</w:t>
      </w:r>
      <w:r w:rsidRPr="00F637B6" w:rsidR="00F637B6">
        <w:rPr>
          <w:lang w:val="uk-UA"/>
        </w:rPr>
        <w:t>’</w:t>
      </w:r>
      <w:r w:rsidRPr="00F637B6">
        <w:rPr>
          <w:lang w:val="uk-UA"/>
        </w:rPr>
        <w:t>язку з цим Суд зазначає, що заявники не оскаржували зазначені висновки суду першої інстанції та не навели аргументів для їхнього спростування.</w:t>
      </w:r>
    </w:p>
    <w:p w:rsidRPr="00F637B6" w:rsidR="00744DB4" w:rsidP="00F637B6" w14:paraId="559A6CDF" w14:textId="77777777">
      <w:pPr>
        <w:pStyle w:val="JuPara"/>
        <w:rPr>
          <w:lang w:val="uk-UA"/>
        </w:rPr>
      </w:pPr>
      <w:r w:rsidRPr="00F637B6">
        <w:rPr>
          <w:lang w:val="uk-UA"/>
        </w:rPr>
        <w:t>25.  </w:t>
      </w:r>
      <w:r w:rsidRPr="00F637B6" w:rsidR="00B37CCB">
        <w:rPr>
          <w:lang w:val="uk-UA"/>
        </w:rPr>
        <w:t xml:space="preserve">Хоча </w:t>
      </w:r>
      <w:r w:rsidRPr="00F637B6" w:rsidR="0064333F">
        <w:rPr>
          <w:lang w:val="uk-UA"/>
        </w:rPr>
        <w:t>справді</w:t>
      </w:r>
      <w:r w:rsidRPr="00F637B6" w:rsidR="00B37CCB">
        <w:rPr>
          <w:lang w:val="uk-UA"/>
        </w:rPr>
        <w:t xml:space="preserve"> деякі засідання, під час яких заявники перебували у скляній кабіні, тривали від трьох до семи годин, усі </w:t>
      </w:r>
      <w:r w:rsidRPr="00F637B6">
        <w:rPr>
          <w:lang w:val="uk-UA"/>
        </w:rPr>
        <w:t xml:space="preserve">враховані в сукупності </w:t>
      </w:r>
      <w:r w:rsidRPr="00F637B6" w:rsidR="00B37CCB">
        <w:rPr>
          <w:lang w:val="uk-UA"/>
        </w:rPr>
        <w:t xml:space="preserve">відповідні міркування не переконують Суд у тому, що тримання </w:t>
      </w:r>
      <w:r w:rsidRPr="00F637B6">
        <w:rPr>
          <w:lang w:val="uk-UA"/>
        </w:rPr>
        <w:t>їх у скляній кабіні досягло мінімального рівня суворості, забороненого статтею 3 Конвенції.</w:t>
      </w:r>
    </w:p>
    <w:p w:rsidRPr="00F637B6" w:rsidR="0081101B" w:rsidP="00F637B6" w14:paraId="204F9622" w14:textId="77777777">
      <w:pPr>
        <w:pStyle w:val="JuPara"/>
        <w:rPr>
          <w:lang w:val="uk-UA"/>
        </w:rPr>
      </w:pPr>
      <w:r w:rsidRPr="00F637B6">
        <w:rPr>
          <w:lang w:val="uk-UA"/>
        </w:rPr>
        <w:t xml:space="preserve">26.  З цього випливає, що ця частина заяви є </w:t>
      </w:r>
      <w:r w:rsidRPr="00F637B6">
        <w:rPr>
          <w:bCs/>
          <w:lang w:val="uk-UA"/>
        </w:rPr>
        <w:t>явно необґрунтованою</w:t>
      </w:r>
      <w:r w:rsidRPr="00F637B6">
        <w:rPr>
          <w:lang w:val="uk-UA"/>
        </w:rPr>
        <w:t xml:space="preserve">. </w:t>
      </w:r>
      <w:r w:rsidRPr="00F637B6" w:rsidR="00B37CCB">
        <w:rPr>
          <w:lang w:val="uk-UA"/>
        </w:rPr>
        <w:t>В</w:t>
      </w:r>
      <w:r w:rsidRPr="00F637B6">
        <w:rPr>
          <w:lang w:val="uk-UA"/>
        </w:rPr>
        <w:t>она має бути визнана неприйнятною відповідно до підпункту «а» пункту 3 та пункту 4 статті 35 Конвенції.</w:t>
      </w:r>
    </w:p>
    <w:p w:rsidRPr="00F637B6" w:rsidR="0083656D" w:rsidP="00F637B6" w14:paraId="283F5824" w14:textId="77777777">
      <w:pPr>
        <w:pStyle w:val="JuH1"/>
        <w:rPr>
          <w:lang w:val="uk-UA"/>
        </w:rPr>
      </w:pPr>
      <w:r w:rsidRPr="00F637B6">
        <w:rPr>
          <w:lang w:val="uk-UA"/>
        </w:rPr>
        <w:t>Стаття 13 Конвенції</w:t>
      </w:r>
    </w:p>
    <w:p w:rsidRPr="00F637B6" w:rsidR="0083656D" w:rsidP="00F637B6" w14:paraId="212522FD" w14:textId="77777777">
      <w:pPr>
        <w:pStyle w:val="JuPara"/>
        <w:rPr>
          <w:lang w:val="uk-UA"/>
        </w:rPr>
      </w:pPr>
      <w:r w:rsidRPr="00F637B6">
        <w:rPr>
          <w:lang w:val="uk-UA"/>
        </w:rPr>
        <w:t xml:space="preserve">27.  Суд нагадує, що стаття 13 Конвенції гарантує доступність </w:t>
      </w:r>
      <w:r w:rsidRPr="00F637B6" w:rsidR="00C34E61">
        <w:rPr>
          <w:lang w:val="uk-UA"/>
        </w:rPr>
        <w:t xml:space="preserve">на національному рівні </w:t>
      </w:r>
      <w:r w:rsidRPr="00F637B6">
        <w:rPr>
          <w:lang w:val="uk-UA"/>
        </w:rPr>
        <w:t xml:space="preserve">засобу юридичного захисту, здатного </w:t>
      </w:r>
      <w:r w:rsidRPr="00F637B6" w:rsidR="000F712B">
        <w:rPr>
          <w:lang w:val="uk-UA"/>
        </w:rPr>
        <w:t xml:space="preserve">забезпечити </w:t>
      </w:r>
      <w:r w:rsidRPr="00F637B6">
        <w:rPr>
          <w:lang w:val="uk-UA"/>
        </w:rPr>
        <w:t xml:space="preserve">втілення </w:t>
      </w:r>
      <w:r w:rsidRPr="00F637B6" w:rsidR="00C34E61">
        <w:rPr>
          <w:lang w:val="uk-UA"/>
        </w:rPr>
        <w:t>суті</w:t>
      </w:r>
      <w:r w:rsidRPr="00F637B6">
        <w:rPr>
          <w:lang w:val="uk-UA"/>
        </w:rPr>
        <w:t xml:space="preserve"> конвенційних прав і свобод незалежно від того, </w:t>
      </w:r>
      <w:r w:rsidRPr="00F637B6" w:rsidR="00C406F0">
        <w:rPr>
          <w:lang w:val="uk-UA"/>
        </w:rPr>
        <w:t xml:space="preserve">в </w:t>
      </w:r>
      <w:r w:rsidRPr="00F637B6">
        <w:rPr>
          <w:lang w:val="uk-UA"/>
        </w:rPr>
        <w:t xml:space="preserve">якій формі вони закріплені в національному </w:t>
      </w:r>
      <w:r w:rsidRPr="00F637B6" w:rsidR="00C406F0">
        <w:rPr>
          <w:lang w:val="uk-UA"/>
        </w:rPr>
        <w:t>законодавстві</w:t>
      </w:r>
      <w:r w:rsidRPr="00F637B6">
        <w:rPr>
          <w:lang w:val="uk-UA"/>
        </w:rPr>
        <w:t xml:space="preserve">. Засіб юридичного захисту, який вимагається згідно зі статтею 13 Конвенції, має бути «ефективним» як на практиці, так і в законодавстві (див., наприклад, рішення у справах «Ільхан проти Туреччини» [ВП] </w:t>
      </w:r>
      <w:r w:rsidRPr="00F637B6">
        <w:rPr>
          <w:i/>
          <w:iCs/>
          <w:lang w:val="uk-UA"/>
        </w:rPr>
        <w:t>(İlhan</w:t>
      </w:r>
      <w:r w:rsidRPr="00F637B6" w:rsidR="00A173BB">
        <w:rPr>
          <w:i/>
          <w:iCs/>
          <w:lang w:val="uk-UA"/>
        </w:rPr>
        <w:t xml:space="preserve"> </w:t>
      </w:r>
      <w:r w:rsidRPr="00F637B6">
        <w:rPr>
          <w:i/>
          <w:iCs/>
          <w:lang w:val="uk-UA"/>
        </w:rPr>
        <w:t xml:space="preserve">v. Turkey) </w:t>
      </w:r>
      <w:r w:rsidRPr="00F637B6">
        <w:rPr>
          <w:lang w:val="uk-UA"/>
        </w:rPr>
        <w:t>[GC], заява № 22277/93, пункт 97, ЄСПЛ 2000</w:t>
      </w:r>
      <w:r w:rsidRPr="00F637B6">
        <w:rPr>
          <w:lang w:val="uk-UA"/>
        </w:rPr>
        <w:noBreakHyphen/>
        <w:t xml:space="preserve">VII та «Хлаїфія та інші проти Італії» [ВП] </w:t>
      </w:r>
      <w:r w:rsidRPr="00F637B6">
        <w:rPr>
          <w:i/>
          <w:iCs/>
          <w:lang w:val="uk-UA"/>
        </w:rPr>
        <w:t xml:space="preserve">(Khlaifia and Others v. Italy) </w:t>
      </w:r>
      <w:r w:rsidRPr="00F637B6">
        <w:rPr>
          <w:lang w:val="uk-UA"/>
        </w:rPr>
        <w:t>[GC], заява № 16483/12, пункт 268, від 15 грудня 2016 року).</w:t>
      </w:r>
    </w:p>
    <w:p w:rsidRPr="00F637B6" w:rsidR="00F548D0" w:rsidP="00F637B6" w14:paraId="28BC0972" w14:textId="77777777">
      <w:pPr>
        <w:pStyle w:val="JuPara"/>
        <w:rPr>
          <w:lang w:val="uk-UA"/>
        </w:rPr>
      </w:pPr>
      <w:r w:rsidRPr="00F637B6">
        <w:rPr>
          <w:lang w:val="uk-UA"/>
        </w:rPr>
        <w:t>28.  </w:t>
      </w:r>
      <w:r w:rsidRPr="00F637B6">
        <w:rPr>
          <w:lang w:val="uk-UA"/>
        </w:rPr>
        <w:t xml:space="preserve">У цій справі, припускаючи, що заявники </w:t>
      </w:r>
      <w:r w:rsidRPr="00F637B6" w:rsidR="00DA6619">
        <w:rPr>
          <w:lang w:val="uk-UA"/>
        </w:rPr>
        <w:t xml:space="preserve">подали </w:t>
      </w:r>
      <w:r w:rsidRPr="00F637B6">
        <w:rPr>
          <w:lang w:val="uk-UA"/>
        </w:rPr>
        <w:t xml:space="preserve">небезпідставну скаргу за статтею 3 Конвенції, а тому застосовується </w:t>
      </w:r>
      <w:r w:rsidRPr="00F637B6" w:rsidR="000F712B">
        <w:rPr>
          <w:lang w:val="uk-UA"/>
        </w:rPr>
        <w:t xml:space="preserve">і </w:t>
      </w:r>
      <w:r w:rsidRPr="00F637B6">
        <w:rPr>
          <w:lang w:val="uk-UA"/>
        </w:rPr>
        <w:t>стаття 13</w:t>
      </w:r>
      <w:r w:rsidRPr="00F637B6" w:rsidR="00DA6619">
        <w:rPr>
          <w:lang w:val="uk-UA"/>
        </w:rPr>
        <w:t xml:space="preserve"> Конвенції</w:t>
      </w:r>
      <w:r w:rsidRPr="00F637B6" w:rsidR="000F712B">
        <w:rPr>
          <w:lang w:val="uk-UA"/>
        </w:rPr>
        <w:t>,</w:t>
      </w:r>
      <w:r w:rsidRPr="00F637B6">
        <w:rPr>
          <w:lang w:val="uk-UA"/>
        </w:rPr>
        <w:t xml:space="preserve"> Суд зауважує, що 18 квітня 2017 року захисники заявників подали до суду першої інстанції клопотання, в якому просили дозволити заявникам сидіти поруч з ними під час засідань, зокрема, на підставі аргументів про стверджуване </w:t>
      </w:r>
      <w:r w:rsidRPr="00F637B6">
        <w:rPr>
          <w:bCs/>
          <w:lang w:val="uk-UA"/>
        </w:rPr>
        <w:t xml:space="preserve">поводження, що </w:t>
      </w:r>
      <w:r w:rsidRPr="00F637B6" w:rsidR="00DA6619">
        <w:rPr>
          <w:bCs/>
          <w:lang w:val="uk-UA"/>
        </w:rPr>
        <w:t>принижува</w:t>
      </w:r>
      <w:r w:rsidRPr="00F637B6" w:rsidR="005147C4">
        <w:rPr>
          <w:bCs/>
          <w:lang w:val="uk-UA"/>
        </w:rPr>
        <w:t>ло</w:t>
      </w:r>
      <w:r w:rsidRPr="00F637B6" w:rsidR="00DA6619">
        <w:rPr>
          <w:bCs/>
          <w:lang w:val="uk-UA"/>
        </w:rPr>
        <w:t xml:space="preserve"> </w:t>
      </w:r>
      <w:r w:rsidRPr="00F637B6">
        <w:rPr>
          <w:bCs/>
          <w:lang w:val="uk-UA"/>
        </w:rPr>
        <w:t xml:space="preserve">гідність, </w:t>
      </w:r>
      <w:r w:rsidRPr="00F637B6">
        <w:rPr>
          <w:lang w:val="uk-UA"/>
        </w:rPr>
        <w:t xml:space="preserve">і суд першої інстанції 25 квітня 2017 року постановив мотивовану ухвалу, в якій чітко </w:t>
      </w:r>
      <w:r w:rsidRPr="00F637B6" w:rsidR="005147C4">
        <w:rPr>
          <w:lang w:val="uk-UA"/>
        </w:rPr>
        <w:t xml:space="preserve">розглянув </w:t>
      </w:r>
      <w:r w:rsidRPr="00F637B6">
        <w:rPr>
          <w:lang w:val="uk-UA"/>
        </w:rPr>
        <w:t>питання, чи мало місце поводження, яке суперечило статті 3 Конвенції (див. пункти 9 і 10).</w:t>
      </w:r>
    </w:p>
    <w:p w:rsidRPr="00F637B6" w:rsidR="00F548D0" w:rsidP="00F637B6" w14:paraId="50C32378" w14:textId="1EA3019E">
      <w:pPr>
        <w:pStyle w:val="JuPara"/>
        <w:rPr>
          <w:lang w:val="uk-UA"/>
        </w:rPr>
      </w:pPr>
      <w:r w:rsidRPr="00F637B6">
        <w:rPr>
          <w:lang w:val="uk-UA"/>
        </w:rPr>
        <w:t>29.  </w:t>
      </w:r>
      <w:r w:rsidRPr="00F637B6">
        <w:rPr>
          <w:lang w:val="uk-UA"/>
        </w:rPr>
        <w:t>У зв</w:t>
      </w:r>
      <w:r w:rsidRPr="00F637B6" w:rsidR="00F637B6">
        <w:rPr>
          <w:lang w:val="uk-UA"/>
        </w:rPr>
        <w:t>’</w:t>
      </w:r>
      <w:r w:rsidRPr="00F637B6">
        <w:rPr>
          <w:lang w:val="uk-UA"/>
        </w:rPr>
        <w:t xml:space="preserve">язку з цим Суд зазначає, що сам факт того, що національні суди зрештою постановили ухвалу не на користь заявників, сам собою не свідчить про </w:t>
      </w:r>
      <w:r w:rsidRPr="00F637B6" w:rsidR="008D14E7">
        <w:rPr>
          <w:lang w:val="uk-UA"/>
        </w:rPr>
        <w:t>неефективність</w:t>
      </w:r>
      <w:r w:rsidRPr="00F637B6">
        <w:rPr>
          <w:lang w:val="uk-UA"/>
        </w:rPr>
        <w:t xml:space="preserve"> провадження у розумінні статті 13 Конвенції (див. ухвалу щодо прийнятності у справі «Слівенко проти Латвії» [ВП] </w:t>
      </w:r>
      <w:r w:rsidRPr="00F637B6">
        <w:rPr>
          <w:i/>
          <w:iCs/>
          <w:lang w:val="uk-UA"/>
        </w:rPr>
        <w:t xml:space="preserve">(Slivenko v. Latvia) </w:t>
      </w:r>
      <w:r w:rsidRPr="00F637B6">
        <w:rPr>
          <w:lang w:val="uk-UA"/>
        </w:rPr>
        <w:t>[GC], заява № 48321/99, пункт 101, ЄСПЛ 2002-II).</w:t>
      </w:r>
    </w:p>
    <w:p w:rsidRPr="00F637B6" w:rsidR="00F548D0" w:rsidP="00F637B6" w14:paraId="69349040" w14:textId="77777777">
      <w:pPr>
        <w:pStyle w:val="JuPara"/>
        <w:rPr>
          <w:lang w:val="uk-UA"/>
        </w:rPr>
      </w:pPr>
      <w:r w:rsidRPr="00F637B6">
        <w:rPr>
          <w:lang w:val="uk-UA"/>
        </w:rPr>
        <w:t>30.  </w:t>
      </w:r>
      <w:r w:rsidRPr="00F637B6">
        <w:rPr>
          <w:lang w:val="uk-UA"/>
        </w:rPr>
        <w:t xml:space="preserve">З цього випливає, що скарга заявників за статтею 13 </w:t>
      </w:r>
      <w:r w:rsidRPr="00F637B6" w:rsidR="008D14E7">
        <w:rPr>
          <w:lang w:val="uk-UA"/>
        </w:rPr>
        <w:t xml:space="preserve">Конвенції </w:t>
      </w:r>
      <w:r w:rsidRPr="00F637B6">
        <w:rPr>
          <w:lang w:val="uk-UA"/>
        </w:rPr>
        <w:t>у поєднанні зі статтею 3 Конвенції є явно необґрунтованою та має бути відхилена згідно з підпунктом «а» пункту 3 і пунктом 4 статті 35 Конвенції.</w:t>
      </w:r>
    </w:p>
    <w:p w:rsidRPr="00F637B6" w:rsidR="0083656D" w:rsidP="00F637B6" w14:paraId="208EE967" w14:textId="77777777">
      <w:pPr>
        <w:pStyle w:val="JuHIRoman"/>
        <w:tabs>
          <w:tab w:val="left" w:pos="567"/>
          <w:tab w:val="left" w:pos="680"/>
        </w:tabs>
        <w:ind w:left="397" w:hanging="397"/>
        <w:rPr>
          <w:lang w:val="uk-UA"/>
        </w:rPr>
      </w:pPr>
      <w:r w:rsidRPr="00F637B6">
        <w:rPr>
          <w:lang w:val="uk-UA"/>
        </w:rPr>
        <w:t>СТВЕРДЖУВАНЕ ПОРУШЕННЯ ПУНКТУ 3 СТАТТІ 5 КОНВЕНЦІЇ (ЗАЯВА № </w:t>
      </w:r>
      <w:r w:rsidRPr="00F637B6">
        <w:rPr>
          <w:rFonts w:eastAsia="Times New Roman"/>
          <w:lang w:val="uk-UA"/>
        </w:rPr>
        <w:t>74462/17</w:t>
      </w:r>
      <w:r w:rsidRPr="00F637B6">
        <w:rPr>
          <w:lang w:val="uk-UA"/>
        </w:rPr>
        <w:t>)</w:t>
      </w:r>
    </w:p>
    <w:p w:rsidRPr="00F637B6" w:rsidR="00601E09" w:rsidP="00F637B6" w14:paraId="259CDB74" w14:textId="77777777">
      <w:pPr>
        <w:pStyle w:val="JuPara"/>
        <w:rPr>
          <w:lang w:val="uk-UA"/>
        </w:rPr>
      </w:pPr>
      <w:r w:rsidRPr="00F637B6">
        <w:rPr>
          <w:lang w:val="uk-UA"/>
        </w:rPr>
        <w:t>31.  </w:t>
      </w:r>
      <w:r w:rsidRPr="00F637B6">
        <w:rPr>
          <w:lang w:val="uk-UA"/>
        </w:rPr>
        <w:t>Другий заявник (заява № 74462/17) скаржився, що тримання його під вартою було занадто тривалим і становило порушення пункту 3 статті 5 Конвенції, який передбачає:</w:t>
      </w:r>
    </w:p>
    <w:p w:rsidRPr="00F637B6" w:rsidR="0083656D" w:rsidP="00F637B6" w14:paraId="0D9BAC1D" w14:textId="71E88F24">
      <w:pPr>
        <w:pStyle w:val="JuQuot"/>
        <w:rPr>
          <w:lang w:val="uk-UA"/>
        </w:rPr>
      </w:pPr>
      <w:r w:rsidRPr="00F637B6">
        <w:rPr>
          <w:lang w:val="uk-UA"/>
        </w:rPr>
        <w:t xml:space="preserve">«Кожен, кого заарештовано або затримано згідно з положеннями підпункту «c» пункту 1 цієї статті </w:t>
      </w:r>
      <w:r w:rsidRPr="00F637B6" w:rsidR="00F637B6">
        <w:rPr>
          <w:lang w:val="uk-UA"/>
        </w:rPr>
        <w:t>...</w:t>
      </w:r>
      <w:r w:rsidRPr="00F637B6">
        <w:rPr>
          <w:lang w:val="uk-UA"/>
        </w:rPr>
        <w:t xml:space="preserve"> має бути забезпечено розгляд справи судом упродовж розумного строку або звільнення під час провадження. Таке звільнення може бути обумовлене гарантіями з</w:t>
      </w:r>
      <w:r w:rsidRPr="00F637B6" w:rsidR="00F637B6">
        <w:rPr>
          <w:lang w:val="uk-UA"/>
        </w:rPr>
        <w:t>’</w:t>
      </w:r>
      <w:r w:rsidRPr="00F637B6">
        <w:rPr>
          <w:lang w:val="uk-UA"/>
        </w:rPr>
        <w:t>явитися на судове засідання.»</w:t>
      </w:r>
    </w:p>
    <w:p w:rsidRPr="00F637B6" w:rsidR="0083656D" w:rsidP="00F637B6" w14:paraId="28268624" w14:textId="77777777">
      <w:pPr>
        <w:pStyle w:val="JuHA"/>
        <w:numPr>
          <w:ilvl w:val="2"/>
          <w:numId w:val="1"/>
        </w:numPr>
        <w:ind w:left="510" w:hanging="340"/>
        <w:rPr>
          <w:lang w:val="uk-UA"/>
        </w:rPr>
      </w:pPr>
      <w:r w:rsidRPr="00F637B6">
        <w:rPr>
          <w:lang w:val="uk-UA"/>
        </w:rPr>
        <w:t>Прийнятність</w:t>
      </w:r>
    </w:p>
    <w:p w:rsidRPr="00F637B6" w:rsidR="0083656D" w:rsidP="00F637B6" w14:paraId="68F4CFFE" w14:textId="77777777">
      <w:pPr>
        <w:pStyle w:val="JuPara"/>
        <w:rPr>
          <w:lang w:val="uk-UA"/>
        </w:rPr>
      </w:pPr>
      <w:r w:rsidRPr="00F637B6">
        <w:rPr>
          <w:lang w:val="uk-UA"/>
        </w:rPr>
        <w:t>32.  </w:t>
      </w:r>
      <w:r w:rsidRPr="00F637B6" w:rsidR="00C930CA">
        <w:rPr>
          <w:lang w:val="uk-UA"/>
        </w:rPr>
        <w:t>Суд зазначає, що ця скарга не є явно необґрунтованою у розумінні підпункту «а» пункту 3 статті 35 Конвенції. Він також зазначає, що вона не є неприйнятною з будь-яких інших підстав. Тому вона має бути визнана прийнятною</w:t>
      </w:r>
      <w:r w:rsidRPr="00F637B6">
        <w:rPr>
          <w:lang w:val="uk-UA"/>
        </w:rPr>
        <w:t>.</w:t>
      </w:r>
    </w:p>
    <w:p w:rsidRPr="00F637B6" w:rsidR="0083656D" w:rsidP="00F637B6" w14:paraId="12DC36F7" w14:textId="77777777">
      <w:pPr>
        <w:pStyle w:val="JuHA"/>
        <w:numPr>
          <w:ilvl w:val="2"/>
          <w:numId w:val="1"/>
        </w:numPr>
        <w:ind w:left="510" w:hanging="340"/>
        <w:rPr>
          <w:lang w:val="uk-UA"/>
        </w:rPr>
      </w:pPr>
      <w:r w:rsidRPr="00F637B6">
        <w:rPr>
          <w:lang w:val="uk-UA"/>
        </w:rPr>
        <w:t>Суть</w:t>
      </w:r>
    </w:p>
    <w:p w:rsidRPr="00F637B6" w:rsidR="00601E09" w:rsidP="00F637B6" w14:paraId="25356697" w14:textId="77777777">
      <w:pPr>
        <w:pStyle w:val="JuPara"/>
        <w:rPr>
          <w:lang w:val="uk-UA"/>
        </w:rPr>
      </w:pPr>
      <w:r w:rsidRPr="00F637B6">
        <w:rPr>
          <w:lang w:val="uk-UA"/>
        </w:rPr>
        <w:t>33.  Другий заявник стверджував, що ухвали національних судів про продовження строку тримання його під вартою не містили достатніх підстав для обґрунтування тривалості такого тримання під вартою.</w:t>
      </w:r>
    </w:p>
    <w:p w:rsidRPr="00F637B6" w:rsidR="00601E09" w:rsidP="00F637B6" w14:paraId="0CAD85ED" w14:textId="68814991">
      <w:pPr>
        <w:pStyle w:val="JuPara"/>
        <w:rPr>
          <w:lang w:val="uk-UA"/>
        </w:rPr>
      </w:pPr>
      <w:r w:rsidRPr="00F637B6">
        <w:rPr>
          <w:lang w:val="uk-UA"/>
        </w:rPr>
        <w:t xml:space="preserve">34.  Уряд доводив, що загальна тривалість тримання другого заявника під вартою була розумною з огляду на характер </w:t>
      </w:r>
      <w:r w:rsidRPr="00F637B6" w:rsidR="0079202F">
        <w:rPr>
          <w:lang w:val="uk-UA"/>
        </w:rPr>
        <w:t>пред</w:t>
      </w:r>
      <w:r w:rsidRPr="00F637B6" w:rsidR="00F637B6">
        <w:rPr>
          <w:lang w:val="uk-UA"/>
        </w:rPr>
        <w:t>’</w:t>
      </w:r>
      <w:r w:rsidRPr="00F637B6" w:rsidR="0079202F">
        <w:rPr>
          <w:lang w:val="uk-UA"/>
        </w:rPr>
        <w:t xml:space="preserve">явлених йому </w:t>
      </w:r>
      <w:r w:rsidRPr="00F637B6">
        <w:rPr>
          <w:lang w:val="uk-UA"/>
        </w:rPr>
        <w:t>обвинувачень та ризики, що він міг переховуватися або перешкоджати розслідуванню.</w:t>
      </w:r>
    </w:p>
    <w:p w:rsidRPr="00F637B6" w:rsidR="00601E09" w:rsidP="00F637B6" w14:paraId="77F78B1E" w14:textId="77777777">
      <w:pPr>
        <w:pStyle w:val="JuPara"/>
        <w:rPr>
          <w:lang w:val="uk-UA"/>
        </w:rPr>
      </w:pPr>
      <w:r w:rsidRPr="00F637B6">
        <w:rPr>
          <w:lang w:val="uk-UA"/>
        </w:rPr>
        <w:t xml:space="preserve">35.  Суд посилається на загальні принципи, наведені в рішенні у справі «Корбан проти України» </w:t>
      </w:r>
      <w:r w:rsidRPr="00F637B6">
        <w:rPr>
          <w:i/>
          <w:iCs/>
          <w:lang w:val="uk-UA"/>
        </w:rPr>
        <w:t>(Korban v. Ukraine),</w:t>
      </w:r>
      <w:r w:rsidRPr="00F637B6">
        <w:rPr>
          <w:lang w:val="uk-UA"/>
        </w:rPr>
        <w:t xml:space="preserve"> заява № 26744/16, пункти 154 – 157, від </w:t>
      </w:r>
      <w:r w:rsidRPr="00F637B6" w:rsidR="0079202F">
        <w:rPr>
          <w:lang w:val="uk-UA"/>
        </w:rPr>
        <w:t>0</w:t>
      </w:r>
      <w:r w:rsidRPr="00F637B6">
        <w:rPr>
          <w:lang w:val="uk-UA"/>
        </w:rPr>
        <w:t>4 липня 2019 року), які так само застосовні і до цієї справи.</w:t>
      </w:r>
    </w:p>
    <w:p w:rsidRPr="00F637B6" w:rsidR="00601E09" w:rsidP="00F637B6" w14:paraId="6EA0FCAD" w14:textId="77777777">
      <w:pPr>
        <w:pStyle w:val="JuPara"/>
        <w:rPr>
          <w:lang w:val="uk-UA"/>
        </w:rPr>
      </w:pPr>
      <w:r w:rsidRPr="00F637B6">
        <w:rPr>
          <w:lang w:val="uk-UA"/>
        </w:rPr>
        <w:t xml:space="preserve">36.  Стосовно періоду, який слід розглядати для цілей пункту 3 статті 5 Конвенції, Суд зазначає, що цей період розпочався 23 лютого 2015 року, коли </w:t>
      </w:r>
      <w:r w:rsidRPr="00F637B6" w:rsidR="0079202F">
        <w:rPr>
          <w:lang w:val="uk-UA"/>
        </w:rPr>
        <w:t xml:space="preserve">затримали </w:t>
      </w:r>
      <w:r w:rsidRPr="00F637B6">
        <w:rPr>
          <w:lang w:val="uk-UA"/>
        </w:rPr>
        <w:t xml:space="preserve">другого заявника. В ході судового розгляду </w:t>
      </w:r>
      <w:r w:rsidRPr="00F637B6">
        <w:rPr>
          <w:lang w:val="uk-UA"/>
        </w:rPr>
        <w:t xml:space="preserve">тримання другого заявника під вартою було замінено </w:t>
      </w:r>
      <w:r w:rsidRPr="00F637B6" w:rsidR="00AF7095">
        <w:rPr>
          <w:lang w:val="uk-UA"/>
        </w:rPr>
        <w:t xml:space="preserve">на </w:t>
      </w:r>
      <w:r w:rsidRPr="00F637B6" w:rsidR="00B461F4">
        <w:rPr>
          <w:lang w:val="uk-UA"/>
        </w:rPr>
        <w:t>цілодобовий</w:t>
      </w:r>
      <w:r w:rsidRPr="00F637B6" w:rsidR="00AF7095">
        <w:rPr>
          <w:lang w:val="uk-UA"/>
        </w:rPr>
        <w:t xml:space="preserve"> домашній </w:t>
      </w:r>
      <w:r w:rsidRPr="00F637B6">
        <w:rPr>
          <w:lang w:val="uk-UA"/>
        </w:rPr>
        <w:t xml:space="preserve">арешт (з 16 липня до </w:t>
      </w:r>
      <w:r w:rsidRPr="00F637B6" w:rsidR="00691821">
        <w:rPr>
          <w:lang w:val="uk-UA"/>
        </w:rPr>
        <w:t>24</w:t>
      </w:r>
      <w:r w:rsidRPr="00F637B6" w:rsidR="00B461F4">
        <w:rPr>
          <w:lang w:val="uk-UA"/>
        </w:rPr>
        <w:t xml:space="preserve"> </w:t>
      </w:r>
      <w:r w:rsidRPr="00F637B6" w:rsidR="00691821">
        <w:rPr>
          <w:lang w:val="uk-UA"/>
        </w:rPr>
        <w:t>жовтня</w:t>
      </w:r>
      <w:r w:rsidRPr="00F637B6">
        <w:rPr>
          <w:lang w:val="uk-UA"/>
        </w:rPr>
        <w:t xml:space="preserve"> </w:t>
      </w:r>
      <w:r w:rsidRPr="00F637B6" w:rsidR="00B461F4">
        <w:rPr>
          <w:lang w:val="uk-UA"/>
        </w:rPr>
        <w:t>2019 року</w:t>
      </w:r>
      <w:r>
        <w:rPr>
          <w:rStyle w:val="FootnoteReference"/>
          <w:lang w:val="uk-UA"/>
        </w:rPr>
        <w:footnoteReference w:id="3"/>
      </w:r>
      <w:r w:rsidRPr="00F637B6">
        <w:rPr>
          <w:lang w:val="uk-UA"/>
        </w:rPr>
        <w:t xml:space="preserve">). </w:t>
      </w:r>
      <w:r w:rsidRPr="00F637B6" w:rsidR="00685F44">
        <w:rPr>
          <w:lang w:val="uk-UA"/>
        </w:rPr>
        <w:t>Проте</w:t>
      </w:r>
      <w:r w:rsidRPr="00F637B6">
        <w:rPr>
          <w:lang w:val="uk-UA"/>
        </w:rPr>
        <w:t xml:space="preserve"> Уряд не заперечував, що стаття 5 Конвенції застосов</w:t>
      </w:r>
      <w:r w:rsidRPr="00F637B6" w:rsidR="00685F44">
        <w:rPr>
          <w:lang w:val="uk-UA"/>
        </w:rPr>
        <w:t xml:space="preserve">на </w:t>
      </w:r>
      <w:r w:rsidRPr="00F637B6">
        <w:rPr>
          <w:lang w:val="uk-UA"/>
        </w:rPr>
        <w:t xml:space="preserve">до домашнього арешту, який, з огляду на його </w:t>
      </w:r>
      <w:r w:rsidRPr="00F637B6" w:rsidR="00685F44">
        <w:rPr>
          <w:lang w:val="uk-UA"/>
        </w:rPr>
        <w:t>рівень і напруженість</w:t>
      </w:r>
      <w:r w:rsidRPr="00F637B6">
        <w:rPr>
          <w:lang w:val="uk-UA"/>
        </w:rPr>
        <w:t xml:space="preserve">, </w:t>
      </w:r>
      <w:r w:rsidRPr="00F637B6" w:rsidR="00685F44">
        <w:rPr>
          <w:lang w:val="uk-UA"/>
        </w:rPr>
        <w:t xml:space="preserve">вважається позбавленням свободи у розумінні цього положення </w:t>
      </w:r>
      <w:r w:rsidRPr="00F637B6">
        <w:rPr>
          <w:lang w:val="uk-UA"/>
        </w:rPr>
        <w:t xml:space="preserve">(див. </w:t>
      </w:r>
      <w:r w:rsidRPr="00F637B6" w:rsidR="00685F44">
        <w:rPr>
          <w:lang w:val="uk-UA"/>
        </w:rPr>
        <w:t xml:space="preserve">рішення у справі </w:t>
      </w:r>
      <w:r w:rsidRPr="00F637B6" w:rsidR="00685F44">
        <w:rPr>
          <w:iCs/>
          <w:lang w:val="uk-UA"/>
        </w:rPr>
        <w:t xml:space="preserve">«Бузаджі проти Республіки Молдова» [ВП] </w:t>
      </w:r>
      <w:r w:rsidRPr="00F637B6" w:rsidR="00685F44">
        <w:rPr>
          <w:i/>
          <w:iCs/>
          <w:lang w:val="uk-UA"/>
        </w:rPr>
        <w:t>(Buzadji v. the Republic of Moldova)</w:t>
      </w:r>
      <w:r w:rsidRPr="00F637B6" w:rsidR="00685F44">
        <w:rPr>
          <w:iCs/>
          <w:lang w:val="uk-UA"/>
        </w:rPr>
        <w:t xml:space="preserve"> [GC], заява № 23755/07</w:t>
      </w:r>
      <w:r w:rsidRPr="00F637B6" w:rsidR="00685F44">
        <w:rPr>
          <w:lang w:val="uk-UA"/>
        </w:rPr>
        <w:t>, пункт 104, від 05 липня 2016 року з подальшими посиланнями</w:t>
      </w:r>
      <w:r w:rsidRPr="00F637B6">
        <w:rPr>
          <w:lang w:val="uk-UA"/>
        </w:rPr>
        <w:t xml:space="preserve">). Таким чином, період, </w:t>
      </w:r>
      <w:r w:rsidRPr="00F637B6" w:rsidR="00685F44">
        <w:rPr>
          <w:lang w:val="uk-UA"/>
        </w:rPr>
        <w:t>який</w:t>
      </w:r>
      <w:r w:rsidRPr="00F637B6">
        <w:rPr>
          <w:lang w:val="uk-UA"/>
        </w:rPr>
        <w:t xml:space="preserve"> розглядається для цілей </w:t>
      </w:r>
      <w:r w:rsidRPr="00F637B6" w:rsidR="00685F44">
        <w:rPr>
          <w:lang w:val="uk-UA"/>
        </w:rPr>
        <w:t xml:space="preserve">пункту 3 </w:t>
      </w:r>
      <w:r w:rsidRPr="00F637B6">
        <w:rPr>
          <w:lang w:val="uk-UA"/>
        </w:rPr>
        <w:t xml:space="preserve">статті 5 </w:t>
      </w:r>
      <w:r w:rsidRPr="00F637B6" w:rsidR="00685F44">
        <w:rPr>
          <w:lang w:val="uk-UA"/>
        </w:rPr>
        <w:t>Конвенції</w:t>
      </w:r>
      <w:r w:rsidRPr="00F637B6">
        <w:rPr>
          <w:lang w:val="uk-UA"/>
        </w:rPr>
        <w:t xml:space="preserve">, становить </w:t>
      </w:r>
      <w:r w:rsidRPr="00F637B6" w:rsidR="00685F44">
        <w:rPr>
          <w:lang w:val="uk-UA"/>
        </w:rPr>
        <w:t>приблизно</w:t>
      </w:r>
      <w:r w:rsidRPr="00F637B6">
        <w:rPr>
          <w:lang w:val="uk-UA"/>
        </w:rPr>
        <w:t xml:space="preserve"> чотир</w:t>
      </w:r>
      <w:r w:rsidRPr="00F637B6" w:rsidR="00685F44">
        <w:rPr>
          <w:lang w:val="uk-UA"/>
        </w:rPr>
        <w:t>и</w:t>
      </w:r>
      <w:r w:rsidRPr="00F637B6">
        <w:rPr>
          <w:lang w:val="uk-UA"/>
        </w:rPr>
        <w:t xml:space="preserve"> рок</w:t>
      </w:r>
      <w:r w:rsidRPr="00F637B6" w:rsidR="00685F44">
        <w:rPr>
          <w:lang w:val="uk-UA"/>
        </w:rPr>
        <w:t>и</w:t>
      </w:r>
      <w:r w:rsidRPr="00F637B6">
        <w:rPr>
          <w:lang w:val="uk-UA"/>
        </w:rPr>
        <w:t xml:space="preserve"> і майже </w:t>
      </w:r>
      <w:r w:rsidRPr="00F637B6" w:rsidR="005402AC">
        <w:rPr>
          <w:lang w:val="uk-UA"/>
        </w:rPr>
        <w:t>вісім</w:t>
      </w:r>
      <w:r>
        <w:rPr>
          <w:rStyle w:val="FootnoteReference"/>
          <w:lang w:val="uk-UA"/>
        </w:rPr>
        <w:footnoteReference w:id="4"/>
      </w:r>
      <w:r w:rsidRPr="00F637B6">
        <w:rPr>
          <w:lang w:val="uk-UA"/>
        </w:rPr>
        <w:t xml:space="preserve"> місяців.</w:t>
      </w:r>
    </w:p>
    <w:p w:rsidRPr="00F637B6" w:rsidR="00685F44" w:rsidP="00F637B6" w14:paraId="310A5F93" w14:textId="77777777">
      <w:pPr>
        <w:pStyle w:val="JuPara"/>
        <w:rPr>
          <w:lang w:val="uk-UA"/>
        </w:rPr>
      </w:pPr>
      <w:r w:rsidRPr="00F637B6">
        <w:rPr>
          <w:lang w:val="uk-UA"/>
        </w:rPr>
        <w:t>37.  </w:t>
      </w:r>
      <w:r w:rsidRPr="00F637B6">
        <w:rPr>
          <w:lang w:val="uk-UA"/>
        </w:rPr>
        <w:t xml:space="preserve">Суд також зауважує, що тяжкість обвинувачень щодо другого заявника та ризики його переховування чи перешкоджання розслідуванню були згадані в первинній ухвалі щодо взяття його під варту (див. пункт 15). Немає сумнівів, що ці підстави виправдовували </w:t>
      </w:r>
      <w:r w:rsidRPr="00F637B6" w:rsidR="00EC5E17">
        <w:rPr>
          <w:lang w:val="uk-UA"/>
        </w:rPr>
        <w:t xml:space="preserve">первинне </w:t>
      </w:r>
      <w:r w:rsidRPr="00F637B6">
        <w:rPr>
          <w:lang w:val="uk-UA"/>
        </w:rPr>
        <w:t xml:space="preserve">позбавлення </w:t>
      </w:r>
      <w:r w:rsidRPr="00F637B6" w:rsidR="008D14E7">
        <w:rPr>
          <w:lang w:val="uk-UA"/>
        </w:rPr>
        <w:t xml:space="preserve">його </w:t>
      </w:r>
      <w:r w:rsidRPr="00F637B6" w:rsidR="00EC5E17">
        <w:rPr>
          <w:lang w:val="uk-UA"/>
        </w:rPr>
        <w:t>свободи</w:t>
      </w:r>
      <w:r w:rsidRPr="00F637B6">
        <w:rPr>
          <w:lang w:val="uk-UA"/>
        </w:rPr>
        <w:t>.</w:t>
      </w:r>
    </w:p>
    <w:p w:rsidRPr="00F637B6" w:rsidR="00685F44" w:rsidP="00F637B6" w14:paraId="76016570" w14:textId="77777777">
      <w:pPr>
        <w:pStyle w:val="JuPara"/>
        <w:rPr>
          <w:lang w:val="uk-UA"/>
        </w:rPr>
      </w:pPr>
      <w:r w:rsidRPr="00F637B6">
        <w:rPr>
          <w:lang w:val="uk-UA"/>
        </w:rPr>
        <w:t>38.  </w:t>
      </w:r>
      <w:r w:rsidRPr="00F637B6">
        <w:rPr>
          <w:lang w:val="uk-UA"/>
        </w:rPr>
        <w:t>Проте Суд зазначає, що тримання другого заявника під вартою продовжувалося низкою ухвал, постановлених районними судами</w:t>
      </w:r>
      <w:r w:rsidRPr="00F637B6" w:rsidR="003C02E5">
        <w:rPr>
          <w:lang w:val="uk-UA"/>
        </w:rPr>
        <w:t>, які дотримувалися</w:t>
      </w:r>
      <w:r w:rsidRPr="00F637B6">
        <w:rPr>
          <w:lang w:val="uk-UA"/>
        </w:rPr>
        <w:t xml:space="preserve"> </w:t>
      </w:r>
      <w:r w:rsidRPr="00F637B6" w:rsidR="003C02E5">
        <w:rPr>
          <w:lang w:val="uk-UA"/>
        </w:rPr>
        <w:t>стандартного шаблону</w:t>
      </w:r>
      <w:r w:rsidRPr="00F637B6">
        <w:rPr>
          <w:lang w:val="uk-UA"/>
        </w:rPr>
        <w:t xml:space="preserve">. Зокрема, суди обмежилися повторенням низки підстав для тримання під вартою в абстрактний та формальний спосіб, </w:t>
      </w:r>
      <w:r w:rsidRPr="00F637B6" w:rsidR="0024638A">
        <w:rPr>
          <w:lang w:val="uk-UA"/>
        </w:rPr>
        <w:t xml:space="preserve">без посилання на будь-які фактичні обставини або причини, чому вони вважали такі підстави все ще актуальними у справі другого заявника </w:t>
      </w:r>
      <w:r w:rsidRPr="00F637B6">
        <w:rPr>
          <w:lang w:val="uk-UA"/>
        </w:rPr>
        <w:t>(див. пункт 6).</w:t>
      </w:r>
    </w:p>
    <w:p w:rsidRPr="00F637B6" w:rsidR="0024638A" w:rsidP="00F637B6" w14:paraId="2E9D6E21" w14:textId="77777777">
      <w:pPr>
        <w:pStyle w:val="JuPara"/>
        <w:rPr>
          <w:lang w:val="uk-UA"/>
        </w:rPr>
      </w:pPr>
      <w:r w:rsidRPr="00F637B6">
        <w:rPr>
          <w:lang w:val="uk-UA"/>
        </w:rPr>
        <w:t>39.  </w:t>
      </w:r>
      <w:r w:rsidRPr="00F637B6">
        <w:rPr>
          <w:lang w:val="uk-UA"/>
        </w:rPr>
        <w:t xml:space="preserve">Оскільки ухвали суду першої інстанції щодо </w:t>
      </w:r>
      <w:r w:rsidRPr="00F637B6" w:rsidR="00547187">
        <w:rPr>
          <w:lang w:val="uk-UA"/>
        </w:rPr>
        <w:t>тримання</w:t>
      </w:r>
      <w:r w:rsidRPr="00F637B6">
        <w:rPr>
          <w:lang w:val="uk-UA"/>
        </w:rPr>
        <w:t xml:space="preserve"> другого заявника </w:t>
      </w:r>
      <w:r w:rsidRPr="00F637B6" w:rsidR="00547187">
        <w:rPr>
          <w:lang w:val="uk-UA"/>
        </w:rPr>
        <w:t xml:space="preserve">під вартою </w:t>
      </w:r>
      <w:r w:rsidRPr="00F637B6">
        <w:rPr>
          <w:lang w:val="uk-UA"/>
        </w:rPr>
        <w:t>були викладені у загальних формулюваннях і містили повторювані фрази, вони не свідчили, що подальша виправданість позбавлення їх свободи була належним чином оцінена, попри плин часу.</w:t>
      </w:r>
    </w:p>
    <w:p w:rsidRPr="00F637B6" w:rsidR="0024638A" w:rsidP="00F637B6" w14:paraId="6896A5F4" w14:textId="77777777">
      <w:pPr>
        <w:pStyle w:val="JuPara"/>
        <w:rPr>
          <w:lang w:val="uk-UA"/>
        </w:rPr>
      </w:pPr>
      <w:r w:rsidRPr="00F637B6">
        <w:rPr>
          <w:lang w:val="uk-UA"/>
        </w:rPr>
        <w:t>40.  </w:t>
      </w:r>
      <w:r w:rsidRPr="00F637B6">
        <w:rPr>
          <w:lang w:val="uk-UA"/>
        </w:rPr>
        <w:t xml:space="preserve">У цій справі Суду не потрібно розглядати, чи </w:t>
      </w:r>
      <w:r w:rsidRPr="00F637B6" w:rsidR="00D91FB5">
        <w:rPr>
          <w:lang w:val="uk-UA"/>
        </w:rPr>
        <w:t xml:space="preserve">здійснювалося </w:t>
      </w:r>
      <w:r w:rsidRPr="00F637B6">
        <w:rPr>
          <w:lang w:val="uk-UA"/>
        </w:rPr>
        <w:t xml:space="preserve">кримінальне провадження щодо другого заявника з належною оперативністю, доки він був позбавлений </w:t>
      </w:r>
      <w:r w:rsidRPr="00F637B6" w:rsidR="008F33B2">
        <w:rPr>
          <w:lang w:val="uk-UA"/>
        </w:rPr>
        <w:t xml:space="preserve">свободи </w:t>
      </w:r>
      <w:r w:rsidRPr="00F637B6">
        <w:rPr>
          <w:lang w:val="uk-UA"/>
        </w:rPr>
        <w:t xml:space="preserve">з метою розгляду кримінальних обвинувачень щодо нього, </w:t>
      </w:r>
      <w:r w:rsidRPr="00F637B6" w:rsidR="008F33B2">
        <w:rPr>
          <w:lang w:val="uk-UA"/>
        </w:rPr>
        <w:t xml:space="preserve">або </w:t>
      </w:r>
      <w:r w:rsidRPr="00F637B6">
        <w:rPr>
          <w:lang w:val="uk-UA"/>
        </w:rPr>
        <w:t xml:space="preserve">чи </w:t>
      </w:r>
      <w:r w:rsidRPr="00F637B6" w:rsidR="008F33B2">
        <w:rPr>
          <w:lang w:val="uk-UA"/>
        </w:rPr>
        <w:t xml:space="preserve">несли </w:t>
      </w:r>
      <w:r w:rsidRPr="00F637B6">
        <w:rPr>
          <w:lang w:val="uk-UA"/>
        </w:rPr>
        <w:t xml:space="preserve">відповідальність за затримки органи державної влади або заявник. Це пояснюється тим, що наведених в попередніх пунктах міркувань достатньо для висновку, що, використавши стандартну формулу, просто перерахувавши підстави для тримання під вартою без розгляду конкретних фактів справи заявника, національні суди не </w:t>
      </w:r>
      <w:r w:rsidRPr="00F637B6" w:rsidR="00680045">
        <w:rPr>
          <w:lang w:val="uk-UA"/>
        </w:rPr>
        <w:t xml:space="preserve">навели </w:t>
      </w:r>
      <w:r w:rsidRPr="00F637B6">
        <w:rPr>
          <w:lang w:val="uk-UA"/>
        </w:rPr>
        <w:t xml:space="preserve">«відповідних» та «достатніх» підстав для обґрунтування необхідності продовження </w:t>
      </w:r>
      <w:r w:rsidRPr="00F637B6" w:rsidR="00865CA6">
        <w:rPr>
          <w:lang w:val="uk-UA"/>
        </w:rPr>
        <w:t xml:space="preserve">строку </w:t>
      </w:r>
      <w:r w:rsidRPr="00F637B6">
        <w:rPr>
          <w:lang w:val="uk-UA"/>
        </w:rPr>
        <w:t>тримання його під вартою та загальної тривалості такого тримання під вартою.</w:t>
      </w:r>
    </w:p>
    <w:p w:rsidRPr="00F637B6" w:rsidR="0024638A" w:rsidP="00F637B6" w14:paraId="766963CB" w14:textId="111822BB">
      <w:pPr>
        <w:pStyle w:val="JuPara"/>
        <w:rPr>
          <w:lang w:val="uk-UA"/>
        </w:rPr>
      </w:pPr>
      <w:r w:rsidRPr="00F637B6">
        <w:rPr>
          <w:lang w:val="uk-UA"/>
        </w:rPr>
        <w:t>41.  </w:t>
      </w:r>
      <w:r w:rsidRPr="00F637B6">
        <w:rPr>
          <w:lang w:val="uk-UA"/>
        </w:rPr>
        <w:t>З огляду на наведені міркування Суд вважає, що було порушено пункт 3 статті 5 Конвенції у зв</w:t>
      </w:r>
      <w:r w:rsidRPr="00F637B6" w:rsidR="00F637B6">
        <w:rPr>
          <w:lang w:val="uk-UA"/>
        </w:rPr>
        <w:t>’</w:t>
      </w:r>
      <w:r w:rsidRPr="00F637B6">
        <w:rPr>
          <w:lang w:val="uk-UA"/>
        </w:rPr>
        <w:t xml:space="preserve">язку з </w:t>
      </w:r>
      <w:r w:rsidRPr="00F637B6" w:rsidR="00865CA6">
        <w:rPr>
          <w:lang w:val="uk-UA"/>
        </w:rPr>
        <w:t xml:space="preserve">недостатнім </w:t>
      </w:r>
      <w:r w:rsidRPr="00F637B6">
        <w:rPr>
          <w:lang w:val="uk-UA"/>
        </w:rPr>
        <w:t>обґрунтування</w:t>
      </w:r>
      <w:r w:rsidRPr="00F637B6" w:rsidR="00865CA6">
        <w:rPr>
          <w:lang w:val="uk-UA"/>
        </w:rPr>
        <w:t>м</w:t>
      </w:r>
      <w:r w:rsidRPr="00F637B6">
        <w:rPr>
          <w:lang w:val="uk-UA"/>
        </w:rPr>
        <w:t xml:space="preserve"> тривалості тримання другого заявника під вартою.</w:t>
      </w:r>
    </w:p>
    <w:p w:rsidRPr="00F637B6" w:rsidR="0083656D" w:rsidP="00F637B6" w14:paraId="44266100" w14:textId="77777777">
      <w:pPr>
        <w:pStyle w:val="JuHIRoman"/>
        <w:tabs>
          <w:tab w:val="left" w:pos="567"/>
          <w:tab w:val="left" w:pos="680"/>
        </w:tabs>
        <w:ind w:left="397" w:hanging="397"/>
        <w:rPr>
          <w:lang w:val="uk-UA"/>
        </w:rPr>
      </w:pPr>
      <w:r w:rsidRPr="00F637B6">
        <w:rPr>
          <w:lang w:val="uk-UA"/>
        </w:rPr>
        <w:t>ЗАСТОСУВАННЯ СТАТТІ 41 КОНВЕНЦІЇ</w:t>
      </w:r>
    </w:p>
    <w:p w:rsidRPr="00F637B6" w:rsidR="0083656D" w:rsidP="00F637B6" w14:paraId="0F641964" w14:textId="77777777">
      <w:pPr>
        <w:pStyle w:val="JuPara"/>
        <w:rPr>
          <w:lang w:val="uk-UA"/>
        </w:rPr>
      </w:pPr>
      <w:r w:rsidRPr="00F637B6">
        <w:rPr>
          <w:lang w:val="uk-UA"/>
        </w:rPr>
        <w:t>42.  Стаття 41 Конвенції передбачає:</w:t>
      </w:r>
    </w:p>
    <w:p w:rsidRPr="00F637B6" w:rsidR="00791898" w:rsidP="00F637B6" w14:paraId="0E2EC362" w14:textId="77777777">
      <w:pPr>
        <w:pStyle w:val="JuQuot"/>
        <w:rPr>
          <w:lang w:val="uk-UA"/>
        </w:rPr>
      </w:pPr>
      <w:r w:rsidRPr="00F637B6">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F637B6" w:rsidR="00791898" w:rsidP="00F637B6" w14:paraId="330A46F7" w14:textId="2005ADD6">
      <w:pPr>
        <w:pStyle w:val="JuPara"/>
        <w:rPr>
          <w:lang w:val="uk-UA"/>
        </w:rPr>
      </w:pPr>
      <w:r w:rsidRPr="00F637B6">
        <w:rPr>
          <w:lang w:val="uk-UA"/>
        </w:rPr>
        <w:t>43.  Другий заявник не подавав вимоги щодо справедливої сатисфакції. Отже, Суд вважає, що немає підстав присуджувати йому якусь суму у зв</w:t>
      </w:r>
      <w:r w:rsidRPr="00F637B6" w:rsidR="00F637B6">
        <w:rPr>
          <w:lang w:val="uk-UA"/>
        </w:rPr>
        <w:t>’</w:t>
      </w:r>
      <w:r w:rsidRPr="00F637B6">
        <w:rPr>
          <w:lang w:val="uk-UA"/>
        </w:rPr>
        <w:t>язку з цим.</w:t>
      </w:r>
    </w:p>
    <w:p w:rsidRPr="00F637B6" w:rsidR="0083656D" w:rsidP="00F637B6" w14:paraId="2C514CB2" w14:textId="77777777">
      <w:pPr>
        <w:pStyle w:val="JuHHead"/>
        <w:numPr>
          <w:ilvl w:val="0"/>
          <w:numId w:val="2"/>
        </w:numPr>
        <w:ind w:left="360" w:hanging="360"/>
        <w:rPr>
          <w:lang w:val="uk-UA"/>
        </w:rPr>
      </w:pPr>
      <w:r w:rsidRPr="00F637B6">
        <w:rPr>
          <w:lang w:val="uk-UA"/>
        </w:rPr>
        <w:t>ЗА ЦИХ ПІДСТАВ СУД</w:t>
      </w:r>
    </w:p>
    <w:p w:rsidRPr="00F637B6" w:rsidR="0083656D" w:rsidP="00F637B6" w14:paraId="45F80FC5" w14:textId="08D88F9B">
      <w:pPr>
        <w:pStyle w:val="JuList"/>
        <w:ind w:left="0" w:firstLine="0"/>
        <w:rPr>
          <w:lang w:val="uk-UA"/>
        </w:rPr>
      </w:pPr>
      <w:r w:rsidRPr="00F637B6">
        <w:rPr>
          <w:i/>
          <w:iCs/>
          <w:lang w:val="uk-UA"/>
        </w:rPr>
        <w:t xml:space="preserve">Вирішує </w:t>
      </w:r>
      <w:r w:rsidRPr="00F637B6">
        <w:rPr>
          <w:iCs/>
          <w:lang w:val="uk-UA"/>
        </w:rPr>
        <w:t>одноголосно об</w:t>
      </w:r>
      <w:r w:rsidRPr="00F637B6" w:rsidR="00F637B6">
        <w:rPr>
          <w:iCs/>
          <w:lang w:val="uk-UA"/>
        </w:rPr>
        <w:t>’</w:t>
      </w:r>
      <w:r w:rsidRPr="00F637B6">
        <w:rPr>
          <w:iCs/>
          <w:lang w:val="uk-UA"/>
        </w:rPr>
        <w:t>єднати заяви</w:t>
      </w:r>
      <w:r w:rsidRPr="00F637B6">
        <w:rPr>
          <w:lang w:val="uk-UA"/>
        </w:rPr>
        <w:t>;</w:t>
      </w:r>
    </w:p>
    <w:p w:rsidRPr="00F637B6" w:rsidR="00791898" w:rsidP="00F637B6" w14:paraId="5881E0DE" w14:textId="77777777">
      <w:pPr>
        <w:pStyle w:val="JuList"/>
        <w:rPr>
          <w:iCs/>
          <w:lang w:val="uk-UA"/>
        </w:rPr>
      </w:pPr>
      <w:r w:rsidRPr="00F637B6">
        <w:rPr>
          <w:i/>
          <w:lang w:val="uk-UA"/>
        </w:rPr>
        <w:t xml:space="preserve">Оголошує </w:t>
      </w:r>
      <w:r w:rsidRPr="00F637B6">
        <w:rPr>
          <w:iCs/>
          <w:lang w:val="uk-UA"/>
        </w:rPr>
        <w:t>одноголосно прийнятною скаргу за пунктом 3 статті 5 Конвенції щодо тривалості тримання другого заявника під вартою (заява № 74462/17), а решту скарг у заяві – неприйнятними;</w:t>
      </w:r>
    </w:p>
    <w:p w:rsidRPr="00F637B6" w:rsidR="00FE5C4E" w:rsidP="00F637B6" w14:paraId="099C787F" w14:textId="77777777">
      <w:pPr>
        <w:pStyle w:val="JuList"/>
        <w:rPr>
          <w:lang w:val="uk-UA"/>
        </w:rPr>
      </w:pPr>
      <w:r w:rsidRPr="00F637B6">
        <w:rPr>
          <w:i/>
          <w:lang w:val="uk-UA"/>
        </w:rPr>
        <w:t xml:space="preserve">Постановляє </w:t>
      </w:r>
      <w:r w:rsidRPr="00F637B6">
        <w:rPr>
          <w:iCs/>
          <w:lang w:val="uk-UA"/>
        </w:rPr>
        <w:t>шістьма голосами проти одного, що було порушено пункт 3 статті 5 Конвенції стосовно другого заявника.</w:t>
      </w:r>
    </w:p>
    <w:p w:rsidRPr="00F637B6" w:rsidR="00FE5C4E" w:rsidP="00F637B6" w14:paraId="52C75D6D" w14:textId="77777777">
      <w:pPr>
        <w:pStyle w:val="JuList"/>
        <w:numPr>
          <w:ilvl w:val="0"/>
          <w:numId w:val="0"/>
        </w:numPr>
        <w:ind w:firstLine="284"/>
        <w:rPr>
          <w:lang w:val="uk-UA"/>
        </w:rPr>
      </w:pPr>
      <w:r w:rsidRPr="00F637B6">
        <w:rPr>
          <w:lang w:val="uk-UA"/>
        </w:rPr>
        <w:t>Учинено англійською мовою та повідомлено письмово 05 березня 2026 року відповідно до пунктів 2 і 3 Правила 77 Регламенту Суду.</w:t>
      </w:r>
    </w:p>
    <w:p w:rsidRPr="00F637B6" w:rsidR="00FE5C4E" w:rsidP="00F637B6" w14:paraId="45580EC4" w14:textId="77777777">
      <w:pPr>
        <w:pStyle w:val="JuList"/>
        <w:numPr>
          <w:ilvl w:val="0"/>
          <w:numId w:val="0"/>
        </w:numPr>
        <w:ind w:firstLine="284"/>
        <w:rPr>
          <w:lang w:val="uk-UA"/>
        </w:rPr>
      </w:pP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381169AE" w14:textId="77777777">
        <w:tblPrEx>
          <w:tblW w:w="0" w:type="auto"/>
          <w:tblLook w:val="04A0"/>
        </w:tblPrEx>
        <w:trPr>
          <w:trHeight w:val="60"/>
        </w:trPr>
        <w:tc>
          <w:tcPr>
            <w:tcW w:w="3674" w:type="dxa"/>
            <w:hideMark/>
          </w:tcPr>
          <w:p w:rsidRPr="00F637B6" w:rsidR="00FE5C4E" w:rsidP="00F637B6" w14:paraId="5E3B4BD2" w14:textId="77777777">
            <w:pPr>
              <w:pStyle w:val="ECHRPlaceholder"/>
              <w:spacing w:before="0"/>
              <w:jc w:val="center"/>
              <w:rPr>
                <w:color w:val="auto"/>
                <w:lang w:val="uk-UA"/>
              </w:rPr>
            </w:pPr>
            <w:r w:rsidRPr="00F637B6">
              <w:rPr>
                <w:color w:val="auto"/>
                <w:lang w:val="uk-UA"/>
              </w:rPr>
              <w:t>Віктор Соловейчік</w:t>
            </w:r>
          </w:p>
          <w:p w:rsidRPr="00F637B6" w:rsidR="00FE5C4E" w:rsidP="00F637B6" w14:paraId="23D8903B" w14:textId="77777777">
            <w:pPr>
              <w:pStyle w:val="ECHRPlaceholder"/>
              <w:spacing w:before="0"/>
              <w:jc w:val="center"/>
              <w:rPr>
                <w:i/>
                <w:iCs/>
                <w:color w:val="auto"/>
                <w:lang w:val="uk-UA"/>
              </w:rPr>
            </w:pPr>
            <w:r w:rsidRPr="00F637B6">
              <w:rPr>
                <w:i/>
                <w:iCs/>
                <w:color w:val="auto"/>
                <w:lang w:val="uk-UA"/>
              </w:rPr>
              <w:t>(Victor Soloveytchik)</w:t>
            </w:r>
          </w:p>
          <w:p w:rsidRPr="00F637B6" w:rsidR="00FE5C4E" w:rsidP="00F637B6" w14:paraId="4621F236" w14:textId="77777777">
            <w:pPr>
              <w:pStyle w:val="ECHRPlaceholder"/>
              <w:spacing w:before="0"/>
              <w:jc w:val="center"/>
              <w:rPr>
                <w:color w:val="auto"/>
                <w:lang w:val="uk-UA"/>
              </w:rPr>
            </w:pPr>
            <w:r w:rsidRPr="00F637B6">
              <w:rPr>
                <w:color w:val="auto"/>
                <w:lang w:val="uk-UA"/>
              </w:rPr>
              <w:t>Секретар</w:t>
            </w:r>
          </w:p>
        </w:tc>
        <w:tc>
          <w:tcPr>
            <w:tcW w:w="3674" w:type="dxa"/>
            <w:hideMark/>
          </w:tcPr>
          <w:p w:rsidRPr="00F637B6" w:rsidR="00FE5C4E" w:rsidP="00F637B6" w14:paraId="1F55E619" w14:textId="77777777">
            <w:pPr>
              <w:pStyle w:val="ECHRPlaceholder"/>
              <w:spacing w:before="0"/>
              <w:jc w:val="center"/>
              <w:rPr>
                <w:bCs/>
                <w:color w:val="auto"/>
                <w:lang w:val="uk-UA"/>
              </w:rPr>
            </w:pPr>
            <w:r w:rsidRPr="00F637B6">
              <w:rPr>
                <w:bCs/>
                <w:color w:val="auto"/>
                <w:lang w:val="uk-UA"/>
              </w:rPr>
              <w:t>Катержіна Шімачкова</w:t>
            </w:r>
          </w:p>
          <w:p w:rsidRPr="00F637B6" w:rsidR="00FE5C4E" w:rsidP="00F637B6" w14:paraId="3D6916D0" w14:textId="77777777">
            <w:pPr>
              <w:pStyle w:val="ECHRPlaceholder"/>
              <w:spacing w:before="0"/>
              <w:jc w:val="center"/>
              <w:rPr>
                <w:i/>
                <w:iCs/>
                <w:color w:val="auto"/>
                <w:lang w:val="uk-UA"/>
              </w:rPr>
            </w:pPr>
            <w:r w:rsidRPr="00F637B6">
              <w:rPr>
                <w:i/>
                <w:iCs/>
                <w:color w:val="auto"/>
                <w:lang w:val="uk-UA"/>
              </w:rPr>
              <w:t>(Kateřina Šimáčková)</w:t>
            </w:r>
          </w:p>
          <w:p w:rsidRPr="00F637B6" w:rsidR="00FE5C4E" w:rsidP="00F637B6" w14:paraId="039CF937" w14:textId="77777777">
            <w:pPr>
              <w:pStyle w:val="ECHRPlaceholder"/>
              <w:spacing w:before="0"/>
              <w:jc w:val="center"/>
              <w:rPr>
                <w:color w:val="auto"/>
                <w:lang w:val="uk-UA"/>
              </w:rPr>
            </w:pPr>
            <w:r w:rsidRPr="00F637B6">
              <w:rPr>
                <w:color w:val="auto"/>
                <w:lang w:val="uk-UA"/>
              </w:rPr>
              <w:t>Голова</w:t>
            </w:r>
          </w:p>
        </w:tc>
      </w:tr>
    </w:tbl>
    <w:p w:rsidRPr="00F637B6" w:rsidR="00295E5F" w:rsidP="00F637B6" w14:paraId="0F10029E" w14:textId="77777777">
      <w:pPr>
        <w:pStyle w:val="ECHRPlaceholder"/>
        <w:rPr>
          <w:szCs w:val="22"/>
          <w:lang w:val="uk-UA"/>
        </w:rPr>
      </w:pPr>
      <w:r w:rsidRPr="00F637B6">
        <w:rPr>
          <w:lang w:val="uk-UA"/>
        </w:rPr>
        <w:tab/>
      </w:r>
    </w:p>
    <w:p w:rsidRPr="00F637B6" w:rsidR="008607B1" w:rsidP="00F637B6" w14:paraId="74412908" w14:textId="77777777">
      <w:pPr>
        <w:pStyle w:val="JuParaLast"/>
        <w:spacing w:before="360"/>
        <w:rPr>
          <w:lang w:val="uk-UA"/>
        </w:rPr>
      </w:pPr>
      <w:r w:rsidRPr="00F637B6">
        <w:rPr>
          <w:lang w:val="uk-UA"/>
        </w:rPr>
        <w:t>Відповідно до пункту 2 статті 45 Конвенції та пункту 2 Правила 74 Регламенту Суду до цього рішення додаються такі окремі думки:</w:t>
      </w:r>
    </w:p>
    <w:p w:rsidRPr="00F637B6" w:rsidR="008607B1" w:rsidP="00F637B6" w14:paraId="02D01C9C" w14:textId="77777777">
      <w:pPr>
        <w:pStyle w:val="JuPara"/>
        <w:rPr>
          <w:lang w:val="uk-UA"/>
        </w:rPr>
      </w:pPr>
      <w:r w:rsidRPr="00F637B6">
        <w:rPr>
          <w:lang w:val="uk-UA"/>
        </w:rPr>
        <w:t>(a)  </w:t>
      </w:r>
      <w:r w:rsidRPr="00F637B6" w:rsidR="00FE5C4E">
        <w:rPr>
          <w:lang w:val="uk-UA"/>
        </w:rPr>
        <w:t xml:space="preserve">окрема думка судді Гнатовського, яка </w:t>
      </w:r>
      <w:r w:rsidRPr="00F637B6" w:rsidR="002036F3">
        <w:rPr>
          <w:lang w:val="uk-UA"/>
        </w:rPr>
        <w:t xml:space="preserve">збігається </w:t>
      </w:r>
      <w:r w:rsidRPr="00F637B6" w:rsidR="00FE5C4E">
        <w:rPr>
          <w:lang w:val="uk-UA"/>
        </w:rPr>
        <w:t>з позицією більшості;</w:t>
      </w:r>
    </w:p>
    <w:p w:rsidRPr="00F637B6" w:rsidR="008607B1" w:rsidP="00F637B6" w14:paraId="04E6342A" w14:textId="77777777">
      <w:pPr>
        <w:pStyle w:val="JuPara"/>
        <w:rPr>
          <w:lang w:val="uk-UA"/>
        </w:rPr>
      </w:pPr>
      <w:r w:rsidRPr="00F637B6">
        <w:rPr>
          <w:lang w:val="uk-UA"/>
        </w:rPr>
        <w:t>(b)  </w:t>
      </w:r>
      <w:r w:rsidRPr="00F637B6" w:rsidR="00FE5C4E">
        <w:rPr>
          <w:lang w:val="uk-UA"/>
        </w:rPr>
        <w:t>констатація незгоди судді Григоряна.</w:t>
      </w:r>
    </w:p>
    <w:p w:rsidRPr="00F637B6" w:rsidR="0083656D" w:rsidP="00F637B6" w14:paraId="0E6BD82D" w14:textId="77777777">
      <w:pPr>
        <w:rPr>
          <w:color w:val="000000"/>
          <w:lang w:val="uk-UA"/>
        </w:rPr>
      </w:pPr>
    </w:p>
    <w:p w:rsidRPr="00F637B6" w:rsidR="00666A39" w:rsidP="00F637B6" w14:paraId="5A50E132" w14:textId="77777777">
      <w:pPr>
        <w:rPr>
          <w:color w:val="000000"/>
          <w:lang w:val="uk-UA"/>
        </w:rPr>
        <w:sectPr w:rsidSect="0083656D">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F637B6" w:rsidR="000643EE" w:rsidP="00F637B6" w14:paraId="6BDC2838" w14:textId="77777777">
      <w:pPr>
        <w:rPr>
          <w:lang w:val="uk-UA"/>
        </w:rPr>
      </w:pPr>
    </w:p>
    <w:p w:rsidRPr="00F637B6" w:rsidR="00AA514B" w:rsidP="00F637B6" w14:paraId="77FFE7D3" w14:textId="77777777">
      <w:pPr>
        <w:pStyle w:val="DecHTitle"/>
        <w:rPr>
          <w:lang w:val="uk-UA"/>
        </w:rPr>
      </w:pPr>
      <w:r w:rsidRPr="00F637B6">
        <w:rPr>
          <w:lang w:val="uk-UA"/>
        </w:rPr>
        <w:t xml:space="preserve">ОКРЕМА ДУМКА СУДДІ ГНАТОВСЬКОГО, ЯКА </w:t>
      </w:r>
      <w:r w:rsidRPr="00F637B6" w:rsidR="002036F3">
        <w:rPr>
          <w:lang w:val="uk-UA"/>
        </w:rPr>
        <w:t xml:space="preserve">ЗБІГАЄТЬСЯ </w:t>
      </w:r>
      <w:r w:rsidRPr="00F637B6">
        <w:rPr>
          <w:lang w:val="uk-UA"/>
        </w:rPr>
        <w:t>З ПОЗИЦІЄЮ БІЛЬШОСТІ</w:t>
      </w:r>
    </w:p>
    <w:p w:rsidRPr="00F637B6" w:rsidR="00306CE6" w:rsidP="00F637B6" w14:paraId="2F6D70AE" w14:textId="77777777">
      <w:pPr>
        <w:pStyle w:val="JuPara"/>
        <w:rPr>
          <w:lang w:val="uk-UA"/>
        </w:rPr>
      </w:pPr>
      <w:r w:rsidRPr="00F637B6">
        <w:rPr>
          <w:lang w:val="uk-UA"/>
        </w:rPr>
        <w:t xml:space="preserve">Я повністю підтримую міркування та висновки Суду у цій справі. Метою цієї короткої </w:t>
      </w:r>
      <w:r w:rsidRPr="00F637B6" w:rsidR="00260442">
        <w:rPr>
          <w:lang w:val="uk-UA"/>
        </w:rPr>
        <w:t xml:space="preserve">збіжної </w:t>
      </w:r>
      <w:r w:rsidRPr="00F637B6">
        <w:rPr>
          <w:lang w:val="uk-UA"/>
        </w:rPr>
        <w:t xml:space="preserve">думки є більш детальне висвітлення причин, які спонукали мене проголосувати за всі положення резолютивної частини рішення. Тому я детальніше розгляну два основні питання, </w:t>
      </w:r>
      <w:r w:rsidRPr="00F637B6" w:rsidR="00DF0E63">
        <w:rPr>
          <w:lang w:val="uk-UA"/>
        </w:rPr>
        <w:t>що</w:t>
      </w:r>
      <w:r w:rsidRPr="00F637B6">
        <w:rPr>
          <w:lang w:val="uk-UA"/>
        </w:rPr>
        <w:t xml:space="preserve"> розглядаються в цьому рішенні, а саме: (а</w:t>
      </w:r>
      <w:r w:rsidRPr="00F637B6" w:rsidR="00393273">
        <w:rPr>
          <w:lang w:val="uk-UA"/>
        </w:rPr>
        <w:t>) </w:t>
      </w:r>
      <w:r w:rsidRPr="00F637B6">
        <w:rPr>
          <w:lang w:val="uk-UA"/>
        </w:rPr>
        <w:t xml:space="preserve">сумісність розміщення заявників </w:t>
      </w:r>
      <w:r w:rsidRPr="00F637B6" w:rsidR="00DF0E63">
        <w:rPr>
          <w:lang w:val="uk-UA"/>
        </w:rPr>
        <w:t xml:space="preserve">в </w:t>
      </w:r>
      <w:r w:rsidRPr="00F637B6">
        <w:rPr>
          <w:lang w:val="uk-UA"/>
        </w:rPr>
        <w:t xml:space="preserve">скляній </w:t>
      </w:r>
      <w:r w:rsidRPr="00F637B6" w:rsidR="00DF0E63">
        <w:rPr>
          <w:lang w:val="uk-UA"/>
        </w:rPr>
        <w:t xml:space="preserve">кабіні </w:t>
      </w:r>
      <w:r w:rsidRPr="00F637B6">
        <w:rPr>
          <w:lang w:val="uk-UA"/>
        </w:rPr>
        <w:t>у залі суду та (b</w:t>
      </w:r>
      <w:r w:rsidRPr="00F637B6" w:rsidR="00393273">
        <w:rPr>
          <w:lang w:val="uk-UA"/>
        </w:rPr>
        <w:t>) </w:t>
      </w:r>
      <w:r w:rsidRPr="00F637B6">
        <w:rPr>
          <w:lang w:val="uk-UA"/>
        </w:rPr>
        <w:t xml:space="preserve">надмірну тривалість </w:t>
      </w:r>
      <w:r w:rsidRPr="00F637B6" w:rsidR="00DF0E63">
        <w:rPr>
          <w:lang w:val="uk-UA"/>
        </w:rPr>
        <w:t xml:space="preserve">тримання </w:t>
      </w:r>
      <w:r w:rsidRPr="00F637B6">
        <w:rPr>
          <w:lang w:val="uk-UA"/>
        </w:rPr>
        <w:t>другого заявника (пана Тамтури)</w:t>
      </w:r>
      <w:r w:rsidRPr="00F637B6" w:rsidR="00DF0E63">
        <w:rPr>
          <w:lang w:val="uk-UA"/>
        </w:rPr>
        <w:t xml:space="preserve"> під вартою</w:t>
      </w:r>
      <w:r w:rsidRPr="00F637B6">
        <w:rPr>
          <w:lang w:val="uk-UA"/>
        </w:rPr>
        <w:t>.</w:t>
      </w:r>
    </w:p>
    <w:p w:rsidRPr="00F637B6" w:rsidR="00DF0E63" w:rsidP="00F637B6" w14:paraId="148893C3" w14:textId="77777777">
      <w:pPr>
        <w:pStyle w:val="JuHA"/>
        <w:rPr>
          <w:lang w:val="uk-UA"/>
        </w:rPr>
      </w:pPr>
      <w:r w:rsidRPr="00F637B6">
        <w:rPr>
          <w:lang w:val="uk-UA"/>
        </w:rPr>
        <w:t>Використання скляних кабін у залах суду</w:t>
      </w:r>
    </w:p>
    <w:p w:rsidRPr="00F637B6" w:rsidR="0004308D" w:rsidP="00F637B6" w14:paraId="56995D6E" w14:textId="77777777">
      <w:pPr>
        <w:pStyle w:val="JuPara"/>
        <w:rPr>
          <w:lang w:val="uk-UA"/>
        </w:rPr>
      </w:pPr>
      <w:r w:rsidRPr="00F637B6">
        <w:rPr>
          <w:lang w:val="uk-UA"/>
        </w:rPr>
        <w:t xml:space="preserve">Використання безпечних кабін у залах суду, тобто закритих або укріплених зон, у яких розміщується підсудний під час судового засідання у кримінальному провадженні, вже давно оскаржується Конвенційними органами. Принаймні з 1980-х років заявники скаржилися на </w:t>
      </w:r>
      <w:r w:rsidRPr="00F637B6" w:rsidR="00846ADA">
        <w:rPr>
          <w:lang w:val="uk-UA"/>
        </w:rPr>
        <w:t>поміщення до</w:t>
      </w:r>
      <w:r w:rsidRPr="00F637B6">
        <w:rPr>
          <w:lang w:val="uk-UA"/>
        </w:rPr>
        <w:t xml:space="preserve"> металевих </w:t>
      </w:r>
      <w:r w:rsidRPr="00F637B6" w:rsidR="00846ADA">
        <w:rPr>
          <w:lang w:val="uk-UA"/>
        </w:rPr>
        <w:t xml:space="preserve">кліток </w:t>
      </w:r>
      <w:r w:rsidRPr="00F637B6">
        <w:rPr>
          <w:lang w:val="uk-UA"/>
        </w:rPr>
        <w:t xml:space="preserve">або скляних кабін, що потенційно призводило до порушення питання щодо права на справедливий суд (див. рішення у справі «Огюст проти Франції» </w:t>
      </w:r>
      <w:r w:rsidRPr="00F637B6">
        <w:rPr>
          <w:i/>
          <w:iCs/>
          <w:lang w:val="uk-UA"/>
        </w:rPr>
        <w:t>(Auguste v. France)</w:t>
      </w:r>
      <w:r w:rsidRPr="00F637B6">
        <w:rPr>
          <w:lang w:val="uk-UA"/>
        </w:rPr>
        <w:t xml:space="preserve">, заява № 11837/85, доповідь Комісії від 07 червня 1990 року, Рішення і доповіді 69, с. 104) або щодо заборони такого, що принижує гідність, поводження, яке суперечить статті 3 Конвенції (див. рішення у справі «Титаренко проти України» </w:t>
      </w:r>
      <w:r w:rsidRPr="00F637B6">
        <w:rPr>
          <w:i/>
          <w:iCs/>
          <w:lang w:val="uk-UA"/>
        </w:rPr>
        <w:t>(Titarenko v. Ukraine)</w:t>
      </w:r>
      <w:r w:rsidRPr="00F637B6">
        <w:rPr>
          <w:lang w:val="uk-UA"/>
        </w:rPr>
        <w:t>, заява № 31720/02, від 20 вересня 2012 року).</w:t>
      </w:r>
    </w:p>
    <w:p w:rsidRPr="00F637B6" w:rsidR="0004308D" w:rsidP="00F637B6" w14:paraId="54A22AA3" w14:textId="77777777">
      <w:pPr>
        <w:pStyle w:val="JuPara"/>
        <w:rPr>
          <w:lang w:val="uk-UA"/>
        </w:rPr>
      </w:pPr>
      <w:r w:rsidRPr="00F637B6">
        <w:rPr>
          <w:lang w:val="uk-UA"/>
        </w:rPr>
        <w:t xml:space="preserve">З 2014 року практика відображає, що Суд чітко дійшов висновку, що тримання особи в металевій клітці під час судового розгляду є принизливим, несумісним зі стандартами цивілізованої поведінки та саме собою становить </w:t>
      </w:r>
      <w:r w:rsidRPr="00F637B6" w:rsidR="00846ADA">
        <w:rPr>
          <w:lang w:val="uk-UA"/>
        </w:rPr>
        <w:t xml:space="preserve">зневагу до </w:t>
      </w:r>
      <w:r w:rsidRPr="00F637B6">
        <w:rPr>
          <w:lang w:val="uk-UA"/>
        </w:rPr>
        <w:t xml:space="preserve">людської гідності, що порушує статтю 3 Конвенції (див. рішення у справі </w:t>
      </w:r>
      <w:r w:rsidRPr="00F637B6" w:rsidR="00CD2B03">
        <w:rPr>
          <w:iCs/>
          <w:lang w:val="uk-UA"/>
        </w:rPr>
        <w:t xml:space="preserve">«Свинаренко та Сляднєв проти Росії» [ВП] </w:t>
      </w:r>
      <w:r w:rsidRPr="00F637B6" w:rsidR="00CD2B03">
        <w:rPr>
          <w:i/>
          <w:iCs/>
          <w:lang w:val="uk-UA"/>
        </w:rPr>
        <w:t xml:space="preserve">(Svinarenko and Slyadnev v. Russia) </w:t>
      </w:r>
      <w:r w:rsidRPr="00F637B6" w:rsidR="00CD2B03">
        <w:rPr>
          <w:iCs/>
          <w:lang w:val="uk-UA"/>
        </w:rPr>
        <w:t xml:space="preserve">[GC], заяви </w:t>
      </w:r>
      <w:r w:rsidRPr="00F637B6">
        <w:rPr>
          <w:lang w:val="uk-UA"/>
        </w:rPr>
        <w:t>№</w:t>
      </w:r>
      <w:r w:rsidRPr="00F637B6" w:rsidR="00CD2B03">
        <w:rPr>
          <w:lang w:val="uk-UA"/>
        </w:rPr>
        <w:t> </w:t>
      </w:r>
      <w:r w:rsidRPr="00F637B6">
        <w:rPr>
          <w:lang w:val="uk-UA"/>
        </w:rPr>
        <w:t xml:space="preserve">32541/08 </w:t>
      </w:r>
      <w:r w:rsidRPr="00F637B6" w:rsidR="00CD2B03">
        <w:rPr>
          <w:lang w:val="uk-UA"/>
        </w:rPr>
        <w:t>і</w:t>
      </w:r>
      <w:r w:rsidRPr="00F637B6">
        <w:rPr>
          <w:lang w:val="uk-UA"/>
        </w:rPr>
        <w:t xml:space="preserve"> </w:t>
      </w:r>
      <w:r w:rsidRPr="00F637B6" w:rsidR="00CD2B03">
        <w:rPr>
          <w:lang w:val="uk-UA"/>
        </w:rPr>
        <w:t>№ </w:t>
      </w:r>
      <w:r w:rsidRPr="00F637B6">
        <w:rPr>
          <w:lang w:val="uk-UA"/>
        </w:rPr>
        <w:t xml:space="preserve">43441/08, </w:t>
      </w:r>
      <w:r w:rsidRPr="00F637B6" w:rsidR="00CD2B03">
        <w:rPr>
          <w:lang w:val="uk-UA"/>
        </w:rPr>
        <w:t>пункт</w:t>
      </w:r>
      <w:r w:rsidRPr="00F637B6">
        <w:rPr>
          <w:lang w:val="uk-UA"/>
        </w:rPr>
        <w:t xml:space="preserve"> 138,</w:t>
      </w:r>
      <w:r w:rsidRPr="00F637B6" w:rsidR="00CD2B03">
        <w:rPr>
          <w:lang w:val="uk-UA"/>
        </w:rPr>
        <w:t xml:space="preserve"> від</w:t>
      </w:r>
      <w:r w:rsidRPr="00F637B6">
        <w:rPr>
          <w:lang w:val="uk-UA"/>
        </w:rPr>
        <w:t xml:space="preserve"> 17 липня 2014 року). Водночас оцінка Судом використання скляних </w:t>
      </w:r>
      <w:r w:rsidRPr="00F637B6" w:rsidR="00CD2B03">
        <w:rPr>
          <w:lang w:val="uk-UA"/>
        </w:rPr>
        <w:t xml:space="preserve">кабін містила </w:t>
      </w:r>
      <w:r w:rsidRPr="00F637B6">
        <w:rPr>
          <w:lang w:val="uk-UA"/>
        </w:rPr>
        <w:t>набагато більш</w:t>
      </w:r>
      <w:r w:rsidRPr="00F637B6" w:rsidR="00CD2B03">
        <w:rPr>
          <w:lang w:val="uk-UA"/>
        </w:rPr>
        <w:t>е</w:t>
      </w:r>
      <w:r w:rsidRPr="00F637B6">
        <w:rPr>
          <w:lang w:val="uk-UA"/>
        </w:rPr>
        <w:t xml:space="preserve"> нюанс</w:t>
      </w:r>
      <w:r w:rsidRPr="00F637B6" w:rsidR="00CD2B03">
        <w:rPr>
          <w:lang w:val="uk-UA"/>
        </w:rPr>
        <w:t>ів</w:t>
      </w:r>
      <w:r w:rsidRPr="00F637B6">
        <w:rPr>
          <w:lang w:val="uk-UA"/>
        </w:rPr>
        <w:t xml:space="preserve">. У </w:t>
      </w:r>
      <w:r w:rsidRPr="00F637B6" w:rsidR="00CD2B03">
        <w:rPr>
          <w:lang w:val="uk-UA"/>
        </w:rPr>
        <w:t>справах</w:t>
      </w:r>
      <w:r w:rsidRPr="00F637B6">
        <w:rPr>
          <w:lang w:val="uk-UA"/>
        </w:rPr>
        <w:t xml:space="preserve">, </w:t>
      </w:r>
      <w:r w:rsidRPr="00F637B6" w:rsidR="00CD2B03">
        <w:rPr>
          <w:lang w:val="uk-UA"/>
        </w:rPr>
        <w:t xml:space="preserve">в яких </w:t>
      </w:r>
      <w:r w:rsidRPr="00F637B6">
        <w:rPr>
          <w:lang w:val="uk-UA"/>
        </w:rPr>
        <w:t xml:space="preserve">Суд </w:t>
      </w:r>
      <w:r w:rsidRPr="00F637B6" w:rsidR="00393273">
        <w:rPr>
          <w:lang w:val="uk-UA"/>
        </w:rPr>
        <w:t>встановлював</w:t>
      </w:r>
      <w:r w:rsidRPr="00F637B6">
        <w:rPr>
          <w:lang w:val="uk-UA"/>
        </w:rPr>
        <w:t xml:space="preserve">, що поміщення в такі </w:t>
      </w:r>
      <w:r w:rsidRPr="00F637B6" w:rsidR="00CD2B03">
        <w:rPr>
          <w:lang w:val="uk-UA"/>
        </w:rPr>
        <w:t xml:space="preserve">кабіни </w:t>
      </w:r>
      <w:r w:rsidRPr="00F637B6">
        <w:rPr>
          <w:lang w:val="uk-UA"/>
        </w:rPr>
        <w:t xml:space="preserve">досягло порогу суворості, необхідного для застосування статті 3 Конвенції, він робив це лише тоді, коли обставини тримання заявника за скляними перегородками або в скляних </w:t>
      </w:r>
      <w:r w:rsidRPr="00F637B6" w:rsidR="00CD2B03">
        <w:rPr>
          <w:lang w:val="uk-UA"/>
        </w:rPr>
        <w:t>кабінах</w:t>
      </w:r>
      <w:r w:rsidRPr="00F637B6">
        <w:rPr>
          <w:lang w:val="uk-UA"/>
        </w:rPr>
        <w:t xml:space="preserve">, </w:t>
      </w:r>
      <w:r w:rsidRPr="00F637B6" w:rsidR="00CD2B03">
        <w:rPr>
          <w:lang w:val="uk-UA"/>
        </w:rPr>
        <w:t>взяті</w:t>
      </w:r>
      <w:r w:rsidRPr="00F637B6">
        <w:rPr>
          <w:lang w:val="uk-UA"/>
        </w:rPr>
        <w:t xml:space="preserve"> в цілому, </w:t>
      </w:r>
      <w:r w:rsidRPr="00F637B6" w:rsidR="00CD2B03">
        <w:rPr>
          <w:lang w:val="uk-UA"/>
        </w:rPr>
        <w:t>завдавали</w:t>
      </w:r>
      <w:r w:rsidRPr="00F637B6">
        <w:rPr>
          <w:lang w:val="uk-UA"/>
        </w:rPr>
        <w:t xml:space="preserve"> б йому страждання або труднощі</w:t>
      </w:r>
      <w:r w:rsidRPr="00F637B6" w:rsidR="0052701F">
        <w:rPr>
          <w:lang w:val="uk-UA"/>
        </w:rPr>
        <w:t xml:space="preserve"> такого рівня, який би</w:t>
      </w:r>
      <w:r w:rsidRPr="00F637B6">
        <w:rPr>
          <w:lang w:val="uk-UA"/>
        </w:rPr>
        <w:t xml:space="preserve"> перевищ</w:t>
      </w:r>
      <w:r w:rsidRPr="00F637B6" w:rsidR="0052701F">
        <w:rPr>
          <w:lang w:val="uk-UA"/>
        </w:rPr>
        <w:t xml:space="preserve">ив </w:t>
      </w:r>
      <w:r w:rsidRPr="00F637B6">
        <w:rPr>
          <w:lang w:val="uk-UA"/>
        </w:rPr>
        <w:t xml:space="preserve">неминучий рівень страждань, </w:t>
      </w:r>
      <w:r w:rsidRPr="00F637B6" w:rsidR="00CD2B03">
        <w:rPr>
          <w:lang w:val="uk-UA"/>
        </w:rPr>
        <w:t>притаманний</w:t>
      </w:r>
      <w:r w:rsidRPr="00F637B6">
        <w:rPr>
          <w:lang w:val="uk-UA"/>
        </w:rPr>
        <w:t xml:space="preserve"> триманню під вартою (див. </w:t>
      </w:r>
      <w:r w:rsidRPr="00F637B6" w:rsidR="00CD2B03">
        <w:rPr>
          <w:lang w:val="uk-UA"/>
        </w:rPr>
        <w:t>рішення у справі «</w:t>
      </w:r>
      <w:r w:rsidRPr="00F637B6">
        <w:rPr>
          <w:lang w:val="uk-UA"/>
        </w:rPr>
        <w:t>Ярослав Бєлоусов проти Росії</w:t>
      </w:r>
      <w:r w:rsidRPr="00F637B6" w:rsidR="00CD2B03">
        <w:rPr>
          <w:lang w:val="uk-UA"/>
        </w:rPr>
        <w:t xml:space="preserve">» </w:t>
      </w:r>
      <w:r w:rsidRPr="00F637B6" w:rsidR="00CD2B03">
        <w:rPr>
          <w:i/>
          <w:iCs/>
          <w:lang w:val="uk-UA"/>
        </w:rPr>
        <w:t>(Yaroslav Belousov v. Russia)</w:t>
      </w:r>
      <w:r w:rsidRPr="00F637B6">
        <w:rPr>
          <w:lang w:val="uk-UA"/>
        </w:rPr>
        <w:t xml:space="preserve">, </w:t>
      </w:r>
      <w:r w:rsidRPr="00F637B6" w:rsidR="00CD2B03">
        <w:rPr>
          <w:lang w:val="uk-UA"/>
        </w:rPr>
        <w:t xml:space="preserve">заяви </w:t>
      </w:r>
      <w:r w:rsidRPr="00F637B6">
        <w:rPr>
          <w:lang w:val="uk-UA"/>
        </w:rPr>
        <w:t>№</w:t>
      </w:r>
      <w:r w:rsidRPr="00F637B6" w:rsidR="00CD2B03">
        <w:rPr>
          <w:lang w:val="uk-UA"/>
        </w:rPr>
        <w:t> </w:t>
      </w:r>
      <w:r w:rsidRPr="00F637B6">
        <w:rPr>
          <w:lang w:val="uk-UA"/>
        </w:rPr>
        <w:t xml:space="preserve">2653/13 та </w:t>
      </w:r>
      <w:r w:rsidRPr="00F637B6" w:rsidR="00CD2B03">
        <w:rPr>
          <w:lang w:val="uk-UA"/>
        </w:rPr>
        <w:t xml:space="preserve">№ </w:t>
      </w:r>
      <w:r w:rsidRPr="00F637B6">
        <w:rPr>
          <w:lang w:val="uk-UA"/>
        </w:rPr>
        <w:t xml:space="preserve">60980/14, </w:t>
      </w:r>
      <w:r w:rsidRPr="00F637B6" w:rsidR="00CD2B03">
        <w:rPr>
          <w:lang w:val="uk-UA"/>
        </w:rPr>
        <w:t>пункт</w:t>
      </w:r>
      <w:r w:rsidRPr="00F637B6">
        <w:rPr>
          <w:lang w:val="uk-UA"/>
        </w:rPr>
        <w:t xml:space="preserve"> 125,</w:t>
      </w:r>
      <w:r w:rsidRPr="00F637B6" w:rsidR="00CD2B03">
        <w:rPr>
          <w:lang w:val="uk-UA"/>
        </w:rPr>
        <w:t xml:space="preserve"> від</w:t>
      </w:r>
      <w:r w:rsidRPr="00F637B6">
        <w:rPr>
          <w:lang w:val="uk-UA"/>
        </w:rPr>
        <w:t xml:space="preserve"> </w:t>
      </w:r>
      <w:r w:rsidRPr="00F637B6" w:rsidR="00CD2B03">
        <w:rPr>
          <w:lang w:val="uk-UA"/>
        </w:rPr>
        <w:t>0</w:t>
      </w:r>
      <w:r w:rsidRPr="00F637B6">
        <w:rPr>
          <w:lang w:val="uk-UA"/>
        </w:rPr>
        <w:t>4 жовтня 2016 року).</w:t>
      </w:r>
    </w:p>
    <w:p w:rsidRPr="00F637B6" w:rsidR="0004308D" w:rsidP="00F637B6" w14:paraId="6C4A9BB5" w14:textId="4F242629">
      <w:pPr>
        <w:pStyle w:val="JuPara"/>
        <w:rPr>
          <w:lang w:val="uk-UA"/>
        </w:rPr>
      </w:pPr>
      <w:r w:rsidRPr="00F637B6">
        <w:rPr>
          <w:lang w:val="uk-UA"/>
        </w:rPr>
        <w:t xml:space="preserve">Ця справа вперше надала Суду можливість розглянути </w:t>
      </w:r>
      <w:r w:rsidRPr="00F637B6" w:rsidR="00D42C3B">
        <w:rPr>
          <w:lang w:val="uk-UA"/>
        </w:rPr>
        <w:t>prima facie</w:t>
      </w:r>
      <w:r w:rsidRPr="00F637B6" w:rsidR="00D42C3B">
        <w:rPr>
          <w:lang w:val="uk-UA"/>
        </w:rPr>
        <w:t xml:space="preserve"> </w:t>
      </w:r>
      <w:r w:rsidRPr="00F637B6">
        <w:rPr>
          <w:lang w:val="uk-UA"/>
        </w:rPr>
        <w:t xml:space="preserve">небезпідставне питання щодо стандартних скляних кабін, які використовуються в залах суду в Україні. З рішення очевидно, що Суд у будь-якій </w:t>
      </w:r>
      <w:r w:rsidRPr="00F637B6" w:rsidR="00393273">
        <w:rPr>
          <w:lang w:val="uk-UA"/>
        </w:rPr>
        <w:t xml:space="preserve">окремій </w:t>
      </w:r>
      <w:r w:rsidRPr="00F637B6">
        <w:rPr>
          <w:lang w:val="uk-UA"/>
        </w:rPr>
        <w:t>справі конкретно аналізуватиме, чи були незручності, яких зазнали підсудні, такими, що досягли високого порогу застосовності статті 3 Конвенції. У зв</w:t>
      </w:r>
      <w:r w:rsidRPr="00F637B6" w:rsidR="00F637B6">
        <w:rPr>
          <w:lang w:val="uk-UA"/>
        </w:rPr>
        <w:t>’</w:t>
      </w:r>
      <w:r w:rsidRPr="00F637B6">
        <w:rPr>
          <w:lang w:val="uk-UA"/>
        </w:rPr>
        <w:t xml:space="preserve">язку з цим не існує жорсткого чи </w:t>
      </w:r>
      <w:r w:rsidRPr="00F637B6" w:rsidR="007E2B76">
        <w:rPr>
          <w:lang w:val="uk-UA"/>
        </w:rPr>
        <w:t>швидкого вирішення</w:t>
      </w:r>
      <w:r w:rsidRPr="00F637B6">
        <w:rPr>
          <w:lang w:val="uk-UA"/>
        </w:rPr>
        <w:t xml:space="preserve">, </w:t>
      </w:r>
      <w:r w:rsidRPr="00F637B6" w:rsidR="00AD162B">
        <w:rPr>
          <w:lang w:val="uk-UA"/>
        </w:rPr>
        <w:t>проте</w:t>
      </w:r>
      <w:r w:rsidRPr="00F637B6">
        <w:rPr>
          <w:lang w:val="uk-UA"/>
        </w:rPr>
        <w:t xml:space="preserve"> відповідні фактори, які не обмежуються </w:t>
      </w:r>
      <w:r w:rsidRPr="00F637B6" w:rsidR="00AD162B">
        <w:rPr>
          <w:lang w:val="uk-UA"/>
        </w:rPr>
        <w:t>обчисленням</w:t>
      </w:r>
      <w:r w:rsidRPr="00F637B6">
        <w:rPr>
          <w:lang w:val="uk-UA"/>
        </w:rPr>
        <w:t xml:space="preserve"> доступних квадратних сантиметрів </w:t>
      </w:r>
      <w:r w:rsidRPr="00F637B6" w:rsidR="00AD162B">
        <w:rPr>
          <w:lang w:val="uk-UA"/>
        </w:rPr>
        <w:t>особистого простору</w:t>
      </w:r>
      <w:r w:rsidRPr="00F637B6" w:rsidR="00D42C3B">
        <w:rPr>
          <w:lang w:val="uk-UA"/>
        </w:rPr>
        <w:t xml:space="preserve"> на особу</w:t>
      </w:r>
      <w:r w:rsidRPr="00F637B6">
        <w:rPr>
          <w:lang w:val="uk-UA"/>
        </w:rPr>
        <w:t xml:space="preserve">, досить чітко </w:t>
      </w:r>
      <w:r w:rsidRPr="00F637B6" w:rsidR="00AD162B">
        <w:rPr>
          <w:lang w:val="uk-UA"/>
        </w:rPr>
        <w:t xml:space="preserve">вбачаються </w:t>
      </w:r>
      <w:r w:rsidRPr="00F637B6">
        <w:rPr>
          <w:lang w:val="uk-UA"/>
        </w:rPr>
        <w:t>в рішенні.</w:t>
      </w:r>
    </w:p>
    <w:p w:rsidRPr="00F637B6" w:rsidR="0080261E" w:rsidP="00F637B6" w14:paraId="05446F8F" w14:textId="77777777">
      <w:pPr>
        <w:pStyle w:val="JuHA"/>
        <w:rPr>
          <w:lang w:val="uk-UA"/>
        </w:rPr>
      </w:pPr>
      <w:r w:rsidRPr="00F637B6">
        <w:rPr>
          <w:lang w:val="uk-UA"/>
        </w:rPr>
        <w:t>Надмірна тривалість тримання під вартою</w:t>
      </w:r>
    </w:p>
    <w:p w:rsidRPr="00F637B6" w:rsidR="00AD162B" w:rsidP="00F637B6" w14:paraId="2D787DB8" w14:textId="77777777">
      <w:pPr>
        <w:pStyle w:val="JuPara"/>
        <w:rPr>
          <w:lang w:val="uk-UA"/>
        </w:rPr>
      </w:pPr>
      <w:r w:rsidRPr="00F637B6">
        <w:rPr>
          <w:lang w:val="uk-UA"/>
        </w:rPr>
        <w:t xml:space="preserve">Висновок про порушення пункту 3 статті 5 Конвенції у випадку другого заявника, пана Тамтури, сам собою не призводить до </w:t>
      </w:r>
      <w:r w:rsidRPr="00F637B6" w:rsidR="00393273">
        <w:rPr>
          <w:lang w:val="uk-UA"/>
        </w:rPr>
        <w:t xml:space="preserve">жодного </w:t>
      </w:r>
      <w:r w:rsidRPr="00F637B6" w:rsidR="00CD2F77">
        <w:rPr>
          <w:lang w:val="uk-UA"/>
        </w:rPr>
        <w:t>конкретного юридичного питання</w:t>
      </w:r>
      <w:r w:rsidRPr="00F637B6">
        <w:rPr>
          <w:lang w:val="uk-UA"/>
        </w:rPr>
        <w:t xml:space="preserve">. Висновок, якого дійшов Суд, відображає висновок, якого він доходив у численних попередніх справах проти України стосовно цього положення Конвенції, всі з яких ґрунтувалися на його усталеній практиці. Як наведено в пункті 40 цього рішення, «використавши стандартну формулу, просто перерахувавши підстави для тримання під вартою без розгляду конкретних фактів справи заявника, національні суди не </w:t>
      </w:r>
      <w:r w:rsidRPr="00F637B6" w:rsidR="00CD2F77">
        <w:rPr>
          <w:lang w:val="uk-UA"/>
        </w:rPr>
        <w:t xml:space="preserve">навели </w:t>
      </w:r>
      <w:r w:rsidRPr="00F637B6">
        <w:rPr>
          <w:lang w:val="uk-UA"/>
        </w:rPr>
        <w:t>«відповідних» та «достатніх» підстав для обґрунтування необхідності продовження тримання його під вартою та загальної тривалості такого тримання під вартою».</w:t>
      </w:r>
    </w:p>
    <w:p w:rsidRPr="00F637B6" w:rsidR="00AD162B" w:rsidP="00F637B6" w14:paraId="027BBB3D" w14:textId="31E348B2">
      <w:pPr>
        <w:pStyle w:val="JuPara"/>
        <w:rPr>
          <w:lang w:val="uk-UA"/>
        </w:rPr>
      </w:pPr>
      <w:r w:rsidRPr="00F637B6">
        <w:rPr>
          <w:lang w:val="uk-UA"/>
        </w:rPr>
        <w:t>Проте, що варто зазначити в цій справі, так це її зв</w:t>
      </w:r>
      <w:r w:rsidRPr="00F637B6" w:rsidR="00F637B6">
        <w:rPr>
          <w:lang w:val="uk-UA"/>
        </w:rPr>
        <w:t>’</w:t>
      </w:r>
      <w:r w:rsidRPr="00F637B6">
        <w:rPr>
          <w:lang w:val="uk-UA"/>
        </w:rPr>
        <w:t>язок з одним з історичних рішень Суду щодо України – рішення</w:t>
      </w:r>
      <w:r w:rsidRPr="00F637B6" w:rsidR="00B05775">
        <w:rPr>
          <w:lang w:val="uk-UA"/>
        </w:rPr>
        <w:t>м</w:t>
      </w:r>
      <w:r w:rsidRPr="00F637B6">
        <w:rPr>
          <w:lang w:val="uk-UA"/>
        </w:rPr>
        <w:t xml:space="preserve"> у справі «Шморгунов та інші проти України» </w:t>
      </w:r>
      <w:r w:rsidRPr="00F637B6">
        <w:rPr>
          <w:i/>
          <w:iCs/>
          <w:lang w:val="uk-UA"/>
        </w:rPr>
        <w:t>(Shmorgunov and Others v. Ukraine)</w:t>
      </w:r>
      <w:r w:rsidRPr="00F637B6">
        <w:rPr>
          <w:lang w:val="uk-UA"/>
        </w:rPr>
        <w:t>, заява № 15367/14 та 13 інших заяв, від 21 січня 2021 року</w:t>
      </w:r>
      <w:r w:rsidRPr="00F637B6" w:rsidR="00016B4F">
        <w:rPr>
          <w:lang w:val="uk-UA"/>
        </w:rPr>
        <w:t>)</w:t>
      </w:r>
      <w:r w:rsidRPr="00F637B6">
        <w:rPr>
          <w:lang w:val="uk-UA"/>
        </w:rPr>
        <w:t xml:space="preserve">. У </w:t>
      </w:r>
      <w:r w:rsidRPr="00F637B6" w:rsidR="00016B4F">
        <w:rPr>
          <w:lang w:val="uk-UA"/>
        </w:rPr>
        <w:t xml:space="preserve">вказаній </w:t>
      </w:r>
      <w:r w:rsidRPr="00F637B6">
        <w:rPr>
          <w:lang w:val="uk-UA"/>
        </w:rPr>
        <w:t xml:space="preserve">справі, яка стосувалася кримінального провадження щодо так званих протестів Євромайдану 2013 – 2014 років у м. Київ, Суд, серед інших порушень Конвенції, </w:t>
      </w:r>
      <w:r w:rsidRPr="00F637B6" w:rsidR="00B05775">
        <w:rPr>
          <w:lang w:val="uk-UA"/>
        </w:rPr>
        <w:t xml:space="preserve">встановив </w:t>
      </w:r>
      <w:r w:rsidRPr="00F637B6">
        <w:rPr>
          <w:lang w:val="uk-UA"/>
        </w:rPr>
        <w:t>порушення процесуального аспекту статті 3 Конвенції у зв</w:t>
      </w:r>
      <w:r w:rsidRPr="00F637B6" w:rsidR="00F637B6">
        <w:rPr>
          <w:lang w:val="uk-UA"/>
        </w:rPr>
        <w:t>’</w:t>
      </w:r>
      <w:r w:rsidRPr="00F637B6">
        <w:rPr>
          <w:lang w:val="uk-UA"/>
        </w:rPr>
        <w:t>язку з непроведенням ефективного розслідування жорстокого поводження, яке працівники правоохоронних органів застосовували до протестувальників.</w:t>
      </w:r>
    </w:p>
    <w:p w:rsidRPr="00F637B6" w:rsidR="00AD162B" w:rsidP="00F637B6" w14:paraId="5FCAB9E5" w14:textId="01B9ED8E">
      <w:pPr>
        <w:pStyle w:val="JuPara"/>
        <w:rPr>
          <w:lang w:val="uk-UA"/>
        </w:rPr>
      </w:pPr>
      <w:r w:rsidRPr="00F637B6">
        <w:rPr>
          <w:lang w:val="uk-UA"/>
        </w:rPr>
        <w:t xml:space="preserve">У цій справі другого заявника підозрювали у застосуванні вогнепальної зброї проти протестувальників. Хоча Суд наголосив, що </w:t>
      </w:r>
      <w:r w:rsidRPr="00F637B6" w:rsidR="005F707F">
        <w:rPr>
          <w:lang w:val="uk-UA"/>
        </w:rPr>
        <w:t xml:space="preserve">він не мав </w:t>
      </w:r>
      <w:r w:rsidRPr="00F637B6">
        <w:rPr>
          <w:lang w:val="uk-UA"/>
        </w:rPr>
        <w:t>потр</w:t>
      </w:r>
      <w:r w:rsidRPr="00F637B6" w:rsidR="005F707F">
        <w:rPr>
          <w:lang w:val="uk-UA"/>
        </w:rPr>
        <w:t>еби розглядати</w:t>
      </w:r>
      <w:r w:rsidRPr="00F637B6">
        <w:rPr>
          <w:lang w:val="uk-UA"/>
        </w:rPr>
        <w:t xml:space="preserve">, чи </w:t>
      </w:r>
      <w:r w:rsidRPr="00F637B6" w:rsidR="009376A0">
        <w:rPr>
          <w:lang w:val="uk-UA"/>
        </w:rPr>
        <w:t xml:space="preserve">здійснювалося </w:t>
      </w:r>
      <w:r w:rsidRPr="00F637B6">
        <w:rPr>
          <w:lang w:val="uk-UA"/>
        </w:rPr>
        <w:t xml:space="preserve">кримінальне провадження </w:t>
      </w:r>
      <w:r w:rsidRPr="00F637B6" w:rsidR="005F707F">
        <w:rPr>
          <w:lang w:val="uk-UA"/>
        </w:rPr>
        <w:t xml:space="preserve">щодо </w:t>
      </w:r>
      <w:r w:rsidRPr="00F637B6">
        <w:rPr>
          <w:lang w:val="uk-UA"/>
        </w:rPr>
        <w:t xml:space="preserve">другого заявника з належною </w:t>
      </w:r>
      <w:r w:rsidRPr="00F637B6" w:rsidR="005F707F">
        <w:rPr>
          <w:lang w:val="uk-UA"/>
        </w:rPr>
        <w:t>оперативністю</w:t>
      </w:r>
      <w:r w:rsidRPr="00F637B6">
        <w:rPr>
          <w:lang w:val="uk-UA"/>
        </w:rPr>
        <w:t xml:space="preserve"> (див. пункт 40 цього рішення), не можна не за</w:t>
      </w:r>
      <w:r w:rsidRPr="00F637B6" w:rsidR="005F707F">
        <w:rPr>
          <w:lang w:val="uk-UA"/>
        </w:rPr>
        <w:t>уважити</w:t>
      </w:r>
      <w:r w:rsidRPr="00F637B6">
        <w:rPr>
          <w:lang w:val="uk-UA"/>
        </w:rPr>
        <w:t xml:space="preserve">, що проблематичне розслідування, яке </w:t>
      </w:r>
      <w:r w:rsidRPr="00F637B6" w:rsidR="001475E5">
        <w:rPr>
          <w:lang w:val="uk-UA"/>
        </w:rPr>
        <w:t xml:space="preserve">характеризувалося </w:t>
      </w:r>
      <w:r w:rsidRPr="00F637B6">
        <w:rPr>
          <w:lang w:val="uk-UA"/>
        </w:rPr>
        <w:t>різними затримками та упущеннями, мо</w:t>
      </w:r>
      <w:r w:rsidRPr="00F637B6" w:rsidR="005F707F">
        <w:rPr>
          <w:lang w:val="uk-UA"/>
        </w:rPr>
        <w:t xml:space="preserve">гло </w:t>
      </w:r>
      <w:r w:rsidRPr="00F637B6">
        <w:rPr>
          <w:lang w:val="uk-UA"/>
        </w:rPr>
        <w:t xml:space="preserve">призвести до порушення не лише прав </w:t>
      </w:r>
      <w:r w:rsidRPr="00F637B6" w:rsidR="005F707F">
        <w:rPr>
          <w:lang w:val="uk-UA"/>
        </w:rPr>
        <w:t xml:space="preserve">потерпілих </w:t>
      </w:r>
      <w:r w:rsidRPr="00F637B6" w:rsidR="001909E6">
        <w:rPr>
          <w:lang w:val="uk-UA"/>
        </w:rPr>
        <w:t xml:space="preserve">від </w:t>
      </w:r>
      <w:r w:rsidRPr="00F637B6">
        <w:rPr>
          <w:lang w:val="uk-UA"/>
        </w:rPr>
        <w:t xml:space="preserve">відповідних злочинів, але й прав підозрюваних, наприклад, </w:t>
      </w:r>
      <w:r w:rsidRPr="00F637B6" w:rsidR="005F707F">
        <w:rPr>
          <w:lang w:val="uk-UA"/>
        </w:rPr>
        <w:t>у зв</w:t>
      </w:r>
      <w:r w:rsidRPr="00F637B6" w:rsidR="00F637B6">
        <w:rPr>
          <w:lang w:val="uk-UA"/>
        </w:rPr>
        <w:t>’</w:t>
      </w:r>
      <w:r w:rsidRPr="00F637B6" w:rsidR="005F707F">
        <w:rPr>
          <w:lang w:val="uk-UA"/>
        </w:rPr>
        <w:t>язку з</w:t>
      </w:r>
      <w:r w:rsidRPr="00F637B6">
        <w:rPr>
          <w:lang w:val="uk-UA"/>
        </w:rPr>
        <w:t xml:space="preserve"> їхн</w:t>
      </w:r>
      <w:r w:rsidRPr="00F637B6" w:rsidR="005F707F">
        <w:rPr>
          <w:lang w:val="uk-UA"/>
        </w:rPr>
        <w:t>ім</w:t>
      </w:r>
      <w:r w:rsidRPr="00F637B6">
        <w:rPr>
          <w:lang w:val="uk-UA"/>
        </w:rPr>
        <w:t xml:space="preserve"> </w:t>
      </w:r>
      <w:r w:rsidRPr="00F637B6" w:rsidR="005F707F">
        <w:rPr>
          <w:lang w:val="uk-UA"/>
        </w:rPr>
        <w:t>ймовірно</w:t>
      </w:r>
      <w:r w:rsidRPr="00F637B6">
        <w:rPr>
          <w:lang w:val="uk-UA"/>
        </w:rPr>
        <w:t xml:space="preserve"> невиправдано тривал</w:t>
      </w:r>
      <w:r w:rsidRPr="00F637B6" w:rsidR="005F707F">
        <w:rPr>
          <w:lang w:val="uk-UA"/>
        </w:rPr>
        <w:t>им</w:t>
      </w:r>
      <w:r w:rsidRPr="00F637B6">
        <w:rPr>
          <w:lang w:val="uk-UA"/>
        </w:rPr>
        <w:t xml:space="preserve"> тримання</w:t>
      </w:r>
      <w:r w:rsidRPr="00F637B6" w:rsidR="005F707F">
        <w:rPr>
          <w:lang w:val="uk-UA"/>
        </w:rPr>
        <w:t>м</w:t>
      </w:r>
      <w:r w:rsidRPr="00F637B6">
        <w:rPr>
          <w:lang w:val="uk-UA"/>
        </w:rPr>
        <w:t xml:space="preserve"> під вартою.</w:t>
      </w:r>
    </w:p>
    <w:p w:rsidRPr="00F637B6" w:rsidR="000643EE" w:rsidP="00F637B6" w14:paraId="7F4A82DF" w14:textId="77777777">
      <w:pPr>
        <w:pStyle w:val="JuPara"/>
        <w:rPr>
          <w:lang w:val="uk-UA"/>
        </w:rPr>
      </w:pPr>
      <w:r w:rsidRPr="00F637B6">
        <w:rPr>
          <w:lang w:val="uk-UA"/>
        </w:rPr>
        <w:t>На завершення, хоча я повністю підтримую висновки Суду,</w:t>
      </w:r>
      <w:r w:rsidRPr="00F637B6" w:rsidR="009376A0">
        <w:rPr>
          <w:lang w:val="uk-UA"/>
        </w:rPr>
        <w:t xml:space="preserve"> я</w:t>
      </w:r>
      <w:r w:rsidRPr="00F637B6">
        <w:rPr>
          <w:lang w:val="uk-UA"/>
        </w:rPr>
        <w:t xml:space="preserve"> вважаю важливим підкреслити, що обидва порушені в цій справі питання – використання скляних кабін в залах суду України та надмірна тривалість тримання під вартою другого заявника – ілюструють ширші структурні проблеми, які продовжують впливати на відправлення правосуддя. Рішення Суду підтверджує, що вжиті в контексті кримінального провадження заходи повинні послідовно поважати гідність підсудних, навіть якщо поріг </w:t>
      </w:r>
      <w:r w:rsidRPr="00F637B6" w:rsidR="00366599">
        <w:rPr>
          <w:lang w:val="uk-UA"/>
        </w:rPr>
        <w:t xml:space="preserve">застосовності </w:t>
      </w:r>
      <w:r w:rsidRPr="00F637B6">
        <w:rPr>
          <w:lang w:val="uk-UA"/>
        </w:rPr>
        <w:t xml:space="preserve">статті 3 Конвенції залишатиметься досить високим. Воно також демонструє, що недоліки в практиці </w:t>
      </w:r>
      <w:r w:rsidRPr="00F637B6" w:rsidR="00E14BF8">
        <w:rPr>
          <w:lang w:val="uk-UA"/>
        </w:rPr>
        <w:t xml:space="preserve">здійснення </w:t>
      </w:r>
      <w:r w:rsidRPr="00F637B6">
        <w:rPr>
          <w:lang w:val="uk-UA"/>
        </w:rPr>
        <w:t xml:space="preserve">досудового розслідування та судового розгляду можуть негативно вплинути не лише на права потерпілих, але й </w:t>
      </w:r>
      <w:r w:rsidRPr="00F637B6" w:rsidR="00E14BF8">
        <w:rPr>
          <w:lang w:val="uk-UA"/>
        </w:rPr>
        <w:t xml:space="preserve">так само </w:t>
      </w:r>
      <w:r w:rsidRPr="00F637B6">
        <w:rPr>
          <w:lang w:val="uk-UA"/>
        </w:rPr>
        <w:t xml:space="preserve">на права осіб, обвинувачених у вчиненні тяжких злочинів. Таким чином, цю справу слід розглядати як нагадування, що захист Конвенційних прав вимагає пильності на всіх стадіях кримінального провадження, і системні недоліки, якщо їх не виправляти, ризикують призвести до </w:t>
      </w:r>
      <w:r w:rsidRPr="00F637B6" w:rsidR="00E14BF8">
        <w:rPr>
          <w:lang w:val="uk-UA"/>
        </w:rPr>
        <w:t xml:space="preserve">виникнення </w:t>
      </w:r>
      <w:r w:rsidRPr="00F637B6">
        <w:rPr>
          <w:lang w:val="uk-UA"/>
        </w:rPr>
        <w:t>сукупних порушень.</w:t>
      </w:r>
    </w:p>
    <w:p w:rsidRPr="00F637B6" w:rsidR="008607B1" w:rsidP="00F637B6" w14:paraId="688B9F71" w14:textId="77777777">
      <w:pPr>
        <w:rPr>
          <w:lang w:val="uk-UA"/>
        </w:rPr>
      </w:pPr>
      <w:r w:rsidRPr="00F637B6">
        <w:rPr>
          <w:lang w:val="uk-UA"/>
        </w:rPr>
        <w:br w:type="page"/>
      </w:r>
    </w:p>
    <w:p w:rsidRPr="00F637B6" w:rsidR="008607B1" w:rsidP="00F637B6" w14:paraId="4F70AAC2" w14:textId="77777777">
      <w:pPr>
        <w:pStyle w:val="DecHTitle"/>
        <w:rPr>
          <w:lang w:val="uk-UA"/>
        </w:rPr>
      </w:pPr>
      <w:r w:rsidRPr="00F637B6">
        <w:rPr>
          <w:lang w:val="uk-UA"/>
        </w:rPr>
        <w:t>КОНСТАТАЦІЯ НЕЗГОДИ СУДДІ ГРИГОРЯНА</w:t>
      </w:r>
    </w:p>
    <w:p w:rsidRPr="00F637B6" w:rsidR="00666A39" w:rsidP="00F637B6" w14:paraId="3053C638" w14:textId="77777777">
      <w:pPr>
        <w:pStyle w:val="JuPara"/>
        <w:rPr>
          <w:lang w:val="uk-UA"/>
        </w:rPr>
      </w:pPr>
      <w:r w:rsidRPr="00F637B6">
        <w:rPr>
          <w:lang w:val="uk-UA"/>
        </w:rPr>
        <w:t>Я не погоджуюся з думкою більшості, що було порушено пункт 3 статті 5 Конвенції.</w:t>
      </w:r>
    </w:p>
    <w:sectPr w:rsidSect="000643EE">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150BFA" w:rsidP="0020718E" w14:paraId="7B2F4865" w14:textId="77777777">
    <w:pPr>
      <w:jc w:val="center"/>
    </w:pPr>
    <w:r>
      <w:rPr>
        <w:noProof/>
        <w:lang w:val="uk-UA" w:eastAsia="uk-UA"/>
      </w:rPr>
      <w:drawing>
        <wp:inline distT="0" distB="0" distL="0" distR="0">
          <wp:extent cx="771525" cy="619125"/>
          <wp:effectExtent l="0" t="0" r="9525" b="9525"/>
          <wp:docPr id="680971678" name="Picture 68097167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167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2C3B" w:rsidRPr="00E67565" w:rsidP="00AF12C5" w14:paraId="5FF9530F"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150BFA" w:rsidP="0020718E" w14:paraId="06E3C799"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42C3B" w:rsidRPr="00E67565" w:rsidP="009E7A6F" w14:paraId="6B6CD9D9"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P="009A115C" w14:paraId="72FBB78B" w14:textId="77777777">
    <w:pPr>
      <w:pStyle w:val="JuHeader"/>
    </w:pPr>
    <w:r>
      <w:fldChar w:fldCharType="begin"/>
    </w:r>
    <w:r>
      <w:instrText xml:space="preserve"> PAGE  \* MERGEFORMAT </w:instrText>
    </w:r>
    <w:r>
      <w:fldChar w:fldCharType="separate"/>
    </w:r>
    <w:r w:rsidR="005402AC">
      <w:rPr>
        <w:noProof/>
      </w:rPr>
      <w:t>10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0B7195" w:rsidP="007D3701" w14:paraId="21D5814B" w14:textId="77777777">
    <w:pPr>
      <w:pStyle w:val="JuHeader"/>
    </w:pPr>
    <w:r>
      <w:fldChar w:fldCharType="begin"/>
    </w:r>
    <w:r>
      <w:instrText xml:space="preserve"> PAGE  \* MERGEFORMAT </w:instrText>
    </w:r>
    <w:r>
      <w:fldChar w:fldCharType="separate"/>
    </w:r>
    <w:r w:rsidR="005402AC">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46767" w14:paraId="1DCD4B17" w14:textId="77777777">
      <w:r>
        <w:separator/>
      </w:r>
    </w:p>
  </w:footnote>
  <w:footnote w:type="continuationSeparator" w:id="1">
    <w:p w:rsidR="00F46767" w14:paraId="436FD606" w14:textId="77777777">
      <w:r>
        <w:continuationSeparator/>
      </w:r>
    </w:p>
  </w:footnote>
  <w:footnote w:id="2">
    <w:p w:rsidR="008E14CC" w:rsidRPr="008E14CC" w14:paraId="6191180C" w14:textId="77777777">
      <w:pPr>
        <w:pStyle w:val="FootnoteText"/>
        <w:rPr>
          <w:lang w:val="uk-UA"/>
        </w:rPr>
      </w:pPr>
      <w:r>
        <w:rPr>
          <w:rStyle w:val="FootnoteReference"/>
        </w:rPr>
        <w:footnoteRef/>
      </w:r>
      <w:r w:rsidRPr="00F637B6">
        <w:rPr>
          <w:lang w:val="ru-RU"/>
        </w:rPr>
        <w:t xml:space="preserve"> </w:t>
      </w:r>
      <w:r w:rsidRPr="00AF0E37">
        <w:rPr>
          <w:lang w:val="uk-UA"/>
        </w:rPr>
        <w:t xml:space="preserve">Виправлено </w:t>
      </w:r>
      <w:r>
        <w:rPr>
          <w:lang w:val="uk-UA"/>
        </w:rPr>
        <w:t>19</w:t>
      </w:r>
      <w:r w:rsidRPr="00AF0E37">
        <w:rPr>
          <w:lang w:val="uk-UA"/>
        </w:rPr>
        <w:t xml:space="preserve"> </w:t>
      </w:r>
      <w:r>
        <w:rPr>
          <w:lang w:val="uk-UA"/>
        </w:rPr>
        <w:t>травня</w:t>
      </w:r>
      <w:r w:rsidRPr="00AF0E37">
        <w:rPr>
          <w:lang w:val="uk-UA"/>
        </w:rPr>
        <w:t xml:space="preserve"> 202</w:t>
      </w:r>
      <w:r w:rsidRPr="00F637B6">
        <w:rPr>
          <w:lang w:val="ru-RU"/>
        </w:rPr>
        <w:t>6</w:t>
      </w:r>
      <w:r w:rsidRPr="00AF0E37">
        <w:rPr>
          <w:lang w:val="uk-UA"/>
        </w:rPr>
        <w:t xml:space="preserve"> року: </w:t>
      </w:r>
      <w:r w:rsidR="00691821">
        <w:rPr>
          <w:lang w:val="uk-UA"/>
        </w:rPr>
        <w:t>текст був</w:t>
      </w:r>
      <w:r w:rsidRPr="00AF0E37">
        <w:rPr>
          <w:lang w:val="uk-UA"/>
        </w:rPr>
        <w:t xml:space="preserve"> «</w:t>
      </w:r>
      <w:r w:rsidRPr="00F12846" w:rsidR="00691821">
        <w:rPr>
          <w:lang w:val="uk-UA"/>
        </w:rPr>
        <w:t>19 грудня</w:t>
      </w:r>
      <w:r w:rsidRPr="00AF0E37">
        <w:rPr>
          <w:lang w:val="uk-UA"/>
        </w:rPr>
        <w:t>».</w:t>
      </w:r>
    </w:p>
  </w:footnote>
  <w:footnote w:id="3">
    <w:p w:rsidR="00691821" w:rsidRPr="00691821" w14:paraId="16547787" w14:textId="77777777">
      <w:pPr>
        <w:pStyle w:val="FootnoteText"/>
        <w:rPr>
          <w:lang w:val="uk-UA"/>
        </w:rPr>
      </w:pPr>
      <w:r>
        <w:rPr>
          <w:rStyle w:val="FootnoteReference"/>
        </w:rPr>
        <w:footnoteRef/>
      </w:r>
      <w:r w:rsidRPr="00F637B6">
        <w:rPr>
          <w:lang w:val="ru-RU"/>
        </w:rPr>
        <w:t xml:space="preserve"> </w:t>
      </w:r>
      <w:r w:rsidRPr="00AF0E37">
        <w:rPr>
          <w:lang w:val="uk-UA"/>
        </w:rPr>
        <w:t xml:space="preserve">Виправлено </w:t>
      </w:r>
      <w:r>
        <w:rPr>
          <w:lang w:val="uk-UA"/>
        </w:rPr>
        <w:t>19</w:t>
      </w:r>
      <w:r w:rsidRPr="00AF0E37">
        <w:rPr>
          <w:lang w:val="uk-UA"/>
        </w:rPr>
        <w:t xml:space="preserve"> </w:t>
      </w:r>
      <w:r>
        <w:rPr>
          <w:lang w:val="uk-UA"/>
        </w:rPr>
        <w:t>травня</w:t>
      </w:r>
      <w:r w:rsidRPr="00AF0E37">
        <w:rPr>
          <w:lang w:val="uk-UA"/>
        </w:rPr>
        <w:t xml:space="preserve"> 202</w:t>
      </w:r>
      <w:r w:rsidRPr="00F637B6">
        <w:rPr>
          <w:lang w:val="ru-RU"/>
        </w:rPr>
        <w:t>6</w:t>
      </w:r>
      <w:r w:rsidRPr="00AF0E37">
        <w:rPr>
          <w:lang w:val="uk-UA"/>
        </w:rPr>
        <w:t xml:space="preserve"> року: </w:t>
      </w:r>
      <w:r>
        <w:rPr>
          <w:lang w:val="uk-UA"/>
        </w:rPr>
        <w:t>текст був</w:t>
      </w:r>
      <w:r w:rsidRPr="00AF0E37">
        <w:rPr>
          <w:lang w:val="uk-UA"/>
        </w:rPr>
        <w:t xml:space="preserve"> «</w:t>
      </w:r>
      <w:r w:rsidRPr="00F12846">
        <w:rPr>
          <w:lang w:val="uk-UA"/>
        </w:rPr>
        <w:t>19 грудня</w:t>
      </w:r>
      <w:r w:rsidRPr="00AF0E37">
        <w:rPr>
          <w:lang w:val="uk-UA"/>
        </w:rPr>
        <w:t>».</w:t>
      </w:r>
    </w:p>
  </w:footnote>
  <w:footnote w:id="4">
    <w:p w:rsidR="005402AC" w:rsidRPr="005402AC" w14:paraId="417A307D" w14:textId="77777777">
      <w:pPr>
        <w:pStyle w:val="FootnoteText"/>
        <w:rPr>
          <w:lang w:val="uk-UA"/>
        </w:rPr>
      </w:pPr>
      <w:r>
        <w:rPr>
          <w:rStyle w:val="FootnoteReference"/>
        </w:rPr>
        <w:footnoteRef/>
      </w:r>
      <w:r w:rsidRPr="00F637B6">
        <w:rPr>
          <w:lang w:val="ru-RU"/>
        </w:rPr>
        <w:t xml:space="preserve"> </w:t>
      </w:r>
      <w:r w:rsidRPr="00AF0E37">
        <w:rPr>
          <w:lang w:val="uk-UA"/>
        </w:rPr>
        <w:t xml:space="preserve">Виправлено </w:t>
      </w:r>
      <w:r>
        <w:rPr>
          <w:lang w:val="uk-UA"/>
        </w:rPr>
        <w:t>19</w:t>
      </w:r>
      <w:r w:rsidRPr="00AF0E37">
        <w:rPr>
          <w:lang w:val="uk-UA"/>
        </w:rPr>
        <w:t xml:space="preserve"> </w:t>
      </w:r>
      <w:r>
        <w:rPr>
          <w:lang w:val="uk-UA"/>
        </w:rPr>
        <w:t>травня</w:t>
      </w:r>
      <w:r w:rsidRPr="00AF0E37">
        <w:rPr>
          <w:lang w:val="uk-UA"/>
        </w:rPr>
        <w:t xml:space="preserve"> 202</w:t>
      </w:r>
      <w:r w:rsidRPr="00F637B6">
        <w:rPr>
          <w:lang w:val="ru-RU"/>
        </w:rPr>
        <w:t>6</w:t>
      </w:r>
      <w:r w:rsidRPr="00AF0E37">
        <w:rPr>
          <w:lang w:val="uk-UA"/>
        </w:rPr>
        <w:t xml:space="preserve"> року: </w:t>
      </w:r>
      <w:r>
        <w:rPr>
          <w:lang w:val="uk-UA"/>
        </w:rPr>
        <w:t>текст був</w:t>
      </w:r>
      <w:r w:rsidRPr="00AF0E37">
        <w:rPr>
          <w:lang w:val="uk-UA"/>
        </w:rPr>
        <w:t xml:space="preserve"> «</w:t>
      </w:r>
      <w:r>
        <w:rPr>
          <w:lang w:val="uk-UA"/>
        </w:rPr>
        <w:t>майже десять</w:t>
      </w:r>
      <w:r w:rsidRPr="00AF0E37">
        <w:rPr>
          <w:lang w:val="uk-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A45145" w:rsidP="00A45145" w14:paraId="5D809604" w14:textId="77777777">
    <w:pPr>
      <w:jc w:val="center"/>
    </w:pPr>
    <w:r>
      <w:rPr>
        <w:noProof/>
        <w:lang w:val="uk-UA" w:eastAsia="uk-UA"/>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2C3B" w:rsidRPr="00E67565" w:rsidP="00B14793" w14:paraId="29080C45"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A45145" w:rsidP="00A45145" w14:paraId="0AB181C3" w14:textId="77777777">
    <w:pPr>
      <w:jc w:val="center"/>
    </w:pPr>
    <w:r>
      <w:rPr>
        <w:noProof/>
        <w:lang w:val="uk-UA" w:eastAsia="uk-UA"/>
      </w:rPr>
      <w:drawing>
        <wp:inline distT="0" distB="0" distL="0" distR="0">
          <wp:extent cx="2962275" cy="1219200"/>
          <wp:effectExtent l="0" t="0" r="9525" b="0"/>
          <wp:docPr id="253466407" name="Picture 2534664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664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42C3B" w:rsidRPr="00E67565" w14:paraId="56CBC0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930F0B" w:rsidP="00930F0B" w14:paraId="55FB744B" w14:textId="77777777">
    <w:pPr>
      <w:pStyle w:val="JuHeader"/>
      <w:rPr>
        <w:lang w:val="uk-UA"/>
      </w:rPr>
    </w:pPr>
    <w:r>
      <w:rPr>
        <w:lang w:val="uk-UA"/>
      </w:rPr>
      <w:t>РІШЕННЯ У СПРАВІ «ЗІНЧЕНКО ТА ТАМТУРА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930F0B" w:rsidP="007D3701" w14:paraId="3C350B2B" w14:textId="77777777">
    <w:pPr>
      <w:pStyle w:val="JuHeader"/>
      <w:rPr>
        <w:lang w:val="uk-UA"/>
      </w:rPr>
    </w:pPr>
    <w:r>
      <w:rPr>
        <w:lang w:val="uk-UA"/>
      </w:rPr>
      <w:t>РІШЕННЯ У СПРАВІ «ЗІНЧЕНКО ТА ТАМТУРА ПРОТИ УКРАЇНИ»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930F0B" w:rsidP="00930F0B" w14:paraId="71769713" w14:textId="77777777">
    <w:pPr>
      <w:pStyle w:val="JuHeader"/>
      <w:rPr>
        <w:lang w:val="uk-UA"/>
      </w:rPr>
    </w:pPr>
    <w:r>
      <w:rPr>
        <w:lang w:val="uk-UA"/>
      </w:rPr>
      <w:t>РІШЕННЯ У СПРАВІ «ЗІНЧЕНКО ТА ТАМТУРА ПРОТИ УКРАЇНИ»</w:t>
    </w:r>
  </w:p>
  <w:p w:rsidR="00D42C3B" w:rsidRPr="00930F0B" w:rsidP="00930F0B" w14:paraId="6D8E9B4D" w14:textId="77777777">
    <w:pPr>
      <w:pStyle w:val="JuHeader"/>
    </w:pPr>
    <w:r>
      <w:t xml:space="preserve">– </w:t>
    </w:r>
    <w:r>
      <w:rPr>
        <w:lang w:val="uk-UA"/>
      </w:rPr>
      <w:t>ОКРЕМА ДУМКА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3B" w:rsidRPr="00930F0B" w:rsidP="00930F0B" w14:paraId="07F1FB58" w14:textId="77777777">
    <w:pPr>
      <w:pStyle w:val="JuHeader"/>
      <w:rPr>
        <w:lang w:val="uk-UA"/>
      </w:rPr>
    </w:pPr>
    <w:r>
      <w:rPr>
        <w:lang w:val="uk-UA"/>
      </w:rPr>
      <w:t>РІШЕННЯ У СПРАВІ «ЗІНЧЕНКО ТА ТАМТУРА ПРОТИ УКРАЇНИ»</w:t>
    </w:r>
  </w:p>
  <w:p w:rsidR="00D42C3B" w:rsidRPr="00882CD5" w:rsidP="007D3701" w14:paraId="694404E1" w14:textId="77777777">
    <w:pPr>
      <w:pStyle w:val="JuHeader"/>
    </w:pPr>
    <w:r>
      <w:t xml:space="preserve">– </w:t>
    </w:r>
    <w:r>
      <w:rPr>
        <w:lang w:val="uk-UA"/>
      </w:rPr>
      <w:t>ОКРЕМА ДУМКА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47270936">
    <w:abstractNumId w:val="17"/>
  </w:num>
  <w:num w:numId="2" w16cid:durableId="29451608">
    <w:abstractNumId w:val="19"/>
  </w:num>
  <w:num w:numId="3" w16cid:durableId="487281924">
    <w:abstractNumId w:val="14"/>
  </w:num>
  <w:num w:numId="4" w16cid:durableId="385226598">
    <w:abstractNumId w:val="12"/>
  </w:num>
  <w:num w:numId="5" w16cid:durableId="1663116276">
    <w:abstractNumId w:val="11"/>
  </w:num>
  <w:num w:numId="6" w16cid:durableId="87850445">
    <w:abstractNumId w:val="18"/>
  </w:num>
  <w:num w:numId="7" w16cid:durableId="1948005189">
    <w:abstractNumId w:val="7"/>
  </w:num>
  <w:num w:numId="8" w16cid:durableId="1035428269">
    <w:abstractNumId w:val="6"/>
  </w:num>
  <w:num w:numId="9" w16cid:durableId="31423595">
    <w:abstractNumId w:val="5"/>
  </w:num>
  <w:num w:numId="10" w16cid:durableId="1092897726">
    <w:abstractNumId w:val="4"/>
  </w:num>
  <w:num w:numId="11" w16cid:durableId="1425150869">
    <w:abstractNumId w:val="8"/>
  </w:num>
  <w:num w:numId="12" w16cid:durableId="494808544">
    <w:abstractNumId w:val="3"/>
  </w:num>
  <w:num w:numId="13" w16cid:durableId="875237268">
    <w:abstractNumId w:val="2"/>
  </w:num>
  <w:num w:numId="14" w16cid:durableId="542986207">
    <w:abstractNumId w:val="1"/>
  </w:num>
  <w:num w:numId="15" w16cid:durableId="1498225857">
    <w:abstractNumId w:val="0"/>
  </w:num>
  <w:num w:numId="16" w16cid:durableId="1655336131">
    <w:abstractNumId w:val="15"/>
  </w:num>
  <w:num w:numId="17" w16cid:durableId="2112047234">
    <w:abstractNumId w:val="13"/>
  </w:num>
  <w:num w:numId="18" w16cid:durableId="1073430274">
    <w:abstractNumId w:val="16"/>
  </w:num>
  <w:num w:numId="19" w16cid:durableId="622074402">
    <w:abstractNumId w:val="15"/>
  </w:num>
  <w:num w:numId="20" w16cid:durableId="1971589334">
    <w:abstractNumId w:val="16"/>
  </w:num>
  <w:num w:numId="21" w16cid:durableId="1517688957">
    <w:abstractNumId w:val="10"/>
  </w:num>
  <w:num w:numId="22" w16cid:durableId="1742025763">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56D"/>
    <w:rsid w:val="000015F0"/>
    <w:rsid w:val="00003B69"/>
    <w:rsid w:val="000041F8"/>
    <w:rsid w:val="000042A8"/>
    <w:rsid w:val="00004308"/>
    <w:rsid w:val="00005BF0"/>
    <w:rsid w:val="0000617D"/>
    <w:rsid w:val="00006AFD"/>
    <w:rsid w:val="00007154"/>
    <w:rsid w:val="000103AE"/>
    <w:rsid w:val="00011D69"/>
    <w:rsid w:val="00011FE2"/>
    <w:rsid w:val="00012AD3"/>
    <w:rsid w:val="00013D73"/>
    <w:rsid w:val="00015C2D"/>
    <w:rsid w:val="00015F00"/>
    <w:rsid w:val="00016B4F"/>
    <w:rsid w:val="0001768D"/>
    <w:rsid w:val="00022C1D"/>
    <w:rsid w:val="0002592F"/>
    <w:rsid w:val="00031428"/>
    <w:rsid w:val="00034987"/>
    <w:rsid w:val="00035762"/>
    <w:rsid w:val="00041560"/>
    <w:rsid w:val="0004308D"/>
    <w:rsid w:val="000602DF"/>
    <w:rsid w:val="00061B05"/>
    <w:rsid w:val="000632D5"/>
    <w:rsid w:val="000643EE"/>
    <w:rsid w:val="000644EE"/>
    <w:rsid w:val="000712E3"/>
    <w:rsid w:val="0007780A"/>
    <w:rsid w:val="00085457"/>
    <w:rsid w:val="00085EB9"/>
    <w:rsid w:val="000920B5"/>
    <w:rsid w:val="000925AD"/>
    <w:rsid w:val="0009379C"/>
    <w:rsid w:val="00096FE1"/>
    <w:rsid w:val="00097A62"/>
    <w:rsid w:val="000A24EB"/>
    <w:rsid w:val="000A6FA0"/>
    <w:rsid w:val="000B21F3"/>
    <w:rsid w:val="000B686A"/>
    <w:rsid w:val="000B6923"/>
    <w:rsid w:val="000B7195"/>
    <w:rsid w:val="000C5F3C"/>
    <w:rsid w:val="000C6DCC"/>
    <w:rsid w:val="000D47AA"/>
    <w:rsid w:val="000D721F"/>
    <w:rsid w:val="000E069B"/>
    <w:rsid w:val="000E0E82"/>
    <w:rsid w:val="000E1DC5"/>
    <w:rsid w:val="000E223F"/>
    <w:rsid w:val="000E3247"/>
    <w:rsid w:val="000E46B8"/>
    <w:rsid w:val="000E7D45"/>
    <w:rsid w:val="000F1FB1"/>
    <w:rsid w:val="000F2DFE"/>
    <w:rsid w:val="000F52F4"/>
    <w:rsid w:val="000F712B"/>
    <w:rsid w:val="000F7851"/>
    <w:rsid w:val="00101505"/>
    <w:rsid w:val="00103C9F"/>
    <w:rsid w:val="00104E23"/>
    <w:rsid w:val="00110DA8"/>
    <w:rsid w:val="00111B0C"/>
    <w:rsid w:val="00111D06"/>
    <w:rsid w:val="00112F8F"/>
    <w:rsid w:val="00120D6C"/>
    <w:rsid w:val="001257EC"/>
    <w:rsid w:val="00133D33"/>
    <w:rsid w:val="00134B6A"/>
    <w:rsid w:val="00134D64"/>
    <w:rsid w:val="00135A30"/>
    <w:rsid w:val="0013612C"/>
    <w:rsid w:val="00137FF6"/>
    <w:rsid w:val="00141650"/>
    <w:rsid w:val="00146026"/>
    <w:rsid w:val="001475E5"/>
    <w:rsid w:val="00150BFA"/>
    <w:rsid w:val="001542F3"/>
    <w:rsid w:val="001561B6"/>
    <w:rsid w:val="00162A12"/>
    <w:rsid w:val="00162FDC"/>
    <w:rsid w:val="00166530"/>
    <w:rsid w:val="0016674E"/>
    <w:rsid w:val="00170027"/>
    <w:rsid w:val="001702F0"/>
    <w:rsid w:val="00172DBA"/>
    <w:rsid w:val="001778DD"/>
    <w:rsid w:val="00182EBA"/>
    <w:rsid w:val="00182EEB"/>
    <w:rsid w:val="001832BD"/>
    <w:rsid w:val="001909E6"/>
    <w:rsid w:val="001912FE"/>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2B2B"/>
    <w:rsid w:val="001E3EAE"/>
    <w:rsid w:val="001E6857"/>
    <w:rsid w:val="001E6F32"/>
    <w:rsid w:val="001F2145"/>
    <w:rsid w:val="001F4B3E"/>
    <w:rsid w:val="001F6262"/>
    <w:rsid w:val="001F67B0"/>
    <w:rsid w:val="001F7B3D"/>
    <w:rsid w:val="0020152E"/>
    <w:rsid w:val="00202752"/>
    <w:rsid w:val="0020335A"/>
    <w:rsid w:val="002036F3"/>
    <w:rsid w:val="002052BC"/>
    <w:rsid w:val="00205F9F"/>
    <w:rsid w:val="0020718E"/>
    <w:rsid w:val="00210338"/>
    <w:rsid w:val="002115FC"/>
    <w:rsid w:val="0021423C"/>
    <w:rsid w:val="0021711C"/>
    <w:rsid w:val="00226C89"/>
    <w:rsid w:val="00230D00"/>
    <w:rsid w:val="00231DF7"/>
    <w:rsid w:val="00231FD1"/>
    <w:rsid w:val="002339E0"/>
    <w:rsid w:val="00233CF8"/>
    <w:rsid w:val="00234110"/>
    <w:rsid w:val="0023575D"/>
    <w:rsid w:val="00237148"/>
    <w:rsid w:val="0024222D"/>
    <w:rsid w:val="002422B6"/>
    <w:rsid w:val="00244B0E"/>
    <w:rsid w:val="00244F6C"/>
    <w:rsid w:val="0024638A"/>
    <w:rsid w:val="00246B89"/>
    <w:rsid w:val="00252C4E"/>
    <w:rsid w:val="002532C5"/>
    <w:rsid w:val="00254DF2"/>
    <w:rsid w:val="00260442"/>
    <w:rsid w:val="00260C03"/>
    <w:rsid w:val="0026439A"/>
    <w:rsid w:val="0026540E"/>
    <w:rsid w:val="00275123"/>
    <w:rsid w:val="0028157B"/>
    <w:rsid w:val="00281B7C"/>
    <w:rsid w:val="00282240"/>
    <w:rsid w:val="00282BD8"/>
    <w:rsid w:val="00287AD5"/>
    <w:rsid w:val="002923FC"/>
    <w:rsid w:val="002934D0"/>
    <w:rsid w:val="00293676"/>
    <w:rsid w:val="00293BD9"/>
    <w:rsid w:val="002948AD"/>
    <w:rsid w:val="00295E5F"/>
    <w:rsid w:val="00297EFC"/>
    <w:rsid w:val="002A01CC"/>
    <w:rsid w:val="002A613A"/>
    <w:rsid w:val="002A61B1"/>
    <w:rsid w:val="002A663C"/>
    <w:rsid w:val="002B444B"/>
    <w:rsid w:val="002B5887"/>
    <w:rsid w:val="002B5B43"/>
    <w:rsid w:val="002C0E27"/>
    <w:rsid w:val="002C3040"/>
    <w:rsid w:val="002C4433"/>
    <w:rsid w:val="002C57B6"/>
    <w:rsid w:val="002C5ADD"/>
    <w:rsid w:val="002C7826"/>
    <w:rsid w:val="002D022D"/>
    <w:rsid w:val="002D24BB"/>
    <w:rsid w:val="002D2FA7"/>
    <w:rsid w:val="002D408D"/>
    <w:rsid w:val="002D47BA"/>
    <w:rsid w:val="002D77B9"/>
    <w:rsid w:val="002E4592"/>
    <w:rsid w:val="002E46DA"/>
    <w:rsid w:val="002E7764"/>
    <w:rsid w:val="002F2AF7"/>
    <w:rsid w:val="002F57A0"/>
    <w:rsid w:val="002F69C4"/>
    <w:rsid w:val="002F7D9E"/>
    <w:rsid w:val="002F7E1C"/>
    <w:rsid w:val="00301A75"/>
    <w:rsid w:val="00302F70"/>
    <w:rsid w:val="0030336F"/>
    <w:rsid w:val="0030375E"/>
    <w:rsid w:val="00306CE6"/>
    <w:rsid w:val="003109F1"/>
    <w:rsid w:val="00312A30"/>
    <w:rsid w:val="00317503"/>
    <w:rsid w:val="003201D8"/>
    <w:rsid w:val="00320F72"/>
    <w:rsid w:val="003210E9"/>
    <w:rsid w:val="0032463E"/>
    <w:rsid w:val="00326224"/>
    <w:rsid w:val="003334C2"/>
    <w:rsid w:val="00337EE4"/>
    <w:rsid w:val="00340FFD"/>
    <w:rsid w:val="00345C41"/>
    <w:rsid w:val="00350266"/>
    <w:rsid w:val="003506B1"/>
    <w:rsid w:val="00355877"/>
    <w:rsid w:val="00356AC7"/>
    <w:rsid w:val="003609FA"/>
    <w:rsid w:val="00366599"/>
    <w:rsid w:val="003710C8"/>
    <w:rsid w:val="003750BE"/>
    <w:rsid w:val="00376A5F"/>
    <w:rsid w:val="00385A36"/>
    <w:rsid w:val="00385F3D"/>
    <w:rsid w:val="0038740C"/>
    <w:rsid w:val="00387B9D"/>
    <w:rsid w:val="00387C70"/>
    <w:rsid w:val="00390294"/>
    <w:rsid w:val="00393273"/>
    <w:rsid w:val="0039364F"/>
    <w:rsid w:val="00396686"/>
    <w:rsid w:val="0039778E"/>
    <w:rsid w:val="003A1636"/>
    <w:rsid w:val="003B4941"/>
    <w:rsid w:val="003C02E5"/>
    <w:rsid w:val="003C1173"/>
    <w:rsid w:val="003C5714"/>
    <w:rsid w:val="003C6B9F"/>
    <w:rsid w:val="003C6E2A"/>
    <w:rsid w:val="003D0299"/>
    <w:rsid w:val="003E595D"/>
    <w:rsid w:val="003E6D80"/>
    <w:rsid w:val="003E7BCC"/>
    <w:rsid w:val="003F05FA"/>
    <w:rsid w:val="003F244A"/>
    <w:rsid w:val="003F2517"/>
    <w:rsid w:val="003F30B8"/>
    <w:rsid w:val="003F4C45"/>
    <w:rsid w:val="003F5F7B"/>
    <w:rsid w:val="003F6CB4"/>
    <w:rsid w:val="003F7D64"/>
    <w:rsid w:val="0040433A"/>
    <w:rsid w:val="00406A1A"/>
    <w:rsid w:val="00414300"/>
    <w:rsid w:val="00414F27"/>
    <w:rsid w:val="00420703"/>
    <w:rsid w:val="00420B95"/>
    <w:rsid w:val="00425C67"/>
    <w:rsid w:val="00427E7A"/>
    <w:rsid w:val="004355AC"/>
    <w:rsid w:val="00436C49"/>
    <w:rsid w:val="00443D98"/>
    <w:rsid w:val="00445366"/>
    <w:rsid w:val="00447F5B"/>
    <w:rsid w:val="0045107D"/>
    <w:rsid w:val="00455794"/>
    <w:rsid w:val="00457FB2"/>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D80"/>
    <w:rsid w:val="004B013B"/>
    <w:rsid w:val="004B112B"/>
    <w:rsid w:val="004B2831"/>
    <w:rsid w:val="004B444E"/>
    <w:rsid w:val="004C01E4"/>
    <w:rsid w:val="004C086C"/>
    <w:rsid w:val="004C1F56"/>
    <w:rsid w:val="004C27BC"/>
    <w:rsid w:val="004C6621"/>
    <w:rsid w:val="004D0EC7"/>
    <w:rsid w:val="004D15F3"/>
    <w:rsid w:val="004D3B3D"/>
    <w:rsid w:val="004D4EF1"/>
    <w:rsid w:val="004D5311"/>
    <w:rsid w:val="004D578D"/>
    <w:rsid w:val="004D5DCC"/>
    <w:rsid w:val="004D7E45"/>
    <w:rsid w:val="004F10AF"/>
    <w:rsid w:val="004F10C5"/>
    <w:rsid w:val="004F11A4"/>
    <w:rsid w:val="004F2389"/>
    <w:rsid w:val="004F304D"/>
    <w:rsid w:val="004F4290"/>
    <w:rsid w:val="004F57B4"/>
    <w:rsid w:val="004F61BE"/>
    <w:rsid w:val="004F66B1"/>
    <w:rsid w:val="00505F69"/>
    <w:rsid w:val="00511119"/>
    <w:rsid w:val="00511C07"/>
    <w:rsid w:val="005125CB"/>
    <w:rsid w:val="00512EC4"/>
    <w:rsid w:val="00513B49"/>
    <w:rsid w:val="005147C4"/>
    <w:rsid w:val="0051725A"/>
    <w:rsid w:val="005173A6"/>
    <w:rsid w:val="00517BB8"/>
    <w:rsid w:val="00520354"/>
    <w:rsid w:val="00520BAA"/>
    <w:rsid w:val="005217D8"/>
    <w:rsid w:val="00525208"/>
    <w:rsid w:val="005257A5"/>
    <w:rsid w:val="005264C0"/>
    <w:rsid w:val="00526A8A"/>
    <w:rsid w:val="0052701F"/>
    <w:rsid w:val="00527FB1"/>
    <w:rsid w:val="00530FE6"/>
    <w:rsid w:val="00531DF2"/>
    <w:rsid w:val="0053315C"/>
    <w:rsid w:val="00537476"/>
    <w:rsid w:val="005402AC"/>
    <w:rsid w:val="005442EE"/>
    <w:rsid w:val="00544A91"/>
    <w:rsid w:val="00545DA6"/>
    <w:rsid w:val="0054716E"/>
    <w:rsid w:val="00547187"/>
    <w:rsid w:val="00547353"/>
    <w:rsid w:val="005474E7"/>
    <w:rsid w:val="005512A3"/>
    <w:rsid w:val="005578CE"/>
    <w:rsid w:val="00562781"/>
    <w:rsid w:val="00562B6C"/>
    <w:rsid w:val="005648A8"/>
    <w:rsid w:val="0057271C"/>
    <w:rsid w:val="00572845"/>
    <w:rsid w:val="005803C6"/>
    <w:rsid w:val="005879A2"/>
    <w:rsid w:val="00592772"/>
    <w:rsid w:val="0059574A"/>
    <w:rsid w:val="005A1B9B"/>
    <w:rsid w:val="005A2221"/>
    <w:rsid w:val="005A24B8"/>
    <w:rsid w:val="005A2E79"/>
    <w:rsid w:val="005A6751"/>
    <w:rsid w:val="005B092E"/>
    <w:rsid w:val="005B152C"/>
    <w:rsid w:val="005B1EE0"/>
    <w:rsid w:val="005B2B24"/>
    <w:rsid w:val="005B4425"/>
    <w:rsid w:val="005B4B94"/>
    <w:rsid w:val="005C2C62"/>
    <w:rsid w:val="005C3EE8"/>
    <w:rsid w:val="005D1024"/>
    <w:rsid w:val="005D2F2A"/>
    <w:rsid w:val="005D34F9"/>
    <w:rsid w:val="005D4190"/>
    <w:rsid w:val="005D67A3"/>
    <w:rsid w:val="005E2988"/>
    <w:rsid w:val="005E3085"/>
    <w:rsid w:val="005E4994"/>
    <w:rsid w:val="005F0EB3"/>
    <w:rsid w:val="005F51E1"/>
    <w:rsid w:val="005F707F"/>
    <w:rsid w:val="00601E09"/>
    <w:rsid w:val="00611C80"/>
    <w:rsid w:val="006138F7"/>
    <w:rsid w:val="00620692"/>
    <w:rsid w:val="00623885"/>
    <w:rsid w:val="006242CA"/>
    <w:rsid w:val="00627507"/>
    <w:rsid w:val="00633717"/>
    <w:rsid w:val="006344E1"/>
    <w:rsid w:val="0064333F"/>
    <w:rsid w:val="00643524"/>
    <w:rsid w:val="0064393B"/>
    <w:rsid w:val="00645CF2"/>
    <w:rsid w:val="00653BED"/>
    <w:rsid w:val="006545C4"/>
    <w:rsid w:val="00661971"/>
    <w:rsid w:val="00661CE8"/>
    <w:rsid w:val="006623D9"/>
    <w:rsid w:val="006642A5"/>
    <w:rsid w:val="0066550C"/>
    <w:rsid w:val="00665BD2"/>
    <w:rsid w:val="00666A39"/>
    <w:rsid w:val="006678BC"/>
    <w:rsid w:val="00670F8C"/>
    <w:rsid w:val="006716F2"/>
    <w:rsid w:val="00675AF2"/>
    <w:rsid w:val="00680045"/>
    <w:rsid w:val="006806A2"/>
    <w:rsid w:val="00682BF2"/>
    <w:rsid w:val="006834F8"/>
    <w:rsid w:val="0068573E"/>
    <w:rsid w:val="006859CE"/>
    <w:rsid w:val="00685F44"/>
    <w:rsid w:val="00691270"/>
    <w:rsid w:val="00691821"/>
    <w:rsid w:val="00694BA8"/>
    <w:rsid w:val="00694F75"/>
    <w:rsid w:val="00696D66"/>
    <w:rsid w:val="006A037C"/>
    <w:rsid w:val="006A0C84"/>
    <w:rsid w:val="006A36F4"/>
    <w:rsid w:val="006A406F"/>
    <w:rsid w:val="006A4E97"/>
    <w:rsid w:val="006A5D3A"/>
    <w:rsid w:val="006B1942"/>
    <w:rsid w:val="006C23D4"/>
    <w:rsid w:val="006C7BB0"/>
    <w:rsid w:val="006D3237"/>
    <w:rsid w:val="006D7FA0"/>
    <w:rsid w:val="006E2E37"/>
    <w:rsid w:val="006E3CF1"/>
    <w:rsid w:val="006E4DDC"/>
    <w:rsid w:val="006E64F2"/>
    <w:rsid w:val="006E68A3"/>
    <w:rsid w:val="006E7E80"/>
    <w:rsid w:val="006F0CE2"/>
    <w:rsid w:val="006F1C2D"/>
    <w:rsid w:val="006F48CA"/>
    <w:rsid w:val="006F64DD"/>
    <w:rsid w:val="006F712D"/>
    <w:rsid w:val="00700443"/>
    <w:rsid w:val="00703A60"/>
    <w:rsid w:val="00715127"/>
    <w:rsid w:val="00715E8E"/>
    <w:rsid w:val="00716E23"/>
    <w:rsid w:val="00723580"/>
    <w:rsid w:val="00723755"/>
    <w:rsid w:val="00726A78"/>
    <w:rsid w:val="0073136C"/>
    <w:rsid w:val="00731F0F"/>
    <w:rsid w:val="00733250"/>
    <w:rsid w:val="00741404"/>
    <w:rsid w:val="007449E5"/>
    <w:rsid w:val="00744DB4"/>
    <w:rsid w:val="0074750E"/>
    <w:rsid w:val="00747FF0"/>
    <w:rsid w:val="00751066"/>
    <w:rsid w:val="00751CC5"/>
    <w:rsid w:val="0075566E"/>
    <w:rsid w:val="00763602"/>
    <w:rsid w:val="00764D4E"/>
    <w:rsid w:val="00765A1F"/>
    <w:rsid w:val="00767949"/>
    <w:rsid w:val="00772174"/>
    <w:rsid w:val="00775B6D"/>
    <w:rsid w:val="00776D68"/>
    <w:rsid w:val="00781140"/>
    <w:rsid w:val="0078323E"/>
    <w:rsid w:val="007849C2"/>
    <w:rsid w:val="007850EE"/>
    <w:rsid w:val="00785B95"/>
    <w:rsid w:val="00790E96"/>
    <w:rsid w:val="00791898"/>
    <w:rsid w:val="00791AF3"/>
    <w:rsid w:val="0079202F"/>
    <w:rsid w:val="007926FD"/>
    <w:rsid w:val="00793366"/>
    <w:rsid w:val="00795222"/>
    <w:rsid w:val="00795576"/>
    <w:rsid w:val="0079666C"/>
    <w:rsid w:val="007A10D1"/>
    <w:rsid w:val="007A716F"/>
    <w:rsid w:val="007B270A"/>
    <w:rsid w:val="007B4182"/>
    <w:rsid w:val="007C0695"/>
    <w:rsid w:val="007C419A"/>
    <w:rsid w:val="007C4CC8"/>
    <w:rsid w:val="007C5426"/>
    <w:rsid w:val="007C5798"/>
    <w:rsid w:val="007D0AE9"/>
    <w:rsid w:val="007D1ECD"/>
    <w:rsid w:val="007D3701"/>
    <w:rsid w:val="007D4832"/>
    <w:rsid w:val="007D7821"/>
    <w:rsid w:val="007E00C6"/>
    <w:rsid w:val="007E21B2"/>
    <w:rsid w:val="007E2B76"/>
    <w:rsid w:val="007E2C4E"/>
    <w:rsid w:val="007E2C8C"/>
    <w:rsid w:val="007E51BA"/>
    <w:rsid w:val="007E5326"/>
    <w:rsid w:val="007E73D7"/>
    <w:rsid w:val="007E79A4"/>
    <w:rsid w:val="007F01D7"/>
    <w:rsid w:val="007F1905"/>
    <w:rsid w:val="007F27E4"/>
    <w:rsid w:val="007F3437"/>
    <w:rsid w:val="0080261E"/>
    <w:rsid w:val="00802C64"/>
    <w:rsid w:val="0080557D"/>
    <w:rsid w:val="00805E52"/>
    <w:rsid w:val="008061D0"/>
    <w:rsid w:val="00810B38"/>
    <w:rsid w:val="0081101B"/>
    <w:rsid w:val="008204C7"/>
    <w:rsid w:val="0082075E"/>
    <w:rsid w:val="00820992"/>
    <w:rsid w:val="00823602"/>
    <w:rsid w:val="008255F5"/>
    <w:rsid w:val="00826890"/>
    <w:rsid w:val="0083014E"/>
    <w:rsid w:val="0083214A"/>
    <w:rsid w:val="00834220"/>
    <w:rsid w:val="0083656D"/>
    <w:rsid w:val="00845723"/>
    <w:rsid w:val="00846ADA"/>
    <w:rsid w:val="008519E7"/>
    <w:rsid w:val="00851EF9"/>
    <w:rsid w:val="008577FD"/>
    <w:rsid w:val="008607B1"/>
    <w:rsid w:val="00860B03"/>
    <w:rsid w:val="0086497A"/>
    <w:rsid w:val="0086538E"/>
    <w:rsid w:val="00865CA6"/>
    <w:rsid w:val="00867066"/>
    <w:rsid w:val="008713A1"/>
    <w:rsid w:val="00872584"/>
    <w:rsid w:val="008754AB"/>
    <w:rsid w:val="0088060C"/>
    <w:rsid w:val="00882CD5"/>
    <w:rsid w:val="00883151"/>
    <w:rsid w:val="00885F0C"/>
    <w:rsid w:val="00893576"/>
    <w:rsid w:val="00893E73"/>
    <w:rsid w:val="008B02DC"/>
    <w:rsid w:val="008B092C"/>
    <w:rsid w:val="008B57CE"/>
    <w:rsid w:val="008C26DE"/>
    <w:rsid w:val="008D14E7"/>
    <w:rsid w:val="008D1668"/>
    <w:rsid w:val="008D2225"/>
    <w:rsid w:val="008D4752"/>
    <w:rsid w:val="008D5A13"/>
    <w:rsid w:val="008E14CC"/>
    <w:rsid w:val="008E271C"/>
    <w:rsid w:val="008E3A08"/>
    <w:rsid w:val="008E418E"/>
    <w:rsid w:val="008E5BC6"/>
    <w:rsid w:val="008E6217"/>
    <w:rsid w:val="008E6A25"/>
    <w:rsid w:val="008F2465"/>
    <w:rsid w:val="008F2554"/>
    <w:rsid w:val="008F33B2"/>
    <w:rsid w:val="008F3AEC"/>
    <w:rsid w:val="008F4D80"/>
    <w:rsid w:val="008F5193"/>
    <w:rsid w:val="008F6B36"/>
    <w:rsid w:val="009013A7"/>
    <w:rsid w:val="009017FB"/>
    <w:rsid w:val="009017FC"/>
    <w:rsid w:val="0090506B"/>
    <w:rsid w:val="009050C9"/>
    <w:rsid w:val="009066FC"/>
    <w:rsid w:val="00906BA1"/>
    <w:rsid w:val="009140A3"/>
    <w:rsid w:val="009144A2"/>
    <w:rsid w:val="0091510C"/>
    <w:rsid w:val="009177AF"/>
    <w:rsid w:val="00924BE8"/>
    <w:rsid w:val="009259AC"/>
    <w:rsid w:val="00925F25"/>
    <w:rsid w:val="00926F38"/>
    <w:rsid w:val="00927BEB"/>
    <w:rsid w:val="00930F0B"/>
    <w:rsid w:val="009333DC"/>
    <w:rsid w:val="00934301"/>
    <w:rsid w:val="00936B68"/>
    <w:rsid w:val="00936CD1"/>
    <w:rsid w:val="009375F1"/>
    <w:rsid w:val="009376A0"/>
    <w:rsid w:val="0094131C"/>
    <w:rsid w:val="00941747"/>
    <w:rsid w:val="00941EFB"/>
    <w:rsid w:val="00947AFB"/>
    <w:rsid w:val="00951AA3"/>
    <w:rsid w:val="00951D7D"/>
    <w:rsid w:val="00956D0C"/>
    <w:rsid w:val="009630C7"/>
    <w:rsid w:val="00963EF7"/>
    <w:rsid w:val="00972B55"/>
    <w:rsid w:val="009743B7"/>
    <w:rsid w:val="0098228B"/>
    <w:rsid w:val="009828DA"/>
    <w:rsid w:val="0098410D"/>
    <w:rsid w:val="00985BAB"/>
    <w:rsid w:val="00986B3C"/>
    <w:rsid w:val="009A115C"/>
    <w:rsid w:val="009A117D"/>
    <w:rsid w:val="009A7FC1"/>
    <w:rsid w:val="009B1606"/>
    <w:rsid w:val="009B1B5F"/>
    <w:rsid w:val="009B4893"/>
    <w:rsid w:val="009B626B"/>
    <w:rsid w:val="009B6673"/>
    <w:rsid w:val="009B7C93"/>
    <w:rsid w:val="009C0C48"/>
    <w:rsid w:val="009C191B"/>
    <w:rsid w:val="009C2BD6"/>
    <w:rsid w:val="009C71F7"/>
    <w:rsid w:val="009D57AA"/>
    <w:rsid w:val="009E1F32"/>
    <w:rsid w:val="009E2CC2"/>
    <w:rsid w:val="009E38EE"/>
    <w:rsid w:val="009E47A2"/>
    <w:rsid w:val="009E776C"/>
    <w:rsid w:val="009E7A6F"/>
    <w:rsid w:val="009F4C8F"/>
    <w:rsid w:val="00A02972"/>
    <w:rsid w:val="00A05588"/>
    <w:rsid w:val="00A15601"/>
    <w:rsid w:val="00A1726E"/>
    <w:rsid w:val="00A173BB"/>
    <w:rsid w:val="00A17F5D"/>
    <w:rsid w:val="00A204CF"/>
    <w:rsid w:val="00A21A30"/>
    <w:rsid w:val="00A21D2B"/>
    <w:rsid w:val="00A22745"/>
    <w:rsid w:val="00A23D49"/>
    <w:rsid w:val="00A27004"/>
    <w:rsid w:val="00A276A8"/>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F56"/>
    <w:rsid w:val="00A82359"/>
    <w:rsid w:val="00A865D2"/>
    <w:rsid w:val="00A87C10"/>
    <w:rsid w:val="00A90BCD"/>
    <w:rsid w:val="00A92625"/>
    <w:rsid w:val="00A94C20"/>
    <w:rsid w:val="00A95ACB"/>
    <w:rsid w:val="00A95D81"/>
    <w:rsid w:val="00AA1B09"/>
    <w:rsid w:val="00AA227F"/>
    <w:rsid w:val="00AA3BC7"/>
    <w:rsid w:val="00AA514B"/>
    <w:rsid w:val="00AA754A"/>
    <w:rsid w:val="00AB099E"/>
    <w:rsid w:val="00AB4328"/>
    <w:rsid w:val="00AC38DE"/>
    <w:rsid w:val="00AC4CD4"/>
    <w:rsid w:val="00AD162B"/>
    <w:rsid w:val="00AD6657"/>
    <w:rsid w:val="00AE0A2E"/>
    <w:rsid w:val="00AE354C"/>
    <w:rsid w:val="00AF0E37"/>
    <w:rsid w:val="00AF12C5"/>
    <w:rsid w:val="00AF4B07"/>
    <w:rsid w:val="00AF6186"/>
    <w:rsid w:val="00AF7095"/>
    <w:rsid w:val="00AF7A3A"/>
    <w:rsid w:val="00B02587"/>
    <w:rsid w:val="00B049D1"/>
    <w:rsid w:val="00B0516F"/>
    <w:rsid w:val="00B05775"/>
    <w:rsid w:val="00B14793"/>
    <w:rsid w:val="00B153A0"/>
    <w:rsid w:val="00B160DB"/>
    <w:rsid w:val="00B20086"/>
    <w:rsid w:val="00B20836"/>
    <w:rsid w:val="00B235BB"/>
    <w:rsid w:val="00B26149"/>
    <w:rsid w:val="00B27A44"/>
    <w:rsid w:val="00B30BBF"/>
    <w:rsid w:val="00B32640"/>
    <w:rsid w:val="00B33C03"/>
    <w:rsid w:val="00B37CCB"/>
    <w:rsid w:val="00B4421F"/>
    <w:rsid w:val="00B44E56"/>
    <w:rsid w:val="00B45917"/>
    <w:rsid w:val="00B461F4"/>
    <w:rsid w:val="00B46543"/>
    <w:rsid w:val="00B46A96"/>
    <w:rsid w:val="00B46CC9"/>
    <w:rsid w:val="00B47D33"/>
    <w:rsid w:val="00B52BE0"/>
    <w:rsid w:val="00B54133"/>
    <w:rsid w:val="00B55A8D"/>
    <w:rsid w:val="00B60769"/>
    <w:rsid w:val="00B701ED"/>
    <w:rsid w:val="00B748F7"/>
    <w:rsid w:val="00B8086C"/>
    <w:rsid w:val="00B81C58"/>
    <w:rsid w:val="00B8381A"/>
    <w:rsid w:val="00B861B4"/>
    <w:rsid w:val="00B86DFE"/>
    <w:rsid w:val="00B90990"/>
    <w:rsid w:val="00B922FF"/>
    <w:rsid w:val="00B9281E"/>
    <w:rsid w:val="00B93925"/>
    <w:rsid w:val="00B95187"/>
    <w:rsid w:val="00B974EB"/>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38D1"/>
    <w:rsid w:val="00BF4109"/>
    <w:rsid w:val="00BF4CC3"/>
    <w:rsid w:val="00C054C7"/>
    <w:rsid w:val="00C057B5"/>
    <w:rsid w:val="00C07D0E"/>
    <w:rsid w:val="00C115C3"/>
    <w:rsid w:val="00C15547"/>
    <w:rsid w:val="00C1672D"/>
    <w:rsid w:val="00C22687"/>
    <w:rsid w:val="00C26A92"/>
    <w:rsid w:val="00C26B1C"/>
    <w:rsid w:val="00C32E4D"/>
    <w:rsid w:val="00C333A0"/>
    <w:rsid w:val="00C34E61"/>
    <w:rsid w:val="00C36A81"/>
    <w:rsid w:val="00C406F0"/>
    <w:rsid w:val="00C41974"/>
    <w:rsid w:val="00C4347C"/>
    <w:rsid w:val="00C44A2C"/>
    <w:rsid w:val="00C44F09"/>
    <w:rsid w:val="00C477F7"/>
    <w:rsid w:val="00C509A6"/>
    <w:rsid w:val="00C53F4A"/>
    <w:rsid w:val="00C54125"/>
    <w:rsid w:val="00C55B54"/>
    <w:rsid w:val="00C6098E"/>
    <w:rsid w:val="00C6152C"/>
    <w:rsid w:val="00C71424"/>
    <w:rsid w:val="00C74810"/>
    <w:rsid w:val="00C86F61"/>
    <w:rsid w:val="00C90D68"/>
    <w:rsid w:val="00C930CA"/>
    <w:rsid w:val="00C939FE"/>
    <w:rsid w:val="00C95EE5"/>
    <w:rsid w:val="00CA4BDA"/>
    <w:rsid w:val="00CB13E3"/>
    <w:rsid w:val="00CB1F66"/>
    <w:rsid w:val="00CB232C"/>
    <w:rsid w:val="00CB2951"/>
    <w:rsid w:val="00CB4277"/>
    <w:rsid w:val="00CC0AEE"/>
    <w:rsid w:val="00CC0D20"/>
    <w:rsid w:val="00CC3939"/>
    <w:rsid w:val="00CC5067"/>
    <w:rsid w:val="00CD11D3"/>
    <w:rsid w:val="00CD282B"/>
    <w:rsid w:val="00CD2B03"/>
    <w:rsid w:val="00CD2F77"/>
    <w:rsid w:val="00CD447B"/>
    <w:rsid w:val="00CD4C35"/>
    <w:rsid w:val="00CD7369"/>
    <w:rsid w:val="00CE0B0E"/>
    <w:rsid w:val="00CE3831"/>
    <w:rsid w:val="00CE6C3D"/>
    <w:rsid w:val="00CF0AAB"/>
    <w:rsid w:val="00CF2397"/>
    <w:rsid w:val="00D00ABB"/>
    <w:rsid w:val="00D02EEC"/>
    <w:rsid w:val="00D03551"/>
    <w:rsid w:val="00D04315"/>
    <w:rsid w:val="00D04920"/>
    <w:rsid w:val="00D06A63"/>
    <w:rsid w:val="00D07E0E"/>
    <w:rsid w:val="00D10CD6"/>
    <w:rsid w:val="00D11478"/>
    <w:rsid w:val="00D15ED0"/>
    <w:rsid w:val="00D164BF"/>
    <w:rsid w:val="00D21B3E"/>
    <w:rsid w:val="00D21FED"/>
    <w:rsid w:val="00D23048"/>
    <w:rsid w:val="00D24251"/>
    <w:rsid w:val="00D26E72"/>
    <w:rsid w:val="00D30646"/>
    <w:rsid w:val="00D343E2"/>
    <w:rsid w:val="00D361A2"/>
    <w:rsid w:val="00D37272"/>
    <w:rsid w:val="00D42C3B"/>
    <w:rsid w:val="00D44C2E"/>
    <w:rsid w:val="00D45414"/>
    <w:rsid w:val="00D50A0A"/>
    <w:rsid w:val="00D53548"/>
    <w:rsid w:val="00D5576B"/>
    <w:rsid w:val="00D566BD"/>
    <w:rsid w:val="00D57A4D"/>
    <w:rsid w:val="00D57D00"/>
    <w:rsid w:val="00D60AA7"/>
    <w:rsid w:val="00D6435F"/>
    <w:rsid w:val="00D66471"/>
    <w:rsid w:val="00D669D4"/>
    <w:rsid w:val="00D70641"/>
    <w:rsid w:val="00D74888"/>
    <w:rsid w:val="00D7488B"/>
    <w:rsid w:val="00D75E28"/>
    <w:rsid w:val="00D772C2"/>
    <w:rsid w:val="00D8008E"/>
    <w:rsid w:val="00D82C45"/>
    <w:rsid w:val="00D908A8"/>
    <w:rsid w:val="00D91FB5"/>
    <w:rsid w:val="00D977B6"/>
    <w:rsid w:val="00DA1223"/>
    <w:rsid w:val="00DA4366"/>
    <w:rsid w:val="00DA4A31"/>
    <w:rsid w:val="00DA4DF2"/>
    <w:rsid w:val="00DA6619"/>
    <w:rsid w:val="00DA7B04"/>
    <w:rsid w:val="00DB36C2"/>
    <w:rsid w:val="00DC00A8"/>
    <w:rsid w:val="00DC169B"/>
    <w:rsid w:val="00DC2AB9"/>
    <w:rsid w:val="00DC63F0"/>
    <w:rsid w:val="00DD37EA"/>
    <w:rsid w:val="00DD6EE5"/>
    <w:rsid w:val="00DE386C"/>
    <w:rsid w:val="00DE4D35"/>
    <w:rsid w:val="00DE52A5"/>
    <w:rsid w:val="00DF098B"/>
    <w:rsid w:val="00DF0E63"/>
    <w:rsid w:val="00DF11C4"/>
    <w:rsid w:val="00DF210C"/>
    <w:rsid w:val="00DF4B6A"/>
    <w:rsid w:val="00E004C0"/>
    <w:rsid w:val="00E02C09"/>
    <w:rsid w:val="00E02C94"/>
    <w:rsid w:val="00E04D59"/>
    <w:rsid w:val="00E07DA1"/>
    <w:rsid w:val="00E123CB"/>
    <w:rsid w:val="00E13B09"/>
    <w:rsid w:val="00E14BF8"/>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279"/>
    <w:rsid w:val="00E76D47"/>
    <w:rsid w:val="00E827BC"/>
    <w:rsid w:val="00E838A6"/>
    <w:rsid w:val="00E849F7"/>
    <w:rsid w:val="00E85C98"/>
    <w:rsid w:val="00E90302"/>
    <w:rsid w:val="00E91D05"/>
    <w:rsid w:val="00E9262D"/>
    <w:rsid w:val="00E94245"/>
    <w:rsid w:val="00E95C1E"/>
    <w:rsid w:val="00E97396"/>
    <w:rsid w:val="00EA185E"/>
    <w:rsid w:val="00EA20CF"/>
    <w:rsid w:val="00EA592A"/>
    <w:rsid w:val="00EA5E22"/>
    <w:rsid w:val="00EB14E4"/>
    <w:rsid w:val="00EB32A5"/>
    <w:rsid w:val="00EB34ED"/>
    <w:rsid w:val="00EB447C"/>
    <w:rsid w:val="00EB7BE0"/>
    <w:rsid w:val="00EC003A"/>
    <w:rsid w:val="00EC315E"/>
    <w:rsid w:val="00EC5E17"/>
    <w:rsid w:val="00EC600A"/>
    <w:rsid w:val="00EC6BDF"/>
    <w:rsid w:val="00ED077C"/>
    <w:rsid w:val="00ED10A9"/>
    <w:rsid w:val="00ED1190"/>
    <w:rsid w:val="00ED34AC"/>
    <w:rsid w:val="00ED6544"/>
    <w:rsid w:val="00EE0277"/>
    <w:rsid w:val="00EE2899"/>
    <w:rsid w:val="00EE3E00"/>
    <w:rsid w:val="00EE5DD2"/>
    <w:rsid w:val="00EE6B85"/>
    <w:rsid w:val="00EF36C5"/>
    <w:rsid w:val="00EF3DB4"/>
    <w:rsid w:val="00F00A79"/>
    <w:rsid w:val="00F00D13"/>
    <w:rsid w:val="00F00E86"/>
    <w:rsid w:val="00F07C1E"/>
    <w:rsid w:val="00F105DB"/>
    <w:rsid w:val="00F12846"/>
    <w:rsid w:val="00F132BC"/>
    <w:rsid w:val="00F13D80"/>
    <w:rsid w:val="00F155F7"/>
    <w:rsid w:val="00F15B4D"/>
    <w:rsid w:val="00F16A7C"/>
    <w:rsid w:val="00F16AAA"/>
    <w:rsid w:val="00F1709C"/>
    <w:rsid w:val="00F21161"/>
    <w:rsid w:val="00F218EF"/>
    <w:rsid w:val="00F21BC7"/>
    <w:rsid w:val="00F24B2D"/>
    <w:rsid w:val="00F266A2"/>
    <w:rsid w:val="00F26733"/>
    <w:rsid w:val="00F273B7"/>
    <w:rsid w:val="00F32269"/>
    <w:rsid w:val="00F35B7A"/>
    <w:rsid w:val="00F46767"/>
    <w:rsid w:val="00F548D0"/>
    <w:rsid w:val="00F56A6F"/>
    <w:rsid w:val="00F5709C"/>
    <w:rsid w:val="00F60B85"/>
    <w:rsid w:val="00F637B6"/>
    <w:rsid w:val="00F64EF1"/>
    <w:rsid w:val="00F676BD"/>
    <w:rsid w:val="00F72498"/>
    <w:rsid w:val="00F72B14"/>
    <w:rsid w:val="00F7349B"/>
    <w:rsid w:val="00F75BCF"/>
    <w:rsid w:val="00F8724D"/>
    <w:rsid w:val="00F8765F"/>
    <w:rsid w:val="00F90767"/>
    <w:rsid w:val="00F9263C"/>
    <w:rsid w:val="00F92EC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10E2"/>
    <w:rsid w:val="00FE5C4E"/>
    <w:rsid w:val="00FE71B3"/>
    <w:rsid w:val="00FF42C5"/>
    <w:rsid w:val="00FF61CF"/>
    <w:rsid w:val="00FF7FF0"/>
  </w:rsids>
  <w:docVars>
    <w:docVar w:name="ApplicationsApp" w:val="3"/>
    <w:docVar w:name="EMM" w:val="0"/>
    <w:docVar w:name="NBApplication" w:val="5"/>
    <w:docVar w:name="NBEMMDOC" w:val="0"/>
    <w:docVar w:name="Plural" w:val="3"/>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558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A514B"/>
    <w:rPr>
      <w:sz w:val="24"/>
      <w:szCs w:val="24"/>
      <w:lang w:val="en-GB"/>
    </w:rPr>
  </w:style>
  <w:style w:type="paragraph" w:styleId="Heading1">
    <w:name w:val="heading 1"/>
    <w:basedOn w:val="Normal"/>
    <w:next w:val="Normal"/>
    <w:link w:val="Heading1Char"/>
    <w:uiPriority w:val="98"/>
    <w:semiHidden/>
    <w:rsid w:val="00AA51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A51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A514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A514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A514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A514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A514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A51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A51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A514B"/>
    <w:rPr>
      <w:rFonts w:ascii="Tahoma" w:hAnsi="Tahoma" w:cs="Tahoma"/>
      <w:sz w:val="16"/>
      <w:szCs w:val="16"/>
    </w:rPr>
  </w:style>
  <w:style w:type="character" w:customStyle="1" w:styleId="BalloonTextChar">
    <w:name w:val="Balloon Text Char"/>
    <w:basedOn w:val="DefaultParagraphFont"/>
    <w:link w:val="BalloonText"/>
    <w:uiPriority w:val="98"/>
    <w:semiHidden/>
    <w:rsid w:val="00AA514B"/>
    <w:rPr>
      <w:rFonts w:ascii="Tahoma" w:hAnsi="Tahoma" w:cs="Tahoma"/>
      <w:sz w:val="16"/>
      <w:szCs w:val="16"/>
      <w:lang w:val="en-GB"/>
    </w:rPr>
  </w:style>
  <w:style w:type="character" w:styleId="BookTitle">
    <w:name w:val="Book Title"/>
    <w:uiPriority w:val="98"/>
    <w:semiHidden/>
    <w:qFormat/>
    <w:rsid w:val="00AA514B"/>
    <w:rPr>
      <w:i/>
      <w:iCs/>
      <w:smallCaps/>
      <w:spacing w:val="5"/>
    </w:rPr>
  </w:style>
  <w:style w:type="paragraph" w:customStyle="1" w:styleId="JuHeader">
    <w:name w:val="Ju_Header"/>
    <w:aliases w:val="_Header"/>
    <w:basedOn w:val="Header0"/>
    <w:uiPriority w:val="29"/>
    <w:qFormat/>
    <w:rsid w:val="00AA514B"/>
    <w:pPr>
      <w:tabs>
        <w:tab w:val="clear" w:pos="4536"/>
        <w:tab w:val="clear" w:pos="9072"/>
      </w:tabs>
      <w:jc w:val="center"/>
    </w:pPr>
    <w:rPr>
      <w:sz w:val="18"/>
    </w:rPr>
  </w:style>
  <w:style w:type="paragraph" w:customStyle="1" w:styleId="NormalJustified">
    <w:name w:val="Normal_Justified"/>
    <w:basedOn w:val="Normal"/>
    <w:semiHidden/>
    <w:rsid w:val="00AA514B"/>
    <w:pPr>
      <w:jc w:val="both"/>
    </w:pPr>
  </w:style>
  <w:style w:type="character" w:styleId="Strong">
    <w:name w:val="Strong"/>
    <w:uiPriority w:val="98"/>
    <w:semiHidden/>
    <w:qFormat/>
    <w:rsid w:val="00AA514B"/>
    <w:rPr>
      <w:b/>
      <w:bCs/>
    </w:rPr>
  </w:style>
  <w:style w:type="paragraph" w:styleId="NoSpacing">
    <w:name w:val="No Spacing"/>
    <w:basedOn w:val="Normal"/>
    <w:link w:val="NoSpacingChar"/>
    <w:uiPriority w:val="98"/>
    <w:semiHidden/>
    <w:qFormat/>
    <w:rsid w:val="00AA514B"/>
  </w:style>
  <w:style w:type="character" w:customStyle="1" w:styleId="NoSpacingChar">
    <w:name w:val="No Spacing Char"/>
    <w:basedOn w:val="DefaultParagraphFont"/>
    <w:link w:val="NoSpacing"/>
    <w:uiPriority w:val="98"/>
    <w:rsid w:val="00AA514B"/>
    <w:rPr>
      <w:sz w:val="24"/>
      <w:szCs w:val="24"/>
      <w:lang w:val="en-GB"/>
    </w:rPr>
  </w:style>
  <w:style w:type="paragraph" w:customStyle="1" w:styleId="JuQuot">
    <w:name w:val="Ju_Quot"/>
    <w:aliases w:val="_Quote"/>
    <w:basedOn w:val="NormalJustified"/>
    <w:qFormat/>
    <w:rsid w:val="00AA514B"/>
    <w:pPr>
      <w:spacing w:before="120" w:after="120"/>
      <w:ind w:left="425" w:firstLine="142"/>
    </w:pPr>
    <w:rPr>
      <w:sz w:val="20"/>
    </w:rPr>
  </w:style>
  <w:style w:type="paragraph" w:customStyle="1" w:styleId="DummyStyle">
    <w:name w:val="Dummy_Style"/>
    <w:aliases w:val="_Dummy"/>
    <w:basedOn w:val="Normal"/>
    <w:semiHidden/>
    <w:qFormat/>
    <w:rsid w:val="00AA514B"/>
    <w:rPr>
      <w:color w:val="00B050"/>
      <w:sz w:val="22"/>
    </w:rPr>
  </w:style>
  <w:style w:type="paragraph" w:customStyle="1" w:styleId="JuList">
    <w:name w:val="Ju_List"/>
    <w:aliases w:val="_List_1"/>
    <w:basedOn w:val="NormalJustified"/>
    <w:uiPriority w:val="23"/>
    <w:qFormat/>
    <w:rsid w:val="00AA514B"/>
    <w:pPr>
      <w:numPr>
        <w:numId w:val="22"/>
      </w:numPr>
      <w:spacing w:before="280" w:after="60"/>
    </w:pPr>
  </w:style>
  <w:style w:type="paragraph" w:customStyle="1" w:styleId="JuLista">
    <w:name w:val="Ju_List_a"/>
    <w:aliases w:val="_List_2"/>
    <w:basedOn w:val="NormalJustified"/>
    <w:uiPriority w:val="23"/>
    <w:rsid w:val="00AA514B"/>
    <w:pPr>
      <w:numPr>
        <w:ilvl w:val="1"/>
        <w:numId w:val="22"/>
      </w:numPr>
    </w:pPr>
  </w:style>
  <w:style w:type="paragraph" w:customStyle="1" w:styleId="JuListi">
    <w:name w:val="Ju_List_i"/>
    <w:aliases w:val="_List_3"/>
    <w:basedOn w:val="NormalJustified"/>
    <w:uiPriority w:val="23"/>
    <w:rsid w:val="00AA514B"/>
    <w:pPr>
      <w:numPr>
        <w:ilvl w:val="2"/>
        <w:numId w:val="22"/>
      </w:numPr>
    </w:pPr>
  </w:style>
  <w:style w:type="paragraph" w:customStyle="1" w:styleId="JuHArticle">
    <w:name w:val="Ju_H_Article"/>
    <w:aliases w:val="_Title_Quote"/>
    <w:basedOn w:val="Normal"/>
    <w:next w:val="JuQuot"/>
    <w:uiPriority w:val="19"/>
    <w:qFormat/>
    <w:rsid w:val="00AA514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A514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A514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A514B"/>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A514B"/>
    <w:pPr>
      <w:numPr>
        <w:numId w:val="16"/>
      </w:numPr>
    </w:pPr>
  </w:style>
  <w:style w:type="paragraph" w:customStyle="1" w:styleId="JuSigned">
    <w:name w:val="Ju_Signed"/>
    <w:aliases w:val="_Signature"/>
    <w:basedOn w:val="Normal"/>
    <w:next w:val="JuPara"/>
    <w:uiPriority w:val="31"/>
    <w:qFormat/>
    <w:rsid w:val="00AA514B"/>
    <w:pPr>
      <w:tabs>
        <w:tab w:val="center" w:pos="1418"/>
        <w:tab w:val="center" w:pos="5954"/>
      </w:tabs>
      <w:spacing w:before="720"/>
    </w:pPr>
  </w:style>
  <w:style w:type="paragraph" w:styleId="Title">
    <w:name w:val="Title"/>
    <w:basedOn w:val="Normal"/>
    <w:next w:val="Normal"/>
    <w:link w:val="TitleChar"/>
    <w:uiPriority w:val="98"/>
    <w:semiHidden/>
    <w:qFormat/>
    <w:rsid w:val="00AA51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A514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A514B"/>
    <w:pPr>
      <w:numPr>
        <w:numId w:val="17"/>
      </w:numPr>
    </w:pPr>
  </w:style>
  <w:style w:type="numbering" w:customStyle="1" w:styleId="ECHRA1StyleNumberedList">
    <w:name w:val="ECHR_A1_Style_Numbered_List"/>
    <w:basedOn w:val="NoList"/>
    <w:rsid w:val="00AA514B"/>
    <w:pPr>
      <w:numPr>
        <w:numId w:val="18"/>
      </w:numPr>
    </w:pPr>
  </w:style>
  <w:style w:type="table" w:customStyle="1" w:styleId="ECHRTable2019">
    <w:name w:val="ECHR_Table_2019"/>
    <w:basedOn w:val="TableNormal"/>
    <w:uiPriority w:val="99"/>
    <w:rsid w:val="00AA51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A514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A514B"/>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A514B"/>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A514B"/>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A514B"/>
    <w:pPr>
      <w:tabs>
        <w:tab w:val="center" w:pos="4536"/>
        <w:tab w:val="right" w:pos="9072"/>
      </w:tabs>
    </w:pPr>
  </w:style>
  <w:style w:type="character" w:customStyle="1" w:styleId="HeaderChar">
    <w:name w:val="Header Char"/>
    <w:basedOn w:val="DefaultParagraphFont"/>
    <w:link w:val="Header0"/>
    <w:uiPriority w:val="98"/>
    <w:semiHidden/>
    <w:rsid w:val="00AA514B"/>
    <w:rPr>
      <w:sz w:val="24"/>
      <w:szCs w:val="24"/>
      <w:lang w:val="en-GB"/>
    </w:rPr>
  </w:style>
  <w:style w:type="character" w:customStyle="1" w:styleId="Heading1Char">
    <w:name w:val="Heading 1 Char"/>
    <w:basedOn w:val="DefaultParagraphFont"/>
    <w:link w:val="Heading1"/>
    <w:uiPriority w:val="98"/>
    <w:rsid w:val="00AA514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A514B"/>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A514B"/>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A514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A514B"/>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A514B"/>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A514B"/>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AA514B"/>
    <w:pPr>
      <w:keepNext/>
      <w:keepLines/>
      <w:spacing w:before="240" w:after="240"/>
      <w:ind w:firstLine="284"/>
    </w:pPr>
  </w:style>
  <w:style w:type="paragraph" w:customStyle="1" w:styleId="JuJudges">
    <w:name w:val="Ju_Judges"/>
    <w:aliases w:val="_Judges"/>
    <w:basedOn w:val="Normal"/>
    <w:uiPriority w:val="32"/>
    <w:qFormat/>
    <w:rsid w:val="00AA514B"/>
    <w:pPr>
      <w:tabs>
        <w:tab w:val="left" w:pos="567"/>
        <w:tab w:val="left" w:pos="1134"/>
      </w:tabs>
    </w:pPr>
  </w:style>
  <w:style w:type="character" w:customStyle="1" w:styleId="Heading4Char">
    <w:name w:val="Heading 4 Char"/>
    <w:basedOn w:val="DefaultParagraphFont"/>
    <w:link w:val="Heading4"/>
    <w:uiPriority w:val="98"/>
    <w:semiHidden/>
    <w:rsid w:val="00AA514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A514B"/>
    <w:pPr>
      <w:tabs>
        <w:tab w:val="center" w:pos="6407"/>
      </w:tabs>
      <w:spacing w:before="720"/>
      <w:jc w:val="right"/>
    </w:pPr>
  </w:style>
  <w:style w:type="character" w:customStyle="1" w:styleId="Heading5Char">
    <w:name w:val="Heading 5 Char"/>
    <w:basedOn w:val="DefaultParagraphFont"/>
    <w:link w:val="Heading5"/>
    <w:uiPriority w:val="98"/>
    <w:semiHidden/>
    <w:rsid w:val="00AA514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A514B"/>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A514B"/>
    <w:rPr>
      <w:caps w:val="0"/>
      <w:smallCaps/>
    </w:rPr>
  </w:style>
  <w:style w:type="character" w:styleId="SubtleEmphasis">
    <w:name w:val="Subtle Emphasis"/>
    <w:uiPriority w:val="98"/>
    <w:semiHidden/>
    <w:qFormat/>
    <w:rsid w:val="00AA514B"/>
    <w:rPr>
      <w:i/>
      <w:iCs/>
    </w:rPr>
  </w:style>
  <w:style w:type="table" w:customStyle="1" w:styleId="ECHRTable">
    <w:name w:val="ECHR_Table"/>
    <w:basedOn w:val="TableNormal"/>
    <w:rsid w:val="00AA514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A514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A514B"/>
    <w:rPr>
      <w:b/>
      <w:bCs/>
      <w:i/>
      <w:iCs/>
      <w:spacing w:val="10"/>
      <w:bdr w:val="none" w:sz="0" w:space="0" w:color="auto"/>
      <w:shd w:val="clear" w:color="auto" w:fill="auto"/>
    </w:rPr>
  </w:style>
  <w:style w:type="paragraph" w:styleId="Footer1">
    <w:name w:val="footer"/>
    <w:basedOn w:val="Normal"/>
    <w:link w:val="FooterChar"/>
    <w:uiPriority w:val="98"/>
    <w:semiHidden/>
    <w:rsid w:val="00AA514B"/>
    <w:pPr>
      <w:tabs>
        <w:tab w:val="center" w:pos="3686"/>
        <w:tab w:val="right" w:pos="7371"/>
      </w:tabs>
    </w:pPr>
  </w:style>
  <w:style w:type="character" w:customStyle="1" w:styleId="FooterChar">
    <w:name w:val="Footer Char"/>
    <w:basedOn w:val="DefaultParagraphFont"/>
    <w:link w:val="Footer1"/>
    <w:uiPriority w:val="98"/>
    <w:semiHidden/>
    <w:rsid w:val="00AA514B"/>
    <w:rPr>
      <w:sz w:val="24"/>
      <w:szCs w:val="24"/>
      <w:lang w:val="en-GB"/>
    </w:rPr>
  </w:style>
  <w:style w:type="character" w:styleId="FootnoteReference">
    <w:name w:val="footnote reference"/>
    <w:basedOn w:val="DefaultParagraphFont"/>
    <w:uiPriority w:val="98"/>
    <w:semiHidden/>
    <w:rsid w:val="00AA514B"/>
    <w:rPr>
      <w:vertAlign w:val="superscript"/>
    </w:rPr>
  </w:style>
  <w:style w:type="paragraph" w:styleId="FootnoteText">
    <w:name w:val="footnote text"/>
    <w:basedOn w:val="NormalJustified"/>
    <w:link w:val="FootnoteTextChar"/>
    <w:uiPriority w:val="98"/>
    <w:semiHidden/>
    <w:rsid w:val="00AA514B"/>
    <w:rPr>
      <w:sz w:val="20"/>
      <w:szCs w:val="20"/>
    </w:rPr>
  </w:style>
  <w:style w:type="character" w:customStyle="1" w:styleId="FootnoteTextChar">
    <w:name w:val="Footnote Text Char"/>
    <w:basedOn w:val="DefaultParagraphFont"/>
    <w:link w:val="FootnoteText"/>
    <w:uiPriority w:val="98"/>
    <w:semiHidden/>
    <w:rsid w:val="00AA514B"/>
    <w:rPr>
      <w:sz w:val="20"/>
      <w:szCs w:val="20"/>
      <w:lang w:val="en-GB"/>
    </w:rPr>
  </w:style>
  <w:style w:type="character" w:customStyle="1" w:styleId="Heading6Char">
    <w:name w:val="Heading 6 Char"/>
    <w:basedOn w:val="DefaultParagraphFont"/>
    <w:link w:val="Heading6"/>
    <w:uiPriority w:val="98"/>
    <w:semiHidden/>
    <w:rsid w:val="00AA514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A514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A514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A514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A514B"/>
    <w:rPr>
      <w:color w:val="0072BC" w:themeColor="hyperlink"/>
      <w:u w:val="single"/>
    </w:rPr>
  </w:style>
  <w:style w:type="character" w:styleId="IntenseEmphasis">
    <w:name w:val="Intense Emphasis"/>
    <w:uiPriority w:val="98"/>
    <w:semiHidden/>
    <w:qFormat/>
    <w:rsid w:val="00AA514B"/>
    <w:rPr>
      <w:b/>
      <w:bCs/>
    </w:rPr>
  </w:style>
  <w:style w:type="paragraph" w:styleId="IntenseQuote">
    <w:name w:val="Intense Quote"/>
    <w:basedOn w:val="Normal"/>
    <w:next w:val="Normal"/>
    <w:link w:val="IntenseQuoteChar"/>
    <w:uiPriority w:val="98"/>
    <w:semiHidden/>
    <w:qFormat/>
    <w:rsid w:val="00AA514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A514B"/>
    <w:rPr>
      <w:b/>
      <w:bCs/>
      <w:i/>
      <w:iCs/>
      <w:sz w:val="24"/>
      <w:szCs w:val="24"/>
      <w:lang w:val="en-GB" w:bidi="en-US"/>
    </w:rPr>
  </w:style>
  <w:style w:type="character" w:styleId="IntenseReference">
    <w:name w:val="Intense Reference"/>
    <w:uiPriority w:val="98"/>
    <w:semiHidden/>
    <w:qFormat/>
    <w:rsid w:val="00AA514B"/>
    <w:rPr>
      <w:smallCaps/>
      <w:spacing w:val="5"/>
      <w:u w:val="single"/>
    </w:rPr>
  </w:style>
  <w:style w:type="paragraph" w:styleId="ListParagraph">
    <w:name w:val="List Paragraph"/>
    <w:basedOn w:val="Normal"/>
    <w:uiPriority w:val="98"/>
    <w:semiHidden/>
    <w:qFormat/>
    <w:rsid w:val="00AA514B"/>
    <w:pPr>
      <w:ind w:left="720"/>
      <w:contextualSpacing/>
    </w:pPr>
  </w:style>
  <w:style w:type="table" w:customStyle="1" w:styleId="LtrTableAddress">
    <w:name w:val="Ltr_Table_Address"/>
    <w:aliases w:val="ECHR_Ltr_Table_Address"/>
    <w:basedOn w:val="TableNormal"/>
    <w:uiPriority w:val="99"/>
    <w:rsid w:val="00AA514B"/>
    <w:rPr>
      <w:sz w:val="24"/>
      <w:szCs w:val="24"/>
    </w:rPr>
    <w:tblPr>
      <w:tblInd w:w="5103" w:type="dxa"/>
    </w:tblPr>
  </w:style>
  <w:style w:type="paragraph" w:styleId="Quote0">
    <w:name w:val="Quote"/>
    <w:basedOn w:val="Normal"/>
    <w:next w:val="Normal"/>
    <w:link w:val="QuoteChar"/>
    <w:uiPriority w:val="98"/>
    <w:semiHidden/>
    <w:qFormat/>
    <w:rsid w:val="00AA514B"/>
    <w:pPr>
      <w:spacing w:before="200"/>
      <w:ind w:left="360" w:right="360"/>
    </w:pPr>
    <w:rPr>
      <w:i/>
      <w:iCs/>
      <w:lang w:bidi="en-US"/>
    </w:rPr>
  </w:style>
  <w:style w:type="character" w:customStyle="1" w:styleId="QuoteChar">
    <w:name w:val="Quote Char"/>
    <w:basedOn w:val="DefaultParagraphFont"/>
    <w:link w:val="Quote0"/>
    <w:uiPriority w:val="98"/>
    <w:rsid w:val="00AA514B"/>
    <w:rPr>
      <w:i/>
      <w:iCs/>
      <w:sz w:val="24"/>
      <w:szCs w:val="24"/>
      <w:lang w:val="en-GB" w:bidi="en-US"/>
    </w:rPr>
  </w:style>
  <w:style w:type="character" w:styleId="SubtleReference">
    <w:name w:val="Subtle Reference"/>
    <w:uiPriority w:val="98"/>
    <w:semiHidden/>
    <w:qFormat/>
    <w:rsid w:val="00AA514B"/>
    <w:rPr>
      <w:smallCaps/>
    </w:rPr>
  </w:style>
  <w:style w:type="table" w:styleId="TableGrid">
    <w:name w:val="Table Grid"/>
    <w:basedOn w:val="TableNormal"/>
    <w:uiPriority w:val="59"/>
    <w:rsid w:val="00AA514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A514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A514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A514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A514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A514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A514B"/>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A514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A514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A514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A514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A514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A514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A514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A514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A514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A514B"/>
    <w:pPr>
      <w:numPr>
        <w:numId w:val="3"/>
      </w:numPr>
    </w:pPr>
  </w:style>
  <w:style w:type="paragraph" w:customStyle="1" w:styleId="JuPara">
    <w:name w:val="Ju_Para"/>
    <w:aliases w:val="_Para,ECHR_Para,First line:  0 cm,Left,N_Para,Para"/>
    <w:basedOn w:val="NormalJustified"/>
    <w:link w:val="JuParaChar"/>
    <w:uiPriority w:val="4"/>
    <w:qFormat/>
    <w:rsid w:val="00AA514B"/>
    <w:pPr>
      <w:ind w:firstLine="284"/>
    </w:pPr>
  </w:style>
  <w:style w:type="numbering" w:styleId="1ai">
    <w:name w:val="Outline List 1"/>
    <w:basedOn w:val="NoList"/>
    <w:uiPriority w:val="99"/>
    <w:semiHidden/>
    <w:unhideWhenUsed/>
    <w:rsid w:val="00AA514B"/>
    <w:pPr>
      <w:numPr>
        <w:numId w:val="4"/>
      </w:numPr>
    </w:pPr>
  </w:style>
  <w:style w:type="table" w:customStyle="1" w:styleId="ECHRTableSimpleBox">
    <w:name w:val="ECHR_Table_Simple_Box"/>
    <w:basedOn w:val="TableNormal"/>
    <w:uiPriority w:val="99"/>
    <w:rsid w:val="00AA514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A514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A514B"/>
    <w:pPr>
      <w:numPr>
        <w:numId w:val="5"/>
      </w:numPr>
    </w:pPr>
  </w:style>
  <w:style w:type="table" w:customStyle="1" w:styleId="ECHRTableForInternalUse">
    <w:name w:val="ECHR_Table_For_Internal_Use"/>
    <w:basedOn w:val="TableNormal"/>
    <w:uiPriority w:val="99"/>
    <w:rsid w:val="00AA514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A514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A514B"/>
  </w:style>
  <w:style w:type="paragraph" w:styleId="BlockText">
    <w:name w:val="Block Text"/>
    <w:basedOn w:val="Normal"/>
    <w:uiPriority w:val="98"/>
    <w:semiHidden/>
    <w:rsid w:val="00AA514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A514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A514B"/>
    <w:pPr>
      <w:spacing w:after="120"/>
    </w:pPr>
  </w:style>
  <w:style w:type="character" w:customStyle="1" w:styleId="BodyTextChar">
    <w:name w:val="Body Text Char"/>
    <w:basedOn w:val="DefaultParagraphFont"/>
    <w:link w:val="BodyText"/>
    <w:uiPriority w:val="98"/>
    <w:semiHidden/>
    <w:rsid w:val="00AA514B"/>
    <w:rPr>
      <w:sz w:val="24"/>
      <w:szCs w:val="24"/>
      <w:lang w:val="en-GB"/>
    </w:rPr>
  </w:style>
  <w:style w:type="table" w:customStyle="1" w:styleId="ECHRTableOddBanded">
    <w:name w:val="ECHR_Table_Odd_Banded"/>
    <w:basedOn w:val="TableNormal"/>
    <w:uiPriority w:val="99"/>
    <w:rsid w:val="00AA514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A514B"/>
    <w:pPr>
      <w:spacing w:after="120" w:line="480" w:lineRule="auto"/>
    </w:pPr>
  </w:style>
  <w:style w:type="table" w:customStyle="1" w:styleId="ECHRHeaderTableReduced">
    <w:name w:val="ECHR_Header_Table_Reduced"/>
    <w:basedOn w:val="TableNormal"/>
    <w:uiPriority w:val="99"/>
    <w:rsid w:val="00AA514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A514B"/>
    <w:pPr>
      <w:ind w:firstLine="284"/>
    </w:pPr>
    <w:rPr>
      <w:b/>
    </w:rPr>
  </w:style>
  <w:style w:type="character" w:styleId="PageNumber">
    <w:name w:val="page number"/>
    <w:uiPriority w:val="98"/>
    <w:semiHidden/>
    <w:rsid w:val="00AA514B"/>
    <w:rPr>
      <w:sz w:val="18"/>
    </w:rPr>
  </w:style>
  <w:style w:type="paragraph" w:styleId="ListBullet">
    <w:name w:val="List Bullet"/>
    <w:basedOn w:val="Normal"/>
    <w:uiPriority w:val="98"/>
    <w:semiHidden/>
    <w:rsid w:val="00AA514B"/>
    <w:pPr>
      <w:numPr>
        <w:numId w:val="6"/>
      </w:numPr>
    </w:pPr>
  </w:style>
  <w:style w:type="paragraph" w:styleId="ListBullet3">
    <w:name w:val="List Bullet 3"/>
    <w:basedOn w:val="Normal"/>
    <w:uiPriority w:val="98"/>
    <w:semiHidden/>
    <w:rsid w:val="00AA514B"/>
    <w:pPr>
      <w:numPr>
        <w:numId w:val="8"/>
      </w:numPr>
      <w:contextualSpacing/>
    </w:pPr>
  </w:style>
  <w:style w:type="character" w:customStyle="1" w:styleId="BodyText2Char">
    <w:name w:val="Body Text 2 Char"/>
    <w:basedOn w:val="DefaultParagraphFont"/>
    <w:link w:val="BodyText2"/>
    <w:uiPriority w:val="98"/>
    <w:semiHidden/>
    <w:rsid w:val="00AA514B"/>
    <w:rPr>
      <w:sz w:val="24"/>
      <w:szCs w:val="24"/>
      <w:lang w:val="en-GB"/>
    </w:rPr>
  </w:style>
  <w:style w:type="paragraph" w:styleId="BodyText3">
    <w:name w:val="Body Text 3"/>
    <w:basedOn w:val="Normal"/>
    <w:link w:val="BodyText3Char"/>
    <w:uiPriority w:val="98"/>
    <w:semiHidden/>
    <w:rsid w:val="00AA514B"/>
    <w:pPr>
      <w:spacing w:after="120"/>
    </w:pPr>
    <w:rPr>
      <w:sz w:val="16"/>
      <w:szCs w:val="16"/>
    </w:rPr>
  </w:style>
  <w:style w:type="character" w:customStyle="1" w:styleId="BodyText3Char">
    <w:name w:val="Body Text 3 Char"/>
    <w:basedOn w:val="DefaultParagraphFont"/>
    <w:link w:val="BodyText3"/>
    <w:uiPriority w:val="98"/>
    <w:semiHidden/>
    <w:rsid w:val="00AA514B"/>
    <w:rPr>
      <w:sz w:val="16"/>
      <w:szCs w:val="16"/>
      <w:lang w:val="en-GB"/>
    </w:rPr>
  </w:style>
  <w:style w:type="paragraph" w:styleId="BodyTextFirstIndent">
    <w:name w:val="Body Text First Indent"/>
    <w:basedOn w:val="BodyText"/>
    <w:link w:val="BodyTextFirstIndentChar"/>
    <w:uiPriority w:val="98"/>
    <w:semiHidden/>
    <w:rsid w:val="00AA514B"/>
    <w:pPr>
      <w:spacing w:after="0"/>
      <w:ind w:firstLine="360"/>
    </w:pPr>
  </w:style>
  <w:style w:type="character" w:customStyle="1" w:styleId="BodyTextFirstIndentChar">
    <w:name w:val="Body Text First Indent Char"/>
    <w:basedOn w:val="BodyTextChar"/>
    <w:link w:val="BodyTextFirstIndent"/>
    <w:uiPriority w:val="98"/>
    <w:semiHidden/>
    <w:rsid w:val="00AA514B"/>
    <w:rPr>
      <w:sz w:val="24"/>
      <w:szCs w:val="24"/>
      <w:lang w:val="en-GB"/>
    </w:rPr>
  </w:style>
  <w:style w:type="paragraph" w:styleId="BodyTextIndent">
    <w:name w:val="Body Text Indent"/>
    <w:basedOn w:val="Normal"/>
    <w:link w:val="BodyTextIndentChar"/>
    <w:uiPriority w:val="98"/>
    <w:semiHidden/>
    <w:rsid w:val="00AA514B"/>
    <w:pPr>
      <w:spacing w:after="120"/>
      <w:ind w:left="283"/>
    </w:pPr>
  </w:style>
  <w:style w:type="character" w:customStyle="1" w:styleId="BodyTextIndentChar">
    <w:name w:val="Body Text Indent Char"/>
    <w:basedOn w:val="DefaultParagraphFont"/>
    <w:link w:val="BodyTextIndent"/>
    <w:uiPriority w:val="98"/>
    <w:semiHidden/>
    <w:rsid w:val="00AA514B"/>
    <w:rPr>
      <w:sz w:val="24"/>
      <w:szCs w:val="24"/>
      <w:lang w:val="en-GB"/>
    </w:rPr>
  </w:style>
  <w:style w:type="paragraph" w:styleId="BodyTextFirstIndent2">
    <w:name w:val="Body Text First Indent 2"/>
    <w:basedOn w:val="BodyTextIndent"/>
    <w:link w:val="BodyTextFirstIndent2Char"/>
    <w:uiPriority w:val="98"/>
    <w:semiHidden/>
    <w:rsid w:val="00AA514B"/>
    <w:pPr>
      <w:spacing w:after="0"/>
      <w:ind w:left="360" w:firstLine="360"/>
    </w:pPr>
  </w:style>
  <w:style w:type="character" w:customStyle="1" w:styleId="BodyTextFirstIndent2Char">
    <w:name w:val="Body Text First Indent 2 Char"/>
    <w:basedOn w:val="BodyTextIndentChar"/>
    <w:link w:val="BodyTextFirstIndent2"/>
    <w:uiPriority w:val="98"/>
    <w:semiHidden/>
    <w:rsid w:val="00AA514B"/>
    <w:rPr>
      <w:sz w:val="24"/>
      <w:szCs w:val="24"/>
      <w:lang w:val="en-GB"/>
    </w:rPr>
  </w:style>
  <w:style w:type="paragraph" w:styleId="BodyTextIndent2">
    <w:name w:val="Body Text Indent 2"/>
    <w:basedOn w:val="Normal"/>
    <w:link w:val="BodyTextIndent2Char"/>
    <w:uiPriority w:val="98"/>
    <w:semiHidden/>
    <w:rsid w:val="00AA514B"/>
    <w:pPr>
      <w:spacing w:after="120" w:line="480" w:lineRule="auto"/>
      <w:ind w:left="283"/>
    </w:pPr>
  </w:style>
  <w:style w:type="character" w:customStyle="1" w:styleId="BodyTextIndent2Char">
    <w:name w:val="Body Text Indent 2 Char"/>
    <w:basedOn w:val="DefaultParagraphFont"/>
    <w:link w:val="BodyTextIndent2"/>
    <w:uiPriority w:val="98"/>
    <w:semiHidden/>
    <w:rsid w:val="00AA514B"/>
    <w:rPr>
      <w:sz w:val="24"/>
      <w:szCs w:val="24"/>
      <w:lang w:val="en-GB"/>
    </w:rPr>
  </w:style>
  <w:style w:type="paragraph" w:styleId="BodyTextIndent3">
    <w:name w:val="Body Text Indent 3"/>
    <w:basedOn w:val="Normal"/>
    <w:link w:val="BodyTextIndent3Char"/>
    <w:uiPriority w:val="98"/>
    <w:semiHidden/>
    <w:rsid w:val="00AA514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A514B"/>
    <w:rPr>
      <w:sz w:val="16"/>
      <w:szCs w:val="16"/>
      <w:lang w:val="en-GB"/>
    </w:rPr>
  </w:style>
  <w:style w:type="paragraph" w:styleId="Caption">
    <w:name w:val="caption"/>
    <w:basedOn w:val="Normal"/>
    <w:next w:val="Normal"/>
    <w:uiPriority w:val="98"/>
    <w:semiHidden/>
    <w:qFormat/>
    <w:rsid w:val="00AA514B"/>
    <w:pPr>
      <w:spacing w:after="200"/>
    </w:pPr>
    <w:rPr>
      <w:b/>
      <w:bCs/>
      <w:color w:val="0072BC" w:themeColor="accent1"/>
      <w:sz w:val="18"/>
      <w:szCs w:val="18"/>
    </w:rPr>
  </w:style>
  <w:style w:type="paragraph" w:styleId="Closing">
    <w:name w:val="Closing"/>
    <w:basedOn w:val="Normal"/>
    <w:link w:val="ClosingChar"/>
    <w:uiPriority w:val="98"/>
    <w:semiHidden/>
    <w:rsid w:val="00AA514B"/>
    <w:pPr>
      <w:ind w:left="4252"/>
    </w:pPr>
  </w:style>
  <w:style w:type="character" w:customStyle="1" w:styleId="ClosingChar">
    <w:name w:val="Closing Char"/>
    <w:basedOn w:val="DefaultParagraphFont"/>
    <w:link w:val="Closing"/>
    <w:uiPriority w:val="98"/>
    <w:semiHidden/>
    <w:rsid w:val="00AA514B"/>
    <w:rPr>
      <w:sz w:val="24"/>
      <w:szCs w:val="24"/>
      <w:lang w:val="en-GB"/>
    </w:rPr>
  </w:style>
  <w:style w:type="table" w:styleId="ColorfulGrid">
    <w:name w:val="Colorful Grid"/>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A514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A514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A514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A514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A514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A514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A514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A514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A514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A514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A514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A514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A514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A514B"/>
    <w:rPr>
      <w:sz w:val="16"/>
      <w:szCs w:val="16"/>
    </w:rPr>
  </w:style>
  <w:style w:type="paragraph" w:styleId="CommentText">
    <w:name w:val="annotation text"/>
    <w:basedOn w:val="Normal"/>
    <w:link w:val="CommentTextChar"/>
    <w:uiPriority w:val="98"/>
    <w:semiHidden/>
    <w:rsid w:val="00AA514B"/>
    <w:rPr>
      <w:sz w:val="20"/>
      <w:szCs w:val="20"/>
    </w:rPr>
  </w:style>
  <w:style w:type="character" w:customStyle="1" w:styleId="CommentTextChar">
    <w:name w:val="Comment Text Char"/>
    <w:basedOn w:val="DefaultParagraphFont"/>
    <w:link w:val="CommentText"/>
    <w:uiPriority w:val="98"/>
    <w:rsid w:val="00AA514B"/>
    <w:rPr>
      <w:sz w:val="20"/>
      <w:szCs w:val="20"/>
      <w:lang w:val="en-GB"/>
    </w:rPr>
  </w:style>
  <w:style w:type="paragraph" w:styleId="CommentSubject">
    <w:name w:val="annotation subject"/>
    <w:basedOn w:val="CommentText"/>
    <w:next w:val="CommentText"/>
    <w:link w:val="CommentSubjectChar"/>
    <w:uiPriority w:val="98"/>
    <w:semiHidden/>
    <w:rsid w:val="00AA514B"/>
    <w:rPr>
      <w:b/>
      <w:bCs/>
    </w:rPr>
  </w:style>
  <w:style w:type="character" w:customStyle="1" w:styleId="CommentSubjectChar">
    <w:name w:val="Comment Subject Char"/>
    <w:basedOn w:val="CommentTextChar"/>
    <w:link w:val="CommentSubject"/>
    <w:uiPriority w:val="98"/>
    <w:semiHidden/>
    <w:rsid w:val="00AA514B"/>
    <w:rPr>
      <w:b/>
      <w:bCs/>
      <w:sz w:val="20"/>
      <w:szCs w:val="20"/>
      <w:lang w:val="en-GB"/>
    </w:rPr>
  </w:style>
  <w:style w:type="table" w:styleId="DarkList">
    <w:name w:val="Dark List"/>
    <w:basedOn w:val="TableNormal"/>
    <w:uiPriority w:val="70"/>
    <w:semiHidden/>
    <w:rsid w:val="00AA514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A514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A514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A514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A514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A514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A514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A514B"/>
  </w:style>
  <w:style w:type="character" w:customStyle="1" w:styleId="DateChar">
    <w:name w:val="Date Char"/>
    <w:basedOn w:val="DefaultParagraphFont"/>
    <w:link w:val="Date"/>
    <w:uiPriority w:val="98"/>
    <w:semiHidden/>
    <w:rsid w:val="00AA514B"/>
    <w:rPr>
      <w:sz w:val="24"/>
      <w:szCs w:val="24"/>
      <w:lang w:val="en-GB"/>
    </w:rPr>
  </w:style>
  <w:style w:type="paragraph" w:styleId="DocumentMap">
    <w:name w:val="Document Map"/>
    <w:basedOn w:val="Normal"/>
    <w:link w:val="DocumentMapChar"/>
    <w:uiPriority w:val="98"/>
    <w:semiHidden/>
    <w:rsid w:val="00AA514B"/>
    <w:rPr>
      <w:rFonts w:ascii="Tahoma" w:hAnsi="Tahoma" w:cs="Tahoma"/>
      <w:sz w:val="16"/>
      <w:szCs w:val="16"/>
    </w:rPr>
  </w:style>
  <w:style w:type="character" w:customStyle="1" w:styleId="DocumentMapChar">
    <w:name w:val="Document Map Char"/>
    <w:basedOn w:val="DefaultParagraphFont"/>
    <w:link w:val="DocumentMap"/>
    <w:uiPriority w:val="98"/>
    <w:semiHidden/>
    <w:rsid w:val="00AA514B"/>
    <w:rPr>
      <w:rFonts w:ascii="Tahoma" w:hAnsi="Tahoma" w:cs="Tahoma"/>
      <w:sz w:val="16"/>
      <w:szCs w:val="16"/>
      <w:lang w:val="en-GB"/>
    </w:rPr>
  </w:style>
  <w:style w:type="paragraph" w:styleId="E-mailSignature">
    <w:name w:val="E-mail Signature"/>
    <w:basedOn w:val="Normal"/>
    <w:link w:val="E-mailSignatureChar"/>
    <w:uiPriority w:val="98"/>
    <w:semiHidden/>
    <w:rsid w:val="00AA514B"/>
  </w:style>
  <w:style w:type="character" w:customStyle="1" w:styleId="E-mailSignatureChar">
    <w:name w:val="E-mail Signature Char"/>
    <w:basedOn w:val="DefaultParagraphFont"/>
    <w:link w:val="E-mailSignature"/>
    <w:uiPriority w:val="98"/>
    <w:semiHidden/>
    <w:rsid w:val="00AA514B"/>
    <w:rPr>
      <w:sz w:val="24"/>
      <w:szCs w:val="24"/>
      <w:lang w:val="en-GB"/>
    </w:rPr>
  </w:style>
  <w:style w:type="character" w:styleId="EndnoteReference">
    <w:name w:val="endnote reference"/>
    <w:basedOn w:val="DefaultParagraphFont"/>
    <w:uiPriority w:val="98"/>
    <w:semiHidden/>
    <w:rsid w:val="00AA514B"/>
    <w:rPr>
      <w:vertAlign w:val="superscript"/>
    </w:rPr>
  </w:style>
  <w:style w:type="paragraph" w:styleId="EndnoteText">
    <w:name w:val="endnote text"/>
    <w:basedOn w:val="Normal"/>
    <w:link w:val="EndnoteTextChar"/>
    <w:uiPriority w:val="98"/>
    <w:semiHidden/>
    <w:rsid w:val="00AA514B"/>
    <w:rPr>
      <w:sz w:val="20"/>
      <w:szCs w:val="20"/>
    </w:rPr>
  </w:style>
  <w:style w:type="character" w:customStyle="1" w:styleId="EndnoteTextChar">
    <w:name w:val="Endnote Text Char"/>
    <w:basedOn w:val="DefaultParagraphFont"/>
    <w:link w:val="EndnoteText"/>
    <w:uiPriority w:val="98"/>
    <w:semiHidden/>
    <w:rsid w:val="00AA514B"/>
    <w:rPr>
      <w:sz w:val="20"/>
      <w:szCs w:val="20"/>
      <w:lang w:val="en-GB"/>
    </w:rPr>
  </w:style>
  <w:style w:type="paragraph" w:styleId="EnvelopeAddress">
    <w:name w:val="envelope address"/>
    <w:basedOn w:val="Normal"/>
    <w:uiPriority w:val="98"/>
    <w:semiHidden/>
    <w:rsid w:val="00AA514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A514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A514B"/>
    <w:rPr>
      <w:color w:val="7030A0" w:themeColor="followedHyperlink"/>
      <w:u w:val="single"/>
    </w:rPr>
  </w:style>
  <w:style w:type="character" w:styleId="HTMLAcronym">
    <w:name w:val="HTML Acronym"/>
    <w:basedOn w:val="DefaultParagraphFont"/>
    <w:uiPriority w:val="98"/>
    <w:semiHidden/>
    <w:rsid w:val="00AA514B"/>
  </w:style>
  <w:style w:type="paragraph" w:styleId="HTMLAddress">
    <w:name w:val="HTML Address"/>
    <w:basedOn w:val="Normal"/>
    <w:link w:val="HTMLAddressChar"/>
    <w:uiPriority w:val="98"/>
    <w:semiHidden/>
    <w:rsid w:val="00AA514B"/>
    <w:rPr>
      <w:i/>
      <w:iCs/>
    </w:rPr>
  </w:style>
  <w:style w:type="character" w:customStyle="1" w:styleId="HTMLAddressChar">
    <w:name w:val="HTML Address Char"/>
    <w:basedOn w:val="DefaultParagraphFont"/>
    <w:link w:val="HTMLAddress"/>
    <w:uiPriority w:val="98"/>
    <w:semiHidden/>
    <w:rsid w:val="00AA514B"/>
    <w:rPr>
      <w:i/>
      <w:iCs/>
      <w:sz w:val="24"/>
      <w:szCs w:val="24"/>
      <w:lang w:val="en-GB"/>
    </w:rPr>
  </w:style>
  <w:style w:type="character" w:styleId="HTMLCite">
    <w:name w:val="HTML Cite"/>
    <w:basedOn w:val="DefaultParagraphFont"/>
    <w:uiPriority w:val="98"/>
    <w:semiHidden/>
    <w:rsid w:val="00AA514B"/>
    <w:rPr>
      <w:i/>
      <w:iCs/>
    </w:rPr>
  </w:style>
  <w:style w:type="character" w:styleId="HTMLCode">
    <w:name w:val="HTML Code"/>
    <w:basedOn w:val="DefaultParagraphFont"/>
    <w:uiPriority w:val="98"/>
    <w:semiHidden/>
    <w:rsid w:val="00AA514B"/>
    <w:rPr>
      <w:rFonts w:ascii="Consolas" w:hAnsi="Consolas" w:cs="Consolas"/>
      <w:sz w:val="20"/>
      <w:szCs w:val="20"/>
    </w:rPr>
  </w:style>
  <w:style w:type="character" w:styleId="HTMLDefinition">
    <w:name w:val="HTML Definition"/>
    <w:basedOn w:val="DefaultParagraphFont"/>
    <w:uiPriority w:val="98"/>
    <w:semiHidden/>
    <w:rsid w:val="00AA514B"/>
    <w:rPr>
      <w:i/>
      <w:iCs/>
    </w:rPr>
  </w:style>
  <w:style w:type="character" w:styleId="HTMLKeyboard">
    <w:name w:val="HTML Keyboard"/>
    <w:basedOn w:val="DefaultParagraphFont"/>
    <w:uiPriority w:val="98"/>
    <w:semiHidden/>
    <w:rsid w:val="00AA514B"/>
    <w:rPr>
      <w:rFonts w:ascii="Consolas" w:hAnsi="Consolas" w:cs="Consolas"/>
      <w:sz w:val="20"/>
      <w:szCs w:val="20"/>
    </w:rPr>
  </w:style>
  <w:style w:type="paragraph" w:styleId="HTMLPreformatted">
    <w:name w:val="HTML Preformatted"/>
    <w:basedOn w:val="Normal"/>
    <w:link w:val="HTMLPreformattedChar"/>
    <w:uiPriority w:val="98"/>
    <w:semiHidden/>
    <w:rsid w:val="00AA514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A514B"/>
    <w:rPr>
      <w:rFonts w:ascii="Consolas" w:hAnsi="Consolas" w:cs="Consolas"/>
      <w:sz w:val="20"/>
      <w:szCs w:val="20"/>
      <w:lang w:val="en-GB"/>
    </w:rPr>
  </w:style>
  <w:style w:type="character" w:styleId="HTMLSample">
    <w:name w:val="HTML Sample"/>
    <w:basedOn w:val="DefaultParagraphFont"/>
    <w:uiPriority w:val="98"/>
    <w:semiHidden/>
    <w:rsid w:val="00AA514B"/>
    <w:rPr>
      <w:rFonts w:ascii="Consolas" w:hAnsi="Consolas" w:cs="Consolas"/>
      <w:sz w:val="24"/>
      <w:szCs w:val="24"/>
    </w:rPr>
  </w:style>
  <w:style w:type="character" w:styleId="HTMLTypewriter">
    <w:name w:val="HTML Typewriter"/>
    <w:basedOn w:val="DefaultParagraphFont"/>
    <w:uiPriority w:val="98"/>
    <w:semiHidden/>
    <w:rsid w:val="00AA514B"/>
    <w:rPr>
      <w:rFonts w:ascii="Consolas" w:hAnsi="Consolas" w:cs="Consolas"/>
      <w:sz w:val="20"/>
      <w:szCs w:val="20"/>
    </w:rPr>
  </w:style>
  <w:style w:type="character" w:styleId="HTMLVariable">
    <w:name w:val="HTML Variable"/>
    <w:basedOn w:val="DefaultParagraphFont"/>
    <w:uiPriority w:val="98"/>
    <w:semiHidden/>
    <w:rsid w:val="00AA514B"/>
    <w:rPr>
      <w:i/>
      <w:iCs/>
    </w:rPr>
  </w:style>
  <w:style w:type="paragraph" w:styleId="Index1">
    <w:name w:val="index 1"/>
    <w:basedOn w:val="Normal"/>
    <w:next w:val="Normal"/>
    <w:autoRedefine/>
    <w:uiPriority w:val="98"/>
    <w:semiHidden/>
    <w:rsid w:val="00AA514B"/>
    <w:pPr>
      <w:ind w:left="240" w:hanging="240"/>
    </w:pPr>
  </w:style>
  <w:style w:type="paragraph" w:styleId="Index2">
    <w:name w:val="index 2"/>
    <w:basedOn w:val="Normal"/>
    <w:next w:val="Normal"/>
    <w:autoRedefine/>
    <w:uiPriority w:val="98"/>
    <w:semiHidden/>
    <w:rsid w:val="00AA514B"/>
    <w:pPr>
      <w:ind w:left="480" w:hanging="240"/>
    </w:pPr>
  </w:style>
  <w:style w:type="paragraph" w:styleId="Index3">
    <w:name w:val="index 3"/>
    <w:basedOn w:val="Normal"/>
    <w:next w:val="Normal"/>
    <w:autoRedefine/>
    <w:uiPriority w:val="98"/>
    <w:semiHidden/>
    <w:rsid w:val="00AA514B"/>
    <w:pPr>
      <w:ind w:left="720" w:hanging="240"/>
    </w:pPr>
  </w:style>
  <w:style w:type="paragraph" w:styleId="Index4">
    <w:name w:val="index 4"/>
    <w:basedOn w:val="Normal"/>
    <w:next w:val="Normal"/>
    <w:autoRedefine/>
    <w:uiPriority w:val="98"/>
    <w:semiHidden/>
    <w:rsid w:val="00AA514B"/>
    <w:pPr>
      <w:ind w:left="960" w:hanging="240"/>
    </w:pPr>
  </w:style>
  <w:style w:type="paragraph" w:styleId="Index5">
    <w:name w:val="index 5"/>
    <w:basedOn w:val="Normal"/>
    <w:next w:val="Normal"/>
    <w:autoRedefine/>
    <w:uiPriority w:val="98"/>
    <w:semiHidden/>
    <w:rsid w:val="00AA514B"/>
    <w:pPr>
      <w:ind w:left="1200" w:hanging="240"/>
    </w:pPr>
  </w:style>
  <w:style w:type="paragraph" w:styleId="Index6">
    <w:name w:val="index 6"/>
    <w:basedOn w:val="Normal"/>
    <w:next w:val="Normal"/>
    <w:autoRedefine/>
    <w:uiPriority w:val="98"/>
    <w:semiHidden/>
    <w:rsid w:val="00AA514B"/>
    <w:pPr>
      <w:ind w:left="1440" w:hanging="240"/>
    </w:pPr>
  </w:style>
  <w:style w:type="paragraph" w:styleId="Index7">
    <w:name w:val="index 7"/>
    <w:basedOn w:val="Normal"/>
    <w:next w:val="Normal"/>
    <w:autoRedefine/>
    <w:uiPriority w:val="98"/>
    <w:semiHidden/>
    <w:rsid w:val="00AA514B"/>
    <w:pPr>
      <w:ind w:left="1680" w:hanging="240"/>
    </w:pPr>
  </w:style>
  <w:style w:type="paragraph" w:styleId="Index8">
    <w:name w:val="index 8"/>
    <w:basedOn w:val="Normal"/>
    <w:next w:val="Normal"/>
    <w:autoRedefine/>
    <w:uiPriority w:val="98"/>
    <w:semiHidden/>
    <w:rsid w:val="00AA514B"/>
    <w:pPr>
      <w:ind w:left="1920" w:hanging="240"/>
    </w:pPr>
  </w:style>
  <w:style w:type="paragraph" w:styleId="Index9">
    <w:name w:val="index 9"/>
    <w:basedOn w:val="Normal"/>
    <w:next w:val="Normal"/>
    <w:autoRedefine/>
    <w:uiPriority w:val="98"/>
    <w:semiHidden/>
    <w:rsid w:val="00AA514B"/>
    <w:pPr>
      <w:ind w:left="2160" w:hanging="240"/>
    </w:pPr>
  </w:style>
  <w:style w:type="paragraph" w:styleId="IndexHeading">
    <w:name w:val="index heading"/>
    <w:basedOn w:val="Normal"/>
    <w:next w:val="Index1"/>
    <w:uiPriority w:val="98"/>
    <w:semiHidden/>
    <w:rsid w:val="00AA514B"/>
    <w:rPr>
      <w:rFonts w:asciiTheme="majorHAnsi" w:eastAsiaTheme="majorEastAsia" w:hAnsiTheme="majorHAnsi" w:cstheme="majorBidi"/>
      <w:b/>
      <w:bCs/>
    </w:rPr>
  </w:style>
  <w:style w:type="table" w:styleId="LightGrid">
    <w:name w:val="Light Grid"/>
    <w:basedOn w:val="TableNormal"/>
    <w:uiPriority w:val="62"/>
    <w:semiHidden/>
    <w:rsid w:val="00AA51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A51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A51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A51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A51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A51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A51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A514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A514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A514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A514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A514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A514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A514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A514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A514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A514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A514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A514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A514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A514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A514B"/>
  </w:style>
  <w:style w:type="paragraph" w:styleId="List">
    <w:name w:val="List"/>
    <w:basedOn w:val="Normal"/>
    <w:uiPriority w:val="98"/>
    <w:semiHidden/>
    <w:rsid w:val="00AA514B"/>
    <w:pPr>
      <w:ind w:left="283" w:hanging="283"/>
      <w:contextualSpacing/>
    </w:pPr>
  </w:style>
  <w:style w:type="paragraph" w:styleId="List20">
    <w:name w:val="List 2"/>
    <w:basedOn w:val="Normal"/>
    <w:uiPriority w:val="98"/>
    <w:semiHidden/>
    <w:rsid w:val="00AA514B"/>
    <w:pPr>
      <w:ind w:left="566" w:hanging="283"/>
      <w:contextualSpacing/>
    </w:pPr>
  </w:style>
  <w:style w:type="paragraph" w:styleId="List30">
    <w:name w:val="List 3"/>
    <w:basedOn w:val="Normal"/>
    <w:uiPriority w:val="98"/>
    <w:semiHidden/>
    <w:rsid w:val="00AA514B"/>
    <w:pPr>
      <w:ind w:left="849" w:hanging="283"/>
      <w:contextualSpacing/>
    </w:pPr>
  </w:style>
  <w:style w:type="paragraph" w:styleId="List4">
    <w:name w:val="List 4"/>
    <w:basedOn w:val="Normal"/>
    <w:uiPriority w:val="98"/>
    <w:semiHidden/>
    <w:rsid w:val="00AA514B"/>
    <w:pPr>
      <w:ind w:left="1132" w:hanging="283"/>
      <w:contextualSpacing/>
    </w:pPr>
  </w:style>
  <w:style w:type="paragraph" w:styleId="List5">
    <w:name w:val="List 5"/>
    <w:basedOn w:val="Normal"/>
    <w:uiPriority w:val="98"/>
    <w:semiHidden/>
    <w:rsid w:val="00AA514B"/>
    <w:pPr>
      <w:ind w:left="1415" w:hanging="283"/>
      <w:contextualSpacing/>
    </w:pPr>
  </w:style>
  <w:style w:type="paragraph" w:styleId="ListBullet2">
    <w:name w:val="List Bullet 2"/>
    <w:basedOn w:val="Normal"/>
    <w:uiPriority w:val="98"/>
    <w:semiHidden/>
    <w:rsid w:val="00AA514B"/>
    <w:pPr>
      <w:numPr>
        <w:numId w:val="7"/>
      </w:numPr>
      <w:contextualSpacing/>
    </w:pPr>
  </w:style>
  <w:style w:type="paragraph" w:styleId="ListBullet4">
    <w:name w:val="List Bullet 4"/>
    <w:basedOn w:val="Normal"/>
    <w:uiPriority w:val="98"/>
    <w:semiHidden/>
    <w:rsid w:val="00AA514B"/>
    <w:pPr>
      <w:numPr>
        <w:numId w:val="9"/>
      </w:numPr>
      <w:contextualSpacing/>
    </w:pPr>
  </w:style>
  <w:style w:type="paragraph" w:styleId="ListBullet5">
    <w:name w:val="List Bullet 5"/>
    <w:basedOn w:val="Normal"/>
    <w:uiPriority w:val="98"/>
    <w:semiHidden/>
    <w:rsid w:val="00AA514B"/>
    <w:pPr>
      <w:numPr>
        <w:numId w:val="10"/>
      </w:numPr>
      <w:contextualSpacing/>
    </w:pPr>
  </w:style>
  <w:style w:type="paragraph" w:styleId="ListContinue">
    <w:name w:val="List Continue"/>
    <w:basedOn w:val="Normal"/>
    <w:uiPriority w:val="98"/>
    <w:semiHidden/>
    <w:rsid w:val="00AA514B"/>
    <w:pPr>
      <w:spacing w:after="120"/>
      <w:ind w:left="283"/>
      <w:contextualSpacing/>
    </w:pPr>
  </w:style>
  <w:style w:type="paragraph" w:styleId="ListContinue2">
    <w:name w:val="List Continue 2"/>
    <w:basedOn w:val="Normal"/>
    <w:uiPriority w:val="98"/>
    <w:semiHidden/>
    <w:rsid w:val="00AA514B"/>
    <w:pPr>
      <w:spacing w:after="120"/>
      <w:ind w:left="566"/>
      <w:contextualSpacing/>
    </w:pPr>
  </w:style>
  <w:style w:type="paragraph" w:styleId="ListContinue3">
    <w:name w:val="List Continue 3"/>
    <w:basedOn w:val="Normal"/>
    <w:uiPriority w:val="98"/>
    <w:semiHidden/>
    <w:rsid w:val="00AA514B"/>
    <w:pPr>
      <w:spacing w:after="120"/>
      <w:ind w:left="849"/>
      <w:contextualSpacing/>
    </w:pPr>
  </w:style>
  <w:style w:type="paragraph" w:styleId="ListContinue4">
    <w:name w:val="List Continue 4"/>
    <w:basedOn w:val="Normal"/>
    <w:uiPriority w:val="98"/>
    <w:semiHidden/>
    <w:rsid w:val="00AA514B"/>
    <w:pPr>
      <w:spacing w:after="120"/>
      <w:ind w:left="1132"/>
      <w:contextualSpacing/>
    </w:pPr>
  </w:style>
  <w:style w:type="paragraph" w:styleId="ListContinue5">
    <w:name w:val="List Continue 5"/>
    <w:basedOn w:val="Normal"/>
    <w:uiPriority w:val="98"/>
    <w:semiHidden/>
    <w:rsid w:val="00AA514B"/>
    <w:pPr>
      <w:spacing w:after="120"/>
      <w:ind w:left="1415"/>
      <w:contextualSpacing/>
    </w:pPr>
  </w:style>
  <w:style w:type="paragraph" w:styleId="ListNumber">
    <w:name w:val="List Number"/>
    <w:basedOn w:val="Normal"/>
    <w:uiPriority w:val="98"/>
    <w:semiHidden/>
    <w:rsid w:val="00AA514B"/>
    <w:pPr>
      <w:numPr>
        <w:numId w:val="11"/>
      </w:numPr>
      <w:contextualSpacing/>
    </w:pPr>
  </w:style>
  <w:style w:type="paragraph" w:styleId="ListNumber2">
    <w:name w:val="List Number 2"/>
    <w:basedOn w:val="Normal"/>
    <w:uiPriority w:val="98"/>
    <w:semiHidden/>
    <w:rsid w:val="00AA514B"/>
    <w:pPr>
      <w:numPr>
        <w:numId w:val="12"/>
      </w:numPr>
      <w:contextualSpacing/>
    </w:pPr>
  </w:style>
  <w:style w:type="paragraph" w:styleId="ListNumber3">
    <w:name w:val="List Number 3"/>
    <w:basedOn w:val="Normal"/>
    <w:uiPriority w:val="98"/>
    <w:semiHidden/>
    <w:rsid w:val="00AA514B"/>
    <w:pPr>
      <w:numPr>
        <w:numId w:val="13"/>
      </w:numPr>
      <w:contextualSpacing/>
    </w:pPr>
  </w:style>
  <w:style w:type="paragraph" w:styleId="ListNumber4">
    <w:name w:val="List Number 4"/>
    <w:basedOn w:val="Normal"/>
    <w:uiPriority w:val="98"/>
    <w:semiHidden/>
    <w:rsid w:val="00AA514B"/>
    <w:pPr>
      <w:numPr>
        <w:numId w:val="14"/>
      </w:numPr>
      <w:contextualSpacing/>
    </w:pPr>
  </w:style>
  <w:style w:type="paragraph" w:styleId="ListNumber5">
    <w:name w:val="List Number 5"/>
    <w:basedOn w:val="Normal"/>
    <w:uiPriority w:val="98"/>
    <w:semiHidden/>
    <w:rsid w:val="00AA514B"/>
    <w:pPr>
      <w:numPr>
        <w:numId w:val="15"/>
      </w:numPr>
      <w:contextualSpacing/>
    </w:pPr>
  </w:style>
  <w:style w:type="paragraph" w:styleId="Macro">
    <w:name w:val="macro"/>
    <w:link w:val="MacroTextChar"/>
    <w:uiPriority w:val="98"/>
    <w:semiHidden/>
    <w:rsid w:val="00AA514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A514B"/>
    <w:rPr>
      <w:rFonts w:ascii="Consolas" w:hAnsi="Consolas" w:eastAsiaTheme="minorEastAsia" w:cs="Consolas"/>
      <w:sz w:val="20"/>
      <w:szCs w:val="20"/>
    </w:rPr>
  </w:style>
  <w:style w:type="table" w:styleId="MediumGrid1">
    <w:name w:val="Medium Grid 1"/>
    <w:basedOn w:val="TableNormal"/>
    <w:uiPriority w:val="67"/>
    <w:semiHidden/>
    <w:rsid w:val="00AA51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A51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A51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A51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A51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A51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A51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A514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A514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A514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A514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A514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A514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A514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A514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A514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A514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A514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A514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A514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A514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A514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A514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A514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A514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A514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A514B"/>
    <w:rPr>
      <w:rFonts w:ascii="Times New Roman" w:hAnsi="Times New Roman" w:cs="Times New Roman"/>
    </w:rPr>
  </w:style>
  <w:style w:type="paragraph" w:styleId="NormalIndent">
    <w:name w:val="Normal Indent"/>
    <w:basedOn w:val="Normal"/>
    <w:uiPriority w:val="98"/>
    <w:semiHidden/>
    <w:rsid w:val="00AA514B"/>
    <w:pPr>
      <w:ind w:left="720"/>
    </w:pPr>
  </w:style>
  <w:style w:type="paragraph" w:styleId="NoteHeading">
    <w:name w:val="Note Heading"/>
    <w:basedOn w:val="Normal"/>
    <w:next w:val="Normal"/>
    <w:link w:val="NoteHeadingChar"/>
    <w:uiPriority w:val="98"/>
    <w:semiHidden/>
    <w:rsid w:val="00AA514B"/>
  </w:style>
  <w:style w:type="character" w:customStyle="1" w:styleId="NoteHeadingChar">
    <w:name w:val="Note Heading Char"/>
    <w:basedOn w:val="DefaultParagraphFont"/>
    <w:link w:val="NoteHeading"/>
    <w:uiPriority w:val="98"/>
    <w:semiHidden/>
    <w:rsid w:val="00AA514B"/>
    <w:rPr>
      <w:sz w:val="24"/>
      <w:szCs w:val="24"/>
      <w:lang w:val="en-GB"/>
    </w:rPr>
  </w:style>
  <w:style w:type="character" w:styleId="PlaceholderText">
    <w:name w:val="Placeholder Text"/>
    <w:basedOn w:val="DefaultParagraphFont"/>
    <w:uiPriority w:val="98"/>
    <w:semiHidden/>
    <w:rsid w:val="00AA514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A514B"/>
    <w:rPr>
      <w:rFonts w:ascii="Consolas" w:hAnsi="Consolas" w:cs="Consolas"/>
      <w:sz w:val="21"/>
      <w:szCs w:val="21"/>
    </w:rPr>
  </w:style>
  <w:style w:type="character" w:customStyle="1" w:styleId="PlainTextChar">
    <w:name w:val="Plain Text Char"/>
    <w:basedOn w:val="DefaultParagraphFont"/>
    <w:link w:val="PlainText"/>
    <w:uiPriority w:val="98"/>
    <w:semiHidden/>
    <w:rsid w:val="00AA514B"/>
    <w:rPr>
      <w:rFonts w:ascii="Consolas" w:hAnsi="Consolas" w:cs="Consolas"/>
      <w:sz w:val="21"/>
      <w:szCs w:val="21"/>
      <w:lang w:val="en-GB"/>
    </w:rPr>
  </w:style>
  <w:style w:type="paragraph" w:styleId="Salutation">
    <w:name w:val="Salutation"/>
    <w:basedOn w:val="Normal"/>
    <w:next w:val="Normal"/>
    <w:link w:val="SalutationChar"/>
    <w:uiPriority w:val="98"/>
    <w:semiHidden/>
    <w:rsid w:val="00AA514B"/>
  </w:style>
  <w:style w:type="character" w:customStyle="1" w:styleId="SalutationChar">
    <w:name w:val="Salutation Char"/>
    <w:basedOn w:val="DefaultParagraphFont"/>
    <w:link w:val="Salutation"/>
    <w:uiPriority w:val="98"/>
    <w:semiHidden/>
    <w:rsid w:val="00AA514B"/>
    <w:rPr>
      <w:sz w:val="24"/>
      <w:szCs w:val="24"/>
      <w:lang w:val="en-GB"/>
    </w:rPr>
  </w:style>
  <w:style w:type="paragraph" w:styleId="Signature0">
    <w:name w:val="Signature"/>
    <w:basedOn w:val="Normal"/>
    <w:link w:val="SignatureChar"/>
    <w:uiPriority w:val="98"/>
    <w:semiHidden/>
    <w:rsid w:val="00AA514B"/>
    <w:pPr>
      <w:ind w:left="4252"/>
    </w:pPr>
  </w:style>
  <w:style w:type="character" w:customStyle="1" w:styleId="SignatureChar">
    <w:name w:val="Signature Char"/>
    <w:basedOn w:val="DefaultParagraphFont"/>
    <w:link w:val="Signature0"/>
    <w:uiPriority w:val="98"/>
    <w:semiHidden/>
    <w:rsid w:val="00AA514B"/>
    <w:rPr>
      <w:sz w:val="24"/>
      <w:szCs w:val="24"/>
      <w:lang w:val="en-GB"/>
    </w:rPr>
  </w:style>
  <w:style w:type="table" w:styleId="Table3Deffects1">
    <w:name w:val="Table 3D effects 1"/>
    <w:basedOn w:val="TableNormal"/>
    <w:uiPriority w:val="99"/>
    <w:semiHidden/>
    <w:unhideWhenUsed/>
    <w:rsid w:val="00AA514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A514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A514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A514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A514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A514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A514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A514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A514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A514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A514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A514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A514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A514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A514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A514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A514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A514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A514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A514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A514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A514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A514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A514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A514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A51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A514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A514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A514B"/>
    <w:pPr>
      <w:ind w:left="240" w:hanging="240"/>
    </w:pPr>
  </w:style>
  <w:style w:type="paragraph" w:styleId="TableofFigures">
    <w:name w:val="table of figures"/>
    <w:basedOn w:val="Normal"/>
    <w:next w:val="Normal"/>
    <w:uiPriority w:val="98"/>
    <w:semiHidden/>
    <w:rsid w:val="00AA514B"/>
  </w:style>
  <w:style w:type="table" w:styleId="TableProfessional">
    <w:name w:val="Table Professional"/>
    <w:basedOn w:val="TableNormal"/>
    <w:uiPriority w:val="99"/>
    <w:semiHidden/>
    <w:unhideWhenUsed/>
    <w:rsid w:val="00AA514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A514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A514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A514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A514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A514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A514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A514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A514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A514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A514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A514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A514B"/>
    <w:pPr>
      <w:spacing w:after="100"/>
      <w:ind w:left="1680"/>
    </w:pPr>
  </w:style>
  <w:style w:type="paragraph" w:styleId="TOC9">
    <w:name w:val="toc 9"/>
    <w:basedOn w:val="Normal"/>
    <w:next w:val="Normal"/>
    <w:autoRedefine/>
    <w:uiPriority w:val="98"/>
    <w:semiHidden/>
    <w:rsid w:val="00AA514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A514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A514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A514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A514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A514B"/>
    <w:pPr>
      <w:numPr>
        <w:numId w:val="19"/>
      </w:numPr>
      <w:spacing w:before="60" w:after="60"/>
    </w:pPr>
  </w:style>
  <w:style w:type="paragraph" w:customStyle="1" w:styleId="ECHRBullet2">
    <w:name w:val="ECHR_Bullet_2"/>
    <w:aliases w:val="_Bul_2"/>
    <w:basedOn w:val="ECHRBullet1"/>
    <w:uiPriority w:val="23"/>
    <w:semiHidden/>
    <w:rsid w:val="00AA514B"/>
    <w:pPr>
      <w:numPr>
        <w:ilvl w:val="1"/>
      </w:numPr>
    </w:pPr>
  </w:style>
  <w:style w:type="paragraph" w:customStyle="1" w:styleId="ECHRBullet3">
    <w:name w:val="ECHR_Bullet_3"/>
    <w:aliases w:val="_Bul_3"/>
    <w:basedOn w:val="ECHRBullet2"/>
    <w:uiPriority w:val="23"/>
    <w:semiHidden/>
    <w:rsid w:val="00AA514B"/>
    <w:pPr>
      <w:numPr>
        <w:ilvl w:val="2"/>
      </w:numPr>
    </w:pPr>
  </w:style>
  <w:style w:type="paragraph" w:customStyle="1" w:styleId="ECHRBullet4">
    <w:name w:val="ECHR_Bullet_4"/>
    <w:aliases w:val="_Bul_4"/>
    <w:basedOn w:val="ECHRBullet3"/>
    <w:uiPriority w:val="23"/>
    <w:semiHidden/>
    <w:rsid w:val="00AA514B"/>
    <w:pPr>
      <w:numPr>
        <w:ilvl w:val="3"/>
      </w:numPr>
    </w:pPr>
  </w:style>
  <w:style w:type="paragraph" w:customStyle="1" w:styleId="ECHRConfidential">
    <w:name w:val="ECHR_Confidential"/>
    <w:aliases w:val="_Confidential"/>
    <w:basedOn w:val="Normal"/>
    <w:next w:val="Normal"/>
    <w:uiPriority w:val="42"/>
    <w:semiHidden/>
    <w:qFormat/>
    <w:rsid w:val="00AA514B"/>
    <w:pPr>
      <w:jc w:val="right"/>
    </w:pPr>
    <w:rPr>
      <w:color w:val="C00000"/>
      <w:sz w:val="20"/>
    </w:rPr>
  </w:style>
  <w:style w:type="paragraph" w:customStyle="1" w:styleId="ECHRDecisionBody">
    <w:name w:val="ECHR_Decision_Body"/>
    <w:aliases w:val="_Decision_Body"/>
    <w:basedOn w:val="NormalJustified"/>
    <w:uiPriority w:val="54"/>
    <w:semiHidden/>
    <w:rsid w:val="00AA514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A514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A514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A514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A514B"/>
    <w:pPr>
      <w:jc w:val="right"/>
    </w:pPr>
    <w:rPr>
      <w:sz w:val="20"/>
    </w:rPr>
  </w:style>
  <w:style w:type="paragraph" w:customStyle="1" w:styleId="ECHRHeaderRefIt">
    <w:name w:val="ECHR_Header_Ref_It"/>
    <w:aliases w:val="_Ref_Ital"/>
    <w:basedOn w:val="Normal"/>
    <w:next w:val="ECHRHeaderDate"/>
    <w:uiPriority w:val="43"/>
    <w:qFormat/>
    <w:rsid w:val="00AA514B"/>
    <w:pPr>
      <w:jc w:val="right"/>
    </w:pPr>
    <w:rPr>
      <w:i/>
      <w:sz w:val="20"/>
    </w:rPr>
  </w:style>
  <w:style w:type="paragraph" w:customStyle="1" w:styleId="ECHRHeading9">
    <w:name w:val="ECHR_Heading_9"/>
    <w:aliases w:val="_Head_9"/>
    <w:basedOn w:val="Heading9"/>
    <w:uiPriority w:val="17"/>
    <w:semiHidden/>
    <w:rsid w:val="00AA514B"/>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A514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A514B"/>
    <w:pPr>
      <w:numPr>
        <w:numId w:val="20"/>
      </w:numPr>
      <w:spacing w:before="60" w:after="60"/>
    </w:pPr>
  </w:style>
  <w:style w:type="paragraph" w:customStyle="1" w:styleId="ECHRNumberedList2">
    <w:name w:val="ECHR_Numbered_List_2"/>
    <w:aliases w:val="_Num_2"/>
    <w:basedOn w:val="ECHRNumberedList1"/>
    <w:uiPriority w:val="23"/>
    <w:semiHidden/>
    <w:rsid w:val="00AA514B"/>
    <w:pPr>
      <w:numPr>
        <w:ilvl w:val="1"/>
      </w:numPr>
    </w:pPr>
  </w:style>
  <w:style w:type="paragraph" w:customStyle="1" w:styleId="ECHRNumberedList3">
    <w:name w:val="ECHR_Numbered_List_3"/>
    <w:aliases w:val="_Num_3"/>
    <w:basedOn w:val="ECHRNumberedList2"/>
    <w:uiPriority w:val="23"/>
    <w:semiHidden/>
    <w:rsid w:val="00AA514B"/>
    <w:pPr>
      <w:numPr>
        <w:ilvl w:val="2"/>
      </w:numPr>
    </w:pPr>
  </w:style>
  <w:style w:type="paragraph" w:customStyle="1" w:styleId="ECHRParaHanging">
    <w:name w:val="ECHR_Para_Hanging"/>
    <w:aliases w:val="_Hanging"/>
    <w:basedOn w:val="NormalJustified"/>
    <w:uiPriority w:val="8"/>
    <w:semiHidden/>
    <w:qFormat/>
    <w:rsid w:val="00AA514B"/>
    <w:pPr>
      <w:ind w:left="567" w:hanging="567"/>
    </w:pPr>
  </w:style>
  <w:style w:type="paragraph" w:customStyle="1" w:styleId="ECHRParaIndent">
    <w:name w:val="ECHR_Para_Indent"/>
    <w:aliases w:val="_Indent"/>
    <w:basedOn w:val="NormalJustified"/>
    <w:uiPriority w:val="7"/>
    <w:semiHidden/>
    <w:qFormat/>
    <w:rsid w:val="00AA514B"/>
    <w:pPr>
      <w:spacing w:before="120" w:after="120"/>
      <w:ind w:left="284"/>
    </w:pPr>
  </w:style>
  <w:style w:type="character" w:customStyle="1" w:styleId="ECHRRed">
    <w:name w:val="ECHR_Red"/>
    <w:aliases w:val="_Red"/>
    <w:basedOn w:val="DefaultParagraphFont"/>
    <w:uiPriority w:val="15"/>
    <w:semiHidden/>
    <w:qFormat/>
    <w:rsid w:val="00AA514B"/>
    <w:rPr>
      <w:color w:val="C00000" w:themeColor="accent2"/>
    </w:rPr>
  </w:style>
  <w:style w:type="paragraph" w:customStyle="1" w:styleId="DecList">
    <w:name w:val="Dec_List"/>
    <w:aliases w:val="_List"/>
    <w:basedOn w:val="JuList"/>
    <w:uiPriority w:val="22"/>
    <w:rsid w:val="00AA514B"/>
    <w:pPr>
      <w:numPr>
        <w:numId w:val="0"/>
      </w:numPr>
      <w:ind w:left="284"/>
    </w:pPr>
  </w:style>
  <w:style w:type="table" w:customStyle="1" w:styleId="ECHRTable2">
    <w:name w:val="ECHR_Table_2"/>
    <w:basedOn w:val="TableNormal"/>
    <w:uiPriority w:val="99"/>
    <w:rsid w:val="00AA514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A514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A514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A514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A514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A514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A514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AA514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A514B"/>
    <w:pPr>
      <w:outlineLvl w:val="0"/>
    </w:pPr>
  </w:style>
  <w:style w:type="paragraph" w:customStyle="1" w:styleId="ECHRTitleTOC1">
    <w:name w:val="ECHR_Title_TOC_1"/>
    <w:aliases w:val="_Title_L_TOC"/>
    <w:basedOn w:val="ECHRTitle1"/>
    <w:next w:val="Normal"/>
    <w:uiPriority w:val="27"/>
    <w:semiHidden/>
    <w:qFormat/>
    <w:rsid w:val="00AA514B"/>
    <w:pPr>
      <w:outlineLvl w:val="0"/>
    </w:pPr>
  </w:style>
  <w:style w:type="paragraph" w:customStyle="1" w:styleId="ECHRPlaceholder">
    <w:name w:val="ECHR_Placeholder"/>
    <w:aliases w:val="_Placeholder"/>
    <w:basedOn w:val="JuSigned"/>
    <w:uiPriority w:val="31"/>
    <w:rsid w:val="00AA514B"/>
    <w:rPr>
      <w:color w:val="FFFFFF"/>
    </w:rPr>
  </w:style>
  <w:style w:type="paragraph" w:customStyle="1" w:styleId="ECHRSpacer">
    <w:name w:val="ECHR_Spacer"/>
    <w:aliases w:val="_Spacer"/>
    <w:basedOn w:val="Normal"/>
    <w:uiPriority w:val="45"/>
    <w:semiHidden/>
    <w:rsid w:val="00AA514B"/>
    <w:rPr>
      <w:sz w:val="4"/>
    </w:rPr>
  </w:style>
  <w:style w:type="table" w:customStyle="1" w:styleId="ECHRTableGrey">
    <w:name w:val="ECHR_Table_Grey"/>
    <w:basedOn w:val="TableNormal"/>
    <w:uiPriority w:val="99"/>
    <w:rsid w:val="00AA514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AA514B"/>
    <w:rPr>
      <w:color w:val="605E5C"/>
      <w:shd w:val="clear" w:color="auto" w:fill="E1DFDD"/>
    </w:rPr>
  </w:style>
  <w:style w:type="character" w:customStyle="1" w:styleId="JuParaChar">
    <w:name w:val="Ju_Para Char"/>
    <w:aliases w:val="_Para Char,ECHR_Para Char"/>
    <w:link w:val="JuPara"/>
    <w:uiPriority w:val="4"/>
    <w:qFormat/>
    <w:rsid w:val="0083656D"/>
    <w:rPr>
      <w:sz w:val="24"/>
      <w:szCs w:val="24"/>
      <w:lang w:val="en-GB"/>
    </w:rPr>
  </w:style>
  <w:style w:type="table" w:customStyle="1" w:styleId="11">
    <w:name w:val="Сітка таблиці 1 (світла)1"/>
    <w:basedOn w:val="TableNormal"/>
    <w:uiPriority w:val="46"/>
    <w:semiHidden/>
    <w:rsid w:val="0083656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3656D"/>
    <w:pPr>
      <w:numPr>
        <w:ilvl w:val="0"/>
        <w:numId w:val="0"/>
      </w:numPr>
      <w:tabs>
        <w:tab w:val="num" w:pos="1701"/>
      </w:tabs>
      <w:spacing w:before="60" w:after="60" w:line="240" w:lineRule="exact"/>
      <w:ind w:left="1703" w:hanging="284"/>
      <w:contextualSpacing/>
    </w:pPr>
    <w:rPr>
      <w:sz w:val="22"/>
      <w:lang w:val="fr-FR" w:eastAsia="fr-FR"/>
    </w:rPr>
  </w:style>
  <w:style w:type="table" w:customStyle="1" w:styleId="111">
    <w:name w:val="Сітка таблиці 1 (світла) – акцент 11"/>
    <w:basedOn w:val="TableNormal"/>
    <w:uiPriority w:val="46"/>
    <w:semiHidden/>
    <w:rsid w:val="0083656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Сітка таблиці 1 світла – акцент 21"/>
    <w:basedOn w:val="TableNormal"/>
    <w:uiPriority w:val="46"/>
    <w:semiHidden/>
    <w:rsid w:val="0083656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Сітка таблиці 1 (світла) – акцент 31"/>
    <w:basedOn w:val="TableNormal"/>
    <w:uiPriority w:val="46"/>
    <w:semiHidden/>
    <w:rsid w:val="0083656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141">
    <w:name w:val="Сітка таблиці 1 (світла) – акцент 41"/>
    <w:basedOn w:val="TableNormal"/>
    <w:uiPriority w:val="46"/>
    <w:semiHidden/>
    <w:rsid w:val="0083656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Сітка таблиці 1 (світла) – акцент 51"/>
    <w:basedOn w:val="TableNormal"/>
    <w:uiPriority w:val="46"/>
    <w:semiHidden/>
    <w:rsid w:val="0083656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Сітка таблиці 1 (світла) – акцент 61"/>
    <w:basedOn w:val="TableNormal"/>
    <w:uiPriority w:val="46"/>
    <w:semiHidden/>
    <w:rsid w:val="0083656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semiHidden/>
    <w:rsid w:val="008365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Сітка таблиці 2 – акцент 11"/>
    <w:basedOn w:val="TableNormal"/>
    <w:uiPriority w:val="47"/>
    <w:semiHidden/>
    <w:rsid w:val="0083656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Сітка таблиці 2 – акцент 21"/>
    <w:basedOn w:val="TableNormal"/>
    <w:uiPriority w:val="47"/>
    <w:semiHidden/>
    <w:rsid w:val="0083656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Сітка таблиці 2 – акцент 31"/>
    <w:basedOn w:val="TableNormal"/>
    <w:uiPriority w:val="47"/>
    <w:semiHidden/>
    <w:rsid w:val="0083656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241">
    <w:name w:val="Сітка таблиці 2 – акцент 41"/>
    <w:basedOn w:val="TableNormal"/>
    <w:uiPriority w:val="47"/>
    <w:semiHidden/>
    <w:rsid w:val="0083656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Сітка таблиці 2 – акцент 51"/>
    <w:basedOn w:val="TableNormal"/>
    <w:uiPriority w:val="47"/>
    <w:semiHidden/>
    <w:rsid w:val="0083656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Сітка таблиці 2 – акцент 61"/>
    <w:basedOn w:val="TableNormal"/>
    <w:uiPriority w:val="47"/>
    <w:semiHidden/>
    <w:rsid w:val="0083656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Сітка таблиці 3 – акцент 11"/>
    <w:basedOn w:val="TableNormal"/>
    <w:uiPriority w:val="48"/>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Сітка таблиці 3 – акцент 21"/>
    <w:basedOn w:val="TableNormal"/>
    <w:uiPriority w:val="48"/>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Сітка таблиці 3 – акцент 31"/>
    <w:basedOn w:val="TableNormal"/>
    <w:uiPriority w:val="48"/>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341">
    <w:name w:val="Сітка таблиці 3 – акцент 41"/>
    <w:basedOn w:val="TableNormal"/>
    <w:uiPriority w:val="48"/>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Сітка таблиці 3 – акцент 51"/>
    <w:basedOn w:val="TableNormal"/>
    <w:uiPriority w:val="48"/>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Сітка таблиці 3 – акцент 61"/>
    <w:basedOn w:val="TableNormal"/>
    <w:uiPriority w:val="48"/>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Сітка таблиці 4 – акцент 11"/>
    <w:basedOn w:val="TableNormal"/>
    <w:uiPriority w:val="49"/>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Сітка таблиці 4 – акцент 21"/>
    <w:basedOn w:val="TableNormal"/>
    <w:uiPriority w:val="49"/>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Сітка таблиці 4 – акцент 31"/>
    <w:basedOn w:val="TableNormal"/>
    <w:uiPriority w:val="49"/>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441">
    <w:name w:val="Сітка таблиці 4 – акцент 41"/>
    <w:basedOn w:val="TableNormal"/>
    <w:uiPriority w:val="49"/>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Сітка таблиці 4 – акцент 51"/>
    <w:basedOn w:val="TableNormal"/>
    <w:uiPriority w:val="49"/>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Сітка таблиці 4 – акцент 61"/>
    <w:basedOn w:val="TableNormal"/>
    <w:uiPriority w:val="49"/>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Сітка таблиці 5 (темна)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Сітка таблиці 5 (темна) – акцент 1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Сітка таблиці 5 (темна) – акцент 2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Сітка таблиці 5 (темна) – акцент 3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541">
    <w:name w:val="Сітка таблиці 5 (темна) – акцент 4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Сітка таблиці 5 (темна) – акцент 5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Сітка таблиці 5 (темна) – акцент 61"/>
    <w:basedOn w:val="TableNormal"/>
    <w:uiPriority w:val="50"/>
    <w:semiHidden/>
    <w:rsid w:val="008365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Сітка таблиці 6 (кольорова)1"/>
    <w:basedOn w:val="TableNormal"/>
    <w:uiPriority w:val="51"/>
    <w:semiHidden/>
    <w:rsid w:val="008365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Сітка таблиці 6 (кольорова) – акцент 11"/>
    <w:basedOn w:val="TableNormal"/>
    <w:uiPriority w:val="51"/>
    <w:semiHidden/>
    <w:rsid w:val="0083656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Сітка таблиці 6 (кольорова) – акцент 21"/>
    <w:basedOn w:val="TableNormal"/>
    <w:uiPriority w:val="51"/>
    <w:semiHidden/>
    <w:rsid w:val="0083656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Сітка таблиці 6 (кольорова) – акцент 31"/>
    <w:basedOn w:val="TableNormal"/>
    <w:uiPriority w:val="51"/>
    <w:semiHidden/>
    <w:rsid w:val="0083656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641">
    <w:name w:val="Сітка таблиці 6 (кольорова) – акцент 41"/>
    <w:basedOn w:val="TableNormal"/>
    <w:uiPriority w:val="51"/>
    <w:semiHidden/>
    <w:rsid w:val="0083656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Сітка таблиці 6 (кольорова) – акцент 51"/>
    <w:basedOn w:val="TableNormal"/>
    <w:uiPriority w:val="51"/>
    <w:semiHidden/>
    <w:rsid w:val="0083656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Сітка таблиці 6 (кольорова) – акцент 61"/>
    <w:basedOn w:val="TableNormal"/>
    <w:uiPriority w:val="51"/>
    <w:semiHidden/>
    <w:rsid w:val="0083656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Сітка таблиці 7 (кольорова)1"/>
    <w:basedOn w:val="TableNormal"/>
    <w:uiPriority w:val="52"/>
    <w:semiHidden/>
    <w:rsid w:val="008365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Сітка таблиці 7 (кольорова) – акцент 11"/>
    <w:basedOn w:val="TableNormal"/>
    <w:uiPriority w:val="52"/>
    <w:semiHidden/>
    <w:rsid w:val="0083656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Сітка таблиці 7 (кольорова) – акцент 21"/>
    <w:basedOn w:val="TableNormal"/>
    <w:uiPriority w:val="52"/>
    <w:semiHidden/>
    <w:rsid w:val="0083656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Сітка таблиці 7 (кольорова) – акцент 31"/>
    <w:basedOn w:val="TableNormal"/>
    <w:uiPriority w:val="52"/>
    <w:semiHidden/>
    <w:rsid w:val="0083656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741">
    <w:name w:val="Сітка таблиці 7 (кольорова) – акцент 41"/>
    <w:basedOn w:val="TableNormal"/>
    <w:uiPriority w:val="52"/>
    <w:semiHidden/>
    <w:rsid w:val="0083656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Сітка таблиці 7 (кольорова) – акцент 51"/>
    <w:basedOn w:val="TableNormal"/>
    <w:uiPriority w:val="52"/>
    <w:semiHidden/>
    <w:rsid w:val="0083656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Сітка таблиці 7 (кольорова) – акцент 61"/>
    <w:basedOn w:val="TableNormal"/>
    <w:uiPriority w:val="52"/>
    <w:semiHidden/>
    <w:rsid w:val="0083656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0">
    <w:name w:val="Гештег1"/>
    <w:basedOn w:val="DefaultParagraphFont"/>
    <w:uiPriority w:val="99"/>
    <w:semiHidden/>
    <w:unhideWhenUsed/>
    <w:rsid w:val="0083656D"/>
    <w:rPr>
      <w:color w:val="2B579A"/>
      <w:shd w:val="clear" w:color="auto" w:fill="E1DFDD"/>
    </w:rPr>
  </w:style>
  <w:style w:type="table" w:customStyle="1" w:styleId="110">
    <w:name w:val="Список таблиці 1 (світлий)1"/>
    <w:basedOn w:val="TableNormal"/>
    <w:uiPriority w:val="46"/>
    <w:semiHidden/>
    <w:rsid w:val="0083656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Список таблиці 1 (світлий) – акцент 11"/>
    <w:basedOn w:val="TableNormal"/>
    <w:uiPriority w:val="46"/>
    <w:semiHidden/>
    <w:rsid w:val="0083656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Список таблиці 1 (світлий) – акцент 21"/>
    <w:basedOn w:val="TableNormal"/>
    <w:uiPriority w:val="46"/>
    <w:semiHidden/>
    <w:rsid w:val="0083656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Список таблиці 1 (світлий) – акцент 31"/>
    <w:basedOn w:val="TableNormal"/>
    <w:uiPriority w:val="46"/>
    <w:semiHidden/>
    <w:rsid w:val="0083656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1410">
    <w:name w:val="Список таблиці 1 (світлий) – акцент 41"/>
    <w:basedOn w:val="TableNormal"/>
    <w:uiPriority w:val="46"/>
    <w:semiHidden/>
    <w:rsid w:val="0083656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Список таблиці 1 (світлий) – акцент 51"/>
    <w:basedOn w:val="TableNormal"/>
    <w:uiPriority w:val="46"/>
    <w:semiHidden/>
    <w:rsid w:val="0083656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Список таблиці 1 (світлий) – акцент 61"/>
    <w:basedOn w:val="TableNormal"/>
    <w:uiPriority w:val="46"/>
    <w:semiHidden/>
    <w:rsid w:val="0083656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
    <w:name w:val="Список таблиці 21"/>
    <w:basedOn w:val="TableNormal"/>
    <w:uiPriority w:val="47"/>
    <w:semiHidden/>
    <w:rsid w:val="0083656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Список таблиці 2 – акцент 11"/>
    <w:basedOn w:val="TableNormal"/>
    <w:uiPriority w:val="47"/>
    <w:semiHidden/>
    <w:rsid w:val="0083656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Список таблиці 2 – акцент 21"/>
    <w:basedOn w:val="TableNormal"/>
    <w:uiPriority w:val="47"/>
    <w:semiHidden/>
    <w:rsid w:val="0083656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Список таблиці 2 – акцент 31"/>
    <w:basedOn w:val="TableNormal"/>
    <w:uiPriority w:val="47"/>
    <w:semiHidden/>
    <w:rsid w:val="0083656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2410">
    <w:name w:val="Список таблиці 2 – акцент 41"/>
    <w:basedOn w:val="TableNormal"/>
    <w:uiPriority w:val="47"/>
    <w:semiHidden/>
    <w:rsid w:val="0083656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Список таблиці 2 – акцент 51"/>
    <w:basedOn w:val="TableNormal"/>
    <w:uiPriority w:val="47"/>
    <w:semiHidden/>
    <w:rsid w:val="0083656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Список таблиці 2 – акцент 61"/>
    <w:basedOn w:val="TableNormal"/>
    <w:uiPriority w:val="47"/>
    <w:semiHidden/>
    <w:rsid w:val="0083656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Список таблиці 31"/>
    <w:basedOn w:val="TableNormal"/>
    <w:uiPriority w:val="48"/>
    <w:semiHidden/>
    <w:rsid w:val="0083656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 таблиці 3 – акцент 11"/>
    <w:basedOn w:val="TableNormal"/>
    <w:uiPriority w:val="48"/>
    <w:semiHidden/>
    <w:rsid w:val="0083656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Список таблиці 3 – акцент 21"/>
    <w:basedOn w:val="TableNormal"/>
    <w:uiPriority w:val="48"/>
    <w:semiHidden/>
    <w:rsid w:val="0083656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Список таблиці 3 – акцент 31"/>
    <w:basedOn w:val="TableNormal"/>
    <w:uiPriority w:val="48"/>
    <w:semiHidden/>
    <w:rsid w:val="0083656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3410">
    <w:name w:val="Список таблиці 3 – акцент 41"/>
    <w:basedOn w:val="TableNormal"/>
    <w:uiPriority w:val="48"/>
    <w:semiHidden/>
    <w:rsid w:val="0083656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Список таблиці 3 – акцент 51"/>
    <w:basedOn w:val="TableNormal"/>
    <w:uiPriority w:val="48"/>
    <w:semiHidden/>
    <w:rsid w:val="0083656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Список таблиці 3 – акцент 61"/>
    <w:basedOn w:val="TableNormal"/>
    <w:uiPriority w:val="48"/>
    <w:semiHidden/>
    <w:rsid w:val="0083656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
    <w:name w:val="Список таблиці 41"/>
    <w:basedOn w:val="TableNormal"/>
    <w:uiPriority w:val="49"/>
    <w:semiHidden/>
    <w:rsid w:val="008365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 таблиці 4 – акцент 11"/>
    <w:basedOn w:val="TableNormal"/>
    <w:uiPriority w:val="49"/>
    <w:semiHidden/>
    <w:rsid w:val="0083656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Список таблиці 4 – акцент 21"/>
    <w:basedOn w:val="TableNormal"/>
    <w:uiPriority w:val="49"/>
    <w:semiHidden/>
    <w:rsid w:val="0083656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Список таблиці 4 – акцент 31"/>
    <w:basedOn w:val="TableNormal"/>
    <w:uiPriority w:val="49"/>
    <w:semiHidden/>
    <w:rsid w:val="0083656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4410">
    <w:name w:val="Список таблиці 4 – акцент 41"/>
    <w:basedOn w:val="TableNormal"/>
    <w:uiPriority w:val="49"/>
    <w:semiHidden/>
    <w:rsid w:val="0083656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Список таблиці 4 – акцент 51"/>
    <w:basedOn w:val="TableNormal"/>
    <w:uiPriority w:val="49"/>
    <w:semiHidden/>
    <w:rsid w:val="0083656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Список таблиці 4 – акцент 61"/>
    <w:basedOn w:val="TableNormal"/>
    <w:uiPriority w:val="49"/>
    <w:semiHidden/>
    <w:rsid w:val="0083656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Список таблиці 5 (темний)1"/>
    <w:basedOn w:val="TableNormal"/>
    <w:uiPriority w:val="50"/>
    <w:semiHidden/>
    <w:rsid w:val="0083656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 таблиці 5 (темний) – акцент 11"/>
    <w:basedOn w:val="TableNormal"/>
    <w:uiPriority w:val="50"/>
    <w:semiHidden/>
    <w:rsid w:val="0083656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 таблиці 5 (темний) – акцент 21"/>
    <w:basedOn w:val="TableNormal"/>
    <w:uiPriority w:val="50"/>
    <w:semiHidden/>
    <w:rsid w:val="0083656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 таблиці 5 (темний) – акцент 31"/>
    <w:basedOn w:val="TableNormal"/>
    <w:uiPriority w:val="50"/>
    <w:semiHidden/>
    <w:rsid w:val="0083656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 таблиці 5 (темний) – акцент 41"/>
    <w:basedOn w:val="TableNormal"/>
    <w:uiPriority w:val="50"/>
    <w:semiHidden/>
    <w:rsid w:val="0083656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 таблиці 5 (темний) – акцент 51"/>
    <w:basedOn w:val="TableNormal"/>
    <w:uiPriority w:val="50"/>
    <w:semiHidden/>
    <w:rsid w:val="0083656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 таблиці 5 (темний) – акцент 61"/>
    <w:basedOn w:val="TableNormal"/>
    <w:uiPriority w:val="50"/>
    <w:semiHidden/>
    <w:rsid w:val="0083656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Список таблиці 6 (кольоровий)1"/>
    <w:basedOn w:val="TableNormal"/>
    <w:uiPriority w:val="51"/>
    <w:semiHidden/>
    <w:rsid w:val="0083656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 таблиці 6 (кольоровий) – акцент 11"/>
    <w:basedOn w:val="TableNormal"/>
    <w:uiPriority w:val="51"/>
    <w:semiHidden/>
    <w:rsid w:val="0083656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Список таблиці 6 (кольоровий) – акцент 21"/>
    <w:basedOn w:val="TableNormal"/>
    <w:uiPriority w:val="51"/>
    <w:semiHidden/>
    <w:rsid w:val="0083656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Список таблиці 6 (кольоровий) – акцент 31"/>
    <w:basedOn w:val="TableNormal"/>
    <w:uiPriority w:val="51"/>
    <w:semiHidden/>
    <w:rsid w:val="0083656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6410">
    <w:name w:val="Список таблиці 6 (кольоровий) – акцент 41"/>
    <w:basedOn w:val="TableNormal"/>
    <w:uiPriority w:val="51"/>
    <w:semiHidden/>
    <w:rsid w:val="0083656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Список таблиці 6 (кольоровий) – акцент 51"/>
    <w:basedOn w:val="TableNormal"/>
    <w:uiPriority w:val="51"/>
    <w:semiHidden/>
    <w:rsid w:val="0083656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Список таблиці 6 (кольоровий) – акцент 61"/>
    <w:basedOn w:val="TableNormal"/>
    <w:uiPriority w:val="51"/>
    <w:semiHidden/>
    <w:rsid w:val="0083656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Список таблиці 7 (кольоровий)1"/>
    <w:basedOn w:val="TableNormal"/>
    <w:uiPriority w:val="52"/>
    <w:semiHidden/>
    <w:rsid w:val="0083656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 таблиці 7 (кольоровий) – акцент 11"/>
    <w:basedOn w:val="TableNormal"/>
    <w:uiPriority w:val="52"/>
    <w:semiHidden/>
    <w:rsid w:val="0083656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 таблиці 7 (кольоровий) – акцент 21"/>
    <w:basedOn w:val="TableNormal"/>
    <w:uiPriority w:val="52"/>
    <w:semiHidden/>
    <w:rsid w:val="0083656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 таблиці 7 (кольоровий) – акцент 31"/>
    <w:basedOn w:val="TableNormal"/>
    <w:uiPriority w:val="52"/>
    <w:semiHidden/>
    <w:rsid w:val="0083656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 таблиці 7 (кольоровий) – акцент 41"/>
    <w:basedOn w:val="TableNormal"/>
    <w:uiPriority w:val="52"/>
    <w:semiHidden/>
    <w:rsid w:val="0083656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 таблиці 7 (кольоровий) – акцент 51"/>
    <w:basedOn w:val="TableNormal"/>
    <w:uiPriority w:val="52"/>
    <w:semiHidden/>
    <w:rsid w:val="0083656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 таблиці 7 (кольоровий) – акцент 61"/>
    <w:basedOn w:val="TableNormal"/>
    <w:uiPriority w:val="52"/>
    <w:semiHidden/>
    <w:rsid w:val="0083656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2">
    <w:name w:val="Згадати1"/>
    <w:basedOn w:val="DefaultParagraphFont"/>
    <w:uiPriority w:val="99"/>
    <w:semiHidden/>
    <w:unhideWhenUsed/>
    <w:rsid w:val="0083656D"/>
    <w:rPr>
      <w:color w:val="2B579A"/>
      <w:shd w:val="clear" w:color="auto" w:fill="E1DFDD"/>
    </w:rPr>
  </w:style>
  <w:style w:type="table" w:customStyle="1" w:styleId="112">
    <w:name w:val="Звичайна таблиця 11"/>
    <w:basedOn w:val="TableNormal"/>
    <w:uiPriority w:val="41"/>
    <w:semiHidden/>
    <w:rsid w:val="0083656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Звичайна таблиця 21"/>
    <w:basedOn w:val="TableNormal"/>
    <w:uiPriority w:val="42"/>
    <w:semiHidden/>
    <w:rsid w:val="0083656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Звичайна таблиця 31"/>
    <w:basedOn w:val="TableNormal"/>
    <w:uiPriority w:val="43"/>
    <w:semiHidden/>
    <w:rsid w:val="0083656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Звичайна таблиця 41"/>
    <w:basedOn w:val="TableNormal"/>
    <w:uiPriority w:val="44"/>
    <w:semiHidden/>
    <w:rsid w:val="0083656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2">
    <w:name w:val="Звичайна таблиця 51"/>
    <w:basedOn w:val="TableNormal"/>
    <w:uiPriority w:val="45"/>
    <w:semiHidden/>
    <w:rsid w:val="0083656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3">
    <w:name w:val="Пунктирне гіперпосилання1"/>
    <w:basedOn w:val="DefaultParagraphFont"/>
    <w:uiPriority w:val="99"/>
    <w:semiHidden/>
    <w:unhideWhenUsed/>
    <w:rsid w:val="0083656D"/>
    <w:rPr>
      <w:u w:val="dotted"/>
    </w:rPr>
  </w:style>
  <w:style w:type="character" w:customStyle="1" w:styleId="SmartLink1">
    <w:name w:val="SmartLink1"/>
    <w:basedOn w:val="DefaultParagraphFont"/>
    <w:uiPriority w:val="99"/>
    <w:semiHidden/>
    <w:unhideWhenUsed/>
    <w:rsid w:val="0083656D"/>
    <w:rPr>
      <w:color w:val="0000FF"/>
      <w:u w:val="single"/>
      <w:shd w:val="clear" w:color="auto" w:fill="F3F2F1"/>
    </w:rPr>
  </w:style>
  <w:style w:type="table" w:customStyle="1" w:styleId="14">
    <w:name w:val="Сітка таблиці (світла)1"/>
    <w:basedOn w:val="TableNormal"/>
    <w:uiPriority w:val="40"/>
    <w:semiHidden/>
    <w:rsid w:val="008365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83656D"/>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8A87-1B28-4E24-999C-2C3354F8D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4344</Words>
  <Characters>25505</Characters>
  <Application>Microsoft Office Word</Application>
  <DocSecurity>0</DocSecurity>
  <Lines>542</Lines>
  <Paragraphs>138</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2026-08-17T05:59:00Z</dcterms:created>
  <dcterms:modified xsi:type="dcterms:W3CDTF">2026-08-17T06:00:00Z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1320096</vt:lpwstr>
  </property>
  <property fmtid="{D5CDD505-2E9C-101B-9397-08002B2CF9AE}" pid="3" name="cstLanguage">
    <vt:i4>2057</vt:i4>
  </property>
  <property fmtid="{D5CDD505-2E9C-101B-9397-08002B2CF9AE}" pid="4" name="RegisteredNo">
    <vt:lpwstr>46839/17</vt:lpwstr>
  </property>
</Properties>
</file>