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F83F45" w:rsidR="0098410D" w:rsidP="00F83F45" w14:paraId="34D2DD50" w14:textId="77777777">
      <w:pPr>
        <w:jc w:val="center"/>
      </w:pPr>
    </w:p>
    <w:p w:rsidRPr="00F83F45" w:rsidR="0098410D" w:rsidP="00F83F45" w14:paraId="18811A0F" w14:textId="77777777">
      <w:pPr>
        <w:pStyle w:val="DecHTitle"/>
        <w:keepNext w:val="0"/>
        <w:keepLines w:val="0"/>
      </w:pPr>
      <w:r w:rsidRPr="00F83F45">
        <w:t>FIFTH SECTION</w:t>
      </w:r>
    </w:p>
    <w:p w:rsidRPr="00F83F45" w:rsidR="008E6217" w:rsidP="005B10E6" w14:paraId="2BD17CAE" w14:textId="75218DED">
      <w:pPr>
        <w:pStyle w:val="JuTitle"/>
        <w:keepNext w:val="0"/>
        <w:keepLines w:val="0"/>
        <w:spacing w:before="960"/>
      </w:pPr>
      <w:r w:rsidRPr="00F83F45">
        <w:rPr>
          <w:color w:val="000000" w:themeColor="text1"/>
        </w:rPr>
        <w:t xml:space="preserve">CASE OF </w:t>
      </w:r>
      <w:r w:rsidRPr="00F83F45" w:rsidR="00F067E7">
        <w:t>DEREVYANKO</w:t>
      </w:r>
      <w:r w:rsidRPr="00F83F45" w:rsidR="00AC7FDE">
        <w:t xml:space="preserve"> </w:t>
      </w:r>
      <w:r w:rsidRPr="00F83F45" w:rsidR="006F076D">
        <w:t>AND TARASOVA</w:t>
      </w:r>
      <w:r w:rsidRPr="00F83F45" w:rsidR="00F067E7">
        <w:t xml:space="preserve"> v. UKRAINE</w:t>
      </w:r>
    </w:p>
    <w:p w:rsidRPr="00F83F45" w:rsidR="00D74888" w:rsidP="005B10E6" w14:paraId="1EA8E0C7" w14:textId="77777777">
      <w:pPr>
        <w:pStyle w:val="ECHRCoverTitle4"/>
        <w:keepNext w:val="0"/>
        <w:keepLines w:val="0"/>
        <w:spacing w:after="240"/>
      </w:pPr>
      <w:r w:rsidRPr="00F83F45">
        <w:t>(</w:t>
      </w:r>
      <w:r w:rsidRPr="00F83F45" w:rsidR="00F067E7">
        <w:t>Applications nos.</w:t>
      </w:r>
      <w:r w:rsidRPr="00F83F45">
        <w:t xml:space="preserve"> </w:t>
      </w:r>
      <w:r w:rsidRPr="00F83F45" w:rsidR="00F067E7">
        <w:t>39465/23 and 43066/23</w:t>
      </w:r>
      <w:r w:rsidRPr="00F83F45">
        <w:t>)</w:t>
      </w:r>
    </w:p>
    <w:p w:rsidRPr="00F83F45" w:rsidR="0098410D" w:rsidP="00F83F45" w14:paraId="4FC3E34C" w14:textId="77777777">
      <w:pPr>
        <w:pStyle w:val="DecHCase"/>
        <w:keepNext w:val="0"/>
        <w:keepLines w:val="0"/>
      </w:pPr>
    </w:p>
    <w:p w:rsidRPr="00F83F45" w:rsidR="0098410D" w:rsidP="00F83F45" w14:paraId="1E50C364" w14:textId="3A986F74">
      <w:pPr>
        <w:pStyle w:val="DecHCase"/>
        <w:keepNext w:val="0"/>
        <w:keepLines w:val="0"/>
      </w:pPr>
      <w:r w:rsidRPr="00F83F45">
        <w:t>JUDGMENT</w:t>
      </w:r>
    </w:p>
    <w:p w:rsidRPr="00F83F45" w:rsidR="00EC0E55" w:rsidP="00F83F45" w14:paraId="2F8231DE" w14:textId="44885FD9">
      <w:pPr>
        <w:pBdr>
          <w:top w:val="single" w:color="auto" w:sz="4" w:space="1"/>
          <w:left w:val="single" w:color="auto" w:sz="4" w:space="4"/>
          <w:bottom w:val="single" w:color="auto" w:sz="4" w:space="1"/>
          <w:right w:val="single" w:color="auto" w:sz="4" w:space="4"/>
        </w:pBdr>
        <w:jc w:val="both"/>
        <w:rPr>
          <w:sz w:val="20"/>
          <w:szCs w:val="20"/>
        </w:rPr>
      </w:pPr>
      <w:r w:rsidRPr="00F83F45">
        <w:rPr>
          <w:sz w:val="20"/>
          <w:szCs w:val="20"/>
        </w:rPr>
        <w:t>Art 5 § 3 • Reasonableness of pre-trial detention • Applicants</w:t>
      </w:r>
      <w:r w:rsidRPr="00F83F45" w:rsidR="00F83F45">
        <w:rPr>
          <w:sz w:val="20"/>
          <w:szCs w:val="20"/>
        </w:rPr>
        <w:t>’</w:t>
      </w:r>
      <w:r w:rsidRPr="00F83F45">
        <w:rPr>
          <w:sz w:val="20"/>
          <w:szCs w:val="20"/>
        </w:rPr>
        <w:t xml:space="preserve"> pre-trial detention for offences against national security, under legislation introduced in the context of Russia</w:t>
      </w:r>
      <w:r w:rsidRPr="00F83F45" w:rsidR="00F83F45">
        <w:rPr>
          <w:sz w:val="20"/>
          <w:szCs w:val="20"/>
        </w:rPr>
        <w:t>’</w:t>
      </w:r>
      <w:r w:rsidRPr="00F83F45">
        <w:rPr>
          <w:sz w:val="20"/>
          <w:szCs w:val="20"/>
        </w:rPr>
        <w:t>s full-scale invasion of Ukraine • Absence of relevant and sufficient reasons • Form of the offence imputed to the first applicant the least serious under domestic law, rendering the severity of the punishment of imprisonment as a reason for the existence of the risk of absconding, unpersuasive • Findings as to a risk of influencing witnesses not supported by reference to any persuasive circumstances and as to a risk of reoffending not supported by any reasons • Domestic courts</w:t>
      </w:r>
      <w:r w:rsidRPr="00F83F45" w:rsidR="00F83F45">
        <w:rPr>
          <w:sz w:val="20"/>
          <w:szCs w:val="20"/>
        </w:rPr>
        <w:t>’</w:t>
      </w:r>
      <w:r w:rsidRPr="00F83F45">
        <w:rPr>
          <w:sz w:val="20"/>
          <w:szCs w:val="20"/>
        </w:rPr>
        <w:t xml:space="preserve"> possible misconception of the Court</w:t>
      </w:r>
      <w:r w:rsidRPr="00F83F45" w:rsidR="00F83F45">
        <w:rPr>
          <w:sz w:val="20"/>
          <w:szCs w:val="20"/>
        </w:rPr>
        <w:t>’</w:t>
      </w:r>
      <w:r w:rsidRPr="00F83F45">
        <w:rPr>
          <w:sz w:val="20"/>
          <w:szCs w:val="20"/>
        </w:rPr>
        <w:t>s case-law in deciding on the first applicant</w:t>
      </w:r>
      <w:r w:rsidRPr="00F83F45" w:rsidR="00F83F45">
        <w:rPr>
          <w:sz w:val="20"/>
          <w:szCs w:val="20"/>
        </w:rPr>
        <w:t>’</w:t>
      </w:r>
      <w:r w:rsidRPr="00F83F45">
        <w:rPr>
          <w:sz w:val="20"/>
          <w:szCs w:val="20"/>
        </w:rPr>
        <w:t>s detention • Alleged danger of absconding, influencing witnesses and evidence destruction relied upon in ordering the second applicant</w:t>
      </w:r>
      <w:r w:rsidRPr="00F83F45" w:rsidR="00F83F45">
        <w:rPr>
          <w:sz w:val="20"/>
          <w:szCs w:val="20"/>
        </w:rPr>
        <w:t>’</w:t>
      </w:r>
      <w:r w:rsidRPr="00F83F45">
        <w:rPr>
          <w:sz w:val="20"/>
          <w:szCs w:val="20"/>
        </w:rPr>
        <w:t>s pre-trial detention framed in a general manner with significant facts disregarded • Failure to take into account the second applicant</w:t>
      </w:r>
      <w:r w:rsidRPr="00F83F45" w:rsidR="00F83F45">
        <w:rPr>
          <w:sz w:val="20"/>
          <w:szCs w:val="20"/>
        </w:rPr>
        <w:t>’</w:t>
      </w:r>
      <w:r w:rsidRPr="00F83F45">
        <w:rPr>
          <w:sz w:val="20"/>
          <w:szCs w:val="20"/>
        </w:rPr>
        <w:t>s cooperation with the investigation prior to her arrest • No indication of any attempt to abscond or interfere with the investigation</w:t>
      </w:r>
    </w:p>
    <w:p w:rsidRPr="00F83F45" w:rsidR="00FD1EF4" w:rsidP="00F83F45" w14:paraId="19365400" w14:textId="1400D35F">
      <w:pPr>
        <w:pBdr>
          <w:top w:val="single" w:color="auto" w:sz="4" w:space="1"/>
          <w:left w:val="single" w:color="auto" w:sz="4" w:space="4"/>
          <w:bottom w:val="single" w:color="auto" w:sz="4" w:space="1"/>
          <w:right w:val="single" w:color="auto" w:sz="4" w:space="4"/>
        </w:pBdr>
        <w:jc w:val="both"/>
        <w:rPr>
          <w:sz w:val="20"/>
          <w:szCs w:val="20"/>
        </w:rPr>
      </w:pPr>
      <w:r w:rsidRPr="00F83F45">
        <w:rPr>
          <w:sz w:val="20"/>
          <w:szCs w:val="20"/>
        </w:rPr>
        <w:t>Art 5 § 1 • Lawful arrest or detention • Domestic authorities</w:t>
      </w:r>
      <w:r w:rsidRPr="00F83F45" w:rsidR="00F83F45">
        <w:rPr>
          <w:sz w:val="20"/>
          <w:szCs w:val="20"/>
        </w:rPr>
        <w:t>’</w:t>
      </w:r>
      <w:r w:rsidRPr="00F83F45">
        <w:rPr>
          <w:sz w:val="20"/>
          <w:szCs w:val="20"/>
        </w:rPr>
        <w:t xml:space="preserve"> reliance at the time on newly introduced Criminal Code provision not without a reasonable basis • Domestic authorities</w:t>
      </w:r>
      <w:r w:rsidRPr="00F83F45" w:rsidR="00F83F45">
        <w:rPr>
          <w:sz w:val="20"/>
          <w:szCs w:val="20"/>
        </w:rPr>
        <w:t>’</w:t>
      </w:r>
      <w:r w:rsidRPr="00F83F45">
        <w:rPr>
          <w:sz w:val="20"/>
          <w:szCs w:val="20"/>
        </w:rPr>
        <w:t xml:space="preserve"> position that case-file elements could be seen as supporting an initial reasonable suspicion against the second applicant not arbitrary</w:t>
      </w:r>
    </w:p>
    <w:p w:rsidRPr="00F83F45" w:rsidR="00FD1EF4" w:rsidP="00F83F45" w14:paraId="71E79AA4" w14:textId="77777777">
      <w:pPr>
        <w:pBdr>
          <w:top w:val="single" w:color="auto" w:sz="4" w:space="1"/>
          <w:left w:val="single" w:color="auto" w:sz="4" w:space="4"/>
          <w:bottom w:val="single" w:color="auto" w:sz="4" w:space="1"/>
          <w:right w:val="single" w:color="auto" w:sz="4" w:space="4"/>
        </w:pBdr>
        <w:jc w:val="center"/>
        <w:rPr>
          <w:sz w:val="14"/>
          <w:szCs w:val="14"/>
        </w:rPr>
      </w:pPr>
    </w:p>
    <w:p w:rsidRPr="00F83F45" w:rsidR="00FD1EF4" w:rsidP="00F83F45" w14:paraId="5BF3C993" w14:textId="04CFFB51">
      <w:pPr>
        <w:pBdr>
          <w:top w:val="single" w:color="auto" w:sz="4" w:space="1"/>
          <w:left w:val="single" w:color="auto" w:sz="4" w:space="4"/>
          <w:bottom w:val="single" w:color="auto" w:sz="4" w:space="1"/>
          <w:right w:val="single" w:color="auto" w:sz="4" w:space="4"/>
        </w:pBdr>
        <w:jc w:val="center"/>
        <w:rPr>
          <w:sz w:val="16"/>
          <w:szCs w:val="16"/>
        </w:rPr>
      </w:pPr>
      <w:r w:rsidRPr="00F83F45">
        <w:rPr>
          <w:sz w:val="16"/>
          <w:szCs w:val="16"/>
        </w:rPr>
        <w:t>Prepared by the Registry. Does not bind the Court.</w:t>
      </w:r>
    </w:p>
    <w:p w:rsidRPr="00F83F45" w:rsidR="00FD1EF4" w:rsidP="00F83F45" w14:paraId="64701B33" w14:textId="77777777">
      <w:pPr>
        <w:pStyle w:val="DecHCase"/>
        <w:keepNext w:val="0"/>
        <w:keepLines w:val="0"/>
      </w:pPr>
    </w:p>
    <w:p w:rsidRPr="00F83F45" w:rsidR="0098410D" w:rsidP="00F83F45" w14:paraId="1B64871B" w14:textId="544133E1">
      <w:pPr>
        <w:pStyle w:val="DecHCase"/>
        <w:keepNext w:val="0"/>
        <w:keepLines w:val="0"/>
      </w:pPr>
      <w:r w:rsidRPr="00F83F45">
        <w:t>STRASBOURG</w:t>
      </w:r>
    </w:p>
    <w:p w:rsidRPr="00F83F45" w:rsidR="0098410D" w:rsidP="00F83F45" w14:paraId="7A9FDDFD" w14:textId="77777777">
      <w:pPr>
        <w:pStyle w:val="DecHCase"/>
        <w:keepNext w:val="0"/>
        <w:keepLines w:val="0"/>
      </w:pPr>
      <w:r w:rsidRPr="00F83F45">
        <w:rPr>
          <w:rFonts w:ascii="Times New Roman" w:hAnsi="Times New Roman" w:cs="Times New Roman"/>
        </w:rPr>
        <w:t>23 July 2026</w:t>
      </w:r>
    </w:p>
    <w:p w:rsidRPr="00F83F45" w:rsidR="00AC4CD4" w:rsidP="00F83F45" w14:paraId="6214222D" w14:textId="77777777">
      <w:pPr>
        <w:pStyle w:val="JuPara"/>
      </w:pPr>
    </w:p>
    <w:p w:rsidRPr="00F83F45" w:rsidR="002422B6" w:rsidP="00F97EBC" w14:paraId="39700E83" w14:textId="7D5B5580">
      <w:pPr>
        <w:jc w:val="center"/>
        <w:rPr>
          <w:i/>
          <w:sz w:val="22"/>
        </w:rPr>
      </w:pPr>
      <w:r w:rsidRPr="00F83F45">
        <w:rPr>
          <w:i/>
          <w:sz w:val="22"/>
        </w:rPr>
        <w:t xml:space="preserve">This judgment </w:t>
      </w:r>
      <w:r w:rsidRPr="00F83F45" w:rsidR="00F067E7">
        <w:rPr>
          <w:i/>
          <w:sz w:val="22"/>
        </w:rPr>
        <w:t>will become final in the circumstances set out in Article 44 § 2 of the</w:t>
      </w:r>
      <w:r w:rsidR="00F97EBC">
        <w:rPr>
          <w:i/>
          <w:sz w:val="22"/>
        </w:rPr>
        <w:t> </w:t>
      </w:r>
      <w:r w:rsidRPr="00F83F45" w:rsidR="00F067E7">
        <w:rPr>
          <w:i/>
          <w:sz w:val="22"/>
        </w:rPr>
        <w:t>Convention. It</w:t>
      </w:r>
      <w:r w:rsidRPr="00F83F45">
        <w:rPr>
          <w:i/>
          <w:sz w:val="22"/>
        </w:rPr>
        <w:t xml:space="preserve"> may be subject to editorial revision.</w:t>
      </w:r>
    </w:p>
    <w:p w:rsidRPr="00F83F45" w:rsidR="0098410D" w:rsidP="00F83F45" w14:paraId="1AE97C3A"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F83F45" w:rsidR="0098410D" w:rsidP="00F83F45" w14:paraId="0A4F7F3C" w14:textId="50AA7DA1">
      <w:pPr>
        <w:pStyle w:val="JuCase"/>
      </w:pPr>
      <w:r w:rsidRPr="00F83F45">
        <w:t xml:space="preserve">In the case of </w:t>
      </w:r>
      <w:r w:rsidRPr="00F83F45" w:rsidR="00F067E7">
        <w:t xml:space="preserve">Derevyanko </w:t>
      </w:r>
      <w:r w:rsidRPr="00F83F45" w:rsidR="000843DD">
        <w:t xml:space="preserve">and Tarasova </w:t>
      </w:r>
      <w:r w:rsidRPr="00F83F45" w:rsidR="00F067E7">
        <w:t>v. Ukraine</w:t>
      </w:r>
      <w:r w:rsidRPr="00F83F45">
        <w:t>,</w:t>
      </w:r>
    </w:p>
    <w:p w:rsidRPr="00F83F45" w:rsidR="009F4C8F" w:rsidP="00F83F45" w14:paraId="26D0E32F" w14:textId="77777777">
      <w:pPr>
        <w:pStyle w:val="JuPara"/>
      </w:pPr>
      <w:r w:rsidRPr="00F83F45">
        <w:t>The European Court of Human Rights (</w:t>
      </w:r>
      <w:r w:rsidRPr="00F83F45" w:rsidR="00F067E7">
        <w:t>Fifth Section</w:t>
      </w:r>
      <w:r w:rsidRPr="00F83F45">
        <w:t xml:space="preserve">), sitting as a </w:t>
      </w:r>
      <w:r w:rsidRPr="00F83F45" w:rsidR="00F067E7">
        <w:t>Chamber</w:t>
      </w:r>
      <w:r w:rsidRPr="00F83F45">
        <w:t xml:space="preserve"> composed of:</w:t>
      </w:r>
    </w:p>
    <w:p w:rsidRPr="00F83F45" w:rsidR="00A92625" w:rsidP="00F83F45" w14:paraId="36A8595E" w14:textId="4AFD3AC7">
      <w:pPr>
        <w:pStyle w:val="JuJudges"/>
      </w:pPr>
      <w:r w:rsidRPr="00F83F45">
        <w:tab/>
        <w:t>Kateřina Šimáčková</w:t>
      </w:r>
      <w:r w:rsidRPr="00F83F45">
        <w:rPr>
          <w:i/>
        </w:rPr>
        <w:t>, President</w:t>
      </w:r>
      <w:r w:rsidRPr="00F83F45">
        <w:t>,</w:t>
      </w:r>
      <w:r w:rsidRPr="00F83F45">
        <w:br/>
      </w:r>
      <w:r w:rsidRPr="00F83F45">
        <w:tab/>
        <w:t>María Elósegui,</w:t>
      </w:r>
      <w:r w:rsidRPr="00F83F45">
        <w:br/>
      </w:r>
      <w:r w:rsidRPr="00F83F45">
        <w:tab/>
        <w:t>Gilberto Felici,</w:t>
      </w:r>
      <w:r w:rsidRPr="00F83F45">
        <w:br/>
      </w:r>
      <w:r w:rsidRPr="00F83F45">
        <w:tab/>
        <w:t>Diana Sârcu,</w:t>
      </w:r>
      <w:r w:rsidRPr="00F83F45">
        <w:br/>
      </w:r>
      <w:r w:rsidRPr="00F83F45">
        <w:tab/>
        <w:t>Mykola Gnatovskyy,</w:t>
      </w:r>
      <w:r w:rsidRPr="00F83F45">
        <w:br/>
      </w:r>
      <w:r w:rsidRPr="00F83F45">
        <w:tab/>
        <w:t>Vahe Grigoryan,</w:t>
      </w:r>
      <w:r w:rsidRPr="00F83F45">
        <w:br/>
      </w:r>
      <w:r w:rsidRPr="00F83F45">
        <w:tab/>
        <w:t>Nicholas Emiliou</w:t>
      </w:r>
      <w:r w:rsidRPr="00F83F45">
        <w:rPr>
          <w:i/>
        </w:rPr>
        <w:t>, judges</w:t>
      </w:r>
      <w:r w:rsidRPr="00F83F45">
        <w:t>,</w:t>
      </w:r>
      <w:r w:rsidRPr="00F83F45">
        <w:br/>
      </w:r>
      <w:r w:rsidRPr="00F83F45">
        <w:tab/>
      </w:r>
      <w:r w:rsidRPr="00F83F45" w:rsidR="009F4C8F">
        <w:t>and</w:t>
      </w:r>
      <w:r w:rsidRPr="00F83F45" w:rsidR="005C2C62">
        <w:t xml:space="preserve"> </w:t>
      </w:r>
      <w:r w:rsidRPr="00F83F45" w:rsidR="00F067E7">
        <w:t>Victor Soloveytchik</w:t>
      </w:r>
      <w:r w:rsidRPr="00F83F45">
        <w:t xml:space="preserve">, </w:t>
      </w:r>
      <w:r w:rsidRPr="00F83F45" w:rsidR="00E744E0">
        <w:rPr>
          <w:i/>
        </w:rPr>
        <w:t xml:space="preserve">Section </w:t>
      </w:r>
      <w:r w:rsidRPr="00F83F45" w:rsidR="00E744E0">
        <w:rPr>
          <w:i/>
          <w:iCs/>
        </w:rPr>
        <w:t>Registrar</w:t>
      </w:r>
      <w:r w:rsidRPr="00F83F45" w:rsidR="008F2465">
        <w:rPr>
          <w:i/>
        </w:rPr>
        <w:t>,</w:t>
      </w:r>
    </w:p>
    <w:p w:rsidRPr="00F83F45" w:rsidR="00F067E7" w:rsidP="00F83F45" w14:paraId="73793613" w14:textId="77777777">
      <w:pPr>
        <w:pStyle w:val="JuPara"/>
      </w:pPr>
      <w:r w:rsidRPr="00F83F45">
        <w:t>Having regard to:</w:t>
      </w:r>
    </w:p>
    <w:p w:rsidRPr="00F83F45" w:rsidR="00F067E7" w:rsidP="00F83F45" w14:paraId="0C1C6952" w14:textId="77777777">
      <w:pPr>
        <w:pStyle w:val="JuPara"/>
      </w:pPr>
      <w:r w:rsidRPr="00F83F45">
        <w:t xml:space="preserve">the applications (nos. 39465/23 and </w:t>
      </w:r>
      <w:r w:rsidRPr="00F83F45">
        <w:rPr>
          <w:color w:val="000000"/>
        </w:rPr>
        <w:t>43066/23</w:t>
      </w:r>
      <w:r w:rsidRPr="00F83F45">
        <w:t xml:space="preserve">) against Ukraine lodged with the Court under Article 34 of the Convention for the Protection of Human Rights and Fundamental Freedoms (“the Convention”) by two Ukrainian nationals, Mr Anatoliy Ivanovych Derevyanko (“the first applicant”) and Ms Yuliya </w:t>
      </w:r>
      <w:r w:rsidRPr="00F83F45">
        <w:t>Mykolayivna</w:t>
      </w:r>
      <w:r w:rsidRPr="00F83F45">
        <w:t xml:space="preserve"> Tarasova (“the second applicant”), on the </w:t>
      </w:r>
      <w:r w:rsidRPr="00F83F45">
        <w:rPr>
          <w:rFonts w:eastAsia="PMingLiU"/>
        </w:rPr>
        <w:t>various dates indicated in the appended table</w:t>
      </w:r>
      <w:r w:rsidRPr="00F83F45">
        <w:t>;</w:t>
      </w:r>
    </w:p>
    <w:p w:rsidRPr="00F83F45" w:rsidR="00F067E7" w:rsidP="00F83F45" w14:paraId="3901305A" w14:textId="71898734">
      <w:pPr>
        <w:pStyle w:val="JuPara"/>
      </w:pPr>
      <w:r w:rsidRPr="00F83F45">
        <w:t>the decision to give notice to the Ukrainian Government (“the</w:t>
      </w:r>
      <w:r w:rsidRPr="00F83F45" w:rsidR="00FD1EF4">
        <w:t xml:space="preserve"> </w:t>
      </w:r>
      <w:r w:rsidRPr="00F83F45">
        <w:t>Government”) of the complaints under Article 5 §§ 1 and 3 of the</w:t>
      </w:r>
      <w:r w:rsidRPr="00F83F45" w:rsidR="00FD1EF4">
        <w:t xml:space="preserve"> </w:t>
      </w:r>
      <w:r w:rsidRPr="00F83F45">
        <w:t>Convention and to declare the remainder of the applications inadmissible;</w:t>
      </w:r>
    </w:p>
    <w:p w:rsidRPr="00F83F45" w:rsidR="00F067E7" w:rsidP="00F83F45" w14:paraId="7DA8C40F" w14:textId="34A80E21">
      <w:pPr>
        <w:pStyle w:val="JuPara"/>
      </w:pPr>
      <w:r w:rsidRPr="00F83F45">
        <w:t>the parties</w:t>
      </w:r>
      <w:r w:rsidRPr="00F83F45" w:rsidR="00F83F45">
        <w:t>’</w:t>
      </w:r>
      <w:r w:rsidRPr="00F83F45">
        <w:t xml:space="preserve"> observations;</w:t>
      </w:r>
    </w:p>
    <w:p w:rsidRPr="00F83F45" w:rsidR="009F4C8F" w:rsidP="00F83F45" w14:paraId="4E766BB5" w14:textId="77777777">
      <w:pPr>
        <w:pStyle w:val="JuPara"/>
      </w:pPr>
      <w:r w:rsidRPr="00F83F45">
        <w:t xml:space="preserve">Having deliberated in private on </w:t>
      </w:r>
      <w:r w:rsidRPr="00F83F45" w:rsidR="00F067E7">
        <w:t>30 June 2026</w:t>
      </w:r>
      <w:r w:rsidRPr="00F83F45">
        <w:t>,</w:t>
      </w:r>
    </w:p>
    <w:p w:rsidRPr="00F83F45" w:rsidR="009F4C8F" w:rsidP="00F83F45" w14:paraId="300EED20" w14:textId="77777777">
      <w:pPr>
        <w:pStyle w:val="JuPara"/>
      </w:pPr>
      <w:r w:rsidRPr="00F83F45">
        <w:t>Delivers the following judgment, which was adopted on that date:</w:t>
      </w:r>
    </w:p>
    <w:p w:rsidRPr="00F83F45" w:rsidR="00F067E7" w:rsidP="00F83F45" w14:paraId="47ABAD75" w14:textId="77777777">
      <w:pPr>
        <w:pStyle w:val="JuHHead"/>
      </w:pPr>
      <w:r w:rsidRPr="00F83F45">
        <w:t>INTRODUCTION</w:t>
      </w:r>
    </w:p>
    <w:p w:rsidRPr="00F83F45" w:rsidR="00F067E7" w:rsidP="00F83F45" w14:paraId="202A2A43" w14:textId="63D4FA45">
      <w:pPr>
        <w:pStyle w:val="JuPara"/>
      </w:pPr>
      <w:r>
        <w:fldChar w:fldCharType="begin"/>
      </w:r>
      <w:r>
        <w:instrText xml:space="preserve"> SEQ level0 \*arabic \* MERGEFORMAT </w:instrText>
      </w:r>
      <w:r>
        <w:fldChar w:fldCharType="separate"/>
      </w:r>
      <w:r w:rsidRPr="00F83F45">
        <w:rPr>
          <w:noProof/>
        </w:rPr>
        <w:t>1</w:t>
      </w:r>
      <w:r w:rsidRPr="00F83F45">
        <w:rPr>
          <w:noProof/>
        </w:rPr>
        <w:fldChar w:fldCharType="end"/>
      </w:r>
      <w:r w:rsidRPr="00F83F45">
        <w:t>.  The case concerns the applicants</w:t>
      </w:r>
      <w:r w:rsidRPr="00F83F45">
        <w:t>’</w:t>
      </w:r>
      <w:r w:rsidRPr="00F83F45">
        <w:t xml:space="preserve"> complaints under Article 5 § 3 of the</w:t>
      </w:r>
      <w:r w:rsidRPr="00F83F45" w:rsidR="00FD1EF4">
        <w:t xml:space="preserve"> </w:t>
      </w:r>
      <w:r w:rsidRPr="00F83F45">
        <w:t>Convention that their pre-trial detention for offences against national security, under legislation introduced in the context of Russia</w:t>
      </w:r>
      <w:r w:rsidRPr="00F83F45">
        <w:t>’</w:t>
      </w:r>
      <w:r w:rsidRPr="00F83F45">
        <w:t>s full-scale invasion of Ukraine, was unjustified and unreasonably lengthy. The second applicant also complained that her detention had been in breach of Article</w:t>
      </w:r>
      <w:r w:rsidRPr="00F83F45" w:rsidR="00F32230">
        <w:t> </w:t>
      </w:r>
      <w:r w:rsidRPr="00F83F45">
        <w:t>5</w:t>
      </w:r>
      <w:r w:rsidRPr="00F83F45" w:rsidR="00F32230">
        <w:t> </w:t>
      </w:r>
      <w:r w:rsidRPr="00F83F45">
        <w:t>§</w:t>
      </w:r>
      <w:r w:rsidRPr="00F83F45" w:rsidR="00F32230">
        <w:t> </w:t>
      </w:r>
      <w:r w:rsidRPr="00F83F45">
        <w:t>1.</w:t>
      </w:r>
    </w:p>
    <w:p w:rsidRPr="00F83F45" w:rsidR="00F067E7" w:rsidP="00F83F45" w14:paraId="0CA40E21" w14:textId="77777777">
      <w:pPr>
        <w:pStyle w:val="JuHHead"/>
        <w:numPr>
          <w:ilvl w:val="0"/>
          <w:numId w:val="9"/>
        </w:numPr>
      </w:pPr>
      <w:r w:rsidRPr="00F83F45">
        <w:t>THE FACTS</w:t>
      </w:r>
    </w:p>
    <w:p w:rsidRPr="00F83F45" w:rsidR="00F067E7" w:rsidP="00F83F45" w14:paraId="0CBECDE6" w14:textId="0BE78908">
      <w:pPr>
        <w:pStyle w:val="JuPara"/>
      </w:pPr>
      <w:r>
        <w:fldChar w:fldCharType="begin"/>
      </w:r>
      <w:r>
        <w:instrText xml:space="preserve"> SEQ level0 \*arabic \* MERGEFORMAT </w:instrText>
      </w:r>
      <w:r>
        <w:fldChar w:fldCharType="separate"/>
      </w:r>
      <w:r w:rsidRPr="00F83F45">
        <w:rPr>
          <w:noProof/>
        </w:rPr>
        <w:t>2</w:t>
      </w:r>
      <w:r w:rsidRPr="00F83F45">
        <w:rPr>
          <w:noProof/>
        </w:rPr>
        <w:fldChar w:fldCharType="end"/>
      </w:r>
      <w:r w:rsidRPr="00F83F45">
        <w:t>.  The applicants</w:t>
      </w:r>
      <w:r w:rsidRPr="00F83F45">
        <w:t>’</w:t>
      </w:r>
      <w:r w:rsidRPr="00F83F45">
        <w:t xml:space="preserve"> details and the dates of introduction of the applications are set out in the Appendix.</w:t>
      </w:r>
    </w:p>
    <w:p w:rsidRPr="00F83F45" w:rsidR="00F067E7" w:rsidP="00F83F45" w14:paraId="0EEDB617" w14:textId="28748166">
      <w:pPr>
        <w:pStyle w:val="JuPara"/>
      </w:pPr>
      <w:r>
        <w:fldChar w:fldCharType="begin"/>
      </w:r>
      <w:r>
        <w:instrText xml:space="preserve"> SEQ level0 \*arabic \* MERGEFORMAT </w:instrText>
      </w:r>
      <w:r>
        <w:fldChar w:fldCharType="separate"/>
      </w:r>
      <w:r w:rsidRPr="00F83F45">
        <w:rPr>
          <w:noProof/>
        </w:rPr>
        <w:t>3</w:t>
      </w:r>
      <w:r w:rsidRPr="00F83F45">
        <w:rPr>
          <w:noProof/>
        </w:rPr>
        <w:fldChar w:fldCharType="end"/>
      </w:r>
      <w:r w:rsidRPr="00F83F45">
        <w:t>.  The Government were represented by their Agent, Ms M. Sokorenko, of the Ministry of Justice.</w:t>
      </w:r>
    </w:p>
    <w:p w:rsidRPr="00F83F45" w:rsidR="00F067E7" w:rsidP="00F83F45" w14:paraId="506F5969" w14:textId="053EAE5C">
      <w:pPr>
        <w:pStyle w:val="JuPara"/>
      </w:pPr>
      <w:r>
        <w:fldChar w:fldCharType="begin"/>
      </w:r>
      <w:r>
        <w:instrText xml:space="preserve"> SEQ level0 \*arabic \* MERGEFORMAT </w:instrText>
      </w:r>
      <w:r>
        <w:fldChar w:fldCharType="separate"/>
      </w:r>
      <w:r w:rsidRPr="00F83F45">
        <w:rPr>
          <w:noProof/>
        </w:rPr>
        <w:t>4</w:t>
      </w:r>
      <w:r w:rsidRPr="00F83F45">
        <w:rPr>
          <w:noProof/>
        </w:rPr>
        <w:fldChar w:fldCharType="end"/>
      </w:r>
      <w:r w:rsidRPr="00F83F45">
        <w:t>.  The facts of the cases may be summarised as follows.</w:t>
      </w:r>
    </w:p>
    <w:p w:rsidRPr="00F83F45" w:rsidR="00F067E7" w:rsidP="00F83F45" w14:paraId="5AC5EECE" w14:textId="7D41B708">
      <w:pPr>
        <w:pStyle w:val="JuHIRoman"/>
      </w:pPr>
      <w:r w:rsidRPr="00F83F45">
        <w:t>The first applicant</w:t>
      </w:r>
      <w:r w:rsidRPr="00F83F45" w:rsidR="00F83F45">
        <w:t>’</w:t>
      </w:r>
      <w:r w:rsidRPr="00F83F45">
        <w:t>s case (</w:t>
      </w:r>
      <w:r w:rsidRPr="00F83F45">
        <w:rPr>
          <w:i/>
          <w:iCs/>
        </w:rPr>
        <w:t>Derevyanko v. Ukraine</w:t>
      </w:r>
      <w:r w:rsidRPr="00F83F45">
        <w:t>, n</w:t>
      </w:r>
      <w:r w:rsidRPr="00F83F45">
        <w:rPr>
          <w:caps w:val="0"/>
        </w:rPr>
        <w:t>o</w:t>
      </w:r>
      <w:r w:rsidRPr="00F83F45">
        <w:t>. 39465/23)</w:t>
      </w:r>
    </w:p>
    <w:p w:rsidRPr="00F83F45" w:rsidR="00F067E7" w:rsidP="00F83F45" w14:paraId="7667309F" w14:textId="3CB5362F">
      <w:pPr>
        <w:pStyle w:val="JuPara"/>
      </w:pPr>
      <w:r>
        <w:fldChar w:fldCharType="begin"/>
      </w:r>
      <w:r>
        <w:instrText xml:space="preserve"> SEQ level0 \*arabic \* MERGEFORMAT </w:instrText>
      </w:r>
      <w:r>
        <w:fldChar w:fldCharType="separate"/>
      </w:r>
      <w:r w:rsidRPr="00F83F45">
        <w:rPr>
          <w:noProof/>
        </w:rPr>
        <w:t>5</w:t>
      </w:r>
      <w:r w:rsidRPr="00F83F45">
        <w:rPr>
          <w:noProof/>
        </w:rPr>
        <w:fldChar w:fldCharType="end"/>
      </w:r>
      <w:r w:rsidRPr="00F83F45">
        <w:t xml:space="preserve">.  The city of </w:t>
      </w:r>
      <w:r w:rsidRPr="00F83F45">
        <w:t>Balakliya</w:t>
      </w:r>
      <w:r w:rsidRPr="00F83F45">
        <w:t xml:space="preserve"> (Izium district, Kharkiv Region) was occupied by Russian forces in March 2022. Ukrainian forces retook control of the city and the area in September 2022.</w:t>
      </w:r>
    </w:p>
    <w:p w:rsidRPr="00F83F45" w:rsidR="00F067E7" w:rsidP="00F83F45" w14:paraId="6FC13128" w14:textId="2635E7F6">
      <w:pPr>
        <w:pStyle w:val="JuPara"/>
      </w:pPr>
      <w:r>
        <w:fldChar w:fldCharType="begin"/>
      </w:r>
      <w:r>
        <w:instrText xml:space="preserve"> SEQ level0 \*arabic \* MERGEFORMAT </w:instrText>
      </w:r>
      <w:r>
        <w:fldChar w:fldCharType="separate"/>
      </w:r>
      <w:r w:rsidRPr="00F83F45">
        <w:rPr>
          <w:noProof/>
        </w:rPr>
        <w:t>6</w:t>
      </w:r>
      <w:r w:rsidRPr="00F83F45">
        <w:rPr>
          <w:noProof/>
        </w:rPr>
        <w:fldChar w:fldCharType="end"/>
      </w:r>
      <w:r w:rsidRPr="00F83F45">
        <w:t>.  Prior to the Russian occupation the first applicant used to be an</w:t>
      </w:r>
      <w:r w:rsidRPr="00F83F45" w:rsidR="00FD1EF4">
        <w:t xml:space="preserve"> </w:t>
      </w:r>
      <w:r w:rsidRPr="00F83F45">
        <w:t xml:space="preserve">engineer of a privately owned grain processing and mill factory in </w:t>
      </w:r>
      <w:r w:rsidRPr="00F83F45">
        <w:t>Balakliya</w:t>
      </w:r>
      <w:r w:rsidRPr="00F83F45">
        <w:t>. According to the charges against him, since 1 August 2022 he had been the acting manager of the factory.</w:t>
      </w:r>
    </w:p>
    <w:bookmarkStart w:name="facts_collaborationist_activity" w:id="0"/>
    <w:p w:rsidRPr="00F83F45" w:rsidR="00F067E7" w:rsidP="00F83F45" w14:paraId="6187ACDD" w14:textId="306CB0B9">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7</w:t>
      </w:r>
      <w:r w:rsidRPr="00F83F45">
        <w:fldChar w:fldCharType="end"/>
      </w:r>
      <w:bookmarkEnd w:id="0"/>
      <w:r w:rsidRPr="00F83F45">
        <w:t>.  On 29 November 2022 criminal proceedings were initiated following the allegation that officials of more than 40 companies in the Izium district had committed the offence of “collaborationist activity” (Article 111-1 § 4 of the Criminal Code), which was defined as “transmission of material resources to the illegal armed groups created in the occupied territory, to the armed groups of the aggressor State</w:t>
      </w:r>
      <w:r>
        <w:rPr>
          <w:rStyle w:val="FootnoteReference"/>
        </w:rPr>
        <w:footnoteReference w:id="2"/>
      </w:r>
      <w:r w:rsidRPr="00F83F45">
        <w:t xml:space="preserve"> or conducting business activities in coordination with the aggressor State or with illegal authorities created in the</w:t>
      </w:r>
      <w:r w:rsidRPr="00F83F45" w:rsidR="00FD1EF4">
        <w:t xml:space="preserve"> </w:t>
      </w:r>
      <w:r w:rsidRPr="00F83F45">
        <w:t>occupied territory” and is punishable by a fine of up to 17</w:t>
      </w:r>
      <w:r w:rsidR="002C64EC">
        <w:t>0</w:t>
      </w:r>
      <w:r w:rsidRPr="00F83F45">
        <w:t>,000 Ukrainian hryvnias (UAH) or up to five years</w:t>
      </w:r>
      <w:r w:rsidRPr="00F83F45" w:rsidR="00F83F45">
        <w:t>’</w:t>
      </w:r>
      <w:r w:rsidRPr="00F83F45">
        <w:t xml:space="preserve"> imprisonment with a prohibition on occupying certain functions for 10 to 15 years and confiscation of assets. The</w:t>
      </w:r>
      <w:r w:rsidRPr="00F83F45" w:rsidR="00FD1EF4">
        <w:t xml:space="preserve"> </w:t>
      </w:r>
      <w:r w:rsidRPr="00F83F45">
        <w:t>offence is contained in the chapter of the Criminal Code entitled “Offences against the foundations of Ukrainian national security”.</w:t>
      </w:r>
    </w:p>
    <w:bookmarkStart w:name="facts_Der_first_interview" w:id="1"/>
    <w:p w:rsidRPr="00F83F45" w:rsidR="00F067E7" w:rsidP="00F83F45" w14:paraId="2CFF7254" w14:textId="618F36E1">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8</w:t>
      </w:r>
      <w:r w:rsidRPr="00F83F45">
        <w:fldChar w:fldCharType="end"/>
      </w:r>
      <w:bookmarkEnd w:id="1"/>
      <w:r w:rsidRPr="00F83F45">
        <w:t>.  Within the framework of that investigation, on 1 March 2023 the first applicant gave a statement to the Izium District Police about his role as acting manager of the factory, saying that he had attended a meeting held by the</w:t>
      </w:r>
      <w:r w:rsidRPr="00F83F45" w:rsidR="00F32230">
        <w:t> </w:t>
      </w:r>
      <w:r w:rsidRPr="00F83F45">
        <w:t>head of the Russian occupation administration with factory personnel; that from 1</w:t>
      </w:r>
      <w:r w:rsidRPr="00F83F45" w:rsidR="00F32230">
        <w:t> </w:t>
      </w:r>
      <w:r w:rsidRPr="00F83F45">
        <w:t>August 2022 he had taken up the position of acting manager of the factory; and that in that role he had held meetings with staff, accepted grain from farmers and provided reports to the occupation administration.</w:t>
      </w:r>
    </w:p>
    <w:p w:rsidRPr="00F83F45" w:rsidR="00F067E7" w:rsidP="00F83F45" w14:paraId="5ED1C466" w14:textId="34EB0117">
      <w:pPr>
        <w:pStyle w:val="JuPara"/>
      </w:pPr>
      <w:r>
        <w:fldChar w:fldCharType="begin"/>
      </w:r>
      <w:r>
        <w:instrText xml:space="preserve"> SEQ level0 \*arabic \* MERGEFORMAT </w:instrText>
      </w:r>
      <w:r>
        <w:fldChar w:fldCharType="separate"/>
      </w:r>
      <w:r w:rsidRPr="00F83F45">
        <w:rPr>
          <w:noProof/>
        </w:rPr>
        <w:t>9</w:t>
      </w:r>
      <w:r w:rsidRPr="00F83F45">
        <w:rPr>
          <w:noProof/>
        </w:rPr>
        <w:fldChar w:fldCharType="end"/>
      </w:r>
      <w:r w:rsidRPr="00F83F45">
        <w:t xml:space="preserve">.  On 10 March 2023 the first applicant was served with a formal notification of suspicion under Article 111-1 § 4 of the Criminal Code, arrested and questioned in relation to those charges. According to the charges, “in order to make a profit </w:t>
      </w:r>
      <w:r w:rsidRPr="00F83F45">
        <w:rPr>
          <w:rFonts w:cstheme="minorHAnsi"/>
        </w:rPr>
        <w:t>[and</w:t>
      </w:r>
      <w:r w:rsidRPr="00F83F45">
        <w:rPr>
          <w:rFonts w:asciiTheme="minorBidi" w:hAnsiTheme="minorBidi"/>
        </w:rPr>
        <w:t>]</w:t>
      </w:r>
      <w:r w:rsidRPr="00F83F45">
        <w:t xml:space="preserve"> to ensure the economic programmes and tasks of the occupation administration of </w:t>
      </w:r>
      <w:r w:rsidRPr="00F83F45">
        <w:t>Balakliya</w:t>
      </w:r>
      <w:r w:rsidRPr="00F83F45">
        <w:t xml:space="preserve">”, the first applicant, holding </w:t>
      </w:r>
      <w:r w:rsidRPr="00F83F45" w:rsidR="00FD1EF4">
        <w:t xml:space="preserve">the </w:t>
      </w:r>
      <w:r w:rsidRPr="00F83F45">
        <w:t xml:space="preserve">position of factory manager, had coordinated </w:t>
      </w:r>
      <w:r w:rsidRPr="00F83F45" w:rsidR="00FD1EF4">
        <w:t xml:space="preserve">the </w:t>
      </w:r>
      <w:r w:rsidRPr="00F83F45">
        <w:t xml:space="preserve">economic activities of </w:t>
      </w:r>
      <w:r w:rsidRPr="00F83F45" w:rsidR="00FD1EF4">
        <w:t xml:space="preserve">the </w:t>
      </w:r>
      <w:r w:rsidRPr="00F83F45">
        <w:t xml:space="preserve">factory, namely he had held meetings with its employees, distributed work among employees and received reports on </w:t>
      </w:r>
      <w:r w:rsidRPr="00F83F45" w:rsidR="00FD1EF4">
        <w:t xml:space="preserve">the </w:t>
      </w:r>
      <w:r w:rsidRPr="00F83F45">
        <w:t>work performed. In addition he had also carried out other organisational and administrative functions as a</w:t>
      </w:r>
      <w:r w:rsidRPr="00F83F45" w:rsidR="00FD1EF4">
        <w:t xml:space="preserve"> </w:t>
      </w:r>
      <w:r w:rsidRPr="00F83F45">
        <w:t xml:space="preserve">manager to organise </w:t>
      </w:r>
      <w:r w:rsidRPr="00F83F45" w:rsidR="00FD1EF4">
        <w:t xml:space="preserve">the </w:t>
      </w:r>
      <w:r w:rsidRPr="00F83F45">
        <w:t xml:space="preserve">work of </w:t>
      </w:r>
      <w:r w:rsidRPr="00F83F45" w:rsidR="00FD1EF4">
        <w:t xml:space="preserve">the </w:t>
      </w:r>
      <w:r w:rsidRPr="00F83F45">
        <w:t xml:space="preserve">factory, participated in meetings of </w:t>
      </w:r>
      <w:r w:rsidRPr="00F83F45" w:rsidR="00FD1EF4">
        <w:t xml:space="preserve">the </w:t>
      </w:r>
      <w:r w:rsidRPr="00F83F45">
        <w:t xml:space="preserve">occupation administration of </w:t>
      </w:r>
      <w:r w:rsidRPr="00F83F45">
        <w:t>Balakliya</w:t>
      </w:r>
      <w:r w:rsidRPr="00F83F45">
        <w:t xml:space="preserve"> – during which he had received instructions on </w:t>
      </w:r>
      <w:r w:rsidRPr="00F83F45" w:rsidR="00FD1EF4">
        <w:t xml:space="preserve">the </w:t>
      </w:r>
      <w:r w:rsidRPr="00F83F45">
        <w:t xml:space="preserve">conduct of </w:t>
      </w:r>
      <w:r w:rsidRPr="00F83F45" w:rsidR="00FD1EF4">
        <w:t xml:space="preserve">the </w:t>
      </w:r>
      <w:r w:rsidRPr="00F83F45">
        <w:t>factory</w:t>
      </w:r>
      <w:r w:rsidRPr="00F83F45">
        <w:t>’</w:t>
      </w:r>
      <w:r w:rsidRPr="00F83F45">
        <w:t xml:space="preserve">s economic activities – submitted </w:t>
      </w:r>
      <w:r w:rsidRPr="00F83F45">
        <w:t xml:space="preserve">applications to </w:t>
      </w:r>
      <w:r w:rsidRPr="00F83F45" w:rsidR="00FD1EF4">
        <w:t xml:space="preserve">the </w:t>
      </w:r>
      <w:r w:rsidRPr="00F83F45">
        <w:t xml:space="preserve">occupation administration to receive salaries (in kind) for </w:t>
      </w:r>
      <w:r w:rsidRPr="00F83F45" w:rsidR="00FD1EF4">
        <w:t xml:space="preserve">the </w:t>
      </w:r>
      <w:r w:rsidRPr="00F83F45">
        <w:t>factory staff and entered into agreements under which he had accepted grain for storage from farmers.</w:t>
      </w:r>
    </w:p>
    <w:bookmarkStart w:name="facts_Derev_application_for_detention" w:id="2"/>
    <w:p w:rsidRPr="00F83F45" w:rsidR="00F067E7" w:rsidP="00F83F45" w14:paraId="30686CA0" w14:textId="243B6F5A">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10</w:t>
      </w:r>
      <w:r w:rsidRPr="00F83F45">
        <w:fldChar w:fldCharType="end"/>
      </w:r>
      <w:bookmarkEnd w:id="2"/>
      <w:r w:rsidRPr="00F83F45">
        <w:t xml:space="preserve">.  On </w:t>
      </w:r>
      <w:r w:rsidRPr="00F83F45" w:rsidR="00FD1EF4">
        <w:t xml:space="preserve">the </w:t>
      </w:r>
      <w:r w:rsidRPr="00F83F45">
        <w:t xml:space="preserve">same day </w:t>
      </w:r>
      <w:r w:rsidRPr="00F83F45" w:rsidR="00FD1EF4">
        <w:t xml:space="preserve">the </w:t>
      </w:r>
      <w:r w:rsidRPr="00F83F45">
        <w:t xml:space="preserve">police investigator applied to have </w:t>
      </w:r>
      <w:r w:rsidRPr="00F83F45" w:rsidR="00FD1EF4">
        <w:t xml:space="preserve">the </w:t>
      </w:r>
      <w:r w:rsidRPr="00F83F45">
        <w:t xml:space="preserve">first applicant remanded in custody. He argued that </w:t>
      </w:r>
      <w:r w:rsidRPr="00F83F45" w:rsidR="00FD1EF4">
        <w:t xml:space="preserve">the </w:t>
      </w:r>
      <w:r w:rsidRPr="00F83F45">
        <w:t xml:space="preserve">first applicant was suspected of a “less serious offence” (see classification of offences under </w:t>
      </w:r>
      <w:r w:rsidRPr="00F83F45" w:rsidR="00FD1EF4">
        <w:t xml:space="preserve">the </w:t>
      </w:r>
      <w:r w:rsidRPr="00F83F45">
        <w:t xml:space="preserve">Criminal Code in paragraph </w:t>
      </w:r>
      <w:r w:rsidRPr="00F83F45">
        <w:fldChar w:fldCharType="begin"/>
      </w:r>
      <w:r w:rsidRPr="00F83F45">
        <w:instrText xml:space="preserve"> REF frame_CC_classification_of_offences \h </w:instrText>
      </w:r>
      <w:r w:rsidRPr="00F83F45">
        <w:fldChar w:fldCharType="separate"/>
      </w:r>
      <w:r w:rsidRPr="00F83F45" w:rsidR="00F83F45">
        <w:rPr>
          <w:noProof/>
        </w:rPr>
        <w:t>41</w:t>
      </w:r>
      <w:r w:rsidRPr="00F83F45">
        <w:fldChar w:fldCharType="end"/>
      </w:r>
      <w:r w:rsidRPr="00F83F45">
        <w:t xml:space="preserve"> below) punishable by three to five years</w:t>
      </w:r>
      <w:r w:rsidRPr="00F83F45" w:rsidR="00F83F45">
        <w:t>’</w:t>
      </w:r>
      <w:r w:rsidRPr="00F83F45">
        <w:t xml:space="preserve"> imprisonment. That, as well as </w:t>
      </w:r>
      <w:r w:rsidRPr="00F83F45" w:rsidR="00FD1EF4">
        <w:t xml:space="preserve">the </w:t>
      </w:r>
      <w:r w:rsidRPr="00F83F45">
        <w:t xml:space="preserve">fact that </w:t>
      </w:r>
      <w:r w:rsidRPr="00F83F45" w:rsidR="00FD1EF4">
        <w:t xml:space="preserve">the </w:t>
      </w:r>
      <w:r w:rsidRPr="00F83F45">
        <w:t xml:space="preserve">first applicant was accused of cooperating with </w:t>
      </w:r>
      <w:r w:rsidRPr="00F83F45" w:rsidR="00FD1EF4">
        <w:t xml:space="preserve">the </w:t>
      </w:r>
      <w:r w:rsidRPr="00F83F45">
        <w:t xml:space="preserve">Russian authorities, indicated that he could abscond to Russia. </w:t>
      </w:r>
      <w:r w:rsidRPr="00F83F45" w:rsidR="00FD1EF4">
        <w:t xml:space="preserve">The </w:t>
      </w:r>
      <w:r w:rsidRPr="00F83F45">
        <w:t xml:space="preserve">first applicant also knew </w:t>
      </w:r>
      <w:r w:rsidRPr="00F83F45" w:rsidR="00FD1EF4">
        <w:t xml:space="preserve">the </w:t>
      </w:r>
      <w:r w:rsidRPr="00F83F45">
        <w:t xml:space="preserve">addresses of </w:t>
      </w:r>
      <w:r w:rsidRPr="00F83F45" w:rsidR="00FD1EF4">
        <w:t xml:space="preserve">the </w:t>
      </w:r>
      <w:r w:rsidRPr="00F83F45">
        <w:t>witnesses and could influence them.</w:t>
      </w:r>
    </w:p>
    <w:p w:rsidRPr="00F83F45" w:rsidR="00F067E7" w:rsidP="00F83F45" w14:paraId="311BFB5C" w14:textId="7B626002">
      <w:pPr>
        <w:pStyle w:val="JuPara"/>
      </w:pPr>
      <w:r>
        <w:fldChar w:fldCharType="begin"/>
      </w:r>
      <w:r>
        <w:instrText xml:space="preserve"> SEQ level0 \*arabic \* MERGEFORMAT </w:instrText>
      </w:r>
      <w:r>
        <w:fldChar w:fldCharType="separate"/>
      </w:r>
      <w:bookmarkStart w:name="paragraph00011" w:id="3"/>
      <w:r w:rsidRPr="00F83F45">
        <w:rPr>
          <w:noProof/>
        </w:rPr>
        <w:t>11</w:t>
      </w:r>
      <w:bookmarkEnd w:id="3"/>
      <w:r>
        <w:fldChar w:fldCharType="end"/>
      </w:r>
      <w:r w:rsidRPr="00F83F45">
        <w:t xml:space="preserve">.  On 14 March 2023 </w:t>
      </w:r>
      <w:r w:rsidRPr="00F83F45" w:rsidR="00FD1EF4">
        <w:t xml:space="preserve">the </w:t>
      </w:r>
      <w:r w:rsidRPr="00F83F45">
        <w:t>Novomoskovskyi</w:t>
      </w:r>
      <w:r w:rsidRPr="00F83F45">
        <w:t xml:space="preserve"> District Court of </w:t>
      </w:r>
      <w:r w:rsidRPr="00F83F45" w:rsidR="00FD1EF4">
        <w:t xml:space="preserve">the </w:t>
      </w:r>
      <w:r w:rsidRPr="00F83F45">
        <w:t>Dnipropetrovsk Region</w:t>
      </w:r>
      <w:r>
        <w:rPr>
          <w:vertAlign w:val="superscript"/>
        </w:rPr>
        <w:footnoteReference w:id="3"/>
      </w:r>
      <w:r w:rsidRPr="00F83F45">
        <w:t xml:space="preserve"> ordered </w:t>
      </w:r>
      <w:r w:rsidRPr="00F83F45" w:rsidR="00FD1EF4">
        <w:t xml:space="preserve">the </w:t>
      </w:r>
      <w:r w:rsidRPr="00F83F45">
        <w:t>first applicant</w:t>
      </w:r>
      <w:r w:rsidRPr="00F83F45">
        <w:t>’</w:t>
      </w:r>
      <w:r w:rsidRPr="00F83F45">
        <w:t xml:space="preserve">s pre-trial detention. </w:t>
      </w:r>
      <w:r w:rsidRPr="00F83F45" w:rsidR="00FD1EF4">
        <w:t xml:space="preserve">The </w:t>
      </w:r>
      <w:r w:rsidRPr="00F83F45">
        <w:t xml:space="preserve">court held that, in view of </w:t>
      </w:r>
      <w:r w:rsidRPr="00F83F45" w:rsidR="00FD1EF4">
        <w:t xml:space="preserve">the </w:t>
      </w:r>
      <w:r w:rsidRPr="00F83F45">
        <w:t xml:space="preserve">severity of </w:t>
      </w:r>
      <w:r w:rsidRPr="00F83F45" w:rsidR="00FD1EF4">
        <w:t xml:space="preserve">the </w:t>
      </w:r>
      <w:r w:rsidRPr="00F83F45">
        <w:t xml:space="preserve">punishment faced and in view of his prior cooperation with </w:t>
      </w:r>
      <w:r w:rsidRPr="00F83F45" w:rsidR="00FD1EF4">
        <w:t xml:space="preserve">the </w:t>
      </w:r>
      <w:r w:rsidRPr="00F83F45">
        <w:t xml:space="preserve">occupation authorities, there was a risk that </w:t>
      </w:r>
      <w:r w:rsidRPr="00F83F45" w:rsidR="00FD1EF4">
        <w:t xml:space="preserve">the </w:t>
      </w:r>
      <w:r w:rsidRPr="00F83F45">
        <w:t>first applicant would abscond, including to Russia, or would influence witnesses, since they were known to him.</w:t>
      </w:r>
    </w:p>
    <w:p w:rsidRPr="00F83F45" w:rsidR="00F067E7" w:rsidP="00F83F45" w14:paraId="1986CBF8" w14:textId="2E31353C">
      <w:pPr>
        <w:pStyle w:val="JuPara"/>
      </w:pPr>
      <w:r w:rsidRPr="00F83F45">
        <w:t xml:space="preserve">The </w:t>
      </w:r>
      <w:r w:rsidRPr="00F83F45">
        <w:t xml:space="preserve">District Court referred to </w:t>
      </w:r>
      <w:r w:rsidRPr="00F83F45">
        <w:t xml:space="preserve">the </w:t>
      </w:r>
      <w:r w:rsidRPr="00F83F45">
        <w:t xml:space="preserve">following provisions of </w:t>
      </w:r>
      <w:r w:rsidRPr="00F83F45">
        <w:t xml:space="preserve">the </w:t>
      </w:r>
      <w:r w:rsidRPr="00F83F45">
        <w:t>Code of Criminal Procedure:</w:t>
      </w:r>
    </w:p>
    <w:p w:rsidRPr="00F83F45" w:rsidR="00F067E7" w:rsidP="00F83F45" w14:paraId="634BB0E0" w14:textId="016821E4">
      <w:pPr>
        <w:pStyle w:val="JuPara"/>
      </w:pPr>
      <w:r w:rsidRPr="00F83F45">
        <w:t>(</w:t>
      </w:r>
      <w:r w:rsidRPr="00F83F45">
        <w:t>i</w:t>
      </w:r>
      <w:r w:rsidRPr="00F83F45">
        <w:t xml:space="preserve">) Article 176 § 6 of </w:t>
      </w:r>
      <w:r w:rsidRPr="00F83F45" w:rsidR="00FD1EF4">
        <w:t xml:space="preserve">the </w:t>
      </w:r>
      <w:r w:rsidRPr="00F83F45">
        <w:t>Code of Criminal Procedure (“</w:t>
      </w:r>
      <w:r w:rsidRPr="00F83F45" w:rsidR="00FD1EF4">
        <w:t xml:space="preserve">the </w:t>
      </w:r>
      <w:r w:rsidRPr="00F83F45">
        <w:t>Wartime</w:t>
      </w:r>
      <w:r w:rsidRPr="00F83F45" w:rsidR="00FD1EF4">
        <w:t xml:space="preserve"> </w:t>
      </w:r>
      <w:r w:rsidRPr="00F83F45">
        <w:t xml:space="preserve">Detention Clause”), which provided that, while martial law was in effect, pre-trial detention would be </w:t>
      </w:r>
      <w:r w:rsidRPr="00F83F45" w:rsidR="00FD1EF4">
        <w:t xml:space="preserve">the </w:t>
      </w:r>
      <w:r w:rsidRPr="00F83F45">
        <w:t>preventive measure applied to defendants suspected of certain listed offences, mostly offences against national security;</w:t>
      </w:r>
    </w:p>
    <w:p w:rsidRPr="00F83F45" w:rsidR="00F067E7" w:rsidP="00F83F45" w14:paraId="69CD5BA9" w14:textId="5735882E">
      <w:pPr>
        <w:pStyle w:val="JuPara"/>
      </w:pPr>
      <w:r w:rsidRPr="00F83F45">
        <w:t xml:space="preserve">(ii) Article 183 § 4 of </w:t>
      </w:r>
      <w:r w:rsidRPr="00F83F45" w:rsidR="00FD1EF4">
        <w:t xml:space="preserve">the </w:t>
      </w:r>
      <w:r w:rsidRPr="00F83F45">
        <w:t>Code (“</w:t>
      </w:r>
      <w:r w:rsidRPr="00F83F45" w:rsidR="00FD1EF4">
        <w:t xml:space="preserve">the </w:t>
      </w:r>
      <w:r w:rsidRPr="00F83F45">
        <w:t xml:space="preserve">Exceptions to Mandatory Bail Clause”) which allowed </w:t>
      </w:r>
      <w:r w:rsidRPr="00F83F45" w:rsidR="00FD1EF4">
        <w:t xml:space="preserve">the </w:t>
      </w:r>
      <w:r w:rsidRPr="00F83F45">
        <w:t>court not to set bail for some listed offences.</w:t>
      </w:r>
    </w:p>
    <w:p w:rsidRPr="00F83F45" w:rsidR="00F067E7" w:rsidP="00F83F45" w14:paraId="06425DE1" w14:textId="05B8C2B8">
      <w:pPr>
        <w:pStyle w:val="JuPara"/>
      </w:pPr>
      <w:r w:rsidRPr="00F83F45">
        <w:t xml:space="preserve">More details concerning those clauses can be found in </w:t>
      </w:r>
      <w:r w:rsidRPr="00F83F45">
        <w:rPr>
          <w:i/>
          <w:iCs/>
        </w:rPr>
        <w:t>Kolesnyk</w:t>
      </w:r>
      <w:r w:rsidRPr="00F83F45" w:rsidR="00FD1EF4">
        <w:rPr>
          <w:i/>
          <w:iCs/>
        </w:rPr>
        <w:t xml:space="preserve"> </w:t>
      </w:r>
      <w:r w:rsidRPr="00F83F45">
        <w:rPr>
          <w:i/>
          <w:iCs/>
        </w:rPr>
        <w:t>and</w:t>
      </w:r>
      <w:r w:rsidRPr="00F83F45" w:rsidR="00F32230">
        <w:rPr>
          <w:i/>
          <w:iCs/>
        </w:rPr>
        <w:t> </w:t>
      </w:r>
      <w:r w:rsidRPr="00F83F45">
        <w:rPr>
          <w:i/>
          <w:iCs/>
        </w:rPr>
        <w:t>Smelnytskyy</w:t>
      </w:r>
      <w:r w:rsidRPr="00F83F45">
        <w:rPr>
          <w:i/>
          <w:iCs/>
        </w:rPr>
        <w:t xml:space="preserve"> v. Ukraine</w:t>
      </w:r>
      <w:r w:rsidRPr="00F83F45">
        <w:t xml:space="preserve"> (nos. 24465/23 and 25217/23, 23</w:t>
      </w:r>
      <w:r w:rsidRPr="00F83F45" w:rsidR="00F32230">
        <w:t> </w:t>
      </w:r>
      <w:r w:rsidRPr="00F83F45">
        <w:t>July</w:t>
      </w:r>
      <w:r w:rsidRPr="00F83F45" w:rsidR="00F32230">
        <w:t> </w:t>
      </w:r>
      <w:r w:rsidRPr="00F83F45">
        <w:t>2026, not yet final).</w:t>
      </w:r>
    </w:p>
    <w:p w:rsidRPr="00F83F45" w:rsidR="00F067E7" w:rsidP="00F83F45" w14:paraId="3B184167" w14:textId="21FEA5F8">
      <w:pPr>
        <w:pStyle w:val="JuPara"/>
      </w:pPr>
      <w:r>
        <w:fldChar w:fldCharType="begin"/>
      </w:r>
      <w:r>
        <w:instrText xml:space="preserve"> SEQ level0 \*arabic \* MERGEFORMAT </w:instrText>
      </w:r>
      <w:r>
        <w:fldChar w:fldCharType="separate"/>
      </w:r>
      <w:r w:rsidRPr="00F83F45">
        <w:rPr>
          <w:noProof/>
        </w:rPr>
        <w:t>12</w:t>
      </w:r>
      <w:r w:rsidRPr="00F83F45">
        <w:rPr>
          <w:noProof/>
        </w:rPr>
        <w:fldChar w:fldCharType="end"/>
      </w:r>
      <w:r w:rsidRPr="00F83F45">
        <w:t>.  </w:t>
      </w:r>
      <w:r w:rsidRPr="00F83F45" w:rsidR="00FD1EF4">
        <w:t xml:space="preserve">The </w:t>
      </w:r>
      <w:r w:rsidRPr="00F83F45">
        <w:t xml:space="preserve">first applicant opposed </w:t>
      </w:r>
      <w:r w:rsidRPr="00F83F45" w:rsidR="00FD1EF4">
        <w:t xml:space="preserve">the </w:t>
      </w:r>
      <w:r w:rsidRPr="00F83F45">
        <w:t xml:space="preserve">imposition and, subsequently, </w:t>
      </w:r>
      <w:r w:rsidRPr="00F83F45" w:rsidR="00FD1EF4">
        <w:t xml:space="preserve">the </w:t>
      </w:r>
      <w:r w:rsidRPr="00F83F45">
        <w:t xml:space="preserve">extension of his detention, arguing that there was no evidence of </w:t>
      </w:r>
      <w:r w:rsidRPr="00F83F45" w:rsidR="00FD1EF4">
        <w:t xml:space="preserve">the </w:t>
      </w:r>
      <w:r w:rsidRPr="00F83F45">
        <w:t xml:space="preserve">alleged risks. </w:t>
      </w:r>
      <w:r w:rsidRPr="00F83F45" w:rsidR="00FD1EF4">
        <w:t xml:space="preserve">The </w:t>
      </w:r>
      <w:r w:rsidRPr="00F83F45">
        <w:t>offence of which he was accused was a less serious offence. Had</w:t>
      </w:r>
      <w:r w:rsidRPr="00F83F45" w:rsidR="00FD1EF4">
        <w:t xml:space="preserve"> </w:t>
      </w:r>
      <w:r w:rsidRPr="00F83F45">
        <w:t xml:space="preserve">he wished to abscond, he had had an opportunity to do so in </w:t>
      </w:r>
      <w:r w:rsidRPr="00F83F45" w:rsidR="00FD1EF4">
        <w:t xml:space="preserve">the </w:t>
      </w:r>
      <w:r w:rsidRPr="00F83F45">
        <w:t xml:space="preserve">period between Ukraine liberating </w:t>
      </w:r>
      <w:r w:rsidRPr="00F83F45" w:rsidR="00FD1EF4">
        <w:t xml:space="preserve">the </w:t>
      </w:r>
      <w:r w:rsidRPr="00F83F45">
        <w:t xml:space="preserve">territory and his arrest, but he had remained at home – his registered address – where he had been arrested. There was no evidence of any risk of influencing witnesses; </w:t>
      </w:r>
      <w:r w:rsidRPr="00F83F45" w:rsidR="00FD1EF4">
        <w:t xml:space="preserve">the </w:t>
      </w:r>
      <w:r w:rsidRPr="00F83F45">
        <w:t xml:space="preserve">case file showed that </w:t>
      </w:r>
      <w:r w:rsidRPr="00F83F45" w:rsidR="00FD1EF4">
        <w:t xml:space="preserve">the </w:t>
      </w:r>
      <w:r w:rsidRPr="00F83F45">
        <w:t xml:space="preserve">witnesses were not living at their addresses (as they had evacuated to </w:t>
      </w:r>
      <w:r w:rsidRPr="00F83F45" w:rsidR="00FD1EF4">
        <w:t xml:space="preserve">the </w:t>
      </w:r>
      <w:r w:rsidRPr="00F83F45">
        <w:t xml:space="preserve">west of Ukraine, for example). He was married, had two adult children and strong social connections, with no criminal record. He was 56 and was therefore subject to a prohibition on military-aged males (under 60 years of age) leaving Ukraine. Moreover, </w:t>
      </w:r>
      <w:r w:rsidRPr="00F83F45" w:rsidR="00FD1EF4">
        <w:t xml:space="preserve">the </w:t>
      </w:r>
      <w:r w:rsidRPr="00F83F45">
        <w:t>risk of absconding abroad could be addressed by seizure of his passport.</w:t>
      </w:r>
    </w:p>
    <w:p w:rsidRPr="00F83F45" w:rsidR="00F067E7" w:rsidP="00F83F45" w14:paraId="2C91DCE4" w14:textId="68B6FF7E">
      <w:pPr>
        <w:pStyle w:val="JuPara"/>
      </w:pPr>
      <w:r>
        <w:fldChar w:fldCharType="begin"/>
      </w:r>
      <w:r>
        <w:instrText xml:space="preserve"> SEQ level0 \*arabic \* MERGEFORMAT </w:instrText>
      </w:r>
      <w:r>
        <w:fldChar w:fldCharType="separate"/>
      </w:r>
      <w:r w:rsidRPr="00F83F45">
        <w:rPr>
          <w:noProof/>
        </w:rPr>
        <w:t>13</w:t>
      </w:r>
      <w:r w:rsidRPr="00F83F45">
        <w:rPr>
          <w:noProof/>
        </w:rPr>
        <w:fldChar w:fldCharType="end"/>
      </w:r>
      <w:r w:rsidRPr="00F83F45">
        <w:t xml:space="preserve">.  Citing </w:t>
      </w:r>
      <w:r w:rsidRPr="00F83F45">
        <w:rPr>
          <w:i/>
          <w:iCs/>
        </w:rPr>
        <w:t>Piruzyan</w:t>
      </w:r>
      <w:r w:rsidRPr="00F83F45">
        <w:rPr>
          <w:i/>
          <w:iCs/>
        </w:rPr>
        <w:t xml:space="preserve"> v. Armenia</w:t>
      </w:r>
      <w:r w:rsidRPr="00F83F45">
        <w:t xml:space="preserve"> (no. 33376/07, 26 June 2012) </w:t>
      </w:r>
      <w:r w:rsidRPr="00F83F45" w:rsidR="00FD1EF4">
        <w:t xml:space="preserve">the </w:t>
      </w:r>
      <w:r w:rsidRPr="00F83F45">
        <w:t xml:space="preserve">first applicant also argued that </w:t>
      </w:r>
      <w:r w:rsidRPr="00F83F45" w:rsidR="00FD1EF4">
        <w:t xml:space="preserve">the </w:t>
      </w:r>
      <w:r w:rsidRPr="00F83F45">
        <w:t xml:space="preserve">automatic denial of bail without effective judicial supervision was contrary to Article 5 § 3 of </w:t>
      </w:r>
      <w:r w:rsidRPr="00F83F45" w:rsidR="00FD1EF4">
        <w:t xml:space="preserve">the </w:t>
      </w:r>
      <w:r w:rsidRPr="00F83F45">
        <w:t xml:space="preserve">Convention. </w:t>
      </w:r>
      <w:r w:rsidRPr="00F83F45" w:rsidR="00FD1EF4">
        <w:t xml:space="preserve">The </w:t>
      </w:r>
      <w:r w:rsidRPr="00F83F45">
        <w:t xml:space="preserve">first applicant argued that </w:t>
      </w:r>
      <w:r w:rsidRPr="00F83F45" w:rsidR="00FD1EF4">
        <w:t xml:space="preserve">the </w:t>
      </w:r>
      <w:r w:rsidRPr="00F83F45">
        <w:t xml:space="preserve">Exceptions to Mandatory Bail Clause made </w:t>
      </w:r>
      <w:r w:rsidRPr="00F83F45" w:rsidR="00FD1EF4">
        <w:t xml:space="preserve">the </w:t>
      </w:r>
      <w:r w:rsidRPr="00F83F45">
        <w:t xml:space="preserve">setting of bail an option rather than an obligation, but did allow </w:t>
      </w:r>
      <w:r w:rsidRPr="00F83F45" w:rsidR="00FD1EF4">
        <w:t xml:space="preserve">the </w:t>
      </w:r>
      <w:r w:rsidRPr="00F83F45">
        <w:t xml:space="preserve">court to set bail as an alternative to detention. </w:t>
      </w:r>
      <w:r w:rsidRPr="00F83F45" w:rsidR="00FD1EF4">
        <w:t xml:space="preserve">The </w:t>
      </w:r>
      <w:r w:rsidRPr="00F83F45">
        <w:t xml:space="preserve">first applicant also pointed out that </w:t>
      </w:r>
      <w:r w:rsidRPr="00F83F45" w:rsidR="00FD1EF4">
        <w:t xml:space="preserve">the </w:t>
      </w:r>
      <w:r w:rsidRPr="00F83F45">
        <w:t xml:space="preserve">reasons given by </w:t>
      </w:r>
      <w:r w:rsidRPr="00F83F45" w:rsidR="00FD1EF4">
        <w:t xml:space="preserve">the </w:t>
      </w:r>
      <w:r w:rsidRPr="00F83F45">
        <w:t xml:space="preserve">courts for </w:t>
      </w:r>
      <w:r w:rsidRPr="00F83F45" w:rsidR="00FD1EF4">
        <w:t xml:space="preserve">the </w:t>
      </w:r>
      <w:r w:rsidRPr="00F83F45">
        <w:t>extension of detention had been repetitive and had not evolved.</w:t>
      </w:r>
    </w:p>
    <w:p w:rsidRPr="00F83F45" w:rsidR="00F067E7" w:rsidP="00F83F45" w14:paraId="72D3F3D0" w14:textId="634377DB">
      <w:pPr>
        <w:pStyle w:val="JuPara"/>
      </w:pPr>
      <w:r>
        <w:fldChar w:fldCharType="begin"/>
      </w:r>
      <w:r>
        <w:instrText xml:space="preserve"> SEQ level0 \*arabic \* MERGEFORMAT </w:instrText>
      </w:r>
      <w:r>
        <w:fldChar w:fldCharType="separate"/>
      </w:r>
      <w:r w:rsidRPr="00F83F45">
        <w:rPr>
          <w:noProof/>
        </w:rPr>
        <w:t>14</w:t>
      </w:r>
      <w:r w:rsidRPr="00F83F45">
        <w:rPr>
          <w:noProof/>
        </w:rPr>
        <w:fldChar w:fldCharType="end"/>
      </w:r>
      <w:r w:rsidRPr="00F83F45">
        <w:t>.  </w:t>
      </w:r>
      <w:r w:rsidRPr="00F83F45" w:rsidR="00FD1EF4">
        <w:t xml:space="preserve">The </w:t>
      </w:r>
      <w:r w:rsidRPr="00F83F45">
        <w:t>first applicant also argued that there was no reasonable suspicion against him.</w:t>
      </w:r>
    </w:p>
    <w:p w:rsidRPr="00F83F45" w:rsidR="00F067E7" w:rsidP="00F83F45" w14:paraId="483D5C5C" w14:textId="2F3943E8">
      <w:pPr>
        <w:pStyle w:val="JuPara"/>
      </w:pPr>
      <w:r>
        <w:fldChar w:fldCharType="begin"/>
      </w:r>
      <w:r>
        <w:instrText xml:space="preserve"> SEQ level0 \*arabic \* MERGEFORMAT </w:instrText>
      </w:r>
      <w:r>
        <w:fldChar w:fldCharType="separate"/>
      </w:r>
      <w:r w:rsidRPr="00F83F45">
        <w:rPr>
          <w:noProof/>
        </w:rPr>
        <w:t>15</w:t>
      </w:r>
      <w:r w:rsidRPr="00F83F45">
        <w:rPr>
          <w:noProof/>
        </w:rPr>
        <w:fldChar w:fldCharType="end"/>
      </w:r>
      <w:r w:rsidRPr="00F83F45">
        <w:t xml:space="preserve">.  On 29 April 2023 </w:t>
      </w:r>
      <w:r w:rsidRPr="00F83F45" w:rsidR="00FD1EF4">
        <w:t xml:space="preserve">the </w:t>
      </w:r>
      <w:r w:rsidRPr="00F83F45">
        <w:t xml:space="preserve">case was sent for trial to </w:t>
      </w:r>
      <w:r w:rsidRPr="00F83F45" w:rsidR="00FD1EF4">
        <w:t xml:space="preserve">the </w:t>
      </w:r>
      <w:r w:rsidRPr="00F83F45">
        <w:t>Kominternivskyi</w:t>
      </w:r>
      <w:r w:rsidRPr="00F83F45">
        <w:t xml:space="preserve"> District Court of Kharkiv.</w:t>
      </w:r>
    </w:p>
    <w:p w:rsidRPr="00F83F45" w:rsidR="00F067E7" w:rsidP="00F83F45" w14:paraId="750D218A" w14:textId="5F6CD70D">
      <w:pPr>
        <w:pStyle w:val="JuPara"/>
      </w:pPr>
      <w:r>
        <w:fldChar w:fldCharType="begin"/>
      </w:r>
      <w:r>
        <w:instrText xml:space="preserve"> SEQ level0 \*arabic \* MERGEFORMAT </w:instrText>
      </w:r>
      <w:r>
        <w:fldChar w:fldCharType="separate"/>
      </w:r>
      <w:r w:rsidRPr="00F83F45">
        <w:rPr>
          <w:noProof/>
        </w:rPr>
        <w:t>16</w:t>
      </w:r>
      <w:r w:rsidRPr="00F83F45">
        <w:rPr>
          <w:noProof/>
        </w:rPr>
        <w:fldChar w:fldCharType="end"/>
      </w:r>
      <w:r w:rsidRPr="00F83F45">
        <w:t>.  On 8 May 2023 and then, at about two-month intervals until 2 October</w:t>
      </w:r>
      <w:r w:rsidRPr="00F83F45" w:rsidR="00FD1EF4">
        <w:t xml:space="preserve"> </w:t>
      </w:r>
      <w:r w:rsidRPr="00F83F45">
        <w:t xml:space="preserve">2024 </w:t>
      </w:r>
      <w:r w:rsidRPr="00F83F45" w:rsidR="00FD1EF4">
        <w:t xml:space="preserve">the </w:t>
      </w:r>
      <w:r w:rsidRPr="00F83F45">
        <w:t xml:space="preserve">trial court rejected </w:t>
      </w:r>
      <w:r w:rsidRPr="00F83F45" w:rsidR="00FD1EF4">
        <w:t xml:space="preserve">the </w:t>
      </w:r>
      <w:r w:rsidRPr="00F83F45">
        <w:t>first applicant</w:t>
      </w:r>
      <w:r w:rsidRPr="00F83F45">
        <w:t>’</w:t>
      </w:r>
      <w:r w:rsidRPr="00F83F45">
        <w:t xml:space="preserve">s requests for release and, allowing </w:t>
      </w:r>
      <w:r w:rsidRPr="00F83F45" w:rsidR="00FD1EF4">
        <w:t xml:space="preserve">the </w:t>
      </w:r>
      <w:r w:rsidRPr="00F83F45">
        <w:t>investigator</w:t>
      </w:r>
      <w:r w:rsidRPr="00F83F45">
        <w:t>’</w:t>
      </w:r>
      <w:r w:rsidRPr="00F83F45">
        <w:t xml:space="preserve">s applications to that effect, extended his detention. </w:t>
      </w:r>
      <w:r w:rsidRPr="00F83F45" w:rsidR="00FD1EF4">
        <w:t xml:space="preserve">The </w:t>
      </w:r>
      <w:r w:rsidRPr="00F83F45">
        <w:t xml:space="preserve">court found that </w:t>
      </w:r>
      <w:r w:rsidRPr="00F83F45" w:rsidR="00FD1EF4">
        <w:t xml:space="preserve">the </w:t>
      </w:r>
      <w:r w:rsidRPr="00F83F45">
        <w:t>initially identified risks of absconding and influencing witnesses had not diminished.</w:t>
      </w:r>
    </w:p>
    <w:bookmarkStart w:name="facts_Der_high_standards_Letellier" w:id="4"/>
    <w:p w:rsidRPr="00F83F45" w:rsidR="00F067E7" w:rsidP="00F83F45" w14:paraId="13CCAF76" w14:textId="68275231">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17</w:t>
      </w:r>
      <w:r w:rsidRPr="00F83F45">
        <w:fldChar w:fldCharType="end"/>
      </w:r>
      <w:bookmarkEnd w:id="4"/>
      <w:r w:rsidRPr="00F83F45">
        <w:t>.  </w:t>
      </w:r>
      <w:r w:rsidRPr="00F83F45" w:rsidR="00FD1EF4">
        <w:t xml:space="preserve">The </w:t>
      </w:r>
      <w:r w:rsidRPr="00F83F45" w:rsidR="004F4BC3">
        <w:t>Kharkiv</w:t>
      </w:r>
      <w:r w:rsidRPr="00F83F45">
        <w:t xml:space="preserve"> Court of Appeal upheld </w:t>
      </w:r>
      <w:r w:rsidRPr="00F83F45" w:rsidR="00FD1EF4">
        <w:t xml:space="preserve">the </w:t>
      </w:r>
      <w:r w:rsidRPr="00F83F45">
        <w:t xml:space="preserve">detention decisions, endorsing and stating essentially </w:t>
      </w:r>
      <w:r w:rsidRPr="00F83F45" w:rsidR="00FD1EF4">
        <w:t xml:space="preserve">the </w:t>
      </w:r>
      <w:r w:rsidRPr="00F83F45">
        <w:t xml:space="preserve">same reasons as those given by </w:t>
      </w:r>
      <w:r w:rsidRPr="00F83F45" w:rsidR="00FD1EF4">
        <w:t xml:space="preserve">the </w:t>
      </w:r>
      <w:r w:rsidRPr="00F83F45">
        <w:t>lower court. In</w:t>
      </w:r>
      <w:r w:rsidRPr="00F83F45" w:rsidR="00FD1EF4">
        <w:t xml:space="preserve"> the </w:t>
      </w:r>
      <w:r w:rsidRPr="00F83F45">
        <w:t xml:space="preserve">decisions of 17 July and 14 September 2023, and 1 February and 13 June 2024 </w:t>
      </w:r>
      <w:r w:rsidRPr="00F83F45" w:rsidR="00FD1EF4">
        <w:t xml:space="preserve">the </w:t>
      </w:r>
      <w:r w:rsidRPr="00F83F45">
        <w:t xml:space="preserve">Court of Appeal also stated </w:t>
      </w:r>
      <w:r w:rsidRPr="00F83F45" w:rsidR="00FD1EF4">
        <w:t xml:space="preserve">the </w:t>
      </w:r>
      <w:r w:rsidRPr="00F83F45">
        <w:t>following:</w:t>
      </w:r>
    </w:p>
    <w:p w:rsidRPr="00F83F45" w:rsidR="00F067E7" w:rsidP="00F83F45" w14:paraId="2E73ECF4" w14:textId="3DC70598">
      <w:pPr>
        <w:pStyle w:val="JuQuot"/>
      </w:pPr>
      <w:r w:rsidRPr="00F83F45">
        <w:t xml:space="preserve">“According to </w:t>
      </w:r>
      <w:r w:rsidRPr="00F83F45" w:rsidR="00FD1EF4">
        <w:t xml:space="preserve">the </w:t>
      </w:r>
      <w:r w:rsidRPr="00F83F45">
        <w:t xml:space="preserve">established case-law of </w:t>
      </w:r>
      <w:r w:rsidRPr="00F83F45" w:rsidR="00FD1EF4">
        <w:t xml:space="preserve">the </w:t>
      </w:r>
      <w:r w:rsidRPr="00F83F45">
        <w:t xml:space="preserve">European Court of Human Rights detention can be justified if there are specific indications of a genuine requirement of public interest which, notwithstanding </w:t>
      </w:r>
      <w:r w:rsidRPr="00F83F45" w:rsidR="00FD1EF4">
        <w:t xml:space="preserve">the </w:t>
      </w:r>
      <w:r w:rsidRPr="00F83F45">
        <w:t xml:space="preserve">presumption of innocence, outweighs </w:t>
      </w:r>
      <w:r w:rsidRPr="00F83F45" w:rsidR="00FD1EF4">
        <w:t xml:space="preserve">the </w:t>
      </w:r>
      <w:r w:rsidRPr="00F83F45">
        <w:t xml:space="preserve">rule of respect for individual liberty. While imposing a preventive measure in </w:t>
      </w:r>
      <w:r w:rsidRPr="00F83F45" w:rsidR="00FD1EF4">
        <w:t xml:space="preserve">the </w:t>
      </w:r>
      <w:r w:rsidRPr="00F83F45">
        <w:t xml:space="preserve">form of detention, it must be taken into account that </w:t>
      </w:r>
      <w:r w:rsidRPr="00F83F45" w:rsidR="00FD1EF4">
        <w:t xml:space="preserve">the </w:t>
      </w:r>
      <w:r w:rsidRPr="00F83F45">
        <w:t xml:space="preserve">court decision must ensure not only </w:t>
      </w:r>
      <w:r w:rsidRPr="00F83F45" w:rsidR="00FD1EF4">
        <w:t xml:space="preserve">the </w:t>
      </w:r>
      <w:r w:rsidRPr="00F83F45">
        <w:t xml:space="preserve">rights of </w:t>
      </w:r>
      <w:r w:rsidRPr="00F83F45" w:rsidR="00FD1EF4">
        <w:t xml:space="preserve">the </w:t>
      </w:r>
      <w:r w:rsidRPr="00F83F45">
        <w:t xml:space="preserve">suspect, but also </w:t>
      </w:r>
      <w:r w:rsidRPr="00F83F45" w:rsidR="00FD1EF4">
        <w:t xml:space="preserve">the </w:t>
      </w:r>
      <w:r w:rsidRPr="00F83F45">
        <w:t xml:space="preserve">high standards of protection of </w:t>
      </w:r>
      <w:r w:rsidRPr="00F83F45" w:rsidR="00FD1EF4">
        <w:t xml:space="preserve">the </w:t>
      </w:r>
      <w:r w:rsidRPr="00F83F45">
        <w:t xml:space="preserve">rights and interests of both society and </w:t>
      </w:r>
      <w:r w:rsidRPr="00F83F45" w:rsidR="00FD1EF4">
        <w:t xml:space="preserve">the </w:t>
      </w:r>
      <w:r w:rsidRPr="00F83F45">
        <w:t xml:space="preserve">victim. </w:t>
      </w:r>
      <w:r w:rsidRPr="00F83F45" w:rsidR="00FD1EF4">
        <w:t xml:space="preserve">The </w:t>
      </w:r>
      <w:r w:rsidRPr="00F83F45">
        <w:t xml:space="preserve">definition of such rights, as emphasised by </w:t>
      </w:r>
      <w:r w:rsidRPr="00F83F45" w:rsidR="00FD1EF4">
        <w:t xml:space="preserve">the </w:t>
      </w:r>
      <w:r w:rsidRPr="00F83F45">
        <w:t>European Court of Human Rights, requires from society greater firmness in assessing social values</w:t>
      </w:r>
      <w:r w:rsidRPr="00F83F45">
        <w:rPr>
          <w:i/>
          <w:iCs/>
        </w:rPr>
        <w:t xml:space="preserve"> </w:t>
      </w:r>
      <w:r w:rsidRPr="00F83F45">
        <w:t>(Letellier v. France).</w:t>
      </w:r>
      <w:r>
        <w:rPr>
          <w:vertAlign w:val="superscript"/>
        </w:rPr>
        <w:footnoteReference w:id="4"/>
      </w:r>
      <w:r w:rsidRPr="00F83F45">
        <w:t>”</w:t>
      </w:r>
    </w:p>
    <w:p w:rsidRPr="00F83F45" w:rsidR="00F067E7" w:rsidP="00F83F45" w14:paraId="30561120" w14:textId="1C403F19">
      <w:pPr>
        <w:pStyle w:val="JuPara"/>
      </w:pPr>
      <w:r>
        <w:fldChar w:fldCharType="begin"/>
      </w:r>
      <w:r>
        <w:instrText xml:space="preserve"> SEQ level0 \*arabic \* MERGEFORMAT </w:instrText>
      </w:r>
      <w:r>
        <w:fldChar w:fldCharType="separate"/>
      </w:r>
      <w:r w:rsidRPr="00F83F45">
        <w:rPr>
          <w:noProof/>
        </w:rPr>
        <w:t>18</w:t>
      </w:r>
      <w:r w:rsidRPr="00F83F45">
        <w:rPr>
          <w:noProof/>
        </w:rPr>
        <w:fldChar w:fldCharType="end"/>
      </w:r>
      <w:r w:rsidRPr="00F83F45">
        <w:t xml:space="preserve">.  In </w:t>
      </w:r>
      <w:r w:rsidRPr="00F83F45" w:rsidR="00FD1EF4">
        <w:t xml:space="preserve">the </w:t>
      </w:r>
      <w:r w:rsidRPr="00F83F45">
        <w:t xml:space="preserve">decisions of 20 November 2023 and 26 August 2024 </w:t>
      </w:r>
      <w:r w:rsidRPr="00F83F45" w:rsidR="00FD1EF4">
        <w:t xml:space="preserve">the </w:t>
      </w:r>
      <w:r w:rsidRPr="00F83F45">
        <w:t xml:space="preserve">Court of Appeal also stated that </w:t>
      </w:r>
      <w:r w:rsidRPr="00F83F45" w:rsidR="00FD1EF4">
        <w:t xml:space="preserve">the </w:t>
      </w:r>
      <w:r w:rsidRPr="00F83F45">
        <w:t xml:space="preserve">extension of </w:t>
      </w:r>
      <w:r w:rsidRPr="00F83F45" w:rsidR="00FD1EF4">
        <w:t xml:space="preserve">the </w:t>
      </w:r>
      <w:r w:rsidRPr="00F83F45">
        <w:t>first applicant</w:t>
      </w:r>
      <w:r w:rsidRPr="00F83F45">
        <w:t>’</w:t>
      </w:r>
      <w:r w:rsidRPr="00F83F45">
        <w:t xml:space="preserve">s detention had not been contrary to Article 5 of </w:t>
      </w:r>
      <w:r w:rsidRPr="00F83F45" w:rsidR="00FD1EF4">
        <w:t xml:space="preserve">the </w:t>
      </w:r>
      <w:r w:rsidRPr="00F83F45">
        <w:t xml:space="preserve">Convention and had been in compliance with </w:t>
      </w:r>
      <w:r w:rsidRPr="00F83F45" w:rsidR="00FD1EF4">
        <w:t xml:space="preserve">the </w:t>
      </w:r>
      <w:r w:rsidRPr="00F83F45">
        <w:t xml:space="preserve">well-established case-law of </w:t>
      </w:r>
      <w:r w:rsidRPr="00F83F45" w:rsidR="00FD1EF4">
        <w:t xml:space="preserve">the </w:t>
      </w:r>
      <w:r w:rsidRPr="00F83F45">
        <w:t>European Court of Human Rights, according to which “</w:t>
      </w:r>
      <w:r w:rsidRPr="00F83F45" w:rsidR="00FD1EF4">
        <w:t xml:space="preserve">the </w:t>
      </w:r>
      <w:r w:rsidRPr="00F83F45">
        <w:t>court</w:t>
      </w:r>
      <w:r w:rsidRPr="00F83F45">
        <w:t>’</w:t>
      </w:r>
      <w:r w:rsidRPr="00F83F45">
        <w:t xml:space="preserve">s decision must ensure not only </w:t>
      </w:r>
      <w:r w:rsidRPr="00F83F45" w:rsidR="00FD1EF4">
        <w:t xml:space="preserve">the </w:t>
      </w:r>
      <w:r w:rsidRPr="00F83F45">
        <w:t xml:space="preserve">rights of </w:t>
      </w:r>
      <w:r w:rsidRPr="00F83F45" w:rsidR="00FD1EF4">
        <w:t xml:space="preserve">the </w:t>
      </w:r>
      <w:r w:rsidRPr="00F83F45">
        <w:t xml:space="preserve">suspect, but also </w:t>
      </w:r>
      <w:r w:rsidRPr="00F83F45" w:rsidR="00FD1EF4">
        <w:t xml:space="preserve">the </w:t>
      </w:r>
      <w:r w:rsidRPr="00F83F45">
        <w:t xml:space="preserve">high standards of protection of </w:t>
      </w:r>
      <w:r w:rsidRPr="00F83F45" w:rsidR="00FD1EF4">
        <w:t xml:space="preserve">the </w:t>
      </w:r>
      <w:r w:rsidRPr="00F83F45">
        <w:t xml:space="preserve">rights and interests of </w:t>
      </w:r>
      <w:r w:rsidRPr="00F83F45" w:rsidR="00FD1EF4">
        <w:t xml:space="preserve">the </w:t>
      </w:r>
      <w:r w:rsidRPr="00F83F45">
        <w:t xml:space="preserve">whole society, which requires </w:t>
      </w:r>
      <w:r w:rsidRPr="00F83F45" w:rsidR="00FD1EF4">
        <w:t xml:space="preserve">the </w:t>
      </w:r>
      <w:r w:rsidRPr="00F83F45">
        <w:t>court to show greater firmness in assessing breaches of society</w:t>
      </w:r>
      <w:r w:rsidRPr="00F83F45">
        <w:t>’</w:t>
      </w:r>
      <w:r w:rsidRPr="00F83F45">
        <w:t>s values”.</w:t>
      </w:r>
    </w:p>
    <w:bookmarkStart w:name="facts_Der_high_standards_last" w:id="5"/>
    <w:p w:rsidRPr="00F83F45" w:rsidR="00F067E7" w:rsidP="00F83F45" w14:paraId="70DBD336" w14:textId="34096FB7">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19</w:t>
      </w:r>
      <w:r w:rsidRPr="00F83F45">
        <w:fldChar w:fldCharType="end"/>
      </w:r>
      <w:bookmarkEnd w:id="5"/>
      <w:r w:rsidRPr="00F83F45">
        <w:t xml:space="preserve">.  In </w:t>
      </w:r>
      <w:r w:rsidRPr="00F83F45" w:rsidR="00FD1EF4">
        <w:t xml:space="preserve">the </w:t>
      </w:r>
      <w:r w:rsidRPr="00F83F45">
        <w:t xml:space="preserve">decisions of 14 September and 20 November 2023, and 1 February 2024 </w:t>
      </w:r>
      <w:r w:rsidRPr="00F83F45" w:rsidR="00FD1EF4">
        <w:t xml:space="preserve">the </w:t>
      </w:r>
      <w:r w:rsidRPr="00F83F45">
        <w:t xml:space="preserve">Court of Appeal also stated that </w:t>
      </w:r>
      <w:r w:rsidRPr="00F83F45" w:rsidR="00FD1EF4">
        <w:t xml:space="preserve">the </w:t>
      </w:r>
      <w:r w:rsidRPr="00F83F45">
        <w:t xml:space="preserve">first applicant was accused of a less serious offence against </w:t>
      </w:r>
      <w:r w:rsidRPr="00F83F45" w:rsidR="00FD1EF4">
        <w:t xml:space="preserve">the </w:t>
      </w:r>
      <w:r w:rsidRPr="00F83F45">
        <w:t xml:space="preserve">foundations of national security, and referred to </w:t>
      </w:r>
      <w:r w:rsidRPr="00F83F45" w:rsidR="00FD1EF4">
        <w:t xml:space="preserve">the </w:t>
      </w:r>
      <w:r w:rsidRPr="00F83F45">
        <w:t xml:space="preserve">need to protect </w:t>
      </w:r>
      <w:r w:rsidRPr="00F83F45" w:rsidR="00FD1EF4">
        <w:t xml:space="preserve">the </w:t>
      </w:r>
      <w:r w:rsidRPr="00F83F45">
        <w:t>“high standards of rights and interests of society”, or similar formulae, as reasons for detention.</w:t>
      </w:r>
    </w:p>
    <w:bookmarkStart w:name="facts_De_CoA_2024_July" w:id="6"/>
    <w:bookmarkStart w:name="facts_De_witnesses_trial" w:id="7"/>
    <w:p w:rsidRPr="00F83F45" w:rsidR="00F067E7" w:rsidP="00F83F45" w14:paraId="3C42AF9C" w14:textId="3D48414D">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20</w:t>
      </w:r>
      <w:r w:rsidRPr="00F83F45">
        <w:fldChar w:fldCharType="end"/>
      </w:r>
      <w:bookmarkEnd w:id="6"/>
      <w:r w:rsidRPr="00F83F45">
        <w:t xml:space="preserve">.  In its decision of 30 July 2024 </w:t>
      </w:r>
      <w:r w:rsidRPr="00F83F45" w:rsidR="00FD1EF4">
        <w:t xml:space="preserve">the </w:t>
      </w:r>
      <w:r w:rsidRPr="00F83F45">
        <w:t>Court of Appeal also stated that there was risk of reoffending.</w:t>
      </w:r>
    </w:p>
    <w:p w:rsidRPr="00F83F45" w:rsidR="00F067E7" w:rsidP="00F83F45" w14:paraId="6557CA36" w14:textId="56ACB371">
      <w:pPr>
        <w:pStyle w:val="JuPara"/>
      </w:pPr>
      <w:r>
        <w:fldChar w:fldCharType="begin"/>
      </w:r>
      <w:r>
        <w:instrText xml:space="preserve"> SEQ level0 \*arabic \* MERGEFORMAT </w:instrText>
      </w:r>
      <w:r>
        <w:fldChar w:fldCharType="separate"/>
      </w:r>
      <w:r w:rsidRPr="00F83F45">
        <w:rPr>
          <w:noProof/>
        </w:rPr>
        <w:t>21</w:t>
      </w:r>
      <w:r w:rsidRPr="00F83F45">
        <w:rPr>
          <w:noProof/>
        </w:rPr>
        <w:fldChar w:fldCharType="end"/>
      </w:r>
      <w:bookmarkEnd w:id="7"/>
      <w:r w:rsidRPr="00F83F45">
        <w:t xml:space="preserve">.  Witnesses were questioned at </w:t>
      </w:r>
      <w:r w:rsidRPr="00F83F45" w:rsidR="00FD1EF4">
        <w:t xml:space="preserve">the </w:t>
      </w:r>
      <w:r w:rsidRPr="00F83F45">
        <w:t>trial from 22 August 2023 until 6 February 2024.</w:t>
      </w:r>
    </w:p>
    <w:p w:rsidRPr="00F83F45" w:rsidR="00F067E7" w:rsidP="00F83F45" w14:paraId="73F571F3" w14:textId="008E8E85">
      <w:pPr>
        <w:pStyle w:val="JuPara"/>
      </w:pPr>
      <w:r>
        <w:fldChar w:fldCharType="begin"/>
      </w:r>
      <w:r>
        <w:instrText xml:space="preserve"> SEQ level0 \*arabic \* MERGEFORMAT </w:instrText>
      </w:r>
      <w:r>
        <w:fldChar w:fldCharType="separate"/>
      </w:r>
      <w:r w:rsidRPr="00F83F45">
        <w:rPr>
          <w:noProof/>
        </w:rPr>
        <w:t>22</w:t>
      </w:r>
      <w:r w:rsidRPr="00F83F45">
        <w:rPr>
          <w:noProof/>
        </w:rPr>
        <w:fldChar w:fldCharType="end"/>
      </w:r>
      <w:r w:rsidRPr="00F83F45">
        <w:t xml:space="preserve">.  On 30 October 2024 </w:t>
      </w:r>
      <w:r w:rsidRPr="00F83F45" w:rsidR="00FD1EF4">
        <w:t xml:space="preserve">the </w:t>
      </w:r>
      <w:r w:rsidRPr="00F83F45">
        <w:t>first applicant was convicted as charged, sentenced to four years</w:t>
      </w:r>
      <w:r w:rsidRPr="00F83F45">
        <w:t>’</w:t>
      </w:r>
      <w:r w:rsidRPr="00F83F45">
        <w:t xml:space="preserve"> imprisonment, suspended for three years, with a prohibition on occupying certain positions for ten years.</w:t>
      </w:r>
    </w:p>
    <w:bookmarkStart w:name="facts_CoA_sentence" w:id="8"/>
    <w:p w:rsidRPr="00F83F45" w:rsidR="00F067E7" w:rsidP="00F83F45" w14:paraId="2A216C8B" w14:textId="45C00FA1">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23</w:t>
      </w:r>
      <w:r w:rsidRPr="00F83F45">
        <w:fldChar w:fldCharType="end"/>
      </w:r>
      <w:bookmarkEnd w:id="8"/>
      <w:r w:rsidRPr="00F83F45">
        <w:t xml:space="preserve">.  On 19 December 2024 </w:t>
      </w:r>
      <w:r w:rsidRPr="00F83F45" w:rsidR="00FD1EF4">
        <w:t xml:space="preserve">the </w:t>
      </w:r>
      <w:r w:rsidRPr="00F83F45">
        <w:t xml:space="preserve">Kharkiv Court of Appeal upheld </w:t>
      </w:r>
      <w:r w:rsidRPr="00F83F45" w:rsidR="00FD1EF4">
        <w:t xml:space="preserve">the </w:t>
      </w:r>
      <w:r w:rsidRPr="00F83F45">
        <w:t xml:space="preserve">conviction and changed </w:t>
      </w:r>
      <w:r w:rsidRPr="00F83F45" w:rsidR="00FD1EF4">
        <w:t xml:space="preserve">the </w:t>
      </w:r>
      <w:r w:rsidRPr="00F83F45">
        <w:t>sentence of imprisonment to a fine of UAH 17</w:t>
      </w:r>
      <w:r w:rsidR="002C64EC">
        <w:t>0</w:t>
      </w:r>
      <w:r w:rsidRPr="00F83F45">
        <w:t>,000 (about 3</w:t>
      </w:r>
      <w:r w:rsidR="005D0C85">
        <w:t>,</w:t>
      </w:r>
      <w:r w:rsidRPr="00F83F45">
        <w:t>80</w:t>
      </w:r>
      <w:r w:rsidR="005D0C85">
        <w:t>0</w:t>
      </w:r>
      <w:r w:rsidRPr="00F83F45">
        <w:t xml:space="preserve"> euros at </w:t>
      </w:r>
      <w:r w:rsidRPr="00F83F45" w:rsidR="00FD1EF4">
        <w:t xml:space="preserve">the </w:t>
      </w:r>
      <w:r w:rsidRPr="00F83F45">
        <w:t xml:space="preserve">time) and imposed an additional punishment of confiscation of all </w:t>
      </w:r>
      <w:r w:rsidRPr="00F83F45" w:rsidR="00FD1EF4">
        <w:t xml:space="preserve">the </w:t>
      </w:r>
      <w:r w:rsidRPr="00F83F45">
        <w:t>first applicant</w:t>
      </w:r>
      <w:r w:rsidRPr="00F83F45" w:rsidR="00F83F45">
        <w:t>’</w:t>
      </w:r>
      <w:r w:rsidRPr="00F83F45">
        <w:t>s assets.</w:t>
      </w:r>
    </w:p>
    <w:p w:rsidRPr="00F83F45" w:rsidR="00F067E7" w:rsidP="00F83F45" w14:paraId="5F4DCE4F" w14:textId="2B748D7D">
      <w:pPr>
        <w:pStyle w:val="JuPara"/>
      </w:pPr>
      <w:r>
        <w:fldChar w:fldCharType="begin"/>
      </w:r>
      <w:r>
        <w:instrText xml:space="preserve"> SEQ level0 \*arabic \* MERGEFORMAT </w:instrText>
      </w:r>
      <w:r>
        <w:fldChar w:fldCharType="separate"/>
      </w:r>
      <w:r w:rsidRPr="00F83F45">
        <w:rPr>
          <w:noProof/>
        </w:rPr>
        <w:t>24</w:t>
      </w:r>
      <w:r w:rsidRPr="00F83F45">
        <w:rPr>
          <w:noProof/>
        </w:rPr>
        <w:fldChar w:fldCharType="end"/>
      </w:r>
      <w:r w:rsidRPr="00F83F45">
        <w:t xml:space="preserve">.  According to </w:t>
      </w:r>
      <w:r w:rsidRPr="00F83F45" w:rsidR="00FD1EF4">
        <w:t xml:space="preserve">the </w:t>
      </w:r>
      <w:r w:rsidRPr="00F83F45">
        <w:t xml:space="preserve">most recently available information, </w:t>
      </w:r>
      <w:r w:rsidRPr="00F83F45" w:rsidR="00FD1EF4">
        <w:t xml:space="preserve">the </w:t>
      </w:r>
      <w:r w:rsidRPr="00F83F45">
        <w:t xml:space="preserve">Supreme Court was examining </w:t>
      </w:r>
      <w:r w:rsidRPr="00F83F45" w:rsidR="00FD1EF4">
        <w:t xml:space="preserve">the </w:t>
      </w:r>
      <w:r w:rsidRPr="00F83F45">
        <w:t>first applicant</w:t>
      </w:r>
      <w:r w:rsidRPr="00F83F45">
        <w:t>’</w:t>
      </w:r>
      <w:r w:rsidRPr="00F83F45">
        <w:t xml:space="preserve">s and </w:t>
      </w:r>
      <w:r w:rsidRPr="00F83F45" w:rsidR="00FD1EF4">
        <w:t xml:space="preserve">the </w:t>
      </w:r>
      <w:r w:rsidRPr="00F83F45">
        <w:t>prosecutor</w:t>
      </w:r>
      <w:r w:rsidRPr="00F83F45">
        <w:t>’</w:t>
      </w:r>
      <w:r w:rsidRPr="00F83F45">
        <w:t>s appeals on points of law.</w:t>
      </w:r>
    </w:p>
    <w:p w:rsidRPr="00F83F45" w:rsidR="00F067E7" w:rsidP="00F83F45" w14:paraId="46F0A748" w14:textId="0212CCE5">
      <w:pPr>
        <w:pStyle w:val="JuHIRoman"/>
      </w:pPr>
      <w:r w:rsidRPr="00F83F45">
        <w:t xml:space="preserve">The </w:t>
      </w:r>
      <w:r w:rsidRPr="00F83F45">
        <w:t>second applicant</w:t>
      </w:r>
      <w:r w:rsidRPr="00F83F45" w:rsidR="00F83F45">
        <w:t>’</w:t>
      </w:r>
      <w:r w:rsidRPr="00F83F45">
        <w:t>s case (</w:t>
      </w:r>
      <w:r w:rsidRPr="00F83F45">
        <w:rPr>
          <w:i/>
          <w:iCs/>
        </w:rPr>
        <w:t xml:space="preserve">Tarasova v. Ukraine, </w:t>
      </w:r>
      <w:r w:rsidRPr="00F83F45">
        <w:t>n</w:t>
      </w:r>
      <w:r w:rsidRPr="00F83F45">
        <w:rPr>
          <w:caps w:val="0"/>
        </w:rPr>
        <w:t>o</w:t>
      </w:r>
      <w:r w:rsidRPr="00F83F45">
        <w:t>. 43066/23)</w:t>
      </w:r>
    </w:p>
    <w:p w:rsidRPr="00F83F45" w:rsidR="00F067E7" w:rsidP="00F83F45" w14:paraId="194E554B" w14:textId="123B96E6">
      <w:pPr>
        <w:pStyle w:val="JuPara"/>
      </w:pPr>
      <w:r>
        <w:fldChar w:fldCharType="begin"/>
      </w:r>
      <w:r>
        <w:instrText xml:space="preserve"> SEQ level0 \*arabic \* MERGEFORMAT </w:instrText>
      </w:r>
      <w:r>
        <w:fldChar w:fldCharType="separate"/>
      </w:r>
      <w:r w:rsidRPr="00F83F45">
        <w:rPr>
          <w:noProof/>
        </w:rPr>
        <w:t>25</w:t>
      </w:r>
      <w:r w:rsidRPr="00F83F45">
        <w:rPr>
          <w:noProof/>
        </w:rPr>
        <w:fldChar w:fldCharType="end"/>
      </w:r>
      <w:r w:rsidRPr="00F83F45">
        <w:t xml:space="preserve">.  As of December 2020 </w:t>
      </w:r>
      <w:r w:rsidRPr="00F83F45" w:rsidR="00FD1EF4">
        <w:t xml:space="preserve">the </w:t>
      </w:r>
      <w:r w:rsidRPr="00F83F45">
        <w:t xml:space="preserve">second applicant had been working as a freelance sales representative for </w:t>
      </w:r>
      <w:r w:rsidRPr="00F83F45" w:rsidR="00FD1EF4">
        <w:t xml:space="preserve">the </w:t>
      </w:r>
      <w:r w:rsidRPr="00F83F45">
        <w:t>N. company, a Ukrainian medicines manufacturer.</w:t>
      </w:r>
    </w:p>
    <w:bookmarkStart w:name="facts_Tar_CMU_resolutions" w:id="9"/>
    <w:p w:rsidRPr="00F83F45" w:rsidR="00F067E7" w:rsidP="00F83F45" w14:paraId="6D2AD371" w14:textId="06F424A9">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26</w:t>
      </w:r>
      <w:r w:rsidRPr="00F83F45">
        <w:fldChar w:fldCharType="end"/>
      </w:r>
      <w:bookmarkEnd w:id="9"/>
      <w:r w:rsidRPr="00F83F45">
        <w:t>.  After Russia</w:t>
      </w:r>
      <w:r w:rsidRPr="00F83F45" w:rsidR="00F83F45">
        <w:t>’</w:t>
      </w:r>
      <w:r w:rsidRPr="00F83F45">
        <w:t xml:space="preserve">s full-scale invasion of Ukraine began, on 3 March 2022 </w:t>
      </w:r>
      <w:r w:rsidRPr="00F83F45" w:rsidR="00FD1EF4">
        <w:t xml:space="preserve">the </w:t>
      </w:r>
      <w:r w:rsidRPr="00F83F45">
        <w:t xml:space="preserve">Cabinet of Ministers of Ukraine enacted Resolution no. 187 by which it prohibited </w:t>
      </w:r>
      <w:r w:rsidRPr="00F83F45" w:rsidR="00FD1EF4">
        <w:t xml:space="preserve">the </w:t>
      </w:r>
      <w:r w:rsidRPr="00F83F45">
        <w:t xml:space="preserve">“performance of any monetary and other obligations” in favour of </w:t>
      </w:r>
      <w:r w:rsidRPr="00F83F45" w:rsidR="00FD1EF4">
        <w:t xml:space="preserve">the </w:t>
      </w:r>
      <w:r w:rsidRPr="00F83F45">
        <w:t>Russian State, its citizens and legal entities registered in Russia. On</w:t>
      </w:r>
      <w:r w:rsidRPr="00F83F45" w:rsidR="00FD1EF4">
        <w:t xml:space="preserve"> </w:t>
      </w:r>
      <w:r w:rsidRPr="00F83F45">
        <w:t xml:space="preserve">27 September 2022 </w:t>
      </w:r>
      <w:r w:rsidRPr="00F83F45" w:rsidR="00FD1EF4">
        <w:t xml:space="preserve">the </w:t>
      </w:r>
      <w:r w:rsidRPr="00F83F45">
        <w:t>Cabinet of Ministers</w:t>
      </w:r>
      <w:r w:rsidRPr="00F83F45" w:rsidR="00F83F45">
        <w:t>’</w:t>
      </w:r>
      <w:r w:rsidRPr="00F83F45">
        <w:t xml:space="preserve"> Resolution no. 1076 prohibited </w:t>
      </w:r>
      <w:r w:rsidRPr="00F83F45" w:rsidR="00FD1EF4">
        <w:t xml:space="preserve">the </w:t>
      </w:r>
      <w:r w:rsidRPr="00F83F45">
        <w:t>shipment of goods from Ukraine to Russia.</w:t>
      </w:r>
    </w:p>
    <w:bookmarkStart w:name="facts_Tar_charge" w:id="10"/>
    <w:p w:rsidRPr="00F83F45" w:rsidR="00F067E7" w:rsidP="00F83F45" w14:paraId="1EFE94E8" w14:textId="2CC21336">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27</w:t>
      </w:r>
      <w:r w:rsidRPr="00F83F45">
        <w:fldChar w:fldCharType="end"/>
      </w:r>
      <w:bookmarkEnd w:id="10"/>
      <w:r w:rsidRPr="00F83F45">
        <w:t xml:space="preserve">.  In March 2023 </w:t>
      </w:r>
      <w:r w:rsidRPr="00F83F45" w:rsidR="00FD1EF4">
        <w:t xml:space="preserve">the </w:t>
      </w:r>
      <w:r w:rsidRPr="00F83F45">
        <w:t>Security Service of Ukraine (</w:t>
      </w:r>
      <w:r w:rsidRPr="00F83F45">
        <w:rPr>
          <w:i/>
          <w:iCs/>
        </w:rPr>
        <w:t>Sluzhba</w:t>
      </w:r>
      <w:r w:rsidRPr="00F83F45">
        <w:rPr>
          <w:i/>
          <w:iCs/>
        </w:rPr>
        <w:t xml:space="preserve"> </w:t>
      </w:r>
      <w:r w:rsidRPr="00F83F45">
        <w:rPr>
          <w:i/>
          <w:iCs/>
        </w:rPr>
        <w:t>bezpeky</w:t>
      </w:r>
      <w:r w:rsidRPr="00F83F45">
        <w:rPr>
          <w:i/>
          <w:iCs/>
        </w:rPr>
        <w:t xml:space="preserve"> </w:t>
      </w:r>
      <w:r w:rsidRPr="00F83F45">
        <w:rPr>
          <w:i/>
          <w:iCs/>
        </w:rPr>
        <w:t>Ukrayiny</w:t>
      </w:r>
      <w:r w:rsidRPr="00F83F45">
        <w:t xml:space="preserve"> – “</w:t>
      </w:r>
      <w:r w:rsidRPr="00F83F45" w:rsidR="00FD1EF4">
        <w:t xml:space="preserve">the </w:t>
      </w:r>
      <w:r w:rsidRPr="00F83F45">
        <w:t xml:space="preserve">SBU”) started investigating a criminal case on suspicion of </w:t>
      </w:r>
      <w:r w:rsidRPr="00F83F45" w:rsidR="00FD1EF4">
        <w:t xml:space="preserve">the </w:t>
      </w:r>
      <w:r w:rsidRPr="00F83F45">
        <w:t xml:space="preserve">offence of “assisting </w:t>
      </w:r>
      <w:r w:rsidRPr="00F83F45" w:rsidR="00FD1EF4">
        <w:t xml:space="preserve">the </w:t>
      </w:r>
      <w:r w:rsidRPr="00F83F45">
        <w:t xml:space="preserve">aggressor State” (Article 111-2 of </w:t>
      </w:r>
      <w:r w:rsidRPr="00F83F45" w:rsidR="00FD1EF4">
        <w:t xml:space="preserve">the </w:t>
      </w:r>
      <w:r w:rsidRPr="00F83F45">
        <w:t xml:space="preserve">Criminal Code), which was defined as “an intentional act aimed at assisting </w:t>
      </w:r>
      <w:r w:rsidRPr="00F83F45" w:rsidR="00FD1EF4">
        <w:t xml:space="preserve">the </w:t>
      </w:r>
      <w:r w:rsidRPr="00F83F45">
        <w:t xml:space="preserve">aggressor State, its military groups or </w:t>
      </w:r>
      <w:r w:rsidRPr="00F83F45" w:rsidR="00FD1EF4">
        <w:t xml:space="preserve">the </w:t>
      </w:r>
      <w:r w:rsidRPr="00F83F45">
        <w:t xml:space="preserve">occupation administration ... with </w:t>
      </w:r>
      <w:r w:rsidRPr="00F83F45" w:rsidR="00FD1EF4">
        <w:t xml:space="preserve">the </w:t>
      </w:r>
      <w:r w:rsidRPr="00F83F45">
        <w:t xml:space="preserve">aim of harming </w:t>
      </w:r>
      <w:r w:rsidRPr="00F83F45" w:rsidR="00FD1EF4">
        <w:t xml:space="preserve">the </w:t>
      </w:r>
      <w:r w:rsidRPr="00F83F45">
        <w:t>interests of Ukraine” and which was punishable by 10</w:t>
      </w:r>
      <w:r w:rsidRPr="00F83F45" w:rsidR="00F32230">
        <w:t> </w:t>
      </w:r>
      <w:r w:rsidRPr="00F83F45">
        <w:t>to 12 years</w:t>
      </w:r>
      <w:r w:rsidRPr="00F83F45" w:rsidR="00F83F45">
        <w:t>’</w:t>
      </w:r>
      <w:r w:rsidRPr="00F83F45">
        <w:t xml:space="preserve"> imprisonment with </w:t>
      </w:r>
      <w:r w:rsidRPr="00F83F45" w:rsidR="00FD1EF4">
        <w:t xml:space="preserve">the </w:t>
      </w:r>
      <w:r w:rsidRPr="00F83F45">
        <w:t>optional confiscation of assets.</w:t>
      </w:r>
    </w:p>
    <w:p w:rsidRPr="00F83F45" w:rsidR="00F067E7" w:rsidP="00F83F45" w14:paraId="27A34FB1" w14:textId="08A96424">
      <w:pPr>
        <w:pStyle w:val="JuPara"/>
      </w:pPr>
      <w:r w:rsidRPr="00F83F45">
        <w:t xml:space="preserve">The </w:t>
      </w:r>
      <w:r w:rsidRPr="00F83F45">
        <w:t xml:space="preserve">Criminal Code stated that </w:t>
      </w:r>
      <w:r w:rsidRPr="00F83F45">
        <w:t xml:space="preserve">the </w:t>
      </w:r>
      <w:r w:rsidRPr="00F83F45">
        <w:t xml:space="preserve">offence could be committed through either </w:t>
      </w:r>
      <w:r w:rsidRPr="00F83F45">
        <w:t xml:space="preserve">the </w:t>
      </w:r>
      <w:r w:rsidRPr="00F83F45">
        <w:t xml:space="preserve">“implementation or support for decisions of </w:t>
      </w:r>
      <w:r w:rsidRPr="00F83F45">
        <w:t xml:space="preserve">the </w:t>
      </w:r>
      <w:r w:rsidRPr="00F83F45">
        <w:t xml:space="preserve">aggressor State, its armed groups or </w:t>
      </w:r>
      <w:r w:rsidRPr="00F83F45">
        <w:t xml:space="preserve">the </w:t>
      </w:r>
      <w:r w:rsidRPr="00F83F45">
        <w:t xml:space="preserve">occupation administration” or through </w:t>
      </w:r>
      <w:r w:rsidRPr="00F83F45">
        <w:t xml:space="preserve">the </w:t>
      </w:r>
      <w:r w:rsidRPr="00F83F45">
        <w:t xml:space="preserve">“transmission of material resources to </w:t>
      </w:r>
      <w:r w:rsidRPr="00F83F45">
        <w:t xml:space="preserve">the </w:t>
      </w:r>
      <w:r w:rsidRPr="00F83F45">
        <w:t xml:space="preserve">aggressor State, its armed groups or </w:t>
      </w:r>
      <w:r w:rsidRPr="00F83F45">
        <w:t xml:space="preserve">the </w:t>
      </w:r>
      <w:r w:rsidRPr="00F83F45">
        <w:t>occupation administration”.</w:t>
      </w:r>
    </w:p>
    <w:p w:rsidRPr="00F83F45" w:rsidR="00F067E7" w:rsidP="00F83F45" w14:paraId="3F34F0C0" w14:textId="75C96D35">
      <w:pPr>
        <w:pStyle w:val="JuPara"/>
      </w:pPr>
      <w:r w:rsidRPr="00F83F45">
        <w:t xml:space="preserve">The </w:t>
      </w:r>
      <w:r w:rsidRPr="00F83F45">
        <w:t xml:space="preserve">provision was added to </w:t>
      </w:r>
      <w:r w:rsidRPr="00F83F45">
        <w:t xml:space="preserve">the </w:t>
      </w:r>
      <w:r w:rsidRPr="00F83F45">
        <w:t>Criminal Code by Law no. 2198-IX of 14 April 2022</w:t>
      </w:r>
      <w:r w:rsidRPr="00F83F45">
        <w:rPr>
          <w:i/>
          <w:iCs/>
        </w:rPr>
        <w:t>.</w:t>
      </w:r>
      <w:r w:rsidRPr="00F83F45">
        <w:t xml:space="preserve"> It was contained in </w:t>
      </w:r>
      <w:r w:rsidRPr="00F83F45">
        <w:t xml:space="preserve">the </w:t>
      </w:r>
      <w:r w:rsidRPr="00F83F45">
        <w:t xml:space="preserve">chapter of </w:t>
      </w:r>
      <w:r w:rsidRPr="00F83F45">
        <w:t xml:space="preserve">the </w:t>
      </w:r>
      <w:r w:rsidRPr="00F83F45">
        <w:t xml:space="preserve">Criminal Code entitled “Offences against </w:t>
      </w:r>
      <w:r w:rsidRPr="00F83F45">
        <w:t xml:space="preserve">the </w:t>
      </w:r>
      <w:r w:rsidRPr="00F83F45">
        <w:t>foundations of Ukrainian national security”.</w:t>
      </w:r>
    </w:p>
    <w:bookmarkStart w:name="facts_Tar_scheme" w:id="11"/>
    <w:p w:rsidRPr="00F83F45" w:rsidR="00F067E7" w:rsidP="00F83F45" w14:paraId="6D04B91C" w14:textId="104A73BB">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28</w:t>
      </w:r>
      <w:r w:rsidRPr="00F83F45">
        <w:fldChar w:fldCharType="end"/>
      </w:r>
      <w:bookmarkEnd w:id="11"/>
      <w:r w:rsidRPr="00F83F45">
        <w:t xml:space="preserve">.  According to </w:t>
      </w:r>
      <w:r w:rsidRPr="00F83F45" w:rsidR="00FD1EF4">
        <w:t xml:space="preserve">the </w:t>
      </w:r>
      <w:r w:rsidRPr="00F83F45">
        <w:t xml:space="preserve">investigative authority, in December 2021 </w:t>
      </w:r>
      <w:r w:rsidRPr="00F83F45" w:rsidR="00FD1EF4">
        <w:t xml:space="preserve">the </w:t>
      </w:r>
      <w:r w:rsidRPr="00F83F45">
        <w:t>N.</w:t>
      </w:r>
      <w:r w:rsidRPr="00F83F45" w:rsidR="0009099A">
        <w:t> </w:t>
      </w:r>
      <w:r w:rsidRPr="00F83F45">
        <w:t xml:space="preserve">company entered into a contract for </w:t>
      </w:r>
      <w:r w:rsidRPr="00F83F45" w:rsidR="00FD1EF4">
        <w:t xml:space="preserve">the </w:t>
      </w:r>
      <w:r w:rsidRPr="00F83F45">
        <w:t xml:space="preserve">sale of medicines with </w:t>
      </w:r>
      <w:r w:rsidRPr="00F83F45" w:rsidR="00FD1EF4">
        <w:t xml:space="preserve">the </w:t>
      </w:r>
      <w:r w:rsidRPr="00F83F45">
        <w:t>A.</w:t>
      </w:r>
      <w:r w:rsidRPr="00F83F45" w:rsidR="0009099A">
        <w:t> </w:t>
      </w:r>
      <w:r w:rsidRPr="00F83F45">
        <w:t xml:space="preserve">company, a private Russian company. In early 2023 </w:t>
      </w:r>
      <w:r w:rsidRPr="00F83F45" w:rsidR="00FD1EF4">
        <w:t xml:space="preserve">the </w:t>
      </w:r>
      <w:r w:rsidRPr="00F83F45">
        <w:t>N. company</w:t>
      </w:r>
      <w:r w:rsidRPr="00F83F45" w:rsidR="00F83F45">
        <w:t>’</w:t>
      </w:r>
      <w:r w:rsidRPr="00F83F45">
        <w:t>s shareholder and its managing director (hereinafter “</w:t>
      </w:r>
      <w:r w:rsidRPr="00F83F45" w:rsidR="00FD1EF4">
        <w:t xml:space="preserve">the </w:t>
      </w:r>
      <w:r w:rsidRPr="00F83F45">
        <w:t>N. company</w:t>
      </w:r>
      <w:r w:rsidRPr="00F83F45" w:rsidR="00F83F45">
        <w:t>’</w:t>
      </w:r>
      <w:r w:rsidRPr="00F83F45">
        <w:t xml:space="preserve">s management”) devised a scheme under which they disguised shipments of a medicine (used for general anaesthesia) to Russia as shipments to an Estonian company, with a delivery point indicated as Vilnius (Lithuania) and </w:t>
      </w:r>
      <w:r w:rsidRPr="00F83F45" w:rsidR="00FD1EF4">
        <w:t xml:space="preserve">the </w:t>
      </w:r>
      <w:r w:rsidRPr="00F83F45">
        <w:t xml:space="preserve">final destination country indicated as Armenia. In fact, </w:t>
      </w:r>
      <w:r w:rsidRPr="00F83F45" w:rsidR="00FD1EF4">
        <w:t xml:space="preserve">the </w:t>
      </w:r>
      <w:r w:rsidRPr="00F83F45">
        <w:t xml:space="preserve">shipments, while transiting through Belarus, were to be diverted to </w:t>
      </w:r>
      <w:r w:rsidRPr="00F83F45" w:rsidR="00FD1EF4">
        <w:t xml:space="preserve">the </w:t>
      </w:r>
      <w:r w:rsidRPr="00F83F45">
        <w:t xml:space="preserve">A. company in Russia, which in turn was to supply </w:t>
      </w:r>
      <w:r w:rsidRPr="00F83F45" w:rsidR="00FD1EF4">
        <w:t xml:space="preserve">the </w:t>
      </w:r>
      <w:r w:rsidRPr="00F83F45">
        <w:t>medicine to Russian companies and institutions.</w:t>
      </w:r>
    </w:p>
    <w:p w:rsidRPr="00F83F45" w:rsidR="00F067E7" w:rsidP="00F83F45" w14:paraId="693E4C53" w14:textId="33475036">
      <w:pPr>
        <w:pStyle w:val="JuPara"/>
      </w:pPr>
      <w:r>
        <w:fldChar w:fldCharType="begin"/>
      </w:r>
      <w:r>
        <w:instrText xml:space="preserve"> SEQ level0 \*arabic \* MERGEFORMAT </w:instrText>
      </w:r>
      <w:r>
        <w:fldChar w:fldCharType="separate"/>
      </w:r>
      <w:r w:rsidRPr="00F83F45">
        <w:rPr>
          <w:noProof/>
        </w:rPr>
        <w:t>29</w:t>
      </w:r>
      <w:r w:rsidRPr="00F83F45">
        <w:rPr>
          <w:noProof/>
        </w:rPr>
        <w:fldChar w:fldCharType="end"/>
      </w:r>
      <w:r w:rsidRPr="00F83F45">
        <w:t xml:space="preserve">.  It was alleged, withing </w:t>
      </w:r>
      <w:r w:rsidRPr="00F83F45" w:rsidR="00FD1EF4">
        <w:t xml:space="preserve">the </w:t>
      </w:r>
      <w:r w:rsidRPr="00F83F45">
        <w:t xml:space="preserve">framework of </w:t>
      </w:r>
      <w:r w:rsidRPr="00F83F45" w:rsidR="00FD1EF4">
        <w:t xml:space="preserve">the </w:t>
      </w:r>
      <w:r w:rsidRPr="00F83F45">
        <w:t xml:space="preserve">investigation, that </w:t>
      </w:r>
      <w:r w:rsidRPr="00F83F45" w:rsidR="00FD1EF4">
        <w:t xml:space="preserve">the </w:t>
      </w:r>
      <w:r w:rsidRPr="00F83F45">
        <w:t xml:space="preserve">medication of </w:t>
      </w:r>
      <w:r w:rsidRPr="00F83F45" w:rsidR="00FD1EF4">
        <w:t xml:space="preserve">the </w:t>
      </w:r>
      <w:r w:rsidRPr="00F83F45">
        <w:t xml:space="preserve">type in question, originating from N. company, was found in </w:t>
      </w:r>
      <w:r w:rsidRPr="00F83F45" w:rsidR="00FD1EF4">
        <w:t xml:space="preserve">the </w:t>
      </w:r>
      <w:r w:rsidRPr="00F83F45">
        <w:t xml:space="preserve">first-aid kit of a Russian serviceman taken prisoner in Ukraine. However, that element was not part of </w:t>
      </w:r>
      <w:r w:rsidRPr="00F83F45" w:rsidR="00FD1EF4">
        <w:t xml:space="preserve">the </w:t>
      </w:r>
      <w:r w:rsidRPr="00F83F45">
        <w:t xml:space="preserve">charges brought against </w:t>
      </w:r>
      <w:r w:rsidRPr="00F83F45" w:rsidR="00FD1EF4">
        <w:t xml:space="preserve">the </w:t>
      </w:r>
      <w:r w:rsidRPr="00F83F45">
        <w:t>applicant (see below).</w:t>
      </w:r>
    </w:p>
    <w:p w:rsidRPr="00F83F45" w:rsidR="00F067E7" w:rsidP="00F83F45" w14:paraId="1602EE63" w14:textId="15738E65">
      <w:pPr>
        <w:pStyle w:val="JuPara"/>
      </w:pPr>
      <w:r>
        <w:fldChar w:fldCharType="begin"/>
      </w:r>
      <w:r>
        <w:instrText xml:space="preserve"> SEQ level0 \*arabic \* MERGEFORMAT </w:instrText>
      </w:r>
      <w:r>
        <w:fldChar w:fldCharType="separate"/>
      </w:r>
      <w:bookmarkStart w:name="paragraph00030" w:id="12"/>
      <w:r w:rsidRPr="00F83F45">
        <w:rPr>
          <w:noProof/>
        </w:rPr>
        <w:t>30</w:t>
      </w:r>
      <w:bookmarkEnd w:id="12"/>
      <w:r>
        <w:fldChar w:fldCharType="end"/>
      </w:r>
      <w:r w:rsidRPr="00F83F45">
        <w:t xml:space="preserve">.  Within </w:t>
      </w:r>
      <w:r w:rsidRPr="00F83F45" w:rsidR="00FD1EF4">
        <w:t xml:space="preserve">the </w:t>
      </w:r>
      <w:r w:rsidRPr="00F83F45">
        <w:t xml:space="preserve">framework of that investigation, in June 2023 </w:t>
      </w:r>
      <w:r w:rsidRPr="00F83F45" w:rsidR="00FD1EF4">
        <w:t xml:space="preserve">the </w:t>
      </w:r>
      <w:r w:rsidRPr="00F83F45">
        <w:t xml:space="preserve">SBU searched </w:t>
      </w:r>
      <w:r w:rsidRPr="00F83F45" w:rsidR="00FD1EF4">
        <w:t xml:space="preserve">the </w:t>
      </w:r>
      <w:r w:rsidRPr="00F83F45">
        <w:t>N. company</w:t>
      </w:r>
      <w:r w:rsidRPr="00F83F45">
        <w:t>’</w:t>
      </w:r>
      <w:r w:rsidRPr="00F83F45">
        <w:t xml:space="preserve">s premises. </w:t>
      </w:r>
      <w:r w:rsidRPr="00F83F45" w:rsidR="00FD1EF4">
        <w:t xml:space="preserve">The </w:t>
      </w:r>
      <w:r w:rsidRPr="00F83F45">
        <w:t xml:space="preserve">second applicant was interviewed as a witness and provided </w:t>
      </w:r>
      <w:r w:rsidRPr="00F83F45" w:rsidR="00FD1EF4">
        <w:t xml:space="preserve">the </w:t>
      </w:r>
      <w:r w:rsidRPr="00F83F45">
        <w:t xml:space="preserve">content of messaging applications on her mobile telephone to </w:t>
      </w:r>
      <w:r w:rsidRPr="00F83F45" w:rsidR="00FD1EF4">
        <w:t xml:space="preserve">the </w:t>
      </w:r>
      <w:r w:rsidRPr="00F83F45">
        <w:t xml:space="preserve">SBU. She retained lawyers in that connection. </w:t>
      </w:r>
      <w:r w:rsidRPr="00F83F45" w:rsidR="00FD1EF4">
        <w:t xml:space="preserve">The </w:t>
      </w:r>
      <w:r w:rsidRPr="00F83F45">
        <w:t xml:space="preserve">SBU widely published information about </w:t>
      </w:r>
      <w:r w:rsidRPr="00F83F45" w:rsidR="00FD1EF4">
        <w:t xml:space="preserve">the </w:t>
      </w:r>
      <w:r w:rsidRPr="00F83F45">
        <w:t xml:space="preserve">discovery of </w:t>
      </w:r>
      <w:r w:rsidRPr="00F83F45" w:rsidR="00FD1EF4">
        <w:t xml:space="preserve">the </w:t>
      </w:r>
      <w:r w:rsidRPr="00F83F45">
        <w:t>alleged scheme in early July 2023.</w:t>
      </w:r>
    </w:p>
    <w:bookmarkStart w:name="facts_Tar_notification_suspicion" w:id="13"/>
    <w:p w:rsidRPr="00F83F45" w:rsidR="00F067E7" w:rsidP="00F83F45" w14:paraId="09800477" w14:textId="255D747B">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31</w:t>
      </w:r>
      <w:r w:rsidRPr="00F83F45">
        <w:fldChar w:fldCharType="end"/>
      </w:r>
      <w:bookmarkEnd w:id="13"/>
      <w:r w:rsidRPr="00F83F45">
        <w:t xml:space="preserve">.  On 14 September 2023 </w:t>
      </w:r>
      <w:r w:rsidRPr="00F83F45" w:rsidR="00FD1EF4">
        <w:t xml:space="preserve">the </w:t>
      </w:r>
      <w:r w:rsidRPr="00F83F45">
        <w:t xml:space="preserve">second applicant was served a formal notification of suspicion under Article 111-2 of </w:t>
      </w:r>
      <w:r w:rsidRPr="00F83F45" w:rsidR="00FD1EF4">
        <w:t xml:space="preserve">the </w:t>
      </w:r>
      <w:r w:rsidRPr="00F83F45">
        <w:t xml:space="preserve">Criminal Code and on </w:t>
      </w:r>
      <w:r w:rsidRPr="00F83F45" w:rsidR="00FD1EF4">
        <w:t xml:space="preserve">the </w:t>
      </w:r>
      <w:r w:rsidRPr="00F83F45">
        <w:t xml:space="preserve">same day was questioned about </w:t>
      </w:r>
      <w:r w:rsidRPr="00F83F45" w:rsidR="00FD1EF4">
        <w:t xml:space="preserve">the </w:t>
      </w:r>
      <w:r w:rsidRPr="00F83F45">
        <w:t xml:space="preserve">charges. According to </w:t>
      </w:r>
      <w:r w:rsidRPr="00F83F45" w:rsidR="00FD1EF4">
        <w:t xml:space="preserve">the </w:t>
      </w:r>
      <w:r w:rsidRPr="00F83F45">
        <w:t>charges, she</w:t>
      </w:r>
      <w:r w:rsidRPr="00F83F45" w:rsidR="00FD1EF4">
        <w:t xml:space="preserve"> </w:t>
      </w:r>
      <w:r w:rsidRPr="00F83F45">
        <w:t xml:space="preserve">acted in conspiracy with </w:t>
      </w:r>
      <w:r w:rsidRPr="00F83F45" w:rsidR="00FD1EF4">
        <w:t xml:space="preserve">the </w:t>
      </w:r>
      <w:r w:rsidRPr="00F83F45">
        <w:t>N. company</w:t>
      </w:r>
      <w:r w:rsidRPr="00F83F45" w:rsidR="00F83F45">
        <w:t>’</w:t>
      </w:r>
      <w:r w:rsidRPr="00F83F45">
        <w:t xml:space="preserve">s management to implement </w:t>
      </w:r>
      <w:r w:rsidRPr="00F83F45" w:rsidR="00FD1EF4">
        <w:t xml:space="preserve">the </w:t>
      </w:r>
      <w:r w:rsidRPr="00F83F45">
        <w:t xml:space="preserve">above-mentioned scheme and thus “transmitted material resources to </w:t>
      </w:r>
      <w:r w:rsidRPr="00F83F45" w:rsidR="00FD1EF4">
        <w:t xml:space="preserve">the </w:t>
      </w:r>
      <w:r w:rsidRPr="00F83F45">
        <w:t xml:space="preserve">aggressor State with </w:t>
      </w:r>
      <w:r w:rsidRPr="00F83F45" w:rsidR="00FD1EF4">
        <w:t xml:space="preserve">the </w:t>
      </w:r>
      <w:r w:rsidRPr="00F83F45">
        <w:t xml:space="preserve">aim of assisting </w:t>
      </w:r>
      <w:r w:rsidRPr="00F83F45" w:rsidR="00FD1EF4">
        <w:t xml:space="preserve">the </w:t>
      </w:r>
      <w:r w:rsidRPr="00F83F45">
        <w:t xml:space="preserve">aggressor State”. </w:t>
      </w:r>
      <w:r w:rsidRPr="00F83F45" w:rsidR="00FD1EF4">
        <w:t xml:space="preserve">The </w:t>
      </w:r>
      <w:r w:rsidRPr="00F83F45">
        <w:t xml:space="preserve">notification of suspicion contained references to various international and domestic-law instruments, including </w:t>
      </w:r>
      <w:r w:rsidRPr="00F83F45" w:rsidR="00FD1EF4">
        <w:t xml:space="preserve">the </w:t>
      </w:r>
      <w:r w:rsidRPr="00F83F45">
        <w:t xml:space="preserve">UN Charter and </w:t>
      </w:r>
      <w:r w:rsidRPr="00F83F45" w:rsidR="00FD1EF4">
        <w:t xml:space="preserve">the </w:t>
      </w:r>
      <w:r w:rsidRPr="00F83F45">
        <w:t>Cabinet of Ministers</w:t>
      </w:r>
      <w:r w:rsidRPr="00F83F45" w:rsidR="00F83F45">
        <w:t>’</w:t>
      </w:r>
      <w:r w:rsidRPr="00F83F45">
        <w:t xml:space="preserve"> resolutions prohibiting transactions with Russia (see</w:t>
      </w:r>
      <w:r w:rsidRPr="00F83F45" w:rsidR="00FD1EF4">
        <w:t xml:space="preserve"> </w:t>
      </w:r>
      <w:r w:rsidRPr="00F83F45">
        <w:t>paragraph</w:t>
      </w:r>
      <w:r w:rsidRPr="00F83F45" w:rsidR="0009099A">
        <w:t> </w:t>
      </w:r>
      <w:r w:rsidRPr="00F83F45">
        <w:fldChar w:fldCharType="begin"/>
      </w:r>
      <w:r w:rsidRPr="00F83F45">
        <w:instrText xml:space="preserve"> REF facts_Tar_CMU_resolutions \h </w:instrText>
      </w:r>
      <w:r w:rsidRPr="00F83F45">
        <w:fldChar w:fldCharType="separate"/>
      </w:r>
      <w:r w:rsidRPr="00F83F45" w:rsidR="00F83F45">
        <w:rPr>
          <w:noProof/>
        </w:rPr>
        <w:t>26</w:t>
      </w:r>
      <w:r w:rsidRPr="00F83F45">
        <w:fldChar w:fldCharType="end"/>
      </w:r>
      <w:r w:rsidRPr="00F83F45" w:rsidR="00F32230">
        <w:t> </w:t>
      </w:r>
      <w:r w:rsidRPr="00F83F45">
        <w:t>above).</w:t>
      </w:r>
    </w:p>
    <w:p w:rsidRPr="00F83F45" w:rsidR="00F067E7" w:rsidP="00F83F45" w14:paraId="0F37FB10" w14:textId="081C08AF">
      <w:pPr>
        <w:pStyle w:val="JuPara"/>
      </w:pPr>
      <w:r>
        <w:fldChar w:fldCharType="begin"/>
      </w:r>
      <w:r>
        <w:instrText xml:space="preserve"> SEQ level0 \*arabic \* MERGEFORMAT </w:instrText>
      </w:r>
      <w:r>
        <w:fldChar w:fldCharType="separate"/>
      </w:r>
      <w:r w:rsidRPr="00F83F45">
        <w:rPr>
          <w:noProof/>
        </w:rPr>
        <w:t>32</w:t>
      </w:r>
      <w:r w:rsidRPr="00F83F45">
        <w:rPr>
          <w:noProof/>
        </w:rPr>
        <w:fldChar w:fldCharType="end"/>
      </w:r>
      <w:r w:rsidRPr="00F83F45">
        <w:t xml:space="preserve">.  On </w:t>
      </w:r>
      <w:r w:rsidRPr="00F83F45" w:rsidR="00FD1EF4">
        <w:t xml:space="preserve">the </w:t>
      </w:r>
      <w:r w:rsidRPr="00F83F45">
        <w:t xml:space="preserve">same day </w:t>
      </w:r>
      <w:r w:rsidRPr="00F83F45" w:rsidR="00FD1EF4">
        <w:t xml:space="preserve">the </w:t>
      </w:r>
      <w:r w:rsidRPr="00F83F45">
        <w:t xml:space="preserve">SBU investigator applied to have </w:t>
      </w:r>
      <w:r w:rsidRPr="00F83F45" w:rsidR="00FD1EF4">
        <w:t xml:space="preserve">the </w:t>
      </w:r>
      <w:r w:rsidRPr="00F83F45">
        <w:t xml:space="preserve">second applicant remanded in custody. He argued that there was a risk that </w:t>
      </w:r>
      <w:r w:rsidRPr="00F83F45" w:rsidR="00FD1EF4">
        <w:t xml:space="preserve">the </w:t>
      </w:r>
      <w:r w:rsidRPr="00F83F45">
        <w:t xml:space="preserve">second applicant would abscond. She had connections with people living abroad, including in Russia, and had sufficient financial resources, all of which could facilitate her flight. That meant that </w:t>
      </w:r>
      <w:r w:rsidRPr="00F83F45" w:rsidR="00FD1EF4">
        <w:t xml:space="preserve">the </w:t>
      </w:r>
      <w:r w:rsidRPr="00F83F45">
        <w:t xml:space="preserve">second applicant could abscond to Russia from where she could continue her subversive activities against Ukraine. </w:t>
      </w:r>
      <w:r w:rsidRPr="00F83F45" w:rsidR="00FD1EF4">
        <w:t xml:space="preserve">The </w:t>
      </w:r>
      <w:r w:rsidRPr="00F83F45">
        <w:t xml:space="preserve">second applicant could also destroy or corrupt information stored on WhatsApp. In addition, evidence could be stored on other electronic equipment that had not yet been identified and it could be destroyed. </w:t>
      </w:r>
      <w:r w:rsidRPr="00F83F45" w:rsidR="00FD1EF4">
        <w:t xml:space="preserve">The </w:t>
      </w:r>
      <w:r w:rsidRPr="00F83F45">
        <w:t xml:space="preserve">second applicant could influence employees of </w:t>
      </w:r>
      <w:r w:rsidRPr="00F83F45" w:rsidR="00FD1EF4">
        <w:t xml:space="preserve">the </w:t>
      </w:r>
      <w:r w:rsidRPr="00F83F45">
        <w:t>N. company, as well as unidentified witnesses and co-conspirators.</w:t>
      </w:r>
    </w:p>
    <w:p w:rsidRPr="00F83F45" w:rsidR="00F067E7" w:rsidP="00F83F45" w14:paraId="71A74045" w14:textId="31AF779F">
      <w:pPr>
        <w:pStyle w:val="JuPara"/>
      </w:pPr>
      <w:r>
        <w:fldChar w:fldCharType="begin"/>
      </w:r>
      <w:r>
        <w:instrText xml:space="preserve"> SEQ level0 \*arabic \* MERGEFORMAT </w:instrText>
      </w:r>
      <w:r>
        <w:fldChar w:fldCharType="separate"/>
      </w:r>
      <w:r w:rsidRPr="00F83F45">
        <w:rPr>
          <w:noProof/>
        </w:rPr>
        <w:t>33</w:t>
      </w:r>
      <w:r w:rsidRPr="00F83F45">
        <w:rPr>
          <w:noProof/>
        </w:rPr>
        <w:fldChar w:fldCharType="end"/>
      </w:r>
      <w:r w:rsidRPr="00F83F45">
        <w:t>.  </w:t>
      </w:r>
      <w:r w:rsidRPr="00F83F45" w:rsidR="00FD1EF4">
        <w:t xml:space="preserve">The </w:t>
      </w:r>
      <w:r w:rsidRPr="00F83F45">
        <w:t xml:space="preserve">second applicant opposed </w:t>
      </w:r>
      <w:r w:rsidRPr="00F83F45" w:rsidR="00FD1EF4">
        <w:t xml:space="preserve">the </w:t>
      </w:r>
      <w:r w:rsidRPr="00F83F45">
        <w:t xml:space="preserve">imposition and, subsequently, </w:t>
      </w:r>
      <w:r w:rsidRPr="00F83F45" w:rsidR="00FD1EF4">
        <w:t xml:space="preserve">the </w:t>
      </w:r>
      <w:r w:rsidRPr="00F83F45">
        <w:t xml:space="preserve">extension of detention. She pointed out that there was no evidence that she had intended to help Russia or to harm Ukraine, which were constituent elements of </w:t>
      </w:r>
      <w:r w:rsidRPr="00F83F45" w:rsidR="00FD1EF4">
        <w:t xml:space="preserve">the </w:t>
      </w:r>
      <w:r w:rsidRPr="00F83F45">
        <w:t xml:space="preserve">offence of “aiding </w:t>
      </w:r>
      <w:r w:rsidRPr="00F83F45" w:rsidR="00FD1EF4">
        <w:t xml:space="preserve">the </w:t>
      </w:r>
      <w:r w:rsidRPr="00F83F45">
        <w:t xml:space="preserve">aggressor State” under Article 111-2 of </w:t>
      </w:r>
      <w:r w:rsidRPr="00F83F45" w:rsidR="00FD1EF4">
        <w:t xml:space="preserve">the </w:t>
      </w:r>
      <w:r w:rsidRPr="00F83F45">
        <w:t xml:space="preserve">Criminal Code. There was no proof of </w:t>
      </w:r>
      <w:r w:rsidRPr="00F83F45" w:rsidR="00FD1EF4">
        <w:t xml:space="preserve">the </w:t>
      </w:r>
      <w:r w:rsidRPr="00F83F45">
        <w:t xml:space="preserve">alleged risks. </w:t>
      </w:r>
      <w:r w:rsidRPr="00F83F45" w:rsidR="00FD1EF4">
        <w:t xml:space="preserve">The </w:t>
      </w:r>
      <w:r w:rsidRPr="00F83F45">
        <w:t xml:space="preserve">second applicant had strong social connections, was married and was raising two minor children (4 and 12 years old). There was no risk of absconding. </w:t>
      </w:r>
      <w:r w:rsidRPr="00F83F45" w:rsidR="00FD1EF4">
        <w:t xml:space="preserve">The </w:t>
      </w:r>
      <w:r w:rsidRPr="00F83F45">
        <w:t xml:space="preserve">applicant had been fully aware of being a target of </w:t>
      </w:r>
      <w:r w:rsidRPr="00F83F45" w:rsidR="00FD1EF4">
        <w:t xml:space="preserve">the </w:t>
      </w:r>
      <w:r w:rsidRPr="00F83F45">
        <w:t xml:space="preserve">investigation since late June 2023 and had cooperated with </w:t>
      </w:r>
      <w:r w:rsidRPr="00F83F45" w:rsidR="00FD1EF4">
        <w:t xml:space="preserve">the </w:t>
      </w:r>
      <w:r w:rsidRPr="00F83F45">
        <w:t xml:space="preserve">investigation and not absconded. As to </w:t>
      </w:r>
      <w:r w:rsidRPr="00F83F45" w:rsidR="00FD1EF4">
        <w:t xml:space="preserve">the </w:t>
      </w:r>
      <w:r w:rsidRPr="00F83F45">
        <w:t xml:space="preserve">risk of absconding to Russia, all border crossings with it were closed. </w:t>
      </w:r>
      <w:r w:rsidRPr="00F83F45" w:rsidR="00FD1EF4">
        <w:t xml:space="preserve">The </w:t>
      </w:r>
      <w:r w:rsidRPr="00F83F45">
        <w:t xml:space="preserve">absence of </w:t>
      </w:r>
      <w:r w:rsidRPr="00F83F45" w:rsidR="00FD1EF4">
        <w:t xml:space="preserve">the </w:t>
      </w:r>
      <w:r w:rsidRPr="00F83F45">
        <w:t xml:space="preserve">risk of destroying evidence was evidenced by </w:t>
      </w:r>
      <w:r w:rsidRPr="00F83F45" w:rsidR="00FD1EF4">
        <w:t xml:space="preserve">the </w:t>
      </w:r>
      <w:r w:rsidRPr="00F83F45">
        <w:t xml:space="preserve">fact that </w:t>
      </w:r>
      <w:r w:rsidRPr="00F83F45" w:rsidR="00FD1EF4">
        <w:t xml:space="preserve">the </w:t>
      </w:r>
      <w:r w:rsidRPr="00F83F45">
        <w:t xml:space="preserve">second applicant had voluntarily shared </w:t>
      </w:r>
      <w:r w:rsidRPr="00F83F45" w:rsidR="00FD1EF4">
        <w:t xml:space="preserve">the </w:t>
      </w:r>
      <w:r w:rsidRPr="00F83F45">
        <w:t xml:space="preserve">content of her telephone, including messaging applications, with </w:t>
      </w:r>
      <w:r w:rsidRPr="00F83F45" w:rsidR="00FD1EF4">
        <w:t xml:space="preserve">the </w:t>
      </w:r>
      <w:r w:rsidRPr="00F83F45">
        <w:t xml:space="preserve">SBU. Two other suspects in </w:t>
      </w:r>
      <w:r w:rsidRPr="00F83F45" w:rsidR="00FD1EF4">
        <w:t xml:space="preserve">the </w:t>
      </w:r>
      <w:r w:rsidRPr="00F83F45">
        <w:t xml:space="preserve">case, </w:t>
      </w:r>
      <w:r w:rsidRPr="00F83F45" w:rsidR="00FD1EF4">
        <w:t xml:space="preserve">the </w:t>
      </w:r>
      <w:r w:rsidRPr="00F83F45">
        <w:t>N. company</w:t>
      </w:r>
      <w:r w:rsidRPr="00F83F45">
        <w:t>’</w:t>
      </w:r>
      <w:r w:rsidRPr="00F83F45">
        <w:t xml:space="preserve">s managers, had been charged more than two months earlier, in late June, and there was no evidence that </w:t>
      </w:r>
      <w:r w:rsidRPr="00F83F45" w:rsidR="00FD1EF4">
        <w:t xml:space="preserve">the </w:t>
      </w:r>
      <w:r w:rsidRPr="00F83F45">
        <w:t xml:space="preserve">second applicant had influenced them. There was no risk of reoffending since </w:t>
      </w:r>
      <w:r w:rsidRPr="00F83F45" w:rsidR="00FD1EF4">
        <w:t xml:space="preserve">the </w:t>
      </w:r>
      <w:r w:rsidRPr="00F83F45">
        <w:t xml:space="preserve">applicant was not part of </w:t>
      </w:r>
      <w:r w:rsidRPr="00F83F45" w:rsidR="00FD1EF4">
        <w:t xml:space="preserve">the </w:t>
      </w:r>
      <w:r w:rsidRPr="00F83F45">
        <w:t>N. company</w:t>
      </w:r>
      <w:r w:rsidRPr="00F83F45">
        <w:t>’</w:t>
      </w:r>
      <w:r w:rsidRPr="00F83F45">
        <w:t>s management and as such could not direct any shipments of goods.</w:t>
      </w:r>
    </w:p>
    <w:bookmarkStart w:name="facts_Ta_district_ct" w:id="14"/>
    <w:p w:rsidRPr="00F83F45" w:rsidR="00F067E7" w:rsidP="00F83F45" w14:paraId="38597E65" w14:textId="3E0C6168">
      <w:pPr>
        <w:pStyle w:val="JuPara"/>
      </w:pPr>
      <w:r w:rsidRPr="00F83F45">
        <w:fldChar w:fldCharType="begin"/>
      </w:r>
      <w:r w:rsidRPr="00F83F45">
        <w:instrText xml:space="preserve"> SEQ level0 \*arabic \* MERGEFORMAT </w:instrText>
      </w:r>
      <w:r w:rsidRPr="00F83F45">
        <w:fldChar w:fldCharType="separate"/>
      </w:r>
      <w:bookmarkStart w:name="paragraph00034" w:id="15"/>
      <w:r w:rsidRPr="00F83F45" w:rsidR="00F83F45">
        <w:rPr>
          <w:noProof/>
        </w:rPr>
        <w:t>34</w:t>
      </w:r>
      <w:bookmarkEnd w:id="15"/>
      <w:r w:rsidRPr="00F83F45">
        <w:fldChar w:fldCharType="end"/>
      </w:r>
      <w:bookmarkEnd w:id="14"/>
      <w:r w:rsidRPr="00F83F45">
        <w:t xml:space="preserve">.  On 20 September 2023 </w:t>
      </w:r>
      <w:r w:rsidRPr="00F83F45" w:rsidR="00FD1EF4">
        <w:t xml:space="preserve">the </w:t>
      </w:r>
      <w:r w:rsidRPr="00F83F45">
        <w:t xml:space="preserve">Shevchenkivskyi District Court of Kyiv ordered </w:t>
      </w:r>
      <w:r w:rsidRPr="00F83F45" w:rsidR="00FD1EF4">
        <w:t xml:space="preserve">the </w:t>
      </w:r>
      <w:r w:rsidRPr="00F83F45">
        <w:t>second applicant</w:t>
      </w:r>
      <w:r w:rsidRPr="00F83F45" w:rsidR="00F83F45">
        <w:t>’</w:t>
      </w:r>
      <w:r w:rsidRPr="00F83F45">
        <w:t xml:space="preserve">s pre-trial detention. </w:t>
      </w:r>
      <w:r w:rsidRPr="00F83F45" w:rsidR="00FD1EF4">
        <w:t xml:space="preserve">The </w:t>
      </w:r>
      <w:r w:rsidRPr="00F83F45">
        <w:t xml:space="preserve">applicant was taken into custody in </w:t>
      </w:r>
      <w:r w:rsidRPr="00F83F45" w:rsidR="00FD1EF4">
        <w:t xml:space="preserve">the </w:t>
      </w:r>
      <w:r w:rsidRPr="00F83F45">
        <w:t>courtroom.</w:t>
      </w:r>
    </w:p>
    <w:p w:rsidRPr="00F83F45" w:rsidR="00F067E7" w:rsidP="00F83F45" w14:paraId="5C52AEBF" w14:textId="7F3146C2">
      <w:pPr>
        <w:pStyle w:val="JuPara"/>
      </w:pPr>
      <w:r w:rsidRPr="00F83F45">
        <w:t xml:space="preserve">Responding to </w:t>
      </w:r>
      <w:r w:rsidRPr="00F83F45" w:rsidR="00FD1EF4">
        <w:t xml:space="preserve">the </w:t>
      </w:r>
      <w:r w:rsidRPr="00F83F45">
        <w:t>applicant</w:t>
      </w:r>
      <w:r w:rsidRPr="00F83F45" w:rsidR="00F83F45">
        <w:t>’</w:t>
      </w:r>
      <w:r w:rsidRPr="00F83F45">
        <w:t xml:space="preserve">s objection as to </w:t>
      </w:r>
      <w:r w:rsidRPr="00F83F45" w:rsidR="00FD1EF4">
        <w:t xml:space="preserve">the </w:t>
      </w:r>
      <w:r w:rsidRPr="00F83F45">
        <w:t xml:space="preserve">absence of a reasonable suspicion, </w:t>
      </w:r>
      <w:r w:rsidRPr="00F83F45" w:rsidR="00FD1EF4">
        <w:t xml:space="preserve">the </w:t>
      </w:r>
      <w:r w:rsidRPr="00F83F45">
        <w:t xml:space="preserve">court referred to </w:t>
      </w:r>
      <w:bookmarkStart w:name="_cl32440THEFACTS" w:id="16"/>
      <w:r w:rsidRPr="00F83F45">
        <w:rPr>
          <w:i/>
          <w:iCs/>
        </w:rPr>
        <w:t xml:space="preserve">Murray v. </w:t>
      </w:r>
      <w:r w:rsidRPr="00F83F45" w:rsidR="00FD1EF4">
        <w:rPr>
          <w:i/>
          <w:iCs/>
        </w:rPr>
        <w:t xml:space="preserve">the </w:t>
      </w:r>
      <w:r w:rsidRPr="00F83F45">
        <w:rPr>
          <w:i/>
          <w:iCs/>
        </w:rPr>
        <w:t>United Kingdom</w:t>
      </w:r>
      <w:bookmarkEnd w:id="16"/>
      <w:r w:rsidRPr="00F83F45">
        <w:t xml:space="preserve"> (28 October 1994, § 55, Series A no. 300-A) and </w:t>
      </w:r>
      <w:bookmarkStart w:name="_cl31788THEFACTS" w:id="17"/>
      <w:r w:rsidRPr="00F83F45">
        <w:rPr>
          <w:i/>
          <w:iCs/>
        </w:rPr>
        <w:t>Merabishvili v. Georgia</w:t>
      </w:r>
      <w:bookmarkEnd w:id="17"/>
      <w:r w:rsidRPr="00F83F45">
        <w:t xml:space="preserve"> ([GC], no. 72508/13, § 184, 28 November 2017), stating that facts which raised a</w:t>
      </w:r>
      <w:r w:rsidRPr="00F83F45" w:rsidR="00FD1EF4">
        <w:t xml:space="preserve"> </w:t>
      </w:r>
      <w:r w:rsidRPr="00F83F45">
        <w:t xml:space="preserve">suspicion did not need to be of </w:t>
      </w:r>
      <w:r w:rsidRPr="00F83F45" w:rsidR="00FD1EF4">
        <w:t xml:space="preserve">the </w:t>
      </w:r>
      <w:r w:rsidRPr="00F83F45">
        <w:t xml:space="preserve">same level as those necessary to justify a conviction or even </w:t>
      </w:r>
      <w:r w:rsidRPr="00F83F45" w:rsidR="00FD1EF4">
        <w:t xml:space="preserve">the </w:t>
      </w:r>
      <w:r w:rsidRPr="00F83F45">
        <w:t xml:space="preserve">bringing of a charge, which came at </w:t>
      </w:r>
      <w:r w:rsidRPr="00F83F45" w:rsidR="00FD1EF4">
        <w:t xml:space="preserve">the </w:t>
      </w:r>
      <w:r w:rsidRPr="00F83F45">
        <w:t xml:space="preserve">next stage of </w:t>
      </w:r>
      <w:r w:rsidRPr="00F83F45" w:rsidR="00FD1EF4">
        <w:t xml:space="preserve">the </w:t>
      </w:r>
      <w:r w:rsidRPr="00F83F45">
        <w:t xml:space="preserve">criminal investigation. </w:t>
      </w:r>
      <w:r w:rsidRPr="00F83F45" w:rsidR="00FD1EF4">
        <w:t xml:space="preserve">The </w:t>
      </w:r>
      <w:r w:rsidRPr="00F83F45">
        <w:t xml:space="preserve">court considered that </w:t>
      </w:r>
      <w:r w:rsidRPr="00F83F45" w:rsidR="00FD1EF4">
        <w:t xml:space="preserve">the </w:t>
      </w:r>
      <w:r w:rsidRPr="00F83F45">
        <w:t xml:space="preserve">evidence available was sufficient to support a reasonable suspicion. It was not </w:t>
      </w:r>
      <w:r w:rsidRPr="00F83F45" w:rsidR="00FD1EF4">
        <w:t xml:space="preserve">the </w:t>
      </w:r>
      <w:r w:rsidRPr="00F83F45">
        <w:t>court</w:t>
      </w:r>
      <w:r w:rsidRPr="00F83F45" w:rsidR="00F83F45">
        <w:t>’</w:t>
      </w:r>
      <w:r w:rsidRPr="00F83F45">
        <w:t xml:space="preserve">s task at that stage to assess </w:t>
      </w:r>
      <w:r w:rsidRPr="00F83F45" w:rsidR="00FD1EF4">
        <w:t xml:space="preserve">the </w:t>
      </w:r>
      <w:r w:rsidRPr="00F83F45">
        <w:t>specific legal categorisation of charges.</w:t>
      </w:r>
    </w:p>
    <w:p w:rsidRPr="00F83F45" w:rsidR="00F067E7" w:rsidP="00F83F45" w14:paraId="6B06CF38" w14:textId="0345CF3D">
      <w:pPr>
        <w:pStyle w:val="JuPara"/>
      </w:pPr>
      <w:r w:rsidRPr="00F83F45">
        <w:t xml:space="preserve">The </w:t>
      </w:r>
      <w:r w:rsidRPr="00F83F45">
        <w:t xml:space="preserve">court stated that </w:t>
      </w:r>
      <w:r w:rsidRPr="00F83F45">
        <w:t xml:space="preserve">the </w:t>
      </w:r>
      <w:r w:rsidRPr="00F83F45">
        <w:t xml:space="preserve">potential punishment faced was in itself </w:t>
      </w:r>
      <w:r w:rsidRPr="00F83F45">
        <w:t xml:space="preserve">the </w:t>
      </w:r>
      <w:r w:rsidRPr="00F83F45">
        <w:t xml:space="preserve">reason why </w:t>
      </w:r>
      <w:r w:rsidRPr="00F83F45">
        <w:t xml:space="preserve">the </w:t>
      </w:r>
      <w:r w:rsidRPr="00F83F45">
        <w:t xml:space="preserve">second applicant would possibly abscond. </w:t>
      </w:r>
      <w:r w:rsidRPr="00F83F45">
        <w:t xml:space="preserve">The </w:t>
      </w:r>
      <w:r w:rsidRPr="00F83F45">
        <w:t xml:space="preserve">fact that </w:t>
      </w:r>
      <w:r w:rsidRPr="00F83F45">
        <w:t xml:space="preserve">the </w:t>
      </w:r>
      <w:r w:rsidRPr="00F83F45">
        <w:t xml:space="preserve">second applicant had not absconded and had cooperated with </w:t>
      </w:r>
      <w:r w:rsidRPr="00F83F45">
        <w:t xml:space="preserve">the </w:t>
      </w:r>
      <w:r w:rsidRPr="00F83F45">
        <w:t xml:space="preserve">investigation since June 2023 was not decisive since at that time </w:t>
      </w:r>
      <w:r w:rsidRPr="00F83F45">
        <w:t xml:space="preserve">the </w:t>
      </w:r>
      <w:r w:rsidRPr="00F83F45">
        <w:t xml:space="preserve">applicant had not had </w:t>
      </w:r>
      <w:r w:rsidRPr="00F83F45">
        <w:t xml:space="preserve">the </w:t>
      </w:r>
      <w:r w:rsidRPr="00F83F45">
        <w:t xml:space="preserve">status of a suspect. Concerning </w:t>
      </w:r>
      <w:r w:rsidRPr="00F83F45">
        <w:t xml:space="preserve">the </w:t>
      </w:r>
      <w:r w:rsidRPr="00F83F45">
        <w:t xml:space="preserve">risk of influencing witnesses, that risk would exist until </w:t>
      </w:r>
      <w:r w:rsidRPr="00F83F45">
        <w:t xml:space="preserve">the </w:t>
      </w:r>
      <w:r w:rsidRPr="00F83F45">
        <w:t xml:space="preserve">witnesses were examined at </w:t>
      </w:r>
      <w:r w:rsidRPr="00F83F45">
        <w:t xml:space="preserve">the </w:t>
      </w:r>
      <w:r w:rsidRPr="00F83F45">
        <w:t xml:space="preserve">trial because </w:t>
      </w:r>
      <w:r w:rsidRPr="00F83F45">
        <w:t xml:space="preserve">the </w:t>
      </w:r>
      <w:r w:rsidRPr="00F83F45">
        <w:t xml:space="preserve">Code of Criminal Procedure required, as a rule, that witness statements be given as testimony during </w:t>
      </w:r>
      <w:r w:rsidRPr="00F83F45">
        <w:t xml:space="preserve">the </w:t>
      </w:r>
      <w:r w:rsidRPr="00F83F45">
        <w:t xml:space="preserve">trial and could not otherwise be admissible as evidence, with some limited exceptions (see paragraph </w:t>
      </w:r>
      <w:r w:rsidRPr="00F83F45">
        <w:fldChar w:fldCharType="begin"/>
      </w:r>
      <w:r w:rsidRPr="00F83F45">
        <w:instrText xml:space="preserve"> REF frame_CCP_wtnesses \h  \* MERGEFORMAT </w:instrText>
      </w:r>
      <w:r w:rsidRPr="00F83F45">
        <w:fldChar w:fldCharType="separate"/>
      </w:r>
      <w:r w:rsidRPr="00F83F45" w:rsidR="00F83F45">
        <w:t>42</w:t>
      </w:r>
      <w:r w:rsidRPr="00F83F45">
        <w:fldChar w:fldCharType="end"/>
      </w:r>
      <w:r w:rsidRPr="00F83F45">
        <w:t xml:space="preserve"> below). </w:t>
      </w:r>
      <w:r w:rsidRPr="00F83F45">
        <w:t xml:space="preserve">The </w:t>
      </w:r>
      <w:r w:rsidRPr="00F83F45">
        <w:t xml:space="preserve">court considered proven </w:t>
      </w:r>
      <w:r w:rsidRPr="00F83F45">
        <w:t xml:space="preserve">the </w:t>
      </w:r>
      <w:r w:rsidRPr="00F83F45">
        <w:t>risks of influencing witnesses and destroying evidence.</w:t>
      </w:r>
    </w:p>
    <w:p w:rsidRPr="00F83F45" w:rsidR="00F067E7" w:rsidP="00F83F45" w14:paraId="7F487E84" w14:textId="2E34BF15">
      <w:pPr>
        <w:pStyle w:val="JuPara"/>
      </w:pPr>
      <w:r w:rsidRPr="00F83F45">
        <w:t xml:space="preserve">The </w:t>
      </w:r>
      <w:r w:rsidRPr="00F83F45">
        <w:t xml:space="preserve">court considered that only pre-trial detention could prevent those risks. </w:t>
      </w:r>
      <w:r w:rsidRPr="00F83F45">
        <w:t xml:space="preserve">The </w:t>
      </w:r>
      <w:r w:rsidRPr="00F83F45">
        <w:t xml:space="preserve">court also observed that </w:t>
      </w:r>
      <w:r w:rsidRPr="00F83F45">
        <w:t xml:space="preserve">the </w:t>
      </w:r>
      <w:r w:rsidRPr="00F83F45">
        <w:t xml:space="preserve">second applicant was suspected of an </w:t>
      </w:r>
      <w:r w:rsidRPr="00F83F45">
        <w:t xml:space="preserve">offence against </w:t>
      </w:r>
      <w:r w:rsidRPr="00F83F45">
        <w:t xml:space="preserve">the </w:t>
      </w:r>
      <w:r w:rsidRPr="00F83F45">
        <w:t>foundations of national security committed during Russia</w:t>
      </w:r>
      <w:r w:rsidRPr="00F83F45" w:rsidR="00F83F45">
        <w:t>’</w:t>
      </w:r>
      <w:r w:rsidRPr="00F83F45">
        <w:t xml:space="preserve">s military aggression against Ukraine, which indicated that </w:t>
      </w:r>
      <w:r w:rsidRPr="00F83F45">
        <w:t xml:space="preserve">the </w:t>
      </w:r>
      <w:r w:rsidRPr="00F83F45">
        <w:t xml:space="preserve">offence was particularly dangerous. In such circumstances, having regard to </w:t>
      </w:r>
      <w:r w:rsidRPr="00F83F45">
        <w:t xml:space="preserve">the </w:t>
      </w:r>
      <w:r w:rsidRPr="00F83F45">
        <w:t>Exemptions to Mandatory Bail Clause, there were grounds not to set bail.</w:t>
      </w:r>
    </w:p>
    <w:p w:rsidRPr="00F83F45" w:rsidR="00F067E7" w:rsidP="00F83F45" w14:paraId="1B2A92CE" w14:textId="01EAEA5D">
      <w:pPr>
        <w:pStyle w:val="JuPara"/>
      </w:pPr>
      <w:r>
        <w:fldChar w:fldCharType="begin"/>
      </w:r>
      <w:r>
        <w:instrText xml:space="preserve"> SEQ level0 \*arabic \* MERGEFORMAT </w:instrText>
      </w:r>
      <w:r>
        <w:fldChar w:fldCharType="separate"/>
      </w:r>
      <w:r w:rsidRPr="00F83F45">
        <w:rPr>
          <w:noProof/>
        </w:rPr>
        <w:t>35</w:t>
      </w:r>
      <w:r w:rsidRPr="00F83F45">
        <w:rPr>
          <w:noProof/>
        </w:rPr>
        <w:fldChar w:fldCharType="end"/>
      </w:r>
      <w:r w:rsidRPr="00F83F45">
        <w:t xml:space="preserve">.  On 4 October 2023 </w:t>
      </w:r>
      <w:r w:rsidRPr="00F83F45" w:rsidR="00FD1EF4">
        <w:t xml:space="preserve">the </w:t>
      </w:r>
      <w:r w:rsidRPr="00F83F45">
        <w:t xml:space="preserve">Kyiv Court of Appeal upheld </w:t>
      </w:r>
      <w:r w:rsidRPr="00F83F45" w:rsidR="00FD1EF4">
        <w:t xml:space="preserve">the </w:t>
      </w:r>
      <w:r w:rsidRPr="00F83F45">
        <w:t xml:space="preserve">detention order. In addition to endorsing </w:t>
      </w:r>
      <w:r w:rsidRPr="00F83F45" w:rsidR="00FD1EF4">
        <w:t xml:space="preserve">the </w:t>
      </w:r>
      <w:r w:rsidRPr="00F83F45">
        <w:t>District Court</w:t>
      </w:r>
      <w:r w:rsidRPr="00F83F45">
        <w:t>’</w:t>
      </w:r>
      <w:r w:rsidRPr="00F83F45">
        <w:t xml:space="preserve">s assessment, </w:t>
      </w:r>
      <w:r w:rsidRPr="00F83F45" w:rsidR="00FD1EF4">
        <w:t xml:space="preserve">the </w:t>
      </w:r>
      <w:r w:rsidRPr="00F83F45">
        <w:t xml:space="preserve">Court of Appeal also stated that there was also </w:t>
      </w:r>
      <w:r w:rsidRPr="00F83F45" w:rsidR="00FD1EF4">
        <w:t xml:space="preserve">the </w:t>
      </w:r>
      <w:r w:rsidRPr="00F83F45">
        <w:t xml:space="preserve">risk of </w:t>
      </w:r>
      <w:r w:rsidRPr="00F83F45" w:rsidR="00FD1EF4">
        <w:t xml:space="preserve">the </w:t>
      </w:r>
      <w:r w:rsidRPr="00F83F45">
        <w:t xml:space="preserve">second applicant continuing </w:t>
      </w:r>
      <w:r w:rsidRPr="00F83F45" w:rsidR="00FD1EF4">
        <w:t xml:space="preserve">the </w:t>
      </w:r>
      <w:r w:rsidRPr="00F83F45">
        <w:t xml:space="preserve">offence of which she was accused. </w:t>
      </w:r>
      <w:r w:rsidRPr="00F83F45" w:rsidR="00FD1EF4">
        <w:t xml:space="preserve">The </w:t>
      </w:r>
      <w:r w:rsidRPr="00F83F45">
        <w:t xml:space="preserve">Court of Appeal stated that </w:t>
      </w:r>
      <w:r w:rsidRPr="00F83F45" w:rsidR="00FD1EF4">
        <w:t xml:space="preserve">the </w:t>
      </w:r>
      <w:r w:rsidRPr="00F83F45">
        <w:t>District Court</w:t>
      </w:r>
      <w:r w:rsidRPr="00F83F45">
        <w:t>’</w:t>
      </w:r>
      <w:r w:rsidRPr="00F83F45">
        <w:t xml:space="preserve">s decision to impose pre-trial detention was also correct having regard to </w:t>
      </w:r>
      <w:r w:rsidRPr="00F83F45" w:rsidR="00FD1EF4">
        <w:t xml:space="preserve">the </w:t>
      </w:r>
      <w:r w:rsidRPr="00F83F45">
        <w:t>Wartime Detention Clause.</w:t>
      </w:r>
    </w:p>
    <w:p w:rsidRPr="00F83F45" w:rsidR="00F067E7" w:rsidP="00F83F45" w14:paraId="4B4E9E42" w14:textId="4BC27FC6">
      <w:pPr>
        <w:pStyle w:val="JuPara"/>
      </w:pPr>
      <w:r>
        <w:fldChar w:fldCharType="begin"/>
      </w:r>
      <w:r>
        <w:instrText xml:space="preserve"> SEQ level0 \*arabic \* MERGEFORMAT </w:instrText>
      </w:r>
      <w:r>
        <w:fldChar w:fldCharType="separate"/>
      </w:r>
      <w:r w:rsidRPr="00F83F45">
        <w:rPr>
          <w:noProof/>
        </w:rPr>
        <w:t>36</w:t>
      </w:r>
      <w:r w:rsidRPr="00F83F45">
        <w:rPr>
          <w:noProof/>
        </w:rPr>
        <w:fldChar w:fldCharType="end"/>
      </w:r>
      <w:r w:rsidRPr="00F83F45">
        <w:t xml:space="preserve">.  On 15 November 2023 </w:t>
      </w:r>
      <w:r w:rsidRPr="00F83F45" w:rsidR="00FD1EF4">
        <w:t xml:space="preserve">the </w:t>
      </w:r>
      <w:r w:rsidRPr="00F83F45">
        <w:t xml:space="preserve">District Court rejected </w:t>
      </w:r>
      <w:r w:rsidRPr="00F83F45" w:rsidR="00FD1EF4">
        <w:t xml:space="preserve">the </w:t>
      </w:r>
      <w:r w:rsidRPr="00F83F45">
        <w:t>second applicant</w:t>
      </w:r>
      <w:r w:rsidRPr="00F83F45">
        <w:t>’</w:t>
      </w:r>
      <w:r w:rsidRPr="00F83F45">
        <w:t xml:space="preserve">s requests for release and allowed </w:t>
      </w:r>
      <w:r w:rsidRPr="00F83F45" w:rsidR="00FD1EF4">
        <w:t xml:space="preserve">the </w:t>
      </w:r>
      <w:r w:rsidRPr="00F83F45">
        <w:t>investigator</w:t>
      </w:r>
      <w:r w:rsidRPr="00F83F45">
        <w:t>’</w:t>
      </w:r>
      <w:r w:rsidRPr="00F83F45">
        <w:t>s applications to extend detention.</w:t>
      </w:r>
    </w:p>
    <w:p w:rsidRPr="00F83F45" w:rsidR="00F067E7" w:rsidP="00F83F45" w14:paraId="221A3760" w14:textId="4EA144F7">
      <w:pPr>
        <w:pStyle w:val="JuPara"/>
      </w:pPr>
      <w:r w:rsidRPr="00F83F45">
        <w:t xml:space="preserve">The </w:t>
      </w:r>
      <w:r w:rsidRPr="00F83F45">
        <w:t xml:space="preserve">court found that </w:t>
      </w:r>
      <w:r w:rsidRPr="00F83F45">
        <w:t xml:space="preserve">the </w:t>
      </w:r>
      <w:r w:rsidRPr="00F83F45">
        <w:t xml:space="preserve">investigation had not yet been completed and that, having regard to </w:t>
      </w:r>
      <w:r w:rsidRPr="00F83F45">
        <w:t xml:space="preserve">the </w:t>
      </w:r>
      <w:r w:rsidRPr="00F83F45">
        <w:t xml:space="preserve">punishment </w:t>
      </w:r>
      <w:r w:rsidRPr="00F83F45">
        <w:t xml:space="preserve">the </w:t>
      </w:r>
      <w:r w:rsidRPr="00F83F45">
        <w:t xml:space="preserve">second applicant faced, </w:t>
      </w:r>
      <w:r w:rsidRPr="00F83F45">
        <w:t xml:space="preserve">the </w:t>
      </w:r>
      <w:r w:rsidRPr="00F83F45">
        <w:t xml:space="preserve">dangerousness of </w:t>
      </w:r>
      <w:r w:rsidRPr="00F83F45">
        <w:t xml:space="preserve">the </w:t>
      </w:r>
      <w:r w:rsidRPr="00F83F45">
        <w:t>offence of which she was reasonably suspected, her age, state of health and personal characteristics, there were indications that she could abscond, influence witnesses, destroy evidence and reoffend. Preventive measures other than detention could not prevent those risks.</w:t>
      </w:r>
    </w:p>
    <w:p w:rsidRPr="00F83F45" w:rsidR="00F067E7" w:rsidP="00F83F45" w14:paraId="62CB18D7" w14:textId="1DF8BD8F">
      <w:pPr>
        <w:pStyle w:val="JuPara"/>
      </w:pPr>
      <w:r w:rsidRPr="00F83F45">
        <w:t xml:space="preserve">The </w:t>
      </w:r>
      <w:r w:rsidRPr="00F83F45">
        <w:t xml:space="preserve">court reaffirmed that it was not its role to assess </w:t>
      </w:r>
      <w:r w:rsidRPr="00F83F45">
        <w:t xml:space="preserve">the </w:t>
      </w:r>
      <w:r w:rsidRPr="00F83F45">
        <w:t xml:space="preserve">question of guilt or innocence but only to examine, in assessing </w:t>
      </w:r>
      <w:r w:rsidRPr="00F83F45">
        <w:t xml:space="preserve">the </w:t>
      </w:r>
      <w:r w:rsidRPr="00F83F45">
        <w:t xml:space="preserve">existence of a reasonable suspicion, whether </w:t>
      </w:r>
      <w:r w:rsidRPr="00F83F45">
        <w:t xml:space="preserve">the </w:t>
      </w:r>
      <w:r w:rsidRPr="00F83F45">
        <w:t>person</w:t>
      </w:r>
      <w:r w:rsidRPr="00F83F45" w:rsidR="00F83F45">
        <w:t>’</w:t>
      </w:r>
      <w:r w:rsidRPr="00F83F45">
        <w:t xml:space="preserve">s involvement in a criminal offence was probable, so as to justify </w:t>
      </w:r>
      <w:r w:rsidRPr="00F83F45">
        <w:t xml:space="preserve">the </w:t>
      </w:r>
      <w:r w:rsidRPr="00F83F45">
        <w:t>imposition of a preventive measure.</w:t>
      </w:r>
    </w:p>
    <w:p w:rsidRPr="00F83F45" w:rsidR="00F067E7" w:rsidP="00F83F45" w14:paraId="2484EE70" w14:textId="39A861F5">
      <w:pPr>
        <w:pStyle w:val="JuPara"/>
      </w:pPr>
      <w:r>
        <w:fldChar w:fldCharType="begin"/>
      </w:r>
      <w:r>
        <w:instrText xml:space="preserve"> SEQ level0 \*arabic \* MERGEFORMAT </w:instrText>
      </w:r>
      <w:r>
        <w:fldChar w:fldCharType="separate"/>
      </w:r>
      <w:r w:rsidRPr="00F83F45">
        <w:rPr>
          <w:noProof/>
        </w:rPr>
        <w:t>37</w:t>
      </w:r>
      <w:r w:rsidRPr="00F83F45">
        <w:rPr>
          <w:noProof/>
        </w:rPr>
        <w:fldChar w:fldCharType="end"/>
      </w:r>
      <w:r w:rsidRPr="00F83F45">
        <w:t>.  </w:t>
      </w:r>
      <w:r w:rsidRPr="00F83F45" w:rsidR="00FD1EF4">
        <w:t xml:space="preserve">The </w:t>
      </w:r>
      <w:r w:rsidRPr="00F83F45">
        <w:t xml:space="preserve">District Court then extended </w:t>
      </w:r>
      <w:r w:rsidRPr="00F83F45" w:rsidR="00FD1EF4">
        <w:t xml:space="preserve">the </w:t>
      </w:r>
      <w:r w:rsidRPr="00F83F45">
        <w:t>applicant</w:t>
      </w:r>
      <w:r w:rsidRPr="00F83F45">
        <w:t>’</w:t>
      </w:r>
      <w:r w:rsidRPr="00F83F45">
        <w:t>s detention approximately every two months on similar grounds.</w:t>
      </w:r>
    </w:p>
    <w:p w:rsidRPr="00F83F45" w:rsidR="00F067E7" w:rsidP="00F83F45" w14:paraId="1ABBFB9B" w14:textId="4788955F">
      <w:pPr>
        <w:pStyle w:val="JuPara"/>
      </w:pPr>
      <w:r>
        <w:fldChar w:fldCharType="begin"/>
      </w:r>
      <w:r>
        <w:instrText xml:space="preserve"> SEQ level0 \*arabic \* MERGEFORMAT </w:instrText>
      </w:r>
      <w:r>
        <w:fldChar w:fldCharType="separate"/>
      </w:r>
      <w:r w:rsidRPr="00F83F45">
        <w:rPr>
          <w:noProof/>
        </w:rPr>
        <w:t>38</w:t>
      </w:r>
      <w:r w:rsidRPr="00F83F45">
        <w:rPr>
          <w:noProof/>
        </w:rPr>
        <w:fldChar w:fldCharType="end"/>
      </w:r>
      <w:r w:rsidRPr="00F83F45">
        <w:t>.  </w:t>
      </w:r>
      <w:r w:rsidRPr="00F83F45" w:rsidR="00FD1EF4">
        <w:t xml:space="preserve">The </w:t>
      </w:r>
      <w:r w:rsidRPr="00F83F45">
        <w:t xml:space="preserve">Court of Appeal upheld those decisions, largely endorsing and repeating </w:t>
      </w:r>
      <w:r w:rsidRPr="00F83F45" w:rsidR="00FD1EF4">
        <w:t xml:space="preserve">the </w:t>
      </w:r>
      <w:r w:rsidRPr="00F83F45">
        <w:t>lower court</w:t>
      </w:r>
      <w:r w:rsidRPr="00F83F45">
        <w:t>’</w:t>
      </w:r>
      <w:r w:rsidRPr="00F83F45">
        <w:t>s reasons.</w:t>
      </w:r>
    </w:p>
    <w:p w:rsidRPr="00F83F45" w:rsidR="00F067E7" w:rsidP="00F83F45" w14:paraId="38B036A3" w14:textId="2C951B7F">
      <w:pPr>
        <w:pStyle w:val="JuPara"/>
      </w:pPr>
      <w:r>
        <w:fldChar w:fldCharType="begin"/>
      </w:r>
      <w:r>
        <w:instrText xml:space="preserve"> SEQ level0 \*arabic \* MERGEFORMAT </w:instrText>
      </w:r>
      <w:r>
        <w:fldChar w:fldCharType="separate"/>
      </w:r>
      <w:r w:rsidRPr="00F83F45">
        <w:rPr>
          <w:noProof/>
        </w:rPr>
        <w:t>39</w:t>
      </w:r>
      <w:r w:rsidRPr="00F83F45">
        <w:rPr>
          <w:noProof/>
        </w:rPr>
        <w:fldChar w:fldCharType="end"/>
      </w:r>
      <w:r w:rsidRPr="00F83F45">
        <w:t xml:space="preserve">.  In some decisions extending detention and upholding those orders </w:t>
      </w:r>
      <w:r w:rsidRPr="00F83F45" w:rsidR="00FD1EF4">
        <w:t xml:space="preserve">the </w:t>
      </w:r>
      <w:r w:rsidRPr="00F83F45">
        <w:t xml:space="preserve">courts referred to </w:t>
      </w:r>
      <w:r w:rsidRPr="00F83F45" w:rsidR="00FD1EF4">
        <w:t xml:space="preserve">the </w:t>
      </w:r>
      <w:r w:rsidRPr="00F83F45">
        <w:t xml:space="preserve">Wartime Detention Clause and </w:t>
      </w:r>
      <w:r w:rsidRPr="00F83F45" w:rsidR="00FD1EF4">
        <w:t xml:space="preserve">the </w:t>
      </w:r>
      <w:r w:rsidRPr="00F83F45">
        <w:t>Exceptions to Mandatory Bail Clause.</w:t>
      </w:r>
    </w:p>
    <w:p w:rsidRPr="00F83F45" w:rsidR="00F067E7" w:rsidP="00F83F45" w14:paraId="5B2CD013" w14:textId="1AE56238">
      <w:pPr>
        <w:pStyle w:val="JuPara"/>
      </w:pPr>
      <w:r>
        <w:fldChar w:fldCharType="begin"/>
      </w:r>
      <w:r>
        <w:instrText xml:space="preserve"> SEQ level0 \*arabic \* MERGEFORMAT </w:instrText>
      </w:r>
      <w:r>
        <w:fldChar w:fldCharType="separate"/>
      </w:r>
      <w:r w:rsidRPr="00F83F45">
        <w:rPr>
          <w:noProof/>
        </w:rPr>
        <w:t>40</w:t>
      </w:r>
      <w:r w:rsidRPr="00F83F45">
        <w:rPr>
          <w:noProof/>
        </w:rPr>
        <w:fldChar w:fldCharType="end"/>
      </w:r>
      <w:r w:rsidRPr="00F83F45">
        <w:t xml:space="preserve">.  On 25 June 2024 </w:t>
      </w:r>
      <w:r w:rsidRPr="00F83F45" w:rsidR="00FD1EF4">
        <w:t xml:space="preserve">the </w:t>
      </w:r>
      <w:r w:rsidRPr="00F83F45">
        <w:t xml:space="preserve">District Court set bail for </w:t>
      </w:r>
      <w:r w:rsidRPr="00F83F45" w:rsidR="00FD1EF4">
        <w:t xml:space="preserve">the </w:t>
      </w:r>
      <w:r w:rsidRPr="00F83F45">
        <w:t xml:space="preserve">applicant. It was paid and </w:t>
      </w:r>
      <w:r w:rsidRPr="00F83F45" w:rsidR="00FD1EF4">
        <w:t xml:space="preserve">the </w:t>
      </w:r>
      <w:r w:rsidRPr="00F83F45">
        <w:t xml:space="preserve">applicant was released on </w:t>
      </w:r>
      <w:r w:rsidRPr="00F83F45" w:rsidR="00FD1EF4">
        <w:t xml:space="preserve">the </w:t>
      </w:r>
      <w:r w:rsidRPr="00F83F45">
        <w:t>same day.</w:t>
      </w:r>
    </w:p>
    <w:p w:rsidRPr="00F83F45" w:rsidR="00F067E7" w:rsidP="00F83F45" w14:paraId="61373FF8" w14:textId="77777777">
      <w:pPr>
        <w:pStyle w:val="JuHHead"/>
        <w:numPr>
          <w:ilvl w:val="0"/>
          <w:numId w:val="9"/>
        </w:numPr>
      </w:pPr>
      <w:r w:rsidRPr="00F83F45">
        <w:t>RELEVANT LEGAL FRAMEWORK AND PRACTICE</w:t>
      </w:r>
    </w:p>
    <w:p w:rsidRPr="00F83F45" w:rsidR="00F067E7" w:rsidP="00F83F45" w14:paraId="1F9DE97C" w14:textId="77777777">
      <w:pPr>
        <w:pStyle w:val="JuHIRoman"/>
        <w:rPr>
          <w:bCs w:val="0"/>
          <w:caps w:val="0"/>
        </w:rPr>
      </w:pPr>
      <w:r w:rsidRPr="00F83F45">
        <w:t>Relevant</w:t>
      </w:r>
      <w:r w:rsidRPr="00F83F45">
        <w:rPr>
          <w:bCs w:val="0"/>
          <w:caps w:val="0"/>
        </w:rPr>
        <w:t xml:space="preserve"> </w:t>
      </w:r>
      <w:r w:rsidRPr="00F83F45">
        <w:t>domestic</w:t>
      </w:r>
      <w:r w:rsidRPr="00F83F45">
        <w:rPr>
          <w:bCs w:val="0"/>
          <w:caps w:val="0"/>
        </w:rPr>
        <w:t xml:space="preserve"> </w:t>
      </w:r>
      <w:r w:rsidRPr="00F83F45">
        <w:t>law</w:t>
      </w:r>
    </w:p>
    <w:bookmarkStart w:name="frame_CC_classification_of_offences" w:id="18"/>
    <w:p w:rsidRPr="00F83F45" w:rsidR="00F067E7" w:rsidP="00F83F45" w14:paraId="0812EC1A" w14:textId="5811C3F8">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41</w:t>
      </w:r>
      <w:r w:rsidRPr="00F83F45">
        <w:fldChar w:fldCharType="end"/>
      </w:r>
      <w:bookmarkEnd w:id="18"/>
      <w:r w:rsidRPr="00F83F45">
        <w:t xml:space="preserve">.  Article 12 of </w:t>
      </w:r>
      <w:r w:rsidRPr="00F83F45" w:rsidR="00FD1EF4">
        <w:t xml:space="preserve">the </w:t>
      </w:r>
      <w:r w:rsidRPr="00F83F45">
        <w:t xml:space="preserve">Criminal Code (2001) classifies offences based on </w:t>
      </w:r>
      <w:r w:rsidRPr="00F83F45" w:rsidR="00FD1EF4">
        <w:t xml:space="preserve">the </w:t>
      </w:r>
      <w:r w:rsidRPr="00F83F45">
        <w:t xml:space="preserve">maximum punishment which they carry under </w:t>
      </w:r>
      <w:r w:rsidRPr="00F83F45" w:rsidR="00FD1EF4">
        <w:t xml:space="preserve">the </w:t>
      </w:r>
      <w:r w:rsidRPr="00F83F45">
        <w:t>Code as offences of minor severity, medium severity, serious and particularly serious (or grave) offences: (</w:t>
      </w:r>
      <w:r w:rsidRPr="00F83F45">
        <w:t>i</w:t>
      </w:r>
      <w:r w:rsidRPr="00F83F45">
        <w:t xml:space="preserve">) minor offences </w:t>
      </w:r>
      <w:r w:rsidRPr="00F83F45">
        <w:rPr>
          <w:lang w:val="uk-UA"/>
        </w:rPr>
        <w:t>(</w:t>
      </w:r>
      <w:r w:rsidRPr="00F83F45">
        <w:rPr>
          <w:i/>
          <w:iCs/>
          <w:lang w:val="uk-UA"/>
        </w:rPr>
        <w:t>кримінальні проступки</w:t>
      </w:r>
      <w:r w:rsidRPr="00F83F45">
        <w:rPr>
          <w:lang w:val="uk-UA"/>
        </w:rPr>
        <w:t>)</w:t>
      </w:r>
      <w:r w:rsidRPr="00F83F45">
        <w:t xml:space="preserve"> – a fine up to UAH 50,000</w:t>
      </w:r>
      <w:r>
        <w:rPr>
          <w:rStyle w:val="FootnoteReference"/>
        </w:rPr>
        <w:footnoteReference w:id="5"/>
      </w:r>
      <w:r w:rsidRPr="00F83F45">
        <w:t xml:space="preserve"> or another punishment not involving imprisonment</w:t>
      </w:r>
      <w:r w:rsidRPr="00F83F45">
        <w:rPr>
          <w:lang w:val="uk-UA"/>
        </w:rPr>
        <w:t>;</w:t>
      </w:r>
      <w:r w:rsidRPr="00F83F45">
        <w:t xml:space="preserve"> (ii) </w:t>
      </w:r>
      <w:r w:rsidRPr="00F83F45">
        <w:t>offences of lesser severity</w:t>
      </w:r>
      <w:r w:rsidRPr="00F83F45">
        <w:rPr>
          <w:lang w:val="uk-UA"/>
        </w:rPr>
        <w:t xml:space="preserve"> (</w:t>
      </w:r>
      <w:r w:rsidRPr="00F83F45">
        <w:rPr>
          <w:i/>
          <w:iCs/>
          <w:lang w:val="uk-UA"/>
        </w:rPr>
        <w:t>неважкі злочини</w:t>
      </w:r>
      <w:r w:rsidRPr="00F83F45">
        <w:rPr>
          <w:lang w:val="uk-UA"/>
        </w:rPr>
        <w:t>)</w:t>
      </w:r>
      <w:r w:rsidRPr="00F83F45">
        <w:t xml:space="preserve"> –</w:t>
      </w:r>
      <w:r w:rsidRPr="00F83F45">
        <w:rPr>
          <w:lang w:val="uk-UA"/>
        </w:rPr>
        <w:t xml:space="preserve"> </w:t>
      </w:r>
      <w:r w:rsidRPr="00F83F45">
        <w:t>a fine up to UAH 170,000</w:t>
      </w:r>
      <w:r>
        <w:rPr>
          <w:rStyle w:val="FootnoteReference"/>
        </w:rPr>
        <w:footnoteReference w:id="6"/>
      </w:r>
      <w:r w:rsidRPr="00F83F45">
        <w:t xml:space="preserve"> or up to five years</w:t>
      </w:r>
      <w:r w:rsidRPr="00F83F45" w:rsidR="00F83F45">
        <w:t>’</w:t>
      </w:r>
      <w:r w:rsidRPr="00F83F45">
        <w:t xml:space="preserve"> imprisonment</w:t>
      </w:r>
      <w:r w:rsidRPr="00F83F45">
        <w:rPr>
          <w:lang w:val="uk-UA"/>
        </w:rPr>
        <w:t>;</w:t>
      </w:r>
      <w:r w:rsidRPr="00F83F45">
        <w:t xml:space="preserve"> (iii) serious offences</w:t>
      </w:r>
      <w:r w:rsidRPr="00F83F45">
        <w:rPr>
          <w:lang w:val="uk-UA"/>
        </w:rPr>
        <w:t xml:space="preserve"> (</w:t>
      </w:r>
      <w:r w:rsidRPr="00F83F45">
        <w:rPr>
          <w:i/>
          <w:iCs/>
          <w:lang w:val="uk-UA"/>
        </w:rPr>
        <w:t>тяжкі злочини</w:t>
      </w:r>
      <w:r w:rsidRPr="00F83F45">
        <w:rPr>
          <w:lang w:val="uk-UA"/>
        </w:rPr>
        <w:t>)</w:t>
      </w:r>
      <w:r w:rsidRPr="00F83F45">
        <w:t xml:space="preserve"> – a fine of up to UAH 425,000</w:t>
      </w:r>
      <w:r>
        <w:rPr>
          <w:rStyle w:val="FootnoteReference"/>
        </w:rPr>
        <w:footnoteReference w:id="7"/>
      </w:r>
      <w:r w:rsidRPr="00F83F45">
        <w:t xml:space="preserve"> or five to ten years</w:t>
      </w:r>
      <w:r w:rsidRPr="00F83F45" w:rsidR="00F83F45">
        <w:t>’</w:t>
      </w:r>
      <w:r w:rsidRPr="00F83F45">
        <w:t xml:space="preserve"> imprisonment</w:t>
      </w:r>
      <w:r w:rsidRPr="00F83F45">
        <w:rPr>
          <w:lang w:val="uk-UA"/>
        </w:rPr>
        <w:t>;</w:t>
      </w:r>
      <w:r w:rsidRPr="00F83F45">
        <w:t xml:space="preserve"> (iv) particularly serious offences – a fine exceeding UAH 425,000, imprisonment for more than ten years or life imprisonment</w:t>
      </w:r>
      <w:r w:rsidRPr="00F83F45">
        <w:rPr>
          <w:lang w:val="uk-UA"/>
        </w:rPr>
        <w:t>.</w:t>
      </w:r>
    </w:p>
    <w:bookmarkStart w:name="frame_CCP_wtnesses" w:id="19"/>
    <w:p w:rsidRPr="00F83F45" w:rsidR="00F067E7" w:rsidP="00F83F45" w14:paraId="58F861CF" w14:textId="2F6D1C1C">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42</w:t>
      </w:r>
      <w:r w:rsidRPr="00F83F45">
        <w:fldChar w:fldCharType="end"/>
      </w:r>
      <w:bookmarkEnd w:id="19"/>
      <w:r w:rsidRPr="00F83F45">
        <w:t xml:space="preserve">.  Article 95 § 4 of </w:t>
      </w:r>
      <w:r w:rsidRPr="00F83F45" w:rsidR="00FD1EF4">
        <w:t xml:space="preserve">the </w:t>
      </w:r>
      <w:r w:rsidRPr="00F83F45">
        <w:t xml:space="preserve">Code of Criminal Procedure (2012) provides that </w:t>
      </w:r>
      <w:r w:rsidRPr="00F83F45" w:rsidR="00FD1EF4">
        <w:t xml:space="preserve">the </w:t>
      </w:r>
      <w:r w:rsidRPr="00F83F45">
        <w:t xml:space="preserve">court is to only base its conclusions on </w:t>
      </w:r>
      <w:r w:rsidRPr="00F83F45" w:rsidR="00FD1EF4">
        <w:t xml:space="preserve">the </w:t>
      </w:r>
      <w:r w:rsidRPr="00F83F45">
        <w:t xml:space="preserve">statements made directly before </w:t>
      </w:r>
      <w:r w:rsidRPr="00F83F45" w:rsidR="00FD1EF4">
        <w:t xml:space="preserve">the </w:t>
      </w:r>
      <w:r w:rsidRPr="00F83F45">
        <w:t xml:space="preserve">trial court (or those obtained during </w:t>
      </w:r>
      <w:r w:rsidRPr="00F83F45" w:rsidR="00FD1EF4">
        <w:t xml:space="preserve">the </w:t>
      </w:r>
      <w:r w:rsidRPr="00F83F45">
        <w:t xml:space="preserve">pre-trial investigation pursuant to </w:t>
      </w:r>
      <w:r w:rsidRPr="00F83F45" w:rsidR="00FD1EF4">
        <w:t xml:space="preserve">the </w:t>
      </w:r>
      <w:r w:rsidRPr="00F83F45">
        <w:t xml:space="preserve">procedure established by Article 225 of </w:t>
      </w:r>
      <w:r w:rsidRPr="00F83F45" w:rsidR="00FD1EF4">
        <w:t xml:space="preserve">the </w:t>
      </w:r>
      <w:r w:rsidRPr="00F83F45">
        <w:t xml:space="preserve">Code) and it cannot base judicial decisions on statements made to </w:t>
      </w:r>
      <w:r w:rsidRPr="00F83F45" w:rsidR="00FD1EF4">
        <w:t xml:space="preserve">the </w:t>
      </w:r>
      <w:r w:rsidRPr="00F83F45">
        <w:t xml:space="preserve">investigator or prosecutor. Article 225 provides that, in exceptional cases, where it is likely to be impossible to question a witness during </w:t>
      </w:r>
      <w:r w:rsidRPr="00F83F45" w:rsidR="00FD1EF4">
        <w:t xml:space="preserve">the </w:t>
      </w:r>
      <w:r w:rsidRPr="00F83F45">
        <w:t xml:space="preserve">trial, a party to </w:t>
      </w:r>
      <w:r w:rsidRPr="00F83F45" w:rsidR="00FD1EF4">
        <w:t xml:space="preserve">the </w:t>
      </w:r>
      <w:r w:rsidRPr="00F83F45">
        <w:t xml:space="preserve">criminal proceedings may apply to </w:t>
      </w:r>
      <w:r w:rsidRPr="00F83F45" w:rsidR="00FD1EF4">
        <w:t xml:space="preserve">the </w:t>
      </w:r>
      <w:r w:rsidRPr="00F83F45">
        <w:t xml:space="preserve">investigating judge to question that witness. Such questioning is conducted before a court in accordance with </w:t>
      </w:r>
      <w:r w:rsidRPr="00F83F45" w:rsidR="00FD1EF4">
        <w:t xml:space="preserve">the </w:t>
      </w:r>
      <w:r w:rsidRPr="00F83F45">
        <w:t xml:space="preserve">rules on questioning applicable to </w:t>
      </w:r>
      <w:r w:rsidRPr="00F83F45" w:rsidR="00FD1EF4">
        <w:t xml:space="preserve">the </w:t>
      </w:r>
      <w:r w:rsidRPr="00F83F45">
        <w:t>trial.</w:t>
      </w:r>
    </w:p>
    <w:bookmarkStart w:name="frame_CCU_decision" w:id="20"/>
    <w:p w:rsidRPr="00F83F45" w:rsidR="00F067E7" w:rsidP="00F83F45" w14:paraId="4BCD1D29" w14:textId="5DB32408">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43</w:t>
      </w:r>
      <w:r w:rsidRPr="00F83F45">
        <w:fldChar w:fldCharType="end"/>
      </w:r>
      <w:bookmarkEnd w:id="20"/>
      <w:r w:rsidRPr="00F83F45">
        <w:t xml:space="preserve">.  In its decision of 19 June 2024 in case no. 7-р(ІІ)/2024, </w:t>
      </w:r>
      <w:r w:rsidRPr="00F83F45" w:rsidR="00FD1EF4">
        <w:t xml:space="preserve">the </w:t>
      </w:r>
      <w:r w:rsidRPr="00F83F45">
        <w:t xml:space="preserve">Constitutional Court of Ukraine declared that </w:t>
      </w:r>
      <w:r w:rsidRPr="00F83F45" w:rsidR="00FD1EF4">
        <w:t xml:space="preserve">the </w:t>
      </w:r>
      <w:r w:rsidRPr="00F83F45">
        <w:t xml:space="preserve">Wartime Detention Clause was not contrary to </w:t>
      </w:r>
      <w:r w:rsidRPr="00F83F45" w:rsidR="00FD1EF4">
        <w:t xml:space="preserve">the </w:t>
      </w:r>
      <w:r w:rsidRPr="00F83F45">
        <w:t xml:space="preserve">Constitution of Ukraine. </w:t>
      </w:r>
      <w:r w:rsidRPr="00F83F45" w:rsidR="00FD1EF4">
        <w:t xml:space="preserve">The </w:t>
      </w:r>
      <w:r w:rsidRPr="00F83F45">
        <w:t xml:space="preserve">Constitutional Court pointed out that </w:t>
      </w:r>
      <w:r w:rsidRPr="00F83F45" w:rsidR="00FD1EF4">
        <w:t xml:space="preserve">the </w:t>
      </w:r>
      <w:r w:rsidRPr="00F83F45">
        <w:t xml:space="preserve">Wartime Detention Clause did not deprive courts of </w:t>
      </w:r>
      <w:r w:rsidRPr="00F83F45" w:rsidR="00FD1EF4">
        <w:t xml:space="preserve">the </w:t>
      </w:r>
      <w:r w:rsidRPr="00F83F45">
        <w:t xml:space="preserve">power to impose a preventive measure less restrictive than detention. This was also evidenced by </w:t>
      </w:r>
      <w:r w:rsidRPr="00F83F45" w:rsidR="00FD1EF4">
        <w:t xml:space="preserve">the </w:t>
      </w:r>
      <w:r w:rsidRPr="00F83F45">
        <w:t xml:space="preserve">fact that </w:t>
      </w:r>
      <w:r w:rsidRPr="00F83F45" w:rsidR="00FD1EF4">
        <w:t xml:space="preserve">the </w:t>
      </w:r>
      <w:r w:rsidRPr="00F83F45">
        <w:t xml:space="preserve">Exceptions to Mandatory Bail Clause allowed, but did not require, courts not to set bail for certain offences. It was still open to courts to set bail for defendants accused of offences covered by </w:t>
      </w:r>
      <w:r w:rsidRPr="00F83F45" w:rsidR="00FD1EF4">
        <w:t xml:space="preserve">the </w:t>
      </w:r>
      <w:r w:rsidRPr="00F83F45">
        <w:t>Wartime Detention Clause where it was justified. Thus,</w:t>
      </w:r>
      <w:r w:rsidRPr="00F83F45" w:rsidR="002A45DB">
        <w:t> </w:t>
      </w:r>
      <w:r w:rsidRPr="00F83F45" w:rsidR="00FD1EF4">
        <w:t xml:space="preserve">the </w:t>
      </w:r>
      <w:r w:rsidRPr="00F83F45">
        <w:t>Wartime Detention Clause did not provide for mandatory detention without alternatives.</w:t>
      </w:r>
    </w:p>
    <w:p w:rsidRPr="00F83F45" w:rsidR="00F067E7" w:rsidP="00F83F45" w14:paraId="16E49B5E" w14:textId="1CFB7A92">
      <w:pPr>
        <w:pStyle w:val="JuPara"/>
      </w:pPr>
      <w:r>
        <w:fldChar w:fldCharType="begin"/>
      </w:r>
      <w:r>
        <w:instrText xml:space="preserve"> SEQ level0 \*arabic \* MERGEFORMAT </w:instrText>
      </w:r>
      <w:r>
        <w:fldChar w:fldCharType="separate"/>
      </w:r>
      <w:r w:rsidRPr="00F83F45">
        <w:rPr>
          <w:noProof/>
        </w:rPr>
        <w:t>44</w:t>
      </w:r>
      <w:r w:rsidRPr="00F83F45">
        <w:rPr>
          <w:noProof/>
        </w:rPr>
        <w:fldChar w:fldCharType="end"/>
      </w:r>
      <w:r w:rsidRPr="00F83F45">
        <w:t xml:space="preserve">.  Other relevant information about </w:t>
      </w:r>
      <w:r w:rsidRPr="00F83F45" w:rsidR="00FD1EF4">
        <w:t xml:space="preserve">the </w:t>
      </w:r>
      <w:r w:rsidRPr="00F83F45">
        <w:t xml:space="preserve">domestic legal framework can be found in </w:t>
      </w:r>
      <w:r w:rsidRPr="00F83F45">
        <w:rPr>
          <w:i/>
          <w:iCs/>
        </w:rPr>
        <w:t xml:space="preserve">Kolesnyk and </w:t>
      </w:r>
      <w:r w:rsidRPr="00F83F45">
        <w:rPr>
          <w:i/>
          <w:iCs/>
        </w:rPr>
        <w:t>Smelnytskyy</w:t>
      </w:r>
      <w:r w:rsidRPr="00F83F45">
        <w:t xml:space="preserve"> (cited above, §§ 26-34, 38-48).</w:t>
      </w:r>
    </w:p>
    <w:p w:rsidRPr="00F83F45" w:rsidR="00F067E7" w:rsidP="00F83F45" w14:paraId="5B292716" w14:textId="77777777">
      <w:pPr>
        <w:pStyle w:val="JuHIRoman"/>
      </w:pPr>
      <w:r w:rsidRPr="00F83F45">
        <w:t>Relevant international material</w:t>
      </w:r>
    </w:p>
    <w:bookmarkStart w:name="frame_OHCHR" w:id="21"/>
    <w:p w:rsidRPr="00F83F45" w:rsidR="00F067E7" w:rsidP="00F83F45" w14:paraId="54CD4AD6" w14:textId="3E0A05D6">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45</w:t>
      </w:r>
      <w:r w:rsidRPr="00F83F45">
        <w:fldChar w:fldCharType="end"/>
      </w:r>
      <w:bookmarkEnd w:id="21"/>
      <w:r w:rsidRPr="00F83F45">
        <w:t>.  </w:t>
      </w:r>
      <w:r w:rsidRPr="00F83F45" w:rsidR="00FD1EF4">
        <w:t xml:space="preserve">The </w:t>
      </w:r>
      <w:r w:rsidRPr="00F83F45">
        <w:t xml:space="preserve">Office of </w:t>
      </w:r>
      <w:r w:rsidRPr="00F83F45" w:rsidR="00FD1EF4">
        <w:t xml:space="preserve">the </w:t>
      </w:r>
      <w:r w:rsidRPr="00F83F45">
        <w:t xml:space="preserve">United Nations High Commissioner for Human Rights (“OHCHR”) released </w:t>
      </w:r>
      <w:r w:rsidRPr="00F83F45" w:rsidR="00FD1EF4">
        <w:t xml:space="preserve">the </w:t>
      </w:r>
      <w:r w:rsidRPr="00F83F45">
        <w:t xml:space="preserve">Report on </w:t>
      </w:r>
      <w:r w:rsidRPr="00F83F45" w:rsidR="00FD1EF4">
        <w:t xml:space="preserve">the </w:t>
      </w:r>
      <w:r w:rsidRPr="00F83F45">
        <w:t xml:space="preserve">human rights situation in Ukraine, 1 August 2022 - 31 January 2023, </w:t>
      </w:r>
      <w:r w:rsidRPr="00F83F45" w:rsidR="00FD1EF4">
        <w:t xml:space="preserve">the </w:t>
      </w:r>
      <w:r w:rsidRPr="00F83F45">
        <w:t>relevant part of which reads as follows (internal references omitted):</w:t>
      </w:r>
    </w:p>
    <w:p w:rsidRPr="00F83F45" w:rsidR="00F067E7" w:rsidP="00F83F45" w14:paraId="62BCD765" w14:textId="358632FF">
      <w:pPr>
        <w:pStyle w:val="JuQuot"/>
      </w:pPr>
      <w:r w:rsidRPr="00F83F45">
        <w:t xml:space="preserve">“119. According to </w:t>
      </w:r>
      <w:r w:rsidRPr="00F83F45" w:rsidR="00FD1EF4">
        <w:t xml:space="preserve">the </w:t>
      </w:r>
      <w:r w:rsidRPr="00F83F45">
        <w:t xml:space="preserve">Office of </w:t>
      </w:r>
      <w:r w:rsidRPr="00F83F45" w:rsidR="00FD1EF4">
        <w:t xml:space="preserve">the </w:t>
      </w:r>
      <w:r w:rsidRPr="00F83F45">
        <w:t xml:space="preserve">Prosecutor General of Ukraine, as of 31 January 2023, 4,291 criminal proceedings had been launched under article 111-1 of </w:t>
      </w:r>
      <w:r w:rsidRPr="00F83F45" w:rsidR="00FD1EF4">
        <w:t xml:space="preserve">the </w:t>
      </w:r>
      <w:r w:rsidRPr="00F83F45">
        <w:t xml:space="preserve">Criminal Code of Ukraine for collaborating with </w:t>
      </w:r>
      <w:r w:rsidRPr="00F83F45" w:rsidR="00FD1EF4">
        <w:t xml:space="preserve">the </w:t>
      </w:r>
      <w:r w:rsidRPr="00F83F45">
        <w:t xml:space="preserve">Russian Federation. OHCHR is concerned that </w:t>
      </w:r>
      <w:r w:rsidRPr="00F83F45" w:rsidR="00FD1EF4">
        <w:t xml:space="preserve">the </w:t>
      </w:r>
      <w:r w:rsidRPr="00F83F45">
        <w:t xml:space="preserve">law on collaboration activities does not comply with </w:t>
      </w:r>
      <w:r w:rsidRPr="00F83F45">
        <w:rPr>
          <w:rFonts w:cstheme="minorHAnsi"/>
        </w:rPr>
        <w:t>[</w:t>
      </w:r>
      <w:r w:rsidRPr="00F83F45">
        <w:t>international human rights law</w:t>
      </w:r>
      <w:r w:rsidRPr="00F83F45">
        <w:rPr>
          <w:rFonts w:cstheme="minorHAnsi"/>
        </w:rPr>
        <w:t>]</w:t>
      </w:r>
      <w:r w:rsidRPr="00F83F45">
        <w:t xml:space="preserve"> and </w:t>
      </w:r>
      <w:r w:rsidRPr="00F83F45">
        <w:rPr>
          <w:rFonts w:cstheme="minorHAnsi"/>
        </w:rPr>
        <w:t>[</w:t>
      </w:r>
      <w:r w:rsidRPr="00F83F45">
        <w:t>international humanitarian law</w:t>
      </w:r>
      <w:r w:rsidRPr="00F83F45">
        <w:rPr>
          <w:rFonts w:cstheme="minorHAnsi"/>
        </w:rPr>
        <w:t>]</w:t>
      </w:r>
      <w:r w:rsidRPr="00F83F45">
        <w:t xml:space="preserve">. In particular, </w:t>
      </w:r>
      <w:r w:rsidRPr="00F83F45" w:rsidR="00FD1EF4">
        <w:t xml:space="preserve">the </w:t>
      </w:r>
      <w:r w:rsidRPr="00F83F45">
        <w:t xml:space="preserve">law encompasses individuals who carry out uncoerced work for </w:t>
      </w:r>
      <w:r w:rsidRPr="00F83F45" w:rsidR="00FD1EF4">
        <w:t xml:space="preserve">the </w:t>
      </w:r>
      <w:r w:rsidRPr="00F83F45">
        <w:t xml:space="preserve">occupying authorities, which may include educational and medical workers, among others providing key services. This </w:t>
      </w:r>
      <w:r w:rsidRPr="00F83F45">
        <w:t xml:space="preserve">provision is not in line with </w:t>
      </w:r>
      <w:r w:rsidRPr="00F83F45" w:rsidR="00FD1EF4">
        <w:t xml:space="preserve">the </w:t>
      </w:r>
      <w:r w:rsidRPr="00F83F45">
        <w:t xml:space="preserve">principles underlying </w:t>
      </w:r>
      <w:r w:rsidRPr="00F83F45" w:rsidR="00FD1EF4">
        <w:t xml:space="preserve">the </w:t>
      </w:r>
      <w:r w:rsidRPr="00F83F45">
        <w:t xml:space="preserve">law of occupation under </w:t>
      </w:r>
      <w:r w:rsidRPr="00F83F45">
        <w:rPr>
          <w:rFonts w:cstheme="minorHAnsi"/>
        </w:rPr>
        <w:t>[international humanitarian law]</w:t>
      </w:r>
      <w:r w:rsidRPr="00F83F45">
        <w:t xml:space="preserve">, compliance with which presumes a certain level of cooperation between </w:t>
      </w:r>
      <w:r w:rsidRPr="00F83F45" w:rsidR="00FD1EF4">
        <w:t xml:space="preserve">the </w:t>
      </w:r>
      <w:r w:rsidRPr="00F83F45">
        <w:t xml:space="preserve">occupation and local authorities. In addition, articles 50 and 56 of Geneva Convention IV explicitly require </w:t>
      </w:r>
      <w:r w:rsidRPr="00F83F45" w:rsidR="00FD1EF4">
        <w:t xml:space="preserve">the </w:t>
      </w:r>
      <w:r w:rsidRPr="00F83F45">
        <w:t xml:space="preserve">cooperation of national and local authorities with </w:t>
      </w:r>
      <w:r w:rsidRPr="00F83F45" w:rsidR="00FD1EF4">
        <w:t xml:space="preserve">the </w:t>
      </w:r>
      <w:r w:rsidRPr="00F83F45">
        <w:t xml:space="preserve">occupying power to ensure </w:t>
      </w:r>
      <w:r w:rsidRPr="00F83F45" w:rsidR="00FD1EF4">
        <w:t xml:space="preserve">the </w:t>
      </w:r>
      <w:r w:rsidRPr="00F83F45">
        <w:t>functioning of medical establishments and educational and care facilities for children.</w:t>
      </w:r>
    </w:p>
    <w:p w:rsidRPr="00F83F45" w:rsidR="00F067E7" w:rsidP="00F83F45" w14:paraId="01A02DDD" w14:textId="7CE38CCC">
      <w:pPr>
        <w:pStyle w:val="JuQuot"/>
      </w:pPr>
      <w:r w:rsidRPr="00F83F45">
        <w:t xml:space="preserve">120. Moreover, </w:t>
      </w:r>
      <w:r w:rsidRPr="00F83F45" w:rsidR="00FD1EF4">
        <w:t xml:space="preserve">the </w:t>
      </w:r>
      <w:r w:rsidRPr="00F83F45">
        <w:t xml:space="preserve">use of vague and subjective terminology in article 111-1 does not sufficiently comply with international human rights standards on restrictions of </w:t>
      </w:r>
      <w:r w:rsidRPr="00F83F45" w:rsidR="00FD1EF4">
        <w:t xml:space="preserve">the </w:t>
      </w:r>
      <w:r w:rsidRPr="00F83F45">
        <w:t xml:space="preserve">rights to liberty, security of persons and freedom of expression, or with </w:t>
      </w:r>
      <w:r w:rsidRPr="00F83F45" w:rsidR="00FD1EF4">
        <w:t xml:space="preserve">the </w:t>
      </w:r>
      <w:r w:rsidRPr="00F83F45">
        <w:t xml:space="preserve">principle of legality. OHCHR is also concerned at </w:t>
      </w:r>
      <w:r w:rsidRPr="00F83F45" w:rsidR="00FD1EF4">
        <w:t xml:space="preserve">the </w:t>
      </w:r>
      <w:r w:rsidRPr="00F83F45">
        <w:t>apparent lack of proportionality between offences and applicable penalty.</w:t>
      </w:r>
    </w:p>
    <w:p w:rsidRPr="00F83F45" w:rsidR="00F067E7" w:rsidP="00F83F45" w14:paraId="790C2789" w14:textId="2AB2B63F">
      <w:pPr>
        <w:pStyle w:val="JuQuot"/>
      </w:pPr>
      <w:r w:rsidRPr="00F83F45">
        <w:t xml:space="preserve">121. In addition, </w:t>
      </w:r>
      <w:r w:rsidRPr="00F83F45" w:rsidR="00FD1EF4">
        <w:t xml:space="preserve">the </w:t>
      </w:r>
      <w:r w:rsidRPr="00F83F45">
        <w:t xml:space="preserve">broad language of </w:t>
      </w:r>
      <w:r w:rsidRPr="00F83F45" w:rsidR="00FD1EF4">
        <w:t xml:space="preserve">the </w:t>
      </w:r>
      <w:r w:rsidRPr="00F83F45">
        <w:t xml:space="preserve">law, which de facto criminalises all employment and business activities in </w:t>
      </w:r>
      <w:r w:rsidRPr="00F83F45" w:rsidR="00FD1EF4">
        <w:t xml:space="preserve">the </w:t>
      </w:r>
      <w:r w:rsidRPr="00F83F45">
        <w:t xml:space="preserve">occupied territory, may impact </w:t>
      </w:r>
      <w:r w:rsidRPr="00F83F45" w:rsidR="00FD1EF4">
        <w:t xml:space="preserve">the </w:t>
      </w:r>
      <w:r w:rsidRPr="00F83F45">
        <w:t xml:space="preserve">enjoyment of </w:t>
      </w:r>
      <w:r w:rsidRPr="00F83F45" w:rsidR="00FD1EF4">
        <w:t xml:space="preserve">the </w:t>
      </w:r>
      <w:r w:rsidRPr="00F83F45">
        <w:t xml:space="preserve">rights to work and to an adequate standard of living for residents in Russian-occupied territory. OHCHR is concerned that </w:t>
      </w:r>
      <w:r w:rsidRPr="00F83F45" w:rsidR="00FD1EF4">
        <w:t xml:space="preserve">the </w:t>
      </w:r>
      <w:r w:rsidRPr="00F83F45">
        <w:t xml:space="preserve">law may have a far-reaching impact not only on </w:t>
      </w:r>
      <w:r w:rsidRPr="00F83F45" w:rsidR="00FD1EF4">
        <w:t xml:space="preserve">the </w:t>
      </w:r>
      <w:r w:rsidRPr="00F83F45">
        <w:t>rights of individuals living in occupied territory, but also on social cohesion and, ultimately, on future reintegration efforts.”</w:t>
      </w:r>
    </w:p>
    <w:p w:rsidRPr="00F83F45" w:rsidR="00F067E7" w:rsidP="00F83F45" w14:paraId="6255B212" w14:textId="7D12B11C">
      <w:pPr>
        <w:pStyle w:val="JuHHead"/>
        <w:numPr>
          <w:ilvl w:val="0"/>
          <w:numId w:val="21"/>
        </w:numPr>
        <w:tabs>
          <w:tab w:val="num" w:pos="340"/>
          <w:tab w:val="num" w:pos="964"/>
        </w:tabs>
        <w:ind w:left="340" w:hanging="340"/>
      </w:pPr>
      <w:r w:rsidRPr="00F83F45">
        <w:t xml:space="preserve">THE </w:t>
      </w:r>
      <w:r w:rsidRPr="00F83F45">
        <w:t>LAW</w:t>
      </w:r>
    </w:p>
    <w:p w:rsidRPr="00F83F45" w:rsidR="00F067E7" w:rsidP="00F83F45" w14:paraId="0C9D594C" w14:textId="09A53FB7">
      <w:pPr>
        <w:pStyle w:val="JuHIRoman"/>
        <w:numPr>
          <w:ilvl w:val="1"/>
          <w:numId w:val="23"/>
        </w:numPr>
        <w:tabs>
          <w:tab w:val="num" w:pos="1361"/>
        </w:tabs>
        <w:ind w:left="1361" w:hanging="1361"/>
      </w:pPr>
      <w:r w:rsidRPr="00F83F45">
        <w:t xml:space="preserve">JOINDER OF </w:t>
      </w:r>
      <w:r w:rsidRPr="00F83F45" w:rsidR="00FD1EF4">
        <w:t xml:space="preserve">THE </w:t>
      </w:r>
      <w:r w:rsidRPr="00F83F45">
        <w:t>APPLICATIONS</w:t>
      </w:r>
    </w:p>
    <w:p w:rsidRPr="00F83F45" w:rsidR="00F067E7" w:rsidP="00F83F45" w14:paraId="0B777CA6" w14:textId="5B3806C8">
      <w:pPr>
        <w:pStyle w:val="JuPara"/>
      </w:pPr>
      <w:r>
        <w:fldChar w:fldCharType="begin"/>
      </w:r>
      <w:r>
        <w:instrText xml:space="preserve"> SEQ level0 \*arabic \* MERGEFORMAT </w:instrText>
      </w:r>
      <w:r>
        <w:fldChar w:fldCharType="separate"/>
      </w:r>
      <w:r w:rsidRPr="00F83F45">
        <w:rPr>
          <w:noProof/>
        </w:rPr>
        <w:t>46</w:t>
      </w:r>
      <w:r w:rsidRPr="00F83F45">
        <w:rPr>
          <w:noProof/>
        </w:rPr>
        <w:fldChar w:fldCharType="end"/>
      </w:r>
      <w:r w:rsidRPr="00F83F45">
        <w:t xml:space="preserve">.  Having regard to </w:t>
      </w:r>
      <w:r w:rsidRPr="00F83F45" w:rsidR="00FD1EF4">
        <w:t xml:space="preserve">the </w:t>
      </w:r>
      <w:r w:rsidRPr="00F83F45">
        <w:t xml:space="preserve">similar subject matter of </w:t>
      </w:r>
      <w:r w:rsidRPr="00F83F45" w:rsidR="00FD1EF4">
        <w:t xml:space="preserve">the </w:t>
      </w:r>
      <w:r w:rsidRPr="00F83F45">
        <w:t xml:space="preserve">applications, </w:t>
      </w:r>
      <w:r w:rsidRPr="00F83F45" w:rsidR="00FD1EF4">
        <w:t xml:space="preserve">the </w:t>
      </w:r>
      <w:r w:rsidRPr="00F83F45">
        <w:t>Court finds it appropriate to examine them jointly in a single judgment.</w:t>
      </w:r>
    </w:p>
    <w:p w:rsidRPr="00F83F45" w:rsidR="00F067E7" w:rsidP="00F83F45" w14:paraId="01F59D16" w14:textId="30F1FF39">
      <w:pPr>
        <w:pStyle w:val="JuHIRoman"/>
      </w:pPr>
      <w:r w:rsidRPr="00F83F45">
        <w:rPr>
          <w:caps w:val="0"/>
        </w:rPr>
        <w:t xml:space="preserve">SCOPE OF </w:t>
      </w:r>
      <w:r w:rsidRPr="00F83F45" w:rsidR="00FD1EF4">
        <w:rPr>
          <w:caps w:val="0"/>
        </w:rPr>
        <w:t xml:space="preserve">THE </w:t>
      </w:r>
      <w:r w:rsidRPr="00F83F45">
        <w:rPr>
          <w:caps w:val="0"/>
        </w:rPr>
        <w:t>CASE</w:t>
      </w:r>
    </w:p>
    <w:p w:rsidRPr="00F83F45" w:rsidR="00F067E7" w:rsidP="00F83F45" w14:paraId="469811FC" w14:textId="1F0A362D">
      <w:pPr>
        <w:pStyle w:val="JuPara"/>
      </w:pPr>
      <w:r>
        <w:fldChar w:fldCharType="begin"/>
      </w:r>
      <w:r>
        <w:instrText xml:space="preserve"> SEQ level0 \*arabic \* MERGEFORMAT </w:instrText>
      </w:r>
      <w:r>
        <w:fldChar w:fldCharType="separate"/>
      </w:r>
      <w:r w:rsidRPr="00F83F45">
        <w:rPr>
          <w:noProof/>
        </w:rPr>
        <w:t>47</w:t>
      </w:r>
      <w:r w:rsidRPr="00F83F45">
        <w:rPr>
          <w:noProof/>
        </w:rPr>
        <w:fldChar w:fldCharType="end"/>
      </w:r>
      <w:r w:rsidRPr="00F83F45">
        <w:t xml:space="preserve">.  In his application form, </w:t>
      </w:r>
      <w:r w:rsidRPr="00F83F45" w:rsidR="00FD1EF4">
        <w:t xml:space="preserve">the </w:t>
      </w:r>
      <w:r w:rsidRPr="00F83F45">
        <w:t xml:space="preserve">first applicant, relying on Article 5 §§ 3 and 4 of </w:t>
      </w:r>
      <w:r w:rsidRPr="00F83F45" w:rsidR="00FD1EF4">
        <w:t xml:space="preserve">the </w:t>
      </w:r>
      <w:r w:rsidRPr="00F83F45">
        <w:t xml:space="preserve">Convention, complained that </w:t>
      </w:r>
      <w:r w:rsidRPr="00F83F45" w:rsidR="00FD1EF4">
        <w:t xml:space="preserve">the </w:t>
      </w:r>
      <w:r w:rsidRPr="00F83F45">
        <w:t xml:space="preserve">courts had not examined </w:t>
      </w:r>
      <w:r w:rsidRPr="00F83F45" w:rsidR="00FD1EF4">
        <w:t xml:space="preserve">the </w:t>
      </w:r>
      <w:r w:rsidRPr="00F83F45">
        <w:t>possibility of imposing a non-custodial preventive measure, had only provided formulaic reasons for detention and had disregarded arguments in favour of his release.</w:t>
      </w:r>
    </w:p>
    <w:p w:rsidRPr="00F83F45" w:rsidR="00F067E7" w:rsidP="00F83F45" w14:paraId="52F6C4D8" w14:textId="0119EC8F">
      <w:pPr>
        <w:pStyle w:val="JuPara"/>
      </w:pPr>
      <w:r>
        <w:fldChar w:fldCharType="begin"/>
      </w:r>
      <w:r>
        <w:instrText xml:space="preserve"> SEQ level0 \*arabic \* MERGEFORMAT </w:instrText>
      </w:r>
      <w:r>
        <w:fldChar w:fldCharType="separate"/>
      </w:r>
      <w:r w:rsidRPr="00F83F45">
        <w:rPr>
          <w:noProof/>
        </w:rPr>
        <w:t>48</w:t>
      </w:r>
      <w:r w:rsidRPr="00F83F45">
        <w:rPr>
          <w:noProof/>
        </w:rPr>
        <w:fldChar w:fldCharType="end"/>
      </w:r>
      <w:r w:rsidRPr="00F83F45">
        <w:t xml:space="preserve">.  In his reply to </w:t>
      </w:r>
      <w:r w:rsidRPr="00F83F45" w:rsidR="00FD1EF4">
        <w:t xml:space="preserve">the </w:t>
      </w:r>
      <w:r w:rsidRPr="00F83F45">
        <w:t>Government</w:t>
      </w:r>
      <w:r w:rsidRPr="00F83F45">
        <w:t>’</w:t>
      </w:r>
      <w:r w:rsidRPr="00F83F45">
        <w:t xml:space="preserve">s observations (which he submitted on 15 May 2025) </w:t>
      </w:r>
      <w:r w:rsidRPr="00F83F45" w:rsidR="00FD1EF4">
        <w:t xml:space="preserve">the </w:t>
      </w:r>
      <w:r w:rsidRPr="00F83F45">
        <w:t xml:space="preserve">first applicant argued that a person can be found guilty of </w:t>
      </w:r>
      <w:r w:rsidRPr="00F83F45" w:rsidR="00FD1EF4">
        <w:t xml:space="preserve">the </w:t>
      </w:r>
      <w:r w:rsidRPr="00F83F45">
        <w:t>offence of “collaborationist activity”, of which he had been accused (see</w:t>
      </w:r>
      <w:r w:rsidRPr="00F83F45" w:rsidR="00625C44">
        <w:t> </w:t>
      </w:r>
      <w:r w:rsidRPr="00F83F45">
        <w:t xml:space="preserve">paragraph </w:t>
      </w:r>
      <w:r w:rsidRPr="00F83F45">
        <w:fldChar w:fldCharType="begin"/>
      </w:r>
      <w:r w:rsidRPr="00F83F45">
        <w:instrText xml:space="preserve"> REF facts_collaborationist_activity \h </w:instrText>
      </w:r>
      <w:r w:rsidRPr="00F83F45">
        <w:fldChar w:fldCharType="separate"/>
      </w:r>
      <w:r w:rsidRPr="00F83F45">
        <w:rPr>
          <w:noProof/>
        </w:rPr>
        <w:t>7</w:t>
      </w:r>
      <w:r w:rsidRPr="00F83F45">
        <w:fldChar w:fldCharType="end"/>
      </w:r>
      <w:r w:rsidRPr="00F83F45">
        <w:t xml:space="preserve"> above), only if they had provided some resources or services to </w:t>
      </w:r>
      <w:r w:rsidRPr="00F83F45" w:rsidR="00FD1EF4">
        <w:t xml:space="preserve">the </w:t>
      </w:r>
      <w:r w:rsidRPr="00F83F45">
        <w:t xml:space="preserve">occupying authorities, which </w:t>
      </w:r>
      <w:r w:rsidRPr="00F83F45" w:rsidR="00FD1EF4">
        <w:t xml:space="preserve">the </w:t>
      </w:r>
      <w:r w:rsidRPr="00F83F45">
        <w:t xml:space="preserve">first applicant had never done. </w:t>
      </w:r>
      <w:r w:rsidRPr="00F83F45" w:rsidR="00FD1EF4">
        <w:t xml:space="preserve">The </w:t>
      </w:r>
      <w:r w:rsidRPr="00F83F45">
        <w:t xml:space="preserve">overly broad definition of “collaborationist activity” had been criticised as contrary to international humanitarian law and international human rights law by </w:t>
      </w:r>
      <w:r w:rsidRPr="00F83F45" w:rsidR="00FD1EF4">
        <w:t xml:space="preserve">the </w:t>
      </w:r>
      <w:r w:rsidRPr="00F83F45">
        <w:t xml:space="preserve">OHCHR (see paragraph </w:t>
      </w:r>
      <w:r w:rsidRPr="00F83F45">
        <w:fldChar w:fldCharType="begin"/>
      </w:r>
      <w:r w:rsidRPr="00F83F45">
        <w:instrText xml:space="preserve"> REF frame_OHCHR \h </w:instrText>
      </w:r>
      <w:r w:rsidRPr="00F83F45">
        <w:fldChar w:fldCharType="separate"/>
      </w:r>
      <w:r w:rsidRPr="00F83F45">
        <w:rPr>
          <w:noProof/>
        </w:rPr>
        <w:t>45</w:t>
      </w:r>
      <w:r w:rsidRPr="00F83F45">
        <w:fldChar w:fldCharType="end"/>
      </w:r>
      <w:r w:rsidRPr="00F83F45">
        <w:t xml:space="preserve"> above). In </w:t>
      </w:r>
      <w:r w:rsidRPr="00F83F45" w:rsidR="00FD1EF4">
        <w:t xml:space="preserve">the </w:t>
      </w:r>
      <w:r w:rsidRPr="00F83F45">
        <w:t xml:space="preserve">conclusion of his reply to </w:t>
      </w:r>
      <w:r w:rsidRPr="00F83F45" w:rsidR="00FD1EF4">
        <w:t xml:space="preserve">the </w:t>
      </w:r>
      <w:r w:rsidRPr="00F83F45">
        <w:t>Government</w:t>
      </w:r>
      <w:r w:rsidRPr="00F83F45">
        <w:t>’</w:t>
      </w:r>
      <w:r w:rsidRPr="00F83F45">
        <w:t xml:space="preserve">s observations </w:t>
      </w:r>
      <w:r w:rsidRPr="00F83F45" w:rsidR="00FD1EF4">
        <w:t xml:space="preserve">the </w:t>
      </w:r>
      <w:r w:rsidRPr="00F83F45">
        <w:t xml:space="preserve">first applicant stated, however, that his detention for more than one year and seven months had been unjustified, disproportionate and had not met </w:t>
      </w:r>
      <w:r w:rsidRPr="00F83F45" w:rsidR="00FD1EF4">
        <w:t xml:space="preserve">the </w:t>
      </w:r>
      <w:r w:rsidRPr="00F83F45">
        <w:t xml:space="preserve">requirements of Article 5 § 3 of </w:t>
      </w:r>
      <w:r w:rsidRPr="00F83F45" w:rsidR="00FD1EF4">
        <w:t xml:space="preserve">the </w:t>
      </w:r>
      <w:r w:rsidRPr="00F83F45">
        <w:t xml:space="preserve">Convention; that </w:t>
      </w:r>
      <w:r w:rsidRPr="00F83F45" w:rsidR="00FD1EF4">
        <w:t xml:space="preserve">the </w:t>
      </w:r>
      <w:r w:rsidRPr="00F83F45">
        <w:t xml:space="preserve">national courts had failed to provide individualised, specific and convincing grounds for detention; and that they had not </w:t>
      </w:r>
      <w:r w:rsidRPr="00F83F45">
        <w:t xml:space="preserve">considered alternative preventive measures. He asked </w:t>
      </w:r>
      <w:r w:rsidRPr="00F83F45" w:rsidR="00FD1EF4">
        <w:t xml:space="preserve">the </w:t>
      </w:r>
      <w:r w:rsidRPr="00F83F45">
        <w:t>Court to find a violation of that provision and of Article 5 § 4.</w:t>
      </w:r>
    </w:p>
    <w:bookmarkStart w:name="law_scope_last" w:id="22"/>
    <w:p w:rsidRPr="00F83F45" w:rsidR="00F067E7" w:rsidP="00F83F45" w14:paraId="5FEA6A35" w14:textId="7651284C">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49</w:t>
      </w:r>
      <w:r w:rsidRPr="00F83F45">
        <w:fldChar w:fldCharType="end"/>
      </w:r>
      <w:bookmarkEnd w:id="22"/>
      <w:r w:rsidRPr="00F83F45">
        <w:t>.  </w:t>
      </w:r>
      <w:r w:rsidRPr="00F83F45" w:rsidR="00FD1EF4">
        <w:t xml:space="preserve">The </w:t>
      </w:r>
      <w:r w:rsidRPr="00F83F45">
        <w:t xml:space="preserve">Court observes that </w:t>
      </w:r>
      <w:r w:rsidRPr="00F83F45" w:rsidR="00FD1EF4">
        <w:t xml:space="preserve">the </w:t>
      </w:r>
      <w:r w:rsidRPr="00F83F45">
        <w:t>first applicant</w:t>
      </w:r>
      <w:r w:rsidRPr="00F83F45" w:rsidR="00F83F45">
        <w:t>’</w:t>
      </w:r>
      <w:r w:rsidRPr="00F83F45">
        <w:t xml:space="preserve">s argument that his actions did not meet </w:t>
      </w:r>
      <w:r w:rsidRPr="00F83F45" w:rsidR="00FD1EF4">
        <w:t xml:space="preserve">the </w:t>
      </w:r>
      <w:r w:rsidRPr="00F83F45">
        <w:t xml:space="preserve">definition of “collaborationist activity” was not raised in his application form. In view of </w:t>
      </w:r>
      <w:r w:rsidRPr="00F83F45" w:rsidR="00FD1EF4">
        <w:t xml:space="preserve">the </w:t>
      </w:r>
      <w:r w:rsidRPr="00F83F45">
        <w:t xml:space="preserve">conclusion of </w:t>
      </w:r>
      <w:r w:rsidRPr="00F83F45" w:rsidR="00FD1EF4">
        <w:t xml:space="preserve">the </w:t>
      </w:r>
      <w:r w:rsidRPr="00F83F45">
        <w:t>first applicant</w:t>
      </w:r>
      <w:r w:rsidRPr="00F83F45" w:rsidR="00F83F45">
        <w:t>’</w:t>
      </w:r>
      <w:r w:rsidRPr="00F83F45">
        <w:t xml:space="preserve">s reply to </w:t>
      </w:r>
      <w:r w:rsidRPr="00F83F45" w:rsidR="00FD1EF4">
        <w:t xml:space="preserve">the </w:t>
      </w:r>
      <w:r w:rsidRPr="00F83F45">
        <w:t>Government</w:t>
      </w:r>
      <w:r w:rsidRPr="00F83F45" w:rsidR="00F83F45">
        <w:t>’</w:t>
      </w:r>
      <w:r w:rsidRPr="00F83F45">
        <w:t xml:space="preserve">s observations, </w:t>
      </w:r>
      <w:r w:rsidRPr="00F83F45" w:rsidR="00FD1EF4">
        <w:t xml:space="preserve">the </w:t>
      </w:r>
      <w:r w:rsidRPr="00F83F45">
        <w:t xml:space="preserve">Court finds that this should not be seen as an introduction of a new complaint but rather an additional argument in support of </w:t>
      </w:r>
      <w:r w:rsidRPr="00F83F45" w:rsidR="00FD1EF4">
        <w:t xml:space="preserve">the </w:t>
      </w:r>
      <w:r w:rsidRPr="00F83F45">
        <w:t xml:space="preserve">complaint that </w:t>
      </w:r>
      <w:r w:rsidRPr="00F83F45" w:rsidR="00FD1EF4">
        <w:t xml:space="preserve">the </w:t>
      </w:r>
      <w:r w:rsidRPr="00F83F45">
        <w:t xml:space="preserve">detention was unjustified, under Article 5 § 3 of </w:t>
      </w:r>
      <w:r w:rsidRPr="00F83F45" w:rsidR="00FD1EF4">
        <w:t xml:space="preserve">the </w:t>
      </w:r>
      <w:r w:rsidRPr="00F83F45">
        <w:t xml:space="preserve">Convention, which </w:t>
      </w:r>
      <w:r w:rsidRPr="00F83F45" w:rsidR="00FD1EF4">
        <w:t xml:space="preserve">the </w:t>
      </w:r>
      <w:r w:rsidRPr="00F83F45">
        <w:t>applicant already submitted in his application form.</w:t>
      </w:r>
    </w:p>
    <w:p w:rsidRPr="00F83F45" w:rsidR="00F067E7" w:rsidP="00F83F45" w14:paraId="3EF967FE" w14:textId="0C3694F4">
      <w:pPr>
        <w:pStyle w:val="JuHIRoman"/>
        <w:tabs>
          <w:tab w:val="left" w:pos="567"/>
          <w:tab w:val="left" w:pos="680"/>
        </w:tabs>
        <w:ind w:left="397" w:hanging="397"/>
      </w:pPr>
      <w:r w:rsidRPr="00F83F45">
        <w:t xml:space="preserve">ALLEGED VIOLATION OF ARTICLE 5 OF </w:t>
      </w:r>
      <w:r w:rsidRPr="00F83F45" w:rsidR="00FD1EF4">
        <w:t xml:space="preserve">THE </w:t>
      </w:r>
      <w:r w:rsidRPr="00F83F45">
        <w:t xml:space="preserve">CONVENTION IN RESPECT OF </w:t>
      </w:r>
      <w:r w:rsidRPr="00F83F45" w:rsidR="00FD1EF4">
        <w:t xml:space="preserve">THE </w:t>
      </w:r>
      <w:r w:rsidRPr="00F83F45">
        <w:t>FIRST APPLICANT</w:t>
      </w:r>
    </w:p>
    <w:p w:rsidRPr="00F83F45" w:rsidR="00F067E7" w:rsidP="00F83F45" w14:paraId="011754F7" w14:textId="45F739A4">
      <w:pPr>
        <w:pStyle w:val="JuPara"/>
      </w:pPr>
      <w:r>
        <w:fldChar w:fldCharType="begin"/>
      </w:r>
      <w:r>
        <w:instrText xml:space="preserve"> SEQ level0 \*arabic \* MERGEFORMAT </w:instrText>
      </w:r>
      <w:r>
        <w:fldChar w:fldCharType="separate"/>
      </w:r>
      <w:r w:rsidRPr="00F83F45">
        <w:rPr>
          <w:noProof/>
        </w:rPr>
        <w:t>50</w:t>
      </w:r>
      <w:r w:rsidRPr="00F83F45">
        <w:rPr>
          <w:noProof/>
        </w:rPr>
        <w:fldChar w:fldCharType="end"/>
      </w:r>
      <w:r w:rsidRPr="00F83F45">
        <w:t>.  </w:t>
      </w:r>
      <w:r w:rsidRPr="00F83F45" w:rsidR="00FD1EF4">
        <w:t xml:space="preserve">The </w:t>
      </w:r>
      <w:r w:rsidRPr="00F83F45">
        <w:t xml:space="preserve">first applicant, relying on Article 5 §§ 3 and 4 of </w:t>
      </w:r>
      <w:r w:rsidRPr="00F83F45" w:rsidR="00FD1EF4">
        <w:t xml:space="preserve">the </w:t>
      </w:r>
      <w:r w:rsidRPr="00F83F45">
        <w:t xml:space="preserve">Convention, complained that </w:t>
      </w:r>
      <w:r w:rsidRPr="00F83F45" w:rsidR="00FD1EF4">
        <w:t xml:space="preserve">the </w:t>
      </w:r>
      <w:r w:rsidRPr="00F83F45">
        <w:t xml:space="preserve">courts had not examined </w:t>
      </w:r>
      <w:r w:rsidRPr="00F83F45" w:rsidR="00FD1EF4">
        <w:t xml:space="preserve">the </w:t>
      </w:r>
      <w:r w:rsidRPr="00F83F45">
        <w:t>possibility of imposing a non-custodial preventive measure and had disregarded his arguments in favour of his release.</w:t>
      </w:r>
    </w:p>
    <w:p w:rsidRPr="00F83F45" w:rsidR="00F067E7" w:rsidP="00F83F45" w14:paraId="77234B76" w14:textId="2860821C">
      <w:pPr>
        <w:pStyle w:val="JuPara"/>
      </w:pPr>
      <w:r>
        <w:fldChar w:fldCharType="begin"/>
      </w:r>
      <w:r>
        <w:instrText xml:space="preserve"> SEQ level0 \*arabic \* MERGEFORMAT </w:instrText>
      </w:r>
      <w:r>
        <w:fldChar w:fldCharType="separate"/>
      </w:r>
      <w:r w:rsidRPr="00F83F45">
        <w:rPr>
          <w:noProof/>
        </w:rPr>
        <w:t>51</w:t>
      </w:r>
      <w:r w:rsidRPr="00F83F45">
        <w:rPr>
          <w:noProof/>
        </w:rPr>
        <w:fldChar w:fldCharType="end"/>
      </w:r>
      <w:r w:rsidRPr="00F83F45">
        <w:t>.  </w:t>
      </w:r>
      <w:r w:rsidRPr="00F83F45" w:rsidR="00FD1EF4">
        <w:t xml:space="preserve">The </w:t>
      </w:r>
      <w:r w:rsidRPr="00F83F45">
        <w:t xml:space="preserve">Court, being master of </w:t>
      </w:r>
      <w:r w:rsidRPr="00F83F45" w:rsidR="00FD1EF4">
        <w:t xml:space="preserve">the </w:t>
      </w:r>
      <w:r w:rsidRPr="00F83F45">
        <w:t xml:space="preserve">characterisation to be given in law to </w:t>
      </w:r>
      <w:r w:rsidRPr="00F83F45" w:rsidR="00FD1EF4">
        <w:t xml:space="preserve">the </w:t>
      </w:r>
      <w:r w:rsidRPr="00F83F45">
        <w:t xml:space="preserve">facts of </w:t>
      </w:r>
      <w:r w:rsidRPr="00F83F45" w:rsidR="00FD1EF4">
        <w:t xml:space="preserve">the </w:t>
      </w:r>
      <w:r w:rsidRPr="00F83F45">
        <w:t xml:space="preserve">case (compare </w:t>
      </w:r>
      <w:bookmarkStart w:name="_cl22834THELAW" w:id="23"/>
      <w:r w:rsidRPr="00F83F45">
        <w:rPr>
          <w:i/>
          <w:iCs/>
        </w:rPr>
        <w:t>Buzadji</w:t>
      </w:r>
      <w:r w:rsidRPr="00F83F45">
        <w:rPr>
          <w:i/>
          <w:iCs/>
        </w:rPr>
        <w:t xml:space="preserve"> v. </w:t>
      </w:r>
      <w:r w:rsidRPr="00F83F45" w:rsidR="00FD1EF4">
        <w:rPr>
          <w:i/>
          <w:iCs/>
        </w:rPr>
        <w:t xml:space="preserve">the </w:t>
      </w:r>
      <w:r w:rsidRPr="00F83F45">
        <w:rPr>
          <w:i/>
          <w:iCs/>
        </w:rPr>
        <w:t>Republic of Moldova</w:t>
      </w:r>
      <w:bookmarkEnd w:id="23"/>
      <w:r w:rsidRPr="00F83F45">
        <w:t xml:space="preserve"> [GC], no. 23755/07, § 61, 5 July 2016; </w:t>
      </w:r>
      <w:bookmarkStart w:name="_cl29879THELAW" w:id="24"/>
      <w:r w:rsidRPr="00F83F45">
        <w:rPr>
          <w:i/>
          <w:iCs/>
        </w:rPr>
        <w:t>Kuc v. Slovakia</w:t>
      </w:r>
      <w:bookmarkEnd w:id="24"/>
      <w:r w:rsidRPr="00F83F45">
        <w:t xml:space="preserve">, no. 37498/14, §§ 34-35, 25 July 2017l; and </w:t>
      </w:r>
      <w:bookmarkStart w:name="_cl37863THELAW" w:id="25"/>
      <w:r w:rsidRPr="00F83F45">
        <w:rPr>
          <w:i/>
          <w:iCs/>
        </w:rPr>
        <w:t>Titarenko</w:t>
      </w:r>
      <w:r w:rsidRPr="00F83F45">
        <w:rPr>
          <w:i/>
          <w:iCs/>
        </w:rPr>
        <w:t xml:space="preserve"> v. Ukraine</w:t>
      </w:r>
      <w:bookmarkEnd w:id="25"/>
      <w:r w:rsidRPr="00F83F45">
        <w:t xml:space="preserve">, no. 31720/02, § 65, 20 September 2012), finds that </w:t>
      </w:r>
      <w:r w:rsidRPr="00F83F45" w:rsidR="00FD1EF4">
        <w:t xml:space="preserve">the </w:t>
      </w:r>
      <w:r w:rsidRPr="00F83F45">
        <w:t xml:space="preserve">complaints at issue fall to be examined from </w:t>
      </w:r>
      <w:r w:rsidRPr="00F83F45" w:rsidR="00FD1EF4">
        <w:t xml:space="preserve">the </w:t>
      </w:r>
      <w:r w:rsidRPr="00F83F45">
        <w:t xml:space="preserve">standpoint of Article 5 § 3 of </w:t>
      </w:r>
      <w:r w:rsidRPr="00F83F45" w:rsidR="00FD1EF4">
        <w:t xml:space="preserve">the </w:t>
      </w:r>
      <w:r w:rsidRPr="00F83F45">
        <w:t>Convention, which reads as follows:</w:t>
      </w:r>
    </w:p>
    <w:p w:rsidRPr="00F83F45" w:rsidR="00F067E7" w:rsidP="00F83F45" w14:paraId="2012F5DE" w14:textId="338A6526">
      <w:pPr>
        <w:pStyle w:val="JuQuot"/>
      </w:pPr>
      <w:r w:rsidRPr="00F83F45">
        <w:t xml:space="preserve">“3.  Everyone arrested or detained in accordance with </w:t>
      </w:r>
      <w:r w:rsidRPr="00F83F45" w:rsidR="00FD1EF4">
        <w:t xml:space="preserve">the </w:t>
      </w:r>
      <w:r w:rsidRPr="00F83F45">
        <w:t>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F83F45" w:rsidR="00F067E7" w:rsidP="00F83F45" w14:paraId="126EF861" w14:textId="77777777">
      <w:pPr>
        <w:pStyle w:val="JuHA"/>
      </w:pPr>
      <w:r w:rsidRPr="00F83F45">
        <w:t>Admissibility</w:t>
      </w:r>
    </w:p>
    <w:p w:rsidRPr="00F83F45" w:rsidR="00F067E7" w:rsidP="00F83F45" w14:paraId="463B5397" w14:textId="36FAEA44">
      <w:pPr>
        <w:pStyle w:val="JuPara"/>
      </w:pPr>
      <w:r>
        <w:fldChar w:fldCharType="begin"/>
      </w:r>
      <w:r>
        <w:instrText xml:space="preserve"> SEQ level0 \*arabic \* MERGEFORMAT </w:instrText>
      </w:r>
      <w:r>
        <w:fldChar w:fldCharType="separate"/>
      </w:r>
      <w:r w:rsidRPr="00F83F45">
        <w:rPr>
          <w:noProof/>
        </w:rPr>
        <w:t>52</w:t>
      </w:r>
      <w:r w:rsidRPr="00F83F45">
        <w:rPr>
          <w:noProof/>
        </w:rPr>
        <w:fldChar w:fldCharType="end"/>
      </w:r>
      <w:r w:rsidRPr="00F83F45">
        <w:t>.  </w:t>
      </w:r>
      <w:r w:rsidRPr="00F83F45" w:rsidR="00FD1EF4">
        <w:t xml:space="preserve">The </w:t>
      </w:r>
      <w:r w:rsidRPr="00F83F45">
        <w:t xml:space="preserve">Court notes that this complaint is neither manifestly ill-founded nor inadmissible on any other grounds listed in Article 35 of </w:t>
      </w:r>
      <w:r w:rsidRPr="00F83F45" w:rsidR="00FD1EF4">
        <w:t xml:space="preserve">the </w:t>
      </w:r>
      <w:r w:rsidRPr="00F83F45">
        <w:t>Convention. It must therefore be declared admissible.</w:t>
      </w:r>
    </w:p>
    <w:p w:rsidRPr="00F83F45" w:rsidR="00F067E7" w:rsidP="00F83F45" w14:paraId="6D02A417" w14:textId="77777777">
      <w:pPr>
        <w:pStyle w:val="JuHA"/>
      </w:pPr>
      <w:r w:rsidRPr="00F83F45">
        <w:t>Merits</w:t>
      </w:r>
    </w:p>
    <w:p w:rsidRPr="00F83F45" w:rsidR="00F067E7" w:rsidP="00F83F45" w14:paraId="195DF733" w14:textId="38EF086A">
      <w:pPr>
        <w:pStyle w:val="JuH1"/>
      </w:pPr>
      <w:r w:rsidRPr="00F83F45">
        <w:t xml:space="preserve">The </w:t>
      </w:r>
      <w:r w:rsidRPr="00F83F45">
        <w:t>parties</w:t>
      </w:r>
      <w:r w:rsidRPr="00F83F45" w:rsidR="00F83F45">
        <w:t>’</w:t>
      </w:r>
      <w:r w:rsidRPr="00F83F45">
        <w:t xml:space="preserve"> submissions</w:t>
      </w:r>
    </w:p>
    <w:p w:rsidRPr="00F83F45" w:rsidR="00F067E7" w:rsidP="00F83F45" w14:paraId="44E12848" w14:textId="70655B7A">
      <w:pPr>
        <w:pStyle w:val="JuHa0"/>
      </w:pPr>
      <w:r w:rsidRPr="00F83F45">
        <w:t xml:space="preserve">The </w:t>
      </w:r>
      <w:r w:rsidRPr="00F83F45">
        <w:t>first applicant</w:t>
      </w:r>
    </w:p>
    <w:p w:rsidRPr="00F83F45" w:rsidR="00F067E7" w:rsidP="00F83F45" w14:paraId="0CD33A4F" w14:textId="0A256502">
      <w:pPr>
        <w:pStyle w:val="JuPara"/>
      </w:pPr>
      <w:r>
        <w:fldChar w:fldCharType="begin"/>
      </w:r>
      <w:r>
        <w:instrText xml:space="preserve"> SEQ level0 \*arabic \* MERGEFORMAT </w:instrText>
      </w:r>
      <w:r>
        <w:fldChar w:fldCharType="separate"/>
      </w:r>
      <w:r w:rsidRPr="00F83F45">
        <w:rPr>
          <w:noProof/>
        </w:rPr>
        <w:t>53</w:t>
      </w:r>
      <w:r w:rsidRPr="00F83F45">
        <w:rPr>
          <w:noProof/>
        </w:rPr>
        <w:fldChar w:fldCharType="end"/>
      </w:r>
      <w:r w:rsidRPr="00F83F45">
        <w:t>.  </w:t>
      </w:r>
      <w:r w:rsidRPr="00F83F45" w:rsidR="00FD1EF4">
        <w:t xml:space="preserve">The </w:t>
      </w:r>
      <w:r w:rsidRPr="00F83F45">
        <w:t xml:space="preserve">first applicant submitted that </w:t>
      </w:r>
      <w:r w:rsidRPr="00F83F45" w:rsidR="00FD1EF4">
        <w:t xml:space="preserve">the </w:t>
      </w:r>
      <w:r w:rsidRPr="00F83F45">
        <w:t>domestic courts</w:t>
      </w:r>
      <w:r w:rsidRPr="00F83F45">
        <w:t>’</w:t>
      </w:r>
      <w:r w:rsidRPr="00F83F45">
        <w:t xml:space="preserve"> decisions had repeated </w:t>
      </w:r>
      <w:r w:rsidRPr="00F83F45" w:rsidR="00FD1EF4">
        <w:t xml:space="preserve">the </w:t>
      </w:r>
      <w:r w:rsidRPr="00F83F45">
        <w:t xml:space="preserve">arguments raised in </w:t>
      </w:r>
      <w:r w:rsidRPr="00F83F45" w:rsidR="00FD1EF4">
        <w:t xml:space="preserve">the </w:t>
      </w:r>
      <w:r w:rsidRPr="00F83F45">
        <w:t>applications for pre-trial detention. They</w:t>
      </w:r>
      <w:r w:rsidRPr="00F83F45" w:rsidR="00F32230">
        <w:t> </w:t>
      </w:r>
      <w:r w:rsidRPr="00F83F45">
        <w:t xml:space="preserve">had disregarded </w:t>
      </w:r>
      <w:r w:rsidRPr="00F83F45" w:rsidR="00FD1EF4">
        <w:t xml:space="preserve">the </w:t>
      </w:r>
      <w:r w:rsidRPr="00F83F45">
        <w:t>defence</w:t>
      </w:r>
      <w:r w:rsidRPr="00F83F45">
        <w:t>’</w:t>
      </w:r>
      <w:r w:rsidRPr="00F83F45">
        <w:t xml:space="preserve">s arguments that </w:t>
      </w:r>
      <w:r w:rsidRPr="00F83F45" w:rsidR="00FD1EF4">
        <w:t xml:space="preserve">the </w:t>
      </w:r>
      <w:r w:rsidRPr="00F83F45">
        <w:t xml:space="preserve">first applicant had not absconded prior to his arrest, despite having had an opportunity to do so owing to </w:t>
      </w:r>
      <w:r w:rsidRPr="00F83F45" w:rsidR="00FD1EF4">
        <w:t xml:space="preserve">the </w:t>
      </w:r>
      <w:r w:rsidRPr="00F83F45">
        <w:t xml:space="preserve">combat operations in </w:t>
      </w:r>
      <w:r w:rsidRPr="00F83F45" w:rsidR="00FD1EF4">
        <w:t xml:space="preserve">the </w:t>
      </w:r>
      <w:r w:rsidRPr="00F83F45">
        <w:t xml:space="preserve">area; that he could not leave Ukraine </w:t>
      </w:r>
      <w:r w:rsidRPr="00F83F45">
        <w:t xml:space="preserve">because of a prohibition imposed in Ukrainian law on men under 60 years of age leaving Ukraine; that he had been married, had adult children, had a permanent place of residence and owned real estate in </w:t>
      </w:r>
      <w:r w:rsidRPr="00F83F45" w:rsidR="00FD1EF4">
        <w:t xml:space="preserve">the </w:t>
      </w:r>
      <w:r w:rsidRPr="00F83F45">
        <w:t xml:space="preserve">area; and that </w:t>
      </w:r>
      <w:r w:rsidRPr="00F83F45" w:rsidR="00FD1EF4">
        <w:t xml:space="preserve">the </w:t>
      </w:r>
      <w:r w:rsidRPr="00F83F45">
        <w:t>offence with which he had been charged had been “less serious” and punishable by a fine.</w:t>
      </w:r>
    </w:p>
    <w:p w:rsidRPr="00F83F45" w:rsidR="00F067E7" w:rsidP="00F83F45" w14:paraId="1E70AE9C" w14:textId="54F25D06">
      <w:pPr>
        <w:pStyle w:val="JuHa0"/>
      </w:pPr>
      <w:r w:rsidRPr="00F83F45">
        <w:t xml:space="preserve">The </w:t>
      </w:r>
      <w:r w:rsidRPr="00F83F45">
        <w:t>Government</w:t>
      </w:r>
    </w:p>
    <w:p w:rsidRPr="00F83F45" w:rsidR="00F067E7" w:rsidP="00F83F45" w14:paraId="63E75C34" w14:textId="7D3E3976">
      <w:pPr>
        <w:pStyle w:val="JuHi"/>
      </w:pPr>
      <w:r w:rsidRPr="00F83F45">
        <w:t xml:space="preserve">As to </w:t>
      </w:r>
      <w:r w:rsidRPr="00F83F45" w:rsidR="00FD1EF4">
        <w:t xml:space="preserve">the </w:t>
      </w:r>
      <w:r w:rsidRPr="00F83F45">
        <w:t>Wartime Detention Clause in general</w:t>
      </w:r>
    </w:p>
    <w:p w:rsidRPr="00F83F45" w:rsidR="00F067E7" w:rsidP="00F83F45" w14:paraId="3DC9264F" w14:textId="545C7C9F">
      <w:pPr>
        <w:pStyle w:val="JuPara"/>
      </w:pPr>
      <w:r>
        <w:fldChar w:fldCharType="begin"/>
      </w:r>
      <w:r>
        <w:instrText xml:space="preserve"> SEQ level0 \*arabic \* MERGEFORMAT </w:instrText>
      </w:r>
      <w:r>
        <w:fldChar w:fldCharType="separate"/>
      </w:r>
      <w:r w:rsidRPr="00F83F45">
        <w:rPr>
          <w:noProof/>
        </w:rPr>
        <w:t>54</w:t>
      </w:r>
      <w:r w:rsidRPr="00F83F45">
        <w:rPr>
          <w:noProof/>
        </w:rPr>
        <w:fldChar w:fldCharType="end"/>
      </w:r>
      <w:r w:rsidRPr="00F83F45">
        <w:t>.  </w:t>
      </w:r>
      <w:r w:rsidRPr="00F83F45" w:rsidR="00FD1EF4">
        <w:t xml:space="preserve">The </w:t>
      </w:r>
      <w:r w:rsidRPr="00F83F45">
        <w:t>domestic courts</w:t>
      </w:r>
      <w:r w:rsidRPr="00F83F45">
        <w:t>’</w:t>
      </w:r>
      <w:r w:rsidRPr="00F83F45">
        <w:t xml:space="preserve"> reliance on </w:t>
      </w:r>
      <w:r w:rsidRPr="00F83F45" w:rsidR="00FD1EF4">
        <w:t xml:space="preserve">the </w:t>
      </w:r>
      <w:r w:rsidRPr="00F83F45">
        <w:t xml:space="preserve">Wartime Detention Clause had been compatible with Article 5 § 3 of </w:t>
      </w:r>
      <w:r w:rsidRPr="00F83F45" w:rsidR="00FD1EF4">
        <w:t xml:space="preserve">the </w:t>
      </w:r>
      <w:r w:rsidRPr="00F83F45">
        <w:t xml:space="preserve">Convention. Referring to </w:t>
      </w:r>
      <w:r w:rsidRPr="00F83F45">
        <w:rPr>
          <w:i/>
          <w:iCs/>
        </w:rPr>
        <w:t>Grubnyk</w:t>
      </w:r>
      <w:r w:rsidRPr="00F83F45" w:rsidR="00FD1EF4">
        <w:rPr>
          <w:i/>
          <w:iCs/>
        </w:rPr>
        <w:t xml:space="preserve"> </w:t>
      </w:r>
      <w:r w:rsidRPr="00F83F45">
        <w:rPr>
          <w:i/>
          <w:iCs/>
        </w:rPr>
        <w:t>v. Ukraine</w:t>
      </w:r>
      <w:r w:rsidRPr="00F83F45">
        <w:t xml:space="preserve"> (no. 58444/15, 17 September 2020) </w:t>
      </w:r>
      <w:r w:rsidRPr="00F83F45" w:rsidR="00FD1EF4">
        <w:t xml:space="preserve">the </w:t>
      </w:r>
      <w:r w:rsidRPr="00F83F45">
        <w:t xml:space="preserve">Government submitted that pre-trial detention under </w:t>
      </w:r>
      <w:r w:rsidRPr="00F83F45" w:rsidR="00FD1EF4">
        <w:t xml:space="preserve">the </w:t>
      </w:r>
      <w:r w:rsidRPr="00F83F45">
        <w:t xml:space="preserve">Wartime Detention Clause was not </w:t>
      </w:r>
      <w:r w:rsidRPr="00F83F45" w:rsidR="00FD1EF4">
        <w:t xml:space="preserve">the </w:t>
      </w:r>
      <w:r w:rsidRPr="00F83F45">
        <w:t xml:space="preserve">only measure allowed and that </w:t>
      </w:r>
      <w:r w:rsidRPr="00F83F45" w:rsidR="00FD1EF4">
        <w:t xml:space="preserve">the </w:t>
      </w:r>
      <w:r w:rsidRPr="00F83F45">
        <w:t xml:space="preserve">legislature established </w:t>
      </w:r>
      <w:r w:rsidRPr="00F83F45" w:rsidR="00FD1EF4">
        <w:t xml:space="preserve">the </w:t>
      </w:r>
      <w:r w:rsidRPr="00F83F45">
        <w:t xml:space="preserve">discretion of </w:t>
      </w:r>
      <w:r w:rsidRPr="00F83F45" w:rsidR="00FD1EF4">
        <w:t xml:space="preserve">the </w:t>
      </w:r>
      <w:r w:rsidRPr="00F83F45">
        <w:t xml:space="preserve">domestic courts in </w:t>
      </w:r>
      <w:r w:rsidRPr="00F83F45" w:rsidR="00FD1EF4">
        <w:t xml:space="preserve">the </w:t>
      </w:r>
      <w:r w:rsidRPr="00F83F45">
        <w:t xml:space="preserve">application of detention by taking into account </w:t>
      </w:r>
      <w:r w:rsidRPr="00F83F45" w:rsidR="00FD1EF4">
        <w:t xml:space="preserve">the </w:t>
      </w:r>
      <w:r w:rsidRPr="00F83F45">
        <w:t xml:space="preserve">grounds and circumstances set out in Articles 177 and 178 of </w:t>
      </w:r>
      <w:r w:rsidRPr="00F83F45" w:rsidR="00FD1EF4">
        <w:t xml:space="preserve">the </w:t>
      </w:r>
      <w:r w:rsidRPr="00F83F45">
        <w:t xml:space="preserve">Code of Criminal Procedure. In </w:t>
      </w:r>
      <w:r w:rsidRPr="00F83F45" w:rsidR="00FD1EF4">
        <w:t xml:space="preserve">the </w:t>
      </w:r>
      <w:r w:rsidRPr="00F83F45">
        <w:t>applicants</w:t>
      </w:r>
      <w:r w:rsidRPr="00F83F45">
        <w:t>’</w:t>
      </w:r>
      <w:r w:rsidRPr="00F83F45">
        <w:t xml:space="preserve"> cases </w:t>
      </w:r>
      <w:r w:rsidRPr="00F83F45" w:rsidR="00FD1EF4">
        <w:t xml:space="preserve">the </w:t>
      </w:r>
      <w:r w:rsidRPr="00F83F45">
        <w:t xml:space="preserve">domestic courts, which had had before them considerable evidence in support of </w:t>
      </w:r>
      <w:r w:rsidRPr="00F83F45" w:rsidR="00FD1EF4">
        <w:t xml:space="preserve">the </w:t>
      </w:r>
      <w:r w:rsidRPr="00F83F45">
        <w:t xml:space="preserve">suspicion against </w:t>
      </w:r>
      <w:r w:rsidRPr="00F83F45" w:rsidR="00FD1EF4">
        <w:t xml:space="preserve">the </w:t>
      </w:r>
      <w:r w:rsidRPr="00F83F45">
        <w:t xml:space="preserve">applicants, had exercised that power of control in their cases. </w:t>
      </w:r>
      <w:r w:rsidRPr="00F83F45" w:rsidR="00FD1EF4">
        <w:t xml:space="preserve">The </w:t>
      </w:r>
      <w:r w:rsidRPr="00F83F45">
        <w:t xml:space="preserve">domestic courts had conducted a comprehensive analysis of all </w:t>
      </w:r>
      <w:r w:rsidRPr="00F83F45" w:rsidR="00FD1EF4">
        <w:t xml:space="preserve">the </w:t>
      </w:r>
      <w:r w:rsidRPr="00F83F45">
        <w:t xml:space="preserve">circumstances of </w:t>
      </w:r>
      <w:r w:rsidRPr="00F83F45" w:rsidR="00FD1EF4">
        <w:t xml:space="preserve">the </w:t>
      </w:r>
      <w:r w:rsidRPr="00F83F45">
        <w:t xml:space="preserve">cases and struck a balance between </w:t>
      </w:r>
      <w:r w:rsidRPr="00F83F45" w:rsidR="00FD1EF4">
        <w:t xml:space="preserve">the </w:t>
      </w:r>
      <w:r w:rsidRPr="00F83F45">
        <w:t xml:space="preserve">interests of society and </w:t>
      </w:r>
      <w:r w:rsidRPr="00F83F45" w:rsidR="00FD1EF4">
        <w:t xml:space="preserve">the </w:t>
      </w:r>
      <w:r w:rsidRPr="00F83F45">
        <w:t xml:space="preserve">rights of </w:t>
      </w:r>
      <w:r w:rsidRPr="00F83F45" w:rsidR="00FD1EF4">
        <w:t xml:space="preserve">the </w:t>
      </w:r>
      <w:r w:rsidRPr="00F83F45">
        <w:t xml:space="preserve">applicants. </w:t>
      </w:r>
      <w:r w:rsidRPr="00F83F45" w:rsidR="00FD1EF4">
        <w:t xml:space="preserve">The </w:t>
      </w:r>
      <w:r w:rsidRPr="00F83F45">
        <w:t xml:space="preserve">risks provided for in Article 177 § 1 of </w:t>
      </w:r>
      <w:r w:rsidRPr="00F83F45" w:rsidR="00FD1EF4">
        <w:t xml:space="preserve">the </w:t>
      </w:r>
      <w:r w:rsidRPr="00F83F45">
        <w:t xml:space="preserve">Code of Criminal Procedure had been established and substantiated. Given </w:t>
      </w:r>
      <w:r w:rsidRPr="00F83F45" w:rsidR="00FD1EF4">
        <w:t xml:space="preserve">the </w:t>
      </w:r>
      <w:r w:rsidRPr="00F83F45">
        <w:t xml:space="preserve">specific circumstances of </w:t>
      </w:r>
      <w:r w:rsidRPr="00F83F45" w:rsidR="00FD1EF4">
        <w:t xml:space="preserve">the </w:t>
      </w:r>
      <w:r w:rsidRPr="00F83F45">
        <w:t>criminal cases (crimes</w:t>
      </w:r>
      <w:r w:rsidRPr="00F83F45" w:rsidR="00FD0795">
        <w:rPr>
          <w:lang w:val="uk-UA"/>
        </w:rPr>
        <w:t> </w:t>
      </w:r>
      <w:r w:rsidRPr="00F83F45">
        <w:t xml:space="preserve">committed against </w:t>
      </w:r>
      <w:r w:rsidRPr="00F83F45" w:rsidR="00FD1EF4">
        <w:t xml:space="preserve">the </w:t>
      </w:r>
      <w:r w:rsidRPr="00F83F45">
        <w:t xml:space="preserve">foundations of Ukrainian national security during martial law), </w:t>
      </w:r>
      <w:r w:rsidRPr="00F83F45" w:rsidR="00FD1EF4">
        <w:t xml:space="preserve">the </w:t>
      </w:r>
      <w:r w:rsidRPr="00F83F45">
        <w:t xml:space="preserve">risks had remained high enough to justify continued detention. </w:t>
      </w:r>
      <w:r w:rsidRPr="00F83F45" w:rsidR="00FD1EF4">
        <w:t xml:space="preserve">The </w:t>
      </w:r>
      <w:r w:rsidRPr="00F83F45">
        <w:t xml:space="preserve">domestic courts had provided regular judicial reviews of </w:t>
      </w:r>
      <w:r w:rsidRPr="00F83F45" w:rsidR="00FD1EF4">
        <w:t xml:space="preserve">the </w:t>
      </w:r>
      <w:r w:rsidRPr="00F83F45">
        <w:t xml:space="preserve">detention orders, ensuring that </w:t>
      </w:r>
      <w:r w:rsidRPr="00F83F45" w:rsidR="00FD1EF4">
        <w:t xml:space="preserve">the </w:t>
      </w:r>
      <w:r w:rsidRPr="00F83F45">
        <w:t xml:space="preserve">continued deprivation of liberty had remained necessary and proportionate. </w:t>
      </w:r>
      <w:r w:rsidRPr="00F83F45" w:rsidR="00FD1EF4">
        <w:t xml:space="preserve">The </w:t>
      </w:r>
      <w:r w:rsidRPr="00F83F45">
        <w:t>first-instance decisions had been reviewed and upheld on appeal.</w:t>
      </w:r>
    </w:p>
    <w:p w:rsidRPr="00F83F45" w:rsidR="00F067E7" w:rsidP="00F83F45" w14:paraId="68CF825B" w14:textId="70D83FEB">
      <w:pPr>
        <w:pStyle w:val="JuHi"/>
      </w:pPr>
      <w:r w:rsidRPr="00F83F45">
        <w:t xml:space="preserve">The </w:t>
      </w:r>
      <w:r w:rsidRPr="00F83F45">
        <w:t>first applicant</w:t>
      </w:r>
      <w:r w:rsidRPr="00F83F45" w:rsidR="00F83F45">
        <w:t>’</w:t>
      </w:r>
      <w:r w:rsidRPr="00F83F45">
        <w:t>s case specifically</w:t>
      </w:r>
    </w:p>
    <w:p w:rsidRPr="00F83F45" w:rsidR="00F067E7" w:rsidP="00F83F45" w14:paraId="7BC8DF35" w14:textId="61A2333D">
      <w:pPr>
        <w:pStyle w:val="JuPara"/>
      </w:pPr>
      <w:r>
        <w:fldChar w:fldCharType="begin"/>
      </w:r>
      <w:r>
        <w:instrText xml:space="preserve"> SEQ level0 \*arabic \* MERGEFORMAT </w:instrText>
      </w:r>
      <w:r>
        <w:fldChar w:fldCharType="separate"/>
      </w:r>
      <w:r w:rsidRPr="00F83F45">
        <w:rPr>
          <w:noProof/>
        </w:rPr>
        <w:t>55</w:t>
      </w:r>
      <w:r w:rsidRPr="00F83F45">
        <w:rPr>
          <w:noProof/>
        </w:rPr>
        <w:fldChar w:fldCharType="end"/>
      </w:r>
      <w:r w:rsidRPr="00F83F45">
        <w:t>.  </w:t>
      </w:r>
      <w:r w:rsidRPr="00F83F45" w:rsidR="00FD1EF4">
        <w:t xml:space="preserve">The </w:t>
      </w:r>
      <w:r w:rsidRPr="00F83F45">
        <w:t xml:space="preserve">Government submitted that </w:t>
      </w:r>
      <w:r w:rsidRPr="00F83F45" w:rsidR="00FD1EF4">
        <w:t xml:space="preserve">the </w:t>
      </w:r>
      <w:r w:rsidRPr="00F83F45">
        <w:t xml:space="preserve">domestic courts had justified </w:t>
      </w:r>
      <w:r w:rsidRPr="00F83F45" w:rsidR="00FD1EF4">
        <w:t xml:space="preserve">the </w:t>
      </w:r>
      <w:r w:rsidRPr="00F83F45">
        <w:t>first applicant</w:t>
      </w:r>
      <w:r w:rsidRPr="00F83F45">
        <w:t>’</w:t>
      </w:r>
      <w:r w:rsidRPr="00F83F45">
        <w:t xml:space="preserve">s detention with reference to </w:t>
      </w:r>
      <w:r w:rsidRPr="00F83F45" w:rsidR="00FD1EF4">
        <w:t xml:space="preserve">the </w:t>
      </w:r>
      <w:r w:rsidRPr="00F83F45">
        <w:t xml:space="preserve">facts and circumstances of </w:t>
      </w:r>
      <w:r w:rsidRPr="00F83F45" w:rsidR="00FD1EF4">
        <w:t xml:space="preserve">the </w:t>
      </w:r>
      <w:r w:rsidRPr="00F83F45">
        <w:t xml:space="preserve">criminal proceedings, giving specific (rather than general and formulaic) reasons for detention. </w:t>
      </w:r>
      <w:r w:rsidRPr="00F83F45" w:rsidR="00FD1EF4">
        <w:t xml:space="preserve">The </w:t>
      </w:r>
      <w:r w:rsidRPr="00F83F45">
        <w:t xml:space="preserve">exclusivity of </w:t>
      </w:r>
      <w:r w:rsidRPr="00F83F45" w:rsidR="00FD1EF4">
        <w:t xml:space="preserve">the </w:t>
      </w:r>
      <w:r w:rsidRPr="00F83F45">
        <w:t xml:space="preserve">circumstances of </w:t>
      </w:r>
      <w:r w:rsidRPr="00F83F45" w:rsidR="00FD1EF4">
        <w:t xml:space="preserve">the </w:t>
      </w:r>
      <w:r w:rsidRPr="00F83F45">
        <w:t>case meant that there had been genuine public interest in detention.</w:t>
      </w:r>
    </w:p>
    <w:p w:rsidRPr="00F83F45" w:rsidR="00F067E7" w:rsidP="00F83F45" w14:paraId="6427E1A6" w14:textId="516B8A5B">
      <w:pPr>
        <w:pStyle w:val="JuPara"/>
      </w:pPr>
      <w:r>
        <w:fldChar w:fldCharType="begin"/>
      </w:r>
      <w:r>
        <w:instrText xml:space="preserve"> SEQ level0 \*arabic \* MERGEFORMAT </w:instrText>
      </w:r>
      <w:r>
        <w:fldChar w:fldCharType="separate"/>
      </w:r>
      <w:r w:rsidRPr="00F83F45">
        <w:rPr>
          <w:noProof/>
        </w:rPr>
        <w:t>56</w:t>
      </w:r>
      <w:r w:rsidRPr="00F83F45">
        <w:rPr>
          <w:noProof/>
        </w:rPr>
        <w:fldChar w:fldCharType="end"/>
      </w:r>
      <w:r w:rsidRPr="00F83F45">
        <w:t>.  </w:t>
      </w:r>
      <w:r w:rsidRPr="00F83F45" w:rsidR="00FD1EF4">
        <w:t xml:space="preserve">The </w:t>
      </w:r>
      <w:r w:rsidRPr="00F83F45">
        <w:t xml:space="preserve">existence of </w:t>
      </w:r>
      <w:r w:rsidRPr="00F83F45" w:rsidR="00FD1EF4">
        <w:t xml:space="preserve">the </w:t>
      </w:r>
      <w:r w:rsidRPr="00F83F45">
        <w:t xml:space="preserve">risk of absconding was evidenced by </w:t>
      </w:r>
      <w:r w:rsidRPr="00F83F45" w:rsidR="00FD1EF4">
        <w:t xml:space="preserve">the </w:t>
      </w:r>
      <w:r w:rsidRPr="00F83F45">
        <w:t xml:space="preserve">fact that </w:t>
      </w:r>
      <w:r w:rsidRPr="00F83F45" w:rsidR="00FD1EF4">
        <w:t xml:space="preserve">the </w:t>
      </w:r>
      <w:r w:rsidRPr="00F83F45">
        <w:t xml:space="preserve">first applicant had cooperated with </w:t>
      </w:r>
      <w:r w:rsidRPr="00F83F45" w:rsidR="00FD1EF4">
        <w:t xml:space="preserve">the </w:t>
      </w:r>
      <w:r w:rsidRPr="00F83F45">
        <w:t xml:space="preserve">occupation authorities and by </w:t>
      </w:r>
      <w:r w:rsidRPr="00F83F45" w:rsidR="00FD1EF4">
        <w:t xml:space="preserve">the </w:t>
      </w:r>
      <w:r w:rsidRPr="00F83F45">
        <w:t xml:space="preserve">severity of </w:t>
      </w:r>
      <w:r w:rsidRPr="00F83F45" w:rsidR="00FD1EF4">
        <w:t xml:space="preserve">the </w:t>
      </w:r>
      <w:r w:rsidRPr="00F83F45">
        <w:t xml:space="preserve">punishment he faced. </w:t>
      </w:r>
      <w:r w:rsidRPr="00F83F45" w:rsidR="00FD1EF4">
        <w:t xml:space="preserve">The </w:t>
      </w:r>
      <w:r w:rsidRPr="00F83F45">
        <w:t xml:space="preserve">first applicant could have absconded to Russia, and he knew where </w:t>
      </w:r>
      <w:r w:rsidRPr="00F83F45" w:rsidR="00FD1EF4">
        <w:t xml:space="preserve">the </w:t>
      </w:r>
      <w:r w:rsidRPr="00F83F45">
        <w:t xml:space="preserve">witnesses lived and could have influenced them. </w:t>
      </w:r>
      <w:r w:rsidRPr="00F83F45" w:rsidR="00FD1EF4">
        <w:t xml:space="preserve">The </w:t>
      </w:r>
      <w:r w:rsidRPr="00F83F45">
        <w:t xml:space="preserve">investigating judge duly and fully examined </w:t>
      </w:r>
      <w:r w:rsidRPr="00F83F45" w:rsidR="00FD1EF4">
        <w:t xml:space="preserve">the </w:t>
      </w:r>
      <w:r w:rsidRPr="00F83F45">
        <w:t xml:space="preserve">available evidence, which was sufficiently strong to confirm </w:t>
      </w:r>
      <w:r w:rsidRPr="00F83F45" w:rsidR="00FD1EF4">
        <w:t xml:space="preserve">the </w:t>
      </w:r>
      <w:r w:rsidRPr="00F83F45">
        <w:t xml:space="preserve">validity of </w:t>
      </w:r>
      <w:r w:rsidRPr="00F83F45" w:rsidR="00FD1EF4">
        <w:t xml:space="preserve">the </w:t>
      </w:r>
      <w:r w:rsidRPr="00F83F45">
        <w:t xml:space="preserve">suspicion. </w:t>
      </w:r>
      <w:r w:rsidRPr="00F83F45" w:rsidR="00FD1EF4">
        <w:t xml:space="preserve">The </w:t>
      </w:r>
      <w:r w:rsidRPr="00F83F45">
        <w:t xml:space="preserve">courts also took into account </w:t>
      </w:r>
      <w:r w:rsidRPr="00F83F45" w:rsidR="00FD1EF4">
        <w:t xml:space="preserve">the </w:t>
      </w:r>
      <w:r w:rsidRPr="00F83F45">
        <w:t xml:space="preserve">fact that </w:t>
      </w:r>
      <w:r w:rsidRPr="00F83F45" w:rsidR="00FD1EF4">
        <w:t xml:space="preserve">the </w:t>
      </w:r>
      <w:r w:rsidRPr="00F83F45">
        <w:t xml:space="preserve">first applicant had committed a less serious offence against national security punishable by </w:t>
      </w:r>
      <w:r w:rsidRPr="00F83F45">
        <w:t xml:space="preserve">a fine or imprisonment. Being aware of </w:t>
      </w:r>
      <w:r w:rsidRPr="00F83F45" w:rsidR="00FD1EF4">
        <w:t xml:space="preserve">the </w:t>
      </w:r>
      <w:r w:rsidRPr="00F83F45">
        <w:t xml:space="preserve">seriousness of </w:t>
      </w:r>
      <w:r w:rsidRPr="00F83F45" w:rsidR="00FD1EF4">
        <w:t xml:space="preserve">the </w:t>
      </w:r>
      <w:r w:rsidRPr="00F83F45">
        <w:t xml:space="preserve">offence charged and </w:t>
      </w:r>
      <w:r w:rsidRPr="00F83F45" w:rsidR="00FD1EF4">
        <w:t xml:space="preserve">the </w:t>
      </w:r>
      <w:r w:rsidRPr="00F83F45">
        <w:t xml:space="preserve">punishment he would face if found guilty, there had been a real risk of </w:t>
      </w:r>
      <w:r w:rsidRPr="00F83F45" w:rsidR="00FD1EF4">
        <w:t xml:space="preserve">the </w:t>
      </w:r>
      <w:r w:rsidRPr="00F83F45">
        <w:t xml:space="preserve">first applicant absconding. When extending detention </w:t>
      </w:r>
      <w:r w:rsidRPr="00F83F45" w:rsidR="00FD1EF4">
        <w:t xml:space="preserve">the </w:t>
      </w:r>
      <w:r w:rsidRPr="00F83F45">
        <w:t xml:space="preserve">court had found that </w:t>
      </w:r>
      <w:r w:rsidRPr="00F83F45" w:rsidR="00FD1EF4">
        <w:t xml:space="preserve">the </w:t>
      </w:r>
      <w:r w:rsidRPr="00F83F45">
        <w:t>risks had not diminished.</w:t>
      </w:r>
    </w:p>
    <w:p w:rsidRPr="00F83F45" w:rsidR="00F067E7" w:rsidP="00F83F45" w14:paraId="69087EA2" w14:textId="4834E67B">
      <w:pPr>
        <w:pStyle w:val="JuPara"/>
      </w:pPr>
      <w:r>
        <w:fldChar w:fldCharType="begin"/>
      </w:r>
      <w:r>
        <w:instrText xml:space="preserve"> SEQ level0 \*arabic \* MERGEFORMAT </w:instrText>
      </w:r>
      <w:r>
        <w:fldChar w:fldCharType="separate"/>
      </w:r>
      <w:r w:rsidRPr="00F83F45">
        <w:rPr>
          <w:noProof/>
        </w:rPr>
        <w:t>57</w:t>
      </w:r>
      <w:r w:rsidRPr="00F83F45">
        <w:rPr>
          <w:noProof/>
        </w:rPr>
        <w:fldChar w:fldCharType="end"/>
      </w:r>
      <w:r w:rsidRPr="00F83F45">
        <w:t xml:space="preserve">.  There had been genuine public interest in detention. Collaborationist activities were considered serious offences with potential national security implications. </w:t>
      </w:r>
      <w:r w:rsidRPr="00F83F45" w:rsidR="00FD1EF4">
        <w:t xml:space="preserve">The </w:t>
      </w:r>
      <w:r w:rsidRPr="00F83F45">
        <w:t xml:space="preserve">ongoing war against Ukraine and </w:t>
      </w:r>
      <w:r w:rsidRPr="00F83F45" w:rsidR="00FD1EF4">
        <w:t xml:space="preserve">the </w:t>
      </w:r>
      <w:r w:rsidRPr="00F83F45">
        <w:t xml:space="preserve">specific security concerns related to </w:t>
      </w:r>
      <w:r w:rsidRPr="00F83F45" w:rsidR="00FD1EF4">
        <w:t xml:space="preserve">the </w:t>
      </w:r>
      <w:r w:rsidRPr="00F83F45">
        <w:t xml:space="preserve">Russian occupation had been relevant factors in </w:t>
      </w:r>
      <w:r w:rsidRPr="00F83F45" w:rsidR="00FD1EF4">
        <w:t xml:space="preserve">the </w:t>
      </w:r>
      <w:r w:rsidRPr="00F83F45">
        <w:t>decision.</w:t>
      </w:r>
    </w:p>
    <w:p w:rsidRPr="00F83F45" w:rsidR="00F067E7" w:rsidP="00F83F45" w14:paraId="05EF0B2F" w14:textId="60022D31">
      <w:pPr>
        <w:pStyle w:val="JuPara"/>
      </w:pPr>
      <w:r>
        <w:fldChar w:fldCharType="begin"/>
      </w:r>
      <w:r>
        <w:instrText xml:space="preserve"> SEQ level0 \*arabic \* MERGEFORMAT </w:instrText>
      </w:r>
      <w:r>
        <w:fldChar w:fldCharType="separate"/>
      </w:r>
      <w:r w:rsidRPr="00F83F45">
        <w:rPr>
          <w:noProof/>
        </w:rPr>
        <w:t>58</w:t>
      </w:r>
      <w:r w:rsidRPr="00F83F45">
        <w:rPr>
          <w:noProof/>
        </w:rPr>
        <w:fldChar w:fldCharType="end"/>
      </w:r>
      <w:r w:rsidRPr="00F83F45">
        <w:t>.  </w:t>
      </w:r>
      <w:r w:rsidRPr="00F83F45" w:rsidR="00FD1EF4">
        <w:t xml:space="preserve">The </w:t>
      </w:r>
      <w:r w:rsidRPr="00F83F45">
        <w:t xml:space="preserve">Government submitted that </w:t>
      </w:r>
      <w:r w:rsidRPr="00F83F45" w:rsidR="00FD1EF4">
        <w:t xml:space="preserve">the </w:t>
      </w:r>
      <w:r w:rsidRPr="00F83F45">
        <w:t xml:space="preserve">Court had already established that in some instances concerning particularly serious crimes, </w:t>
      </w:r>
      <w:r w:rsidRPr="00F83F45" w:rsidR="00FD1EF4">
        <w:t xml:space="preserve">the </w:t>
      </w:r>
      <w:r w:rsidRPr="00F83F45">
        <w:t xml:space="preserve">nature and gravity of </w:t>
      </w:r>
      <w:r w:rsidRPr="00F83F45" w:rsidR="00FD1EF4">
        <w:t xml:space="preserve">the </w:t>
      </w:r>
      <w:r w:rsidRPr="00F83F45">
        <w:t xml:space="preserve">charges against a defendant was a factor weighing heavily against his or her release and in favour of remanding him or her in custody (see </w:t>
      </w:r>
      <w:r w:rsidRPr="00F83F45">
        <w:rPr>
          <w:i/>
          <w:iCs/>
        </w:rPr>
        <w:t>Mercep</w:t>
      </w:r>
      <w:r w:rsidRPr="00F83F45">
        <w:rPr>
          <w:i/>
          <w:iCs/>
        </w:rPr>
        <w:t xml:space="preserve"> v. Croatia</w:t>
      </w:r>
      <w:r w:rsidRPr="00F83F45">
        <w:t xml:space="preserve">, no. 12301/12, 26 April 2016). </w:t>
      </w:r>
      <w:r w:rsidRPr="00F83F45" w:rsidR="00FD1EF4">
        <w:t xml:space="preserve">The </w:t>
      </w:r>
      <w:r w:rsidRPr="00F83F45">
        <w:t xml:space="preserve">generally formulated risk flowing from </w:t>
      </w:r>
      <w:r w:rsidRPr="00F83F45" w:rsidR="00FD1EF4">
        <w:t xml:space="preserve">the </w:t>
      </w:r>
      <w:r w:rsidRPr="00F83F45">
        <w:t xml:space="preserve">organised nature of </w:t>
      </w:r>
      <w:r w:rsidRPr="00F83F45" w:rsidR="00FD1EF4">
        <w:t xml:space="preserve">the </w:t>
      </w:r>
      <w:r w:rsidRPr="00F83F45">
        <w:t xml:space="preserve">criminal activities of </w:t>
      </w:r>
      <w:r w:rsidRPr="00F83F45" w:rsidR="00FD1EF4">
        <w:t xml:space="preserve">the </w:t>
      </w:r>
      <w:r w:rsidRPr="00F83F45">
        <w:t xml:space="preserve">applicant might be accepted as </w:t>
      </w:r>
      <w:r w:rsidRPr="00F83F45" w:rsidR="00FD1EF4">
        <w:t xml:space="preserve">the </w:t>
      </w:r>
      <w:r w:rsidRPr="00F83F45">
        <w:t>basis for his or her detention, in</w:t>
      </w:r>
      <w:r w:rsidRPr="00F83F45" w:rsidR="00FD1EF4">
        <w:t xml:space="preserve"> </w:t>
      </w:r>
      <w:r w:rsidRPr="00F83F45">
        <w:t xml:space="preserve">particular at </w:t>
      </w:r>
      <w:r w:rsidRPr="00F83F45" w:rsidR="00FD1EF4">
        <w:t xml:space="preserve">the </w:t>
      </w:r>
      <w:r w:rsidRPr="00F83F45">
        <w:t xml:space="preserve">initial stages of </w:t>
      </w:r>
      <w:r w:rsidRPr="00F83F45" w:rsidR="00FD1EF4">
        <w:t xml:space="preserve">the </w:t>
      </w:r>
      <w:r w:rsidRPr="00F83F45">
        <w:t xml:space="preserve">proceedings (see </w:t>
      </w:r>
      <w:r w:rsidRPr="00F83F45">
        <w:rPr>
          <w:i/>
          <w:iCs/>
        </w:rPr>
        <w:t>Dudek v. Poland</w:t>
      </w:r>
      <w:r w:rsidRPr="00F83F45">
        <w:t xml:space="preserve">, no. 633/03, § 36, 4 May 2006). Also, in some circumstances, for example where </w:t>
      </w:r>
      <w:r w:rsidRPr="00F83F45" w:rsidR="00FD1EF4">
        <w:t xml:space="preserve">the </w:t>
      </w:r>
      <w:r w:rsidRPr="00F83F45">
        <w:t xml:space="preserve">suspect allegedly belonged to a gang implicated in violent crimes, or, probably, in terrorist cases, </w:t>
      </w:r>
      <w:r w:rsidRPr="00F83F45" w:rsidR="00FD1EF4">
        <w:t xml:space="preserve">the </w:t>
      </w:r>
      <w:r w:rsidRPr="00F83F45">
        <w:t xml:space="preserve">“unavailability of bail” could be self-evident (see </w:t>
      </w:r>
      <w:r w:rsidRPr="00F83F45">
        <w:rPr>
          <w:i/>
          <w:iCs/>
        </w:rPr>
        <w:t>Galuashvili</w:t>
      </w:r>
      <w:r w:rsidRPr="00F83F45">
        <w:rPr>
          <w:i/>
          <w:iCs/>
        </w:rPr>
        <w:t xml:space="preserve"> v. Georgia</w:t>
      </w:r>
      <w:r w:rsidRPr="00F83F45">
        <w:t xml:space="preserve">, no. 40008/04, §§ 6 et seq., 17 July 2008; </w:t>
      </w:r>
      <w:r w:rsidRPr="00F83F45">
        <w:rPr>
          <w:i/>
          <w:iCs/>
        </w:rPr>
        <w:t>Kusyk</w:t>
      </w:r>
      <w:r w:rsidRPr="00F83F45">
        <w:rPr>
          <w:i/>
          <w:iCs/>
        </w:rPr>
        <w:t xml:space="preserve"> v. Poland</w:t>
      </w:r>
      <w:r w:rsidRPr="00F83F45">
        <w:t xml:space="preserve">, no. 7347/02, § 37, 24 October 2006; and </w:t>
      </w:r>
      <w:r w:rsidRPr="00F83F45">
        <w:rPr>
          <w:i/>
          <w:iCs/>
        </w:rPr>
        <w:t>Celejewski</w:t>
      </w:r>
      <w:r w:rsidRPr="00F83F45" w:rsidR="00FD1EF4">
        <w:rPr>
          <w:i/>
          <w:iCs/>
        </w:rPr>
        <w:t xml:space="preserve"> </w:t>
      </w:r>
      <w:r w:rsidRPr="00F83F45">
        <w:rPr>
          <w:i/>
          <w:iCs/>
        </w:rPr>
        <w:t>v. Poland</w:t>
      </w:r>
      <w:r w:rsidRPr="00F83F45">
        <w:t>, no. 17584/04, §§ 35-37, 4 May 2006).</w:t>
      </w:r>
    </w:p>
    <w:p w:rsidRPr="00F83F45" w:rsidR="00F067E7" w:rsidP="00F83F45" w14:paraId="3E8CC6FE" w14:textId="2D73E381">
      <w:pPr>
        <w:pStyle w:val="JuPara"/>
      </w:pPr>
      <w:r>
        <w:fldChar w:fldCharType="begin"/>
      </w:r>
      <w:r>
        <w:instrText xml:space="preserve"> SEQ level0 \*arabic \* MERGEFORMAT </w:instrText>
      </w:r>
      <w:r>
        <w:fldChar w:fldCharType="separate"/>
      </w:r>
      <w:r w:rsidRPr="00F83F45">
        <w:rPr>
          <w:noProof/>
        </w:rPr>
        <w:t>59</w:t>
      </w:r>
      <w:r w:rsidRPr="00F83F45">
        <w:rPr>
          <w:noProof/>
        </w:rPr>
        <w:fldChar w:fldCharType="end"/>
      </w:r>
      <w:r w:rsidRPr="00F83F45">
        <w:t>.  </w:t>
      </w:r>
      <w:r w:rsidRPr="00F83F45" w:rsidR="00FD1EF4">
        <w:t xml:space="preserve">The </w:t>
      </w:r>
      <w:r w:rsidRPr="00F83F45">
        <w:t xml:space="preserve">Government submitted that </w:t>
      </w:r>
      <w:r w:rsidRPr="00F83F45" w:rsidR="00FD1EF4">
        <w:t xml:space="preserve">the </w:t>
      </w:r>
      <w:r w:rsidRPr="00F83F45">
        <w:t xml:space="preserve">above approaches were fully applicable to </w:t>
      </w:r>
      <w:r w:rsidRPr="00F83F45" w:rsidR="00FD1EF4">
        <w:t xml:space="preserve">the </w:t>
      </w:r>
      <w:r w:rsidRPr="00F83F45">
        <w:t>first applicant</w:t>
      </w:r>
      <w:r w:rsidRPr="00F83F45">
        <w:t>’</w:t>
      </w:r>
      <w:r w:rsidRPr="00F83F45">
        <w:t xml:space="preserve">s case and stressed that he had been suspected of a national security-related offence. In that context </w:t>
      </w:r>
      <w:r w:rsidRPr="00F83F45" w:rsidR="00FD1EF4">
        <w:t xml:space="preserve">the </w:t>
      </w:r>
      <w:r w:rsidRPr="00F83F45">
        <w:t xml:space="preserve">authorities had been under a duty to protect </w:t>
      </w:r>
      <w:r w:rsidRPr="00F83F45" w:rsidR="00FD1EF4">
        <w:t xml:space="preserve">the </w:t>
      </w:r>
      <w:r w:rsidRPr="00F83F45">
        <w:t xml:space="preserve">rights of </w:t>
      </w:r>
      <w:r w:rsidRPr="00F83F45" w:rsidR="00FD1EF4">
        <w:t xml:space="preserve">the </w:t>
      </w:r>
      <w:r w:rsidRPr="00F83F45">
        <w:t xml:space="preserve">actual and potential victims of violent attacks under Articles 2, 3 and 5 § 1 of </w:t>
      </w:r>
      <w:r w:rsidRPr="00F83F45" w:rsidR="00FD1EF4">
        <w:t xml:space="preserve">the </w:t>
      </w:r>
      <w:r w:rsidRPr="00F83F45">
        <w:t>Convention.</w:t>
      </w:r>
    </w:p>
    <w:p w:rsidRPr="00F83F45" w:rsidR="00F067E7" w:rsidP="00F83F45" w14:paraId="39BACB9A" w14:textId="7E7F8D2C">
      <w:pPr>
        <w:pStyle w:val="JuPara"/>
      </w:pPr>
      <w:r>
        <w:fldChar w:fldCharType="begin"/>
      </w:r>
      <w:r>
        <w:instrText xml:space="preserve"> SEQ level0 \*arabic \* MERGEFORMAT </w:instrText>
      </w:r>
      <w:r>
        <w:fldChar w:fldCharType="separate"/>
      </w:r>
      <w:r w:rsidRPr="00F83F45">
        <w:rPr>
          <w:noProof/>
        </w:rPr>
        <w:t>60</w:t>
      </w:r>
      <w:r w:rsidRPr="00F83F45">
        <w:rPr>
          <w:noProof/>
        </w:rPr>
        <w:fldChar w:fldCharType="end"/>
      </w:r>
      <w:r w:rsidRPr="00F83F45">
        <w:t>.  </w:t>
      </w:r>
      <w:r w:rsidRPr="00F83F45" w:rsidR="00FD1EF4">
        <w:t xml:space="preserve">The </w:t>
      </w:r>
      <w:r w:rsidRPr="00F83F45">
        <w:t xml:space="preserve">Government stated that </w:t>
      </w:r>
      <w:r w:rsidRPr="00F83F45" w:rsidR="00FD1EF4">
        <w:t xml:space="preserve">the </w:t>
      </w:r>
      <w:r w:rsidRPr="00F83F45">
        <w:t xml:space="preserve">authorities had demonstrated “special diligence” in </w:t>
      </w:r>
      <w:r w:rsidRPr="00F83F45" w:rsidR="00FD1EF4">
        <w:t xml:space="preserve">the </w:t>
      </w:r>
      <w:r w:rsidRPr="00F83F45">
        <w:t xml:space="preserve">conduct of </w:t>
      </w:r>
      <w:r w:rsidRPr="00F83F45" w:rsidR="00FD1EF4">
        <w:t xml:space="preserve">the </w:t>
      </w:r>
      <w:r w:rsidRPr="00F83F45">
        <w:t>proceedings, including timely investigations and efficient case processing.</w:t>
      </w:r>
    </w:p>
    <w:p w:rsidRPr="00F83F45" w:rsidR="00F067E7" w:rsidP="00F83F45" w14:paraId="4E2197CE" w14:textId="58D35577">
      <w:pPr>
        <w:pStyle w:val="JuH1"/>
      </w:pPr>
      <w:r w:rsidRPr="00F83F45">
        <w:t xml:space="preserve">The </w:t>
      </w:r>
      <w:r w:rsidRPr="00F83F45">
        <w:t>Court</w:t>
      </w:r>
      <w:r w:rsidRPr="00F83F45" w:rsidR="00F83F45">
        <w:t>’</w:t>
      </w:r>
      <w:r w:rsidRPr="00F83F45">
        <w:t>s assessment</w:t>
      </w:r>
    </w:p>
    <w:p w:rsidRPr="00F83F45" w:rsidR="00F067E7" w:rsidP="00F83F45" w14:paraId="79C990E6" w14:textId="34CC1275">
      <w:pPr>
        <w:pStyle w:val="JuPara"/>
      </w:pPr>
      <w:r>
        <w:fldChar w:fldCharType="begin"/>
      </w:r>
      <w:r>
        <w:instrText xml:space="preserve"> SEQ level0 \*arabic \* MERGEFORMAT </w:instrText>
      </w:r>
      <w:r>
        <w:fldChar w:fldCharType="separate"/>
      </w:r>
      <w:bookmarkStart w:name="paragraph00061" w:id="26"/>
      <w:r w:rsidRPr="00F83F45">
        <w:rPr>
          <w:noProof/>
        </w:rPr>
        <w:t>61</w:t>
      </w:r>
      <w:bookmarkEnd w:id="26"/>
      <w:r>
        <w:fldChar w:fldCharType="end"/>
      </w:r>
      <w:r w:rsidRPr="00F83F45">
        <w:t>.  </w:t>
      </w:r>
      <w:r w:rsidRPr="00F83F45" w:rsidR="00FD1EF4">
        <w:t xml:space="preserve">The </w:t>
      </w:r>
      <w:r w:rsidRPr="00F83F45">
        <w:t xml:space="preserve">relevant general principles of </w:t>
      </w:r>
      <w:r w:rsidRPr="00F83F45" w:rsidR="00FD1EF4">
        <w:t xml:space="preserve">the </w:t>
      </w:r>
      <w:r w:rsidRPr="00F83F45">
        <w:t>Court</w:t>
      </w:r>
      <w:r w:rsidRPr="00F83F45">
        <w:t>’</w:t>
      </w:r>
      <w:r w:rsidRPr="00F83F45">
        <w:t xml:space="preserve">s case-law have been summarised in </w:t>
      </w:r>
      <w:r w:rsidRPr="00F83F45">
        <w:rPr>
          <w:i/>
          <w:iCs/>
        </w:rPr>
        <w:t>Buzadji</w:t>
      </w:r>
      <w:r w:rsidRPr="00F83F45">
        <w:rPr>
          <w:i/>
          <w:iCs/>
        </w:rPr>
        <w:t xml:space="preserve"> </w:t>
      </w:r>
      <w:r w:rsidRPr="00F83F45">
        <w:t>(cited above, §§ 87-91).</w:t>
      </w:r>
    </w:p>
    <w:p w:rsidRPr="00F83F45" w:rsidR="00F067E7" w:rsidP="00F83F45" w14:paraId="44C8CA4E" w14:textId="02EBE0E1">
      <w:pPr>
        <w:pStyle w:val="JuPara"/>
      </w:pPr>
      <w:r>
        <w:fldChar w:fldCharType="begin"/>
      </w:r>
      <w:r>
        <w:instrText xml:space="preserve"> SEQ level0 \*arabic \* MERGEFORMAT </w:instrText>
      </w:r>
      <w:r>
        <w:fldChar w:fldCharType="separate"/>
      </w:r>
      <w:r w:rsidRPr="00F83F45">
        <w:rPr>
          <w:noProof/>
        </w:rPr>
        <w:t>62</w:t>
      </w:r>
      <w:r w:rsidRPr="00F83F45">
        <w:rPr>
          <w:noProof/>
        </w:rPr>
        <w:fldChar w:fldCharType="end"/>
      </w:r>
      <w:r w:rsidRPr="00F83F45">
        <w:t xml:space="preserve">.  Concerning reliance of </w:t>
      </w:r>
      <w:r w:rsidRPr="00F83F45" w:rsidR="00FD1EF4">
        <w:t xml:space="preserve">the </w:t>
      </w:r>
      <w:r w:rsidRPr="00F83F45">
        <w:t xml:space="preserve">domestic courts on </w:t>
      </w:r>
      <w:r w:rsidRPr="00F83F45" w:rsidR="00FD1EF4">
        <w:t xml:space="preserve">the </w:t>
      </w:r>
      <w:r w:rsidRPr="00F83F45">
        <w:t xml:space="preserve">Wartime Detention Clause and </w:t>
      </w:r>
      <w:r w:rsidRPr="00F83F45" w:rsidR="00FD1EF4">
        <w:t xml:space="preserve">the </w:t>
      </w:r>
      <w:r w:rsidRPr="00F83F45">
        <w:t xml:space="preserve">Exceptions to Mandatory Bail Clause, </w:t>
      </w:r>
      <w:r w:rsidRPr="00F83F45" w:rsidR="00FD1EF4">
        <w:t xml:space="preserve">the </w:t>
      </w:r>
      <w:r w:rsidRPr="00F83F45">
        <w:t xml:space="preserve">Court observes that it has held, on several occasions, that legislative schemes limiting </w:t>
      </w:r>
      <w:r w:rsidRPr="00F83F45" w:rsidR="00FD1EF4">
        <w:t xml:space="preserve">the </w:t>
      </w:r>
      <w:r w:rsidRPr="00F83F45">
        <w:t>domestic courts</w:t>
      </w:r>
      <w:r w:rsidRPr="00F83F45">
        <w:t>’</w:t>
      </w:r>
      <w:r w:rsidRPr="00F83F45">
        <w:t xml:space="preserve"> decision-making powers in matters of pre-trial detention breached Article 5 § 3 of </w:t>
      </w:r>
      <w:r w:rsidRPr="00F83F45" w:rsidR="00FD1EF4">
        <w:t xml:space="preserve">the </w:t>
      </w:r>
      <w:r w:rsidRPr="00F83F45">
        <w:t xml:space="preserve">Convention (see </w:t>
      </w:r>
      <w:r w:rsidRPr="00F83F45">
        <w:rPr>
          <w:i/>
          <w:iCs/>
        </w:rPr>
        <w:t xml:space="preserve">S.B.C. v. </w:t>
      </w:r>
      <w:r w:rsidRPr="00F83F45" w:rsidR="00FD1EF4">
        <w:rPr>
          <w:i/>
          <w:iCs/>
        </w:rPr>
        <w:t xml:space="preserve">the </w:t>
      </w:r>
      <w:r w:rsidRPr="00F83F45">
        <w:rPr>
          <w:i/>
          <w:iCs/>
        </w:rPr>
        <w:t>United Kingdom</w:t>
      </w:r>
      <w:r w:rsidRPr="00F83F45">
        <w:t xml:space="preserve">, no. 39360/98, §§ 23 and 24, 19 June 2001; </w:t>
      </w:r>
      <w:r w:rsidRPr="00F83F45">
        <w:rPr>
          <w:i/>
          <w:iCs/>
        </w:rPr>
        <w:t>Boicenco</w:t>
      </w:r>
      <w:r w:rsidRPr="00F83F45">
        <w:rPr>
          <w:i/>
          <w:iCs/>
        </w:rPr>
        <w:t xml:space="preserve"> v. Moldova</w:t>
      </w:r>
      <w:r w:rsidRPr="00F83F45">
        <w:t xml:space="preserve">, no. 41088/05, §§ 134-38, 11 July 2006; and </w:t>
      </w:r>
      <w:r w:rsidRPr="00F83F45">
        <w:rPr>
          <w:i/>
          <w:iCs/>
        </w:rPr>
        <w:t>Piruzyan</w:t>
      </w:r>
      <w:r w:rsidRPr="00F83F45">
        <w:rPr>
          <w:i/>
          <w:iCs/>
        </w:rPr>
        <w:t xml:space="preserve"> v. Armenia</w:t>
      </w:r>
      <w:r w:rsidRPr="00F83F45">
        <w:t>, no. 33376/07, §§ 105 and 106, 26 June 2012).</w:t>
      </w:r>
    </w:p>
    <w:p w:rsidRPr="00F83F45" w:rsidR="00F067E7" w:rsidP="00F83F45" w14:paraId="6605EAD3" w14:textId="6C86C440">
      <w:pPr>
        <w:pStyle w:val="JuPara"/>
      </w:pPr>
      <w:r>
        <w:fldChar w:fldCharType="begin"/>
      </w:r>
      <w:r>
        <w:instrText xml:space="preserve"> SEQ level0 \*arabic \* MERGEFORMAT </w:instrText>
      </w:r>
      <w:r>
        <w:fldChar w:fldCharType="separate"/>
      </w:r>
      <w:r w:rsidRPr="00F83F45">
        <w:rPr>
          <w:noProof/>
        </w:rPr>
        <w:t>63</w:t>
      </w:r>
      <w:r w:rsidRPr="00F83F45">
        <w:rPr>
          <w:noProof/>
        </w:rPr>
        <w:fldChar w:fldCharType="end"/>
      </w:r>
      <w:r w:rsidRPr="00F83F45">
        <w:t>.  </w:t>
      </w:r>
      <w:r w:rsidRPr="00F83F45" w:rsidR="00FD1EF4">
        <w:t xml:space="preserve">The </w:t>
      </w:r>
      <w:r w:rsidRPr="00F83F45">
        <w:t xml:space="preserve">Court considers, however, that no issue of this type arises in this case because </w:t>
      </w:r>
      <w:r w:rsidRPr="00F83F45" w:rsidR="00FD1EF4">
        <w:t xml:space="preserve">the </w:t>
      </w:r>
      <w:r w:rsidRPr="00F83F45">
        <w:t xml:space="preserve">Wartime Detention Clause and </w:t>
      </w:r>
      <w:r w:rsidRPr="00F83F45" w:rsidR="00FD1EF4">
        <w:t xml:space="preserve">the </w:t>
      </w:r>
      <w:r w:rsidRPr="00F83F45">
        <w:t xml:space="preserve">Exceptions to Mandatory Bail Clause do not remove </w:t>
      </w:r>
      <w:r w:rsidRPr="00F83F45" w:rsidR="00FD1EF4">
        <w:t xml:space="preserve">the </w:t>
      </w:r>
      <w:r w:rsidRPr="00F83F45">
        <w:t xml:space="preserve">power of </w:t>
      </w:r>
      <w:r w:rsidRPr="00F83F45" w:rsidR="00FD1EF4">
        <w:t xml:space="preserve">the </w:t>
      </w:r>
      <w:r w:rsidRPr="00F83F45">
        <w:t>domestic courts to set bail; they merely render bail possible, rather than mandatory, for certain offences (see</w:t>
      </w:r>
      <w:r w:rsidRPr="00F83F45" w:rsidR="00FD0795">
        <w:rPr>
          <w:lang w:val="uk-UA"/>
        </w:rPr>
        <w:t> </w:t>
      </w:r>
      <w:r w:rsidRPr="00F83F45" w:rsidR="00FD1EF4">
        <w:t xml:space="preserve">the </w:t>
      </w:r>
      <w:r w:rsidRPr="00F83F45">
        <w:t>Constitutional Court of Ukraine</w:t>
      </w:r>
      <w:r w:rsidRPr="00F83F45">
        <w:t>’</w:t>
      </w:r>
      <w:r w:rsidRPr="00F83F45">
        <w:t xml:space="preserve">s decision, in paragraph </w:t>
      </w:r>
      <w:r w:rsidRPr="00F83F45">
        <w:fldChar w:fldCharType="begin"/>
      </w:r>
      <w:r w:rsidRPr="00F83F45">
        <w:instrText xml:space="preserve"> REF frame_CCU_decision \h </w:instrText>
      </w:r>
      <w:r w:rsidRPr="00F83F45">
        <w:fldChar w:fldCharType="separate"/>
      </w:r>
      <w:r w:rsidRPr="00F83F45">
        <w:rPr>
          <w:noProof/>
        </w:rPr>
        <w:t>43</w:t>
      </w:r>
      <w:r w:rsidRPr="00F83F45">
        <w:fldChar w:fldCharType="end"/>
      </w:r>
      <w:r w:rsidRPr="00F83F45">
        <w:t xml:space="preserve"> above, and </w:t>
      </w:r>
      <w:r w:rsidRPr="00F83F45">
        <w:rPr>
          <w:i/>
          <w:iCs/>
        </w:rPr>
        <w:t xml:space="preserve">Kolesnyk and </w:t>
      </w:r>
      <w:r w:rsidRPr="00F83F45">
        <w:rPr>
          <w:i/>
          <w:iCs/>
        </w:rPr>
        <w:t>Smelnytskyy</w:t>
      </w:r>
      <w:r w:rsidRPr="00F83F45">
        <w:rPr>
          <w:i/>
          <w:iCs/>
        </w:rPr>
        <w:t xml:space="preserve"> v. Ukraine</w:t>
      </w:r>
      <w:r w:rsidRPr="00F83F45">
        <w:t>, nos. 24465/23 and 25217/23, 23</w:t>
      </w:r>
      <w:r w:rsidRPr="00F83F45" w:rsidR="00FD0795">
        <w:rPr>
          <w:lang w:val="uk-UA"/>
        </w:rPr>
        <w:t> </w:t>
      </w:r>
      <w:r w:rsidRPr="00F83F45">
        <w:t>July 2026, not yet final).</w:t>
      </w:r>
    </w:p>
    <w:p w:rsidRPr="00F83F45" w:rsidR="00F067E7" w:rsidP="00F83F45" w14:paraId="0C0E8E5A" w14:textId="609647EA">
      <w:pPr>
        <w:pStyle w:val="JuPara"/>
      </w:pPr>
      <w:r>
        <w:fldChar w:fldCharType="begin"/>
      </w:r>
      <w:r>
        <w:instrText xml:space="preserve"> SEQ level0 \*arabic \* MERGEFORMAT </w:instrText>
      </w:r>
      <w:r>
        <w:fldChar w:fldCharType="separate"/>
      </w:r>
      <w:bookmarkStart w:name="paragraph00064" w:id="27"/>
      <w:r w:rsidRPr="00F83F45">
        <w:rPr>
          <w:noProof/>
        </w:rPr>
        <w:t>64</w:t>
      </w:r>
      <w:bookmarkEnd w:id="27"/>
      <w:r>
        <w:fldChar w:fldCharType="end"/>
      </w:r>
      <w:r w:rsidRPr="00F83F45">
        <w:t>.  </w:t>
      </w:r>
      <w:r w:rsidRPr="00F83F45" w:rsidR="00FD1EF4">
        <w:t xml:space="preserve">The </w:t>
      </w:r>
      <w:r w:rsidRPr="00F83F45">
        <w:t xml:space="preserve">Court will therefore proceed to examine, in </w:t>
      </w:r>
      <w:r w:rsidRPr="00F83F45" w:rsidR="00FD1EF4">
        <w:t xml:space="preserve">the </w:t>
      </w:r>
      <w:r w:rsidRPr="00F83F45">
        <w:t xml:space="preserve">light of </w:t>
      </w:r>
      <w:r w:rsidRPr="00F83F45" w:rsidR="00FD1EF4">
        <w:t xml:space="preserve">the </w:t>
      </w:r>
      <w:r w:rsidRPr="00F83F45">
        <w:t xml:space="preserve">principles well-established in its case-law (see </w:t>
      </w:r>
      <w:r w:rsidRPr="00F83F45">
        <w:rPr>
          <w:i/>
          <w:iCs/>
        </w:rPr>
        <w:t>Buzadji</w:t>
      </w:r>
      <w:r w:rsidRPr="00F83F45">
        <w:t xml:space="preserve">, cited above, and </w:t>
      </w:r>
      <w:r w:rsidRPr="00F83F45">
        <w:rPr>
          <w:i/>
          <w:iCs/>
        </w:rPr>
        <w:t>Kharchenko v. Ukraine</w:t>
      </w:r>
      <w:r w:rsidRPr="00F83F45">
        <w:t xml:space="preserve">, no. 40107/02, §§ 79-81 and 99, 10 February 2011), whether there were “relevant and sufficient” reasons for detention throughout its duration and whether </w:t>
      </w:r>
      <w:r w:rsidRPr="00F83F45" w:rsidR="00FD1EF4">
        <w:t xml:space="preserve">the </w:t>
      </w:r>
      <w:r w:rsidRPr="00F83F45">
        <w:t xml:space="preserve">authorities conducted </w:t>
      </w:r>
      <w:r w:rsidRPr="00F83F45" w:rsidR="00FD1EF4">
        <w:t xml:space="preserve">the </w:t>
      </w:r>
      <w:r w:rsidRPr="00F83F45">
        <w:t>proceedings with “special diligence”.</w:t>
      </w:r>
    </w:p>
    <w:p w:rsidRPr="00F83F45" w:rsidR="0009099A" w:rsidP="00F83F45" w14:paraId="4C30BB85" w14:textId="3A89522F">
      <w:pPr>
        <w:pStyle w:val="JuPara"/>
      </w:pPr>
      <w:r>
        <w:fldChar w:fldCharType="begin"/>
      </w:r>
      <w:r>
        <w:instrText xml:space="preserve"> SEQ level0 \*arabic \* MERGEFORMAT </w:instrText>
      </w:r>
      <w:r>
        <w:fldChar w:fldCharType="separate"/>
      </w:r>
      <w:bookmarkStart w:name="paragraph00065" w:id="28"/>
      <w:r w:rsidRPr="00F83F45">
        <w:rPr>
          <w:noProof/>
        </w:rPr>
        <w:t>65</w:t>
      </w:r>
      <w:bookmarkEnd w:id="28"/>
      <w:r>
        <w:fldChar w:fldCharType="end"/>
      </w:r>
      <w:r w:rsidRPr="00F83F45" w:rsidR="00F067E7">
        <w:t>.  </w:t>
      </w:r>
      <w:r w:rsidRPr="00F83F45" w:rsidR="00FD1EF4">
        <w:t xml:space="preserve">The </w:t>
      </w:r>
      <w:r w:rsidRPr="00F83F45" w:rsidR="00F067E7">
        <w:t xml:space="preserve">domestic courts referred to </w:t>
      </w:r>
      <w:r w:rsidRPr="00F83F45" w:rsidR="00FD1EF4">
        <w:t xml:space="preserve">the </w:t>
      </w:r>
      <w:r w:rsidRPr="00F83F45" w:rsidR="00F067E7">
        <w:t xml:space="preserve">severity of </w:t>
      </w:r>
      <w:r w:rsidRPr="00F83F45" w:rsidR="00FD1EF4">
        <w:t xml:space="preserve">the </w:t>
      </w:r>
      <w:r w:rsidRPr="00F83F45" w:rsidR="00F067E7">
        <w:t xml:space="preserve">punishment </w:t>
      </w:r>
      <w:r w:rsidRPr="00F83F45" w:rsidR="00FD1EF4">
        <w:t xml:space="preserve">the </w:t>
      </w:r>
      <w:r w:rsidRPr="00F83F45" w:rsidR="00F067E7">
        <w:t xml:space="preserve">first applicant faced as one of </w:t>
      </w:r>
      <w:r w:rsidRPr="00F83F45" w:rsidR="00FD1EF4">
        <w:t xml:space="preserve">the </w:t>
      </w:r>
      <w:r w:rsidRPr="00F83F45" w:rsidR="00F067E7">
        <w:t xml:space="preserve">primary factors in their assessment that he was likely to abscond and thus justifying their decision to place and maintain him in detention (see paragraph </w:t>
      </w:r>
      <w:r w:rsidRPr="00F83F45" w:rsidR="00F067E7">
        <w:fldChar w:fldCharType="begin"/>
      </w:r>
      <w:r w:rsidRPr="00F83F45" w:rsidR="00F067E7">
        <w:instrText xml:space="preserve"> REF paragraph00011 \h  \* CharFormat </w:instrText>
      </w:r>
      <w:r w:rsidRPr="00F83F45" w:rsidR="00F067E7">
        <w:fldChar w:fldCharType="separate"/>
      </w:r>
      <w:r w:rsidRPr="00F83F45">
        <w:t>11</w:t>
      </w:r>
      <w:r w:rsidRPr="00F83F45" w:rsidR="00F067E7">
        <w:fldChar w:fldCharType="end"/>
      </w:r>
      <w:r w:rsidRPr="00F83F45" w:rsidR="00F067E7">
        <w:t xml:space="preserve"> above). In this context </w:t>
      </w:r>
      <w:r w:rsidRPr="00F83F45" w:rsidR="00FD1EF4">
        <w:t xml:space="preserve">the </w:t>
      </w:r>
      <w:r w:rsidRPr="00F83F45" w:rsidR="00F067E7">
        <w:t xml:space="preserve">Court reiterates that </w:t>
      </w:r>
      <w:r w:rsidRPr="00F83F45" w:rsidR="00FD1EF4">
        <w:t xml:space="preserve">the </w:t>
      </w:r>
      <w:r w:rsidRPr="00F83F45" w:rsidR="00F067E7">
        <w:t>danger of an accused</w:t>
      </w:r>
      <w:r w:rsidRPr="00F83F45">
        <w:t>’</w:t>
      </w:r>
      <w:r w:rsidRPr="00F83F45" w:rsidR="00F067E7">
        <w:t xml:space="preserve">s absconding cannot be gauged solely on </w:t>
      </w:r>
      <w:r w:rsidRPr="00F83F45" w:rsidR="00FD1EF4">
        <w:t xml:space="preserve">the </w:t>
      </w:r>
      <w:r w:rsidRPr="00F83F45" w:rsidR="00F067E7">
        <w:t xml:space="preserve">basis of </w:t>
      </w:r>
      <w:r w:rsidRPr="00F83F45" w:rsidR="00FD1EF4">
        <w:t xml:space="preserve">the </w:t>
      </w:r>
      <w:r w:rsidRPr="00F83F45" w:rsidR="00F067E7">
        <w:t xml:space="preserve">severity of </w:t>
      </w:r>
      <w:r w:rsidRPr="00F83F45" w:rsidR="00FD1EF4">
        <w:t xml:space="preserve">the </w:t>
      </w:r>
      <w:r w:rsidRPr="00F83F45" w:rsidR="00F067E7">
        <w:t xml:space="preserve">sentence risked, it must be assessed with reference to a number of other relevant factors which may either confirm </w:t>
      </w:r>
      <w:r w:rsidRPr="00F83F45" w:rsidR="00FD1EF4">
        <w:t xml:space="preserve">the </w:t>
      </w:r>
      <w:r w:rsidRPr="00F83F45" w:rsidR="00F067E7">
        <w:t xml:space="preserve">existence of a danger of absconding or make it appear so slight that it cannot justify detention pending trial (see </w:t>
      </w:r>
      <w:bookmarkStart w:name="_cl27852THELAW" w:id="29"/>
      <w:r w:rsidRPr="00F83F45" w:rsidR="00F067E7">
        <w:rPr>
          <w:i/>
          <w:iCs/>
        </w:rPr>
        <w:t>Ignatov v. Ukraine</w:t>
      </w:r>
      <w:bookmarkEnd w:id="29"/>
      <w:r w:rsidRPr="00F83F45" w:rsidR="00F067E7">
        <w:t>, no. 40583/15, § 41, 15</w:t>
      </w:r>
      <w:r w:rsidRPr="00F83F45" w:rsidR="00FD0795">
        <w:t> </w:t>
      </w:r>
      <w:r w:rsidRPr="00F83F45" w:rsidR="00F067E7">
        <w:t>December 2016).</w:t>
      </w:r>
    </w:p>
    <w:p w:rsidRPr="00F83F45" w:rsidR="00F067E7" w:rsidP="00F83F45" w14:paraId="2577C32D" w14:textId="6B916DAF">
      <w:pPr>
        <w:pStyle w:val="JuPara"/>
      </w:pPr>
      <w:r>
        <w:fldChar w:fldCharType="begin"/>
      </w:r>
      <w:r>
        <w:instrText xml:space="preserve"> SEQ level0 \*arabic \* MERGEFORMAT </w:instrText>
      </w:r>
      <w:r>
        <w:fldChar w:fldCharType="separate"/>
      </w:r>
      <w:r w:rsidRPr="00F83F45">
        <w:rPr>
          <w:noProof/>
        </w:rPr>
        <w:t>66</w:t>
      </w:r>
      <w:r w:rsidRPr="00F83F45">
        <w:rPr>
          <w:noProof/>
        </w:rPr>
        <w:fldChar w:fldCharType="end"/>
      </w:r>
      <w:r w:rsidRPr="00F83F45">
        <w:t>.  </w:t>
      </w:r>
      <w:r w:rsidRPr="00F83F45" w:rsidR="00FD1EF4">
        <w:t xml:space="preserve">The </w:t>
      </w:r>
      <w:r w:rsidRPr="00F83F45">
        <w:t xml:space="preserve">Court also observes that </w:t>
      </w:r>
      <w:r w:rsidRPr="00F83F45" w:rsidR="00FD1EF4">
        <w:t xml:space="preserve">the </w:t>
      </w:r>
      <w:r w:rsidRPr="00F83F45">
        <w:t xml:space="preserve">relevant provision of domestic criminal law, as interpreted by </w:t>
      </w:r>
      <w:r w:rsidRPr="00F83F45" w:rsidR="00FD1EF4">
        <w:t xml:space="preserve">the </w:t>
      </w:r>
      <w:r w:rsidRPr="00F83F45">
        <w:t xml:space="preserve">authorities in </w:t>
      </w:r>
      <w:r w:rsidRPr="00F83F45" w:rsidR="00FD1EF4">
        <w:t xml:space="preserve">the </w:t>
      </w:r>
      <w:r w:rsidRPr="00F83F45">
        <w:t>first applicant</w:t>
      </w:r>
      <w:r w:rsidRPr="00F83F45">
        <w:t>’</w:t>
      </w:r>
      <w:r w:rsidRPr="00F83F45">
        <w:t xml:space="preserve">s case, appears to criminalise any participation in economic life under </w:t>
      </w:r>
      <w:r w:rsidRPr="00F83F45" w:rsidR="00FD1EF4">
        <w:t xml:space="preserve">the </w:t>
      </w:r>
      <w:r w:rsidRPr="00F83F45">
        <w:t xml:space="preserve">Russian occupation. Leaving aside </w:t>
      </w:r>
      <w:r w:rsidRPr="00F83F45" w:rsidR="00FD1EF4">
        <w:t xml:space="preserve">the </w:t>
      </w:r>
      <w:r w:rsidRPr="00F83F45">
        <w:t xml:space="preserve">question of </w:t>
      </w:r>
      <w:r w:rsidRPr="00F83F45" w:rsidR="00FD1EF4">
        <w:t xml:space="preserve">the </w:t>
      </w:r>
      <w:r w:rsidRPr="00F83F45">
        <w:t xml:space="preserve">appropriateness of such broad criminalisation (which has been criticised by </w:t>
      </w:r>
      <w:r w:rsidRPr="00F83F45" w:rsidR="00FD1EF4">
        <w:t xml:space="preserve">the </w:t>
      </w:r>
      <w:r w:rsidRPr="00F83F45">
        <w:t xml:space="preserve">OHCHR – see </w:t>
      </w:r>
      <w:r w:rsidRPr="00F83F45" w:rsidR="00FD1EF4">
        <w:t xml:space="preserve">the </w:t>
      </w:r>
      <w:r w:rsidRPr="00F83F45">
        <w:t xml:space="preserve">report in paragraph </w:t>
      </w:r>
      <w:r w:rsidRPr="00F83F45">
        <w:fldChar w:fldCharType="begin"/>
      </w:r>
      <w:r w:rsidRPr="00F83F45">
        <w:instrText xml:space="preserve"> REF frame_OHCHR \h </w:instrText>
      </w:r>
      <w:r w:rsidRPr="00F83F45">
        <w:fldChar w:fldCharType="separate"/>
      </w:r>
      <w:r w:rsidRPr="00F83F45">
        <w:rPr>
          <w:noProof/>
        </w:rPr>
        <w:t>45</w:t>
      </w:r>
      <w:r w:rsidRPr="00F83F45">
        <w:fldChar w:fldCharType="end"/>
      </w:r>
      <w:r w:rsidRPr="00F83F45">
        <w:t xml:space="preserve"> above) which </w:t>
      </w:r>
      <w:r w:rsidRPr="00F83F45" w:rsidR="00FD1EF4">
        <w:t xml:space="preserve">the </w:t>
      </w:r>
      <w:r w:rsidRPr="00F83F45">
        <w:t xml:space="preserve">first applicant did not raise before </w:t>
      </w:r>
      <w:r w:rsidRPr="00F83F45" w:rsidR="00FD1EF4">
        <w:t xml:space="preserve">the </w:t>
      </w:r>
      <w:r w:rsidRPr="00F83F45">
        <w:t xml:space="preserve">Court as such in this case (see paragraph </w:t>
      </w:r>
      <w:r w:rsidRPr="00F83F45">
        <w:rPr>
          <w:noProof/>
        </w:rPr>
        <w:fldChar w:fldCharType="begin"/>
      </w:r>
      <w:r w:rsidRPr="00F83F45">
        <w:rPr>
          <w:noProof/>
        </w:rPr>
        <w:instrText xml:space="preserve"> REF law_scope_last \h </w:instrText>
      </w:r>
      <w:r w:rsidRPr="00F83F45" w:rsidR="0009099A">
        <w:rPr>
          <w:noProof/>
        </w:rPr>
        <w:instrText xml:space="preserve"> \* MERGEFORMAT </w:instrText>
      </w:r>
      <w:r w:rsidRPr="00F83F45">
        <w:rPr>
          <w:noProof/>
        </w:rPr>
        <w:fldChar w:fldCharType="separate"/>
      </w:r>
      <w:r w:rsidRPr="00F83F45">
        <w:rPr>
          <w:noProof/>
        </w:rPr>
        <w:t>49</w:t>
      </w:r>
      <w:r w:rsidRPr="00F83F45">
        <w:rPr>
          <w:noProof/>
        </w:rPr>
        <w:fldChar w:fldCharType="end"/>
      </w:r>
      <w:r w:rsidRPr="00F83F45" w:rsidR="0009099A">
        <w:rPr>
          <w:noProof/>
        </w:rPr>
        <w:t xml:space="preserve"> </w:t>
      </w:r>
      <w:r w:rsidRPr="00F83F45">
        <w:rPr>
          <w:noProof/>
        </w:rPr>
        <w:t>above),</w:t>
      </w:r>
      <w:r w:rsidRPr="00F83F45">
        <w:t xml:space="preserve"> </w:t>
      </w:r>
      <w:r w:rsidRPr="00F83F45" w:rsidR="00FD1EF4">
        <w:t xml:space="preserve">the </w:t>
      </w:r>
      <w:r w:rsidRPr="00F83F45">
        <w:t xml:space="preserve">form of </w:t>
      </w:r>
      <w:r w:rsidRPr="00F83F45" w:rsidR="00FD1EF4">
        <w:t xml:space="preserve">the </w:t>
      </w:r>
      <w:r w:rsidRPr="00F83F45">
        <w:t xml:space="preserve">offence imputed to </w:t>
      </w:r>
      <w:r w:rsidRPr="00F83F45" w:rsidR="00FD1EF4">
        <w:t xml:space="preserve">the </w:t>
      </w:r>
      <w:r w:rsidRPr="00F83F45">
        <w:t xml:space="preserve">first applicant was </w:t>
      </w:r>
      <w:r w:rsidRPr="00F83F45" w:rsidR="00FD1EF4">
        <w:t xml:space="preserve">the </w:t>
      </w:r>
      <w:r w:rsidRPr="00F83F45">
        <w:t xml:space="preserve">least serious one provided under </w:t>
      </w:r>
      <w:r w:rsidRPr="00F83F45" w:rsidR="00FD1EF4">
        <w:t xml:space="preserve">the </w:t>
      </w:r>
      <w:r w:rsidRPr="00F83F45">
        <w:t>relevant criminal-law provision, which provided for a fine as a potential punishment, and imprisonment only as an alternative.</w:t>
      </w:r>
    </w:p>
    <w:p w:rsidRPr="00F83F45" w:rsidR="00F067E7" w:rsidP="00F83F45" w14:paraId="7E875CD3" w14:textId="0C09DF0E">
      <w:pPr>
        <w:pStyle w:val="JuPara"/>
      </w:pPr>
      <w:r>
        <w:fldChar w:fldCharType="begin"/>
      </w:r>
      <w:r>
        <w:instrText xml:space="preserve"> SEQ level0 \*arabic \* MERGEFORMAT </w:instrText>
      </w:r>
      <w:r>
        <w:fldChar w:fldCharType="separate"/>
      </w:r>
      <w:r w:rsidRPr="00F83F45">
        <w:rPr>
          <w:noProof/>
        </w:rPr>
        <w:t>67</w:t>
      </w:r>
      <w:r w:rsidRPr="00F83F45">
        <w:rPr>
          <w:noProof/>
        </w:rPr>
        <w:fldChar w:fldCharType="end"/>
      </w:r>
      <w:r w:rsidRPr="00F83F45">
        <w:t xml:space="preserve">.  Consequently, this renders </w:t>
      </w:r>
      <w:r w:rsidRPr="00F83F45" w:rsidR="00FD1EF4">
        <w:t xml:space="preserve">the </w:t>
      </w:r>
      <w:r w:rsidRPr="00F83F45">
        <w:t xml:space="preserve">severity of </w:t>
      </w:r>
      <w:r w:rsidRPr="00F83F45" w:rsidR="00FD1EF4">
        <w:t xml:space="preserve">the </w:t>
      </w:r>
      <w:r w:rsidRPr="00F83F45">
        <w:t xml:space="preserve">punishment faced, as a reason given by </w:t>
      </w:r>
      <w:r w:rsidRPr="00F83F45" w:rsidR="00FD1EF4">
        <w:t xml:space="preserve">the </w:t>
      </w:r>
      <w:r w:rsidRPr="00F83F45">
        <w:t xml:space="preserve">domestic courts for </w:t>
      </w:r>
      <w:r w:rsidRPr="00F83F45" w:rsidR="00FD1EF4">
        <w:t xml:space="preserve">the </w:t>
      </w:r>
      <w:r w:rsidRPr="00F83F45">
        <w:t xml:space="preserve">existence of </w:t>
      </w:r>
      <w:r w:rsidRPr="00F83F45" w:rsidR="00FD1EF4">
        <w:t xml:space="preserve">the </w:t>
      </w:r>
      <w:r w:rsidRPr="00F83F45">
        <w:t xml:space="preserve">risk of absconding, particularly unpersuasive. </w:t>
      </w:r>
      <w:r w:rsidRPr="00F83F45" w:rsidR="00FD1EF4">
        <w:t xml:space="preserve">The </w:t>
      </w:r>
      <w:r w:rsidRPr="00F83F45">
        <w:t xml:space="preserve">domestic authorities and courts themselves noted that </w:t>
      </w:r>
      <w:r w:rsidRPr="00F83F45" w:rsidR="00FD1EF4">
        <w:t xml:space="preserve">the </w:t>
      </w:r>
      <w:r w:rsidRPr="00F83F45">
        <w:t xml:space="preserve">offence imputed to </w:t>
      </w:r>
      <w:r w:rsidRPr="00F83F45" w:rsidR="00FD1EF4">
        <w:t xml:space="preserve">the </w:t>
      </w:r>
      <w:r w:rsidRPr="00F83F45">
        <w:t>applicant was classified under domestic law as a “less serious” offence (</w:t>
      </w:r>
      <w:r w:rsidRPr="00F83F45">
        <w:rPr>
          <w:i/>
          <w:iCs/>
          <w:lang w:val="uk-UA"/>
        </w:rPr>
        <w:t>нетяжкий злочин</w:t>
      </w:r>
      <w:r w:rsidRPr="00F83F45">
        <w:t>; see</w:t>
      </w:r>
      <w:r w:rsidRPr="00F83F45" w:rsidR="00FD1EF4">
        <w:t xml:space="preserve"> </w:t>
      </w:r>
      <w:r w:rsidRPr="00F83F45">
        <w:t xml:space="preserve">paragraphs </w:t>
      </w:r>
      <w:r w:rsidRPr="00F83F45">
        <w:fldChar w:fldCharType="begin"/>
      </w:r>
      <w:r w:rsidRPr="00F83F45">
        <w:instrText xml:space="preserve"> REF facts_Derev_application_for_detention \h </w:instrText>
      </w:r>
      <w:r w:rsidRPr="00F83F45">
        <w:fldChar w:fldCharType="separate"/>
      </w:r>
      <w:r w:rsidRPr="00F83F45">
        <w:rPr>
          <w:noProof/>
        </w:rPr>
        <w:t>10</w:t>
      </w:r>
      <w:r w:rsidRPr="00F83F45">
        <w:fldChar w:fldCharType="end"/>
      </w:r>
      <w:r w:rsidRPr="00F83F45">
        <w:t xml:space="preserve">, </w:t>
      </w:r>
      <w:r w:rsidRPr="00F83F45">
        <w:fldChar w:fldCharType="begin"/>
      </w:r>
      <w:r w:rsidRPr="00F83F45">
        <w:instrText xml:space="preserve"> REF facts_Der_high_standards_last \h </w:instrText>
      </w:r>
      <w:r w:rsidRPr="00F83F45">
        <w:fldChar w:fldCharType="separate"/>
      </w:r>
      <w:r w:rsidRPr="00F83F45">
        <w:rPr>
          <w:noProof/>
        </w:rPr>
        <w:t>19</w:t>
      </w:r>
      <w:r w:rsidRPr="00F83F45">
        <w:fldChar w:fldCharType="end"/>
      </w:r>
      <w:r w:rsidRPr="00F83F45">
        <w:t xml:space="preserve"> and </w:t>
      </w:r>
      <w:r w:rsidRPr="00F83F45">
        <w:fldChar w:fldCharType="begin"/>
      </w:r>
      <w:r w:rsidRPr="00F83F45">
        <w:instrText xml:space="preserve"> REF frame_CC_classification_of_offences \h </w:instrText>
      </w:r>
      <w:r w:rsidRPr="00F83F45">
        <w:fldChar w:fldCharType="separate"/>
      </w:r>
      <w:r w:rsidRPr="00F83F45">
        <w:rPr>
          <w:noProof/>
        </w:rPr>
        <w:t>41</w:t>
      </w:r>
      <w:r w:rsidRPr="00F83F45">
        <w:fldChar w:fldCharType="end"/>
      </w:r>
      <w:r w:rsidRPr="00F83F45">
        <w:t xml:space="preserve"> above). That </w:t>
      </w:r>
      <w:r w:rsidRPr="00F83F45" w:rsidR="00FD1EF4">
        <w:t xml:space="preserve">the </w:t>
      </w:r>
      <w:r w:rsidRPr="00F83F45">
        <w:t xml:space="preserve">facts imputed to </w:t>
      </w:r>
      <w:r w:rsidRPr="00F83F45" w:rsidR="00FD1EF4">
        <w:t xml:space="preserve">the </w:t>
      </w:r>
      <w:r w:rsidRPr="00F83F45">
        <w:t xml:space="preserve">applicant were not of particular gravity appears to have also been eventually borne out by </w:t>
      </w:r>
      <w:r w:rsidRPr="00F83F45" w:rsidR="00FD1EF4">
        <w:t xml:space="preserve">the </w:t>
      </w:r>
      <w:r w:rsidRPr="00F83F45">
        <w:t xml:space="preserve">conviction judgment (see paragraph </w:t>
      </w:r>
      <w:r w:rsidRPr="00F83F45">
        <w:fldChar w:fldCharType="begin"/>
      </w:r>
      <w:r w:rsidRPr="00F83F45">
        <w:instrText xml:space="preserve"> REF facts_CoA_sentence \h </w:instrText>
      </w:r>
      <w:r w:rsidRPr="00F83F45">
        <w:fldChar w:fldCharType="separate"/>
      </w:r>
      <w:r w:rsidRPr="00F83F45">
        <w:rPr>
          <w:noProof/>
        </w:rPr>
        <w:t>23</w:t>
      </w:r>
      <w:r w:rsidRPr="00F83F45">
        <w:fldChar w:fldCharType="end"/>
      </w:r>
      <w:r w:rsidRPr="00F83F45">
        <w:t xml:space="preserve"> above).</w:t>
      </w:r>
    </w:p>
    <w:p w:rsidRPr="00F83F45" w:rsidR="00F067E7" w:rsidP="00F83F45" w14:paraId="2A0115CC" w14:textId="2AC5A996">
      <w:pPr>
        <w:pStyle w:val="JuPara"/>
      </w:pPr>
      <w:r>
        <w:fldChar w:fldCharType="begin"/>
      </w:r>
      <w:r>
        <w:instrText xml:space="preserve"> SEQ level0 \*arabic \* MERGEFORMAT </w:instrText>
      </w:r>
      <w:r>
        <w:fldChar w:fldCharType="separate"/>
      </w:r>
      <w:r w:rsidRPr="00F83F45">
        <w:rPr>
          <w:noProof/>
        </w:rPr>
        <w:t>68</w:t>
      </w:r>
      <w:r w:rsidRPr="00F83F45">
        <w:rPr>
          <w:noProof/>
        </w:rPr>
        <w:fldChar w:fldCharType="end"/>
      </w:r>
      <w:r w:rsidRPr="00F83F45">
        <w:t xml:space="preserve">.  With regard to </w:t>
      </w:r>
      <w:r w:rsidRPr="00F83F45" w:rsidR="00FD1EF4">
        <w:t xml:space="preserve">the </w:t>
      </w:r>
      <w:r w:rsidRPr="00F83F45">
        <w:t xml:space="preserve">risk of absconding, </w:t>
      </w:r>
      <w:r w:rsidRPr="00F83F45" w:rsidR="00FD1EF4">
        <w:t xml:space="preserve">the </w:t>
      </w:r>
      <w:r w:rsidRPr="00F83F45">
        <w:t xml:space="preserve">domestic courts failed to rebut </w:t>
      </w:r>
      <w:r w:rsidRPr="00F83F45" w:rsidR="00FD1EF4">
        <w:t xml:space="preserve">the </w:t>
      </w:r>
      <w:r w:rsidRPr="00F83F45">
        <w:t>first applicant</w:t>
      </w:r>
      <w:r w:rsidRPr="00F83F45">
        <w:t>’</w:t>
      </w:r>
      <w:r w:rsidRPr="00F83F45">
        <w:t xml:space="preserve">s argument that, had he wished to flee, he could have done so in </w:t>
      </w:r>
      <w:r w:rsidRPr="00F83F45" w:rsidR="00FD1EF4">
        <w:t xml:space="preserve">the </w:t>
      </w:r>
      <w:r w:rsidRPr="00F83F45">
        <w:t>period between Ukraine</w:t>
      </w:r>
      <w:r w:rsidRPr="00F83F45">
        <w:t>’</w:t>
      </w:r>
      <w:r w:rsidRPr="00F83F45">
        <w:t xml:space="preserve">s liberation of territory and his arrest, </w:t>
      </w:r>
      <w:r w:rsidRPr="00F83F45">
        <w:t xml:space="preserve">especially given that he knew about </w:t>
      </w:r>
      <w:r w:rsidRPr="00F83F45" w:rsidR="00FD1EF4">
        <w:t xml:space="preserve">the </w:t>
      </w:r>
      <w:r w:rsidRPr="00F83F45">
        <w:t xml:space="preserve">criminal proceedings. </w:t>
      </w:r>
      <w:r w:rsidRPr="00F83F45" w:rsidR="00FD1EF4">
        <w:t xml:space="preserve">The </w:t>
      </w:r>
      <w:r w:rsidRPr="00F83F45">
        <w:t xml:space="preserve">risk of influencing witnesses was also not supported by reference to any persuasive circumstances: there were no substantial additional elements in </w:t>
      </w:r>
      <w:r w:rsidRPr="00F83F45" w:rsidR="00FD1EF4">
        <w:t xml:space="preserve">the </w:t>
      </w:r>
      <w:r w:rsidRPr="00F83F45">
        <w:t xml:space="preserve">charges which </w:t>
      </w:r>
      <w:r w:rsidRPr="00F83F45" w:rsidR="00FD1EF4">
        <w:t xml:space="preserve">the </w:t>
      </w:r>
      <w:r w:rsidRPr="00F83F45">
        <w:t xml:space="preserve">first applicant did not admit himself in his statement given at </w:t>
      </w:r>
      <w:r w:rsidRPr="00F83F45" w:rsidR="00FD1EF4">
        <w:t xml:space="preserve">the </w:t>
      </w:r>
      <w:r w:rsidRPr="00F83F45">
        <w:t xml:space="preserve">very outset of </w:t>
      </w:r>
      <w:r w:rsidRPr="00F83F45" w:rsidR="00FD1EF4">
        <w:t xml:space="preserve">the </w:t>
      </w:r>
      <w:r w:rsidRPr="00F83F45">
        <w:t xml:space="preserve">investigation (see paragraph </w:t>
      </w:r>
      <w:r w:rsidRPr="00F83F45">
        <w:fldChar w:fldCharType="begin"/>
      </w:r>
      <w:r w:rsidRPr="00F83F45">
        <w:instrText xml:space="preserve"> REF facts_Der_first_interview \h  \* MERGEFORMAT </w:instrText>
      </w:r>
      <w:r w:rsidRPr="00F83F45">
        <w:fldChar w:fldCharType="separate"/>
      </w:r>
      <w:r w:rsidRPr="00F83F45">
        <w:t>8</w:t>
      </w:r>
      <w:r w:rsidRPr="00F83F45">
        <w:fldChar w:fldCharType="end"/>
      </w:r>
      <w:r w:rsidRPr="00F83F45">
        <w:t xml:space="preserve"> above); there was no reply to </w:t>
      </w:r>
      <w:r w:rsidRPr="00F83F45" w:rsidR="00FD1EF4">
        <w:t xml:space="preserve">the </w:t>
      </w:r>
      <w:r w:rsidRPr="00F83F45">
        <w:t>first applicant</w:t>
      </w:r>
      <w:r w:rsidRPr="00F83F45">
        <w:t>’</w:t>
      </w:r>
      <w:r w:rsidRPr="00F83F45">
        <w:t xml:space="preserve">s argument that </w:t>
      </w:r>
      <w:r w:rsidRPr="00F83F45" w:rsidR="00FD1EF4">
        <w:t xml:space="preserve">the </w:t>
      </w:r>
      <w:r w:rsidRPr="00F83F45">
        <w:t xml:space="preserve">witnesses had moved; and, lastly, </w:t>
      </w:r>
      <w:r w:rsidRPr="00F83F45" w:rsidR="00FD1EF4">
        <w:t xml:space="preserve">the </w:t>
      </w:r>
      <w:r w:rsidRPr="00F83F45">
        <w:t xml:space="preserve">trial court continued to refer to </w:t>
      </w:r>
      <w:r w:rsidRPr="00F83F45" w:rsidR="00FD1EF4">
        <w:t xml:space="preserve">the </w:t>
      </w:r>
      <w:r w:rsidRPr="00F83F45">
        <w:t xml:space="preserve">supposedly existing risk of influencing witnesses even after 6 February 2024, when all </w:t>
      </w:r>
      <w:r w:rsidRPr="00F83F45" w:rsidR="00FD1EF4">
        <w:t xml:space="preserve">the </w:t>
      </w:r>
      <w:r w:rsidRPr="00F83F45">
        <w:t>witnesses had been questioned and no other witness examinations were planned (</w:t>
      </w:r>
      <w:r w:rsidRPr="00F83F45" w:rsidR="00FD1EF4">
        <w:t xml:space="preserve">see </w:t>
      </w:r>
      <w:r w:rsidRPr="00F83F45">
        <w:t>paragraph</w:t>
      </w:r>
      <w:r w:rsidRPr="00F83F45" w:rsidR="009416E4">
        <w:t xml:space="preserve"> 21</w:t>
      </w:r>
      <w:r w:rsidRPr="00F83F45" w:rsidR="009E0A9B">
        <w:t> </w:t>
      </w:r>
      <w:r w:rsidRPr="00F83F45">
        <w:t>above).</w:t>
      </w:r>
    </w:p>
    <w:p w:rsidRPr="00F83F45" w:rsidR="00F067E7" w:rsidP="00F83F45" w14:paraId="06ADF26D" w14:textId="7EA5AD4D">
      <w:pPr>
        <w:pStyle w:val="JuPara"/>
      </w:pPr>
      <w:r>
        <w:fldChar w:fldCharType="begin"/>
      </w:r>
      <w:r>
        <w:instrText xml:space="preserve"> SEQ level0 \*arabic \* MERGEFORMAT </w:instrText>
      </w:r>
      <w:r>
        <w:fldChar w:fldCharType="separate"/>
      </w:r>
      <w:r w:rsidRPr="00F83F45">
        <w:rPr>
          <w:noProof/>
        </w:rPr>
        <w:t>69</w:t>
      </w:r>
      <w:r w:rsidRPr="00F83F45">
        <w:rPr>
          <w:noProof/>
        </w:rPr>
        <w:fldChar w:fldCharType="end"/>
      </w:r>
      <w:r w:rsidRPr="00F83F45">
        <w:t xml:space="preserve">.  In addition, in its decision of 30 July 2024, also at a very late stage in </w:t>
      </w:r>
      <w:r w:rsidRPr="00F83F45" w:rsidR="00FD1EF4">
        <w:t xml:space="preserve">the </w:t>
      </w:r>
      <w:r w:rsidRPr="00F83F45">
        <w:t xml:space="preserve">proceedings, </w:t>
      </w:r>
      <w:r w:rsidRPr="00F83F45" w:rsidR="00FD1EF4">
        <w:t xml:space="preserve">the </w:t>
      </w:r>
      <w:r w:rsidRPr="00F83F45">
        <w:t xml:space="preserve">Court of Appeal stated, apparently for </w:t>
      </w:r>
      <w:r w:rsidRPr="00F83F45" w:rsidR="00FD1EF4">
        <w:t xml:space="preserve">the </w:t>
      </w:r>
      <w:r w:rsidRPr="00F83F45">
        <w:t xml:space="preserve">first time, that there was also </w:t>
      </w:r>
      <w:r w:rsidRPr="00F83F45" w:rsidR="00FD1EF4">
        <w:t xml:space="preserve">the </w:t>
      </w:r>
      <w:r w:rsidRPr="00F83F45">
        <w:t>risk of reoffending (</w:t>
      </w:r>
      <w:r w:rsidRPr="00F83F45" w:rsidR="00FD1EF4">
        <w:t xml:space="preserve">see </w:t>
      </w:r>
      <w:r w:rsidRPr="00F83F45">
        <w:t xml:space="preserve">paragraph </w:t>
      </w:r>
      <w:r w:rsidRPr="00F83F45">
        <w:fldChar w:fldCharType="begin"/>
      </w:r>
      <w:r w:rsidRPr="00F83F45">
        <w:instrText xml:space="preserve"> REF facts_De_CoA_2024_July \h  \* MERGEFORMAT </w:instrText>
      </w:r>
      <w:r w:rsidRPr="00F83F45">
        <w:fldChar w:fldCharType="separate"/>
      </w:r>
      <w:r w:rsidRPr="00F83F45">
        <w:t>20</w:t>
      </w:r>
      <w:r w:rsidRPr="00F83F45">
        <w:fldChar w:fldCharType="end"/>
      </w:r>
      <w:r w:rsidRPr="00F83F45">
        <w:t xml:space="preserve"> above). </w:t>
      </w:r>
      <w:r w:rsidRPr="00F83F45" w:rsidR="00FD1EF4">
        <w:t xml:space="preserve">The </w:t>
      </w:r>
      <w:r w:rsidRPr="00F83F45">
        <w:t xml:space="preserve">court did not provide any reasons for that finding, other than referring to </w:t>
      </w:r>
      <w:r w:rsidRPr="00F83F45" w:rsidR="00FD1EF4">
        <w:t xml:space="preserve">the </w:t>
      </w:r>
      <w:r w:rsidRPr="00F83F45">
        <w:t>punishment faced.</w:t>
      </w:r>
    </w:p>
    <w:p w:rsidRPr="00F83F45" w:rsidR="00F067E7" w:rsidP="00F83F45" w14:paraId="5A3A05BB" w14:textId="18ABA774">
      <w:pPr>
        <w:pStyle w:val="JuPara"/>
      </w:pPr>
      <w:r>
        <w:fldChar w:fldCharType="begin"/>
      </w:r>
      <w:r>
        <w:instrText xml:space="preserve"> SEQ level0 \*arabic \* MERGEFORMAT </w:instrText>
      </w:r>
      <w:r>
        <w:fldChar w:fldCharType="separate"/>
      </w:r>
      <w:r w:rsidRPr="00F83F45">
        <w:rPr>
          <w:noProof/>
        </w:rPr>
        <w:t>70</w:t>
      </w:r>
      <w:r w:rsidRPr="00F83F45">
        <w:rPr>
          <w:noProof/>
        </w:rPr>
        <w:fldChar w:fldCharType="end"/>
      </w:r>
      <w:r w:rsidRPr="00F83F45">
        <w:t>.  </w:t>
      </w:r>
      <w:r w:rsidRPr="00F83F45" w:rsidR="00FD1EF4">
        <w:t xml:space="preserve">The </w:t>
      </w:r>
      <w:r w:rsidRPr="00F83F45">
        <w:t xml:space="preserve">Court notes with satisfaction that </w:t>
      </w:r>
      <w:r w:rsidRPr="00F83F45" w:rsidR="00FD1EF4">
        <w:t xml:space="preserve">the </w:t>
      </w:r>
      <w:r w:rsidRPr="00F83F45">
        <w:t xml:space="preserve">domestic courts endeavoured to take into account </w:t>
      </w:r>
      <w:r w:rsidRPr="00F83F45" w:rsidR="00FD1EF4">
        <w:t xml:space="preserve">the </w:t>
      </w:r>
      <w:r w:rsidRPr="00F83F45">
        <w:t>Court</w:t>
      </w:r>
      <w:r w:rsidRPr="00F83F45">
        <w:t>’</w:t>
      </w:r>
      <w:r w:rsidRPr="00F83F45">
        <w:t xml:space="preserve">s case-law in deciding </w:t>
      </w:r>
      <w:r w:rsidRPr="00F83F45" w:rsidR="00FD1EF4">
        <w:t xml:space="preserve">the </w:t>
      </w:r>
      <w:r w:rsidRPr="00F83F45">
        <w:t xml:space="preserve">question of </w:t>
      </w:r>
      <w:r w:rsidRPr="00F83F45" w:rsidR="00FD1EF4">
        <w:t xml:space="preserve">the </w:t>
      </w:r>
      <w:r w:rsidRPr="00F83F45">
        <w:t>first applicant</w:t>
      </w:r>
      <w:r w:rsidRPr="00F83F45">
        <w:t>’</w:t>
      </w:r>
      <w:r w:rsidRPr="00F83F45">
        <w:t xml:space="preserve">s detention. </w:t>
      </w:r>
      <w:r w:rsidRPr="00F83F45" w:rsidR="00FD1EF4">
        <w:t xml:space="preserve">The </w:t>
      </w:r>
      <w:r w:rsidRPr="00F83F45">
        <w:t xml:space="preserve">Court is concerned, however, that </w:t>
      </w:r>
      <w:r w:rsidRPr="00F83F45" w:rsidR="00FD1EF4">
        <w:t xml:space="preserve">the </w:t>
      </w:r>
      <w:r w:rsidRPr="00F83F45">
        <w:t xml:space="preserve">domestic courts might have laboured under a certain misconception about </w:t>
      </w:r>
      <w:r w:rsidRPr="00F83F45" w:rsidR="00FD1EF4">
        <w:t xml:space="preserve">the </w:t>
      </w:r>
      <w:r w:rsidRPr="00F83F45">
        <w:t>Court</w:t>
      </w:r>
      <w:r w:rsidRPr="00F83F45">
        <w:t>’</w:t>
      </w:r>
      <w:r w:rsidRPr="00F83F45">
        <w:t xml:space="preserve">s case-law. While all </w:t>
      </w:r>
      <w:r w:rsidRPr="00F83F45" w:rsidR="00FD1EF4">
        <w:t xml:space="preserve">the </w:t>
      </w:r>
      <w:r w:rsidRPr="00F83F45">
        <w:t>principles formulated in paragraph</w:t>
      </w:r>
      <w:r w:rsidRPr="00F83F45" w:rsidR="0009099A">
        <w:t>| </w:t>
      </w:r>
      <w:r w:rsidRPr="00F83F45">
        <w:fldChar w:fldCharType="begin"/>
      </w:r>
      <w:r w:rsidRPr="00F83F45">
        <w:instrText xml:space="preserve"> REF facts_Der_high_standards_Letellier \h  \* MERGEFORMAT </w:instrText>
      </w:r>
      <w:r w:rsidRPr="00F83F45">
        <w:fldChar w:fldCharType="separate"/>
      </w:r>
      <w:r w:rsidRPr="00F83F45">
        <w:t>17</w:t>
      </w:r>
      <w:r w:rsidRPr="00F83F45">
        <w:fldChar w:fldCharType="end"/>
      </w:r>
      <w:r w:rsidRPr="00F83F45">
        <w:t xml:space="preserve"> above are presented as a citation of </w:t>
      </w:r>
      <w:r w:rsidRPr="00F83F45">
        <w:rPr>
          <w:i/>
          <w:iCs/>
        </w:rPr>
        <w:t>Letellier v. France</w:t>
      </w:r>
      <w:r w:rsidRPr="00F83F45">
        <w:t xml:space="preserve"> (26</w:t>
      </w:r>
      <w:r w:rsidRPr="00F83F45" w:rsidR="0009099A">
        <w:t> </w:t>
      </w:r>
      <w:r w:rsidRPr="00F83F45">
        <w:t>June</w:t>
      </w:r>
      <w:r w:rsidRPr="00F83F45" w:rsidR="00FD1EF4">
        <w:t xml:space="preserve"> </w:t>
      </w:r>
      <w:r w:rsidRPr="00F83F45">
        <w:t xml:space="preserve">1991, Series A no. 207), only </w:t>
      </w:r>
      <w:r w:rsidRPr="00F83F45" w:rsidR="00FD1EF4">
        <w:t xml:space="preserve">the </w:t>
      </w:r>
      <w:r w:rsidRPr="00F83F45">
        <w:t xml:space="preserve">first of those sentences, which correctly represents </w:t>
      </w:r>
      <w:r w:rsidRPr="00F83F45" w:rsidR="00FD1EF4">
        <w:t xml:space="preserve">the </w:t>
      </w:r>
      <w:r w:rsidRPr="00F83F45">
        <w:t>Court</w:t>
      </w:r>
      <w:r w:rsidRPr="00F83F45">
        <w:t>’</w:t>
      </w:r>
      <w:r w:rsidRPr="00F83F45">
        <w:t xml:space="preserve">s well-established case-law, can be found in </w:t>
      </w:r>
      <w:r w:rsidRPr="00F83F45">
        <w:rPr>
          <w:i/>
          <w:iCs/>
        </w:rPr>
        <w:t xml:space="preserve">Letellier </w:t>
      </w:r>
      <w:r w:rsidRPr="00F83F45">
        <w:t xml:space="preserve">(ibid., § 35), </w:t>
      </w:r>
      <w:r w:rsidRPr="00F83F45" w:rsidR="00FD1EF4">
        <w:t xml:space="preserve">the </w:t>
      </w:r>
      <w:r w:rsidRPr="00F83F45">
        <w:t xml:space="preserve">other two sentences of that paragraph do not appear in </w:t>
      </w:r>
      <w:r w:rsidRPr="00F83F45">
        <w:rPr>
          <w:i/>
          <w:iCs/>
        </w:rPr>
        <w:t>Letelier</w:t>
      </w:r>
      <w:r w:rsidRPr="00F83F45">
        <w:t xml:space="preserve"> or any other Court judgment under Article 5 of </w:t>
      </w:r>
      <w:r w:rsidRPr="00F83F45" w:rsidR="00FD1EF4">
        <w:t xml:space="preserve">the </w:t>
      </w:r>
      <w:r w:rsidRPr="00F83F45">
        <w:t>Convention.</w:t>
      </w:r>
    </w:p>
    <w:bookmarkStart w:name="_cl36118THEFACTS" w:id="30"/>
    <w:p w:rsidRPr="00F83F45" w:rsidR="00F067E7" w:rsidP="00F83F45" w14:paraId="7EFAB15E" w14:textId="67C58EAA">
      <w:pPr>
        <w:pStyle w:val="JuPara"/>
      </w:pPr>
      <w:r w:rsidRPr="00F83F45">
        <w:fldChar w:fldCharType="begin"/>
      </w:r>
      <w:r w:rsidRPr="00F83F45">
        <w:instrText xml:space="preserve"> SEQ level0 \*arabic \* MERGEFORMAT </w:instrText>
      </w:r>
      <w:r w:rsidRPr="00F83F45">
        <w:fldChar w:fldCharType="separate"/>
      </w:r>
      <w:r w:rsidRPr="00F83F45" w:rsidR="00F83F45">
        <w:rPr>
          <w:noProof/>
        </w:rPr>
        <w:t>71</w:t>
      </w:r>
      <w:r w:rsidRPr="00F83F45">
        <w:fldChar w:fldCharType="end"/>
      </w:r>
      <w:r w:rsidRPr="00F83F45">
        <w:t xml:space="preserve">.  While it is difficult to identify their actual source, those last two sentences may be a partial paraphrase of a statement contained in </w:t>
      </w:r>
      <w:r w:rsidRPr="00F83F45">
        <w:rPr>
          <w:i/>
          <w:iCs/>
        </w:rPr>
        <w:t>Selmouni</w:t>
      </w:r>
      <w:r w:rsidRPr="00F83F45" w:rsidR="00FD1EF4">
        <w:rPr>
          <w:i/>
          <w:iCs/>
        </w:rPr>
        <w:t xml:space="preserve"> </w:t>
      </w:r>
      <w:r w:rsidRPr="00F83F45">
        <w:rPr>
          <w:i/>
          <w:iCs/>
        </w:rPr>
        <w:t>v. France</w:t>
      </w:r>
      <w:bookmarkEnd w:id="30"/>
      <w:r w:rsidRPr="00F83F45">
        <w:t xml:space="preserve"> ([GC], no. 25803/94, § 101, ECHR 1999-V, </w:t>
      </w:r>
      <w:r w:rsidRPr="00F83F45">
        <w:rPr>
          <w:i/>
          <w:iCs/>
        </w:rPr>
        <w:t>in fine</w:t>
      </w:r>
      <w:r w:rsidRPr="00F83F45">
        <w:t>, with</w:t>
      </w:r>
      <w:r w:rsidRPr="00F83F45">
        <w:rPr>
          <w:i/>
          <w:iCs/>
        </w:rPr>
        <w:t xml:space="preserve"> </w:t>
      </w:r>
      <w:r w:rsidRPr="00F83F45">
        <w:t>internal references omitted and emphasis added):</w:t>
      </w:r>
    </w:p>
    <w:p w:rsidRPr="00F83F45" w:rsidR="00F067E7" w:rsidP="00F83F45" w14:paraId="72736C90" w14:textId="2EBD5B83">
      <w:pPr>
        <w:pStyle w:val="JuQuot"/>
        <w:rPr>
          <w:lang w:val="uk-UA"/>
        </w:rPr>
      </w:pPr>
      <w:r w:rsidRPr="00F83F45">
        <w:t>“101.  </w:t>
      </w:r>
      <w:r w:rsidRPr="00F83F45" w:rsidR="00FD1EF4">
        <w:t xml:space="preserve">The </w:t>
      </w:r>
      <w:r w:rsidRPr="00F83F45">
        <w:t xml:space="preserve">Court has previously examined cases in which it concluded that there had been treatment which could only be described as torture ... However, having regard to </w:t>
      </w:r>
      <w:r w:rsidRPr="00F83F45" w:rsidR="00FD1EF4">
        <w:t xml:space="preserve">the </w:t>
      </w:r>
      <w:r w:rsidRPr="00F83F45">
        <w:t xml:space="preserve">fact that </w:t>
      </w:r>
      <w:r w:rsidRPr="00F83F45" w:rsidR="00FD1EF4">
        <w:t xml:space="preserve">the </w:t>
      </w:r>
      <w:r w:rsidRPr="00F83F45">
        <w:t xml:space="preserve">Convention is a </w:t>
      </w:r>
      <w:r w:rsidRPr="00F83F45" w:rsidR="00F83F45">
        <w:t>‘</w:t>
      </w:r>
      <w:r w:rsidRPr="00F83F45">
        <w:t xml:space="preserve">living instrument which must be interpreted in </w:t>
      </w:r>
      <w:r w:rsidRPr="00F83F45" w:rsidR="00FD1EF4">
        <w:t xml:space="preserve">the </w:t>
      </w:r>
      <w:r w:rsidRPr="00F83F45">
        <w:t>light of present-day conditions</w:t>
      </w:r>
      <w:r w:rsidRPr="00F83F45" w:rsidR="00F83F45">
        <w:t>’</w:t>
      </w:r>
      <w:r w:rsidRPr="00F83F45">
        <w:t xml:space="preserve"> ... </w:t>
      </w:r>
      <w:r w:rsidRPr="00F83F45" w:rsidR="00FD1EF4">
        <w:t xml:space="preserve">the </w:t>
      </w:r>
      <w:r w:rsidRPr="00F83F45">
        <w:t xml:space="preserve">Court considers that certain acts which were classified in </w:t>
      </w:r>
      <w:r w:rsidRPr="00F83F45" w:rsidR="00FD1EF4">
        <w:t xml:space="preserve">the </w:t>
      </w:r>
      <w:r w:rsidRPr="00F83F45">
        <w:t xml:space="preserve">past as </w:t>
      </w:r>
      <w:r w:rsidRPr="00F83F45" w:rsidR="00F83F45">
        <w:t>‘</w:t>
      </w:r>
      <w:r w:rsidRPr="00F83F45">
        <w:t>inhuman and degrading treatment</w:t>
      </w:r>
      <w:r w:rsidRPr="00F83F45" w:rsidR="00F83F45">
        <w:t>’</w:t>
      </w:r>
      <w:r w:rsidRPr="00F83F45">
        <w:t xml:space="preserve"> as opposed to </w:t>
      </w:r>
      <w:r w:rsidRPr="00F83F45" w:rsidR="00F83F45">
        <w:t>‘</w:t>
      </w:r>
      <w:r w:rsidRPr="00F83F45">
        <w:t>torture</w:t>
      </w:r>
      <w:r w:rsidRPr="00F83F45" w:rsidR="00F83F45">
        <w:t>’</w:t>
      </w:r>
      <w:r w:rsidRPr="00F83F45">
        <w:t xml:space="preserve"> could be classified differently in future. It takes </w:t>
      </w:r>
      <w:r w:rsidRPr="00F83F45" w:rsidR="00FD1EF4">
        <w:t xml:space="preserve">the </w:t>
      </w:r>
      <w:r w:rsidRPr="00F83F45">
        <w:t xml:space="preserve">view that </w:t>
      </w:r>
      <w:r w:rsidRPr="00F83F45" w:rsidR="00FD1EF4">
        <w:t xml:space="preserve">the </w:t>
      </w:r>
      <w:r w:rsidRPr="00F83F45">
        <w:t xml:space="preserve">increasingly high standard being required in </w:t>
      </w:r>
      <w:r w:rsidRPr="00F83F45" w:rsidR="00FD1EF4">
        <w:t xml:space="preserve">the </w:t>
      </w:r>
      <w:r w:rsidRPr="00F83F45">
        <w:t xml:space="preserve">area of </w:t>
      </w:r>
      <w:r w:rsidRPr="00F83F45" w:rsidR="00FD1EF4">
        <w:t xml:space="preserve">the </w:t>
      </w:r>
      <w:r w:rsidRPr="00F83F45">
        <w:t xml:space="preserve">protection of human rights and fundamental liberties correspondingly and inevitably </w:t>
      </w:r>
      <w:r w:rsidRPr="00F83F45">
        <w:rPr>
          <w:i/>
          <w:iCs/>
          <w:u w:val="single"/>
        </w:rPr>
        <w:t xml:space="preserve">requires greater firmness in assessing breaches of </w:t>
      </w:r>
      <w:r w:rsidRPr="00F83F45" w:rsidR="00FD1EF4">
        <w:rPr>
          <w:i/>
          <w:iCs/>
          <w:u w:val="single"/>
        </w:rPr>
        <w:t xml:space="preserve">the </w:t>
      </w:r>
      <w:r w:rsidRPr="00F83F45">
        <w:rPr>
          <w:i/>
          <w:iCs/>
          <w:u w:val="single"/>
        </w:rPr>
        <w:t>fundamental values of democratic societies</w:t>
      </w:r>
      <w:r w:rsidRPr="00F83F45">
        <w:t>.”</w:t>
      </w:r>
    </w:p>
    <w:p w:rsidRPr="00F83F45" w:rsidR="00F067E7" w:rsidP="00F83F45" w14:paraId="5118D59C" w14:textId="2C4C6C88">
      <w:pPr>
        <w:pStyle w:val="JuPara"/>
      </w:pPr>
      <w:r>
        <w:fldChar w:fldCharType="begin"/>
      </w:r>
      <w:r>
        <w:instrText xml:space="preserve"> SEQ level0 \*arabic \* MERGEFORMAT </w:instrText>
      </w:r>
      <w:r>
        <w:fldChar w:fldCharType="separate"/>
      </w:r>
      <w:r w:rsidRPr="00F83F45">
        <w:rPr>
          <w:noProof/>
        </w:rPr>
        <w:t>72</w:t>
      </w:r>
      <w:r w:rsidRPr="00F83F45">
        <w:rPr>
          <w:noProof/>
        </w:rPr>
        <w:fldChar w:fldCharType="end"/>
      </w:r>
      <w:r w:rsidRPr="00F83F45">
        <w:t>.  </w:t>
      </w:r>
      <w:r w:rsidRPr="00F83F45" w:rsidR="00FD1EF4">
        <w:t xml:space="preserve">The </w:t>
      </w:r>
      <w:r w:rsidRPr="00F83F45">
        <w:t xml:space="preserve">Court stresses that that principle formulated in </w:t>
      </w:r>
      <w:r w:rsidRPr="00F83F45">
        <w:rPr>
          <w:i/>
          <w:iCs/>
        </w:rPr>
        <w:t>Selmouni</w:t>
      </w:r>
      <w:r w:rsidRPr="00F83F45">
        <w:rPr>
          <w:i/>
          <w:iCs/>
        </w:rPr>
        <w:t xml:space="preserve"> </w:t>
      </w:r>
      <w:r w:rsidRPr="00F83F45">
        <w:t>(cited</w:t>
      </w:r>
      <w:r w:rsidRPr="00F83F45" w:rsidR="00FD1EF4">
        <w:t xml:space="preserve"> </w:t>
      </w:r>
      <w:r w:rsidRPr="00F83F45">
        <w:t>above),</w:t>
      </w:r>
      <w:r w:rsidRPr="00F83F45">
        <w:rPr>
          <w:i/>
          <w:iCs/>
        </w:rPr>
        <w:t xml:space="preserve"> </w:t>
      </w:r>
      <w:r w:rsidRPr="00F83F45">
        <w:t xml:space="preserve">which concerned </w:t>
      </w:r>
      <w:r w:rsidRPr="00F83F45" w:rsidR="00FD1EF4">
        <w:t xml:space="preserve">the </w:t>
      </w:r>
      <w:r w:rsidRPr="00F83F45">
        <w:t xml:space="preserve">development of </w:t>
      </w:r>
      <w:r w:rsidRPr="00F83F45" w:rsidR="00FD1EF4">
        <w:t xml:space="preserve">the </w:t>
      </w:r>
      <w:r w:rsidRPr="00F83F45">
        <w:t>Court</w:t>
      </w:r>
      <w:r w:rsidRPr="00F83F45">
        <w:t>’</w:t>
      </w:r>
      <w:r w:rsidRPr="00F83F45">
        <w:t xml:space="preserve">s own approach to distinguishing various forms of ill-treatment under Article 3 of </w:t>
      </w:r>
      <w:r w:rsidRPr="00F83F45" w:rsidR="00FD1EF4">
        <w:t xml:space="preserve">the </w:t>
      </w:r>
      <w:r w:rsidRPr="00F83F45">
        <w:t xml:space="preserve">Convention, is not relevant in </w:t>
      </w:r>
      <w:r w:rsidRPr="00F83F45" w:rsidR="00FD1EF4">
        <w:t xml:space="preserve">the </w:t>
      </w:r>
      <w:r w:rsidRPr="00F83F45">
        <w:t xml:space="preserve">context of </w:t>
      </w:r>
      <w:r w:rsidRPr="00F83F45" w:rsidR="00FD1EF4">
        <w:t xml:space="preserve">the </w:t>
      </w:r>
      <w:r w:rsidRPr="00F83F45">
        <w:t>assessment of whether pre-trial detention is justified under Article 5 conducted by domestic courts or this Court.</w:t>
      </w:r>
    </w:p>
    <w:p w:rsidRPr="00F83F45" w:rsidR="00F067E7" w:rsidP="00F83F45" w14:paraId="40C7A0E8" w14:textId="2943649E">
      <w:pPr>
        <w:pStyle w:val="JuPara"/>
      </w:pPr>
      <w:r>
        <w:fldChar w:fldCharType="begin"/>
      </w:r>
      <w:r>
        <w:instrText xml:space="preserve"> SEQ level0 \*arabic \* MERGEFORMAT </w:instrText>
      </w:r>
      <w:r>
        <w:fldChar w:fldCharType="separate"/>
      </w:r>
      <w:r w:rsidRPr="00F83F45">
        <w:rPr>
          <w:noProof/>
        </w:rPr>
        <w:t>73</w:t>
      </w:r>
      <w:r w:rsidRPr="00F83F45">
        <w:rPr>
          <w:noProof/>
        </w:rPr>
        <w:fldChar w:fldCharType="end"/>
      </w:r>
      <w:r w:rsidRPr="00F83F45">
        <w:t xml:space="preserve">.  It is true that in cases of pre-trial detention </w:t>
      </w:r>
      <w:r w:rsidRPr="00F83F45" w:rsidR="00FD1EF4">
        <w:t xml:space="preserve">the </w:t>
      </w:r>
      <w:r w:rsidRPr="00F83F45">
        <w:t xml:space="preserve">public interest must be balanced against </w:t>
      </w:r>
      <w:r w:rsidRPr="00F83F45" w:rsidR="00FD1EF4">
        <w:t xml:space="preserve">the </w:t>
      </w:r>
      <w:r w:rsidRPr="00F83F45">
        <w:t xml:space="preserve">rule of respect for individual liberty and that </w:t>
      </w:r>
      <w:r w:rsidRPr="00F83F45" w:rsidR="00FD1EF4">
        <w:t xml:space="preserve">the </w:t>
      </w:r>
      <w:r w:rsidRPr="00F83F45">
        <w:t xml:space="preserve">authorities are under a duty to protect </w:t>
      </w:r>
      <w:r w:rsidRPr="00F83F45" w:rsidR="00FD1EF4">
        <w:t xml:space="preserve">the </w:t>
      </w:r>
      <w:r w:rsidRPr="00F83F45">
        <w:t xml:space="preserve">rights of </w:t>
      </w:r>
      <w:r w:rsidRPr="00F83F45" w:rsidR="00FD1EF4">
        <w:t xml:space="preserve">the </w:t>
      </w:r>
      <w:r w:rsidRPr="00F83F45">
        <w:t xml:space="preserve">actual and potential victims of violent attacks under Articles 2, 3 and 5 § 1 of </w:t>
      </w:r>
      <w:r w:rsidRPr="00F83F45" w:rsidR="00FD1EF4">
        <w:t xml:space="preserve">the </w:t>
      </w:r>
      <w:r w:rsidRPr="00F83F45">
        <w:t>Convention (</w:t>
      </w:r>
      <w:r w:rsidRPr="00F83F45" w:rsidR="00FD1EF4">
        <w:t xml:space="preserve">see </w:t>
      </w:r>
      <w:bookmarkStart w:name="_cl26933THEFACTS" w:id="31"/>
      <w:r w:rsidRPr="00F83F45">
        <w:rPr>
          <w:i/>
          <w:iCs/>
        </w:rPr>
        <w:t>Grubnyk</w:t>
      </w:r>
      <w:bookmarkEnd w:id="31"/>
      <w:r w:rsidRPr="00F83F45">
        <w:t xml:space="preserve">, cited above, § 124). However, </w:t>
      </w:r>
      <w:r w:rsidRPr="00F83F45" w:rsidR="00FD1EF4">
        <w:t xml:space="preserve">the </w:t>
      </w:r>
      <w:r w:rsidRPr="00F83F45">
        <w:t xml:space="preserve">latter consideration is not relevant in </w:t>
      </w:r>
      <w:r w:rsidRPr="00F83F45" w:rsidR="00FD1EF4">
        <w:t xml:space="preserve">the </w:t>
      </w:r>
      <w:r w:rsidRPr="00F83F45">
        <w:t>first applicant</w:t>
      </w:r>
      <w:r w:rsidRPr="00F83F45">
        <w:t>’</w:t>
      </w:r>
      <w:r w:rsidRPr="00F83F45">
        <w:t>s case since he was not accused of any violent acts or acts representing imminent danger to life and limb of others.</w:t>
      </w:r>
    </w:p>
    <w:p w:rsidRPr="00F83F45" w:rsidR="00F067E7" w:rsidP="00F83F45" w14:paraId="4574B8F3" w14:textId="22DB2A99">
      <w:pPr>
        <w:pStyle w:val="JuPara"/>
      </w:pPr>
      <w:r>
        <w:fldChar w:fldCharType="begin"/>
      </w:r>
      <w:r>
        <w:instrText xml:space="preserve"> SEQ level0 \*arabic \* MERGEFORMAT </w:instrText>
      </w:r>
      <w:r>
        <w:fldChar w:fldCharType="separate"/>
      </w:r>
      <w:r w:rsidRPr="00F83F45">
        <w:rPr>
          <w:noProof/>
        </w:rPr>
        <w:t>74</w:t>
      </w:r>
      <w:r w:rsidRPr="00F83F45">
        <w:rPr>
          <w:noProof/>
        </w:rPr>
        <w:fldChar w:fldCharType="end"/>
      </w:r>
      <w:r w:rsidRPr="00F83F45">
        <w:t>.  </w:t>
      </w:r>
      <w:r w:rsidRPr="00F83F45" w:rsidR="00FD1EF4">
        <w:t xml:space="preserve">The </w:t>
      </w:r>
      <w:r w:rsidRPr="00F83F45">
        <w:t xml:space="preserve">Court concludes that </w:t>
      </w:r>
      <w:r w:rsidRPr="00F83F45" w:rsidR="00FD1EF4">
        <w:t xml:space="preserve">the </w:t>
      </w:r>
      <w:r w:rsidRPr="00F83F45">
        <w:t>first applicant</w:t>
      </w:r>
      <w:r w:rsidRPr="00F83F45">
        <w:t>’</w:t>
      </w:r>
      <w:r w:rsidRPr="00F83F45">
        <w:t>s detention, which lasted from 10 March 2023 to 30 October 2024, was not based on relevant and sufficient reasons.</w:t>
      </w:r>
    </w:p>
    <w:p w:rsidRPr="00F83F45" w:rsidR="00F067E7" w:rsidP="00F83F45" w14:paraId="29E825DC" w14:textId="04537991">
      <w:pPr>
        <w:pStyle w:val="JuPara"/>
      </w:pPr>
      <w:r>
        <w:fldChar w:fldCharType="begin"/>
      </w:r>
      <w:r>
        <w:instrText xml:space="preserve"> SEQ level0 \*arabic \* MERGEFORMAT </w:instrText>
      </w:r>
      <w:r>
        <w:fldChar w:fldCharType="separate"/>
      </w:r>
      <w:r w:rsidRPr="00F83F45">
        <w:rPr>
          <w:noProof/>
        </w:rPr>
        <w:t>75</w:t>
      </w:r>
      <w:r w:rsidRPr="00F83F45">
        <w:rPr>
          <w:noProof/>
        </w:rPr>
        <w:fldChar w:fldCharType="end"/>
      </w:r>
      <w:r w:rsidRPr="00F83F45">
        <w:t xml:space="preserve">.  In these circumstances, it is not necessary to examine whether there was, in addition, an issue of lack of special diligence in </w:t>
      </w:r>
      <w:r w:rsidRPr="00F83F45" w:rsidR="00FD1EF4">
        <w:t xml:space="preserve">the </w:t>
      </w:r>
      <w:r w:rsidRPr="00F83F45">
        <w:t xml:space="preserve">conduct of </w:t>
      </w:r>
      <w:r w:rsidRPr="00F83F45" w:rsidR="00FD1EF4">
        <w:t xml:space="preserve">the </w:t>
      </w:r>
      <w:r w:rsidRPr="00F83F45">
        <w:t>proceedings.</w:t>
      </w:r>
    </w:p>
    <w:p w:rsidRPr="00F83F45" w:rsidR="00F067E7" w:rsidP="00F83F45" w14:paraId="4A012BC2" w14:textId="7C65A1B3">
      <w:pPr>
        <w:pStyle w:val="JuPara"/>
      </w:pPr>
      <w:r>
        <w:fldChar w:fldCharType="begin"/>
      </w:r>
      <w:r>
        <w:instrText xml:space="preserve"> SEQ level0 \*arabic \* MERGEFORMAT </w:instrText>
      </w:r>
      <w:r>
        <w:fldChar w:fldCharType="separate"/>
      </w:r>
      <w:r w:rsidRPr="00F83F45">
        <w:rPr>
          <w:noProof/>
        </w:rPr>
        <w:t>76</w:t>
      </w:r>
      <w:r w:rsidRPr="00F83F45">
        <w:rPr>
          <w:noProof/>
        </w:rPr>
        <w:fldChar w:fldCharType="end"/>
      </w:r>
      <w:r w:rsidRPr="00F83F45">
        <w:t xml:space="preserve">.  There has, therefore, been a violation of Article 5 § 3 of </w:t>
      </w:r>
      <w:r w:rsidRPr="00F83F45" w:rsidR="00FD1EF4">
        <w:t xml:space="preserve">the </w:t>
      </w:r>
      <w:r w:rsidRPr="00F83F45">
        <w:t xml:space="preserve">Convention in respect of </w:t>
      </w:r>
      <w:r w:rsidRPr="00F83F45" w:rsidR="00FD1EF4">
        <w:t xml:space="preserve">the </w:t>
      </w:r>
      <w:r w:rsidRPr="00F83F45">
        <w:t>first applicant.</w:t>
      </w:r>
    </w:p>
    <w:p w:rsidRPr="00F83F45" w:rsidR="00F067E7" w:rsidP="00F83F45" w14:paraId="29F88C37" w14:textId="043C1A36">
      <w:pPr>
        <w:pStyle w:val="JuHIRoman"/>
        <w:tabs>
          <w:tab w:val="left" w:pos="567"/>
          <w:tab w:val="left" w:pos="680"/>
        </w:tabs>
        <w:ind w:left="397" w:hanging="397"/>
      </w:pPr>
      <w:r w:rsidRPr="00F83F45">
        <w:t xml:space="preserve">ALLEGED VIOLATION OF ARTICLE 5 OF </w:t>
      </w:r>
      <w:r w:rsidRPr="00F83F45" w:rsidR="00FD1EF4">
        <w:t xml:space="preserve">THE </w:t>
      </w:r>
      <w:r w:rsidRPr="00F83F45">
        <w:t xml:space="preserve">CONVENTION IN RESPECT OF </w:t>
      </w:r>
      <w:r w:rsidRPr="00F83F45" w:rsidR="00FD1EF4">
        <w:t xml:space="preserve">THE </w:t>
      </w:r>
      <w:r w:rsidRPr="00F83F45">
        <w:t>SECOND APPLICANT</w:t>
      </w:r>
    </w:p>
    <w:p w:rsidRPr="00F83F45" w:rsidR="00F067E7" w:rsidP="00F83F45" w14:paraId="3F27F28C" w14:textId="7FF4A142">
      <w:pPr>
        <w:pStyle w:val="JuPara"/>
        <w:rPr>
          <w:rFonts w:asciiTheme="majorHAnsi" w:hAnsiTheme="majorHAnsi" w:eastAsiaTheme="majorEastAsia" w:cstheme="majorBidi"/>
          <w:szCs w:val="22"/>
        </w:rPr>
      </w:pPr>
      <w:r w:rsidRPr="00F83F45">
        <w:rPr>
          <w:rFonts w:asciiTheme="majorHAnsi" w:hAnsiTheme="majorHAnsi" w:eastAsiaTheme="majorEastAsia" w:cstheme="majorBidi"/>
          <w:szCs w:val="22"/>
        </w:rPr>
        <w:fldChar w:fldCharType="begin"/>
      </w:r>
      <w:r w:rsidRPr="00F83F45">
        <w:rPr>
          <w:rFonts w:asciiTheme="majorHAnsi" w:hAnsiTheme="majorHAnsi" w:eastAsiaTheme="majorEastAsia" w:cstheme="majorBidi"/>
          <w:szCs w:val="22"/>
        </w:rPr>
        <w:instrText xml:space="preserve"> SEQ level0 \*arabic \* MERGEFORMAT </w:instrText>
      </w:r>
      <w:r w:rsidRPr="00F83F45">
        <w:rPr>
          <w:rFonts w:asciiTheme="majorHAnsi" w:hAnsiTheme="majorHAnsi" w:eastAsiaTheme="majorEastAsia" w:cstheme="majorBidi"/>
          <w:szCs w:val="22"/>
        </w:rPr>
        <w:fldChar w:fldCharType="separate"/>
      </w:r>
      <w:r w:rsidRPr="00F83F45" w:rsidR="00F83F45">
        <w:rPr>
          <w:rFonts w:asciiTheme="majorHAnsi" w:hAnsiTheme="majorHAnsi" w:eastAsiaTheme="majorEastAsia" w:cstheme="majorBidi"/>
          <w:noProof/>
          <w:szCs w:val="22"/>
        </w:rPr>
        <w:t>77</w:t>
      </w:r>
      <w:r w:rsidRPr="00F83F45">
        <w:rPr>
          <w:rFonts w:asciiTheme="majorHAnsi" w:hAnsiTheme="majorHAnsi" w:eastAsiaTheme="majorEastAsia" w:cstheme="majorBidi"/>
          <w:szCs w:val="22"/>
        </w:rPr>
        <w:fldChar w:fldCharType="end"/>
      </w:r>
      <w:r w:rsidRPr="00F83F45">
        <w:rPr>
          <w:rFonts w:asciiTheme="majorHAnsi" w:hAnsiTheme="majorHAnsi" w:eastAsiaTheme="majorEastAsia" w:cstheme="majorBidi"/>
          <w:szCs w:val="22"/>
        </w:rPr>
        <w:t>.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second applicant, relying on Article 5 § 1 and Article 6 § 1 of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Convention, complained that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courts had not cited specific evidence of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existence of a reasonable suspicion against her or of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risks justifying detention, disregarding her arguments to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effect that there had been no such suspicion and no such risks and only taking into account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gravity of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alleged crime.</w:t>
      </w:r>
    </w:p>
    <w:p w:rsidRPr="00F83F45" w:rsidR="00F067E7" w:rsidP="00F83F45" w14:paraId="7A90B328" w14:textId="4507B095">
      <w:pPr>
        <w:pStyle w:val="JuPara"/>
      </w:pPr>
      <w:r w:rsidRPr="00F83F45">
        <w:rPr>
          <w:rFonts w:asciiTheme="majorHAnsi" w:hAnsiTheme="majorHAnsi" w:eastAsiaTheme="majorEastAsia" w:cstheme="majorBidi"/>
          <w:szCs w:val="22"/>
        </w:rPr>
        <w:fldChar w:fldCharType="begin"/>
      </w:r>
      <w:r w:rsidRPr="00F83F45">
        <w:rPr>
          <w:rFonts w:asciiTheme="majorHAnsi" w:hAnsiTheme="majorHAnsi" w:eastAsiaTheme="majorEastAsia" w:cstheme="majorBidi"/>
          <w:szCs w:val="22"/>
        </w:rPr>
        <w:instrText xml:space="preserve"> SEQ level0 \*arabic \* MERGEFORMAT </w:instrText>
      </w:r>
      <w:r w:rsidRPr="00F83F45">
        <w:rPr>
          <w:rFonts w:asciiTheme="majorHAnsi" w:hAnsiTheme="majorHAnsi" w:eastAsiaTheme="majorEastAsia" w:cstheme="majorBidi"/>
          <w:szCs w:val="22"/>
        </w:rPr>
        <w:fldChar w:fldCharType="separate"/>
      </w:r>
      <w:r w:rsidRPr="00F83F45" w:rsidR="00F83F45">
        <w:rPr>
          <w:rFonts w:asciiTheme="majorHAnsi" w:hAnsiTheme="majorHAnsi" w:eastAsiaTheme="majorEastAsia" w:cstheme="majorBidi"/>
          <w:noProof/>
          <w:szCs w:val="22"/>
        </w:rPr>
        <w:t>78</w:t>
      </w:r>
      <w:r w:rsidRPr="00F83F45">
        <w:rPr>
          <w:rFonts w:asciiTheme="majorHAnsi" w:hAnsiTheme="majorHAnsi" w:eastAsiaTheme="majorEastAsia" w:cstheme="majorBidi"/>
          <w:szCs w:val="22"/>
        </w:rPr>
        <w:fldChar w:fldCharType="end"/>
      </w:r>
      <w:r w:rsidRPr="00F83F45">
        <w:rPr>
          <w:rFonts w:asciiTheme="majorHAnsi" w:hAnsiTheme="majorHAnsi" w:eastAsiaTheme="majorEastAsia" w:cstheme="majorBidi"/>
          <w:szCs w:val="22"/>
        </w:rPr>
        <w:t>.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Court, being master of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characterisation to be given in law to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facts of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case, observes that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second applicant</w:t>
      </w:r>
      <w:r w:rsidRPr="00F83F45" w:rsidR="00F83F45">
        <w:rPr>
          <w:rFonts w:asciiTheme="majorHAnsi" w:hAnsiTheme="majorHAnsi" w:eastAsiaTheme="majorEastAsia" w:cstheme="majorBidi"/>
          <w:szCs w:val="22"/>
        </w:rPr>
        <w:t>’</w:t>
      </w:r>
      <w:r w:rsidRPr="00F83F45">
        <w:rPr>
          <w:rFonts w:asciiTheme="majorHAnsi" w:hAnsiTheme="majorHAnsi" w:eastAsiaTheme="majorEastAsia" w:cstheme="majorBidi"/>
          <w:szCs w:val="22"/>
        </w:rPr>
        <w:t xml:space="preserve">s reliance on Article 6 of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Convention with regard to her pre-trial detention should be seen as a mere argument in support of her complaint under Article 5 § 1 (see,</w:t>
      </w:r>
      <w:r w:rsidRPr="00F83F45" w:rsidR="00FD1EF4">
        <w:rPr>
          <w:rFonts w:asciiTheme="majorHAnsi" w:hAnsiTheme="majorHAnsi" w:eastAsiaTheme="majorEastAsia" w:cstheme="majorBidi"/>
          <w:szCs w:val="22"/>
        </w:rPr>
        <w:t xml:space="preserve"> </w:t>
      </w:r>
      <w:r w:rsidRPr="00F83F45">
        <w:rPr>
          <w:rFonts w:asciiTheme="majorHAnsi" w:hAnsiTheme="majorHAnsi" w:eastAsiaTheme="majorEastAsia" w:cstheme="majorBidi"/>
          <w:szCs w:val="22"/>
        </w:rPr>
        <w:t>for</w:t>
      </w:r>
      <w:r w:rsidRPr="00F83F45" w:rsidR="00FD1EF4">
        <w:rPr>
          <w:rFonts w:asciiTheme="majorHAnsi" w:hAnsiTheme="majorHAnsi" w:eastAsiaTheme="majorEastAsia" w:cstheme="majorBidi"/>
          <w:szCs w:val="22"/>
        </w:rPr>
        <w:t xml:space="preserve"> </w:t>
      </w:r>
      <w:r w:rsidRPr="00F83F45">
        <w:rPr>
          <w:rFonts w:asciiTheme="majorHAnsi" w:hAnsiTheme="majorHAnsi" w:eastAsiaTheme="majorEastAsia" w:cstheme="majorBidi"/>
          <w:szCs w:val="22"/>
        </w:rPr>
        <w:t xml:space="preserve">example, </w:t>
      </w:r>
      <w:bookmarkStart w:name="_cl32064THELAW" w:id="32"/>
      <w:r w:rsidRPr="00F83F45">
        <w:rPr>
          <w:i/>
          <w:iCs/>
        </w:rPr>
        <w:t xml:space="preserve">Mironenko and </w:t>
      </w:r>
      <w:r w:rsidRPr="00F83F45">
        <w:rPr>
          <w:i/>
          <w:iCs/>
        </w:rPr>
        <w:t>Martenko</w:t>
      </w:r>
      <w:r w:rsidRPr="00F83F45">
        <w:rPr>
          <w:i/>
          <w:iCs/>
        </w:rPr>
        <w:t xml:space="preserve"> v. Ukraine</w:t>
      </w:r>
      <w:bookmarkEnd w:id="32"/>
      <w:r w:rsidRPr="00F83F45">
        <w:t xml:space="preserve">, no. 4785/02, § 44, 10 December 2009; </w:t>
      </w:r>
      <w:bookmarkStart w:name="_cl30746THELAW" w:id="33"/>
      <w:r w:rsidRPr="00F83F45">
        <w:rPr>
          <w:i/>
          <w:iCs/>
        </w:rPr>
        <w:t>Lutsenko v. Ukraine</w:t>
      </w:r>
      <w:bookmarkEnd w:id="33"/>
      <w:r w:rsidRPr="00F83F45">
        <w:t xml:space="preserve">, no. 6492/11, §§ 49-50, 3 July 2012; and </w:t>
      </w:r>
      <w:bookmarkStart w:name="_cl42490THELAW" w:id="34"/>
      <w:r w:rsidRPr="00F83F45">
        <w:rPr>
          <w:i/>
          <w:iCs/>
        </w:rPr>
        <w:t>Yılmaz Aydemir v. Türkiye</w:t>
      </w:r>
      <w:bookmarkEnd w:id="34"/>
      <w:r w:rsidRPr="00F83F45">
        <w:t>, no. 61808/19, § 25, 23 May 2023).</w:t>
      </w:r>
    </w:p>
    <w:p w:rsidRPr="00F83F45" w:rsidR="00F067E7" w:rsidP="00F83F45" w14:paraId="1C35FE9E" w14:textId="0BBA5F21">
      <w:pPr>
        <w:pStyle w:val="JuPara"/>
      </w:pPr>
      <w:r w:rsidRPr="00F83F45">
        <w:rPr>
          <w:rFonts w:asciiTheme="majorHAnsi" w:hAnsiTheme="majorHAnsi" w:eastAsiaTheme="majorEastAsia" w:cstheme="majorBidi"/>
          <w:szCs w:val="22"/>
        </w:rPr>
        <w:fldChar w:fldCharType="begin"/>
      </w:r>
      <w:r w:rsidRPr="00F83F45">
        <w:rPr>
          <w:rFonts w:asciiTheme="majorHAnsi" w:hAnsiTheme="majorHAnsi" w:eastAsiaTheme="majorEastAsia" w:cstheme="majorBidi"/>
          <w:szCs w:val="22"/>
        </w:rPr>
        <w:instrText xml:space="preserve"> SEQ level0 \*arabic \* MERGEFORMAT </w:instrText>
      </w:r>
      <w:r w:rsidRPr="00F83F45">
        <w:rPr>
          <w:rFonts w:asciiTheme="majorHAnsi" w:hAnsiTheme="majorHAnsi" w:eastAsiaTheme="majorEastAsia" w:cstheme="majorBidi"/>
          <w:szCs w:val="22"/>
        </w:rPr>
        <w:fldChar w:fldCharType="separate"/>
      </w:r>
      <w:r w:rsidRPr="00F83F45" w:rsidR="00F83F45">
        <w:rPr>
          <w:rFonts w:asciiTheme="majorHAnsi" w:hAnsiTheme="majorHAnsi" w:eastAsiaTheme="majorEastAsia" w:cstheme="majorBidi"/>
          <w:noProof/>
          <w:szCs w:val="22"/>
        </w:rPr>
        <w:t>79</w:t>
      </w:r>
      <w:r w:rsidRPr="00F83F45">
        <w:rPr>
          <w:rFonts w:asciiTheme="majorHAnsi" w:hAnsiTheme="majorHAnsi" w:eastAsiaTheme="majorEastAsia" w:cstheme="majorBidi"/>
          <w:szCs w:val="22"/>
        </w:rPr>
        <w:fldChar w:fldCharType="end"/>
      </w:r>
      <w:r w:rsidRPr="00F83F45">
        <w:rPr>
          <w:rFonts w:asciiTheme="majorHAnsi" w:hAnsiTheme="majorHAnsi" w:eastAsiaTheme="majorEastAsia" w:cstheme="majorBidi"/>
          <w:szCs w:val="22"/>
        </w:rPr>
        <w:t>.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second applicant also complained under Article 5 § 3 of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 xml:space="preserve">Convention that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courts had failed to provide relevant and sufficient reasons for her detention.</w:t>
      </w:r>
    </w:p>
    <w:p w:rsidRPr="00F83F45" w:rsidR="00F067E7" w:rsidP="00F83F45" w14:paraId="5E75BB41" w14:textId="6BB08460">
      <w:pPr>
        <w:pStyle w:val="JuPara"/>
        <w:rPr>
          <w:rFonts w:asciiTheme="majorHAnsi" w:hAnsiTheme="majorHAnsi" w:eastAsiaTheme="majorEastAsia" w:cstheme="majorBidi"/>
          <w:szCs w:val="22"/>
        </w:rPr>
      </w:pPr>
      <w:r>
        <w:fldChar w:fldCharType="begin"/>
      </w:r>
      <w:r>
        <w:instrText xml:space="preserve"> SEQ level0 \*arabic \* MERGEFORMAT </w:instrText>
      </w:r>
      <w:r>
        <w:fldChar w:fldCharType="separate"/>
      </w:r>
      <w:r w:rsidRPr="00F83F45">
        <w:rPr>
          <w:noProof/>
        </w:rPr>
        <w:t>80</w:t>
      </w:r>
      <w:r w:rsidRPr="00F83F45">
        <w:rPr>
          <w:noProof/>
        </w:rPr>
        <w:fldChar w:fldCharType="end"/>
      </w:r>
      <w:r w:rsidRPr="00F83F45">
        <w:t>.  Article</w:t>
      </w:r>
      <w:r w:rsidRPr="00F83F45">
        <w:rPr>
          <w:rFonts w:asciiTheme="majorHAnsi" w:hAnsiTheme="majorHAnsi" w:eastAsiaTheme="majorEastAsia" w:cstheme="majorBidi"/>
          <w:szCs w:val="22"/>
        </w:rPr>
        <w:t xml:space="preserve"> 5 §§ 1 and 3 of </w:t>
      </w:r>
      <w:r w:rsidRPr="00F83F45" w:rsidR="00FD1EF4">
        <w:rPr>
          <w:rFonts w:asciiTheme="majorHAnsi" w:hAnsiTheme="majorHAnsi" w:eastAsiaTheme="majorEastAsia" w:cstheme="majorBidi"/>
          <w:szCs w:val="22"/>
        </w:rPr>
        <w:t xml:space="preserve">the </w:t>
      </w:r>
      <w:r w:rsidRPr="00F83F45">
        <w:rPr>
          <w:rFonts w:asciiTheme="majorHAnsi" w:hAnsiTheme="majorHAnsi" w:eastAsiaTheme="majorEastAsia" w:cstheme="majorBidi"/>
          <w:szCs w:val="22"/>
        </w:rPr>
        <w:t>Convention read, in so far as relevant, as follows:</w:t>
      </w:r>
    </w:p>
    <w:p w:rsidRPr="00F83F45" w:rsidR="00F067E7" w:rsidP="00F83F45" w14:paraId="659D8DDE" w14:textId="3A5A9BD3">
      <w:pPr>
        <w:pStyle w:val="JuQuot"/>
        <w:rPr>
          <w:rFonts w:eastAsiaTheme="majorEastAsia"/>
        </w:rPr>
      </w:pPr>
      <w:r w:rsidRPr="00F83F45">
        <w:rPr>
          <w:rFonts w:eastAsiaTheme="majorEastAsia"/>
        </w:rPr>
        <w:t xml:space="preserve">“1.  Everyone has </w:t>
      </w:r>
      <w:r w:rsidRPr="00F83F45" w:rsidR="00FD1EF4">
        <w:rPr>
          <w:rFonts w:eastAsiaTheme="majorEastAsia"/>
        </w:rPr>
        <w:t xml:space="preserve">the </w:t>
      </w:r>
      <w:r w:rsidRPr="00F83F45">
        <w:rPr>
          <w:rFonts w:eastAsiaTheme="majorEastAsia"/>
        </w:rPr>
        <w:t xml:space="preserve">right to liberty and security of person. No one shall be deprived of his liberty save in </w:t>
      </w:r>
      <w:r w:rsidRPr="00F83F45" w:rsidR="00FD1EF4">
        <w:rPr>
          <w:rFonts w:eastAsiaTheme="majorEastAsia"/>
        </w:rPr>
        <w:t xml:space="preserve">the </w:t>
      </w:r>
      <w:r w:rsidRPr="00F83F45">
        <w:rPr>
          <w:rFonts w:eastAsiaTheme="majorEastAsia"/>
        </w:rPr>
        <w:t>following cases and in accordance with a procedure prescribed by law: ...</w:t>
      </w:r>
    </w:p>
    <w:p w:rsidRPr="00F83F45" w:rsidR="00F067E7" w:rsidP="00F83F45" w14:paraId="68587502" w14:textId="2C721632">
      <w:pPr>
        <w:pStyle w:val="JuQuot"/>
        <w:rPr>
          <w:rFonts w:eastAsiaTheme="majorEastAsia"/>
        </w:rPr>
      </w:pPr>
      <w:r w:rsidRPr="00F83F45">
        <w:rPr>
          <w:rFonts w:eastAsiaTheme="majorEastAsia"/>
        </w:rPr>
        <w:t>(c)  </w:t>
      </w:r>
      <w:r w:rsidRPr="00F83F45" w:rsidR="00FD1EF4">
        <w:rPr>
          <w:rFonts w:eastAsiaTheme="majorEastAsia"/>
        </w:rPr>
        <w:t xml:space="preserve">the </w:t>
      </w:r>
      <w:r w:rsidRPr="00F83F45">
        <w:rPr>
          <w:rFonts w:eastAsiaTheme="majorEastAsia"/>
        </w:rPr>
        <w:t xml:space="preserve">lawful arrest or detention of a person effected for </w:t>
      </w:r>
      <w:r w:rsidRPr="00F83F45" w:rsidR="00FD1EF4">
        <w:rPr>
          <w:rFonts w:eastAsiaTheme="majorEastAsia"/>
        </w:rPr>
        <w:t xml:space="preserve">the </w:t>
      </w:r>
      <w:r w:rsidRPr="00F83F45">
        <w:rPr>
          <w:rFonts w:eastAsiaTheme="majorEastAsia"/>
        </w:rPr>
        <w:t xml:space="preserve">purpose of bringing him before </w:t>
      </w:r>
      <w:r w:rsidRPr="00F83F45" w:rsidR="00FD1EF4">
        <w:rPr>
          <w:rFonts w:eastAsiaTheme="majorEastAsia"/>
        </w:rPr>
        <w:t xml:space="preserve">the </w:t>
      </w:r>
      <w:r w:rsidRPr="00F83F45">
        <w:rPr>
          <w:rFonts w:eastAsiaTheme="majorEastAsia"/>
        </w:rPr>
        <w:t>competent legal authority on reasonable suspicion of having committed an offence or when it is reasonably considered necessary to prevent his committing an offence or fleeing after having done so;</w:t>
      </w:r>
    </w:p>
    <w:p w:rsidRPr="00F83F45" w:rsidR="00F067E7" w:rsidP="00F83F45" w14:paraId="248DB521" w14:textId="77777777">
      <w:pPr>
        <w:pStyle w:val="JuQuot"/>
      </w:pPr>
      <w:r w:rsidRPr="00F83F45">
        <w:t>...</w:t>
      </w:r>
    </w:p>
    <w:p w:rsidRPr="00F83F45" w:rsidR="00F067E7" w:rsidP="00F83F45" w14:paraId="6B6A7FF0" w14:textId="7E3E6DF5">
      <w:pPr>
        <w:pStyle w:val="JuQuot"/>
        <w:rPr>
          <w:rFonts w:eastAsiaTheme="majorEastAsia"/>
        </w:rPr>
      </w:pPr>
      <w:r w:rsidRPr="00F83F45">
        <w:t xml:space="preserve">3.  Everyone arrested or detained in accordance with </w:t>
      </w:r>
      <w:r w:rsidRPr="00F83F45" w:rsidR="00FD1EF4">
        <w:t xml:space="preserve">the </w:t>
      </w:r>
      <w:r w:rsidRPr="00F83F45">
        <w:t>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p>
    <w:p w:rsidRPr="00F83F45" w:rsidR="00F067E7" w:rsidP="00F83F45" w14:paraId="6FBB08EE" w14:textId="77777777">
      <w:pPr>
        <w:pStyle w:val="JuHA"/>
      </w:pPr>
      <w:r w:rsidRPr="00F83F45">
        <w:t>Admissibility</w:t>
      </w:r>
    </w:p>
    <w:p w:rsidRPr="00F83F45" w:rsidR="00F067E7" w:rsidP="00F83F45" w14:paraId="75527E48" w14:textId="72E2659D">
      <w:pPr>
        <w:pStyle w:val="JuPara"/>
      </w:pPr>
      <w:r>
        <w:fldChar w:fldCharType="begin"/>
      </w:r>
      <w:r>
        <w:instrText xml:space="preserve"> SEQ level0 \*arabic \* MERGEFORMAT </w:instrText>
      </w:r>
      <w:r>
        <w:fldChar w:fldCharType="separate"/>
      </w:r>
      <w:r w:rsidRPr="00F83F45">
        <w:rPr>
          <w:noProof/>
        </w:rPr>
        <w:t>81</w:t>
      </w:r>
      <w:r w:rsidRPr="00F83F45">
        <w:rPr>
          <w:noProof/>
        </w:rPr>
        <w:fldChar w:fldCharType="end"/>
      </w:r>
      <w:r w:rsidRPr="00F83F45">
        <w:t>.  </w:t>
      </w:r>
      <w:r w:rsidRPr="00F83F45" w:rsidR="00FD1EF4">
        <w:t xml:space="preserve">The </w:t>
      </w:r>
      <w:r w:rsidRPr="00F83F45">
        <w:t xml:space="preserve">Court notes that this part of </w:t>
      </w:r>
      <w:r w:rsidRPr="00F83F45" w:rsidR="00FD1EF4">
        <w:t xml:space="preserve">the </w:t>
      </w:r>
      <w:r w:rsidRPr="00F83F45">
        <w:t xml:space="preserve">application is neither manifestly ill-founded nor inadmissible on any other grounds listed in Article 35 of </w:t>
      </w:r>
      <w:r w:rsidRPr="00F83F45" w:rsidR="00FD1EF4">
        <w:t xml:space="preserve">the </w:t>
      </w:r>
      <w:r w:rsidRPr="00F83F45">
        <w:t>Convention. It must therefore be declared admissible.</w:t>
      </w:r>
    </w:p>
    <w:p w:rsidRPr="00F83F45" w:rsidR="00F067E7" w:rsidP="00F83F45" w14:paraId="78C378AE" w14:textId="77777777">
      <w:pPr>
        <w:pStyle w:val="JuHA"/>
      </w:pPr>
      <w:r w:rsidRPr="00F83F45">
        <w:t>Merits</w:t>
      </w:r>
    </w:p>
    <w:p w:rsidRPr="00F83F45" w:rsidR="00F067E7" w:rsidP="00F83F45" w14:paraId="7DF99408" w14:textId="28EF2737">
      <w:pPr>
        <w:pStyle w:val="JuH1"/>
      </w:pPr>
      <w:r w:rsidRPr="00F83F45">
        <w:t xml:space="preserve">Article 5 § 1 of </w:t>
      </w:r>
      <w:r w:rsidRPr="00F83F45" w:rsidR="00FD1EF4">
        <w:t xml:space="preserve">the </w:t>
      </w:r>
      <w:r w:rsidRPr="00F83F45">
        <w:t>Convention</w:t>
      </w:r>
    </w:p>
    <w:p w:rsidRPr="00F83F45" w:rsidR="00F067E7" w:rsidP="00F83F45" w14:paraId="6AB0FB9A" w14:textId="622467CB">
      <w:pPr>
        <w:pStyle w:val="JuHa0"/>
      </w:pPr>
      <w:r w:rsidRPr="00F83F45">
        <w:t xml:space="preserve">The </w:t>
      </w:r>
      <w:r w:rsidRPr="00F83F45">
        <w:t>parties</w:t>
      </w:r>
      <w:r w:rsidRPr="00F83F45" w:rsidR="00F83F45">
        <w:t>’</w:t>
      </w:r>
      <w:r w:rsidRPr="00F83F45">
        <w:t xml:space="preserve"> submissions</w:t>
      </w:r>
    </w:p>
    <w:p w:rsidRPr="00F83F45" w:rsidR="00F067E7" w:rsidP="00F83F45" w14:paraId="22B13729" w14:textId="4CCED865">
      <w:pPr>
        <w:pStyle w:val="JuPara"/>
      </w:pPr>
      <w:r>
        <w:fldChar w:fldCharType="begin"/>
      </w:r>
      <w:r>
        <w:instrText xml:space="preserve"> SEQ level0 \*arabic \* MERGEFORMAT </w:instrText>
      </w:r>
      <w:r>
        <w:fldChar w:fldCharType="separate"/>
      </w:r>
      <w:r w:rsidRPr="00F83F45">
        <w:rPr>
          <w:noProof/>
        </w:rPr>
        <w:t>82</w:t>
      </w:r>
      <w:r w:rsidRPr="00F83F45">
        <w:rPr>
          <w:noProof/>
        </w:rPr>
        <w:fldChar w:fldCharType="end"/>
      </w:r>
      <w:r w:rsidRPr="00F83F45">
        <w:t>.  </w:t>
      </w:r>
      <w:r w:rsidRPr="00F83F45" w:rsidR="00FD1EF4">
        <w:t xml:space="preserve">The </w:t>
      </w:r>
      <w:r w:rsidRPr="00F83F45">
        <w:t xml:space="preserve">second applicant submitted that </w:t>
      </w:r>
      <w:r w:rsidRPr="00F83F45" w:rsidR="00FD1EF4">
        <w:t xml:space="preserve">the </w:t>
      </w:r>
      <w:r w:rsidRPr="00F83F45">
        <w:t xml:space="preserve">court, when placing her in detention, had not verified </w:t>
      </w:r>
      <w:r w:rsidRPr="00F83F45" w:rsidR="00FD1EF4">
        <w:t xml:space="preserve">the </w:t>
      </w:r>
      <w:r w:rsidRPr="00F83F45">
        <w:t xml:space="preserve">existence of a reasonable suspicion but had simply referred, in a general way, to </w:t>
      </w:r>
      <w:r w:rsidRPr="00F83F45" w:rsidR="00FD1EF4">
        <w:t xml:space="preserve">the </w:t>
      </w:r>
      <w:r w:rsidRPr="00F83F45">
        <w:t xml:space="preserve">material attached to </w:t>
      </w:r>
      <w:r w:rsidRPr="00F83F45" w:rsidR="00FD1EF4">
        <w:t xml:space="preserve">the </w:t>
      </w:r>
      <w:r w:rsidRPr="00F83F45">
        <w:t xml:space="preserve">applications for detention. </w:t>
      </w:r>
      <w:r w:rsidRPr="00F83F45" w:rsidR="00FD1EF4">
        <w:t xml:space="preserve">The </w:t>
      </w:r>
      <w:r w:rsidRPr="00F83F45">
        <w:t xml:space="preserve">authorities had not provided specific and sufficient grounds for </w:t>
      </w:r>
      <w:r w:rsidRPr="00F83F45" w:rsidR="00FD1EF4">
        <w:t xml:space="preserve">the </w:t>
      </w:r>
      <w:r w:rsidRPr="00F83F45">
        <w:t xml:space="preserve">suspicion. There had been no evidence of delivery of goods to Russia or that </w:t>
      </w:r>
      <w:r w:rsidRPr="00F83F45" w:rsidR="00FD1EF4">
        <w:t xml:space="preserve">the </w:t>
      </w:r>
      <w:r w:rsidRPr="00F83F45">
        <w:t xml:space="preserve">second applicant had had any intention of aiding Russia or harming Ukraine, nor of any specific harm she had sought to cause. There was no evidence that </w:t>
      </w:r>
      <w:r w:rsidRPr="00F83F45" w:rsidR="00FD1EF4">
        <w:t xml:space="preserve">the </w:t>
      </w:r>
      <w:r w:rsidRPr="00F83F45">
        <w:t xml:space="preserve">business transactions for </w:t>
      </w:r>
      <w:r w:rsidRPr="00F83F45" w:rsidR="00FD1EF4">
        <w:t xml:space="preserve">the </w:t>
      </w:r>
      <w:r w:rsidRPr="00F83F45">
        <w:t xml:space="preserve">supply of medical products to Belarus (and not to Russia, as alleged by </w:t>
      </w:r>
      <w:r w:rsidRPr="00F83F45" w:rsidR="00FD1EF4">
        <w:t xml:space="preserve">the </w:t>
      </w:r>
      <w:r w:rsidRPr="00F83F45">
        <w:t xml:space="preserve">prosecution) caused or could cause any harm to </w:t>
      </w:r>
      <w:r w:rsidRPr="00F83F45" w:rsidR="00FD1EF4">
        <w:t xml:space="preserve">the </w:t>
      </w:r>
      <w:r w:rsidRPr="00F83F45">
        <w:t>State.</w:t>
      </w:r>
    </w:p>
    <w:p w:rsidRPr="00F83F45" w:rsidR="00F067E7" w:rsidP="00F83F45" w14:paraId="039DEF2C" w14:textId="373BB21C">
      <w:pPr>
        <w:pStyle w:val="JuPara"/>
      </w:pPr>
      <w:r>
        <w:fldChar w:fldCharType="begin"/>
      </w:r>
      <w:r>
        <w:instrText xml:space="preserve"> SEQ level0 \*arabic \* MERGEFORMAT </w:instrText>
      </w:r>
      <w:r>
        <w:fldChar w:fldCharType="separate"/>
      </w:r>
      <w:r w:rsidRPr="00F83F45">
        <w:rPr>
          <w:noProof/>
        </w:rPr>
        <w:t>83</w:t>
      </w:r>
      <w:r w:rsidRPr="00F83F45">
        <w:rPr>
          <w:noProof/>
        </w:rPr>
        <w:fldChar w:fldCharType="end"/>
      </w:r>
      <w:r w:rsidRPr="00F83F45">
        <w:t>.  </w:t>
      </w:r>
      <w:r w:rsidRPr="00F83F45" w:rsidR="00FD1EF4">
        <w:t xml:space="preserve">The </w:t>
      </w:r>
      <w:r w:rsidRPr="00F83F45">
        <w:t xml:space="preserve">Government submitted that </w:t>
      </w:r>
      <w:r w:rsidRPr="00F83F45" w:rsidR="00FD1EF4">
        <w:t xml:space="preserve">the </w:t>
      </w:r>
      <w:r w:rsidRPr="00F83F45">
        <w:t xml:space="preserve">second applicant had been arrested on </w:t>
      </w:r>
      <w:r w:rsidRPr="00F83F45" w:rsidR="00FD1EF4">
        <w:t xml:space="preserve">the </w:t>
      </w:r>
      <w:r w:rsidRPr="00F83F45">
        <w:t xml:space="preserve">basis of a reasonable suspicion, supported by </w:t>
      </w:r>
      <w:r w:rsidRPr="00F83F45" w:rsidR="00FD1EF4">
        <w:t xml:space="preserve">the </w:t>
      </w:r>
      <w:r w:rsidRPr="00F83F45">
        <w:t xml:space="preserve">evidence in </w:t>
      </w:r>
      <w:r w:rsidRPr="00F83F45" w:rsidR="00FD1EF4">
        <w:t xml:space="preserve">the </w:t>
      </w:r>
      <w:r w:rsidRPr="00F83F45">
        <w:t xml:space="preserve">file, and her detention had been in compliance with </w:t>
      </w:r>
      <w:r w:rsidRPr="00F83F45" w:rsidR="00FD1EF4">
        <w:t xml:space="preserve">the </w:t>
      </w:r>
      <w:r w:rsidRPr="00F83F45">
        <w:t xml:space="preserve">requirements of Article 5. Her arguments to </w:t>
      </w:r>
      <w:r w:rsidRPr="00F83F45" w:rsidR="00FD1EF4">
        <w:t xml:space="preserve">the </w:t>
      </w:r>
      <w:r w:rsidRPr="00F83F45">
        <w:t xml:space="preserve">contrary were refuted by </w:t>
      </w:r>
      <w:r w:rsidRPr="00F83F45" w:rsidR="00FD1EF4">
        <w:t xml:space="preserve">the </w:t>
      </w:r>
      <w:r w:rsidRPr="00F83F45">
        <w:t xml:space="preserve">fact that </w:t>
      </w:r>
      <w:r w:rsidRPr="00F83F45" w:rsidR="00FD1EF4">
        <w:t xml:space="preserve">the </w:t>
      </w:r>
      <w:r w:rsidRPr="00F83F45">
        <w:t xml:space="preserve">investigation had not been completed and witnesses had not been examined directly by </w:t>
      </w:r>
      <w:r w:rsidRPr="00F83F45" w:rsidR="00FD1EF4">
        <w:t xml:space="preserve">the </w:t>
      </w:r>
      <w:r w:rsidRPr="00F83F45">
        <w:t>court.</w:t>
      </w:r>
    </w:p>
    <w:p w:rsidRPr="00F83F45" w:rsidR="00F067E7" w:rsidP="00F83F45" w14:paraId="5CED2534" w14:textId="330BBEDD">
      <w:pPr>
        <w:pStyle w:val="JuHa0"/>
      </w:pPr>
      <w:r w:rsidRPr="00F83F45">
        <w:t xml:space="preserve">The </w:t>
      </w:r>
      <w:r w:rsidRPr="00F83F45">
        <w:t>Court</w:t>
      </w:r>
      <w:r w:rsidRPr="00F83F45" w:rsidR="00F83F45">
        <w:t>’</w:t>
      </w:r>
      <w:r w:rsidRPr="00F83F45">
        <w:t>s assessment</w:t>
      </w:r>
    </w:p>
    <w:p w:rsidRPr="00F83F45" w:rsidR="00F067E7" w:rsidP="00F83F45" w14:paraId="10B91AE7" w14:textId="60F31E6A">
      <w:pPr>
        <w:pStyle w:val="JuPara"/>
      </w:pPr>
      <w:r>
        <w:fldChar w:fldCharType="begin"/>
      </w:r>
      <w:r>
        <w:instrText xml:space="preserve"> SEQ level0 \*arabic \* MERGEFORMAT </w:instrText>
      </w:r>
      <w:r>
        <w:fldChar w:fldCharType="separate"/>
      </w:r>
      <w:r w:rsidRPr="00F83F45">
        <w:rPr>
          <w:noProof/>
        </w:rPr>
        <w:t>84</w:t>
      </w:r>
      <w:r w:rsidRPr="00F83F45">
        <w:rPr>
          <w:noProof/>
        </w:rPr>
        <w:fldChar w:fldCharType="end"/>
      </w:r>
      <w:r w:rsidRPr="00F83F45">
        <w:t>.  </w:t>
      </w:r>
      <w:r w:rsidRPr="00F83F45" w:rsidR="00FD1EF4">
        <w:t xml:space="preserve">The </w:t>
      </w:r>
      <w:r w:rsidRPr="00F83F45">
        <w:t xml:space="preserve">Court reiterates that under </w:t>
      </w:r>
      <w:r w:rsidRPr="00F83F45" w:rsidR="00FD1EF4">
        <w:t xml:space="preserve">the </w:t>
      </w:r>
      <w:r w:rsidRPr="00F83F45">
        <w:t xml:space="preserve">first limb of Article 5 § 1 (c) of </w:t>
      </w:r>
      <w:r w:rsidRPr="00F83F45" w:rsidR="00FD1EF4">
        <w:t xml:space="preserve">the </w:t>
      </w:r>
      <w:r w:rsidRPr="00F83F45">
        <w:t xml:space="preserve">Convention, a person may be detained, in </w:t>
      </w:r>
      <w:r w:rsidRPr="00F83F45" w:rsidR="00FD1EF4">
        <w:t xml:space="preserve">the </w:t>
      </w:r>
      <w:r w:rsidRPr="00F83F45">
        <w:t xml:space="preserve">context of criminal proceedings, only for </w:t>
      </w:r>
      <w:r w:rsidRPr="00F83F45" w:rsidR="00FD1EF4">
        <w:t xml:space="preserve">the </w:t>
      </w:r>
      <w:r w:rsidRPr="00F83F45">
        <w:t xml:space="preserve">purpose of bringing him or her before </w:t>
      </w:r>
      <w:r w:rsidRPr="00F83F45" w:rsidR="00FD1EF4">
        <w:t xml:space="preserve">the </w:t>
      </w:r>
      <w:r w:rsidRPr="00F83F45">
        <w:t xml:space="preserve">competent legal authority on reasonable suspicion of having committed an offence. Having a reasonable suspicion presupposes </w:t>
      </w:r>
      <w:r w:rsidRPr="00F83F45" w:rsidR="00FD1EF4">
        <w:t xml:space="preserve">the </w:t>
      </w:r>
      <w:r w:rsidRPr="00F83F45">
        <w:t xml:space="preserve">existence of facts or information which would satisfy an objective observer that </w:t>
      </w:r>
      <w:r w:rsidRPr="00F83F45" w:rsidR="00FD1EF4">
        <w:t xml:space="preserve">the </w:t>
      </w:r>
      <w:r w:rsidRPr="00F83F45">
        <w:t xml:space="preserve">person concerned may have committed </w:t>
      </w:r>
      <w:r w:rsidRPr="00F83F45" w:rsidR="00FD1EF4">
        <w:t xml:space="preserve">the </w:t>
      </w:r>
      <w:r w:rsidRPr="00F83F45">
        <w:t xml:space="preserve">offence. What may be regarded as reasonable will, however, depend on all </w:t>
      </w:r>
      <w:r w:rsidRPr="00F83F45" w:rsidR="00FD1EF4">
        <w:t xml:space="preserve">the </w:t>
      </w:r>
      <w:r w:rsidRPr="00F83F45">
        <w:t>circumstances (</w:t>
      </w:r>
      <w:r w:rsidRPr="00F83F45" w:rsidR="00FD1EF4">
        <w:t xml:space="preserve">see </w:t>
      </w:r>
      <w:r w:rsidRPr="00F83F45">
        <w:rPr>
          <w:i/>
          <w:iCs/>
        </w:rPr>
        <w:t>Selahattin Demirtaş v. Turkey (no. 2)</w:t>
      </w:r>
      <w:r w:rsidRPr="00F83F45">
        <w:t xml:space="preserve"> [GC], no. 14305/17, § 314, 22 December 2020).</w:t>
      </w:r>
    </w:p>
    <w:p w:rsidRPr="00F83F45" w:rsidR="00F067E7" w:rsidP="00F83F45" w14:paraId="2849CFAF" w14:textId="1D4B39E2">
      <w:pPr>
        <w:pStyle w:val="JuPara"/>
      </w:pPr>
      <w:r>
        <w:fldChar w:fldCharType="begin"/>
      </w:r>
      <w:r>
        <w:instrText xml:space="preserve"> SEQ level0 \*arabic \* MERGEFORMAT </w:instrText>
      </w:r>
      <w:r>
        <w:fldChar w:fldCharType="separate"/>
      </w:r>
      <w:r w:rsidRPr="00F83F45">
        <w:rPr>
          <w:noProof/>
        </w:rPr>
        <w:t>85</w:t>
      </w:r>
      <w:r w:rsidRPr="00F83F45">
        <w:rPr>
          <w:noProof/>
        </w:rPr>
        <w:fldChar w:fldCharType="end"/>
      </w:r>
      <w:r w:rsidRPr="00F83F45">
        <w:t xml:space="preserve">.  As a rule, problems with </w:t>
      </w:r>
      <w:r w:rsidRPr="00F83F45" w:rsidR="00FD1EF4">
        <w:t xml:space="preserve">the </w:t>
      </w:r>
      <w:r w:rsidRPr="00F83F45">
        <w:t xml:space="preserve">“reasonableness of suspicion” arise at </w:t>
      </w:r>
      <w:r w:rsidRPr="00F83F45" w:rsidR="00FD1EF4">
        <w:t xml:space="preserve">the </w:t>
      </w:r>
      <w:r w:rsidRPr="00F83F45">
        <w:t xml:space="preserve">level of </w:t>
      </w:r>
      <w:r w:rsidRPr="00F83F45" w:rsidR="00FD1EF4">
        <w:t xml:space="preserve">the </w:t>
      </w:r>
      <w:r w:rsidRPr="00F83F45">
        <w:t xml:space="preserve">facts. </w:t>
      </w:r>
      <w:r w:rsidRPr="00F83F45" w:rsidR="00FD1EF4">
        <w:t xml:space="preserve">The </w:t>
      </w:r>
      <w:r w:rsidRPr="00F83F45">
        <w:t xml:space="preserve">question then is whether </w:t>
      </w:r>
      <w:r w:rsidRPr="00F83F45" w:rsidR="00FD1EF4">
        <w:t xml:space="preserve">the </w:t>
      </w:r>
      <w:r w:rsidRPr="00F83F45">
        <w:t xml:space="preserve">arrest and detention were based on sufficient objective elements to justify a “reasonable suspicion” that </w:t>
      </w:r>
      <w:r w:rsidRPr="00F83F45" w:rsidR="00FD1EF4">
        <w:t xml:space="preserve">the </w:t>
      </w:r>
      <w:r w:rsidRPr="00F83F45">
        <w:t xml:space="preserve">facts at issue had actually occurred. In addition to its factual side, </w:t>
      </w:r>
      <w:r w:rsidRPr="00F83F45" w:rsidR="00FD1EF4">
        <w:t xml:space="preserve">the </w:t>
      </w:r>
      <w:r w:rsidRPr="00F83F45">
        <w:t xml:space="preserve">existence of a “reasonable suspicion” within </w:t>
      </w:r>
      <w:r w:rsidRPr="00F83F45" w:rsidR="00FD1EF4">
        <w:t xml:space="preserve">the </w:t>
      </w:r>
      <w:r w:rsidRPr="00F83F45">
        <w:t xml:space="preserve">meaning of Article 5 § 1 (c) requires that </w:t>
      </w:r>
      <w:r w:rsidRPr="00F83F45" w:rsidR="00FD1EF4">
        <w:t xml:space="preserve">the </w:t>
      </w:r>
      <w:r w:rsidRPr="00F83F45">
        <w:t xml:space="preserve">facts relied on can be reasonably considered to fall under one of </w:t>
      </w:r>
      <w:r w:rsidRPr="00F83F45" w:rsidR="00FD1EF4">
        <w:t xml:space="preserve">the </w:t>
      </w:r>
      <w:r w:rsidRPr="00F83F45">
        <w:t xml:space="preserve">sections of </w:t>
      </w:r>
      <w:r w:rsidRPr="00F83F45" w:rsidR="00FD1EF4">
        <w:t xml:space="preserve">the </w:t>
      </w:r>
      <w:r w:rsidRPr="00F83F45">
        <w:t>law dealing with criminal behaviour (</w:t>
      </w:r>
      <w:r w:rsidRPr="00F83F45" w:rsidR="00FD1EF4">
        <w:t xml:space="preserve">see </w:t>
      </w:r>
      <w:r w:rsidRPr="00F83F45">
        <w:rPr>
          <w:i/>
          <w:iCs/>
        </w:rPr>
        <w:t>Selahattin Demirtaş</w:t>
      </w:r>
      <w:r w:rsidRPr="00F83F45">
        <w:t>, cited above, § 317).</w:t>
      </w:r>
    </w:p>
    <w:p w:rsidRPr="00F83F45" w:rsidR="00F067E7" w:rsidP="00F83F45" w14:paraId="32B13628" w14:textId="265015C9">
      <w:pPr>
        <w:pStyle w:val="JuPara"/>
      </w:pPr>
      <w:r>
        <w:fldChar w:fldCharType="begin"/>
      </w:r>
      <w:r>
        <w:instrText xml:space="preserve"> SEQ level0 \*arabic \* MERGEFORMAT </w:instrText>
      </w:r>
      <w:r>
        <w:fldChar w:fldCharType="separate"/>
      </w:r>
      <w:r w:rsidRPr="00F83F45">
        <w:rPr>
          <w:noProof/>
        </w:rPr>
        <w:t>86</w:t>
      </w:r>
      <w:r w:rsidRPr="00F83F45">
        <w:rPr>
          <w:noProof/>
        </w:rPr>
        <w:fldChar w:fldCharType="end"/>
      </w:r>
      <w:r w:rsidRPr="00F83F45">
        <w:t>.  </w:t>
      </w:r>
      <w:r w:rsidRPr="00F83F45" w:rsidR="00FD1EF4">
        <w:t xml:space="preserve">The </w:t>
      </w:r>
      <w:r w:rsidRPr="00F83F45">
        <w:t xml:space="preserve">Court also reiterates that, in order for deprivation of liberty to be considered free from arbitrariness, it does not suffice that this measure is executed in conformity with national law; it must also be necessary in </w:t>
      </w:r>
      <w:r w:rsidRPr="00F83F45" w:rsidR="00FD1EF4">
        <w:t xml:space="preserve">the </w:t>
      </w:r>
      <w:r w:rsidRPr="00F83F45">
        <w:t>circumstances (</w:t>
      </w:r>
      <w:r w:rsidRPr="00F83F45" w:rsidR="00FD1EF4">
        <w:t xml:space="preserve">see </w:t>
      </w:r>
      <w:r w:rsidRPr="00F83F45">
        <w:rPr>
          <w:i/>
          <w:iCs/>
        </w:rPr>
        <w:t>Nešťák</w:t>
      </w:r>
      <w:r w:rsidRPr="00F83F45">
        <w:rPr>
          <w:i/>
          <w:iCs/>
        </w:rPr>
        <w:t xml:space="preserve"> v. Slovakia</w:t>
      </w:r>
      <w:r w:rsidRPr="00F83F45">
        <w:t>, no. 65559/01, § 74, 27</w:t>
      </w:r>
      <w:r w:rsidRPr="00F83F45" w:rsidR="00625C44">
        <w:t> </w:t>
      </w:r>
      <w:r w:rsidRPr="00F83F45">
        <w:t>February</w:t>
      </w:r>
      <w:r w:rsidRPr="00F83F45" w:rsidR="00FD1EF4">
        <w:t xml:space="preserve"> </w:t>
      </w:r>
      <w:r w:rsidRPr="00F83F45">
        <w:t>2007). Detention pursuant to Article 5 § 1 (c) must embody a proportionality requirement (</w:t>
      </w:r>
      <w:r w:rsidRPr="00F83F45" w:rsidR="00FD1EF4">
        <w:t xml:space="preserve">see </w:t>
      </w:r>
      <w:r w:rsidRPr="00F83F45">
        <w:rPr>
          <w:i/>
          <w:iCs/>
        </w:rPr>
        <w:t>Ladent</w:t>
      </w:r>
      <w:r w:rsidRPr="00F83F45">
        <w:rPr>
          <w:i/>
          <w:iCs/>
        </w:rPr>
        <w:t xml:space="preserve"> v. Poland</w:t>
      </w:r>
      <w:r w:rsidRPr="00F83F45">
        <w:t xml:space="preserve">, no. 11036/03, § 55, ECHR 2008 (extracts), </w:t>
      </w:r>
      <w:r w:rsidRPr="00F83F45">
        <w:rPr>
          <w:i/>
          <w:iCs/>
        </w:rPr>
        <w:t>Khayredinov</w:t>
      </w:r>
      <w:r w:rsidRPr="00F83F45">
        <w:rPr>
          <w:i/>
          <w:iCs/>
        </w:rPr>
        <w:t xml:space="preserve"> v. Ukraine</w:t>
      </w:r>
      <w:r w:rsidRPr="00F83F45">
        <w:t>, no. no. 38717/04, §§ 28-31, 14</w:t>
      </w:r>
      <w:r w:rsidRPr="00F83F45" w:rsidR="009E0A9B">
        <w:t> </w:t>
      </w:r>
      <w:r w:rsidRPr="00F83F45">
        <w:t>October</w:t>
      </w:r>
      <w:r w:rsidRPr="00F83F45" w:rsidR="00FD1EF4">
        <w:t xml:space="preserve"> </w:t>
      </w:r>
      <w:r w:rsidRPr="00F83F45">
        <w:t>2010), which implies a reasoned decision balancing relevant arguments for and against release (</w:t>
      </w:r>
      <w:r w:rsidRPr="00F83F45" w:rsidR="00FD1EF4">
        <w:t xml:space="preserve">see </w:t>
      </w:r>
      <w:r w:rsidRPr="00F83F45">
        <w:rPr>
          <w:i/>
          <w:iCs/>
        </w:rPr>
        <w:t>Taran v. Ukraine</w:t>
      </w:r>
      <w:r w:rsidRPr="00F83F45">
        <w:t>, no. 31898/06, § 68, 17</w:t>
      </w:r>
      <w:r w:rsidRPr="00F83F45" w:rsidR="0090092A">
        <w:t> </w:t>
      </w:r>
      <w:r w:rsidRPr="00F83F45">
        <w:t xml:space="preserve">October 2013, and </w:t>
      </w:r>
      <w:r w:rsidRPr="00F83F45">
        <w:rPr>
          <w:i/>
          <w:iCs/>
        </w:rPr>
        <w:t>Butkevich v. Russia</w:t>
      </w:r>
      <w:r w:rsidRPr="00F83F45">
        <w:t>, no. 5865/07, § 64, 13</w:t>
      </w:r>
      <w:r w:rsidRPr="00F83F45" w:rsidR="009E0A9B">
        <w:t> </w:t>
      </w:r>
      <w:r w:rsidRPr="00F83F45">
        <w:t>February</w:t>
      </w:r>
      <w:r w:rsidRPr="00F83F45" w:rsidR="009E0A9B">
        <w:t> </w:t>
      </w:r>
      <w:r w:rsidRPr="00F83F45">
        <w:t>2018).</w:t>
      </w:r>
    </w:p>
    <w:p w:rsidRPr="00F83F45" w:rsidR="00F067E7" w:rsidP="00F83F45" w14:paraId="53775E3E" w14:textId="33F40149">
      <w:pPr>
        <w:pStyle w:val="JuPara"/>
      </w:pPr>
      <w:r>
        <w:fldChar w:fldCharType="begin"/>
      </w:r>
      <w:r>
        <w:instrText xml:space="preserve"> SEQ level0 \*arabic \* MERGEFORMAT </w:instrText>
      </w:r>
      <w:r>
        <w:fldChar w:fldCharType="separate"/>
      </w:r>
      <w:r w:rsidRPr="00F83F45">
        <w:rPr>
          <w:noProof/>
        </w:rPr>
        <w:t>87</w:t>
      </w:r>
      <w:r w:rsidRPr="00F83F45">
        <w:rPr>
          <w:noProof/>
        </w:rPr>
        <w:fldChar w:fldCharType="end"/>
      </w:r>
      <w:r w:rsidRPr="00F83F45">
        <w:t xml:space="preserve">.  In </w:t>
      </w:r>
      <w:r w:rsidRPr="00F83F45" w:rsidR="00FD1EF4">
        <w:t xml:space="preserve">the </w:t>
      </w:r>
      <w:r w:rsidRPr="00F83F45">
        <w:t xml:space="preserve">present case, it cannot be said that </w:t>
      </w:r>
      <w:r w:rsidRPr="00F83F45" w:rsidR="00FD1EF4">
        <w:t xml:space="preserve">the </w:t>
      </w:r>
      <w:r w:rsidRPr="00F83F45">
        <w:t xml:space="preserve">suspicion against </w:t>
      </w:r>
      <w:r w:rsidRPr="00F83F45" w:rsidR="00FD1EF4">
        <w:t xml:space="preserve">the </w:t>
      </w:r>
      <w:r w:rsidRPr="00F83F45">
        <w:t xml:space="preserve">applicant was based on her engaging in activity which was lawful at </w:t>
      </w:r>
      <w:r w:rsidRPr="00F83F45" w:rsidR="00FD1EF4">
        <w:t xml:space="preserve">the </w:t>
      </w:r>
      <w:r w:rsidRPr="00F83F45">
        <w:t xml:space="preserve">time she conducted it (contrast, for example, </w:t>
      </w:r>
      <w:r w:rsidRPr="00F83F45">
        <w:rPr>
          <w:i/>
          <w:iCs/>
        </w:rPr>
        <w:t>Taner Kılıç v. Turkey (no. 2)</w:t>
      </w:r>
      <w:r w:rsidRPr="00F83F45">
        <w:t>, no. 208/18, § 105, 31 May 2022).</w:t>
      </w:r>
    </w:p>
    <w:p w:rsidRPr="00F83F45" w:rsidR="00F067E7" w:rsidP="00F83F45" w14:paraId="256755D4" w14:textId="1C110082">
      <w:pPr>
        <w:pStyle w:val="JuPara"/>
      </w:pPr>
      <w:r>
        <w:fldChar w:fldCharType="begin"/>
      </w:r>
      <w:r>
        <w:instrText xml:space="preserve"> SEQ level0 \*arabic \* MERGEFORMAT </w:instrText>
      </w:r>
      <w:r>
        <w:fldChar w:fldCharType="separate"/>
      </w:r>
      <w:r w:rsidRPr="00F83F45">
        <w:rPr>
          <w:noProof/>
        </w:rPr>
        <w:t>88</w:t>
      </w:r>
      <w:r w:rsidRPr="00F83F45">
        <w:rPr>
          <w:noProof/>
        </w:rPr>
        <w:fldChar w:fldCharType="end"/>
      </w:r>
      <w:r w:rsidRPr="00F83F45">
        <w:t xml:space="preserve">.  However, </w:t>
      </w:r>
      <w:r w:rsidRPr="00F83F45" w:rsidR="00FD1EF4">
        <w:t xml:space="preserve">the </w:t>
      </w:r>
      <w:r w:rsidRPr="00F83F45">
        <w:t xml:space="preserve">offence with which </w:t>
      </w:r>
      <w:r w:rsidRPr="00F83F45" w:rsidR="00FD1EF4">
        <w:t xml:space="preserve">the </w:t>
      </w:r>
      <w:r w:rsidRPr="00F83F45">
        <w:t xml:space="preserve">applicant was charged explicitly required, as formulated in </w:t>
      </w:r>
      <w:r w:rsidRPr="00F83F45" w:rsidR="00FD1EF4">
        <w:t xml:space="preserve">the </w:t>
      </w:r>
      <w:r w:rsidRPr="00F83F45">
        <w:t xml:space="preserve">Criminal Code, a combination of two elements, a material (providing assistance to </w:t>
      </w:r>
      <w:r w:rsidRPr="00F83F45" w:rsidR="00FD1EF4">
        <w:t xml:space="preserve">the </w:t>
      </w:r>
      <w:r w:rsidRPr="00F83F45">
        <w:t>Russian State) and mental element (doing that as an intentional act aimed at harming Ukraine) (</w:t>
      </w:r>
      <w:r w:rsidRPr="00F83F45" w:rsidR="00FD1EF4">
        <w:t xml:space="preserve">see </w:t>
      </w:r>
      <w:r w:rsidRPr="00F83F45">
        <w:t xml:space="preserve">paragraph </w:t>
      </w:r>
      <w:r w:rsidRPr="00F83F45">
        <w:fldChar w:fldCharType="begin"/>
      </w:r>
      <w:r w:rsidRPr="00F83F45">
        <w:instrText xml:space="preserve"> REF facts_Tar_charge \h  \* CharFormat </w:instrText>
      </w:r>
      <w:r w:rsidRPr="00F83F45">
        <w:fldChar w:fldCharType="separate"/>
      </w:r>
      <w:r w:rsidRPr="00F83F45">
        <w:t>27</w:t>
      </w:r>
      <w:r w:rsidRPr="00F83F45">
        <w:fldChar w:fldCharType="end"/>
      </w:r>
      <w:r w:rsidRPr="00F83F45">
        <w:t xml:space="preserve"> above).</w:t>
      </w:r>
    </w:p>
    <w:p w:rsidRPr="00F83F45" w:rsidR="00F067E7" w:rsidP="00F83F45" w14:paraId="08546FAD" w14:textId="5AFC2F45">
      <w:pPr>
        <w:pStyle w:val="JuPara"/>
      </w:pPr>
      <w:r>
        <w:fldChar w:fldCharType="begin"/>
      </w:r>
      <w:r>
        <w:instrText xml:space="preserve"> SEQ level0 \*arabic \* MERGEFORMAT </w:instrText>
      </w:r>
      <w:r>
        <w:fldChar w:fldCharType="separate"/>
      </w:r>
      <w:bookmarkStart w:name="paragraph00087" w:id="35"/>
      <w:r w:rsidRPr="00F83F45">
        <w:rPr>
          <w:noProof/>
        </w:rPr>
        <w:t>89</w:t>
      </w:r>
      <w:bookmarkEnd w:id="35"/>
      <w:r>
        <w:fldChar w:fldCharType="end"/>
      </w:r>
      <w:r w:rsidRPr="00F83F45">
        <w:t>.  </w:t>
      </w:r>
      <w:r w:rsidRPr="00F83F45" w:rsidR="00FD1EF4">
        <w:t xml:space="preserve">The </w:t>
      </w:r>
      <w:r w:rsidRPr="00F83F45">
        <w:t xml:space="preserve">Court has not been informed of any domestic legal provisions or case-law interpreting either of those elements. This in itself is not problematic since </w:t>
      </w:r>
      <w:r w:rsidRPr="00F83F45" w:rsidR="00FD1EF4">
        <w:t xml:space="preserve">the </w:t>
      </w:r>
      <w:r w:rsidRPr="00F83F45">
        <w:t xml:space="preserve">relevant provision is recent and there must come a day when a given legal norm is applied for </w:t>
      </w:r>
      <w:r w:rsidRPr="00F83F45" w:rsidR="00FD1EF4">
        <w:t xml:space="preserve">the </w:t>
      </w:r>
      <w:r w:rsidRPr="00F83F45">
        <w:t>first time (</w:t>
      </w:r>
      <w:r w:rsidRPr="00F83F45" w:rsidR="00FD1EF4">
        <w:t xml:space="preserve">see </w:t>
      </w:r>
      <w:r w:rsidRPr="00F83F45">
        <w:rPr>
          <w:i/>
          <w:iCs/>
        </w:rPr>
        <w:t>Włoch</w:t>
      </w:r>
      <w:r w:rsidRPr="00F83F45">
        <w:rPr>
          <w:i/>
          <w:iCs/>
        </w:rPr>
        <w:t xml:space="preserve"> v. Poland</w:t>
      </w:r>
      <w:r w:rsidRPr="00F83F45">
        <w:t>, no. 27785/95, §</w:t>
      </w:r>
      <w:r w:rsidRPr="00F83F45">
        <w:rPr>
          <w:lang w:val="uk-UA"/>
        </w:rPr>
        <w:t> </w:t>
      </w:r>
      <w:r w:rsidRPr="00F83F45">
        <w:t xml:space="preserve">111, ECHR 2000-XI, and </w:t>
      </w:r>
      <w:bookmarkStart w:name="_cl40293THELAW" w:id="36"/>
      <w:r w:rsidRPr="00F83F45">
        <w:rPr>
          <w:i/>
          <w:iCs/>
        </w:rPr>
        <w:t>Selahattin Demirtaş</w:t>
      </w:r>
      <w:r w:rsidRPr="00F83F45">
        <w:t xml:space="preserve">, cited above, § 253, with further references). However, </w:t>
      </w:r>
      <w:r w:rsidRPr="00F83F45" w:rsidR="00FD1EF4">
        <w:t xml:space="preserve">the </w:t>
      </w:r>
      <w:r w:rsidRPr="00F83F45">
        <w:t xml:space="preserve">authorities did not provide elements demonstrating that </w:t>
      </w:r>
      <w:r w:rsidRPr="00F83F45" w:rsidR="00FD1EF4">
        <w:t xml:space="preserve">the </w:t>
      </w:r>
      <w:r w:rsidRPr="00F83F45">
        <w:t xml:space="preserve">acts of which </w:t>
      </w:r>
      <w:r w:rsidRPr="00F83F45" w:rsidR="00FD1EF4">
        <w:t xml:space="preserve">the </w:t>
      </w:r>
      <w:r w:rsidRPr="00F83F45">
        <w:t xml:space="preserve">applicant was accused could fall within </w:t>
      </w:r>
      <w:r w:rsidRPr="00F83F45" w:rsidR="00FD1EF4">
        <w:t xml:space="preserve">the </w:t>
      </w:r>
      <w:r w:rsidRPr="00F83F45">
        <w:t xml:space="preserve">definition of </w:t>
      </w:r>
      <w:r w:rsidRPr="00F83F45" w:rsidR="00FD1EF4">
        <w:t xml:space="preserve">the </w:t>
      </w:r>
      <w:r w:rsidRPr="00F83F45">
        <w:t xml:space="preserve">offence as set out in </w:t>
      </w:r>
      <w:r w:rsidRPr="00F83F45" w:rsidR="00FD1EF4">
        <w:t xml:space="preserve">the </w:t>
      </w:r>
      <w:r w:rsidRPr="00F83F45">
        <w:t xml:space="preserve">Criminal Code, in particular concerning its required mental element. In </w:t>
      </w:r>
      <w:r w:rsidRPr="00F83F45" w:rsidR="00FD1EF4">
        <w:t xml:space="preserve">the </w:t>
      </w:r>
      <w:r w:rsidRPr="00F83F45">
        <w:t xml:space="preserve">absence of precedents and an established interpretation of </w:t>
      </w:r>
      <w:r w:rsidRPr="00F83F45" w:rsidR="00FD1EF4">
        <w:t xml:space="preserve">the </w:t>
      </w:r>
      <w:r w:rsidRPr="00F83F45">
        <w:t xml:space="preserve">domestic provisions relied upon, it was all </w:t>
      </w:r>
      <w:r w:rsidRPr="00F83F45" w:rsidR="00FD1EF4">
        <w:t xml:space="preserve">the </w:t>
      </w:r>
      <w:r w:rsidRPr="00F83F45">
        <w:t xml:space="preserve">more important that </w:t>
      </w:r>
      <w:r w:rsidRPr="00F83F45" w:rsidR="00FD1EF4">
        <w:t xml:space="preserve">the </w:t>
      </w:r>
      <w:r w:rsidRPr="00F83F45">
        <w:t xml:space="preserve">relevant decisions indicate some facts or information which would satisfy an objective observer that </w:t>
      </w:r>
      <w:r w:rsidRPr="00F83F45" w:rsidR="00FD1EF4">
        <w:t xml:space="preserve">the </w:t>
      </w:r>
      <w:r w:rsidRPr="00F83F45">
        <w:t>required aim could be reasonably suspected to be present</w:t>
      </w:r>
      <w:r w:rsidRPr="00F83F45">
        <w:rPr>
          <w:lang w:val="uk-UA"/>
        </w:rPr>
        <w:t xml:space="preserve"> (</w:t>
      </w:r>
      <w:r w:rsidRPr="00F83F45">
        <w:t xml:space="preserve">see, for example, </w:t>
      </w:r>
      <w:bookmarkStart w:name="_cl39298THELAW" w:id="37"/>
      <w:r w:rsidRPr="00F83F45">
        <w:rPr>
          <w:i/>
          <w:iCs/>
        </w:rPr>
        <w:t>Włoch</w:t>
      </w:r>
      <w:bookmarkEnd w:id="37"/>
      <w:r w:rsidRPr="00F83F45">
        <w:t>, cited above, §§ 111-14</w:t>
      </w:r>
      <w:r w:rsidRPr="00F83F45">
        <w:rPr>
          <w:lang w:val="uk-UA"/>
        </w:rPr>
        <w:t>)</w:t>
      </w:r>
      <w:r w:rsidRPr="00F83F45">
        <w:t>.</w:t>
      </w:r>
    </w:p>
    <w:p w:rsidRPr="00F83F45" w:rsidR="00F067E7" w:rsidP="00F83F45" w14:paraId="2A4CE22B" w14:textId="670F7986">
      <w:pPr>
        <w:pStyle w:val="JuPara"/>
      </w:pPr>
      <w:r>
        <w:fldChar w:fldCharType="begin"/>
      </w:r>
      <w:r>
        <w:instrText xml:space="preserve"> SEQ level0 \*arabic \* MERGEFORMAT </w:instrText>
      </w:r>
      <w:r>
        <w:fldChar w:fldCharType="separate"/>
      </w:r>
      <w:r w:rsidRPr="00F83F45">
        <w:rPr>
          <w:noProof/>
        </w:rPr>
        <w:t>90</w:t>
      </w:r>
      <w:r w:rsidRPr="00F83F45">
        <w:rPr>
          <w:noProof/>
        </w:rPr>
        <w:fldChar w:fldCharType="end"/>
      </w:r>
      <w:r w:rsidRPr="00F83F45">
        <w:t xml:space="preserve">.  In fact, in </w:t>
      </w:r>
      <w:r w:rsidRPr="00F83F45" w:rsidR="00FD1EF4">
        <w:t xml:space="preserve">the </w:t>
      </w:r>
      <w:r w:rsidRPr="00F83F45">
        <w:t xml:space="preserve">charges, </w:t>
      </w:r>
      <w:r w:rsidRPr="00F83F45" w:rsidR="00FD1EF4">
        <w:t xml:space="preserve">the </w:t>
      </w:r>
      <w:r w:rsidRPr="00F83F45">
        <w:t xml:space="preserve">investigation authority appeared to suggest that </w:t>
      </w:r>
      <w:r w:rsidRPr="00F83F45" w:rsidR="00FD1EF4">
        <w:t xml:space="preserve">the </w:t>
      </w:r>
      <w:r w:rsidRPr="00F83F45">
        <w:t xml:space="preserve">motivation for </w:t>
      </w:r>
      <w:r w:rsidRPr="00F83F45" w:rsidR="00FD1EF4">
        <w:t xml:space="preserve">the </w:t>
      </w:r>
      <w:r w:rsidRPr="00F83F45">
        <w:t xml:space="preserve">suspected scheme had been rather commercial, </w:t>
      </w:r>
      <w:r w:rsidRPr="00F83F45" w:rsidR="00FD1EF4">
        <w:t xml:space="preserve">the </w:t>
      </w:r>
      <w:r w:rsidRPr="00F83F45">
        <w:t xml:space="preserve">desire of </w:t>
      </w:r>
      <w:r w:rsidRPr="00F83F45" w:rsidR="00FD1EF4">
        <w:t xml:space="preserve">the </w:t>
      </w:r>
      <w:r w:rsidRPr="00F83F45">
        <w:t>N. company</w:t>
      </w:r>
      <w:r w:rsidRPr="00F83F45">
        <w:t>’</w:t>
      </w:r>
      <w:r w:rsidRPr="00F83F45">
        <w:t xml:space="preserve">s managers to continue a commercial relationship </w:t>
      </w:r>
      <w:r w:rsidRPr="00F83F45">
        <w:t>with a Russian private entity, established prior to Russia</w:t>
      </w:r>
      <w:r w:rsidRPr="00F83F45">
        <w:t>’</w:t>
      </w:r>
      <w:r w:rsidRPr="00F83F45">
        <w:t xml:space="preserve">s full-scale invasion of Ukraine, and to circumvent </w:t>
      </w:r>
      <w:r w:rsidRPr="00F83F45" w:rsidR="00FD1EF4">
        <w:t xml:space="preserve">the </w:t>
      </w:r>
      <w:r w:rsidRPr="00F83F45">
        <w:t xml:space="preserve">prohibition on dealing with it, enacted after </w:t>
      </w:r>
      <w:r w:rsidRPr="00F83F45" w:rsidR="00FD1EF4">
        <w:t xml:space="preserve">the </w:t>
      </w:r>
      <w:r w:rsidRPr="00F83F45">
        <w:t>invasion (</w:t>
      </w:r>
      <w:r w:rsidRPr="00F83F45" w:rsidR="00FD1EF4">
        <w:t xml:space="preserve">see </w:t>
      </w:r>
      <w:r w:rsidRPr="00F83F45">
        <w:t xml:space="preserve">paragraphs </w:t>
      </w:r>
      <w:r w:rsidRPr="00F83F45">
        <w:fldChar w:fldCharType="begin"/>
      </w:r>
      <w:r w:rsidRPr="00F83F45">
        <w:instrText xml:space="preserve"> REF facts_Tar_scheme \h  \* MERGEFORMAT </w:instrText>
      </w:r>
      <w:r w:rsidRPr="00F83F45">
        <w:fldChar w:fldCharType="separate"/>
      </w:r>
      <w:r w:rsidRPr="00F83F45">
        <w:t>28</w:t>
      </w:r>
      <w:r w:rsidRPr="00F83F45">
        <w:fldChar w:fldCharType="end"/>
      </w:r>
      <w:r w:rsidRPr="00F83F45">
        <w:t xml:space="preserve"> and </w:t>
      </w:r>
      <w:r w:rsidRPr="00F83F45">
        <w:fldChar w:fldCharType="begin"/>
      </w:r>
      <w:r w:rsidRPr="00F83F45">
        <w:instrText xml:space="preserve"> REF facts_Tar_notification_suspicion \h  \* MERGEFORMAT </w:instrText>
      </w:r>
      <w:r w:rsidRPr="00F83F45">
        <w:fldChar w:fldCharType="separate"/>
      </w:r>
      <w:r w:rsidRPr="00F83F45">
        <w:t>31</w:t>
      </w:r>
      <w:r w:rsidRPr="00F83F45">
        <w:fldChar w:fldCharType="end"/>
      </w:r>
      <w:r w:rsidRPr="00F83F45">
        <w:t xml:space="preserve"> above). No domestic authority or court provided any explanation as to why such a motivation, however blameworthy it could be seen in </w:t>
      </w:r>
      <w:r w:rsidRPr="00F83F45" w:rsidR="00FD1EF4">
        <w:t xml:space="preserve">the </w:t>
      </w:r>
      <w:r w:rsidRPr="00F83F45">
        <w:t xml:space="preserve">moral sense in </w:t>
      </w:r>
      <w:r w:rsidRPr="00F83F45" w:rsidR="00FD1EF4">
        <w:t xml:space="preserve">the </w:t>
      </w:r>
      <w:r w:rsidRPr="00F83F45">
        <w:t xml:space="preserve">conditions of war and albeit in breach of </w:t>
      </w:r>
      <w:r w:rsidRPr="00F83F45" w:rsidR="00FD1EF4">
        <w:t xml:space="preserve">the </w:t>
      </w:r>
      <w:r w:rsidRPr="00F83F45">
        <w:t xml:space="preserve">law, could be equated with </w:t>
      </w:r>
      <w:r w:rsidRPr="00F83F45" w:rsidR="00FD1EF4">
        <w:t xml:space="preserve">the </w:t>
      </w:r>
      <w:r w:rsidRPr="00F83F45">
        <w:t xml:space="preserve">aim of harming Ukraine, within </w:t>
      </w:r>
      <w:r w:rsidRPr="00F83F45" w:rsidR="00FD1EF4">
        <w:t xml:space="preserve">the </w:t>
      </w:r>
      <w:r w:rsidRPr="00F83F45">
        <w:t>meaning of domestic criminal law.</w:t>
      </w:r>
    </w:p>
    <w:bookmarkEnd w:id="36"/>
    <w:p w:rsidRPr="00F83F45" w:rsidR="00F067E7" w:rsidP="00F83F45" w14:paraId="628D4670" w14:textId="0277A713">
      <w:pPr>
        <w:pStyle w:val="JuPara"/>
      </w:pPr>
      <w:r w:rsidRPr="00F83F45">
        <w:fldChar w:fldCharType="begin"/>
      </w:r>
      <w:r w:rsidRPr="00F83F45">
        <w:instrText xml:space="preserve"> SEQ level0 \*arabic \* MERGEFORMAT </w:instrText>
      </w:r>
      <w:r w:rsidRPr="00F83F45">
        <w:fldChar w:fldCharType="separate"/>
      </w:r>
      <w:bookmarkStart w:name="paragraph00089" w:id="38"/>
      <w:r w:rsidRPr="00F83F45" w:rsidR="00F83F45">
        <w:rPr>
          <w:noProof/>
        </w:rPr>
        <w:t>91</w:t>
      </w:r>
      <w:bookmarkEnd w:id="38"/>
      <w:r w:rsidRPr="00F83F45">
        <w:fldChar w:fldCharType="end"/>
      </w:r>
      <w:r w:rsidRPr="00F83F45">
        <w:t>.  </w:t>
      </w:r>
      <w:r w:rsidRPr="00F83F45" w:rsidR="00FD1EF4">
        <w:t xml:space="preserve">The </w:t>
      </w:r>
      <w:r w:rsidRPr="00F83F45">
        <w:t xml:space="preserve">investigation authority referred, in </w:t>
      </w:r>
      <w:r w:rsidRPr="00F83F45" w:rsidR="00FD1EF4">
        <w:t xml:space="preserve">the </w:t>
      </w:r>
      <w:r w:rsidRPr="00F83F45">
        <w:t xml:space="preserve">notification of charges, to </w:t>
      </w:r>
      <w:r w:rsidRPr="00F83F45" w:rsidR="00FD1EF4">
        <w:t xml:space="preserve">the </w:t>
      </w:r>
      <w:r w:rsidRPr="00F83F45">
        <w:t xml:space="preserve">resolutions of </w:t>
      </w:r>
      <w:r w:rsidRPr="00F83F45" w:rsidR="00FD1EF4">
        <w:t xml:space="preserve">the </w:t>
      </w:r>
      <w:r w:rsidRPr="00F83F45">
        <w:t>Cabinet of Ministers of Ukraine introducing prohibitions on certain transactions with Russia (</w:t>
      </w:r>
      <w:r w:rsidRPr="00F83F45" w:rsidR="00FD1EF4">
        <w:t xml:space="preserve">see </w:t>
      </w:r>
      <w:r w:rsidRPr="00F83F45">
        <w:t xml:space="preserve">paragraphs </w:t>
      </w:r>
      <w:r w:rsidRPr="00F83F45">
        <w:fldChar w:fldCharType="begin"/>
      </w:r>
      <w:r w:rsidRPr="00F83F45">
        <w:instrText xml:space="preserve"> REF facts_Tar_CMU_resolutions \h  \* MERGEFORMAT </w:instrText>
      </w:r>
      <w:r w:rsidRPr="00F83F45">
        <w:fldChar w:fldCharType="separate"/>
      </w:r>
      <w:r w:rsidRPr="00F83F45" w:rsidR="00F83F45">
        <w:t>26</w:t>
      </w:r>
      <w:r w:rsidRPr="00F83F45">
        <w:fldChar w:fldCharType="end"/>
      </w:r>
      <w:r w:rsidRPr="00F83F45">
        <w:t xml:space="preserve"> above). However, those resolutions were listed among a vast array of other documents (</w:t>
      </w:r>
      <w:r w:rsidRPr="00F83F45" w:rsidR="00FD1EF4">
        <w:t xml:space="preserve">see </w:t>
      </w:r>
      <w:r w:rsidRPr="00F83F45">
        <w:t xml:space="preserve">paragraph </w:t>
      </w:r>
      <w:r w:rsidRPr="00F83F45">
        <w:fldChar w:fldCharType="begin"/>
      </w:r>
      <w:r w:rsidRPr="00F83F45">
        <w:instrText xml:space="preserve"> REF facts_Tar_notification_suspicion \h  \* MERGEFORMAT </w:instrText>
      </w:r>
      <w:r w:rsidRPr="00F83F45">
        <w:fldChar w:fldCharType="separate"/>
      </w:r>
      <w:r w:rsidRPr="00F83F45" w:rsidR="00F83F45">
        <w:t>31</w:t>
      </w:r>
      <w:r w:rsidRPr="00F83F45">
        <w:fldChar w:fldCharType="end"/>
      </w:r>
      <w:r w:rsidRPr="00F83F45">
        <w:t xml:space="preserve"> above) and their relevance was not explained. It thus appears that </w:t>
      </w:r>
      <w:r w:rsidRPr="00F83F45" w:rsidR="00FD1EF4">
        <w:t xml:space="preserve">the </w:t>
      </w:r>
      <w:r w:rsidRPr="00F83F45">
        <w:t xml:space="preserve">authorities did not articulate in a sufficiently clear and detailed manner their suspicion that </w:t>
      </w:r>
      <w:r w:rsidRPr="00F83F45" w:rsidR="00FD1EF4">
        <w:t xml:space="preserve">the </w:t>
      </w:r>
      <w:r w:rsidRPr="00F83F45">
        <w:t xml:space="preserve">offence under Article 111-2 of </w:t>
      </w:r>
      <w:r w:rsidRPr="00F83F45" w:rsidR="00FD1EF4">
        <w:t xml:space="preserve">the </w:t>
      </w:r>
      <w:r w:rsidRPr="00F83F45">
        <w:t>Criminal Code could have been committed.</w:t>
      </w:r>
    </w:p>
    <w:p w:rsidRPr="00F83F45" w:rsidR="00F067E7" w:rsidP="00F83F45" w14:paraId="60D42714" w14:textId="3E2862E5">
      <w:pPr>
        <w:pStyle w:val="JuPara"/>
      </w:pPr>
      <w:r>
        <w:fldChar w:fldCharType="begin"/>
      </w:r>
      <w:r>
        <w:instrText xml:space="preserve"> SEQ level0 \*arabic \* MERGEFORMAT </w:instrText>
      </w:r>
      <w:r>
        <w:fldChar w:fldCharType="separate"/>
      </w:r>
      <w:r w:rsidRPr="00F83F45">
        <w:rPr>
          <w:noProof/>
        </w:rPr>
        <w:t>92</w:t>
      </w:r>
      <w:r w:rsidRPr="00F83F45">
        <w:rPr>
          <w:noProof/>
        </w:rPr>
        <w:fldChar w:fldCharType="end"/>
      </w:r>
      <w:r w:rsidRPr="00F83F45">
        <w:t xml:space="preserve">.  Nonetheless, despite </w:t>
      </w:r>
      <w:r w:rsidRPr="00F83F45" w:rsidR="00FD1EF4">
        <w:t xml:space="preserve">the </w:t>
      </w:r>
      <w:r w:rsidRPr="00F83F45">
        <w:t xml:space="preserve">shortcomings mentioned in paragraphs </w:t>
      </w:r>
      <w:r w:rsidRPr="00F83F45">
        <w:fldChar w:fldCharType="begin"/>
      </w:r>
      <w:r w:rsidRPr="00F83F45">
        <w:instrText xml:space="preserve"> REF paragraph00087 \h  \* CharFormat </w:instrText>
      </w:r>
      <w:r w:rsidRPr="00F83F45">
        <w:fldChar w:fldCharType="separate"/>
      </w:r>
      <w:r w:rsidRPr="00F83F45">
        <w:t>89</w:t>
      </w:r>
      <w:r w:rsidRPr="00F83F45">
        <w:fldChar w:fldCharType="end"/>
      </w:r>
      <w:r w:rsidRPr="00F83F45">
        <w:t xml:space="preserve"> to </w:t>
      </w:r>
      <w:r w:rsidRPr="00F83F45">
        <w:fldChar w:fldCharType="begin"/>
      </w:r>
      <w:r w:rsidRPr="00F83F45">
        <w:instrText xml:space="preserve"> REF paragraph00089 \h  \* CharFormat </w:instrText>
      </w:r>
      <w:r w:rsidRPr="00F83F45">
        <w:fldChar w:fldCharType="separate"/>
      </w:r>
      <w:r w:rsidRPr="00F83F45">
        <w:t>91</w:t>
      </w:r>
      <w:r w:rsidRPr="00F83F45">
        <w:fldChar w:fldCharType="end"/>
      </w:r>
      <w:r w:rsidRPr="00F83F45">
        <w:t xml:space="preserve"> above, having regard, in particular, to </w:t>
      </w:r>
      <w:r w:rsidRPr="00F83F45" w:rsidR="00FD1EF4">
        <w:t xml:space="preserve">the </w:t>
      </w:r>
      <w:r w:rsidRPr="00F83F45">
        <w:t xml:space="preserve">principle that facts which raise a suspicion need not be of </w:t>
      </w:r>
      <w:r w:rsidRPr="00F83F45" w:rsidR="00FD1EF4">
        <w:t xml:space="preserve">the </w:t>
      </w:r>
      <w:r w:rsidRPr="00F83F45">
        <w:t xml:space="preserve">same level as those necessary to justify a conviction, or even </w:t>
      </w:r>
      <w:r w:rsidRPr="00F83F45" w:rsidR="00FD1EF4">
        <w:t xml:space="preserve">the </w:t>
      </w:r>
      <w:r w:rsidRPr="00F83F45">
        <w:t>bringing of a charge (</w:t>
      </w:r>
      <w:r w:rsidRPr="00F83F45" w:rsidR="00FD1EF4">
        <w:t xml:space="preserve">see </w:t>
      </w:r>
      <w:bookmarkStart w:name="_cl32440THELAW" w:id="39"/>
      <w:r w:rsidRPr="00F83F45">
        <w:rPr>
          <w:i/>
          <w:iCs/>
        </w:rPr>
        <w:t xml:space="preserve">Murray v. </w:t>
      </w:r>
      <w:r w:rsidRPr="00F83F45" w:rsidR="00FD1EF4">
        <w:rPr>
          <w:i/>
          <w:iCs/>
        </w:rPr>
        <w:t xml:space="preserve">the </w:t>
      </w:r>
      <w:r w:rsidRPr="00F83F45">
        <w:rPr>
          <w:i/>
          <w:iCs/>
        </w:rPr>
        <w:t>United Kingdom</w:t>
      </w:r>
      <w:bookmarkEnd w:id="39"/>
      <w:r w:rsidRPr="00F83F45">
        <w:t xml:space="preserve">, 28 October 1994, § 55, Series A no. 300-A) and </w:t>
      </w:r>
      <w:r w:rsidRPr="00F83F45" w:rsidR="00FD1EF4">
        <w:t xml:space="preserve">the </w:t>
      </w:r>
      <w:r w:rsidRPr="00F83F45">
        <w:t xml:space="preserve">fact that </w:t>
      </w:r>
      <w:r w:rsidRPr="00F83F45" w:rsidR="00FD1EF4">
        <w:t xml:space="preserve">the </w:t>
      </w:r>
      <w:r w:rsidRPr="00F83F45">
        <w:t xml:space="preserve">text of </w:t>
      </w:r>
      <w:r w:rsidRPr="00F83F45" w:rsidR="00FD1EF4">
        <w:t xml:space="preserve">the </w:t>
      </w:r>
      <w:r w:rsidRPr="00F83F45">
        <w:t xml:space="preserve">provision at issue, Article 111-2 of </w:t>
      </w:r>
      <w:r w:rsidRPr="00F83F45" w:rsidR="00FD1EF4">
        <w:t xml:space="preserve">the </w:t>
      </w:r>
      <w:r w:rsidRPr="00F83F45">
        <w:t xml:space="preserve">Criminal Code, was newly introduced and untested, especially in conditions of war, </w:t>
      </w:r>
      <w:r w:rsidRPr="00F83F45" w:rsidR="00FD1EF4">
        <w:t xml:space="preserve">the </w:t>
      </w:r>
      <w:r w:rsidRPr="00F83F45">
        <w:t xml:space="preserve">Court is unable to reach a conclusion that relying on that provision was without any reasonable basis at </w:t>
      </w:r>
      <w:r w:rsidRPr="00F83F45" w:rsidR="00FD1EF4">
        <w:t xml:space="preserve">the </w:t>
      </w:r>
      <w:r w:rsidRPr="00F83F45">
        <w:t xml:space="preserve">time of </w:t>
      </w:r>
      <w:r w:rsidRPr="00F83F45" w:rsidR="00FD1EF4">
        <w:t xml:space="preserve">the </w:t>
      </w:r>
      <w:r w:rsidRPr="00F83F45">
        <w:t xml:space="preserve">impugned events. </w:t>
      </w:r>
      <w:r w:rsidRPr="00F83F45" w:rsidR="00FD1EF4">
        <w:t xml:space="preserve">The </w:t>
      </w:r>
      <w:r w:rsidRPr="00F83F45">
        <w:t xml:space="preserve">Court is prepared to accept that, given </w:t>
      </w:r>
      <w:r w:rsidRPr="00F83F45" w:rsidR="00FD1EF4">
        <w:t xml:space="preserve">the </w:t>
      </w:r>
      <w:r w:rsidRPr="00F83F45">
        <w:t xml:space="preserve">above and </w:t>
      </w:r>
      <w:r w:rsidRPr="00F83F45" w:rsidR="00FD1EF4">
        <w:t xml:space="preserve">the </w:t>
      </w:r>
      <w:r w:rsidRPr="00F83F45">
        <w:t xml:space="preserve">fact that </w:t>
      </w:r>
      <w:r w:rsidRPr="00F83F45" w:rsidR="00FD1EF4">
        <w:t xml:space="preserve">the </w:t>
      </w:r>
      <w:r w:rsidRPr="00F83F45">
        <w:t xml:space="preserve">investigation was at early stages, </w:t>
      </w:r>
      <w:r w:rsidRPr="00F83F45" w:rsidR="00FD1EF4">
        <w:t xml:space="preserve">the </w:t>
      </w:r>
      <w:r w:rsidRPr="00F83F45">
        <w:t>authorities</w:t>
      </w:r>
      <w:r w:rsidRPr="00F83F45">
        <w:t>’</w:t>
      </w:r>
      <w:r w:rsidRPr="00F83F45">
        <w:t xml:space="preserve"> position that </w:t>
      </w:r>
      <w:r w:rsidRPr="00F83F45" w:rsidR="00FD1EF4">
        <w:t xml:space="preserve">the </w:t>
      </w:r>
      <w:r w:rsidRPr="00F83F45">
        <w:t xml:space="preserve">elements in </w:t>
      </w:r>
      <w:r w:rsidRPr="00F83F45" w:rsidR="00FD1EF4">
        <w:t xml:space="preserve">the </w:t>
      </w:r>
      <w:r w:rsidRPr="00F83F45">
        <w:t xml:space="preserve">file could be seen as supporting an initial reasonable suspicion against </w:t>
      </w:r>
      <w:r w:rsidRPr="00F83F45" w:rsidR="00FD1EF4">
        <w:t xml:space="preserve">the </w:t>
      </w:r>
      <w:r w:rsidRPr="00F83F45">
        <w:t>applicant cannot be considered arbitrary.</w:t>
      </w:r>
    </w:p>
    <w:p w:rsidRPr="00F83F45" w:rsidR="00F067E7" w:rsidP="00F83F45" w14:paraId="45EC15CA" w14:textId="362626A6">
      <w:pPr>
        <w:pStyle w:val="JuPara"/>
      </w:pPr>
      <w:r>
        <w:fldChar w:fldCharType="begin"/>
      </w:r>
      <w:r>
        <w:instrText xml:space="preserve"> SEQ level0 \*arabic \* MERGEFORMAT </w:instrText>
      </w:r>
      <w:r>
        <w:fldChar w:fldCharType="separate"/>
      </w:r>
      <w:r w:rsidRPr="00F83F45">
        <w:rPr>
          <w:noProof/>
        </w:rPr>
        <w:t>93</w:t>
      </w:r>
      <w:r w:rsidRPr="00F83F45">
        <w:rPr>
          <w:noProof/>
        </w:rPr>
        <w:fldChar w:fldCharType="end"/>
      </w:r>
      <w:r w:rsidRPr="00F83F45">
        <w:t>.  </w:t>
      </w:r>
      <w:r w:rsidRPr="00F83F45" w:rsidR="00FD1EF4">
        <w:t xml:space="preserve">The </w:t>
      </w:r>
      <w:r w:rsidRPr="00F83F45">
        <w:t xml:space="preserve">Court further considers that </w:t>
      </w:r>
      <w:r w:rsidRPr="00F83F45" w:rsidR="00FD1EF4">
        <w:t xml:space="preserve">the </w:t>
      </w:r>
      <w:r w:rsidRPr="00F83F45">
        <w:t xml:space="preserve">question of whether </w:t>
      </w:r>
      <w:r w:rsidRPr="00F83F45" w:rsidR="00FD1EF4">
        <w:t xml:space="preserve">the </w:t>
      </w:r>
      <w:r w:rsidRPr="00F83F45">
        <w:t>second applicant</w:t>
      </w:r>
      <w:r w:rsidRPr="00F83F45">
        <w:t>’</w:t>
      </w:r>
      <w:r w:rsidRPr="00F83F45">
        <w:t xml:space="preserve">s detention was justified as a whole, beyond </w:t>
      </w:r>
      <w:r w:rsidRPr="00F83F45" w:rsidR="00FD1EF4">
        <w:t xml:space="preserve">the </w:t>
      </w:r>
      <w:r w:rsidRPr="00F83F45">
        <w:t xml:space="preserve">question of existence of a reasonable suspicion, is more appropriately examined under Article 5 § 3 of </w:t>
      </w:r>
      <w:r w:rsidRPr="00F83F45" w:rsidR="00FD1EF4">
        <w:t xml:space="preserve">the </w:t>
      </w:r>
      <w:r w:rsidRPr="00F83F45">
        <w:t>Convention, in light of its requirement that relevant and sufficient reasons must be given for deprivation of liberty under that provision (</w:t>
      </w:r>
      <w:r w:rsidRPr="00F83F45" w:rsidR="00FD1EF4">
        <w:t xml:space="preserve">see </w:t>
      </w:r>
      <w:r w:rsidRPr="00F83F45">
        <w:rPr>
          <w:i/>
          <w:iCs/>
        </w:rPr>
        <w:t>Buzadji</w:t>
      </w:r>
      <w:r w:rsidRPr="00F83F45">
        <w:t xml:space="preserve">, cited above, § 61, </w:t>
      </w:r>
      <w:r w:rsidRPr="00F83F45">
        <w:rPr>
          <w:i/>
          <w:iCs/>
        </w:rPr>
        <w:t>Zohlandt</w:t>
      </w:r>
      <w:r w:rsidRPr="00F83F45">
        <w:rPr>
          <w:i/>
          <w:iCs/>
        </w:rPr>
        <w:t xml:space="preserve"> v. </w:t>
      </w:r>
      <w:r w:rsidRPr="00F83F45" w:rsidR="00FD1EF4">
        <w:rPr>
          <w:i/>
          <w:iCs/>
        </w:rPr>
        <w:t xml:space="preserve">the </w:t>
      </w:r>
      <w:r w:rsidRPr="00F83F45">
        <w:rPr>
          <w:i/>
          <w:iCs/>
        </w:rPr>
        <w:t>Netherlands</w:t>
      </w:r>
      <w:r w:rsidRPr="00F83F45">
        <w:t>, no.</w:t>
      </w:r>
      <w:r w:rsidRPr="00F83F45" w:rsidR="009E0A9B">
        <w:t> </w:t>
      </w:r>
      <w:r w:rsidRPr="00F83F45">
        <w:t xml:space="preserve">69491/16, § 26, 9 February 2021, </w:t>
      </w:r>
      <w:bookmarkStart w:name="_cl40841Kolesnykgroup" w:id="40"/>
      <w:r w:rsidRPr="00F83F45">
        <w:rPr>
          <w:i/>
          <w:iCs/>
        </w:rPr>
        <w:t>Tercan v. Turkey</w:t>
      </w:r>
      <w:bookmarkEnd w:id="40"/>
      <w:r w:rsidRPr="00F83F45">
        <w:t>, no. 6158/18, §§ 167 and 172, 29 June 2021). It will revert to that question below.</w:t>
      </w:r>
    </w:p>
    <w:p w:rsidRPr="00F83F45" w:rsidR="00F067E7" w:rsidP="00F83F45" w14:paraId="0D0CB2F7" w14:textId="3D2F0372">
      <w:pPr>
        <w:pStyle w:val="JuPara"/>
      </w:pPr>
      <w:r>
        <w:fldChar w:fldCharType="begin"/>
      </w:r>
      <w:r>
        <w:instrText xml:space="preserve"> SEQ level0 \*arabic \* MERGEFORMAT </w:instrText>
      </w:r>
      <w:r>
        <w:fldChar w:fldCharType="separate"/>
      </w:r>
      <w:r w:rsidRPr="00F83F45">
        <w:rPr>
          <w:noProof/>
        </w:rPr>
        <w:t>94</w:t>
      </w:r>
      <w:r w:rsidRPr="00F83F45">
        <w:rPr>
          <w:noProof/>
        </w:rPr>
        <w:fldChar w:fldCharType="end"/>
      </w:r>
      <w:r w:rsidRPr="00F83F45">
        <w:t xml:space="preserve">.  Regarding </w:t>
      </w:r>
      <w:r w:rsidRPr="00F83F45" w:rsidR="00FD1EF4">
        <w:t xml:space="preserve">the </w:t>
      </w:r>
      <w:r w:rsidRPr="00F83F45">
        <w:t xml:space="preserve">complaint under Article 5 § 1, </w:t>
      </w:r>
      <w:r w:rsidRPr="00F83F45" w:rsidR="00FD1EF4">
        <w:t xml:space="preserve">the </w:t>
      </w:r>
      <w:r w:rsidRPr="00F83F45">
        <w:t xml:space="preserve">Court finds that there has been no violation of that provision in respect of </w:t>
      </w:r>
      <w:r w:rsidRPr="00F83F45" w:rsidR="00FD1EF4">
        <w:t xml:space="preserve">the </w:t>
      </w:r>
      <w:r w:rsidRPr="00F83F45">
        <w:t>second applicant.</w:t>
      </w:r>
    </w:p>
    <w:p w:rsidRPr="00F83F45" w:rsidR="00F067E7" w:rsidP="00F83F45" w14:paraId="3B3A5345" w14:textId="00A86C31">
      <w:pPr>
        <w:pStyle w:val="JuH1"/>
      </w:pPr>
      <w:r w:rsidRPr="00F83F45">
        <w:t xml:space="preserve">Article 5 § 3 of </w:t>
      </w:r>
      <w:r w:rsidRPr="00F83F45" w:rsidR="00FD1EF4">
        <w:t xml:space="preserve">the </w:t>
      </w:r>
      <w:r w:rsidRPr="00F83F45">
        <w:t>Convention</w:t>
      </w:r>
    </w:p>
    <w:p w:rsidRPr="00F83F45" w:rsidR="00F067E7" w:rsidP="00F83F45" w14:paraId="479957FB" w14:textId="1A5BF9FE">
      <w:pPr>
        <w:pStyle w:val="JuHa0"/>
      </w:pPr>
      <w:r w:rsidRPr="00F83F45">
        <w:t xml:space="preserve">The </w:t>
      </w:r>
      <w:r w:rsidRPr="00F83F45">
        <w:t>parties</w:t>
      </w:r>
      <w:r w:rsidRPr="00F83F45" w:rsidR="00F83F45">
        <w:t>’</w:t>
      </w:r>
      <w:r w:rsidRPr="00F83F45">
        <w:t xml:space="preserve"> submissions</w:t>
      </w:r>
    </w:p>
    <w:p w:rsidRPr="00F83F45" w:rsidR="00F067E7" w:rsidP="00F83F45" w14:paraId="60D110D2" w14:textId="4CDFB4A3">
      <w:pPr>
        <w:pStyle w:val="JuPara"/>
      </w:pPr>
      <w:r>
        <w:fldChar w:fldCharType="begin"/>
      </w:r>
      <w:r>
        <w:instrText xml:space="preserve"> SEQ level0 \*arabic \* MERGEFORMAT </w:instrText>
      </w:r>
      <w:r>
        <w:fldChar w:fldCharType="separate"/>
      </w:r>
      <w:r w:rsidRPr="00F83F45">
        <w:rPr>
          <w:noProof/>
        </w:rPr>
        <w:t>95</w:t>
      </w:r>
      <w:r w:rsidRPr="00F83F45">
        <w:rPr>
          <w:noProof/>
        </w:rPr>
        <w:fldChar w:fldCharType="end"/>
      </w:r>
      <w:r w:rsidRPr="00F83F45">
        <w:t>.  </w:t>
      </w:r>
      <w:r w:rsidRPr="00F83F45" w:rsidR="00FD1EF4">
        <w:t xml:space="preserve">The </w:t>
      </w:r>
      <w:r w:rsidRPr="00F83F45">
        <w:t xml:space="preserve">applicant submitted that </w:t>
      </w:r>
      <w:r w:rsidRPr="00F83F45" w:rsidR="00FD1EF4">
        <w:t xml:space="preserve">the </w:t>
      </w:r>
      <w:r w:rsidRPr="00F83F45">
        <w:t xml:space="preserve">courts made generic and formulaic findings that there were risks of absconding but this had not been based on a </w:t>
      </w:r>
      <w:r w:rsidRPr="00F83F45">
        <w:t xml:space="preserve">genuine individualised assessment of </w:t>
      </w:r>
      <w:r w:rsidRPr="00F83F45" w:rsidR="00FD1EF4">
        <w:t xml:space="preserve">the </w:t>
      </w:r>
      <w:r w:rsidRPr="00F83F45">
        <w:t xml:space="preserve">facts of </w:t>
      </w:r>
      <w:r w:rsidRPr="00F83F45" w:rsidR="00FD1EF4">
        <w:t xml:space="preserve">the </w:t>
      </w:r>
      <w:r w:rsidRPr="00F83F45">
        <w:t xml:space="preserve">case. </w:t>
      </w:r>
      <w:r w:rsidRPr="00F83F45" w:rsidR="00FD1EF4">
        <w:t xml:space="preserve">The </w:t>
      </w:r>
      <w:r w:rsidRPr="00F83F45">
        <w:t xml:space="preserve">applicant had learned of </w:t>
      </w:r>
      <w:r w:rsidRPr="00F83F45" w:rsidR="00FD1EF4">
        <w:t xml:space="preserve">the </w:t>
      </w:r>
      <w:r w:rsidRPr="00F83F45">
        <w:t>criminal proceedings after a search was conducted, more than two and a half months before formal suspicion had been notified on 14</w:t>
      </w:r>
      <w:r w:rsidRPr="00F83F45" w:rsidR="009E0A9B">
        <w:t> </w:t>
      </w:r>
      <w:r w:rsidRPr="00F83F45">
        <w:t xml:space="preserve">September 2023. Afterwards she was questioned and did not abscond but participated in </w:t>
      </w:r>
      <w:r w:rsidRPr="00F83F45" w:rsidR="00FD1EF4">
        <w:t xml:space="preserve">the </w:t>
      </w:r>
      <w:r w:rsidRPr="00F83F45">
        <w:t xml:space="preserve">investigation. As to </w:t>
      </w:r>
      <w:r w:rsidRPr="00F83F45" w:rsidR="00FD1EF4">
        <w:t xml:space="preserve">the </w:t>
      </w:r>
      <w:r w:rsidRPr="00F83F45">
        <w:t xml:space="preserve">risk of destruction of evidence </w:t>
      </w:r>
      <w:r w:rsidRPr="00F83F45" w:rsidR="00FD1EF4">
        <w:t xml:space="preserve">the </w:t>
      </w:r>
      <w:r w:rsidRPr="00F83F45">
        <w:t xml:space="preserve">applicant had, in fact, voluntarily provided access to her phone and laptop and her password. There was no risk of pressure on witnesses: </w:t>
      </w:r>
      <w:r w:rsidRPr="00F83F45" w:rsidR="00FD1EF4">
        <w:t xml:space="preserve">the </w:t>
      </w:r>
      <w:r w:rsidRPr="00F83F45">
        <w:t xml:space="preserve">applicant was not an employee of </w:t>
      </w:r>
      <w:r w:rsidRPr="00F83F45" w:rsidR="00FD1EF4">
        <w:t xml:space="preserve">the </w:t>
      </w:r>
      <w:r w:rsidRPr="00F83F45">
        <w:t xml:space="preserve">company and could not influence its officers, notices of suspicion had been served on two other suspects a month and a half before </w:t>
      </w:r>
      <w:r w:rsidRPr="00F83F45" w:rsidR="00FD1EF4">
        <w:t xml:space="preserve">the </w:t>
      </w:r>
      <w:r w:rsidRPr="00F83F45">
        <w:t>applicant and she had not pressured them in any way.</w:t>
      </w:r>
    </w:p>
    <w:p w:rsidRPr="00F83F45" w:rsidR="00F067E7" w:rsidP="00F83F45" w14:paraId="4F7F43EC" w14:textId="69E7BDC2">
      <w:pPr>
        <w:pStyle w:val="JuPara"/>
      </w:pPr>
      <w:r>
        <w:fldChar w:fldCharType="begin"/>
      </w:r>
      <w:r>
        <w:instrText xml:space="preserve"> SEQ level0 \*arabic \* MERGEFORMAT </w:instrText>
      </w:r>
      <w:r>
        <w:fldChar w:fldCharType="separate"/>
      </w:r>
      <w:r w:rsidRPr="00F83F45">
        <w:rPr>
          <w:noProof/>
        </w:rPr>
        <w:t>96</w:t>
      </w:r>
      <w:r w:rsidRPr="00F83F45">
        <w:rPr>
          <w:noProof/>
        </w:rPr>
        <w:fldChar w:fldCharType="end"/>
      </w:r>
      <w:r w:rsidRPr="00F83F45">
        <w:t>.  </w:t>
      </w:r>
      <w:r w:rsidRPr="00F83F45" w:rsidR="00FD1EF4">
        <w:t xml:space="preserve">The </w:t>
      </w:r>
      <w:r w:rsidRPr="00F83F45">
        <w:t xml:space="preserve">Government submitted that </w:t>
      </w:r>
      <w:r w:rsidRPr="00F83F45" w:rsidR="00FD1EF4">
        <w:t xml:space="preserve">the </w:t>
      </w:r>
      <w:r w:rsidRPr="00F83F45">
        <w:t xml:space="preserve">courts provided sufficient arguments for </w:t>
      </w:r>
      <w:r w:rsidRPr="00F83F45" w:rsidR="00FD1EF4">
        <w:t xml:space="preserve">the </w:t>
      </w:r>
      <w:r w:rsidRPr="00F83F45">
        <w:t>applicant</w:t>
      </w:r>
      <w:r w:rsidRPr="00F83F45">
        <w:t>’</w:t>
      </w:r>
      <w:r w:rsidRPr="00F83F45">
        <w:t xml:space="preserve">s detention. </w:t>
      </w:r>
      <w:r w:rsidRPr="00F83F45" w:rsidR="00FD1EF4">
        <w:t xml:space="preserve">The </w:t>
      </w:r>
      <w:r w:rsidRPr="00F83F45">
        <w:t xml:space="preserve">risks were duly substantiated with reference to </w:t>
      </w:r>
      <w:r w:rsidRPr="00F83F45" w:rsidR="00FD1EF4">
        <w:t xml:space="preserve">the </w:t>
      </w:r>
      <w:r w:rsidRPr="00F83F45">
        <w:t xml:space="preserve">facts and circumstances of </w:t>
      </w:r>
      <w:r w:rsidRPr="00F83F45" w:rsidR="00FD1EF4">
        <w:t xml:space="preserve">the </w:t>
      </w:r>
      <w:r w:rsidRPr="00F83F45">
        <w:t>criminal proceedings</w:t>
      </w:r>
      <w:r w:rsidRPr="00F83F45">
        <w:rPr>
          <w:i/>
          <w:iCs/>
        </w:rPr>
        <w:t>.</w:t>
      </w:r>
      <w:r w:rsidRPr="00F83F45">
        <w:t xml:space="preserve"> </w:t>
      </w:r>
      <w:r w:rsidRPr="00F83F45" w:rsidR="00FD1EF4">
        <w:t xml:space="preserve">The </w:t>
      </w:r>
      <w:r w:rsidRPr="00F83F45">
        <w:t xml:space="preserve">court carefully weighed </w:t>
      </w:r>
      <w:r w:rsidRPr="00F83F45" w:rsidR="00FD1EF4">
        <w:t xml:space="preserve">the </w:t>
      </w:r>
      <w:r w:rsidRPr="00F83F45">
        <w:t xml:space="preserve">severity of </w:t>
      </w:r>
      <w:r w:rsidRPr="00F83F45" w:rsidR="00FD1EF4">
        <w:t xml:space="preserve">the </w:t>
      </w:r>
      <w:r w:rsidRPr="00F83F45">
        <w:t xml:space="preserve">alleged offence against </w:t>
      </w:r>
      <w:r w:rsidRPr="00F83F45" w:rsidR="00FD1EF4">
        <w:t xml:space="preserve">the </w:t>
      </w:r>
      <w:r w:rsidRPr="00F83F45">
        <w:t>necessity of continued detention.</w:t>
      </w:r>
    </w:p>
    <w:p w:rsidRPr="00F83F45" w:rsidR="00F067E7" w:rsidP="00F83F45" w14:paraId="605D8355" w14:textId="7716A536">
      <w:pPr>
        <w:pStyle w:val="JuHa0"/>
      </w:pPr>
      <w:r w:rsidRPr="00F83F45">
        <w:t xml:space="preserve">The </w:t>
      </w:r>
      <w:r w:rsidRPr="00F83F45">
        <w:t>Court</w:t>
      </w:r>
      <w:r w:rsidRPr="00F83F45" w:rsidR="00F83F45">
        <w:t>’</w:t>
      </w:r>
      <w:r w:rsidRPr="00F83F45">
        <w:t>s assessment</w:t>
      </w:r>
    </w:p>
    <w:p w:rsidRPr="00F83F45" w:rsidR="00F067E7" w:rsidP="00F83F45" w14:paraId="7E844278" w14:textId="634BDAE7">
      <w:pPr>
        <w:pStyle w:val="JuPara"/>
      </w:pPr>
      <w:r>
        <w:fldChar w:fldCharType="begin"/>
      </w:r>
      <w:r>
        <w:instrText xml:space="preserve"> SEQ level0 \*arabic \* MERGEFORMAT </w:instrText>
      </w:r>
      <w:r>
        <w:fldChar w:fldCharType="separate"/>
      </w:r>
      <w:r w:rsidRPr="00F83F45">
        <w:rPr>
          <w:noProof/>
        </w:rPr>
        <w:t>97</w:t>
      </w:r>
      <w:r w:rsidRPr="00F83F45">
        <w:rPr>
          <w:noProof/>
        </w:rPr>
        <w:fldChar w:fldCharType="end"/>
      </w:r>
      <w:r w:rsidRPr="00F83F45">
        <w:t>.  </w:t>
      </w:r>
      <w:r w:rsidRPr="00F83F45" w:rsidR="00FD1EF4">
        <w:t xml:space="preserve">The </w:t>
      </w:r>
      <w:r w:rsidRPr="00F83F45">
        <w:t xml:space="preserve">principles and considerations set out in paragraphs </w:t>
      </w:r>
      <w:r w:rsidRPr="00F83F45">
        <w:fldChar w:fldCharType="begin"/>
      </w:r>
      <w:r w:rsidRPr="00F83F45">
        <w:instrText xml:space="preserve"> REF paragraph00061 \h  \* CharFormat </w:instrText>
      </w:r>
      <w:r w:rsidRPr="00F83F45">
        <w:fldChar w:fldCharType="separate"/>
      </w:r>
      <w:r w:rsidRPr="00F83F45">
        <w:t>61</w:t>
      </w:r>
      <w:r w:rsidRPr="00F83F45">
        <w:fldChar w:fldCharType="end"/>
      </w:r>
      <w:r w:rsidRPr="00F83F45">
        <w:t>-</w:t>
      </w:r>
      <w:r w:rsidRPr="00F83F45">
        <w:fldChar w:fldCharType="begin"/>
      </w:r>
      <w:r w:rsidRPr="00F83F45">
        <w:instrText xml:space="preserve"> REF paragraph00064 \h  \* CharFormat </w:instrText>
      </w:r>
      <w:r w:rsidRPr="00F83F45">
        <w:fldChar w:fldCharType="separate"/>
      </w:r>
      <w:r w:rsidRPr="00F83F45">
        <w:t>64</w:t>
      </w:r>
      <w:r w:rsidRPr="00F83F45">
        <w:fldChar w:fldCharType="end"/>
      </w:r>
      <w:r w:rsidRPr="00F83F45">
        <w:t xml:space="preserve"> above are equally pertinent for </w:t>
      </w:r>
      <w:r w:rsidRPr="00F83F45" w:rsidR="00FD1EF4">
        <w:t xml:space="preserve">the </w:t>
      </w:r>
      <w:r w:rsidRPr="00F83F45">
        <w:t>second applicant</w:t>
      </w:r>
      <w:r w:rsidRPr="00F83F45">
        <w:t>’</w:t>
      </w:r>
      <w:r w:rsidRPr="00F83F45">
        <w:t>s case.</w:t>
      </w:r>
    </w:p>
    <w:p w:rsidRPr="00F83F45" w:rsidR="00F067E7" w:rsidP="00F83F45" w14:paraId="32F6F9B2" w14:textId="7C01A176">
      <w:pPr>
        <w:pStyle w:val="JuPara"/>
      </w:pPr>
      <w:r>
        <w:fldChar w:fldCharType="begin"/>
      </w:r>
      <w:r>
        <w:instrText xml:space="preserve"> SEQ level0 \*arabic \* MERGEFORMAT </w:instrText>
      </w:r>
      <w:r>
        <w:fldChar w:fldCharType="separate"/>
      </w:r>
      <w:r w:rsidRPr="00F83F45">
        <w:rPr>
          <w:noProof/>
        </w:rPr>
        <w:t>98</w:t>
      </w:r>
      <w:r w:rsidRPr="00F83F45">
        <w:rPr>
          <w:noProof/>
        </w:rPr>
        <w:fldChar w:fldCharType="end"/>
      </w:r>
      <w:r w:rsidRPr="00F83F45">
        <w:t>.  </w:t>
      </w:r>
      <w:r w:rsidRPr="00F83F45" w:rsidR="00FD1EF4">
        <w:t xml:space="preserve">The </w:t>
      </w:r>
      <w:r w:rsidRPr="00F83F45">
        <w:t>period under consideration lasted from 20 September 2023 till 25</w:t>
      </w:r>
      <w:r w:rsidRPr="00F83F45" w:rsidR="009E0A9B">
        <w:t> </w:t>
      </w:r>
      <w:r w:rsidRPr="00F83F45">
        <w:t>June 2024</w:t>
      </w:r>
      <w:r w:rsidRPr="00F83F45">
        <w:rPr>
          <w:lang w:val="uk-UA"/>
        </w:rPr>
        <w:t>.</w:t>
      </w:r>
    </w:p>
    <w:p w:rsidRPr="00F83F45" w:rsidR="00F067E7" w:rsidP="00F83F45" w14:paraId="47D5DE22" w14:textId="243BE185">
      <w:pPr>
        <w:pStyle w:val="JuPara"/>
      </w:pPr>
      <w:r>
        <w:fldChar w:fldCharType="begin"/>
      </w:r>
      <w:r>
        <w:instrText xml:space="preserve"> SEQ level0 \*arabic \* MERGEFORMAT </w:instrText>
      </w:r>
      <w:r>
        <w:fldChar w:fldCharType="separate"/>
      </w:r>
      <w:r w:rsidRPr="00F83F45">
        <w:rPr>
          <w:noProof/>
        </w:rPr>
        <w:t>99</w:t>
      </w:r>
      <w:r w:rsidRPr="00F83F45">
        <w:rPr>
          <w:noProof/>
        </w:rPr>
        <w:fldChar w:fldCharType="end"/>
      </w:r>
      <w:r w:rsidRPr="00F83F45">
        <w:t>.  </w:t>
      </w:r>
      <w:r w:rsidRPr="00F83F45" w:rsidR="00FD1EF4">
        <w:t xml:space="preserve">The </w:t>
      </w:r>
      <w:r w:rsidRPr="00F83F45">
        <w:t xml:space="preserve">domestic courts, in ordering </w:t>
      </w:r>
      <w:r w:rsidRPr="00F83F45" w:rsidR="00FD1EF4">
        <w:t xml:space="preserve">the </w:t>
      </w:r>
      <w:r w:rsidRPr="00F83F45">
        <w:t>second applicant</w:t>
      </w:r>
      <w:r w:rsidRPr="00F83F45">
        <w:t>’</w:t>
      </w:r>
      <w:r w:rsidRPr="00F83F45">
        <w:t xml:space="preserve">s pre-trial detention, relied on </w:t>
      </w:r>
      <w:r w:rsidRPr="00F83F45" w:rsidR="00FD1EF4">
        <w:t xml:space="preserve">the </w:t>
      </w:r>
      <w:r w:rsidRPr="00F83F45">
        <w:t xml:space="preserve">gravity of </w:t>
      </w:r>
      <w:r w:rsidRPr="00F83F45" w:rsidR="00FD1EF4">
        <w:t xml:space="preserve">the </w:t>
      </w:r>
      <w:r w:rsidRPr="00F83F45">
        <w:t xml:space="preserve">charges against her and </w:t>
      </w:r>
      <w:r w:rsidRPr="00F83F45" w:rsidR="00FD1EF4">
        <w:t xml:space="preserve">the </w:t>
      </w:r>
      <w:r w:rsidRPr="00F83F45">
        <w:t xml:space="preserve">risk that she would abscond, </w:t>
      </w:r>
      <w:r w:rsidRPr="00F83F45" w:rsidR="00FD1EF4">
        <w:t xml:space="preserve">the </w:t>
      </w:r>
      <w:r w:rsidRPr="00F83F45">
        <w:t xml:space="preserve">risk of influencing witnesses and of destruction of </w:t>
      </w:r>
      <w:r w:rsidRPr="00F83F45" w:rsidR="00FD1EF4">
        <w:t xml:space="preserve">the </w:t>
      </w:r>
      <w:r w:rsidRPr="00F83F45">
        <w:t>evidence.</w:t>
      </w:r>
    </w:p>
    <w:p w:rsidRPr="00F83F45" w:rsidR="00F067E7" w:rsidP="00F83F45" w14:paraId="72B7883A" w14:textId="58CC7839">
      <w:pPr>
        <w:pStyle w:val="JuPara"/>
      </w:pPr>
      <w:r>
        <w:fldChar w:fldCharType="begin"/>
      </w:r>
      <w:r>
        <w:instrText xml:space="preserve"> SEQ level0 \*arabic \* MERGEFORMAT </w:instrText>
      </w:r>
      <w:r>
        <w:fldChar w:fldCharType="separate"/>
      </w:r>
      <w:r w:rsidRPr="00F83F45">
        <w:rPr>
          <w:noProof/>
        </w:rPr>
        <w:t>100</w:t>
      </w:r>
      <w:r w:rsidRPr="00F83F45">
        <w:rPr>
          <w:noProof/>
        </w:rPr>
        <w:fldChar w:fldCharType="end"/>
      </w:r>
      <w:r w:rsidRPr="00F83F45">
        <w:t xml:space="preserve">.  In particular, </w:t>
      </w:r>
      <w:r w:rsidRPr="00F83F45" w:rsidR="00FD1EF4">
        <w:t xml:space="preserve">the </w:t>
      </w:r>
      <w:r w:rsidRPr="00F83F45">
        <w:t xml:space="preserve">domestic courts referred to </w:t>
      </w:r>
      <w:r w:rsidRPr="00F83F45" w:rsidR="00FD1EF4">
        <w:t xml:space="preserve">the </w:t>
      </w:r>
      <w:r w:rsidRPr="00F83F45">
        <w:t xml:space="preserve">gravity of </w:t>
      </w:r>
      <w:r w:rsidRPr="00F83F45" w:rsidR="00FD1EF4">
        <w:t xml:space="preserve">the </w:t>
      </w:r>
      <w:r w:rsidRPr="00F83F45">
        <w:t xml:space="preserve">charges and </w:t>
      </w:r>
      <w:r w:rsidRPr="00F83F45" w:rsidR="00FD1EF4">
        <w:t xml:space="preserve">the </w:t>
      </w:r>
      <w:r w:rsidRPr="00F83F45">
        <w:t xml:space="preserve">punishment faced as </w:t>
      </w:r>
      <w:r w:rsidRPr="00F83F45" w:rsidR="00FD1EF4">
        <w:t xml:space="preserve">the </w:t>
      </w:r>
      <w:r w:rsidRPr="00F83F45">
        <w:t xml:space="preserve">determinative consideration in their assessment that those risks, in particular </w:t>
      </w:r>
      <w:r w:rsidRPr="00F83F45" w:rsidR="00FD1EF4">
        <w:t xml:space="preserve">the </w:t>
      </w:r>
      <w:r w:rsidRPr="00F83F45">
        <w:t>risk of absconding, existed (</w:t>
      </w:r>
      <w:r w:rsidRPr="00F83F45" w:rsidR="00FD1EF4">
        <w:t xml:space="preserve">see </w:t>
      </w:r>
      <w:r w:rsidRPr="00F83F45">
        <w:t xml:space="preserve">paragraph </w:t>
      </w:r>
      <w:r w:rsidRPr="00F83F45">
        <w:fldChar w:fldCharType="begin"/>
      </w:r>
      <w:r w:rsidRPr="00F83F45">
        <w:instrText xml:space="preserve"> REF facts_Ta_district_ct \h </w:instrText>
      </w:r>
      <w:r w:rsidRPr="00F83F45">
        <w:fldChar w:fldCharType="separate"/>
      </w:r>
      <w:r w:rsidRPr="00F83F45">
        <w:rPr>
          <w:noProof/>
        </w:rPr>
        <w:t>34</w:t>
      </w:r>
      <w:r w:rsidRPr="00F83F45">
        <w:fldChar w:fldCharType="end"/>
      </w:r>
      <w:r w:rsidRPr="00F83F45">
        <w:t xml:space="preserve"> above). </w:t>
      </w:r>
      <w:r w:rsidRPr="00F83F45" w:rsidR="00FD1EF4">
        <w:t xml:space="preserve">The </w:t>
      </w:r>
      <w:r w:rsidRPr="00F83F45">
        <w:t xml:space="preserve">Court reiterates, however, that </w:t>
      </w:r>
      <w:r w:rsidRPr="00F83F45" w:rsidR="00FD1EF4">
        <w:t xml:space="preserve">the </w:t>
      </w:r>
      <w:r w:rsidRPr="00F83F45">
        <w:t>danger of an accused</w:t>
      </w:r>
      <w:r w:rsidRPr="00F83F45">
        <w:t>’</w:t>
      </w:r>
      <w:r w:rsidRPr="00F83F45">
        <w:t xml:space="preserve">s absconding cannot be gauged solely on </w:t>
      </w:r>
      <w:r w:rsidRPr="00F83F45" w:rsidR="00FD1EF4">
        <w:t xml:space="preserve">the </w:t>
      </w:r>
      <w:r w:rsidRPr="00F83F45">
        <w:t xml:space="preserve">basis of </w:t>
      </w:r>
      <w:r w:rsidRPr="00F83F45" w:rsidR="00FD1EF4">
        <w:t xml:space="preserve">the </w:t>
      </w:r>
      <w:r w:rsidRPr="00F83F45">
        <w:t xml:space="preserve">severity of </w:t>
      </w:r>
      <w:r w:rsidRPr="00F83F45" w:rsidR="00FD1EF4">
        <w:t xml:space="preserve">the </w:t>
      </w:r>
      <w:r w:rsidRPr="00F83F45">
        <w:t xml:space="preserve">sentence risked, it must be assessed with reference to a number of other relevant factors which may either confirm </w:t>
      </w:r>
      <w:r w:rsidRPr="00F83F45" w:rsidR="00FD1EF4">
        <w:t xml:space="preserve">the </w:t>
      </w:r>
      <w:r w:rsidRPr="00F83F45">
        <w:t>existence of a danger of absconding or make it appear so slight that it cannot justify detention pending trial (</w:t>
      </w:r>
      <w:r w:rsidRPr="00F83F45" w:rsidR="00FD1EF4">
        <w:t xml:space="preserve">see </w:t>
      </w:r>
      <w:r w:rsidRPr="00F83F45">
        <w:rPr>
          <w:i/>
          <w:iCs/>
        </w:rPr>
        <w:t>Ignatov</w:t>
      </w:r>
      <w:r w:rsidRPr="00F83F45">
        <w:t>, cited above, § 41).</w:t>
      </w:r>
    </w:p>
    <w:p w:rsidRPr="00F83F45" w:rsidR="00F067E7" w:rsidP="00F83F45" w14:paraId="05F21D06" w14:textId="5482514A">
      <w:pPr>
        <w:pStyle w:val="JuPara"/>
      </w:pPr>
      <w:r>
        <w:fldChar w:fldCharType="begin"/>
      </w:r>
      <w:r>
        <w:instrText xml:space="preserve"> SEQ level0 \*arabic \* MERGEFORMAT </w:instrText>
      </w:r>
      <w:r>
        <w:fldChar w:fldCharType="separate"/>
      </w:r>
      <w:r w:rsidRPr="00F83F45">
        <w:rPr>
          <w:noProof/>
        </w:rPr>
        <w:t>101</w:t>
      </w:r>
      <w:r w:rsidRPr="00F83F45">
        <w:rPr>
          <w:noProof/>
        </w:rPr>
        <w:fldChar w:fldCharType="end"/>
      </w:r>
      <w:r w:rsidRPr="00F83F45">
        <w:t xml:space="preserve">.  As to </w:t>
      </w:r>
      <w:r w:rsidRPr="00F83F45" w:rsidR="00FD1EF4">
        <w:t xml:space="preserve">the </w:t>
      </w:r>
      <w:r w:rsidRPr="00F83F45">
        <w:t xml:space="preserve">alleged danger of absconding, of influencing witnesses and evidence destruction, </w:t>
      </w:r>
      <w:r w:rsidRPr="00F83F45" w:rsidR="00FD1EF4">
        <w:t xml:space="preserve">the </w:t>
      </w:r>
      <w:r w:rsidRPr="00F83F45">
        <w:t>Court considers that those were framed in a rather general manner and, importantly, significant facts were disregarded. In</w:t>
      </w:r>
      <w:r w:rsidRPr="00F83F45" w:rsidR="00625C44">
        <w:t> </w:t>
      </w:r>
      <w:r w:rsidRPr="00F83F45">
        <w:t xml:space="preserve">particular, </w:t>
      </w:r>
      <w:r w:rsidRPr="00F83F45" w:rsidR="00FD1EF4">
        <w:t xml:space="preserve">the </w:t>
      </w:r>
      <w:r w:rsidRPr="00F83F45">
        <w:t xml:space="preserve">authorities failed to take into account </w:t>
      </w:r>
      <w:r w:rsidRPr="00F83F45" w:rsidR="00FD1EF4">
        <w:t xml:space="preserve">the </w:t>
      </w:r>
      <w:r w:rsidRPr="00F83F45">
        <w:t>applicant</w:t>
      </w:r>
      <w:r w:rsidRPr="00F83F45">
        <w:t>’</w:t>
      </w:r>
      <w:r w:rsidRPr="00F83F45">
        <w:t xml:space="preserve">s undisputed cooperation with </w:t>
      </w:r>
      <w:r w:rsidRPr="00F83F45" w:rsidR="00FD1EF4">
        <w:t xml:space="preserve">the </w:t>
      </w:r>
      <w:r w:rsidRPr="00F83F45">
        <w:t xml:space="preserve">investigation for months prior to her arrest, nor did they point to any indications that she attempted, during </w:t>
      </w:r>
      <w:r w:rsidRPr="00F83F45" w:rsidR="00FD1EF4">
        <w:t xml:space="preserve">the </w:t>
      </w:r>
      <w:r w:rsidRPr="00F83F45">
        <w:t xml:space="preserve">period when she was at liberty, to influence </w:t>
      </w:r>
      <w:r w:rsidRPr="00F83F45" w:rsidR="00FD1EF4">
        <w:t xml:space="preserve">the </w:t>
      </w:r>
      <w:r w:rsidRPr="00F83F45">
        <w:t xml:space="preserve">course of </w:t>
      </w:r>
      <w:r w:rsidRPr="00F83F45" w:rsidR="00FD1EF4">
        <w:t xml:space="preserve">the </w:t>
      </w:r>
      <w:r w:rsidRPr="00F83F45">
        <w:t>investigation in any manner.</w:t>
      </w:r>
    </w:p>
    <w:p w:rsidRPr="00F83F45" w:rsidR="00F067E7" w:rsidP="00F83F45" w14:paraId="34501DB6" w14:textId="7F7115B0">
      <w:pPr>
        <w:pStyle w:val="JuPara"/>
      </w:pPr>
      <w:r>
        <w:fldChar w:fldCharType="begin"/>
      </w:r>
      <w:r>
        <w:instrText xml:space="preserve"> SEQ level0 \*arabic \* MERGEFORMAT </w:instrText>
      </w:r>
      <w:r>
        <w:fldChar w:fldCharType="separate"/>
      </w:r>
      <w:r w:rsidRPr="00F83F45">
        <w:rPr>
          <w:noProof/>
        </w:rPr>
        <w:t>102</w:t>
      </w:r>
      <w:r w:rsidRPr="00F83F45">
        <w:rPr>
          <w:noProof/>
        </w:rPr>
        <w:fldChar w:fldCharType="end"/>
      </w:r>
      <w:r w:rsidRPr="00F83F45">
        <w:t xml:space="preserve">.  Indeed, being aware of </w:t>
      </w:r>
      <w:r w:rsidRPr="00F83F45" w:rsidR="00FD1EF4">
        <w:t xml:space="preserve">the </w:t>
      </w:r>
      <w:r w:rsidRPr="00F83F45">
        <w:t xml:space="preserve">investigation since at least June 2022 until her detention on 20 September 2023, </w:t>
      </w:r>
      <w:r w:rsidRPr="00F83F45" w:rsidR="00FD1EF4">
        <w:t xml:space="preserve">the </w:t>
      </w:r>
      <w:r w:rsidRPr="00F83F45">
        <w:t>applicant cooperated with it. There</w:t>
      </w:r>
      <w:r w:rsidRPr="00F83F45" w:rsidR="00FD1EF4">
        <w:t xml:space="preserve"> </w:t>
      </w:r>
      <w:r w:rsidRPr="00F83F45">
        <w:t xml:space="preserve">is no indication that she attempted to abscond or interfere with </w:t>
      </w:r>
      <w:r w:rsidRPr="00F83F45" w:rsidR="00FD1EF4">
        <w:t xml:space="preserve">the </w:t>
      </w:r>
      <w:r w:rsidRPr="00F83F45">
        <w:t>investigation (</w:t>
      </w:r>
      <w:r w:rsidRPr="00F83F45" w:rsidR="00FD1EF4">
        <w:t xml:space="preserve">see </w:t>
      </w:r>
      <w:r w:rsidRPr="00F83F45">
        <w:t xml:space="preserve">paragraph </w:t>
      </w:r>
      <w:r w:rsidRPr="00F83F45">
        <w:fldChar w:fldCharType="begin"/>
      </w:r>
      <w:r w:rsidRPr="00F83F45">
        <w:instrText xml:space="preserve"> REF paragraph00030 \h  \* CharFormat </w:instrText>
      </w:r>
      <w:r w:rsidRPr="00F83F45">
        <w:fldChar w:fldCharType="separate"/>
      </w:r>
      <w:r w:rsidRPr="00F83F45">
        <w:t>30</w:t>
      </w:r>
      <w:r w:rsidRPr="00F83F45">
        <w:fldChar w:fldCharType="end"/>
      </w:r>
      <w:r w:rsidRPr="00F83F45">
        <w:t xml:space="preserve"> above). </w:t>
      </w:r>
      <w:r w:rsidRPr="00F83F45" w:rsidR="00FD1EF4">
        <w:t xml:space="preserve">The </w:t>
      </w:r>
      <w:r w:rsidRPr="00F83F45">
        <w:t xml:space="preserve">domestic court, by referring to </w:t>
      </w:r>
      <w:r w:rsidRPr="00F83F45" w:rsidR="00FD1EF4">
        <w:t xml:space="preserve">the </w:t>
      </w:r>
      <w:r w:rsidRPr="00F83F45">
        <w:t xml:space="preserve">fact that for some part of that period </w:t>
      </w:r>
      <w:r w:rsidRPr="00F83F45" w:rsidR="00FD1EF4">
        <w:t xml:space="preserve">the </w:t>
      </w:r>
      <w:r w:rsidRPr="00F83F45">
        <w:t xml:space="preserve">applicant was not formally a suspect, considered that that record of compliance could be disregarded. However, it did not address </w:t>
      </w:r>
      <w:r w:rsidRPr="00F83F45" w:rsidR="00FD1EF4">
        <w:t xml:space="preserve">the </w:t>
      </w:r>
      <w:r w:rsidRPr="00F83F45">
        <w:t xml:space="preserve">fact that </w:t>
      </w:r>
      <w:r w:rsidRPr="00F83F45" w:rsidR="00FD1EF4">
        <w:t xml:space="preserve">the </w:t>
      </w:r>
      <w:r w:rsidRPr="00F83F45">
        <w:t>applicant</w:t>
      </w:r>
      <w:r w:rsidRPr="00F83F45">
        <w:t>’</w:t>
      </w:r>
      <w:r w:rsidRPr="00F83F45">
        <w:t>s compliance apparently continued even after she had become a suspect but remained at liberty (</w:t>
      </w:r>
      <w:r w:rsidRPr="00F83F45" w:rsidR="00FD1EF4">
        <w:t xml:space="preserve">see </w:t>
      </w:r>
      <w:r w:rsidRPr="00F83F45">
        <w:t xml:space="preserve">paragraphs </w:t>
      </w:r>
      <w:r w:rsidRPr="00F83F45">
        <w:fldChar w:fldCharType="begin"/>
      </w:r>
      <w:r w:rsidRPr="00F83F45">
        <w:instrText xml:space="preserve"> REF facts_Tar_notification_suspicion \h  \* CharFormat </w:instrText>
      </w:r>
      <w:r w:rsidRPr="00F83F45">
        <w:fldChar w:fldCharType="separate"/>
      </w:r>
      <w:r w:rsidRPr="00F83F45">
        <w:t>31</w:t>
      </w:r>
      <w:r w:rsidRPr="00F83F45">
        <w:fldChar w:fldCharType="end"/>
      </w:r>
      <w:r w:rsidRPr="00F83F45">
        <w:t xml:space="preserve"> to </w:t>
      </w:r>
      <w:r w:rsidRPr="00F83F45">
        <w:fldChar w:fldCharType="begin"/>
      </w:r>
      <w:r w:rsidRPr="00F83F45">
        <w:instrText xml:space="preserve"> REF paragraph00034 \h  \* CharFormat </w:instrText>
      </w:r>
      <w:r w:rsidRPr="00F83F45">
        <w:fldChar w:fldCharType="separate"/>
      </w:r>
      <w:r w:rsidRPr="00F83F45">
        <w:t>34</w:t>
      </w:r>
      <w:r w:rsidRPr="00F83F45">
        <w:fldChar w:fldCharType="end"/>
      </w:r>
      <w:r w:rsidRPr="00F83F45">
        <w:t xml:space="preserve"> above and compare, under Article 5 § 1, </w:t>
      </w:r>
      <w:r w:rsidRPr="00F83F45">
        <w:rPr>
          <w:i/>
          <w:iCs/>
        </w:rPr>
        <w:t>Khayredinov</w:t>
      </w:r>
      <w:r w:rsidRPr="00F83F45">
        <w:t>, cited above, § 29).</w:t>
      </w:r>
    </w:p>
    <w:p w:rsidRPr="00F83F45" w:rsidR="00F067E7" w:rsidP="00F83F45" w14:paraId="0090A13E" w14:textId="04FF3574">
      <w:pPr>
        <w:pStyle w:val="JuPara"/>
      </w:pPr>
      <w:r>
        <w:fldChar w:fldCharType="begin"/>
      </w:r>
      <w:r>
        <w:instrText xml:space="preserve"> SEQ level0 \*arabic \* MERGEFORMAT </w:instrText>
      </w:r>
      <w:r>
        <w:fldChar w:fldCharType="separate"/>
      </w:r>
      <w:r w:rsidRPr="00F83F45">
        <w:rPr>
          <w:noProof/>
        </w:rPr>
        <w:t>103</w:t>
      </w:r>
      <w:r w:rsidRPr="00F83F45">
        <w:rPr>
          <w:noProof/>
        </w:rPr>
        <w:fldChar w:fldCharType="end"/>
      </w:r>
      <w:r w:rsidRPr="00F83F45">
        <w:t xml:space="preserve">.  These considerations are sufficient for </w:t>
      </w:r>
      <w:r w:rsidRPr="00F83F45" w:rsidR="00FD1EF4">
        <w:t xml:space="preserve">the </w:t>
      </w:r>
      <w:r w:rsidRPr="00F83F45">
        <w:t xml:space="preserve">Court to conclude that </w:t>
      </w:r>
      <w:r w:rsidRPr="00F83F45" w:rsidR="00FD1EF4">
        <w:t xml:space="preserve">the </w:t>
      </w:r>
      <w:r w:rsidRPr="00F83F45">
        <w:t>second applicant</w:t>
      </w:r>
      <w:r w:rsidRPr="00F83F45">
        <w:t>’</w:t>
      </w:r>
      <w:r w:rsidRPr="00F83F45">
        <w:t xml:space="preserve">s detention was not based on relevant and sufficient reasons throughout </w:t>
      </w:r>
      <w:r w:rsidRPr="00F83F45" w:rsidR="00FD1EF4">
        <w:t xml:space="preserve">the </w:t>
      </w:r>
      <w:r w:rsidRPr="00F83F45">
        <w:t>period under consideration.</w:t>
      </w:r>
    </w:p>
    <w:p w:rsidRPr="00F83F45" w:rsidR="00F067E7" w:rsidP="00F83F45" w14:paraId="47867DFF" w14:textId="7DED31B0">
      <w:pPr>
        <w:pStyle w:val="JuPara"/>
      </w:pPr>
      <w:r>
        <w:fldChar w:fldCharType="begin"/>
      </w:r>
      <w:r>
        <w:instrText xml:space="preserve"> SEQ level0 \*arabic \* MERGEFORMAT </w:instrText>
      </w:r>
      <w:r>
        <w:fldChar w:fldCharType="separate"/>
      </w:r>
      <w:r w:rsidRPr="00F83F45">
        <w:rPr>
          <w:noProof/>
        </w:rPr>
        <w:t>104</w:t>
      </w:r>
      <w:r w:rsidRPr="00F83F45">
        <w:rPr>
          <w:noProof/>
        </w:rPr>
        <w:fldChar w:fldCharType="end"/>
      </w:r>
      <w:r w:rsidRPr="00F83F45">
        <w:t xml:space="preserve">.  In these circumstances, it is not necessary to examine whether there was, in addition, an issue of lack of special diligence in </w:t>
      </w:r>
      <w:r w:rsidRPr="00F83F45" w:rsidR="00FD1EF4">
        <w:t xml:space="preserve">the </w:t>
      </w:r>
      <w:r w:rsidRPr="00F83F45">
        <w:t xml:space="preserve">conduct of </w:t>
      </w:r>
      <w:r w:rsidRPr="00F83F45" w:rsidR="00FD1EF4">
        <w:t xml:space="preserve">the </w:t>
      </w:r>
      <w:r w:rsidRPr="00F83F45">
        <w:t>proceedings.</w:t>
      </w:r>
    </w:p>
    <w:p w:rsidRPr="00F83F45" w:rsidR="00F067E7" w:rsidP="00F83F45" w14:paraId="0D9C7B81" w14:textId="6CE61898">
      <w:pPr>
        <w:pStyle w:val="JuPara"/>
      </w:pPr>
      <w:r>
        <w:fldChar w:fldCharType="begin"/>
      </w:r>
      <w:r>
        <w:instrText xml:space="preserve"> SEQ level0 \*arabic \* MERGEFORMAT </w:instrText>
      </w:r>
      <w:r>
        <w:fldChar w:fldCharType="separate"/>
      </w:r>
      <w:r w:rsidRPr="00F83F45">
        <w:rPr>
          <w:noProof/>
        </w:rPr>
        <w:t>105</w:t>
      </w:r>
      <w:r w:rsidRPr="00F83F45">
        <w:rPr>
          <w:noProof/>
        </w:rPr>
        <w:fldChar w:fldCharType="end"/>
      </w:r>
      <w:r w:rsidRPr="00F83F45">
        <w:t xml:space="preserve">.  There has, accordingly, been a violation of Article 5 § 3 of </w:t>
      </w:r>
      <w:r w:rsidRPr="00F83F45" w:rsidR="00FD1EF4">
        <w:t xml:space="preserve">the </w:t>
      </w:r>
      <w:r w:rsidRPr="00F83F45">
        <w:t xml:space="preserve">Convention in respect of </w:t>
      </w:r>
      <w:r w:rsidRPr="00F83F45" w:rsidR="00FD1EF4">
        <w:t xml:space="preserve">the </w:t>
      </w:r>
      <w:r w:rsidRPr="00F83F45">
        <w:t>second applicant.</w:t>
      </w:r>
    </w:p>
    <w:p w:rsidRPr="00F83F45" w:rsidR="00F067E7" w:rsidP="00F83F45" w14:paraId="473AB6F7" w14:textId="4C1286E6">
      <w:pPr>
        <w:pStyle w:val="JuHIRoman"/>
        <w:tabs>
          <w:tab w:val="left" w:pos="567"/>
          <w:tab w:val="left" w:pos="680"/>
        </w:tabs>
        <w:ind w:left="397" w:hanging="397"/>
      </w:pPr>
      <w:r w:rsidRPr="00F83F45">
        <w:t xml:space="preserve">APPLICATION OF ARTICLE 41 OF </w:t>
      </w:r>
      <w:r w:rsidRPr="00F83F45" w:rsidR="00FD1EF4">
        <w:t xml:space="preserve">THE </w:t>
      </w:r>
      <w:r w:rsidRPr="00F83F45">
        <w:t>CONVENTION</w:t>
      </w:r>
    </w:p>
    <w:p w:rsidRPr="00F83F45" w:rsidR="00F067E7" w:rsidP="00F83F45" w14:paraId="3289F6ED" w14:textId="4C061B0D">
      <w:pPr>
        <w:pStyle w:val="JuPara"/>
      </w:pPr>
      <w:r>
        <w:fldChar w:fldCharType="begin"/>
      </w:r>
      <w:r>
        <w:instrText xml:space="preserve"> SEQ level0 \*arabic \* MERGEFORMAT </w:instrText>
      </w:r>
      <w:r>
        <w:fldChar w:fldCharType="separate"/>
      </w:r>
      <w:r w:rsidRPr="00F83F45">
        <w:rPr>
          <w:noProof/>
        </w:rPr>
        <w:t>106</w:t>
      </w:r>
      <w:r w:rsidRPr="00F83F45">
        <w:rPr>
          <w:noProof/>
        </w:rPr>
        <w:fldChar w:fldCharType="end"/>
      </w:r>
      <w:r w:rsidRPr="00F83F45">
        <w:t xml:space="preserve">.  Article 41 of </w:t>
      </w:r>
      <w:r w:rsidRPr="00F83F45" w:rsidR="00FD1EF4">
        <w:t xml:space="preserve">the </w:t>
      </w:r>
      <w:r w:rsidRPr="00F83F45">
        <w:t>Convention provides:</w:t>
      </w:r>
    </w:p>
    <w:p w:rsidRPr="00F83F45" w:rsidR="00F067E7" w:rsidP="00F83F45" w14:paraId="71D2A9BA" w14:textId="686F8C83">
      <w:pPr>
        <w:pStyle w:val="JuQuot"/>
      </w:pPr>
      <w:r w:rsidRPr="00F83F45">
        <w:t xml:space="preserve">“If </w:t>
      </w:r>
      <w:r w:rsidRPr="00F83F45" w:rsidR="00FD1EF4">
        <w:t xml:space="preserve">the </w:t>
      </w:r>
      <w:r w:rsidRPr="00F83F45">
        <w:t xml:space="preserve">Court finds that there has been a violation of </w:t>
      </w:r>
      <w:r w:rsidRPr="00F83F45" w:rsidR="00FD1EF4">
        <w:t xml:space="preserve">the </w:t>
      </w:r>
      <w:r w:rsidRPr="00F83F45">
        <w:t xml:space="preserve">Convention or </w:t>
      </w:r>
      <w:r w:rsidRPr="00F83F45" w:rsidR="00FD1EF4">
        <w:t xml:space="preserve">the </w:t>
      </w:r>
      <w:r w:rsidRPr="00F83F45">
        <w:t xml:space="preserve">Protocols thereto, and if </w:t>
      </w:r>
      <w:r w:rsidRPr="00F83F45" w:rsidR="00FD1EF4">
        <w:t xml:space="preserve">the </w:t>
      </w:r>
      <w:r w:rsidRPr="00F83F45">
        <w:t xml:space="preserve">internal law of </w:t>
      </w:r>
      <w:r w:rsidRPr="00F83F45" w:rsidR="00FD1EF4">
        <w:t xml:space="preserve">the </w:t>
      </w:r>
      <w:r w:rsidRPr="00F83F45">
        <w:t xml:space="preserve">High Contracting Party concerned allows only partial reparation to be made, </w:t>
      </w:r>
      <w:r w:rsidRPr="00F83F45" w:rsidR="00FD1EF4">
        <w:t xml:space="preserve">the </w:t>
      </w:r>
      <w:r w:rsidRPr="00F83F45">
        <w:t xml:space="preserve">Court shall, if necessary, afford just satisfaction to </w:t>
      </w:r>
      <w:r w:rsidRPr="00F83F45" w:rsidR="00FD1EF4">
        <w:t xml:space="preserve">the </w:t>
      </w:r>
      <w:r w:rsidRPr="00F83F45">
        <w:t>injured party.”</w:t>
      </w:r>
    </w:p>
    <w:p w:rsidRPr="00F83F45" w:rsidR="00F067E7" w:rsidP="00F83F45" w14:paraId="39C63749" w14:textId="4CEB3FDE">
      <w:pPr>
        <w:pStyle w:val="JuPara"/>
      </w:pPr>
      <w:r>
        <w:fldChar w:fldCharType="begin"/>
      </w:r>
      <w:r>
        <w:instrText xml:space="preserve"> SEQ level0 \*arabic \* MERGEFORMAT </w:instrText>
      </w:r>
      <w:r>
        <w:fldChar w:fldCharType="separate"/>
      </w:r>
      <w:r w:rsidRPr="00F83F45">
        <w:rPr>
          <w:noProof/>
        </w:rPr>
        <w:t>107</w:t>
      </w:r>
      <w:r w:rsidRPr="00F83F45">
        <w:rPr>
          <w:noProof/>
        </w:rPr>
        <w:fldChar w:fldCharType="end"/>
      </w:r>
      <w:r w:rsidRPr="00F83F45">
        <w:t>.  </w:t>
      </w:r>
      <w:r w:rsidRPr="00F83F45" w:rsidR="00FD1EF4">
        <w:t xml:space="preserve">The </w:t>
      </w:r>
      <w:r w:rsidRPr="00F83F45">
        <w:t xml:space="preserve">first applicant claimed 2,990 euros (EUR) in respect of pecuniary damage, representing lost earnings for </w:t>
      </w:r>
      <w:r w:rsidRPr="00F83F45" w:rsidR="00FD1EF4">
        <w:t xml:space="preserve">the </w:t>
      </w:r>
      <w:r w:rsidRPr="00F83F45">
        <w:t xml:space="preserve">period of detention, and EUR 20,000 in respect of non-pecuniary damage. </w:t>
      </w:r>
      <w:r w:rsidRPr="00F83F45" w:rsidR="00FD1EF4">
        <w:t xml:space="preserve">The </w:t>
      </w:r>
      <w:r w:rsidRPr="00F83F45">
        <w:t>second applicant claimed EUR 5,000 in respect of non-pecuniary damage.</w:t>
      </w:r>
    </w:p>
    <w:p w:rsidRPr="00F83F45" w:rsidR="00F067E7" w:rsidP="00F83F45" w14:paraId="0443C8F6" w14:textId="4E445679">
      <w:pPr>
        <w:pStyle w:val="JuPara"/>
      </w:pPr>
      <w:r>
        <w:fldChar w:fldCharType="begin"/>
      </w:r>
      <w:r>
        <w:instrText xml:space="preserve"> SEQ level0 \*arabic \* MERGEFORMAT </w:instrText>
      </w:r>
      <w:r>
        <w:fldChar w:fldCharType="separate"/>
      </w:r>
      <w:r w:rsidRPr="00F83F45">
        <w:rPr>
          <w:noProof/>
        </w:rPr>
        <w:t>108</w:t>
      </w:r>
      <w:r w:rsidRPr="00F83F45">
        <w:rPr>
          <w:noProof/>
        </w:rPr>
        <w:fldChar w:fldCharType="end"/>
      </w:r>
      <w:r w:rsidRPr="00F83F45">
        <w:t>.  </w:t>
      </w:r>
      <w:r w:rsidRPr="00F83F45" w:rsidR="00FD1EF4">
        <w:t xml:space="preserve">The </w:t>
      </w:r>
      <w:r w:rsidRPr="00F83F45">
        <w:t xml:space="preserve">Government contested those claims, considering then unjustified – as there were no violations of </w:t>
      </w:r>
      <w:r w:rsidRPr="00F83F45" w:rsidR="00FD1EF4">
        <w:t xml:space="preserve">the </w:t>
      </w:r>
      <w:r w:rsidRPr="00F83F45">
        <w:t>applicants</w:t>
      </w:r>
      <w:r w:rsidRPr="00F83F45">
        <w:t>’</w:t>
      </w:r>
      <w:r w:rsidRPr="00F83F45">
        <w:t xml:space="preserve"> rights – and unsubstantiated.</w:t>
      </w:r>
    </w:p>
    <w:p w:rsidRPr="00F83F45" w:rsidR="00F067E7" w:rsidP="00F83F45" w14:paraId="378125E3" w14:textId="5EE5A8F5">
      <w:pPr>
        <w:pStyle w:val="JuPara"/>
      </w:pPr>
      <w:r>
        <w:fldChar w:fldCharType="begin"/>
      </w:r>
      <w:r>
        <w:instrText xml:space="preserve"> SEQ level0 \*arabic \* MERGEFORMAT </w:instrText>
      </w:r>
      <w:r>
        <w:fldChar w:fldCharType="separate"/>
      </w:r>
      <w:r w:rsidRPr="00F83F45">
        <w:rPr>
          <w:noProof/>
        </w:rPr>
        <w:t>109</w:t>
      </w:r>
      <w:r w:rsidRPr="00F83F45">
        <w:rPr>
          <w:noProof/>
        </w:rPr>
        <w:fldChar w:fldCharType="end"/>
      </w:r>
      <w:r w:rsidRPr="00F83F45">
        <w:t>.  </w:t>
      </w:r>
      <w:r w:rsidRPr="00F83F45" w:rsidR="00FD1EF4">
        <w:t xml:space="preserve">The </w:t>
      </w:r>
      <w:r w:rsidRPr="00F83F45">
        <w:t xml:space="preserve">Court does not discern any causal link between </w:t>
      </w:r>
      <w:r w:rsidRPr="00F83F45" w:rsidR="00FD1EF4">
        <w:t xml:space="preserve">the </w:t>
      </w:r>
      <w:r w:rsidRPr="00F83F45">
        <w:t xml:space="preserve">violation found and </w:t>
      </w:r>
      <w:r w:rsidRPr="00F83F45" w:rsidR="00FD1EF4">
        <w:t xml:space="preserve">the </w:t>
      </w:r>
      <w:r w:rsidRPr="00F83F45">
        <w:t xml:space="preserve">pecuniary damage alleged; it therefore rejects this claim. However, it awards </w:t>
      </w:r>
      <w:r w:rsidRPr="00F83F45" w:rsidR="00FD1EF4">
        <w:t xml:space="preserve">the </w:t>
      </w:r>
      <w:r w:rsidRPr="00F83F45">
        <w:t xml:space="preserve">first applicant EUR 1,000 and </w:t>
      </w:r>
      <w:r w:rsidRPr="00F83F45" w:rsidR="00FD1EF4">
        <w:t xml:space="preserve">the </w:t>
      </w:r>
      <w:r w:rsidRPr="00F83F45">
        <w:t>second applicant EUR 600 in respect of non-pecuniary damage, plus any tax that may be chargeable.</w:t>
      </w:r>
    </w:p>
    <w:p w:rsidRPr="00F83F45" w:rsidR="00F067E7" w:rsidP="00F83F45" w14:paraId="709748DB" w14:textId="33020198">
      <w:pPr>
        <w:pStyle w:val="JuHHead"/>
        <w:numPr>
          <w:ilvl w:val="0"/>
          <w:numId w:val="22"/>
        </w:numPr>
        <w:tabs>
          <w:tab w:val="num" w:pos="851"/>
        </w:tabs>
        <w:ind w:left="360" w:hanging="360"/>
      </w:pPr>
      <w:r w:rsidRPr="00F83F45">
        <w:t xml:space="preserve">FOR THESE REASONS, </w:t>
      </w:r>
      <w:r w:rsidRPr="00F83F45" w:rsidR="00FD1EF4">
        <w:t xml:space="preserve">THE </w:t>
      </w:r>
      <w:r w:rsidRPr="00F83F45">
        <w:t>COURT, UNANIMOUSLY,</w:t>
      </w:r>
    </w:p>
    <w:p w:rsidRPr="00F83F45" w:rsidR="00F067E7" w:rsidP="00F83F45" w14:paraId="76D30020" w14:textId="05450D80">
      <w:pPr>
        <w:pStyle w:val="JuList"/>
        <w:ind w:left="0" w:firstLine="0"/>
      </w:pPr>
      <w:r w:rsidRPr="00F83F45">
        <w:rPr>
          <w:i/>
        </w:rPr>
        <w:t xml:space="preserve">Decides </w:t>
      </w:r>
      <w:r w:rsidRPr="00F83F45">
        <w:t xml:space="preserve">to join </w:t>
      </w:r>
      <w:r w:rsidRPr="00F83F45" w:rsidR="00FD1EF4">
        <w:t xml:space="preserve">the </w:t>
      </w:r>
      <w:r w:rsidRPr="00F83F45">
        <w:t>applications;</w:t>
      </w:r>
    </w:p>
    <w:p w:rsidRPr="00F83F45" w:rsidR="00F067E7" w:rsidP="00F83F45" w14:paraId="17B8D486" w14:textId="7F8A96AE">
      <w:pPr>
        <w:pStyle w:val="JuList"/>
      </w:pPr>
      <w:r w:rsidRPr="00F83F45">
        <w:rPr>
          <w:i/>
        </w:rPr>
        <w:t>Declares</w:t>
      </w:r>
      <w:r w:rsidRPr="00F83F45">
        <w:t xml:space="preserve"> </w:t>
      </w:r>
      <w:r w:rsidRPr="00F83F45" w:rsidR="00FD1EF4">
        <w:t xml:space="preserve">the </w:t>
      </w:r>
      <w:r w:rsidRPr="00F83F45">
        <w:t>applications admissible;</w:t>
      </w:r>
    </w:p>
    <w:p w:rsidRPr="00F83F45" w:rsidR="00F067E7" w:rsidP="00F83F45" w14:paraId="28BDC6C3" w14:textId="1C3F8DBE">
      <w:pPr>
        <w:pStyle w:val="JuList"/>
      </w:pPr>
      <w:r w:rsidRPr="00F83F45">
        <w:rPr>
          <w:i/>
        </w:rPr>
        <w:t>Holds</w:t>
      </w:r>
      <w:r w:rsidRPr="00F83F45">
        <w:rPr>
          <w:color w:val="000000"/>
        </w:rPr>
        <w:t xml:space="preserve"> </w:t>
      </w:r>
      <w:r w:rsidRPr="00F83F45">
        <w:t xml:space="preserve">that there has been a violation of Article 5 § 3 of </w:t>
      </w:r>
      <w:r w:rsidRPr="00F83F45" w:rsidR="00FD1EF4">
        <w:t xml:space="preserve">the </w:t>
      </w:r>
      <w:r w:rsidRPr="00F83F45">
        <w:t xml:space="preserve">Convention in respect of </w:t>
      </w:r>
      <w:r w:rsidRPr="00F83F45" w:rsidR="00FD1EF4">
        <w:t xml:space="preserve">the </w:t>
      </w:r>
      <w:r w:rsidRPr="00F83F45">
        <w:t>first applicant;</w:t>
      </w:r>
    </w:p>
    <w:p w:rsidRPr="00F83F45" w:rsidR="00F067E7" w:rsidP="00F83F45" w14:paraId="137EF585" w14:textId="078E578C">
      <w:pPr>
        <w:pStyle w:val="JuList"/>
      </w:pPr>
      <w:r w:rsidRPr="00F83F45">
        <w:rPr>
          <w:i/>
        </w:rPr>
        <w:t>Holds</w:t>
      </w:r>
      <w:r w:rsidRPr="00F83F45">
        <w:t xml:space="preserve"> that there has been no violation of Article 5 § 1 of </w:t>
      </w:r>
      <w:r w:rsidRPr="00F83F45" w:rsidR="00FD1EF4">
        <w:t xml:space="preserve">the </w:t>
      </w:r>
      <w:r w:rsidRPr="00F83F45">
        <w:t xml:space="preserve">Convention in respect of </w:t>
      </w:r>
      <w:r w:rsidRPr="00F83F45" w:rsidR="00FD1EF4">
        <w:t xml:space="preserve">the </w:t>
      </w:r>
      <w:r w:rsidRPr="00F83F45">
        <w:t>second applicant;</w:t>
      </w:r>
    </w:p>
    <w:p w:rsidRPr="00F83F45" w:rsidR="00F067E7" w:rsidP="00F83F45" w14:paraId="089D9828" w14:textId="5ACDD458">
      <w:pPr>
        <w:pStyle w:val="JuList"/>
      </w:pPr>
      <w:r w:rsidRPr="00F83F45">
        <w:rPr>
          <w:i/>
        </w:rPr>
        <w:t>Holds</w:t>
      </w:r>
      <w:r w:rsidRPr="00F83F45">
        <w:rPr>
          <w:color w:val="000000"/>
        </w:rPr>
        <w:t xml:space="preserve"> </w:t>
      </w:r>
      <w:r w:rsidRPr="00F83F45">
        <w:t xml:space="preserve">that there has been a violation of Article 5 § 3 of </w:t>
      </w:r>
      <w:r w:rsidRPr="00F83F45" w:rsidR="00FD1EF4">
        <w:t xml:space="preserve">the </w:t>
      </w:r>
      <w:r w:rsidRPr="00F83F45">
        <w:t xml:space="preserve">Convention in respect of </w:t>
      </w:r>
      <w:r w:rsidRPr="00F83F45" w:rsidR="00FD1EF4">
        <w:t xml:space="preserve">the </w:t>
      </w:r>
      <w:r w:rsidRPr="00F83F45">
        <w:t>second applicant;</w:t>
      </w:r>
    </w:p>
    <w:p w:rsidRPr="00F83F45" w:rsidR="00F067E7" w:rsidP="00F83F45" w14:paraId="20E2E9C9" w14:textId="77777777">
      <w:pPr>
        <w:pStyle w:val="JuList"/>
      </w:pPr>
      <w:r w:rsidRPr="00F83F45">
        <w:rPr>
          <w:i/>
        </w:rPr>
        <w:t>Holds</w:t>
      </w:r>
    </w:p>
    <w:p w:rsidRPr="00F83F45" w:rsidR="00F067E7" w:rsidP="00F83F45" w14:paraId="3C2F80C9" w14:textId="792A62DA">
      <w:pPr>
        <w:pStyle w:val="JuLista"/>
      </w:pPr>
      <w:r w:rsidRPr="00F83F45">
        <w:t xml:space="preserve">that </w:t>
      </w:r>
      <w:r w:rsidRPr="00F83F45" w:rsidR="00FD1EF4">
        <w:t xml:space="preserve">the </w:t>
      </w:r>
      <w:r w:rsidRPr="00F83F45">
        <w:t xml:space="preserve">respondent State is to pay </w:t>
      </w:r>
      <w:r w:rsidRPr="00F83F45" w:rsidR="00FD1EF4">
        <w:t xml:space="preserve">the </w:t>
      </w:r>
      <w:r w:rsidRPr="00F83F45">
        <w:t xml:space="preserve">applicants, within three months from </w:t>
      </w:r>
      <w:r w:rsidRPr="00F83F45" w:rsidR="00FD1EF4">
        <w:t xml:space="preserve">the </w:t>
      </w:r>
      <w:r w:rsidRPr="00F83F45">
        <w:t xml:space="preserve">date on which </w:t>
      </w:r>
      <w:r w:rsidRPr="00F83F45" w:rsidR="00FD1EF4">
        <w:t xml:space="preserve">the </w:t>
      </w:r>
      <w:r w:rsidRPr="00F83F45">
        <w:t xml:space="preserve">judgment becomes final in accordance with Article 44 § 2 of </w:t>
      </w:r>
      <w:r w:rsidRPr="00F83F45" w:rsidR="00FD1EF4">
        <w:t xml:space="preserve">the </w:t>
      </w:r>
      <w:r w:rsidRPr="00F83F45">
        <w:t xml:space="preserve">Convention, </w:t>
      </w:r>
      <w:r w:rsidRPr="00F83F45" w:rsidR="00FD1EF4">
        <w:t xml:space="preserve">the </w:t>
      </w:r>
      <w:r w:rsidRPr="00F83F45">
        <w:t xml:space="preserve">following amounts, to be converted into </w:t>
      </w:r>
      <w:r w:rsidRPr="00F83F45" w:rsidR="00FD1EF4">
        <w:rPr>
          <w:color w:val="000000"/>
        </w:rPr>
        <w:t xml:space="preserve">the </w:t>
      </w:r>
      <w:r w:rsidRPr="00F83F45">
        <w:rPr>
          <w:color w:val="000000"/>
        </w:rPr>
        <w:t xml:space="preserve">currency of </w:t>
      </w:r>
      <w:r w:rsidRPr="00F83F45" w:rsidR="00FD1EF4">
        <w:rPr>
          <w:color w:val="000000"/>
        </w:rPr>
        <w:t xml:space="preserve">the </w:t>
      </w:r>
      <w:r w:rsidRPr="00F83F45">
        <w:rPr>
          <w:color w:val="000000"/>
        </w:rPr>
        <w:t xml:space="preserve">respondent State </w:t>
      </w:r>
      <w:r w:rsidRPr="00F83F45">
        <w:t xml:space="preserve">at </w:t>
      </w:r>
      <w:r w:rsidRPr="00F83F45" w:rsidR="00FD1EF4">
        <w:t xml:space="preserve">the </w:t>
      </w:r>
      <w:r w:rsidRPr="00F83F45">
        <w:t xml:space="preserve">rate applicable at </w:t>
      </w:r>
      <w:r w:rsidRPr="00F83F45" w:rsidR="00FD1EF4">
        <w:t xml:space="preserve">the </w:t>
      </w:r>
      <w:r w:rsidRPr="00F83F45">
        <w:t>date of settlement:</w:t>
      </w:r>
    </w:p>
    <w:p w:rsidRPr="00F83F45" w:rsidR="00F067E7" w:rsidP="00F83F45" w14:paraId="056C84C7" w14:textId="4B601B1E">
      <w:pPr>
        <w:pStyle w:val="JuListi"/>
      </w:pPr>
      <w:r w:rsidRPr="00F83F45">
        <w:t xml:space="preserve">EUR 1,000 (one thousand euros) to </w:t>
      </w:r>
      <w:r w:rsidRPr="00F83F45" w:rsidR="00FD1EF4">
        <w:t xml:space="preserve">the </w:t>
      </w:r>
      <w:r w:rsidRPr="00F83F45">
        <w:t>first applicant, plus any tax that may be chargeable, in respect of non-pecuniary damage;</w:t>
      </w:r>
    </w:p>
    <w:p w:rsidRPr="00F83F45" w:rsidR="00F067E7" w:rsidP="00F83F45" w14:paraId="2F2E6D08" w14:textId="4999FE76">
      <w:pPr>
        <w:pStyle w:val="JuListi"/>
      </w:pPr>
      <w:r w:rsidRPr="00F83F45">
        <w:t xml:space="preserve">EUR 600 (six hundred euros) to </w:t>
      </w:r>
      <w:r w:rsidRPr="00F83F45" w:rsidR="00FD1EF4">
        <w:t xml:space="preserve">the </w:t>
      </w:r>
      <w:r w:rsidRPr="00F83F45">
        <w:t>second applicant, plus any tax that may be chargeable, in respect of non-pecuniary damage;</w:t>
      </w:r>
    </w:p>
    <w:p w:rsidRPr="00F83F45" w:rsidR="00F067E7" w:rsidP="00F83F45" w14:paraId="2319A23A" w14:textId="23051FA0">
      <w:pPr>
        <w:pStyle w:val="JuLista"/>
      </w:pPr>
      <w:r w:rsidRPr="00F83F45">
        <w:t xml:space="preserve">that from </w:t>
      </w:r>
      <w:r w:rsidRPr="00F83F45" w:rsidR="00FD1EF4">
        <w:t xml:space="preserve">the </w:t>
      </w:r>
      <w:r w:rsidRPr="00F83F45">
        <w:t xml:space="preserve">expiry of </w:t>
      </w:r>
      <w:r w:rsidRPr="00F83F45" w:rsidR="00FD1EF4">
        <w:t xml:space="preserve">the </w:t>
      </w:r>
      <w:r w:rsidRPr="00F83F45">
        <w:t xml:space="preserve">above-mentioned three months until settlement simple interest shall be payable on </w:t>
      </w:r>
      <w:r w:rsidRPr="00F83F45" w:rsidR="00FD1EF4">
        <w:t xml:space="preserve">the </w:t>
      </w:r>
      <w:r w:rsidRPr="00F83F45">
        <w:t xml:space="preserve">above amounts at a rate equal to </w:t>
      </w:r>
      <w:r w:rsidRPr="00F83F45" w:rsidR="00FD1EF4">
        <w:t xml:space="preserve">the </w:t>
      </w:r>
      <w:r w:rsidRPr="00F83F45">
        <w:t xml:space="preserve">marginal lending rate of </w:t>
      </w:r>
      <w:r w:rsidRPr="00F83F45" w:rsidR="00FD1EF4">
        <w:t xml:space="preserve">the </w:t>
      </w:r>
      <w:r w:rsidRPr="00F83F45">
        <w:t xml:space="preserve">European Central Bank during </w:t>
      </w:r>
      <w:r w:rsidRPr="00F83F45" w:rsidR="00FD1EF4">
        <w:t xml:space="preserve">the </w:t>
      </w:r>
      <w:r w:rsidRPr="00F83F45">
        <w:t>default period plus three percentage points;</w:t>
      </w:r>
    </w:p>
    <w:p w:rsidRPr="00F83F45" w:rsidR="004D0EC7" w:rsidP="00F83F45" w14:paraId="29714823" w14:textId="22C25707">
      <w:pPr>
        <w:pStyle w:val="JuList"/>
      </w:pPr>
      <w:r w:rsidRPr="00F83F45">
        <w:rPr>
          <w:i/>
        </w:rPr>
        <w:t>Dismisses</w:t>
      </w:r>
      <w:r w:rsidRPr="00F83F45">
        <w:t xml:space="preserve"> </w:t>
      </w:r>
      <w:r w:rsidRPr="00F83F45" w:rsidR="00FD1EF4">
        <w:t xml:space="preserve">the </w:t>
      </w:r>
      <w:r w:rsidRPr="00F83F45">
        <w:t xml:space="preserve">remainder of </w:t>
      </w:r>
      <w:r w:rsidRPr="00F83F45" w:rsidR="00FD1EF4">
        <w:t xml:space="preserve">the </w:t>
      </w:r>
      <w:r w:rsidRPr="00F83F45">
        <w:t>applicants</w:t>
      </w:r>
      <w:r w:rsidRPr="00F83F45" w:rsidR="00F83F45">
        <w:t>’</w:t>
      </w:r>
      <w:r w:rsidRPr="00F83F45">
        <w:t xml:space="preserve"> claim for just satisfaction.</w:t>
      </w:r>
    </w:p>
    <w:p w:rsidRPr="00F83F45" w:rsidR="008E3A08" w:rsidP="00F83F45" w14:paraId="79E941F9" w14:textId="4E8A82BD">
      <w:pPr>
        <w:pStyle w:val="JuParaLast"/>
      </w:pPr>
      <w:r w:rsidRPr="00F83F45">
        <w:t xml:space="preserve">Done in English, and notified in writing on </w:t>
      </w:r>
      <w:r w:rsidRPr="00F83F45" w:rsidR="00F067E7">
        <w:rPr>
          <w:rFonts w:ascii="Times New Roman" w:hAnsi="Times New Roman" w:cs="Times New Roman"/>
        </w:rPr>
        <w:t>23 July 2026</w:t>
      </w:r>
      <w:r w:rsidRPr="00F83F45">
        <w:t xml:space="preserve">, pursuant to Rule 77 §§ 2 and 3 of </w:t>
      </w:r>
      <w:r w:rsidRPr="00F83F45" w:rsidR="00FD1EF4">
        <w:t xml:space="preserve">the </w:t>
      </w:r>
      <w:r w:rsidRPr="00F83F45">
        <w:t>Rules of Court.</w:t>
      </w:r>
    </w:p>
    <w:p w:rsidRPr="00F83F45" w:rsidR="00F067E7" w:rsidP="00F83F45" w14:paraId="15B18A88" w14:textId="20BFC9F4">
      <w:pPr>
        <w:pStyle w:val="JuSigned"/>
        <w:rPr>
          <w:color w:val="000000"/>
        </w:rPr>
      </w:pPr>
      <w:r w:rsidRPr="00F83F45">
        <w:tab/>
      </w:r>
      <w:r w:rsidRPr="00F83F45">
        <w:t>Victor Soloveytchik</w:t>
      </w:r>
      <w:r w:rsidRPr="00F83F45">
        <w:tab/>
      </w:r>
      <w:r w:rsidRPr="00F83F45">
        <w:t>Kateřina Šimáčková</w:t>
      </w:r>
      <w:r w:rsidRPr="00F83F45">
        <w:br/>
      </w:r>
      <w:r w:rsidRPr="00F83F45">
        <w:tab/>
      </w:r>
      <w:r w:rsidRPr="00F83F45">
        <w:rPr>
          <w:iCs/>
        </w:rPr>
        <w:t>Registrar</w:t>
      </w:r>
      <w:r w:rsidRPr="00F83F45">
        <w:tab/>
        <w:t>President</w:t>
      </w:r>
      <w:r w:rsidRPr="00F83F45" w:rsidR="00374E85">
        <w:br/>
      </w:r>
    </w:p>
    <w:p w:rsidRPr="00F83F45" w:rsidR="00F067E7" w:rsidP="00F83F45" w14:paraId="571C47E4" w14:textId="77777777">
      <w:pPr>
        <w:rPr>
          <w:color w:val="000000"/>
        </w:rPr>
        <w:sectPr w:rsidSect="00F067E7">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F83F45" w:rsidR="00F067E7" w:rsidP="00F83F45" w14:paraId="72FED06A" w14:textId="77777777">
      <w:pPr>
        <w:pStyle w:val="DecHTitle"/>
      </w:pPr>
      <w:r w:rsidRPr="00F83F45">
        <w:t>APPENDIX</w:t>
      </w:r>
    </w:p>
    <w:p w:rsidRPr="00F83F45" w:rsidR="00F067E7" w:rsidP="00F83F45" w14:paraId="348E6380" w14:textId="77777777">
      <w:pPr>
        <w:pStyle w:val="DecHCase"/>
        <w:keepNext w:val="0"/>
        <w:keepLines w:val="0"/>
        <w:rPr>
          <w:rFonts w:ascii="Times New Roman" w:hAnsi="Times New Roman" w:cs="Times New Roman"/>
        </w:rPr>
      </w:pPr>
      <w:r w:rsidRPr="00F83F45">
        <w:rPr>
          <w:rFonts w:ascii="Times New Roman" w:hAnsi="Times New Roman" w:cs="Times New Roman"/>
        </w:rPr>
        <w:t>List of cases:</w:t>
      </w:r>
    </w:p>
    <w:tbl>
      <w:tblPr>
        <w:tblStyle w:val="ECHRListTable"/>
        <w:tblW w:w="9498" w:type="dxa"/>
        <w:tblInd w:w="-1139" w:type="dxa"/>
        <w:tblLook w:val="0420"/>
      </w:tblPr>
      <w:tblGrid>
        <w:gridCol w:w="708"/>
        <w:gridCol w:w="2800"/>
        <w:gridCol w:w="3296"/>
        <w:gridCol w:w="2694"/>
      </w:tblGrid>
      <w:tr w:rsidTr="00F32230" w14:paraId="6619A15C" w14:textId="77777777">
        <w:tblPrEx>
          <w:tblW w:w="9498" w:type="dxa"/>
          <w:tblInd w:w="-1139" w:type="dxa"/>
          <w:tblLook w:val="0420"/>
        </w:tblPrEx>
        <w:tc>
          <w:tcPr>
            <w:tcW w:w="708" w:type="dxa"/>
            <w:hideMark/>
          </w:tcPr>
          <w:p w:rsidRPr="00F83F45" w:rsidR="00F067E7" w:rsidP="00F83F45" w14:paraId="558BFC0B" w14:textId="77777777">
            <w:pPr>
              <w:jc w:val="center"/>
              <w:rPr>
                <w:rFonts w:eastAsia="Times New Roman"/>
              </w:rPr>
            </w:pPr>
            <w:bookmarkStart w:name="AppTableStart" w:id="41"/>
            <w:bookmarkEnd w:id="41"/>
            <w:r w:rsidRPr="00F83F45">
              <w:rPr>
                <w:rFonts w:eastAsia="Times New Roman"/>
              </w:rPr>
              <w:t>No.</w:t>
            </w:r>
          </w:p>
        </w:tc>
        <w:tc>
          <w:tcPr>
            <w:tcW w:w="2800" w:type="dxa"/>
            <w:hideMark/>
          </w:tcPr>
          <w:p w:rsidRPr="00F83F45" w:rsidR="00F067E7" w:rsidP="00F83F45" w14:paraId="765103F7" w14:textId="77777777">
            <w:pPr>
              <w:jc w:val="center"/>
              <w:rPr>
                <w:rFonts w:eastAsia="Times New Roman"/>
              </w:rPr>
            </w:pPr>
            <w:r w:rsidRPr="00F83F45">
              <w:rPr>
                <w:rFonts w:eastAsia="Times New Roman"/>
              </w:rPr>
              <w:t>Application no.</w:t>
            </w:r>
            <w:r w:rsidRPr="00F83F45">
              <w:rPr>
                <w:rFonts w:eastAsia="Times New Roman"/>
              </w:rPr>
              <w:br/>
              <w:t>Case name</w:t>
            </w:r>
            <w:r w:rsidRPr="00F83F45">
              <w:rPr>
                <w:rFonts w:eastAsia="Times New Roman"/>
              </w:rPr>
              <w:br/>
              <w:t>Introduction date</w:t>
            </w:r>
          </w:p>
        </w:tc>
        <w:tc>
          <w:tcPr>
            <w:tcW w:w="3296" w:type="dxa"/>
            <w:hideMark/>
          </w:tcPr>
          <w:p w:rsidRPr="00F83F45" w:rsidR="00F067E7" w:rsidP="00F83F45" w14:paraId="1D120FFF" w14:textId="2CD58182">
            <w:pPr>
              <w:jc w:val="center"/>
              <w:rPr>
                <w:rFonts w:eastAsia="Times New Roman"/>
              </w:rPr>
            </w:pPr>
            <w:r w:rsidRPr="00F83F45">
              <w:rPr>
                <w:rFonts w:eastAsia="Times New Roman"/>
              </w:rPr>
              <w:t>Applicant</w:t>
            </w:r>
            <w:r w:rsidRPr="00F83F45" w:rsidR="00F83F45">
              <w:rPr>
                <w:rFonts w:eastAsia="Times New Roman"/>
              </w:rPr>
              <w:t>’</w:t>
            </w:r>
            <w:r w:rsidRPr="00F83F45">
              <w:rPr>
                <w:rFonts w:eastAsia="Times New Roman"/>
              </w:rPr>
              <w:t>s name</w:t>
            </w:r>
            <w:r w:rsidRPr="00F83F45">
              <w:rPr>
                <w:rFonts w:eastAsia="Times New Roman"/>
              </w:rPr>
              <w:br/>
              <w:t>Year of birth</w:t>
            </w:r>
            <w:r w:rsidRPr="00F83F45" w:rsidR="006F076D">
              <w:rPr>
                <w:rFonts w:eastAsia="Times New Roman"/>
              </w:rPr>
              <w:t xml:space="preserve"> </w:t>
            </w:r>
            <w:r w:rsidRPr="00F83F45">
              <w:rPr>
                <w:rFonts w:eastAsia="Times New Roman"/>
              </w:rPr>
              <w:br/>
              <w:t>Place of residence</w:t>
            </w:r>
            <w:r w:rsidRPr="00F83F45">
              <w:rPr>
                <w:rFonts w:eastAsia="Times New Roman"/>
              </w:rPr>
              <w:br/>
            </w:r>
          </w:p>
        </w:tc>
        <w:tc>
          <w:tcPr>
            <w:tcW w:w="2694" w:type="dxa"/>
            <w:hideMark/>
          </w:tcPr>
          <w:p w:rsidRPr="00F83F45" w:rsidR="00F067E7" w:rsidP="00F83F45" w14:paraId="58FC6774" w14:textId="536B7D72">
            <w:pPr>
              <w:jc w:val="center"/>
              <w:rPr>
                <w:rFonts w:eastAsia="Times New Roman"/>
              </w:rPr>
            </w:pPr>
            <w:r w:rsidRPr="00F83F45">
              <w:rPr>
                <w:rFonts w:eastAsia="Times New Roman"/>
              </w:rPr>
              <w:t>Representative</w:t>
            </w:r>
            <w:r w:rsidRPr="00F83F45" w:rsidR="00F83F45">
              <w:rPr>
                <w:rFonts w:eastAsia="Times New Roman"/>
              </w:rPr>
              <w:t>’</w:t>
            </w:r>
            <w:r w:rsidRPr="00F83F45">
              <w:rPr>
                <w:rFonts w:eastAsia="Times New Roman"/>
              </w:rPr>
              <w:t>s name</w:t>
            </w:r>
            <w:r w:rsidRPr="00F83F45">
              <w:rPr>
                <w:rFonts w:eastAsia="Times New Roman"/>
              </w:rPr>
              <w:br/>
              <w:t>Location</w:t>
            </w:r>
          </w:p>
        </w:tc>
      </w:tr>
      <w:tr w:rsidTr="00F32230" w14:paraId="3F882C90" w14:textId="77777777">
        <w:tblPrEx>
          <w:tblW w:w="9498" w:type="dxa"/>
          <w:tblInd w:w="-1139" w:type="dxa"/>
          <w:tblLook w:val="0420"/>
        </w:tblPrEx>
        <w:tc>
          <w:tcPr>
            <w:tcW w:w="708" w:type="dxa"/>
            <w:hideMark/>
          </w:tcPr>
          <w:p w:rsidRPr="00F83F45" w:rsidR="00F067E7" w:rsidP="00F83F45" w14:paraId="0050268F" w14:textId="77777777">
            <w:pPr>
              <w:rPr>
                <w:rFonts w:eastAsia="Times New Roman"/>
              </w:rPr>
            </w:pPr>
            <w:r w:rsidRPr="00F83F45">
              <w:rPr>
                <w:rFonts w:eastAsia="Times New Roman"/>
              </w:rPr>
              <w:t>1.</w:t>
            </w:r>
          </w:p>
        </w:tc>
        <w:tc>
          <w:tcPr>
            <w:tcW w:w="2800" w:type="dxa"/>
            <w:hideMark/>
          </w:tcPr>
          <w:p w:rsidRPr="00F83F45" w:rsidR="00F067E7" w:rsidP="00F83F45" w14:paraId="1DE3F127" w14:textId="77777777">
            <w:pPr>
              <w:rPr>
                <w:rFonts w:eastAsia="Times New Roman"/>
              </w:rPr>
            </w:pPr>
            <w:r w:rsidRPr="00F83F45">
              <w:rPr>
                <w:rFonts w:eastAsia="Times New Roman"/>
              </w:rPr>
              <w:t>39465/23</w:t>
            </w:r>
            <w:r w:rsidRPr="00F83F45">
              <w:rPr>
                <w:rFonts w:eastAsia="Times New Roman"/>
              </w:rPr>
              <w:br/>
              <w:t>Derevyanko v. Ukraine</w:t>
            </w:r>
            <w:r w:rsidRPr="00F83F45">
              <w:rPr>
                <w:rFonts w:eastAsia="Times New Roman"/>
              </w:rPr>
              <w:br/>
              <w:t>24/10/2023</w:t>
            </w:r>
          </w:p>
        </w:tc>
        <w:tc>
          <w:tcPr>
            <w:tcW w:w="3296" w:type="dxa"/>
            <w:hideMark/>
          </w:tcPr>
          <w:p w:rsidRPr="00F83F45" w:rsidR="00F067E7" w:rsidP="00F83F45" w14:paraId="4CA7174C" w14:textId="77777777">
            <w:pPr>
              <w:rPr>
                <w:rFonts w:eastAsia="Times New Roman"/>
              </w:rPr>
            </w:pPr>
            <w:r w:rsidRPr="00F83F45">
              <w:rPr>
                <w:rFonts w:eastAsia="Times New Roman"/>
                <w:b/>
                <w:bCs/>
              </w:rPr>
              <w:t>Anatoliy Ivanovych DEREVYANKO</w:t>
            </w:r>
            <w:r w:rsidRPr="00F83F45">
              <w:rPr>
                <w:rFonts w:eastAsia="Times New Roman"/>
              </w:rPr>
              <w:br/>
              <w:t>1967</w:t>
            </w:r>
            <w:r w:rsidRPr="00F83F45">
              <w:rPr>
                <w:rFonts w:eastAsia="Times New Roman"/>
              </w:rPr>
              <w:br/>
            </w:r>
            <w:r w:rsidRPr="00F83F45">
              <w:rPr>
                <w:rFonts w:eastAsia="Times New Roman"/>
              </w:rPr>
              <w:t>Verbivka</w:t>
            </w:r>
            <w:r w:rsidRPr="00F83F45">
              <w:rPr>
                <w:rFonts w:eastAsia="Times New Roman"/>
              </w:rPr>
              <w:t>, Kharkiv Region</w:t>
            </w:r>
          </w:p>
        </w:tc>
        <w:tc>
          <w:tcPr>
            <w:tcW w:w="2694" w:type="dxa"/>
            <w:hideMark/>
          </w:tcPr>
          <w:p w:rsidRPr="00F83F45" w:rsidR="00F067E7" w:rsidP="00F83F45" w14:paraId="41359454" w14:textId="77777777">
            <w:pPr>
              <w:rPr>
                <w:rFonts w:eastAsia="Times New Roman"/>
              </w:rPr>
            </w:pPr>
            <w:r w:rsidRPr="00F83F45">
              <w:rPr>
                <w:rFonts w:eastAsia="Times New Roman"/>
              </w:rPr>
              <w:t>Sergiy Volodymyrovych CHUB</w:t>
            </w:r>
            <w:r w:rsidRPr="00F83F45">
              <w:rPr>
                <w:rFonts w:eastAsia="Times New Roman"/>
              </w:rPr>
              <w:br/>
              <w:t>Kharkiv</w:t>
            </w:r>
          </w:p>
        </w:tc>
      </w:tr>
      <w:tr w:rsidTr="00F32230" w14:paraId="7C3612FA" w14:textId="77777777">
        <w:tblPrEx>
          <w:tblW w:w="9498" w:type="dxa"/>
          <w:tblInd w:w="-1139" w:type="dxa"/>
          <w:tblLook w:val="0420"/>
        </w:tblPrEx>
        <w:tc>
          <w:tcPr>
            <w:tcW w:w="708" w:type="dxa"/>
            <w:hideMark/>
          </w:tcPr>
          <w:p w:rsidRPr="00F83F45" w:rsidR="00F067E7" w:rsidP="00F83F45" w14:paraId="6622662E" w14:textId="77777777">
            <w:pPr>
              <w:rPr>
                <w:rFonts w:eastAsia="Times New Roman"/>
              </w:rPr>
            </w:pPr>
            <w:r w:rsidRPr="00F83F45">
              <w:rPr>
                <w:rFonts w:eastAsia="Times New Roman"/>
              </w:rPr>
              <w:t>2.</w:t>
            </w:r>
          </w:p>
        </w:tc>
        <w:tc>
          <w:tcPr>
            <w:tcW w:w="2800" w:type="dxa"/>
            <w:hideMark/>
          </w:tcPr>
          <w:p w:rsidRPr="00F83F45" w:rsidR="00F067E7" w:rsidP="00F83F45" w14:paraId="50B6D2B2" w14:textId="77777777">
            <w:pPr>
              <w:rPr>
                <w:rFonts w:eastAsia="Times New Roman"/>
              </w:rPr>
            </w:pPr>
            <w:r w:rsidRPr="00F83F45">
              <w:rPr>
                <w:rFonts w:eastAsia="Times New Roman"/>
              </w:rPr>
              <w:t>43066/23</w:t>
            </w:r>
            <w:r w:rsidRPr="00F83F45">
              <w:rPr>
                <w:rFonts w:eastAsia="Times New Roman"/>
              </w:rPr>
              <w:br/>
              <w:t>Tarasova v. Ukraine</w:t>
            </w:r>
            <w:r w:rsidRPr="00F83F45">
              <w:rPr>
                <w:rFonts w:eastAsia="Times New Roman"/>
              </w:rPr>
              <w:br/>
              <w:t>29/11/2023</w:t>
            </w:r>
          </w:p>
        </w:tc>
        <w:tc>
          <w:tcPr>
            <w:tcW w:w="3296" w:type="dxa"/>
            <w:hideMark/>
          </w:tcPr>
          <w:p w:rsidRPr="00F83F45" w:rsidR="00F067E7" w:rsidP="00F83F45" w14:paraId="10BDC44B" w14:textId="77777777">
            <w:pPr>
              <w:rPr>
                <w:rFonts w:eastAsia="Times New Roman"/>
                <w:lang w:val="fi-FI"/>
              </w:rPr>
            </w:pPr>
            <w:r w:rsidRPr="00F83F45">
              <w:rPr>
                <w:rFonts w:eastAsia="Times New Roman"/>
                <w:b/>
                <w:bCs/>
                <w:lang w:val="fi-FI"/>
              </w:rPr>
              <w:t>Yuliya</w:t>
            </w:r>
            <w:r w:rsidRPr="00F83F45">
              <w:rPr>
                <w:rFonts w:eastAsia="Times New Roman"/>
                <w:b/>
                <w:bCs/>
                <w:lang w:val="fi-FI"/>
              </w:rPr>
              <w:t xml:space="preserve"> </w:t>
            </w:r>
            <w:r w:rsidRPr="00F83F45">
              <w:rPr>
                <w:rFonts w:eastAsia="Times New Roman"/>
                <w:b/>
                <w:bCs/>
                <w:lang w:val="fi-FI"/>
              </w:rPr>
              <w:t>Mykolayivna</w:t>
            </w:r>
            <w:r w:rsidRPr="00F83F45">
              <w:rPr>
                <w:rFonts w:eastAsia="Times New Roman"/>
                <w:b/>
                <w:bCs/>
                <w:lang w:val="fi-FI"/>
              </w:rPr>
              <w:t xml:space="preserve"> TARASOVA</w:t>
            </w:r>
            <w:r w:rsidRPr="00F83F45">
              <w:rPr>
                <w:rFonts w:eastAsia="Times New Roman"/>
                <w:lang w:val="fi-FI"/>
              </w:rPr>
              <w:br/>
              <w:t>1978</w:t>
            </w:r>
            <w:r w:rsidRPr="00F83F45">
              <w:rPr>
                <w:rFonts w:eastAsia="Times New Roman"/>
                <w:lang w:val="fi-FI"/>
              </w:rPr>
              <w:br/>
            </w:r>
            <w:r w:rsidRPr="00F83F45">
              <w:rPr>
                <w:rFonts w:eastAsia="Times New Roman"/>
                <w:lang w:val="fi-FI"/>
              </w:rPr>
              <w:t>Kyiv</w:t>
            </w:r>
          </w:p>
        </w:tc>
        <w:tc>
          <w:tcPr>
            <w:tcW w:w="2694" w:type="dxa"/>
            <w:hideMark/>
          </w:tcPr>
          <w:p w:rsidRPr="00F83F45" w:rsidR="00F067E7" w:rsidP="00F83F45" w14:paraId="5B202B9D" w14:textId="77777777">
            <w:pPr>
              <w:rPr>
                <w:rFonts w:eastAsia="Times New Roman"/>
              </w:rPr>
            </w:pPr>
            <w:r w:rsidRPr="00F83F45">
              <w:rPr>
                <w:rFonts w:eastAsia="Times New Roman"/>
              </w:rPr>
              <w:t>Dmytro Sergiyovych LOSHAKOV</w:t>
            </w:r>
            <w:r w:rsidRPr="00F83F45">
              <w:rPr>
                <w:rFonts w:eastAsia="Times New Roman"/>
              </w:rPr>
              <w:br/>
              <w:t>Kyiv</w:t>
            </w:r>
          </w:p>
        </w:tc>
      </w:tr>
    </w:tbl>
    <w:p w:rsidRPr="00F83F45" w:rsidR="00182EBA" w:rsidP="00F83F45" w14:paraId="41830512" w14:textId="77777777"/>
    <w:sectPr w:rsidSect="00374E8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7E7" w:rsidRPr="00150BFA" w:rsidP="0020718E" w14:paraId="1A03C44D" w14:textId="77777777">
    <w:pPr>
      <w:jc w:val="center"/>
    </w:pPr>
    <w:r>
      <w:rPr>
        <w:noProof/>
        <w:lang w:val="en-US"/>
      </w:rPr>
      <w:drawing>
        <wp:inline distT="0" distB="0" distL="0" distR="0">
          <wp:extent cx="771525" cy="619125"/>
          <wp:effectExtent l="0" t="0" r="9525" b="9525"/>
          <wp:docPr id="1322654692" name="Picture 132265469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65469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1D8E7F3D"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7E7" w:rsidRPr="00150BFA" w:rsidP="0020718E" w14:paraId="1C7BF126"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9DEF919"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7E7" w:rsidP="009A115C" w14:paraId="173B9657" w14:textId="77777777">
    <w:pPr>
      <w:pStyle w:val="JuHeader"/>
    </w:pP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7E7" w:rsidRPr="000B7195" w:rsidP="007D3701" w14:paraId="6A2F6F9C" w14:textId="77777777">
    <w:pPr>
      <w:pStyle w:val="JuHeader"/>
    </w:pPr>
    <w:r>
      <w:fldChar w:fldCharType="begin"/>
    </w:r>
    <w:r>
      <w:instrText xml:space="preserve"> PAGE  \* MERGEFORMAT </w:instrText>
    </w:r>
    <w:r>
      <w:fldChar w:fldCharType="separate"/>
    </w:r>
    <w:r>
      <w:rPr>
        <w:noProof/>
      </w:rP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886DEBD" w14:textId="77777777">
    <w:pPr>
      <w:pStyle w:val="JuHeader"/>
    </w:pPr>
    <w:r>
      <w:fldChar w:fldCharType="begin"/>
    </w:r>
    <w:r>
      <w:instrText xml:space="preserve"> PAGE  \* MERGEFORMAT </w:instrText>
    </w:r>
    <w:r>
      <w:fldChar w:fldCharType="separate"/>
    </w:r>
    <w:r>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4DE28D97" w14:textId="77777777">
    <w:pPr>
      <w:pStyle w:val="JuHeader"/>
    </w:pPr>
    <w:r>
      <w:fldChar w:fldCharType="begin"/>
    </w:r>
    <w:r>
      <w:instrText xml:space="preserve"> PAGE  \* MERGEFORMAT </w:instrText>
    </w:r>
    <w:r>
      <w:fldChar w:fldCharType="separate"/>
    </w:r>
    <w:r>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A02E2" w:rsidRPr="00E67565" w:rsidP="0098410D" w14:paraId="5626907A" w14:textId="77777777">
      <w:r w:rsidRPr="00E67565">
        <w:separator/>
      </w:r>
    </w:p>
  </w:footnote>
  <w:footnote w:type="continuationSeparator" w:id="1">
    <w:p w:rsidR="002A02E2" w:rsidRPr="00E67565" w:rsidP="0098410D" w14:paraId="210E172F" w14:textId="77777777">
      <w:r w:rsidRPr="00E67565">
        <w:continuationSeparator/>
      </w:r>
    </w:p>
  </w:footnote>
  <w:footnote w:id="2">
    <w:p w:rsidR="00F067E7" w:rsidP="00F067E7" w14:paraId="4A9695BF" w14:textId="77777777">
      <w:pPr>
        <w:pStyle w:val="FootnoteText"/>
      </w:pPr>
      <w:r w:rsidRPr="00F067E7">
        <w:rPr>
          <w:rStyle w:val="FootnoteReference"/>
        </w:rPr>
        <w:footnoteRef/>
      </w:r>
      <w:r w:rsidRPr="00F067E7">
        <w:rPr>
          <w:rStyle w:val="FootnoteReference"/>
        </w:rPr>
        <w:t xml:space="preserve"> </w:t>
      </w:r>
      <w:r>
        <w:t>Russia is defined in Ukrainian law as the “aggressor State”. This is based, for example, on the declaration of the Ukrainian Parliament of 27 January 2015.</w:t>
      </w:r>
    </w:p>
  </w:footnote>
  <w:footnote w:id="3">
    <w:p w:rsidR="00F067E7" w:rsidP="00F067E7" w14:paraId="0DFB97D5" w14:textId="77777777">
      <w:pPr>
        <w:pStyle w:val="FootnoteText"/>
      </w:pPr>
      <w:r w:rsidRPr="00F067E7">
        <w:rPr>
          <w:rStyle w:val="FootnoteReference"/>
        </w:rPr>
        <w:footnoteRef/>
      </w:r>
      <w:r w:rsidRPr="00F067E7">
        <w:rPr>
          <w:rStyle w:val="FootnoteReference"/>
        </w:rPr>
        <w:t xml:space="preserve"> </w:t>
      </w:r>
      <w:r w:rsidRPr="00F067E7">
        <w:t xml:space="preserve">On 18 March 2022 the Supreme Court reassigned jurisdiction of the </w:t>
      </w:r>
      <w:r w:rsidRPr="00F067E7">
        <w:t>Balakliya</w:t>
      </w:r>
      <w:r w:rsidRPr="00F067E7">
        <w:t xml:space="preserve"> Court to Novomoskovskyi District Court.</w:t>
      </w:r>
    </w:p>
  </w:footnote>
  <w:footnote w:id="4">
    <w:p w:rsidR="00F067E7" w:rsidRPr="00692477" w:rsidP="00F067E7" w14:paraId="07FC78E2" w14:textId="77777777">
      <w:pPr>
        <w:pStyle w:val="FootnoteText"/>
        <w:rPr>
          <w:lang w:val="uk-UA"/>
        </w:rPr>
      </w:pPr>
      <w:r w:rsidRPr="00F067E7">
        <w:rPr>
          <w:rStyle w:val="FootnoteReference"/>
        </w:rPr>
        <w:footnoteRef/>
      </w:r>
      <w:r w:rsidRPr="00F067E7">
        <w:rPr>
          <w:rStyle w:val="FootnoteReference"/>
        </w:rPr>
        <w:t xml:space="preserve"> </w:t>
      </w:r>
      <w:r w:rsidRPr="00F067E7">
        <w:t>“</w:t>
      </w:r>
      <w:r w:rsidRPr="00F067E7">
        <w:rPr>
          <w:lang w:val="uk-UA"/>
        </w:rPr>
        <w:t>Застосовуючи запобіжний захід у виді тримання під вартою необхідно виходити з того, що судове рішення повинно забезпечити не тільки права підозрюваного, а й високі стандарти охорони прав і інтересів як суспільства, так і потерпілого. Визначення таких прав, як підкреслив Європейський суд з прав людини, вимагає від суспільства більшої суворості в оцінці цінностей суспільства (“Летельє проти Франції”)</w:t>
      </w:r>
      <w:r w:rsidRPr="00F067E7">
        <w:rPr>
          <w:lang w:val="ru-RU"/>
        </w:rPr>
        <w:t>”</w:t>
      </w:r>
      <w:r w:rsidRPr="00F067E7">
        <w:rPr>
          <w:lang w:val="uk-UA"/>
        </w:rPr>
        <w:t>.</w:t>
      </w:r>
    </w:p>
  </w:footnote>
  <w:footnote w:id="5">
    <w:p w:rsidR="00F067E7" w:rsidRPr="003A282D" w:rsidP="00F067E7" w14:paraId="7BB639E9" w14:textId="77777777">
      <w:pPr>
        <w:pStyle w:val="FootnoteText"/>
      </w:pPr>
      <w:r w:rsidRPr="00F067E7">
        <w:rPr>
          <w:rStyle w:val="FootnoteReference"/>
        </w:rPr>
        <w:footnoteRef/>
      </w:r>
      <w:r w:rsidRPr="00F067E7">
        <w:rPr>
          <w:rStyle w:val="FootnoteReference"/>
        </w:rPr>
        <w:t xml:space="preserve"> </w:t>
      </w:r>
      <w:r w:rsidRPr="00F067E7">
        <w:t>This is 3,000 times the non</w:t>
      </w:r>
      <w:r w:rsidRPr="00F067E7">
        <w:noBreakHyphen/>
        <w:t>taxable minimum citizens’ income</w:t>
      </w:r>
      <w:r w:rsidRPr="00F067E7">
        <w:rPr>
          <w:lang w:val="uk-UA"/>
        </w:rPr>
        <w:t>,</w:t>
      </w:r>
      <w:r w:rsidRPr="00F067E7">
        <w:t xml:space="preserve"> which is currently UAH 17.</w:t>
      </w:r>
    </w:p>
  </w:footnote>
  <w:footnote w:id="6">
    <w:p w:rsidR="00F067E7" w:rsidRPr="003A282D" w:rsidP="00F067E7" w14:paraId="18D8883F" w14:textId="77777777">
      <w:pPr>
        <w:pStyle w:val="FootnoteText"/>
        <w:rPr>
          <w:lang w:val="uk-UA"/>
        </w:rPr>
      </w:pPr>
      <w:r w:rsidRPr="00F067E7">
        <w:rPr>
          <w:rStyle w:val="FootnoteReference"/>
        </w:rPr>
        <w:footnoteRef/>
      </w:r>
      <w:r w:rsidRPr="00F067E7">
        <w:rPr>
          <w:rStyle w:val="FootnoteReference"/>
        </w:rPr>
        <w:t xml:space="preserve"> </w:t>
      </w:r>
      <w:r w:rsidRPr="00F067E7">
        <w:t>This is 10,000 times the non</w:t>
      </w:r>
      <w:r w:rsidRPr="00F067E7">
        <w:noBreakHyphen/>
        <w:t>taxable minimum citizens’ income</w:t>
      </w:r>
      <w:r w:rsidRPr="00F067E7">
        <w:rPr>
          <w:lang w:val="uk-UA"/>
        </w:rPr>
        <w:t>.</w:t>
      </w:r>
    </w:p>
  </w:footnote>
  <w:footnote w:id="7">
    <w:p w:rsidR="00F067E7" w:rsidRPr="003A282D" w:rsidP="00F067E7" w14:paraId="45EFA23E" w14:textId="77777777">
      <w:pPr>
        <w:pStyle w:val="FootnoteText"/>
      </w:pPr>
      <w:r w:rsidRPr="00F067E7">
        <w:rPr>
          <w:rStyle w:val="FootnoteReference"/>
        </w:rPr>
        <w:footnoteRef/>
      </w:r>
      <w:r w:rsidRPr="00F067E7">
        <w:rPr>
          <w:rStyle w:val="FootnoteReference"/>
        </w:rPr>
        <w:t xml:space="preserve"> </w:t>
      </w:r>
      <w:r w:rsidRPr="00F067E7">
        <w:t>This is 25,000 times the non</w:t>
      </w:r>
      <w:r w:rsidRPr="00F067E7">
        <w:noBreakHyphen/>
        <w:t>taxable minimum citizens’ income</w:t>
      </w:r>
      <w:r w:rsidRPr="00F067E7">
        <w:rPr>
          <w:lang w:val="uk-U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7E7" w:rsidRPr="00A45145" w:rsidP="00A45145" w14:paraId="6F6C6E4F"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2DD0CF4D"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7E7" w:rsidRPr="00A45145" w:rsidP="00A45145" w14:paraId="5AD6A30C" w14:textId="77777777">
    <w:pPr>
      <w:jc w:val="center"/>
    </w:pPr>
    <w:r>
      <w:rPr>
        <w:noProof/>
        <w:lang w:val="en-US"/>
      </w:rPr>
      <w:drawing>
        <wp:inline distT="0" distB="0" distL="0" distR="0">
          <wp:extent cx="2962275" cy="1219200"/>
          <wp:effectExtent l="0" t="0" r="9525" b="0"/>
          <wp:docPr id="1442108064" name="Picture 144210806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10806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739F03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7E7" w:rsidRPr="004D0EC7" w:rsidP="004D0EC7" w14:paraId="5D7F9374" w14:textId="016752D4">
    <w:pPr>
      <w:pStyle w:val="JuHeader"/>
    </w:pPr>
    <w:r>
      <w:t>DEREVYANKO</w:t>
    </w:r>
    <w:r w:rsidR="006F076D">
      <w:t xml:space="preserve"> AND TARASOVA</w:t>
    </w:r>
    <w:r>
      <w:t xml:space="preserve">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7E7" w:rsidRPr="00882CD5" w:rsidP="007D3701" w14:paraId="3AFFA20F" w14:textId="73E131A1">
    <w:pPr>
      <w:pStyle w:val="JuHeader"/>
    </w:pPr>
    <w:r>
      <w:t xml:space="preserve">DEREVYANKO </w:t>
    </w:r>
    <w:r w:rsidR="006F076D">
      <w:t xml:space="preserve">AND TARASOVA </w:t>
    </w:r>
    <w:r>
      <w:t>v. UKRAINE</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113E3C6A" w14:textId="77777777">
    <w:pPr>
      <w:pStyle w:val="JuHeader"/>
    </w:pPr>
    <w:r>
      <w:t>DEREVYANKO v. UKRAINE</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440422E" w14:textId="4D1648A8">
    <w:pPr>
      <w:pStyle w:val="JuHeader"/>
    </w:pPr>
    <w:r>
      <w:t>DEREVYANKO</w:t>
    </w:r>
    <w:r w:rsidR="006F076D">
      <w:t xml:space="preserve"> AND TARASOVA</w:t>
    </w:r>
    <w:r>
      <w:t xml:space="preserve">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046300283">
    <w:abstractNumId w:val="14"/>
  </w:num>
  <w:num w:numId="2" w16cid:durableId="118501754">
    <w:abstractNumId w:val="12"/>
  </w:num>
  <w:num w:numId="3" w16cid:durableId="1248611151">
    <w:abstractNumId w:val="11"/>
  </w:num>
  <w:num w:numId="4" w16cid:durableId="662513404">
    <w:abstractNumId w:val="15"/>
  </w:num>
  <w:num w:numId="5" w16cid:durableId="1950431236">
    <w:abstractNumId w:val="13"/>
  </w:num>
  <w:num w:numId="6" w16cid:durableId="1764643352">
    <w:abstractNumId w:val="16"/>
  </w:num>
  <w:num w:numId="7" w16cid:durableId="1519077654">
    <w:abstractNumId w:val="15"/>
  </w:num>
  <w:num w:numId="8" w16cid:durableId="233514372">
    <w:abstractNumId w:val="16"/>
  </w:num>
  <w:num w:numId="9" w16cid:durableId="327026877">
    <w:abstractNumId w:val="10"/>
  </w:num>
  <w:num w:numId="10" w16cid:durableId="1395473709">
    <w:abstractNumId w:val="9"/>
  </w:num>
  <w:num w:numId="11" w16cid:durableId="332730050">
    <w:abstractNumId w:val="18"/>
  </w:num>
  <w:num w:numId="12" w16cid:durableId="1261060216">
    <w:abstractNumId w:val="7"/>
  </w:num>
  <w:num w:numId="13" w16cid:durableId="727606640">
    <w:abstractNumId w:val="6"/>
  </w:num>
  <w:num w:numId="14" w16cid:durableId="1811903890">
    <w:abstractNumId w:val="5"/>
  </w:num>
  <w:num w:numId="15" w16cid:durableId="44185027">
    <w:abstractNumId w:val="4"/>
  </w:num>
  <w:num w:numId="16" w16cid:durableId="218978822">
    <w:abstractNumId w:val="8"/>
  </w:num>
  <w:num w:numId="17" w16cid:durableId="732238369">
    <w:abstractNumId w:val="3"/>
  </w:num>
  <w:num w:numId="18" w16cid:durableId="754009356">
    <w:abstractNumId w:val="2"/>
  </w:num>
  <w:num w:numId="19" w16cid:durableId="1168908877">
    <w:abstractNumId w:val="1"/>
  </w:num>
  <w:num w:numId="20" w16cid:durableId="341133134">
    <w:abstractNumId w:val="0"/>
  </w:num>
  <w:num w:numId="21" w16cid:durableId="711491511">
    <w:abstractNumId w:val="17"/>
  </w:num>
  <w:num w:numId="22" w16cid:durableId="1389457879">
    <w:abstractNumId w:val="19"/>
  </w:num>
  <w:num w:numId="23" w16cid:durableId="3185335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proofState w:spelling="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7E7"/>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43DD"/>
    <w:rsid w:val="00085457"/>
    <w:rsid w:val="0009099A"/>
    <w:rsid w:val="000925AD"/>
    <w:rsid w:val="00096FE1"/>
    <w:rsid w:val="00097A62"/>
    <w:rsid w:val="000A24EB"/>
    <w:rsid w:val="000B686A"/>
    <w:rsid w:val="000B6923"/>
    <w:rsid w:val="000B7195"/>
    <w:rsid w:val="000B7463"/>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2F13"/>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4CE8"/>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02E2"/>
    <w:rsid w:val="002A45DB"/>
    <w:rsid w:val="002A613A"/>
    <w:rsid w:val="002A61B1"/>
    <w:rsid w:val="002A663C"/>
    <w:rsid w:val="002B0EC0"/>
    <w:rsid w:val="002B444B"/>
    <w:rsid w:val="002B5887"/>
    <w:rsid w:val="002B5B43"/>
    <w:rsid w:val="002C0E27"/>
    <w:rsid w:val="002C3040"/>
    <w:rsid w:val="002C4433"/>
    <w:rsid w:val="002C5ADD"/>
    <w:rsid w:val="002C64EC"/>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4E85"/>
    <w:rsid w:val="003750BE"/>
    <w:rsid w:val="00380DA9"/>
    <w:rsid w:val="003846F7"/>
    <w:rsid w:val="00385A36"/>
    <w:rsid w:val="00385F3D"/>
    <w:rsid w:val="0038740C"/>
    <w:rsid w:val="00387B9D"/>
    <w:rsid w:val="00387C70"/>
    <w:rsid w:val="00390294"/>
    <w:rsid w:val="0039364F"/>
    <w:rsid w:val="00396686"/>
    <w:rsid w:val="0039778E"/>
    <w:rsid w:val="003A282D"/>
    <w:rsid w:val="003B4941"/>
    <w:rsid w:val="003C5714"/>
    <w:rsid w:val="003C6B9F"/>
    <w:rsid w:val="003C6E2A"/>
    <w:rsid w:val="003D0299"/>
    <w:rsid w:val="003D14EC"/>
    <w:rsid w:val="003E6D80"/>
    <w:rsid w:val="003E7BCC"/>
    <w:rsid w:val="003F05FA"/>
    <w:rsid w:val="003F219C"/>
    <w:rsid w:val="003F244A"/>
    <w:rsid w:val="003F2517"/>
    <w:rsid w:val="003F30B8"/>
    <w:rsid w:val="003F4C45"/>
    <w:rsid w:val="003F5F7B"/>
    <w:rsid w:val="003F7D64"/>
    <w:rsid w:val="0040433A"/>
    <w:rsid w:val="00414300"/>
    <w:rsid w:val="00414F27"/>
    <w:rsid w:val="00420703"/>
    <w:rsid w:val="00425C67"/>
    <w:rsid w:val="00427E7A"/>
    <w:rsid w:val="00431736"/>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A73C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4BC3"/>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5A5D"/>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55BA"/>
    <w:rsid w:val="005879A2"/>
    <w:rsid w:val="00592772"/>
    <w:rsid w:val="0059574A"/>
    <w:rsid w:val="005A1B9B"/>
    <w:rsid w:val="005A2221"/>
    <w:rsid w:val="005A2E79"/>
    <w:rsid w:val="005A6751"/>
    <w:rsid w:val="005B092E"/>
    <w:rsid w:val="005B10E6"/>
    <w:rsid w:val="005B152C"/>
    <w:rsid w:val="005B1EE0"/>
    <w:rsid w:val="005B2B24"/>
    <w:rsid w:val="005B4425"/>
    <w:rsid w:val="005B4B94"/>
    <w:rsid w:val="005C2C62"/>
    <w:rsid w:val="005C3EE8"/>
    <w:rsid w:val="005D0C85"/>
    <w:rsid w:val="005D2F2A"/>
    <w:rsid w:val="005D34F9"/>
    <w:rsid w:val="005D4190"/>
    <w:rsid w:val="005D67A3"/>
    <w:rsid w:val="005E2988"/>
    <w:rsid w:val="005E3085"/>
    <w:rsid w:val="005F0EB3"/>
    <w:rsid w:val="005F51E1"/>
    <w:rsid w:val="00611C80"/>
    <w:rsid w:val="00620692"/>
    <w:rsid w:val="00623885"/>
    <w:rsid w:val="006242CA"/>
    <w:rsid w:val="00625C44"/>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33A6"/>
    <w:rsid w:val="0068573E"/>
    <w:rsid w:val="006859CE"/>
    <w:rsid w:val="0068711F"/>
    <w:rsid w:val="00691270"/>
    <w:rsid w:val="00692477"/>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076D"/>
    <w:rsid w:val="006F1C2D"/>
    <w:rsid w:val="006F48CA"/>
    <w:rsid w:val="006F64DD"/>
    <w:rsid w:val="006F712D"/>
    <w:rsid w:val="00715127"/>
    <w:rsid w:val="00715E8E"/>
    <w:rsid w:val="00723580"/>
    <w:rsid w:val="00723755"/>
    <w:rsid w:val="00724CA0"/>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22A"/>
    <w:rsid w:val="00802C64"/>
    <w:rsid w:val="00805E52"/>
    <w:rsid w:val="008061D0"/>
    <w:rsid w:val="00810B38"/>
    <w:rsid w:val="00817DFD"/>
    <w:rsid w:val="008204C7"/>
    <w:rsid w:val="00820992"/>
    <w:rsid w:val="00821328"/>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092A"/>
    <w:rsid w:val="009013A7"/>
    <w:rsid w:val="009017FB"/>
    <w:rsid w:val="009017FC"/>
    <w:rsid w:val="00903675"/>
    <w:rsid w:val="0090506B"/>
    <w:rsid w:val="009050C9"/>
    <w:rsid w:val="009066FC"/>
    <w:rsid w:val="009140A3"/>
    <w:rsid w:val="009144A2"/>
    <w:rsid w:val="0091510C"/>
    <w:rsid w:val="009259AC"/>
    <w:rsid w:val="00926F38"/>
    <w:rsid w:val="00927BEB"/>
    <w:rsid w:val="009333DC"/>
    <w:rsid w:val="00934301"/>
    <w:rsid w:val="00936CD1"/>
    <w:rsid w:val="0094131C"/>
    <w:rsid w:val="009416E4"/>
    <w:rsid w:val="00941747"/>
    <w:rsid w:val="00941EFB"/>
    <w:rsid w:val="00947AFB"/>
    <w:rsid w:val="00951AA3"/>
    <w:rsid w:val="00951D7D"/>
    <w:rsid w:val="00956D0C"/>
    <w:rsid w:val="009630C7"/>
    <w:rsid w:val="00972B55"/>
    <w:rsid w:val="009743B7"/>
    <w:rsid w:val="0098228B"/>
    <w:rsid w:val="009828DA"/>
    <w:rsid w:val="0098410D"/>
    <w:rsid w:val="009853D1"/>
    <w:rsid w:val="00985BAB"/>
    <w:rsid w:val="00986B3C"/>
    <w:rsid w:val="009A115C"/>
    <w:rsid w:val="009A7FC1"/>
    <w:rsid w:val="009B1606"/>
    <w:rsid w:val="009B1B5F"/>
    <w:rsid w:val="009B6673"/>
    <w:rsid w:val="009C191B"/>
    <w:rsid w:val="009C2BD6"/>
    <w:rsid w:val="009D57AA"/>
    <w:rsid w:val="009E0A9B"/>
    <w:rsid w:val="009E1F32"/>
    <w:rsid w:val="009E2CC2"/>
    <w:rsid w:val="009E47A2"/>
    <w:rsid w:val="009E776C"/>
    <w:rsid w:val="009E7A6F"/>
    <w:rsid w:val="009F0822"/>
    <w:rsid w:val="009F44AC"/>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C7FDE"/>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A7429"/>
    <w:rsid w:val="00BB0637"/>
    <w:rsid w:val="00BB345F"/>
    <w:rsid w:val="00BB68EA"/>
    <w:rsid w:val="00BC0B99"/>
    <w:rsid w:val="00BC1C27"/>
    <w:rsid w:val="00BC56A7"/>
    <w:rsid w:val="00BC6BBF"/>
    <w:rsid w:val="00BD1572"/>
    <w:rsid w:val="00BE14E3"/>
    <w:rsid w:val="00BE3774"/>
    <w:rsid w:val="00BE41E5"/>
    <w:rsid w:val="00BE4CE2"/>
    <w:rsid w:val="00BE68C0"/>
    <w:rsid w:val="00BF118F"/>
    <w:rsid w:val="00BF4109"/>
    <w:rsid w:val="00BF4CC3"/>
    <w:rsid w:val="00BF7EFA"/>
    <w:rsid w:val="00C04ED9"/>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2D07"/>
    <w:rsid w:val="00C74810"/>
    <w:rsid w:val="00C75DF6"/>
    <w:rsid w:val="00C77B12"/>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E65EB"/>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B374F"/>
    <w:rsid w:val="00DC00A8"/>
    <w:rsid w:val="00DC169B"/>
    <w:rsid w:val="00DC2AB9"/>
    <w:rsid w:val="00DC63F0"/>
    <w:rsid w:val="00DD37EA"/>
    <w:rsid w:val="00DD6D45"/>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2877"/>
    <w:rsid w:val="00E838A6"/>
    <w:rsid w:val="00E849F7"/>
    <w:rsid w:val="00E90302"/>
    <w:rsid w:val="00E90E77"/>
    <w:rsid w:val="00E91D05"/>
    <w:rsid w:val="00E9262D"/>
    <w:rsid w:val="00E94245"/>
    <w:rsid w:val="00E95C1E"/>
    <w:rsid w:val="00E97396"/>
    <w:rsid w:val="00EA185E"/>
    <w:rsid w:val="00EA592A"/>
    <w:rsid w:val="00EB14E4"/>
    <w:rsid w:val="00EB32A5"/>
    <w:rsid w:val="00EB332A"/>
    <w:rsid w:val="00EB34ED"/>
    <w:rsid w:val="00EB447C"/>
    <w:rsid w:val="00EB7BE0"/>
    <w:rsid w:val="00EC003A"/>
    <w:rsid w:val="00EC0E55"/>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67E7"/>
    <w:rsid w:val="00F07C1E"/>
    <w:rsid w:val="00F105DB"/>
    <w:rsid w:val="00F132BC"/>
    <w:rsid w:val="00F13D80"/>
    <w:rsid w:val="00F15B4D"/>
    <w:rsid w:val="00F16A7C"/>
    <w:rsid w:val="00F16AAA"/>
    <w:rsid w:val="00F1709C"/>
    <w:rsid w:val="00F21161"/>
    <w:rsid w:val="00F218EF"/>
    <w:rsid w:val="00F21BC7"/>
    <w:rsid w:val="00F266A2"/>
    <w:rsid w:val="00F32230"/>
    <w:rsid w:val="00F32269"/>
    <w:rsid w:val="00F35B7A"/>
    <w:rsid w:val="00F5422B"/>
    <w:rsid w:val="00F56A6F"/>
    <w:rsid w:val="00F5709C"/>
    <w:rsid w:val="00F60B85"/>
    <w:rsid w:val="00F64EF1"/>
    <w:rsid w:val="00F72498"/>
    <w:rsid w:val="00F72B14"/>
    <w:rsid w:val="00F7349B"/>
    <w:rsid w:val="00F83F45"/>
    <w:rsid w:val="00F8765F"/>
    <w:rsid w:val="00F90767"/>
    <w:rsid w:val="00F9263C"/>
    <w:rsid w:val="00F97EBC"/>
    <w:rsid w:val="00FA1637"/>
    <w:rsid w:val="00FA685B"/>
    <w:rsid w:val="00FB0C01"/>
    <w:rsid w:val="00FB5934"/>
    <w:rsid w:val="00FC18F2"/>
    <w:rsid w:val="00FC2A17"/>
    <w:rsid w:val="00FC38CF"/>
    <w:rsid w:val="00FC39E5"/>
    <w:rsid w:val="00FC3A78"/>
    <w:rsid w:val="00FD0795"/>
    <w:rsid w:val="00FD1005"/>
    <w:rsid w:val="00FD1EF4"/>
    <w:rsid w:val="00FD1F7F"/>
    <w:rsid w:val="00FD376B"/>
    <w:rsid w:val="00FD6C75"/>
    <w:rsid w:val="00FD7972"/>
    <w:rsid w:val="00FE0401"/>
    <w:rsid w:val="00FE1F3F"/>
    <w:rsid w:val="00FE71B3"/>
    <w:rsid w:val="00FF42C5"/>
    <w:rsid w:val="00FF5E22"/>
    <w:rsid w:val="00FF7FF0"/>
  </w:rsids>
  <w:docVars>
    <w:docVar w:name="ApplicationsApp" w:val="2"/>
    <w:docVar w:name="EMM" w:val="0"/>
    <w:docVar w:name="NBEMMDOC" w:val="0"/>
    <w:docVar w:name="Plural" w:val="3"/>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73667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FD1EF4"/>
    <w:rPr>
      <w:sz w:val="24"/>
      <w:szCs w:val="24"/>
      <w:lang w:val="en-GB"/>
    </w:rPr>
  </w:style>
  <w:style w:type="paragraph" w:styleId="Heading1">
    <w:name w:val="heading 1"/>
    <w:basedOn w:val="Normal"/>
    <w:next w:val="Normal"/>
    <w:link w:val="Heading1Char"/>
    <w:uiPriority w:val="98"/>
    <w:semiHidden/>
    <w:rsid w:val="00525A5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25A5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25A5D"/>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25A5D"/>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25A5D"/>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25A5D"/>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25A5D"/>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25A5D"/>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25A5D"/>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25A5D"/>
    <w:rPr>
      <w:rFonts w:ascii="Tahoma" w:hAnsi="Tahoma" w:cs="Tahoma"/>
      <w:sz w:val="16"/>
      <w:szCs w:val="16"/>
    </w:rPr>
  </w:style>
  <w:style w:type="character" w:customStyle="1" w:styleId="BalloonTextChar">
    <w:name w:val="Balloon Text Char"/>
    <w:basedOn w:val="DefaultParagraphFont"/>
    <w:link w:val="BalloonText"/>
    <w:uiPriority w:val="98"/>
    <w:semiHidden/>
    <w:rsid w:val="00525A5D"/>
    <w:rPr>
      <w:rFonts w:ascii="Tahoma" w:hAnsi="Tahoma" w:cs="Tahoma"/>
      <w:sz w:val="16"/>
      <w:szCs w:val="16"/>
      <w:lang w:val="en-GB"/>
    </w:rPr>
  </w:style>
  <w:style w:type="character" w:styleId="BookTitle">
    <w:name w:val="Book Title"/>
    <w:uiPriority w:val="98"/>
    <w:semiHidden/>
    <w:qFormat/>
    <w:rsid w:val="00525A5D"/>
    <w:rPr>
      <w:i/>
      <w:iCs/>
      <w:smallCaps/>
      <w:spacing w:val="5"/>
    </w:rPr>
  </w:style>
  <w:style w:type="paragraph" w:customStyle="1" w:styleId="JuHeader">
    <w:name w:val="Ju_Header"/>
    <w:aliases w:val="_Header"/>
    <w:basedOn w:val="Header0"/>
    <w:uiPriority w:val="29"/>
    <w:qFormat/>
    <w:rsid w:val="00525A5D"/>
    <w:pPr>
      <w:tabs>
        <w:tab w:val="clear" w:pos="4536"/>
        <w:tab w:val="clear" w:pos="9072"/>
      </w:tabs>
      <w:jc w:val="center"/>
    </w:pPr>
    <w:rPr>
      <w:sz w:val="18"/>
    </w:rPr>
  </w:style>
  <w:style w:type="paragraph" w:customStyle="1" w:styleId="NormalJustified">
    <w:name w:val="Normal_Justified"/>
    <w:basedOn w:val="Normal"/>
    <w:semiHidden/>
    <w:rsid w:val="00525A5D"/>
    <w:pPr>
      <w:jc w:val="both"/>
    </w:pPr>
  </w:style>
  <w:style w:type="character" w:styleId="Strong">
    <w:name w:val="Strong"/>
    <w:uiPriority w:val="98"/>
    <w:semiHidden/>
    <w:qFormat/>
    <w:rsid w:val="00525A5D"/>
    <w:rPr>
      <w:b/>
      <w:bCs/>
    </w:rPr>
  </w:style>
  <w:style w:type="paragraph" w:styleId="NoSpacing">
    <w:name w:val="No Spacing"/>
    <w:basedOn w:val="Normal"/>
    <w:link w:val="NoSpacingChar"/>
    <w:uiPriority w:val="98"/>
    <w:semiHidden/>
    <w:qFormat/>
    <w:rsid w:val="00525A5D"/>
  </w:style>
  <w:style w:type="character" w:customStyle="1" w:styleId="NoSpacingChar">
    <w:name w:val="No Spacing Char"/>
    <w:basedOn w:val="DefaultParagraphFont"/>
    <w:link w:val="NoSpacing"/>
    <w:uiPriority w:val="98"/>
    <w:rsid w:val="00525A5D"/>
    <w:rPr>
      <w:sz w:val="24"/>
      <w:szCs w:val="24"/>
      <w:lang w:val="en-GB"/>
    </w:rPr>
  </w:style>
  <w:style w:type="paragraph" w:customStyle="1" w:styleId="JuQuot">
    <w:name w:val="Ju_Quot"/>
    <w:aliases w:val="_Quote"/>
    <w:basedOn w:val="NormalJustified"/>
    <w:uiPriority w:val="20"/>
    <w:qFormat/>
    <w:rsid w:val="00525A5D"/>
    <w:pPr>
      <w:spacing w:before="120" w:after="120"/>
      <w:ind w:left="425" w:firstLine="142"/>
    </w:pPr>
    <w:rPr>
      <w:sz w:val="20"/>
    </w:rPr>
  </w:style>
  <w:style w:type="paragraph" w:customStyle="1" w:styleId="DummyStyle">
    <w:name w:val="Dummy_Style"/>
    <w:aliases w:val="_Dummy"/>
    <w:basedOn w:val="Normal"/>
    <w:semiHidden/>
    <w:qFormat/>
    <w:rsid w:val="00525A5D"/>
    <w:rPr>
      <w:color w:val="00B050"/>
      <w:sz w:val="22"/>
    </w:rPr>
  </w:style>
  <w:style w:type="paragraph" w:customStyle="1" w:styleId="JuList">
    <w:name w:val="Ju_List"/>
    <w:aliases w:val="_List_1"/>
    <w:basedOn w:val="NormalJustified"/>
    <w:uiPriority w:val="23"/>
    <w:qFormat/>
    <w:rsid w:val="00525A5D"/>
    <w:pPr>
      <w:numPr>
        <w:numId w:val="10"/>
      </w:numPr>
      <w:spacing w:before="280" w:after="60"/>
    </w:pPr>
  </w:style>
  <w:style w:type="paragraph" w:customStyle="1" w:styleId="JuLista">
    <w:name w:val="Ju_List_a"/>
    <w:aliases w:val="_List_2"/>
    <w:basedOn w:val="NormalJustified"/>
    <w:uiPriority w:val="23"/>
    <w:rsid w:val="00525A5D"/>
    <w:pPr>
      <w:numPr>
        <w:ilvl w:val="1"/>
        <w:numId w:val="10"/>
      </w:numPr>
    </w:pPr>
  </w:style>
  <w:style w:type="paragraph" w:customStyle="1" w:styleId="JuListi">
    <w:name w:val="Ju_List_i"/>
    <w:aliases w:val="_List_3"/>
    <w:basedOn w:val="NormalJustified"/>
    <w:uiPriority w:val="23"/>
    <w:rsid w:val="00525A5D"/>
    <w:pPr>
      <w:numPr>
        <w:ilvl w:val="2"/>
        <w:numId w:val="10"/>
      </w:numPr>
    </w:pPr>
  </w:style>
  <w:style w:type="paragraph" w:customStyle="1" w:styleId="JuHArticle">
    <w:name w:val="Ju_H_Article"/>
    <w:aliases w:val="_Title_Quote"/>
    <w:basedOn w:val="Normal"/>
    <w:next w:val="JuQuot"/>
    <w:uiPriority w:val="19"/>
    <w:qFormat/>
    <w:rsid w:val="00525A5D"/>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25A5D"/>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25A5D"/>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25A5D"/>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25A5D"/>
    <w:pPr>
      <w:numPr>
        <w:numId w:val="4"/>
      </w:numPr>
    </w:pPr>
  </w:style>
  <w:style w:type="paragraph" w:customStyle="1" w:styleId="JuSigned">
    <w:name w:val="Ju_Signed"/>
    <w:aliases w:val="_Signature"/>
    <w:basedOn w:val="Normal"/>
    <w:next w:val="JuPara"/>
    <w:uiPriority w:val="31"/>
    <w:qFormat/>
    <w:rsid w:val="00525A5D"/>
    <w:pPr>
      <w:tabs>
        <w:tab w:val="center" w:pos="1418"/>
        <w:tab w:val="center" w:pos="5954"/>
      </w:tabs>
      <w:spacing w:before="720"/>
    </w:pPr>
  </w:style>
  <w:style w:type="paragraph" w:styleId="Title">
    <w:name w:val="Title"/>
    <w:basedOn w:val="Normal"/>
    <w:next w:val="Normal"/>
    <w:link w:val="TitleChar"/>
    <w:uiPriority w:val="98"/>
    <w:semiHidden/>
    <w:qFormat/>
    <w:rsid w:val="00525A5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525A5D"/>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25A5D"/>
    <w:pPr>
      <w:numPr>
        <w:numId w:val="5"/>
      </w:numPr>
    </w:pPr>
  </w:style>
  <w:style w:type="numbering" w:customStyle="1" w:styleId="ECHRA1StyleNumberedList">
    <w:name w:val="ECHR_A1_Style_Numbered_List"/>
    <w:basedOn w:val="NoList"/>
    <w:rsid w:val="00525A5D"/>
    <w:pPr>
      <w:numPr>
        <w:numId w:val="6"/>
      </w:numPr>
    </w:pPr>
  </w:style>
  <w:style w:type="table" w:customStyle="1" w:styleId="ECHRTable2019">
    <w:name w:val="ECHR_Table_2019"/>
    <w:basedOn w:val="TableNormal"/>
    <w:uiPriority w:val="99"/>
    <w:rsid w:val="00525A5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525A5D"/>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25A5D"/>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25A5D"/>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25A5D"/>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525A5D"/>
    <w:pPr>
      <w:tabs>
        <w:tab w:val="center" w:pos="4536"/>
        <w:tab w:val="right" w:pos="9072"/>
      </w:tabs>
    </w:pPr>
  </w:style>
  <w:style w:type="character" w:customStyle="1" w:styleId="HeaderChar">
    <w:name w:val="Header Char"/>
    <w:basedOn w:val="DefaultParagraphFont"/>
    <w:link w:val="Header0"/>
    <w:uiPriority w:val="98"/>
    <w:semiHidden/>
    <w:rsid w:val="00525A5D"/>
    <w:rPr>
      <w:sz w:val="24"/>
      <w:szCs w:val="24"/>
      <w:lang w:val="en-GB"/>
    </w:rPr>
  </w:style>
  <w:style w:type="character" w:customStyle="1" w:styleId="Heading1Char">
    <w:name w:val="Heading 1 Char"/>
    <w:basedOn w:val="DefaultParagraphFont"/>
    <w:link w:val="Heading1"/>
    <w:uiPriority w:val="98"/>
    <w:rsid w:val="00525A5D"/>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25A5D"/>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525A5D"/>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25A5D"/>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25A5D"/>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25A5D"/>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525A5D"/>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525A5D"/>
    <w:pPr>
      <w:keepNext/>
      <w:keepLines/>
      <w:spacing w:before="240" w:after="240"/>
      <w:ind w:firstLine="284"/>
    </w:pPr>
  </w:style>
  <w:style w:type="paragraph" w:customStyle="1" w:styleId="JuJudges">
    <w:name w:val="Ju_Judges"/>
    <w:aliases w:val="_Judges"/>
    <w:basedOn w:val="Normal"/>
    <w:uiPriority w:val="32"/>
    <w:qFormat/>
    <w:rsid w:val="00525A5D"/>
    <w:pPr>
      <w:tabs>
        <w:tab w:val="left" w:pos="567"/>
        <w:tab w:val="left" w:pos="1134"/>
      </w:tabs>
    </w:pPr>
  </w:style>
  <w:style w:type="character" w:customStyle="1" w:styleId="Heading4Char">
    <w:name w:val="Heading 4 Char"/>
    <w:basedOn w:val="DefaultParagraphFont"/>
    <w:link w:val="Heading4"/>
    <w:uiPriority w:val="98"/>
    <w:semiHidden/>
    <w:rsid w:val="00525A5D"/>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25A5D"/>
    <w:pPr>
      <w:tabs>
        <w:tab w:val="center" w:pos="6407"/>
      </w:tabs>
      <w:spacing w:before="720"/>
      <w:jc w:val="right"/>
    </w:pPr>
  </w:style>
  <w:style w:type="character" w:customStyle="1" w:styleId="Heading5Char">
    <w:name w:val="Heading 5 Char"/>
    <w:basedOn w:val="DefaultParagraphFont"/>
    <w:link w:val="Heading5"/>
    <w:uiPriority w:val="98"/>
    <w:semiHidden/>
    <w:rsid w:val="00525A5D"/>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25A5D"/>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25A5D"/>
    <w:rPr>
      <w:caps w:val="0"/>
      <w:smallCaps/>
    </w:rPr>
  </w:style>
  <w:style w:type="character" w:styleId="SubtleEmphasis">
    <w:name w:val="Subtle Emphasis"/>
    <w:uiPriority w:val="98"/>
    <w:semiHidden/>
    <w:qFormat/>
    <w:rsid w:val="00525A5D"/>
    <w:rPr>
      <w:i/>
      <w:iCs/>
    </w:rPr>
  </w:style>
  <w:style w:type="table" w:customStyle="1" w:styleId="ECHRTable">
    <w:name w:val="ECHR_Table"/>
    <w:basedOn w:val="TableNormal"/>
    <w:rsid w:val="00525A5D"/>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25A5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25A5D"/>
    <w:rPr>
      <w:b/>
      <w:bCs/>
      <w:i/>
      <w:iCs/>
      <w:spacing w:val="10"/>
      <w:bdr w:val="none" w:sz="0" w:space="0" w:color="auto"/>
      <w:shd w:val="clear" w:color="auto" w:fill="auto"/>
    </w:rPr>
  </w:style>
  <w:style w:type="paragraph" w:styleId="Footer1">
    <w:name w:val="footer"/>
    <w:basedOn w:val="Normal"/>
    <w:link w:val="FooterChar"/>
    <w:uiPriority w:val="98"/>
    <w:semiHidden/>
    <w:rsid w:val="00525A5D"/>
    <w:pPr>
      <w:tabs>
        <w:tab w:val="center" w:pos="3686"/>
        <w:tab w:val="right" w:pos="7371"/>
      </w:tabs>
    </w:pPr>
  </w:style>
  <w:style w:type="character" w:customStyle="1" w:styleId="FooterChar">
    <w:name w:val="Footer Char"/>
    <w:basedOn w:val="DefaultParagraphFont"/>
    <w:link w:val="Footer1"/>
    <w:uiPriority w:val="98"/>
    <w:semiHidden/>
    <w:rsid w:val="00525A5D"/>
    <w:rPr>
      <w:sz w:val="24"/>
      <w:szCs w:val="24"/>
      <w:lang w:val="en-GB"/>
    </w:rPr>
  </w:style>
  <w:style w:type="character" w:styleId="FootnoteReference">
    <w:name w:val="footnote reference"/>
    <w:basedOn w:val="DefaultParagraphFont"/>
    <w:uiPriority w:val="98"/>
    <w:semiHidden/>
    <w:rsid w:val="00525A5D"/>
    <w:rPr>
      <w:vertAlign w:val="superscript"/>
    </w:rPr>
  </w:style>
  <w:style w:type="paragraph" w:styleId="FootnoteText">
    <w:name w:val="footnote text"/>
    <w:basedOn w:val="NormalJustified"/>
    <w:link w:val="FootnoteTextChar"/>
    <w:uiPriority w:val="98"/>
    <w:semiHidden/>
    <w:rsid w:val="00525A5D"/>
    <w:rPr>
      <w:sz w:val="20"/>
      <w:szCs w:val="20"/>
    </w:rPr>
  </w:style>
  <w:style w:type="character" w:customStyle="1" w:styleId="FootnoteTextChar">
    <w:name w:val="Footnote Text Char"/>
    <w:basedOn w:val="DefaultParagraphFont"/>
    <w:link w:val="FootnoteText"/>
    <w:uiPriority w:val="98"/>
    <w:semiHidden/>
    <w:rsid w:val="00525A5D"/>
    <w:rPr>
      <w:sz w:val="20"/>
      <w:szCs w:val="20"/>
      <w:lang w:val="en-GB"/>
    </w:rPr>
  </w:style>
  <w:style w:type="character" w:customStyle="1" w:styleId="Heading6Char">
    <w:name w:val="Heading 6 Char"/>
    <w:basedOn w:val="DefaultParagraphFont"/>
    <w:link w:val="Heading6"/>
    <w:uiPriority w:val="98"/>
    <w:semiHidden/>
    <w:rsid w:val="00525A5D"/>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25A5D"/>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25A5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25A5D"/>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25A5D"/>
    <w:rPr>
      <w:color w:val="0072BC" w:themeColor="hyperlink"/>
      <w:u w:val="single"/>
    </w:rPr>
  </w:style>
  <w:style w:type="character" w:styleId="IntenseEmphasis">
    <w:name w:val="Intense Emphasis"/>
    <w:uiPriority w:val="98"/>
    <w:semiHidden/>
    <w:qFormat/>
    <w:rsid w:val="00525A5D"/>
    <w:rPr>
      <w:b/>
      <w:bCs/>
    </w:rPr>
  </w:style>
  <w:style w:type="paragraph" w:styleId="IntenseQuote">
    <w:name w:val="Intense Quote"/>
    <w:basedOn w:val="Normal"/>
    <w:next w:val="Normal"/>
    <w:link w:val="IntenseQuoteChar"/>
    <w:uiPriority w:val="98"/>
    <w:semiHidden/>
    <w:qFormat/>
    <w:rsid w:val="00525A5D"/>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525A5D"/>
    <w:rPr>
      <w:b/>
      <w:bCs/>
      <w:i/>
      <w:iCs/>
      <w:sz w:val="24"/>
      <w:szCs w:val="24"/>
      <w:lang w:val="en-GB" w:bidi="en-US"/>
    </w:rPr>
  </w:style>
  <w:style w:type="character" w:styleId="IntenseReference">
    <w:name w:val="Intense Reference"/>
    <w:uiPriority w:val="98"/>
    <w:semiHidden/>
    <w:qFormat/>
    <w:rsid w:val="00525A5D"/>
    <w:rPr>
      <w:smallCaps/>
      <w:spacing w:val="5"/>
      <w:u w:val="single"/>
    </w:rPr>
  </w:style>
  <w:style w:type="paragraph" w:styleId="ListParagraph">
    <w:name w:val="List Paragraph"/>
    <w:basedOn w:val="Normal"/>
    <w:uiPriority w:val="98"/>
    <w:semiHidden/>
    <w:qFormat/>
    <w:rsid w:val="00525A5D"/>
    <w:pPr>
      <w:ind w:left="720"/>
      <w:contextualSpacing/>
    </w:pPr>
  </w:style>
  <w:style w:type="table" w:customStyle="1" w:styleId="LtrTableAddress">
    <w:name w:val="Ltr_Table_Address"/>
    <w:aliases w:val="ECHR_Ltr_Table_Address"/>
    <w:basedOn w:val="TableNormal"/>
    <w:uiPriority w:val="99"/>
    <w:rsid w:val="00525A5D"/>
    <w:rPr>
      <w:sz w:val="24"/>
      <w:szCs w:val="24"/>
    </w:rPr>
    <w:tblPr>
      <w:tblInd w:w="5103" w:type="dxa"/>
    </w:tblPr>
  </w:style>
  <w:style w:type="paragraph" w:styleId="Quote0">
    <w:name w:val="Quote"/>
    <w:basedOn w:val="Normal"/>
    <w:next w:val="Normal"/>
    <w:link w:val="QuoteChar"/>
    <w:uiPriority w:val="98"/>
    <w:semiHidden/>
    <w:qFormat/>
    <w:rsid w:val="00525A5D"/>
    <w:pPr>
      <w:spacing w:before="200"/>
      <w:ind w:left="360" w:right="360"/>
    </w:pPr>
    <w:rPr>
      <w:i/>
      <w:iCs/>
      <w:lang w:bidi="en-US"/>
    </w:rPr>
  </w:style>
  <w:style w:type="character" w:customStyle="1" w:styleId="QuoteChar">
    <w:name w:val="Quote Char"/>
    <w:basedOn w:val="DefaultParagraphFont"/>
    <w:link w:val="Quote0"/>
    <w:uiPriority w:val="98"/>
    <w:rsid w:val="00525A5D"/>
    <w:rPr>
      <w:i/>
      <w:iCs/>
      <w:sz w:val="24"/>
      <w:szCs w:val="24"/>
      <w:lang w:val="en-GB" w:bidi="en-US"/>
    </w:rPr>
  </w:style>
  <w:style w:type="character" w:styleId="SubtleReference">
    <w:name w:val="Subtle Reference"/>
    <w:uiPriority w:val="98"/>
    <w:semiHidden/>
    <w:qFormat/>
    <w:rsid w:val="00525A5D"/>
    <w:rPr>
      <w:smallCaps/>
    </w:rPr>
  </w:style>
  <w:style w:type="table" w:styleId="TableGrid">
    <w:name w:val="Table Grid"/>
    <w:basedOn w:val="TableNormal"/>
    <w:uiPriority w:val="59"/>
    <w:semiHidden/>
    <w:rsid w:val="00525A5D"/>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25A5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25A5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25A5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25A5D"/>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25A5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25A5D"/>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25A5D"/>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25A5D"/>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25A5D"/>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25A5D"/>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25A5D"/>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25A5D"/>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25A5D"/>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25A5D"/>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525A5D"/>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25A5D"/>
    <w:pPr>
      <w:numPr>
        <w:numId w:val="1"/>
      </w:numPr>
    </w:pPr>
  </w:style>
  <w:style w:type="paragraph" w:customStyle="1" w:styleId="JuPara">
    <w:name w:val="Ju_Para"/>
    <w:aliases w:val="_Para"/>
    <w:basedOn w:val="NormalJustified"/>
    <w:link w:val="JuParaChar"/>
    <w:uiPriority w:val="4"/>
    <w:qFormat/>
    <w:rsid w:val="00525A5D"/>
    <w:pPr>
      <w:ind w:firstLine="284"/>
    </w:pPr>
  </w:style>
  <w:style w:type="numbering" w:styleId="1ai">
    <w:name w:val="Outline List 1"/>
    <w:basedOn w:val="NoList"/>
    <w:uiPriority w:val="99"/>
    <w:semiHidden/>
    <w:unhideWhenUsed/>
    <w:rsid w:val="00525A5D"/>
    <w:pPr>
      <w:numPr>
        <w:numId w:val="2"/>
      </w:numPr>
    </w:pPr>
  </w:style>
  <w:style w:type="table" w:customStyle="1" w:styleId="ECHRTableSimpleBox">
    <w:name w:val="ECHR_Table_Simple_Box"/>
    <w:basedOn w:val="TableNormal"/>
    <w:uiPriority w:val="99"/>
    <w:rsid w:val="00525A5D"/>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25A5D"/>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25A5D"/>
    <w:pPr>
      <w:numPr>
        <w:numId w:val="3"/>
      </w:numPr>
    </w:pPr>
  </w:style>
  <w:style w:type="table" w:customStyle="1" w:styleId="ECHRTableForInternalUse">
    <w:name w:val="ECHR_Table_For_Internal_Use"/>
    <w:basedOn w:val="TableNormal"/>
    <w:uiPriority w:val="99"/>
    <w:rsid w:val="00525A5D"/>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25A5D"/>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25A5D"/>
  </w:style>
  <w:style w:type="paragraph" w:styleId="BlockText">
    <w:name w:val="Block Text"/>
    <w:basedOn w:val="Normal"/>
    <w:uiPriority w:val="98"/>
    <w:semiHidden/>
    <w:rsid w:val="00525A5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25A5D"/>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25A5D"/>
    <w:pPr>
      <w:spacing w:after="120"/>
    </w:pPr>
  </w:style>
  <w:style w:type="character" w:customStyle="1" w:styleId="BodyTextChar">
    <w:name w:val="Body Text Char"/>
    <w:basedOn w:val="DefaultParagraphFont"/>
    <w:link w:val="BodyText"/>
    <w:uiPriority w:val="98"/>
    <w:semiHidden/>
    <w:rsid w:val="00525A5D"/>
    <w:rPr>
      <w:sz w:val="24"/>
      <w:szCs w:val="24"/>
      <w:lang w:val="en-GB"/>
    </w:rPr>
  </w:style>
  <w:style w:type="table" w:customStyle="1" w:styleId="ECHRTableOddBanded">
    <w:name w:val="ECHR_Table_Odd_Banded"/>
    <w:basedOn w:val="TableNormal"/>
    <w:uiPriority w:val="99"/>
    <w:rsid w:val="00525A5D"/>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25A5D"/>
    <w:pPr>
      <w:spacing w:after="120" w:line="480" w:lineRule="auto"/>
    </w:pPr>
  </w:style>
  <w:style w:type="table" w:customStyle="1" w:styleId="ECHRHeaderTableReduced">
    <w:name w:val="ECHR_Header_Table_Reduced"/>
    <w:basedOn w:val="TableNormal"/>
    <w:uiPriority w:val="99"/>
    <w:rsid w:val="00525A5D"/>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525A5D"/>
    <w:pPr>
      <w:ind w:firstLine="284"/>
    </w:pPr>
    <w:rPr>
      <w:b/>
    </w:rPr>
  </w:style>
  <w:style w:type="character" w:styleId="PageNumber">
    <w:name w:val="page number"/>
    <w:uiPriority w:val="98"/>
    <w:semiHidden/>
    <w:rsid w:val="00525A5D"/>
    <w:rPr>
      <w:sz w:val="18"/>
    </w:rPr>
  </w:style>
  <w:style w:type="paragraph" w:styleId="ListBullet">
    <w:name w:val="List Bullet"/>
    <w:basedOn w:val="Normal"/>
    <w:uiPriority w:val="98"/>
    <w:semiHidden/>
    <w:rsid w:val="00525A5D"/>
    <w:pPr>
      <w:numPr>
        <w:numId w:val="11"/>
      </w:numPr>
    </w:pPr>
  </w:style>
  <w:style w:type="paragraph" w:styleId="ListBullet3">
    <w:name w:val="List Bullet 3"/>
    <w:basedOn w:val="Normal"/>
    <w:uiPriority w:val="98"/>
    <w:semiHidden/>
    <w:rsid w:val="00525A5D"/>
    <w:pPr>
      <w:numPr>
        <w:numId w:val="13"/>
      </w:numPr>
      <w:contextualSpacing/>
    </w:pPr>
  </w:style>
  <w:style w:type="character" w:customStyle="1" w:styleId="BodyText2Char">
    <w:name w:val="Body Text 2 Char"/>
    <w:basedOn w:val="DefaultParagraphFont"/>
    <w:link w:val="BodyText2"/>
    <w:uiPriority w:val="98"/>
    <w:semiHidden/>
    <w:rsid w:val="00525A5D"/>
    <w:rPr>
      <w:sz w:val="24"/>
      <w:szCs w:val="24"/>
      <w:lang w:val="en-GB"/>
    </w:rPr>
  </w:style>
  <w:style w:type="paragraph" w:styleId="BodyText3">
    <w:name w:val="Body Text 3"/>
    <w:basedOn w:val="Normal"/>
    <w:link w:val="BodyText3Char"/>
    <w:uiPriority w:val="98"/>
    <w:semiHidden/>
    <w:rsid w:val="00525A5D"/>
    <w:pPr>
      <w:spacing w:after="120"/>
    </w:pPr>
    <w:rPr>
      <w:sz w:val="16"/>
      <w:szCs w:val="16"/>
    </w:rPr>
  </w:style>
  <w:style w:type="character" w:customStyle="1" w:styleId="BodyText3Char">
    <w:name w:val="Body Text 3 Char"/>
    <w:basedOn w:val="DefaultParagraphFont"/>
    <w:link w:val="BodyText3"/>
    <w:uiPriority w:val="98"/>
    <w:semiHidden/>
    <w:rsid w:val="00525A5D"/>
    <w:rPr>
      <w:sz w:val="16"/>
      <w:szCs w:val="16"/>
      <w:lang w:val="en-GB"/>
    </w:rPr>
  </w:style>
  <w:style w:type="paragraph" w:styleId="BodyTextFirstIndent">
    <w:name w:val="Body Text First Indent"/>
    <w:basedOn w:val="BodyText"/>
    <w:link w:val="BodyTextFirstIndentChar"/>
    <w:uiPriority w:val="98"/>
    <w:semiHidden/>
    <w:rsid w:val="00525A5D"/>
    <w:pPr>
      <w:spacing w:after="0"/>
      <w:ind w:firstLine="360"/>
    </w:pPr>
  </w:style>
  <w:style w:type="character" w:customStyle="1" w:styleId="BodyTextFirstIndentChar">
    <w:name w:val="Body Text First Indent Char"/>
    <w:basedOn w:val="BodyTextChar"/>
    <w:link w:val="BodyTextFirstIndent"/>
    <w:uiPriority w:val="98"/>
    <w:semiHidden/>
    <w:rsid w:val="00525A5D"/>
    <w:rPr>
      <w:sz w:val="24"/>
      <w:szCs w:val="24"/>
      <w:lang w:val="en-GB"/>
    </w:rPr>
  </w:style>
  <w:style w:type="paragraph" w:styleId="BodyTextIndent">
    <w:name w:val="Body Text Indent"/>
    <w:basedOn w:val="Normal"/>
    <w:link w:val="BodyTextIndentChar"/>
    <w:uiPriority w:val="98"/>
    <w:semiHidden/>
    <w:rsid w:val="00525A5D"/>
    <w:pPr>
      <w:spacing w:after="120"/>
      <w:ind w:left="283"/>
    </w:pPr>
  </w:style>
  <w:style w:type="character" w:customStyle="1" w:styleId="BodyTextIndentChar">
    <w:name w:val="Body Text Indent Char"/>
    <w:basedOn w:val="DefaultParagraphFont"/>
    <w:link w:val="BodyTextIndent"/>
    <w:uiPriority w:val="98"/>
    <w:semiHidden/>
    <w:rsid w:val="00525A5D"/>
    <w:rPr>
      <w:sz w:val="24"/>
      <w:szCs w:val="24"/>
      <w:lang w:val="en-GB"/>
    </w:rPr>
  </w:style>
  <w:style w:type="paragraph" w:styleId="BodyTextFirstIndent2">
    <w:name w:val="Body Text First Indent 2"/>
    <w:basedOn w:val="BodyTextIndent"/>
    <w:link w:val="BodyTextFirstIndent2Char"/>
    <w:uiPriority w:val="98"/>
    <w:semiHidden/>
    <w:rsid w:val="00525A5D"/>
    <w:pPr>
      <w:spacing w:after="0"/>
      <w:ind w:left="360" w:firstLine="360"/>
    </w:pPr>
  </w:style>
  <w:style w:type="character" w:customStyle="1" w:styleId="BodyTextFirstIndent2Char">
    <w:name w:val="Body Text First Indent 2 Char"/>
    <w:basedOn w:val="BodyTextIndentChar"/>
    <w:link w:val="BodyTextFirstIndent2"/>
    <w:uiPriority w:val="98"/>
    <w:semiHidden/>
    <w:rsid w:val="00525A5D"/>
    <w:rPr>
      <w:sz w:val="24"/>
      <w:szCs w:val="24"/>
      <w:lang w:val="en-GB"/>
    </w:rPr>
  </w:style>
  <w:style w:type="paragraph" w:styleId="BodyTextIndent2">
    <w:name w:val="Body Text Indent 2"/>
    <w:basedOn w:val="Normal"/>
    <w:link w:val="BodyTextIndent2Char"/>
    <w:uiPriority w:val="98"/>
    <w:semiHidden/>
    <w:rsid w:val="00525A5D"/>
    <w:pPr>
      <w:spacing w:after="120" w:line="480" w:lineRule="auto"/>
      <w:ind w:left="283"/>
    </w:pPr>
  </w:style>
  <w:style w:type="character" w:customStyle="1" w:styleId="BodyTextIndent2Char">
    <w:name w:val="Body Text Indent 2 Char"/>
    <w:basedOn w:val="DefaultParagraphFont"/>
    <w:link w:val="BodyTextIndent2"/>
    <w:uiPriority w:val="98"/>
    <w:semiHidden/>
    <w:rsid w:val="00525A5D"/>
    <w:rPr>
      <w:sz w:val="24"/>
      <w:szCs w:val="24"/>
      <w:lang w:val="en-GB"/>
    </w:rPr>
  </w:style>
  <w:style w:type="paragraph" w:styleId="BodyTextIndent3">
    <w:name w:val="Body Text Indent 3"/>
    <w:basedOn w:val="Normal"/>
    <w:link w:val="BodyTextIndent3Char"/>
    <w:uiPriority w:val="98"/>
    <w:semiHidden/>
    <w:rsid w:val="00525A5D"/>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25A5D"/>
    <w:rPr>
      <w:sz w:val="16"/>
      <w:szCs w:val="16"/>
      <w:lang w:val="en-GB"/>
    </w:rPr>
  </w:style>
  <w:style w:type="paragraph" w:styleId="Caption">
    <w:name w:val="caption"/>
    <w:basedOn w:val="Normal"/>
    <w:next w:val="Normal"/>
    <w:uiPriority w:val="98"/>
    <w:semiHidden/>
    <w:qFormat/>
    <w:rsid w:val="00525A5D"/>
    <w:pPr>
      <w:spacing w:after="200"/>
    </w:pPr>
    <w:rPr>
      <w:b/>
      <w:bCs/>
      <w:color w:val="0072BC" w:themeColor="accent1"/>
      <w:sz w:val="18"/>
      <w:szCs w:val="18"/>
    </w:rPr>
  </w:style>
  <w:style w:type="paragraph" w:styleId="Closing">
    <w:name w:val="Closing"/>
    <w:basedOn w:val="Normal"/>
    <w:link w:val="ClosingChar"/>
    <w:uiPriority w:val="98"/>
    <w:semiHidden/>
    <w:rsid w:val="00525A5D"/>
    <w:pPr>
      <w:ind w:left="4252"/>
    </w:pPr>
  </w:style>
  <w:style w:type="character" w:customStyle="1" w:styleId="ClosingChar">
    <w:name w:val="Closing Char"/>
    <w:basedOn w:val="DefaultParagraphFont"/>
    <w:link w:val="Closing"/>
    <w:uiPriority w:val="98"/>
    <w:semiHidden/>
    <w:rsid w:val="00525A5D"/>
    <w:rPr>
      <w:sz w:val="24"/>
      <w:szCs w:val="24"/>
      <w:lang w:val="en-GB"/>
    </w:rPr>
  </w:style>
  <w:style w:type="table" w:styleId="ColorfulGrid">
    <w:name w:val="Colorful Grid"/>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25A5D"/>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25A5D"/>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25A5D"/>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25A5D"/>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25A5D"/>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25A5D"/>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25A5D"/>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25A5D"/>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25A5D"/>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25A5D"/>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25A5D"/>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25A5D"/>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25A5D"/>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25A5D"/>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25A5D"/>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25A5D"/>
    <w:rPr>
      <w:sz w:val="16"/>
      <w:szCs w:val="16"/>
    </w:rPr>
  </w:style>
  <w:style w:type="paragraph" w:styleId="CommentText">
    <w:name w:val="annotation text"/>
    <w:basedOn w:val="Normal"/>
    <w:link w:val="CommentTextChar"/>
    <w:uiPriority w:val="98"/>
    <w:semiHidden/>
    <w:rsid w:val="00525A5D"/>
    <w:rPr>
      <w:sz w:val="20"/>
      <w:szCs w:val="20"/>
    </w:rPr>
  </w:style>
  <w:style w:type="character" w:customStyle="1" w:styleId="CommentTextChar">
    <w:name w:val="Comment Text Char"/>
    <w:basedOn w:val="DefaultParagraphFont"/>
    <w:link w:val="CommentText"/>
    <w:uiPriority w:val="98"/>
    <w:rsid w:val="00525A5D"/>
    <w:rPr>
      <w:sz w:val="20"/>
      <w:szCs w:val="20"/>
      <w:lang w:val="en-GB"/>
    </w:rPr>
  </w:style>
  <w:style w:type="paragraph" w:styleId="CommentSubject">
    <w:name w:val="annotation subject"/>
    <w:basedOn w:val="CommentText"/>
    <w:next w:val="CommentText"/>
    <w:link w:val="CommentSubjectChar"/>
    <w:uiPriority w:val="98"/>
    <w:semiHidden/>
    <w:rsid w:val="00525A5D"/>
    <w:rPr>
      <w:b/>
      <w:bCs/>
    </w:rPr>
  </w:style>
  <w:style w:type="character" w:customStyle="1" w:styleId="CommentSubjectChar">
    <w:name w:val="Comment Subject Char"/>
    <w:basedOn w:val="CommentTextChar"/>
    <w:link w:val="CommentSubject"/>
    <w:uiPriority w:val="98"/>
    <w:semiHidden/>
    <w:rsid w:val="00525A5D"/>
    <w:rPr>
      <w:b/>
      <w:bCs/>
      <w:sz w:val="20"/>
      <w:szCs w:val="20"/>
      <w:lang w:val="en-GB"/>
    </w:rPr>
  </w:style>
  <w:style w:type="table" w:styleId="DarkList">
    <w:name w:val="Dark List"/>
    <w:basedOn w:val="TableNormal"/>
    <w:uiPriority w:val="70"/>
    <w:semiHidden/>
    <w:rsid w:val="00525A5D"/>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25A5D"/>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25A5D"/>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25A5D"/>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25A5D"/>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25A5D"/>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25A5D"/>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25A5D"/>
  </w:style>
  <w:style w:type="character" w:customStyle="1" w:styleId="DateChar">
    <w:name w:val="Date Char"/>
    <w:basedOn w:val="DefaultParagraphFont"/>
    <w:link w:val="Date"/>
    <w:uiPriority w:val="98"/>
    <w:semiHidden/>
    <w:rsid w:val="00525A5D"/>
    <w:rPr>
      <w:sz w:val="24"/>
      <w:szCs w:val="24"/>
      <w:lang w:val="en-GB"/>
    </w:rPr>
  </w:style>
  <w:style w:type="paragraph" w:styleId="DocumentMap">
    <w:name w:val="Document Map"/>
    <w:basedOn w:val="Normal"/>
    <w:link w:val="DocumentMapChar"/>
    <w:uiPriority w:val="98"/>
    <w:semiHidden/>
    <w:rsid w:val="00525A5D"/>
    <w:rPr>
      <w:rFonts w:ascii="Tahoma" w:hAnsi="Tahoma" w:cs="Tahoma"/>
      <w:sz w:val="16"/>
      <w:szCs w:val="16"/>
    </w:rPr>
  </w:style>
  <w:style w:type="character" w:customStyle="1" w:styleId="DocumentMapChar">
    <w:name w:val="Document Map Char"/>
    <w:basedOn w:val="DefaultParagraphFont"/>
    <w:link w:val="DocumentMap"/>
    <w:uiPriority w:val="98"/>
    <w:semiHidden/>
    <w:rsid w:val="00525A5D"/>
    <w:rPr>
      <w:rFonts w:ascii="Tahoma" w:hAnsi="Tahoma" w:cs="Tahoma"/>
      <w:sz w:val="16"/>
      <w:szCs w:val="16"/>
      <w:lang w:val="en-GB"/>
    </w:rPr>
  </w:style>
  <w:style w:type="paragraph" w:styleId="E-mailSignature">
    <w:name w:val="E-mail Signature"/>
    <w:basedOn w:val="Normal"/>
    <w:link w:val="E-mailSignatureChar"/>
    <w:uiPriority w:val="98"/>
    <w:semiHidden/>
    <w:rsid w:val="00525A5D"/>
  </w:style>
  <w:style w:type="character" w:customStyle="1" w:styleId="E-mailSignatureChar">
    <w:name w:val="E-mail Signature Char"/>
    <w:basedOn w:val="DefaultParagraphFont"/>
    <w:link w:val="E-mailSignature"/>
    <w:uiPriority w:val="98"/>
    <w:semiHidden/>
    <w:rsid w:val="00525A5D"/>
    <w:rPr>
      <w:sz w:val="24"/>
      <w:szCs w:val="24"/>
      <w:lang w:val="en-GB"/>
    </w:rPr>
  </w:style>
  <w:style w:type="character" w:styleId="EndnoteReference">
    <w:name w:val="endnote reference"/>
    <w:basedOn w:val="DefaultParagraphFont"/>
    <w:uiPriority w:val="98"/>
    <w:semiHidden/>
    <w:rsid w:val="00525A5D"/>
    <w:rPr>
      <w:vertAlign w:val="superscript"/>
    </w:rPr>
  </w:style>
  <w:style w:type="paragraph" w:styleId="EndnoteText">
    <w:name w:val="endnote text"/>
    <w:basedOn w:val="Normal"/>
    <w:link w:val="EndnoteTextChar"/>
    <w:uiPriority w:val="98"/>
    <w:semiHidden/>
    <w:rsid w:val="00525A5D"/>
    <w:rPr>
      <w:sz w:val="20"/>
      <w:szCs w:val="20"/>
    </w:rPr>
  </w:style>
  <w:style w:type="character" w:customStyle="1" w:styleId="EndnoteTextChar">
    <w:name w:val="Endnote Text Char"/>
    <w:basedOn w:val="DefaultParagraphFont"/>
    <w:link w:val="EndnoteText"/>
    <w:uiPriority w:val="98"/>
    <w:semiHidden/>
    <w:rsid w:val="00525A5D"/>
    <w:rPr>
      <w:sz w:val="20"/>
      <w:szCs w:val="20"/>
      <w:lang w:val="en-GB"/>
    </w:rPr>
  </w:style>
  <w:style w:type="paragraph" w:styleId="EnvelopeAddress">
    <w:name w:val="envelope address"/>
    <w:basedOn w:val="Normal"/>
    <w:uiPriority w:val="98"/>
    <w:semiHidden/>
    <w:rsid w:val="00525A5D"/>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25A5D"/>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25A5D"/>
    <w:rPr>
      <w:color w:val="7030A0" w:themeColor="followedHyperlink"/>
      <w:u w:val="single"/>
    </w:rPr>
  </w:style>
  <w:style w:type="character" w:styleId="HTMLAcronym">
    <w:name w:val="HTML Acronym"/>
    <w:basedOn w:val="DefaultParagraphFont"/>
    <w:uiPriority w:val="98"/>
    <w:semiHidden/>
    <w:rsid w:val="00525A5D"/>
  </w:style>
  <w:style w:type="paragraph" w:styleId="HTMLAddress">
    <w:name w:val="HTML Address"/>
    <w:basedOn w:val="Normal"/>
    <w:link w:val="HTMLAddressChar"/>
    <w:uiPriority w:val="98"/>
    <w:semiHidden/>
    <w:rsid w:val="00525A5D"/>
    <w:rPr>
      <w:i/>
      <w:iCs/>
    </w:rPr>
  </w:style>
  <w:style w:type="character" w:customStyle="1" w:styleId="HTMLAddressChar">
    <w:name w:val="HTML Address Char"/>
    <w:basedOn w:val="DefaultParagraphFont"/>
    <w:link w:val="HTMLAddress"/>
    <w:uiPriority w:val="98"/>
    <w:semiHidden/>
    <w:rsid w:val="00525A5D"/>
    <w:rPr>
      <w:i/>
      <w:iCs/>
      <w:sz w:val="24"/>
      <w:szCs w:val="24"/>
      <w:lang w:val="en-GB"/>
    </w:rPr>
  </w:style>
  <w:style w:type="character" w:styleId="HTMLCite">
    <w:name w:val="HTML Cite"/>
    <w:basedOn w:val="DefaultParagraphFont"/>
    <w:uiPriority w:val="98"/>
    <w:semiHidden/>
    <w:rsid w:val="00525A5D"/>
    <w:rPr>
      <w:i/>
      <w:iCs/>
    </w:rPr>
  </w:style>
  <w:style w:type="character" w:styleId="HTMLCode">
    <w:name w:val="HTML Code"/>
    <w:basedOn w:val="DefaultParagraphFont"/>
    <w:uiPriority w:val="98"/>
    <w:semiHidden/>
    <w:rsid w:val="00525A5D"/>
    <w:rPr>
      <w:rFonts w:ascii="Consolas" w:hAnsi="Consolas" w:cs="Consolas"/>
      <w:sz w:val="20"/>
      <w:szCs w:val="20"/>
    </w:rPr>
  </w:style>
  <w:style w:type="character" w:styleId="HTMLDefinition">
    <w:name w:val="HTML Definition"/>
    <w:basedOn w:val="DefaultParagraphFont"/>
    <w:uiPriority w:val="98"/>
    <w:semiHidden/>
    <w:rsid w:val="00525A5D"/>
    <w:rPr>
      <w:i/>
      <w:iCs/>
    </w:rPr>
  </w:style>
  <w:style w:type="character" w:styleId="HTMLKeyboard">
    <w:name w:val="HTML Keyboard"/>
    <w:basedOn w:val="DefaultParagraphFont"/>
    <w:uiPriority w:val="98"/>
    <w:semiHidden/>
    <w:rsid w:val="00525A5D"/>
    <w:rPr>
      <w:rFonts w:ascii="Consolas" w:hAnsi="Consolas" w:cs="Consolas"/>
      <w:sz w:val="20"/>
      <w:szCs w:val="20"/>
    </w:rPr>
  </w:style>
  <w:style w:type="paragraph" w:styleId="HTMLPreformatted">
    <w:name w:val="HTML Preformatted"/>
    <w:basedOn w:val="Normal"/>
    <w:link w:val="HTMLPreformattedChar"/>
    <w:uiPriority w:val="98"/>
    <w:semiHidden/>
    <w:rsid w:val="00525A5D"/>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25A5D"/>
    <w:rPr>
      <w:rFonts w:ascii="Consolas" w:hAnsi="Consolas" w:cs="Consolas"/>
      <w:sz w:val="20"/>
      <w:szCs w:val="20"/>
      <w:lang w:val="en-GB"/>
    </w:rPr>
  </w:style>
  <w:style w:type="character" w:styleId="HTMLSample">
    <w:name w:val="HTML Sample"/>
    <w:basedOn w:val="DefaultParagraphFont"/>
    <w:uiPriority w:val="98"/>
    <w:semiHidden/>
    <w:rsid w:val="00525A5D"/>
    <w:rPr>
      <w:rFonts w:ascii="Consolas" w:hAnsi="Consolas" w:cs="Consolas"/>
      <w:sz w:val="24"/>
      <w:szCs w:val="24"/>
    </w:rPr>
  </w:style>
  <w:style w:type="character" w:styleId="HTMLTypewriter">
    <w:name w:val="HTML Typewriter"/>
    <w:basedOn w:val="DefaultParagraphFont"/>
    <w:uiPriority w:val="98"/>
    <w:semiHidden/>
    <w:rsid w:val="00525A5D"/>
    <w:rPr>
      <w:rFonts w:ascii="Consolas" w:hAnsi="Consolas" w:cs="Consolas"/>
      <w:sz w:val="20"/>
      <w:szCs w:val="20"/>
    </w:rPr>
  </w:style>
  <w:style w:type="character" w:styleId="HTMLVariable">
    <w:name w:val="HTML Variable"/>
    <w:basedOn w:val="DefaultParagraphFont"/>
    <w:uiPriority w:val="98"/>
    <w:semiHidden/>
    <w:rsid w:val="00525A5D"/>
    <w:rPr>
      <w:i/>
      <w:iCs/>
    </w:rPr>
  </w:style>
  <w:style w:type="paragraph" w:styleId="Index1">
    <w:name w:val="index 1"/>
    <w:basedOn w:val="Normal"/>
    <w:next w:val="Normal"/>
    <w:autoRedefine/>
    <w:uiPriority w:val="98"/>
    <w:semiHidden/>
    <w:rsid w:val="00525A5D"/>
    <w:pPr>
      <w:ind w:left="240" w:hanging="240"/>
    </w:pPr>
  </w:style>
  <w:style w:type="paragraph" w:styleId="Index2">
    <w:name w:val="index 2"/>
    <w:basedOn w:val="Normal"/>
    <w:next w:val="Normal"/>
    <w:autoRedefine/>
    <w:uiPriority w:val="98"/>
    <w:semiHidden/>
    <w:rsid w:val="00525A5D"/>
    <w:pPr>
      <w:ind w:left="480" w:hanging="240"/>
    </w:pPr>
  </w:style>
  <w:style w:type="paragraph" w:styleId="Index3">
    <w:name w:val="index 3"/>
    <w:basedOn w:val="Normal"/>
    <w:next w:val="Normal"/>
    <w:autoRedefine/>
    <w:uiPriority w:val="98"/>
    <w:semiHidden/>
    <w:rsid w:val="00525A5D"/>
    <w:pPr>
      <w:ind w:left="720" w:hanging="240"/>
    </w:pPr>
  </w:style>
  <w:style w:type="paragraph" w:styleId="Index4">
    <w:name w:val="index 4"/>
    <w:basedOn w:val="Normal"/>
    <w:next w:val="Normal"/>
    <w:autoRedefine/>
    <w:uiPriority w:val="98"/>
    <w:semiHidden/>
    <w:rsid w:val="00525A5D"/>
    <w:pPr>
      <w:ind w:left="960" w:hanging="240"/>
    </w:pPr>
  </w:style>
  <w:style w:type="paragraph" w:styleId="Index5">
    <w:name w:val="index 5"/>
    <w:basedOn w:val="Normal"/>
    <w:next w:val="Normal"/>
    <w:autoRedefine/>
    <w:uiPriority w:val="98"/>
    <w:semiHidden/>
    <w:rsid w:val="00525A5D"/>
    <w:pPr>
      <w:ind w:left="1200" w:hanging="240"/>
    </w:pPr>
  </w:style>
  <w:style w:type="paragraph" w:styleId="Index6">
    <w:name w:val="index 6"/>
    <w:basedOn w:val="Normal"/>
    <w:next w:val="Normal"/>
    <w:autoRedefine/>
    <w:uiPriority w:val="98"/>
    <w:semiHidden/>
    <w:rsid w:val="00525A5D"/>
    <w:pPr>
      <w:ind w:left="1440" w:hanging="240"/>
    </w:pPr>
  </w:style>
  <w:style w:type="paragraph" w:styleId="Index7">
    <w:name w:val="index 7"/>
    <w:basedOn w:val="Normal"/>
    <w:next w:val="Normal"/>
    <w:autoRedefine/>
    <w:uiPriority w:val="98"/>
    <w:semiHidden/>
    <w:rsid w:val="00525A5D"/>
    <w:pPr>
      <w:ind w:left="1680" w:hanging="240"/>
    </w:pPr>
  </w:style>
  <w:style w:type="paragraph" w:styleId="Index8">
    <w:name w:val="index 8"/>
    <w:basedOn w:val="Normal"/>
    <w:next w:val="Normal"/>
    <w:autoRedefine/>
    <w:uiPriority w:val="98"/>
    <w:semiHidden/>
    <w:rsid w:val="00525A5D"/>
    <w:pPr>
      <w:ind w:left="1920" w:hanging="240"/>
    </w:pPr>
  </w:style>
  <w:style w:type="paragraph" w:styleId="Index9">
    <w:name w:val="index 9"/>
    <w:basedOn w:val="Normal"/>
    <w:next w:val="Normal"/>
    <w:autoRedefine/>
    <w:uiPriority w:val="98"/>
    <w:semiHidden/>
    <w:rsid w:val="00525A5D"/>
    <w:pPr>
      <w:ind w:left="2160" w:hanging="240"/>
    </w:pPr>
  </w:style>
  <w:style w:type="paragraph" w:styleId="IndexHeading">
    <w:name w:val="index heading"/>
    <w:basedOn w:val="Normal"/>
    <w:next w:val="Index1"/>
    <w:uiPriority w:val="98"/>
    <w:semiHidden/>
    <w:rsid w:val="00525A5D"/>
    <w:rPr>
      <w:rFonts w:asciiTheme="majorHAnsi" w:eastAsiaTheme="majorEastAsia" w:hAnsiTheme="majorHAnsi" w:cstheme="majorBidi"/>
      <w:b/>
      <w:bCs/>
    </w:rPr>
  </w:style>
  <w:style w:type="table" w:styleId="LightGrid">
    <w:name w:val="Light Grid"/>
    <w:basedOn w:val="TableNormal"/>
    <w:uiPriority w:val="62"/>
    <w:semiHidden/>
    <w:rsid w:val="00525A5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25A5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25A5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25A5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25A5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25A5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25A5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25A5D"/>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25A5D"/>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25A5D"/>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25A5D"/>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25A5D"/>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25A5D"/>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25A5D"/>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25A5D"/>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25A5D"/>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25A5D"/>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25A5D"/>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25A5D"/>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25A5D"/>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25A5D"/>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25A5D"/>
  </w:style>
  <w:style w:type="paragraph" w:styleId="List">
    <w:name w:val="List"/>
    <w:basedOn w:val="Normal"/>
    <w:uiPriority w:val="98"/>
    <w:semiHidden/>
    <w:rsid w:val="00525A5D"/>
    <w:pPr>
      <w:ind w:left="283" w:hanging="283"/>
      <w:contextualSpacing/>
    </w:pPr>
  </w:style>
  <w:style w:type="paragraph" w:styleId="List20">
    <w:name w:val="List 2"/>
    <w:basedOn w:val="Normal"/>
    <w:uiPriority w:val="98"/>
    <w:semiHidden/>
    <w:rsid w:val="00525A5D"/>
    <w:pPr>
      <w:ind w:left="566" w:hanging="283"/>
      <w:contextualSpacing/>
    </w:pPr>
  </w:style>
  <w:style w:type="paragraph" w:styleId="List30">
    <w:name w:val="List 3"/>
    <w:basedOn w:val="Normal"/>
    <w:uiPriority w:val="98"/>
    <w:semiHidden/>
    <w:rsid w:val="00525A5D"/>
    <w:pPr>
      <w:ind w:left="849" w:hanging="283"/>
      <w:contextualSpacing/>
    </w:pPr>
  </w:style>
  <w:style w:type="paragraph" w:styleId="List4">
    <w:name w:val="List 4"/>
    <w:basedOn w:val="Normal"/>
    <w:uiPriority w:val="98"/>
    <w:semiHidden/>
    <w:rsid w:val="00525A5D"/>
    <w:pPr>
      <w:ind w:left="1132" w:hanging="283"/>
      <w:contextualSpacing/>
    </w:pPr>
  </w:style>
  <w:style w:type="paragraph" w:styleId="List5">
    <w:name w:val="List 5"/>
    <w:basedOn w:val="Normal"/>
    <w:uiPriority w:val="98"/>
    <w:semiHidden/>
    <w:rsid w:val="00525A5D"/>
    <w:pPr>
      <w:ind w:left="1415" w:hanging="283"/>
      <w:contextualSpacing/>
    </w:pPr>
  </w:style>
  <w:style w:type="paragraph" w:styleId="ListBullet2">
    <w:name w:val="List Bullet 2"/>
    <w:basedOn w:val="Normal"/>
    <w:uiPriority w:val="98"/>
    <w:semiHidden/>
    <w:rsid w:val="00525A5D"/>
    <w:pPr>
      <w:numPr>
        <w:numId w:val="12"/>
      </w:numPr>
      <w:contextualSpacing/>
    </w:pPr>
  </w:style>
  <w:style w:type="paragraph" w:styleId="ListBullet4">
    <w:name w:val="List Bullet 4"/>
    <w:basedOn w:val="Normal"/>
    <w:uiPriority w:val="98"/>
    <w:semiHidden/>
    <w:rsid w:val="00525A5D"/>
    <w:pPr>
      <w:numPr>
        <w:numId w:val="14"/>
      </w:numPr>
      <w:contextualSpacing/>
    </w:pPr>
  </w:style>
  <w:style w:type="paragraph" w:styleId="ListBullet5">
    <w:name w:val="List Bullet 5"/>
    <w:basedOn w:val="Normal"/>
    <w:uiPriority w:val="98"/>
    <w:semiHidden/>
    <w:rsid w:val="00525A5D"/>
    <w:pPr>
      <w:numPr>
        <w:numId w:val="15"/>
      </w:numPr>
      <w:contextualSpacing/>
    </w:pPr>
  </w:style>
  <w:style w:type="paragraph" w:styleId="ListContinue">
    <w:name w:val="List Continue"/>
    <w:basedOn w:val="Normal"/>
    <w:uiPriority w:val="98"/>
    <w:semiHidden/>
    <w:rsid w:val="00525A5D"/>
    <w:pPr>
      <w:spacing w:after="120"/>
      <w:ind w:left="283"/>
      <w:contextualSpacing/>
    </w:pPr>
  </w:style>
  <w:style w:type="paragraph" w:styleId="ListContinue2">
    <w:name w:val="List Continue 2"/>
    <w:basedOn w:val="Normal"/>
    <w:uiPriority w:val="98"/>
    <w:semiHidden/>
    <w:rsid w:val="00525A5D"/>
    <w:pPr>
      <w:spacing w:after="120"/>
      <w:ind w:left="566"/>
      <w:contextualSpacing/>
    </w:pPr>
  </w:style>
  <w:style w:type="paragraph" w:styleId="ListContinue3">
    <w:name w:val="List Continue 3"/>
    <w:basedOn w:val="Normal"/>
    <w:uiPriority w:val="98"/>
    <w:semiHidden/>
    <w:rsid w:val="00525A5D"/>
    <w:pPr>
      <w:spacing w:after="120"/>
      <w:ind w:left="849"/>
      <w:contextualSpacing/>
    </w:pPr>
  </w:style>
  <w:style w:type="paragraph" w:styleId="ListContinue4">
    <w:name w:val="List Continue 4"/>
    <w:basedOn w:val="Normal"/>
    <w:uiPriority w:val="98"/>
    <w:semiHidden/>
    <w:rsid w:val="00525A5D"/>
    <w:pPr>
      <w:spacing w:after="120"/>
      <w:ind w:left="1132"/>
      <w:contextualSpacing/>
    </w:pPr>
  </w:style>
  <w:style w:type="paragraph" w:styleId="ListContinue5">
    <w:name w:val="List Continue 5"/>
    <w:basedOn w:val="Normal"/>
    <w:uiPriority w:val="98"/>
    <w:semiHidden/>
    <w:rsid w:val="00525A5D"/>
    <w:pPr>
      <w:spacing w:after="120"/>
      <w:ind w:left="1415"/>
      <w:contextualSpacing/>
    </w:pPr>
  </w:style>
  <w:style w:type="paragraph" w:styleId="ListNumber">
    <w:name w:val="List Number"/>
    <w:basedOn w:val="Normal"/>
    <w:uiPriority w:val="98"/>
    <w:semiHidden/>
    <w:rsid w:val="00525A5D"/>
    <w:pPr>
      <w:numPr>
        <w:numId w:val="16"/>
      </w:numPr>
      <w:contextualSpacing/>
    </w:pPr>
  </w:style>
  <w:style w:type="paragraph" w:styleId="ListNumber2">
    <w:name w:val="List Number 2"/>
    <w:basedOn w:val="Normal"/>
    <w:uiPriority w:val="98"/>
    <w:semiHidden/>
    <w:rsid w:val="00525A5D"/>
    <w:pPr>
      <w:numPr>
        <w:numId w:val="17"/>
      </w:numPr>
      <w:contextualSpacing/>
    </w:pPr>
  </w:style>
  <w:style w:type="paragraph" w:styleId="ListNumber3">
    <w:name w:val="List Number 3"/>
    <w:basedOn w:val="Normal"/>
    <w:uiPriority w:val="98"/>
    <w:semiHidden/>
    <w:rsid w:val="00525A5D"/>
    <w:pPr>
      <w:numPr>
        <w:numId w:val="18"/>
      </w:numPr>
      <w:contextualSpacing/>
    </w:pPr>
  </w:style>
  <w:style w:type="paragraph" w:styleId="ListNumber4">
    <w:name w:val="List Number 4"/>
    <w:basedOn w:val="Normal"/>
    <w:uiPriority w:val="98"/>
    <w:semiHidden/>
    <w:rsid w:val="00525A5D"/>
    <w:pPr>
      <w:numPr>
        <w:numId w:val="19"/>
      </w:numPr>
      <w:contextualSpacing/>
    </w:pPr>
  </w:style>
  <w:style w:type="paragraph" w:styleId="ListNumber5">
    <w:name w:val="List Number 5"/>
    <w:basedOn w:val="Normal"/>
    <w:uiPriority w:val="98"/>
    <w:semiHidden/>
    <w:rsid w:val="00525A5D"/>
    <w:pPr>
      <w:numPr>
        <w:numId w:val="20"/>
      </w:numPr>
      <w:contextualSpacing/>
    </w:pPr>
  </w:style>
  <w:style w:type="paragraph" w:styleId="Macro">
    <w:name w:val="macro"/>
    <w:link w:val="MacroTextChar"/>
    <w:uiPriority w:val="98"/>
    <w:semiHidden/>
    <w:rsid w:val="00525A5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525A5D"/>
    <w:rPr>
      <w:rFonts w:ascii="Consolas" w:hAnsi="Consolas" w:eastAsiaTheme="minorEastAsia" w:cs="Consolas"/>
      <w:sz w:val="20"/>
      <w:szCs w:val="20"/>
    </w:rPr>
  </w:style>
  <w:style w:type="table" w:styleId="MediumGrid1">
    <w:name w:val="Medium Grid 1"/>
    <w:basedOn w:val="TableNormal"/>
    <w:uiPriority w:val="67"/>
    <w:semiHidden/>
    <w:rsid w:val="00525A5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25A5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25A5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25A5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25A5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25A5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25A5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25A5D"/>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25A5D"/>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25A5D"/>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25A5D"/>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25A5D"/>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25A5D"/>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25A5D"/>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25A5D"/>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25A5D"/>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25A5D"/>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25A5D"/>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25A5D"/>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25A5D"/>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25A5D"/>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25A5D"/>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25A5D"/>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25A5D"/>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25A5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25A5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25A5D"/>
    <w:rPr>
      <w:rFonts w:ascii="Times New Roman" w:hAnsi="Times New Roman" w:cs="Times New Roman"/>
    </w:rPr>
  </w:style>
  <w:style w:type="paragraph" w:styleId="NormalIndent">
    <w:name w:val="Normal Indent"/>
    <w:basedOn w:val="Normal"/>
    <w:uiPriority w:val="98"/>
    <w:semiHidden/>
    <w:rsid w:val="00525A5D"/>
    <w:pPr>
      <w:ind w:left="720"/>
    </w:pPr>
  </w:style>
  <w:style w:type="paragraph" w:styleId="NoteHeading">
    <w:name w:val="Note Heading"/>
    <w:basedOn w:val="Normal"/>
    <w:next w:val="Normal"/>
    <w:link w:val="NoteHeadingChar"/>
    <w:uiPriority w:val="98"/>
    <w:semiHidden/>
    <w:rsid w:val="00525A5D"/>
  </w:style>
  <w:style w:type="character" w:customStyle="1" w:styleId="NoteHeadingChar">
    <w:name w:val="Note Heading Char"/>
    <w:basedOn w:val="DefaultParagraphFont"/>
    <w:link w:val="NoteHeading"/>
    <w:uiPriority w:val="98"/>
    <w:semiHidden/>
    <w:rsid w:val="00525A5D"/>
    <w:rPr>
      <w:sz w:val="24"/>
      <w:szCs w:val="24"/>
      <w:lang w:val="en-GB"/>
    </w:rPr>
  </w:style>
  <w:style w:type="character" w:styleId="PlaceholderText">
    <w:name w:val="Placeholder Text"/>
    <w:basedOn w:val="DefaultParagraphFont"/>
    <w:uiPriority w:val="98"/>
    <w:semiHidden/>
    <w:rsid w:val="00525A5D"/>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25A5D"/>
    <w:rPr>
      <w:rFonts w:ascii="Consolas" w:hAnsi="Consolas" w:cs="Consolas"/>
      <w:sz w:val="21"/>
      <w:szCs w:val="21"/>
    </w:rPr>
  </w:style>
  <w:style w:type="character" w:customStyle="1" w:styleId="PlainTextChar">
    <w:name w:val="Plain Text Char"/>
    <w:basedOn w:val="DefaultParagraphFont"/>
    <w:link w:val="PlainText"/>
    <w:uiPriority w:val="98"/>
    <w:semiHidden/>
    <w:rsid w:val="00525A5D"/>
    <w:rPr>
      <w:rFonts w:ascii="Consolas" w:hAnsi="Consolas" w:cs="Consolas"/>
      <w:sz w:val="21"/>
      <w:szCs w:val="21"/>
      <w:lang w:val="en-GB"/>
    </w:rPr>
  </w:style>
  <w:style w:type="paragraph" w:styleId="Salutation">
    <w:name w:val="Salutation"/>
    <w:basedOn w:val="Normal"/>
    <w:next w:val="Normal"/>
    <w:link w:val="SalutationChar"/>
    <w:uiPriority w:val="98"/>
    <w:semiHidden/>
    <w:rsid w:val="00525A5D"/>
  </w:style>
  <w:style w:type="character" w:customStyle="1" w:styleId="SalutationChar">
    <w:name w:val="Salutation Char"/>
    <w:basedOn w:val="DefaultParagraphFont"/>
    <w:link w:val="Salutation"/>
    <w:uiPriority w:val="98"/>
    <w:semiHidden/>
    <w:rsid w:val="00525A5D"/>
    <w:rPr>
      <w:sz w:val="24"/>
      <w:szCs w:val="24"/>
      <w:lang w:val="en-GB"/>
    </w:rPr>
  </w:style>
  <w:style w:type="paragraph" w:styleId="Signature0">
    <w:name w:val="Signature"/>
    <w:basedOn w:val="Normal"/>
    <w:link w:val="SignatureChar"/>
    <w:uiPriority w:val="98"/>
    <w:semiHidden/>
    <w:rsid w:val="00525A5D"/>
    <w:pPr>
      <w:ind w:left="4252"/>
    </w:pPr>
  </w:style>
  <w:style w:type="character" w:customStyle="1" w:styleId="SignatureChar">
    <w:name w:val="Signature Char"/>
    <w:basedOn w:val="DefaultParagraphFont"/>
    <w:link w:val="Signature0"/>
    <w:uiPriority w:val="98"/>
    <w:semiHidden/>
    <w:rsid w:val="00525A5D"/>
    <w:rPr>
      <w:sz w:val="24"/>
      <w:szCs w:val="24"/>
      <w:lang w:val="en-GB"/>
    </w:rPr>
  </w:style>
  <w:style w:type="table" w:styleId="Table3Deffects1">
    <w:name w:val="Table 3D effects 1"/>
    <w:basedOn w:val="TableNormal"/>
    <w:uiPriority w:val="99"/>
    <w:semiHidden/>
    <w:unhideWhenUsed/>
    <w:rsid w:val="00525A5D"/>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25A5D"/>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25A5D"/>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25A5D"/>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25A5D"/>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25A5D"/>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25A5D"/>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25A5D"/>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25A5D"/>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25A5D"/>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25A5D"/>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25A5D"/>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25A5D"/>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25A5D"/>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25A5D"/>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25A5D"/>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25A5D"/>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25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25A5D"/>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25A5D"/>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25A5D"/>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25A5D"/>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25A5D"/>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25A5D"/>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25A5D"/>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25A5D"/>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25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25A5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25A5D"/>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25A5D"/>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25A5D"/>
    <w:pPr>
      <w:ind w:left="240" w:hanging="240"/>
    </w:pPr>
  </w:style>
  <w:style w:type="paragraph" w:styleId="TableofFigures">
    <w:name w:val="table of figures"/>
    <w:basedOn w:val="Normal"/>
    <w:next w:val="Normal"/>
    <w:uiPriority w:val="98"/>
    <w:semiHidden/>
    <w:rsid w:val="00525A5D"/>
  </w:style>
  <w:style w:type="table" w:styleId="TableProfessional">
    <w:name w:val="Table Professional"/>
    <w:basedOn w:val="TableNormal"/>
    <w:uiPriority w:val="99"/>
    <w:semiHidden/>
    <w:unhideWhenUsed/>
    <w:rsid w:val="00525A5D"/>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25A5D"/>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25A5D"/>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25A5D"/>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25A5D"/>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25A5D"/>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25A5D"/>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25A5D"/>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25A5D"/>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25A5D"/>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25A5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25A5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25A5D"/>
    <w:pPr>
      <w:spacing w:after="100"/>
      <w:ind w:left="1680"/>
    </w:pPr>
  </w:style>
  <w:style w:type="paragraph" w:styleId="TOC9">
    <w:name w:val="toc 9"/>
    <w:basedOn w:val="Normal"/>
    <w:next w:val="Normal"/>
    <w:autoRedefine/>
    <w:uiPriority w:val="98"/>
    <w:semiHidden/>
    <w:rsid w:val="00525A5D"/>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525A5D"/>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25A5D"/>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25A5D"/>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525A5D"/>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25A5D"/>
    <w:pPr>
      <w:numPr>
        <w:numId w:val="7"/>
      </w:numPr>
      <w:spacing w:before="60" w:after="60"/>
    </w:pPr>
  </w:style>
  <w:style w:type="paragraph" w:customStyle="1" w:styleId="ECHRBullet2">
    <w:name w:val="ECHR_Bullet_2"/>
    <w:aliases w:val="_Bul_2"/>
    <w:basedOn w:val="ECHRBullet1"/>
    <w:uiPriority w:val="23"/>
    <w:semiHidden/>
    <w:rsid w:val="00525A5D"/>
    <w:pPr>
      <w:numPr>
        <w:ilvl w:val="1"/>
      </w:numPr>
    </w:pPr>
  </w:style>
  <w:style w:type="paragraph" w:customStyle="1" w:styleId="ECHRBullet3">
    <w:name w:val="ECHR_Bullet_3"/>
    <w:aliases w:val="_Bul_3"/>
    <w:basedOn w:val="ECHRBullet2"/>
    <w:uiPriority w:val="23"/>
    <w:semiHidden/>
    <w:rsid w:val="00525A5D"/>
    <w:pPr>
      <w:numPr>
        <w:ilvl w:val="2"/>
      </w:numPr>
    </w:pPr>
  </w:style>
  <w:style w:type="paragraph" w:customStyle="1" w:styleId="ECHRBullet4">
    <w:name w:val="ECHR_Bullet_4"/>
    <w:aliases w:val="_Bul_4"/>
    <w:basedOn w:val="ECHRBullet3"/>
    <w:uiPriority w:val="23"/>
    <w:semiHidden/>
    <w:rsid w:val="00525A5D"/>
    <w:pPr>
      <w:numPr>
        <w:ilvl w:val="3"/>
      </w:numPr>
    </w:pPr>
  </w:style>
  <w:style w:type="paragraph" w:customStyle="1" w:styleId="ECHRConfidential">
    <w:name w:val="ECHR_Confidential"/>
    <w:aliases w:val="_Confidential"/>
    <w:basedOn w:val="Normal"/>
    <w:next w:val="Normal"/>
    <w:uiPriority w:val="42"/>
    <w:semiHidden/>
    <w:qFormat/>
    <w:rsid w:val="00525A5D"/>
    <w:pPr>
      <w:jc w:val="right"/>
    </w:pPr>
    <w:rPr>
      <w:color w:val="C00000"/>
      <w:sz w:val="20"/>
    </w:rPr>
  </w:style>
  <w:style w:type="paragraph" w:customStyle="1" w:styleId="ECHRDecisionBody">
    <w:name w:val="ECHR_Decision_Body"/>
    <w:aliases w:val="_Decision_Body"/>
    <w:basedOn w:val="NormalJustified"/>
    <w:uiPriority w:val="54"/>
    <w:semiHidden/>
    <w:rsid w:val="00525A5D"/>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25A5D"/>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25A5D"/>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25A5D"/>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25A5D"/>
    <w:pPr>
      <w:jc w:val="right"/>
    </w:pPr>
    <w:rPr>
      <w:sz w:val="20"/>
    </w:rPr>
  </w:style>
  <w:style w:type="paragraph" w:customStyle="1" w:styleId="ECHRHeaderRefIt">
    <w:name w:val="ECHR_Header_Ref_It"/>
    <w:aliases w:val="_Ref_Ital"/>
    <w:basedOn w:val="Normal"/>
    <w:next w:val="ECHRHeaderDate"/>
    <w:uiPriority w:val="43"/>
    <w:qFormat/>
    <w:rsid w:val="00525A5D"/>
    <w:pPr>
      <w:jc w:val="right"/>
    </w:pPr>
    <w:rPr>
      <w:i/>
      <w:sz w:val="20"/>
    </w:rPr>
  </w:style>
  <w:style w:type="paragraph" w:customStyle="1" w:styleId="ECHRHeading9">
    <w:name w:val="ECHR_Heading_9"/>
    <w:aliases w:val="_Head_9"/>
    <w:basedOn w:val="Heading9"/>
    <w:uiPriority w:val="17"/>
    <w:semiHidden/>
    <w:rsid w:val="00525A5D"/>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25A5D"/>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525A5D"/>
    <w:pPr>
      <w:numPr>
        <w:numId w:val="8"/>
      </w:numPr>
      <w:spacing w:before="60" w:after="60"/>
    </w:pPr>
  </w:style>
  <w:style w:type="paragraph" w:customStyle="1" w:styleId="ECHRNumberedList2">
    <w:name w:val="ECHR_Numbered_List_2"/>
    <w:aliases w:val="_Num_2"/>
    <w:basedOn w:val="ECHRNumberedList1"/>
    <w:uiPriority w:val="23"/>
    <w:semiHidden/>
    <w:rsid w:val="00525A5D"/>
    <w:pPr>
      <w:numPr>
        <w:ilvl w:val="1"/>
      </w:numPr>
    </w:pPr>
  </w:style>
  <w:style w:type="paragraph" w:customStyle="1" w:styleId="ECHRNumberedList3">
    <w:name w:val="ECHR_Numbered_List_3"/>
    <w:aliases w:val="_Num_3"/>
    <w:basedOn w:val="ECHRNumberedList2"/>
    <w:uiPriority w:val="23"/>
    <w:semiHidden/>
    <w:rsid w:val="00525A5D"/>
    <w:pPr>
      <w:numPr>
        <w:ilvl w:val="2"/>
      </w:numPr>
    </w:pPr>
  </w:style>
  <w:style w:type="paragraph" w:customStyle="1" w:styleId="ECHRParaHanging">
    <w:name w:val="ECHR_Para_Hanging"/>
    <w:aliases w:val="_Hanging"/>
    <w:basedOn w:val="NormalJustified"/>
    <w:uiPriority w:val="8"/>
    <w:semiHidden/>
    <w:qFormat/>
    <w:rsid w:val="00525A5D"/>
    <w:pPr>
      <w:ind w:left="567" w:hanging="567"/>
    </w:pPr>
  </w:style>
  <w:style w:type="paragraph" w:customStyle="1" w:styleId="ECHRParaIndent">
    <w:name w:val="ECHR_Para_Indent"/>
    <w:aliases w:val="_Indent"/>
    <w:basedOn w:val="NormalJustified"/>
    <w:uiPriority w:val="7"/>
    <w:semiHidden/>
    <w:qFormat/>
    <w:rsid w:val="00525A5D"/>
    <w:pPr>
      <w:spacing w:before="120" w:after="120"/>
      <w:ind w:left="284"/>
    </w:pPr>
  </w:style>
  <w:style w:type="character" w:customStyle="1" w:styleId="ECHRRed">
    <w:name w:val="ECHR_Red"/>
    <w:aliases w:val="_Red"/>
    <w:basedOn w:val="DefaultParagraphFont"/>
    <w:uiPriority w:val="15"/>
    <w:semiHidden/>
    <w:qFormat/>
    <w:rsid w:val="00525A5D"/>
    <w:rPr>
      <w:color w:val="C00000" w:themeColor="accent2"/>
    </w:rPr>
  </w:style>
  <w:style w:type="paragraph" w:customStyle="1" w:styleId="DecList">
    <w:name w:val="Dec_List"/>
    <w:aliases w:val="_List"/>
    <w:basedOn w:val="JuList"/>
    <w:uiPriority w:val="22"/>
    <w:rsid w:val="00525A5D"/>
    <w:pPr>
      <w:numPr>
        <w:numId w:val="0"/>
      </w:numPr>
      <w:ind w:left="284"/>
    </w:pPr>
  </w:style>
  <w:style w:type="table" w:customStyle="1" w:styleId="ECHRTable2">
    <w:name w:val="ECHR_Table_2"/>
    <w:basedOn w:val="TableNormal"/>
    <w:uiPriority w:val="99"/>
    <w:rsid w:val="00525A5D"/>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25A5D"/>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25A5D"/>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25A5D"/>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25A5D"/>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25A5D"/>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25A5D"/>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25A5D"/>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25A5D"/>
    <w:pPr>
      <w:outlineLvl w:val="0"/>
    </w:pPr>
  </w:style>
  <w:style w:type="paragraph" w:customStyle="1" w:styleId="ECHRTitleTOC1">
    <w:name w:val="ECHR_Title_TOC_1"/>
    <w:aliases w:val="_Title_L_TOC"/>
    <w:basedOn w:val="ECHRTitle1"/>
    <w:next w:val="Normal"/>
    <w:uiPriority w:val="27"/>
    <w:semiHidden/>
    <w:qFormat/>
    <w:rsid w:val="00525A5D"/>
    <w:pPr>
      <w:outlineLvl w:val="0"/>
    </w:pPr>
  </w:style>
  <w:style w:type="paragraph" w:customStyle="1" w:styleId="ECHRPlaceholder">
    <w:name w:val="ECHR_Placeholder"/>
    <w:aliases w:val="_Placeholder"/>
    <w:basedOn w:val="JuSigned"/>
    <w:uiPriority w:val="31"/>
    <w:rsid w:val="00525A5D"/>
    <w:rPr>
      <w:color w:val="FFFFFF"/>
    </w:rPr>
  </w:style>
  <w:style w:type="paragraph" w:customStyle="1" w:styleId="ECHRSpacer">
    <w:name w:val="ECHR_Spacer"/>
    <w:aliases w:val="_Spacer"/>
    <w:basedOn w:val="Normal"/>
    <w:uiPriority w:val="45"/>
    <w:semiHidden/>
    <w:rsid w:val="00525A5D"/>
    <w:rPr>
      <w:sz w:val="4"/>
    </w:rPr>
  </w:style>
  <w:style w:type="table" w:customStyle="1" w:styleId="ECHRTableGrey">
    <w:name w:val="ECHR_Table_Grey"/>
    <w:basedOn w:val="TableNormal"/>
    <w:uiPriority w:val="99"/>
    <w:rsid w:val="00525A5D"/>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525A5D"/>
    <w:rPr>
      <w:color w:val="605E5C"/>
      <w:shd w:val="clear" w:color="auto" w:fill="E1DFDD"/>
    </w:rPr>
  </w:style>
  <w:style w:type="character" w:customStyle="1" w:styleId="JuParaChar">
    <w:name w:val="Ju_Para Char"/>
    <w:aliases w:val="_Para Char"/>
    <w:link w:val="JuPara"/>
    <w:uiPriority w:val="4"/>
    <w:rsid w:val="00F067E7"/>
    <w:rPr>
      <w:sz w:val="24"/>
      <w:szCs w:val="24"/>
      <w:lang w:val="en-GB"/>
    </w:rPr>
  </w:style>
  <w:style w:type="table" w:styleId="GridTable1Light">
    <w:name w:val="Grid Table 1 Light"/>
    <w:basedOn w:val="TableNormal"/>
    <w:uiPriority w:val="46"/>
    <w:rsid w:val="00F067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F067E7"/>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F067E7"/>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067E7"/>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067E7"/>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067E7"/>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067E7"/>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067E7"/>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067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067E7"/>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F067E7"/>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F067E7"/>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F067E7"/>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F067E7"/>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F067E7"/>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F067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067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F067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F067E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F067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F067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F067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F067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067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F067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F067E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F067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F067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F067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F067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067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F067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F067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F067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F067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F067E7"/>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F067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067E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F067E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F067E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F067E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F067E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F067E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F067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067E7"/>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F067E7"/>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F067E7"/>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F067E7"/>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F067E7"/>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F067E7"/>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F067E7"/>
    <w:rPr>
      <w:color w:val="2B579A"/>
      <w:shd w:val="clear" w:color="auto" w:fill="E1DFDD"/>
    </w:rPr>
  </w:style>
  <w:style w:type="table" w:styleId="ListTable1Light">
    <w:name w:val="List Table 1 Light"/>
    <w:basedOn w:val="TableNormal"/>
    <w:uiPriority w:val="46"/>
    <w:rsid w:val="00F067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067E7"/>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F067E7"/>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F067E7"/>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F067E7"/>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F067E7"/>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F067E7"/>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F067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067E7"/>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F067E7"/>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F067E7"/>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F067E7"/>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F067E7"/>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F067E7"/>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F067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067E7"/>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F067E7"/>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F067E7"/>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F067E7"/>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F067E7"/>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F067E7"/>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F067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067E7"/>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F067E7"/>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F067E7"/>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F067E7"/>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F067E7"/>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F067E7"/>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F067E7"/>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067E7"/>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067E7"/>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067E7"/>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067E7"/>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067E7"/>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067E7"/>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067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067E7"/>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F067E7"/>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F067E7"/>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F067E7"/>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F067E7"/>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F067E7"/>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F067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067E7"/>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067E7"/>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067E7"/>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067E7"/>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067E7"/>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067E7"/>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F067E7"/>
    <w:rPr>
      <w:color w:val="2B579A"/>
      <w:shd w:val="clear" w:color="auto" w:fill="E1DFDD"/>
    </w:rPr>
  </w:style>
  <w:style w:type="table" w:styleId="PlainTable1">
    <w:name w:val="Plain Table 1"/>
    <w:basedOn w:val="TableNormal"/>
    <w:uiPriority w:val="41"/>
    <w:rsid w:val="00F067E7"/>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F067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067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067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F067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F067E7"/>
    <w:rPr>
      <w:u w:val="dotted"/>
    </w:rPr>
  </w:style>
  <w:style w:type="character" w:styleId="SmartLink">
    <w:name w:val="Smart Link"/>
    <w:basedOn w:val="DefaultParagraphFont"/>
    <w:uiPriority w:val="99"/>
    <w:semiHidden/>
    <w:unhideWhenUsed/>
    <w:rsid w:val="00F067E7"/>
    <w:rPr>
      <w:color w:val="0000FF"/>
      <w:u w:val="single"/>
      <w:shd w:val="clear" w:color="auto" w:fill="F3F2F1"/>
    </w:rPr>
  </w:style>
  <w:style w:type="table" w:styleId="GridTableLight">
    <w:name w:val="Grid Table Light"/>
    <w:basedOn w:val="TableNormal"/>
    <w:uiPriority w:val="40"/>
    <w:rsid w:val="00F067E7"/>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F067E7"/>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settings" Target="settings.xml" /><Relationship Id="rId20"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11042</Words>
  <Characters>55763</Characters>
  <Application>Microsoft Office Word</Application>
  <DocSecurity>0</DocSecurity>
  <Lines>1032</Lines>
  <Paragraphs>344</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cp:lastPrinted>2026-07-08T13:06:00Z</cp:lastPrinted>
  <dcterms:created xsi:type="dcterms:W3CDTF">2026-08-31T09:33:00Z</dcterms:created>
  <dcterms:modified xsi:type="dcterms:W3CDTF">2026-09-02T13:12:00Z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1938716</vt:lpwstr>
  </property>
  <property fmtid="{D5CDD505-2E9C-101B-9397-08002B2CF9AE}" pid="3" name="cstLanguage">
    <vt:i4>2057</vt:i4>
  </property>
  <property fmtid="{D5CDD505-2E9C-101B-9397-08002B2CF9AE}" pid="4" name="eDOCS AutoSave">
    <vt:lpwstr/>
  </property>
  <property fmtid="{D5CDD505-2E9C-101B-9397-08002B2CF9AE}" pid="5" name="RegisteredNo">
    <vt:lpwstr>39465/23</vt:lpwstr>
  </property>
</Properties>
</file>