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C6AA1" w:rsidR="008D51B6" w:rsidP="002C6AA1" w14:paraId="5E25FFC1" w14:textId="77777777">
      <w:pPr>
        <w:jc w:val="center"/>
        <w:rPr>
          <w:lang w:val="uk-UA"/>
        </w:rPr>
      </w:pPr>
      <w:r w:rsidRPr="002C6AA1">
        <w:rPr>
          <w:lang w:val="uk-UA"/>
        </w:rPr>
        <w:t>ЄВРОПЕЙСЬКИЙ СУД З ПРАВ ЛЮДИНИ</w:t>
      </w:r>
    </w:p>
    <w:p w:rsidRPr="002C6AA1" w:rsidR="002A5E93" w:rsidP="002C6AA1" w14:paraId="72D1813A" w14:textId="77777777">
      <w:pPr>
        <w:jc w:val="center"/>
        <w:rPr>
          <w:lang w:val="uk-UA"/>
        </w:rPr>
      </w:pPr>
    </w:p>
    <w:p w:rsidRPr="002C6AA1" w:rsidR="000C5149" w:rsidP="002C6AA1" w14:paraId="6A578069" w14:textId="77777777">
      <w:pPr>
        <w:jc w:val="center"/>
        <w:rPr>
          <w:lang w:val="uk-UA"/>
        </w:rPr>
      </w:pPr>
    </w:p>
    <w:p w:rsidRPr="002C6AA1" w:rsidR="00606600" w:rsidP="002C6AA1" w14:paraId="39E61D2D" w14:textId="77777777">
      <w:pPr>
        <w:pStyle w:val="DecHTitle"/>
        <w:rPr>
          <w:lang w:val="uk-UA"/>
        </w:rPr>
      </w:pPr>
      <w:r w:rsidRPr="002C6AA1">
        <w:rPr>
          <w:lang w:val="uk-UA"/>
        </w:rPr>
        <w:t>П</w:t>
      </w:r>
      <w:r w:rsidRPr="002C6AA1" w:rsidR="002C6AA1">
        <w:rPr>
          <w:lang w:val="uk-UA"/>
        </w:rPr>
        <w:t>’</w:t>
      </w:r>
      <w:r w:rsidRPr="002C6AA1">
        <w:rPr>
          <w:lang w:val="uk-UA"/>
        </w:rPr>
        <w:t>ЯТА СЕКЦІЯ</w:t>
      </w:r>
    </w:p>
    <w:p w:rsidRPr="002C6AA1" w:rsidR="002A5E93" w:rsidP="002C6AA1" w14:paraId="4BFA29CE" w14:textId="77777777">
      <w:pPr>
        <w:pStyle w:val="JuTitle"/>
        <w:rPr>
          <w:color w:val="000000" w:themeColor="text1"/>
          <w:lang w:val="uk-UA"/>
        </w:rPr>
      </w:pPr>
      <w:bookmarkStart w:name="To" w:id="0"/>
      <w:r w:rsidRPr="002C6AA1">
        <w:rPr>
          <w:color w:val="000000" w:themeColor="text1"/>
          <w:lang w:val="uk-UA"/>
        </w:rPr>
        <w:t>СПРАВА «КИРИК ТА ГОНЧАР ПРОТИ УКРАЇНИ»</w:t>
      </w:r>
    </w:p>
    <w:p w:rsidRPr="002C6AA1" w:rsidR="006D324D" w:rsidP="002C6AA1" w14:paraId="5722913C" w14:textId="77777777">
      <w:pPr>
        <w:pStyle w:val="JuTitle"/>
        <w:rPr>
          <w:lang w:val="uk-UA"/>
        </w:rPr>
      </w:pPr>
      <w:r w:rsidRPr="002C6AA1">
        <w:rPr>
          <w:color w:val="000000" w:themeColor="text1"/>
          <w:lang w:val="uk-UA"/>
        </w:rPr>
        <w:t xml:space="preserve">(CASE OF </w:t>
      </w:r>
      <w:bookmarkEnd w:id="0"/>
      <w:r w:rsidRPr="002C6AA1" w:rsidR="00704659">
        <w:rPr>
          <w:lang w:val="uk-UA"/>
        </w:rPr>
        <w:t>KYRYK AND GONCHAR v. UKRAINE</w:t>
      </w:r>
      <w:r w:rsidRPr="002C6AA1">
        <w:rPr>
          <w:lang w:val="uk-UA"/>
        </w:rPr>
        <w:t>)</w:t>
      </w:r>
    </w:p>
    <w:p w:rsidRPr="002C6AA1" w:rsidR="006D324D" w:rsidP="002C6AA1" w14:paraId="642A9CFC" w14:textId="77777777">
      <w:pPr>
        <w:pStyle w:val="ECHRCoverTitle4"/>
        <w:rPr>
          <w:lang w:val="uk-UA"/>
        </w:rPr>
      </w:pPr>
      <w:r w:rsidRPr="002C6AA1">
        <w:rPr>
          <w:lang w:val="uk-UA"/>
        </w:rPr>
        <w:t>(</w:t>
      </w:r>
      <w:r w:rsidRPr="002C6AA1" w:rsidR="002A5E93">
        <w:rPr>
          <w:lang w:val="uk-UA"/>
        </w:rPr>
        <w:t>Заяви № </w:t>
      </w:r>
      <w:r w:rsidRPr="002C6AA1" w:rsidR="00704659">
        <w:rPr>
          <w:lang w:val="uk-UA"/>
        </w:rPr>
        <w:t xml:space="preserve">6200/25 </w:t>
      </w:r>
      <w:r w:rsidRPr="002C6AA1" w:rsidR="002A5E93">
        <w:rPr>
          <w:lang w:val="uk-UA"/>
        </w:rPr>
        <w:t>та</w:t>
      </w:r>
      <w:r w:rsidRPr="002C6AA1" w:rsidR="00704659">
        <w:rPr>
          <w:lang w:val="uk-UA"/>
        </w:rPr>
        <w:t xml:space="preserve"> </w:t>
      </w:r>
      <w:r w:rsidRPr="002C6AA1" w:rsidR="002A5E93">
        <w:rPr>
          <w:lang w:val="uk-UA"/>
        </w:rPr>
        <w:t>№ </w:t>
      </w:r>
      <w:r w:rsidRPr="002C6AA1" w:rsidR="006B7BFC">
        <w:rPr>
          <w:lang w:val="uk-UA"/>
        </w:rPr>
        <w:t>7881/25</w:t>
      </w:r>
      <w:r w:rsidRPr="002C6AA1">
        <w:rPr>
          <w:lang w:val="uk-UA"/>
        </w:rPr>
        <w:t>)</w:t>
      </w:r>
    </w:p>
    <w:p w:rsidRPr="002C6AA1" w:rsidR="006D324D" w:rsidP="002C6AA1" w14:paraId="51D568DB" w14:textId="77777777">
      <w:pPr>
        <w:pStyle w:val="DecHCase"/>
        <w:rPr>
          <w:lang w:val="uk-UA"/>
        </w:rPr>
      </w:pPr>
    </w:p>
    <w:p w:rsidRPr="002C6AA1" w:rsidR="006D324D" w:rsidP="002C6AA1" w14:paraId="03247653" w14:textId="77777777">
      <w:pPr>
        <w:pStyle w:val="DecHCase"/>
        <w:rPr>
          <w:lang w:val="uk-UA"/>
        </w:rPr>
      </w:pPr>
    </w:p>
    <w:p w:rsidRPr="002C6AA1" w:rsidR="00606600" w:rsidP="002C6AA1" w14:paraId="28DBFCAF" w14:textId="77777777">
      <w:pPr>
        <w:pStyle w:val="DecHCase"/>
        <w:rPr>
          <w:lang w:val="uk-UA"/>
        </w:rPr>
      </w:pPr>
    </w:p>
    <w:p w:rsidRPr="002C6AA1" w:rsidR="00606600" w:rsidP="002C6AA1" w14:paraId="1A7997B3" w14:textId="77777777">
      <w:pPr>
        <w:pStyle w:val="DecHCase"/>
        <w:rPr>
          <w:lang w:val="uk-UA"/>
        </w:rPr>
      </w:pPr>
    </w:p>
    <w:p w:rsidRPr="002C6AA1" w:rsidR="00606600" w:rsidP="002C6AA1" w14:paraId="45BD7B81" w14:textId="77777777">
      <w:pPr>
        <w:pStyle w:val="DecHCase"/>
        <w:rPr>
          <w:lang w:val="uk-UA"/>
        </w:rPr>
      </w:pPr>
    </w:p>
    <w:p w:rsidRPr="002C6AA1" w:rsidR="00606600" w:rsidP="002C6AA1" w14:paraId="1137D6AA" w14:textId="77777777">
      <w:pPr>
        <w:pStyle w:val="DecHCase"/>
        <w:rPr>
          <w:lang w:val="uk-UA"/>
        </w:rPr>
      </w:pPr>
    </w:p>
    <w:p w:rsidRPr="002C6AA1" w:rsidR="00606600" w:rsidP="002C6AA1" w14:paraId="2632E039" w14:textId="77777777">
      <w:pPr>
        <w:pStyle w:val="DecHCase"/>
        <w:rPr>
          <w:i/>
          <w:lang w:val="uk-UA"/>
        </w:rPr>
      </w:pPr>
      <w:r w:rsidRPr="002C6AA1">
        <w:rPr>
          <w:lang w:val="uk-UA"/>
        </w:rPr>
        <w:t>РІШЕННЯ</w:t>
      </w:r>
      <w:r w:rsidRPr="002C6AA1" w:rsidR="002F3B96">
        <w:rPr>
          <w:lang w:val="uk-UA"/>
        </w:rPr>
        <w:br/>
      </w:r>
    </w:p>
    <w:p w:rsidRPr="002C6AA1" w:rsidR="00606600" w:rsidP="002C6AA1" w14:paraId="08D0A17C" w14:textId="77777777">
      <w:pPr>
        <w:pStyle w:val="DecHCase"/>
        <w:rPr>
          <w:lang w:val="uk-UA"/>
        </w:rPr>
      </w:pPr>
      <w:r w:rsidRPr="002C6AA1">
        <w:rPr>
          <w:lang w:val="uk-UA"/>
        </w:rPr>
        <w:t>СТРАСБУРГ</w:t>
      </w:r>
    </w:p>
    <w:p w:rsidRPr="002C6AA1" w:rsidR="00606600" w:rsidP="002C6AA1" w14:paraId="46CFBD0E" w14:textId="77777777">
      <w:pPr>
        <w:pStyle w:val="DecHCase"/>
        <w:rPr>
          <w:lang w:val="uk-UA"/>
        </w:rPr>
      </w:pPr>
      <w:r w:rsidRPr="002C6AA1">
        <w:rPr>
          <w:lang w:val="uk-UA"/>
        </w:rPr>
        <w:t xml:space="preserve">16 </w:t>
      </w:r>
      <w:r w:rsidRPr="002C6AA1" w:rsidR="002A5E93">
        <w:rPr>
          <w:lang w:val="uk-UA"/>
        </w:rPr>
        <w:t xml:space="preserve">квітня </w:t>
      </w:r>
      <w:r w:rsidRPr="002C6AA1">
        <w:rPr>
          <w:lang w:val="uk-UA"/>
        </w:rPr>
        <w:t>2026</w:t>
      </w:r>
      <w:r w:rsidRPr="002C6AA1" w:rsidR="002A5E93">
        <w:rPr>
          <w:lang w:val="uk-UA"/>
        </w:rPr>
        <w:t xml:space="preserve"> року</w:t>
      </w:r>
    </w:p>
    <w:p w:rsidRPr="002C6AA1" w:rsidR="00525414" w:rsidP="002C6AA1" w14:paraId="2A94A5F8" w14:textId="77777777">
      <w:pPr>
        <w:pStyle w:val="JuPara"/>
        <w:rPr>
          <w:lang w:val="uk-UA"/>
        </w:rPr>
      </w:pPr>
    </w:p>
    <w:p w:rsidRPr="002C6AA1" w:rsidR="00606600" w:rsidP="002C6AA1" w14:paraId="23AFD371" w14:textId="77777777">
      <w:pPr>
        <w:jc w:val="center"/>
        <w:rPr>
          <w:lang w:val="uk-UA"/>
        </w:rPr>
      </w:pPr>
    </w:p>
    <w:p w:rsidRPr="002C6AA1" w:rsidR="00606600" w:rsidP="002C6AA1" w14:paraId="2B4F604E" w14:textId="77777777">
      <w:pPr>
        <w:rPr>
          <w:sz w:val="22"/>
          <w:szCs w:val="22"/>
          <w:lang w:val="uk-UA"/>
        </w:rPr>
      </w:pPr>
      <w:r w:rsidRPr="002C6AA1">
        <w:rPr>
          <w:bCs/>
          <w:i/>
          <w:sz w:val="22"/>
          <w:szCs w:val="22"/>
          <w:lang w:val="uk-UA"/>
        </w:rPr>
        <w:t>Це рішення є остаточним, але може підлягати редакційним виправленням</w:t>
      </w:r>
      <w:r w:rsidRPr="002C6AA1">
        <w:rPr>
          <w:i/>
          <w:sz w:val="22"/>
          <w:szCs w:val="22"/>
          <w:lang w:val="uk-UA"/>
        </w:rPr>
        <w:t>.</w:t>
      </w:r>
    </w:p>
    <w:p w:rsidRPr="002C6AA1" w:rsidR="00606600" w:rsidP="002C6AA1" w14:paraId="1F2E6A67"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C6AA1" w:rsidR="002A5E93" w:rsidP="002C6AA1" w14:paraId="52B4B1A1" w14:textId="77777777">
      <w:pPr>
        <w:pStyle w:val="JuCase"/>
        <w:rPr>
          <w:bCs/>
          <w:lang w:val="uk-UA"/>
        </w:rPr>
      </w:pPr>
      <w:r w:rsidRPr="002C6AA1">
        <w:rPr>
          <w:lang w:val="uk-UA"/>
        </w:rPr>
        <w:t>У справі «Кирик та Гончар проти України»</w:t>
      </w:r>
    </w:p>
    <w:p w:rsidRPr="002C6AA1" w:rsidR="002A5E93" w:rsidP="002C6AA1" w14:paraId="790F60E0" w14:textId="77777777">
      <w:pPr>
        <w:pStyle w:val="JuCase"/>
        <w:rPr>
          <w:b w:val="0"/>
          <w:lang w:val="uk-UA"/>
        </w:rPr>
      </w:pPr>
      <w:r w:rsidRPr="002C6AA1">
        <w:rPr>
          <w:b w:val="0"/>
          <w:lang w:val="uk-UA"/>
        </w:rPr>
        <w:t>Європейський суд з прав людини (П</w:t>
      </w:r>
      <w:r w:rsidRPr="002C6AA1" w:rsidR="002C6AA1">
        <w:rPr>
          <w:b w:val="0"/>
          <w:lang w:val="uk-UA"/>
        </w:rPr>
        <w:t>’</w:t>
      </w:r>
      <w:r w:rsidRPr="002C6AA1">
        <w:rPr>
          <w:b w:val="0"/>
          <w:lang w:val="uk-UA"/>
        </w:rPr>
        <w:t>ята секція), засідаючи комітетом, до складу якого увійшли:</w:t>
      </w:r>
    </w:p>
    <w:p w:rsidRPr="002C6AA1" w:rsidR="002A5E93" w:rsidP="002C6AA1" w14:paraId="5E046716" w14:textId="77777777">
      <w:pPr>
        <w:pStyle w:val="JuCase"/>
        <w:rPr>
          <w:b w:val="0"/>
          <w:lang w:val="uk-UA"/>
        </w:rPr>
      </w:pPr>
      <w:r w:rsidRPr="002C6AA1">
        <w:rPr>
          <w:b w:val="0"/>
          <w:lang w:val="uk-UA"/>
        </w:rPr>
        <w:t xml:space="preserve">Андреас Зюнд </w:t>
      </w:r>
      <w:r w:rsidRPr="002C6AA1">
        <w:rPr>
          <w:b w:val="0"/>
          <w:i/>
          <w:lang w:val="uk-UA"/>
        </w:rPr>
        <w:t xml:space="preserve">(Andreas Zünd), </w:t>
      </w:r>
      <w:r w:rsidRPr="002C6AA1">
        <w:rPr>
          <w:b w:val="0"/>
          <w:i/>
          <w:iCs/>
          <w:lang w:val="uk-UA"/>
        </w:rPr>
        <w:t>Голова</w:t>
      </w:r>
      <w:r w:rsidRPr="002C6AA1">
        <w:rPr>
          <w:b w:val="0"/>
          <w:lang w:val="uk-UA"/>
        </w:rPr>
        <w:t>,</w:t>
      </w:r>
    </w:p>
    <w:p w:rsidRPr="002C6AA1" w:rsidR="002A5E93" w:rsidP="002C6AA1" w14:paraId="69F39E9E" w14:textId="77777777">
      <w:pPr>
        <w:pStyle w:val="JuCase"/>
        <w:rPr>
          <w:b w:val="0"/>
          <w:lang w:val="uk-UA"/>
        </w:rPr>
      </w:pPr>
      <w:r w:rsidRPr="002C6AA1">
        <w:rPr>
          <w:b w:val="0"/>
          <w:lang w:val="uk-UA"/>
        </w:rPr>
        <w:t xml:space="preserve">Діана Сирку </w:t>
      </w:r>
      <w:r w:rsidRPr="002C6AA1">
        <w:rPr>
          <w:b w:val="0"/>
          <w:i/>
          <w:lang w:val="uk-UA"/>
        </w:rPr>
        <w:t>(Diana Sârcu)</w:t>
      </w:r>
      <w:r w:rsidRPr="002C6AA1">
        <w:rPr>
          <w:b w:val="0"/>
          <w:lang w:val="uk-UA"/>
        </w:rPr>
        <w:t>,</w:t>
      </w:r>
    </w:p>
    <w:p w:rsidRPr="002C6AA1" w:rsidR="002A5E93" w:rsidP="002C6AA1" w14:paraId="4218F541" w14:textId="77777777">
      <w:pPr>
        <w:pStyle w:val="JuCase"/>
        <w:rPr>
          <w:b w:val="0"/>
          <w:lang w:val="uk-UA"/>
        </w:rPr>
      </w:pPr>
      <w:r w:rsidRPr="002C6AA1">
        <w:rPr>
          <w:b w:val="0"/>
          <w:lang w:val="uk-UA"/>
        </w:rPr>
        <w:t xml:space="preserve">Микола Гнатовський </w:t>
      </w:r>
      <w:r w:rsidRPr="002C6AA1">
        <w:rPr>
          <w:b w:val="0"/>
          <w:i/>
          <w:lang w:val="uk-UA"/>
        </w:rPr>
        <w:t>(Mykola Gnatovskyy)</w:t>
      </w:r>
      <w:r w:rsidRPr="002C6AA1">
        <w:rPr>
          <w:b w:val="0"/>
          <w:lang w:val="uk-UA"/>
        </w:rPr>
        <w:t xml:space="preserve">, </w:t>
      </w:r>
      <w:r w:rsidRPr="002C6AA1">
        <w:rPr>
          <w:b w:val="0"/>
          <w:i/>
          <w:iCs/>
          <w:lang w:val="uk-UA"/>
        </w:rPr>
        <w:t>судді</w:t>
      </w:r>
      <w:r w:rsidRPr="002C6AA1">
        <w:rPr>
          <w:b w:val="0"/>
          <w:lang w:val="uk-UA"/>
        </w:rPr>
        <w:t>,</w:t>
      </w:r>
    </w:p>
    <w:p w:rsidRPr="002C6AA1" w:rsidR="002A5E93" w:rsidP="002C6AA1" w14:paraId="5285A0FE" w14:textId="77777777">
      <w:pPr>
        <w:pStyle w:val="JuCase"/>
        <w:ind w:firstLine="0"/>
        <w:rPr>
          <w:b w:val="0"/>
          <w:i/>
          <w:lang w:val="uk-UA"/>
        </w:rPr>
      </w:pPr>
      <w:r w:rsidRPr="002C6AA1">
        <w:rPr>
          <w:b w:val="0"/>
          <w:lang w:val="uk-UA"/>
        </w:rPr>
        <w:t xml:space="preserve">та Вікторія Марадудіна </w:t>
      </w:r>
      <w:r w:rsidRPr="002C6AA1">
        <w:rPr>
          <w:b w:val="0"/>
          <w:i/>
          <w:lang w:val="uk-UA"/>
        </w:rPr>
        <w:t>(Viktoriya Maradudina), в.о. заступника Секретаря секції,</w:t>
      </w:r>
    </w:p>
    <w:p w:rsidRPr="002C6AA1" w:rsidR="002A5E93" w:rsidP="002C6AA1" w14:paraId="6B7E1D11" w14:textId="77777777">
      <w:pPr>
        <w:pStyle w:val="JuCase"/>
        <w:rPr>
          <w:b w:val="0"/>
          <w:bCs/>
          <w:lang w:val="uk-UA"/>
        </w:rPr>
      </w:pPr>
      <w:r w:rsidRPr="002C6AA1">
        <w:rPr>
          <w:b w:val="0"/>
          <w:bCs/>
          <w:lang w:val="uk-UA"/>
        </w:rPr>
        <w:t>після обговорення за зачиненими дверима 26 березня 2026 року</w:t>
      </w:r>
    </w:p>
    <w:p w:rsidRPr="002C6AA1" w:rsidR="002A5E93" w:rsidP="002C6AA1" w14:paraId="602E0B7C" w14:textId="77777777">
      <w:pPr>
        <w:pStyle w:val="JuCase"/>
        <w:rPr>
          <w:b w:val="0"/>
          <w:bCs/>
          <w:lang w:val="uk-UA"/>
        </w:rPr>
      </w:pPr>
      <w:r w:rsidRPr="002C6AA1">
        <w:rPr>
          <w:b w:val="0"/>
          <w:bCs/>
          <w:lang w:val="uk-UA"/>
        </w:rPr>
        <w:t>постановляє таке рішення, що було ухвалено у той день:</w:t>
      </w:r>
    </w:p>
    <w:p w:rsidRPr="002C6AA1" w:rsidR="00704659" w:rsidP="002C6AA1" w14:paraId="617B8D0E" w14:textId="77777777">
      <w:pPr>
        <w:pStyle w:val="JuHHead"/>
        <w:rPr>
          <w:lang w:val="uk-UA"/>
        </w:rPr>
      </w:pPr>
      <w:bookmarkStart w:name="ITMARKStartJudgment" w:id="1"/>
      <w:bookmarkEnd w:id="1"/>
      <w:r w:rsidRPr="002C6AA1">
        <w:rPr>
          <w:lang w:val="uk-UA"/>
        </w:rPr>
        <w:t>ПРОЦЕДУРА</w:t>
      </w:r>
    </w:p>
    <w:p w:rsidRPr="002C6AA1" w:rsidR="00704659" w:rsidP="002C6AA1" w14:paraId="5BDF3956" w14:textId="77777777">
      <w:pPr>
        <w:pStyle w:val="JuPara"/>
        <w:rPr>
          <w:rFonts w:eastAsia="PMingLiU"/>
          <w:lang w:val="uk-UA"/>
        </w:rPr>
      </w:pPr>
      <w:r w:rsidRPr="002C6AA1">
        <w:rPr>
          <w:lang w:val="uk-UA"/>
        </w:rPr>
        <w:t>1.  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w:t>
      </w:r>
      <w:r w:rsidRPr="002C6AA1">
        <w:rPr>
          <w:lang w:val="uk-UA"/>
        </w:rPr>
        <w:br/>
        <w:t>(далі – Конвенція)</w:t>
      </w:r>
      <w:r w:rsidRPr="002C6AA1">
        <w:rPr>
          <w:rFonts w:eastAsia="PMingLiU"/>
          <w:lang w:val="uk-UA"/>
        </w:rPr>
        <w:t>.</w:t>
      </w:r>
    </w:p>
    <w:p w:rsidRPr="002C6AA1" w:rsidR="00704659" w:rsidP="002C6AA1" w14:paraId="1DA77D9F" w14:textId="77777777">
      <w:pPr>
        <w:pStyle w:val="JuPara"/>
        <w:rPr>
          <w:lang w:val="uk-UA"/>
        </w:rPr>
      </w:pPr>
      <w:r w:rsidRPr="002C6AA1">
        <w:rPr>
          <w:lang w:val="uk-UA"/>
        </w:rPr>
        <w:t>2.  Про заяви було повідомлено Уряд України (далі – Уряд).</w:t>
      </w:r>
    </w:p>
    <w:p w:rsidRPr="002C6AA1" w:rsidR="00704659" w:rsidP="002C6AA1" w14:paraId="3D8B0D63" w14:textId="77777777">
      <w:pPr>
        <w:pStyle w:val="JuHHead"/>
        <w:jc w:val="left"/>
        <w:rPr>
          <w:lang w:val="uk-UA"/>
        </w:rPr>
      </w:pPr>
      <w:r w:rsidRPr="002C6AA1">
        <w:rPr>
          <w:lang w:val="uk-UA"/>
        </w:rPr>
        <w:t>ФАКТИ</w:t>
      </w:r>
    </w:p>
    <w:p w:rsidRPr="002C6AA1" w:rsidR="00704659" w:rsidP="002C6AA1" w14:paraId="1A8D5387" w14:textId="77777777">
      <w:pPr>
        <w:pStyle w:val="JuPara"/>
        <w:rPr>
          <w:lang w:val="uk-UA"/>
        </w:rPr>
      </w:pPr>
      <w:r w:rsidRPr="002C6AA1">
        <w:rPr>
          <w:lang w:val="uk-UA"/>
        </w:rPr>
        <w:t>3.  </w:t>
      </w:r>
      <w:r w:rsidRPr="002C6AA1">
        <w:rPr>
          <w:rFonts w:eastAsia="PMingLiU"/>
          <w:lang w:val="uk-UA"/>
        </w:rPr>
        <w:t>Перелік заявників і відповідні деталі заяв наведені в таблиці у додатку</w:t>
      </w:r>
      <w:r w:rsidRPr="002C6AA1">
        <w:rPr>
          <w:lang w:val="uk-UA"/>
        </w:rPr>
        <w:t>.</w:t>
      </w:r>
    </w:p>
    <w:p w:rsidRPr="002C6AA1" w:rsidR="00704659" w:rsidP="002C6AA1" w14:paraId="3ACA1D3D" w14:textId="77777777">
      <w:pPr>
        <w:pStyle w:val="JuHHead"/>
        <w:jc w:val="left"/>
        <w:rPr>
          <w:lang w:val="uk-UA"/>
        </w:rPr>
      </w:pPr>
      <w:r w:rsidRPr="002C6AA1">
        <w:rPr>
          <w:lang w:val="uk-UA"/>
        </w:rPr>
        <w:t>ПРАВО</w:t>
      </w:r>
    </w:p>
    <w:p w:rsidRPr="002C6AA1" w:rsidR="00704659" w:rsidP="002C6AA1" w14:paraId="76D073AA" w14:textId="77777777">
      <w:pPr>
        <w:pStyle w:val="JuHIRoman"/>
        <w:tabs>
          <w:tab w:val="clear" w:pos="454"/>
          <w:tab w:val="clear" w:pos="539"/>
          <w:tab w:val="clear" w:pos="624"/>
          <w:tab w:val="clear" w:pos="709"/>
          <w:tab w:val="clear" w:pos="794"/>
        </w:tabs>
        <w:ind w:left="357" w:hanging="357"/>
        <w:jc w:val="left"/>
        <w:rPr>
          <w:lang w:val="uk-UA"/>
        </w:rPr>
      </w:pPr>
      <w:r w:rsidRPr="002C6AA1">
        <w:rPr>
          <w:lang w:val="uk-UA"/>
        </w:rPr>
        <w:t>ОБ</w:t>
      </w:r>
      <w:r w:rsidRPr="002C6AA1" w:rsidR="002C6AA1">
        <w:rPr>
          <w:lang w:val="uk-UA"/>
        </w:rPr>
        <w:t>’</w:t>
      </w:r>
      <w:r w:rsidRPr="002C6AA1">
        <w:rPr>
          <w:lang w:val="uk-UA"/>
        </w:rPr>
        <w:t>ЄДНАННЯ ЗАЯВ</w:t>
      </w:r>
    </w:p>
    <w:p w:rsidRPr="002C6AA1" w:rsidR="00704659" w:rsidP="002C6AA1" w14:paraId="35F23E0A" w14:textId="77777777">
      <w:pPr>
        <w:pStyle w:val="JuPara"/>
        <w:rPr>
          <w:rFonts w:cs="Times New Roman"/>
          <w:lang w:val="uk-UA"/>
        </w:rPr>
      </w:pPr>
      <w:r w:rsidRPr="002C6AA1">
        <w:rPr>
          <w:lang w:val="uk-UA"/>
        </w:rPr>
        <w:t xml:space="preserve">4.  Беручи до уваги схожість </w:t>
      </w:r>
      <w:r w:rsidRPr="002C6AA1" w:rsidR="00682A24">
        <w:rPr>
          <w:lang w:val="uk-UA"/>
        </w:rPr>
        <w:t xml:space="preserve">предмета </w:t>
      </w:r>
      <w:r w:rsidRPr="002C6AA1">
        <w:rPr>
          <w:lang w:val="uk-UA"/>
        </w:rPr>
        <w:t>заяв, Суд вважає за доцільне розглянути їх спільно в одному рішенні.</w:t>
      </w:r>
    </w:p>
    <w:p w:rsidRPr="002C6AA1" w:rsidR="00704659" w:rsidP="002C6AA1" w14:paraId="2942D416" w14:textId="77777777">
      <w:pPr>
        <w:pStyle w:val="JuHIRoman"/>
        <w:tabs>
          <w:tab w:val="clear" w:pos="454"/>
          <w:tab w:val="clear" w:pos="539"/>
          <w:tab w:val="clear" w:pos="624"/>
          <w:tab w:val="clear" w:pos="709"/>
          <w:tab w:val="clear" w:pos="794"/>
        </w:tabs>
        <w:ind w:left="357" w:hanging="357"/>
        <w:rPr>
          <w:rFonts w:eastAsia="PMingLiU"/>
          <w:lang w:val="uk-UA"/>
        </w:rPr>
      </w:pPr>
      <w:r w:rsidRPr="002C6AA1">
        <w:rPr>
          <w:lang w:val="uk-UA"/>
        </w:rPr>
        <w:t>СТВЕРДЖУВАНЕ ПОРУШЕННЯ СТАТТІ 2 КОНВЕНЦІЇ</w:t>
      </w:r>
    </w:p>
    <w:p w:rsidRPr="002C6AA1" w:rsidR="00704659" w:rsidP="002C6AA1" w14:paraId="03CF0A4A" w14:textId="77777777">
      <w:pPr>
        <w:pStyle w:val="JuPara"/>
        <w:rPr>
          <w:rFonts w:ascii="Times New Roman" w:hAnsi="Times New Roman" w:eastAsia="PMingLiU" w:cs="Times New Roman"/>
          <w:lang w:val="uk-UA"/>
        </w:rPr>
      </w:pPr>
      <w:r w:rsidRPr="002C6AA1">
        <w:rPr>
          <w:lang w:val="uk-UA"/>
        </w:rPr>
        <w:t>5.  Заявники скаржилися на непроведення ефективного розслідування смерті чи дорожньо-транспортних пригод, які становили загрозу життю, до яких не були причетні представники держави. Вони посилалися, прямо чи по суті, на пункт 1 статті 2 Конвенції</w:t>
      </w:r>
      <w:r w:rsidRPr="002C6AA1">
        <w:rPr>
          <w:rFonts w:ascii="Times New Roman" w:hAnsi="Times New Roman" w:eastAsia="PMingLiU" w:cs="Times New Roman"/>
          <w:lang w:val="uk-UA"/>
        </w:rPr>
        <w:t>.</w:t>
      </w:r>
    </w:p>
    <w:p w:rsidRPr="002C6AA1" w:rsidR="002A5E93" w:rsidP="002C6AA1" w14:paraId="38CA787F" w14:textId="77777777">
      <w:pPr>
        <w:pStyle w:val="JuPara"/>
        <w:rPr>
          <w:lang w:val="uk-UA"/>
        </w:rPr>
      </w:pPr>
      <w:r w:rsidRPr="002C6AA1">
        <w:rPr>
          <w:lang w:val="uk-UA"/>
        </w:rPr>
        <w:t>6.  Насамперед Суд зазначає, що ця справа має розглядатися з огляду на зобов</w:t>
      </w:r>
      <w:r w:rsidRPr="002C6AA1" w:rsidR="002C6AA1">
        <w:rPr>
          <w:lang w:val="uk-UA"/>
        </w:rPr>
        <w:t>’</w:t>
      </w:r>
      <w:r w:rsidRPr="002C6AA1">
        <w:rPr>
          <w:lang w:val="uk-UA"/>
        </w:rPr>
        <w:t xml:space="preserve">язання держави провести ефективне розслідування за процесуальним аспектом статті 2 Конвенції. Відповідні загальні принципи щодо ефективності розслідування наведені в рішенні у справі «Мустафа Тунч і Феджіре Тунч проти Туреччини» [ВП] </w:t>
      </w:r>
      <w:r w:rsidRPr="002C6AA1">
        <w:rPr>
          <w:i/>
          <w:iCs/>
          <w:lang w:val="uk-UA"/>
        </w:rPr>
        <w:t>(Mustafa Tunç and Fecire Tunç v. Turkey)</w:t>
      </w:r>
      <w:r w:rsidRPr="002C6AA1">
        <w:rPr>
          <w:lang w:val="uk-UA"/>
        </w:rPr>
        <w:t xml:space="preserve"> [GC], заява № 24014/05, пункти 169 – 182, від 14 квітня 2015 року). Зокрема, після виникнення </w:t>
      </w:r>
      <w:r w:rsidRPr="002C6AA1">
        <w:rPr>
          <w:lang w:val="uk-UA"/>
        </w:rPr>
        <w:t>зобов</w:t>
      </w:r>
      <w:r w:rsidRPr="002C6AA1" w:rsidR="002C6AA1">
        <w:rPr>
          <w:lang w:val="uk-UA"/>
        </w:rPr>
        <w:t>’</w:t>
      </w:r>
      <w:r w:rsidRPr="002C6AA1">
        <w:rPr>
          <w:lang w:val="uk-UA"/>
        </w:rPr>
        <w:t>язання провести розслідування, дотримання процесуальних вимог за статтею 2 Конвенції оцінюється на підставі декількох основних критеріїв: належність слідчих дій, оперативність розслідування, залучення членів родини померлого та незалежність розслідування. Ці елементи є взаємопов</w:t>
      </w:r>
      <w:r w:rsidRPr="002C6AA1" w:rsidR="002C6AA1">
        <w:rPr>
          <w:lang w:val="uk-UA"/>
        </w:rPr>
        <w:t>’</w:t>
      </w:r>
      <w:r w:rsidRPr="002C6AA1">
        <w:rPr>
          <w:lang w:val="uk-UA"/>
        </w:rPr>
        <w:t>язаними і кожен з них окремо не може бути самоціллю (там само, пункт 225).</w:t>
      </w:r>
    </w:p>
    <w:p w:rsidRPr="002C6AA1" w:rsidR="002A5E93" w:rsidP="002C6AA1" w14:paraId="4A7D8225" w14:textId="77777777">
      <w:pPr>
        <w:pStyle w:val="JuPara"/>
        <w:rPr>
          <w:lang w:val="uk-UA"/>
        </w:rPr>
      </w:pPr>
      <w:r w:rsidRPr="002C6AA1">
        <w:rPr>
          <w:lang w:val="uk-UA"/>
        </w:rPr>
        <w:t>7.  До того ж це зобов</w:t>
      </w:r>
      <w:r w:rsidRPr="002C6AA1" w:rsidR="002C6AA1">
        <w:rPr>
          <w:lang w:val="uk-UA"/>
        </w:rPr>
        <w:t>’</w:t>
      </w:r>
      <w:r w:rsidRPr="002C6AA1">
        <w:rPr>
          <w:lang w:val="uk-UA"/>
        </w:rPr>
        <w:t>язання не є обов</w:t>
      </w:r>
      <w:r w:rsidRPr="002C6AA1" w:rsidR="002C6AA1">
        <w:rPr>
          <w:lang w:val="uk-UA"/>
        </w:rPr>
        <w:t>’</w:t>
      </w:r>
      <w:r w:rsidRPr="002C6AA1">
        <w:rPr>
          <w:lang w:val="uk-UA"/>
        </w:rPr>
        <w:t>язком досягнення результатів, а обов</w:t>
      </w:r>
      <w:r w:rsidRPr="002C6AA1" w:rsidR="002C6AA1">
        <w:rPr>
          <w:lang w:val="uk-UA"/>
        </w:rPr>
        <w:t>’</w:t>
      </w:r>
      <w:r w:rsidRPr="002C6AA1">
        <w:rPr>
          <w:lang w:val="uk-UA"/>
        </w:rPr>
        <w:t>язком вжиття заходів. Суд погоджується, що не кожне розслідування обов</w:t>
      </w:r>
      <w:r w:rsidRPr="002C6AA1" w:rsidR="002C6AA1">
        <w:rPr>
          <w:lang w:val="uk-UA"/>
        </w:rPr>
        <w:t>’</w:t>
      </w:r>
      <w:r w:rsidRPr="002C6AA1">
        <w:rPr>
          <w:lang w:val="uk-UA"/>
        </w:rPr>
        <w:t xml:space="preserve">язково має бути успішним або дійти висновку, який збігається з викладом подій скаржника. Проте воно, у принципі, має бути здатним призвести до встановлення фактів справи, а якщо твердження виявляться правдивими – до встановлення та покарання винних осіб (див. рішення у справі «Пол та Одрі Едвардс проти Сполученого Королівства» </w:t>
      </w:r>
      <w:r w:rsidRPr="002C6AA1">
        <w:rPr>
          <w:i/>
          <w:iCs/>
          <w:lang w:val="uk-UA"/>
        </w:rPr>
        <w:t>(Paul and Audrey Edwards v. the United Kingdom),</w:t>
      </w:r>
      <w:r w:rsidRPr="002C6AA1">
        <w:rPr>
          <w:lang w:val="uk-UA"/>
        </w:rPr>
        <w:t xml:space="preserve"> заява № 46477/99, пункт 71, ЄСПЛ 2002-II).</w:t>
      </w:r>
    </w:p>
    <w:p w:rsidRPr="002C6AA1" w:rsidR="00513270" w:rsidP="002C6AA1" w14:paraId="4BF68F65" w14:textId="77777777">
      <w:pPr>
        <w:pStyle w:val="JuPara"/>
        <w:rPr>
          <w:lang w:val="uk-UA"/>
        </w:rPr>
      </w:pPr>
      <w:r w:rsidRPr="002C6AA1">
        <w:rPr>
          <w:lang w:val="uk-UA"/>
        </w:rPr>
        <w:t>8.  </w:t>
      </w:r>
      <w:r w:rsidRPr="002C6AA1">
        <w:rPr>
          <w:lang w:val="uk-UA"/>
        </w:rPr>
        <w:t>Розглядаючи факти цих заяв у контексті зазначених принципів, Суд вважає, що розслідування характеризувалися різними недоліками, які підірвали здатність органів досудового розслідування встановити обставини дорожньо-транспортних пригод, які становили загрозу життю, а також відповідальних осіб, якщо такі були. Конкретні недоліки вказані в таблиці у додатку.</w:t>
      </w:r>
    </w:p>
    <w:p w:rsidRPr="002C6AA1" w:rsidR="00513270" w:rsidP="002C6AA1" w14:paraId="4CE7FA3F" w14:textId="77777777">
      <w:pPr>
        <w:pStyle w:val="JuPara"/>
        <w:rPr>
          <w:lang w:val="uk-UA"/>
        </w:rPr>
      </w:pPr>
      <w:r w:rsidRPr="002C6AA1">
        <w:rPr>
          <w:lang w:val="uk-UA"/>
        </w:rPr>
        <w:t>9.  </w:t>
      </w:r>
      <w:r w:rsidRPr="002C6AA1">
        <w:rPr>
          <w:lang w:val="uk-UA"/>
        </w:rPr>
        <w:t xml:space="preserve">У керівних справах «Качурка проти України» </w:t>
      </w:r>
      <w:r w:rsidRPr="002C6AA1">
        <w:rPr>
          <w:i/>
          <w:iCs/>
          <w:lang w:val="uk-UA"/>
        </w:rPr>
        <w:t xml:space="preserve">(Kachurka v. Ukraine), </w:t>
      </w:r>
      <w:r w:rsidRPr="002C6AA1">
        <w:rPr>
          <w:lang w:val="uk-UA"/>
        </w:rPr>
        <w:t xml:space="preserve">заява № 4737/06, від 15 вересня 2011 року), «Поживотько проти України» </w:t>
      </w:r>
      <w:r w:rsidRPr="002C6AA1">
        <w:rPr>
          <w:i/>
          <w:iCs/>
          <w:lang w:val="uk-UA"/>
        </w:rPr>
        <w:t>(Pozhyvotko v. Ukraine),</w:t>
      </w:r>
      <w:r w:rsidRPr="002C6AA1">
        <w:rPr>
          <w:lang w:val="uk-UA"/>
        </w:rPr>
        <w:t xml:space="preserve"> заява № 42752/08, від 17 жовтня 2013 року та «Басюк проти України» </w:t>
      </w:r>
      <w:r w:rsidRPr="002C6AA1">
        <w:rPr>
          <w:i/>
          <w:iCs/>
          <w:lang w:val="uk-UA"/>
        </w:rPr>
        <w:t>(Basyuk v. Ukraine),</w:t>
      </w:r>
      <w:r w:rsidRPr="002C6AA1">
        <w:rPr>
          <w:lang w:val="uk-UA"/>
        </w:rPr>
        <w:t xml:space="preserve"> заява № 51151/10, від 05 листопада 2015 року) Суд вже встановлював порушення щодо питань, аналогічних тим, що розглядаються у цій справі.</w:t>
      </w:r>
    </w:p>
    <w:p w:rsidRPr="002C6AA1" w:rsidR="00513270" w:rsidP="002C6AA1" w14:paraId="7A781395" w14:textId="77777777">
      <w:pPr>
        <w:pStyle w:val="JuPara"/>
        <w:rPr>
          <w:lang w:val="uk-UA"/>
        </w:rPr>
      </w:pPr>
      <w:r w:rsidRPr="002C6AA1">
        <w:rPr>
          <w:lang w:val="uk-UA"/>
        </w:rPr>
        <w:t>10.  </w:t>
      </w:r>
      <w:r w:rsidRPr="002C6AA1">
        <w:rPr>
          <w:lang w:val="uk-UA"/>
        </w:rPr>
        <w:t xml:space="preserve">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w:t>
      </w:r>
      <w:r w:rsidRPr="002C6AA1" w:rsidR="00246653">
        <w:rPr>
          <w:lang w:val="uk-UA"/>
        </w:rPr>
        <w:t>цих заявах</w:t>
      </w:r>
      <w:r w:rsidRPr="002C6AA1">
        <w:rPr>
          <w:lang w:val="uk-UA"/>
        </w:rPr>
        <w:t xml:space="preserve"> розслідування</w:t>
      </w:r>
      <w:r w:rsidRPr="002C6AA1" w:rsidR="00246653">
        <w:rPr>
          <w:lang w:val="uk-UA"/>
        </w:rPr>
        <w:t>, як описано далі,</w:t>
      </w:r>
      <w:r w:rsidRPr="002C6AA1">
        <w:rPr>
          <w:lang w:val="uk-UA"/>
        </w:rPr>
        <w:t xml:space="preserve"> не відповідали критерію ефективності.</w:t>
      </w:r>
    </w:p>
    <w:p w:rsidRPr="002C6AA1" w:rsidR="00513270" w:rsidP="002C6AA1" w14:paraId="6B942D04" w14:textId="77777777">
      <w:pPr>
        <w:pStyle w:val="JuPara"/>
        <w:rPr>
          <w:lang w:val="uk-UA"/>
        </w:rPr>
      </w:pPr>
      <w:r w:rsidRPr="002C6AA1">
        <w:rPr>
          <w:lang w:val="uk-UA"/>
        </w:rPr>
        <w:t>11.  Отже, ці скарги є прийнятними та свідчать про порушення статті 2 Конвенції.</w:t>
      </w:r>
    </w:p>
    <w:p w:rsidRPr="002C6AA1" w:rsidR="00704659" w:rsidP="002C6AA1" w14:paraId="2E8FF641" w14:textId="77777777">
      <w:pPr>
        <w:pStyle w:val="JuHIRoman"/>
        <w:tabs>
          <w:tab w:val="clear" w:pos="454"/>
          <w:tab w:val="clear" w:pos="539"/>
          <w:tab w:val="clear" w:pos="624"/>
          <w:tab w:val="clear" w:pos="709"/>
          <w:tab w:val="clear" w:pos="794"/>
        </w:tabs>
        <w:ind w:left="357" w:hanging="357"/>
        <w:jc w:val="left"/>
        <w:rPr>
          <w:lang w:val="uk-UA"/>
        </w:rPr>
      </w:pPr>
      <w:r w:rsidRPr="002C6AA1">
        <w:rPr>
          <w:lang w:val="uk-UA"/>
        </w:rPr>
        <w:t>ЗАСТОСУВАННЯ СТАТТІ 41 КОНВЕНЦІЇ</w:t>
      </w:r>
    </w:p>
    <w:p w:rsidRPr="002C6AA1" w:rsidR="00704659" w:rsidP="002C6AA1" w14:paraId="63E6E292" w14:textId="77777777">
      <w:pPr>
        <w:pStyle w:val="JuPara"/>
        <w:rPr>
          <w:lang w:val="uk-UA"/>
        </w:rPr>
      </w:pPr>
      <w:r w:rsidRPr="002C6AA1">
        <w:rPr>
          <w:lang w:val="uk-UA"/>
        </w:rPr>
        <w:t xml:space="preserve">12.  З огляду на наявні в нього документи та свою практику (див., зокрема, згадане рішення у справі «Басюк проти України» </w:t>
      </w:r>
      <w:r w:rsidRPr="002C6AA1">
        <w:rPr>
          <w:i/>
          <w:iCs/>
          <w:lang w:val="uk-UA"/>
        </w:rPr>
        <w:t xml:space="preserve">(Basyuk v. Ukraine), </w:t>
      </w:r>
      <w:r w:rsidRPr="002C6AA1">
        <w:rPr>
          <w:lang w:val="uk-UA"/>
        </w:rPr>
        <w:t>пункти 74 – 80) Суд вважає за доцільне присудити суми, зазначені у таблиці в додатку.</w:t>
      </w:r>
    </w:p>
    <w:p w:rsidRPr="002C6AA1" w:rsidR="00704659" w:rsidP="002C6AA1" w14:paraId="2B8ED567" w14:textId="77777777">
      <w:pPr>
        <w:pStyle w:val="JuHHead"/>
        <w:jc w:val="left"/>
        <w:rPr>
          <w:lang w:val="uk-UA"/>
        </w:rPr>
      </w:pPr>
      <w:r w:rsidRPr="002C6AA1">
        <w:rPr>
          <w:lang w:val="uk-UA"/>
        </w:rPr>
        <w:t>ЗА ЦИХ ПІДСТАВ СУД ОДНОГОЛОСНО</w:t>
      </w:r>
    </w:p>
    <w:p w:rsidRPr="002C6AA1" w:rsidR="00513270" w:rsidP="002C6AA1" w14:paraId="219DAC82" w14:textId="77777777">
      <w:pPr>
        <w:pStyle w:val="JuList"/>
        <w:keepNext/>
        <w:keepLines/>
        <w:rPr>
          <w:lang w:val="uk-UA"/>
        </w:rPr>
      </w:pPr>
      <w:r w:rsidRPr="002C6AA1">
        <w:rPr>
          <w:i/>
          <w:iCs/>
          <w:lang w:val="uk-UA"/>
        </w:rPr>
        <w:t xml:space="preserve">Вирішує </w:t>
      </w:r>
      <w:r w:rsidRPr="002C6AA1">
        <w:rPr>
          <w:iCs/>
          <w:lang w:val="uk-UA"/>
        </w:rPr>
        <w:t>об</w:t>
      </w:r>
      <w:r w:rsidRPr="002C6AA1" w:rsidR="002C6AA1">
        <w:rPr>
          <w:iCs/>
          <w:lang w:val="uk-UA"/>
        </w:rPr>
        <w:t>’</w:t>
      </w:r>
      <w:r w:rsidRPr="002C6AA1">
        <w:rPr>
          <w:iCs/>
          <w:lang w:val="uk-UA"/>
        </w:rPr>
        <w:t>єднати заяви;</w:t>
      </w:r>
    </w:p>
    <w:p w:rsidRPr="002C6AA1" w:rsidR="00513270" w:rsidP="002C6AA1" w14:paraId="38EFB3C5" w14:textId="77777777">
      <w:pPr>
        <w:pStyle w:val="JuList"/>
        <w:keepNext/>
        <w:keepLines/>
        <w:rPr>
          <w:lang w:val="uk-UA"/>
        </w:rPr>
      </w:pPr>
      <w:r w:rsidRPr="002C6AA1">
        <w:rPr>
          <w:i/>
          <w:iCs/>
          <w:lang w:val="uk-UA"/>
        </w:rPr>
        <w:t xml:space="preserve">Оголошує </w:t>
      </w:r>
      <w:r w:rsidRPr="002C6AA1">
        <w:rPr>
          <w:iCs/>
          <w:lang w:val="uk-UA"/>
        </w:rPr>
        <w:t>заяви прийнятними;</w:t>
      </w:r>
    </w:p>
    <w:p w:rsidRPr="002C6AA1" w:rsidR="00704659" w:rsidP="002C6AA1" w14:paraId="5ED05D6A" w14:textId="77777777">
      <w:pPr>
        <w:pStyle w:val="JuList"/>
        <w:rPr>
          <w:rFonts w:cstheme="minorHAnsi"/>
          <w:bCs/>
          <w:lang w:val="uk-UA"/>
        </w:rPr>
      </w:pPr>
      <w:r w:rsidRPr="002C6AA1">
        <w:rPr>
          <w:i/>
          <w:iCs/>
          <w:lang w:val="uk-UA"/>
        </w:rPr>
        <w:t xml:space="preserve">Постановляє, </w:t>
      </w:r>
      <w:r w:rsidRPr="002C6AA1">
        <w:rPr>
          <w:iCs/>
          <w:lang w:val="uk-UA"/>
        </w:rPr>
        <w:t>що ці заяви свідчать про порушення статті 2 Конвенції у зв</w:t>
      </w:r>
      <w:r w:rsidRPr="002C6AA1" w:rsidR="002C6AA1">
        <w:rPr>
          <w:iCs/>
          <w:lang w:val="uk-UA"/>
        </w:rPr>
        <w:t>’</w:t>
      </w:r>
      <w:r w:rsidRPr="002C6AA1">
        <w:rPr>
          <w:iCs/>
          <w:lang w:val="uk-UA"/>
        </w:rPr>
        <w:t>язку з непроведенням ефективного розслідування смерті чи дорожньо-транспортних пригод, які становили загрозу життю, до яких не були причетні представники держави</w:t>
      </w:r>
      <w:r w:rsidRPr="002C6AA1">
        <w:rPr>
          <w:rFonts w:eastAsia="PMingLiU"/>
          <w:lang w:val="uk-UA"/>
        </w:rPr>
        <w:t>;</w:t>
      </w:r>
    </w:p>
    <w:p w:rsidRPr="002C6AA1" w:rsidR="00704659" w:rsidP="002C6AA1" w14:paraId="7A9C84F8" w14:textId="77777777">
      <w:pPr>
        <w:pStyle w:val="JuList"/>
        <w:ind w:left="0" w:firstLine="0"/>
        <w:rPr>
          <w:rFonts w:cstheme="minorHAnsi"/>
          <w:bCs/>
          <w:lang w:val="uk-UA"/>
        </w:rPr>
      </w:pPr>
      <w:r w:rsidRPr="002C6AA1">
        <w:rPr>
          <w:i/>
          <w:iCs/>
          <w:lang w:val="uk-UA"/>
        </w:rPr>
        <w:t xml:space="preserve">Постановляє, </w:t>
      </w:r>
      <w:r w:rsidRPr="002C6AA1">
        <w:rPr>
          <w:iCs/>
          <w:lang w:val="uk-UA"/>
        </w:rPr>
        <w:t>що:</w:t>
      </w:r>
    </w:p>
    <w:p w:rsidRPr="002C6AA1" w:rsidR="00704659" w:rsidP="002C6AA1" w14:paraId="61A619A6" w14:textId="77777777">
      <w:pPr>
        <w:pStyle w:val="JuLista"/>
        <w:rPr>
          <w:lang w:val="uk-UA"/>
        </w:rPr>
      </w:pPr>
      <w:r w:rsidRPr="002C6AA1">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p>
    <w:p w:rsidRPr="002C6AA1" w:rsidR="00606600" w:rsidP="002C6AA1" w14:paraId="3C32E360" w14:textId="77777777">
      <w:pPr>
        <w:pStyle w:val="JuLista"/>
        <w:rPr>
          <w:lang w:val="uk-UA"/>
        </w:rPr>
      </w:pPr>
      <w:r w:rsidRPr="002C6AA1">
        <w:rPr>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2C6AA1">
        <w:rPr>
          <w:i/>
          <w:iCs/>
          <w:lang w:val="uk-UA"/>
        </w:rPr>
        <w:t xml:space="preserve">(simple interest) </w:t>
      </w:r>
      <w:r w:rsidRPr="002C6AA1">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2C6AA1" w:rsidR="004A765D" w:rsidP="002C6AA1" w14:paraId="0749AD33" w14:textId="77777777">
      <w:pPr>
        <w:pStyle w:val="JuList"/>
        <w:numPr>
          <w:ilvl w:val="0"/>
          <w:numId w:val="0"/>
        </w:numPr>
        <w:ind w:firstLine="284"/>
        <w:rPr>
          <w:lang w:val="uk-UA"/>
        </w:rPr>
      </w:pPr>
      <w:r w:rsidRPr="002C6AA1">
        <w:rPr>
          <w:lang w:val="uk-UA"/>
        </w:rPr>
        <w:t>Учинено англійською мовою та повідомлено письмово 16 квітня 2026 року відповідно до пунктів 2 і 3 Правила 77 Регламенту Суду.</w:t>
      </w:r>
    </w:p>
    <w:p w:rsidRPr="002C6AA1" w:rsidR="004A765D" w:rsidP="002C6AA1" w14:paraId="30863068" w14:textId="77777777">
      <w:pPr>
        <w:pStyle w:val="JuList"/>
        <w:numPr>
          <w:ilvl w:val="0"/>
          <w:numId w:val="0"/>
        </w:numPr>
        <w:ind w:firstLine="284"/>
        <w:rPr>
          <w:lang w:val="uk-UA"/>
        </w:rPr>
      </w:pPr>
    </w:p>
    <w:p w:rsidRPr="002C6AA1" w:rsidR="004A765D" w:rsidP="002C6AA1" w14:paraId="26FBC612" w14:textId="77777777">
      <w:pPr>
        <w:pStyle w:val="JuList"/>
        <w:numPr>
          <w:ilvl w:val="0"/>
          <w:numId w:val="0"/>
        </w:numPr>
        <w:ind w:firstLine="284"/>
        <w:rPr>
          <w:lang w:val="uk-UA"/>
        </w:rPr>
      </w:pPr>
    </w:p>
    <w:tbl>
      <w:tblPr>
        <w:tblW w:w="0" w:type="auto"/>
        <w:jc w:val="center"/>
        <w:tblLayout w:type="fixed"/>
        <w:tblLook w:val="04A0"/>
      </w:tblPr>
      <w:tblGrid>
        <w:gridCol w:w="3794"/>
        <w:gridCol w:w="3780"/>
      </w:tblGrid>
      <w:tr w14:paraId="59A07FFA" w14:textId="77777777">
        <w:tblPrEx>
          <w:tblW w:w="0" w:type="auto"/>
          <w:tblLayout w:type="fixed"/>
          <w:tblLook w:val="04A0"/>
        </w:tblPrEx>
        <w:tc>
          <w:tcPr>
            <w:tcW w:w="3794" w:type="dxa"/>
            <w:hideMark/>
          </w:tcPr>
          <w:p w:rsidRPr="002C6AA1" w:rsidR="004A765D" w:rsidP="002C6AA1" w14:paraId="23EA7489" w14:textId="77777777">
            <w:pPr>
              <w:pStyle w:val="ECHRPlaceholder"/>
              <w:spacing w:before="0"/>
              <w:jc w:val="center"/>
              <w:rPr>
                <w:rFonts w:eastAsia="PMingLiU"/>
                <w:color w:val="auto"/>
                <w:lang w:val="uk-UA"/>
              </w:rPr>
            </w:pPr>
            <w:r w:rsidRPr="002C6AA1">
              <w:rPr>
                <w:rFonts w:eastAsia="PMingLiU"/>
                <w:color w:val="auto"/>
                <w:lang w:val="uk-UA"/>
              </w:rPr>
              <w:t>Вікторія Марадудіна</w:t>
            </w:r>
          </w:p>
          <w:p w:rsidRPr="002C6AA1" w:rsidR="004A765D" w:rsidP="002C6AA1" w14:paraId="748576FF" w14:textId="77777777">
            <w:pPr>
              <w:pStyle w:val="ECHRPlaceholder"/>
              <w:spacing w:before="0"/>
              <w:jc w:val="center"/>
              <w:rPr>
                <w:rFonts w:eastAsia="PMingLiU"/>
                <w:i/>
                <w:color w:val="auto"/>
                <w:lang w:val="uk-UA"/>
              </w:rPr>
            </w:pPr>
            <w:r w:rsidRPr="002C6AA1">
              <w:rPr>
                <w:rFonts w:eastAsia="PMingLiU"/>
                <w:i/>
                <w:color w:val="auto"/>
                <w:lang w:val="uk-UA"/>
              </w:rPr>
              <w:t>(Viktoriya Maradudina)</w:t>
            </w:r>
          </w:p>
          <w:p w:rsidRPr="002C6AA1" w:rsidR="004A765D" w:rsidP="002C6AA1" w14:paraId="3F32FC90" w14:textId="77777777">
            <w:pPr>
              <w:pStyle w:val="ECHRPlaceholder"/>
              <w:spacing w:before="0"/>
              <w:jc w:val="center"/>
              <w:rPr>
                <w:rFonts w:eastAsia="PMingLiU"/>
                <w:color w:val="auto"/>
                <w:lang w:val="uk-UA"/>
              </w:rPr>
            </w:pPr>
            <w:r w:rsidRPr="002C6AA1">
              <w:rPr>
                <w:rFonts w:eastAsia="PMingLiU"/>
                <w:color w:val="auto"/>
                <w:lang w:val="uk-UA"/>
              </w:rPr>
              <w:t>В.о. заступника Секретаря</w:t>
            </w:r>
          </w:p>
        </w:tc>
        <w:tc>
          <w:tcPr>
            <w:tcW w:w="3780" w:type="dxa"/>
            <w:hideMark/>
          </w:tcPr>
          <w:p w:rsidRPr="002C6AA1" w:rsidR="004A765D" w:rsidP="002C6AA1" w14:paraId="220FF7C2" w14:textId="77777777">
            <w:pPr>
              <w:pStyle w:val="ECHRPlaceholder"/>
              <w:spacing w:before="0"/>
              <w:jc w:val="center"/>
              <w:rPr>
                <w:rFonts w:eastAsia="PMingLiU"/>
                <w:color w:val="auto"/>
                <w:lang w:val="uk-UA"/>
              </w:rPr>
            </w:pPr>
            <w:r w:rsidRPr="002C6AA1">
              <w:rPr>
                <w:rFonts w:eastAsia="PMingLiU"/>
                <w:color w:val="auto"/>
                <w:lang w:val="uk-UA"/>
              </w:rPr>
              <w:t>Андреас Зюнд</w:t>
            </w:r>
            <w:r w:rsidRPr="002C6AA1">
              <w:rPr>
                <w:rFonts w:eastAsia="PMingLiU"/>
                <w:color w:val="auto"/>
                <w:lang w:val="uk-UA"/>
              </w:rPr>
              <w:br/>
            </w:r>
            <w:r w:rsidRPr="002C6AA1">
              <w:rPr>
                <w:rFonts w:eastAsia="PMingLiU"/>
                <w:i/>
                <w:color w:val="auto"/>
                <w:lang w:val="uk-UA"/>
              </w:rPr>
              <w:t>(Andreas Zünd)</w:t>
            </w:r>
            <w:r w:rsidRPr="002C6AA1">
              <w:rPr>
                <w:rFonts w:eastAsia="PMingLiU"/>
                <w:color w:val="auto"/>
                <w:lang w:val="uk-UA"/>
              </w:rPr>
              <w:br/>
              <w:t>Голова</w:t>
            </w:r>
          </w:p>
        </w:tc>
      </w:tr>
    </w:tbl>
    <w:p w:rsidRPr="002C6AA1" w:rsidR="002F3B96" w:rsidP="002C6AA1" w14:paraId="7D5A83FE" w14:textId="77777777">
      <w:pPr>
        <w:pStyle w:val="JuPara"/>
        <w:rPr>
          <w:lang w:val="uk-UA"/>
        </w:rPr>
      </w:pPr>
    </w:p>
    <w:p w:rsidRPr="002C6AA1" w:rsidR="002F3B96" w:rsidP="002C6AA1" w14:paraId="14868FE0" w14:textId="77777777">
      <w:pPr>
        <w:pStyle w:val="JuPara"/>
        <w:rPr>
          <w:lang w:val="uk-UA"/>
        </w:rPr>
      </w:pPr>
    </w:p>
    <w:p w:rsidRPr="002C6AA1" w:rsidR="00606600" w:rsidP="002C6AA1" w14:paraId="094A4DBC" w14:textId="77777777">
      <w:pPr>
        <w:pStyle w:val="JuParaLast"/>
        <w:rPr>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C6AA1" w:rsidR="00606600" w:rsidP="002C6AA1" w14:paraId="0294D21C" w14:textId="77777777">
      <w:pPr>
        <w:pStyle w:val="DecHTitle"/>
        <w:rPr>
          <w:lang w:val="uk-UA"/>
        </w:rPr>
      </w:pPr>
      <w:r w:rsidRPr="002C6AA1">
        <w:rPr>
          <w:lang w:val="uk-UA"/>
        </w:rPr>
        <w:t>ДОДАТОК</w:t>
      </w:r>
    </w:p>
    <w:p w:rsidRPr="002C6AA1" w:rsidR="00606600" w:rsidP="002C6AA1" w14:paraId="224D211D" w14:textId="77777777">
      <w:pPr>
        <w:pStyle w:val="DecHCase"/>
        <w:contextualSpacing/>
        <w:rPr>
          <w:b/>
          <w:i/>
          <w:color w:val="3E3E3E" w:themeColor="background2" w:themeShade="40"/>
          <w:lang w:val="uk-UA"/>
        </w:rPr>
      </w:pPr>
      <w:r w:rsidRPr="002C6AA1">
        <w:rPr>
          <w:color w:val="3E3E3E" w:themeColor="background2" w:themeShade="40"/>
          <w:lang w:val="uk-UA"/>
        </w:rPr>
        <w:t>Перелік заяв зі скаргами за статтею 2 Конвенції</w:t>
      </w:r>
    </w:p>
    <w:p w:rsidRPr="002C6AA1" w:rsidR="004A765D" w:rsidP="002C6AA1" w14:paraId="03FC1E12" w14:textId="77777777">
      <w:pPr>
        <w:pStyle w:val="DecHCase"/>
        <w:contextualSpacing/>
        <w:rPr>
          <w:color w:val="3E3E3E" w:themeColor="background2" w:themeShade="40"/>
          <w:lang w:val="uk-UA"/>
        </w:rPr>
      </w:pPr>
      <w:r w:rsidRPr="002C6AA1">
        <w:rPr>
          <w:color w:val="3E3E3E" w:themeColor="background2" w:themeShade="40"/>
          <w:lang w:val="uk-UA"/>
        </w:rPr>
        <w:t>(</w:t>
      </w:r>
      <w:r w:rsidRPr="002C6AA1">
        <w:rPr>
          <w:color w:val="3E3E3E" w:themeColor="background2" w:themeShade="40"/>
          <w:lang w:val="uk-UA"/>
        </w:rPr>
        <w:t>непроведення ефективного розслідування смерті чи дорожньо-транспортних пригод,</w:t>
      </w:r>
    </w:p>
    <w:p w:rsidRPr="002C6AA1" w:rsidR="00606600" w:rsidP="002C6AA1" w14:paraId="7A1A5C6C" w14:textId="77777777">
      <w:pPr>
        <w:pStyle w:val="DecHCase"/>
        <w:contextualSpacing/>
        <w:rPr>
          <w:color w:val="3E3E3E" w:themeColor="background2" w:themeShade="40"/>
          <w:lang w:val="uk-UA"/>
        </w:rPr>
      </w:pPr>
      <w:r w:rsidRPr="002C6AA1">
        <w:rPr>
          <w:color w:val="3E3E3E" w:themeColor="background2" w:themeShade="40"/>
          <w:lang w:val="uk-UA"/>
        </w:rPr>
        <w:t>які становили загрозу життю, до яких не були причетні представники держави)</w:t>
      </w:r>
    </w:p>
    <w:tbl>
      <w:tblPr>
        <w:tblStyle w:val="ECHRListTable"/>
        <w:tblW w:w="14743" w:type="dxa"/>
        <w:jc w:val="center"/>
        <w:tblLook w:val="0420"/>
      </w:tblPr>
      <w:tblGrid>
        <w:gridCol w:w="443"/>
        <w:gridCol w:w="1210"/>
        <w:gridCol w:w="1384"/>
        <w:gridCol w:w="1540"/>
        <w:gridCol w:w="5466"/>
        <w:gridCol w:w="2281"/>
        <w:gridCol w:w="1334"/>
        <w:gridCol w:w="1085"/>
      </w:tblGrid>
      <w:tr w:rsidTr="00CF7157" w14:paraId="1ABB7368" w14:textId="77777777">
        <w:tblPrEx>
          <w:tblW w:w="14743" w:type="dxa"/>
          <w:tblLook w:val="0420"/>
        </w:tblPrEx>
        <w:tc>
          <w:tcPr>
            <w:tcW w:w="452" w:type="dxa"/>
          </w:tcPr>
          <w:p w:rsidRPr="002C6AA1" w:rsidR="006B7BFC" w:rsidP="002C6AA1" w14:paraId="60588ACD" w14:textId="77777777">
            <w:pPr>
              <w:jc w:val="center"/>
              <w:rPr>
                <w:sz w:val="16"/>
                <w:lang w:val="uk-UA"/>
              </w:rPr>
            </w:pPr>
            <w:bookmarkStart w:name="WECLListStart" w:id="2"/>
            <w:bookmarkEnd w:id="2"/>
            <w:r w:rsidRPr="002C6AA1">
              <w:rPr>
                <w:sz w:val="16"/>
                <w:lang w:val="uk-UA"/>
              </w:rPr>
              <w:t>№</w:t>
            </w:r>
          </w:p>
        </w:tc>
        <w:tc>
          <w:tcPr>
            <w:tcW w:w="1244" w:type="dxa"/>
          </w:tcPr>
          <w:p w:rsidRPr="002C6AA1" w:rsidR="006B7BFC" w:rsidP="002C6AA1" w14:paraId="3FD1C625" w14:textId="77777777">
            <w:pPr>
              <w:jc w:val="center"/>
              <w:rPr>
                <w:sz w:val="16"/>
                <w:lang w:val="uk-UA"/>
              </w:rPr>
            </w:pPr>
            <w:r w:rsidRPr="002C6AA1">
              <w:rPr>
                <w:bCs/>
                <w:sz w:val="16"/>
                <w:lang w:val="uk-UA"/>
              </w:rPr>
              <w:t>№ заяви</w:t>
            </w:r>
            <w:r w:rsidRPr="002C6AA1">
              <w:rPr>
                <w:sz w:val="16"/>
                <w:lang w:val="uk-UA"/>
              </w:rPr>
              <w:br/>
            </w:r>
            <w:r w:rsidRPr="002C6AA1">
              <w:rPr>
                <w:bCs/>
                <w:sz w:val="16"/>
                <w:lang w:val="uk-UA"/>
              </w:rPr>
              <w:t>Дата подання</w:t>
            </w:r>
          </w:p>
        </w:tc>
        <w:tc>
          <w:tcPr>
            <w:tcW w:w="1418" w:type="dxa"/>
          </w:tcPr>
          <w:p w:rsidRPr="002C6AA1" w:rsidR="004A765D" w:rsidP="002C6AA1" w14:paraId="6DAB53F4" w14:textId="77777777">
            <w:pPr>
              <w:jc w:val="center"/>
              <w:rPr>
                <w:sz w:val="16"/>
                <w:lang w:val="uk-UA"/>
              </w:rPr>
            </w:pPr>
            <w:r w:rsidRPr="002C6AA1">
              <w:rPr>
                <w:bCs/>
                <w:sz w:val="16"/>
                <w:lang w:val="uk-UA"/>
              </w:rPr>
              <w:t>П.І.Б. заявника</w:t>
            </w:r>
          </w:p>
          <w:p w:rsidRPr="002C6AA1" w:rsidR="004A765D" w:rsidP="002C6AA1" w14:paraId="60C0A1AA" w14:textId="77777777">
            <w:pPr>
              <w:jc w:val="center"/>
              <w:rPr>
                <w:sz w:val="16"/>
                <w:lang w:val="uk-UA"/>
              </w:rPr>
            </w:pPr>
            <w:r w:rsidRPr="002C6AA1">
              <w:rPr>
                <w:bCs/>
                <w:sz w:val="16"/>
                <w:lang w:val="uk-UA"/>
              </w:rPr>
              <w:t>Рік народження</w:t>
            </w:r>
          </w:p>
          <w:p w:rsidRPr="002C6AA1" w:rsidR="006B7BFC" w:rsidP="002C6AA1" w14:paraId="5906D17F" w14:textId="77777777">
            <w:pPr>
              <w:rPr>
                <w:sz w:val="16"/>
                <w:lang w:val="uk-UA"/>
              </w:rPr>
            </w:pPr>
          </w:p>
        </w:tc>
        <w:tc>
          <w:tcPr>
            <w:tcW w:w="1276" w:type="dxa"/>
          </w:tcPr>
          <w:p w:rsidRPr="002C6AA1" w:rsidR="006B7BFC" w:rsidP="002C6AA1" w14:paraId="759FCDB3" w14:textId="77777777">
            <w:pPr>
              <w:jc w:val="center"/>
              <w:rPr>
                <w:sz w:val="16"/>
                <w:lang w:val="uk-UA"/>
              </w:rPr>
            </w:pPr>
            <w:r w:rsidRPr="002C6AA1">
              <w:rPr>
                <w:bCs/>
                <w:sz w:val="16"/>
                <w:lang w:val="uk-UA"/>
              </w:rPr>
              <w:t>П.І.Б. представника та місцезнаходження</w:t>
            </w:r>
          </w:p>
        </w:tc>
        <w:tc>
          <w:tcPr>
            <w:tcW w:w="5964" w:type="dxa"/>
          </w:tcPr>
          <w:p w:rsidRPr="002C6AA1" w:rsidR="006B7BFC" w:rsidP="002C6AA1" w14:paraId="0EA340B2" w14:textId="77777777">
            <w:pPr>
              <w:jc w:val="center"/>
              <w:rPr>
                <w:sz w:val="16"/>
                <w:lang w:val="uk-UA"/>
              </w:rPr>
            </w:pPr>
            <w:r w:rsidRPr="002C6AA1">
              <w:rPr>
                <w:bCs/>
                <w:sz w:val="16"/>
                <w:lang w:val="uk-UA"/>
              </w:rPr>
              <w:t>Події, що передували справі, та провадження на національному рівні</w:t>
            </w:r>
          </w:p>
        </w:tc>
        <w:tc>
          <w:tcPr>
            <w:tcW w:w="2399" w:type="dxa"/>
          </w:tcPr>
          <w:p w:rsidRPr="002C6AA1" w:rsidR="006B7BFC" w:rsidP="002C6AA1" w14:paraId="27F59919" w14:textId="77777777">
            <w:pPr>
              <w:jc w:val="center"/>
              <w:rPr>
                <w:sz w:val="16"/>
                <w:lang w:val="uk-UA"/>
              </w:rPr>
            </w:pPr>
            <w:r w:rsidRPr="002C6AA1">
              <w:rPr>
                <w:bCs/>
                <w:sz w:val="16"/>
                <w:lang w:val="uk-UA"/>
              </w:rPr>
              <w:t>Ключові питання</w:t>
            </w:r>
          </w:p>
        </w:tc>
        <w:tc>
          <w:tcPr>
            <w:tcW w:w="992" w:type="dxa"/>
          </w:tcPr>
          <w:p w:rsidRPr="002C6AA1" w:rsidR="004A765D" w:rsidP="002C6AA1" w14:paraId="13FF22E9" w14:textId="77777777">
            <w:pPr>
              <w:jc w:val="center"/>
              <w:rPr>
                <w:sz w:val="16"/>
                <w:lang w:val="uk-UA"/>
              </w:rPr>
            </w:pPr>
            <w:r w:rsidRPr="002C6AA1">
              <w:rPr>
                <w:bCs/>
                <w:sz w:val="16"/>
                <w:lang w:val="uk-UA"/>
              </w:rPr>
              <w:t>Сума, присуджена кожному заявнику в якості відшкодування моральної шкоди</w:t>
            </w:r>
          </w:p>
          <w:p w:rsidRPr="002C6AA1" w:rsidR="006B7BFC" w:rsidP="002C6AA1" w14:paraId="3DEAFB6B" w14:textId="77777777">
            <w:pPr>
              <w:jc w:val="center"/>
              <w:rPr>
                <w:sz w:val="16"/>
                <w:lang w:val="uk-UA"/>
              </w:rPr>
            </w:pPr>
            <w:r w:rsidRPr="002C6AA1">
              <w:rPr>
                <w:bCs/>
                <w:sz w:val="16"/>
                <w:lang w:val="uk-UA"/>
              </w:rPr>
              <w:t>(в євро</w:t>
            </w:r>
            <w:r w:rsidRPr="002C6AA1">
              <w:rPr>
                <w:sz w:val="16"/>
                <w:lang w:val="uk-UA"/>
              </w:rPr>
              <w:t>)</w:t>
            </w:r>
            <w:r>
              <w:rPr>
                <w:rStyle w:val="EndnoteReference"/>
                <w:sz w:val="16"/>
                <w:lang w:val="uk-UA"/>
              </w:rPr>
              <w:endnoteReference w:id="2"/>
            </w:r>
          </w:p>
        </w:tc>
        <w:tc>
          <w:tcPr>
            <w:tcW w:w="998" w:type="dxa"/>
          </w:tcPr>
          <w:p w:rsidRPr="002C6AA1" w:rsidR="006B7BFC" w:rsidP="002C6AA1" w14:paraId="7ABC093D" w14:textId="77777777">
            <w:pPr>
              <w:jc w:val="center"/>
              <w:rPr>
                <w:sz w:val="16"/>
                <w:lang w:val="uk-UA"/>
              </w:rPr>
            </w:pPr>
            <w:r w:rsidRPr="002C6AA1">
              <w:rPr>
                <w:bCs/>
                <w:sz w:val="16"/>
                <w:lang w:val="uk-UA"/>
              </w:rPr>
              <w:t>Сума, присуджена у кожній заяві в якості компенсації судових та інших витрат (в євро</w:t>
            </w:r>
            <w:r w:rsidRPr="002C6AA1">
              <w:rPr>
                <w:sz w:val="16"/>
                <w:lang w:val="uk-UA"/>
              </w:rPr>
              <w:t>)</w:t>
            </w:r>
            <w:r>
              <w:rPr>
                <w:rStyle w:val="EndnoteReference"/>
                <w:sz w:val="16"/>
                <w:lang w:val="uk-UA"/>
              </w:rPr>
              <w:endnoteReference w:id="3"/>
            </w:r>
          </w:p>
        </w:tc>
      </w:tr>
      <w:tr w:rsidTr="00CF7157" w14:paraId="18E99AD8" w14:textId="77777777">
        <w:tblPrEx>
          <w:tblW w:w="14743" w:type="dxa"/>
          <w:tblLook w:val="0420"/>
        </w:tblPrEx>
        <w:tc>
          <w:tcPr>
            <w:tcW w:w="452" w:type="dxa"/>
          </w:tcPr>
          <w:p w:rsidRPr="002C6AA1" w:rsidR="006B7BFC" w:rsidP="002C6AA1" w14:paraId="24471534" w14:textId="77777777">
            <w:pPr>
              <w:pStyle w:val="ListParagraph"/>
              <w:numPr>
                <w:ilvl w:val="0"/>
                <w:numId w:val="21"/>
              </w:numPr>
              <w:tabs>
                <w:tab w:val="num" w:pos="283"/>
              </w:tabs>
              <w:ind w:left="0" w:firstLine="0"/>
              <w:jc w:val="center"/>
              <w:rPr>
                <w:rFonts w:eastAsiaTheme="minorEastAsia"/>
                <w:sz w:val="16"/>
                <w:lang w:val="uk-UA"/>
              </w:rPr>
            </w:pPr>
          </w:p>
        </w:tc>
        <w:tc>
          <w:tcPr>
            <w:tcW w:w="1244" w:type="dxa"/>
          </w:tcPr>
          <w:p w:rsidRPr="002C6AA1" w:rsidR="006B7BFC" w:rsidP="002C6AA1" w14:paraId="56053D1D" w14:textId="77777777">
            <w:pPr>
              <w:jc w:val="center"/>
              <w:rPr>
                <w:sz w:val="16"/>
                <w:lang w:val="uk-UA"/>
              </w:rPr>
            </w:pPr>
            <w:r w:rsidRPr="002C6AA1">
              <w:rPr>
                <w:sz w:val="16"/>
                <w:lang w:val="uk-UA"/>
              </w:rPr>
              <w:t>6200/25</w:t>
            </w:r>
          </w:p>
          <w:p w:rsidRPr="002C6AA1" w:rsidR="006B7BFC" w:rsidP="002C6AA1" w14:paraId="2206577B" w14:textId="77777777">
            <w:pPr>
              <w:jc w:val="center"/>
              <w:rPr>
                <w:sz w:val="16"/>
                <w:lang w:val="uk-UA"/>
              </w:rPr>
            </w:pPr>
            <w:r w:rsidRPr="002C6AA1">
              <w:rPr>
                <w:sz w:val="16"/>
                <w:lang w:val="uk-UA"/>
              </w:rPr>
              <w:t>13</w:t>
            </w:r>
            <w:r w:rsidRPr="002C6AA1" w:rsidR="004A765D">
              <w:rPr>
                <w:sz w:val="16"/>
                <w:lang w:val="uk-UA"/>
              </w:rPr>
              <w:t>.</w:t>
            </w:r>
            <w:r w:rsidRPr="002C6AA1">
              <w:rPr>
                <w:sz w:val="16"/>
                <w:lang w:val="uk-UA"/>
              </w:rPr>
              <w:t>02</w:t>
            </w:r>
            <w:r w:rsidRPr="002C6AA1" w:rsidR="004A765D">
              <w:rPr>
                <w:sz w:val="16"/>
                <w:lang w:val="uk-UA"/>
              </w:rPr>
              <w:t>.</w:t>
            </w:r>
            <w:r w:rsidRPr="002C6AA1">
              <w:rPr>
                <w:sz w:val="16"/>
                <w:lang w:val="uk-UA"/>
              </w:rPr>
              <w:t>2025</w:t>
            </w:r>
          </w:p>
        </w:tc>
        <w:tc>
          <w:tcPr>
            <w:tcW w:w="1418" w:type="dxa"/>
          </w:tcPr>
          <w:p w:rsidRPr="002C6AA1" w:rsidR="002C6AA1" w:rsidP="002C6AA1" w14:paraId="6856CA45" w14:textId="77777777">
            <w:pPr>
              <w:jc w:val="center"/>
              <w:rPr>
                <w:b/>
                <w:sz w:val="16"/>
                <w:lang w:val="uk-UA"/>
              </w:rPr>
            </w:pPr>
            <w:r w:rsidRPr="002C6AA1">
              <w:rPr>
                <w:b/>
                <w:sz w:val="16"/>
                <w:lang w:val="uk-UA"/>
              </w:rPr>
              <w:t>Стефанія Михайлівна</w:t>
            </w:r>
          </w:p>
          <w:p w:rsidRPr="002C6AA1" w:rsidR="006B7BFC" w:rsidP="002C6AA1" w14:paraId="649AA8EF" w14:textId="77777777">
            <w:pPr>
              <w:jc w:val="center"/>
              <w:rPr>
                <w:sz w:val="16"/>
                <w:lang w:val="uk-UA"/>
              </w:rPr>
            </w:pPr>
            <w:r w:rsidRPr="002C6AA1">
              <w:rPr>
                <w:b/>
                <w:sz w:val="16"/>
                <w:lang w:val="uk-UA"/>
              </w:rPr>
              <w:t>КИРИК</w:t>
            </w:r>
          </w:p>
          <w:p w:rsidRPr="002C6AA1" w:rsidR="006B7BFC" w:rsidP="002C6AA1" w14:paraId="1C4FB9EF" w14:textId="77777777">
            <w:pPr>
              <w:jc w:val="center"/>
              <w:rPr>
                <w:sz w:val="16"/>
                <w:lang w:val="uk-UA"/>
              </w:rPr>
            </w:pPr>
            <w:r w:rsidRPr="002C6AA1">
              <w:rPr>
                <w:sz w:val="16"/>
                <w:lang w:val="uk-UA"/>
              </w:rPr>
              <w:t>1987</w:t>
            </w:r>
          </w:p>
        </w:tc>
        <w:tc>
          <w:tcPr>
            <w:tcW w:w="1276" w:type="dxa"/>
          </w:tcPr>
          <w:p w:rsidRPr="002C6AA1" w:rsidR="006B7BFC" w:rsidP="002C6AA1" w14:paraId="399CC8E3" w14:textId="77777777">
            <w:pPr>
              <w:jc w:val="center"/>
              <w:rPr>
                <w:sz w:val="16"/>
                <w:lang w:val="uk-UA"/>
              </w:rPr>
            </w:pPr>
            <w:r w:rsidRPr="002C6AA1">
              <w:rPr>
                <w:sz w:val="16"/>
                <w:lang w:val="uk-UA"/>
              </w:rPr>
              <w:t>Ставрук Наталія Зіновіївна</w:t>
            </w:r>
          </w:p>
          <w:p w:rsidRPr="002C6AA1" w:rsidR="006B7BFC" w:rsidP="002C6AA1" w14:paraId="4ED375BE" w14:textId="77777777">
            <w:pPr>
              <w:jc w:val="center"/>
              <w:rPr>
                <w:sz w:val="16"/>
                <w:lang w:val="uk-UA"/>
              </w:rPr>
            </w:pPr>
            <w:r w:rsidRPr="002C6AA1">
              <w:rPr>
                <w:sz w:val="16"/>
                <w:lang w:val="uk-UA"/>
              </w:rPr>
              <w:t>м. Львів</w:t>
            </w:r>
          </w:p>
        </w:tc>
        <w:tc>
          <w:tcPr>
            <w:tcW w:w="5964" w:type="dxa"/>
          </w:tcPr>
          <w:p w:rsidRPr="002C6AA1" w:rsidR="007D4C6D" w:rsidP="002C6AA1" w14:paraId="2158EC97" w14:textId="77777777">
            <w:pPr>
              <w:jc w:val="center"/>
              <w:rPr>
                <w:sz w:val="16"/>
                <w:lang w:val="uk-UA"/>
              </w:rPr>
            </w:pPr>
            <w:r w:rsidRPr="002C6AA1">
              <w:rPr>
                <w:sz w:val="16"/>
                <w:lang w:val="uk-UA"/>
              </w:rPr>
              <w:t>12.08.2018 чоловік заявниці їхав на мотоциклі та зіткнувся з автомобілем, яким керував В. Чоловік заявниці отримав тяжкі тілесні ушкодження. Було порушено кримінальне провадження. 25.08.2018 чоловік заявниці помер у лікарні.</w:t>
            </w:r>
          </w:p>
          <w:p w:rsidRPr="002C6AA1" w:rsidR="007D4C6D" w:rsidP="002C6AA1" w14:paraId="6B792C47" w14:textId="77777777">
            <w:pPr>
              <w:jc w:val="center"/>
              <w:rPr>
                <w:sz w:val="16"/>
                <w:lang w:val="uk-UA"/>
              </w:rPr>
            </w:pPr>
            <w:r w:rsidRPr="002C6AA1">
              <w:rPr>
                <w:sz w:val="16"/>
                <w:lang w:val="uk-UA"/>
              </w:rPr>
              <w:t xml:space="preserve">Незважаючи на подання численних клопотань слідчим, заявниці було надано статус потерпілої у кримінальному провадженні лише 14.11.2018. Слідчі провели </w:t>
            </w:r>
            <w:r w:rsidRPr="002C6AA1" w:rsidR="008A3C49">
              <w:rPr>
                <w:sz w:val="16"/>
                <w:lang w:val="uk-UA"/>
              </w:rPr>
              <w:t>де</w:t>
            </w:r>
            <w:r w:rsidRPr="002C6AA1">
              <w:rPr>
                <w:sz w:val="16"/>
                <w:lang w:val="uk-UA"/>
              </w:rPr>
              <w:t xml:space="preserve">кілька слідчих дій та допитали свідків. 26.12.2018 </w:t>
            </w:r>
            <w:r w:rsidRPr="002C6AA1" w:rsidR="008A3C49">
              <w:rPr>
                <w:sz w:val="16"/>
                <w:lang w:val="uk-UA"/>
              </w:rPr>
              <w:t>провадження</w:t>
            </w:r>
            <w:r w:rsidRPr="002C6AA1">
              <w:rPr>
                <w:sz w:val="16"/>
                <w:lang w:val="uk-UA"/>
              </w:rPr>
              <w:t xml:space="preserve"> було закрито </w:t>
            </w:r>
            <w:r w:rsidRPr="002C6AA1" w:rsidR="008A3C49">
              <w:rPr>
                <w:sz w:val="16"/>
                <w:lang w:val="uk-UA"/>
              </w:rPr>
              <w:t>у зв</w:t>
            </w:r>
            <w:r w:rsidRPr="002C6AA1" w:rsidR="002C6AA1">
              <w:rPr>
                <w:sz w:val="16"/>
                <w:lang w:val="uk-UA"/>
              </w:rPr>
              <w:t>’</w:t>
            </w:r>
            <w:r w:rsidRPr="002C6AA1" w:rsidR="008A3C49">
              <w:rPr>
                <w:sz w:val="16"/>
                <w:lang w:val="uk-UA"/>
              </w:rPr>
              <w:t xml:space="preserve">язку з </w:t>
            </w:r>
            <w:r w:rsidRPr="002C6AA1">
              <w:rPr>
                <w:sz w:val="16"/>
                <w:lang w:val="uk-UA"/>
              </w:rPr>
              <w:t>відсутніст</w:t>
            </w:r>
            <w:r w:rsidRPr="002C6AA1" w:rsidR="008A3C49">
              <w:rPr>
                <w:sz w:val="16"/>
                <w:lang w:val="uk-UA"/>
              </w:rPr>
              <w:t>ю</w:t>
            </w:r>
            <w:r w:rsidRPr="002C6AA1">
              <w:rPr>
                <w:sz w:val="16"/>
                <w:lang w:val="uk-UA"/>
              </w:rPr>
              <w:t xml:space="preserve"> </w:t>
            </w:r>
            <w:r w:rsidRPr="002C6AA1" w:rsidR="008A3C49">
              <w:rPr>
                <w:sz w:val="16"/>
                <w:lang w:val="uk-UA"/>
              </w:rPr>
              <w:t>складу</w:t>
            </w:r>
            <w:r w:rsidRPr="002C6AA1">
              <w:rPr>
                <w:sz w:val="16"/>
                <w:lang w:val="uk-UA"/>
              </w:rPr>
              <w:t xml:space="preserve"> кримінального правопорушення. </w:t>
            </w:r>
            <w:r w:rsidRPr="002C6AA1" w:rsidR="008A3C49">
              <w:rPr>
                <w:sz w:val="16"/>
                <w:lang w:val="uk-UA"/>
              </w:rPr>
              <w:t>У</w:t>
            </w:r>
            <w:r w:rsidRPr="002C6AA1">
              <w:rPr>
                <w:sz w:val="16"/>
                <w:lang w:val="uk-UA"/>
              </w:rPr>
              <w:t xml:space="preserve"> висновк</w:t>
            </w:r>
            <w:r w:rsidRPr="002C6AA1" w:rsidR="008A3C49">
              <w:rPr>
                <w:sz w:val="16"/>
                <w:lang w:val="uk-UA"/>
              </w:rPr>
              <w:t xml:space="preserve">ах експертів </w:t>
            </w:r>
            <w:r w:rsidRPr="002C6AA1" w:rsidR="003D08C4">
              <w:rPr>
                <w:sz w:val="16"/>
                <w:lang w:val="uk-UA"/>
              </w:rPr>
              <w:t>зазначалося</w:t>
            </w:r>
            <w:r w:rsidRPr="002C6AA1">
              <w:rPr>
                <w:sz w:val="16"/>
                <w:lang w:val="uk-UA"/>
              </w:rPr>
              <w:t>, що В. не мав технічної можливості уникнути зіткнення.</w:t>
            </w:r>
          </w:p>
          <w:p w:rsidRPr="002C6AA1" w:rsidR="007D4C6D" w:rsidP="002C6AA1" w14:paraId="22A48E50" w14:textId="77777777">
            <w:pPr>
              <w:jc w:val="center"/>
              <w:rPr>
                <w:sz w:val="16"/>
                <w:lang w:val="uk-UA"/>
              </w:rPr>
            </w:pPr>
            <w:r w:rsidRPr="002C6AA1">
              <w:rPr>
                <w:sz w:val="16"/>
                <w:lang w:val="uk-UA"/>
              </w:rPr>
              <w:t>Проте</w:t>
            </w:r>
            <w:r w:rsidRPr="002C6AA1">
              <w:rPr>
                <w:sz w:val="16"/>
                <w:lang w:val="uk-UA"/>
              </w:rPr>
              <w:t xml:space="preserve"> </w:t>
            </w:r>
            <w:r w:rsidRPr="002C6AA1" w:rsidR="001C588B">
              <w:rPr>
                <w:sz w:val="16"/>
                <w:lang w:val="uk-UA"/>
              </w:rPr>
              <w:t>21</w:t>
            </w:r>
            <w:r w:rsidRPr="002C6AA1">
              <w:rPr>
                <w:sz w:val="16"/>
                <w:lang w:val="uk-UA"/>
              </w:rPr>
              <w:t>.01.2019 слідчий суддя скасував постанову про закриття</w:t>
            </w:r>
            <w:r w:rsidRPr="002C6AA1">
              <w:rPr>
                <w:sz w:val="16"/>
                <w:lang w:val="uk-UA"/>
              </w:rPr>
              <w:t xml:space="preserve"> провадження</w:t>
            </w:r>
            <w:r w:rsidRPr="002C6AA1">
              <w:rPr>
                <w:sz w:val="16"/>
                <w:lang w:val="uk-UA"/>
              </w:rPr>
              <w:t xml:space="preserve">, </w:t>
            </w:r>
            <w:r w:rsidRPr="002C6AA1" w:rsidR="003D08C4">
              <w:rPr>
                <w:sz w:val="16"/>
                <w:lang w:val="uk-UA"/>
              </w:rPr>
              <w:t xml:space="preserve">поставивши під сумнів </w:t>
            </w:r>
            <w:r w:rsidRPr="002C6AA1" w:rsidR="00442A99">
              <w:rPr>
                <w:sz w:val="16"/>
                <w:lang w:val="uk-UA"/>
              </w:rPr>
              <w:t>всебічність</w:t>
            </w:r>
            <w:r w:rsidRPr="002C6AA1" w:rsidR="003D08C4">
              <w:rPr>
                <w:sz w:val="16"/>
                <w:lang w:val="uk-UA"/>
              </w:rPr>
              <w:t xml:space="preserve"> </w:t>
            </w:r>
            <w:r w:rsidRPr="002C6AA1">
              <w:rPr>
                <w:sz w:val="16"/>
                <w:lang w:val="uk-UA"/>
              </w:rPr>
              <w:t xml:space="preserve">та </w:t>
            </w:r>
            <w:r w:rsidRPr="002C6AA1" w:rsidR="003D08C4">
              <w:rPr>
                <w:sz w:val="16"/>
                <w:lang w:val="uk-UA"/>
              </w:rPr>
              <w:t xml:space="preserve">повноту </w:t>
            </w:r>
            <w:r w:rsidRPr="002C6AA1">
              <w:rPr>
                <w:sz w:val="16"/>
                <w:lang w:val="uk-UA"/>
              </w:rPr>
              <w:t xml:space="preserve">розслідування. Після поновлення </w:t>
            </w:r>
            <w:r w:rsidRPr="002C6AA1">
              <w:rPr>
                <w:sz w:val="16"/>
                <w:lang w:val="uk-UA"/>
              </w:rPr>
              <w:t>провадження</w:t>
            </w:r>
            <w:r w:rsidRPr="002C6AA1">
              <w:rPr>
                <w:sz w:val="16"/>
                <w:lang w:val="uk-UA"/>
              </w:rPr>
              <w:t xml:space="preserve"> було проведено </w:t>
            </w:r>
            <w:r w:rsidRPr="002C6AA1">
              <w:rPr>
                <w:sz w:val="16"/>
                <w:lang w:val="uk-UA"/>
              </w:rPr>
              <w:t xml:space="preserve">слідчий експеримент </w:t>
            </w:r>
            <w:r w:rsidRPr="002C6AA1">
              <w:rPr>
                <w:sz w:val="16"/>
                <w:lang w:val="uk-UA"/>
              </w:rPr>
              <w:t>за участю заявниці, а також судов</w:t>
            </w:r>
            <w:r w:rsidRPr="002C6AA1">
              <w:rPr>
                <w:sz w:val="16"/>
                <w:lang w:val="uk-UA"/>
              </w:rPr>
              <w:t xml:space="preserve">у </w:t>
            </w:r>
            <w:r w:rsidRPr="002C6AA1">
              <w:rPr>
                <w:sz w:val="16"/>
                <w:lang w:val="uk-UA"/>
              </w:rPr>
              <w:t>метал</w:t>
            </w:r>
            <w:r w:rsidRPr="002C6AA1">
              <w:rPr>
                <w:sz w:val="16"/>
                <w:lang w:val="uk-UA"/>
              </w:rPr>
              <w:t xml:space="preserve">ознавчу </w:t>
            </w:r>
            <w:r w:rsidRPr="002C6AA1">
              <w:rPr>
                <w:sz w:val="16"/>
                <w:lang w:val="uk-UA"/>
              </w:rPr>
              <w:t>та інженерн</w:t>
            </w:r>
            <w:r w:rsidRPr="002C6AA1">
              <w:rPr>
                <w:sz w:val="16"/>
                <w:lang w:val="uk-UA"/>
              </w:rPr>
              <w:t>о-транспорт</w:t>
            </w:r>
            <w:r w:rsidRPr="002C6AA1" w:rsidR="008B6032">
              <w:rPr>
                <w:sz w:val="16"/>
                <w:lang w:val="uk-UA"/>
              </w:rPr>
              <w:t>н</w:t>
            </w:r>
            <w:r w:rsidRPr="002C6AA1">
              <w:rPr>
                <w:sz w:val="16"/>
                <w:lang w:val="uk-UA"/>
              </w:rPr>
              <w:t>у</w:t>
            </w:r>
            <w:r w:rsidRPr="002C6AA1">
              <w:rPr>
                <w:sz w:val="16"/>
                <w:lang w:val="uk-UA"/>
              </w:rPr>
              <w:t xml:space="preserve"> експертизи мотоцикла.</w:t>
            </w:r>
          </w:p>
          <w:p w:rsidRPr="002C6AA1" w:rsidR="0025755F" w:rsidP="002C6AA1" w14:paraId="1DF469E8" w14:textId="77777777">
            <w:pPr>
              <w:jc w:val="center"/>
              <w:rPr>
                <w:sz w:val="16"/>
                <w:lang w:val="uk-UA"/>
              </w:rPr>
            </w:pPr>
            <w:r w:rsidRPr="002C6AA1">
              <w:rPr>
                <w:sz w:val="16"/>
                <w:lang w:val="uk-UA"/>
              </w:rPr>
              <w:t>31.03.2021 провадження знову було закрито у зв</w:t>
            </w:r>
            <w:r w:rsidRPr="002C6AA1" w:rsidR="002C6AA1">
              <w:rPr>
                <w:sz w:val="16"/>
                <w:lang w:val="uk-UA"/>
              </w:rPr>
              <w:t>’</w:t>
            </w:r>
            <w:r w:rsidRPr="002C6AA1">
              <w:rPr>
                <w:sz w:val="16"/>
                <w:lang w:val="uk-UA"/>
              </w:rPr>
              <w:t>язку з відсутністю складу кримінального правопорушення. 11.05.2021 слідчий суддя скасував цю постанову, вважаючи її передчасною та наголосив, що слідчі не вжили вичерпних заходів для повного дослідження ключових обставин події та належного розгляду висунутих заявницею аргументів.</w:t>
            </w:r>
          </w:p>
          <w:p w:rsidRPr="002C6AA1" w:rsidR="0025755F" w:rsidP="002C6AA1" w14:paraId="448FB0C3" w14:textId="77777777">
            <w:pPr>
              <w:jc w:val="center"/>
              <w:rPr>
                <w:sz w:val="16"/>
                <w:lang w:val="uk-UA"/>
              </w:rPr>
            </w:pPr>
            <w:r w:rsidRPr="002C6AA1">
              <w:rPr>
                <w:sz w:val="16"/>
                <w:lang w:val="uk-UA"/>
              </w:rPr>
              <w:t>Незрозуміло, чи були проведені будь-які подальші слідчі дії, окрім призначення дорожньо-технічної експертизи у 2022 році. 24.06.2024 у висновку експерт</w:t>
            </w:r>
            <w:r w:rsidRPr="002C6AA1" w:rsidR="008B6032">
              <w:rPr>
                <w:sz w:val="16"/>
                <w:lang w:val="uk-UA"/>
              </w:rPr>
              <w:t>а</w:t>
            </w:r>
            <w:r w:rsidRPr="002C6AA1">
              <w:rPr>
                <w:sz w:val="16"/>
                <w:lang w:val="uk-UA"/>
              </w:rPr>
              <w:t xml:space="preserve"> </w:t>
            </w:r>
            <w:r w:rsidRPr="002C6AA1" w:rsidR="00275D67">
              <w:rPr>
                <w:sz w:val="16"/>
                <w:lang w:val="uk-UA"/>
              </w:rPr>
              <w:t>було зроблено висновок</w:t>
            </w:r>
            <w:r w:rsidRPr="002C6AA1">
              <w:rPr>
                <w:sz w:val="16"/>
                <w:lang w:val="uk-UA"/>
              </w:rPr>
              <w:t>, що організація дорожнього руху на перехресті, де сталася аварія, не відповідала нормативним стандартам. 29.08.2024 слідчий закрив провадження, не встановивши жодних порушень правил дорожнього руху з боку В., безпосередньо пов</w:t>
            </w:r>
            <w:r w:rsidRPr="002C6AA1" w:rsidR="002C6AA1">
              <w:rPr>
                <w:sz w:val="16"/>
                <w:lang w:val="uk-UA"/>
              </w:rPr>
              <w:t>’</w:t>
            </w:r>
            <w:r w:rsidRPr="002C6AA1">
              <w:rPr>
                <w:sz w:val="16"/>
                <w:lang w:val="uk-UA"/>
              </w:rPr>
              <w:t>язаних з аварією.</w:t>
            </w:r>
          </w:p>
          <w:p w:rsidRPr="002C6AA1" w:rsidR="006B7BFC" w:rsidP="002C6AA1" w14:paraId="577D0D9E" w14:textId="77777777">
            <w:pPr>
              <w:jc w:val="center"/>
              <w:rPr>
                <w:sz w:val="16"/>
                <w:lang w:val="uk-UA"/>
              </w:rPr>
            </w:pPr>
            <w:r w:rsidRPr="002C6AA1">
              <w:rPr>
                <w:sz w:val="16"/>
                <w:lang w:val="uk-UA"/>
              </w:rPr>
              <w:t xml:space="preserve">14.10.2024 апеляційний суд залишив без змін </w:t>
            </w:r>
            <w:r w:rsidRPr="002C6AA1" w:rsidR="0088625F">
              <w:rPr>
                <w:sz w:val="16"/>
                <w:lang w:val="uk-UA"/>
              </w:rPr>
              <w:t xml:space="preserve">ухвалу </w:t>
            </w:r>
            <w:r w:rsidRPr="002C6AA1">
              <w:rPr>
                <w:sz w:val="16"/>
                <w:lang w:val="uk-UA"/>
              </w:rPr>
              <w:t>суду першої інстанції та відмовив у задоволенні апеляційної скарги заявниці на постанову про закриття кримінального провадження.</w:t>
            </w:r>
          </w:p>
        </w:tc>
        <w:tc>
          <w:tcPr>
            <w:tcW w:w="2399" w:type="dxa"/>
          </w:tcPr>
          <w:p w:rsidRPr="002C6AA1" w:rsidR="004A765D" w:rsidP="002C6AA1" w14:paraId="73804C00" w14:textId="77777777">
            <w:pPr>
              <w:jc w:val="center"/>
              <w:rPr>
                <w:sz w:val="16"/>
                <w:lang w:val="uk-UA"/>
              </w:rPr>
            </w:pPr>
            <w:r w:rsidRPr="002C6AA1">
              <w:rPr>
                <w:sz w:val="16"/>
                <w:lang w:val="uk-UA"/>
              </w:rPr>
              <w:t>Національні органи влади самі критикували процес проведення розслідування у зв</w:t>
            </w:r>
            <w:r w:rsidRPr="002C6AA1" w:rsidR="002C6AA1">
              <w:rPr>
                <w:sz w:val="16"/>
                <w:lang w:val="uk-UA"/>
              </w:rPr>
              <w:t>’</w:t>
            </w:r>
            <w:r w:rsidRPr="002C6AA1">
              <w:rPr>
                <w:sz w:val="16"/>
                <w:lang w:val="uk-UA"/>
              </w:rPr>
              <w:t xml:space="preserve">язку з його неефективністю (рішення у справах «Принда проти України» </w:t>
            </w:r>
            <w:r w:rsidRPr="002C6AA1">
              <w:rPr>
                <w:i/>
                <w:iCs/>
                <w:sz w:val="16"/>
                <w:lang w:val="uk-UA"/>
              </w:rPr>
              <w:t xml:space="preserve">(Prynda v. Ukraine), </w:t>
            </w:r>
            <w:r w:rsidRPr="002C6AA1">
              <w:rPr>
                <w:sz w:val="16"/>
                <w:lang w:val="uk-UA"/>
              </w:rPr>
              <w:t xml:space="preserve">заява № 10904/05, пункт 56, від 31 липня 2012 року) та «Поживотько проти України» </w:t>
            </w:r>
            <w:r w:rsidRPr="002C6AA1">
              <w:rPr>
                <w:i/>
                <w:iCs/>
                <w:sz w:val="16"/>
                <w:lang w:val="uk-UA"/>
              </w:rPr>
              <w:t xml:space="preserve">(Pozhyvotko v. Ukraine), </w:t>
            </w:r>
            <w:r w:rsidRPr="002C6AA1">
              <w:rPr>
                <w:sz w:val="16"/>
                <w:lang w:val="uk-UA"/>
              </w:rPr>
              <w:t>заява № 42752/08, пункт 40,</w:t>
            </w:r>
            <w:r w:rsidRPr="002C6AA1" w:rsidR="003E63EA">
              <w:rPr>
                <w:sz w:val="16"/>
                <w:lang w:val="uk-UA"/>
              </w:rPr>
              <w:t xml:space="preserve"> </w:t>
            </w:r>
            <w:r w:rsidRPr="002C6AA1">
              <w:rPr>
                <w:sz w:val="16"/>
                <w:lang w:val="uk-UA"/>
              </w:rPr>
              <w:t xml:space="preserve">від </w:t>
            </w:r>
            <w:r w:rsidRPr="002C6AA1" w:rsidR="003E63EA">
              <w:rPr>
                <w:sz w:val="16"/>
                <w:lang w:val="uk-UA"/>
              </w:rPr>
              <w:t>17 </w:t>
            </w:r>
            <w:r w:rsidRPr="002C6AA1">
              <w:rPr>
                <w:sz w:val="16"/>
                <w:lang w:val="uk-UA"/>
              </w:rPr>
              <w:t>жовтня 2013 року</w:t>
            </w:r>
            <w:r w:rsidRPr="002C6AA1" w:rsidR="003E63EA">
              <w:rPr>
                <w:sz w:val="16"/>
                <w:lang w:val="uk-UA"/>
              </w:rPr>
              <w:t>)</w:t>
            </w:r>
            <w:r w:rsidRPr="002C6AA1">
              <w:rPr>
                <w:sz w:val="16"/>
                <w:lang w:val="uk-UA"/>
              </w:rPr>
              <w:t>,</w:t>
            </w:r>
          </w:p>
          <w:p w:rsidRPr="002C6AA1" w:rsidR="006B7BFC" w:rsidP="002C6AA1" w14:paraId="1BF08188" w14:textId="77777777">
            <w:pPr>
              <w:jc w:val="center"/>
              <w:rPr>
                <w:sz w:val="16"/>
                <w:lang w:val="uk-UA"/>
              </w:rPr>
            </w:pPr>
          </w:p>
          <w:p w:rsidRPr="002C6AA1" w:rsidR="004A765D" w:rsidP="002C6AA1" w14:paraId="74A5F6AD" w14:textId="77777777">
            <w:pPr>
              <w:jc w:val="center"/>
              <w:rPr>
                <w:sz w:val="16"/>
                <w:lang w:val="uk-UA"/>
              </w:rPr>
            </w:pPr>
            <w:r w:rsidRPr="002C6AA1">
              <w:rPr>
                <w:sz w:val="16"/>
                <w:lang w:val="uk-UA"/>
              </w:rPr>
              <w:t xml:space="preserve">відсутність ретельності та оперативності підірвала здатність органів державної влади встановити обставини справи (рішення у справах «Ігор Шевченко проти України» </w:t>
            </w:r>
            <w:r w:rsidRPr="002C6AA1">
              <w:rPr>
                <w:i/>
                <w:iCs/>
                <w:sz w:val="16"/>
                <w:lang w:val="uk-UA"/>
              </w:rPr>
              <w:t>(Igor Shevchenko v. Ukraine)</w:t>
            </w:r>
            <w:r w:rsidRPr="002C6AA1">
              <w:rPr>
                <w:sz w:val="16"/>
                <w:lang w:val="uk-UA"/>
              </w:rPr>
              <w:t xml:space="preserve">, заява № 22737/04, пункт 60, від 12 січня 2012 року; «Зубкова проти України» </w:t>
            </w:r>
            <w:r w:rsidRPr="002C6AA1">
              <w:rPr>
                <w:i/>
                <w:iCs/>
                <w:sz w:val="16"/>
                <w:lang w:val="uk-UA"/>
              </w:rPr>
              <w:t>(Zubkova v. Ukraine)</w:t>
            </w:r>
            <w:r w:rsidRPr="002C6AA1">
              <w:rPr>
                <w:sz w:val="16"/>
                <w:lang w:val="uk-UA"/>
              </w:rPr>
              <w:t xml:space="preserve">, заява № 36660/08, пункт 40, від 17 жовтня </w:t>
            </w:r>
            <w:r w:rsidRPr="002C6AA1" w:rsidR="003E63EA">
              <w:rPr>
                <w:sz w:val="16"/>
                <w:lang w:val="uk-UA"/>
              </w:rPr>
              <w:t>2013 </w:t>
            </w:r>
            <w:r w:rsidRPr="002C6AA1">
              <w:rPr>
                <w:sz w:val="16"/>
                <w:lang w:val="uk-UA"/>
              </w:rPr>
              <w:t>року),</w:t>
            </w:r>
          </w:p>
          <w:p w:rsidRPr="002C6AA1" w:rsidR="006B7BFC" w:rsidP="002C6AA1" w14:paraId="1DF53480" w14:textId="77777777">
            <w:pPr>
              <w:jc w:val="center"/>
              <w:rPr>
                <w:sz w:val="16"/>
                <w:lang w:val="uk-UA"/>
              </w:rPr>
            </w:pPr>
          </w:p>
          <w:p w:rsidRPr="002C6AA1" w:rsidR="004A765D" w:rsidP="002C6AA1" w14:paraId="62EBCA78" w14:textId="77777777">
            <w:pPr>
              <w:jc w:val="center"/>
              <w:rPr>
                <w:sz w:val="16"/>
                <w:lang w:val="uk-UA"/>
              </w:rPr>
            </w:pPr>
            <w:r w:rsidRPr="002C6AA1">
              <w:rPr>
                <w:sz w:val="16"/>
                <w:lang w:val="uk-UA"/>
              </w:rPr>
              <w:t xml:space="preserve">неодноразове повернення справи на додаткове розслідування внаслідок невжиття слідчими достатніх заходів (рішення у справі «Антонов проти України» </w:t>
            </w:r>
            <w:r w:rsidRPr="002C6AA1">
              <w:rPr>
                <w:i/>
                <w:iCs/>
                <w:sz w:val="16"/>
                <w:lang w:val="uk-UA"/>
              </w:rPr>
              <w:t>(Antonov v. Ukraine)</w:t>
            </w:r>
            <w:r w:rsidRPr="002C6AA1">
              <w:rPr>
                <w:sz w:val="16"/>
                <w:lang w:val="uk-UA"/>
              </w:rPr>
              <w:t>, заява № 28096/04, пункт 50,</w:t>
            </w:r>
            <w:r w:rsidRPr="002C6AA1">
              <w:rPr>
                <w:sz w:val="16"/>
                <w:lang w:val="uk-UA"/>
              </w:rPr>
              <w:br/>
              <w:t>від 03 листопада 2011 року),</w:t>
            </w:r>
          </w:p>
          <w:p w:rsidRPr="002C6AA1" w:rsidR="006B7BFC" w:rsidP="002C6AA1" w14:paraId="0AC351BC" w14:textId="77777777">
            <w:pPr>
              <w:rPr>
                <w:sz w:val="16"/>
                <w:lang w:val="uk-UA"/>
              </w:rPr>
            </w:pPr>
          </w:p>
          <w:p w:rsidRPr="002C6AA1" w:rsidR="006B7BFC" w:rsidP="002C6AA1" w14:paraId="0223619B" w14:textId="77777777">
            <w:pPr>
              <w:jc w:val="center"/>
              <w:rPr>
                <w:sz w:val="16"/>
                <w:lang w:val="uk-UA"/>
              </w:rPr>
            </w:pPr>
            <w:r w:rsidRPr="002C6AA1">
              <w:rPr>
                <w:sz w:val="16"/>
                <w:lang w:val="uk-UA"/>
              </w:rPr>
              <w:t xml:space="preserve">права заявника як потерпілого не були належним чином захищені (рішення у справах «Сергій Шевченко проти України» </w:t>
            </w:r>
            <w:r w:rsidRPr="002C6AA1">
              <w:rPr>
                <w:i/>
                <w:iCs/>
                <w:sz w:val="16"/>
                <w:lang w:val="uk-UA"/>
              </w:rPr>
              <w:t>(Sergey Shevchenko v. Ukraine)</w:t>
            </w:r>
            <w:r w:rsidRPr="002C6AA1">
              <w:rPr>
                <w:sz w:val="16"/>
                <w:lang w:val="uk-UA"/>
              </w:rPr>
              <w:t xml:space="preserve">, заява № 32478/02, пункт 74, від 04 квітня 2006 року; «Маснєва проти України» </w:t>
            </w:r>
            <w:r w:rsidRPr="002C6AA1">
              <w:rPr>
                <w:i/>
                <w:iCs/>
                <w:sz w:val="16"/>
                <w:lang w:val="uk-UA"/>
              </w:rPr>
              <w:t>(Masneva v. Ukraine)</w:t>
            </w:r>
            <w:r w:rsidRPr="002C6AA1">
              <w:rPr>
                <w:sz w:val="16"/>
                <w:lang w:val="uk-UA"/>
              </w:rPr>
              <w:t xml:space="preserve">, заява № 5952/07, пункт 56, від 20 грудня </w:t>
            </w:r>
            <w:r w:rsidRPr="002C6AA1" w:rsidR="003E63EA">
              <w:rPr>
                <w:sz w:val="16"/>
                <w:lang w:val="uk-UA"/>
              </w:rPr>
              <w:t>2011 </w:t>
            </w:r>
            <w:r w:rsidRPr="002C6AA1">
              <w:rPr>
                <w:sz w:val="16"/>
                <w:lang w:val="uk-UA"/>
              </w:rPr>
              <w:t xml:space="preserve">року та «Принда проти України» </w:t>
            </w:r>
            <w:r w:rsidRPr="002C6AA1">
              <w:rPr>
                <w:i/>
                <w:iCs/>
                <w:sz w:val="16"/>
                <w:lang w:val="uk-UA"/>
              </w:rPr>
              <w:t>(Prynda v. Ukraine)</w:t>
            </w:r>
            <w:r w:rsidRPr="002C6AA1">
              <w:rPr>
                <w:sz w:val="16"/>
                <w:lang w:val="uk-UA"/>
              </w:rPr>
              <w:t>, заява № 10904/05, пункт 56, від 31 липня 2012 року).</w:t>
            </w:r>
          </w:p>
        </w:tc>
        <w:tc>
          <w:tcPr>
            <w:tcW w:w="992" w:type="dxa"/>
          </w:tcPr>
          <w:p w:rsidRPr="002C6AA1" w:rsidR="006B7BFC" w:rsidP="002C6AA1" w14:paraId="226435A7" w14:textId="77777777">
            <w:pPr>
              <w:jc w:val="center"/>
              <w:rPr>
                <w:sz w:val="16"/>
                <w:lang w:val="uk-UA"/>
              </w:rPr>
            </w:pPr>
            <w:r w:rsidRPr="002C6AA1">
              <w:rPr>
                <w:sz w:val="16"/>
                <w:lang w:val="uk-UA"/>
              </w:rPr>
              <w:t>6</w:t>
            </w:r>
            <w:r w:rsidRPr="002C6AA1" w:rsidR="004A765D">
              <w:rPr>
                <w:sz w:val="16"/>
                <w:lang w:val="uk-UA"/>
              </w:rPr>
              <w:t> </w:t>
            </w:r>
            <w:r w:rsidRPr="002C6AA1">
              <w:rPr>
                <w:sz w:val="16"/>
                <w:lang w:val="uk-UA"/>
              </w:rPr>
              <w:t>000</w:t>
            </w:r>
          </w:p>
        </w:tc>
        <w:tc>
          <w:tcPr>
            <w:tcW w:w="998" w:type="dxa"/>
          </w:tcPr>
          <w:p w:rsidRPr="002C6AA1" w:rsidR="006B7BFC" w:rsidP="002C6AA1" w14:paraId="796AFFF0" w14:textId="77777777">
            <w:pPr>
              <w:jc w:val="center"/>
              <w:rPr>
                <w:sz w:val="16"/>
                <w:lang w:val="uk-UA"/>
              </w:rPr>
            </w:pPr>
            <w:r w:rsidRPr="002C6AA1">
              <w:rPr>
                <w:sz w:val="16"/>
                <w:lang w:val="uk-UA"/>
              </w:rPr>
              <w:t>250</w:t>
            </w:r>
          </w:p>
        </w:tc>
      </w:tr>
      <w:tr w:rsidTr="00CF7157" w14:paraId="21C11A04" w14:textId="77777777">
        <w:tblPrEx>
          <w:tblW w:w="14743" w:type="dxa"/>
          <w:tblLook w:val="0420"/>
        </w:tblPrEx>
        <w:tc>
          <w:tcPr>
            <w:tcW w:w="452" w:type="dxa"/>
          </w:tcPr>
          <w:p w:rsidRPr="002C6AA1" w:rsidR="006B7BFC" w:rsidP="002C6AA1" w14:paraId="54E5FF4C" w14:textId="77777777">
            <w:pPr>
              <w:pStyle w:val="ListParagraph"/>
              <w:numPr>
                <w:ilvl w:val="0"/>
                <w:numId w:val="21"/>
              </w:numPr>
              <w:tabs>
                <w:tab w:val="num" w:pos="283"/>
              </w:tabs>
              <w:ind w:left="0" w:firstLine="0"/>
              <w:jc w:val="center"/>
              <w:rPr>
                <w:rFonts w:eastAsiaTheme="minorEastAsia"/>
                <w:sz w:val="16"/>
                <w:lang w:val="uk-UA"/>
              </w:rPr>
            </w:pPr>
          </w:p>
        </w:tc>
        <w:tc>
          <w:tcPr>
            <w:tcW w:w="1244" w:type="dxa"/>
          </w:tcPr>
          <w:p w:rsidRPr="002C6AA1" w:rsidR="006B7BFC" w:rsidP="002C6AA1" w14:paraId="167FF49B" w14:textId="77777777">
            <w:pPr>
              <w:jc w:val="center"/>
              <w:rPr>
                <w:sz w:val="16"/>
                <w:lang w:val="uk-UA"/>
              </w:rPr>
            </w:pPr>
            <w:r w:rsidRPr="002C6AA1">
              <w:rPr>
                <w:sz w:val="16"/>
                <w:lang w:val="uk-UA"/>
              </w:rPr>
              <w:t>7881/25</w:t>
            </w:r>
          </w:p>
          <w:p w:rsidRPr="002C6AA1" w:rsidR="006B7BFC" w:rsidP="002C6AA1" w14:paraId="45D7AAA9" w14:textId="77777777">
            <w:pPr>
              <w:jc w:val="center"/>
              <w:rPr>
                <w:sz w:val="16"/>
                <w:lang w:val="uk-UA"/>
              </w:rPr>
            </w:pPr>
            <w:r w:rsidRPr="002C6AA1">
              <w:rPr>
                <w:sz w:val="16"/>
                <w:lang w:val="uk-UA"/>
              </w:rPr>
              <w:t>23</w:t>
            </w:r>
            <w:r w:rsidRPr="002C6AA1" w:rsidR="004A765D">
              <w:rPr>
                <w:sz w:val="16"/>
                <w:lang w:val="uk-UA"/>
              </w:rPr>
              <w:t>.</w:t>
            </w:r>
            <w:r w:rsidRPr="002C6AA1">
              <w:rPr>
                <w:sz w:val="16"/>
                <w:lang w:val="uk-UA"/>
              </w:rPr>
              <w:t>02</w:t>
            </w:r>
            <w:r w:rsidRPr="002C6AA1" w:rsidR="004A765D">
              <w:rPr>
                <w:sz w:val="16"/>
                <w:lang w:val="uk-UA"/>
              </w:rPr>
              <w:t>.</w:t>
            </w:r>
            <w:r w:rsidRPr="002C6AA1">
              <w:rPr>
                <w:sz w:val="16"/>
                <w:lang w:val="uk-UA"/>
              </w:rPr>
              <w:t>2025</w:t>
            </w:r>
          </w:p>
        </w:tc>
        <w:tc>
          <w:tcPr>
            <w:tcW w:w="1418" w:type="dxa"/>
          </w:tcPr>
          <w:p w:rsidRPr="002C6AA1" w:rsidR="006B7BFC" w:rsidP="002C6AA1" w14:paraId="7DBAF2C0" w14:textId="77777777">
            <w:pPr>
              <w:jc w:val="center"/>
              <w:rPr>
                <w:sz w:val="16"/>
                <w:lang w:val="uk-UA"/>
              </w:rPr>
            </w:pPr>
            <w:r w:rsidRPr="002C6AA1">
              <w:rPr>
                <w:b/>
                <w:sz w:val="16"/>
                <w:lang w:val="uk-UA"/>
              </w:rPr>
              <w:t>Михайло Іванович ГОНЧАР</w:t>
            </w:r>
          </w:p>
          <w:p w:rsidRPr="002C6AA1" w:rsidR="006B7BFC" w:rsidP="002C6AA1" w14:paraId="07FFBC65" w14:textId="77777777">
            <w:pPr>
              <w:jc w:val="center"/>
              <w:rPr>
                <w:sz w:val="16"/>
                <w:lang w:val="uk-UA"/>
              </w:rPr>
            </w:pPr>
            <w:r w:rsidRPr="002C6AA1">
              <w:rPr>
                <w:sz w:val="16"/>
                <w:lang w:val="uk-UA"/>
              </w:rPr>
              <w:t>1950</w:t>
            </w:r>
          </w:p>
        </w:tc>
        <w:tc>
          <w:tcPr>
            <w:tcW w:w="1276" w:type="dxa"/>
          </w:tcPr>
          <w:p w:rsidRPr="002C6AA1" w:rsidR="006B7BFC" w:rsidP="002C6AA1" w14:paraId="78EB1FEB" w14:textId="77777777">
            <w:pPr>
              <w:jc w:val="center"/>
              <w:rPr>
                <w:sz w:val="16"/>
                <w:lang w:val="uk-UA"/>
              </w:rPr>
            </w:pPr>
            <w:r w:rsidRPr="002C6AA1">
              <w:rPr>
                <w:sz w:val="16"/>
                <w:lang w:val="uk-UA"/>
              </w:rPr>
              <w:t>Собина Павло Миколайович м. Охтирка</w:t>
            </w:r>
          </w:p>
        </w:tc>
        <w:tc>
          <w:tcPr>
            <w:tcW w:w="5964" w:type="dxa"/>
          </w:tcPr>
          <w:p w:rsidRPr="002C6AA1" w:rsidR="005C48B2" w:rsidP="002C6AA1" w14:paraId="6F34612C" w14:textId="77777777">
            <w:pPr>
              <w:jc w:val="center"/>
              <w:rPr>
                <w:sz w:val="16"/>
                <w:lang w:val="uk-UA"/>
              </w:rPr>
            </w:pPr>
            <w:r w:rsidRPr="002C6AA1">
              <w:rPr>
                <w:sz w:val="16"/>
                <w:lang w:val="uk-UA"/>
              </w:rPr>
              <w:t xml:space="preserve">29.07.2019 заявника, який їхав на скутері, підрізав автомобіль, яким керував П. Заявник впав та отримав тілесні ушкодження, які судово-медичний експерт </w:t>
            </w:r>
            <w:r w:rsidRPr="002C6AA1" w:rsidR="00FA3751">
              <w:rPr>
                <w:sz w:val="16"/>
                <w:lang w:val="uk-UA"/>
              </w:rPr>
              <w:t xml:space="preserve">кваліфікував </w:t>
            </w:r>
            <w:r w:rsidRPr="002C6AA1">
              <w:rPr>
                <w:sz w:val="16"/>
                <w:lang w:val="uk-UA"/>
              </w:rPr>
              <w:t xml:space="preserve">як середньої тяжкості. Наступного дня було порушено кримінальне провадження. 19.03.2020 П. було вручено повідомлення про підозру і розпочався двомісячний строк досудового розслідування. 17.06.2020 було складено обвинувальний акт та 22.06.2020 </w:t>
            </w:r>
            <w:r w:rsidRPr="002C6AA1" w:rsidR="008A7418">
              <w:rPr>
                <w:sz w:val="16"/>
                <w:lang w:val="uk-UA"/>
              </w:rPr>
              <w:t xml:space="preserve">його було </w:t>
            </w:r>
            <w:r w:rsidRPr="002C6AA1">
              <w:rPr>
                <w:sz w:val="16"/>
                <w:lang w:val="uk-UA"/>
              </w:rPr>
              <w:t>направлено до суду першої інстанції.</w:t>
            </w:r>
            <w:r w:rsidRPr="002C6AA1" w:rsidR="00510A10">
              <w:rPr>
                <w:sz w:val="16"/>
                <w:lang w:val="uk-UA"/>
              </w:rPr>
              <w:t xml:space="preserve"> 24.06.2020 заявник </w:t>
            </w:r>
            <w:r w:rsidRPr="002C6AA1" w:rsidR="00FA3751">
              <w:rPr>
                <w:sz w:val="16"/>
                <w:lang w:val="uk-UA"/>
              </w:rPr>
              <w:t xml:space="preserve">подав </w:t>
            </w:r>
            <w:r w:rsidRPr="002C6AA1" w:rsidR="00510A10">
              <w:rPr>
                <w:sz w:val="16"/>
                <w:lang w:val="uk-UA"/>
              </w:rPr>
              <w:t>цивільний позов у межах кримінального провадження.</w:t>
            </w:r>
          </w:p>
          <w:p w:rsidRPr="002C6AA1" w:rsidR="006B7BFC" w:rsidP="002C6AA1" w14:paraId="4780B6EA" w14:textId="77777777">
            <w:pPr>
              <w:jc w:val="center"/>
              <w:rPr>
                <w:sz w:val="16"/>
                <w:lang w:val="uk-UA"/>
              </w:rPr>
            </w:pPr>
            <w:r w:rsidRPr="002C6AA1">
              <w:rPr>
                <w:sz w:val="16"/>
                <w:lang w:val="uk-UA"/>
              </w:rPr>
              <w:t xml:space="preserve">15.09.2021 міськрайонний суд визнав П. винним у порушенні правил безпеки дорожнього руху та призначив йому покарання у виді двох років </w:t>
            </w:r>
            <w:r w:rsidRPr="002C6AA1" w:rsidR="00685178">
              <w:rPr>
                <w:sz w:val="16"/>
                <w:lang w:val="uk-UA"/>
              </w:rPr>
              <w:t xml:space="preserve">виправних </w:t>
            </w:r>
            <w:r w:rsidRPr="002C6AA1">
              <w:rPr>
                <w:sz w:val="16"/>
                <w:lang w:val="uk-UA"/>
              </w:rPr>
              <w:t xml:space="preserve">робіт. 20.10.2025 Сумський апеляційний суд скасував вирок та закрив кримінальне провадження. Апеляційний суд постановив, що згідно з імперативними </w:t>
            </w:r>
            <w:r w:rsidRPr="002C6AA1" w:rsidR="00D80A48">
              <w:rPr>
                <w:sz w:val="16"/>
                <w:lang w:val="uk-UA"/>
              </w:rPr>
              <w:t>нормами</w:t>
            </w:r>
            <w:r w:rsidRPr="002C6AA1">
              <w:rPr>
                <w:sz w:val="16"/>
                <w:lang w:val="uk-UA"/>
              </w:rPr>
              <w:t xml:space="preserve"> кримінальне провадження мало бути закрите, оскільки двомісячний строк досудового розслідування закінчився і </w:t>
            </w:r>
            <w:r w:rsidRPr="002C6AA1" w:rsidR="00D80A48">
              <w:rPr>
                <w:sz w:val="16"/>
                <w:lang w:val="uk-UA"/>
              </w:rPr>
              <w:t xml:space="preserve">органи досудового розслідування </w:t>
            </w:r>
            <w:r w:rsidRPr="002C6AA1">
              <w:rPr>
                <w:sz w:val="16"/>
                <w:lang w:val="uk-UA"/>
              </w:rPr>
              <w:t>ніколи не продовжува</w:t>
            </w:r>
            <w:r w:rsidRPr="002C6AA1" w:rsidR="00D80A48">
              <w:rPr>
                <w:sz w:val="16"/>
                <w:lang w:val="uk-UA"/>
              </w:rPr>
              <w:t>ли його</w:t>
            </w:r>
            <w:r w:rsidRPr="002C6AA1">
              <w:rPr>
                <w:sz w:val="16"/>
                <w:lang w:val="uk-UA"/>
              </w:rPr>
              <w:t xml:space="preserve">, </w:t>
            </w:r>
            <w:r w:rsidRPr="002C6AA1" w:rsidR="001D5C3B">
              <w:rPr>
                <w:sz w:val="16"/>
                <w:lang w:val="uk-UA"/>
              </w:rPr>
              <w:t>тоді</w:t>
            </w:r>
            <w:r w:rsidRPr="002C6AA1">
              <w:rPr>
                <w:sz w:val="16"/>
                <w:lang w:val="uk-UA"/>
              </w:rPr>
              <w:t xml:space="preserve"> як обвинувальний акт був поданий до суду першої інстанції після закінчення цього строку.</w:t>
            </w:r>
          </w:p>
        </w:tc>
        <w:tc>
          <w:tcPr>
            <w:tcW w:w="2399" w:type="dxa"/>
          </w:tcPr>
          <w:p w:rsidRPr="002C6AA1" w:rsidR="006B7BFC" w:rsidP="002C6AA1" w14:paraId="2FF6186F" w14:textId="77777777">
            <w:pPr>
              <w:jc w:val="center"/>
              <w:rPr>
                <w:sz w:val="16"/>
                <w:lang w:val="uk-UA"/>
              </w:rPr>
            </w:pPr>
            <w:r w:rsidRPr="002C6AA1">
              <w:rPr>
                <w:sz w:val="16"/>
                <w:lang w:val="uk-UA"/>
              </w:rPr>
              <w:t>Національні органи влади самі критикували процес проведення розслідування у зв</w:t>
            </w:r>
            <w:r w:rsidRPr="002C6AA1" w:rsidR="002C6AA1">
              <w:rPr>
                <w:sz w:val="16"/>
                <w:lang w:val="uk-UA"/>
              </w:rPr>
              <w:t>’</w:t>
            </w:r>
            <w:r w:rsidRPr="002C6AA1">
              <w:rPr>
                <w:sz w:val="16"/>
                <w:lang w:val="uk-UA"/>
              </w:rPr>
              <w:t xml:space="preserve">язку з його неефективністю (рішення у справах «Принда проти України» </w:t>
            </w:r>
            <w:r w:rsidRPr="002C6AA1">
              <w:rPr>
                <w:i/>
                <w:iCs/>
                <w:sz w:val="16"/>
                <w:lang w:val="uk-UA"/>
              </w:rPr>
              <w:t xml:space="preserve">(Prynda v. Ukraine), </w:t>
            </w:r>
            <w:r w:rsidRPr="002C6AA1">
              <w:rPr>
                <w:sz w:val="16"/>
                <w:lang w:val="uk-UA"/>
              </w:rPr>
              <w:t xml:space="preserve">заява № 10904/05, пункт 56, від 31 липня </w:t>
            </w:r>
            <w:r w:rsidRPr="002C6AA1" w:rsidR="002B5DC1">
              <w:rPr>
                <w:sz w:val="16"/>
                <w:lang w:val="uk-UA"/>
              </w:rPr>
              <w:t xml:space="preserve">2012 </w:t>
            </w:r>
            <w:r w:rsidRPr="002C6AA1">
              <w:rPr>
                <w:sz w:val="16"/>
                <w:lang w:val="uk-UA"/>
              </w:rPr>
              <w:t xml:space="preserve">року) та «Поживотько проти України» </w:t>
            </w:r>
            <w:r w:rsidRPr="002C6AA1">
              <w:rPr>
                <w:i/>
                <w:iCs/>
                <w:sz w:val="16"/>
                <w:lang w:val="uk-UA"/>
              </w:rPr>
              <w:t xml:space="preserve">(Pozhyvotko v. Ukraine), </w:t>
            </w:r>
            <w:r w:rsidRPr="002C6AA1">
              <w:rPr>
                <w:sz w:val="16"/>
                <w:lang w:val="uk-UA"/>
              </w:rPr>
              <w:t>заява № 42752/08, пункт 40,</w:t>
            </w:r>
            <w:r w:rsidRPr="002C6AA1" w:rsidR="002B5DC1">
              <w:rPr>
                <w:sz w:val="16"/>
                <w:lang w:val="uk-UA"/>
              </w:rPr>
              <w:t xml:space="preserve"> </w:t>
            </w:r>
            <w:r w:rsidRPr="002C6AA1">
              <w:rPr>
                <w:sz w:val="16"/>
                <w:lang w:val="uk-UA"/>
              </w:rPr>
              <w:t>від 17</w:t>
            </w:r>
            <w:r w:rsidRPr="002C6AA1" w:rsidR="00FE6258">
              <w:rPr>
                <w:sz w:val="16"/>
                <w:lang w:val="uk-UA"/>
              </w:rPr>
              <w:t> </w:t>
            </w:r>
            <w:r w:rsidRPr="002C6AA1">
              <w:rPr>
                <w:sz w:val="16"/>
                <w:lang w:val="uk-UA"/>
              </w:rPr>
              <w:t xml:space="preserve"> жовтня 2013 року</w:t>
            </w:r>
            <w:r w:rsidRPr="002C6AA1" w:rsidR="002B5DC1">
              <w:rPr>
                <w:sz w:val="16"/>
                <w:lang w:val="uk-UA"/>
              </w:rPr>
              <w:t>)</w:t>
            </w:r>
          </w:p>
        </w:tc>
        <w:tc>
          <w:tcPr>
            <w:tcW w:w="992" w:type="dxa"/>
          </w:tcPr>
          <w:p w:rsidRPr="002C6AA1" w:rsidR="006B7BFC" w:rsidP="002C6AA1" w14:paraId="0F14239B" w14:textId="77777777">
            <w:pPr>
              <w:jc w:val="center"/>
              <w:rPr>
                <w:sz w:val="16"/>
                <w:lang w:val="uk-UA"/>
              </w:rPr>
            </w:pPr>
            <w:r w:rsidRPr="002C6AA1">
              <w:rPr>
                <w:sz w:val="16"/>
                <w:lang w:val="uk-UA"/>
              </w:rPr>
              <w:t>6</w:t>
            </w:r>
            <w:r w:rsidRPr="002C6AA1" w:rsidR="004A765D">
              <w:rPr>
                <w:sz w:val="16"/>
                <w:lang w:val="uk-UA"/>
              </w:rPr>
              <w:t> </w:t>
            </w:r>
            <w:r w:rsidRPr="002C6AA1">
              <w:rPr>
                <w:sz w:val="16"/>
                <w:lang w:val="uk-UA"/>
              </w:rPr>
              <w:t>000</w:t>
            </w:r>
          </w:p>
        </w:tc>
        <w:tc>
          <w:tcPr>
            <w:tcW w:w="998" w:type="dxa"/>
          </w:tcPr>
          <w:p w:rsidRPr="002C6AA1" w:rsidR="006B7BFC" w:rsidP="002C6AA1" w14:paraId="12A6BD84" w14:textId="77777777">
            <w:pPr>
              <w:jc w:val="center"/>
              <w:rPr>
                <w:sz w:val="16"/>
                <w:lang w:val="uk-UA"/>
              </w:rPr>
            </w:pPr>
            <w:r w:rsidRPr="002C6AA1">
              <w:rPr>
                <w:sz w:val="16"/>
                <w:lang w:val="uk-UA"/>
              </w:rPr>
              <w:t>250</w:t>
            </w:r>
          </w:p>
        </w:tc>
      </w:tr>
    </w:tbl>
    <w:p w:rsidRPr="002C6AA1" w:rsidR="00606600" w:rsidP="002C6AA1" w14:paraId="080FD39D" w14:textId="77777777">
      <w:pPr>
        <w:rPr>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752EC3" w:rsidRPr="005E62B9" w14:paraId="65FEBE88" w14:textId="77777777">
      <w:r w:rsidRPr="005E62B9">
        <w:separator/>
      </w:r>
    </w:p>
  </w:endnote>
  <w:endnote w:type="continuationSeparator" w:id="1">
    <w:p w:rsidR="00752EC3" w:rsidRPr="005E62B9" w14:paraId="534A04F9" w14:textId="77777777">
      <w:r w:rsidRPr="005E62B9">
        <w:continuationSeparator/>
      </w:r>
    </w:p>
  </w:endnote>
  <w:endnote w:id="2">
    <w:p w:rsidR="006B7BFC" w:rsidRPr="004A765D" w:rsidP="00704659" w14:paraId="26ABABD9" w14:textId="77777777">
      <w:pPr>
        <w:pStyle w:val="EndnoteText"/>
        <w:rPr>
          <w:sz w:val="16"/>
          <w:szCs w:val="16"/>
          <w:lang w:val="uk-UA"/>
        </w:rPr>
      </w:pPr>
      <w:r w:rsidRPr="004A765D">
        <w:rPr>
          <w:rStyle w:val="EndnoteReference"/>
          <w:lang w:val="uk-UA"/>
        </w:rPr>
        <w:endnoteRef/>
      </w:r>
      <w:r w:rsidRPr="004A765D">
        <w:rPr>
          <w:lang w:val="uk-UA"/>
        </w:rPr>
        <w:t xml:space="preserve"> </w:t>
      </w:r>
      <w:r w:rsidRPr="004A765D" w:rsidR="004A765D">
        <w:rPr>
          <w:sz w:val="16"/>
          <w:szCs w:val="16"/>
          <w:lang w:val="uk-UA"/>
        </w:rPr>
        <w:t>Та додатково суму будь-якого податку, що може нараховуватися заявникам</w:t>
      </w:r>
      <w:r w:rsidRPr="004A765D">
        <w:rPr>
          <w:sz w:val="16"/>
          <w:szCs w:val="16"/>
          <w:lang w:val="uk-UA"/>
        </w:rPr>
        <w:t>.</w:t>
      </w:r>
    </w:p>
  </w:endnote>
  <w:endnote w:id="3">
    <w:p w:rsidR="006B7BFC" w:rsidRPr="002C6AA1" w:rsidP="00704659" w14:paraId="22EC6DCA" w14:textId="77777777">
      <w:pPr>
        <w:pStyle w:val="EndnoteText"/>
        <w:rPr>
          <w:lang w:val="ru-RU"/>
        </w:rPr>
      </w:pPr>
      <w:r w:rsidRPr="004A765D">
        <w:rPr>
          <w:rStyle w:val="EndnoteReference"/>
          <w:sz w:val="16"/>
          <w:szCs w:val="16"/>
          <w:lang w:val="uk-UA"/>
        </w:rPr>
        <w:endnoteRef/>
      </w:r>
      <w:r w:rsidRPr="004A765D">
        <w:rPr>
          <w:sz w:val="16"/>
          <w:szCs w:val="16"/>
          <w:lang w:val="uk-UA"/>
        </w:rPr>
        <w:t xml:space="preserve"> </w:t>
      </w:r>
      <w:r w:rsidRPr="004A765D" w:rsidR="004A765D">
        <w:rPr>
          <w:sz w:val="16"/>
          <w:szCs w:val="16"/>
          <w:lang w:val="uk-UA"/>
        </w:rPr>
        <w:t>Та додатково суму будь-якого податку, що може нараховуватися заявникам</w:t>
      </w:r>
      <w:r w:rsidRPr="004A765D">
        <w:rPr>
          <w:sz w:val="16"/>
          <w:szCs w:val="16"/>
          <w:lang w:val="uk-UA"/>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79974745" w14:textId="77777777">
    <w:pPr>
      <w:pStyle w:val="JuHeader"/>
    </w:pPr>
    <w:r>
      <w:fldChar w:fldCharType="begin"/>
    </w:r>
    <w:r w:rsidR="008A7418">
      <w:instrText xml:space="preserve"> PAGE  \* MERGEFORMAT </w:instrText>
    </w:r>
    <w:r>
      <w:fldChar w:fldCharType="separate"/>
    </w:r>
    <w:r w:rsidR="001C588B">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07E4774E" w14:textId="77777777">
    <w:pPr>
      <w:pStyle w:val="JuHeader"/>
    </w:pPr>
    <w:r>
      <w:fldChar w:fldCharType="begin"/>
    </w:r>
    <w:r w:rsidR="008A7418">
      <w:instrText xml:space="preserve"> PAGE  \* MERGEFORMAT </w:instrText>
    </w:r>
    <w:r>
      <w:fldChar w:fldCharType="separate"/>
    </w:r>
    <w:r w:rsidR="001C588B">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229AC12A" w14:textId="77777777">
    <w:pPr>
      <w:jc w:val="center"/>
    </w:pPr>
    <w:r w:rsidRPr="005E62B9">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25F139DB"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483E4242" w14:textId="77777777">
    <w:pPr>
      <w:jc w:val="center"/>
    </w:pPr>
    <w:r w:rsidRPr="005E62B9">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1780C262" w14:textId="77777777">
    <w:pPr>
      <w:jc w:val="center"/>
      <w:rPr>
        <w:sz w:val="4"/>
        <w:szCs w:val="4"/>
      </w:rPr>
    </w:pPr>
  </w:p>
  <w:p w:rsidR="00606600" w:rsidRPr="005E62B9" w14:paraId="41ADEC5D"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4659" w:rsidRPr="00A45145" w:rsidP="00A45145" w14:paraId="395AFEB5" w14:textId="77777777">
    <w:pPr>
      <w:jc w:val="center"/>
    </w:pPr>
    <w:r>
      <w:rPr>
        <w:noProof/>
        <w:lang w:val="uk-UA" w:eastAsia="uk-UA"/>
      </w:rPr>
      <w:drawing>
        <wp:inline distT="0" distB="0" distL="0" distR="0">
          <wp:extent cx="2962275" cy="1219200"/>
          <wp:effectExtent l="0" t="0" r="9525" b="0"/>
          <wp:docPr id="685041969" name="Picture 68504196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196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72EA485B" w14:textId="77777777">
    <w:pPr>
      <w:pStyle w:val="Header0"/>
    </w:pPr>
  </w:p>
  <w:p w:rsidR="00606600" w:rsidRPr="005E62B9" w:rsidP="00B64153" w14:paraId="20E6CCC3"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2A5E93" w:rsidP="002A5E93" w14:paraId="29736788" w14:textId="77777777">
    <w:pPr>
      <w:pStyle w:val="JuHeader"/>
      <w:rPr>
        <w:lang w:val="uk-UA"/>
      </w:rPr>
    </w:pPr>
    <w:r>
      <w:rPr>
        <w:lang w:val="uk-UA"/>
      </w:rPr>
      <w:t>РІШЕННЯ У СПРАВІ «КИРИК ТА ГОНЧАР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2A5E93" w:rsidP="00BD554D" w14:paraId="7A66C984" w14:textId="77777777">
    <w:pPr>
      <w:pStyle w:val="JuHeader"/>
      <w:rPr>
        <w:lang w:val="uk-UA"/>
      </w:rPr>
    </w:pPr>
    <w:r>
      <w:rPr>
        <w:lang w:val="uk-UA"/>
      </w:rPr>
      <w:t>РІШЕННЯ У СПРАВІ «КИРИК ТА ГОНЧАР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2A5E93" w:rsidP="002A5E93" w14:paraId="46293BB2" w14:textId="77777777">
    <w:pPr>
      <w:pStyle w:val="JuHeader"/>
      <w:rPr>
        <w:lang w:val="uk-UA"/>
      </w:rPr>
    </w:pPr>
    <w:r>
      <w:rPr>
        <w:lang w:val="uk-UA"/>
      </w:rPr>
      <w:t>РІШЕННЯ У СПРАВІ «КИРИК ТА ГОНЧАР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2A5E93" w:rsidP="002A5E93" w14:paraId="6450B062" w14:textId="77777777">
    <w:pPr>
      <w:pStyle w:val="JuHeader"/>
      <w:rPr>
        <w:lang w:val="uk-UA"/>
      </w:rPr>
    </w:pPr>
    <w:r>
      <w:rPr>
        <w:lang w:val="uk-UA"/>
      </w:rPr>
      <w:t>РІШЕННЯ У СПРАВІ «КИРИК ТА ГОНЧАР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1896746"/>
    <w:multiLevelType w:val="hybridMultilevel"/>
    <w:tmpl w:val="53F691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1475"/>
        </w:tabs>
        <w:ind w:left="1475"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313217441">
    <w:abstractNumId w:val="15"/>
  </w:num>
  <w:num w:numId="2" w16cid:durableId="1192307529">
    <w:abstractNumId w:val="13"/>
  </w:num>
  <w:num w:numId="3" w16cid:durableId="835530803">
    <w:abstractNumId w:val="12"/>
  </w:num>
  <w:num w:numId="4" w16cid:durableId="1368406482">
    <w:abstractNumId w:val="16"/>
  </w:num>
  <w:num w:numId="5" w16cid:durableId="1823113050">
    <w:abstractNumId w:val="14"/>
  </w:num>
  <w:num w:numId="6" w16cid:durableId="378436258">
    <w:abstractNumId w:val="17"/>
  </w:num>
  <w:num w:numId="7" w16cid:durableId="1179197949">
    <w:abstractNumId w:val="16"/>
  </w:num>
  <w:num w:numId="8" w16cid:durableId="1789735875">
    <w:abstractNumId w:val="17"/>
  </w:num>
  <w:num w:numId="9" w16cid:durableId="785932782">
    <w:abstractNumId w:val="10"/>
  </w:num>
  <w:num w:numId="10" w16cid:durableId="574315528">
    <w:abstractNumId w:val="9"/>
  </w:num>
  <w:num w:numId="11" w16cid:durableId="1741948711">
    <w:abstractNumId w:val="18"/>
  </w:num>
  <w:num w:numId="12" w16cid:durableId="1671784955">
    <w:abstractNumId w:val="7"/>
  </w:num>
  <w:num w:numId="13" w16cid:durableId="642665161">
    <w:abstractNumId w:val="6"/>
  </w:num>
  <w:num w:numId="14" w16cid:durableId="143275468">
    <w:abstractNumId w:val="5"/>
  </w:num>
  <w:num w:numId="15" w16cid:durableId="127212538">
    <w:abstractNumId w:val="4"/>
  </w:num>
  <w:num w:numId="16" w16cid:durableId="1653488321">
    <w:abstractNumId w:val="8"/>
  </w:num>
  <w:num w:numId="17" w16cid:durableId="1701396859">
    <w:abstractNumId w:val="3"/>
  </w:num>
  <w:num w:numId="18" w16cid:durableId="486938370">
    <w:abstractNumId w:val="2"/>
  </w:num>
  <w:num w:numId="19" w16cid:durableId="189955840">
    <w:abstractNumId w:val="1"/>
  </w:num>
  <w:num w:numId="20" w16cid:durableId="1302736632">
    <w:abstractNumId w:val="0"/>
  </w:num>
  <w:num w:numId="21" w16cid:durableId="142988268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659"/>
    <w:rsid w:val="00004EF2"/>
    <w:rsid w:val="000318F7"/>
    <w:rsid w:val="000447B5"/>
    <w:rsid w:val="00044AD5"/>
    <w:rsid w:val="00050994"/>
    <w:rsid w:val="00071B68"/>
    <w:rsid w:val="000B260E"/>
    <w:rsid w:val="000C5149"/>
    <w:rsid w:val="00135384"/>
    <w:rsid w:val="0016534E"/>
    <w:rsid w:val="00173A91"/>
    <w:rsid w:val="00177329"/>
    <w:rsid w:val="0018684E"/>
    <w:rsid w:val="001963DD"/>
    <w:rsid w:val="001A15B6"/>
    <w:rsid w:val="001A3C4A"/>
    <w:rsid w:val="001C588B"/>
    <w:rsid w:val="001D3470"/>
    <w:rsid w:val="001D5C3B"/>
    <w:rsid w:val="001D7CD3"/>
    <w:rsid w:val="001F3812"/>
    <w:rsid w:val="002056B7"/>
    <w:rsid w:val="0020718E"/>
    <w:rsid w:val="0023364D"/>
    <w:rsid w:val="00246653"/>
    <w:rsid w:val="0025755F"/>
    <w:rsid w:val="00275D67"/>
    <w:rsid w:val="00281C49"/>
    <w:rsid w:val="0028691C"/>
    <w:rsid w:val="0029309A"/>
    <w:rsid w:val="002A5E93"/>
    <w:rsid w:val="002B4EC1"/>
    <w:rsid w:val="002B5DC1"/>
    <w:rsid w:val="002C5B23"/>
    <w:rsid w:val="002C6AA1"/>
    <w:rsid w:val="002F3B96"/>
    <w:rsid w:val="003065A7"/>
    <w:rsid w:val="00337785"/>
    <w:rsid w:val="00372253"/>
    <w:rsid w:val="0037589C"/>
    <w:rsid w:val="003B3ECB"/>
    <w:rsid w:val="003D08C4"/>
    <w:rsid w:val="003E63EA"/>
    <w:rsid w:val="00403FBB"/>
    <w:rsid w:val="00442A99"/>
    <w:rsid w:val="00445F54"/>
    <w:rsid w:val="00464A0F"/>
    <w:rsid w:val="0048584C"/>
    <w:rsid w:val="00497FF8"/>
    <w:rsid w:val="004A765D"/>
    <w:rsid w:val="004B04E8"/>
    <w:rsid w:val="004B0B4E"/>
    <w:rsid w:val="004D042B"/>
    <w:rsid w:val="004D0EC7"/>
    <w:rsid w:val="004D1A61"/>
    <w:rsid w:val="004D5C3D"/>
    <w:rsid w:val="00510A10"/>
    <w:rsid w:val="00513270"/>
    <w:rsid w:val="005239BE"/>
    <w:rsid w:val="00525414"/>
    <w:rsid w:val="00555A1D"/>
    <w:rsid w:val="00573202"/>
    <w:rsid w:val="0058739A"/>
    <w:rsid w:val="005B102C"/>
    <w:rsid w:val="005B16C1"/>
    <w:rsid w:val="005C3A15"/>
    <w:rsid w:val="005C48B2"/>
    <w:rsid w:val="005E62B9"/>
    <w:rsid w:val="005E6AD7"/>
    <w:rsid w:val="005F60F9"/>
    <w:rsid w:val="00606600"/>
    <w:rsid w:val="00611E1D"/>
    <w:rsid w:val="0062400A"/>
    <w:rsid w:val="006372F5"/>
    <w:rsid w:val="00656431"/>
    <w:rsid w:val="00682A24"/>
    <w:rsid w:val="00685178"/>
    <w:rsid w:val="006B7BFC"/>
    <w:rsid w:val="006C0428"/>
    <w:rsid w:val="006C5A70"/>
    <w:rsid w:val="006D324D"/>
    <w:rsid w:val="00704659"/>
    <w:rsid w:val="00722689"/>
    <w:rsid w:val="00727226"/>
    <w:rsid w:val="00743B2A"/>
    <w:rsid w:val="007524DE"/>
    <w:rsid w:val="00752EC3"/>
    <w:rsid w:val="007A72B4"/>
    <w:rsid w:val="007B7348"/>
    <w:rsid w:val="007C674A"/>
    <w:rsid w:val="007D4C6D"/>
    <w:rsid w:val="007D4F48"/>
    <w:rsid w:val="007F018A"/>
    <w:rsid w:val="00826540"/>
    <w:rsid w:val="00841D49"/>
    <w:rsid w:val="008522DD"/>
    <w:rsid w:val="00860732"/>
    <w:rsid w:val="0088625F"/>
    <w:rsid w:val="008A0E2E"/>
    <w:rsid w:val="008A3C49"/>
    <w:rsid w:val="008A7418"/>
    <w:rsid w:val="008B6032"/>
    <w:rsid w:val="008C715A"/>
    <w:rsid w:val="008D51B6"/>
    <w:rsid w:val="008E0FB9"/>
    <w:rsid w:val="008E1579"/>
    <w:rsid w:val="009522DD"/>
    <w:rsid w:val="00977AE0"/>
    <w:rsid w:val="00984368"/>
    <w:rsid w:val="00993A05"/>
    <w:rsid w:val="009F1914"/>
    <w:rsid w:val="00A329E0"/>
    <w:rsid w:val="00A34A54"/>
    <w:rsid w:val="00A44415"/>
    <w:rsid w:val="00A45145"/>
    <w:rsid w:val="00A52764"/>
    <w:rsid w:val="00A6104A"/>
    <w:rsid w:val="00A94CA7"/>
    <w:rsid w:val="00AC03BB"/>
    <w:rsid w:val="00AF3E5A"/>
    <w:rsid w:val="00AF4730"/>
    <w:rsid w:val="00B216C1"/>
    <w:rsid w:val="00B54B18"/>
    <w:rsid w:val="00B64153"/>
    <w:rsid w:val="00B6683C"/>
    <w:rsid w:val="00B76B3C"/>
    <w:rsid w:val="00B772F5"/>
    <w:rsid w:val="00B91668"/>
    <w:rsid w:val="00BA5B80"/>
    <w:rsid w:val="00BD554D"/>
    <w:rsid w:val="00BE2415"/>
    <w:rsid w:val="00C03509"/>
    <w:rsid w:val="00C20CC3"/>
    <w:rsid w:val="00C877A3"/>
    <w:rsid w:val="00CB69EA"/>
    <w:rsid w:val="00CD4C97"/>
    <w:rsid w:val="00CF7157"/>
    <w:rsid w:val="00D726EF"/>
    <w:rsid w:val="00D80A48"/>
    <w:rsid w:val="00D849A9"/>
    <w:rsid w:val="00DE7D3F"/>
    <w:rsid w:val="00E026EC"/>
    <w:rsid w:val="00E45537"/>
    <w:rsid w:val="00E6230A"/>
    <w:rsid w:val="00EA6503"/>
    <w:rsid w:val="00ED1DFD"/>
    <w:rsid w:val="00ED7723"/>
    <w:rsid w:val="00F36888"/>
    <w:rsid w:val="00F4128D"/>
    <w:rsid w:val="00F7748E"/>
    <w:rsid w:val="00F90F88"/>
    <w:rsid w:val="00FA3751"/>
    <w:rsid w:val="00FB16F8"/>
    <w:rsid w:val="00FD54CA"/>
    <w:rsid w:val="00FE6258"/>
    <w:rsid w:val="00FF1740"/>
  </w:rsids>
  <w:docVars>
    <w:docVar w:name="ApplicationsApp" w:val="1"/>
    <w:docVar w:name="EMM" w:val="0"/>
    <w:docVar w:name="NBEMMDOC" w:val="0"/>
    <w:docVar w:name="Plural" w:val="1"/>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0119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link w:val="JuListChar"/>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tabs>
        <w:tab w:val="num" w:pos="680"/>
        <w:tab w:val="clear" w:pos="1475"/>
      </w:tabs>
      <w:ind w:left="680"/>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ECHR_Para,First line:  0 cm,First line:  0 cm Знак,First line:  0 cm Знак Знак Знак,Ju_Para + Interligne : Double,Ju_Para Знак,Left,Left Знак,Left Знак Знак,N_Para,Para"/>
    <w:basedOn w:val="NormalJustified"/>
    <w:link w:val="JuParaChar"/>
    <w:uiPriority w:val="12"/>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ECHR_Para Char,ECHR_Para Char1,Ju_Para Char1,Para Char"/>
    <w:basedOn w:val="DefaultParagraphFont"/>
    <w:link w:val="JuPara"/>
    <w:uiPriority w:val="12"/>
    <w:qFormat/>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FB16F8"/>
    <w:rPr>
      <w:color w:val="605E5C"/>
      <w:shd w:val="clear" w:color="auto" w:fill="E1DFDD"/>
    </w:rPr>
  </w:style>
  <w:style w:type="character" w:customStyle="1" w:styleId="JuListChar">
    <w:name w:val="Ju_List Char"/>
    <w:basedOn w:val="DefaultParagraphFont"/>
    <w:link w:val="JuList"/>
    <w:uiPriority w:val="23"/>
    <w:locked/>
    <w:rsid w:val="0070465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23CBE-DC48-4ABA-803E-185B13C4C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1477</Words>
  <Characters>9194</Characters>
  <Application>Microsoft Office Word</Application>
  <DocSecurity>0</DocSecurity>
  <Lines>306</Lines>
  <Paragraphs>106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Judgment</vt:lpstr>
    </vt:vector>
  </TitlesOfParts>
  <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2026-06-22T15:04:00Z</dcterms:created>
  <dcterms:modified xsi:type="dcterms:W3CDTF">2026-06-22T15:04:00Z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2076495</vt:lpwstr>
  </property>
  <property fmtid="{D5CDD505-2E9C-101B-9397-08002B2CF9AE}" pid="3" name="cstLanguage">
    <vt:i4>2057</vt:i4>
  </property>
  <property fmtid="{D5CDD505-2E9C-101B-9397-08002B2CF9AE}" pid="4" name="RegisteredNo">
    <vt:lpwstr>6200/25</vt:lpwstr>
  </property>
</Properties>
</file>