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A4F6C" w:rsidR="00BB6A3C" w:rsidP="00FA4F6C" w14:paraId="2DE78925" w14:textId="77777777">
      <w:pPr>
        <w:jc w:val="center"/>
        <w:rPr>
          <w:rFonts w:ascii="Times New Roman" w:hAnsi="Times New Roman" w:cs="Times New Roman"/>
          <w:noProof/>
        </w:rPr>
      </w:pPr>
    </w:p>
    <w:p w:rsidRPr="00FA4F6C" w:rsidR="0098410D" w:rsidP="00FA4F6C" w14:paraId="15D519A3" w14:textId="77777777">
      <w:pPr>
        <w:jc w:val="center"/>
      </w:pPr>
    </w:p>
    <w:p w:rsidRPr="00FA4F6C" w:rsidR="0098410D" w:rsidP="00FA4F6C" w14:paraId="2B4533BE" w14:textId="2B186CEA">
      <w:pPr>
        <w:pStyle w:val="DecHTitle"/>
      </w:pPr>
      <w:r w:rsidRPr="00FA4F6C">
        <w:t>FIFTH SECTION</w:t>
      </w:r>
    </w:p>
    <w:p w:rsidRPr="00FA4F6C" w:rsidR="008E6217" w:rsidP="00FA4F6C" w14:paraId="18DEDC56" w14:textId="07CD4071">
      <w:pPr>
        <w:pStyle w:val="JuTitle"/>
      </w:pPr>
      <w:r w:rsidRPr="00FA4F6C">
        <w:rPr>
          <w:color w:val="000000" w:themeColor="text1"/>
        </w:rPr>
        <w:t xml:space="preserve">CASE OF </w:t>
      </w:r>
      <w:r w:rsidRPr="00FA4F6C" w:rsidR="00BB6A3C">
        <w:t>KASANDYAK v. UKRAINE</w:t>
      </w:r>
    </w:p>
    <w:p w:rsidRPr="00FA4F6C" w:rsidR="00D74888" w:rsidP="00FA4F6C" w14:paraId="779C6AC8" w14:textId="7D8BECFC">
      <w:pPr>
        <w:pStyle w:val="ECHRCoverTitle4"/>
      </w:pPr>
      <w:r w:rsidRPr="00FA4F6C">
        <w:t>(</w:t>
      </w:r>
      <w:r w:rsidRPr="00FA4F6C" w:rsidR="00BB6A3C">
        <w:rPr>
          <w:noProof/>
        </w:rPr>
        <w:t>Application no.</w:t>
      </w:r>
      <w:r w:rsidRPr="00FA4F6C">
        <w:t xml:space="preserve"> </w:t>
      </w:r>
      <w:r w:rsidRPr="00FA4F6C" w:rsidR="00BB6A3C">
        <w:t>66128/16</w:t>
      </w:r>
      <w:r w:rsidRPr="00FA4F6C">
        <w:t>)</w:t>
      </w:r>
    </w:p>
    <w:p w:rsidRPr="00FA4F6C" w:rsidR="0098410D" w:rsidP="00FA4F6C" w14:paraId="46B97B9C" w14:textId="77777777">
      <w:pPr>
        <w:pStyle w:val="DecHCase"/>
      </w:pPr>
    </w:p>
    <w:p w:rsidRPr="00FA4F6C" w:rsidR="0054716E" w:rsidP="00FA4F6C" w14:paraId="54C7DA60" w14:textId="77777777">
      <w:pPr>
        <w:pStyle w:val="DecHCase"/>
      </w:pPr>
    </w:p>
    <w:p w:rsidRPr="00FA4F6C" w:rsidR="0054716E" w:rsidP="00FA4F6C" w14:paraId="12117263" w14:textId="77777777">
      <w:pPr>
        <w:pStyle w:val="DecHCase"/>
      </w:pPr>
    </w:p>
    <w:p w:rsidRPr="00FA4F6C" w:rsidR="0098410D" w:rsidP="00FA4F6C" w14:paraId="425E0DD1" w14:textId="77777777">
      <w:pPr>
        <w:pStyle w:val="DecHCase"/>
      </w:pPr>
    </w:p>
    <w:p w:rsidRPr="00FA4F6C" w:rsidR="00AC4CD4" w:rsidP="00FA4F6C" w14:paraId="2D44DA34" w14:textId="77777777">
      <w:pPr>
        <w:pStyle w:val="DecHCase"/>
      </w:pPr>
    </w:p>
    <w:p w:rsidRPr="00FA4F6C" w:rsidR="0098410D" w:rsidP="00FA4F6C" w14:paraId="4573B71C" w14:textId="77777777">
      <w:pPr>
        <w:pStyle w:val="DecHCase"/>
      </w:pPr>
    </w:p>
    <w:p w:rsidRPr="00FA4F6C" w:rsidR="0098410D" w:rsidP="00FA4F6C" w14:paraId="03448C2F" w14:textId="624D2560">
      <w:pPr>
        <w:pStyle w:val="DecHCase"/>
      </w:pPr>
      <w:r w:rsidRPr="00FA4F6C">
        <w:t>JUDGMENT</w:t>
      </w:r>
      <w:r w:rsidRPr="00FA4F6C" w:rsidR="00AC4CD4">
        <w:br/>
      </w:r>
    </w:p>
    <w:p w:rsidRPr="00FA4F6C" w:rsidR="0098410D" w:rsidP="00FA4F6C" w14:paraId="77C2A6D6" w14:textId="77777777">
      <w:pPr>
        <w:pStyle w:val="DecHCase"/>
      </w:pPr>
      <w:r w:rsidRPr="00FA4F6C">
        <w:t>STRASBOURG</w:t>
      </w:r>
    </w:p>
    <w:p w:rsidRPr="00FA4F6C" w:rsidR="0098410D" w:rsidP="00FA4F6C" w14:paraId="01874FB1" w14:textId="3CA7395A">
      <w:pPr>
        <w:pStyle w:val="DecHCase"/>
      </w:pPr>
      <w:r w:rsidRPr="00FA4F6C">
        <w:rPr>
          <w:rFonts w:ascii="Times New Roman" w:hAnsi="Times New Roman" w:cs="Times New Roman"/>
        </w:rPr>
        <w:t>18 June 2026</w:t>
      </w:r>
    </w:p>
    <w:p w:rsidRPr="00FA4F6C" w:rsidR="00AC4CD4" w:rsidP="00FA4F6C" w14:paraId="3F08EBBA" w14:textId="77777777">
      <w:pPr>
        <w:pStyle w:val="JuPara"/>
      </w:pPr>
    </w:p>
    <w:p w:rsidRPr="00FA4F6C" w:rsidR="002422B6" w:rsidP="00FA4F6C" w14:paraId="544821C7" w14:textId="53887F8D">
      <w:pPr>
        <w:rPr>
          <w:i/>
          <w:sz w:val="22"/>
        </w:rPr>
      </w:pPr>
      <w:r w:rsidRPr="00FA4F6C">
        <w:rPr>
          <w:i/>
          <w:sz w:val="22"/>
        </w:rPr>
        <w:t xml:space="preserve">This judgment </w:t>
      </w:r>
      <w:r w:rsidRPr="00FA4F6C" w:rsidR="00BB6A3C">
        <w:rPr>
          <w:i/>
          <w:noProof/>
          <w:sz w:val="22"/>
        </w:rPr>
        <w:t>is final but it</w:t>
      </w:r>
      <w:r w:rsidRPr="00FA4F6C">
        <w:rPr>
          <w:i/>
          <w:sz w:val="22"/>
        </w:rPr>
        <w:t xml:space="preserve"> may be subject to editorial revision.</w:t>
      </w:r>
    </w:p>
    <w:p w:rsidRPr="00FA4F6C" w:rsidR="0098410D" w:rsidP="00FA4F6C" w14:paraId="6E44A11D"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A4F6C" w:rsidR="0098410D" w:rsidP="00FA4F6C" w14:paraId="59E5BCDC" w14:textId="1FB4B0AF">
      <w:pPr>
        <w:pStyle w:val="JuCase"/>
      </w:pPr>
      <w:r w:rsidRPr="00FA4F6C">
        <w:t xml:space="preserve">In the case of </w:t>
      </w:r>
      <w:r w:rsidRPr="00FA4F6C" w:rsidR="00BB6A3C">
        <w:t>Kasandyak v. Ukraine</w:t>
      </w:r>
      <w:r w:rsidRPr="00FA4F6C">
        <w:t>,</w:t>
      </w:r>
    </w:p>
    <w:p w:rsidRPr="00FA4F6C" w:rsidR="009F4C8F" w:rsidP="00FA4F6C" w14:paraId="5D8B3057" w14:textId="2266D876">
      <w:pPr>
        <w:pStyle w:val="JuPara"/>
      </w:pPr>
      <w:r w:rsidRPr="00FA4F6C">
        <w:t>The European Court of Human Rights (</w:t>
      </w:r>
      <w:r w:rsidRPr="00FA4F6C" w:rsidR="00BB6A3C">
        <w:t>Fifth Section</w:t>
      </w:r>
      <w:r w:rsidRPr="00FA4F6C">
        <w:t xml:space="preserve">), sitting as a </w:t>
      </w:r>
      <w:r w:rsidRPr="00FA4F6C" w:rsidR="00BB6A3C">
        <w:rPr>
          <w:noProof/>
        </w:rPr>
        <w:t>Committee</w:t>
      </w:r>
      <w:r w:rsidRPr="00FA4F6C">
        <w:t xml:space="preserve"> composed of:</w:t>
      </w:r>
    </w:p>
    <w:p w:rsidRPr="00FA4F6C" w:rsidR="00A92625" w:rsidP="00FA4F6C" w14:paraId="3FCA7370" w14:textId="3700BD22">
      <w:pPr>
        <w:pStyle w:val="JuJudges"/>
      </w:pPr>
      <w:r w:rsidRPr="00FA4F6C">
        <w:tab/>
        <w:t>María Elósegui</w:t>
      </w:r>
      <w:r w:rsidRPr="00FA4F6C">
        <w:rPr>
          <w:i/>
        </w:rPr>
        <w:t>, President</w:t>
      </w:r>
      <w:r w:rsidRPr="00FA4F6C">
        <w:t>,</w:t>
      </w:r>
      <w:r w:rsidRPr="00FA4F6C">
        <w:br/>
      </w:r>
      <w:r w:rsidRPr="00FA4F6C">
        <w:tab/>
        <w:t>Andreas Zünd,</w:t>
      </w:r>
      <w:r w:rsidRPr="00FA4F6C">
        <w:br/>
      </w:r>
      <w:r w:rsidRPr="00FA4F6C">
        <w:tab/>
        <w:t>Mykola Gnatovskyy</w:t>
      </w:r>
      <w:r w:rsidRPr="00FA4F6C">
        <w:rPr>
          <w:i/>
        </w:rPr>
        <w:t>, judges</w:t>
      </w:r>
      <w:r w:rsidRPr="00FA4F6C">
        <w:t>,</w:t>
      </w:r>
      <w:r w:rsidRPr="00FA4F6C" w:rsidR="009F4C8F">
        <w:br/>
        <w:t>and</w:t>
      </w:r>
      <w:r w:rsidRPr="00FA4F6C" w:rsidR="005C2C62">
        <w:t xml:space="preserve"> </w:t>
      </w:r>
      <w:r w:rsidRPr="00FA4F6C" w:rsidR="00BB6A3C">
        <w:rPr>
          <w:rFonts w:eastAsia="PMingLiU"/>
          <w:noProof/>
        </w:rPr>
        <w:t>Martina Keller</w:t>
      </w:r>
      <w:r w:rsidRPr="00FA4F6C">
        <w:t xml:space="preserve">, </w:t>
      </w:r>
      <w:r w:rsidRPr="00FA4F6C" w:rsidR="00BB6A3C">
        <w:rPr>
          <w:i/>
          <w:iCs/>
          <w:noProof/>
        </w:rPr>
        <w:t xml:space="preserve">Deputy </w:t>
      </w:r>
      <w:r w:rsidRPr="00FA4F6C" w:rsidR="00E744E0">
        <w:rPr>
          <w:i/>
        </w:rPr>
        <w:t xml:space="preserve">Section </w:t>
      </w:r>
      <w:r w:rsidRPr="00FA4F6C" w:rsidR="00E744E0">
        <w:rPr>
          <w:i/>
          <w:iCs/>
        </w:rPr>
        <w:t>Registrar</w:t>
      </w:r>
      <w:r w:rsidRPr="00FA4F6C" w:rsidR="008F2465">
        <w:rPr>
          <w:i/>
        </w:rPr>
        <w:t>,</w:t>
      </w:r>
    </w:p>
    <w:p w:rsidRPr="00FA4F6C" w:rsidR="00BB6A3C" w:rsidP="00FA4F6C" w14:paraId="54BB76DD" w14:textId="77777777">
      <w:pPr>
        <w:pStyle w:val="JuPara"/>
      </w:pPr>
      <w:r w:rsidRPr="00FA4F6C">
        <w:t>Having regard to:</w:t>
      </w:r>
    </w:p>
    <w:p w:rsidRPr="00FA4F6C" w:rsidR="00BB6A3C" w:rsidP="00FA4F6C" w14:paraId="36CBDAB2" w14:textId="61A2B7E9">
      <w:pPr>
        <w:pStyle w:val="JuPara"/>
      </w:pPr>
      <w:r w:rsidRPr="00FA4F6C">
        <w:t>the application (no. 66128/16) against Ukraine lodged with the Court under Article 34 of the Convention for the Protection of Human Rights and Fundamental Freedoms (“the Convention”) on 4 November 2016 by a Ukrainian national, Mr Volodymyr Vasylyovych Kasandyak (“the</w:t>
      </w:r>
      <w:r w:rsidRPr="00FA4F6C" w:rsidR="003B035F">
        <w:t> </w:t>
      </w:r>
      <w:r w:rsidRPr="00FA4F6C">
        <w:t>applicant”), who was born in 1967 and lives in Kyiv;</w:t>
      </w:r>
    </w:p>
    <w:p w:rsidRPr="00FA4F6C" w:rsidR="00BB6A3C" w:rsidP="00FA4F6C" w14:paraId="4591B368" w14:textId="01EC786E">
      <w:pPr>
        <w:pStyle w:val="JuPara"/>
      </w:pPr>
      <w:r w:rsidRPr="00FA4F6C">
        <w:t>the decision to give notice of the complaint under Article 6 § 1 of the</w:t>
      </w:r>
      <w:r w:rsidRPr="00FA4F6C" w:rsidR="003B035F">
        <w:t> </w:t>
      </w:r>
      <w:r w:rsidRPr="00FA4F6C">
        <w:t>Convention concerning the denial of a practical opportunity to claim compensation at the domestic level to the Ukrainian Government (“the</w:t>
      </w:r>
      <w:r w:rsidRPr="00FA4F6C" w:rsidR="003B035F">
        <w:t> </w:t>
      </w:r>
      <w:r w:rsidRPr="00FA4F6C">
        <w:t>Government”), represented by their Agent, Ms M. Sokorenko, of the</w:t>
      </w:r>
      <w:r w:rsidRPr="00FA4F6C" w:rsidR="003B035F">
        <w:t> </w:t>
      </w:r>
      <w:r w:rsidRPr="00FA4F6C">
        <w:t>Ministry of Justice, and to declare the remainder of the application inadmissible;</w:t>
      </w:r>
    </w:p>
    <w:p w:rsidRPr="00FA4F6C" w:rsidR="00BB6A3C" w:rsidP="00FA4F6C" w14:paraId="019C8755" w14:textId="7AF2B972">
      <w:pPr>
        <w:pStyle w:val="JuPara"/>
      </w:pPr>
      <w:r w:rsidRPr="00FA4F6C">
        <w:t>the parties</w:t>
      </w:r>
      <w:r w:rsidRPr="00FA4F6C" w:rsidR="00FA4F6C">
        <w:t>’</w:t>
      </w:r>
      <w:r w:rsidRPr="00FA4F6C">
        <w:t xml:space="preserve"> observations;</w:t>
      </w:r>
    </w:p>
    <w:p w:rsidRPr="00FA4F6C" w:rsidR="009F4C8F" w:rsidP="00FA4F6C" w14:paraId="48385055" w14:textId="5366E4D7">
      <w:pPr>
        <w:pStyle w:val="JuPara"/>
      </w:pPr>
      <w:r w:rsidRPr="00FA4F6C">
        <w:t xml:space="preserve">Having deliberated in private on </w:t>
      </w:r>
      <w:r w:rsidRPr="00FA4F6C" w:rsidR="00BB6A3C">
        <w:t>28 May 2026</w:t>
      </w:r>
      <w:r w:rsidRPr="00FA4F6C">
        <w:t>,</w:t>
      </w:r>
    </w:p>
    <w:p w:rsidRPr="00FA4F6C" w:rsidR="009F4C8F" w:rsidP="00FA4F6C" w14:paraId="336EAD76" w14:textId="77777777">
      <w:pPr>
        <w:pStyle w:val="JuPara"/>
      </w:pPr>
      <w:r w:rsidRPr="00FA4F6C">
        <w:t>Delivers the following judgment, which was adopted on that date:</w:t>
      </w:r>
    </w:p>
    <w:p w:rsidRPr="00FA4F6C" w:rsidR="00BB6A3C" w:rsidP="00FA4F6C" w14:paraId="380166E1" w14:textId="676B110E">
      <w:pPr>
        <w:pStyle w:val="JuHHead"/>
      </w:pPr>
      <w:r w:rsidRPr="00FA4F6C">
        <w:t>SUBJECT MATTER OF THE CASE</w:t>
      </w:r>
    </w:p>
    <w:p w:rsidRPr="00FA4F6C" w:rsidR="00BB6A3C" w:rsidP="00FA4F6C" w14:paraId="28D48581" w14:textId="240F2966">
      <w:pPr>
        <w:pStyle w:val="JuPara"/>
      </w:pPr>
      <w:r>
        <w:fldChar w:fldCharType="begin"/>
      </w:r>
      <w:r>
        <w:instrText xml:space="preserve"> SEQ level0 \*arabic \* MERGEFORMAT </w:instrText>
      </w:r>
      <w:r>
        <w:fldChar w:fldCharType="separate"/>
      </w:r>
      <w:r w:rsidRPr="00FA4F6C" w:rsidR="00FA4F6C">
        <w:rPr>
          <w:noProof/>
        </w:rPr>
        <w:t>1</w:t>
      </w:r>
      <w:r w:rsidRPr="00FA4F6C" w:rsidR="00FA4F6C">
        <w:rPr>
          <w:noProof/>
        </w:rPr>
        <w:fldChar w:fldCharType="end"/>
      </w:r>
      <w:r w:rsidRPr="00FA4F6C">
        <w:t>.  The case concerns the domestic courts</w:t>
      </w:r>
      <w:r w:rsidRPr="00FA4F6C" w:rsidR="00FA4F6C">
        <w:t>’</w:t>
      </w:r>
      <w:r w:rsidRPr="00FA4F6C">
        <w:t xml:space="preserve"> refusal to examine the merits of the applicant</w:t>
      </w:r>
      <w:r w:rsidRPr="00FA4F6C" w:rsidR="00FA4F6C">
        <w:t>’</w:t>
      </w:r>
      <w:r w:rsidRPr="00FA4F6C">
        <w:t>s claim in respect of non-pecuniary damage on account of an unlawful delay in the processing of his pension documents by his former employer, a department of the Ministry of the Interior (hereinafter “the</w:t>
      </w:r>
      <w:r w:rsidRPr="00FA4F6C" w:rsidR="003B035F">
        <w:t> </w:t>
      </w:r>
      <w:r w:rsidRPr="00FA4F6C">
        <w:t>department”). The applicant complained of a violation of Article 6 § 1 of the Convention.</w:t>
      </w:r>
    </w:p>
    <w:bookmarkStart w:name="paragraph00002" w:id="0"/>
    <w:p w:rsidRPr="00FA4F6C" w:rsidR="00BB6A3C" w:rsidP="00FA4F6C" w14:paraId="7C126F71" w14:textId="37D6A26D">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2</w:t>
      </w:r>
      <w:r w:rsidRPr="00FA4F6C">
        <w:fldChar w:fldCharType="end"/>
      </w:r>
      <w:bookmarkEnd w:id="0"/>
      <w:r w:rsidRPr="00FA4F6C">
        <w:t>.  By a judgment of 1 March 2011, upheld on appeal and in cassation proceedings, the Circuit Administrative Court of Kyiv found the department liable for delays in processing the applicant</w:t>
      </w:r>
      <w:r w:rsidRPr="00FA4F6C" w:rsidR="00FA4F6C">
        <w:t>’</w:t>
      </w:r>
      <w:r w:rsidRPr="00FA4F6C">
        <w:t>s pension documents.</w:t>
      </w:r>
    </w:p>
    <w:p w:rsidRPr="00FA4F6C" w:rsidR="00BB6A3C" w:rsidP="00FA4F6C" w14:paraId="6A4A2A20" w14:textId="77777777">
      <w:pPr>
        <w:pStyle w:val="JuHIRoman"/>
      </w:pPr>
      <w:r w:rsidRPr="00FA4F6C">
        <w:t>Civil action against the department</w:t>
      </w:r>
    </w:p>
    <w:p w:rsidRPr="00FA4F6C" w:rsidR="00BB6A3C" w:rsidP="00FA4F6C" w14:paraId="3A3EF301" w14:textId="249798E5">
      <w:pPr>
        <w:pStyle w:val="JuPara"/>
      </w:pPr>
      <w:r>
        <w:fldChar w:fldCharType="begin"/>
      </w:r>
      <w:r>
        <w:instrText xml:space="preserve"> SEQ level0 \*arabic \* MERGEFORMAT </w:instrText>
      </w:r>
      <w:r>
        <w:fldChar w:fldCharType="separate"/>
      </w:r>
      <w:r w:rsidRPr="00FA4F6C" w:rsidR="00FA4F6C">
        <w:rPr>
          <w:noProof/>
        </w:rPr>
        <w:t>3</w:t>
      </w:r>
      <w:r w:rsidRPr="00FA4F6C" w:rsidR="00FA4F6C">
        <w:rPr>
          <w:noProof/>
        </w:rPr>
        <w:fldChar w:fldCharType="end"/>
      </w:r>
      <w:r w:rsidRPr="00FA4F6C">
        <w:t>.</w:t>
      </w:r>
      <w:r w:rsidRPr="00FA4F6C" w:rsidR="00FA4F6C">
        <w:t>  </w:t>
      </w:r>
      <w:r w:rsidRPr="00FA4F6C">
        <w:t>Relying on the judgment of 1 March 2011 and on Article 56 of the Constitution, in January 2013 the applicant brought a civil claim in respect of non-pecuniary damage against the department, initially seeking compensation in the amount of approximately 1,600 euros (EUR) and later increasing the amount of the claim to approximately EUR 4,800.</w:t>
      </w:r>
    </w:p>
    <w:p w:rsidRPr="00FA4F6C" w:rsidR="00BB6A3C" w:rsidP="00FA4F6C" w14:paraId="1BFD3DFD" w14:textId="75385AB3">
      <w:pPr>
        <w:pStyle w:val="JuPara"/>
      </w:pPr>
      <w:r>
        <w:fldChar w:fldCharType="begin"/>
      </w:r>
      <w:r>
        <w:instrText xml:space="preserve"> SEQ level0 \*arabic \* MERGEFORMAT </w:instrText>
      </w:r>
      <w:r>
        <w:fldChar w:fldCharType="separate"/>
      </w:r>
      <w:bookmarkStart w:name="paragraph00004" w:id="1"/>
      <w:r w:rsidRPr="00FA4F6C" w:rsidR="00FA4F6C">
        <w:rPr>
          <w:noProof/>
        </w:rPr>
        <w:t>4</w:t>
      </w:r>
      <w:bookmarkEnd w:id="1"/>
      <w:r>
        <w:fldChar w:fldCharType="end"/>
      </w:r>
      <w:r w:rsidRPr="00FA4F6C">
        <w:t>.</w:t>
      </w:r>
      <w:r w:rsidRPr="00FA4F6C" w:rsidR="00FA4F6C">
        <w:t>  </w:t>
      </w:r>
      <w:r w:rsidRPr="00FA4F6C">
        <w:t>By a decision of the Kyiv Court of Appeal of 23 April 2013, the</w:t>
      </w:r>
      <w:r w:rsidRPr="00FA4F6C" w:rsidR="003B035F">
        <w:t> </w:t>
      </w:r>
      <w:r w:rsidRPr="00FA4F6C">
        <w:t>applicant</w:t>
      </w:r>
      <w:r w:rsidRPr="00FA4F6C" w:rsidR="00FA4F6C">
        <w:t>’</w:t>
      </w:r>
      <w:r w:rsidRPr="00FA4F6C">
        <w:t xml:space="preserve">s claim was dismissed. Citing Article 1173 of the Civil Code </w:t>
      </w:r>
      <w:r w:rsidRPr="00FA4F6C">
        <w:t>and the Resolution of the Plenary Supreme Court of 31 March 1995 on judicial practice in cases of compensation for psychological (non-pecuniary) damage (see paragraph </w:t>
      </w:r>
      <w:r w:rsidRPr="00FA4F6C">
        <w:fldChar w:fldCharType="begin"/>
      </w:r>
      <w:r w:rsidRPr="00FA4F6C">
        <w:instrText xml:space="preserve"> REF paragraph00010 \h  \* CharFormat </w:instrText>
      </w:r>
      <w:r w:rsidRPr="00FA4F6C">
        <w:fldChar w:fldCharType="separate"/>
      </w:r>
      <w:r w:rsidRPr="00FA4F6C" w:rsidR="00FA4F6C">
        <w:t>10</w:t>
      </w:r>
      <w:r w:rsidRPr="00FA4F6C">
        <w:fldChar w:fldCharType="end"/>
      </w:r>
      <w:r w:rsidRPr="00FA4F6C">
        <w:t xml:space="preserve"> below), the appellate court noted that in such cases non-pecuniary damage had to be compensated by the State and not directly by the body that had caused the damage. Therefore, compensation claims under Article 1173 of the Civil Code had to be lodged against the State and the State Treasury had to be involved in the proceedings as a defendant, along with the relevant body.</w:t>
      </w:r>
    </w:p>
    <w:bookmarkStart w:name="paragraph00005" w:id="2"/>
    <w:p w:rsidRPr="00FA4F6C" w:rsidR="00BB6A3C" w:rsidP="00FA4F6C" w14:paraId="5D3FD778" w14:textId="652D97D5">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5</w:t>
      </w:r>
      <w:r w:rsidRPr="00FA4F6C">
        <w:fldChar w:fldCharType="end"/>
      </w:r>
      <w:bookmarkEnd w:id="2"/>
      <w:r w:rsidRPr="00FA4F6C">
        <w:t>.  The applicant did not lodge a cassation appeal.</w:t>
      </w:r>
    </w:p>
    <w:p w:rsidRPr="00FA4F6C" w:rsidR="00BB6A3C" w:rsidP="00FA4F6C" w14:paraId="7539F826" w14:textId="77777777">
      <w:pPr>
        <w:pStyle w:val="JuHIRoman"/>
      </w:pPr>
      <w:r w:rsidRPr="00FA4F6C">
        <w:t>Civil action against the State</w:t>
      </w:r>
    </w:p>
    <w:bookmarkStart w:name="paragraph00006" w:id="3"/>
    <w:p w:rsidRPr="00FA4F6C" w:rsidR="00BB6A3C" w:rsidP="00FA4F6C" w14:paraId="4BF1B6AD" w14:textId="07EF5F2B">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6</w:t>
      </w:r>
      <w:r w:rsidRPr="00FA4F6C">
        <w:fldChar w:fldCharType="end"/>
      </w:r>
      <w:bookmarkEnd w:id="3"/>
      <w:r w:rsidRPr="00FA4F6C">
        <w:t>.  In July 2013 the applicant lodged a similar civil claim against the State, indicating the State Treasury as the defendant. He increased the amount claimed to approximately EUR 10,000. In the proceedings, the department was involved as a third party.</w:t>
      </w:r>
    </w:p>
    <w:p w:rsidRPr="00FA4F6C" w:rsidR="00BB6A3C" w:rsidP="00FA4F6C" w14:paraId="12F9E1D8" w14:textId="3294C437">
      <w:pPr>
        <w:pStyle w:val="JuPara"/>
      </w:pPr>
      <w:r>
        <w:fldChar w:fldCharType="begin"/>
      </w:r>
      <w:r>
        <w:instrText xml:space="preserve"> SEQ level0 \*arabic \* MERGEFORMAT </w:instrText>
      </w:r>
      <w:r>
        <w:fldChar w:fldCharType="separate"/>
      </w:r>
      <w:bookmarkStart w:name="paragraph00007" w:id="4"/>
      <w:r w:rsidRPr="00FA4F6C" w:rsidR="00FA4F6C">
        <w:rPr>
          <w:noProof/>
        </w:rPr>
        <w:t>7</w:t>
      </w:r>
      <w:bookmarkEnd w:id="4"/>
      <w:r>
        <w:fldChar w:fldCharType="end"/>
      </w:r>
      <w:r w:rsidRPr="00FA4F6C">
        <w:t>.  The first-instance court ordered an expert examination to evaluate the psychological harm suffered by the applicant. The expert</w:t>
      </w:r>
      <w:r w:rsidRPr="00FA4F6C" w:rsidR="00FA4F6C">
        <w:t>’</w:t>
      </w:r>
      <w:r w:rsidRPr="00FA4F6C">
        <w:t>s conclusion of 6 August 2014 confirmed that the applicant had suffered psychological harm because of the department</w:t>
      </w:r>
      <w:r w:rsidRPr="00FA4F6C" w:rsidR="00FA4F6C">
        <w:t>’</w:t>
      </w:r>
      <w:r w:rsidRPr="00FA4F6C">
        <w:t xml:space="preserve">s unlawful inaction which had been established by the judgment of 1 March 2011 (see paragraph </w:t>
      </w:r>
      <w:r w:rsidRPr="00FA4F6C">
        <w:fldChar w:fldCharType="begin"/>
      </w:r>
      <w:r w:rsidRPr="00FA4F6C">
        <w:instrText xml:space="preserve"> REF paragraph00002 \h  \* CharFormat </w:instrText>
      </w:r>
      <w:r w:rsidRPr="00FA4F6C">
        <w:fldChar w:fldCharType="separate"/>
      </w:r>
      <w:r w:rsidRPr="00FA4F6C" w:rsidR="00FA4F6C">
        <w:t>2</w:t>
      </w:r>
      <w:r w:rsidRPr="00FA4F6C">
        <w:fldChar w:fldCharType="end"/>
      </w:r>
      <w:r w:rsidRPr="00FA4F6C">
        <w:t xml:space="preserve"> above).</w:t>
      </w:r>
    </w:p>
    <w:bookmarkStart w:name="paragraph00008" w:id="5"/>
    <w:p w:rsidRPr="00FA4F6C" w:rsidR="00BB6A3C" w:rsidP="00FA4F6C" w14:paraId="1759CA87" w14:textId="45DCF9D5">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8</w:t>
      </w:r>
      <w:r w:rsidRPr="00FA4F6C">
        <w:fldChar w:fldCharType="end"/>
      </w:r>
      <w:bookmarkEnd w:id="5"/>
      <w:r w:rsidRPr="00FA4F6C">
        <w:t xml:space="preserve">.  By a final decision of the Higher Specialised Civil and Criminal Court of 16 March 2016, the claim was dismissed, as the applicant had not proven that the State Treasury had caused any harm to him and he had lodged no claim against the Ministry of the Interior, whose subordinate body had been responsible for the damage alleged. Relying on point 10-1 of the Resolution of the Plenary Supreme Court of 31 March 1995 (see paragraph </w:t>
      </w:r>
      <w:r w:rsidRPr="00FA4F6C">
        <w:fldChar w:fldCharType="begin"/>
      </w:r>
      <w:r w:rsidRPr="00FA4F6C">
        <w:instrText xml:space="preserve">REF paragraph00010 \h \* CharFormat </w:instrText>
      </w:r>
      <w:r w:rsidRPr="00FA4F6C">
        <w:fldChar w:fldCharType="separate"/>
      </w:r>
      <w:r w:rsidRPr="00FA4F6C" w:rsidR="00FA4F6C">
        <w:t>10</w:t>
      </w:r>
      <w:r w:rsidRPr="00FA4F6C">
        <w:fldChar w:fldCharType="end"/>
      </w:r>
      <w:r w:rsidRPr="00FA4F6C">
        <w:t xml:space="preserve"> below), the Higher Specialised Civil and Criminal Court held that the body responsible for the damage alleged should have been involved in the proceedings as a defendant, along with the State Treasury.</w:t>
      </w:r>
    </w:p>
    <w:p w:rsidRPr="00FA4F6C" w:rsidR="00BB6A3C" w:rsidP="00FA4F6C" w14:paraId="6ABB5337" w14:textId="77777777">
      <w:pPr>
        <w:pStyle w:val="JuHHead"/>
      </w:pPr>
      <w:r w:rsidRPr="00FA4F6C">
        <w:t>Relevant legal framework</w:t>
      </w:r>
    </w:p>
    <w:bookmarkStart w:name="paragraph00009" w:id="6"/>
    <w:p w:rsidRPr="00FA4F6C" w:rsidR="00BB6A3C" w:rsidP="00FA4F6C" w14:paraId="2F744B55" w14:textId="4A63B21F">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9</w:t>
      </w:r>
      <w:r w:rsidRPr="00FA4F6C">
        <w:fldChar w:fldCharType="end"/>
      </w:r>
      <w:bookmarkEnd w:id="6"/>
      <w:r w:rsidRPr="00FA4F6C">
        <w:t xml:space="preserve">.  Article 56 of the Constitution guarantees to everyone the right to compensation for damage caused by unlawful decisions, actions or omissions of public authorities. Article 1173 of the Civil Code was quoted in </w:t>
      </w:r>
      <w:r w:rsidRPr="00FA4F6C">
        <w:rPr>
          <w:i/>
          <w:iCs/>
        </w:rPr>
        <w:t>Drozdyk and Mikula v. Ukraine</w:t>
      </w:r>
      <w:r w:rsidRPr="00FA4F6C">
        <w:t xml:space="preserve"> (nos. 27849/15 and 33358/15, § 20, 24 October 2024).</w:t>
      </w:r>
    </w:p>
    <w:bookmarkStart w:name="paragraph00010" w:id="7"/>
    <w:p w:rsidRPr="00FA4F6C" w:rsidR="00BB6A3C" w:rsidP="00FA4F6C" w14:paraId="1B7ADA5E" w14:textId="3933C50E">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10</w:t>
      </w:r>
      <w:r w:rsidRPr="00FA4F6C">
        <w:fldChar w:fldCharType="end"/>
      </w:r>
      <w:bookmarkEnd w:id="7"/>
      <w:r w:rsidRPr="00FA4F6C">
        <w:t>.  The relevant part of the Resolution of the Plenary Supreme Court of 31 March 1995 on judicial practice in cases of compensation for psychological (non-pecuniary) damage reads as follows:</w:t>
      </w:r>
    </w:p>
    <w:p w:rsidRPr="00FA4F6C" w:rsidR="00BB6A3C" w:rsidP="00FA4F6C" w14:paraId="5317FD7F" w14:textId="77777777">
      <w:pPr>
        <w:pStyle w:val="JuQuot"/>
      </w:pPr>
      <w:r w:rsidRPr="00FA4F6C">
        <w:t xml:space="preserve">“10-1. When examining cases concerning claims for compensation for non-pecuniary damage under Article 56 of the Constitution, courts shall keep in mind that if such damage was caused by unlawful decisions, actions or omissions of a State body, local authority [or] their officials or agents in the exercise of their powers, it should be </w:t>
      </w:r>
      <w:r w:rsidRPr="00FA4F6C">
        <w:t>compensated at the expense of the State or local authority. ... When considering cases concerning compensation for non-pecuniary damage caused to citizens by unlawful decisions, actions or omissions of a State body [or] its officials or agents, the relevant State body should be the defendant, if this is provided for in a specific law (for example, Article 9 of the Operational-Search Activities Act). If the specific law or other normative act does not call for [the relevant State body to be involved as defendant] or specifies that compensation is to be paid by the State, the court shall, alongside the relevant State body, involve the appropriate body of the State Treasury of Ukraine as defendant.”</w:t>
      </w:r>
    </w:p>
    <w:p w:rsidRPr="00FA4F6C" w:rsidR="00BB6A3C" w:rsidP="00FA4F6C" w14:paraId="5A64D790" w14:textId="5A79C332">
      <w:pPr>
        <w:pStyle w:val="JuHHead"/>
      </w:pPr>
      <w:r w:rsidRPr="00FA4F6C">
        <w:t>THE COURT</w:t>
      </w:r>
      <w:r w:rsidRPr="00FA4F6C" w:rsidR="00FA4F6C">
        <w:t>’</w:t>
      </w:r>
      <w:r w:rsidRPr="00FA4F6C">
        <w:t>S ASSESSMENT</w:t>
      </w:r>
    </w:p>
    <w:bookmarkStart w:name="paragraph00011" w:id="8"/>
    <w:p w:rsidRPr="00FA4F6C" w:rsidR="00BB6A3C" w:rsidP="00FA4F6C" w14:paraId="69AE94C3" w14:textId="165DDCEA">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11</w:t>
      </w:r>
      <w:r w:rsidRPr="00FA4F6C">
        <w:fldChar w:fldCharType="end"/>
      </w:r>
      <w:bookmarkEnd w:id="8"/>
      <w:r w:rsidRPr="00FA4F6C">
        <w:t>.  The applicant complained under Article 6 § 1 of the Convention that he had been denied a practical opportunity to claim compensation to which, as acknowledged by the domestic courts, he had been entitled.</w:t>
      </w:r>
    </w:p>
    <w:p w:rsidRPr="00FA4F6C" w:rsidR="00BB6A3C" w:rsidP="00FA4F6C" w14:paraId="698DFACB" w14:textId="77777777">
      <w:pPr>
        <w:pStyle w:val="JuHA"/>
      </w:pPr>
      <w:r w:rsidRPr="00FA4F6C">
        <w:t>Admissibility</w:t>
      </w:r>
    </w:p>
    <w:bookmarkStart w:name="paragraph00012" w:id="9"/>
    <w:p w:rsidRPr="00FA4F6C" w:rsidR="00BB6A3C" w:rsidP="00FA4F6C" w14:paraId="06DB248D" w14:textId="6495EE10">
      <w:pPr>
        <w:pStyle w:val="JuPara"/>
      </w:pPr>
      <w:r w:rsidRPr="00FA4F6C">
        <w:fldChar w:fldCharType="begin"/>
      </w:r>
      <w:r w:rsidRPr="00FA4F6C">
        <w:instrText xml:space="preserve"> SEQ level0 \*arabic \* MERGEFORMAT </w:instrText>
      </w:r>
      <w:r w:rsidRPr="00FA4F6C">
        <w:fldChar w:fldCharType="separate"/>
      </w:r>
      <w:r w:rsidRPr="00FA4F6C" w:rsidR="00FA4F6C">
        <w:rPr>
          <w:noProof/>
        </w:rPr>
        <w:t>12</w:t>
      </w:r>
      <w:r w:rsidRPr="00FA4F6C">
        <w:fldChar w:fldCharType="end"/>
      </w:r>
      <w:bookmarkEnd w:id="9"/>
      <w:r w:rsidRPr="00FA4F6C">
        <w:t xml:space="preserve">.  The Government argued that the applicant had failed to exhaust domestic remedies, as he had not lodged a cassation appeal in the proceedings against the department (see paragraph </w:t>
      </w:r>
      <w:r w:rsidRPr="00FA4F6C">
        <w:fldChar w:fldCharType="begin"/>
      </w:r>
      <w:r w:rsidRPr="00FA4F6C">
        <w:instrText xml:space="preserve">REF paragraph00005 \h \* CharFormat </w:instrText>
      </w:r>
      <w:r w:rsidRPr="00FA4F6C">
        <w:fldChar w:fldCharType="separate"/>
      </w:r>
      <w:r w:rsidRPr="00FA4F6C" w:rsidR="00FA4F6C">
        <w:t>5</w:t>
      </w:r>
      <w:r w:rsidRPr="00FA4F6C">
        <w:fldChar w:fldCharType="end"/>
      </w:r>
      <w:r w:rsidRPr="00FA4F6C">
        <w:t xml:space="preserve"> above). They noted that the court of cassation had had the power to quash the appellate decision of 23 April 2013 and to remit the case to the first-instance court for fresh consideration, proceedings in which the State Treasury could have been involved. The Government also argued that the applicant</w:t>
      </w:r>
      <w:r w:rsidRPr="00FA4F6C" w:rsidR="00FA4F6C">
        <w:t>’</w:t>
      </w:r>
      <w:r w:rsidRPr="00FA4F6C">
        <w:t>s complaint was manifestly ill-founded, as, in the second set of civil proceedings, he had indicated the State Treasury as the sole defendant, whereas he should have also directed his claims against the Ministry of the Interior, the inaction of whose subordinate body had caused the damage to the applicant.</w:t>
      </w:r>
    </w:p>
    <w:p w:rsidRPr="00FA4F6C" w:rsidR="00BB6A3C" w:rsidP="00FA4F6C" w14:paraId="2015F0CB" w14:textId="5E4EC00C">
      <w:pPr>
        <w:pStyle w:val="JuPara"/>
      </w:pPr>
      <w:r>
        <w:fldChar w:fldCharType="begin"/>
      </w:r>
      <w:r>
        <w:instrText xml:space="preserve"> SEQ level0 \*arabic \* MERGEFORMAT </w:instrText>
      </w:r>
      <w:r>
        <w:fldChar w:fldCharType="separate"/>
      </w:r>
      <w:r w:rsidRPr="00FA4F6C" w:rsidR="00FA4F6C">
        <w:rPr>
          <w:noProof/>
        </w:rPr>
        <w:t>13</w:t>
      </w:r>
      <w:r w:rsidRPr="00FA4F6C" w:rsidR="00FA4F6C">
        <w:rPr>
          <w:noProof/>
        </w:rPr>
        <w:fldChar w:fldCharType="end"/>
      </w:r>
      <w:r w:rsidRPr="00FA4F6C">
        <w:t>.  The Court considers that the Government</w:t>
      </w:r>
      <w:r w:rsidRPr="00FA4F6C" w:rsidR="00FA4F6C">
        <w:t>’</w:t>
      </w:r>
      <w:r w:rsidRPr="00FA4F6C">
        <w:t>s objection concerning the non-exhaustion of domestic remedies is closely linked to the substance of the applicant</w:t>
      </w:r>
      <w:r w:rsidRPr="00FA4F6C" w:rsidR="00FA4F6C">
        <w:t>’</w:t>
      </w:r>
      <w:r w:rsidRPr="00FA4F6C">
        <w:t>s complaint under Article 6 § 1 and must therefore be joined to the merits.</w:t>
      </w:r>
    </w:p>
    <w:p w:rsidRPr="00FA4F6C" w:rsidR="00BB6A3C" w:rsidP="00FA4F6C" w14:paraId="04C35EBC" w14:textId="795AA095">
      <w:pPr>
        <w:pStyle w:val="JuPara"/>
      </w:pPr>
      <w:r>
        <w:fldChar w:fldCharType="begin"/>
      </w:r>
      <w:r>
        <w:instrText xml:space="preserve"> SEQ level0 \*arabic \* MERGEFORMAT </w:instrText>
      </w:r>
      <w:r>
        <w:fldChar w:fldCharType="separate"/>
      </w:r>
      <w:r w:rsidRPr="00FA4F6C" w:rsidR="00FA4F6C">
        <w:rPr>
          <w:noProof/>
        </w:rPr>
        <w:t>14</w:t>
      </w:r>
      <w:r w:rsidRPr="00FA4F6C" w:rsidR="00FA4F6C">
        <w:rPr>
          <w:noProof/>
        </w:rPr>
        <w:fldChar w:fldCharType="end"/>
      </w:r>
      <w:r w:rsidRPr="00FA4F6C">
        <w:t>.  The Court finds that the application is neither manifestly ill</w:t>
      </w:r>
      <w:r w:rsidRPr="00FA4F6C">
        <w:noBreakHyphen/>
        <w:t>founded within the meaning of Article 35 §§ 3 (a) of the Convention nor inadmissible on any other grounds. It must therefore be declared admissible.</w:t>
      </w:r>
    </w:p>
    <w:p w:rsidRPr="00FA4F6C" w:rsidR="00BB6A3C" w:rsidP="00FA4F6C" w14:paraId="5616149B" w14:textId="77777777">
      <w:pPr>
        <w:pStyle w:val="JuHA"/>
      </w:pPr>
      <w:r w:rsidRPr="00FA4F6C">
        <w:t>Merits</w:t>
      </w:r>
    </w:p>
    <w:p w:rsidRPr="00FA4F6C" w:rsidR="00BB6A3C" w:rsidP="00FA4F6C" w14:paraId="282174FF" w14:textId="0D5D1028">
      <w:pPr>
        <w:pStyle w:val="JuPara"/>
      </w:pPr>
      <w:r>
        <w:fldChar w:fldCharType="begin"/>
      </w:r>
      <w:r>
        <w:instrText xml:space="preserve"> SEQ level0 \*arabic \* MERGEFORMAT </w:instrText>
      </w:r>
      <w:r>
        <w:fldChar w:fldCharType="separate"/>
      </w:r>
      <w:r w:rsidRPr="00FA4F6C" w:rsidR="00FA4F6C">
        <w:rPr>
          <w:noProof/>
        </w:rPr>
        <w:t>15</w:t>
      </w:r>
      <w:r w:rsidRPr="00FA4F6C" w:rsidR="00FA4F6C">
        <w:rPr>
          <w:noProof/>
        </w:rPr>
        <w:fldChar w:fldCharType="end"/>
      </w:r>
      <w:r w:rsidRPr="00FA4F6C">
        <w:t>.  The Court notes that the applicant</w:t>
      </w:r>
      <w:r w:rsidRPr="00FA4F6C" w:rsidR="00FA4F6C">
        <w:t>’</w:t>
      </w:r>
      <w:r w:rsidRPr="00FA4F6C">
        <w:t xml:space="preserve">s compensation claims in both sets of proceedings were dismissed essentially for his failure to identify the proper defendant. Thus, it must be examined whether the applicant was denied access to a court contrary to Article 6 § 1 of the Convention (see </w:t>
      </w:r>
      <w:r w:rsidRPr="00FA4F6C">
        <w:rPr>
          <w:i/>
          <w:iCs/>
        </w:rPr>
        <w:t>Kostadin Mihaylov v. Bulgaria</w:t>
      </w:r>
      <w:r w:rsidRPr="00FA4F6C">
        <w:t xml:space="preserve">, no. 17868/07, §§ 37-43, 27 March 2008, and </w:t>
      </w:r>
      <w:r w:rsidRPr="00FA4F6C">
        <w:rPr>
          <w:i/>
          <w:iCs/>
        </w:rPr>
        <w:t>Spasovski v. the former Yugoslav Republic of Macedonia</w:t>
      </w:r>
      <w:r w:rsidRPr="00FA4F6C">
        <w:t>, no. 45150/05, §§ 29-33, 10 June 2010).</w:t>
      </w:r>
    </w:p>
    <w:p w:rsidRPr="00FA4F6C" w:rsidR="00BB6A3C" w:rsidP="00FA4F6C" w14:paraId="269229B0" w14:textId="675525FD">
      <w:pPr>
        <w:pStyle w:val="JuPara"/>
      </w:pPr>
      <w:r>
        <w:fldChar w:fldCharType="begin"/>
      </w:r>
      <w:r>
        <w:instrText xml:space="preserve"> SEQ level0 \*arabic \* MERGEFORMAT </w:instrText>
      </w:r>
      <w:r>
        <w:fldChar w:fldCharType="separate"/>
      </w:r>
      <w:r w:rsidRPr="00FA4F6C" w:rsidR="00FA4F6C">
        <w:rPr>
          <w:noProof/>
        </w:rPr>
        <w:t>16</w:t>
      </w:r>
      <w:r w:rsidRPr="00FA4F6C" w:rsidR="00FA4F6C">
        <w:rPr>
          <w:noProof/>
        </w:rPr>
        <w:fldChar w:fldCharType="end"/>
      </w:r>
      <w:r w:rsidRPr="00FA4F6C">
        <w:t xml:space="preserve">.  The relevant general principles have been summarised in </w:t>
      </w:r>
      <w:r w:rsidRPr="00FA4F6C">
        <w:rPr>
          <w:i/>
          <w:iCs/>
        </w:rPr>
        <w:t>Kostadin Mihaylov</w:t>
      </w:r>
      <w:r w:rsidRPr="00FA4F6C">
        <w:t xml:space="preserve"> (cited above, §§ 35-42</w:t>
      </w:r>
      <w:bookmarkStart w:name="_cl26345" w:id="10"/>
      <w:r w:rsidRPr="00FA4F6C">
        <w:t xml:space="preserve">) and </w:t>
      </w:r>
      <w:r w:rsidRPr="00FA4F6C">
        <w:rPr>
          <w:i/>
          <w:iCs/>
        </w:rPr>
        <w:t>Georgel and Georgeta Stoicescu v. Romania</w:t>
      </w:r>
      <w:r w:rsidRPr="00FA4F6C">
        <w:t xml:space="preserve"> (no. 9718/03, §§ 68-76, 26 July 2011</w:t>
      </w:r>
      <w:bookmarkEnd w:id="10"/>
      <w:r w:rsidRPr="00FA4F6C">
        <w:t>).</w:t>
      </w:r>
    </w:p>
    <w:p w:rsidRPr="00FA4F6C" w:rsidR="00BB6A3C" w:rsidP="00FA4F6C" w14:paraId="5056109D" w14:textId="5C16A206">
      <w:pPr>
        <w:pStyle w:val="JuPara"/>
      </w:pPr>
      <w:r>
        <w:fldChar w:fldCharType="begin"/>
      </w:r>
      <w:r>
        <w:instrText xml:space="preserve"> SEQ level0 \*arabic \* MERGEFORMAT </w:instrText>
      </w:r>
      <w:r>
        <w:fldChar w:fldCharType="separate"/>
      </w:r>
      <w:r w:rsidRPr="00FA4F6C" w:rsidR="00FA4F6C">
        <w:rPr>
          <w:noProof/>
        </w:rPr>
        <w:t>17</w:t>
      </w:r>
      <w:r w:rsidRPr="00FA4F6C" w:rsidR="00FA4F6C">
        <w:rPr>
          <w:noProof/>
        </w:rPr>
        <w:fldChar w:fldCharType="end"/>
      </w:r>
      <w:r w:rsidRPr="00FA4F6C">
        <w:t>.  When a public entity is liable for damages, the State</w:t>
      </w:r>
      <w:r w:rsidRPr="00FA4F6C" w:rsidR="00FA4F6C">
        <w:t>’</w:t>
      </w:r>
      <w:r w:rsidRPr="00FA4F6C">
        <w:t xml:space="preserve">s positive obligation to facilitate identification of the correct defendant is all the more important (see </w:t>
      </w:r>
      <w:r w:rsidRPr="00FA4F6C">
        <w:rPr>
          <w:i/>
          <w:iCs/>
        </w:rPr>
        <w:t>Dzirnis v. Latvia</w:t>
      </w:r>
      <w:r w:rsidRPr="00FA4F6C">
        <w:t>, no. 25082/05, § 93, 26 January 2017).</w:t>
      </w:r>
    </w:p>
    <w:p w:rsidRPr="00FA4F6C" w:rsidR="00BB6A3C" w:rsidP="00FA4F6C" w14:paraId="10C84269" w14:textId="4FF4DF8A">
      <w:pPr>
        <w:pStyle w:val="JuPara"/>
      </w:pPr>
      <w:r>
        <w:fldChar w:fldCharType="begin"/>
      </w:r>
      <w:r>
        <w:instrText xml:space="preserve"> SEQ level0 \*arabic \* MERGEFORMAT </w:instrText>
      </w:r>
      <w:r>
        <w:fldChar w:fldCharType="separate"/>
      </w:r>
      <w:r w:rsidRPr="00FA4F6C" w:rsidR="00FA4F6C">
        <w:rPr>
          <w:noProof/>
        </w:rPr>
        <w:t>18</w:t>
      </w:r>
      <w:r w:rsidRPr="00FA4F6C" w:rsidR="00FA4F6C">
        <w:rPr>
          <w:noProof/>
        </w:rPr>
        <w:fldChar w:fldCharType="end"/>
      </w:r>
      <w:r w:rsidRPr="00FA4F6C">
        <w:t>.  In the present case, the applicant obtained a judgment acknowledging the department</w:t>
      </w:r>
      <w:r w:rsidRPr="00FA4F6C" w:rsidR="00FA4F6C">
        <w:t>’</w:t>
      </w:r>
      <w:r w:rsidRPr="00FA4F6C">
        <w:t xml:space="preserve">s liability in the delayed processing of his pension documents and an expert report confirming that he had sustained non-pecuniary damage as a result of that delay (see paragraphs </w:t>
      </w:r>
      <w:r w:rsidRPr="00FA4F6C">
        <w:fldChar w:fldCharType="begin"/>
      </w:r>
      <w:r w:rsidRPr="00FA4F6C">
        <w:instrText xml:space="preserve"> REF paragraph00002 \h  \* CharFormat </w:instrText>
      </w:r>
      <w:r w:rsidRPr="00FA4F6C">
        <w:fldChar w:fldCharType="separate"/>
      </w:r>
      <w:r w:rsidRPr="00FA4F6C" w:rsidR="00FA4F6C">
        <w:t>2</w:t>
      </w:r>
      <w:r w:rsidRPr="00FA4F6C">
        <w:fldChar w:fldCharType="end"/>
      </w:r>
      <w:r w:rsidRPr="00FA4F6C">
        <w:t xml:space="preserve"> and </w:t>
      </w:r>
      <w:r w:rsidRPr="00FA4F6C">
        <w:fldChar w:fldCharType="begin"/>
      </w:r>
      <w:r w:rsidRPr="00FA4F6C">
        <w:instrText xml:space="preserve"> REF paragraph00007 \h  \* CharFormat </w:instrText>
      </w:r>
      <w:r w:rsidRPr="00FA4F6C">
        <w:fldChar w:fldCharType="separate"/>
      </w:r>
      <w:r w:rsidRPr="00FA4F6C" w:rsidR="00FA4F6C">
        <w:t>7</w:t>
      </w:r>
      <w:r w:rsidRPr="00FA4F6C">
        <w:fldChar w:fldCharType="end"/>
      </w:r>
      <w:r w:rsidRPr="00FA4F6C">
        <w:t xml:space="preserve"> above). Following the appellate court</w:t>
      </w:r>
      <w:r w:rsidRPr="00FA4F6C" w:rsidR="00FA4F6C">
        <w:t>’</w:t>
      </w:r>
      <w:r w:rsidRPr="00FA4F6C">
        <w:t xml:space="preserve">s instructions in the first set of proceedings (see paragraph </w:t>
      </w:r>
      <w:r w:rsidRPr="00FA4F6C">
        <w:fldChar w:fldCharType="begin"/>
      </w:r>
      <w:r w:rsidRPr="00FA4F6C">
        <w:instrText xml:space="preserve"> REF paragraph00004 \h  \* CharFormat </w:instrText>
      </w:r>
      <w:r w:rsidRPr="00FA4F6C">
        <w:fldChar w:fldCharType="separate"/>
      </w:r>
      <w:r w:rsidRPr="00FA4F6C" w:rsidR="00FA4F6C">
        <w:t>4</w:t>
      </w:r>
      <w:r w:rsidRPr="00FA4F6C">
        <w:fldChar w:fldCharType="end"/>
      </w:r>
      <w:r w:rsidRPr="00FA4F6C">
        <w:t xml:space="preserve"> above), he instituted proceedings against the State (the second set), designating the State Treasury as the defendant.</w:t>
      </w:r>
    </w:p>
    <w:p w:rsidRPr="00FA4F6C" w:rsidR="00BB6A3C" w:rsidP="00FA4F6C" w14:paraId="6DA874C8" w14:textId="1A2A8225">
      <w:pPr>
        <w:pStyle w:val="JuPara"/>
      </w:pPr>
      <w:r>
        <w:fldChar w:fldCharType="begin"/>
      </w:r>
      <w:r>
        <w:instrText xml:space="preserve"> SEQ level0 \*arabic \* MERGEFORMAT </w:instrText>
      </w:r>
      <w:r>
        <w:fldChar w:fldCharType="separate"/>
      </w:r>
      <w:r w:rsidRPr="00FA4F6C" w:rsidR="00FA4F6C">
        <w:rPr>
          <w:noProof/>
        </w:rPr>
        <w:t>19</w:t>
      </w:r>
      <w:r w:rsidRPr="00FA4F6C" w:rsidR="00FA4F6C">
        <w:rPr>
          <w:noProof/>
        </w:rPr>
        <w:fldChar w:fldCharType="end"/>
      </w:r>
      <w:r w:rsidRPr="00FA4F6C">
        <w:t xml:space="preserve">.  It is true that the applicant did not additionally direct his second claim against the department, as required under domestic law and in accordance with the Higher Specialised Civil and Criminal Court. However, the department, whose fault had been established by the final judgment of 1 March 2011 (see paragraph </w:t>
      </w:r>
      <w:r w:rsidRPr="00FA4F6C">
        <w:fldChar w:fldCharType="begin"/>
      </w:r>
      <w:r w:rsidRPr="00FA4F6C">
        <w:instrText xml:space="preserve"> REF paragraph00002 \h  \* CharFormat </w:instrText>
      </w:r>
      <w:r w:rsidRPr="00FA4F6C">
        <w:fldChar w:fldCharType="separate"/>
      </w:r>
      <w:r w:rsidRPr="00FA4F6C" w:rsidR="00FA4F6C">
        <w:t>2</w:t>
      </w:r>
      <w:r w:rsidRPr="00FA4F6C">
        <w:fldChar w:fldCharType="end"/>
      </w:r>
      <w:r w:rsidRPr="00FA4F6C">
        <w:t xml:space="preserve"> above) was involved in the second set of compensation proceedings as a third party and was able to make submissions on all aspects of the case, including the issue of the damage alleged by the applicant.</w:t>
      </w:r>
    </w:p>
    <w:p w:rsidRPr="00FA4F6C" w:rsidR="00BB6A3C" w:rsidP="00FA4F6C" w14:paraId="72951729" w14:textId="6ED17F30">
      <w:pPr>
        <w:pStyle w:val="JuPara"/>
      </w:pPr>
      <w:r>
        <w:fldChar w:fldCharType="begin"/>
      </w:r>
      <w:r>
        <w:instrText xml:space="preserve"> SEQ level0 \*arabic \* MERGEFORMAT </w:instrText>
      </w:r>
      <w:r>
        <w:fldChar w:fldCharType="separate"/>
      </w:r>
      <w:r w:rsidRPr="00FA4F6C" w:rsidR="00FA4F6C">
        <w:rPr>
          <w:noProof/>
        </w:rPr>
        <w:t>20</w:t>
      </w:r>
      <w:r w:rsidRPr="00FA4F6C" w:rsidR="00FA4F6C">
        <w:rPr>
          <w:noProof/>
        </w:rPr>
        <w:fldChar w:fldCharType="end"/>
      </w:r>
      <w:r w:rsidRPr="00FA4F6C">
        <w:t>.  Moreover, given the instructions contained in the appellate court</w:t>
      </w:r>
      <w:r w:rsidRPr="00FA4F6C" w:rsidR="00FA4F6C">
        <w:t>’</w:t>
      </w:r>
      <w:r w:rsidRPr="00FA4F6C">
        <w:t>s decision of 23 April 2013 and the wording of point 10-1 of the Plenary Supreme Court</w:t>
      </w:r>
      <w:r w:rsidRPr="00FA4F6C" w:rsidR="00FA4F6C">
        <w:t>’</w:t>
      </w:r>
      <w:r w:rsidRPr="00FA4F6C">
        <w:t xml:space="preserve">s Resolution of 31 March 1995 (see paragraphs </w:t>
      </w:r>
      <w:r w:rsidRPr="00FA4F6C">
        <w:fldChar w:fldCharType="begin"/>
      </w:r>
      <w:r w:rsidRPr="00FA4F6C">
        <w:instrText xml:space="preserve"> REF paragraph00004 \h  \* CharFormat </w:instrText>
      </w:r>
      <w:r w:rsidRPr="00FA4F6C">
        <w:fldChar w:fldCharType="separate"/>
      </w:r>
      <w:r w:rsidRPr="00FA4F6C" w:rsidR="00FA4F6C">
        <w:t>4</w:t>
      </w:r>
      <w:r w:rsidRPr="00FA4F6C">
        <w:fldChar w:fldCharType="end"/>
      </w:r>
      <w:r w:rsidRPr="00FA4F6C">
        <w:t xml:space="preserve"> and </w:t>
      </w:r>
      <w:r w:rsidRPr="00FA4F6C">
        <w:fldChar w:fldCharType="begin"/>
      </w:r>
      <w:r w:rsidRPr="00FA4F6C">
        <w:instrText xml:space="preserve"> REF paragraph00010 \h  \* CharFormat </w:instrText>
      </w:r>
      <w:r w:rsidRPr="00FA4F6C">
        <w:fldChar w:fldCharType="separate"/>
      </w:r>
      <w:r w:rsidRPr="00FA4F6C" w:rsidR="00FA4F6C">
        <w:t>10</w:t>
      </w:r>
      <w:r w:rsidRPr="00FA4F6C">
        <w:fldChar w:fldCharType="end"/>
      </w:r>
      <w:r w:rsidRPr="00FA4F6C">
        <w:t xml:space="preserve"> above), it might not have been entirely clear to the applicant that he was required to specifically indicate the department as a co-defendant in his second compensation claim. In this regard, the Court notes that it has previously found that Article 1173 of the Civil Code is couched in very general terms, leaving its practical application dependent on further clarification of the conditions to be met and the procedure to be followed in order to quantify and obtain such compensation (see, for instance, </w:t>
      </w:r>
      <w:r w:rsidRPr="00FA4F6C">
        <w:rPr>
          <w:i/>
          <w:iCs/>
        </w:rPr>
        <w:t>Drozdyk and Mikula</w:t>
      </w:r>
      <w:r w:rsidRPr="00FA4F6C">
        <w:t>, cited above, § 32, with further references).</w:t>
      </w:r>
    </w:p>
    <w:p w:rsidRPr="00FA4F6C" w:rsidR="00BB6A3C" w:rsidP="00FA4F6C" w14:paraId="5CA67F7F" w14:textId="5E76EF88">
      <w:pPr>
        <w:pStyle w:val="JuPara"/>
      </w:pPr>
      <w:r>
        <w:fldChar w:fldCharType="begin"/>
      </w:r>
      <w:r>
        <w:instrText xml:space="preserve"> SEQ level0 \*arabic \* MERGEFORMAT </w:instrText>
      </w:r>
      <w:r>
        <w:fldChar w:fldCharType="separate"/>
      </w:r>
      <w:r w:rsidRPr="00FA4F6C" w:rsidR="00FA4F6C">
        <w:rPr>
          <w:noProof/>
        </w:rPr>
        <w:t>21</w:t>
      </w:r>
      <w:r w:rsidRPr="00FA4F6C" w:rsidR="00FA4F6C">
        <w:rPr>
          <w:noProof/>
        </w:rPr>
        <w:fldChar w:fldCharType="end"/>
      </w:r>
      <w:r w:rsidRPr="00FA4F6C">
        <w:t>.  The foregoing considerations lead the Court to conclude</w:t>
      </w:r>
      <w:r w:rsidRPr="00FA4F6C">
        <w:t xml:space="preserve"> </w:t>
      </w:r>
      <w:r w:rsidRPr="00FA4F6C">
        <w:t>that the judicial decisions dismissing the applicant</w:t>
      </w:r>
      <w:r w:rsidRPr="00FA4F6C" w:rsidR="00FA4F6C">
        <w:t>’</w:t>
      </w:r>
      <w:r w:rsidRPr="00FA4F6C">
        <w:t>s action in the second set of proceedings were excessively formalistic and, in effect, denied him practical and effective access to a court under Article 6 § 1 of the Convention (see </w:t>
      </w:r>
      <w:r w:rsidRPr="00FA4F6C">
        <w:rPr>
          <w:i/>
          <w:iCs/>
        </w:rPr>
        <w:t>Zubac v. Croatia</w:t>
      </w:r>
      <w:r w:rsidRPr="00FA4F6C">
        <w:t xml:space="preserve"> [GC], no. 40160/12, §§ 96-99, 5 April 2018, with further references).</w:t>
      </w:r>
    </w:p>
    <w:p w:rsidRPr="00FA4F6C" w:rsidR="00BB6A3C" w:rsidP="00FA4F6C" w14:paraId="7A7611DC" w14:textId="31A242D5">
      <w:pPr>
        <w:pStyle w:val="JuPara"/>
      </w:pPr>
      <w:r>
        <w:fldChar w:fldCharType="begin"/>
      </w:r>
      <w:r>
        <w:instrText xml:space="preserve"> SEQ level0 \*arabic \* MERGEFORMAT </w:instrText>
      </w:r>
      <w:r>
        <w:fldChar w:fldCharType="separate"/>
      </w:r>
      <w:r w:rsidRPr="00FA4F6C" w:rsidR="00FA4F6C">
        <w:rPr>
          <w:noProof/>
        </w:rPr>
        <w:t>22</w:t>
      </w:r>
      <w:r w:rsidRPr="00FA4F6C" w:rsidR="00FA4F6C">
        <w:rPr>
          <w:noProof/>
        </w:rPr>
        <w:fldChar w:fldCharType="end"/>
      </w:r>
      <w:r w:rsidRPr="00FA4F6C">
        <w:t>.  In these circumstances, the applicant cannot be reproached for not lodging a cassation appeal in the first set of proceedings. Therefore, the Government</w:t>
      </w:r>
      <w:r w:rsidRPr="00FA4F6C" w:rsidR="00FA4F6C">
        <w:t>’</w:t>
      </w:r>
      <w:r w:rsidRPr="00FA4F6C">
        <w:t>s objection in respect of this issue, previously joined to the merits, must be dismissed.</w:t>
      </w:r>
    </w:p>
    <w:p w:rsidRPr="00FA4F6C" w:rsidR="00BB6A3C" w:rsidP="00FA4F6C" w14:paraId="1E982640" w14:textId="6B7F7783">
      <w:pPr>
        <w:pStyle w:val="JuPara"/>
      </w:pPr>
      <w:r>
        <w:fldChar w:fldCharType="begin"/>
      </w:r>
      <w:r>
        <w:instrText xml:space="preserve"> SEQ level0 \*arabic \* MERGEFORMAT </w:instrText>
      </w:r>
      <w:r>
        <w:fldChar w:fldCharType="separate"/>
      </w:r>
      <w:r w:rsidRPr="00FA4F6C" w:rsidR="00FA4F6C">
        <w:rPr>
          <w:noProof/>
        </w:rPr>
        <w:t>23</w:t>
      </w:r>
      <w:r w:rsidRPr="00FA4F6C" w:rsidR="00FA4F6C">
        <w:rPr>
          <w:noProof/>
        </w:rPr>
        <w:fldChar w:fldCharType="end"/>
      </w:r>
      <w:r w:rsidRPr="00FA4F6C">
        <w:t>.  There has accordingly been a violation of Article 6 § 1 of the Convention.</w:t>
      </w:r>
    </w:p>
    <w:p w:rsidRPr="00FA4F6C" w:rsidR="00BB6A3C" w:rsidP="00FA4F6C" w14:paraId="4E002C82" w14:textId="77777777">
      <w:pPr>
        <w:pStyle w:val="JuHHead"/>
      </w:pPr>
      <w:r w:rsidRPr="00FA4F6C">
        <w:rPr>
          <w:caps w:val="0"/>
        </w:rPr>
        <w:t>APPLICATION OF ARTICLE 41 OF THE CONVENTION</w:t>
      </w:r>
    </w:p>
    <w:p w:rsidRPr="00FA4F6C" w:rsidR="00BB6A3C" w:rsidP="00FA4F6C" w14:paraId="77B84719" w14:textId="274D6994">
      <w:pPr>
        <w:pStyle w:val="JuPara"/>
      </w:pPr>
      <w:r>
        <w:fldChar w:fldCharType="begin"/>
      </w:r>
      <w:r>
        <w:instrText xml:space="preserve"> SEQ level0 \*arabic \* MERGEFORMAT </w:instrText>
      </w:r>
      <w:r>
        <w:fldChar w:fldCharType="separate"/>
      </w:r>
      <w:r w:rsidRPr="00FA4F6C" w:rsidR="00FA4F6C">
        <w:rPr>
          <w:noProof/>
        </w:rPr>
        <w:t>24</w:t>
      </w:r>
      <w:r w:rsidRPr="00FA4F6C" w:rsidR="00FA4F6C">
        <w:rPr>
          <w:noProof/>
        </w:rPr>
        <w:fldChar w:fldCharType="end"/>
      </w:r>
      <w:r w:rsidRPr="00FA4F6C">
        <w:t>.  The applicant claimed 3,000 euros (EUR) in respect of non-pecuniary damage.</w:t>
      </w:r>
    </w:p>
    <w:p w:rsidRPr="00FA4F6C" w:rsidR="00BB6A3C" w:rsidP="00FA4F6C" w14:paraId="738C7C0C" w14:textId="4472DD86">
      <w:pPr>
        <w:pStyle w:val="JuPara"/>
      </w:pPr>
      <w:r>
        <w:fldChar w:fldCharType="begin"/>
      </w:r>
      <w:r>
        <w:instrText xml:space="preserve"> SEQ level0 \*arabic \* MERGEFORMAT </w:instrText>
      </w:r>
      <w:r>
        <w:fldChar w:fldCharType="separate"/>
      </w:r>
      <w:r w:rsidRPr="00FA4F6C" w:rsidR="00FA4F6C">
        <w:rPr>
          <w:noProof/>
        </w:rPr>
        <w:t>25</w:t>
      </w:r>
      <w:r w:rsidRPr="00FA4F6C" w:rsidR="00FA4F6C">
        <w:rPr>
          <w:noProof/>
        </w:rPr>
        <w:fldChar w:fldCharType="end"/>
      </w:r>
      <w:r w:rsidRPr="00FA4F6C">
        <w:t>.  The Government contested that claim.</w:t>
      </w:r>
    </w:p>
    <w:p w:rsidRPr="00FA4F6C" w:rsidR="00BB6A3C" w:rsidP="00FA4F6C" w14:paraId="6F7FBCD6" w14:textId="67D9F05F">
      <w:pPr>
        <w:pStyle w:val="JuPara"/>
      </w:pPr>
      <w:r>
        <w:fldChar w:fldCharType="begin"/>
      </w:r>
      <w:r>
        <w:instrText xml:space="preserve"> SEQ level0 \*arabic \* MERGEFORMAT </w:instrText>
      </w:r>
      <w:r>
        <w:fldChar w:fldCharType="separate"/>
      </w:r>
      <w:r w:rsidRPr="00FA4F6C" w:rsidR="00FA4F6C">
        <w:rPr>
          <w:noProof/>
        </w:rPr>
        <w:t>26</w:t>
      </w:r>
      <w:r w:rsidRPr="00FA4F6C" w:rsidR="00FA4F6C">
        <w:rPr>
          <w:noProof/>
        </w:rPr>
        <w:fldChar w:fldCharType="end"/>
      </w:r>
      <w:r w:rsidRPr="00FA4F6C">
        <w:t>.  Judging on an equitable basis, the Court awards the applicant EUR 1,500, plus any tax that may be chargeable, in respect of non-pecuniary damage.</w:t>
      </w:r>
    </w:p>
    <w:p w:rsidRPr="00FA4F6C" w:rsidR="00BB6A3C" w:rsidP="00FA4F6C" w14:paraId="127C4DEA" w14:textId="77777777">
      <w:pPr>
        <w:pStyle w:val="JuPara"/>
      </w:pPr>
      <w:r w:rsidRPr="00FA4F6C">
        <w:t>The Court considers it appropriate that the default interest rate should be based on the marginal lending rate of the European Central Bank, to which should be added three percentage points.</w:t>
      </w:r>
    </w:p>
    <w:p w:rsidRPr="00FA4F6C" w:rsidR="00BB6A3C" w:rsidP="00FA4F6C" w14:paraId="45C5BA56" w14:textId="3666D23C">
      <w:pPr>
        <w:pStyle w:val="JuHHead"/>
      </w:pPr>
      <w:r w:rsidRPr="00FA4F6C">
        <w:t>FOR THESE REASONS, THE COURT, UNANIMOUSLY,</w:t>
      </w:r>
    </w:p>
    <w:p w:rsidRPr="00FA4F6C" w:rsidR="00BB6A3C" w:rsidP="00FA4F6C" w14:paraId="4D8A5526" w14:textId="20605CE6">
      <w:pPr>
        <w:pStyle w:val="JuList"/>
        <w:rPr>
          <w:iCs/>
        </w:rPr>
      </w:pPr>
      <w:r w:rsidRPr="00FA4F6C">
        <w:rPr>
          <w:i/>
        </w:rPr>
        <w:t>Joins</w:t>
      </w:r>
      <w:r w:rsidRPr="00FA4F6C">
        <w:rPr>
          <w:iCs/>
        </w:rPr>
        <w:t xml:space="preserve"> to the merits</w:t>
      </w:r>
      <w:r w:rsidRPr="00FA4F6C" w:rsidR="00C15B27">
        <w:rPr>
          <w:iCs/>
        </w:rPr>
        <w:t xml:space="preserve"> </w:t>
      </w:r>
      <w:r w:rsidRPr="00FA4F6C">
        <w:rPr>
          <w:iCs/>
        </w:rPr>
        <w:t>the Government</w:t>
      </w:r>
      <w:r w:rsidRPr="00FA4F6C" w:rsidR="00FA4F6C">
        <w:rPr>
          <w:iCs/>
        </w:rPr>
        <w:t>’</w:t>
      </w:r>
      <w:r w:rsidRPr="00FA4F6C">
        <w:rPr>
          <w:iCs/>
        </w:rPr>
        <w:t>s objection concerning the non-exhaustion of domestic remedies</w:t>
      </w:r>
      <w:r w:rsidRPr="00FA4F6C" w:rsidR="00C15B27">
        <w:rPr>
          <w:iCs/>
        </w:rPr>
        <w:t xml:space="preserve"> and </w:t>
      </w:r>
      <w:r w:rsidRPr="00FA4F6C" w:rsidR="00C15B27">
        <w:rPr>
          <w:i/>
        </w:rPr>
        <w:t>dismisses</w:t>
      </w:r>
      <w:r w:rsidRPr="00FA4F6C" w:rsidR="00C15B27">
        <w:rPr>
          <w:iCs/>
        </w:rPr>
        <w:t xml:space="preserve"> it</w:t>
      </w:r>
      <w:r w:rsidRPr="00FA4F6C">
        <w:rPr>
          <w:iCs/>
        </w:rPr>
        <w:t>;</w:t>
      </w:r>
    </w:p>
    <w:p w:rsidRPr="00FA4F6C" w:rsidR="00BB6A3C" w:rsidP="00FA4F6C" w14:paraId="4EF17FD3" w14:textId="77777777">
      <w:pPr>
        <w:pStyle w:val="JuList"/>
      </w:pPr>
      <w:r w:rsidRPr="00FA4F6C">
        <w:rPr>
          <w:i/>
        </w:rPr>
        <w:t>Declares</w:t>
      </w:r>
      <w:r w:rsidRPr="00FA4F6C">
        <w:t xml:space="preserve"> the application admissible;</w:t>
      </w:r>
    </w:p>
    <w:p w:rsidRPr="00FA4F6C" w:rsidR="00BB6A3C" w:rsidP="00FA4F6C" w14:paraId="21C1A682" w14:textId="77777777">
      <w:pPr>
        <w:pStyle w:val="JuList"/>
      </w:pPr>
      <w:r w:rsidRPr="00FA4F6C">
        <w:rPr>
          <w:i/>
        </w:rPr>
        <w:t>Holds</w:t>
      </w:r>
      <w:r w:rsidRPr="00FA4F6C">
        <w:t xml:space="preserve"> that there has been a violation of Article 6 § 1 of the Convention;</w:t>
      </w:r>
    </w:p>
    <w:p w:rsidRPr="00FA4F6C" w:rsidR="00BB6A3C" w:rsidP="00FA4F6C" w14:paraId="1D1D8F70" w14:textId="77777777">
      <w:pPr>
        <w:pStyle w:val="JuList"/>
      </w:pPr>
      <w:r w:rsidRPr="00FA4F6C">
        <w:rPr>
          <w:i/>
          <w:iCs/>
        </w:rPr>
        <w:t>Holds</w:t>
      </w:r>
    </w:p>
    <w:p w:rsidRPr="00FA4F6C" w:rsidR="00BB6A3C" w:rsidP="00FA4F6C" w14:paraId="121476BC" w14:textId="77777777">
      <w:pPr>
        <w:pStyle w:val="JuLista"/>
        <w:numPr>
          <w:ilvl w:val="1"/>
          <w:numId w:val="5"/>
        </w:numPr>
      </w:pPr>
      <w:r w:rsidRPr="00FA4F6C">
        <w:t>that the respondent State is to pay the applicant, within three months, EUR 1,500 (one thousand five hundred euros), plus any tax that may be chargeable, in respect of non-pecuniary damage</w:t>
      </w:r>
      <w:r w:rsidRPr="00FA4F6C">
        <w:rPr>
          <w:bCs/>
        </w:rPr>
        <w:t xml:space="preserve">, to be converted into </w:t>
      </w:r>
      <w:r w:rsidRPr="00FA4F6C">
        <w:rPr>
          <w:bCs/>
          <w:color w:val="000000"/>
        </w:rPr>
        <w:t>the currency of the respondent State</w:t>
      </w:r>
      <w:r w:rsidRPr="00FA4F6C">
        <w:rPr>
          <w:b/>
          <w:color w:val="000000"/>
        </w:rPr>
        <w:t xml:space="preserve"> </w:t>
      </w:r>
      <w:r w:rsidRPr="00FA4F6C">
        <w:t>at the rate applicable at the date of settlement;</w:t>
      </w:r>
    </w:p>
    <w:p w:rsidRPr="00FA4F6C" w:rsidR="004D0EC7" w:rsidP="00FA4F6C" w14:paraId="361BC2DE" w14:textId="77777777">
      <w:pPr>
        <w:pStyle w:val="JuLista"/>
        <w:numPr>
          <w:ilvl w:val="1"/>
          <w:numId w:val="5"/>
        </w:numPr>
      </w:pPr>
      <w:r w:rsidRPr="00FA4F6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A4F6C" w:rsidR="008E3A08" w:rsidP="00FA4F6C" w14:paraId="620F9DCE" w14:textId="3AA615E7">
      <w:pPr>
        <w:pStyle w:val="JuParaLast"/>
      </w:pPr>
      <w:r w:rsidRPr="00FA4F6C">
        <w:t xml:space="preserve">Done in English, and notified in writing on </w:t>
      </w:r>
      <w:r w:rsidRPr="00FA4F6C" w:rsidR="00BB6A3C">
        <w:rPr>
          <w:rFonts w:ascii="Times New Roman" w:hAnsi="Times New Roman" w:cs="Times New Roman"/>
        </w:rPr>
        <w:t>18 June 2026</w:t>
      </w:r>
      <w:r w:rsidRPr="00FA4F6C">
        <w:t>, pursuant to Rule 77 §§ 2 and 3 of the Rules of Court.</w:t>
      </w:r>
    </w:p>
    <w:p w:rsidRPr="00FA4F6C" w:rsidR="007E79A4" w:rsidP="00FA4F6C" w14:paraId="0C25DBE7" w14:textId="24A45EB3">
      <w:pPr>
        <w:pStyle w:val="ECHRPlaceholder"/>
        <w:keepNext/>
        <w:rPr>
          <w:szCs w:val="22"/>
        </w:rPr>
      </w:pPr>
      <w:r w:rsidRPr="00FA4F6C">
        <w:tab/>
      </w:r>
    </w:p>
    <w:p w:rsidRPr="00FA4F6C" w:rsidR="007E79A4" w:rsidP="00FA4F6C" w14:paraId="2371EE42" w14:textId="5950ADD2">
      <w:pPr>
        <w:pStyle w:val="JuSigned"/>
        <w:keepNext/>
      </w:pPr>
      <w:r w:rsidRPr="00FA4F6C">
        <w:tab/>
      </w:r>
      <w:r w:rsidRPr="00FA4F6C" w:rsidR="00BB6A3C">
        <w:rPr>
          <w:noProof/>
        </w:rPr>
        <w:t>Martina Keller</w:t>
      </w:r>
      <w:r w:rsidRPr="00FA4F6C">
        <w:tab/>
      </w:r>
      <w:r w:rsidRPr="00FA4F6C" w:rsidR="00BB6A3C">
        <w:rPr>
          <w:noProof/>
        </w:rPr>
        <w:t>María Elósegui</w:t>
      </w:r>
      <w:r w:rsidRPr="00FA4F6C">
        <w:br/>
      </w:r>
      <w:r w:rsidRPr="00FA4F6C">
        <w:tab/>
      </w:r>
      <w:r w:rsidRPr="00FA4F6C" w:rsidR="00BB6A3C">
        <w:rPr>
          <w:noProof/>
        </w:rPr>
        <w:t>Deputy Registrar</w:t>
      </w:r>
      <w:r w:rsidRPr="00FA4F6C">
        <w:tab/>
        <w:t>President</w:t>
      </w:r>
    </w:p>
    <w:p w:rsidRPr="00FA4F6C" w:rsidR="00675AF2" w:rsidP="00FA4F6C" w14:paraId="64CE1C70"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F6C" w14:paraId="4BDF9A6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6A3C" w:rsidRPr="00150BFA" w:rsidP="0020718E" w14:paraId="3E4F9C73" w14:textId="4A6515D7">
    <w:pPr>
      <w:jc w:val="center"/>
    </w:pPr>
    <w:r>
      <w:rPr>
        <w:noProof/>
        <w:lang w:val="en-US"/>
      </w:rPr>
      <w:drawing>
        <wp:inline distT="0" distB="0" distL="0" distR="0">
          <wp:extent cx="771525" cy="619125"/>
          <wp:effectExtent l="0" t="0" r="9525" b="9525"/>
          <wp:docPr id="5602766" name="Picture 56027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7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BB6A3C" w:rsidP="00AF12C5" w14:paraId="5AAD3B47" w14:textId="36DFFFC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6A3C" w:rsidRPr="00150BFA" w:rsidP="0020718E" w14:paraId="467DC314" w14:textId="56388F4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BB6A3C" w:rsidP="009E7A6F" w14:paraId="6DD7442B" w14:textId="6CD5841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CC4B345" w14:textId="62E66DD0">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308265A" w14:textId="0FA5E2A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F6C" w14:paraId="0151375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6A3C" w:rsidRPr="00A45145" w:rsidP="00A45145" w14:paraId="0E29C4D4" w14:textId="20661E3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B6A3C" w:rsidP="00B14793" w14:paraId="0C78117C" w14:textId="25E6C02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6A3C" w:rsidRPr="00A45145" w:rsidP="00A45145" w14:paraId="69666ED1" w14:textId="39ABF193">
    <w:pPr>
      <w:jc w:val="center"/>
    </w:pPr>
    <w:r>
      <w:rPr>
        <w:noProof/>
        <w:lang w:val="en-US"/>
      </w:rPr>
      <w:drawing>
        <wp:inline distT="0" distB="0" distL="0" distR="0">
          <wp:extent cx="2962275" cy="1219200"/>
          <wp:effectExtent l="0" t="0" r="9525" b="0"/>
          <wp:docPr id="752863779" name="Picture 7528637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6377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B6A3C" w14:paraId="7F5B1F67" w14:textId="4FBDA69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790481D" w14:textId="273E73B8">
    <w:pPr>
      <w:pStyle w:val="JuHeader"/>
    </w:pPr>
    <w:r>
      <w:t>KASANDYAK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8C442BD" w14:textId="4BF00A1A">
    <w:pPr>
      <w:pStyle w:val="JuHeader"/>
    </w:pPr>
    <w:r>
      <w:t>KASANDYAK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882673004">
    <w:abstractNumId w:val="9"/>
  </w:num>
  <w:num w:numId="22" w16cid:durableId="97917684">
    <w:abstractNumId w:val="14"/>
  </w:num>
  <w:num w:numId="23" w16cid:durableId="1031417354">
    <w:abstractNumId w:val="12"/>
  </w:num>
  <w:num w:numId="24" w16cid:durableId="1707023807">
    <w:abstractNumId w:val="11"/>
  </w:num>
  <w:num w:numId="25" w16cid:durableId="1393701030">
    <w:abstractNumId w:val="17"/>
  </w:num>
  <w:num w:numId="26" w16cid:durableId="202252780">
    <w:abstractNumId w:val="7"/>
  </w:num>
  <w:num w:numId="27" w16cid:durableId="234628038">
    <w:abstractNumId w:val="6"/>
  </w:num>
  <w:num w:numId="28" w16cid:durableId="222915278">
    <w:abstractNumId w:val="5"/>
  </w:num>
  <w:num w:numId="29" w16cid:durableId="618294416">
    <w:abstractNumId w:val="4"/>
  </w:num>
  <w:num w:numId="30" w16cid:durableId="716128190">
    <w:abstractNumId w:val="8"/>
  </w:num>
  <w:num w:numId="31" w16cid:durableId="174853992">
    <w:abstractNumId w:val="3"/>
  </w:num>
  <w:num w:numId="32" w16cid:durableId="1117866691">
    <w:abstractNumId w:val="2"/>
  </w:num>
  <w:num w:numId="33" w16cid:durableId="1731615117">
    <w:abstractNumId w:val="1"/>
  </w:num>
  <w:num w:numId="34" w16cid:durableId="1336617351">
    <w:abstractNumId w:val="0"/>
  </w:num>
  <w:num w:numId="35" w16cid:durableId="1309437385">
    <w:abstractNumId w:val="15"/>
  </w:num>
  <w:num w:numId="36" w16cid:durableId="232131553">
    <w:abstractNumId w:val="13"/>
  </w:num>
  <w:num w:numId="37" w16cid:durableId="1630085641">
    <w:abstractNumId w:val="16"/>
  </w:num>
  <w:num w:numId="38" w16cid:durableId="1492598624">
    <w:abstractNumId w:val="15"/>
  </w:num>
  <w:num w:numId="39" w16cid:durableId="330838778">
    <w:abstractNumId w:val="15"/>
  </w:num>
  <w:num w:numId="40" w16cid:durableId="1498228247">
    <w:abstractNumId w:val="15"/>
  </w:num>
  <w:num w:numId="41" w16cid:durableId="1762949775">
    <w:abstractNumId w:val="15"/>
  </w:num>
  <w:num w:numId="42" w16cid:durableId="79954668">
    <w:abstractNumId w:val="10"/>
  </w:num>
  <w:num w:numId="43" w16cid:durableId="991060710">
    <w:abstractNumId w:val="16"/>
  </w:num>
  <w:num w:numId="44" w16cid:durableId="1828284801">
    <w:abstractNumId w:val="16"/>
  </w:num>
  <w:num w:numId="45" w16cid:durableId="1440182922">
    <w:abstractNumId w:val="16"/>
  </w:num>
  <w:num w:numId="46" w16cid:durableId="1848472421">
    <w:abstractNumId w:val="10"/>
  </w:num>
  <w:num w:numId="47" w16cid:durableId="891890839">
    <w:abstractNumId w:val="10"/>
  </w:num>
  <w:num w:numId="48" w16cid:durableId="1702130176">
    <w:abstractNumId w:val="10"/>
  </w:num>
  <w:num w:numId="49" w16cid:durableId="1263419407">
    <w:abstractNumId w:val="10"/>
  </w:num>
  <w:num w:numId="50" w16cid:durableId="1279799075">
    <w:abstractNumId w:val="10"/>
  </w:num>
  <w:num w:numId="51" w16cid:durableId="376928063">
    <w:abstractNumId w:val="10"/>
  </w:num>
  <w:num w:numId="52" w16cid:durableId="62334704">
    <w:abstractNumId w:val="10"/>
  </w:num>
  <w:num w:numId="53" w16cid:durableId="2000110460">
    <w:abstractNumId w:val="9"/>
  </w:num>
  <w:num w:numId="54" w16cid:durableId="632904716">
    <w:abstractNumId w:val="9"/>
  </w:num>
  <w:num w:numId="55" w16cid:durableId="2064939296">
    <w:abstractNumId w:val="9"/>
  </w:num>
  <w:num w:numId="56" w16cid:durableId="365063582">
    <w:abstractNumId w:val="14"/>
  </w:num>
  <w:num w:numId="57" w16cid:durableId="182987172">
    <w:abstractNumId w:val="12"/>
  </w:num>
  <w:num w:numId="58" w16cid:durableId="932081389">
    <w:abstractNumId w:val="11"/>
  </w:num>
  <w:num w:numId="59" w16cid:durableId="1307861047">
    <w:abstractNumId w:val="17"/>
  </w:num>
  <w:num w:numId="60" w16cid:durableId="1526939241">
    <w:abstractNumId w:val="7"/>
  </w:num>
  <w:num w:numId="61" w16cid:durableId="2083328552">
    <w:abstractNumId w:val="6"/>
  </w:num>
  <w:num w:numId="62" w16cid:durableId="986474982">
    <w:abstractNumId w:val="5"/>
  </w:num>
  <w:num w:numId="63" w16cid:durableId="1962347064">
    <w:abstractNumId w:val="4"/>
  </w:num>
  <w:num w:numId="64" w16cid:durableId="1019937498">
    <w:abstractNumId w:val="8"/>
  </w:num>
  <w:num w:numId="65" w16cid:durableId="209847588">
    <w:abstractNumId w:val="3"/>
  </w:num>
  <w:num w:numId="66" w16cid:durableId="1756780193">
    <w:abstractNumId w:val="2"/>
  </w:num>
  <w:num w:numId="67" w16cid:durableId="856502372">
    <w:abstractNumId w:val="1"/>
  </w:num>
  <w:num w:numId="68" w16cid:durableId="472137716">
    <w:abstractNumId w:val="0"/>
  </w:num>
  <w:num w:numId="69" w16cid:durableId="765005453">
    <w:abstractNumId w:val="15"/>
  </w:num>
  <w:num w:numId="70" w16cid:durableId="2034726773">
    <w:abstractNumId w:val="13"/>
  </w:num>
  <w:num w:numId="71" w16cid:durableId="569929790">
    <w:abstractNumId w:val="16"/>
  </w:num>
  <w:num w:numId="72" w16cid:durableId="1206217754">
    <w:abstractNumId w:val="15"/>
  </w:num>
  <w:num w:numId="73" w16cid:durableId="1715426815">
    <w:abstractNumId w:val="15"/>
  </w:num>
  <w:num w:numId="74" w16cid:durableId="1557201113">
    <w:abstractNumId w:val="15"/>
  </w:num>
  <w:num w:numId="75" w16cid:durableId="589312049">
    <w:abstractNumId w:val="15"/>
  </w:num>
  <w:num w:numId="76" w16cid:durableId="205143631">
    <w:abstractNumId w:val="10"/>
  </w:num>
  <w:num w:numId="77" w16cid:durableId="382676126">
    <w:abstractNumId w:val="16"/>
  </w:num>
  <w:num w:numId="78" w16cid:durableId="1640652520">
    <w:abstractNumId w:val="16"/>
  </w:num>
  <w:num w:numId="79" w16cid:durableId="1033073593">
    <w:abstractNumId w:val="16"/>
  </w:num>
  <w:num w:numId="80" w16cid:durableId="1371416438">
    <w:abstractNumId w:val="10"/>
  </w:num>
  <w:num w:numId="81" w16cid:durableId="427653459">
    <w:abstractNumId w:val="10"/>
  </w:num>
  <w:num w:numId="82" w16cid:durableId="1030450088">
    <w:abstractNumId w:val="10"/>
  </w:num>
  <w:num w:numId="83" w16cid:durableId="1481310443">
    <w:abstractNumId w:val="10"/>
  </w:num>
  <w:num w:numId="84" w16cid:durableId="2001805163">
    <w:abstractNumId w:val="10"/>
  </w:num>
  <w:num w:numId="85" w16cid:durableId="226036814">
    <w:abstractNumId w:val="10"/>
  </w:num>
  <w:num w:numId="86" w16cid:durableId="829298190">
    <w:abstractNumId w:val="10"/>
  </w:num>
  <w:num w:numId="87" w16cid:durableId="1534491529">
    <w:abstractNumId w:val="9"/>
  </w:num>
  <w:num w:numId="88" w16cid:durableId="351997269">
    <w:abstractNumId w:val="9"/>
  </w:num>
  <w:num w:numId="89" w16cid:durableId="642084597">
    <w:abstractNumId w:val="9"/>
  </w:num>
  <w:num w:numId="90" w16cid:durableId="320669215">
    <w:abstractNumId w:val="14"/>
  </w:num>
  <w:num w:numId="91" w16cid:durableId="243683849">
    <w:abstractNumId w:val="12"/>
  </w:num>
  <w:num w:numId="92" w16cid:durableId="1690253706">
    <w:abstractNumId w:val="11"/>
  </w:num>
  <w:num w:numId="93" w16cid:durableId="811094524">
    <w:abstractNumId w:val="17"/>
  </w:num>
  <w:num w:numId="94" w16cid:durableId="1959290874">
    <w:abstractNumId w:val="7"/>
  </w:num>
  <w:num w:numId="95" w16cid:durableId="605506449">
    <w:abstractNumId w:val="6"/>
  </w:num>
  <w:num w:numId="96" w16cid:durableId="1134756885">
    <w:abstractNumId w:val="5"/>
  </w:num>
  <w:num w:numId="97" w16cid:durableId="1352755028">
    <w:abstractNumId w:val="4"/>
  </w:num>
  <w:num w:numId="98" w16cid:durableId="1036585449">
    <w:abstractNumId w:val="8"/>
  </w:num>
  <w:num w:numId="99" w16cid:durableId="1736584253">
    <w:abstractNumId w:val="3"/>
  </w:num>
  <w:num w:numId="100" w16cid:durableId="1790391265">
    <w:abstractNumId w:val="2"/>
  </w:num>
  <w:num w:numId="101" w16cid:durableId="85158982">
    <w:abstractNumId w:val="1"/>
  </w:num>
  <w:num w:numId="102" w16cid:durableId="2118522773">
    <w:abstractNumId w:val="0"/>
  </w:num>
  <w:num w:numId="103" w16cid:durableId="1482699840">
    <w:abstractNumId w:val="15"/>
  </w:num>
  <w:num w:numId="104" w16cid:durableId="1205413004">
    <w:abstractNumId w:val="13"/>
  </w:num>
  <w:num w:numId="105" w16cid:durableId="1342734260">
    <w:abstractNumId w:val="16"/>
  </w:num>
  <w:num w:numId="106" w16cid:durableId="1802918343">
    <w:abstractNumId w:val="15"/>
  </w:num>
  <w:num w:numId="107" w16cid:durableId="1972318883">
    <w:abstractNumId w:val="15"/>
  </w:num>
  <w:num w:numId="108" w16cid:durableId="1654067401">
    <w:abstractNumId w:val="15"/>
  </w:num>
  <w:num w:numId="109" w16cid:durableId="282077712">
    <w:abstractNumId w:val="15"/>
  </w:num>
  <w:num w:numId="110" w16cid:durableId="1713725788">
    <w:abstractNumId w:val="10"/>
  </w:num>
  <w:num w:numId="111" w16cid:durableId="1465388442">
    <w:abstractNumId w:val="16"/>
  </w:num>
  <w:num w:numId="112" w16cid:durableId="1989631933">
    <w:abstractNumId w:val="16"/>
  </w:num>
  <w:num w:numId="113" w16cid:durableId="806900844">
    <w:abstractNumId w:val="16"/>
  </w:num>
  <w:num w:numId="114" w16cid:durableId="82264189">
    <w:abstractNumId w:val="10"/>
  </w:num>
  <w:num w:numId="115" w16cid:durableId="774598075">
    <w:abstractNumId w:val="10"/>
  </w:num>
  <w:num w:numId="116" w16cid:durableId="1687095836">
    <w:abstractNumId w:val="10"/>
  </w:num>
  <w:num w:numId="117" w16cid:durableId="2001538627">
    <w:abstractNumId w:val="10"/>
  </w:num>
  <w:num w:numId="118" w16cid:durableId="1349798140">
    <w:abstractNumId w:val="10"/>
  </w:num>
  <w:num w:numId="119" w16cid:durableId="983240980">
    <w:abstractNumId w:val="10"/>
  </w:num>
  <w:num w:numId="120" w16cid:durableId="1572425991">
    <w:abstractNumId w:val="10"/>
  </w:num>
  <w:num w:numId="121" w16cid:durableId="1294336605">
    <w:abstractNumId w:val="9"/>
  </w:num>
  <w:num w:numId="122" w16cid:durableId="1270897073">
    <w:abstractNumId w:val="9"/>
  </w:num>
  <w:num w:numId="123" w16cid:durableId="47946202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A3C"/>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3CD9"/>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035F"/>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54AD"/>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9D1"/>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4F50"/>
    <w:rsid w:val="0091510C"/>
    <w:rsid w:val="009259AC"/>
    <w:rsid w:val="00926F38"/>
    <w:rsid w:val="00927BEB"/>
    <w:rsid w:val="009333DC"/>
    <w:rsid w:val="00934301"/>
    <w:rsid w:val="00936CD1"/>
    <w:rsid w:val="0094131C"/>
    <w:rsid w:val="00941747"/>
    <w:rsid w:val="00941EFB"/>
    <w:rsid w:val="00947AFB"/>
    <w:rsid w:val="00951AA3"/>
    <w:rsid w:val="00951D7D"/>
    <w:rsid w:val="00955F93"/>
    <w:rsid w:val="00956D0C"/>
    <w:rsid w:val="009630C7"/>
    <w:rsid w:val="00972B55"/>
    <w:rsid w:val="009743B7"/>
    <w:rsid w:val="0098228B"/>
    <w:rsid w:val="009828DA"/>
    <w:rsid w:val="0098410D"/>
    <w:rsid w:val="00985BAB"/>
    <w:rsid w:val="00986B3C"/>
    <w:rsid w:val="009A115C"/>
    <w:rsid w:val="009A7FC1"/>
    <w:rsid w:val="009B0A65"/>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2D2C"/>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6A3C"/>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5B2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A59E1"/>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4544"/>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1C9"/>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3828"/>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4F6C"/>
    <w:rsid w:val="00FA685B"/>
    <w:rsid w:val="00FB0C01"/>
    <w:rsid w:val="00FB5934"/>
    <w:rsid w:val="00FC18F2"/>
    <w:rsid w:val="00FC2A17"/>
    <w:rsid w:val="00FC38CF"/>
    <w:rsid w:val="00FC39E5"/>
    <w:rsid w:val="00FC3A78"/>
    <w:rsid w:val="00FD1005"/>
    <w:rsid w:val="00FD1F7F"/>
    <w:rsid w:val="00FD6C75"/>
    <w:rsid w:val="00FD7972"/>
    <w:rsid w:val="00FD7C3D"/>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276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A4F6C"/>
    <w:rPr>
      <w:sz w:val="24"/>
      <w:szCs w:val="24"/>
      <w:lang w:val="en-GB"/>
    </w:rPr>
  </w:style>
  <w:style w:type="paragraph" w:styleId="Heading1">
    <w:name w:val="heading 1"/>
    <w:basedOn w:val="Normal"/>
    <w:next w:val="Normal"/>
    <w:link w:val="Heading1Char"/>
    <w:uiPriority w:val="98"/>
    <w:semiHidden/>
    <w:rsid w:val="00FA4F6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A4F6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A4F6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A4F6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A4F6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A4F6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A4F6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A4F6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A4F6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FA4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F6C"/>
  </w:style>
  <w:style w:type="paragraph" w:styleId="BalloonText">
    <w:name w:val="Balloon Text"/>
    <w:basedOn w:val="Normal"/>
    <w:link w:val="BalloonTextChar"/>
    <w:uiPriority w:val="98"/>
    <w:semiHidden/>
    <w:rsid w:val="00FA4F6C"/>
    <w:rPr>
      <w:rFonts w:ascii="Tahoma" w:hAnsi="Tahoma" w:cs="Tahoma"/>
      <w:sz w:val="16"/>
      <w:szCs w:val="16"/>
    </w:rPr>
  </w:style>
  <w:style w:type="character" w:customStyle="1" w:styleId="BalloonTextChar">
    <w:name w:val="Balloon Text Char"/>
    <w:basedOn w:val="DefaultParagraphFont"/>
    <w:link w:val="BalloonText"/>
    <w:uiPriority w:val="98"/>
    <w:semiHidden/>
    <w:rsid w:val="00FA4F6C"/>
    <w:rPr>
      <w:rFonts w:ascii="Tahoma" w:hAnsi="Tahoma" w:cs="Tahoma"/>
      <w:sz w:val="16"/>
      <w:szCs w:val="16"/>
      <w:lang w:val="en-GB"/>
    </w:rPr>
  </w:style>
  <w:style w:type="character" w:styleId="BookTitle">
    <w:name w:val="Book Title"/>
    <w:uiPriority w:val="98"/>
    <w:semiHidden/>
    <w:qFormat/>
    <w:rsid w:val="00FA4F6C"/>
    <w:rPr>
      <w:i/>
      <w:iCs/>
      <w:smallCaps/>
      <w:spacing w:val="5"/>
    </w:rPr>
  </w:style>
  <w:style w:type="paragraph" w:customStyle="1" w:styleId="JuHeader">
    <w:name w:val="Ju_Header"/>
    <w:aliases w:val="_Header"/>
    <w:basedOn w:val="Header0"/>
    <w:uiPriority w:val="29"/>
    <w:qFormat/>
    <w:rsid w:val="00FA4F6C"/>
    <w:pPr>
      <w:tabs>
        <w:tab w:val="clear" w:pos="4536"/>
        <w:tab w:val="clear" w:pos="9072"/>
      </w:tabs>
      <w:jc w:val="center"/>
    </w:pPr>
    <w:rPr>
      <w:sz w:val="18"/>
    </w:rPr>
  </w:style>
  <w:style w:type="paragraph" w:customStyle="1" w:styleId="NormalJustified">
    <w:name w:val="Normal_Justified"/>
    <w:basedOn w:val="Normal"/>
    <w:semiHidden/>
    <w:rsid w:val="00FA4F6C"/>
    <w:pPr>
      <w:jc w:val="both"/>
    </w:pPr>
  </w:style>
  <w:style w:type="character" w:styleId="Strong">
    <w:name w:val="Strong"/>
    <w:uiPriority w:val="98"/>
    <w:semiHidden/>
    <w:qFormat/>
    <w:rsid w:val="00FA4F6C"/>
    <w:rPr>
      <w:b/>
      <w:bCs/>
    </w:rPr>
  </w:style>
  <w:style w:type="paragraph" w:styleId="NoSpacing">
    <w:name w:val="No Spacing"/>
    <w:basedOn w:val="Normal"/>
    <w:link w:val="NoSpacingChar"/>
    <w:uiPriority w:val="98"/>
    <w:semiHidden/>
    <w:qFormat/>
    <w:rsid w:val="00FA4F6C"/>
  </w:style>
  <w:style w:type="character" w:customStyle="1" w:styleId="NoSpacingChar">
    <w:name w:val="No Spacing Char"/>
    <w:basedOn w:val="DefaultParagraphFont"/>
    <w:link w:val="NoSpacing"/>
    <w:uiPriority w:val="98"/>
    <w:semiHidden/>
    <w:rsid w:val="00FA4F6C"/>
    <w:rPr>
      <w:sz w:val="24"/>
      <w:szCs w:val="24"/>
      <w:lang w:val="en-GB"/>
    </w:rPr>
  </w:style>
  <w:style w:type="paragraph" w:customStyle="1" w:styleId="JuQuot">
    <w:name w:val="Ju_Quot"/>
    <w:aliases w:val="_Quote"/>
    <w:basedOn w:val="NormalJustified"/>
    <w:uiPriority w:val="20"/>
    <w:qFormat/>
    <w:rsid w:val="00FA4F6C"/>
    <w:pPr>
      <w:spacing w:before="120" w:after="120"/>
      <w:ind w:left="425" w:firstLine="142"/>
    </w:pPr>
    <w:rPr>
      <w:sz w:val="20"/>
    </w:rPr>
  </w:style>
  <w:style w:type="table" w:styleId="GridTable1Light">
    <w:name w:val="Grid Table 1 Light"/>
    <w:basedOn w:val="TableNormal"/>
    <w:uiPriority w:val="46"/>
    <w:semiHidden/>
    <w:rsid w:val="00FA4F6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
    <w:name w:val="Ju_List"/>
    <w:aliases w:val="_List_1"/>
    <w:basedOn w:val="NormalJustified"/>
    <w:uiPriority w:val="23"/>
    <w:qFormat/>
    <w:rsid w:val="00FA4F6C"/>
    <w:pPr>
      <w:numPr>
        <w:numId w:val="123"/>
      </w:numPr>
      <w:spacing w:before="280" w:after="60"/>
    </w:pPr>
  </w:style>
  <w:style w:type="paragraph" w:customStyle="1" w:styleId="JuLista">
    <w:name w:val="Ju_List_a"/>
    <w:aliases w:val="_List_2"/>
    <w:basedOn w:val="NormalJustified"/>
    <w:uiPriority w:val="23"/>
    <w:rsid w:val="00FA4F6C"/>
    <w:pPr>
      <w:numPr>
        <w:ilvl w:val="1"/>
        <w:numId w:val="123"/>
      </w:numPr>
    </w:pPr>
  </w:style>
  <w:style w:type="paragraph" w:customStyle="1" w:styleId="JuListi">
    <w:name w:val="Ju_List_i"/>
    <w:aliases w:val="_List_3"/>
    <w:basedOn w:val="NormalJustified"/>
    <w:uiPriority w:val="23"/>
    <w:rsid w:val="00FA4F6C"/>
    <w:pPr>
      <w:numPr>
        <w:ilvl w:val="2"/>
        <w:numId w:val="123"/>
      </w:numPr>
    </w:pPr>
  </w:style>
  <w:style w:type="paragraph" w:customStyle="1" w:styleId="JuHArticle">
    <w:name w:val="Ju_H_Article"/>
    <w:aliases w:val="_Title_Quote"/>
    <w:basedOn w:val="Normal"/>
    <w:next w:val="JuQuot"/>
    <w:uiPriority w:val="19"/>
    <w:qFormat/>
    <w:rsid w:val="00FA4F6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A4F6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A4F6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A4F6C"/>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A4F6C"/>
    <w:pPr>
      <w:numPr>
        <w:numId w:val="103"/>
      </w:numPr>
    </w:pPr>
  </w:style>
  <w:style w:type="paragraph" w:customStyle="1" w:styleId="JuSigned">
    <w:name w:val="Ju_Signed"/>
    <w:aliases w:val="_Signature"/>
    <w:basedOn w:val="Normal"/>
    <w:next w:val="JuPara"/>
    <w:uiPriority w:val="31"/>
    <w:qFormat/>
    <w:rsid w:val="00FA4F6C"/>
    <w:pPr>
      <w:tabs>
        <w:tab w:val="center" w:pos="1418"/>
        <w:tab w:val="center" w:pos="5954"/>
      </w:tabs>
      <w:spacing w:before="720"/>
    </w:pPr>
  </w:style>
  <w:style w:type="paragraph" w:styleId="Title">
    <w:name w:val="Title"/>
    <w:basedOn w:val="Normal"/>
    <w:next w:val="Normal"/>
    <w:link w:val="TitleChar"/>
    <w:uiPriority w:val="98"/>
    <w:semiHidden/>
    <w:qFormat/>
    <w:rsid w:val="00FA4F6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A4F6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A4F6C"/>
    <w:pPr>
      <w:numPr>
        <w:numId w:val="104"/>
      </w:numPr>
    </w:pPr>
  </w:style>
  <w:style w:type="numbering" w:customStyle="1" w:styleId="ECHRA1StyleNumberedList">
    <w:name w:val="ECHR_A1_Style_Numbered_List"/>
    <w:basedOn w:val="NoList"/>
    <w:rsid w:val="00FA4F6C"/>
    <w:pPr>
      <w:numPr>
        <w:numId w:val="105"/>
      </w:numPr>
    </w:pPr>
  </w:style>
  <w:style w:type="table" w:customStyle="1" w:styleId="ECHRTable2019">
    <w:name w:val="ECHR_Table_2019"/>
    <w:basedOn w:val="TableNormal"/>
    <w:uiPriority w:val="99"/>
    <w:rsid w:val="00FA4F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A4F6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A4F6C"/>
    <w:pPr>
      <w:keepNext/>
      <w:keepLines/>
      <w:numPr>
        <w:ilvl w:val="1"/>
        <w:numId w:val="1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A4F6C"/>
    <w:pPr>
      <w:keepNext/>
      <w:keepLines/>
      <w:numPr>
        <w:ilvl w:val="2"/>
        <w:numId w:val="1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A4F6C"/>
    <w:pPr>
      <w:keepNext/>
      <w:keepLines/>
      <w:numPr>
        <w:ilvl w:val="3"/>
        <w:numId w:val="120"/>
      </w:numPr>
      <w:spacing w:before="100" w:beforeAutospacing="1" w:after="120"/>
      <w:jc w:val="both"/>
    </w:pPr>
    <w:rPr>
      <w:b w:val="0"/>
      <w:color w:val="auto"/>
      <w:sz w:val="24"/>
    </w:rPr>
  </w:style>
  <w:style w:type="paragraph" w:styleId="Header0">
    <w:name w:val="header"/>
    <w:basedOn w:val="Normal"/>
    <w:link w:val="HeaderChar"/>
    <w:uiPriority w:val="98"/>
    <w:semiHidden/>
    <w:rsid w:val="00FA4F6C"/>
    <w:pPr>
      <w:tabs>
        <w:tab w:val="center" w:pos="4536"/>
        <w:tab w:val="right" w:pos="9072"/>
      </w:tabs>
    </w:pPr>
  </w:style>
  <w:style w:type="character" w:customStyle="1" w:styleId="HeaderChar">
    <w:name w:val="Header Char"/>
    <w:basedOn w:val="DefaultParagraphFont"/>
    <w:link w:val="Header0"/>
    <w:uiPriority w:val="98"/>
    <w:semiHidden/>
    <w:rsid w:val="00FA4F6C"/>
    <w:rPr>
      <w:sz w:val="24"/>
      <w:szCs w:val="24"/>
      <w:lang w:val="en-GB"/>
    </w:rPr>
  </w:style>
  <w:style w:type="character" w:customStyle="1" w:styleId="Heading1Char">
    <w:name w:val="Heading 1 Char"/>
    <w:basedOn w:val="DefaultParagraphFont"/>
    <w:link w:val="Heading1"/>
    <w:uiPriority w:val="98"/>
    <w:semiHidden/>
    <w:rsid w:val="00FA4F6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A4F6C"/>
    <w:pPr>
      <w:keepNext/>
      <w:keepLines/>
      <w:numPr>
        <w:ilvl w:val="4"/>
        <w:numId w:val="120"/>
      </w:numPr>
      <w:spacing w:before="100" w:beforeAutospacing="1" w:after="120"/>
      <w:jc w:val="both"/>
    </w:pPr>
    <w:rPr>
      <w:color w:val="auto"/>
      <w:sz w:val="20"/>
    </w:rPr>
  </w:style>
  <w:style w:type="paragraph" w:customStyle="1" w:styleId="JuHi">
    <w:name w:val="Ju_H_i"/>
    <w:aliases w:val="_Head_6"/>
    <w:basedOn w:val="Heading6"/>
    <w:next w:val="JuPara"/>
    <w:uiPriority w:val="17"/>
    <w:rsid w:val="00FA4F6C"/>
    <w:pPr>
      <w:keepNext/>
      <w:keepLines/>
      <w:numPr>
        <w:ilvl w:val="5"/>
        <w:numId w:val="1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A4F6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A4F6C"/>
    <w:pPr>
      <w:keepNext/>
      <w:keepLines/>
      <w:numPr>
        <w:ilvl w:val="6"/>
        <w:numId w:val="1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A4F6C"/>
    <w:pPr>
      <w:keepNext/>
      <w:keepLines/>
      <w:numPr>
        <w:ilvl w:val="7"/>
        <w:numId w:val="120"/>
      </w:numPr>
      <w:spacing w:before="100" w:beforeAutospacing="1" w:after="120"/>
      <w:jc w:val="both"/>
    </w:pPr>
    <w:rPr>
      <w:i/>
    </w:rPr>
  </w:style>
  <w:style w:type="character" w:customStyle="1" w:styleId="Heading3Char">
    <w:name w:val="Heading 3 Char"/>
    <w:basedOn w:val="DefaultParagraphFont"/>
    <w:link w:val="Heading3"/>
    <w:uiPriority w:val="98"/>
    <w:semiHidden/>
    <w:rsid w:val="00FA4F6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A4F6C"/>
    <w:pPr>
      <w:keepNext/>
      <w:keepLines/>
      <w:spacing w:before="240" w:after="240"/>
      <w:ind w:firstLine="284"/>
    </w:pPr>
  </w:style>
  <w:style w:type="paragraph" w:customStyle="1" w:styleId="JuJudges">
    <w:name w:val="Ju_Judges"/>
    <w:aliases w:val="_Judges"/>
    <w:basedOn w:val="Normal"/>
    <w:uiPriority w:val="32"/>
    <w:qFormat/>
    <w:rsid w:val="00FA4F6C"/>
    <w:pPr>
      <w:tabs>
        <w:tab w:val="left" w:pos="567"/>
        <w:tab w:val="left" w:pos="1134"/>
      </w:tabs>
    </w:pPr>
  </w:style>
  <w:style w:type="character" w:customStyle="1" w:styleId="Heading4Char">
    <w:name w:val="Heading 4 Char"/>
    <w:basedOn w:val="DefaultParagraphFont"/>
    <w:link w:val="Heading4"/>
    <w:uiPriority w:val="98"/>
    <w:semiHidden/>
    <w:rsid w:val="00FA4F6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A4F6C"/>
    <w:pPr>
      <w:tabs>
        <w:tab w:val="center" w:pos="6407"/>
      </w:tabs>
      <w:spacing w:before="720"/>
      <w:jc w:val="right"/>
    </w:pPr>
  </w:style>
  <w:style w:type="character" w:customStyle="1" w:styleId="Heading5Char">
    <w:name w:val="Heading 5 Char"/>
    <w:basedOn w:val="DefaultParagraphFont"/>
    <w:link w:val="Heading5"/>
    <w:uiPriority w:val="98"/>
    <w:semiHidden/>
    <w:rsid w:val="00FA4F6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A4F6C"/>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A4F6C"/>
    <w:rPr>
      <w:caps w:val="0"/>
      <w:smallCaps/>
    </w:rPr>
  </w:style>
  <w:style w:type="character" w:styleId="SubtleEmphasis">
    <w:name w:val="Subtle Emphasis"/>
    <w:uiPriority w:val="98"/>
    <w:semiHidden/>
    <w:qFormat/>
    <w:rsid w:val="00FA4F6C"/>
    <w:rPr>
      <w:i/>
      <w:iCs/>
    </w:rPr>
  </w:style>
  <w:style w:type="table" w:customStyle="1" w:styleId="ECHRTable">
    <w:name w:val="ECHR_Table"/>
    <w:basedOn w:val="TableNormal"/>
    <w:rsid w:val="00FA4F6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A4F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A4F6C"/>
    <w:rPr>
      <w:b/>
      <w:bCs/>
      <w:i/>
      <w:iCs/>
      <w:spacing w:val="10"/>
      <w:bdr w:val="none" w:sz="0" w:space="0" w:color="auto"/>
      <w:shd w:val="clear" w:color="auto" w:fill="auto"/>
    </w:rPr>
  </w:style>
  <w:style w:type="paragraph" w:styleId="Footer1">
    <w:name w:val="footer"/>
    <w:basedOn w:val="Normal"/>
    <w:link w:val="FooterChar"/>
    <w:uiPriority w:val="98"/>
    <w:semiHidden/>
    <w:rsid w:val="00FA4F6C"/>
    <w:pPr>
      <w:tabs>
        <w:tab w:val="center" w:pos="3686"/>
        <w:tab w:val="right" w:pos="7371"/>
      </w:tabs>
    </w:pPr>
  </w:style>
  <w:style w:type="character" w:customStyle="1" w:styleId="FooterChar">
    <w:name w:val="Footer Char"/>
    <w:basedOn w:val="DefaultParagraphFont"/>
    <w:link w:val="Footer1"/>
    <w:uiPriority w:val="98"/>
    <w:semiHidden/>
    <w:rsid w:val="00FA4F6C"/>
    <w:rPr>
      <w:sz w:val="24"/>
      <w:szCs w:val="24"/>
      <w:lang w:val="en-GB"/>
    </w:rPr>
  </w:style>
  <w:style w:type="character" w:styleId="FootnoteReference">
    <w:name w:val="footnote reference"/>
    <w:basedOn w:val="DefaultParagraphFont"/>
    <w:uiPriority w:val="98"/>
    <w:semiHidden/>
    <w:rsid w:val="00FA4F6C"/>
    <w:rPr>
      <w:vertAlign w:val="superscript"/>
    </w:rPr>
  </w:style>
  <w:style w:type="paragraph" w:styleId="FootnoteText">
    <w:name w:val="footnote text"/>
    <w:basedOn w:val="NormalJustified"/>
    <w:link w:val="FootnoteTextChar"/>
    <w:uiPriority w:val="98"/>
    <w:semiHidden/>
    <w:rsid w:val="00FA4F6C"/>
    <w:rPr>
      <w:sz w:val="20"/>
      <w:szCs w:val="20"/>
    </w:rPr>
  </w:style>
  <w:style w:type="character" w:customStyle="1" w:styleId="FootnoteTextChar">
    <w:name w:val="Footnote Text Char"/>
    <w:basedOn w:val="DefaultParagraphFont"/>
    <w:link w:val="FootnoteText"/>
    <w:uiPriority w:val="98"/>
    <w:semiHidden/>
    <w:rsid w:val="00FA4F6C"/>
    <w:rPr>
      <w:sz w:val="20"/>
      <w:szCs w:val="20"/>
      <w:lang w:val="en-GB"/>
    </w:rPr>
  </w:style>
  <w:style w:type="character" w:customStyle="1" w:styleId="Heading6Char">
    <w:name w:val="Heading 6 Char"/>
    <w:basedOn w:val="DefaultParagraphFont"/>
    <w:link w:val="Heading6"/>
    <w:uiPriority w:val="98"/>
    <w:semiHidden/>
    <w:rsid w:val="00FA4F6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A4F6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A4F6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A4F6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A4F6C"/>
    <w:rPr>
      <w:color w:val="0072BC" w:themeColor="hyperlink"/>
      <w:u w:val="single"/>
    </w:rPr>
  </w:style>
  <w:style w:type="character" w:styleId="IntenseEmphasis">
    <w:name w:val="Intense Emphasis"/>
    <w:uiPriority w:val="98"/>
    <w:semiHidden/>
    <w:qFormat/>
    <w:rsid w:val="00FA4F6C"/>
    <w:rPr>
      <w:b/>
      <w:bCs/>
    </w:rPr>
  </w:style>
  <w:style w:type="paragraph" w:styleId="IntenseQuote">
    <w:name w:val="Intense Quote"/>
    <w:basedOn w:val="Normal"/>
    <w:next w:val="Normal"/>
    <w:link w:val="IntenseQuoteChar"/>
    <w:uiPriority w:val="98"/>
    <w:semiHidden/>
    <w:qFormat/>
    <w:rsid w:val="00FA4F6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A4F6C"/>
    <w:rPr>
      <w:b/>
      <w:bCs/>
      <w:i/>
      <w:iCs/>
      <w:sz w:val="24"/>
      <w:szCs w:val="24"/>
      <w:lang w:val="en-GB" w:bidi="en-US"/>
    </w:rPr>
  </w:style>
  <w:style w:type="character" w:styleId="IntenseReference">
    <w:name w:val="Intense Reference"/>
    <w:uiPriority w:val="98"/>
    <w:semiHidden/>
    <w:qFormat/>
    <w:rsid w:val="00FA4F6C"/>
    <w:rPr>
      <w:smallCaps/>
      <w:spacing w:val="5"/>
      <w:u w:val="single"/>
    </w:rPr>
  </w:style>
  <w:style w:type="paragraph" w:styleId="ListParagraph">
    <w:name w:val="List Paragraph"/>
    <w:basedOn w:val="Normal"/>
    <w:uiPriority w:val="98"/>
    <w:semiHidden/>
    <w:qFormat/>
    <w:rsid w:val="00FA4F6C"/>
    <w:pPr>
      <w:ind w:left="720"/>
      <w:contextualSpacing/>
    </w:pPr>
  </w:style>
  <w:style w:type="table" w:customStyle="1" w:styleId="LtrTableAddress">
    <w:name w:val="Ltr_Table_Address"/>
    <w:aliases w:val="ECHR_Ltr_Table_Address"/>
    <w:basedOn w:val="TableNormal"/>
    <w:uiPriority w:val="99"/>
    <w:rsid w:val="00FA4F6C"/>
    <w:rPr>
      <w:sz w:val="24"/>
      <w:szCs w:val="24"/>
    </w:rPr>
    <w:tblPr>
      <w:tblInd w:w="5103" w:type="dxa"/>
    </w:tblPr>
  </w:style>
  <w:style w:type="paragraph" w:styleId="Quote0">
    <w:name w:val="Quote"/>
    <w:basedOn w:val="Normal"/>
    <w:next w:val="Normal"/>
    <w:link w:val="QuoteChar"/>
    <w:uiPriority w:val="98"/>
    <w:semiHidden/>
    <w:qFormat/>
    <w:rsid w:val="00FA4F6C"/>
    <w:pPr>
      <w:spacing w:before="200"/>
      <w:ind w:left="360" w:right="360"/>
    </w:pPr>
    <w:rPr>
      <w:i/>
      <w:iCs/>
      <w:lang w:bidi="en-US"/>
    </w:rPr>
  </w:style>
  <w:style w:type="character" w:customStyle="1" w:styleId="QuoteChar">
    <w:name w:val="Quote Char"/>
    <w:basedOn w:val="DefaultParagraphFont"/>
    <w:link w:val="Quote0"/>
    <w:uiPriority w:val="98"/>
    <w:semiHidden/>
    <w:rsid w:val="00FA4F6C"/>
    <w:rPr>
      <w:i/>
      <w:iCs/>
      <w:sz w:val="24"/>
      <w:szCs w:val="24"/>
      <w:lang w:val="en-GB" w:bidi="en-US"/>
    </w:rPr>
  </w:style>
  <w:style w:type="character" w:styleId="SubtleReference">
    <w:name w:val="Subtle Reference"/>
    <w:uiPriority w:val="98"/>
    <w:semiHidden/>
    <w:qFormat/>
    <w:rsid w:val="00FA4F6C"/>
    <w:rPr>
      <w:smallCaps/>
    </w:rPr>
  </w:style>
  <w:style w:type="table" w:styleId="TableGrid">
    <w:name w:val="Table Grid"/>
    <w:basedOn w:val="TableNormal"/>
    <w:uiPriority w:val="59"/>
    <w:semiHidden/>
    <w:rsid w:val="00FA4F6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A4F6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A4F6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A4F6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A4F6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A4F6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A4F6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A4F6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A4F6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A4F6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A4F6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A4F6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A4F6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A4F6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A4F6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A4F6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A4F6C"/>
    <w:pPr>
      <w:numPr>
        <w:numId w:val="90"/>
      </w:numPr>
    </w:pPr>
  </w:style>
  <w:style w:type="paragraph" w:customStyle="1" w:styleId="JuPara">
    <w:name w:val="Ju_Para"/>
    <w:aliases w:val="_Para"/>
    <w:basedOn w:val="NormalJustified"/>
    <w:link w:val="JuParaChar"/>
    <w:uiPriority w:val="4"/>
    <w:qFormat/>
    <w:rsid w:val="00FA4F6C"/>
    <w:pPr>
      <w:ind w:firstLine="284"/>
    </w:pPr>
  </w:style>
  <w:style w:type="numbering" w:styleId="1ai">
    <w:name w:val="Outline List 1"/>
    <w:basedOn w:val="NoList"/>
    <w:uiPriority w:val="99"/>
    <w:semiHidden/>
    <w:unhideWhenUsed/>
    <w:rsid w:val="00FA4F6C"/>
    <w:pPr>
      <w:numPr>
        <w:numId w:val="91"/>
      </w:numPr>
    </w:pPr>
  </w:style>
  <w:style w:type="table" w:customStyle="1" w:styleId="ECHRTableSimpleBox">
    <w:name w:val="ECHR_Table_Simple_Box"/>
    <w:basedOn w:val="TableNormal"/>
    <w:uiPriority w:val="99"/>
    <w:rsid w:val="00FA4F6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A4F6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A4F6C"/>
    <w:pPr>
      <w:numPr>
        <w:numId w:val="92"/>
      </w:numPr>
    </w:pPr>
  </w:style>
  <w:style w:type="table" w:customStyle="1" w:styleId="ECHRTableForInternalUse">
    <w:name w:val="ECHR_Table_For_Internal_Use"/>
    <w:basedOn w:val="TableNormal"/>
    <w:uiPriority w:val="99"/>
    <w:rsid w:val="00FA4F6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A4F6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A4F6C"/>
  </w:style>
  <w:style w:type="paragraph" w:styleId="BlockText">
    <w:name w:val="Block Text"/>
    <w:basedOn w:val="Normal"/>
    <w:uiPriority w:val="98"/>
    <w:semiHidden/>
    <w:rsid w:val="00FA4F6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A4F6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A4F6C"/>
    <w:pPr>
      <w:spacing w:after="120"/>
    </w:pPr>
  </w:style>
  <w:style w:type="character" w:customStyle="1" w:styleId="BodyTextChar">
    <w:name w:val="Body Text Char"/>
    <w:basedOn w:val="DefaultParagraphFont"/>
    <w:link w:val="BodyText"/>
    <w:uiPriority w:val="98"/>
    <w:semiHidden/>
    <w:rsid w:val="00FA4F6C"/>
    <w:rPr>
      <w:sz w:val="24"/>
      <w:szCs w:val="24"/>
      <w:lang w:val="en-GB"/>
    </w:rPr>
  </w:style>
  <w:style w:type="table" w:customStyle="1" w:styleId="ECHRTableOddBanded">
    <w:name w:val="ECHR_Table_Odd_Banded"/>
    <w:basedOn w:val="TableNormal"/>
    <w:uiPriority w:val="99"/>
    <w:rsid w:val="00FA4F6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A4F6C"/>
    <w:pPr>
      <w:spacing w:after="120" w:line="480" w:lineRule="auto"/>
    </w:pPr>
  </w:style>
  <w:style w:type="table" w:customStyle="1" w:styleId="ECHRHeaderTableReduced">
    <w:name w:val="ECHR_Header_Table_Reduced"/>
    <w:basedOn w:val="TableNormal"/>
    <w:uiPriority w:val="99"/>
    <w:rsid w:val="00FA4F6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A4F6C"/>
    <w:pPr>
      <w:ind w:firstLine="284"/>
    </w:pPr>
    <w:rPr>
      <w:b/>
    </w:rPr>
  </w:style>
  <w:style w:type="character" w:styleId="PageNumber">
    <w:name w:val="page number"/>
    <w:uiPriority w:val="98"/>
    <w:semiHidden/>
    <w:rsid w:val="00FA4F6C"/>
    <w:rPr>
      <w:sz w:val="18"/>
    </w:rPr>
  </w:style>
  <w:style w:type="paragraph" w:styleId="ListBullet">
    <w:name w:val="List Bullet"/>
    <w:basedOn w:val="Normal"/>
    <w:uiPriority w:val="98"/>
    <w:semiHidden/>
    <w:rsid w:val="00FA4F6C"/>
    <w:pPr>
      <w:numPr>
        <w:numId w:val="93"/>
      </w:numPr>
    </w:pPr>
  </w:style>
  <w:style w:type="paragraph" w:styleId="ListBullet3">
    <w:name w:val="List Bullet 3"/>
    <w:basedOn w:val="Normal"/>
    <w:uiPriority w:val="98"/>
    <w:semiHidden/>
    <w:rsid w:val="00FA4F6C"/>
    <w:pPr>
      <w:numPr>
        <w:numId w:val="95"/>
      </w:numPr>
      <w:contextualSpacing/>
    </w:pPr>
  </w:style>
  <w:style w:type="character" w:customStyle="1" w:styleId="BodyText2Char">
    <w:name w:val="Body Text 2 Char"/>
    <w:basedOn w:val="DefaultParagraphFont"/>
    <w:link w:val="BodyText2"/>
    <w:uiPriority w:val="98"/>
    <w:semiHidden/>
    <w:rsid w:val="00FA4F6C"/>
    <w:rPr>
      <w:sz w:val="24"/>
      <w:szCs w:val="24"/>
      <w:lang w:val="en-GB"/>
    </w:rPr>
  </w:style>
  <w:style w:type="paragraph" w:styleId="BodyText3">
    <w:name w:val="Body Text 3"/>
    <w:basedOn w:val="Normal"/>
    <w:link w:val="BodyText3Char"/>
    <w:uiPriority w:val="98"/>
    <w:semiHidden/>
    <w:rsid w:val="00FA4F6C"/>
    <w:pPr>
      <w:spacing w:after="120"/>
    </w:pPr>
    <w:rPr>
      <w:sz w:val="16"/>
      <w:szCs w:val="16"/>
    </w:rPr>
  </w:style>
  <w:style w:type="character" w:customStyle="1" w:styleId="BodyText3Char">
    <w:name w:val="Body Text 3 Char"/>
    <w:basedOn w:val="DefaultParagraphFont"/>
    <w:link w:val="BodyText3"/>
    <w:uiPriority w:val="98"/>
    <w:semiHidden/>
    <w:rsid w:val="00FA4F6C"/>
    <w:rPr>
      <w:sz w:val="16"/>
      <w:szCs w:val="16"/>
      <w:lang w:val="en-GB"/>
    </w:rPr>
  </w:style>
  <w:style w:type="paragraph" w:styleId="BodyTextFirstIndent">
    <w:name w:val="Body Text First Indent"/>
    <w:basedOn w:val="BodyText"/>
    <w:link w:val="BodyTextFirstIndentChar"/>
    <w:uiPriority w:val="98"/>
    <w:semiHidden/>
    <w:rsid w:val="00FA4F6C"/>
    <w:pPr>
      <w:spacing w:after="0"/>
      <w:ind w:firstLine="360"/>
    </w:pPr>
  </w:style>
  <w:style w:type="character" w:customStyle="1" w:styleId="BodyTextFirstIndentChar">
    <w:name w:val="Body Text First Indent Char"/>
    <w:basedOn w:val="BodyTextChar"/>
    <w:link w:val="BodyTextFirstIndent"/>
    <w:uiPriority w:val="98"/>
    <w:semiHidden/>
    <w:rsid w:val="00FA4F6C"/>
    <w:rPr>
      <w:sz w:val="24"/>
      <w:szCs w:val="24"/>
      <w:lang w:val="en-GB"/>
    </w:rPr>
  </w:style>
  <w:style w:type="paragraph" w:styleId="BodyTextIndent">
    <w:name w:val="Body Text Indent"/>
    <w:basedOn w:val="Normal"/>
    <w:link w:val="BodyTextIndentChar"/>
    <w:uiPriority w:val="98"/>
    <w:semiHidden/>
    <w:rsid w:val="00FA4F6C"/>
    <w:pPr>
      <w:spacing w:after="120"/>
      <w:ind w:left="283"/>
    </w:pPr>
  </w:style>
  <w:style w:type="character" w:customStyle="1" w:styleId="BodyTextIndentChar">
    <w:name w:val="Body Text Indent Char"/>
    <w:basedOn w:val="DefaultParagraphFont"/>
    <w:link w:val="BodyTextIndent"/>
    <w:uiPriority w:val="98"/>
    <w:semiHidden/>
    <w:rsid w:val="00FA4F6C"/>
    <w:rPr>
      <w:sz w:val="24"/>
      <w:szCs w:val="24"/>
      <w:lang w:val="en-GB"/>
    </w:rPr>
  </w:style>
  <w:style w:type="paragraph" w:styleId="BodyTextFirstIndent2">
    <w:name w:val="Body Text First Indent 2"/>
    <w:basedOn w:val="BodyTextIndent"/>
    <w:link w:val="BodyTextFirstIndent2Char"/>
    <w:uiPriority w:val="98"/>
    <w:semiHidden/>
    <w:rsid w:val="00FA4F6C"/>
    <w:pPr>
      <w:spacing w:after="0"/>
      <w:ind w:left="360" w:firstLine="360"/>
    </w:pPr>
  </w:style>
  <w:style w:type="character" w:customStyle="1" w:styleId="BodyTextFirstIndent2Char">
    <w:name w:val="Body Text First Indent 2 Char"/>
    <w:basedOn w:val="BodyTextIndentChar"/>
    <w:link w:val="BodyTextFirstIndent2"/>
    <w:uiPriority w:val="98"/>
    <w:semiHidden/>
    <w:rsid w:val="00FA4F6C"/>
    <w:rPr>
      <w:sz w:val="24"/>
      <w:szCs w:val="24"/>
      <w:lang w:val="en-GB"/>
    </w:rPr>
  </w:style>
  <w:style w:type="paragraph" w:styleId="BodyTextIndent2">
    <w:name w:val="Body Text Indent 2"/>
    <w:basedOn w:val="Normal"/>
    <w:link w:val="BodyTextIndent2Char"/>
    <w:uiPriority w:val="98"/>
    <w:semiHidden/>
    <w:rsid w:val="00FA4F6C"/>
    <w:pPr>
      <w:spacing w:after="120" w:line="480" w:lineRule="auto"/>
      <w:ind w:left="283"/>
    </w:pPr>
  </w:style>
  <w:style w:type="character" w:customStyle="1" w:styleId="BodyTextIndent2Char">
    <w:name w:val="Body Text Indent 2 Char"/>
    <w:basedOn w:val="DefaultParagraphFont"/>
    <w:link w:val="BodyTextIndent2"/>
    <w:uiPriority w:val="98"/>
    <w:semiHidden/>
    <w:rsid w:val="00FA4F6C"/>
    <w:rPr>
      <w:sz w:val="24"/>
      <w:szCs w:val="24"/>
      <w:lang w:val="en-GB"/>
    </w:rPr>
  </w:style>
  <w:style w:type="paragraph" w:styleId="BodyTextIndent3">
    <w:name w:val="Body Text Indent 3"/>
    <w:basedOn w:val="Normal"/>
    <w:link w:val="BodyTextIndent3Char"/>
    <w:uiPriority w:val="98"/>
    <w:semiHidden/>
    <w:rsid w:val="00FA4F6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A4F6C"/>
    <w:rPr>
      <w:sz w:val="16"/>
      <w:szCs w:val="16"/>
      <w:lang w:val="en-GB"/>
    </w:rPr>
  </w:style>
  <w:style w:type="paragraph" w:styleId="Caption">
    <w:name w:val="caption"/>
    <w:basedOn w:val="Normal"/>
    <w:next w:val="Normal"/>
    <w:uiPriority w:val="98"/>
    <w:semiHidden/>
    <w:qFormat/>
    <w:rsid w:val="00FA4F6C"/>
    <w:pPr>
      <w:spacing w:after="200"/>
    </w:pPr>
    <w:rPr>
      <w:b/>
      <w:bCs/>
      <w:color w:val="0072BC" w:themeColor="accent1"/>
      <w:sz w:val="18"/>
      <w:szCs w:val="18"/>
    </w:rPr>
  </w:style>
  <w:style w:type="paragraph" w:styleId="Closing">
    <w:name w:val="Closing"/>
    <w:basedOn w:val="Normal"/>
    <w:link w:val="ClosingChar"/>
    <w:uiPriority w:val="98"/>
    <w:semiHidden/>
    <w:rsid w:val="00FA4F6C"/>
    <w:pPr>
      <w:ind w:left="4252"/>
    </w:pPr>
  </w:style>
  <w:style w:type="character" w:customStyle="1" w:styleId="ClosingChar">
    <w:name w:val="Closing Char"/>
    <w:basedOn w:val="DefaultParagraphFont"/>
    <w:link w:val="Closing"/>
    <w:uiPriority w:val="98"/>
    <w:semiHidden/>
    <w:rsid w:val="00FA4F6C"/>
    <w:rPr>
      <w:sz w:val="24"/>
      <w:szCs w:val="24"/>
      <w:lang w:val="en-GB"/>
    </w:rPr>
  </w:style>
  <w:style w:type="table" w:styleId="ColorfulGrid">
    <w:name w:val="Colorful Grid"/>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A4F6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A4F6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A4F6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A4F6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A4F6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A4F6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A4F6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A4F6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A4F6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A4F6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A4F6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A4F6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A4F6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A4F6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A4F6C"/>
    <w:rPr>
      <w:sz w:val="16"/>
      <w:szCs w:val="16"/>
    </w:rPr>
  </w:style>
  <w:style w:type="paragraph" w:styleId="CommentText">
    <w:name w:val="annotation text"/>
    <w:basedOn w:val="Normal"/>
    <w:link w:val="CommentTextChar"/>
    <w:uiPriority w:val="98"/>
    <w:semiHidden/>
    <w:rsid w:val="00FA4F6C"/>
    <w:rPr>
      <w:sz w:val="20"/>
      <w:szCs w:val="20"/>
    </w:rPr>
  </w:style>
  <w:style w:type="character" w:customStyle="1" w:styleId="CommentTextChar">
    <w:name w:val="Comment Text Char"/>
    <w:basedOn w:val="DefaultParagraphFont"/>
    <w:link w:val="CommentText"/>
    <w:uiPriority w:val="98"/>
    <w:semiHidden/>
    <w:rsid w:val="00FA4F6C"/>
    <w:rPr>
      <w:sz w:val="20"/>
      <w:szCs w:val="20"/>
      <w:lang w:val="en-GB"/>
    </w:rPr>
  </w:style>
  <w:style w:type="paragraph" w:styleId="CommentSubject">
    <w:name w:val="annotation subject"/>
    <w:basedOn w:val="CommentText"/>
    <w:next w:val="CommentText"/>
    <w:link w:val="CommentSubjectChar"/>
    <w:uiPriority w:val="98"/>
    <w:semiHidden/>
    <w:rsid w:val="00FA4F6C"/>
    <w:rPr>
      <w:b/>
      <w:bCs/>
    </w:rPr>
  </w:style>
  <w:style w:type="character" w:customStyle="1" w:styleId="CommentSubjectChar">
    <w:name w:val="Comment Subject Char"/>
    <w:basedOn w:val="CommentTextChar"/>
    <w:link w:val="CommentSubject"/>
    <w:uiPriority w:val="98"/>
    <w:semiHidden/>
    <w:rsid w:val="00FA4F6C"/>
    <w:rPr>
      <w:b/>
      <w:bCs/>
      <w:sz w:val="20"/>
      <w:szCs w:val="20"/>
      <w:lang w:val="en-GB"/>
    </w:rPr>
  </w:style>
  <w:style w:type="table" w:styleId="DarkList">
    <w:name w:val="Dark List"/>
    <w:basedOn w:val="TableNormal"/>
    <w:uiPriority w:val="70"/>
    <w:semiHidden/>
    <w:rsid w:val="00FA4F6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A4F6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A4F6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A4F6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A4F6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A4F6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A4F6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A4F6C"/>
  </w:style>
  <w:style w:type="character" w:customStyle="1" w:styleId="DateChar">
    <w:name w:val="Date Char"/>
    <w:basedOn w:val="DefaultParagraphFont"/>
    <w:link w:val="Date"/>
    <w:uiPriority w:val="98"/>
    <w:semiHidden/>
    <w:rsid w:val="00FA4F6C"/>
    <w:rPr>
      <w:sz w:val="24"/>
      <w:szCs w:val="24"/>
      <w:lang w:val="en-GB"/>
    </w:rPr>
  </w:style>
  <w:style w:type="paragraph" w:styleId="DocumentMap">
    <w:name w:val="Document Map"/>
    <w:basedOn w:val="Normal"/>
    <w:link w:val="DocumentMapChar"/>
    <w:uiPriority w:val="98"/>
    <w:semiHidden/>
    <w:rsid w:val="00FA4F6C"/>
    <w:rPr>
      <w:rFonts w:ascii="Tahoma" w:hAnsi="Tahoma" w:cs="Tahoma"/>
      <w:sz w:val="16"/>
      <w:szCs w:val="16"/>
    </w:rPr>
  </w:style>
  <w:style w:type="character" w:customStyle="1" w:styleId="DocumentMapChar">
    <w:name w:val="Document Map Char"/>
    <w:basedOn w:val="DefaultParagraphFont"/>
    <w:link w:val="DocumentMap"/>
    <w:uiPriority w:val="98"/>
    <w:semiHidden/>
    <w:rsid w:val="00FA4F6C"/>
    <w:rPr>
      <w:rFonts w:ascii="Tahoma" w:hAnsi="Tahoma" w:cs="Tahoma"/>
      <w:sz w:val="16"/>
      <w:szCs w:val="16"/>
      <w:lang w:val="en-GB"/>
    </w:rPr>
  </w:style>
  <w:style w:type="paragraph" w:styleId="E-mailSignature">
    <w:name w:val="E-mail Signature"/>
    <w:basedOn w:val="Normal"/>
    <w:link w:val="E-mailSignatureChar"/>
    <w:uiPriority w:val="98"/>
    <w:semiHidden/>
    <w:rsid w:val="00FA4F6C"/>
  </w:style>
  <w:style w:type="character" w:customStyle="1" w:styleId="E-mailSignatureChar">
    <w:name w:val="E-mail Signature Char"/>
    <w:basedOn w:val="DefaultParagraphFont"/>
    <w:link w:val="E-mailSignature"/>
    <w:uiPriority w:val="98"/>
    <w:semiHidden/>
    <w:rsid w:val="00FA4F6C"/>
    <w:rPr>
      <w:sz w:val="24"/>
      <w:szCs w:val="24"/>
      <w:lang w:val="en-GB"/>
    </w:rPr>
  </w:style>
  <w:style w:type="character" w:styleId="EndnoteReference">
    <w:name w:val="endnote reference"/>
    <w:basedOn w:val="DefaultParagraphFont"/>
    <w:uiPriority w:val="98"/>
    <w:semiHidden/>
    <w:rsid w:val="00FA4F6C"/>
    <w:rPr>
      <w:vertAlign w:val="superscript"/>
    </w:rPr>
  </w:style>
  <w:style w:type="paragraph" w:styleId="EndnoteText">
    <w:name w:val="endnote text"/>
    <w:basedOn w:val="Normal"/>
    <w:link w:val="EndnoteTextChar"/>
    <w:uiPriority w:val="98"/>
    <w:semiHidden/>
    <w:rsid w:val="00FA4F6C"/>
    <w:rPr>
      <w:sz w:val="20"/>
      <w:szCs w:val="20"/>
    </w:rPr>
  </w:style>
  <w:style w:type="character" w:customStyle="1" w:styleId="EndnoteTextChar">
    <w:name w:val="Endnote Text Char"/>
    <w:basedOn w:val="DefaultParagraphFont"/>
    <w:link w:val="EndnoteText"/>
    <w:uiPriority w:val="98"/>
    <w:semiHidden/>
    <w:rsid w:val="00FA4F6C"/>
    <w:rPr>
      <w:sz w:val="20"/>
      <w:szCs w:val="20"/>
      <w:lang w:val="en-GB"/>
    </w:rPr>
  </w:style>
  <w:style w:type="paragraph" w:styleId="EnvelopeAddress">
    <w:name w:val="envelope address"/>
    <w:basedOn w:val="Normal"/>
    <w:uiPriority w:val="98"/>
    <w:semiHidden/>
    <w:rsid w:val="00FA4F6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A4F6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A4F6C"/>
    <w:rPr>
      <w:color w:val="7030A0" w:themeColor="followedHyperlink"/>
      <w:u w:val="single"/>
    </w:rPr>
  </w:style>
  <w:style w:type="character" w:styleId="HTMLAcronym">
    <w:name w:val="HTML Acronym"/>
    <w:basedOn w:val="DefaultParagraphFont"/>
    <w:uiPriority w:val="98"/>
    <w:semiHidden/>
    <w:rsid w:val="00FA4F6C"/>
  </w:style>
  <w:style w:type="paragraph" w:styleId="HTMLAddress">
    <w:name w:val="HTML Address"/>
    <w:basedOn w:val="Normal"/>
    <w:link w:val="HTMLAddressChar"/>
    <w:uiPriority w:val="98"/>
    <w:semiHidden/>
    <w:rsid w:val="00FA4F6C"/>
    <w:rPr>
      <w:i/>
      <w:iCs/>
    </w:rPr>
  </w:style>
  <w:style w:type="character" w:customStyle="1" w:styleId="HTMLAddressChar">
    <w:name w:val="HTML Address Char"/>
    <w:basedOn w:val="DefaultParagraphFont"/>
    <w:link w:val="HTMLAddress"/>
    <w:uiPriority w:val="98"/>
    <w:semiHidden/>
    <w:rsid w:val="00FA4F6C"/>
    <w:rPr>
      <w:i/>
      <w:iCs/>
      <w:sz w:val="24"/>
      <w:szCs w:val="24"/>
      <w:lang w:val="en-GB"/>
    </w:rPr>
  </w:style>
  <w:style w:type="character" w:styleId="HTMLCite">
    <w:name w:val="HTML Cite"/>
    <w:basedOn w:val="DefaultParagraphFont"/>
    <w:uiPriority w:val="98"/>
    <w:semiHidden/>
    <w:rsid w:val="00FA4F6C"/>
    <w:rPr>
      <w:i/>
      <w:iCs/>
    </w:rPr>
  </w:style>
  <w:style w:type="character" w:styleId="HTMLCode">
    <w:name w:val="HTML Code"/>
    <w:basedOn w:val="DefaultParagraphFont"/>
    <w:uiPriority w:val="98"/>
    <w:semiHidden/>
    <w:rsid w:val="00FA4F6C"/>
    <w:rPr>
      <w:rFonts w:ascii="Consolas" w:hAnsi="Consolas" w:cs="Consolas"/>
      <w:sz w:val="20"/>
      <w:szCs w:val="20"/>
    </w:rPr>
  </w:style>
  <w:style w:type="character" w:styleId="HTMLDefinition">
    <w:name w:val="HTML Definition"/>
    <w:basedOn w:val="DefaultParagraphFont"/>
    <w:uiPriority w:val="98"/>
    <w:semiHidden/>
    <w:rsid w:val="00FA4F6C"/>
    <w:rPr>
      <w:i/>
      <w:iCs/>
    </w:rPr>
  </w:style>
  <w:style w:type="character" w:styleId="HTMLKeyboard">
    <w:name w:val="HTML Keyboard"/>
    <w:basedOn w:val="DefaultParagraphFont"/>
    <w:uiPriority w:val="98"/>
    <w:semiHidden/>
    <w:rsid w:val="00FA4F6C"/>
    <w:rPr>
      <w:rFonts w:ascii="Consolas" w:hAnsi="Consolas" w:cs="Consolas"/>
      <w:sz w:val="20"/>
      <w:szCs w:val="20"/>
    </w:rPr>
  </w:style>
  <w:style w:type="paragraph" w:styleId="HTMLPreformatted">
    <w:name w:val="HTML Preformatted"/>
    <w:basedOn w:val="Normal"/>
    <w:link w:val="HTMLPreformattedChar"/>
    <w:uiPriority w:val="98"/>
    <w:semiHidden/>
    <w:rsid w:val="00FA4F6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A4F6C"/>
    <w:rPr>
      <w:rFonts w:ascii="Consolas" w:hAnsi="Consolas" w:cs="Consolas"/>
      <w:sz w:val="20"/>
      <w:szCs w:val="20"/>
      <w:lang w:val="en-GB"/>
    </w:rPr>
  </w:style>
  <w:style w:type="character" w:styleId="HTMLSample">
    <w:name w:val="HTML Sample"/>
    <w:basedOn w:val="DefaultParagraphFont"/>
    <w:uiPriority w:val="98"/>
    <w:semiHidden/>
    <w:rsid w:val="00FA4F6C"/>
    <w:rPr>
      <w:rFonts w:ascii="Consolas" w:hAnsi="Consolas" w:cs="Consolas"/>
      <w:sz w:val="24"/>
      <w:szCs w:val="24"/>
    </w:rPr>
  </w:style>
  <w:style w:type="character" w:styleId="HTMLTypewriter">
    <w:name w:val="HTML Typewriter"/>
    <w:basedOn w:val="DefaultParagraphFont"/>
    <w:uiPriority w:val="98"/>
    <w:semiHidden/>
    <w:rsid w:val="00FA4F6C"/>
    <w:rPr>
      <w:rFonts w:ascii="Consolas" w:hAnsi="Consolas" w:cs="Consolas"/>
      <w:sz w:val="20"/>
      <w:szCs w:val="20"/>
    </w:rPr>
  </w:style>
  <w:style w:type="character" w:styleId="HTMLVariable">
    <w:name w:val="HTML Variable"/>
    <w:basedOn w:val="DefaultParagraphFont"/>
    <w:uiPriority w:val="98"/>
    <w:semiHidden/>
    <w:rsid w:val="00FA4F6C"/>
    <w:rPr>
      <w:i/>
      <w:iCs/>
    </w:rPr>
  </w:style>
  <w:style w:type="paragraph" w:styleId="Index1">
    <w:name w:val="index 1"/>
    <w:basedOn w:val="Normal"/>
    <w:next w:val="Normal"/>
    <w:autoRedefine/>
    <w:uiPriority w:val="98"/>
    <w:semiHidden/>
    <w:rsid w:val="00FA4F6C"/>
    <w:pPr>
      <w:ind w:left="240" w:hanging="240"/>
    </w:pPr>
  </w:style>
  <w:style w:type="paragraph" w:styleId="Index2">
    <w:name w:val="index 2"/>
    <w:basedOn w:val="Normal"/>
    <w:next w:val="Normal"/>
    <w:autoRedefine/>
    <w:uiPriority w:val="98"/>
    <w:semiHidden/>
    <w:rsid w:val="00FA4F6C"/>
    <w:pPr>
      <w:ind w:left="480" w:hanging="240"/>
    </w:pPr>
  </w:style>
  <w:style w:type="paragraph" w:styleId="Index3">
    <w:name w:val="index 3"/>
    <w:basedOn w:val="Normal"/>
    <w:next w:val="Normal"/>
    <w:autoRedefine/>
    <w:uiPriority w:val="98"/>
    <w:semiHidden/>
    <w:rsid w:val="00FA4F6C"/>
    <w:pPr>
      <w:ind w:left="720" w:hanging="240"/>
    </w:pPr>
  </w:style>
  <w:style w:type="paragraph" w:styleId="Index4">
    <w:name w:val="index 4"/>
    <w:basedOn w:val="Normal"/>
    <w:next w:val="Normal"/>
    <w:autoRedefine/>
    <w:uiPriority w:val="98"/>
    <w:semiHidden/>
    <w:rsid w:val="00FA4F6C"/>
    <w:pPr>
      <w:ind w:left="960" w:hanging="240"/>
    </w:pPr>
  </w:style>
  <w:style w:type="paragraph" w:styleId="Index5">
    <w:name w:val="index 5"/>
    <w:basedOn w:val="Normal"/>
    <w:next w:val="Normal"/>
    <w:autoRedefine/>
    <w:uiPriority w:val="98"/>
    <w:semiHidden/>
    <w:rsid w:val="00FA4F6C"/>
    <w:pPr>
      <w:ind w:left="1200" w:hanging="240"/>
    </w:pPr>
  </w:style>
  <w:style w:type="paragraph" w:styleId="Index6">
    <w:name w:val="index 6"/>
    <w:basedOn w:val="Normal"/>
    <w:next w:val="Normal"/>
    <w:autoRedefine/>
    <w:uiPriority w:val="98"/>
    <w:semiHidden/>
    <w:rsid w:val="00FA4F6C"/>
    <w:pPr>
      <w:ind w:left="1440" w:hanging="240"/>
    </w:pPr>
  </w:style>
  <w:style w:type="paragraph" w:styleId="Index7">
    <w:name w:val="index 7"/>
    <w:basedOn w:val="Normal"/>
    <w:next w:val="Normal"/>
    <w:autoRedefine/>
    <w:uiPriority w:val="98"/>
    <w:semiHidden/>
    <w:rsid w:val="00FA4F6C"/>
    <w:pPr>
      <w:ind w:left="1680" w:hanging="240"/>
    </w:pPr>
  </w:style>
  <w:style w:type="paragraph" w:styleId="Index8">
    <w:name w:val="index 8"/>
    <w:basedOn w:val="Normal"/>
    <w:next w:val="Normal"/>
    <w:autoRedefine/>
    <w:uiPriority w:val="98"/>
    <w:semiHidden/>
    <w:rsid w:val="00FA4F6C"/>
    <w:pPr>
      <w:ind w:left="1920" w:hanging="240"/>
    </w:pPr>
  </w:style>
  <w:style w:type="paragraph" w:styleId="Index9">
    <w:name w:val="index 9"/>
    <w:basedOn w:val="Normal"/>
    <w:next w:val="Normal"/>
    <w:autoRedefine/>
    <w:uiPriority w:val="98"/>
    <w:semiHidden/>
    <w:rsid w:val="00FA4F6C"/>
    <w:pPr>
      <w:ind w:left="2160" w:hanging="240"/>
    </w:pPr>
  </w:style>
  <w:style w:type="paragraph" w:styleId="IndexHeading">
    <w:name w:val="index heading"/>
    <w:basedOn w:val="Normal"/>
    <w:next w:val="Index1"/>
    <w:uiPriority w:val="98"/>
    <w:semiHidden/>
    <w:rsid w:val="00FA4F6C"/>
    <w:rPr>
      <w:rFonts w:asciiTheme="majorHAnsi" w:eastAsiaTheme="majorEastAsia" w:hAnsiTheme="majorHAnsi" w:cstheme="majorBidi"/>
      <w:b/>
      <w:bCs/>
    </w:rPr>
  </w:style>
  <w:style w:type="table" w:styleId="LightGrid">
    <w:name w:val="Light Grid"/>
    <w:basedOn w:val="TableNormal"/>
    <w:uiPriority w:val="62"/>
    <w:semiHidden/>
    <w:rsid w:val="00FA4F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A4F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A4F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A4F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A4F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A4F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A4F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A4F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A4F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A4F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A4F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A4F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A4F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A4F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A4F6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A4F6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A4F6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A4F6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A4F6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A4F6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A4F6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A4F6C"/>
  </w:style>
  <w:style w:type="paragraph" w:styleId="List">
    <w:name w:val="List"/>
    <w:basedOn w:val="Normal"/>
    <w:uiPriority w:val="98"/>
    <w:semiHidden/>
    <w:rsid w:val="00FA4F6C"/>
    <w:pPr>
      <w:ind w:left="283" w:hanging="283"/>
      <w:contextualSpacing/>
    </w:pPr>
  </w:style>
  <w:style w:type="paragraph" w:styleId="List20">
    <w:name w:val="List 2"/>
    <w:basedOn w:val="Normal"/>
    <w:uiPriority w:val="98"/>
    <w:semiHidden/>
    <w:rsid w:val="00FA4F6C"/>
    <w:pPr>
      <w:ind w:left="566" w:hanging="283"/>
      <w:contextualSpacing/>
    </w:pPr>
  </w:style>
  <w:style w:type="paragraph" w:styleId="List30">
    <w:name w:val="List 3"/>
    <w:basedOn w:val="Normal"/>
    <w:uiPriority w:val="98"/>
    <w:semiHidden/>
    <w:rsid w:val="00FA4F6C"/>
    <w:pPr>
      <w:ind w:left="849" w:hanging="283"/>
      <w:contextualSpacing/>
    </w:pPr>
  </w:style>
  <w:style w:type="paragraph" w:styleId="List4">
    <w:name w:val="List 4"/>
    <w:basedOn w:val="Normal"/>
    <w:uiPriority w:val="98"/>
    <w:semiHidden/>
    <w:rsid w:val="00FA4F6C"/>
    <w:pPr>
      <w:ind w:left="1132" w:hanging="283"/>
      <w:contextualSpacing/>
    </w:pPr>
  </w:style>
  <w:style w:type="paragraph" w:styleId="List5">
    <w:name w:val="List 5"/>
    <w:basedOn w:val="Normal"/>
    <w:uiPriority w:val="98"/>
    <w:semiHidden/>
    <w:rsid w:val="00FA4F6C"/>
    <w:pPr>
      <w:ind w:left="1415" w:hanging="283"/>
      <w:contextualSpacing/>
    </w:pPr>
  </w:style>
  <w:style w:type="paragraph" w:styleId="ListBullet2">
    <w:name w:val="List Bullet 2"/>
    <w:basedOn w:val="Normal"/>
    <w:uiPriority w:val="98"/>
    <w:semiHidden/>
    <w:rsid w:val="00FA4F6C"/>
    <w:pPr>
      <w:numPr>
        <w:numId w:val="94"/>
      </w:numPr>
      <w:contextualSpacing/>
    </w:pPr>
  </w:style>
  <w:style w:type="paragraph" w:styleId="ListBullet4">
    <w:name w:val="List Bullet 4"/>
    <w:basedOn w:val="Normal"/>
    <w:uiPriority w:val="98"/>
    <w:semiHidden/>
    <w:rsid w:val="00FA4F6C"/>
    <w:pPr>
      <w:numPr>
        <w:numId w:val="96"/>
      </w:numPr>
      <w:contextualSpacing/>
    </w:pPr>
  </w:style>
  <w:style w:type="paragraph" w:styleId="ListBullet5">
    <w:name w:val="List Bullet 5"/>
    <w:basedOn w:val="Normal"/>
    <w:uiPriority w:val="98"/>
    <w:semiHidden/>
    <w:rsid w:val="00FA4F6C"/>
    <w:pPr>
      <w:numPr>
        <w:numId w:val="97"/>
      </w:numPr>
      <w:contextualSpacing/>
    </w:pPr>
  </w:style>
  <w:style w:type="paragraph" w:styleId="ListContinue">
    <w:name w:val="List Continue"/>
    <w:basedOn w:val="Normal"/>
    <w:uiPriority w:val="98"/>
    <w:semiHidden/>
    <w:rsid w:val="00FA4F6C"/>
    <w:pPr>
      <w:spacing w:after="120"/>
      <w:ind w:left="283"/>
      <w:contextualSpacing/>
    </w:pPr>
  </w:style>
  <w:style w:type="paragraph" w:styleId="ListContinue2">
    <w:name w:val="List Continue 2"/>
    <w:basedOn w:val="Normal"/>
    <w:uiPriority w:val="98"/>
    <w:semiHidden/>
    <w:rsid w:val="00FA4F6C"/>
    <w:pPr>
      <w:spacing w:after="120"/>
      <w:ind w:left="566"/>
      <w:contextualSpacing/>
    </w:pPr>
  </w:style>
  <w:style w:type="paragraph" w:styleId="ListContinue3">
    <w:name w:val="List Continue 3"/>
    <w:basedOn w:val="Normal"/>
    <w:uiPriority w:val="98"/>
    <w:semiHidden/>
    <w:rsid w:val="00FA4F6C"/>
    <w:pPr>
      <w:spacing w:after="120"/>
      <w:ind w:left="849"/>
      <w:contextualSpacing/>
    </w:pPr>
  </w:style>
  <w:style w:type="paragraph" w:styleId="ListContinue4">
    <w:name w:val="List Continue 4"/>
    <w:basedOn w:val="Normal"/>
    <w:uiPriority w:val="98"/>
    <w:semiHidden/>
    <w:rsid w:val="00FA4F6C"/>
    <w:pPr>
      <w:spacing w:after="120"/>
      <w:ind w:left="1132"/>
      <w:contextualSpacing/>
    </w:pPr>
  </w:style>
  <w:style w:type="paragraph" w:styleId="ListContinue5">
    <w:name w:val="List Continue 5"/>
    <w:basedOn w:val="Normal"/>
    <w:uiPriority w:val="98"/>
    <w:semiHidden/>
    <w:rsid w:val="00FA4F6C"/>
    <w:pPr>
      <w:spacing w:after="120"/>
      <w:ind w:left="1415"/>
      <w:contextualSpacing/>
    </w:pPr>
  </w:style>
  <w:style w:type="paragraph" w:styleId="ListNumber">
    <w:name w:val="List Number"/>
    <w:basedOn w:val="Normal"/>
    <w:uiPriority w:val="98"/>
    <w:semiHidden/>
    <w:rsid w:val="00FA4F6C"/>
    <w:pPr>
      <w:numPr>
        <w:numId w:val="98"/>
      </w:numPr>
      <w:contextualSpacing/>
    </w:pPr>
  </w:style>
  <w:style w:type="paragraph" w:styleId="ListNumber2">
    <w:name w:val="List Number 2"/>
    <w:basedOn w:val="Normal"/>
    <w:uiPriority w:val="98"/>
    <w:semiHidden/>
    <w:rsid w:val="00FA4F6C"/>
    <w:pPr>
      <w:numPr>
        <w:numId w:val="99"/>
      </w:numPr>
      <w:contextualSpacing/>
    </w:pPr>
  </w:style>
  <w:style w:type="paragraph" w:styleId="ListNumber3">
    <w:name w:val="List Number 3"/>
    <w:basedOn w:val="Normal"/>
    <w:uiPriority w:val="98"/>
    <w:semiHidden/>
    <w:rsid w:val="00FA4F6C"/>
    <w:pPr>
      <w:numPr>
        <w:numId w:val="100"/>
      </w:numPr>
      <w:contextualSpacing/>
    </w:pPr>
  </w:style>
  <w:style w:type="paragraph" w:styleId="ListNumber4">
    <w:name w:val="List Number 4"/>
    <w:basedOn w:val="Normal"/>
    <w:uiPriority w:val="98"/>
    <w:semiHidden/>
    <w:rsid w:val="00FA4F6C"/>
    <w:pPr>
      <w:numPr>
        <w:numId w:val="101"/>
      </w:numPr>
      <w:contextualSpacing/>
    </w:pPr>
  </w:style>
  <w:style w:type="paragraph" w:styleId="ListNumber5">
    <w:name w:val="List Number 5"/>
    <w:basedOn w:val="Normal"/>
    <w:uiPriority w:val="98"/>
    <w:semiHidden/>
    <w:rsid w:val="00FA4F6C"/>
    <w:pPr>
      <w:numPr>
        <w:numId w:val="102"/>
      </w:numPr>
      <w:contextualSpacing/>
    </w:pPr>
  </w:style>
  <w:style w:type="paragraph" w:styleId="Macro">
    <w:name w:val="macro"/>
    <w:link w:val="MacroTextChar"/>
    <w:uiPriority w:val="98"/>
    <w:semiHidden/>
    <w:rsid w:val="00FA4F6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A4F6C"/>
    <w:rPr>
      <w:rFonts w:ascii="Consolas" w:hAnsi="Consolas" w:eastAsiaTheme="minorEastAsia" w:cs="Consolas"/>
      <w:sz w:val="20"/>
      <w:szCs w:val="20"/>
    </w:rPr>
  </w:style>
  <w:style w:type="table" w:styleId="MediumGrid1">
    <w:name w:val="Medium Grid 1"/>
    <w:basedOn w:val="TableNormal"/>
    <w:uiPriority w:val="67"/>
    <w:semiHidden/>
    <w:rsid w:val="00FA4F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A4F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A4F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A4F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A4F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A4F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A4F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A4F6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A4F6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A4F6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A4F6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A4F6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A4F6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A4F6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A4F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A4F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A4F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A4F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A4F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A4F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A4F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A4F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A4F6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A4F6C"/>
    <w:rPr>
      <w:rFonts w:ascii="Times New Roman" w:hAnsi="Times New Roman" w:cs="Times New Roman"/>
    </w:rPr>
  </w:style>
  <w:style w:type="paragraph" w:styleId="NormalIndent">
    <w:name w:val="Normal Indent"/>
    <w:basedOn w:val="Normal"/>
    <w:uiPriority w:val="98"/>
    <w:semiHidden/>
    <w:rsid w:val="00FA4F6C"/>
    <w:pPr>
      <w:ind w:left="720"/>
    </w:pPr>
  </w:style>
  <w:style w:type="paragraph" w:styleId="NoteHeading">
    <w:name w:val="Note Heading"/>
    <w:basedOn w:val="Normal"/>
    <w:next w:val="Normal"/>
    <w:link w:val="NoteHeadingChar"/>
    <w:uiPriority w:val="98"/>
    <w:semiHidden/>
    <w:rsid w:val="00FA4F6C"/>
  </w:style>
  <w:style w:type="character" w:customStyle="1" w:styleId="NoteHeadingChar">
    <w:name w:val="Note Heading Char"/>
    <w:basedOn w:val="DefaultParagraphFont"/>
    <w:link w:val="NoteHeading"/>
    <w:uiPriority w:val="98"/>
    <w:semiHidden/>
    <w:rsid w:val="00FA4F6C"/>
    <w:rPr>
      <w:sz w:val="24"/>
      <w:szCs w:val="24"/>
      <w:lang w:val="en-GB"/>
    </w:rPr>
  </w:style>
  <w:style w:type="character" w:styleId="PlaceholderText">
    <w:name w:val="Placeholder Text"/>
    <w:basedOn w:val="DefaultParagraphFont"/>
    <w:uiPriority w:val="98"/>
    <w:semiHidden/>
    <w:rsid w:val="00FA4F6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A4F6C"/>
    <w:rPr>
      <w:rFonts w:ascii="Consolas" w:hAnsi="Consolas" w:cs="Consolas"/>
      <w:sz w:val="21"/>
      <w:szCs w:val="21"/>
    </w:rPr>
  </w:style>
  <w:style w:type="character" w:customStyle="1" w:styleId="PlainTextChar">
    <w:name w:val="Plain Text Char"/>
    <w:basedOn w:val="DefaultParagraphFont"/>
    <w:link w:val="PlainText"/>
    <w:uiPriority w:val="98"/>
    <w:semiHidden/>
    <w:rsid w:val="00FA4F6C"/>
    <w:rPr>
      <w:rFonts w:ascii="Consolas" w:hAnsi="Consolas" w:cs="Consolas"/>
      <w:sz w:val="21"/>
      <w:szCs w:val="21"/>
      <w:lang w:val="en-GB"/>
    </w:rPr>
  </w:style>
  <w:style w:type="paragraph" w:styleId="Salutation">
    <w:name w:val="Salutation"/>
    <w:basedOn w:val="Normal"/>
    <w:next w:val="Normal"/>
    <w:link w:val="SalutationChar"/>
    <w:uiPriority w:val="98"/>
    <w:semiHidden/>
    <w:rsid w:val="00FA4F6C"/>
  </w:style>
  <w:style w:type="character" w:customStyle="1" w:styleId="SalutationChar">
    <w:name w:val="Salutation Char"/>
    <w:basedOn w:val="DefaultParagraphFont"/>
    <w:link w:val="Salutation"/>
    <w:uiPriority w:val="98"/>
    <w:semiHidden/>
    <w:rsid w:val="00FA4F6C"/>
    <w:rPr>
      <w:sz w:val="24"/>
      <w:szCs w:val="24"/>
      <w:lang w:val="en-GB"/>
    </w:rPr>
  </w:style>
  <w:style w:type="paragraph" w:styleId="Signature0">
    <w:name w:val="Signature"/>
    <w:basedOn w:val="Normal"/>
    <w:link w:val="SignatureChar"/>
    <w:uiPriority w:val="98"/>
    <w:semiHidden/>
    <w:rsid w:val="00FA4F6C"/>
    <w:pPr>
      <w:ind w:left="4252"/>
    </w:pPr>
  </w:style>
  <w:style w:type="character" w:customStyle="1" w:styleId="SignatureChar">
    <w:name w:val="Signature Char"/>
    <w:basedOn w:val="DefaultParagraphFont"/>
    <w:link w:val="Signature0"/>
    <w:uiPriority w:val="98"/>
    <w:semiHidden/>
    <w:rsid w:val="00FA4F6C"/>
    <w:rPr>
      <w:sz w:val="24"/>
      <w:szCs w:val="24"/>
      <w:lang w:val="en-GB"/>
    </w:rPr>
  </w:style>
  <w:style w:type="table" w:styleId="Table3Deffects1">
    <w:name w:val="Table 3D effects 1"/>
    <w:basedOn w:val="TableNormal"/>
    <w:uiPriority w:val="99"/>
    <w:semiHidden/>
    <w:unhideWhenUsed/>
    <w:rsid w:val="00FA4F6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4F6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4F6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4F6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4F6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4F6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4F6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4F6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4F6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4F6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4F6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4F6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4F6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4F6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4F6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4F6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4F6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4F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4F6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4F6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4F6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4F6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4F6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4F6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4F6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4F6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4F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4F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4F6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4F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A4F6C"/>
    <w:pPr>
      <w:ind w:left="240" w:hanging="240"/>
    </w:pPr>
  </w:style>
  <w:style w:type="paragraph" w:styleId="TableofFigures">
    <w:name w:val="table of figures"/>
    <w:basedOn w:val="Normal"/>
    <w:next w:val="Normal"/>
    <w:uiPriority w:val="98"/>
    <w:semiHidden/>
    <w:rsid w:val="00FA4F6C"/>
  </w:style>
  <w:style w:type="table" w:styleId="TableProfessional">
    <w:name w:val="Table Professional"/>
    <w:basedOn w:val="TableNormal"/>
    <w:uiPriority w:val="99"/>
    <w:semiHidden/>
    <w:unhideWhenUsed/>
    <w:rsid w:val="00FA4F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4F6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4F6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4F6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4F6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4F6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4F6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4F6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4F6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A4F6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A4F6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A4F6C"/>
    <w:pPr>
      <w:spacing w:after="100"/>
      <w:ind w:left="1680"/>
    </w:pPr>
  </w:style>
  <w:style w:type="paragraph" w:styleId="TOC9">
    <w:name w:val="toc 9"/>
    <w:basedOn w:val="Normal"/>
    <w:next w:val="Normal"/>
    <w:autoRedefine/>
    <w:uiPriority w:val="98"/>
    <w:semiHidden/>
    <w:rsid w:val="00FA4F6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A4F6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A4F6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A4F6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A4F6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A4F6C"/>
    <w:pPr>
      <w:numPr>
        <w:numId w:val="109"/>
      </w:numPr>
      <w:spacing w:before="60" w:after="60"/>
    </w:pPr>
  </w:style>
  <w:style w:type="paragraph" w:customStyle="1" w:styleId="ECHRBullet2">
    <w:name w:val="ECHR_Bullet_2"/>
    <w:aliases w:val="_Bul_2"/>
    <w:basedOn w:val="ECHRBullet1"/>
    <w:uiPriority w:val="23"/>
    <w:semiHidden/>
    <w:rsid w:val="00FA4F6C"/>
    <w:pPr>
      <w:numPr>
        <w:ilvl w:val="1"/>
      </w:numPr>
    </w:pPr>
  </w:style>
  <w:style w:type="paragraph" w:customStyle="1" w:styleId="ECHRBullet3">
    <w:name w:val="ECHR_Bullet_3"/>
    <w:aliases w:val="_Bul_3"/>
    <w:basedOn w:val="ECHRBullet2"/>
    <w:uiPriority w:val="23"/>
    <w:semiHidden/>
    <w:rsid w:val="00FA4F6C"/>
    <w:pPr>
      <w:numPr>
        <w:ilvl w:val="2"/>
      </w:numPr>
    </w:pPr>
  </w:style>
  <w:style w:type="paragraph" w:customStyle="1" w:styleId="ECHRBullet4">
    <w:name w:val="ECHR_Bullet_4"/>
    <w:aliases w:val="_Bul_4"/>
    <w:basedOn w:val="ECHRBullet3"/>
    <w:uiPriority w:val="23"/>
    <w:semiHidden/>
    <w:rsid w:val="00FA4F6C"/>
    <w:pPr>
      <w:numPr>
        <w:ilvl w:val="3"/>
      </w:numPr>
    </w:pPr>
  </w:style>
  <w:style w:type="paragraph" w:customStyle="1" w:styleId="ECHRConfidential">
    <w:name w:val="ECHR_Confidential"/>
    <w:aliases w:val="_Confidential"/>
    <w:basedOn w:val="Normal"/>
    <w:next w:val="Normal"/>
    <w:uiPriority w:val="42"/>
    <w:semiHidden/>
    <w:qFormat/>
    <w:rsid w:val="00FA4F6C"/>
    <w:pPr>
      <w:jc w:val="right"/>
    </w:pPr>
    <w:rPr>
      <w:color w:val="C00000"/>
      <w:sz w:val="20"/>
    </w:rPr>
  </w:style>
  <w:style w:type="paragraph" w:customStyle="1" w:styleId="ECHRDecisionBody">
    <w:name w:val="ECHR_Decision_Body"/>
    <w:aliases w:val="_Decision_Body"/>
    <w:basedOn w:val="NormalJustified"/>
    <w:uiPriority w:val="54"/>
    <w:semiHidden/>
    <w:rsid w:val="00FA4F6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A4F6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A4F6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A4F6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A4F6C"/>
    <w:pPr>
      <w:jc w:val="right"/>
    </w:pPr>
    <w:rPr>
      <w:sz w:val="20"/>
    </w:rPr>
  </w:style>
  <w:style w:type="paragraph" w:customStyle="1" w:styleId="ECHRHeaderRefIt">
    <w:name w:val="ECHR_Header_Ref_It"/>
    <w:aliases w:val="_Ref_Ital"/>
    <w:basedOn w:val="Normal"/>
    <w:next w:val="ECHRHeaderDate"/>
    <w:uiPriority w:val="43"/>
    <w:semiHidden/>
    <w:qFormat/>
    <w:rsid w:val="00FA4F6C"/>
    <w:pPr>
      <w:jc w:val="right"/>
    </w:pPr>
    <w:rPr>
      <w:i/>
      <w:sz w:val="20"/>
    </w:rPr>
  </w:style>
  <w:style w:type="paragraph" w:customStyle="1" w:styleId="ECHRHeading9">
    <w:name w:val="ECHR_Heading_9"/>
    <w:aliases w:val="_Head_9"/>
    <w:basedOn w:val="Heading9"/>
    <w:uiPriority w:val="17"/>
    <w:semiHidden/>
    <w:rsid w:val="00FA4F6C"/>
    <w:pPr>
      <w:keepNext/>
      <w:keepLines/>
      <w:numPr>
        <w:ilvl w:val="8"/>
        <w:numId w:val="1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A4F6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A4F6C"/>
    <w:pPr>
      <w:numPr>
        <w:numId w:val="113"/>
      </w:numPr>
      <w:spacing w:before="60" w:after="60"/>
    </w:pPr>
  </w:style>
  <w:style w:type="paragraph" w:customStyle="1" w:styleId="ECHRNumberedList2">
    <w:name w:val="ECHR_Numbered_List_2"/>
    <w:aliases w:val="_Num_2"/>
    <w:basedOn w:val="ECHRNumberedList1"/>
    <w:uiPriority w:val="23"/>
    <w:semiHidden/>
    <w:rsid w:val="00FA4F6C"/>
    <w:pPr>
      <w:numPr>
        <w:ilvl w:val="1"/>
      </w:numPr>
    </w:pPr>
  </w:style>
  <w:style w:type="paragraph" w:customStyle="1" w:styleId="ECHRNumberedList3">
    <w:name w:val="ECHR_Numbered_List_3"/>
    <w:aliases w:val="_Num_3"/>
    <w:basedOn w:val="ECHRNumberedList2"/>
    <w:uiPriority w:val="23"/>
    <w:semiHidden/>
    <w:rsid w:val="00FA4F6C"/>
    <w:pPr>
      <w:numPr>
        <w:ilvl w:val="2"/>
      </w:numPr>
    </w:pPr>
  </w:style>
  <w:style w:type="paragraph" w:customStyle="1" w:styleId="ECHRParaHanging">
    <w:name w:val="ECHR_Para_Hanging"/>
    <w:aliases w:val="_Hanging"/>
    <w:basedOn w:val="NormalJustified"/>
    <w:uiPriority w:val="8"/>
    <w:semiHidden/>
    <w:qFormat/>
    <w:rsid w:val="00FA4F6C"/>
    <w:pPr>
      <w:ind w:left="567" w:hanging="567"/>
    </w:pPr>
  </w:style>
  <w:style w:type="paragraph" w:customStyle="1" w:styleId="ECHRParaIndent">
    <w:name w:val="ECHR_Para_Indent"/>
    <w:aliases w:val="_Indent"/>
    <w:basedOn w:val="NormalJustified"/>
    <w:uiPriority w:val="7"/>
    <w:semiHidden/>
    <w:qFormat/>
    <w:rsid w:val="00FA4F6C"/>
    <w:pPr>
      <w:spacing w:before="120" w:after="120"/>
      <w:ind w:left="284"/>
    </w:pPr>
  </w:style>
  <w:style w:type="character" w:customStyle="1" w:styleId="ECHRRed">
    <w:name w:val="ECHR_Red"/>
    <w:aliases w:val="_Red"/>
    <w:basedOn w:val="DefaultParagraphFont"/>
    <w:uiPriority w:val="15"/>
    <w:semiHidden/>
    <w:qFormat/>
    <w:rsid w:val="00FA4F6C"/>
    <w:rPr>
      <w:color w:val="C00000" w:themeColor="accent2"/>
    </w:rPr>
  </w:style>
  <w:style w:type="paragraph" w:customStyle="1" w:styleId="DecList">
    <w:name w:val="Dec_List"/>
    <w:aliases w:val="_List"/>
    <w:basedOn w:val="JuList"/>
    <w:uiPriority w:val="22"/>
    <w:rsid w:val="00FA4F6C"/>
    <w:pPr>
      <w:numPr>
        <w:numId w:val="0"/>
      </w:numPr>
      <w:ind w:left="284"/>
    </w:pPr>
  </w:style>
  <w:style w:type="table" w:customStyle="1" w:styleId="ECHRTable2">
    <w:name w:val="ECHR_Table_2"/>
    <w:basedOn w:val="TableNormal"/>
    <w:uiPriority w:val="99"/>
    <w:rsid w:val="00FA4F6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A4F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A4F6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A4F6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A4F6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A4F6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A4F6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A4F6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A4F6C"/>
    <w:pPr>
      <w:outlineLvl w:val="0"/>
    </w:pPr>
  </w:style>
  <w:style w:type="paragraph" w:customStyle="1" w:styleId="ECHRTitleTOC1">
    <w:name w:val="ECHR_Title_TOC_1"/>
    <w:aliases w:val="_Title_L_TOC"/>
    <w:basedOn w:val="ECHRTitle1"/>
    <w:next w:val="Normal"/>
    <w:uiPriority w:val="27"/>
    <w:semiHidden/>
    <w:qFormat/>
    <w:rsid w:val="00FA4F6C"/>
    <w:pPr>
      <w:outlineLvl w:val="0"/>
    </w:pPr>
  </w:style>
  <w:style w:type="paragraph" w:customStyle="1" w:styleId="ECHRPlaceholder">
    <w:name w:val="ECHR_Placeholder"/>
    <w:aliases w:val="_Placeholder"/>
    <w:basedOn w:val="JuSigned"/>
    <w:uiPriority w:val="31"/>
    <w:rsid w:val="00FA4F6C"/>
    <w:rPr>
      <w:color w:val="FFFFFF"/>
    </w:rPr>
  </w:style>
  <w:style w:type="paragraph" w:customStyle="1" w:styleId="ECHRSpacer">
    <w:name w:val="ECHR_Spacer"/>
    <w:aliases w:val="_Spacer"/>
    <w:basedOn w:val="Normal"/>
    <w:uiPriority w:val="45"/>
    <w:semiHidden/>
    <w:rsid w:val="00FA4F6C"/>
    <w:rPr>
      <w:sz w:val="4"/>
    </w:rPr>
  </w:style>
  <w:style w:type="table" w:customStyle="1" w:styleId="ECHRTableGrey">
    <w:name w:val="ECHR_Table_Grey"/>
    <w:basedOn w:val="TableNormal"/>
    <w:uiPriority w:val="99"/>
    <w:rsid w:val="00FA4F6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A4F6C"/>
    <w:rPr>
      <w:color w:val="605E5C"/>
      <w:shd w:val="clear" w:color="auto" w:fill="E1DFDD"/>
    </w:rPr>
  </w:style>
  <w:style w:type="character" w:customStyle="1" w:styleId="JuParaChar">
    <w:name w:val="Ju_Para Char"/>
    <w:aliases w:val="_Para Char"/>
    <w:link w:val="JuPara"/>
    <w:uiPriority w:val="4"/>
    <w:rsid w:val="00BB6A3C"/>
    <w:rPr>
      <w:sz w:val="24"/>
      <w:szCs w:val="24"/>
      <w:lang w:val="en-GB"/>
    </w:rPr>
  </w:style>
  <w:style w:type="table" w:styleId="GridTable1LightAccent1">
    <w:name w:val="Grid Table 1 Light Accent 1"/>
    <w:basedOn w:val="TableNormal"/>
    <w:uiPriority w:val="46"/>
    <w:semiHidden/>
    <w:rsid w:val="00FA4F6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A4F6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A4F6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A4F6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A4F6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A4F6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A4F6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A4F6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A4F6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A4F6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A4F6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A4F6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A4F6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A4F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A4F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A4F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A4F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A4F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A4F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A4F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A4F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A4F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A4F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A4F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A4F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A4F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A4F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A4F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A4F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A4F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A4F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A4F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A4F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A4F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A4F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A4F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A4F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A4F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A4F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A4F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A4F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A4F6C"/>
    <w:rPr>
      <w:color w:val="2B579A"/>
      <w:shd w:val="clear" w:color="auto" w:fill="E1DFDD"/>
    </w:rPr>
  </w:style>
  <w:style w:type="table" w:styleId="ListTable1Light">
    <w:name w:val="List Table 1 Light"/>
    <w:basedOn w:val="TableNormal"/>
    <w:uiPriority w:val="46"/>
    <w:semiHidden/>
    <w:rsid w:val="00FA4F6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A4F6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A4F6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A4F6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A4F6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A4F6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A4F6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A4F6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A4F6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A4F6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A4F6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A4F6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A4F6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A4F6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A4F6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A4F6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A4F6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A4F6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A4F6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A4F6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A4F6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A4F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A4F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A4F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A4F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A4F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A4F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A4F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A4F6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A4F6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A4F6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A4F6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A4F6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A4F6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A4F6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A4F6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A4F6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A4F6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A4F6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A4F6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A4F6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A4F6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A4F6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A4F6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A4F6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A4F6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A4F6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A4F6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A4F6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A4F6C"/>
    <w:rPr>
      <w:color w:val="2B579A"/>
      <w:shd w:val="clear" w:color="auto" w:fill="E1DFDD"/>
    </w:rPr>
  </w:style>
  <w:style w:type="table" w:styleId="PlainTable1">
    <w:name w:val="Plain Table 1"/>
    <w:basedOn w:val="TableNormal"/>
    <w:uiPriority w:val="41"/>
    <w:semiHidden/>
    <w:rsid w:val="00FA4F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A4F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A4F6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A4F6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A4F6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A4F6C"/>
    <w:rPr>
      <w:u w:val="dotted"/>
    </w:rPr>
  </w:style>
  <w:style w:type="character" w:styleId="SmartLink">
    <w:name w:val="Smart Link"/>
    <w:basedOn w:val="DefaultParagraphFont"/>
    <w:uiPriority w:val="99"/>
    <w:semiHidden/>
    <w:unhideWhenUsed/>
    <w:rsid w:val="00FA4F6C"/>
    <w:rPr>
      <w:color w:val="0000FF"/>
      <w:u w:val="single"/>
      <w:shd w:val="clear" w:color="auto" w:fill="F3F2F1"/>
    </w:rPr>
  </w:style>
  <w:style w:type="table" w:styleId="GridTableLight">
    <w:name w:val="Grid Table Light"/>
    <w:basedOn w:val="TableNormal"/>
    <w:uiPriority w:val="40"/>
    <w:semiHidden/>
    <w:rsid w:val="00FA4F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ummyStyle">
    <w:name w:val="Dummy_Style"/>
    <w:aliases w:val="_Dummy"/>
    <w:basedOn w:val="Normal"/>
    <w:semiHidden/>
    <w:qFormat/>
    <w:rsid w:val="00FA4F6C"/>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2220</Words>
  <Characters>11456</Characters>
  <Application>Microsoft Office Word</Application>
  <DocSecurity>0</DocSecurity>
  <Lines>238</Lines>
  <Paragraphs>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7</cp:revision>
  <cp:lastPrinted>2026-06-09T13:21:00Z</cp:lastPrinted>
  <dcterms:created xsi:type="dcterms:W3CDTF">2026-06-01T15:05:00Z</dcterms:created>
  <dcterms:modified xsi:type="dcterms:W3CDTF">2026-06-16T13:22:00Z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1259620</vt:lpwstr>
  </property>
  <property fmtid="{D5CDD505-2E9C-101B-9397-08002B2CF9AE}" pid="3" name="cstLanguage">
    <vt:i4>2057</vt:i4>
  </property>
  <property fmtid="{D5CDD505-2E9C-101B-9397-08002B2CF9AE}" pid="4" name="RegisteredNo">
    <vt:lpwstr>66128/16</vt:lpwstr>
  </property>
</Properties>
</file>