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2.0 -->
  <w:body>
    <w:p w:rsidRPr="00B85940" w:rsidR="0098410D" w:rsidP="00B85940" w14:paraId="21689A35" w14:textId="77777777">
      <w:pPr>
        <w:jc w:val="center"/>
        <w:rPr>
          <w:lang w:val="uk-UA"/>
        </w:rPr>
      </w:pPr>
      <w:r w:rsidRPr="00B85940">
        <w:rPr>
          <w:lang w:val="uk-UA"/>
        </w:rPr>
        <w:t>ЄВРОПЕЙСЬКИЙ СУД З ПРАВ ЛЮДИНИ</w:t>
      </w:r>
    </w:p>
    <w:p w:rsidRPr="00B85940" w:rsidR="00872F45" w:rsidP="00B85940" w14:paraId="44F0B839" w14:textId="77777777">
      <w:pPr>
        <w:jc w:val="center"/>
        <w:rPr>
          <w:lang w:val="uk-UA"/>
        </w:rPr>
      </w:pPr>
    </w:p>
    <w:p w:rsidRPr="00B85940" w:rsidR="0098410D" w:rsidP="00B85940" w14:paraId="61D83BCC" w14:textId="0EE0FBD5">
      <w:pPr>
        <w:pStyle w:val="DecHTitle"/>
        <w:rPr>
          <w:lang w:val="uk-UA"/>
        </w:rPr>
      </w:pPr>
      <w:r w:rsidRPr="00B85940">
        <w:rPr>
          <w:lang w:val="uk-UA"/>
        </w:rPr>
        <w:t>П</w:t>
      </w:r>
      <w:r w:rsidRPr="00B85940" w:rsidR="00B85940">
        <w:rPr>
          <w:lang w:val="uk-UA"/>
        </w:rPr>
        <w:t>’</w:t>
      </w:r>
      <w:r w:rsidRPr="00B85940">
        <w:rPr>
          <w:lang w:val="uk-UA"/>
        </w:rPr>
        <w:t>ЯТА СЕКЦІЯ</w:t>
      </w:r>
    </w:p>
    <w:p w:rsidRPr="00B85940" w:rsidR="00872F45" w:rsidP="00B85940" w14:paraId="3F7AD9D3" w14:textId="77777777">
      <w:pPr>
        <w:pStyle w:val="JuTitle"/>
        <w:spacing w:before="960"/>
        <w:rPr>
          <w:color w:val="000000" w:themeColor="text1"/>
          <w:lang w:val="uk-UA"/>
        </w:rPr>
      </w:pPr>
      <w:r w:rsidRPr="00B85940">
        <w:rPr>
          <w:color w:val="000000" w:themeColor="text1"/>
          <w:lang w:val="uk-UA"/>
        </w:rPr>
        <w:t>СПРАВА «КОСМАЦЬКА ПРОТИ УКРАЇНИ»</w:t>
      </w:r>
    </w:p>
    <w:p w:rsidRPr="00B85940" w:rsidR="008E6217" w:rsidP="00B85940" w14:paraId="67034FE3" w14:textId="77777777">
      <w:pPr>
        <w:pStyle w:val="JuTitle"/>
        <w:spacing w:before="960"/>
        <w:rPr>
          <w:lang w:val="uk-UA"/>
        </w:rPr>
      </w:pPr>
      <w:r w:rsidRPr="00B85940">
        <w:rPr>
          <w:color w:val="000000" w:themeColor="text1"/>
          <w:lang w:val="uk-UA"/>
        </w:rPr>
        <w:t xml:space="preserve">(CASE OF </w:t>
      </w:r>
      <w:r w:rsidRPr="00B85940" w:rsidR="00862459">
        <w:rPr>
          <w:lang w:val="uk-UA"/>
        </w:rPr>
        <w:t>KOSMATSKA v. UKRAINE</w:t>
      </w:r>
      <w:r w:rsidRPr="00B85940">
        <w:rPr>
          <w:lang w:val="uk-UA"/>
        </w:rPr>
        <w:t>)</w:t>
      </w:r>
    </w:p>
    <w:p w:rsidRPr="00B85940" w:rsidR="00D74888" w:rsidP="00B85940" w14:paraId="051CA850" w14:textId="77777777">
      <w:pPr>
        <w:pStyle w:val="ECHRCoverTitle4"/>
        <w:rPr>
          <w:lang w:val="uk-UA"/>
        </w:rPr>
      </w:pPr>
      <w:r w:rsidRPr="00B85940">
        <w:rPr>
          <w:lang w:val="uk-UA"/>
        </w:rPr>
        <w:t>(</w:t>
      </w:r>
      <w:r w:rsidRPr="00B85940" w:rsidR="00872F45">
        <w:rPr>
          <w:lang w:val="uk-UA"/>
        </w:rPr>
        <w:t>Заява № </w:t>
      </w:r>
      <w:r w:rsidRPr="00B85940" w:rsidR="00862459">
        <w:rPr>
          <w:lang w:val="uk-UA"/>
        </w:rPr>
        <w:t>9953/16</w:t>
      </w:r>
      <w:r w:rsidRPr="00B85940">
        <w:rPr>
          <w:lang w:val="uk-UA"/>
        </w:rPr>
        <w:t>)</w:t>
      </w:r>
    </w:p>
    <w:p w:rsidRPr="00B85940" w:rsidR="004F6DDA" w:rsidP="00B85940" w14:paraId="3771A74E" w14:textId="77777777">
      <w:pPr>
        <w:pStyle w:val="DecHCase"/>
        <w:spacing w:after="0"/>
        <w:rPr>
          <w:lang w:val="uk-UA"/>
        </w:rPr>
      </w:pPr>
    </w:p>
    <w:p w:rsidRPr="00B85940" w:rsidR="004F6DDA" w:rsidP="00B85940" w14:paraId="1E2C358D" w14:textId="77777777">
      <w:pPr>
        <w:pStyle w:val="DecHCase"/>
        <w:spacing w:after="0"/>
        <w:rPr>
          <w:lang w:val="uk-UA"/>
        </w:rPr>
      </w:pPr>
      <w:r w:rsidRPr="00B85940">
        <w:rPr>
          <w:lang w:val="uk-UA"/>
        </w:rPr>
        <w:t>РІШЕННЯ</w:t>
      </w:r>
      <w:r w:rsidRPr="00B85940" w:rsidR="00AC4CD4">
        <w:rPr>
          <w:lang w:val="uk-UA"/>
        </w:rPr>
        <w:br/>
      </w:r>
    </w:p>
    <w:p w:rsidRPr="00B85940" w:rsidR="003056EE" w:rsidP="00B85940" w14:paraId="210F3060" w14:textId="77777777">
      <w:pPr>
        <w:pBdr>
          <w:top w:val="single" w:color="auto" w:sz="4" w:space="1"/>
          <w:left w:val="single" w:color="auto" w:sz="4" w:space="4"/>
          <w:bottom w:val="single" w:color="auto" w:sz="4" w:space="1"/>
          <w:right w:val="single" w:color="auto" w:sz="4" w:space="4"/>
        </w:pBdr>
        <w:jc w:val="both"/>
        <w:rPr>
          <w:lang w:val="uk-UA"/>
        </w:rPr>
      </w:pPr>
      <w:r w:rsidRPr="00B85940">
        <w:rPr>
          <w:lang w:val="uk-UA"/>
        </w:rPr>
        <w:t xml:space="preserve">Ст. 1 Першого протоколу до Конвенції • </w:t>
      </w:r>
      <w:r w:rsidRPr="00B85940" w:rsidR="009637DB">
        <w:rPr>
          <w:lang w:val="uk-UA"/>
        </w:rPr>
        <w:t xml:space="preserve">Мирне володіння майном </w:t>
      </w:r>
      <w:r w:rsidRPr="00B85940">
        <w:rPr>
          <w:lang w:val="uk-UA"/>
        </w:rPr>
        <w:t xml:space="preserve">• </w:t>
      </w:r>
      <w:r w:rsidRPr="00B85940" w:rsidR="009637DB">
        <w:rPr>
          <w:lang w:val="uk-UA"/>
        </w:rPr>
        <w:t xml:space="preserve">Визнання недійсним права власності заявниці на земельну ділянку, придбану у приватних осіб, які </w:t>
      </w:r>
      <w:r w:rsidRPr="00B85940" w:rsidR="00D526AB">
        <w:rPr>
          <w:lang w:val="uk-UA"/>
        </w:rPr>
        <w:t>отримали</w:t>
      </w:r>
      <w:r w:rsidRPr="00B85940" w:rsidR="009637DB">
        <w:rPr>
          <w:lang w:val="uk-UA"/>
        </w:rPr>
        <w:t xml:space="preserve"> </w:t>
      </w:r>
      <w:r w:rsidRPr="00B85940" w:rsidR="009B0401">
        <w:rPr>
          <w:lang w:val="uk-UA"/>
        </w:rPr>
        <w:t>землю</w:t>
      </w:r>
      <w:r w:rsidRPr="00B85940" w:rsidR="009637DB">
        <w:rPr>
          <w:lang w:val="uk-UA"/>
        </w:rPr>
        <w:t xml:space="preserve"> </w:t>
      </w:r>
      <w:r w:rsidRPr="00B85940" w:rsidR="00D526AB">
        <w:rPr>
          <w:lang w:val="uk-UA"/>
        </w:rPr>
        <w:t>від</w:t>
      </w:r>
      <w:r w:rsidRPr="00B85940" w:rsidR="009637DB">
        <w:rPr>
          <w:lang w:val="uk-UA"/>
        </w:rPr>
        <w:t xml:space="preserve"> держави, в</w:t>
      </w:r>
      <w:r w:rsidRPr="00B85940" w:rsidR="008546A5">
        <w:rPr>
          <w:lang w:val="uk-UA"/>
        </w:rPr>
        <w:t xml:space="preserve">наслідок </w:t>
      </w:r>
      <w:r w:rsidRPr="00B85940" w:rsidR="00D526AB">
        <w:rPr>
          <w:lang w:val="uk-UA"/>
        </w:rPr>
        <w:t>подання</w:t>
      </w:r>
      <w:r w:rsidRPr="00B85940" w:rsidR="008546A5">
        <w:rPr>
          <w:lang w:val="uk-UA"/>
        </w:rPr>
        <w:t xml:space="preserve"> </w:t>
      </w:r>
      <w:r w:rsidRPr="00B85940" w:rsidR="009637DB">
        <w:rPr>
          <w:lang w:val="uk-UA"/>
        </w:rPr>
        <w:t>позову прокурор</w:t>
      </w:r>
      <w:r w:rsidRPr="00B85940" w:rsidR="008546A5">
        <w:rPr>
          <w:lang w:val="uk-UA"/>
        </w:rPr>
        <w:t>ом</w:t>
      </w:r>
      <w:r w:rsidRPr="00B85940" w:rsidR="009637DB">
        <w:rPr>
          <w:lang w:val="uk-UA"/>
        </w:rPr>
        <w:t xml:space="preserve"> про повернення цієї </w:t>
      </w:r>
      <w:r w:rsidRPr="00B85940" w:rsidR="009B0401">
        <w:rPr>
          <w:lang w:val="uk-UA"/>
        </w:rPr>
        <w:t>землі</w:t>
      </w:r>
      <w:r w:rsidRPr="00B85940" w:rsidR="009637DB">
        <w:rPr>
          <w:lang w:val="uk-UA"/>
        </w:rPr>
        <w:t xml:space="preserve"> державі без </w:t>
      </w:r>
      <w:r w:rsidRPr="00B85940" w:rsidR="008546A5">
        <w:rPr>
          <w:lang w:val="uk-UA"/>
        </w:rPr>
        <w:t xml:space="preserve">відшкодування шкоди </w:t>
      </w:r>
      <w:r w:rsidRPr="00B85940">
        <w:rPr>
          <w:lang w:val="uk-UA"/>
        </w:rPr>
        <w:t xml:space="preserve">• </w:t>
      </w:r>
      <w:r w:rsidRPr="00B85940" w:rsidR="008546A5">
        <w:rPr>
          <w:lang w:val="uk-UA"/>
        </w:rPr>
        <w:t xml:space="preserve">Серйозні сумніви щодо законності та </w:t>
      </w:r>
      <w:r w:rsidRPr="00B85940" w:rsidR="009B0401">
        <w:rPr>
          <w:lang w:val="uk-UA"/>
        </w:rPr>
        <w:t xml:space="preserve">законної </w:t>
      </w:r>
      <w:r w:rsidRPr="00B85940" w:rsidR="008546A5">
        <w:rPr>
          <w:lang w:val="uk-UA"/>
        </w:rPr>
        <w:t xml:space="preserve">мети втручання </w:t>
      </w:r>
      <w:r w:rsidRPr="00B85940">
        <w:rPr>
          <w:lang w:val="uk-UA"/>
        </w:rPr>
        <w:t xml:space="preserve">• </w:t>
      </w:r>
      <w:r w:rsidRPr="00B85940" w:rsidR="008546A5">
        <w:rPr>
          <w:lang w:val="uk-UA"/>
        </w:rPr>
        <w:t xml:space="preserve">Вимога до заявниці </w:t>
      </w:r>
      <w:r w:rsidRPr="00B85940" w:rsidR="001C21F4">
        <w:rPr>
          <w:lang w:val="uk-UA"/>
        </w:rPr>
        <w:t>звер</w:t>
      </w:r>
      <w:r w:rsidRPr="00B85940" w:rsidR="00C12502">
        <w:rPr>
          <w:lang w:val="uk-UA"/>
        </w:rPr>
        <w:t>ну</w:t>
      </w:r>
      <w:r w:rsidRPr="00B85940" w:rsidR="001C21F4">
        <w:rPr>
          <w:lang w:val="uk-UA"/>
        </w:rPr>
        <w:t xml:space="preserve">тися з позовом про </w:t>
      </w:r>
      <w:r w:rsidRPr="00B85940" w:rsidR="008546A5">
        <w:rPr>
          <w:lang w:val="uk-UA"/>
        </w:rPr>
        <w:t xml:space="preserve">відшкодування шкоди </w:t>
      </w:r>
      <w:r w:rsidRPr="00B85940" w:rsidR="001C21F4">
        <w:rPr>
          <w:lang w:val="uk-UA"/>
        </w:rPr>
        <w:t xml:space="preserve">до </w:t>
      </w:r>
      <w:r w:rsidRPr="00B85940" w:rsidR="008546A5">
        <w:rPr>
          <w:lang w:val="uk-UA"/>
        </w:rPr>
        <w:t xml:space="preserve">продавців не є обґрунтованою з точки зору необхідної пропорційності втручання </w:t>
      </w:r>
      <w:r w:rsidRPr="00B85940">
        <w:rPr>
          <w:lang w:val="uk-UA"/>
        </w:rPr>
        <w:t xml:space="preserve">• </w:t>
      </w:r>
      <w:r w:rsidRPr="00B85940" w:rsidR="009B0401">
        <w:rPr>
          <w:lang w:val="uk-UA"/>
        </w:rPr>
        <w:t>Внесені у 2025 році з</w:t>
      </w:r>
      <w:r w:rsidRPr="00B85940" w:rsidR="002F6BA0">
        <w:rPr>
          <w:lang w:val="uk-UA"/>
        </w:rPr>
        <w:t>міни</w:t>
      </w:r>
      <w:r w:rsidRPr="00B85940" w:rsidR="008546A5">
        <w:rPr>
          <w:lang w:val="uk-UA"/>
        </w:rPr>
        <w:t xml:space="preserve"> до національного законодавства, що передбачають відшкодування шкоди державою, не застосовні до справи заявниці </w:t>
      </w:r>
      <w:r w:rsidRPr="00B85940">
        <w:rPr>
          <w:lang w:val="uk-UA"/>
        </w:rPr>
        <w:t>•</w:t>
      </w:r>
      <w:r w:rsidRPr="00B85940" w:rsidR="00550EFA">
        <w:rPr>
          <w:lang w:val="uk-UA"/>
        </w:rPr>
        <w:t xml:space="preserve"> </w:t>
      </w:r>
      <w:r w:rsidRPr="00B85940" w:rsidR="008546A5">
        <w:rPr>
          <w:lang w:val="uk-UA"/>
        </w:rPr>
        <w:t>Накладення непропорційного тягаря</w:t>
      </w:r>
    </w:p>
    <w:p w:rsidRPr="00B85940" w:rsidR="00B85940" w:rsidP="00B85940" w14:paraId="166D3694" w14:textId="77777777">
      <w:pPr>
        <w:pStyle w:val="JuPara"/>
        <w:pBdr>
          <w:top w:val="single" w:color="auto" w:sz="4" w:space="1"/>
          <w:left w:val="single" w:color="auto" w:sz="4" w:space="4"/>
          <w:bottom w:val="single" w:color="auto" w:sz="4" w:space="1"/>
          <w:right w:val="single" w:color="auto" w:sz="4" w:space="4"/>
        </w:pBdr>
        <w:ind w:firstLine="0"/>
        <w:rPr>
          <w:lang w:val="uk-UA"/>
        </w:rPr>
      </w:pPr>
      <w:r w:rsidRPr="00B85940">
        <w:rPr>
          <w:lang w:val="uk-UA"/>
        </w:rPr>
        <w:t xml:space="preserve">Ст. 46 • </w:t>
      </w:r>
      <w:r w:rsidRPr="00B85940" w:rsidR="008546A5">
        <w:rPr>
          <w:lang w:val="uk-UA"/>
        </w:rPr>
        <w:t xml:space="preserve">Виконання рішення суду </w:t>
      </w:r>
      <w:r w:rsidRPr="00B85940">
        <w:rPr>
          <w:lang w:val="uk-UA"/>
        </w:rPr>
        <w:t xml:space="preserve">• </w:t>
      </w:r>
      <w:r w:rsidRPr="00B85940" w:rsidR="008546A5">
        <w:rPr>
          <w:lang w:val="uk-UA"/>
        </w:rPr>
        <w:t xml:space="preserve">Індивідуальні заходи </w:t>
      </w:r>
      <w:r w:rsidRPr="00B85940">
        <w:rPr>
          <w:lang w:val="uk-UA"/>
        </w:rPr>
        <w:t xml:space="preserve">• </w:t>
      </w:r>
      <w:r w:rsidRPr="00B85940" w:rsidR="008546A5">
        <w:rPr>
          <w:lang w:val="uk-UA"/>
        </w:rPr>
        <w:t xml:space="preserve">Держава-відповідач повинна забезпечити </w:t>
      </w:r>
      <w:r w:rsidRPr="00B85940" w:rsidR="009B0401">
        <w:rPr>
          <w:lang w:val="uk-UA"/>
        </w:rPr>
        <w:t xml:space="preserve">повне </w:t>
      </w:r>
      <w:r w:rsidRPr="00B85940" w:rsidR="008546A5">
        <w:rPr>
          <w:lang w:val="uk-UA"/>
        </w:rPr>
        <w:t xml:space="preserve">повернення заявниці права власності на </w:t>
      </w:r>
      <w:r w:rsidRPr="00B85940" w:rsidR="009B0401">
        <w:rPr>
          <w:lang w:val="uk-UA"/>
        </w:rPr>
        <w:t>відчужен</w:t>
      </w:r>
      <w:r w:rsidRPr="00B85940" w:rsidR="00F2685C">
        <w:rPr>
          <w:lang w:val="uk-UA"/>
        </w:rPr>
        <w:t>у</w:t>
      </w:r>
      <w:r w:rsidRPr="00B85940" w:rsidR="009B0401">
        <w:rPr>
          <w:lang w:val="uk-UA"/>
        </w:rPr>
        <w:t xml:space="preserve"> </w:t>
      </w:r>
      <w:r w:rsidRPr="00B85940" w:rsidR="00C815BD">
        <w:rPr>
          <w:lang w:val="uk-UA"/>
        </w:rPr>
        <w:t>земельн</w:t>
      </w:r>
      <w:r w:rsidRPr="00B85940" w:rsidR="00F2685C">
        <w:rPr>
          <w:lang w:val="uk-UA"/>
        </w:rPr>
        <w:t>у</w:t>
      </w:r>
      <w:r w:rsidRPr="00B85940" w:rsidR="00C815BD">
        <w:rPr>
          <w:lang w:val="uk-UA"/>
        </w:rPr>
        <w:t xml:space="preserve"> ділянк</w:t>
      </w:r>
      <w:r w:rsidRPr="00B85940" w:rsidR="00F2685C">
        <w:rPr>
          <w:lang w:val="uk-UA"/>
        </w:rPr>
        <w:t>у</w:t>
      </w:r>
      <w:r w:rsidRPr="00B85940" w:rsidR="00C815BD">
        <w:rPr>
          <w:lang w:val="uk-UA"/>
        </w:rPr>
        <w:t xml:space="preserve"> </w:t>
      </w:r>
      <w:r w:rsidRPr="00B85940" w:rsidR="008546A5">
        <w:rPr>
          <w:lang w:val="uk-UA"/>
        </w:rPr>
        <w:t>або надати відшкодування у грошовій формі чи право власності на рівнозначне майно</w:t>
      </w:r>
    </w:p>
    <w:p w:rsidRPr="00B85940" w:rsidR="00B85940" w:rsidP="00B85940" w14:paraId="2C159011" w14:textId="77777777">
      <w:pPr>
        <w:pStyle w:val="JuPara"/>
        <w:pBdr>
          <w:top w:val="single" w:color="auto" w:sz="4" w:space="1"/>
          <w:left w:val="single" w:color="auto" w:sz="4" w:space="4"/>
          <w:bottom w:val="single" w:color="auto" w:sz="4" w:space="1"/>
          <w:right w:val="single" w:color="auto" w:sz="4" w:space="4"/>
        </w:pBdr>
        <w:jc w:val="center"/>
        <w:rPr>
          <w:sz w:val="20"/>
          <w:szCs w:val="20"/>
          <w:lang w:val="uk-UA"/>
        </w:rPr>
      </w:pPr>
      <w:r w:rsidRPr="00B85940">
        <w:rPr>
          <w:sz w:val="20"/>
          <w:szCs w:val="20"/>
          <w:lang w:val="uk-UA"/>
        </w:rPr>
        <w:br/>
        <w:t>Підготовлено Секретаріатом. Не є обов</w:t>
      </w:r>
      <w:r w:rsidRPr="00B85940">
        <w:rPr>
          <w:sz w:val="20"/>
          <w:szCs w:val="20"/>
          <w:lang w:val="uk-UA"/>
        </w:rPr>
        <w:t>’</w:t>
      </w:r>
      <w:r w:rsidRPr="00B85940">
        <w:rPr>
          <w:sz w:val="20"/>
          <w:szCs w:val="20"/>
          <w:lang w:val="uk-UA"/>
        </w:rPr>
        <w:t>язковим для Суду.</w:t>
      </w:r>
    </w:p>
    <w:p w:rsidRPr="00B85940" w:rsidR="004F6DDA" w:rsidP="00B85940" w14:paraId="21150849" w14:textId="76D38801">
      <w:pPr>
        <w:pStyle w:val="DecHCase"/>
        <w:spacing w:before="120" w:after="120"/>
        <w:rPr>
          <w:lang w:val="uk-UA"/>
        </w:rPr>
      </w:pPr>
      <w:r w:rsidRPr="00B85940">
        <w:rPr>
          <w:lang w:val="uk-UA"/>
        </w:rPr>
        <w:t>СТРАСБУРГ</w:t>
      </w:r>
    </w:p>
    <w:p w:rsidRPr="00B85940" w:rsidR="004F6DDA" w:rsidP="00B85940" w14:paraId="3EEB8A33" w14:textId="77777777">
      <w:pPr>
        <w:pStyle w:val="DecHCase"/>
        <w:spacing w:after="120"/>
        <w:rPr>
          <w:lang w:val="uk-UA"/>
        </w:rPr>
      </w:pPr>
      <w:r w:rsidRPr="00B85940">
        <w:rPr>
          <w:lang w:val="uk-UA"/>
        </w:rPr>
        <w:t>04 грудня 2025 року</w:t>
      </w:r>
    </w:p>
    <w:p w:rsidRPr="00B85940" w:rsidR="004F6DDA" w:rsidP="00B85940" w14:paraId="6D218A69" w14:textId="77777777">
      <w:pPr>
        <w:pStyle w:val="JuPara"/>
        <w:ind w:firstLine="0"/>
        <w:jc w:val="center"/>
        <w:rPr>
          <w:b/>
          <w:bCs/>
          <w:color w:val="EE0000"/>
          <w:u w:val="single"/>
          <w:lang w:val="uk-UA"/>
        </w:rPr>
      </w:pPr>
      <w:r w:rsidRPr="00B85940">
        <w:rPr>
          <w:b/>
          <w:bCs/>
          <w:color w:val="EE0000"/>
          <w:u w:val="single"/>
          <w:lang w:val="uk-UA"/>
        </w:rPr>
        <w:t>ОСТАТОЧНЕ</w:t>
      </w:r>
    </w:p>
    <w:p w:rsidRPr="00B85940" w:rsidR="004F6DDA" w:rsidP="00B85940" w14:paraId="3AC7CDB7" w14:textId="77777777">
      <w:pPr>
        <w:pStyle w:val="JuPara"/>
        <w:spacing w:before="60" w:after="120"/>
        <w:ind w:firstLine="0"/>
        <w:jc w:val="center"/>
        <w:rPr>
          <w:color w:val="EE0000"/>
          <w:lang w:val="uk-UA"/>
        </w:rPr>
      </w:pPr>
      <w:r w:rsidRPr="00B85940">
        <w:rPr>
          <w:color w:val="EE0000"/>
          <w:lang w:val="uk-UA"/>
        </w:rPr>
        <w:t>04.03.2026</w:t>
      </w:r>
    </w:p>
    <w:p w:rsidRPr="00B85940" w:rsidR="004F6DDA" w:rsidP="00B85940" w14:paraId="1E2BAACB" w14:textId="77777777">
      <w:pPr>
        <w:spacing w:after="120"/>
        <w:rPr>
          <w:i/>
          <w:sz w:val="22"/>
          <w:lang w:val="uk-UA"/>
        </w:rPr>
      </w:pPr>
      <w:r w:rsidRPr="00B85940">
        <w:rPr>
          <w:i/>
          <w:iCs/>
          <w:sz w:val="22"/>
          <w:lang w:val="uk-UA"/>
        </w:rPr>
        <w:t>Це рішення набуло статусу остаточного відповідно до пункту 2 статті 44 Конвенції. Його текст може підлягати редакційним виправленням</w:t>
      </w:r>
      <w:r w:rsidRPr="00B85940">
        <w:rPr>
          <w:i/>
          <w:sz w:val="22"/>
          <w:lang w:val="uk-UA"/>
        </w:rPr>
        <w:t>.</w:t>
      </w:r>
    </w:p>
    <w:p w:rsidRPr="00B85940" w:rsidR="0098410D" w:rsidP="00B85940" w14:paraId="0C43E1E6" w14:textId="77777777">
      <w:pPr>
        <w:rPr>
          <w:lang w:val="uk-UA"/>
        </w:rPr>
        <w:sectPr w:rsidSect="00D66471">
          <w:headerReference w:type="default" r:id="rId5"/>
          <w:footerReference w:type="default" r:id="rId6"/>
          <w:headerReference w:type="first" r:id="rId7"/>
          <w:footerReference w:type="first" r:id="rId8"/>
          <w:footnotePr>
            <w:numRestart w:val="eachSect"/>
          </w:footnotePr>
          <w:endnotePr>
            <w:numFmt w:val="decimal"/>
          </w:endnotePr>
          <w:pgSz w:w="11906" w:h="16838" w:code="9"/>
          <w:pgMar w:top="2274" w:right="2274" w:bottom="2274" w:left="2274" w:header="1701" w:footer="720" w:gutter="0"/>
          <w:pgNumType w:start="1"/>
          <w:cols w:space="720"/>
          <w:noEndnote/>
          <w:titlePg/>
        </w:sectPr>
      </w:pPr>
    </w:p>
    <w:p w:rsidRPr="00B85940" w:rsidR="00F066CC" w:rsidP="00B85940" w14:paraId="233DF838" w14:textId="77777777">
      <w:pPr>
        <w:pStyle w:val="JuCase"/>
        <w:rPr>
          <w:lang w:val="uk-UA"/>
        </w:rPr>
      </w:pPr>
      <w:r w:rsidRPr="00B85940">
        <w:rPr>
          <w:bCs/>
          <w:lang w:val="uk-UA"/>
        </w:rPr>
        <w:t>У справі «Космацька проти України»</w:t>
      </w:r>
    </w:p>
    <w:p w:rsidRPr="00B85940" w:rsidR="00F066CC" w:rsidP="00B85940" w14:paraId="1B6830A5" w14:textId="5516C708">
      <w:pPr>
        <w:pStyle w:val="JuCase"/>
        <w:jc w:val="left"/>
        <w:rPr>
          <w:b w:val="0"/>
          <w:bCs/>
          <w:lang w:val="uk-UA"/>
        </w:rPr>
      </w:pPr>
      <w:r w:rsidRPr="00B85940">
        <w:rPr>
          <w:b w:val="0"/>
          <w:bCs/>
          <w:lang w:val="uk-UA"/>
        </w:rPr>
        <w:t>Європейський суд з прав людини (П</w:t>
      </w:r>
      <w:r w:rsidRPr="00B85940" w:rsidR="00B85940">
        <w:rPr>
          <w:b w:val="0"/>
          <w:bCs/>
          <w:lang w:val="uk-UA"/>
        </w:rPr>
        <w:t>’</w:t>
      </w:r>
      <w:r w:rsidRPr="00B85940">
        <w:rPr>
          <w:b w:val="0"/>
          <w:bCs/>
          <w:lang w:val="uk-UA"/>
        </w:rPr>
        <w:t>ята секція), засідаючи палатою, до складу якої увійшли:</w:t>
      </w:r>
    </w:p>
    <w:p w:rsidRPr="00B85940" w:rsidR="00F066CC" w:rsidP="00B85940" w14:paraId="071EFB8B" w14:textId="77777777">
      <w:pPr>
        <w:pStyle w:val="JuCase"/>
        <w:ind w:left="567" w:firstLine="0"/>
        <w:jc w:val="left"/>
        <w:rPr>
          <w:b w:val="0"/>
          <w:bCs/>
          <w:lang w:val="uk-UA"/>
        </w:rPr>
      </w:pPr>
      <w:r w:rsidRPr="00B85940">
        <w:rPr>
          <w:b w:val="0"/>
          <w:bCs/>
          <w:lang w:val="uk-UA"/>
        </w:rPr>
        <w:t xml:space="preserve">Катержіна Шімачкова </w:t>
      </w:r>
      <w:r w:rsidRPr="00B85940">
        <w:rPr>
          <w:b w:val="0"/>
          <w:bCs/>
          <w:i/>
          <w:iCs/>
          <w:lang w:val="uk-UA"/>
        </w:rPr>
        <w:t>(Kateřina Šimáčková), Голова</w:t>
      </w:r>
      <w:r w:rsidRPr="00B85940">
        <w:rPr>
          <w:b w:val="0"/>
          <w:bCs/>
          <w:lang w:val="uk-UA"/>
        </w:rPr>
        <w:t>,</w:t>
      </w:r>
      <w:r w:rsidRPr="00B85940">
        <w:rPr>
          <w:b w:val="0"/>
          <w:bCs/>
          <w:lang w:val="uk-UA"/>
        </w:rPr>
        <w:br/>
        <w:t xml:space="preserve">Георгіс А. Сергідес </w:t>
      </w:r>
      <w:r w:rsidRPr="00B85940">
        <w:rPr>
          <w:b w:val="0"/>
          <w:bCs/>
          <w:i/>
          <w:lang w:val="uk-UA"/>
        </w:rPr>
        <w:t>(Georgios A. Serghides)</w:t>
      </w:r>
      <w:r w:rsidRPr="00B85940">
        <w:rPr>
          <w:b w:val="0"/>
          <w:bCs/>
          <w:lang w:val="uk-UA"/>
        </w:rPr>
        <w:t>,</w:t>
      </w:r>
      <w:r w:rsidRPr="00B85940">
        <w:rPr>
          <w:b w:val="0"/>
          <w:bCs/>
          <w:lang w:val="uk-UA"/>
        </w:rPr>
        <w:br/>
        <w:t xml:space="preserve">Ґільберто Фелічі </w:t>
      </w:r>
      <w:r w:rsidRPr="00B85940">
        <w:rPr>
          <w:b w:val="0"/>
          <w:bCs/>
          <w:i/>
          <w:iCs/>
          <w:lang w:val="uk-UA"/>
        </w:rPr>
        <w:t>(Gilberto Felici)</w:t>
      </w:r>
      <w:r w:rsidRPr="00B85940">
        <w:rPr>
          <w:b w:val="0"/>
          <w:bCs/>
          <w:lang w:val="uk-UA"/>
        </w:rPr>
        <w:t>,</w:t>
      </w:r>
      <w:r w:rsidRPr="00B85940">
        <w:rPr>
          <w:b w:val="0"/>
          <w:bCs/>
          <w:lang w:val="uk-UA"/>
        </w:rPr>
        <w:br/>
        <w:t xml:space="preserve">Андреас Зюнд </w:t>
      </w:r>
      <w:r w:rsidRPr="00B85940">
        <w:rPr>
          <w:b w:val="0"/>
          <w:bCs/>
          <w:i/>
          <w:iCs/>
          <w:lang w:val="uk-UA"/>
        </w:rPr>
        <w:t>(Andreas Zünd),</w:t>
      </w:r>
    </w:p>
    <w:p w:rsidRPr="00B85940" w:rsidR="00F066CC" w:rsidP="00B85940" w14:paraId="4AA4AF8E" w14:textId="77777777">
      <w:pPr>
        <w:pStyle w:val="JuCase"/>
        <w:ind w:left="567" w:firstLine="0"/>
        <w:jc w:val="left"/>
        <w:rPr>
          <w:b w:val="0"/>
          <w:bCs/>
          <w:i/>
          <w:lang w:val="uk-UA"/>
        </w:rPr>
      </w:pPr>
      <w:r w:rsidRPr="00B85940">
        <w:rPr>
          <w:b w:val="0"/>
          <w:bCs/>
          <w:lang w:val="uk-UA"/>
        </w:rPr>
        <w:t xml:space="preserve">Микола Гнатовський </w:t>
      </w:r>
      <w:r w:rsidRPr="00B85940">
        <w:rPr>
          <w:b w:val="0"/>
          <w:bCs/>
          <w:i/>
          <w:iCs/>
          <w:lang w:val="uk-UA"/>
        </w:rPr>
        <w:t>(Mykola Gnatovskyy),</w:t>
      </w:r>
    </w:p>
    <w:p w:rsidRPr="00B85940" w:rsidR="00F066CC" w:rsidP="00B85940" w14:paraId="2AEFACEF" w14:textId="77777777">
      <w:pPr>
        <w:pStyle w:val="JuCase"/>
        <w:ind w:left="567" w:firstLine="0"/>
        <w:jc w:val="left"/>
        <w:rPr>
          <w:b w:val="0"/>
          <w:bCs/>
          <w:lang w:val="uk-UA"/>
        </w:rPr>
      </w:pPr>
      <w:r w:rsidRPr="00B85940">
        <w:rPr>
          <w:b w:val="0"/>
          <w:bCs/>
          <w:iCs/>
          <w:lang w:val="uk-UA"/>
        </w:rPr>
        <w:t xml:space="preserve">Ваге Григорян </w:t>
      </w:r>
      <w:r w:rsidRPr="00B85940">
        <w:rPr>
          <w:b w:val="0"/>
          <w:bCs/>
          <w:i/>
          <w:lang w:val="uk-UA"/>
        </w:rPr>
        <w:t>(Vahe Grigoryan)</w:t>
      </w:r>
      <w:r w:rsidRPr="00B85940">
        <w:rPr>
          <w:b w:val="0"/>
          <w:bCs/>
          <w:lang w:val="uk-UA"/>
        </w:rPr>
        <w:t>,</w:t>
      </w:r>
    </w:p>
    <w:p w:rsidRPr="00B85940" w:rsidR="004F6DDA" w:rsidP="00B85940" w14:paraId="47CA1834" w14:textId="21EF5CFC">
      <w:pPr>
        <w:pStyle w:val="JuCase"/>
        <w:ind w:firstLine="567"/>
        <w:jc w:val="left"/>
        <w:rPr>
          <w:b w:val="0"/>
          <w:bCs/>
          <w:lang w:val="uk-UA"/>
        </w:rPr>
      </w:pPr>
      <w:r w:rsidRPr="00B85940">
        <w:rPr>
          <w:b w:val="0"/>
          <w:bCs/>
          <w:iCs/>
          <w:lang w:val="uk-UA"/>
        </w:rPr>
        <w:t>Себастьєн</w:t>
      </w:r>
      <w:r w:rsidRPr="00B85940">
        <w:rPr>
          <w:b w:val="0"/>
          <w:bCs/>
          <w:iCs/>
          <w:lang w:val="uk-UA"/>
        </w:rPr>
        <w:t xml:space="preserve"> </w:t>
      </w:r>
      <w:r w:rsidRPr="00B85940">
        <w:rPr>
          <w:b w:val="0"/>
          <w:bCs/>
          <w:iCs/>
          <w:lang w:val="uk-UA"/>
        </w:rPr>
        <w:t>Б</w:t>
      </w:r>
      <w:r w:rsidRPr="00B85940" w:rsidR="00B85940">
        <w:rPr>
          <w:b w:val="0"/>
          <w:bCs/>
          <w:iCs/>
          <w:lang w:val="uk-UA"/>
        </w:rPr>
        <w:t>’</w:t>
      </w:r>
      <w:r w:rsidRPr="00B85940">
        <w:rPr>
          <w:b w:val="0"/>
          <w:bCs/>
          <w:iCs/>
          <w:lang w:val="uk-UA"/>
        </w:rPr>
        <w:t>янкері</w:t>
      </w:r>
      <w:r w:rsidRPr="00B85940">
        <w:rPr>
          <w:b w:val="0"/>
          <w:bCs/>
          <w:i/>
          <w:lang w:val="uk-UA"/>
        </w:rPr>
        <w:t xml:space="preserve"> </w:t>
      </w:r>
      <w:r w:rsidRPr="00B85940">
        <w:rPr>
          <w:b w:val="0"/>
          <w:bCs/>
          <w:i/>
          <w:iCs/>
          <w:lang w:val="uk-UA"/>
        </w:rPr>
        <w:t>(</w:t>
      </w:r>
      <w:r w:rsidRPr="00B85940">
        <w:rPr>
          <w:b w:val="0"/>
          <w:bCs/>
          <w:i/>
          <w:iCs/>
          <w:lang w:val="uk-UA"/>
        </w:rPr>
        <w:t>Sébastien</w:t>
      </w:r>
      <w:r w:rsidRPr="00B85940">
        <w:rPr>
          <w:b w:val="0"/>
          <w:bCs/>
          <w:i/>
          <w:iCs/>
          <w:lang w:val="uk-UA"/>
        </w:rPr>
        <w:t xml:space="preserve"> </w:t>
      </w:r>
      <w:r w:rsidRPr="00B85940">
        <w:rPr>
          <w:b w:val="0"/>
          <w:bCs/>
          <w:i/>
          <w:iCs/>
          <w:lang w:val="uk-UA"/>
        </w:rPr>
        <w:t>Biancheri</w:t>
      </w:r>
      <w:r w:rsidRPr="00B85940">
        <w:rPr>
          <w:b w:val="0"/>
          <w:bCs/>
          <w:i/>
          <w:iCs/>
          <w:lang w:val="uk-UA"/>
        </w:rPr>
        <w:t>),</w:t>
      </w:r>
      <w:r w:rsidRPr="00B85940">
        <w:rPr>
          <w:b w:val="0"/>
          <w:bCs/>
          <w:i/>
          <w:lang w:val="uk-UA"/>
        </w:rPr>
        <w:t xml:space="preserve"> судді</w:t>
      </w:r>
      <w:r w:rsidRPr="00B85940">
        <w:rPr>
          <w:b w:val="0"/>
          <w:bCs/>
          <w:lang w:val="uk-UA"/>
        </w:rPr>
        <w:t>,</w:t>
      </w:r>
      <w:r w:rsidRPr="00B85940">
        <w:rPr>
          <w:b w:val="0"/>
          <w:bCs/>
          <w:lang w:val="uk-UA"/>
        </w:rPr>
        <w:br/>
        <w:t xml:space="preserve">та Віктор Соловейчік </w:t>
      </w:r>
      <w:r w:rsidRPr="00B85940">
        <w:rPr>
          <w:b w:val="0"/>
          <w:bCs/>
          <w:i/>
          <w:iCs/>
          <w:lang w:val="uk-UA"/>
        </w:rPr>
        <w:t>(Victor Soloveytchik)</w:t>
      </w:r>
      <w:r w:rsidRPr="00B85940">
        <w:rPr>
          <w:b w:val="0"/>
          <w:bCs/>
          <w:lang w:val="uk-UA"/>
        </w:rPr>
        <w:t xml:space="preserve">, </w:t>
      </w:r>
      <w:r w:rsidRPr="00B85940">
        <w:rPr>
          <w:b w:val="0"/>
          <w:bCs/>
          <w:i/>
          <w:iCs/>
          <w:lang w:val="uk-UA"/>
        </w:rPr>
        <w:t>Секретар секції,</w:t>
      </w:r>
    </w:p>
    <w:p w:rsidRPr="00B85940" w:rsidR="00F066CC" w:rsidP="00B85940" w14:paraId="2F0F5264" w14:textId="77777777">
      <w:pPr>
        <w:pStyle w:val="JuCase"/>
        <w:jc w:val="left"/>
        <w:rPr>
          <w:b w:val="0"/>
          <w:bCs/>
          <w:lang w:val="uk-UA"/>
        </w:rPr>
      </w:pPr>
      <w:r w:rsidRPr="00B85940">
        <w:rPr>
          <w:b w:val="0"/>
          <w:bCs/>
          <w:lang w:val="uk-UA"/>
        </w:rPr>
        <w:t>з огляду на:</w:t>
      </w:r>
    </w:p>
    <w:p w:rsidRPr="00B85940" w:rsidR="00F066CC" w:rsidP="00B85940" w14:paraId="79D89573" w14:textId="77777777">
      <w:pPr>
        <w:pStyle w:val="JuCase"/>
        <w:rPr>
          <w:b w:val="0"/>
          <w:bCs/>
          <w:lang w:val="uk-UA"/>
        </w:rPr>
      </w:pPr>
      <w:r w:rsidRPr="00B85940">
        <w:rPr>
          <w:b w:val="0"/>
          <w:bCs/>
          <w:lang w:val="uk-UA"/>
        </w:rPr>
        <w:t xml:space="preserve">заяву (№ 9953/16), яку 12 лютого 2016 року подала до Суду проти України на підставі статті 34 Конвенції про захист прав людини і основоположних свобод (далі – Конвенція) громадянка України, </w:t>
      </w:r>
      <w:r w:rsidRPr="00B85940" w:rsidR="005F34DB">
        <w:rPr>
          <w:b w:val="0"/>
          <w:bCs/>
          <w:lang w:val="uk-UA"/>
        </w:rPr>
        <w:t>пані </w:t>
      </w:r>
      <w:r w:rsidRPr="00B85940">
        <w:rPr>
          <w:b w:val="0"/>
          <w:bCs/>
          <w:lang w:val="uk-UA"/>
        </w:rPr>
        <w:t>Наталя Валеріївна Космацька (далі – заявниця);</w:t>
      </w:r>
    </w:p>
    <w:p w:rsidRPr="00B85940" w:rsidR="00F066CC" w:rsidP="00B85940" w14:paraId="04EA55CA" w14:textId="77777777">
      <w:pPr>
        <w:pStyle w:val="JuPara"/>
        <w:rPr>
          <w:lang w:val="uk-UA"/>
        </w:rPr>
      </w:pPr>
      <w:r w:rsidRPr="00B85940">
        <w:rPr>
          <w:lang w:val="uk-UA"/>
        </w:rPr>
        <w:t>рішення повідомити Уряд України (далі – Уряд);</w:t>
      </w:r>
    </w:p>
    <w:p w:rsidRPr="00B85940" w:rsidR="00F066CC" w:rsidP="00B85940" w14:paraId="2CE9E759" w14:textId="77777777">
      <w:pPr>
        <w:pStyle w:val="JuPara"/>
        <w:rPr>
          <w:lang w:val="uk-UA"/>
        </w:rPr>
      </w:pPr>
      <w:r w:rsidRPr="00B85940">
        <w:rPr>
          <w:lang w:val="uk-UA"/>
        </w:rPr>
        <w:t>зауваження сторін;</w:t>
      </w:r>
    </w:p>
    <w:p w:rsidRPr="00B85940" w:rsidR="00F066CC" w:rsidP="00B85940" w14:paraId="245D0751" w14:textId="77777777">
      <w:pPr>
        <w:pStyle w:val="JuPara"/>
        <w:rPr>
          <w:lang w:val="uk-UA"/>
        </w:rPr>
      </w:pPr>
      <w:r w:rsidRPr="00B85940">
        <w:rPr>
          <w:lang w:val="uk-UA"/>
        </w:rPr>
        <w:t>після обговорення за зачиненими дверима 12 листопада 2025 року</w:t>
      </w:r>
    </w:p>
    <w:p w:rsidRPr="00B85940" w:rsidR="00F066CC" w:rsidP="00B85940" w14:paraId="1FEE7AEE" w14:textId="77777777">
      <w:pPr>
        <w:pStyle w:val="JuPara"/>
        <w:rPr>
          <w:lang w:val="uk-UA"/>
        </w:rPr>
      </w:pPr>
      <w:r w:rsidRPr="00B85940">
        <w:rPr>
          <w:lang w:val="uk-UA"/>
        </w:rPr>
        <w:t>постановляє таке рішення, що було ухвалено у той день:</w:t>
      </w:r>
    </w:p>
    <w:p w:rsidRPr="00B85940" w:rsidR="00862459" w:rsidP="00B85940" w14:paraId="1AEEC166" w14:textId="77777777">
      <w:pPr>
        <w:pStyle w:val="JuHHead"/>
        <w:numPr>
          <w:ilvl w:val="0"/>
          <w:numId w:val="0"/>
        </w:numPr>
        <w:rPr>
          <w:lang w:val="uk-UA"/>
        </w:rPr>
      </w:pPr>
      <w:r w:rsidRPr="00B85940">
        <w:rPr>
          <w:lang w:val="uk-UA"/>
        </w:rPr>
        <w:t>ВСТУП</w:t>
      </w:r>
    </w:p>
    <w:p w:rsidRPr="00B85940" w:rsidR="00F066CC" w:rsidP="00B85940" w14:paraId="547E1DBA" w14:textId="77777777">
      <w:pPr>
        <w:pStyle w:val="JuPara"/>
        <w:rPr>
          <w:lang w:val="uk-UA"/>
        </w:rPr>
      </w:pPr>
      <w:r w:rsidRPr="00B85940">
        <w:rPr>
          <w:lang w:val="uk-UA"/>
        </w:rPr>
        <w:t xml:space="preserve">1.  Заява стосується позбавлення заявниці земельної ділянки, яку вона придбала у приватних осіб, </w:t>
      </w:r>
      <w:r w:rsidRPr="00B85940" w:rsidR="002E2A18">
        <w:rPr>
          <w:lang w:val="uk-UA"/>
        </w:rPr>
        <w:t xml:space="preserve">у результаті </w:t>
      </w:r>
      <w:r w:rsidRPr="00B85940">
        <w:rPr>
          <w:lang w:val="uk-UA"/>
        </w:rPr>
        <w:t>ухвалення судових рішень, якими було задоволено позов прокурора про повернення земельної ділянки державі. Заявниця посилалася на статтю 1 Першого протоколу до Конвенції.</w:t>
      </w:r>
    </w:p>
    <w:p w:rsidRPr="00B85940" w:rsidR="00862459" w:rsidP="00B85940" w14:paraId="054740D7" w14:textId="77777777">
      <w:pPr>
        <w:pStyle w:val="JuHHead"/>
        <w:rPr>
          <w:lang w:val="uk-UA"/>
        </w:rPr>
      </w:pPr>
      <w:r w:rsidRPr="00B85940">
        <w:rPr>
          <w:lang w:val="uk-UA"/>
        </w:rPr>
        <w:t>ФАКТИ</w:t>
      </w:r>
    </w:p>
    <w:p w:rsidRPr="00B85940" w:rsidR="00F066CC" w:rsidP="00B85940" w14:paraId="198F2A89" w14:textId="77777777">
      <w:pPr>
        <w:pStyle w:val="JuPara"/>
        <w:rPr>
          <w:lang w:val="uk-UA"/>
        </w:rPr>
      </w:pPr>
      <w:r w:rsidRPr="00B85940">
        <w:rPr>
          <w:lang w:val="uk-UA"/>
        </w:rPr>
        <w:t>2.  Заявниця народилася у 1977 році та проживає у с. Гатне Київської області. Заявницю представляла пані А.Б. Кульчицька, юрист, яка практикує у м. Київ.</w:t>
      </w:r>
    </w:p>
    <w:p w:rsidRPr="00B85940" w:rsidR="00862459" w:rsidP="00B85940" w14:paraId="245F869D" w14:textId="77777777">
      <w:pPr>
        <w:pStyle w:val="JuPara"/>
        <w:rPr>
          <w:lang w:val="uk-UA"/>
        </w:rPr>
      </w:pPr>
      <w:r w:rsidRPr="00B85940">
        <w:rPr>
          <w:lang w:val="uk-UA"/>
        </w:rPr>
        <w:t>3.  Уряд представляла його Уповноважений, пані М. Сокоренко.</w:t>
      </w:r>
    </w:p>
    <w:p w:rsidRPr="00B85940" w:rsidR="00862459" w:rsidP="00B85940" w14:paraId="7FBBFB64" w14:textId="77777777">
      <w:pPr>
        <w:pStyle w:val="JuPara"/>
        <w:rPr>
          <w:lang w:val="uk-UA"/>
        </w:rPr>
      </w:pPr>
      <w:r w:rsidRPr="00B85940">
        <w:rPr>
          <w:lang w:val="uk-UA"/>
        </w:rPr>
        <w:t>4.  Факти справи можуть бути узагальнені таким чином.</w:t>
      </w:r>
    </w:p>
    <w:p w:rsidRPr="00B85940" w:rsidR="00862459" w:rsidP="00B85940" w14:paraId="69A81AAB" w14:textId="77777777">
      <w:pPr>
        <w:pStyle w:val="JuHIRoman"/>
        <w:rPr>
          <w:lang w:val="uk-UA"/>
        </w:rPr>
      </w:pPr>
      <w:r w:rsidRPr="00B85940">
        <w:rPr>
          <w:lang w:val="uk-UA"/>
        </w:rPr>
        <w:t xml:space="preserve">ПЕРВИННЕ ВИДІЛЕННЯ </w:t>
      </w:r>
      <w:r w:rsidRPr="00B85940" w:rsidR="00F2685C">
        <w:rPr>
          <w:lang w:val="uk-UA"/>
        </w:rPr>
        <w:t>ЗЕМЕЛЬНих ДІЛЯНок</w:t>
      </w:r>
    </w:p>
    <w:p w:rsidRPr="00B85940" w:rsidR="001120D0" w:rsidP="00B85940" w14:paraId="71140F53" w14:textId="77777777">
      <w:pPr>
        <w:pStyle w:val="JuPara"/>
        <w:rPr>
          <w:lang w:val="uk-UA"/>
        </w:rPr>
      </w:pPr>
      <w:r w:rsidRPr="00B85940">
        <w:rPr>
          <w:lang w:val="uk-UA"/>
        </w:rPr>
        <w:t>5.  </w:t>
      </w:r>
      <w:r w:rsidRPr="00B85940">
        <w:rPr>
          <w:lang w:val="uk-UA"/>
        </w:rPr>
        <w:t>Декількома розпорядженнями, прийнятими у квітні 2008 року</w:t>
      </w:r>
      <w:r w:rsidRPr="00B85940" w:rsidR="00C36DE7">
        <w:rPr>
          <w:lang w:val="uk-UA"/>
        </w:rPr>
        <w:t xml:space="preserve">, </w:t>
      </w:r>
      <w:r w:rsidRPr="00B85940">
        <w:rPr>
          <w:lang w:val="uk-UA"/>
        </w:rPr>
        <w:t xml:space="preserve">Бородянська районна державна адміністрація Київської області (далі – Бородянська РДА) виділила </w:t>
      </w:r>
      <w:r w:rsidRPr="00B85940" w:rsidR="00F61EEA">
        <w:rPr>
          <w:lang w:val="uk-UA"/>
        </w:rPr>
        <w:t xml:space="preserve">109 особам </w:t>
      </w:r>
      <w:r w:rsidRPr="00B85940">
        <w:rPr>
          <w:lang w:val="uk-UA"/>
        </w:rPr>
        <w:t>земельні ділянки площею по 2 гектари (</w:t>
      </w:r>
      <w:r w:rsidRPr="00B85940" w:rsidR="002E2A18">
        <w:rPr>
          <w:lang w:val="uk-UA"/>
        </w:rPr>
        <w:t xml:space="preserve">далі – </w:t>
      </w:r>
      <w:r w:rsidRPr="00B85940">
        <w:rPr>
          <w:lang w:val="uk-UA"/>
        </w:rPr>
        <w:t xml:space="preserve">га) кожна </w:t>
      </w:r>
      <w:r w:rsidRPr="00B85940" w:rsidR="002E2A18">
        <w:rPr>
          <w:lang w:val="uk-UA"/>
        </w:rPr>
        <w:t xml:space="preserve">у власність </w:t>
      </w:r>
      <w:r w:rsidRPr="00B85940">
        <w:rPr>
          <w:lang w:val="uk-UA"/>
        </w:rPr>
        <w:t xml:space="preserve">шляхом приватизації для ведення особистого селянського господарства. Земельні ділянки були </w:t>
      </w:r>
      <w:r w:rsidRPr="00B85940">
        <w:rPr>
          <w:lang w:val="uk-UA"/>
        </w:rPr>
        <w:t xml:space="preserve">розташовані поблизу села Майданівка. У липні 2008 року відповідні особи отримали </w:t>
      </w:r>
      <w:r w:rsidRPr="00B85940" w:rsidR="002E2A18">
        <w:rPr>
          <w:lang w:val="uk-UA"/>
        </w:rPr>
        <w:t xml:space="preserve">права </w:t>
      </w:r>
      <w:r w:rsidRPr="00B85940">
        <w:rPr>
          <w:lang w:val="uk-UA"/>
        </w:rPr>
        <w:t>власності на земельні ділянки.</w:t>
      </w:r>
    </w:p>
    <w:p w:rsidRPr="00B85940" w:rsidR="00C36DE7" w:rsidP="00B85940" w14:paraId="299CD100" w14:textId="7F013422">
      <w:pPr>
        <w:pStyle w:val="JuPara"/>
        <w:rPr>
          <w:lang w:val="uk-UA"/>
        </w:rPr>
      </w:pPr>
      <w:r w:rsidRPr="00B85940">
        <w:rPr>
          <w:lang w:val="uk-UA"/>
        </w:rPr>
        <w:t>6.  </w:t>
      </w:r>
      <w:r w:rsidRPr="00B85940">
        <w:rPr>
          <w:lang w:val="uk-UA"/>
        </w:rPr>
        <w:t>У жовтні 2008 року 14 осіб продали свої земельні ділянки заявниці, яка через два місяці отримала документи на право власності на об</w:t>
      </w:r>
      <w:r w:rsidRPr="00B85940" w:rsidR="00B85940">
        <w:rPr>
          <w:lang w:val="uk-UA"/>
        </w:rPr>
        <w:t>’</w:t>
      </w:r>
      <w:r w:rsidRPr="00B85940">
        <w:rPr>
          <w:lang w:val="uk-UA"/>
        </w:rPr>
        <w:t xml:space="preserve">єднану земельну ділянку площею 28 га. Копії договорів купівлі-продажу </w:t>
      </w:r>
      <w:r w:rsidRPr="00B85940" w:rsidR="002E2A18">
        <w:rPr>
          <w:lang w:val="uk-UA"/>
        </w:rPr>
        <w:t xml:space="preserve">Суду </w:t>
      </w:r>
      <w:r w:rsidRPr="00B85940">
        <w:rPr>
          <w:lang w:val="uk-UA"/>
        </w:rPr>
        <w:t>надані</w:t>
      </w:r>
      <w:r w:rsidRPr="00B85940" w:rsidR="002E2A18">
        <w:rPr>
          <w:lang w:val="uk-UA"/>
        </w:rPr>
        <w:t xml:space="preserve"> не були</w:t>
      </w:r>
      <w:r w:rsidRPr="00B85940">
        <w:rPr>
          <w:lang w:val="uk-UA"/>
        </w:rPr>
        <w:t>. Заявниця стверджувала, що вона сплатила загалом 3 029 145 українських гривень (далі – грн; еквівалент приблизно 436 000 євро на момент подій).</w:t>
      </w:r>
    </w:p>
    <w:p w:rsidRPr="00B85940" w:rsidR="00C36DE7" w:rsidP="00B85940" w14:paraId="000AAB92" w14:textId="77777777">
      <w:pPr>
        <w:pStyle w:val="JuPara"/>
        <w:rPr>
          <w:lang w:val="uk-UA"/>
        </w:rPr>
      </w:pPr>
      <w:r w:rsidRPr="00B85940">
        <w:rPr>
          <w:lang w:val="uk-UA"/>
        </w:rPr>
        <w:t>7.  </w:t>
      </w:r>
      <w:r w:rsidRPr="00B85940" w:rsidR="00F10208">
        <w:rPr>
          <w:lang w:val="uk-UA"/>
        </w:rPr>
        <w:t>У н</w:t>
      </w:r>
      <w:r w:rsidRPr="00B85940">
        <w:rPr>
          <w:lang w:val="uk-UA"/>
        </w:rPr>
        <w:t>евідом</w:t>
      </w:r>
      <w:r w:rsidRPr="00B85940" w:rsidR="00F10208">
        <w:rPr>
          <w:lang w:val="uk-UA"/>
        </w:rPr>
        <w:t>у</w:t>
      </w:r>
      <w:r w:rsidRPr="00B85940">
        <w:rPr>
          <w:lang w:val="uk-UA"/>
        </w:rPr>
        <w:t xml:space="preserve"> дат</w:t>
      </w:r>
      <w:r w:rsidRPr="00B85940" w:rsidR="00F10208">
        <w:rPr>
          <w:lang w:val="uk-UA"/>
        </w:rPr>
        <w:t>у</w:t>
      </w:r>
      <w:r w:rsidRPr="00B85940">
        <w:rPr>
          <w:lang w:val="uk-UA"/>
        </w:rPr>
        <w:t xml:space="preserve"> 2008 року </w:t>
      </w:r>
      <w:r w:rsidRPr="00B85940" w:rsidR="00F10208">
        <w:rPr>
          <w:lang w:val="uk-UA"/>
        </w:rPr>
        <w:t xml:space="preserve">районний </w:t>
      </w:r>
      <w:r w:rsidRPr="00B85940">
        <w:rPr>
          <w:lang w:val="uk-UA"/>
        </w:rPr>
        <w:t xml:space="preserve">прокурор провів розслідування щодо </w:t>
      </w:r>
      <w:r w:rsidRPr="00B85940" w:rsidR="00F10208">
        <w:rPr>
          <w:lang w:val="uk-UA"/>
        </w:rPr>
        <w:t>виділення</w:t>
      </w:r>
      <w:r w:rsidRPr="00B85940">
        <w:rPr>
          <w:lang w:val="uk-UA"/>
        </w:rPr>
        <w:t xml:space="preserve"> </w:t>
      </w:r>
      <w:r w:rsidRPr="00B85940" w:rsidR="00F10208">
        <w:rPr>
          <w:lang w:val="uk-UA"/>
        </w:rPr>
        <w:t xml:space="preserve">відповідної </w:t>
      </w:r>
      <w:r w:rsidRPr="00B85940" w:rsidR="002E2A18">
        <w:rPr>
          <w:lang w:val="uk-UA"/>
        </w:rPr>
        <w:t>землі</w:t>
      </w:r>
      <w:r w:rsidRPr="00B85940">
        <w:rPr>
          <w:lang w:val="uk-UA"/>
        </w:rPr>
        <w:t xml:space="preserve">. Суду не </w:t>
      </w:r>
      <w:r w:rsidRPr="00B85940" w:rsidR="00F61EEA">
        <w:rPr>
          <w:lang w:val="uk-UA"/>
        </w:rPr>
        <w:t xml:space="preserve">були надані </w:t>
      </w:r>
      <w:r w:rsidRPr="00B85940">
        <w:rPr>
          <w:lang w:val="uk-UA"/>
        </w:rPr>
        <w:t>матеріал</w:t>
      </w:r>
      <w:r w:rsidRPr="00B85940" w:rsidR="00F10208">
        <w:rPr>
          <w:lang w:val="uk-UA"/>
        </w:rPr>
        <w:t>и</w:t>
      </w:r>
      <w:r w:rsidRPr="00B85940">
        <w:rPr>
          <w:lang w:val="uk-UA"/>
        </w:rPr>
        <w:t xml:space="preserve"> цього розслідування, </w:t>
      </w:r>
      <w:r w:rsidRPr="00B85940" w:rsidR="00F10208">
        <w:rPr>
          <w:lang w:val="uk-UA"/>
        </w:rPr>
        <w:t>проте</w:t>
      </w:r>
      <w:r w:rsidRPr="00B85940">
        <w:rPr>
          <w:lang w:val="uk-UA"/>
        </w:rPr>
        <w:t xml:space="preserve"> з інших </w:t>
      </w:r>
      <w:r w:rsidRPr="00B85940" w:rsidR="00F10208">
        <w:rPr>
          <w:lang w:val="uk-UA"/>
        </w:rPr>
        <w:t xml:space="preserve">наявних у справі </w:t>
      </w:r>
      <w:r w:rsidRPr="00B85940">
        <w:rPr>
          <w:lang w:val="uk-UA"/>
        </w:rPr>
        <w:t>документів в</w:t>
      </w:r>
      <w:r w:rsidRPr="00B85940" w:rsidR="00F10208">
        <w:rPr>
          <w:lang w:val="uk-UA"/>
        </w:rPr>
        <w:t>бачається</w:t>
      </w:r>
      <w:r w:rsidRPr="00B85940">
        <w:rPr>
          <w:lang w:val="uk-UA"/>
        </w:rPr>
        <w:t>, що було встановлено, що деякі особи, яким було виділено зем</w:t>
      </w:r>
      <w:r w:rsidRPr="00B85940" w:rsidR="00F10208">
        <w:rPr>
          <w:lang w:val="uk-UA"/>
        </w:rPr>
        <w:t>е</w:t>
      </w:r>
      <w:r w:rsidRPr="00B85940">
        <w:rPr>
          <w:lang w:val="uk-UA"/>
        </w:rPr>
        <w:t>л</w:t>
      </w:r>
      <w:r w:rsidRPr="00B85940" w:rsidR="00F10208">
        <w:rPr>
          <w:lang w:val="uk-UA"/>
        </w:rPr>
        <w:t>ьні ділянки,</w:t>
      </w:r>
      <w:r w:rsidRPr="00B85940">
        <w:rPr>
          <w:lang w:val="uk-UA"/>
        </w:rPr>
        <w:t xml:space="preserve"> ніколи не зверталися до Бородянської </w:t>
      </w:r>
      <w:r w:rsidRPr="00B85940" w:rsidR="00F10208">
        <w:rPr>
          <w:lang w:val="uk-UA"/>
        </w:rPr>
        <w:t xml:space="preserve">РДА </w:t>
      </w:r>
      <w:r w:rsidRPr="00B85940" w:rsidR="002E2A18">
        <w:rPr>
          <w:lang w:val="uk-UA"/>
        </w:rPr>
        <w:t xml:space="preserve">щодо приватизації </w:t>
      </w:r>
      <w:r w:rsidRPr="00B85940" w:rsidR="00313143">
        <w:rPr>
          <w:lang w:val="uk-UA"/>
        </w:rPr>
        <w:t>земельних ділянок</w:t>
      </w:r>
      <w:r w:rsidRPr="00B85940" w:rsidR="002E2A18">
        <w:rPr>
          <w:lang w:val="uk-UA"/>
        </w:rPr>
        <w:t xml:space="preserve"> </w:t>
      </w:r>
      <w:r w:rsidRPr="00B85940" w:rsidR="00F10208">
        <w:rPr>
          <w:lang w:val="uk-UA"/>
        </w:rPr>
        <w:t>чи</w:t>
      </w:r>
      <w:r w:rsidRPr="00B85940">
        <w:rPr>
          <w:lang w:val="uk-UA"/>
        </w:rPr>
        <w:t xml:space="preserve"> втратили свої паспорти та/або інші документи, що </w:t>
      </w:r>
      <w:r w:rsidRPr="00B85940" w:rsidR="00313143">
        <w:rPr>
          <w:lang w:val="uk-UA"/>
        </w:rPr>
        <w:t xml:space="preserve">посвідчували </w:t>
      </w:r>
      <w:r w:rsidRPr="00B85940">
        <w:rPr>
          <w:lang w:val="uk-UA"/>
        </w:rPr>
        <w:t xml:space="preserve">особу, приблизно в той самий період. Ці факти вказували на </w:t>
      </w:r>
      <w:r w:rsidRPr="00B85940" w:rsidR="00F61EEA">
        <w:rPr>
          <w:lang w:val="uk-UA"/>
        </w:rPr>
        <w:t xml:space="preserve">ймовірність </w:t>
      </w:r>
      <w:r w:rsidRPr="00B85940">
        <w:rPr>
          <w:lang w:val="uk-UA"/>
        </w:rPr>
        <w:t xml:space="preserve">того, що </w:t>
      </w:r>
      <w:r w:rsidRPr="00B85940" w:rsidR="002E2A18">
        <w:rPr>
          <w:lang w:val="uk-UA"/>
        </w:rPr>
        <w:t>у</w:t>
      </w:r>
      <w:r w:rsidRPr="00B85940">
        <w:rPr>
          <w:lang w:val="uk-UA"/>
        </w:rPr>
        <w:t xml:space="preserve">мотивовані особистою вигодою </w:t>
      </w:r>
      <w:r w:rsidRPr="00B85940" w:rsidR="00F10208">
        <w:rPr>
          <w:lang w:val="uk-UA"/>
        </w:rPr>
        <w:t xml:space="preserve">треті особи </w:t>
      </w:r>
      <w:r w:rsidRPr="00B85940">
        <w:rPr>
          <w:lang w:val="uk-UA"/>
        </w:rPr>
        <w:t>могли скористатися цією ситуацією.</w:t>
      </w:r>
    </w:p>
    <w:p w:rsidRPr="00B85940" w:rsidR="00F10208" w:rsidP="00B85940" w14:paraId="3464A6DA" w14:textId="77777777">
      <w:pPr>
        <w:pStyle w:val="JuPara"/>
        <w:rPr>
          <w:lang w:val="uk-UA"/>
        </w:rPr>
      </w:pPr>
      <w:r w:rsidRPr="00B85940">
        <w:rPr>
          <w:lang w:val="uk-UA"/>
        </w:rPr>
        <w:t>8.  </w:t>
      </w:r>
      <w:r w:rsidRPr="00B85940">
        <w:rPr>
          <w:lang w:val="uk-UA"/>
        </w:rPr>
        <w:t xml:space="preserve">21 жовтня 2010 року, за позовом прокурора, поданим за результатами згаданого розслідування, Київський апеляційний адміністративний суд скасував </w:t>
      </w:r>
      <w:r w:rsidRPr="00B85940" w:rsidR="00E4399D">
        <w:rPr>
          <w:lang w:val="uk-UA"/>
        </w:rPr>
        <w:t>розпорядження</w:t>
      </w:r>
      <w:r w:rsidRPr="00B85940">
        <w:rPr>
          <w:lang w:val="uk-UA"/>
        </w:rPr>
        <w:t xml:space="preserve"> Бородянської РДА 2008</w:t>
      </w:r>
      <w:r w:rsidRPr="00B85940" w:rsidR="00E4399D">
        <w:rPr>
          <w:lang w:val="uk-UA"/>
        </w:rPr>
        <w:t> </w:t>
      </w:r>
      <w:r w:rsidRPr="00B85940">
        <w:rPr>
          <w:lang w:val="uk-UA"/>
        </w:rPr>
        <w:t>року щодо виділення зем</w:t>
      </w:r>
      <w:r w:rsidRPr="00B85940" w:rsidR="00E4399D">
        <w:rPr>
          <w:lang w:val="uk-UA"/>
        </w:rPr>
        <w:t>е</w:t>
      </w:r>
      <w:r w:rsidRPr="00B85940">
        <w:rPr>
          <w:lang w:val="uk-UA"/>
        </w:rPr>
        <w:t>л</w:t>
      </w:r>
      <w:r w:rsidRPr="00B85940" w:rsidR="00E4399D">
        <w:rPr>
          <w:lang w:val="uk-UA"/>
        </w:rPr>
        <w:t>ьних ділянок</w:t>
      </w:r>
      <w:r w:rsidRPr="00B85940">
        <w:rPr>
          <w:lang w:val="uk-UA"/>
        </w:rPr>
        <w:t xml:space="preserve">. Суд, </w:t>
      </w:r>
      <w:r w:rsidRPr="00B85940" w:rsidR="00A23BD9">
        <w:rPr>
          <w:lang w:val="uk-UA"/>
        </w:rPr>
        <w:t>по суті</w:t>
      </w:r>
      <w:r w:rsidRPr="00B85940">
        <w:rPr>
          <w:lang w:val="uk-UA"/>
        </w:rPr>
        <w:t xml:space="preserve">, посилався на висновки прокурора. У </w:t>
      </w:r>
      <w:r w:rsidRPr="00B85940" w:rsidR="00E4399D">
        <w:rPr>
          <w:lang w:val="uk-UA"/>
        </w:rPr>
        <w:t>постанові</w:t>
      </w:r>
      <w:r w:rsidRPr="00B85940">
        <w:rPr>
          <w:lang w:val="uk-UA"/>
        </w:rPr>
        <w:t xml:space="preserve"> він зазначив, що «деякі» з 109 осіб ніколи не подавали заяв </w:t>
      </w:r>
      <w:r w:rsidRPr="00B85940" w:rsidR="00BE24EE">
        <w:rPr>
          <w:lang w:val="uk-UA"/>
        </w:rPr>
        <w:t xml:space="preserve">про </w:t>
      </w:r>
      <w:r w:rsidRPr="00B85940">
        <w:rPr>
          <w:lang w:val="uk-UA"/>
        </w:rPr>
        <w:t>приватизаці</w:t>
      </w:r>
      <w:r w:rsidRPr="00B85940" w:rsidR="00BE24EE">
        <w:rPr>
          <w:lang w:val="uk-UA"/>
        </w:rPr>
        <w:t>ю</w:t>
      </w:r>
      <w:r w:rsidRPr="00B85940">
        <w:rPr>
          <w:lang w:val="uk-UA"/>
        </w:rPr>
        <w:t xml:space="preserve"> зем</w:t>
      </w:r>
      <w:r w:rsidRPr="00B85940" w:rsidR="00BE24EE">
        <w:rPr>
          <w:lang w:val="uk-UA"/>
        </w:rPr>
        <w:t>е</w:t>
      </w:r>
      <w:r w:rsidRPr="00B85940">
        <w:rPr>
          <w:lang w:val="uk-UA"/>
        </w:rPr>
        <w:t>л</w:t>
      </w:r>
      <w:r w:rsidRPr="00B85940" w:rsidR="00BE24EE">
        <w:rPr>
          <w:lang w:val="uk-UA"/>
        </w:rPr>
        <w:t>ьної ділянки</w:t>
      </w:r>
      <w:r w:rsidRPr="00B85940">
        <w:rPr>
          <w:lang w:val="uk-UA"/>
        </w:rPr>
        <w:t xml:space="preserve">, але не вказав точно, хто </w:t>
      </w:r>
      <w:r w:rsidRPr="00B85940" w:rsidR="00E4399D">
        <w:rPr>
          <w:lang w:val="uk-UA"/>
        </w:rPr>
        <w:t>саме ц</w:t>
      </w:r>
      <w:r w:rsidRPr="00B85940">
        <w:rPr>
          <w:lang w:val="uk-UA"/>
        </w:rPr>
        <w:t>і особи, скільки з цих 109 осіб не подавали заяв, або чи вимага</w:t>
      </w:r>
      <w:r w:rsidRPr="00B85940" w:rsidR="00E4399D">
        <w:rPr>
          <w:lang w:val="uk-UA"/>
        </w:rPr>
        <w:t>ла</w:t>
      </w:r>
      <w:r w:rsidRPr="00B85940">
        <w:rPr>
          <w:lang w:val="uk-UA"/>
        </w:rPr>
        <w:t xml:space="preserve"> така ситуація повного скасування оскаржуваних р</w:t>
      </w:r>
      <w:r w:rsidRPr="00B85940" w:rsidR="00E4399D">
        <w:rPr>
          <w:lang w:val="uk-UA"/>
        </w:rPr>
        <w:t xml:space="preserve">озпоряджень </w:t>
      </w:r>
      <w:r w:rsidRPr="00B85940">
        <w:rPr>
          <w:lang w:val="uk-UA"/>
        </w:rPr>
        <w:t xml:space="preserve">Бородянської РДА. </w:t>
      </w:r>
      <w:r w:rsidRPr="00B85940" w:rsidR="00E4399D">
        <w:rPr>
          <w:lang w:val="uk-UA"/>
        </w:rPr>
        <w:t>Постанова</w:t>
      </w:r>
      <w:r w:rsidRPr="00B85940">
        <w:rPr>
          <w:lang w:val="uk-UA"/>
        </w:rPr>
        <w:t xml:space="preserve"> не бул</w:t>
      </w:r>
      <w:r w:rsidRPr="00B85940" w:rsidR="00E4399D">
        <w:rPr>
          <w:lang w:val="uk-UA"/>
        </w:rPr>
        <w:t>а</w:t>
      </w:r>
      <w:r w:rsidRPr="00B85940">
        <w:rPr>
          <w:lang w:val="uk-UA"/>
        </w:rPr>
        <w:t xml:space="preserve"> оскаржен</w:t>
      </w:r>
      <w:r w:rsidRPr="00B85940" w:rsidR="00E4399D">
        <w:rPr>
          <w:lang w:val="uk-UA"/>
        </w:rPr>
        <w:t>а</w:t>
      </w:r>
      <w:r w:rsidRPr="00B85940">
        <w:rPr>
          <w:lang w:val="uk-UA"/>
        </w:rPr>
        <w:t xml:space="preserve"> та наб</w:t>
      </w:r>
      <w:r w:rsidRPr="00B85940" w:rsidR="00E4399D">
        <w:rPr>
          <w:lang w:val="uk-UA"/>
        </w:rPr>
        <w:t xml:space="preserve">рала </w:t>
      </w:r>
      <w:r w:rsidRPr="00B85940">
        <w:rPr>
          <w:lang w:val="uk-UA"/>
        </w:rPr>
        <w:t xml:space="preserve">чинності. </w:t>
      </w:r>
      <w:r w:rsidRPr="00B85940" w:rsidR="00E4399D">
        <w:rPr>
          <w:lang w:val="uk-UA"/>
        </w:rPr>
        <w:t>Відповідні</w:t>
      </w:r>
      <w:r w:rsidRPr="00B85940">
        <w:rPr>
          <w:lang w:val="uk-UA"/>
        </w:rPr>
        <w:t xml:space="preserve"> особи не брали участі в цьому провадженні.</w:t>
      </w:r>
    </w:p>
    <w:p w:rsidRPr="00B85940" w:rsidR="00E4399D" w:rsidP="00B85940" w14:paraId="1461D67C" w14:textId="77777777">
      <w:pPr>
        <w:pStyle w:val="JuHIRoman"/>
        <w:rPr>
          <w:lang w:val="uk-UA"/>
        </w:rPr>
      </w:pPr>
      <w:r w:rsidRPr="00B85940">
        <w:rPr>
          <w:lang w:val="uk-UA"/>
        </w:rPr>
        <w:t>ВИЗНАННЯ НЕДІЙСНИМ ПРАВА ВЛАСНОСТІ ЗАЯВНИЦІ НА ЗЕМЕЛЬНУ ДІЛЯНКУ</w:t>
      </w:r>
    </w:p>
    <w:p w:rsidRPr="00B85940" w:rsidR="00E4399D" w:rsidP="00B85940" w14:paraId="086E19A2" w14:textId="77777777">
      <w:pPr>
        <w:pStyle w:val="JuPara"/>
        <w:rPr>
          <w:lang w:val="uk-UA"/>
        </w:rPr>
      </w:pPr>
      <w:r w:rsidRPr="00B85940">
        <w:rPr>
          <w:lang w:val="uk-UA"/>
        </w:rPr>
        <w:t>9.  У листопаді 2013 року прокурор провів ще одну перевірку щодо виділення зем</w:t>
      </w:r>
      <w:r w:rsidRPr="00B85940" w:rsidR="004B1718">
        <w:rPr>
          <w:lang w:val="uk-UA"/>
        </w:rPr>
        <w:t>е</w:t>
      </w:r>
      <w:r w:rsidRPr="00B85940">
        <w:rPr>
          <w:lang w:val="uk-UA"/>
        </w:rPr>
        <w:t>л</w:t>
      </w:r>
      <w:r w:rsidRPr="00B85940" w:rsidR="004B1718">
        <w:rPr>
          <w:lang w:val="uk-UA"/>
        </w:rPr>
        <w:t xml:space="preserve">ьних ділянок </w:t>
      </w:r>
      <w:r w:rsidRPr="00B85940">
        <w:rPr>
          <w:lang w:val="uk-UA"/>
        </w:rPr>
        <w:t xml:space="preserve">Бородянською РДА та </w:t>
      </w:r>
      <w:r w:rsidRPr="00B85940" w:rsidR="00B4690D">
        <w:rPr>
          <w:lang w:val="uk-UA"/>
        </w:rPr>
        <w:t xml:space="preserve">їхньої </w:t>
      </w:r>
      <w:r w:rsidRPr="00B85940">
        <w:rPr>
          <w:lang w:val="uk-UA"/>
        </w:rPr>
        <w:t>подальшої передачі заявни</w:t>
      </w:r>
      <w:r w:rsidRPr="00B85940" w:rsidR="004B1718">
        <w:rPr>
          <w:lang w:val="uk-UA"/>
        </w:rPr>
        <w:t>ці</w:t>
      </w:r>
      <w:r w:rsidRPr="00B85940">
        <w:rPr>
          <w:lang w:val="uk-UA"/>
        </w:rPr>
        <w:t xml:space="preserve">. У відповідній постанові про </w:t>
      </w:r>
      <w:r w:rsidRPr="00B85940" w:rsidR="00806CF3">
        <w:rPr>
          <w:lang w:val="uk-UA"/>
        </w:rPr>
        <w:t xml:space="preserve">проведення </w:t>
      </w:r>
      <w:r w:rsidRPr="00B85940">
        <w:rPr>
          <w:lang w:val="uk-UA"/>
        </w:rPr>
        <w:t xml:space="preserve">перевірки </w:t>
      </w:r>
      <w:r w:rsidRPr="00B85940" w:rsidR="004B1718">
        <w:rPr>
          <w:lang w:val="uk-UA"/>
        </w:rPr>
        <w:t xml:space="preserve">було </w:t>
      </w:r>
      <w:r w:rsidRPr="00B85940">
        <w:rPr>
          <w:lang w:val="uk-UA"/>
        </w:rPr>
        <w:t>зазнач</w:t>
      </w:r>
      <w:r w:rsidRPr="00B85940" w:rsidR="004B1718">
        <w:rPr>
          <w:lang w:val="uk-UA"/>
        </w:rPr>
        <w:t>ено</w:t>
      </w:r>
      <w:r w:rsidRPr="00B85940">
        <w:rPr>
          <w:lang w:val="uk-UA"/>
        </w:rPr>
        <w:t>, що вона була зумовлена тим, що «під час п</w:t>
      </w:r>
      <w:r w:rsidRPr="00B85940" w:rsidR="004B1718">
        <w:rPr>
          <w:lang w:val="uk-UA"/>
        </w:rPr>
        <w:t xml:space="preserve">роведення первісної перевірки </w:t>
      </w:r>
      <w:r w:rsidRPr="00B85940">
        <w:rPr>
          <w:lang w:val="uk-UA"/>
        </w:rPr>
        <w:t xml:space="preserve">та розгляду </w:t>
      </w:r>
      <w:r w:rsidRPr="00B85940" w:rsidR="004B1718">
        <w:rPr>
          <w:lang w:val="uk-UA"/>
        </w:rPr>
        <w:t xml:space="preserve">позову в суді </w:t>
      </w:r>
      <w:r w:rsidRPr="00B85940" w:rsidR="00761329">
        <w:rPr>
          <w:lang w:val="uk-UA"/>
        </w:rPr>
        <w:t xml:space="preserve">прокуратурою району </w:t>
      </w:r>
      <w:r w:rsidRPr="00B85940">
        <w:rPr>
          <w:lang w:val="uk-UA"/>
        </w:rPr>
        <w:t xml:space="preserve">не було </w:t>
      </w:r>
      <w:r w:rsidRPr="00B85940" w:rsidR="004B1718">
        <w:rPr>
          <w:lang w:val="uk-UA"/>
        </w:rPr>
        <w:t>в</w:t>
      </w:r>
      <w:r w:rsidRPr="00B85940" w:rsidR="00761329">
        <w:rPr>
          <w:lang w:val="uk-UA"/>
        </w:rPr>
        <w:t xml:space="preserve">становлено даних щодо </w:t>
      </w:r>
      <w:r w:rsidRPr="00B85940" w:rsidR="004B1718">
        <w:rPr>
          <w:lang w:val="uk-UA"/>
        </w:rPr>
        <w:t>видач</w:t>
      </w:r>
      <w:r w:rsidRPr="00B85940" w:rsidR="00761329">
        <w:rPr>
          <w:lang w:val="uk-UA"/>
        </w:rPr>
        <w:t>і</w:t>
      </w:r>
      <w:r w:rsidRPr="00B85940" w:rsidR="004B1718">
        <w:rPr>
          <w:lang w:val="uk-UA"/>
        </w:rPr>
        <w:t xml:space="preserve"> державних актів на право </w:t>
      </w:r>
      <w:r w:rsidRPr="00B85940">
        <w:rPr>
          <w:lang w:val="uk-UA"/>
        </w:rPr>
        <w:t>власності</w:t>
      </w:r>
      <w:r w:rsidRPr="00B85940" w:rsidR="00761329">
        <w:rPr>
          <w:lang w:val="uk-UA"/>
        </w:rPr>
        <w:t xml:space="preserve"> на земельні ділянки</w:t>
      </w:r>
      <w:r w:rsidRPr="00B85940">
        <w:rPr>
          <w:lang w:val="uk-UA"/>
        </w:rPr>
        <w:t xml:space="preserve"> [</w:t>
      </w:r>
      <w:r w:rsidRPr="00B85940" w:rsidR="004B1718">
        <w:rPr>
          <w:lang w:val="uk-UA"/>
        </w:rPr>
        <w:t>в</w:t>
      </w:r>
      <w:r w:rsidRPr="00B85940" w:rsidR="00761329">
        <w:rPr>
          <w:lang w:val="uk-UA"/>
        </w:rPr>
        <w:t>казаним</w:t>
      </w:r>
      <w:r w:rsidRPr="00B85940">
        <w:rPr>
          <w:lang w:val="uk-UA"/>
        </w:rPr>
        <w:t xml:space="preserve">] </w:t>
      </w:r>
      <w:r w:rsidRPr="00B85940" w:rsidR="00761329">
        <w:rPr>
          <w:lang w:val="uk-UA"/>
        </w:rPr>
        <w:t>громадянам</w:t>
      </w:r>
      <w:r w:rsidRPr="00B85940">
        <w:rPr>
          <w:lang w:val="uk-UA"/>
        </w:rPr>
        <w:t xml:space="preserve">», </w:t>
      </w:r>
      <w:r w:rsidRPr="00B85940" w:rsidR="004B1718">
        <w:rPr>
          <w:lang w:val="uk-UA"/>
        </w:rPr>
        <w:t>а також,</w:t>
      </w:r>
      <w:r w:rsidRPr="00B85940">
        <w:rPr>
          <w:lang w:val="uk-UA"/>
        </w:rPr>
        <w:t xml:space="preserve"> що після скасування р</w:t>
      </w:r>
      <w:r w:rsidRPr="00B85940" w:rsidR="004B1718">
        <w:rPr>
          <w:lang w:val="uk-UA"/>
        </w:rPr>
        <w:t>озпоряджень</w:t>
      </w:r>
      <w:r w:rsidRPr="00B85940">
        <w:rPr>
          <w:lang w:val="uk-UA"/>
        </w:rPr>
        <w:t xml:space="preserve"> Бородянської РДА 2008</w:t>
      </w:r>
      <w:r w:rsidRPr="00B85940" w:rsidR="004B1718">
        <w:rPr>
          <w:lang w:val="uk-UA"/>
        </w:rPr>
        <w:t> </w:t>
      </w:r>
      <w:r w:rsidRPr="00B85940">
        <w:rPr>
          <w:lang w:val="uk-UA"/>
        </w:rPr>
        <w:t xml:space="preserve">року відповідні земельні ділянки не були повернуті Майданівській сільській раді. Це </w:t>
      </w:r>
      <w:r w:rsidRPr="00B85940" w:rsidR="001F36B9">
        <w:rPr>
          <w:lang w:val="uk-UA"/>
        </w:rPr>
        <w:t xml:space="preserve">вказувало на </w:t>
      </w:r>
      <w:r w:rsidRPr="00B85940">
        <w:rPr>
          <w:lang w:val="uk-UA"/>
        </w:rPr>
        <w:t>мо</w:t>
      </w:r>
      <w:r w:rsidRPr="00B85940" w:rsidR="001F36B9">
        <w:rPr>
          <w:lang w:val="uk-UA"/>
        </w:rPr>
        <w:t xml:space="preserve">жливість </w:t>
      </w:r>
      <w:r w:rsidRPr="00B85940" w:rsidR="004B1718">
        <w:rPr>
          <w:lang w:val="uk-UA"/>
        </w:rPr>
        <w:t>існува</w:t>
      </w:r>
      <w:r w:rsidRPr="00B85940" w:rsidR="001F36B9">
        <w:rPr>
          <w:lang w:val="uk-UA"/>
        </w:rPr>
        <w:t>ння</w:t>
      </w:r>
      <w:r w:rsidRPr="00B85940" w:rsidR="004B1718">
        <w:rPr>
          <w:lang w:val="uk-UA"/>
        </w:rPr>
        <w:t xml:space="preserve"> </w:t>
      </w:r>
      <w:r w:rsidRPr="00B85940">
        <w:rPr>
          <w:lang w:val="uk-UA"/>
        </w:rPr>
        <w:t>подальш</w:t>
      </w:r>
      <w:r w:rsidRPr="00B85940" w:rsidR="001F36B9">
        <w:rPr>
          <w:lang w:val="uk-UA"/>
        </w:rPr>
        <w:t>их</w:t>
      </w:r>
      <w:r w:rsidRPr="00B85940">
        <w:rPr>
          <w:lang w:val="uk-UA"/>
        </w:rPr>
        <w:t xml:space="preserve"> порушен</w:t>
      </w:r>
      <w:r w:rsidRPr="00B85940" w:rsidR="001F36B9">
        <w:rPr>
          <w:lang w:val="uk-UA"/>
        </w:rPr>
        <w:t xml:space="preserve">ь </w:t>
      </w:r>
      <w:r w:rsidRPr="00B85940">
        <w:rPr>
          <w:lang w:val="uk-UA"/>
        </w:rPr>
        <w:t>земельного законодавства.</w:t>
      </w:r>
    </w:p>
    <w:p w:rsidRPr="00B85940" w:rsidR="001F36B9" w:rsidP="00B85940" w14:paraId="02DA1361" w14:textId="77777777">
      <w:pPr>
        <w:pStyle w:val="JuPara"/>
        <w:rPr>
          <w:lang w:val="uk-UA"/>
        </w:rPr>
      </w:pPr>
      <w:r w:rsidRPr="00B85940">
        <w:rPr>
          <w:lang w:val="uk-UA"/>
        </w:rPr>
        <w:t>10.  </w:t>
      </w:r>
      <w:r w:rsidRPr="00B85940">
        <w:rPr>
          <w:lang w:val="uk-UA"/>
        </w:rPr>
        <w:t xml:space="preserve">З наявних документів також вбачається, що у грудні 2013 року було порушено кримінальне провадження щодо виділення </w:t>
      </w:r>
      <w:r w:rsidRPr="00B85940" w:rsidR="00806CF3">
        <w:rPr>
          <w:lang w:val="uk-UA"/>
        </w:rPr>
        <w:t xml:space="preserve">відповідних </w:t>
      </w:r>
      <w:r w:rsidRPr="00B85940">
        <w:rPr>
          <w:lang w:val="uk-UA"/>
        </w:rPr>
        <w:t>земельних ділянок, що було кваліфіковано як шахрайство.</w:t>
      </w:r>
    </w:p>
    <w:p w:rsidRPr="00B85940" w:rsidR="00A23BD9" w:rsidP="00B85940" w14:paraId="03261435" w14:textId="08DC96DA">
      <w:pPr>
        <w:pStyle w:val="JuPara"/>
        <w:rPr>
          <w:lang w:val="uk-UA"/>
        </w:rPr>
      </w:pPr>
      <w:r w:rsidRPr="00B85940">
        <w:rPr>
          <w:lang w:val="uk-UA"/>
        </w:rPr>
        <w:t>11.  </w:t>
      </w:r>
      <w:r w:rsidRPr="00B85940">
        <w:rPr>
          <w:lang w:val="uk-UA"/>
        </w:rPr>
        <w:t xml:space="preserve">Суду не було надано матеріалів стосовно результатів згаданої перевірки 2013 року чи кримінального провадження (зокрема, чи хто-небудь був визнаний підозрюваним або </w:t>
      </w:r>
      <w:r w:rsidRPr="00B85940" w:rsidR="00806CF3">
        <w:rPr>
          <w:lang w:val="uk-UA"/>
        </w:rPr>
        <w:t>йому було пред</w:t>
      </w:r>
      <w:r w:rsidRPr="00B85940" w:rsidR="00B85940">
        <w:rPr>
          <w:lang w:val="uk-UA"/>
        </w:rPr>
        <w:t>’</w:t>
      </w:r>
      <w:r w:rsidRPr="00B85940" w:rsidR="00806CF3">
        <w:rPr>
          <w:lang w:val="uk-UA"/>
        </w:rPr>
        <w:t xml:space="preserve">явлено обвинувачення </w:t>
      </w:r>
      <w:r w:rsidRPr="00B85940">
        <w:rPr>
          <w:lang w:val="uk-UA"/>
        </w:rPr>
        <w:t>у цьому провадженні та яким був його результат).</w:t>
      </w:r>
    </w:p>
    <w:p w:rsidRPr="00B85940" w:rsidR="00A23BD9" w:rsidP="00B85940" w14:paraId="66E1EFEC" w14:textId="77777777">
      <w:pPr>
        <w:pStyle w:val="JuPara"/>
        <w:rPr>
          <w:lang w:val="uk-UA"/>
        </w:rPr>
      </w:pPr>
      <w:r w:rsidRPr="00B85940">
        <w:rPr>
          <w:lang w:val="uk-UA"/>
        </w:rPr>
        <w:t>12.  </w:t>
      </w:r>
      <w:r w:rsidRPr="00B85940">
        <w:rPr>
          <w:lang w:val="uk-UA"/>
        </w:rPr>
        <w:t xml:space="preserve">Як вбачається, після завершення згаданої перевірки прокурор подав окремі позови проти осіб, які отримали земельні ділянки у 2008 році, вимагаючи визнання їхніх прав власності недійсними, у тому числі тих осіб, які продали свої земельні ділянки заявниці. Відповідні судові рішення про визнання прав власності недійсними були ухвалені у період з лютого до травня 2014 року; вони були </w:t>
      </w:r>
      <w:r w:rsidRPr="00B85940" w:rsidR="00806CF3">
        <w:rPr>
          <w:lang w:val="uk-UA"/>
        </w:rPr>
        <w:t xml:space="preserve">доволі </w:t>
      </w:r>
      <w:r w:rsidRPr="00B85940">
        <w:rPr>
          <w:lang w:val="uk-UA"/>
        </w:rPr>
        <w:t xml:space="preserve">короткими та містили стандартні формулювання, </w:t>
      </w:r>
      <w:r w:rsidRPr="00B85940" w:rsidR="00F61EEA">
        <w:rPr>
          <w:lang w:val="uk-UA"/>
        </w:rPr>
        <w:t>і в них посилалися</w:t>
      </w:r>
      <w:r w:rsidRPr="00B85940">
        <w:rPr>
          <w:lang w:val="uk-UA"/>
        </w:rPr>
        <w:t>, по суті, на постанову від 21 жовтня 2010 року (див. пункт 8).</w:t>
      </w:r>
    </w:p>
    <w:p w:rsidRPr="00B85940" w:rsidR="005018BC" w:rsidP="00B85940" w14:paraId="04BE2A31" w14:textId="77777777">
      <w:pPr>
        <w:pStyle w:val="JuPara"/>
        <w:rPr>
          <w:lang w:val="uk-UA"/>
        </w:rPr>
      </w:pPr>
      <w:r w:rsidRPr="00B85940">
        <w:rPr>
          <w:lang w:val="uk-UA"/>
        </w:rPr>
        <w:t>13.  </w:t>
      </w:r>
      <w:r w:rsidRPr="00B85940">
        <w:rPr>
          <w:lang w:val="uk-UA"/>
        </w:rPr>
        <w:t>У квітні 2014 року прокурор подав позов проти заявниці з вимогою визнати її право власності на земельну ділянку площею 28 га недійсним та повернути цю зем</w:t>
      </w:r>
      <w:r w:rsidRPr="00B85940" w:rsidR="00BE24EE">
        <w:rPr>
          <w:lang w:val="uk-UA"/>
        </w:rPr>
        <w:t>е</w:t>
      </w:r>
      <w:r w:rsidRPr="00B85940">
        <w:rPr>
          <w:lang w:val="uk-UA"/>
        </w:rPr>
        <w:t>л</w:t>
      </w:r>
      <w:r w:rsidRPr="00B85940" w:rsidR="00BE24EE">
        <w:rPr>
          <w:lang w:val="uk-UA"/>
        </w:rPr>
        <w:t>ьну ділянку</w:t>
      </w:r>
      <w:r w:rsidRPr="00B85940">
        <w:rPr>
          <w:lang w:val="uk-UA"/>
        </w:rPr>
        <w:t xml:space="preserve"> держав</w:t>
      </w:r>
      <w:r w:rsidRPr="00B85940" w:rsidR="005B7803">
        <w:rPr>
          <w:lang w:val="uk-UA"/>
        </w:rPr>
        <w:t>і</w:t>
      </w:r>
      <w:r w:rsidRPr="00B85940">
        <w:rPr>
          <w:lang w:val="uk-UA"/>
        </w:rPr>
        <w:t xml:space="preserve">. Він посилався, </w:t>
      </w:r>
      <w:r w:rsidRPr="00B85940" w:rsidR="00A91DC3">
        <w:rPr>
          <w:i/>
          <w:iCs/>
          <w:lang w:val="uk-UA"/>
        </w:rPr>
        <w:t>inter alia</w:t>
      </w:r>
      <w:r w:rsidRPr="00B85940">
        <w:rPr>
          <w:lang w:val="uk-UA"/>
        </w:rPr>
        <w:t xml:space="preserve">, на статті 387 та 388 Цивільного кодексу </w:t>
      </w:r>
      <w:r w:rsidRPr="00B85940" w:rsidR="00A91DC3">
        <w:rPr>
          <w:lang w:val="uk-UA"/>
        </w:rPr>
        <w:t xml:space="preserve">України </w:t>
      </w:r>
      <w:r w:rsidRPr="00B85940">
        <w:rPr>
          <w:lang w:val="uk-UA"/>
        </w:rPr>
        <w:t>(див. пункт 19)</w:t>
      </w:r>
      <w:r w:rsidRPr="00B85940" w:rsidR="00A91DC3">
        <w:rPr>
          <w:lang w:val="uk-UA"/>
        </w:rPr>
        <w:t>, а</w:t>
      </w:r>
      <w:r w:rsidRPr="00B85940">
        <w:rPr>
          <w:lang w:val="uk-UA"/>
        </w:rPr>
        <w:t xml:space="preserve"> та</w:t>
      </w:r>
      <w:r w:rsidRPr="00B85940" w:rsidR="00A91DC3">
        <w:rPr>
          <w:lang w:val="uk-UA"/>
        </w:rPr>
        <w:t>кож</w:t>
      </w:r>
      <w:r w:rsidRPr="00B85940">
        <w:rPr>
          <w:lang w:val="uk-UA"/>
        </w:rPr>
        <w:t xml:space="preserve"> на </w:t>
      </w:r>
      <w:r w:rsidRPr="00B85940" w:rsidR="005B7803">
        <w:rPr>
          <w:lang w:val="uk-UA"/>
        </w:rPr>
        <w:t xml:space="preserve">попереднє </w:t>
      </w:r>
      <w:r w:rsidRPr="00B85940">
        <w:rPr>
          <w:lang w:val="uk-UA"/>
        </w:rPr>
        <w:t xml:space="preserve">провадження, </w:t>
      </w:r>
      <w:r w:rsidRPr="00B85940" w:rsidR="005B7803">
        <w:rPr>
          <w:lang w:val="uk-UA"/>
        </w:rPr>
        <w:t xml:space="preserve">яке призвело </w:t>
      </w:r>
      <w:r w:rsidRPr="00B85940">
        <w:rPr>
          <w:lang w:val="uk-UA"/>
        </w:rPr>
        <w:t>до скасування р</w:t>
      </w:r>
      <w:r w:rsidRPr="00B85940" w:rsidR="00A91DC3">
        <w:rPr>
          <w:lang w:val="uk-UA"/>
        </w:rPr>
        <w:t xml:space="preserve">озпоряджень </w:t>
      </w:r>
      <w:r w:rsidRPr="00B85940">
        <w:rPr>
          <w:lang w:val="uk-UA"/>
        </w:rPr>
        <w:t xml:space="preserve">Бородянської </w:t>
      </w:r>
      <w:r w:rsidRPr="00B85940" w:rsidR="00A91DC3">
        <w:rPr>
          <w:lang w:val="uk-UA"/>
        </w:rPr>
        <w:t xml:space="preserve">РДА </w:t>
      </w:r>
      <w:r w:rsidRPr="00B85940">
        <w:rPr>
          <w:lang w:val="uk-UA"/>
        </w:rPr>
        <w:t xml:space="preserve">2008 року, та на провадження, </w:t>
      </w:r>
      <w:r w:rsidRPr="00B85940" w:rsidR="00A91DC3">
        <w:rPr>
          <w:lang w:val="uk-UA"/>
        </w:rPr>
        <w:t>які</w:t>
      </w:r>
      <w:r w:rsidRPr="00B85940">
        <w:rPr>
          <w:lang w:val="uk-UA"/>
        </w:rPr>
        <w:t xml:space="preserve"> призвели до визнання недійсними </w:t>
      </w:r>
      <w:r w:rsidRPr="00B85940" w:rsidR="00A91DC3">
        <w:rPr>
          <w:lang w:val="uk-UA"/>
        </w:rPr>
        <w:t xml:space="preserve">державних актів </w:t>
      </w:r>
      <w:r w:rsidRPr="00B85940">
        <w:rPr>
          <w:lang w:val="uk-UA"/>
        </w:rPr>
        <w:t>про право власності п</w:t>
      </w:r>
      <w:r w:rsidRPr="00B85940" w:rsidR="00A91DC3">
        <w:rPr>
          <w:lang w:val="uk-UA"/>
        </w:rPr>
        <w:t xml:space="preserve">ервинних </w:t>
      </w:r>
      <w:r w:rsidRPr="00B85940">
        <w:rPr>
          <w:lang w:val="uk-UA"/>
        </w:rPr>
        <w:t xml:space="preserve">власників (див. пункти 8 і 12). Прокурор повторив, що під час </w:t>
      </w:r>
      <w:r w:rsidRPr="00B85940" w:rsidR="00A91DC3">
        <w:rPr>
          <w:lang w:val="uk-UA"/>
        </w:rPr>
        <w:t>перевірки</w:t>
      </w:r>
      <w:r w:rsidRPr="00B85940">
        <w:rPr>
          <w:lang w:val="uk-UA"/>
        </w:rPr>
        <w:t xml:space="preserve"> 2008 року та </w:t>
      </w:r>
      <w:r w:rsidRPr="00B85940" w:rsidR="00A91DC3">
        <w:rPr>
          <w:lang w:val="uk-UA"/>
        </w:rPr>
        <w:t xml:space="preserve">розгляду позову </w:t>
      </w:r>
      <w:r w:rsidRPr="00B85940" w:rsidR="00806CF3">
        <w:rPr>
          <w:lang w:val="uk-UA"/>
        </w:rPr>
        <w:t xml:space="preserve">у </w:t>
      </w:r>
      <w:r w:rsidRPr="00B85940" w:rsidR="00A91DC3">
        <w:rPr>
          <w:lang w:val="uk-UA"/>
        </w:rPr>
        <w:t xml:space="preserve">суді </w:t>
      </w:r>
      <w:r w:rsidRPr="00B85940" w:rsidR="001F545F">
        <w:rPr>
          <w:lang w:val="uk-UA"/>
        </w:rPr>
        <w:t xml:space="preserve">2010 </w:t>
      </w:r>
      <w:r w:rsidRPr="00B85940">
        <w:rPr>
          <w:lang w:val="uk-UA"/>
        </w:rPr>
        <w:t xml:space="preserve">року </w:t>
      </w:r>
      <w:r w:rsidRPr="00B85940" w:rsidR="00A91DC3">
        <w:rPr>
          <w:lang w:val="uk-UA"/>
        </w:rPr>
        <w:t>не було встановлено даних щодо видачі приватним особам державних актів на право власності на земельні ділянки</w:t>
      </w:r>
      <w:r w:rsidRPr="00B85940">
        <w:rPr>
          <w:lang w:val="uk-UA"/>
        </w:rPr>
        <w:t>.</w:t>
      </w:r>
    </w:p>
    <w:p w:rsidRPr="00B85940" w:rsidR="00BE24EE" w:rsidP="00B85940" w14:paraId="0E65567F" w14:textId="77777777">
      <w:pPr>
        <w:pStyle w:val="JuPara"/>
        <w:rPr>
          <w:lang w:val="uk-UA"/>
        </w:rPr>
      </w:pPr>
      <w:r w:rsidRPr="00B85940">
        <w:rPr>
          <w:lang w:val="uk-UA"/>
        </w:rPr>
        <w:t>14.  </w:t>
      </w:r>
      <w:r w:rsidRPr="00B85940">
        <w:rPr>
          <w:lang w:val="uk-UA"/>
        </w:rPr>
        <w:t>У своїх коментарях до цього позову заявниця стверджувала, що прокурор пропустив трирічний строк позовної давності, оскільки він повинен був встановити стверджувані порушення стосовно придбання земельної ділянки задовго до квітня 2014 року. Зокрема, вона доводила, що прокурору мало бути відомо про стверджувані порушення ще в жовтні 2010 року, коли суд скасував розпорядження Бородянської РДА 2008 року. Заявниця також стверджувала, що вона була добросовісною власницею земельної ділянки, яку, таким чином, було неможливо витребувати у неї, і жодна з встановлених статтею 140 Земельного кодексу України підстав (див. пункт 22), як підстав для припинення прав власності на земельну ділянку, не застосовувалася до її справи.</w:t>
      </w:r>
    </w:p>
    <w:p w:rsidRPr="00B85940" w:rsidR="00AA0980" w:rsidP="00B85940" w14:paraId="60B3FE8E" w14:textId="77777777">
      <w:pPr>
        <w:pStyle w:val="JuPara"/>
        <w:rPr>
          <w:lang w:val="uk-UA"/>
        </w:rPr>
      </w:pPr>
      <w:r w:rsidRPr="00B85940">
        <w:rPr>
          <w:lang w:val="uk-UA"/>
        </w:rPr>
        <w:t>15.  </w:t>
      </w:r>
      <w:r w:rsidRPr="00B85940">
        <w:rPr>
          <w:lang w:val="uk-UA"/>
        </w:rPr>
        <w:t xml:space="preserve">Суди трьох інстанцій задовольнили позов прокурора, а остаточна ухвала була постановлена 12 серпня 2015 року Вищим спеціалізованим судом України з розгляду цивільних і кримінальних справ. Суди по суті встановили, що попередні провадження, які призвели до скасування розпоряджень Бородянської РДА 2008 року та визнання недійсними державних актів про право власності первинних власників, продемонстрували, що земля незаконно </w:t>
      </w:r>
      <w:r w:rsidRPr="00B85940" w:rsidR="001F545F">
        <w:rPr>
          <w:lang w:val="uk-UA"/>
        </w:rPr>
        <w:t xml:space="preserve">вибула </w:t>
      </w:r>
      <w:r w:rsidRPr="00B85940">
        <w:rPr>
          <w:lang w:val="uk-UA"/>
        </w:rPr>
        <w:t xml:space="preserve">з державної власності та її </w:t>
      </w:r>
      <w:r w:rsidRPr="00B85940" w:rsidR="00806CF3">
        <w:rPr>
          <w:lang w:val="uk-UA"/>
        </w:rPr>
        <w:t xml:space="preserve">можна було витребувати </w:t>
      </w:r>
      <w:r w:rsidRPr="00B85940">
        <w:rPr>
          <w:lang w:val="uk-UA"/>
        </w:rPr>
        <w:t xml:space="preserve">на підставі статті 387 та частини третьої статті 388 Цивільного кодексу України. Суди також </w:t>
      </w:r>
      <w:r w:rsidRPr="00B85940" w:rsidR="00806CF3">
        <w:rPr>
          <w:lang w:val="uk-UA"/>
        </w:rPr>
        <w:t>відхилили</w:t>
      </w:r>
      <w:r w:rsidRPr="00B85940" w:rsidR="00745196">
        <w:rPr>
          <w:lang w:val="uk-UA"/>
        </w:rPr>
        <w:t xml:space="preserve"> </w:t>
      </w:r>
      <w:r w:rsidRPr="00B85940">
        <w:rPr>
          <w:lang w:val="uk-UA"/>
        </w:rPr>
        <w:t>аргумент</w:t>
      </w:r>
      <w:r w:rsidRPr="00B85940" w:rsidR="00745196">
        <w:rPr>
          <w:lang w:val="uk-UA"/>
        </w:rPr>
        <w:t>и</w:t>
      </w:r>
      <w:r w:rsidRPr="00B85940">
        <w:rPr>
          <w:lang w:val="uk-UA"/>
        </w:rPr>
        <w:t xml:space="preserve"> заявниці щодо строку позовної давності як необґрунтован</w:t>
      </w:r>
      <w:r w:rsidRPr="00B85940" w:rsidR="00745196">
        <w:rPr>
          <w:lang w:val="uk-UA"/>
        </w:rPr>
        <w:t>і</w:t>
      </w:r>
      <w:r w:rsidRPr="00B85940">
        <w:rPr>
          <w:lang w:val="uk-UA"/>
        </w:rPr>
        <w:t xml:space="preserve">, </w:t>
      </w:r>
      <w:r w:rsidRPr="00B85940" w:rsidR="00745196">
        <w:rPr>
          <w:lang w:val="uk-UA"/>
        </w:rPr>
        <w:t xml:space="preserve">оскільки </w:t>
      </w:r>
      <w:r w:rsidRPr="00B85940">
        <w:rPr>
          <w:lang w:val="uk-UA"/>
        </w:rPr>
        <w:t>прокурор</w:t>
      </w:r>
      <w:r w:rsidRPr="00B85940" w:rsidR="00745196">
        <w:rPr>
          <w:lang w:val="uk-UA"/>
        </w:rPr>
        <w:t xml:space="preserve">у стало відомо </w:t>
      </w:r>
      <w:r w:rsidRPr="00B85940">
        <w:rPr>
          <w:lang w:val="uk-UA"/>
        </w:rPr>
        <w:t>про незаконність придбання зем</w:t>
      </w:r>
      <w:r w:rsidRPr="00B85940" w:rsidR="00745196">
        <w:rPr>
          <w:lang w:val="uk-UA"/>
        </w:rPr>
        <w:t>е</w:t>
      </w:r>
      <w:r w:rsidRPr="00B85940">
        <w:rPr>
          <w:lang w:val="uk-UA"/>
        </w:rPr>
        <w:t>л</w:t>
      </w:r>
      <w:r w:rsidRPr="00B85940" w:rsidR="00745196">
        <w:rPr>
          <w:lang w:val="uk-UA"/>
        </w:rPr>
        <w:t xml:space="preserve">ьної ділянки </w:t>
      </w:r>
      <w:r w:rsidRPr="00B85940">
        <w:rPr>
          <w:lang w:val="uk-UA"/>
        </w:rPr>
        <w:t xml:space="preserve">лише у 2013 році </w:t>
      </w:r>
      <w:r w:rsidRPr="00B85940" w:rsidR="00745196">
        <w:rPr>
          <w:lang w:val="uk-UA"/>
        </w:rPr>
        <w:t xml:space="preserve">за результатами </w:t>
      </w:r>
      <w:r w:rsidRPr="00B85940">
        <w:rPr>
          <w:lang w:val="uk-UA"/>
        </w:rPr>
        <w:t>друго</w:t>
      </w:r>
      <w:r w:rsidRPr="00B85940" w:rsidR="00745196">
        <w:rPr>
          <w:lang w:val="uk-UA"/>
        </w:rPr>
        <w:t>ї перевірки</w:t>
      </w:r>
      <w:r w:rsidRPr="00B85940">
        <w:rPr>
          <w:lang w:val="uk-UA"/>
        </w:rPr>
        <w:t>.</w:t>
      </w:r>
    </w:p>
    <w:p w:rsidRPr="00B85940" w:rsidR="00862459" w:rsidP="00B85940" w14:paraId="7439852B" w14:textId="71547AD8">
      <w:pPr>
        <w:pStyle w:val="JuHIRoman"/>
        <w:rPr>
          <w:lang w:val="uk-UA"/>
        </w:rPr>
      </w:pPr>
      <w:r w:rsidRPr="00B85940">
        <w:rPr>
          <w:lang w:val="uk-UA"/>
        </w:rPr>
        <w:t>ІНШІ ПОВ</w:t>
      </w:r>
      <w:r w:rsidRPr="00B85940" w:rsidR="00B85940">
        <w:rPr>
          <w:lang w:val="uk-UA"/>
        </w:rPr>
        <w:t>’</w:t>
      </w:r>
      <w:r w:rsidRPr="00B85940">
        <w:rPr>
          <w:lang w:val="uk-UA"/>
        </w:rPr>
        <w:t>ЯЗАНІ ФАКТИ</w:t>
      </w:r>
    </w:p>
    <w:p w:rsidRPr="00B85940" w:rsidR="00745196" w:rsidP="00B85940" w14:paraId="5DB6BEED" w14:textId="77777777">
      <w:pPr>
        <w:pStyle w:val="JuPara"/>
        <w:rPr>
          <w:lang w:val="uk-UA"/>
        </w:rPr>
      </w:pPr>
      <w:bookmarkStart w:name="facts_16" w:id="0"/>
      <w:r w:rsidRPr="00B85940">
        <w:rPr>
          <w:lang w:val="uk-UA"/>
        </w:rPr>
        <w:t>16</w:t>
      </w:r>
      <w:bookmarkEnd w:id="0"/>
      <w:r w:rsidRPr="00B85940">
        <w:rPr>
          <w:lang w:val="uk-UA"/>
        </w:rPr>
        <w:t xml:space="preserve">.  У своїх подальших доводах до Суду заявниця стверджувала, що прокурор порушив </w:t>
      </w:r>
      <w:r w:rsidRPr="00B85940" w:rsidR="00BC6D53">
        <w:rPr>
          <w:lang w:val="uk-UA"/>
        </w:rPr>
        <w:t xml:space="preserve">щодо </w:t>
      </w:r>
      <w:r w:rsidRPr="00B85940">
        <w:rPr>
          <w:lang w:val="uk-UA"/>
        </w:rPr>
        <w:t xml:space="preserve">неї ще одне провадження (позов </w:t>
      </w:r>
      <w:r w:rsidRPr="00B85940">
        <w:rPr>
          <w:i/>
          <w:iCs/>
          <w:lang w:val="uk-UA"/>
        </w:rPr>
        <w:t>rei vindicatio</w:t>
      </w:r>
      <w:r w:rsidRPr="00B85940">
        <w:rPr>
          <w:lang w:val="uk-UA"/>
        </w:rPr>
        <w:t xml:space="preserve">) стосовно придбання ще декількох земельних ділянок. Ухвалою, постановленою 13 листопада 2019 року Верховний Суд (справа № 360/625/16-ц), </w:t>
      </w:r>
      <w:r w:rsidRPr="00B85940" w:rsidR="00434C03">
        <w:rPr>
          <w:lang w:val="uk-UA"/>
        </w:rPr>
        <w:t xml:space="preserve">залишив без </w:t>
      </w:r>
      <w:r w:rsidRPr="00B85940">
        <w:rPr>
          <w:lang w:val="uk-UA"/>
        </w:rPr>
        <w:t>задоволенн</w:t>
      </w:r>
      <w:r w:rsidRPr="00B85940" w:rsidR="00434C03">
        <w:rPr>
          <w:lang w:val="uk-UA"/>
        </w:rPr>
        <w:t>я</w:t>
      </w:r>
      <w:r w:rsidRPr="00B85940">
        <w:rPr>
          <w:lang w:val="uk-UA"/>
        </w:rPr>
        <w:t xml:space="preserve"> </w:t>
      </w:r>
      <w:r w:rsidRPr="00B85940" w:rsidR="00434C03">
        <w:rPr>
          <w:lang w:val="uk-UA"/>
        </w:rPr>
        <w:t xml:space="preserve">скаргу </w:t>
      </w:r>
      <w:r w:rsidRPr="00B85940">
        <w:rPr>
          <w:lang w:val="uk-UA"/>
        </w:rPr>
        <w:t>прокурора</w:t>
      </w:r>
      <w:r w:rsidRPr="00B85940" w:rsidR="00434C03">
        <w:rPr>
          <w:lang w:val="uk-UA"/>
        </w:rPr>
        <w:t xml:space="preserve">, оскільки він пропустив </w:t>
      </w:r>
      <w:r w:rsidRPr="00B85940">
        <w:rPr>
          <w:lang w:val="uk-UA"/>
        </w:rPr>
        <w:t>трирічн</w:t>
      </w:r>
      <w:r w:rsidRPr="00B85940" w:rsidR="00434C03">
        <w:rPr>
          <w:lang w:val="uk-UA"/>
        </w:rPr>
        <w:t xml:space="preserve">ий </w:t>
      </w:r>
      <w:r w:rsidRPr="00B85940">
        <w:rPr>
          <w:lang w:val="uk-UA"/>
        </w:rPr>
        <w:t xml:space="preserve">строк позовної давності, який мав </w:t>
      </w:r>
      <w:r w:rsidRPr="00B85940" w:rsidR="00434C03">
        <w:rPr>
          <w:lang w:val="uk-UA"/>
        </w:rPr>
        <w:t xml:space="preserve">обраховуватися </w:t>
      </w:r>
      <w:r w:rsidRPr="00B85940">
        <w:rPr>
          <w:lang w:val="uk-UA"/>
        </w:rPr>
        <w:t xml:space="preserve">з моменту проведення прокурором </w:t>
      </w:r>
      <w:r w:rsidRPr="00B85940" w:rsidR="00434C03">
        <w:rPr>
          <w:lang w:val="uk-UA"/>
        </w:rPr>
        <w:t xml:space="preserve">перевірки </w:t>
      </w:r>
      <w:r w:rsidRPr="00B85940">
        <w:rPr>
          <w:lang w:val="uk-UA"/>
        </w:rPr>
        <w:t>у 2008</w:t>
      </w:r>
      <w:r w:rsidRPr="00B85940" w:rsidR="00434C03">
        <w:rPr>
          <w:lang w:val="uk-UA"/>
        </w:rPr>
        <w:t> </w:t>
      </w:r>
      <w:r w:rsidRPr="00B85940">
        <w:rPr>
          <w:lang w:val="uk-UA"/>
        </w:rPr>
        <w:t xml:space="preserve">році. Суд також </w:t>
      </w:r>
      <w:r w:rsidRPr="00B85940" w:rsidR="00A65B8A">
        <w:rPr>
          <w:lang w:val="uk-UA"/>
        </w:rPr>
        <w:t xml:space="preserve">вказав на </w:t>
      </w:r>
      <w:r w:rsidRPr="00B85940" w:rsidR="00434C03">
        <w:rPr>
          <w:lang w:val="uk-UA"/>
        </w:rPr>
        <w:t xml:space="preserve">відсутність </w:t>
      </w:r>
      <w:r w:rsidRPr="00B85940">
        <w:rPr>
          <w:lang w:val="uk-UA"/>
        </w:rPr>
        <w:t xml:space="preserve">доказів того, що заявниця мала будь-який стосунок до </w:t>
      </w:r>
      <w:r w:rsidRPr="00B85940" w:rsidR="001F545F">
        <w:rPr>
          <w:lang w:val="uk-UA"/>
        </w:rPr>
        <w:t xml:space="preserve">ухвалення </w:t>
      </w:r>
      <w:r w:rsidRPr="00B85940">
        <w:rPr>
          <w:lang w:val="uk-UA"/>
        </w:rPr>
        <w:t>р</w:t>
      </w:r>
      <w:r w:rsidRPr="00B85940" w:rsidR="00434C03">
        <w:rPr>
          <w:lang w:val="uk-UA"/>
        </w:rPr>
        <w:t xml:space="preserve">озпоряджень </w:t>
      </w:r>
      <w:r w:rsidRPr="00B85940" w:rsidR="001F545F">
        <w:rPr>
          <w:lang w:val="uk-UA"/>
        </w:rPr>
        <w:t xml:space="preserve">Бородянською </w:t>
      </w:r>
      <w:r w:rsidRPr="00B85940" w:rsidR="00434C03">
        <w:rPr>
          <w:lang w:val="uk-UA"/>
        </w:rPr>
        <w:t xml:space="preserve">РДА </w:t>
      </w:r>
      <w:r w:rsidRPr="00B85940" w:rsidR="001F545F">
        <w:rPr>
          <w:lang w:val="uk-UA"/>
        </w:rPr>
        <w:t xml:space="preserve">у </w:t>
      </w:r>
      <w:r w:rsidRPr="00B85940">
        <w:rPr>
          <w:lang w:val="uk-UA"/>
        </w:rPr>
        <w:t xml:space="preserve">2008 </w:t>
      </w:r>
      <w:r w:rsidRPr="00B85940" w:rsidR="001F545F">
        <w:rPr>
          <w:lang w:val="uk-UA"/>
        </w:rPr>
        <w:t>році</w:t>
      </w:r>
      <w:r w:rsidRPr="00B85940">
        <w:rPr>
          <w:lang w:val="uk-UA"/>
        </w:rPr>
        <w:t>, і її право власності було належним чином зареєстрован</w:t>
      </w:r>
      <w:r w:rsidRPr="00B85940" w:rsidR="00434C03">
        <w:rPr>
          <w:lang w:val="uk-UA"/>
        </w:rPr>
        <w:t>е</w:t>
      </w:r>
      <w:r w:rsidRPr="00B85940">
        <w:rPr>
          <w:lang w:val="uk-UA"/>
        </w:rPr>
        <w:t xml:space="preserve"> на той</w:t>
      </w:r>
      <w:r w:rsidRPr="00B85940" w:rsidR="00434C03">
        <w:rPr>
          <w:lang w:val="uk-UA"/>
        </w:rPr>
        <w:t xml:space="preserve"> момент</w:t>
      </w:r>
      <w:r w:rsidRPr="00B85940">
        <w:rPr>
          <w:lang w:val="uk-UA"/>
        </w:rPr>
        <w:t>.</w:t>
      </w:r>
    </w:p>
    <w:p w:rsidRPr="00B85940" w:rsidR="00B85940" w:rsidP="00B85940" w14:paraId="2DB4AF68" w14:textId="77777777">
      <w:pPr>
        <w:pStyle w:val="JuPara"/>
        <w:rPr>
          <w:lang w:val="uk-UA"/>
        </w:rPr>
      </w:pPr>
      <w:r w:rsidRPr="00B85940">
        <w:rPr>
          <w:lang w:val="uk-UA"/>
        </w:rPr>
        <w:t>17.  </w:t>
      </w:r>
      <w:r w:rsidRPr="00B85940" w:rsidR="00434C03">
        <w:rPr>
          <w:lang w:val="uk-UA"/>
        </w:rPr>
        <w:t xml:space="preserve">Заявниця також стверджувала, що у 2020 році прокурор порушив ще одне провадження щодо цих земельних ділянок, цього разу вимагаючи усунути перешкоди у </w:t>
      </w:r>
      <w:r w:rsidRPr="00B85940" w:rsidR="00A65B8A">
        <w:rPr>
          <w:lang w:val="uk-UA"/>
        </w:rPr>
        <w:t xml:space="preserve">праві розпорядження земельними ділянками </w:t>
      </w:r>
      <w:r w:rsidRPr="00B85940" w:rsidR="00434C03">
        <w:rPr>
          <w:lang w:val="uk-UA"/>
        </w:rPr>
        <w:t xml:space="preserve">(негаторний позов). Районний суд </w:t>
      </w:r>
      <w:r w:rsidRPr="00B85940" w:rsidR="00D83E48">
        <w:rPr>
          <w:lang w:val="uk-UA"/>
        </w:rPr>
        <w:t>відмовив у задоволенні</w:t>
      </w:r>
      <w:r w:rsidRPr="00B85940" w:rsidR="00434C03">
        <w:rPr>
          <w:lang w:val="uk-UA"/>
        </w:rPr>
        <w:t xml:space="preserve"> його позов</w:t>
      </w:r>
      <w:r w:rsidRPr="00B85940" w:rsidR="00D83E48">
        <w:rPr>
          <w:lang w:val="uk-UA"/>
        </w:rPr>
        <w:t>у</w:t>
      </w:r>
      <w:r w:rsidRPr="00B85940" w:rsidR="00434C03">
        <w:rPr>
          <w:lang w:val="uk-UA"/>
        </w:rPr>
        <w:t xml:space="preserve">, оскільки </w:t>
      </w:r>
      <w:r w:rsidRPr="00B85940" w:rsidR="00D83E48">
        <w:rPr>
          <w:lang w:val="uk-UA"/>
        </w:rPr>
        <w:t xml:space="preserve">за цих обставин </w:t>
      </w:r>
      <w:r w:rsidRPr="00B85940" w:rsidR="00434C03">
        <w:rPr>
          <w:lang w:val="uk-UA"/>
        </w:rPr>
        <w:t xml:space="preserve">негаторний позов був неправильним засобом юридичного захисту, а правильний засіб юридичного захисту </w:t>
      </w:r>
      <w:r w:rsidRPr="00B85940" w:rsidR="00D83E48">
        <w:rPr>
          <w:lang w:val="uk-UA"/>
        </w:rPr>
        <w:t>(</w:t>
      </w:r>
      <w:r w:rsidRPr="00B85940" w:rsidR="00434C03">
        <w:rPr>
          <w:lang w:val="uk-UA"/>
        </w:rPr>
        <w:t xml:space="preserve">позов </w:t>
      </w:r>
      <w:r w:rsidRPr="00B85940" w:rsidR="00434C03">
        <w:rPr>
          <w:i/>
          <w:iCs/>
          <w:lang w:val="uk-UA"/>
        </w:rPr>
        <w:t>rei vindicatio</w:t>
      </w:r>
      <w:r w:rsidRPr="00B85940" w:rsidR="00D83E48">
        <w:rPr>
          <w:i/>
          <w:iCs/>
          <w:lang w:val="uk-UA"/>
        </w:rPr>
        <w:t>)</w:t>
      </w:r>
      <w:r w:rsidRPr="00B85940" w:rsidR="00434C03">
        <w:rPr>
          <w:lang w:val="uk-UA"/>
        </w:rPr>
        <w:t xml:space="preserve"> вже був використаний. Апеляційне провадження тривало.</w:t>
      </w:r>
    </w:p>
    <w:p w:rsidRPr="00B85940" w:rsidR="00D83E48" w:rsidP="00B85940" w14:paraId="6C4BA918" w14:textId="52449FD6">
      <w:pPr>
        <w:pStyle w:val="JuHHead"/>
        <w:rPr>
          <w:lang w:val="uk-UA"/>
        </w:rPr>
      </w:pPr>
      <w:r w:rsidRPr="00B85940">
        <w:rPr>
          <w:lang w:val="uk-UA"/>
        </w:rPr>
        <w:t>ВІДПОВІДНА НОРМАТИВНО-ПРАВОВА БАЗА</w:t>
      </w:r>
    </w:p>
    <w:p w:rsidRPr="00B85940" w:rsidR="00862459" w:rsidP="00B85940" w14:paraId="2DA30112" w14:textId="77777777">
      <w:pPr>
        <w:pStyle w:val="JuHIRoman"/>
        <w:rPr>
          <w:lang w:val="uk-UA"/>
        </w:rPr>
      </w:pPr>
      <w:r w:rsidRPr="00B85940">
        <w:rPr>
          <w:lang w:val="uk-UA"/>
        </w:rPr>
        <w:t>КОНСТИТУЦІЯ УКРАЇНИ</w:t>
      </w:r>
    </w:p>
    <w:p w:rsidRPr="00B85940" w:rsidR="00862459" w:rsidP="00B85940" w14:paraId="616CD30C" w14:textId="77777777">
      <w:pPr>
        <w:pStyle w:val="JuPara"/>
        <w:ind w:firstLine="0"/>
        <w:rPr>
          <w:lang w:val="uk-UA"/>
        </w:rPr>
      </w:pPr>
      <w:r w:rsidRPr="00B85940">
        <w:rPr>
          <w:lang w:val="uk-UA"/>
        </w:rPr>
        <w:t xml:space="preserve">18.  Відповідні положення Конституції України </w:t>
      </w:r>
      <w:r w:rsidRPr="00B85940" w:rsidR="00A65B8A">
        <w:rPr>
          <w:lang w:val="uk-UA"/>
        </w:rPr>
        <w:t>передбачають</w:t>
      </w:r>
      <w:r w:rsidRPr="00B85940">
        <w:rPr>
          <w:lang w:val="uk-UA"/>
        </w:rPr>
        <w:t>:</w:t>
      </w:r>
    </w:p>
    <w:p w:rsidRPr="00B85940" w:rsidR="00862459" w:rsidP="00B85940" w14:paraId="26E96673" w14:textId="77777777">
      <w:pPr>
        <w:pStyle w:val="JuHArticle"/>
        <w:rPr>
          <w:lang w:val="uk-UA"/>
        </w:rPr>
      </w:pPr>
      <w:r w:rsidRPr="00B85940">
        <w:rPr>
          <w:lang w:val="uk-UA"/>
        </w:rPr>
        <w:t>Стаття 13</w:t>
      </w:r>
    </w:p>
    <w:p w:rsidRPr="00B85940" w:rsidR="00D83E48" w:rsidP="00B85940" w14:paraId="630C239D" w14:textId="11B179A3">
      <w:pPr>
        <w:pStyle w:val="JuQuot"/>
        <w:rPr>
          <w:lang w:val="uk-UA"/>
        </w:rPr>
      </w:pPr>
      <w:r w:rsidRPr="00B85940">
        <w:rPr>
          <w:lang w:val="uk-UA"/>
        </w:rPr>
        <w:t>«Земля, її надра, атмосферне повітря, водні та інші природні ресурси, які знаходяться в межах території України, природні ресурси її континентального шельфу, виключної (морської) економічної зони є об</w:t>
      </w:r>
      <w:r w:rsidRPr="00B85940" w:rsidR="00B85940">
        <w:rPr>
          <w:lang w:val="uk-UA"/>
        </w:rPr>
        <w:t>’</w:t>
      </w:r>
      <w:r w:rsidRPr="00B85940">
        <w:rPr>
          <w:lang w:val="uk-UA"/>
        </w:rPr>
        <w:t>єктами права власності Українського народу. Від імені Українського народу права власника здійснюють органи державної влади та органи місцевого самоврядування в межах, визначених цією Конституцією.</w:t>
      </w:r>
    </w:p>
    <w:p w:rsidRPr="00B85940" w:rsidR="00D83E48" w:rsidP="00B85940" w14:paraId="63BF3612" w14:textId="703145D4">
      <w:pPr>
        <w:pStyle w:val="JuQuot"/>
        <w:rPr>
          <w:lang w:val="uk-UA"/>
        </w:rPr>
      </w:pPr>
      <w:r w:rsidRPr="00B85940">
        <w:rPr>
          <w:lang w:val="uk-UA"/>
        </w:rPr>
        <w:t>Кожний громадянин має право користуватися природними об</w:t>
      </w:r>
      <w:r w:rsidRPr="00B85940" w:rsidR="00B85940">
        <w:rPr>
          <w:lang w:val="uk-UA"/>
        </w:rPr>
        <w:t>’</w:t>
      </w:r>
      <w:r w:rsidRPr="00B85940">
        <w:rPr>
          <w:lang w:val="uk-UA"/>
        </w:rPr>
        <w:t xml:space="preserve">єктами права власності народу відповідно до закону. </w:t>
      </w:r>
      <w:r w:rsidRPr="00B85940" w:rsidR="00B85940">
        <w:rPr>
          <w:lang w:val="uk-UA"/>
        </w:rPr>
        <w:t>...</w:t>
      </w:r>
      <w:r w:rsidRPr="00B85940">
        <w:rPr>
          <w:lang w:val="uk-UA"/>
        </w:rPr>
        <w:t>»</w:t>
      </w:r>
    </w:p>
    <w:p w:rsidRPr="00B85940" w:rsidR="00862459" w:rsidP="00B85940" w14:paraId="398A29EE" w14:textId="77777777">
      <w:pPr>
        <w:pStyle w:val="JuHArticle"/>
        <w:rPr>
          <w:lang w:val="uk-UA"/>
        </w:rPr>
      </w:pPr>
      <w:r w:rsidRPr="00B85940">
        <w:rPr>
          <w:lang w:val="uk-UA"/>
        </w:rPr>
        <w:t>Стаття 14</w:t>
      </w:r>
    </w:p>
    <w:p w:rsidRPr="00B85940" w:rsidR="00D83E48" w:rsidP="00B85940" w14:paraId="04775DB1" w14:textId="77777777">
      <w:pPr>
        <w:pStyle w:val="JuQuot"/>
        <w:rPr>
          <w:lang w:val="uk-UA"/>
        </w:rPr>
      </w:pPr>
      <w:r w:rsidRPr="00B85940">
        <w:rPr>
          <w:lang w:val="uk-UA"/>
        </w:rPr>
        <w:t>«Земля є основним національним багатством, що перебуває під особливою охороною держави. Право власності на землю гарантується. Це право набувається і реалізується громадянами, юридичними особами та державою виключно відповідно до закону.</w:t>
      </w:r>
    </w:p>
    <w:p w:rsidRPr="00B85940" w:rsidR="00862459" w:rsidP="00B85940" w14:paraId="7251F4B0" w14:textId="77777777">
      <w:pPr>
        <w:pStyle w:val="JuQuot"/>
        <w:rPr>
          <w:lang w:val="uk-UA"/>
        </w:rPr>
      </w:pPr>
      <w:r w:rsidRPr="00B85940">
        <w:rPr>
          <w:lang w:val="uk-UA"/>
        </w:rPr>
        <w:t>...</w:t>
      </w:r>
      <w:r w:rsidRPr="00B85940" w:rsidR="00D83E48">
        <w:rPr>
          <w:lang w:val="uk-UA"/>
        </w:rPr>
        <w:t>»</w:t>
      </w:r>
    </w:p>
    <w:p w:rsidRPr="00B85940" w:rsidR="00862459" w:rsidP="00B85940" w14:paraId="4D24F647" w14:textId="77777777">
      <w:pPr>
        <w:pStyle w:val="JuHArticle"/>
        <w:rPr>
          <w:lang w:val="uk-UA"/>
        </w:rPr>
      </w:pPr>
      <w:r w:rsidRPr="00B85940">
        <w:rPr>
          <w:lang w:val="uk-UA"/>
        </w:rPr>
        <w:t>Стаття 56</w:t>
      </w:r>
    </w:p>
    <w:p w:rsidRPr="00B85940" w:rsidR="00D83E48" w:rsidP="00B85940" w14:paraId="1E08E2D4" w14:textId="77777777">
      <w:pPr>
        <w:pStyle w:val="JuQuot"/>
        <w:rPr>
          <w:lang w:val="uk-UA"/>
        </w:rPr>
      </w:pPr>
      <w:r w:rsidRPr="00B85940">
        <w:rPr>
          <w:lang w:val="uk-UA"/>
        </w:rPr>
        <w:t>«Кожен має право на відшкодування за рахунок держави чи органів місцевого самоврядування матеріальної та моральної шкоди, завданої незаконними рішеннями, діями чи бездіяльністю органів державної влади, органів місцевого самоврядування, їх посадових і службових осіб при здійсненні ними своїх повноважень.»</w:t>
      </w:r>
    </w:p>
    <w:p w:rsidRPr="00B85940" w:rsidR="00862459" w:rsidP="00B85940" w14:paraId="55F29B1B" w14:textId="77777777">
      <w:pPr>
        <w:pStyle w:val="JuHIRoman"/>
        <w:rPr>
          <w:lang w:val="uk-UA"/>
        </w:rPr>
      </w:pPr>
      <w:r w:rsidRPr="00B85940">
        <w:rPr>
          <w:lang w:val="uk-UA"/>
        </w:rPr>
        <w:t>ЦИВІЛЬНИЙ КОДЕКС УКРАЇНИ 2003 РОКУ</w:t>
      </w:r>
    </w:p>
    <w:p w:rsidRPr="00B85940" w:rsidR="00A509C8" w:rsidP="00B85940" w14:paraId="57354E92" w14:textId="77777777">
      <w:pPr>
        <w:pStyle w:val="JuPara"/>
        <w:rPr>
          <w:lang w:val="uk-UA"/>
        </w:rPr>
      </w:pPr>
      <w:bookmarkStart w:name="domlaw_19" w:id="1"/>
      <w:r w:rsidRPr="00B85940">
        <w:rPr>
          <w:lang w:val="uk-UA"/>
        </w:rPr>
        <w:t>19</w:t>
      </w:r>
      <w:bookmarkEnd w:id="1"/>
      <w:r w:rsidRPr="00B85940">
        <w:rPr>
          <w:lang w:val="uk-UA"/>
        </w:rPr>
        <w:t>.  Відповідні положення Цивільного кодексу України у редакції</w:t>
      </w:r>
      <w:r w:rsidRPr="00B85940" w:rsidR="00A65B8A">
        <w:rPr>
          <w:lang w:val="uk-UA"/>
        </w:rPr>
        <w:t>,</w:t>
      </w:r>
      <w:r w:rsidRPr="00B85940">
        <w:rPr>
          <w:lang w:val="uk-UA"/>
        </w:rPr>
        <w:t xml:space="preserve"> чинній на момент подій, передбачали:</w:t>
      </w:r>
    </w:p>
    <w:p w:rsidRPr="00B85940" w:rsidR="00862459" w:rsidP="00B85940" w14:paraId="3314293B" w14:textId="77777777">
      <w:pPr>
        <w:pStyle w:val="JuHArticle"/>
        <w:rPr>
          <w:lang w:val="uk-UA"/>
        </w:rPr>
      </w:pPr>
      <w:r w:rsidRPr="00B85940">
        <w:rPr>
          <w:lang w:val="uk-UA"/>
        </w:rPr>
        <w:t>Стаття 216. Правові наслідки недійсності правочину</w:t>
      </w:r>
    </w:p>
    <w:p w:rsidRPr="00B85940" w:rsidR="00A509C8" w:rsidP="00B85940" w14:paraId="277E8F62" w14:textId="7133D558">
      <w:pPr>
        <w:pStyle w:val="JuQuot"/>
        <w:rPr>
          <w:lang w:val="uk-UA"/>
        </w:rPr>
      </w:pPr>
      <w:r w:rsidRPr="00B85940">
        <w:rPr>
          <w:lang w:val="uk-UA"/>
        </w:rPr>
        <w:t>«1.</w:t>
      </w:r>
      <w:r w:rsidRPr="00B85940" w:rsidR="00F77B17">
        <w:rPr>
          <w:lang w:val="uk-UA"/>
        </w:rPr>
        <w:t>  </w:t>
      </w:r>
      <w:r w:rsidRPr="00B85940">
        <w:rPr>
          <w:lang w:val="uk-UA"/>
        </w:rPr>
        <w:t>Недійсний правочин не створює юридичних наслідків, крім тих, що пов</w:t>
      </w:r>
      <w:r w:rsidRPr="00B85940" w:rsidR="00B85940">
        <w:rPr>
          <w:lang w:val="uk-UA"/>
        </w:rPr>
        <w:t>’</w:t>
      </w:r>
      <w:r w:rsidRPr="00B85940">
        <w:rPr>
          <w:lang w:val="uk-UA"/>
        </w:rPr>
        <w:t>язані з його недійсністю.</w:t>
      </w:r>
    </w:p>
    <w:p w:rsidRPr="00B85940" w:rsidR="00AB4BD4" w:rsidP="00B85940" w14:paraId="3D4F5900" w14:textId="0F8D873C">
      <w:pPr>
        <w:pStyle w:val="JuQuot"/>
        <w:rPr>
          <w:lang w:val="uk-UA"/>
        </w:rPr>
      </w:pPr>
      <w:r w:rsidRPr="00B85940">
        <w:rPr>
          <w:lang w:val="uk-UA"/>
        </w:rPr>
        <w:t>2.</w:t>
      </w:r>
      <w:r w:rsidRPr="00B85940" w:rsidR="00F77B17">
        <w:rPr>
          <w:lang w:val="uk-UA"/>
        </w:rPr>
        <w:t>  </w:t>
      </w:r>
      <w:r w:rsidRPr="00B85940">
        <w:rPr>
          <w:lang w:val="uk-UA"/>
        </w:rPr>
        <w:t>У разі недійсності правочину кожна із сторін зобов</w:t>
      </w:r>
      <w:r w:rsidRPr="00B85940" w:rsidR="00B85940">
        <w:rPr>
          <w:lang w:val="uk-UA"/>
        </w:rPr>
        <w:t>’</w:t>
      </w:r>
      <w:r w:rsidRPr="00B85940">
        <w:rPr>
          <w:lang w:val="uk-UA"/>
        </w:rPr>
        <w:t xml:space="preserve">язана повернути другій стороні у натурі все, що вона одержала на виконання цього правочину, а в разі неможливості такого повернення, зокрема тоді, коли одержане полягає у користуванні майном, виконаній роботі, наданій послузі, - відшкодувати вартість того, що одержано, за цінами, які існують на момент відшкодування </w:t>
      </w:r>
      <w:r w:rsidRPr="00B85940" w:rsidR="00B85940">
        <w:rPr>
          <w:lang w:val="uk-UA"/>
        </w:rPr>
        <w:t>...</w:t>
      </w:r>
      <w:r w:rsidRPr="00B85940">
        <w:rPr>
          <w:lang w:val="uk-UA"/>
        </w:rPr>
        <w:t>»</w:t>
      </w:r>
    </w:p>
    <w:p w:rsidRPr="00B85940" w:rsidR="00862459" w:rsidP="00B85940" w14:paraId="281629E5" w14:textId="77777777">
      <w:pPr>
        <w:pStyle w:val="JuQuot"/>
        <w:rPr>
          <w:lang w:val="uk-UA"/>
        </w:rPr>
      </w:pPr>
      <w:r w:rsidRPr="00B85940">
        <w:rPr>
          <w:lang w:val="uk-UA"/>
        </w:rPr>
        <w:t>...</w:t>
      </w:r>
    </w:p>
    <w:p w:rsidRPr="00B85940" w:rsidR="00862459" w:rsidP="00B85940" w14:paraId="7552084F" w14:textId="77777777">
      <w:pPr>
        <w:pStyle w:val="JuHArticle"/>
        <w:rPr>
          <w:lang w:val="uk-UA"/>
        </w:rPr>
      </w:pPr>
      <w:r w:rsidRPr="00B85940">
        <w:rPr>
          <w:lang w:val="uk-UA"/>
        </w:rPr>
        <w:t>Стаття 387. Право власника на витребування майна із чужого незаконного володіння</w:t>
      </w:r>
    </w:p>
    <w:p w:rsidRPr="00B85940" w:rsidR="00AB4BD4" w:rsidP="00B85940" w14:paraId="6715C1E6" w14:textId="77777777">
      <w:pPr>
        <w:pStyle w:val="JuQuot"/>
        <w:rPr>
          <w:lang w:val="uk-UA"/>
        </w:rPr>
      </w:pPr>
      <w:r w:rsidRPr="00B85940">
        <w:rPr>
          <w:lang w:val="uk-UA"/>
        </w:rPr>
        <w:t>«1.</w:t>
      </w:r>
      <w:r w:rsidRPr="00B85940" w:rsidR="00F77B17">
        <w:rPr>
          <w:lang w:val="uk-UA"/>
        </w:rPr>
        <w:t>  </w:t>
      </w:r>
      <w:r w:rsidRPr="00B85940">
        <w:rPr>
          <w:lang w:val="uk-UA"/>
        </w:rPr>
        <w:t>Власник має право витребувати своє майно від особи, яка незаконно, без відповідної правової підстави заволоділа ним.»</w:t>
      </w:r>
    </w:p>
    <w:p w:rsidRPr="00B85940" w:rsidR="00AB4BD4" w:rsidP="00B85940" w14:paraId="48BC707E" w14:textId="77777777">
      <w:pPr>
        <w:pStyle w:val="JuHArticle"/>
        <w:rPr>
          <w:lang w:val="uk-UA"/>
        </w:rPr>
      </w:pPr>
      <w:r w:rsidRPr="00B85940">
        <w:rPr>
          <w:lang w:val="uk-UA"/>
        </w:rPr>
        <w:t>Стаття 388. Право власника на витребування майна від добросовісного набувача</w:t>
      </w:r>
    </w:p>
    <w:p w:rsidRPr="00B85940" w:rsidR="00AB4BD4" w:rsidP="00B85940" w14:paraId="003466BF" w14:textId="77777777">
      <w:pPr>
        <w:pStyle w:val="JuQuot"/>
        <w:rPr>
          <w:lang w:val="uk-UA"/>
        </w:rPr>
      </w:pPr>
      <w:r w:rsidRPr="00B85940">
        <w:rPr>
          <w:lang w:val="uk-UA"/>
        </w:rPr>
        <w:t>«1.</w:t>
      </w:r>
      <w:r w:rsidRPr="00B85940" w:rsidR="00F77B17">
        <w:rPr>
          <w:lang w:val="uk-UA"/>
        </w:rPr>
        <w:t>  </w:t>
      </w:r>
      <w:r w:rsidRPr="00B85940">
        <w:rPr>
          <w:lang w:val="uk-UA"/>
        </w:rPr>
        <w:t>Якщо майно за відплатним договором придбане в особи, яка не мала права його відчужувати, про що набувач не знав і не міг знати (добросовісний набувач), власник має право витребувати це майно від набувача лише у разі, якщо майно:</w:t>
      </w:r>
    </w:p>
    <w:p w:rsidRPr="00B85940" w:rsidR="00862459" w:rsidP="00B85940" w14:paraId="7556601C" w14:textId="77777777">
      <w:pPr>
        <w:pStyle w:val="JuQuot"/>
        <w:rPr>
          <w:lang w:val="uk-UA"/>
        </w:rPr>
      </w:pPr>
      <w:r w:rsidRPr="00B85940">
        <w:rPr>
          <w:lang w:val="uk-UA"/>
        </w:rPr>
        <w:t>(1)</w:t>
      </w:r>
      <w:r w:rsidRPr="00B85940" w:rsidR="00F77B17">
        <w:rPr>
          <w:lang w:val="uk-UA"/>
        </w:rPr>
        <w:t>  </w:t>
      </w:r>
      <w:r w:rsidRPr="00B85940" w:rsidR="00AB4BD4">
        <w:rPr>
          <w:lang w:val="uk-UA"/>
        </w:rPr>
        <w:t>було загублене власником або особою, якій він передав майно у володіння</w:t>
      </w:r>
      <w:r w:rsidRPr="00B85940">
        <w:rPr>
          <w:lang w:val="uk-UA"/>
        </w:rPr>
        <w:t>;</w:t>
      </w:r>
    </w:p>
    <w:p w:rsidRPr="00B85940" w:rsidR="00862459" w:rsidP="00B85940" w14:paraId="0DB21141" w14:textId="77777777">
      <w:pPr>
        <w:pStyle w:val="JuQuot"/>
        <w:rPr>
          <w:lang w:val="uk-UA"/>
        </w:rPr>
      </w:pPr>
      <w:r w:rsidRPr="00B85940">
        <w:rPr>
          <w:lang w:val="uk-UA"/>
        </w:rPr>
        <w:t>(2)</w:t>
      </w:r>
      <w:r w:rsidRPr="00B85940" w:rsidR="00F77B17">
        <w:rPr>
          <w:lang w:val="uk-UA"/>
        </w:rPr>
        <w:t>  </w:t>
      </w:r>
      <w:r w:rsidRPr="00B85940" w:rsidR="00AB4BD4">
        <w:rPr>
          <w:lang w:val="uk-UA"/>
        </w:rPr>
        <w:t>було викрадене у власника або особи, якій він передав майно у володіння</w:t>
      </w:r>
      <w:r w:rsidRPr="00B85940">
        <w:rPr>
          <w:lang w:val="uk-UA"/>
        </w:rPr>
        <w:t>;</w:t>
      </w:r>
    </w:p>
    <w:p w:rsidRPr="00B85940" w:rsidR="00862459" w:rsidP="00B85940" w14:paraId="034CAEE1" w14:textId="77777777">
      <w:pPr>
        <w:pStyle w:val="JuQuot"/>
        <w:rPr>
          <w:lang w:val="uk-UA"/>
        </w:rPr>
      </w:pPr>
      <w:r w:rsidRPr="00B85940">
        <w:rPr>
          <w:lang w:val="uk-UA"/>
        </w:rPr>
        <w:t>(3)</w:t>
      </w:r>
      <w:r w:rsidRPr="00B85940" w:rsidR="00F77B17">
        <w:rPr>
          <w:lang w:val="uk-UA"/>
        </w:rPr>
        <w:t>  </w:t>
      </w:r>
      <w:r w:rsidRPr="00B85940" w:rsidR="00AB4BD4">
        <w:rPr>
          <w:lang w:val="uk-UA"/>
        </w:rPr>
        <w:t>вибуло з володіння власника або особи, якій він передав майно у володіння, не з їхньої волі іншим шляхом</w:t>
      </w:r>
      <w:r w:rsidRPr="00B85940">
        <w:rPr>
          <w:lang w:val="uk-UA"/>
        </w:rPr>
        <w:t>.</w:t>
      </w:r>
    </w:p>
    <w:p w:rsidRPr="00B85940" w:rsidR="00862459" w:rsidP="00B85940" w14:paraId="2FDD8D0F" w14:textId="77777777">
      <w:pPr>
        <w:pStyle w:val="JuQuot"/>
        <w:rPr>
          <w:lang w:val="uk-UA"/>
        </w:rPr>
      </w:pPr>
      <w:r w:rsidRPr="00B85940">
        <w:rPr>
          <w:lang w:val="uk-UA"/>
        </w:rPr>
        <w:t>2.</w:t>
      </w:r>
      <w:r w:rsidRPr="00B85940" w:rsidR="00F77B17">
        <w:rPr>
          <w:lang w:val="uk-UA"/>
        </w:rPr>
        <w:t>  </w:t>
      </w:r>
      <w:r w:rsidRPr="00B85940" w:rsidR="00AB4BD4">
        <w:rPr>
          <w:lang w:val="uk-UA"/>
        </w:rPr>
        <w:t>Майно не може бути витребувано від добросовісного набувача, якщо воно було продане у порядку, встановленому для виконання судових рішень</w:t>
      </w:r>
      <w:r w:rsidRPr="00B85940">
        <w:rPr>
          <w:lang w:val="uk-UA"/>
        </w:rPr>
        <w:t>.</w:t>
      </w:r>
    </w:p>
    <w:p w:rsidRPr="00B85940" w:rsidR="00862459" w:rsidP="00B85940" w14:paraId="61794F71" w14:textId="77777777">
      <w:pPr>
        <w:pStyle w:val="JuQuot"/>
        <w:rPr>
          <w:lang w:val="uk-UA"/>
        </w:rPr>
      </w:pPr>
      <w:r w:rsidRPr="00B85940">
        <w:rPr>
          <w:lang w:val="uk-UA"/>
        </w:rPr>
        <w:t>3.</w:t>
      </w:r>
      <w:r w:rsidRPr="00B85940" w:rsidR="00F77B17">
        <w:rPr>
          <w:lang w:val="uk-UA"/>
        </w:rPr>
        <w:t>  </w:t>
      </w:r>
      <w:r w:rsidRPr="00B85940" w:rsidR="00AB4BD4">
        <w:rPr>
          <w:lang w:val="uk-UA"/>
        </w:rPr>
        <w:t>Якщо майно було набуте безвідплатно в особи, яка не мала права його відчужувати, власник має право витребувати його від добросовісного набувача у всіх випадках</w:t>
      </w:r>
      <w:r w:rsidRPr="00B85940">
        <w:rPr>
          <w:lang w:val="uk-UA"/>
        </w:rPr>
        <w:t>.</w:t>
      </w:r>
    </w:p>
    <w:p w:rsidRPr="00B85940" w:rsidR="00862459" w:rsidP="00B85940" w14:paraId="05E98E7A" w14:textId="77777777">
      <w:pPr>
        <w:pStyle w:val="JuQuot"/>
        <w:rPr>
          <w:lang w:val="uk-UA"/>
        </w:rPr>
      </w:pPr>
      <w:r w:rsidRPr="00B85940">
        <w:rPr>
          <w:lang w:val="uk-UA"/>
        </w:rPr>
        <w:t>...</w:t>
      </w:r>
      <w:r w:rsidRPr="00B85940" w:rsidR="00AB4BD4">
        <w:rPr>
          <w:lang w:val="uk-UA"/>
        </w:rPr>
        <w:t>»</w:t>
      </w:r>
    </w:p>
    <w:p w:rsidRPr="00B85940" w:rsidR="00AB4BD4" w:rsidP="00B85940" w14:paraId="6C0B8B6D" w14:textId="77777777">
      <w:pPr>
        <w:pStyle w:val="JuHArticle"/>
        <w:rPr>
          <w:lang w:val="uk-UA"/>
        </w:rPr>
      </w:pPr>
      <w:r w:rsidRPr="00B85940">
        <w:rPr>
          <w:lang w:val="uk-UA"/>
        </w:rPr>
        <w:t>Стаття 390. Розрахунки при витребуванні майна із чужого незаконного володіння</w:t>
      </w:r>
    </w:p>
    <w:p w:rsidRPr="00B85940" w:rsidR="00862459" w:rsidP="00B85940" w14:paraId="11F0BBC7" w14:textId="77777777">
      <w:pPr>
        <w:pStyle w:val="JuQuot"/>
        <w:rPr>
          <w:lang w:val="uk-UA"/>
        </w:rPr>
      </w:pPr>
      <w:r w:rsidRPr="00B85940">
        <w:rPr>
          <w:lang w:val="uk-UA"/>
        </w:rPr>
        <w:t>«...</w:t>
      </w:r>
    </w:p>
    <w:p w:rsidRPr="00B85940" w:rsidR="00AB4BD4" w:rsidP="00B85940" w14:paraId="5B60796A" w14:textId="77777777">
      <w:pPr>
        <w:pStyle w:val="JuQuot"/>
        <w:rPr>
          <w:lang w:val="uk-UA"/>
        </w:rPr>
      </w:pPr>
      <w:r w:rsidRPr="00B85940">
        <w:rPr>
          <w:lang w:val="uk-UA"/>
        </w:rPr>
        <w:t>3.</w:t>
      </w:r>
      <w:r w:rsidRPr="00B85940" w:rsidR="00F77B17">
        <w:rPr>
          <w:lang w:val="uk-UA"/>
        </w:rPr>
        <w:t>  </w:t>
      </w:r>
      <w:r w:rsidRPr="00B85940">
        <w:rPr>
          <w:lang w:val="uk-UA"/>
        </w:rPr>
        <w:t>Добросовісний або недобросовісний набувач (володілець) має право вимагати від власника майна відшкодування необхідних витрат на утримання, збереження майна [під час перебування в його володінні], здійснених ним з часу, з якого власникові належить право на повернення майна або передання доходів.</w:t>
      </w:r>
    </w:p>
    <w:p w:rsidRPr="00B85940" w:rsidR="00AB4BD4" w:rsidP="00B85940" w14:paraId="1F1EB339" w14:textId="77777777">
      <w:pPr>
        <w:pStyle w:val="JuQuot"/>
        <w:rPr>
          <w:lang w:val="uk-UA"/>
        </w:rPr>
      </w:pPr>
      <w:r w:rsidRPr="00B85940">
        <w:rPr>
          <w:lang w:val="uk-UA"/>
        </w:rPr>
        <w:t>4.</w:t>
      </w:r>
      <w:r w:rsidRPr="00B85940" w:rsidR="00F77B17">
        <w:rPr>
          <w:lang w:val="uk-UA"/>
        </w:rPr>
        <w:t>  </w:t>
      </w:r>
      <w:r w:rsidRPr="00B85940">
        <w:rPr>
          <w:lang w:val="uk-UA"/>
        </w:rPr>
        <w:t>Добросовісний набувач (володілець) має право залишити собі здійснені ним поліпшення майна, якщо вони можуть бути відокремлені від майна без завдання йому шкоди. Якщо поліпшення не можуть бути відокремлені від майна, добросовісний набувач (володілець) має право на відшкодування здійснених витрат у сумі, на яку збільшилася його вартість.</w:t>
      </w:r>
      <w:r w:rsidRPr="00B85940" w:rsidR="002F6BA0">
        <w:rPr>
          <w:lang w:val="uk-UA"/>
        </w:rPr>
        <w:t>»</w:t>
      </w:r>
    </w:p>
    <w:p w:rsidRPr="00B85940" w:rsidR="00862459" w:rsidP="00B85940" w14:paraId="77CE51C5" w14:textId="77777777">
      <w:pPr>
        <w:pStyle w:val="JuQuot"/>
        <w:rPr>
          <w:lang w:val="uk-UA"/>
        </w:rPr>
      </w:pPr>
      <w:r w:rsidRPr="00B85940">
        <w:rPr>
          <w:lang w:val="uk-UA"/>
        </w:rPr>
        <w:t>...</w:t>
      </w:r>
    </w:p>
    <w:p w:rsidRPr="00B85940" w:rsidR="00862459" w:rsidP="00B85940" w14:paraId="4123D805" w14:textId="77777777">
      <w:pPr>
        <w:pStyle w:val="JuHArticle"/>
        <w:rPr>
          <w:lang w:val="uk-UA"/>
        </w:rPr>
      </w:pPr>
      <w:r w:rsidRPr="00B85940">
        <w:rPr>
          <w:lang w:val="uk-UA"/>
        </w:rPr>
        <w:t>Стаття 661. Відповідальність продавця у разі відсудження товару у покупця</w:t>
      </w:r>
    </w:p>
    <w:p w:rsidRPr="00B85940" w:rsidR="00862459" w:rsidP="00B85940" w14:paraId="17230F8F" w14:textId="77777777">
      <w:pPr>
        <w:pStyle w:val="JuQuot"/>
        <w:rPr>
          <w:lang w:val="uk-UA"/>
        </w:rPr>
      </w:pPr>
      <w:r w:rsidRPr="00B85940">
        <w:rPr>
          <w:lang w:val="uk-UA"/>
        </w:rPr>
        <w:t>«1.</w:t>
      </w:r>
      <w:r w:rsidRPr="00B85940" w:rsidR="00F77B17">
        <w:rPr>
          <w:lang w:val="uk-UA"/>
        </w:rPr>
        <w:t>  </w:t>
      </w:r>
      <w:r w:rsidRPr="00B85940">
        <w:rPr>
          <w:lang w:val="uk-UA"/>
        </w:rPr>
        <w:t>У разі вилучення за рішенням суду товару у покупця на користь третьої особи на підставах, що виникли до продажу товару, продавець має відшкодувати покупцеві завдані йому збитки, якщо покупець не знав або не міг знати про наявність цих підстав.</w:t>
      </w:r>
    </w:p>
    <w:p w:rsidRPr="00B85940" w:rsidR="00862459" w:rsidP="00B85940" w14:paraId="3718AF53" w14:textId="77777777">
      <w:pPr>
        <w:pStyle w:val="JuQuot"/>
        <w:rPr>
          <w:lang w:val="uk-UA"/>
        </w:rPr>
      </w:pPr>
      <w:r w:rsidRPr="00B85940">
        <w:rPr>
          <w:lang w:val="uk-UA"/>
        </w:rPr>
        <w:t>2.</w:t>
      </w:r>
      <w:r w:rsidRPr="00B85940" w:rsidR="00F77B17">
        <w:rPr>
          <w:lang w:val="uk-UA"/>
        </w:rPr>
        <w:t>  </w:t>
      </w:r>
      <w:r w:rsidRPr="00B85940" w:rsidR="002F6BA0">
        <w:rPr>
          <w:lang w:val="uk-UA"/>
        </w:rPr>
        <w:t>Правочин щодо звільнення продавця від відповідальності або щодо її обмеження у разі витребування товару у покупця третьою особою є нікчемним</w:t>
      </w:r>
      <w:r w:rsidRPr="00B85940">
        <w:rPr>
          <w:lang w:val="uk-UA"/>
        </w:rPr>
        <w:t>.</w:t>
      </w:r>
    </w:p>
    <w:p w:rsidRPr="00B85940" w:rsidR="00862459" w:rsidP="00B85940" w14:paraId="490ADCD7" w14:textId="77777777">
      <w:pPr>
        <w:pStyle w:val="JuQuot"/>
        <w:rPr>
          <w:lang w:val="uk-UA"/>
        </w:rPr>
      </w:pPr>
      <w:r w:rsidRPr="00B85940">
        <w:rPr>
          <w:lang w:val="uk-UA"/>
        </w:rPr>
        <w:t>...</w:t>
      </w:r>
      <w:r w:rsidRPr="00B85940" w:rsidR="002F6BA0">
        <w:rPr>
          <w:lang w:val="uk-UA"/>
        </w:rPr>
        <w:t>»</w:t>
      </w:r>
    </w:p>
    <w:p w:rsidRPr="00B85940" w:rsidR="002F6BA0" w:rsidP="00B85940" w14:paraId="40C70E34" w14:textId="77777777">
      <w:pPr>
        <w:pStyle w:val="JuHArticle"/>
        <w:rPr>
          <w:lang w:val="uk-UA"/>
        </w:rPr>
      </w:pPr>
      <w:r w:rsidRPr="00B85940">
        <w:rPr>
          <w:lang w:val="uk-UA"/>
        </w:rPr>
        <w:t>Стаття 1173. Відшкодування шкоди, завданої органом державної влади, органом влади Автономної Республіки Крим або органом місцевого самоврядування</w:t>
      </w:r>
    </w:p>
    <w:p w:rsidRPr="00B85940" w:rsidR="002F6BA0" w:rsidP="00B85940" w14:paraId="2F78C286" w14:textId="77777777">
      <w:pPr>
        <w:pStyle w:val="JuQuot"/>
        <w:rPr>
          <w:lang w:val="uk-UA"/>
        </w:rPr>
      </w:pPr>
      <w:r w:rsidRPr="00B85940">
        <w:rPr>
          <w:lang w:val="uk-UA"/>
        </w:rPr>
        <w:t>«1.</w:t>
      </w:r>
      <w:r w:rsidRPr="00B85940" w:rsidR="00F77B17">
        <w:rPr>
          <w:lang w:val="uk-UA"/>
        </w:rPr>
        <w:t>  </w:t>
      </w:r>
      <w:r w:rsidRPr="00B85940">
        <w:rPr>
          <w:lang w:val="uk-UA"/>
        </w:rPr>
        <w:t>Шкода, завдана фізичній або юридичній особі незаконними рішеннями, дією чи бездіяльністю органу державної влади, органу влади Автономної Республіки Крим або органу місцевого самоврядування при здійсненні ними своїх повноважень, відшкодовується [відповідною] державою, Автономною Республікою Крим або органом місцевого самоврядування незалежно від вини цих органів.»</w:t>
      </w:r>
    </w:p>
    <w:p w:rsidRPr="00B85940" w:rsidR="002F6BA0" w:rsidP="00B85940" w14:paraId="46CB5C28" w14:textId="77777777">
      <w:pPr>
        <w:pStyle w:val="JuPara"/>
        <w:rPr>
          <w:lang w:val="uk-UA"/>
        </w:rPr>
      </w:pPr>
      <w:bookmarkStart w:name="domlaw_20" w:id="2"/>
      <w:r w:rsidRPr="00B85940">
        <w:rPr>
          <w:lang w:val="uk-UA"/>
        </w:rPr>
        <w:t>20</w:t>
      </w:r>
      <w:bookmarkEnd w:id="2"/>
      <w:r w:rsidRPr="00B85940">
        <w:rPr>
          <w:lang w:val="uk-UA"/>
        </w:rPr>
        <w:t xml:space="preserve">.  12 березня 2025 року Верховна Рада України ухвалила закон (Закон України № 4292-IX), яким </w:t>
      </w:r>
      <w:r w:rsidRPr="00B85940" w:rsidR="00A65B8A">
        <w:rPr>
          <w:lang w:val="uk-UA"/>
        </w:rPr>
        <w:t xml:space="preserve">внесла </w:t>
      </w:r>
      <w:r w:rsidRPr="00B85940">
        <w:rPr>
          <w:lang w:val="uk-UA"/>
        </w:rPr>
        <w:t>зміни до Цивільного кодексу України, а також Цивільного та Господарського процесуальних кодексів України, спрямованих на захист добросовісних власників. Закон набрав чинності 09 квітня 2025 року.</w:t>
      </w:r>
    </w:p>
    <w:p w:rsidRPr="00B85940" w:rsidR="002F6BA0" w:rsidP="00B85940" w14:paraId="029B3D55" w14:textId="73B860B8">
      <w:pPr>
        <w:pStyle w:val="JuPara"/>
        <w:rPr>
          <w:lang w:val="uk-UA"/>
        </w:rPr>
      </w:pPr>
      <w:r w:rsidRPr="00B85940">
        <w:rPr>
          <w:lang w:val="uk-UA"/>
        </w:rPr>
        <w:t xml:space="preserve">21.  Зміни передбачають спеціальний десятирічний строк позовної давності для подання позову про </w:t>
      </w:r>
      <w:r w:rsidRPr="00B85940" w:rsidR="00A65B8A">
        <w:rPr>
          <w:lang w:val="uk-UA"/>
        </w:rPr>
        <w:t xml:space="preserve">витребування </w:t>
      </w:r>
      <w:r w:rsidRPr="00B85940">
        <w:rPr>
          <w:lang w:val="uk-UA"/>
        </w:rPr>
        <w:t xml:space="preserve">майна, що раніше належало державі або органам місцевого самоврядування, який обраховується з дати вибуття такого майна з власності держави або органів місцевого самоврядування (на відміну від загального трирічного строку позовної давності, який обраховується з дати, коли відповідна особа дізналася про порушення своїх майнових прав). Зміни також передбачають, </w:t>
      </w:r>
      <w:r w:rsidRPr="00B85940" w:rsidR="00AB1451">
        <w:rPr>
          <w:lang w:val="uk-UA"/>
        </w:rPr>
        <w:t xml:space="preserve">що </w:t>
      </w:r>
      <w:r w:rsidRPr="00B85940">
        <w:rPr>
          <w:lang w:val="uk-UA"/>
        </w:rPr>
        <w:t>особі, у якої держава вилучає майно, має бути надан</w:t>
      </w:r>
      <w:r w:rsidRPr="00B85940" w:rsidR="00AB1451">
        <w:rPr>
          <w:lang w:val="uk-UA"/>
        </w:rPr>
        <w:t>о відшкодування вартості майна</w:t>
      </w:r>
      <w:r w:rsidRPr="00B85940">
        <w:rPr>
          <w:lang w:val="uk-UA"/>
        </w:rPr>
        <w:t>, розмір яко</w:t>
      </w:r>
      <w:r w:rsidRPr="00B85940" w:rsidR="00AB1451">
        <w:rPr>
          <w:lang w:val="uk-UA"/>
        </w:rPr>
        <w:t>го</w:t>
      </w:r>
      <w:r w:rsidRPr="00B85940">
        <w:rPr>
          <w:lang w:val="uk-UA"/>
        </w:rPr>
        <w:t xml:space="preserve"> в</w:t>
      </w:r>
      <w:r w:rsidRPr="00B85940" w:rsidR="00AB1451">
        <w:rPr>
          <w:lang w:val="uk-UA"/>
        </w:rPr>
        <w:t xml:space="preserve">изначається згідно з </w:t>
      </w:r>
      <w:r w:rsidRPr="00B85940">
        <w:rPr>
          <w:lang w:val="uk-UA"/>
        </w:rPr>
        <w:t>національни</w:t>
      </w:r>
      <w:r w:rsidRPr="00B85940" w:rsidR="00AB1451">
        <w:rPr>
          <w:lang w:val="uk-UA"/>
        </w:rPr>
        <w:t xml:space="preserve">м порядком </w:t>
      </w:r>
      <w:r w:rsidRPr="00B85940">
        <w:rPr>
          <w:lang w:val="uk-UA"/>
        </w:rPr>
        <w:t>оцінки майна. Остання вимога забезпечується шляхом зобов</w:t>
      </w:r>
      <w:r w:rsidRPr="00B85940" w:rsidR="00B85940">
        <w:rPr>
          <w:lang w:val="uk-UA"/>
        </w:rPr>
        <w:t>’</w:t>
      </w:r>
      <w:r w:rsidRPr="00B85940">
        <w:rPr>
          <w:lang w:val="uk-UA"/>
        </w:rPr>
        <w:t xml:space="preserve">язання органів </w:t>
      </w:r>
      <w:r w:rsidRPr="00B85940" w:rsidR="00AB1451">
        <w:rPr>
          <w:lang w:val="uk-UA"/>
        </w:rPr>
        <w:t xml:space="preserve">державної </w:t>
      </w:r>
      <w:r w:rsidRPr="00B85940">
        <w:rPr>
          <w:lang w:val="uk-UA"/>
        </w:rPr>
        <w:t xml:space="preserve">влади під час подання відповідного позову до суду </w:t>
      </w:r>
      <w:r w:rsidRPr="00B85940" w:rsidR="00AB1451">
        <w:rPr>
          <w:lang w:val="uk-UA"/>
        </w:rPr>
        <w:t xml:space="preserve">вносити </w:t>
      </w:r>
      <w:r w:rsidRPr="00B85940">
        <w:rPr>
          <w:lang w:val="uk-UA"/>
        </w:rPr>
        <w:t>вартість майна на спеціальний рахунок суду. Не</w:t>
      </w:r>
      <w:r w:rsidRPr="00B85940" w:rsidR="00AB1451">
        <w:rPr>
          <w:lang w:val="uk-UA"/>
        </w:rPr>
        <w:t>дотримання</w:t>
      </w:r>
      <w:r w:rsidRPr="00B85940">
        <w:rPr>
          <w:lang w:val="uk-UA"/>
        </w:rPr>
        <w:t xml:space="preserve"> цієї вимоги означає</w:t>
      </w:r>
      <w:r w:rsidRPr="00B85940" w:rsidR="00AB1451">
        <w:rPr>
          <w:lang w:val="uk-UA"/>
        </w:rPr>
        <w:t xml:space="preserve">, що такий позов залишиться </w:t>
      </w:r>
      <w:r w:rsidRPr="00B85940">
        <w:rPr>
          <w:lang w:val="uk-UA"/>
        </w:rPr>
        <w:t xml:space="preserve">без розгляду та </w:t>
      </w:r>
      <w:r w:rsidRPr="00B85940" w:rsidR="00AB1451">
        <w:rPr>
          <w:lang w:val="uk-UA"/>
        </w:rPr>
        <w:t xml:space="preserve">буде </w:t>
      </w:r>
      <w:r w:rsidRPr="00B85940">
        <w:rPr>
          <w:lang w:val="uk-UA"/>
        </w:rPr>
        <w:t>повер</w:t>
      </w:r>
      <w:r w:rsidRPr="00B85940" w:rsidR="00AB1451">
        <w:rPr>
          <w:lang w:val="uk-UA"/>
        </w:rPr>
        <w:t xml:space="preserve">нутий </w:t>
      </w:r>
      <w:r w:rsidRPr="00B85940">
        <w:rPr>
          <w:lang w:val="uk-UA"/>
        </w:rPr>
        <w:t>позивачу.</w:t>
      </w:r>
      <w:r w:rsidRPr="00B85940" w:rsidR="00AB1451">
        <w:rPr>
          <w:lang w:val="uk-UA"/>
        </w:rPr>
        <w:t xml:space="preserve"> Зміни, внесені Законом України № 4292-IX, застосовуються «на майбутнє» зі зворотною дією лише для відповідних справ, що перебувають на розгляді судів першої інстанції. Після того, як майно </w:t>
      </w:r>
      <w:r w:rsidRPr="00B85940" w:rsidR="00415BD5">
        <w:rPr>
          <w:lang w:val="uk-UA"/>
        </w:rPr>
        <w:t xml:space="preserve">буде </w:t>
      </w:r>
      <w:r w:rsidRPr="00B85940" w:rsidR="00AB1451">
        <w:rPr>
          <w:lang w:val="uk-UA"/>
        </w:rPr>
        <w:t>витребу</w:t>
      </w:r>
      <w:r w:rsidRPr="00B85940" w:rsidR="00415BD5">
        <w:rPr>
          <w:lang w:val="uk-UA"/>
        </w:rPr>
        <w:t xml:space="preserve">ване </w:t>
      </w:r>
      <w:r w:rsidRPr="00B85940" w:rsidR="00AB1451">
        <w:rPr>
          <w:lang w:val="uk-UA"/>
        </w:rPr>
        <w:t>на користь держави</w:t>
      </w:r>
      <w:r w:rsidRPr="00B85940" w:rsidR="00E94535">
        <w:rPr>
          <w:lang w:val="uk-UA"/>
        </w:rPr>
        <w:t>, а</w:t>
      </w:r>
      <w:r w:rsidRPr="00B85940" w:rsidR="00AB1451">
        <w:rPr>
          <w:lang w:val="uk-UA"/>
        </w:rPr>
        <w:t xml:space="preserve"> його вартість </w:t>
      </w:r>
      <w:r w:rsidRPr="00B85940" w:rsidR="00415BD5">
        <w:rPr>
          <w:lang w:val="uk-UA"/>
        </w:rPr>
        <w:t>с</w:t>
      </w:r>
      <w:r w:rsidRPr="00B85940" w:rsidR="00AB1451">
        <w:rPr>
          <w:lang w:val="uk-UA"/>
        </w:rPr>
        <w:t>плач</w:t>
      </w:r>
      <w:r w:rsidRPr="00B85940" w:rsidR="00415BD5">
        <w:rPr>
          <w:lang w:val="uk-UA"/>
        </w:rPr>
        <w:t xml:space="preserve">ена </w:t>
      </w:r>
      <w:r w:rsidRPr="00B85940" w:rsidR="00AB1451">
        <w:rPr>
          <w:lang w:val="uk-UA"/>
        </w:rPr>
        <w:t xml:space="preserve">колишньому приватному </w:t>
      </w:r>
      <w:r w:rsidRPr="00B85940" w:rsidR="00415BD5">
        <w:rPr>
          <w:lang w:val="uk-UA"/>
        </w:rPr>
        <w:t>власнику</w:t>
      </w:r>
      <w:r w:rsidRPr="00B85940" w:rsidR="00AB1451">
        <w:rPr>
          <w:lang w:val="uk-UA"/>
        </w:rPr>
        <w:t xml:space="preserve">, держава (або </w:t>
      </w:r>
      <w:r w:rsidRPr="00B85940" w:rsidR="0060524F">
        <w:rPr>
          <w:lang w:val="uk-UA"/>
        </w:rPr>
        <w:t>орган місцевого самоврядування</w:t>
      </w:r>
      <w:r w:rsidRPr="00B85940" w:rsidR="00AB1451">
        <w:rPr>
          <w:lang w:val="uk-UA"/>
        </w:rPr>
        <w:t xml:space="preserve">) отримує право </w:t>
      </w:r>
      <w:r w:rsidRPr="00B85940" w:rsidR="0060524F">
        <w:rPr>
          <w:lang w:val="uk-UA"/>
        </w:rPr>
        <w:t>подати</w:t>
      </w:r>
      <w:r w:rsidRPr="00B85940" w:rsidR="00AB1451">
        <w:rPr>
          <w:lang w:val="uk-UA"/>
        </w:rPr>
        <w:t xml:space="preserve"> позов про стягнення сплачених сум </w:t>
      </w:r>
      <w:r w:rsidRPr="00B85940" w:rsidR="0060524F">
        <w:rPr>
          <w:lang w:val="uk-UA"/>
        </w:rPr>
        <w:t xml:space="preserve">проти </w:t>
      </w:r>
      <w:r w:rsidRPr="00B85940" w:rsidR="00AB1451">
        <w:rPr>
          <w:lang w:val="uk-UA"/>
        </w:rPr>
        <w:t xml:space="preserve">особи, дії якої призвели до </w:t>
      </w:r>
      <w:r w:rsidRPr="00B85940" w:rsidR="00E94535">
        <w:rPr>
          <w:lang w:val="uk-UA"/>
        </w:rPr>
        <w:t xml:space="preserve">вибуття </w:t>
      </w:r>
      <w:r w:rsidRPr="00B85940" w:rsidR="00AB1451">
        <w:rPr>
          <w:lang w:val="uk-UA"/>
        </w:rPr>
        <w:t xml:space="preserve">майна з </w:t>
      </w:r>
      <w:r w:rsidRPr="00B85940" w:rsidR="0060524F">
        <w:rPr>
          <w:lang w:val="uk-UA"/>
        </w:rPr>
        <w:t>державної власності</w:t>
      </w:r>
      <w:r w:rsidRPr="00B85940" w:rsidR="00AB1451">
        <w:rPr>
          <w:lang w:val="uk-UA"/>
        </w:rPr>
        <w:t>.</w:t>
      </w:r>
    </w:p>
    <w:p w:rsidRPr="00B85940" w:rsidR="00862459" w:rsidP="00B85940" w14:paraId="188C8E58" w14:textId="77777777">
      <w:pPr>
        <w:pStyle w:val="JuHIRoman"/>
        <w:rPr>
          <w:lang w:val="uk-UA"/>
        </w:rPr>
      </w:pPr>
      <w:r w:rsidRPr="00B85940">
        <w:rPr>
          <w:lang w:val="uk-UA"/>
        </w:rPr>
        <w:t>ЗЕМЕЛЬНИЙ КОДЕКС УКРАЇНИ 2002 РОКУ</w:t>
      </w:r>
    </w:p>
    <w:p w:rsidRPr="00B85940" w:rsidR="0060524F" w:rsidP="00B85940" w14:paraId="633D7CBE" w14:textId="77777777">
      <w:pPr>
        <w:pStyle w:val="JuPara"/>
        <w:rPr>
          <w:lang w:val="uk-UA"/>
        </w:rPr>
      </w:pPr>
      <w:r w:rsidRPr="00B85940">
        <w:rPr>
          <w:lang w:val="uk-UA"/>
        </w:rPr>
        <w:t>22.  Відповідні частини Земельного кодексу України у редакції, чинній на момент подій, передбачали:</w:t>
      </w:r>
    </w:p>
    <w:p w:rsidRPr="00B85940" w:rsidR="00862459" w:rsidP="00B85940" w14:paraId="48E76D66" w14:textId="77777777">
      <w:pPr>
        <w:pStyle w:val="JuHArticle"/>
        <w:rPr>
          <w:lang w:val="uk-UA"/>
        </w:rPr>
      </w:pPr>
      <w:r w:rsidRPr="00B85940">
        <w:rPr>
          <w:lang w:val="uk-UA"/>
        </w:rPr>
        <w:t>Стаття 125. Виникнення права на земельну ділянку</w:t>
      </w:r>
    </w:p>
    <w:p w:rsidRPr="00B85940" w:rsidR="0060524F" w:rsidP="00B85940" w14:paraId="715CBCDD" w14:textId="77777777">
      <w:pPr>
        <w:pStyle w:val="JuQuot"/>
        <w:rPr>
          <w:lang w:val="uk-UA"/>
        </w:rPr>
      </w:pPr>
      <w:r w:rsidRPr="00B85940">
        <w:rPr>
          <w:lang w:val="uk-UA"/>
        </w:rPr>
        <w:t>«Право власності на земельну ділянку, а також право постійного користування та право оренди земельної ділянки виникають з моменту державної реєстрації цих прав.</w:t>
      </w:r>
    </w:p>
    <w:p w:rsidRPr="00B85940" w:rsidR="00862459" w:rsidP="00B85940" w14:paraId="0DC6702F" w14:textId="77777777">
      <w:pPr>
        <w:pStyle w:val="JuQuot"/>
        <w:rPr>
          <w:lang w:val="uk-UA"/>
        </w:rPr>
      </w:pPr>
      <w:r w:rsidRPr="00B85940">
        <w:rPr>
          <w:lang w:val="uk-UA"/>
        </w:rPr>
        <w:t>...</w:t>
      </w:r>
      <w:r w:rsidRPr="00B85940" w:rsidR="0060524F">
        <w:rPr>
          <w:lang w:val="uk-UA"/>
        </w:rPr>
        <w:t>»</w:t>
      </w:r>
    </w:p>
    <w:p w:rsidRPr="00B85940" w:rsidR="00862459" w:rsidP="00B85940" w14:paraId="10CA8555" w14:textId="77777777">
      <w:pPr>
        <w:pStyle w:val="JuHArticle"/>
        <w:rPr>
          <w:lang w:val="uk-UA"/>
        </w:rPr>
      </w:pPr>
      <w:r w:rsidRPr="00B85940">
        <w:rPr>
          <w:lang w:val="uk-UA"/>
        </w:rPr>
        <w:t>Стаття 140. Підстави припинення права власності на земельну ділянку</w:t>
      </w:r>
    </w:p>
    <w:p w:rsidRPr="00B85940" w:rsidR="00862459" w:rsidP="00B85940" w14:paraId="4469C194" w14:textId="77777777">
      <w:pPr>
        <w:pStyle w:val="JuQuot"/>
        <w:rPr>
          <w:lang w:val="uk-UA"/>
        </w:rPr>
      </w:pPr>
      <w:r w:rsidRPr="00B85940">
        <w:rPr>
          <w:lang w:val="uk-UA"/>
        </w:rPr>
        <w:t>«Підставами припинення права власності на земельну ділянку є:</w:t>
      </w:r>
    </w:p>
    <w:p w:rsidRPr="00B85940" w:rsidR="00862459" w:rsidP="00B85940" w14:paraId="28343158" w14:textId="77777777">
      <w:pPr>
        <w:pStyle w:val="JuQuot"/>
        <w:rPr>
          <w:lang w:val="uk-UA"/>
        </w:rPr>
      </w:pPr>
      <w:r w:rsidRPr="00B85940">
        <w:rPr>
          <w:lang w:val="uk-UA"/>
        </w:rPr>
        <w:t xml:space="preserve">(a) </w:t>
      </w:r>
      <w:r w:rsidRPr="00B85940" w:rsidR="00F758D7">
        <w:rPr>
          <w:lang w:val="uk-UA"/>
        </w:rPr>
        <w:t>добровільна відмова власника від права на земельну ділянку</w:t>
      </w:r>
      <w:r w:rsidRPr="00B85940">
        <w:rPr>
          <w:lang w:val="uk-UA"/>
        </w:rPr>
        <w:t>;</w:t>
      </w:r>
    </w:p>
    <w:p w:rsidRPr="00B85940" w:rsidR="00862459" w:rsidP="00B85940" w14:paraId="7555C9FE" w14:textId="77777777">
      <w:pPr>
        <w:pStyle w:val="JuQuot"/>
        <w:rPr>
          <w:lang w:val="uk-UA"/>
        </w:rPr>
      </w:pPr>
      <w:r w:rsidRPr="00B85940">
        <w:rPr>
          <w:lang w:val="uk-UA"/>
        </w:rPr>
        <w:t xml:space="preserve">(b) </w:t>
      </w:r>
      <w:r w:rsidRPr="00B85940" w:rsidR="00F758D7">
        <w:rPr>
          <w:lang w:val="uk-UA"/>
        </w:rPr>
        <w:t>смерть власника земельної ділянки за відсутності спадкоємця</w:t>
      </w:r>
      <w:r w:rsidRPr="00B85940">
        <w:rPr>
          <w:lang w:val="uk-UA"/>
        </w:rPr>
        <w:t>;</w:t>
      </w:r>
    </w:p>
    <w:p w:rsidRPr="00B85940" w:rsidR="00862459" w:rsidP="00B85940" w14:paraId="77330AFC" w14:textId="77777777">
      <w:pPr>
        <w:pStyle w:val="JuQuot"/>
        <w:rPr>
          <w:lang w:val="uk-UA"/>
        </w:rPr>
      </w:pPr>
      <w:r w:rsidRPr="00B85940">
        <w:rPr>
          <w:lang w:val="uk-UA"/>
        </w:rPr>
        <w:t xml:space="preserve">(c) </w:t>
      </w:r>
      <w:r w:rsidRPr="00B85940" w:rsidR="00F758D7">
        <w:rPr>
          <w:lang w:val="uk-UA"/>
        </w:rPr>
        <w:t>відчуження земельної ділянки за рішенням власника</w:t>
      </w:r>
      <w:r w:rsidRPr="00B85940">
        <w:rPr>
          <w:lang w:val="uk-UA"/>
        </w:rPr>
        <w:t>;</w:t>
      </w:r>
    </w:p>
    <w:p w:rsidRPr="00B85940" w:rsidR="00862459" w:rsidP="00B85940" w14:paraId="7C394D2B" w14:textId="77777777">
      <w:pPr>
        <w:pStyle w:val="JuQuot"/>
        <w:rPr>
          <w:lang w:val="uk-UA"/>
        </w:rPr>
      </w:pPr>
      <w:r w:rsidRPr="00B85940">
        <w:rPr>
          <w:lang w:val="uk-UA"/>
        </w:rPr>
        <w:t xml:space="preserve">(d) </w:t>
      </w:r>
      <w:r w:rsidRPr="00B85940" w:rsidR="00F758D7">
        <w:rPr>
          <w:lang w:val="uk-UA"/>
        </w:rPr>
        <w:t>звернення стягнення на земельну ділянку на вимогу кредитора</w:t>
      </w:r>
      <w:r w:rsidRPr="00B85940">
        <w:rPr>
          <w:lang w:val="uk-UA"/>
        </w:rPr>
        <w:t>;</w:t>
      </w:r>
    </w:p>
    <w:p w:rsidRPr="00B85940" w:rsidR="00862459" w:rsidP="00B85940" w14:paraId="3D5272EB" w14:textId="77777777">
      <w:pPr>
        <w:pStyle w:val="JuQuot"/>
        <w:rPr>
          <w:lang w:val="uk-UA"/>
        </w:rPr>
      </w:pPr>
      <w:r w:rsidRPr="00B85940">
        <w:rPr>
          <w:lang w:val="uk-UA"/>
        </w:rPr>
        <w:t xml:space="preserve">(e) </w:t>
      </w:r>
      <w:r w:rsidRPr="00B85940" w:rsidR="00F758D7">
        <w:rPr>
          <w:lang w:val="uk-UA"/>
        </w:rPr>
        <w:t>відчуження земельної ділянки з мотивів суспільної необхідності та для суспільних потреб</w:t>
      </w:r>
      <w:r w:rsidRPr="00B85940">
        <w:rPr>
          <w:lang w:val="uk-UA"/>
        </w:rPr>
        <w:t>;</w:t>
      </w:r>
    </w:p>
    <w:p w:rsidRPr="00B85940" w:rsidR="00862459" w:rsidP="00B85940" w14:paraId="1F0F646F" w14:textId="77777777">
      <w:pPr>
        <w:pStyle w:val="JuQuot"/>
        <w:rPr>
          <w:lang w:val="uk-UA"/>
        </w:rPr>
      </w:pPr>
      <w:r w:rsidRPr="00B85940">
        <w:rPr>
          <w:lang w:val="uk-UA"/>
        </w:rPr>
        <w:t xml:space="preserve">(f) </w:t>
      </w:r>
      <w:r w:rsidRPr="00B85940" w:rsidR="00F758D7">
        <w:rPr>
          <w:lang w:val="uk-UA"/>
        </w:rPr>
        <w:t>конфіскація за рішенням суду</w:t>
      </w:r>
      <w:r w:rsidRPr="00B85940">
        <w:rPr>
          <w:lang w:val="uk-UA"/>
        </w:rPr>
        <w:t>;</w:t>
      </w:r>
    </w:p>
    <w:p w:rsidRPr="00B85940" w:rsidR="00862459" w:rsidP="00B85940" w14:paraId="2C8CBF9B" w14:textId="77777777">
      <w:pPr>
        <w:pStyle w:val="JuQuot"/>
        <w:rPr>
          <w:lang w:val="uk-UA"/>
        </w:rPr>
      </w:pPr>
      <w:r w:rsidRPr="00B85940">
        <w:rPr>
          <w:lang w:val="uk-UA"/>
        </w:rPr>
        <w:t xml:space="preserve">(g) </w:t>
      </w:r>
      <w:r w:rsidRPr="00B85940" w:rsidR="00F758D7">
        <w:rPr>
          <w:lang w:val="uk-UA"/>
        </w:rPr>
        <w:t>невідчуження земельної ділянки іноземними особами та особами без громадянства у встановлений строк у випадках, визначених цим Кодексом»</w:t>
      </w:r>
      <w:r w:rsidRPr="00B85940">
        <w:rPr>
          <w:lang w:val="uk-UA"/>
        </w:rPr>
        <w:t>.</w:t>
      </w:r>
    </w:p>
    <w:p w:rsidRPr="00B85940" w:rsidR="00862459" w:rsidP="00B85940" w14:paraId="2E9F6983" w14:textId="77777777">
      <w:pPr>
        <w:pStyle w:val="JuHHead"/>
        <w:numPr>
          <w:ilvl w:val="0"/>
          <w:numId w:val="22"/>
        </w:numPr>
        <w:tabs>
          <w:tab w:val="num" w:pos="340"/>
        </w:tabs>
        <w:ind w:left="340" w:hanging="340"/>
        <w:rPr>
          <w:lang w:val="uk-UA"/>
        </w:rPr>
      </w:pPr>
      <w:r w:rsidRPr="00B85940">
        <w:rPr>
          <w:lang w:val="uk-UA"/>
        </w:rPr>
        <w:t>ПРАВО</w:t>
      </w:r>
    </w:p>
    <w:p w:rsidRPr="00B85940" w:rsidR="00862459" w:rsidP="00B85940" w14:paraId="349F9604" w14:textId="77777777">
      <w:pPr>
        <w:pStyle w:val="JuHIRoman"/>
        <w:tabs>
          <w:tab w:val="left" w:pos="567"/>
          <w:tab w:val="left" w:pos="680"/>
        </w:tabs>
        <w:ind w:left="397" w:hanging="397"/>
        <w:rPr>
          <w:lang w:val="uk-UA"/>
        </w:rPr>
      </w:pPr>
      <w:r w:rsidRPr="00B85940">
        <w:rPr>
          <w:lang w:val="uk-UA"/>
        </w:rPr>
        <w:t>СТВЕРДЖУВАНЕ ПОРУШЕННЯ СТАТТІ 1 ПЕРШОГО ПРОТОКОЛУ ДО КОНВЕНЦІЇ</w:t>
      </w:r>
    </w:p>
    <w:p w:rsidRPr="00B85940" w:rsidR="005B7D77" w:rsidP="00B85940" w14:paraId="694ADF9B" w14:textId="77777777">
      <w:pPr>
        <w:pStyle w:val="JuPara"/>
        <w:rPr>
          <w:lang w:val="uk-UA"/>
        </w:rPr>
      </w:pPr>
      <w:r w:rsidRPr="00B85940">
        <w:rPr>
          <w:lang w:val="uk-UA"/>
        </w:rPr>
        <w:t>23.  </w:t>
      </w:r>
      <w:r w:rsidRPr="00B85940">
        <w:rPr>
          <w:lang w:val="uk-UA"/>
        </w:rPr>
        <w:t xml:space="preserve">Заявниця скаржилася, що позбавлення її майна було незаконним та непропорційним, оскільки їй не було надано </w:t>
      </w:r>
      <w:r w:rsidRPr="00B85940" w:rsidR="006F118E">
        <w:rPr>
          <w:lang w:val="uk-UA"/>
        </w:rPr>
        <w:t xml:space="preserve">жодного </w:t>
      </w:r>
      <w:r w:rsidRPr="00B85940">
        <w:rPr>
          <w:lang w:val="uk-UA"/>
        </w:rPr>
        <w:t>відшкодування шкоди. Вона також скаржилася, що національні суди не застосували встановлений законом строк позовної давності щодо позову прокурора проти неї. Вона посилалася на статтю 1 Першого протоколу до Конвенції, яка передбачає:</w:t>
      </w:r>
    </w:p>
    <w:p w:rsidRPr="00B85940" w:rsidR="00862459" w:rsidP="00B85940" w14:paraId="78713A70" w14:textId="77777777">
      <w:pPr>
        <w:pStyle w:val="JuQuot"/>
        <w:rPr>
          <w:lang w:val="uk-UA"/>
        </w:rPr>
      </w:pPr>
      <w:r w:rsidRPr="00B85940">
        <w:rPr>
          <w:lang w:val="uk-UA"/>
        </w:rPr>
        <w:t>«Кожна фізична або юридична особа має право мирно володіти своїм майном. Ніхто не може бути позбавлений своєї власності інакше як в інтересах суспільства і на умовах, передбачених законом і загальними принципами міжнародного права.</w:t>
      </w:r>
    </w:p>
    <w:p w:rsidRPr="00B85940" w:rsidR="00862459" w:rsidP="00B85940" w14:paraId="2ADBC191" w14:textId="77777777">
      <w:pPr>
        <w:pStyle w:val="JuQuot"/>
        <w:rPr>
          <w:lang w:val="uk-UA"/>
        </w:rPr>
      </w:pPr>
      <w:r w:rsidRPr="00B85940">
        <w:rPr>
          <w:lang w:val="uk-UA"/>
        </w:rPr>
        <w:t>Проте попередні положення жодним чином не обмежують право держави вводити в дію такі закони, які вона вважає за необхідне, щоб здійснювати контроль за користуванням майном відповідно до загальних інтересів або для забезпечення сплати податків чи інших зборів або штрафів.»</w:t>
      </w:r>
    </w:p>
    <w:p w:rsidRPr="00B85940" w:rsidR="00862459" w:rsidP="00B85940" w14:paraId="4B9D9A49" w14:textId="77777777">
      <w:pPr>
        <w:pStyle w:val="JuHA"/>
        <w:rPr>
          <w:lang w:val="uk-UA"/>
        </w:rPr>
      </w:pPr>
      <w:r w:rsidRPr="00B85940">
        <w:rPr>
          <w:lang w:val="uk-UA"/>
        </w:rPr>
        <w:t>Прийнятність</w:t>
      </w:r>
    </w:p>
    <w:p w:rsidRPr="00B85940" w:rsidR="005B7D77" w:rsidP="00B85940" w14:paraId="7834CEB6" w14:textId="77777777">
      <w:pPr>
        <w:pStyle w:val="JuPara"/>
        <w:rPr>
          <w:lang w:val="uk-UA"/>
        </w:rPr>
      </w:pPr>
      <w:bookmarkStart w:name="admis_25" w:id="3"/>
      <w:r w:rsidRPr="00B85940">
        <w:rPr>
          <w:lang w:val="uk-UA"/>
        </w:rPr>
        <w:t>24</w:t>
      </w:r>
      <w:bookmarkEnd w:id="3"/>
      <w:r w:rsidRPr="00B85940">
        <w:rPr>
          <w:lang w:val="uk-UA"/>
        </w:rPr>
        <w:t xml:space="preserve">.  Уряд доводив, що заявниця не вичерпала національних засобів юридичного захисту, оскільки вона ніколи не подавала до національних судів ані позову (1) </w:t>
      </w:r>
      <w:r w:rsidRPr="00B85940" w:rsidR="00EE2D3C">
        <w:rPr>
          <w:lang w:val="uk-UA"/>
        </w:rPr>
        <w:t xml:space="preserve">проти держави </w:t>
      </w:r>
      <w:r w:rsidRPr="00B85940">
        <w:rPr>
          <w:lang w:val="uk-UA"/>
        </w:rPr>
        <w:t xml:space="preserve">про відшкодування шкоди </w:t>
      </w:r>
      <w:r w:rsidRPr="00B85940" w:rsidR="00EE2D3C">
        <w:rPr>
          <w:lang w:val="uk-UA"/>
        </w:rPr>
        <w:t>за</w:t>
      </w:r>
      <w:r w:rsidRPr="00B85940">
        <w:rPr>
          <w:lang w:val="uk-UA"/>
        </w:rPr>
        <w:t xml:space="preserve"> статт</w:t>
      </w:r>
      <w:r w:rsidRPr="00B85940" w:rsidR="00EE2D3C">
        <w:rPr>
          <w:lang w:val="uk-UA"/>
        </w:rPr>
        <w:t>ею</w:t>
      </w:r>
      <w:r w:rsidRPr="00B85940">
        <w:rPr>
          <w:lang w:val="uk-UA"/>
        </w:rPr>
        <w:t xml:space="preserve"> 56 Конституції України, </w:t>
      </w:r>
      <w:r w:rsidRPr="00B85940" w:rsidR="00EE2D3C">
        <w:rPr>
          <w:lang w:val="uk-UA"/>
        </w:rPr>
        <w:t>а</w:t>
      </w:r>
      <w:r w:rsidRPr="00B85940">
        <w:rPr>
          <w:lang w:val="uk-UA"/>
        </w:rPr>
        <w:t xml:space="preserve">ні (2) </w:t>
      </w:r>
      <w:r w:rsidRPr="00B85940" w:rsidR="00EE2D3C">
        <w:rPr>
          <w:lang w:val="uk-UA"/>
        </w:rPr>
        <w:t xml:space="preserve">проти продавців </w:t>
      </w:r>
      <w:r w:rsidRPr="00B85940">
        <w:rPr>
          <w:lang w:val="uk-UA"/>
        </w:rPr>
        <w:t>про відшкодування суми, сплаченої нею за зем</w:t>
      </w:r>
      <w:r w:rsidRPr="00B85940" w:rsidR="00EE2D3C">
        <w:rPr>
          <w:lang w:val="uk-UA"/>
        </w:rPr>
        <w:t>е</w:t>
      </w:r>
      <w:r w:rsidRPr="00B85940">
        <w:rPr>
          <w:lang w:val="uk-UA"/>
        </w:rPr>
        <w:t>л</w:t>
      </w:r>
      <w:r w:rsidRPr="00B85940" w:rsidR="00EE2D3C">
        <w:rPr>
          <w:lang w:val="uk-UA"/>
        </w:rPr>
        <w:t xml:space="preserve">ьну ділянку </w:t>
      </w:r>
      <w:r w:rsidRPr="00B85940" w:rsidR="00837BFD">
        <w:rPr>
          <w:lang w:val="uk-UA"/>
        </w:rPr>
        <w:t xml:space="preserve">згідно зі </w:t>
      </w:r>
      <w:r w:rsidRPr="00B85940">
        <w:rPr>
          <w:lang w:val="uk-UA"/>
        </w:rPr>
        <w:t>статт</w:t>
      </w:r>
      <w:r w:rsidRPr="00B85940" w:rsidR="00EE2D3C">
        <w:rPr>
          <w:lang w:val="uk-UA"/>
        </w:rPr>
        <w:t>ею</w:t>
      </w:r>
      <w:r w:rsidRPr="00B85940">
        <w:rPr>
          <w:lang w:val="uk-UA"/>
        </w:rPr>
        <w:t xml:space="preserve"> 216 Цивільного кодексу</w:t>
      </w:r>
      <w:r w:rsidRPr="00B85940" w:rsidR="00EE2D3C">
        <w:rPr>
          <w:lang w:val="uk-UA"/>
        </w:rPr>
        <w:t xml:space="preserve"> України</w:t>
      </w:r>
      <w:r w:rsidRPr="00B85940">
        <w:rPr>
          <w:lang w:val="uk-UA"/>
        </w:rPr>
        <w:t xml:space="preserve">, </w:t>
      </w:r>
      <w:r w:rsidRPr="00B85940" w:rsidR="00EE2D3C">
        <w:rPr>
          <w:lang w:val="uk-UA"/>
        </w:rPr>
        <w:t>а</w:t>
      </w:r>
      <w:r w:rsidRPr="00B85940">
        <w:rPr>
          <w:lang w:val="uk-UA"/>
        </w:rPr>
        <w:t>ні</w:t>
      </w:r>
      <w:r w:rsidRPr="00B85940" w:rsidR="00EE2D3C">
        <w:rPr>
          <w:lang w:val="uk-UA"/>
        </w:rPr>
        <w:t xml:space="preserve"> </w:t>
      </w:r>
      <w:r w:rsidRPr="00B85940">
        <w:rPr>
          <w:lang w:val="uk-UA"/>
        </w:rPr>
        <w:t xml:space="preserve">(3) про </w:t>
      </w:r>
      <w:r w:rsidRPr="00B85940" w:rsidR="00EE2D3C">
        <w:rPr>
          <w:lang w:val="uk-UA"/>
        </w:rPr>
        <w:t>відшкодування шкоди</w:t>
      </w:r>
      <w:r w:rsidRPr="00B85940">
        <w:rPr>
          <w:lang w:val="uk-UA"/>
        </w:rPr>
        <w:t xml:space="preserve">, </w:t>
      </w:r>
      <w:r w:rsidRPr="00B85940" w:rsidR="00EE2D3C">
        <w:rPr>
          <w:lang w:val="uk-UA"/>
        </w:rPr>
        <w:t>яка</w:t>
      </w:r>
      <w:r w:rsidRPr="00B85940">
        <w:rPr>
          <w:lang w:val="uk-UA"/>
        </w:rPr>
        <w:t xml:space="preserve"> </w:t>
      </w:r>
      <w:r w:rsidRPr="00B85940" w:rsidR="00A12A15">
        <w:rPr>
          <w:lang w:val="uk-UA"/>
        </w:rPr>
        <w:t xml:space="preserve">дорівнювала </w:t>
      </w:r>
      <w:r w:rsidRPr="00B85940">
        <w:rPr>
          <w:lang w:val="uk-UA"/>
        </w:rPr>
        <w:t xml:space="preserve">вартості будь-яких </w:t>
      </w:r>
      <w:r w:rsidRPr="00B85940" w:rsidR="00A12A15">
        <w:rPr>
          <w:lang w:val="uk-UA"/>
        </w:rPr>
        <w:t xml:space="preserve">здійснених поліпшень </w:t>
      </w:r>
      <w:r w:rsidRPr="00B85940">
        <w:rPr>
          <w:lang w:val="uk-UA"/>
        </w:rPr>
        <w:t xml:space="preserve">або </w:t>
      </w:r>
      <w:r w:rsidRPr="00B85940" w:rsidR="00A12A15">
        <w:rPr>
          <w:lang w:val="uk-UA"/>
        </w:rPr>
        <w:t xml:space="preserve">понесених </w:t>
      </w:r>
      <w:r w:rsidRPr="00B85940">
        <w:rPr>
          <w:lang w:val="uk-UA"/>
        </w:rPr>
        <w:t xml:space="preserve">витрат на утримання майна </w:t>
      </w:r>
      <w:r w:rsidRPr="00B85940" w:rsidR="00EE2D3C">
        <w:rPr>
          <w:lang w:val="uk-UA"/>
        </w:rPr>
        <w:t xml:space="preserve">за </w:t>
      </w:r>
      <w:r w:rsidRPr="00B85940">
        <w:rPr>
          <w:lang w:val="uk-UA"/>
        </w:rPr>
        <w:t>статт</w:t>
      </w:r>
      <w:r w:rsidRPr="00B85940" w:rsidR="00EE2D3C">
        <w:rPr>
          <w:lang w:val="uk-UA"/>
        </w:rPr>
        <w:t>ею</w:t>
      </w:r>
      <w:r w:rsidRPr="00B85940">
        <w:rPr>
          <w:lang w:val="uk-UA"/>
        </w:rPr>
        <w:t xml:space="preserve"> 390 Цивільного кодексу</w:t>
      </w:r>
      <w:r w:rsidRPr="00B85940" w:rsidR="00EE2D3C">
        <w:rPr>
          <w:lang w:val="uk-UA"/>
        </w:rPr>
        <w:t xml:space="preserve"> України</w:t>
      </w:r>
      <w:r w:rsidRPr="00B85940">
        <w:rPr>
          <w:lang w:val="uk-UA"/>
        </w:rPr>
        <w:t>. В</w:t>
      </w:r>
      <w:r w:rsidRPr="00B85940" w:rsidR="00EE2D3C">
        <w:rPr>
          <w:lang w:val="uk-UA"/>
        </w:rPr>
        <w:t xml:space="preserve">ін </w:t>
      </w:r>
      <w:r w:rsidRPr="00B85940">
        <w:rPr>
          <w:lang w:val="uk-UA"/>
        </w:rPr>
        <w:t>нав</w:t>
      </w:r>
      <w:r w:rsidRPr="00B85940" w:rsidR="00EE2D3C">
        <w:rPr>
          <w:lang w:val="uk-UA"/>
        </w:rPr>
        <w:t xml:space="preserve">ів </w:t>
      </w:r>
      <w:r w:rsidRPr="00B85940">
        <w:rPr>
          <w:lang w:val="uk-UA"/>
        </w:rPr>
        <w:t>приклади відповідної практики національних судів.</w:t>
      </w:r>
    </w:p>
    <w:p w:rsidRPr="00B85940" w:rsidR="00EE2D3C" w:rsidP="00B85940" w14:paraId="1CEB2769" w14:textId="181C324D">
      <w:pPr>
        <w:pStyle w:val="JuPara"/>
        <w:rPr>
          <w:lang w:val="uk-UA"/>
        </w:rPr>
      </w:pPr>
      <w:r w:rsidRPr="00B85940">
        <w:rPr>
          <w:lang w:val="uk-UA"/>
        </w:rPr>
        <w:t>25.  </w:t>
      </w:r>
      <w:r w:rsidRPr="00B85940">
        <w:rPr>
          <w:lang w:val="uk-UA"/>
        </w:rPr>
        <w:t>У зв</w:t>
      </w:r>
      <w:r w:rsidRPr="00B85940" w:rsidR="00B85940">
        <w:rPr>
          <w:lang w:val="uk-UA"/>
        </w:rPr>
        <w:t>’</w:t>
      </w:r>
      <w:r w:rsidRPr="00B85940">
        <w:rPr>
          <w:lang w:val="uk-UA"/>
        </w:rPr>
        <w:t xml:space="preserve">язку з необхідністю вичерпання конкретного засобу юридичного захисту заявниця наголосила, </w:t>
      </w:r>
      <w:r w:rsidRPr="00B85940" w:rsidR="00837BFD">
        <w:rPr>
          <w:lang w:val="uk-UA"/>
        </w:rPr>
        <w:t xml:space="preserve">що вона вичерпала доступні національні засоби юридичного захисту, </w:t>
      </w:r>
      <w:r w:rsidRPr="00B85940">
        <w:rPr>
          <w:lang w:val="uk-UA"/>
        </w:rPr>
        <w:t xml:space="preserve">посилаючись на рішення у справі «Фонд «Батьківська турбота» проти України» </w:t>
      </w:r>
      <w:r w:rsidRPr="00B85940">
        <w:rPr>
          <w:i/>
          <w:iCs/>
          <w:lang w:val="uk-UA"/>
        </w:rPr>
        <w:t>(Batkivska Turbota Foundation v. Ukraine),</w:t>
      </w:r>
      <w:r w:rsidRPr="00B85940">
        <w:rPr>
          <w:lang w:val="uk-UA"/>
        </w:rPr>
        <w:t xml:space="preserve"> заява № 5876/15, пункт 47, від 09 жовтня 2018 року), в якому Суд зазначив, що засіб юридичного захисту, який не </w:t>
      </w:r>
      <w:r w:rsidRPr="00B85940" w:rsidR="00A12A15">
        <w:rPr>
          <w:lang w:val="uk-UA"/>
        </w:rPr>
        <w:t xml:space="preserve">міг </w:t>
      </w:r>
      <w:r w:rsidRPr="00B85940">
        <w:rPr>
          <w:lang w:val="uk-UA"/>
        </w:rPr>
        <w:t xml:space="preserve">призвести до відновлення права власності, не </w:t>
      </w:r>
      <w:r w:rsidRPr="00B85940" w:rsidR="00FE1B01">
        <w:rPr>
          <w:lang w:val="uk-UA"/>
        </w:rPr>
        <w:t xml:space="preserve">мав </w:t>
      </w:r>
      <w:r w:rsidRPr="00B85940">
        <w:rPr>
          <w:lang w:val="uk-UA"/>
        </w:rPr>
        <w:t>бути вичерпаним для цілей пункту 1 статті 35</w:t>
      </w:r>
      <w:r w:rsidRPr="00B85940" w:rsidR="00FE1B01">
        <w:rPr>
          <w:lang w:val="uk-UA"/>
        </w:rPr>
        <w:t xml:space="preserve"> Конвенції</w:t>
      </w:r>
      <w:r w:rsidRPr="00B85940">
        <w:rPr>
          <w:lang w:val="uk-UA"/>
        </w:rPr>
        <w:t>. Заявниця також оскарж</w:t>
      </w:r>
      <w:r w:rsidRPr="00B85940" w:rsidR="00FB3767">
        <w:rPr>
          <w:lang w:val="uk-UA"/>
        </w:rPr>
        <w:t>и</w:t>
      </w:r>
      <w:r w:rsidRPr="00B85940">
        <w:rPr>
          <w:lang w:val="uk-UA"/>
        </w:rPr>
        <w:t xml:space="preserve">ла ефективність </w:t>
      </w:r>
      <w:r w:rsidRPr="00B85940" w:rsidR="00FB3767">
        <w:rPr>
          <w:lang w:val="uk-UA"/>
        </w:rPr>
        <w:t xml:space="preserve">запропонованих Урядом </w:t>
      </w:r>
      <w:r w:rsidRPr="00B85940">
        <w:rPr>
          <w:lang w:val="uk-UA"/>
        </w:rPr>
        <w:t xml:space="preserve">засобів </w:t>
      </w:r>
      <w:r w:rsidRPr="00B85940" w:rsidR="00FB3767">
        <w:rPr>
          <w:lang w:val="uk-UA"/>
        </w:rPr>
        <w:t xml:space="preserve">юридичного </w:t>
      </w:r>
      <w:r w:rsidRPr="00B85940">
        <w:rPr>
          <w:lang w:val="uk-UA"/>
        </w:rPr>
        <w:t xml:space="preserve">захисту. Зокрема, вона стверджувала, що стаття 390 мала на меті </w:t>
      </w:r>
      <w:r w:rsidRPr="00B85940" w:rsidR="00FB3767">
        <w:rPr>
          <w:lang w:val="uk-UA"/>
        </w:rPr>
        <w:t>відшкодування</w:t>
      </w:r>
      <w:r w:rsidRPr="00B85940">
        <w:rPr>
          <w:lang w:val="uk-UA"/>
        </w:rPr>
        <w:t xml:space="preserve"> </w:t>
      </w:r>
      <w:r w:rsidRPr="00B85940" w:rsidR="00A12A15">
        <w:rPr>
          <w:lang w:val="uk-UA"/>
        </w:rPr>
        <w:t xml:space="preserve">здійснених поліпшень </w:t>
      </w:r>
      <w:r w:rsidRPr="00B85940" w:rsidR="00FB3767">
        <w:rPr>
          <w:lang w:val="uk-UA"/>
        </w:rPr>
        <w:t xml:space="preserve">або </w:t>
      </w:r>
      <w:r w:rsidRPr="00B85940" w:rsidR="00A12A15">
        <w:rPr>
          <w:lang w:val="uk-UA"/>
        </w:rPr>
        <w:t xml:space="preserve">понесених </w:t>
      </w:r>
      <w:r w:rsidRPr="00B85940" w:rsidR="00FB3767">
        <w:rPr>
          <w:lang w:val="uk-UA"/>
        </w:rPr>
        <w:t>витрат на утримання майна</w:t>
      </w:r>
      <w:r w:rsidRPr="00B85940">
        <w:rPr>
          <w:lang w:val="uk-UA"/>
        </w:rPr>
        <w:t xml:space="preserve">, </w:t>
      </w:r>
      <w:r w:rsidRPr="00B85940" w:rsidR="00FB3767">
        <w:rPr>
          <w:lang w:val="uk-UA"/>
        </w:rPr>
        <w:t>проте</w:t>
      </w:r>
      <w:r w:rsidRPr="00B85940">
        <w:rPr>
          <w:lang w:val="uk-UA"/>
        </w:rPr>
        <w:t xml:space="preserve"> не вартості</w:t>
      </w:r>
      <w:r w:rsidRPr="00B85940" w:rsidR="00FB3767">
        <w:rPr>
          <w:lang w:val="uk-UA"/>
        </w:rPr>
        <w:t xml:space="preserve"> майна</w:t>
      </w:r>
      <w:r w:rsidRPr="00B85940">
        <w:rPr>
          <w:lang w:val="uk-UA"/>
        </w:rPr>
        <w:t xml:space="preserve"> як тако</w:t>
      </w:r>
      <w:r w:rsidRPr="00B85940" w:rsidR="00FB3767">
        <w:rPr>
          <w:lang w:val="uk-UA"/>
        </w:rPr>
        <w:t>го</w:t>
      </w:r>
      <w:r w:rsidRPr="00B85940">
        <w:rPr>
          <w:lang w:val="uk-UA"/>
        </w:rPr>
        <w:t>.</w:t>
      </w:r>
    </w:p>
    <w:p w:rsidRPr="00B85940" w:rsidR="00FB3767" w:rsidP="00B85940" w14:paraId="0453B466" w14:textId="77777777">
      <w:pPr>
        <w:pStyle w:val="JuPara"/>
        <w:rPr>
          <w:lang w:val="uk-UA"/>
        </w:rPr>
      </w:pPr>
      <w:r w:rsidRPr="00B85940">
        <w:rPr>
          <w:lang w:val="uk-UA"/>
        </w:rPr>
        <w:t>26.  </w:t>
      </w:r>
      <w:r w:rsidRPr="00B85940">
        <w:rPr>
          <w:lang w:val="uk-UA"/>
        </w:rPr>
        <w:t xml:space="preserve">Суд зазначає, що заявниця вичерпала всі доступні їй можливості </w:t>
      </w:r>
      <w:r w:rsidRPr="00B85940" w:rsidR="00276ACA">
        <w:rPr>
          <w:lang w:val="uk-UA"/>
        </w:rPr>
        <w:t xml:space="preserve">оскаржити </w:t>
      </w:r>
      <w:r w:rsidRPr="00B85940">
        <w:rPr>
          <w:lang w:val="uk-UA"/>
        </w:rPr>
        <w:t xml:space="preserve">рішення суду про визнання її права власності на спірну земельну ділянку недійсним, стверджуючи, як вона це зробила і </w:t>
      </w:r>
      <w:r w:rsidRPr="00B85940" w:rsidR="00276ACA">
        <w:rPr>
          <w:lang w:val="uk-UA"/>
        </w:rPr>
        <w:t>у Суді</w:t>
      </w:r>
      <w:r w:rsidRPr="00B85940">
        <w:rPr>
          <w:lang w:val="uk-UA"/>
        </w:rPr>
        <w:t xml:space="preserve">, що визнання її права власності недійсним було незаконним та необґрунтованим (див. пункт 15). За цих обставин питання про </w:t>
      </w:r>
      <w:r w:rsidRPr="00B85940" w:rsidR="00276ACA">
        <w:rPr>
          <w:lang w:val="uk-UA"/>
        </w:rPr>
        <w:t>наявність у заявниці можливості</w:t>
      </w:r>
      <w:r w:rsidRPr="00B85940">
        <w:rPr>
          <w:lang w:val="uk-UA"/>
        </w:rPr>
        <w:t xml:space="preserve"> отримати відшкодування шкоди після визнання її права власності недійсним стосується не вичерпання національних засобів юридичного захисту, а оцінки наслідків втручання та, таким чином, його пропорційності, а також розрахунку матеріальної шкоди, якщо буде встановлено порушення статті 1 Першого протоколу до Конвенції. Тому Суд відхиляє попереднє заперечення Уряду та розгляне питання відшкодування шкоди згідно з наведеним далі аналізом пропорційності (там само, пункт 47 </w:t>
      </w:r>
      <w:r w:rsidRPr="00B85940">
        <w:rPr>
          <w:i/>
          <w:iCs/>
          <w:lang w:val="uk-UA"/>
        </w:rPr>
        <w:t>in fine</w:t>
      </w:r>
      <w:r w:rsidRPr="00B85940">
        <w:rPr>
          <w:lang w:val="uk-UA"/>
        </w:rPr>
        <w:t>).</w:t>
      </w:r>
    </w:p>
    <w:p w:rsidRPr="00B85940" w:rsidR="00183650" w:rsidP="00B85940" w14:paraId="1A3C6AF3" w14:textId="77777777">
      <w:pPr>
        <w:pStyle w:val="JuPara"/>
        <w:rPr>
          <w:lang w:val="uk-UA"/>
        </w:rPr>
      </w:pPr>
      <w:r w:rsidRPr="00B85940">
        <w:rPr>
          <w:lang w:val="uk-UA"/>
        </w:rPr>
        <w:t>27.  </w:t>
      </w:r>
      <w:r w:rsidRPr="00B85940">
        <w:rPr>
          <w:lang w:val="uk-UA"/>
        </w:rPr>
        <w:t xml:space="preserve">Суд зазначає, що </w:t>
      </w:r>
      <w:r w:rsidRPr="00B85940" w:rsidR="00276ACA">
        <w:rPr>
          <w:lang w:val="uk-UA"/>
        </w:rPr>
        <w:t xml:space="preserve">ця </w:t>
      </w:r>
      <w:r w:rsidRPr="00B85940">
        <w:rPr>
          <w:lang w:val="uk-UA"/>
        </w:rPr>
        <w:t>заява не є ані явно необґрунтованою, ані неприйнятною з будь-яких інших підстав, перелічених у статті 35 Конвенції. Отже, вона має бути визнана прийнятною.</w:t>
      </w:r>
    </w:p>
    <w:p w:rsidRPr="00B85940" w:rsidR="00862459" w:rsidP="00B85940" w14:paraId="1ADFA11B" w14:textId="77777777">
      <w:pPr>
        <w:pStyle w:val="JuHA"/>
        <w:rPr>
          <w:lang w:val="uk-UA"/>
        </w:rPr>
      </w:pPr>
      <w:r w:rsidRPr="00B85940">
        <w:rPr>
          <w:lang w:val="uk-UA"/>
        </w:rPr>
        <w:t>Суть</w:t>
      </w:r>
    </w:p>
    <w:p w:rsidRPr="00B85940" w:rsidR="00862459" w:rsidP="00B85940" w14:paraId="10343E76" w14:textId="77777777">
      <w:pPr>
        <w:pStyle w:val="JuH1"/>
        <w:rPr>
          <w:lang w:val="uk-UA"/>
        </w:rPr>
      </w:pPr>
      <w:r w:rsidRPr="00B85940">
        <w:rPr>
          <w:lang w:val="uk-UA"/>
        </w:rPr>
        <w:t>Доводи сторін</w:t>
      </w:r>
    </w:p>
    <w:p w:rsidRPr="00B85940" w:rsidR="006A11F5" w:rsidP="00B85940" w14:paraId="3F4CEA71" w14:textId="77777777">
      <w:pPr>
        <w:pStyle w:val="JuPara"/>
        <w:rPr>
          <w:lang w:val="uk-UA"/>
        </w:rPr>
      </w:pPr>
      <w:r w:rsidRPr="00B85940">
        <w:rPr>
          <w:lang w:val="uk-UA"/>
        </w:rPr>
        <w:t>28.  </w:t>
      </w:r>
      <w:r w:rsidRPr="00B85940">
        <w:rPr>
          <w:lang w:val="uk-UA"/>
        </w:rPr>
        <w:t xml:space="preserve">Заявниця </w:t>
      </w:r>
      <w:r w:rsidRPr="00B85940" w:rsidR="00706593">
        <w:rPr>
          <w:lang w:val="uk-UA"/>
        </w:rPr>
        <w:t>доводила</w:t>
      </w:r>
      <w:r w:rsidRPr="00B85940">
        <w:rPr>
          <w:lang w:val="uk-UA"/>
        </w:rPr>
        <w:t xml:space="preserve">, що </w:t>
      </w:r>
      <w:r w:rsidRPr="00B85940" w:rsidR="00706593">
        <w:rPr>
          <w:lang w:val="uk-UA"/>
        </w:rPr>
        <w:t xml:space="preserve">відповідне </w:t>
      </w:r>
      <w:r w:rsidRPr="00B85940">
        <w:rPr>
          <w:lang w:val="uk-UA"/>
        </w:rPr>
        <w:t xml:space="preserve">втручання не було </w:t>
      </w:r>
      <w:r w:rsidRPr="00B85940" w:rsidR="00A12A15">
        <w:rPr>
          <w:lang w:val="uk-UA"/>
        </w:rPr>
        <w:t>передбачено</w:t>
      </w:r>
      <w:r w:rsidRPr="00B85940" w:rsidR="00706593">
        <w:rPr>
          <w:lang w:val="uk-UA"/>
        </w:rPr>
        <w:t xml:space="preserve"> </w:t>
      </w:r>
      <w:r w:rsidRPr="00B85940">
        <w:rPr>
          <w:lang w:val="uk-UA"/>
        </w:rPr>
        <w:t>закон</w:t>
      </w:r>
      <w:r w:rsidRPr="00B85940" w:rsidR="00706593">
        <w:rPr>
          <w:lang w:val="uk-UA"/>
        </w:rPr>
        <w:t>ом</w:t>
      </w:r>
      <w:r w:rsidRPr="00B85940">
        <w:rPr>
          <w:lang w:val="uk-UA"/>
        </w:rPr>
        <w:t xml:space="preserve">, оскільки у своїх рішеннях суди посилалися на </w:t>
      </w:r>
      <w:r w:rsidRPr="00B85940" w:rsidR="00706593">
        <w:rPr>
          <w:lang w:val="uk-UA"/>
        </w:rPr>
        <w:t>частину третю с</w:t>
      </w:r>
      <w:r w:rsidRPr="00B85940">
        <w:rPr>
          <w:lang w:val="uk-UA"/>
        </w:rPr>
        <w:t>татт</w:t>
      </w:r>
      <w:r w:rsidRPr="00B85940" w:rsidR="00706593">
        <w:rPr>
          <w:lang w:val="uk-UA"/>
        </w:rPr>
        <w:t>і</w:t>
      </w:r>
      <w:r w:rsidRPr="00B85940">
        <w:rPr>
          <w:lang w:val="uk-UA"/>
        </w:rPr>
        <w:t xml:space="preserve"> 388 Цивільного кодексу</w:t>
      </w:r>
      <w:r w:rsidRPr="00B85940" w:rsidR="00706593">
        <w:rPr>
          <w:lang w:val="uk-UA"/>
        </w:rPr>
        <w:t xml:space="preserve"> України</w:t>
      </w:r>
      <w:r w:rsidRPr="00B85940">
        <w:rPr>
          <w:lang w:val="uk-UA"/>
        </w:rPr>
        <w:t>, яка стосувалася ситуацій, коли майно було ви</w:t>
      </w:r>
      <w:r w:rsidRPr="00B85940" w:rsidR="00706593">
        <w:rPr>
          <w:lang w:val="uk-UA"/>
        </w:rPr>
        <w:t xml:space="preserve">требувано </w:t>
      </w:r>
      <w:r w:rsidRPr="00B85940" w:rsidR="00496E64">
        <w:rPr>
          <w:lang w:val="uk-UA"/>
        </w:rPr>
        <w:t xml:space="preserve">в </w:t>
      </w:r>
      <w:r w:rsidRPr="00B85940">
        <w:rPr>
          <w:lang w:val="uk-UA"/>
        </w:rPr>
        <w:t xml:space="preserve">особи, яка отримала його безкоштовно, </w:t>
      </w:r>
      <w:r w:rsidRPr="00B85940" w:rsidR="00706593">
        <w:rPr>
          <w:lang w:val="uk-UA"/>
        </w:rPr>
        <w:t>чого</w:t>
      </w:r>
      <w:r w:rsidRPr="00B85940">
        <w:rPr>
          <w:lang w:val="uk-UA"/>
        </w:rPr>
        <w:t xml:space="preserve"> не було </w:t>
      </w:r>
      <w:r w:rsidRPr="00B85940" w:rsidR="00706593">
        <w:rPr>
          <w:lang w:val="uk-UA"/>
        </w:rPr>
        <w:t xml:space="preserve">у </w:t>
      </w:r>
      <w:r w:rsidRPr="00B85940">
        <w:rPr>
          <w:lang w:val="uk-UA"/>
        </w:rPr>
        <w:t>ситуаці</w:t>
      </w:r>
      <w:r w:rsidRPr="00B85940" w:rsidR="00706593">
        <w:rPr>
          <w:lang w:val="uk-UA"/>
        </w:rPr>
        <w:t xml:space="preserve">ї </w:t>
      </w:r>
      <w:r w:rsidRPr="00B85940">
        <w:rPr>
          <w:lang w:val="uk-UA"/>
        </w:rPr>
        <w:t xml:space="preserve">заявниці, </w:t>
      </w:r>
      <w:r w:rsidRPr="00B85940" w:rsidR="00706593">
        <w:rPr>
          <w:lang w:val="uk-UA"/>
        </w:rPr>
        <w:t xml:space="preserve">бо </w:t>
      </w:r>
      <w:r w:rsidRPr="00B85940">
        <w:rPr>
          <w:lang w:val="uk-UA"/>
        </w:rPr>
        <w:t>вона заплатила за зем</w:t>
      </w:r>
      <w:r w:rsidRPr="00B85940" w:rsidR="00706593">
        <w:rPr>
          <w:lang w:val="uk-UA"/>
        </w:rPr>
        <w:t>е</w:t>
      </w:r>
      <w:r w:rsidRPr="00B85940">
        <w:rPr>
          <w:lang w:val="uk-UA"/>
        </w:rPr>
        <w:t>л</w:t>
      </w:r>
      <w:r w:rsidRPr="00B85940" w:rsidR="00706593">
        <w:rPr>
          <w:lang w:val="uk-UA"/>
        </w:rPr>
        <w:t>ьну ділянку</w:t>
      </w:r>
      <w:r w:rsidRPr="00B85940">
        <w:rPr>
          <w:lang w:val="uk-UA"/>
        </w:rPr>
        <w:t xml:space="preserve">. </w:t>
      </w:r>
      <w:r w:rsidRPr="00B85940" w:rsidR="00A12A15">
        <w:rPr>
          <w:lang w:val="uk-UA"/>
        </w:rPr>
        <w:t xml:space="preserve">Іншими словами, </w:t>
      </w:r>
      <w:r w:rsidRPr="00B85940">
        <w:rPr>
          <w:lang w:val="uk-UA"/>
        </w:rPr>
        <w:t xml:space="preserve">стаття 388 дозволяла </w:t>
      </w:r>
      <w:r w:rsidRPr="00B85940" w:rsidR="00A12A15">
        <w:rPr>
          <w:lang w:val="uk-UA"/>
        </w:rPr>
        <w:t xml:space="preserve">витребувати майно </w:t>
      </w:r>
      <w:r w:rsidRPr="00B85940">
        <w:rPr>
          <w:lang w:val="uk-UA"/>
        </w:rPr>
        <w:t>у добросовісного власника лише у випадку, якщо воно ви</w:t>
      </w:r>
      <w:r w:rsidRPr="00B85940" w:rsidR="00706593">
        <w:rPr>
          <w:lang w:val="uk-UA"/>
        </w:rPr>
        <w:t>бу</w:t>
      </w:r>
      <w:r w:rsidRPr="00B85940">
        <w:rPr>
          <w:lang w:val="uk-UA"/>
        </w:rPr>
        <w:t>ло з володіння власника «</w:t>
      </w:r>
      <w:r w:rsidRPr="00B85940" w:rsidR="00706593">
        <w:rPr>
          <w:lang w:val="uk-UA"/>
        </w:rPr>
        <w:t>не з</w:t>
      </w:r>
      <w:r w:rsidRPr="00B85940">
        <w:rPr>
          <w:lang w:val="uk-UA"/>
        </w:rPr>
        <w:t xml:space="preserve"> його волі». У її випадку зем</w:t>
      </w:r>
      <w:r w:rsidRPr="00B85940" w:rsidR="00706593">
        <w:rPr>
          <w:lang w:val="uk-UA"/>
        </w:rPr>
        <w:t>ельні ділянки б</w:t>
      </w:r>
      <w:r w:rsidRPr="00B85940">
        <w:rPr>
          <w:lang w:val="uk-UA"/>
        </w:rPr>
        <w:t>ул</w:t>
      </w:r>
      <w:r w:rsidRPr="00B85940" w:rsidR="00706593">
        <w:rPr>
          <w:lang w:val="uk-UA"/>
        </w:rPr>
        <w:t>и</w:t>
      </w:r>
      <w:r w:rsidRPr="00B85940">
        <w:rPr>
          <w:lang w:val="uk-UA"/>
        </w:rPr>
        <w:t xml:space="preserve"> </w:t>
      </w:r>
      <w:r w:rsidRPr="00B85940" w:rsidR="00706593">
        <w:rPr>
          <w:lang w:val="uk-UA"/>
        </w:rPr>
        <w:t xml:space="preserve">виділені </w:t>
      </w:r>
      <w:r w:rsidRPr="00B85940">
        <w:rPr>
          <w:lang w:val="uk-UA"/>
        </w:rPr>
        <w:t>приватн</w:t>
      </w:r>
      <w:r w:rsidRPr="00B85940" w:rsidR="00706593">
        <w:rPr>
          <w:lang w:val="uk-UA"/>
        </w:rPr>
        <w:t>им</w:t>
      </w:r>
      <w:r w:rsidRPr="00B85940">
        <w:rPr>
          <w:lang w:val="uk-UA"/>
        </w:rPr>
        <w:t xml:space="preserve"> </w:t>
      </w:r>
      <w:r w:rsidRPr="00B85940" w:rsidR="00706593">
        <w:rPr>
          <w:lang w:val="uk-UA"/>
        </w:rPr>
        <w:t xml:space="preserve">особам </w:t>
      </w:r>
      <w:r w:rsidRPr="00B85940">
        <w:rPr>
          <w:lang w:val="uk-UA"/>
        </w:rPr>
        <w:t>органом, уповноваженим розпоряджатися зем</w:t>
      </w:r>
      <w:r w:rsidRPr="00B85940" w:rsidR="00706593">
        <w:rPr>
          <w:lang w:val="uk-UA"/>
        </w:rPr>
        <w:t>е</w:t>
      </w:r>
      <w:r w:rsidRPr="00B85940">
        <w:rPr>
          <w:lang w:val="uk-UA"/>
        </w:rPr>
        <w:t>л</w:t>
      </w:r>
      <w:r w:rsidRPr="00B85940" w:rsidR="00706593">
        <w:rPr>
          <w:lang w:val="uk-UA"/>
        </w:rPr>
        <w:t xml:space="preserve">ьним фондом </w:t>
      </w:r>
      <w:r w:rsidRPr="00B85940">
        <w:rPr>
          <w:lang w:val="uk-UA"/>
        </w:rPr>
        <w:t xml:space="preserve">в </w:t>
      </w:r>
      <w:r w:rsidRPr="00B85940" w:rsidR="00706593">
        <w:rPr>
          <w:lang w:val="uk-UA"/>
        </w:rPr>
        <w:t xml:space="preserve">межах </w:t>
      </w:r>
      <w:r w:rsidRPr="00B85940">
        <w:rPr>
          <w:lang w:val="uk-UA"/>
        </w:rPr>
        <w:t xml:space="preserve">процедури приватизації, тобто органи </w:t>
      </w:r>
      <w:r w:rsidRPr="00B85940" w:rsidR="00706593">
        <w:rPr>
          <w:lang w:val="uk-UA"/>
        </w:rPr>
        <w:t xml:space="preserve">державної </w:t>
      </w:r>
      <w:r w:rsidRPr="00B85940">
        <w:rPr>
          <w:lang w:val="uk-UA"/>
        </w:rPr>
        <w:t>влади мали всю інформацію про таку передачу зем</w:t>
      </w:r>
      <w:r w:rsidRPr="00B85940" w:rsidR="00706593">
        <w:rPr>
          <w:lang w:val="uk-UA"/>
        </w:rPr>
        <w:t>е</w:t>
      </w:r>
      <w:r w:rsidRPr="00B85940">
        <w:rPr>
          <w:lang w:val="uk-UA"/>
        </w:rPr>
        <w:t>л</w:t>
      </w:r>
      <w:r w:rsidRPr="00B85940" w:rsidR="00706593">
        <w:rPr>
          <w:lang w:val="uk-UA"/>
        </w:rPr>
        <w:t xml:space="preserve">ьних ділянок </w:t>
      </w:r>
      <w:r w:rsidRPr="00B85940">
        <w:rPr>
          <w:lang w:val="uk-UA"/>
        </w:rPr>
        <w:t>та мали намір це зробити.</w:t>
      </w:r>
    </w:p>
    <w:p w:rsidRPr="00B85940" w:rsidR="00FF6CD9" w:rsidP="00B85940" w14:paraId="04CAC606" w14:textId="77777777">
      <w:pPr>
        <w:pStyle w:val="JuPara"/>
        <w:rPr>
          <w:lang w:val="uk-UA"/>
        </w:rPr>
      </w:pPr>
      <w:r w:rsidRPr="00B85940">
        <w:rPr>
          <w:lang w:val="uk-UA"/>
        </w:rPr>
        <w:t>29.  </w:t>
      </w:r>
      <w:r w:rsidRPr="00B85940">
        <w:rPr>
          <w:lang w:val="uk-UA"/>
        </w:rPr>
        <w:t xml:space="preserve">Стосовно критеріїв законності заявниця також стверджувала, що суди належним чином не здійснили оцінки застосування строку позовної давності, який, на її думку, мав обраховуватися найпізніше з 21 жовтня 2010 року, дати ухвалення постанови Київського апеляційного адміністративного суду, якою було скасовано розпорядження Бородянської РДА 2008 року про виділення земельних ділянок (якщо не з первинної перевірки прокурора 2008 року, коли він повинен був дізнатися про всі події щодо передачі відповідних земельних ділянок). У цьому контексті заявниця наголосила, що подальші провадження стосовно її інших земельних ділянок (див. пункт 16) довели, що національні суди вважали 2008 рік правильною </w:t>
      </w:r>
      <w:r w:rsidRPr="00B85940" w:rsidR="00A12A15">
        <w:rPr>
          <w:lang w:val="uk-UA"/>
        </w:rPr>
        <w:t xml:space="preserve">початковою </w:t>
      </w:r>
      <w:r w:rsidRPr="00B85940">
        <w:rPr>
          <w:lang w:val="uk-UA"/>
        </w:rPr>
        <w:t>датою для обрахунку трирічного строку позовної давності.</w:t>
      </w:r>
    </w:p>
    <w:p w:rsidRPr="00B85940" w:rsidR="00B85940" w:rsidP="00B85940" w14:paraId="04C72DAA" w14:textId="77777777">
      <w:pPr>
        <w:pStyle w:val="JuPara"/>
        <w:rPr>
          <w:lang w:val="uk-UA"/>
        </w:rPr>
      </w:pPr>
      <w:r w:rsidRPr="00B85940">
        <w:rPr>
          <w:lang w:val="uk-UA"/>
        </w:rPr>
        <w:t>30.  </w:t>
      </w:r>
      <w:r w:rsidRPr="00B85940" w:rsidR="00FF6CD9">
        <w:rPr>
          <w:lang w:val="uk-UA"/>
        </w:rPr>
        <w:t>З огляду на зазначені обставини, заявниця доводила, що критерії законності в її справі дотримані</w:t>
      </w:r>
      <w:r w:rsidRPr="00B85940" w:rsidR="00A96A65">
        <w:rPr>
          <w:lang w:val="uk-UA"/>
        </w:rPr>
        <w:t xml:space="preserve"> не були</w:t>
      </w:r>
      <w:r w:rsidRPr="00B85940" w:rsidR="00FF6CD9">
        <w:rPr>
          <w:lang w:val="uk-UA"/>
        </w:rPr>
        <w:t>.</w:t>
      </w:r>
    </w:p>
    <w:p w:rsidRPr="00B85940" w:rsidR="00FF6CD9" w:rsidP="00B85940" w14:paraId="25134B00" w14:textId="07B9FA62">
      <w:pPr>
        <w:pStyle w:val="JuPara"/>
        <w:rPr>
          <w:lang w:val="uk-UA"/>
        </w:rPr>
      </w:pPr>
      <w:r w:rsidRPr="00B85940">
        <w:rPr>
          <w:lang w:val="uk-UA"/>
        </w:rPr>
        <w:t>31.  </w:t>
      </w:r>
      <w:r w:rsidRPr="00B85940" w:rsidR="003C4D8C">
        <w:rPr>
          <w:lang w:val="uk-UA"/>
        </w:rPr>
        <w:t>Стосовно</w:t>
      </w:r>
      <w:r w:rsidRPr="00B85940">
        <w:rPr>
          <w:lang w:val="uk-UA"/>
        </w:rPr>
        <w:t xml:space="preserve"> того, що втручання </w:t>
      </w:r>
      <w:r w:rsidRPr="00B85940" w:rsidR="003C4D8C">
        <w:rPr>
          <w:lang w:val="uk-UA"/>
        </w:rPr>
        <w:t xml:space="preserve">було в інтересах </w:t>
      </w:r>
      <w:r w:rsidRPr="00B85940">
        <w:rPr>
          <w:lang w:val="uk-UA"/>
        </w:rPr>
        <w:t>суспіль</w:t>
      </w:r>
      <w:r w:rsidRPr="00B85940" w:rsidR="003C4D8C">
        <w:rPr>
          <w:lang w:val="uk-UA"/>
        </w:rPr>
        <w:t>ства</w:t>
      </w:r>
      <w:r w:rsidRPr="00B85940">
        <w:rPr>
          <w:lang w:val="uk-UA"/>
        </w:rPr>
        <w:t xml:space="preserve">, заявниця зазначила, що </w:t>
      </w:r>
      <w:r w:rsidRPr="00B85940" w:rsidR="003C4D8C">
        <w:rPr>
          <w:lang w:val="uk-UA"/>
        </w:rPr>
        <w:t>а</w:t>
      </w:r>
      <w:r w:rsidRPr="00B85940">
        <w:rPr>
          <w:lang w:val="uk-UA"/>
        </w:rPr>
        <w:t xml:space="preserve">ні </w:t>
      </w:r>
      <w:r w:rsidRPr="00B85940" w:rsidR="003C4D8C">
        <w:rPr>
          <w:lang w:val="uk-UA"/>
        </w:rPr>
        <w:t xml:space="preserve">в ході </w:t>
      </w:r>
      <w:r w:rsidRPr="00B85940">
        <w:rPr>
          <w:lang w:val="uk-UA"/>
        </w:rPr>
        <w:t>провадження</w:t>
      </w:r>
      <w:r w:rsidRPr="00B85940" w:rsidR="00203D42">
        <w:rPr>
          <w:lang w:val="uk-UA"/>
        </w:rPr>
        <w:t xml:space="preserve"> на національному рівні</w:t>
      </w:r>
      <w:r w:rsidRPr="00B85940">
        <w:rPr>
          <w:lang w:val="uk-UA"/>
        </w:rPr>
        <w:t xml:space="preserve">, </w:t>
      </w:r>
      <w:r w:rsidRPr="00B85940" w:rsidR="003C4D8C">
        <w:rPr>
          <w:lang w:val="uk-UA"/>
        </w:rPr>
        <w:t>а</w:t>
      </w:r>
      <w:r w:rsidRPr="00B85940">
        <w:rPr>
          <w:lang w:val="uk-UA"/>
        </w:rPr>
        <w:t>ні в Суді не було пояснено з належною точністю, який саме</w:t>
      </w:r>
      <w:r w:rsidRPr="00B85940" w:rsidR="00203D42">
        <w:rPr>
          <w:lang w:val="uk-UA"/>
        </w:rPr>
        <w:t xml:space="preserve"> суспільний</w:t>
      </w:r>
      <w:r w:rsidRPr="00B85940">
        <w:rPr>
          <w:lang w:val="uk-UA"/>
        </w:rPr>
        <w:t xml:space="preserve"> </w:t>
      </w:r>
      <w:r w:rsidRPr="00B85940" w:rsidR="003C4D8C">
        <w:rPr>
          <w:lang w:val="uk-UA"/>
        </w:rPr>
        <w:t xml:space="preserve">інтерес </w:t>
      </w:r>
      <w:r w:rsidRPr="00B85940">
        <w:rPr>
          <w:lang w:val="uk-UA"/>
        </w:rPr>
        <w:t xml:space="preserve">переслідувався відповідним втручанням. Вона вважала аргументи Уряду </w:t>
      </w:r>
      <w:r w:rsidRPr="00B85940" w:rsidR="003C4D8C">
        <w:rPr>
          <w:lang w:val="uk-UA"/>
        </w:rPr>
        <w:t>у зв</w:t>
      </w:r>
      <w:r w:rsidRPr="00B85940" w:rsidR="00B85940">
        <w:rPr>
          <w:lang w:val="uk-UA"/>
        </w:rPr>
        <w:t>’</w:t>
      </w:r>
      <w:r w:rsidRPr="00B85940" w:rsidR="003C4D8C">
        <w:rPr>
          <w:lang w:val="uk-UA"/>
        </w:rPr>
        <w:t xml:space="preserve">язку з цим </w:t>
      </w:r>
      <w:r w:rsidRPr="00B85940">
        <w:rPr>
          <w:lang w:val="uk-UA"/>
        </w:rPr>
        <w:t xml:space="preserve">надто </w:t>
      </w:r>
      <w:r w:rsidRPr="00B85940" w:rsidR="00203D42">
        <w:rPr>
          <w:lang w:val="uk-UA"/>
        </w:rPr>
        <w:t>загальним</w:t>
      </w:r>
      <w:r w:rsidRPr="00B85940" w:rsidR="00496E64">
        <w:rPr>
          <w:lang w:val="uk-UA"/>
        </w:rPr>
        <w:t>и</w:t>
      </w:r>
      <w:r w:rsidRPr="00B85940">
        <w:rPr>
          <w:lang w:val="uk-UA"/>
        </w:rPr>
        <w:t xml:space="preserve">. Заявниця також зазначила, що вона </w:t>
      </w:r>
      <w:r w:rsidRPr="00B85940" w:rsidR="003C4D8C">
        <w:rPr>
          <w:lang w:val="uk-UA"/>
        </w:rPr>
        <w:t xml:space="preserve">досі </w:t>
      </w:r>
      <w:r w:rsidRPr="00B85940">
        <w:rPr>
          <w:lang w:val="uk-UA"/>
        </w:rPr>
        <w:t xml:space="preserve">була </w:t>
      </w:r>
      <w:r w:rsidRPr="00B85940" w:rsidR="003C4D8C">
        <w:rPr>
          <w:lang w:val="uk-UA"/>
        </w:rPr>
        <w:t xml:space="preserve">зазначена </w:t>
      </w:r>
      <w:r w:rsidRPr="00B85940">
        <w:rPr>
          <w:lang w:val="uk-UA"/>
        </w:rPr>
        <w:t>власник</w:t>
      </w:r>
      <w:r w:rsidRPr="00B85940" w:rsidR="003C4D8C">
        <w:rPr>
          <w:lang w:val="uk-UA"/>
        </w:rPr>
        <w:t>ом відповідної</w:t>
      </w:r>
      <w:r w:rsidRPr="00B85940">
        <w:rPr>
          <w:lang w:val="uk-UA"/>
        </w:rPr>
        <w:t xml:space="preserve"> земельної ділянки</w:t>
      </w:r>
      <w:r w:rsidRPr="00B85940" w:rsidR="003C4D8C">
        <w:rPr>
          <w:lang w:val="uk-UA"/>
        </w:rPr>
        <w:t xml:space="preserve"> </w:t>
      </w:r>
      <w:r w:rsidRPr="00B85940">
        <w:rPr>
          <w:lang w:val="uk-UA"/>
        </w:rPr>
        <w:t>у відповідному державному реєстрі, і зем</w:t>
      </w:r>
      <w:r w:rsidRPr="00B85940" w:rsidR="003C4D8C">
        <w:rPr>
          <w:lang w:val="uk-UA"/>
        </w:rPr>
        <w:t>е</w:t>
      </w:r>
      <w:r w:rsidRPr="00B85940">
        <w:rPr>
          <w:lang w:val="uk-UA"/>
        </w:rPr>
        <w:t>л</w:t>
      </w:r>
      <w:r w:rsidRPr="00B85940" w:rsidR="003C4D8C">
        <w:rPr>
          <w:lang w:val="uk-UA"/>
        </w:rPr>
        <w:t xml:space="preserve">ьна ділянка </w:t>
      </w:r>
      <w:r w:rsidRPr="00B85940">
        <w:rPr>
          <w:lang w:val="uk-UA"/>
        </w:rPr>
        <w:t>не використовувалася державою чи «кимось іншим».</w:t>
      </w:r>
    </w:p>
    <w:p w:rsidRPr="00B85940" w:rsidR="003C4D8C" w:rsidP="00B85940" w14:paraId="7030F4DF" w14:textId="77777777">
      <w:pPr>
        <w:pStyle w:val="JuPara"/>
        <w:rPr>
          <w:lang w:val="uk-UA"/>
        </w:rPr>
      </w:pPr>
      <w:r w:rsidRPr="00B85940">
        <w:rPr>
          <w:lang w:val="uk-UA"/>
        </w:rPr>
        <w:t>32.  </w:t>
      </w:r>
      <w:r w:rsidRPr="00B85940">
        <w:rPr>
          <w:lang w:val="uk-UA"/>
        </w:rPr>
        <w:t>Насамкінець стосовно питання пропорційності заявниця зазначила, що її було позбавлено майна без будь-якого відшкодування шкоди, а оскільки земельну ділянку витребувала держава, саме держава мала надати таке відшкодування, а не попередні приватні власники.</w:t>
      </w:r>
    </w:p>
    <w:p w:rsidRPr="00B85940" w:rsidR="003C4D8C" w:rsidP="00B85940" w14:paraId="212EFFDB" w14:textId="74F47606">
      <w:pPr>
        <w:pStyle w:val="JuPara"/>
        <w:rPr>
          <w:lang w:val="uk-UA"/>
        </w:rPr>
      </w:pPr>
      <w:r w:rsidRPr="00B85940">
        <w:rPr>
          <w:lang w:val="uk-UA"/>
        </w:rPr>
        <w:t>33.  </w:t>
      </w:r>
      <w:r w:rsidRPr="00B85940">
        <w:rPr>
          <w:lang w:val="uk-UA"/>
        </w:rPr>
        <w:t>Уряд визнав, що мало місце втручання у майнові права заявни</w:t>
      </w:r>
      <w:r w:rsidRPr="00B85940" w:rsidR="000408C7">
        <w:rPr>
          <w:lang w:val="uk-UA"/>
        </w:rPr>
        <w:t>ці</w:t>
      </w:r>
      <w:r w:rsidRPr="00B85940">
        <w:rPr>
          <w:lang w:val="uk-UA"/>
        </w:rPr>
        <w:t xml:space="preserve">. Однак він вважав, що </w:t>
      </w:r>
      <w:r w:rsidRPr="00B85940" w:rsidR="000408C7">
        <w:rPr>
          <w:lang w:val="uk-UA"/>
        </w:rPr>
        <w:t>воно</w:t>
      </w:r>
      <w:r w:rsidRPr="00B85940">
        <w:rPr>
          <w:lang w:val="uk-UA"/>
        </w:rPr>
        <w:t xml:space="preserve"> відповідало критеріям, </w:t>
      </w:r>
      <w:r w:rsidRPr="00B85940" w:rsidR="000408C7">
        <w:rPr>
          <w:lang w:val="uk-UA"/>
        </w:rPr>
        <w:t xml:space="preserve">наведеним </w:t>
      </w:r>
      <w:r w:rsidRPr="00B85940">
        <w:rPr>
          <w:lang w:val="uk-UA"/>
        </w:rPr>
        <w:t>у другому пункті статті 1 П</w:t>
      </w:r>
      <w:r w:rsidRPr="00B85940" w:rsidR="000408C7">
        <w:rPr>
          <w:lang w:val="uk-UA"/>
        </w:rPr>
        <w:t>ершого п</w:t>
      </w:r>
      <w:r w:rsidRPr="00B85940">
        <w:rPr>
          <w:lang w:val="uk-UA"/>
        </w:rPr>
        <w:t xml:space="preserve">ротоколу </w:t>
      </w:r>
      <w:r w:rsidRPr="00B85940" w:rsidR="000408C7">
        <w:rPr>
          <w:lang w:val="uk-UA"/>
        </w:rPr>
        <w:t>до Конвенції</w:t>
      </w:r>
      <w:r w:rsidRPr="00B85940">
        <w:rPr>
          <w:lang w:val="uk-UA"/>
        </w:rPr>
        <w:t xml:space="preserve">. </w:t>
      </w:r>
      <w:r w:rsidRPr="00B85940" w:rsidR="000408C7">
        <w:rPr>
          <w:lang w:val="uk-UA"/>
        </w:rPr>
        <w:t>Стосовно</w:t>
      </w:r>
      <w:r w:rsidRPr="00B85940">
        <w:rPr>
          <w:lang w:val="uk-UA"/>
        </w:rPr>
        <w:t xml:space="preserve"> законності він стверджував, що національне законодавство передбача</w:t>
      </w:r>
      <w:r w:rsidRPr="00B85940" w:rsidR="000408C7">
        <w:rPr>
          <w:lang w:val="uk-UA"/>
        </w:rPr>
        <w:t>ло</w:t>
      </w:r>
      <w:r w:rsidRPr="00B85940">
        <w:rPr>
          <w:lang w:val="uk-UA"/>
        </w:rPr>
        <w:t xml:space="preserve"> можливість </w:t>
      </w:r>
      <w:r w:rsidRPr="00B85940" w:rsidR="000408C7">
        <w:rPr>
          <w:lang w:val="uk-UA"/>
        </w:rPr>
        <w:t>витребування</w:t>
      </w:r>
      <w:r w:rsidRPr="00B85940">
        <w:rPr>
          <w:lang w:val="uk-UA"/>
        </w:rPr>
        <w:t xml:space="preserve"> майна </w:t>
      </w:r>
      <w:r w:rsidRPr="00B85940" w:rsidR="00203D42">
        <w:rPr>
          <w:lang w:val="uk-UA"/>
        </w:rPr>
        <w:t xml:space="preserve">в </w:t>
      </w:r>
      <w:r w:rsidRPr="00B85940">
        <w:rPr>
          <w:lang w:val="uk-UA"/>
        </w:rPr>
        <w:t xml:space="preserve">особи, яка </w:t>
      </w:r>
      <w:r w:rsidRPr="00B85940" w:rsidR="000408C7">
        <w:rPr>
          <w:lang w:val="uk-UA"/>
        </w:rPr>
        <w:t>незаконно заволоділа ним</w:t>
      </w:r>
      <w:r w:rsidRPr="00B85940">
        <w:rPr>
          <w:lang w:val="uk-UA"/>
        </w:rPr>
        <w:t xml:space="preserve">, як це </w:t>
      </w:r>
      <w:r w:rsidRPr="00B85940" w:rsidR="000408C7">
        <w:rPr>
          <w:lang w:val="uk-UA"/>
        </w:rPr>
        <w:t xml:space="preserve">відбулося </w:t>
      </w:r>
      <w:r w:rsidRPr="00B85940" w:rsidR="00203D42">
        <w:rPr>
          <w:lang w:val="uk-UA"/>
        </w:rPr>
        <w:t>за обставин цієї</w:t>
      </w:r>
      <w:r w:rsidRPr="00B85940">
        <w:rPr>
          <w:lang w:val="uk-UA"/>
        </w:rPr>
        <w:t xml:space="preserve"> </w:t>
      </w:r>
      <w:r w:rsidRPr="00B85940" w:rsidR="00203D42">
        <w:rPr>
          <w:lang w:val="uk-UA"/>
        </w:rPr>
        <w:t>справи</w:t>
      </w:r>
      <w:r w:rsidRPr="00B85940">
        <w:rPr>
          <w:lang w:val="uk-UA"/>
        </w:rPr>
        <w:t xml:space="preserve">. </w:t>
      </w:r>
      <w:r w:rsidRPr="00B85940" w:rsidR="000408C7">
        <w:rPr>
          <w:lang w:val="uk-UA"/>
        </w:rPr>
        <w:t>Уряд</w:t>
      </w:r>
      <w:r w:rsidRPr="00B85940">
        <w:rPr>
          <w:lang w:val="uk-UA"/>
        </w:rPr>
        <w:t xml:space="preserve"> не з</w:t>
      </w:r>
      <w:r w:rsidRPr="00B85940" w:rsidR="000408C7">
        <w:rPr>
          <w:lang w:val="uk-UA"/>
        </w:rPr>
        <w:t xml:space="preserve">азначив </w:t>
      </w:r>
      <w:r w:rsidRPr="00B85940">
        <w:rPr>
          <w:lang w:val="uk-UA"/>
        </w:rPr>
        <w:t xml:space="preserve">конкретних положень </w:t>
      </w:r>
      <w:r w:rsidRPr="00B85940" w:rsidR="000408C7">
        <w:rPr>
          <w:lang w:val="uk-UA"/>
        </w:rPr>
        <w:t>законодавства у зв</w:t>
      </w:r>
      <w:r w:rsidRPr="00B85940" w:rsidR="00B85940">
        <w:rPr>
          <w:lang w:val="uk-UA"/>
        </w:rPr>
        <w:t>’</w:t>
      </w:r>
      <w:r w:rsidRPr="00B85940" w:rsidR="000408C7">
        <w:rPr>
          <w:lang w:val="uk-UA"/>
        </w:rPr>
        <w:t>язку з цим</w:t>
      </w:r>
      <w:r w:rsidRPr="00B85940">
        <w:rPr>
          <w:lang w:val="uk-UA"/>
        </w:rPr>
        <w:t>.</w:t>
      </w:r>
    </w:p>
    <w:p w:rsidRPr="00B85940" w:rsidR="000408C7" w:rsidP="00B85940" w14:paraId="231A3D51" w14:textId="77777777">
      <w:pPr>
        <w:pStyle w:val="JuPara"/>
        <w:rPr>
          <w:lang w:val="uk-UA"/>
        </w:rPr>
      </w:pPr>
      <w:r w:rsidRPr="00B85940">
        <w:rPr>
          <w:lang w:val="uk-UA"/>
        </w:rPr>
        <w:t>34.  </w:t>
      </w:r>
      <w:r w:rsidRPr="00B85940">
        <w:rPr>
          <w:lang w:val="uk-UA"/>
        </w:rPr>
        <w:t xml:space="preserve">Стосовно </w:t>
      </w:r>
      <w:r w:rsidRPr="00B85940" w:rsidR="00203D42">
        <w:rPr>
          <w:lang w:val="uk-UA"/>
        </w:rPr>
        <w:t xml:space="preserve">суспільного </w:t>
      </w:r>
      <w:r w:rsidRPr="00B85940">
        <w:rPr>
          <w:lang w:val="uk-UA"/>
        </w:rPr>
        <w:t xml:space="preserve">інтересу Уряд доводив, що витребування земельної ділянки відповідало інтересам верховенства права та суспільства в цілому, оскільки згідно з Конституцією України земля </w:t>
      </w:r>
      <w:r w:rsidRPr="00B85940" w:rsidR="00203D42">
        <w:rPr>
          <w:lang w:val="uk-UA"/>
        </w:rPr>
        <w:t xml:space="preserve">була </w:t>
      </w:r>
      <w:r w:rsidRPr="00B85940">
        <w:rPr>
          <w:lang w:val="uk-UA"/>
        </w:rPr>
        <w:t xml:space="preserve">власністю народу України. Стосовно пропорційності Уряд підтримав свою позицію </w:t>
      </w:r>
      <w:r w:rsidRPr="00B85940" w:rsidR="00203D42">
        <w:rPr>
          <w:lang w:val="uk-UA"/>
        </w:rPr>
        <w:t>про наявність у заявниці</w:t>
      </w:r>
      <w:r w:rsidRPr="00B85940">
        <w:rPr>
          <w:lang w:val="uk-UA"/>
        </w:rPr>
        <w:t xml:space="preserve"> можливості вимагати відшкодування шкоди, як </w:t>
      </w:r>
      <w:r w:rsidRPr="00B85940" w:rsidR="00203D42">
        <w:rPr>
          <w:lang w:val="uk-UA"/>
        </w:rPr>
        <w:t xml:space="preserve">було </w:t>
      </w:r>
      <w:r w:rsidRPr="00B85940">
        <w:rPr>
          <w:lang w:val="uk-UA"/>
        </w:rPr>
        <w:t>описано в пункті щодо прийнятності (див. пункт 24).</w:t>
      </w:r>
    </w:p>
    <w:p w:rsidRPr="00B85940" w:rsidR="00862459" w:rsidP="00B85940" w14:paraId="40AF0E37" w14:textId="77777777">
      <w:pPr>
        <w:pStyle w:val="JuH1"/>
        <w:rPr>
          <w:lang w:val="uk-UA"/>
        </w:rPr>
      </w:pPr>
      <w:r w:rsidRPr="00B85940">
        <w:rPr>
          <w:lang w:val="uk-UA"/>
        </w:rPr>
        <w:t>Оцінка Суду</w:t>
      </w:r>
    </w:p>
    <w:p w:rsidRPr="00B85940" w:rsidR="000408C7" w:rsidP="00B85940" w14:paraId="16C119E4" w14:textId="77777777">
      <w:pPr>
        <w:pStyle w:val="JuPara"/>
        <w:rPr>
          <w:lang w:val="uk-UA"/>
        </w:rPr>
      </w:pPr>
      <w:r w:rsidRPr="00B85940">
        <w:rPr>
          <w:lang w:val="uk-UA"/>
        </w:rPr>
        <w:t xml:space="preserve">35.  Суд вважає, що у цій справі мало місце втручання у </w:t>
      </w:r>
      <w:r w:rsidRPr="00B85940" w:rsidR="00230FEF">
        <w:rPr>
          <w:lang w:val="uk-UA"/>
        </w:rPr>
        <w:t xml:space="preserve">майнові права </w:t>
      </w:r>
      <w:r w:rsidRPr="00B85940">
        <w:rPr>
          <w:lang w:val="uk-UA"/>
        </w:rPr>
        <w:t xml:space="preserve">заявниці, </w:t>
      </w:r>
      <w:r w:rsidRPr="00B85940" w:rsidR="00230FEF">
        <w:rPr>
          <w:lang w:val="uk-UA"/>
        </w:rPr>
        <w:t>оскільки</w:t>
      </w:r>
      <w:r w:rsidRPr="00B85940">
        <w:rPr>
          <w:lang w:val="uk-UA"/>
        </w:rPr>
        <w:t xml:space="preserve"> її право власності було визнано недійсним остаточн</w:t>
      </w:r>
      <w:r w:rsidRPr="00B85940" w:rsidR="00230FEF">
        <w:rPr>
          <w:lang w:val="uk-UA"/>
        </w:rPr>
        <w:t>ою</w:t>
      </w:r>
      <w:r w:rsidRPr="00B85940">
        <w:rPr>
          <w:lang w:val="uk-UA"/>
        </w:rPr>
        <w:t xml:space="preserve"> </w:t>
      </w:r>
      <w:r w:rsidRPr="00B85940" w:rsidR="00230FEF">
        <w:rPr>
          <w:lang w:val="uk-UA"/>
        </w:rPr>
        <w:t xml:space="preserve">ухвалою </w:t>
      </w:r>
      <w:r w:rsidRPr="00B85940">
        <w:rPr>
          <w:lang w:val="uk-UA"/>
        </w:rPr>
        <w:t xml:space="preserve">суду. </w:t>
      </w:r>
      <w:r w:rsidRPr="00B85940" w:rsidR="007E62CA">
        <w:rPr>
          <w:lang w:val="uk-UA"/>
        </w:rPr>
        <w:t>Той ф</w:t>
      </w:r>
      <w:r w:rsidRPr="00B85940">
        <w:rPr>
          <w:lang w:val="uk-UA"/>
        </w:rPr>
        <w:t xml:space="preserve">акт, що вона, </w:t>
      </w:r>
      <w:r w:rsidRPr="00B85940" w:rsidR="00230FEF">
        <w:rPr>
          <w:lang w:val="uk-UA"/>
        </w:rPr>
        <w:t>в</w:t>
      </w:r>
      <w:r w:rsidRPr="00B85940">
        <w:rPr>
          <w:lang w:val="uk-UA"/>
        </w:rPr>
        <w:t>очевид</w:t>
      </w:r>
      <w:r w:rsidRPr="00B85940" w:rsidR="00230FEF">
        <w:rPr>
          <w:lang w:val="uk-UA"/>
        </w:rPr>
        <w:t>ь</w:t>
      </w:r>
      <w:r w:rsidRPr="00B85940">
        <w:rPr>
          <w:lang w:val="uk-UA"/>
        </w:rPr>
        <w:t xml:space="preserve">, залишалася зареєстрованою власницею </w:t>
      </w:r>
      <w:r w:rsidRPr="00B85940" w:rsidR="00230FEF">
        <w:rPr>
          <w:lang w:val="uk-UA"/>
        </w:rPr>
        <w:t xml:space="preserve">відповідної </w:t>
      </w:r>
      <w:r w:rsidRPr="00B85940">
        <w:rPr>
          <w:lang w:val="uk-UA"/>
        </w:rPr>
        <w:t xml:space="preserve">земельної ділянки не впливає на зазначений висновок, </w:t>
      </w:r>
      <w:r w:rsidRPr="00B85940" w:rsidR="00923DA4">
        <w:rPr>
          <w:lang w:val="uk-UA"/>
        </w:rPr>
        <w:t xml:space="preserve">оскільки </w:t>
      </w:r>
      <w:r w:rsidRPr="00B85940">
        <w:rPr>
          <w:lang w:val="uk-UA"/>
        </w:rPr>
        <w:t xml:space="preserve">така реєстрація без належної </w:t>
      </w:r>
      <w:r w:rsidRPr="00B85940" w:rsidR="00230FEF">
        <w:rPr>
          <w:lang w:val="uk-UA"/>
        </w:rPr>
        <w:t>правової</w:t>
      </w:r>
      <w:r w:rsidRPr="00B85940">
        <w:rPr>
          <w:lang w:val="uk-UA"/>
        </w:rPr>
        <w:t xml:space="preserve"> підстави не мо</w:t>
      </w:r>
      <w:r w:rsidRPr="00B85940" w:rsidR="00230FEF">
        <w:rPr>
          <w:lang w:val="uk-UA"/>
        </w:rPr>
        <w:t xml:space="preserve">гла </w:t>
      </w:r>
      <w:r w:rsidRPr="00B85940">
        <w:rPr>
          <w:lang w:val="uk-UA"/>
        </w:rPr>
        <w:t xml:space="preserve">розглядатися як надання будь-яких майнових прав. </w:t>
      </w:r>
      <w:r w:rsidRPr="00B85940" w:rsidR="00B95971">
        <w:rPr>
          <w:lang w:val="uk-UA"/>
        </w:rPr>
        <w:t xml:space="preserve">Незалежно від того, чи розглядається це як позбавлення майна або контроль за </w:t>
      </w:r>
      <w:r w:rsidRPr="00B85940" w:rsidR="00923DA4">
        <w:rPr>
          <w:lang w:val="uk-UA"/>
        </w:rPr>
        <w:t>використання майна</w:t>
      </w:r>
      <w:r w:rsidRPr="00B85940" w:rsidR="00B95971">
        <w:rPr>
          <w:lang w:val="uk-UA"/>
        </w:rPr>
        <w:t xml:space="preserve">, застосовні принципи залишаються такими ж </w:t>
      </w:r>
      <w:r w:rsidRPr="00B85940">
        <w:rPr>
          <w:lang w:val="uk-UA"/>
        </w:rPr>
        <w:t xml:space="preserve">(див., наприклад, </w:t>
      </w:r>
      <w:r w:rsidRPr="00B85940" w:rsidR="00230FEF">
        <w:rPr>
          <w:lang w:val="uk-UA"/>
        </w:rPr>
        <w:t xml:space="preserve">рішення у справах «Унспед Пакет Сервісі СаН. Ве ТіК. А.С. проти Болгарії» </w:t>
      </w:r>
      <w:r w:rsidRPr="00B85940" w:rsidR="00230FEF">
        <w:rPr>
          <w:i/>
          <w:iCs/>
          <w:lang w:val="uk-UA"/>
        </w:rPr>
        <w:t>(Ünsped Paket Servisi SaN. Ve TiC. A.Ş. v. Bulgaria),</w:t>
      </w:r>
      <w:r w:rsidRPr="00B85940" w:rsidR="00230FEF">
        <w:rPr>
          <w:lang w:val="uk-UA"/>
        </w:rPr>
        <w:t xml:space="preserve"> заява № 3503/08, пункти 39 і 40, від 13 жовтня 2015 року та «Кривенький проти </w:t>
      </w:r>
      <w:r w:rsidRPr="00B85940">
        <w:rPr>
          <w:lang w:val="uk-UA"/>
        </w:rPr>
        <w:t>України</w:t>
      </w:r>
      <w:r w:rsidRPr="00B85940" w:rsidR="00230FEF">
        <w:rPr>
          <w:lang w:val="uk-UA"/>
        </w:rPr>
        <w:t xml:space="preserve">» </w:t>
      </w:r>
      <w:r w:rsidRPr="00B85940" w:rsidR="00230FEF">
        <w:rPr>
          <w:i/>
          <w:iCs/>
          <w:lang w:val="uk-UA"/>
        </w:rPr>
        <w:t>(Kryvenkyy v. Ukraine)</w:t>
      </w:r>
      <w:r w:rsidRPr="00B85940">
        <w:rPr>
          <w:lang w:val="uk-UA"/>
        </w:rPr>
        <w:t xml:space="preserve">, </w:t>
      </w:r>
      <w:r w:rsidRPr="00B85940" w:rsidR="00230FEF">
        <w:rPr>
          <w:lang w:val="uk-UA"/>
        </w:rPr>
        <w:t xml:space="preserve">заява </w:t>
      </w:r>
      <w:r w:rsidRPr="00B85940">
        <w:rPr>
          <w:lang w:val="uk-UA"/>
        </w:rPr>
        <w:t>№</w:t>
      </w:r>
      <w:r w:rsidRPr="00B85940" w:rsidR="00230FEF">
        <w:rPr>
          <w:lang w:val="uk-UA"/>
        </w:rPr>
        <w:t> </w:t>
      </w:r>
      <w:r w:rsidRPr="00B85940">
        <w:rPr>
          <w:lang w:val="uk-UA"/>
        </w:rPr>
        <w:t xml:space="preserve">43768/07, </w:t>
      </w:r>
      <w:r w:rsidRPr="00B85940" w:rsidR="00230FEF">
        <w:rPr>
          <w:lang w:val="uk-UA"/>
        </w:rPr>
        <w:t>пункти</w:t>
      </w:r>
      <w:r w:rsidRPr="00B85940">
        <w:rPr>
          <w:lang w:val="uk-UA"/>
        </w:rPr>
        <w:t xml:space="preserve"> 41</w:t>
      </w:r>
      <w:r w:rsidRPr="00B85940" w:rsidR="00230FEF">
        <w:rPr>
          <w:lang w:val="uk-UA"/>
        </w:rPr>
        <w:t xml:space="preserve">, </w:t>
      </w:r>
      <w:r w:rsidRPr="00B85940">
        <w:rPr>
          <w:lang w:val="uk-UA"/>
        </w:rPr>
        <w:t xml:space="preserve">42 </w:t>
      </w:r>
      <w:r w:rsidRPr="00B85940" w:rsidR="00230FEF">
        <w:rPr>
          <w:lang w:val="uk-UA"/>
        </w:rPr>
        <w:t>і</w:t>
      </w:r>
      <w:r w:rsidRPr="00B85940">
        <w:rPr>
          <w:lang w:val="uk-UA"/>
        </w:rPr>
        <w:t xml:space="preserve"> 45,</w:t>
      </w:r>
      <w:r w:rsidRPr="00B85940" w:rsidR="00230FEF">
        <w:rPr>
          <w:lang w:val="uk-UA"/>
        </w:rPr>
        <w:t xml:space="preserve"> від</w:t>
      </w:r>
      <w:r w:rsidRPr="00B85940">
        <w:rPr>
          <w:lang w:val="uk-UA"/>
        </w:rPr>
        <w:t xml:space="preserve"> </w:t>
      </w:r>
      <w:r w:rsidRPr="00B85940" w:rsidR="002952EA">
        <w:rPr>
          <w:lang w:val="uk-UA"/>
        </w:rPr>
        <w:t>16 </w:t>
      </w:r>
      <w:r w:rsidRPr="00B85940">
        <w:rPr>
          <w:lang w:val="uk-UA"/>
        </w:rPr>
        <w:t xml:space="preserve">лютого 2017 року). </w:t>
      </w:r>
      <w:r w:rsidRPr="00B85940" w:rsidR="00B95971">
        <w:rPr>
          <w:lang w:val="uk-UA"/>
        </w:rPr>
        <w:t xml:space="preserve">Тому Суд розгляне, чи було втручання законним, чи здійснювалося воно в інтересах суспільства та чи було </w:t>
      </w:r>
      <w:r w:rsidRPr="00B85940" w:rsidR="00923DA4">
        <w:rPr>
          <w:lang w:val="uk-UA"/>
        </w:rPr>
        <w:t xml:space="preserve">воно </w:t>
      </w:r>
      <w:r w:rsidRPr="00B85940" w:rsidR="00B95971">
        <w:rPr>
          <w:lang w:val="uk-UA"/>
        </w:rPr>
        <w:t>пропорційним.</w:t>
      </w:r>
    </w:p>
    <w:p w:rsidRPr="00B85940" w:rsidR="00B95971" w:rsidP="00B85940" w14:paraId="090B055E" w14:textId="77777777">
      <w:pPr>
        <w:pStyle w:val="JuPara"/>
        <w:rPr>
          <w:lang w:val="uk-UA"/>
        </w:rPr>
      </w:pPr>
      <w:r w:rsidRPr="00B85940">
        <w:rPr>
          <w:lang w:val="uk-UA"/>
        </w:rPr>
        <w:t>36.  </w:t>
      </w:r>
      <w:r w:rsidRPr="00B85940">
        <w:rPr>
          <w:lang w:val="uk-UA"/>
        </w:rPr>
        <w:t>Стосовно питання законності Суд зауважує, що подаючи позов у 2014 році прокурор посилався на статті 387 та 388 Цивільного кодексу України, не уточнивши їхніх частин. У своїх рішеннях національні суди посилалися на статтю 387 та, зокрема, на частину третю статті 388, як на підставу для задоволення позову прокурора про визнання права власності заявниці недійсним (див. пункт 15).</w:t>
      </w:r>
    </w:p>
    <w:p w:rsidRPr="00B85940" w:rsidR="00152976" w:rsidP="00B85940" w14:paraId="06D989D8" w14:textId="39BF1984">
      <w:pPr>
        <w:pStyle w:val="JuPara"/>
        <w:rPr>
          <w:lang w:val="uk-UA"/>
        </w:rPr>
      </w:pPr>
      <w:r w:rsidRPr="00B85940">
        <w:rPr>
          <w:lang w:val="uk-UA"/>
        </w:rPr>
        <w:t>37.  </w:t>
      </w:r>
      <w:r w:rsidRPr="00B85940" w:rsidR="00B95971">
        <w:rPr>
          <w:lang w:val="uk-UA"/>
        </w:rPr>
        <w:t xml:space="preserve">Стосовно першого положення, яке стосувалося ситуацій незаконного заволодіння майном, Суд зазначає, що не оскаржувалося, що заявниця придбала відповідну землю </w:t>
      </w:r>
      <w:r w:rsidRPr="00B85940" w:rsidR="00D975A8">
        <w:rPr>
          <w:lang w:val="uk-UA"/>
        </w:rPr>
        <w:t xml:space="preserve">згідно з </w:t>
      </w:r>
      <w:r w:rsidRPr="00B85940" w:rsidR="00B95971">
        <w:rPr>
          <w:lang w:val="uk-UA"/>
        </w:rPr>
        <w:t>декількома договорами купівлі-продажу та зареєструвала право власності на об</w:t>
      </w:r>
      <w:r w:rsidRPr="00B85940" w:rsidR="00B85940">
        <w:rPr>
          <w:lang w:val="uk-UA"/>
        </w:rPr>
        <w:t>’</w:t>
      </w:r>
      <w:r w:rsidRPr="00B85940" w:rsidR="00B95971">
        <w:rPr>
          <w:lang w:val="uk-UA"/>
        </w:rPr>
        <w:t xml:space="preserve">єднану земельну ділянку у компетентних органах державної влади. Суд враховує особливу ситуацію навколо купівлі землі заявницею, оскільки, </w:t>
      </w:r>
      <w:r w:rsidRPr="00B85940" w:rsidR="00314F89">
        <w:rPr>
          <w:lang w:val="uk-UA"/>
        </w:rPr>
        <w:t>в</w:t>
      </w:r>
      <w:r w:rsidRPr="00B85940" w:rsidR="00B95971">
        <w:rPr>
          <w:lang w:val="uk-UA"/>
        </w:rPr>
        <w:t>очевид</w:t>
      </w:r>
      <w:r w:rsidRPr="00B85940" w:rsidR="00314F89">
        <w:rPr>
          <w:lang w:val="uk-UA"/>
        </w:rPr>
        <w:t>ь</w:t>
      </w:r>
      <w:r w:rsidRPr="00B85940" w:rsidR="00B95971">
        <w:rPr>
          <w:lang w:val="uk-UA"/>
        </w:rPr>
        <w:t xml:space="preserve">, вона придбала приблизно в той </w:t>
      </w:r>
      <w:r w:rsidRPr="00B85940" w:rsidR="00314F89">
        <w:rPr>
          <w:lang w:val="uk-UA"/>
        </w:rPr>
        <w:t xml:space="preserve">самий період </w:t>
      </w:r>
      <w:r w:rsidRPr="00B85940" w:rsidR="00B95971">
        <w:rPr>
          <w:lang w:val="uk-UA"/>
        </w:rPr>
        <w:t xml:space="preserve">значну кількість менших земельних ділянок в тій самій місцевості, а пізніше </w:t>
      </w:r>
      <w:r w:rsidRPr="00B85940" w:rsidR="00314F89">
        <w:rPr>
          <w:lang w:val="uk-UA"/>
        </w:rPr>
        <w:t>об</w:t>
      </w:r>
      <w:r w:rsidRPr="00B85940" w:rsidR="00B85940">
        <w:rPr>
          <w:lang w:val="uk-UA"/>
        </w:rPr>
        <w:t>’</w:t>
      </w:r>
      <w:r w:rsidRPr="00B85940" w:rsidR="00314F89">
        <w:rPr>
          <w:lang w:val="uk-UA"/>
        </w:rPr>
        <w:t>єднала їх</w:t>
      </w:r>
      <w:r w:rsidRPr="00B85940" w:rsidR="00B95971">
        <w:rPr>
          <w:lang w:val="uk-UA"/>
        </w:rPr>
        <w:t xml:space="preserve"> </w:t>
      </w:r>
      <w:r w:rsidRPr="00B85940" w:rsidR="00314F89">
        <w:rPr>
          <w:lang w:val="uk-UA"/>
        </w:rPr>
        <w:t>у</w:t>
      </w:r>
      <w:r w:rsidRPr="00B85940" w:rsidR="00B95971">
        <w:rPr>
          <w:lang w:val="uk-UA"/>
        </w:rPr>
        <w:t xml:space="preserve"> </w:t>
      </w:r>
      <w:r w:rsidRPr="00B85940" w:rsidR="00314F89">
        <w:rPr>
          <w:lang w:val="uk-UA"/>
        </w:rPr>
        <w:t>де</w:t>
      </w:r>
      <w:r w:rsidRPr="00B85940" w:rsidR="00B95971">
        <w:rPr>
          <w:lang w:val="uk-UA"/>
        </w:rPr>
        <w:t>кілька більших ділянок (див. пункти 6 і 16).</w:t>
      </w:r>
      <w:r w:rsidRPr="00B85940" w:rsidR="00314F89">
        <w:rPr>
          <w:lang w:val="uk-UA"/>
        </w:rPr>
        <w:t xml:space="preserve"> Хоча, згідно з версією подій прокурора, деякі з первісних власників ніколи самі не зверталися до органів державної влади із заявою про приватизацію землі, а треті сторони діяли шахрайським шляхом, представляючи їх, за відсутності висновку компетентного національного суду у зв</w:t>
      </w:r>
      <w:r w:rsidRPr="00B85940" w:rsidR="00B85940">
        <w:rPr>
          <w:lang w:val="uk-UA"/>
        </w:rPr>
        <w:t>’</w:t>
      </w:r>
      <w:r w:rsidRPr="00B85940" w:rsidR="00314F89">
        <w:rPr>
          <w:lang w:val="uk-UA"/>
        </w:rPr>
        <w:t>язку з цим або іншої переконливої інформації та документів, Суд не може робити припущення, чи мала заявниця знати про пов</w:t>
      </w:r>
      <w:r w:rsidRPr="00B85940" w:rsidR="00B85940">
        <w:rPr>
          <w:lang w:val="uk-UA"/>
        </w:rPr>
        <w:t>’</w:t>
      </w:r>
      <w:r w:rsidRPr="00B85940" w:rsidR="00314F89">
        <w:rPr>
          <w:lang w:val="uk-UA"/>
        </w:rPr>
        <w:t xml:space="preserve">язані з цим порушення під час придбання відповідної землі (див. для порівняння ухвалу щодо прийнятності у справі </w:t>
      </w:r>
      <w:r w:rsidRPr="00B85940">
        <w:rPr>
          <w:lang w:val="uk-UA"/>
        </w:rPr>
        <w:t xml:space="preserve">«Василевська проти України» </w:t>
      </w:r>
      <w:r w:rsidRPr="00B85940">
        <w:rPr>
          <w:i/>
          <w:iCs/>
          <w:lang w:val="uk-UA"/>
        </w:rPr>
        <w:t>(Vasylevska v. Ukraine)</w:t>
      </w:r>
      <w:r w:rsidRPr="00B85940">
        <w:rPr>
          <w:lang w:val="uk-UA"/>
        </w:rPr>
        <w:t xml:space="preserve">, заява № 37919/15, пункт 20, від 04 липня 2024 року). Крім того, відповідні національні органи влади ніколи не вважали, що заявниця діяла недобросовісно або могла бути причетна до будь-яких правопорушень (див. рішення у справах «Бейнарович та інші проти Литви» </w:t>
      </w:r>
      <w:r w:rsidRPr="00B85940">
        <w:rPr>
          <w:i/>
          <w:iCs/>
          <w:lang w:val="uk-UA"/>
        </w:rPr>
        <w:t>(Beinarovič and Others v. Lithuania)</w:t>
      </w:r>
      <w:r w:rsidRPr="00B85940">
        <w:rPr>
          <w:lang w:val="uk-UA"/>
        </w:rPr>
        <w:t xml:space="preserve">, заява № 70520/10 та 2 інші заяви, пункт 144, від 12 червня 2018 року та «Надточій проти України» [Комітет] </w:t>
      </w:r>
      <w:r w:rsidRPr="00B85940">
        <w:rPr>
          <w:i/>
          <w:iCs/>
          <w:lang w:val="uk-UA"/>
        </w:rPr>
        <w:t>(Nadtochiy v. Ukraine)</w:t>
      </w:r>
      <w:r w:rsidRPr="00B85940">
        <w:rPr>
          <w:lang w:val="uk-UA"/>
        </w:rPr>
        <w:t xml:space="preserve"> [Committee], заява № 32899/13, пункти 5 і 12, від 20 вересня 2022 року). У зв</w:t>
      </w:r>
      <w:r w:rsidRPr="00B85940" w:rsidR="00B85940">
        <w:rPr>
          <w:lang w:val="uk-UA"/>
        </w:rPr>
        <w:t>’</w:t>
      </w:r>
      <w:r w:rsidRPr="00B85940">
        <w:rPr>
          <w:lang w:val="uk-UA"/>
        </w:rPr>
        <w:t xml:space="preserve">язку з цим Суд </w:t>
      </w:r>
      <w:r w:rsidRPr="00B85940" w:rsidR="00E15A16">
        <w:rPr>
          <w:lang w:val="uk-UA"/>
        </w:rPr>
        <w:t xml:space="preserve">вказує на </w:t>
      </w:r>
      <w:r w:rsidRPr="00B85940">
        <w:rPr>
          <w:lang w:val="uk-UA"/>
        </w:rPr>
        <w:t>висновки Верховного Суду у справі № 360/625/16-ц (див. пункт 16) щодо інших земельних ділянок заявниці, що заявниця не мала жодного відношення до незаконності первинного виділення земельних ділянок у 2008 році. Уряд також не припускав, що заявниця була якимось чином причетна до ситуації навколо виділення відповідних земельних ділянок. З огляду на ці факти, вбачається, що підстави для застосування статті 387 Цивільного кодексу України в такому випадку були явно відсутні.</w:t>
      </w:r>
    </w:p>
    <w:p w:rsidRPr="00B85940" w:rsidR="00152976" w:rsidP="00B85940" w14:paraId="6289DAC4" w14:textId="77777777">
      <w:pPr>
        <w:pStyle w:val="JuPara"/>
        <w:rPr>
          <w:lang w:val="uk-UA"/>
        </w:rPr>
      </w:pPr>
      <w:r w:rsidRPr="00B85940">
        <w:rPr>
          <w:lang w:val="uk-UA"/>
        </w:rPr>
        <w:t>38.  </w:t>
      </w:r>
      <w:r w:rsidRPr="00B85940">
        <w:rPr>
          <w:lang w:val="uk-UA"/>
        </w:rPr>
        <w:t xml:space="preserve">Стосовно частини третьої статті 388, яка стосувалася витребування майна </w:t>
      </w:r>
      <w:r w:rsidRPr="00B85940" w:rsidR="002952EA">
        <w:rPr>
          <w:lang w:val="uk-UA"/>
        </w:rPr>
        <w:t xml:space="preserve">у </w:t>
      </w:r>
      <w:r w:rsidRPr="00B85940">
        <w:rPr>
          <w:lang w:val="uk-UA"/>
        </w:rPr>
        <w:t xml:space="preserve">добросовісного набувача, який отримав це майно безвідплатно від особи, яка не мала права його відчужувати, Суд погоджується з аргументом заявниці, що її застосовність була так само явно сумнівною, оскільки заявниця </w:t>
      </w:r>
      <w:r w:rsidRPr="00B85940" w:rsidR="00E15A16">
        <w:rPr>
          <w:lang w:val="uk-UA"/>
        </w:rPr>
        <w:t xml:space="preserve">однозначно </w:t>
      </w:r>
      <w:r w:rsidRPr="00B85940">
        <w:rPr>
          <w:lang w:val="uk-UA"/>
        </w:rPr>
        <w:t>придбала відповідну землю за договорами купівлі-продажу, тобто не без</w:t>
      </w:r>
      <w:r w:rsidRPr="00B85940" w:rsidR="008210DB">
        <w:rPr>
          <w:lang w:val="uk-UA"/>
        </w:rPr>
        <w:t>відплатно</w:t>
      </w:r>
      <w:r w:rsidRPr="00B85940">
        <w:rPr>
          <w:lang w:val="uk-UA"/>
        </w:rPr>
        <w:t>, як зазначено в цьому положенні. Національні суди не з</w:t>
      </w:r>
      <w:r w:rsidRPr="00B85940" w:rsidR="00D45D6B">
        <w:rPr>
          <w:lang w:val="uk-UA"/>
        </w:rPr>
        <w:t xml:space="preserve">азначали </w:t>
      </w:r>
      <w:r w:rsidRPr="00B85940">
        <w:rPr>
          <w:lang w:val="uk-UA"/>
        </w:rPr>
        <w:t xml:space="preserve">інших </w:t>
      </w:r>
      <w:r w:rsidRPr="00B85940" w:rsidR="00D45D6B">
        <w:rPr>
          <w:lang w:val="uk-UA"/>
        </w:rPr>
        <w:t>частин</w:t>
      </w:r>
      <w:r w:rsidRPr="00B85940">
        <w:rPr>
          <w:lang w:val="uk-UA"/>
        </w:rPr>
        <w:t xml:space="preserve"> цієї статті, які могли б слугувати підставою для визнання права власності заявни</w:t>
      </w:r>
      <w:r w:rsidRPr="00B85940" w:rsidR="00D45D6B">
        <w:rPr>
          <w:lang w:val="uk-UA"/>
        </w:rPr>
        <w:t>ці</w:t>
      </w:r>
      <w:r w:rsidRPr="00B85940">
        <w:rPr>
          <w:lang w:val="uk-UA"/>
        </w:rPr>
        <w:t xml:space="preserve"> недійсним.</w:t>
      </w:r>
    </w:p>
    <w:p w:rsidRPr="00B85940" w:rsidR="00D45D6B" w:rsidP="00B85940" w14:paraId="5D9A6CFD" w14:textId="5ED9161E">
      <w:pPr>
        <w:pStyle w:val="JuPara"/>
        <w:rPr>
          <w:lang w:val="uk-UA"/>
        </w:rPr>
      </w:pPr>
      <w:r w:rsidRPr="00B85940">
        <w:rPr>
          <w:lang w:val="uk-UA"/>
        </w:rPr>
        <w:t>39.  </w:t>
      </w:r>
      <w:r w:rsidRPr="00B85940">
        <w:rPr>
          <w:lang w:val="uk-UA"/>
        </w:rPr>
        <w:t>У зв</w:t>
      </w:r>
      <w:r w:rsidRPr="00B85940" w:rsidR="00B85940">
        <w:rPr>
          <w:lang w:val="uk-UA"/>
        </w:rPr>
        <w:t>’</w:t>
      </w:r>
      <w:r w:rsidRPr="00B85940">
        <w:rPr>
          <w:lang w:val="uk-UA"/>
        </w:rPr>
        <w:t xml:space="preserve">язку з цим Суд також зазначає, що </w:t>
      </w:r>
      <w:r w:rsidRPr="00B85940" w:rsidR="00E15A16">
        <w:rPr>
          <w:lang w:val="uk-UA"/>
        </w:rPr>
        <w:t>під час</w:t>
      </w:r>
      <w:r w:rsidRPr="00B85940">
        <w:rPr>
          <w:lang w:val="uk-UA"/>
        </w:rPr>
        <w:t xml:space="preserve"> провадження</w:t>
      </w:r>
      <w:r w:rsidRPr="00B85940" w:rsidR="00E15A16">
        <w:rPr>
          <w:lang w:val="uk-UA"/>
        </w:rPr>
        <w:t xml:space="preserve"> на національному рівні</w:t>
      </w:r>
      <w:r w:rsidRPr="00B85940">
        <w:rPr>
          <w:lang w:val="uk-UA"/>
        </w:rPr>
        <w:t xml:space="preserve"> заявниця стверджувала, що жодна з підстав </w:t>
      </w:r>
      <w:r w:rsidRPr="00B85940" w:rsidR="00E15A16">
        <w:rPr>
          <w:lang w:val="uk-UA"/>
        </w:rPr>
        <w:t xml:space="preserve">визнання недійсним </w:t>
      </w:r>
      <w:r w:rsidRPr="00B85940">
        <w:rPr>
          <w:lang w:val="uk-UA"/>
        </w:rPr>
        <w:t>права власності на земельну ділянку, як вичерпно передбачено статтею 140 Земельного кодексу України, не була застосовною до її справи (див. пункти 14 і 22). Як вбачається</w:t>
      </w:r>
      <w:r w:rsidRPr="00B85940" w:rsidR="00E15A16">
        <w:rPr>
          <w:lang w:val="uk-UA"/>
        </w:rPr>
        <w:t>,</w:t>
      </w:r>
      <w:r w:rsidRPr="00B85940">
        <w:rPr>
          <w:lang w:val="uk-UA"/>
        </w:rPr>
        <w:t xml:space="preserve"> суди залишили цей аргумент без будь-якої відповіді. Уряд також не надав пояснень у зв</w:t>
      </w:r>
      <w:r w:rsidRPr="00B85940" w:rsidR="00B85940">
        <w:rPr>
          <w:lang w:val="uk-UA"/>
        </w:rPr>
        <w:t>’</w:t>
      </w:r>
      <w:r w:rsidRPr="00B85940">
        <w:rPr>
          <w:lang w:val="uk-UA"/>
        </w:rPr>
        <w:t xml:space="preserve">язку з цим. Суд зауважує, що він вже розглядав подібну ситуацію в рішенні у справі «Дроздик та Мікула проти України» </w:t>
      </w:r>
      <w:r w:rsidRPr="00B85940">
        <w:rPr>
          <w:i/>
          <w:iCs/>
          <w:lang w:val="uk-UA"/>
        </w:rPr>
        <w:t>(Drozdyk and Mikula v. Ukraine),</w:t>
      </w:r>
      <w:r w:rsidRPr="00B85940">
        <w:rPr>
          <w:lang w:val="uk-UA"/>
        </w:rPr>
        <w:t xml:space="preserve"> заяви № 27849/15 і № 33358/15, пункти 44 і 47, від 24 жовтня 2024 року), і цей аргумент був однією з причин сумніватися в законності втручання у права </w:t>
      </w:r>
      <w:r w:rsidRPr="00B85940" w:rsidR="00E15A16">
        <w:rPr>
          <w:lang w:val="uk-UA"/>
        </w:rPr>
        <w:t xml:space="preserve">заявниць </w:t>
      </w:r>
      <w:r w:rsidRPr="00B85940">
        <w:rPr>
          <w:lang w:val="uk-UA"/>
        </w:rPr>
        <w:t xml:space="preserve">у </w:t>
      </w:r>
      <w:r w:rsidRPr="00B85940" w:rsidR="00E15A16">
        <w:rPr>
          <w:lang w:val="uk-UA"/>
        </w:rPr>
        <w:t xml:space="preserve">вказаній </w:t>
      </w:r>
      <w:r w:rsidRPr="00B85940">
        <w:rPr>
          <w:lang w:val="uk-UA"/>
        </w:rPr>
        <w:t>справі.</w:t>
      </w:r>
    </w:p>
    <w:p w:rsidRPr="00B85940" w:rsidR="00D45D6B" w:rsidP="00B85940" w14:paraId="0854134F" w14:textId="2BDD1AD5">
      <w:pPr>
        <w:pStyle w:val="JuPara"/>
        <w:rPr>
          <w:lang w:val="uk-UA"/>
        </w:rPr>
      </w:pPr>
      <w:r w:rsidRPr="00B85940">
        <w:rPr>
          <w:lang w:val="uk-UA"/>
        </w:rPr>
        <w:t>40.  </w:t>
      </w:r>
      <w:r w:rsidRPr="00B85940">
        <w:rPr>
          <w:lang w:val="uk-UA"/>
        </w:rPr>
        <w:t xml:space="preserve">Крім того, ще одним елементом, який не можна ігнорувати у цій справі, є застосування встановленого законом строку позовної давності. Сторони не заперечували, що встановлений законом строк позовної давності становив три роки, </w:t>
      </w:r>
      <w:r w:rsidRPr="00B85940" w:rsidR="00C9337D">
        <w:rPr>
          <w:lang w:val="uk-UA"/>
        </w:rPr>
        <w:t xml:space="preserve">який мав </w:t>
      </w:r>
      <w:r w:rsidRPr="00B85940">
        <w:rPr>
          <w:lang w:val="uk-UA"/>
        </w:rPr>
        <w:t xml:space="preserve">обраховуватися з дати, коли особа або установа (у цій справі прокурор) дізналися або мали дізнатися про стверджувані порушення. Прокурор стверджував, і національні суди погодилися, що </w:t>
      </w:r>
      <w:r w:rsidRPr="00B85940" w:rsidR="00C9337D">
        <w:rPr>
          <w:lang w:val="uk-UA"/>
        </w:rPr>
        <w:t xml:space="preserve">початковою </w:t>
      </w:r>
      <w:r w:rsidRPr="00B85940">
        <w:rPr>
          <w:lang w:val="uk-UA"/>
        </w:rPr>
        <w:t>датою був 2013 рік, коли прокурор провів другу перевірку щодо виділення земельних ділянок Бородянською РДА (див. пункт 15).</w:t>
      </w:r>
      <w:r w:rsidRPr="00B85940" w:rsidR="00A77FCF">
        <w:rPr>
          <w:lang w:val="uk-UA"/>
        </w:rPr>
        <w:t xml:space="preserve"> Суд зазначає, що в постанові про </w:t>
      </w:r>
      <w:r w:rsidRPr="00B85940" w:rsidR="00A3162D">
        <w:rPr>
          <w:lang w:val="uk-UA"/>
        </w:rPr>
        <w:t xml:space="preserve">проведення </w:t>
      </w:r>
      <w:r w:rsidRPr="00B85940" w:rsidR="00A77FCF">
        <w:rPr>
          <w:lang w:val="uk-UA"/>
        </w:rPr>
        <w:t>цієї перевірки зазначено, що вона була необхідною, оскільки під час первісної перевірки та розгляду позову в суді, тобто у 2008 та 2010 роках, не було встановлено даних щодо видачі державних актів на право власності на земельні ділянки приватним особам, хоча такі державні акти були видані невдовзі після прийняття розпоряджень про виділення земельних ділянок (липень та грудень 2008 року; див. пункти 5 і 6). У зв</w:t>
      </w:r>
      <w:r w:rsidRPr="00B85940" w:rsidR="00B85940">
        <w:rPr>
          <w:lang w:val="uk-UA"/>
        </w:rPr>
        <w:t>’</w:t>
      </w:r>
      <w:r w:rsidRPr="00B85940" w:rsidR="00A77FCF">
        <w:rPr>
          <w:lang w:val="uk-UA"/>
        </w:rPr>
        <w:t xml:space="preserve">язку з цим Суд також не може ігнорувати той факт, що в </w:t>
      </w:r>
      <w:r w:rsidRPr="00B85940" w:rsidR="00441E24">
        <w:rPr>
          <w:lang w:val="uk-UA"/>
        </w:rPr>
        <w:t xml:space="preserve">подальшого ініційованому </w:t>
      </w:r>
      <w:r w:rsidRPr="00B85940" w:rsidR="00A77FCF">
        <w:rPr>
          <w:lang w:val="uk-UA"/>
        </w:rPr>
        <w:t xml:space="preserve">прокурором </w:t>
      </w:r>
      <w:r w:rsidRPr="00B85940" w:rsidR="00441E24">
        <w:rPr>
          <w:lang w:val="uk-UA"/>
        </w:rPr>
        <w:t xml:space="preserve">провадженні </w:t>
      </w:r>
      <w:r w:rsidRPr="00B85940" w:rsidR="00A77FCF">
        <w:rPr>
          <w:lang w:val="uk-UA"/>
        </w:rPr>
        <w:t xml:space="preserve">проти заявниці щодо інших земельних ділянок, суди </w:t>
      </w:r>
      <w:r w:rsidRPr="00B85940" w:rsidR="00441E24">
        <w:rPr>
          <w:lang w:val="uk-UA"/>
        </w:rPr>
        <w:t xml:space="preserve">відмовили </w:t>
      </w:r>
      <w:r w:rsidRPr="00B85940" w:rsidR="00A77FCF">
        <w:rPr>
          <w:lang w:val="uk-UA"/>
        </w:rPr>
        <w:t>в задоволенні позову прокурора, встановивши, що він пропустив строк позовної давності, який мав обраховуватися з 2008 року (див. пункт 16).</w:t>
      </w:r>
    </w:p>
    <w:p w:rsidRPr="00B85940" w:rsidR="00A77FCF" w:rsidP="00B85940" w14:paraId="1C7578AC" w14:textId="30FDC10E">
      <w:pPr>
        <w:pStyle w:val="JuPara"/>
        <w:rPr>
          <w:lang w:val="uk-UA"/>
        </w:rPr>
      </w:pPr>
      <w:r w:rsidRPr="00B85940">
        <w:rPr>
          <w:lang w:val="uk-UA"/>
        </w:rPr>
        <w:t>41.  </w:t>
      </w:r>
      <w:r w:rsidRPr="00B85940">
        <w:rPr>
          <w:lang w:val="uk-UA"/>
        </w:rPr>
        <w:t>Суд пам</w:t>
      </w:r>
      <w:r w:rsidRPr="00B85940" w:rsidR="00B85940">
        <w:rPr>
          <w:lang w:val="uk-UA"/>
        </w:rPr>
        <w:t>’</w:t>
      </w:r>
      <w:r w:rsidRPr="00B85940">
        <w:rPr>
          <w:lang w:val="uk-UA"/>
        </w:rPr>
        <w:t xml:space="preserve">ятає, що його завдання не полягає у заміні собою національних судів в процесі тлумачення національного законодавства, він, тим не менш, вважає, що </w:t>
      </w:r>
      <w:r w:rsidRPr="00B85940" w:rsidR="00441E24">
        <w:rPr>
          <w:lang w:val="uk-UA"/>
        </w:rPr>
        <w:t xml:space="preserve">використаний </w:t>
      </w:r>
      <w:r w:rsidRPr="00B85940">
        <w:rPr>
          <w:lang w:val="uk-UA"/>
        </w:rPr>
        <w:t xml:space="preserve">національними судами у цій справі підхід щодо застосування встановленого законом строку позовної давності, викликає сумніви щодо його </w:t>
      </w:r>
      <w:r w:rsidRPr="00B85940" w:rsidR="00A3162D">
        <w:rPr>
          <w:lang w:val="uk-UA"/>
        </w:rPr>
        <w:t xml:space="preserve">обґрунтованості </w:t>
      </w:r>
      <w:r w:rsidRPr="00B85940">
        <w:rPr>
          <w:lang w:val="uk-UA"/>
        </w:rPr>
        <w:t xml:space="preserve">та сумісності з принципом юридичної визначеності (див. рішення у справі «Куршун проти Туреччини» </w:t>
      </w:r>
      <w:r w:rsidRPr="00B85940">
        <w:rPr>
          <w:i/>
          <w:iCs/>
          <w:lang w:val="uk-UA"/>
        </w:rPr>
        <w:t>(Kurşun v. Turkey)</w:t>
      </w:r>
      <w:r w:rsidRPr="00B85940">
        <w:rPr>
          <w:lang w:val="uk-UA"/>
        </w:rPr>
        <w:t xml:space="preserve">, заява № 22677/10, пункти 103 </w:t>
      </w:r>
      <w:r w:rsidRPr="00B85940" w:rsidR="00A3162D">
        <w:rPr>
          <w:lang w:val="uk-UA"/>
        </w:rPr>
        <w:t xml:space="preserve">і </w:t>
      </w:r>
      <w:r w:rsidRPr="00B85940">
        <w:rPr>
          <w:lang w:val="uk-UA"/>
        </w:rPr>
        <w:t>104, від 30 жовтня 2018 року та</w:t>
      </w:r>
      <w:r w:rsidRPr="00B85940" w:rsidR="00A1081E">
        <w:rPr>
          <w:lang w:val="uk-UA"/>
        </w:rPr>
        <w:t>,</w:t>
      </w:r>
      <w:r w:rsidRPr="00B85940">
        <w:rPr>
          <w:lang w:val="uk-UA"/>
        </w:rPr>
        <w:t xml:space="preserve"> в якості нещодавнього прикладу</w:t>
      </w:r>
      <w:r w:rsidRPr="00B85940" w:rsidR="00A1081E">
        <w:rPr>
          <w:lang w:val="uk-UA"/>
        </w:rPr>
        <w:t>,</w:t>
      </w:r>
      <w:r w:rsidRPr="00B85940">
        <w:rPr>
          <w:lang w:val="uk-UA"/>
        </w:rPr>
        <w:t xml:space="preserve"> рішення у справі «Гумінський проти України» [Комітет] </w:t>
      </w:r>
      <w:r w:rsidRPr="00B85940">
        <w:rPr>
          <w:i/>
          <w:iCs/>
          <w:lang w:val="uk-UA"/>
        </w:rPr>
        <w:t>(Guminskyy v. Ukraine)</w:t>
      </w:r>
      <w:r w:rsidRPr="00B85940">
        <w:rPr>
          <w:lang w:val="uk-UA"/>
        </w:rPr>
        <w:t xml:space="preserve"> [Committee], заява № 7210/15, пункти 20 – 23, від 11 вересня </w:t>
      </w:r>
      <w:r w:rsidRPr="00B85940" w:rsidR="00441E24">
        <w:rPr>
          <w:lang w:val="uk-UA"/>
        </w:rPr>
        <w:t>2025 </w:t>
      </w:r>
      <w:r w:rsidRPr="00B85940">
        <w:rPr>
          <w:lang w:val="uk-UA"/>
        </w:rPr>
        <w:t>року).</w:t>
      </w:r>
    </w:p>
    <w:p w:rsidRPr="00B85940" w:rsidR="006C1E36" w:rsidP="00B85940" w14:paraId="61A31016" w14:textId="77777777">
      <w:pPr>
        <w:pStyle w:val="JuPara"/>
        <w:rPr>
          <w:lang w:val="uk-UA"/>
        </w:rPr>
      </w:pPr>
      <w:r w:rsidRPr="00B85940">
        <w:rPr>
          <w:lang w:val="uk-UA"/>
        </w:rPr>
        <w:t>42.  </w:t>
      </w:r>
      <w:r w:rsidRPr="00B85940">
        <w:rPr>
          <w:lang w:val="uk-UA"/>
        </w:rPr>
        <w:t xml:space="preserve">Стосовно питання законної мети, то безсумнівно, що відновлення державою права власності на незаконно відчужену земельну ділянку може бути виправданою підставою для позбавлення власності, і що належне управління земельним фондом, яке служить інтересам суспільства та відповідної місцевої громади, становить мету в </w:t>
      </w:r>
      <w:r w:rsidRPr="00B85940" w:rsidR="00C6203C">
        <w:rPr>
          <w:lang w:val="uk-UA"/>
        </w:rPr>
        <w:t xml:space="preserve">суспільних </w:t>
      </w:r>
      <w:r w:rsidRPr="00B85940">
        <w:rPr>
          <w:lang w:val="uk-UA"/>
        </w:rPr>
        <w:t xml:space="preserve">інтересах у </w:t>
      </w:r>
      <w:r w:rsidRPr="00B85940" w:rsidR="00C6203C">
        <w:rPr>
          <w:lang w:val="uk-UA"/>
        </w:rPr>
        <w:t xml:space="preserve">розумінні </w:t>
      </w:r>
      <w:r w:rsidRPr="00B85940">
        <w:rPr>
          <w:lang w:val="uk-UA"/>
        </w:rPr>
        <w:t xml:space="preserve">другого пункту статті 1 Першого протоколу до Конвенції (див. рішення у справі «Ібрагімбейов та інші проти Азербайджану» </w:t>
      </w:r>
      <w:r w:rsidRPr="00B85940">
        <w:rPr>
          <w:i/>
          <w:iCs/>
          <w:lang w:val="uk-UA"/>
        </w:rPr>
        <w:t>(Ibrahimbeyov and Others v. Azerbaijan)</w:t>
      </w:r>
      <w:r w:rsidRPr="00B85940">
        <w:rPr>
          <w:lang w:val="uk-UA"/>
        </w:rPr>
        <w:t xml:space="preserve">, заява № 32380/13, пункт 48, від 16 лютого 2023 року). Проте з огляду на наведені серйозні сумніви щодо законності відповідного втручання, </w:t>
      </w:r>
      <w:r w:rsidRPr="00B85940" w:rsidR="002F5557">
        <w:rPr>
          <w:lang w:val="uk-UA"/>
        </w:rPr>
        <w:t xml:space="preserve">існування фактичного суспільного інтересу, здатного виправдати </w:t>
      </w:r>
      <w:r w:rsidRPr="00B85940">
        <w:rPr>
          <w:lang w:val="uk-UA"/>
        </w:rPr>
        <w:t xml:space="preserve">скасування права власності заявниці, також вбачається сумнівним. Незважаючи на це, Суд вважає непотрібним ухвалення рішення з цих питань, оскільки втручання в будь-якому випадку було непропорційним з наведених далі причин (див., </w:t>
      </w:r>
      <w:r w:rsidRPr="00B85940">
        <w:rPr>
          <w:i/>
          <w:iCs/>
          <w:lang w:val="uk-UA"/>
        </w:rPr>
        <w:t>mutatis mutandis</w:t>
      </w:r>
      <w:r w:rsidRPr="00B85940">
        <w:rPr>
          <w:lang w:val="uk-UA"/>
        </w:rPr>
        <w:t xml:space="preserve">, згадані рішення у справах «Фонд «Батьківська турбота» проти України» </w:t>
      </w:r>
      <w:r w:rsidRPr="00B85940">
        <w:rPr>
          <w:i/>
          <w:iCs/>
          <w:lang w:val="uk-UA"/>
        </w:rPr>
        <w:t>(Batkivska Turbota Foundation v. Ukraine)</w:t>
      </w:r>
      <w:r w:rsidRPr="00B85940">
        <w:rPr>
          <w:lang w:val="uk-UA"/>
        </w:rPr>
        <w:t xml:space="preserve">, пункти 57 і 62 та «Дроздик та Мікула проти України» </w:t>
      </w:r>
      <w:r w:rsidRPr="00B85940">
        <w:rPr>
          <w:i/>
          <w:iCs/>
          <w:lang w:val="uk-UA"/>
        </w:rPr>
        <w:t>(Drozdyk and Mikula v. Ukraine)</w:t>
      </w:r>
      <w:r w:rsidRPr="00B85940">
        <w:rPr>
          <w:lang w:val="uk-UA"/>
        </w:rPr>
        <w:t>, пункт 47).</w:t>
      </w:r>
    </w:p>
    <w:p w:rsidRPr="00B85940" w:rsidR="002F5557" w:rsidP="00B85940" w14:paraId="47ACFF46" w14:textId="08E2CB87">
      <w:pPr>
        <w:pStyle w:val="JuPara"/>
        <w:rPr>
          <w:lang w:val="uk-UA"/>
        </w:rPr>
      </w:pPr>
      <w:r w:rsidRPr="00B85940">
        <w:rPr>
          <w:lang w:val="uk-UA"/>
        </w:rPr>
        <w:t>43.  </w:t>
      </w:r>
      <w:r w:rsidRPr="00B85940">
        <w:rPr>
          <w:lang w:val="uk-UA"/>
        </w:rPr>
        <w:t>Стосовно пропорційності Суд повторює, що стаття 1 Першого протоколу до Конвенції вимагає існування для будь-якого втручання розумного зв</w:t>
      </w:r>
      <w:r w:rsidRPr="00B85940" w:rsidR="00B85940">
        <w:rPr>
          <w:lang w:val="uk-UA"/>
        </w:rPr>
        <w:t>’</w:t>
      </w:r>
      <w:r w:rsidRPr="00B85940">
        <w:rPr>
          <w:lang w:val="uk-UA"/>
        </w:rPr>
        <w:t>язку пропорційності між застосовними засобами та метою, якої прагнули досягти. Цей справедливий баланс буде порушено, якщо на відповідну особу буде покладено індивідуальний та надмірний тягар. У цьому контексті Суд неодноразово підкреслював особливу важливість принципу «належного урядування». Цей принцип, як правило, не повинен перешкоджати органам державної влади виправляти випадкові помилки, навіть ті, причиною яких є їхня власна недбалість. Проте необхідність виправити стару «помилку» не повинна непропорційним чином втручатися у нове право, набуте особою, яка добросовісно покладалася на законність дій органу державної влади. Ризик будь-якої помилки органу державної влади має покладатися на саму державу і помилки не повинні виправлятися за рахунок зацікавлених осіб. У контексті скасування помилково наданого права власності «принцип належного урядування» може не лише покладати на органи державної влади обов</w:t>
      </w:r>
      <w:r w:rsidRPr="00B85940" w:rsidR="00B85940">
        <w:rPr>
          <w:lang w:val="uk-UA"/>
        </w:rPr>
        <w:t>’</w:t>
      </w:r>
      <w:r w:rsidRPr="00B85940">
        <w:rPr>
          <w:lang w:val="uk-UA"/>
        </w:rPr>
        <w:t xml:space="preserve">язок діяти невідкладно при виправленні своєї помилки, але й може також вимагати виплати колишньому добросовісному власнику належної компенсації або іншого виду відповідного відшкодування. Оцінюючи, чи було доступним заявнику належне відшкодування, Суд повинен враховувати особливі обставини кожної справи, у тому числі отримані суми та зазнані збитки, а також, залежно від обставин, доступність отримання відшкодування шкоди та практичні реалії, в яких опинився заявник (див., наприклад, рішення у справі «Максименко та Герасименко проти України» </w:t>
      </w:r>
      <w:r w:rsidRPr="00B85940">
        <w:rPr>
          <w:i/>
          <w:iCs/>
          <w:lang w:val="uk-UA"/>
        </w:rPr>
        <w:t>(Maksymenko and Gerasymenko v. Ukraine)</w:t>
      </w:r>
      <w:r w:rsidRPr="00B85940">
        <w:rPr>
          <w:lang w:val="uk-UA"/>
        </w:rPr>
        <w:t xml:space="preserve">, заява № 49317/07, пункт 64, від 16 травня 2013 року з вказаною в ньому практикою). У цьому контексті Суд раніше брав до уваги, </w:t>
      </w:r>
      <w:r w:rsidRPr="00B85940">
        <w:rPr>
          <w:i/>
          <w:iCs/>
          <w:lang w:val="uk-UA"/>
        </w:rPr>
        <w:t>inter alia</w:t>
      </w:r>
      <w:r w:rsidRPr="00B85940">
        <w:rPr>
          <w:lang w:val="uk-UA"/>
        </w:rPr>
        <w:t xml:space="preserve">, можливість заявників вимагати відшкодування, отримати альтернативне майно або скористатися іншими формами відшкодування (див., наприклад, рішення у справах «Гладишева проти Росії» </w:t>
      </w:r>
      <w:r w:rsidRPr="00B85940">
        <w:rPr>
          <w:i/>
          <w:iCs/>
          <w:lang w:val="uk-UA"/>
        </w:rPr>
        <w:t xml:space="preserve">(Gladysheva v. Russia), </w:t>
      </w:r>
      <w:r w:rsidRPr="00B85940">
        <w:rPr>
          <w:lang w:val="uk-UA"/>
        </w:rPr>
        <w:t xml:space="preserve">заява № 7097/10, пункти 80 і 81, від 06 грудня 2011 року та «Берзіньш та інші проти Латвії» </w:t>
      </w:r>
      <w:r w:rsidRPr="00B85940">
        <w:rPr>
          <w:i/>
          <w:iCs/>
          <w:lang w:val="uk-UA"/>
        </w:rPr>
        <w:t>(Bērziņš and Others v. Latvia)</w:t>
      </w:r>
      <w:r w:rsidRPr="00B85940">
        <w:rPr>
          <w:lang w:val="uk-UA"/>
        </w:rPr>
        <w:t>, заява № 73105/12, пункти 99 – 106, від 21 вересня 2021 року).</w:t>
      </w:r>
    </w:p>
    <w:p w:rsidRPr="00B85940" w:rsidR="001D434D" w:rsidP="00B85940" w14:paraId="52C9EDC1" w14:textId="3A24A46D">
      <w:pPr>
        <w:pStyle w:val="JuPara"/>
        <w:rPr>
          <w:lang w:val="uk-UA"/>
        </w:rPr>
      </w:pPr>
      <w:r w:rsidRPr="00B85940">
        <w:rPr>
          <w:lang w:val="uk-UA"/>
        </w:rPr>
        <w:t>44.  </w:t>
      </w:r>
      <w:r w:rsidRPr="00B85940">
        <w:rPr>
          <w:lang w:val="uk-UA"/>
        </w:rPr>
        <w:t>У зв</w:t>
      </w:r>
      <w:r w:rsidRPr="00B85940" w:rsidR="00B85940">
        <w:rPr>
          <w:lang w:val="uk-UA"/>
        </w:rPr>
        <w:t>’</w:t>
      </w:r>
      <w:r w:rsidRPr="00B85940">
        <w:rPr>
          <w:lang w:val="uk-UA"/>
        </w:rPr>
        <w:t xml:space="preserve">язку з цим Суд </w:t>
      </w:r>
      <w:r w:rsidRPr="00B85940" w:rsidR="00C62F42">
        <w:rPr>
          <w:lang w:val="uk-UA"/>
        </w:rPr>
        <w:t xml:space="preserve">вказує на </w:t>
      </w:r>
      <w:r w:rsidRPr="00B85940">
        <w:rPr>
          <w:lang w:val="uk-UA"/>
        </w:rPr>
        <w:t xml:space="preserve">аргумент Уряду, що заявниця могла б подати позов до суду проти продавців відповідного майна згідно з положеннями Цивільного кодексу України щодо недійсності правочинів (див. статті </w:t>
      </w:r>
      <w:r w:rsidRPr="00B85940" w:rsidR="00B91DB1">
        <w:rPr>
          <w:lang w:val="uk-UA"/>
        </w:rPr>
        <w:t>21</w:t>
      </w:r>
      <w:r w:rsidRPr="00B85940" w:rsidR="00BA1A2A">
        <w:rPr>
          <w:lang w:val="uk-UA"/>
        </w:rPr>
        <w:t xml:space="preserve">6 </w:t>
      </w:r>
      <w:r w:rsidRPr="00B85940">
        <w:rPr>
          <w:lang w:val="uk-UA"/>
        </w:rPr>
        <w:t xml:space="preserve">і 661 Цивільного кодексу, як зазначено у пункті 19), щоб повернути грошові кошти, </w:t>
      </w:r>
      <w:r w:rsidRPr="00B85940" w:rsidR="00831C10">
        <w:rPr>
          <w:lang w:val="uk-UA"/>
        </w:rPr>
        <w:t>сплачені нею за це майно</w:t>
      </w:r>
      <w:r w:rsidRPr="00B85940">
        <w:rPr>
          <w:lang w:val="uk-UA"/>
        </w:rPr>
        <w:t>.</w:t>
      </w:r>
    </w:p>
    <w:p w:rsidRPr="00B85940" w:rsidR="001D434D" w:rsidP="00B85940" w14:paraId="27B2F056" w14:textId="224E2376">
      <w:pPr>
        <w:pStyle w:val="JuPara"/>
        <w:rPr>
          <w:lang w:val="uk-UA"/>
        </w:rPr>
      </w:pPr>
      <w:r w:rsidRPr="00B85940">
        <w:rPr>
          <w:lang w:val="uk-UA"/>
        </w:rPr>
        <w:t>45.  </w:t>
      </w:r>
      <w:r w:rsidRPr="00B85940">
        <w:rPr>
          <w:lang w:val="uk-UA"/>
        </w:rPr>
        <w:t>Суд зазначає у зв</w:t>
      </w:r>
      <w:r w:rsidRPr="00B85940" w:rsidR="00B85940">
        <w:rPr>
          <w:lang w:val="uk-UA"/>
        </w:rPr>
        <w:t>’</w:t>
      </w:r>
      <w:r w:rsidRPr="00B85940">
        <w:rPr>
          <w:lang w:val="uk-UA"/>
        </w:rPr>
        <w:t>язку з цим, що, якщо цього вимагає національне законодавство, заявники можуть бути зобов</w:t>
      </w:r>
      <w:r w:rsidRPr="00B85940" w:rsidR="00B85940">
        <w:rPr>
          <w:lang w:val="uk-UA"/>
        </w:rPr>
        <w:t>’</w:t>
      </w:r>
      <w:r w:rsidRPr="00B85940">
        <w:rPr>
          <w:lang w:val="uk-UA"/>
        </w:rPr>
        <w:t xml:space="preserve">язані або ініціювати окреме провадження для отримання відшкодування шкоди за майно, втрачене внаслідок помилки органів державної влади, або продемонструвати існування перешкоди, яка заважала поданню або успішному задоволенню обґрунтованих позовів (див., в якості нещодавніх прикладів, рішення у справі «Лідія Нікітіна проти Росії» </w:t>
      </w:r>
      <w:r w:rsidRPr="00B85940">
        <w:rPr>
          <w:i/>
          <w:iCs/>
          <w:lang w:val="uk-UA"/>
        </w:rPr>
        <w:t>(Lidiya Nikitina v. Russia)</w:t>
      </w:r>
      <w:r w:rsidRPr="00B85940">
        <w:rPr>
          <w:lang w:val="uk-UA"/>
        </w:rPr>
        <w:t xml:space="preserve">, заява № 8051/20, пункти 36 – 40, від </w:t>
      </w:r>
      <w:r w:rsidRPr="00B85940" w:rsidR="00C62F42">
        <w:rPr>
          <w:lang w:val="uk-UA"/>
        </w:rPr>
        <w:t>15 </w:t>
      </w:r>
      <w:r w:rsidRPr="00B85940">
        <w:rPr>
          <w:lang w:val="uk-UA"/>
        </w:rPr>
        <w:t xml:space="preserve">березня 2022 року; згадане рішення у справі «Ібрагімбейов та інші проти Азербайджану» </w:t>
      </w:r>
      <w:r w:rsidRPr="00B85940">
        <w:rPr>
          <w:i/>
          <w:iCs/>
          <w:lang w:val="uk-UA"/>
        </w:rPr>
        <w:t>(Ibrahimbeyov and Others v. Azerbaijan)</w:t>
      </w:r>
      <w:r w:rsidRPr="00B85940">
        <w:rPr>
          <w:lang w:val="uk-UA"/>
        </w:rPr>
        <w:t xml:space="preserve">, пункти 55 – 59 та, </w:t>
      </w:r>
      <w:r w:rsidRPr="00B85940">
        <w:rPr>
          <w:i/>
          <w:iCs/>
          <w:lang w:val="uk-UA"/>
        </w:rPr>
        <w:t>mutatis mutandis</w:t>
      </w:r>
      <w:r w:rsidRPr="00B85940">
        <w:rPr>
          <w:lang w:val="uk-UA"/>
        </w:rPr>
        <w:t xml:space="preserve">, рішення у справі «Твердохлєбова проти України» </w:t>
      </w:r>
      <w:r w:rsidRPr="00B85940">
        <w:rPr>
          <w:i/>
          <w:iCs/>
          <w:lang w:val="uk-UA"/>
        </w:rPr>
        <w:t>(Tverdokhlebova v. Ukraine)</w:t>
      </w:r>
      <w:r w:rsidRPr="00B85940">
        <w:rPr>
          <w:lang w:val="uk-UA"/>
        </w:rPr>
        <w:t xml:space="preserve">, заява № 15830/16, пункти 44 – 48, від </w:t>
      </w:r>
      <w:r w:rsidRPr="00B85940" w:rsidR="00C62F42">
        <w:rPr>
          <w:lang w:val="uk-UA"/>
        </w:rPr>
        <w:t xml:space="preserve">16 </w:t>
      </w:r>
      <w:r w:rsidRPr="00B85940">
        <w:rPr>
          <w:lang w:val="uk-UA"/>
        </w:rPr>
        <w:t>січня 2025 року).</w:t>
      </w:r>
    </w:p>
    <w:p w:rsidRPr="00B85940" w:rsidR="001D434D" w:rsidP="00B85940" w14:paraId="16BAEA50" w14:textId="77777777">
      <w:pPr>
        <w:pStyle w:val="JuPara"/>
        <w:rPr>
          <w:lang w:val="uk-UA"/>
        </w:rPr>
      </w:pPr>
      <w:r w:rsidRPr="00B85940">
        <w:rPr>
          <w:lang w:val="uk-UA"/>
        </w:rPr>
        <w:t>46.  </w:t>
      </w:r>
      <w:r w:rsidRPr="00B85940">
        <w:rPr>
          <w:lang w:val="uk-UA"/>
        </w:rPr>
        <w:t xml:space="preserve">Водночас, у згаданому рішенні у справі «Гладишева проти Росії» </w:t>
      </w:r>
      <w:r w:rsidRPr="00B85940">
        <w:rPr>
          <w:i/>
          <w:iCs/>
          <w:lang w:val="uk-UA"/>
        </w:rPr>
        <w:t xml:space="preserve">(Gladysheva v. Russia) </w:t>
      </w:r>
      <w:r w:rsidRPr="00B85940">
        <w:rPr>
          <w:lang w:val="uk-UA"/>
        </w:rPr>
        <w:t xml:space="preserve">Суд встановив, що вимога подавати окремі позови про відшкодування шкоди проти колишніх власників була надто формальною та </w:t>
      </w:r>
      <w:r w:rsidRPr="00B85940" w:rsidR="00627DBC">
        <w:rPr>
          <w:lang w:val="uk-UA"/>
        </w:rPr>
        <w:t xml:space="preserve">була </w:t>
      </w:r>
      <w:r w:rsidRPr="00B85940">
        <w:rPr>
          <w:lang w:val="uk-UA"/>
        </w:rPr>
        <w:t xml:space="preserve">надмірним тягарем для заявниці. У </w:t>
      </w:r>
      <w:r w:rsidRPr="00B85940" w:rsidR="00AF4EDE">
        <w:rPr>
          <w:lang w:val="uk-UA"/>
        </w:rPr>
        <w:t xml:space="preserve">вказаній </w:t>
      </w:r>
      <w:r w:rsidRPr="00B85940">
        <w:rPr>
          <w:lang w:val="uk-UA"/>
        </w:rPr>
        <w:t xml:space="preserve">справі заявницю було позбавлено права власності на квартиру, яка шахрайським шляхом </w:t>
      </w:r>
      <w:r w:rsidRPr="00B85940" w:rsidR="00AF4EDE">
        <w:rPr>
          <w:lang w:val="uk-UA"/>
        </w:rPr>
        <w:t xml:space="preserve">вибула </w:t>
      </w:r>
      <w:r w:rsidRPr="00B85940">
        <w:rPr>
          <w:lang w:val="uk-UA"/>
        </w:rPr>
        <w:t xml:space="preserve">з </w:t>
      </w:r>
      <w:r w:rsidRPr="00B85940" w:rsidR="00627DBC">
        <w:rPr>
          <w:lang w:val="uk-UA"/>
        </w:rPr>
        <w:t xml:space="preserve">державної власності </w:t>
      </w:r>
      <w:r w:rsidRPr="00B85940">
        <w:rPr>
          <w:lang w:val="uk-UA"/>
        </w:rPr>
        <w:t>та яку заявниця придбала у</w:t>
      </w:r>
      <w:r w:rsidRPr="00B85940" w:rsidR="00AF4EDE">
        <w:rPr>
          <w:lang w:val="uk-UA"/>
        </w:rPr>
        <w:t>же в</w:t>
      </w:r>
      <w:r w:rsidRPr="00B85940">
        <w:rPr>
          <w:lang w:val="uk-UA"/>
        </w:rPr>
        <w:t xml:space="preserve"> іншої особи.</w:t>
      </w:r>
      <w:r w:rsidRPr="00B85940" w:rsidR="00627DBC">
        <w:rPr>
          <w:lang w:val="uk-UA"/>
        </w:rPr>
        <w:t xml:space="preserve"> Їй не було надано жодного відшкодування шкоди, і у неї не було перспектив отримати </w:t>
      </w:r>
      <w:r w:rsidRPr="00B85940" w:rsidR="000F106B">
        <w:rPr>
          <w:lang w:val="uk-UA"/>
        </w:rPr>
        <w:t xml:space="preserve">навзамін </w:t>
      </w:r>
      <w:r w:rsidRPr="00B85940" w:rsidR="00627DBC">
        <w:rPr>
          <w:lang w:val="uk-UA"/>
        </w:rPr>
        <w:t xml:space="preserve">житло від держави. Суд вважав, що </w:t>
      </w:r>
      <w:r w:rsidRPr="00B85940" w:rsidR="000906D5">
        <w:rPr>
          <w:lang w:val="uk-UA"/>
        </w:rPr>
        <w:t xml:space="preserve">висунути </w:t>
      </w:r>
      <w:r w:rsidRPr="00B85940" w:rsidR="00627DBC">
        <w:rPr>
          <w:lang w:val="uk-UA"/>
        </w:rPr>
        <w:t xml:space="preserve">заявниці </w:t>
      </w:r>
      <w:r w:rsidRPr="00B85940" w:rsidR="000906D5">
        <w:rPr>
          <w:lang w:val="uk-UA"/>
        </w:rPr>
        <w:t xml:space="preserve">вимогу </w:t>
      </w:r>
      <w:r w:rsidRPr="00B85940" w:rsidR="00627DBC">
        <w:rPr>
          <w:lang w:val="uk-UA"/>
        </w:rPr>
        <w:t xml:space="preserve">подання позову до суду проти продавця відповідного майна щодо відшкодування шкоди було б рівнозначне запропонувати заявниці перекласти свій надмірний індивідуальний тягар на іншого добросовісного покупця. У такій ситуації Суду було важко зрозуміти, як це мало покращити баланс між суспільними інтересами та необхідністю захисту прав осіб (див. згадане рішення у справі «Гладишева проти Росії» </w:t>
      </w:r>
      <w:r w:rsidRPr="00B85940" w:rsidR="00627DBC">
        <w:rPr>
          <w:i/>
          <w:iCs/>
          <w:lang w:val="uk-UA"/>
        </w:rPr>
        <w:t>(Gladysheva v. Russia)</w:t>
      </w:r>
      <w:r w:rsidRPr="00B85940" w:rsidR="00627DBC">
        <w:rPr>
          <w:lang w:val="uk-UA"/>
        </w:rPr>
        <w:t>, пункти 80 – 83).</w:t>
      </w:r>
    </w:p>
    <w:p w:rsidRPr="00B85940" w:rsidR="000F1273" w:rsidP="00B85940" w14:paraId="1BBBB517" w14:textId="38CB1DFF">
      <w:pPr>
        <w:pStyle w:val="JuPara"/>
        <w:rPr>
          <w:lang w:val="uk-UA"/>
        </w:rPr>
      </w:pPr>
      <w:r w:rsidRPr="00B85940">
        <w:rPr>
          <w:lang w:val="uk-UA"/>
        </w:rPr>
        <w:t>47.  </w:t>
      </w:r>
      <w:r w:rsidRPr="00B85940">
        <w:rPr>
          <w:lang w:val="uk-UA"/>
        </w:rPr>
        <w:t xml:space="preserve">Суд зазначає, що ситуація у цій справі подібна до ситуації в рішенні у справі «Гладишева проти Росії» </w:t>
      </w:r>
      <w:r w:rsidRPr="00B85940">
        <w:rPr>
          <w:i/>
          <w:iCs/>
          <w:lang w:val="uk-UA"/>
        </w:rPr>
        <w:t>(Gladysheva v. Russia)</w:t>
      </w:r>
      <w:r w:rsidRPr="00B85940">
        <w:rPr>
          <w:lang w:val="uk-UA"/>
        </w:rPr>
        <w:t xml:space="preserve">, оскільки, враховуючи версію подій прокурора (хоча вона й не встановлена в остаточних рішеннях згідно з наданою Суду інформацією), відповідні земельні ділянки спочатку </w:t>
      </w:r>
      <w:r w:rsidRPr="00B85940" w:rsidR="00AF4EDE">
        <w:rPr>
          <w:lang w:val="uk-UA"/>
        </w:rPr>
        <w:t xml:space="preserve">вибули </w:t>
      </w:r>
      <w:r w:rsidRPr="00B85940">
        <w:rPr>
          <w:lang w:val="uk-UA"/>
        </w:rPr>
        <w:t>з державної власності шахрайським шляхом, що негативно вплинуло не лише на заявницю, як останнього добросовісного власника, а можливо й на осіб, на ім</w:t>
      </w:r>
      <w:r w:rsidRPr="00B85940" w:rsidR="00B85940">
        <w:rPr>
          <w:lang w:val="uk-UA"/>
        </w:rPr>
        <w:t>’</w:t>
      </w:r>
      <w:r w:rsidRPr="00B85940">
        <w:rPr>
          <w:lang w:val="uk-UA"/>
        </w:rPr>
        <w:t xml:space="preserve">я яких земля була спочатку приватизована. За таких обставин держава мала, перш за все, забезпечити дотримання чинного порядку приватизації землі (див. згадане рішення у справі «Гладишева проти Росії» </w:t>
      </w:r>
      <w:r w:rsidRPr="00B85940">
        <w:rPr>
          <w:i/>
          <w:iCs/>
          <w:lang w:val="uk-UA"/>
        </w:rPr>
        <w:t>(Gladysheva v. Russia)</w:t>
      </w:r>
      <w:r w:rsidRPr="00B85940">
        <w:rPr>
          <w:lang w:val="uk-UA"/>
        </w:rPr>
        <w:t>, пункти 57, 78 і 79), а згодом, коли було виявлено можливі правопорушення, забезпечити притягнення винних осіб до відповідальності, зокрема стосовно можливої цивільної відповідальності за збитки, понесені державою. Суд вважає, що оскільки не було вжито ефективних кроків у цьому напрямку, як це, вочевидь, відбулося в цій справі, внаслідок чого останній добросовісний власник, найімовірніше, не зможе встановити винних осіб, щоб отримати від них відшкодування шкоди, виникають сумніви щодо пропорційності втручання держави у майнові права добросовісного власника. Крім того, перспектива отримання заявницею повного відшкодування шкоди в розумні строки шляхом подання позову проти продавців</w:t>
      </w:r>
      <w:r w:rsidRPr="00B85940" w:rsidR="004330D1">
        <w:rPr>
          <w:lang w:val="uk-UA"/>
        </w:rPr>
        <w:t xml:space="preserve"> </w:t>
      </w:r>
      <w:r w:rsidRPr="00B85940" w:rsidR="00AF4EDE">
        <w:rPr>
          <w:lang w:val="uk-UA"/>
        </w:rPr>
        <w:t xml:space="preserve">- </w:t>
      </w:r>
      <w:r w:rsidRPr="00B85940" w:rsidR="004330D1">
        <w:rPr>
          <w:lang w:val="uk-UA"/>
        </w:rPr>
        <w:t>стосовно</w:t>
      </w:r>
      <w:r w:rsidRPr="00B85940">
        <w:rPr>
          <w:lang w:val="uk-UA"/>
        </w:rPr>
        <w:t xml:space="preserve"> особи</w:t>
      </w:r>
      <w:r w:rsidRPr="00B85940" w:rsidR="004330D1">
        <w:rPr>
          <w:lang w:val="uk-UA"/>
        </w:rPr>
        <w:t xml:space="preserve">стості </w:t>
      </w:r>
      <w:r w:rsidRPr="00B85940">
        <w:rPr>
          <w:lang w:val="uk-UA"/>
        </w:rPr>
        <w:t xml:space="preserve">та ролі яких, </w:t>
      </w:r>
      <w:r w:rsidRPr="00B85940" w:rsidR="004330D1">
        <w:rPr>
          <w:lang w:val="uk-UA"/>
        </w:rPr>
        <w:t>в</w:t>
      </w:r>
      <w:r w:rsidRPr="00B85940">
        <w:rPr>
          <w:lang w:val="uk-UA"/>
        </w:rPr>
        <w:t>очевид</w:t>
      </w:r>
      <w:r w:rsidRPr="00B85940" w:rsidR="004330D1">
        <w:rPr>
          <w:lang w:val="uk-UA"/>
        </w:rPr>
        <w:t>ь</w:t>
      </w:r>
      <w:r w:rsidRPr="00B85940">
        <w:rPr>
          <w:lang w:val="uk-UA"/>
        </w:rPr>
        <w:t>, також існували сумніви</w:t>
      </w:r>
      <w:r w:rsidRPr="00B85940" w:rsidR="00AF4EDE">
        <w:rPr>
          <w:lang w:val="uk-UA"/>
        </w:rPr>
        <w:t xml:space="preserve"> - </w:t>
      </w:r>
      <w:r w:rsidRPr="00B85940">
        <w:rPr>
          <w:lang w:val="uk-UA"/>
        </w:rPr>
        <w:t xml:space="preserve">також була малоймовірною та </w:t>
      </w:r>
      <w:r w:rsidRPr="00B85940" w:rsidR="004330D1">
        <w:rPr>
          <w:lang w:val="uk-UA"/>
        </w:rPr>
        <w:t>вкрай</w:t>
      </w:r>
      <w:r w:rsidRPr="00B85940">
        <w:rPr>
          <w:lang w:val="uk-UA"/>
        </w:rPr>
        <w:t xml:space="preserve"> невизначеною.</w:t>
      </w:r>
    </w:p>
    <w:p w:rsidRPr="00B85940" w:rsidR="004330D1" w:rsidP="00B85940" w14:paraId="0B1EE569" w14:textId="77777777">
      <w:pPr>
        <w:pStyle w:val="JuPara"/>
        <w:rPr>
          <w:lang w:val="uk-UA"/>
        </w:rPr>
      </w:pPr>
      <w:r w:rsidRPr="00B85940">
        <w:rPr>
          <w:lang w:val="uk-UA"/>
        </w:rPr>
        <w:t>48.  </w:t>
      </w:r>
      <w:r w:rsidRPr="00B85940">
        <w:rPr>
          <w:lang w:val="uk-UA"/>
        </w:rPr>
        <w:t>На підставі наведеного Суд не вважає виправданим з точки зору необхідної пропорційності втручання та потреби підтримувати справедливий баланс між відповідними інтересами, вимагати від заявниці подання позову до суду проти первинних власників зазначеної землі задля отримання відшкодування шкоди. З цього випливає, що втручання у майнові права заявниці не можна вважати пропорційним заходом.</w:t>
      </w:r>
    </w:p>
    <w:p w:rsidRPr="00B85940" w:rsidR="00862459" w:rsidP="00B85940" w14:paraId="3B53AD82" w14:textId="77777777">
      <w:pPr>
        <w:pStyle w:val="JuPara"/>
        <w:rPr>
          <w:lang w:val="uk-UA"/>
        </w:rPr>
      </w:pPr>
      <w:r w:rsidRPr="00B85940">
        <w:rPr>
          <w:lang w:val="uk-UA"/>
        </w:rPr>
        <w:t>49.  </w:t>
      </w:r>
      <w:r w:rsidRPr="00B85940" w:rsidR="004330D1">
        <w:rPr>
          <w:lang w:val="uk-UA"/>
        </w:rPr>
        <w:t xml:space="preserve">Додатково Суд зазначає, що український законодавець шляхом внесення змін до Цивільного кодексу України 2025 року, спрямованих на захист прав добросовісних власників (див. пункти 20 і 21), по суті визнав, що у разі витребування майна у таких власників саме держава повинна нести наслідки, зокрема фінансові. Це чітко підтверджується вимогою забезпечити на момент подання позову </w:t>
      </w:r>
      <w:r w:rsidRPr="00B85940" w:rsidR="004330D1">
        <w:rPr>
          <w:i/>
          <w:iCs/>
          <w:lang w:val="uk-UA"/>
        </w:rPr>
        <w:t>rei vidicatio</w:t>
      </w:r>
      <w:r w:rsidRPr="00B85940" w:rsidR="004330D1">
        <w:rPr>
          <w:lang w:val="uk-UA"/>
        </w:rPr>
        <w:t xml:space="preserve"> внесення коштів, які будуть присуджені як відшкодування шкоди відповідній особі у разі задоволення такого позову. Крім того, </w:t>
      </w:r>
      <w:r w:rsidRPr="00B85940" w:rsidR="0033650C">
        <w:rPr>
          <w:lang w:val="uk-UA"/>
        </w:rPr>
        <w:t>схоже, що такі</w:t>
      </w:r>
      <w:r w:rsidRPr="00B85940" w:rsidR="004330D1">
        <w:rPr>
          <w:lang w:val="uk-UA"/>
        </w:rPr>
        <w:t xml:space="preserve"> зміни</w:t>
      </w:r>
      <w:r w:rsidRPr="00B85940" w:rsidR="0033650C">
        <w:rPr>
          <w:lang w:val="uk-UA"/>
        </w:rPr>
        <w:t xml:space="preserve"> </w:t>
      </w:r>
      <w:r w:rsidRPr="00B85940" w:rsidR="004330D1">
        <w:rPr>
          <w:lang w:val="uk-UA"/>
        </w:rPr>
        <w:t xml:space="preserve">не розрізняють способи </w:t>
      </w:r>
      <w:r w:rsidRPr="00B85940" w:rsidR="0033650C">
        <w:rPr>
          <w:lang w:val="uk-UA"/>
        </w:rPr>
        <w:t>придбання</w:t>
      </w:r>
      <w:r w:rsidRPr="00B85940" w:rsidR="004330D1">
        <w:rPr>
          <w:lang w:val="uk-UA"/>
        </w:rPr>
        <w:t xml:space="preserve"> майна останнім (або єдиним) власником – безпосередньо від держави (шляхом приватизації) або </w:t>
      </w:r>
      <w:r w:rsidRPr="00B85940" w:rsidR="0033650C">
        <w:rPr>
          <w:lang w:val="uk-UA"/>
        </w:rPr>
        <w:t xml:space="preserve">шляхом </w:t>
      </w:r>
      <w:r w:rsidRPr="00B85940" w:rsidR="004330D1">
        <w:rPr>
          <w:lang w:val="uk-UA"/>
        </w:rPr>
        <w:t>інш</w:t>
      </w:r>
      <w:r w:rsidRPr="00B85940" w:rsidR="0033650C">
        <w:rPr>
          <w:lang w:val="uk-UA"/>
        </w:rPr>
        <w:t>ого правочину</w:t>
      </w:r>
      <w:r w:rsidRPr="00B85940" w:rsidR="004330D1">
        <w:rPr>
          <w:lang w:val="uk-UA"/>
        </w:rPr>
        <w:t>, так</w:t>
      </w:r>
      <w:r w:rsidRPr="00B85940" w:rsidR="0033650C">
        <w:rPr>
          <w:lang w:val="uk-UA"/>
        </w:rPr>
        <w:t>ого</w:t>
      </w:r>
      <w:r w:rsidRPr="00B85940" w:rsidR="004330D1">
        <w:rPr>
          <w:lang w:val="uk-UA"/>
        </w:rPr>
        <w:t xml:space="preserve"> як продаж. Важливо те, що відповідне майно спочатку належало державі (або орган</w:t>
      </w:r>
      <w:r w:rsidRPr="00B85940" w:rsidR="0033650C">
        <w:rPr>
          <w:lang w:val="uk-UA"/>
        </w:rPr>
        <w:t>у</w:t>
      </w:r>
      <w:r w:rsidRPr="00B85940" w:rsidR="004330D1">
        <w:rPr>
          <w:lang w:val="uk-UA"/>
        </w:rPr>
        <w:t xml:space="preserve"> </w:t>
      </w:r>
      <w:r w:rsidRPr="00B85940" w:rsidR="00F860C7">
        <w:rPr>
          <w:lang w:val="uk-UA"/>
        </w:rPr>
        <w:t>місцевого самоврядування</w:t>
      </w:r>
      <w:r w:rsidRPr="00B85940" w:rsidR="004330D1">
        <w:rPr>
          <w:lang w:val="uk-UA"/>
        </w:rPr>
        <w:t xml:space="preserve">) і що </w:t>
      </w:r>
      <w:r w:rsidRPr="00B85940" w:rsidR="00F860C7">
        <w:rPr>
          <w:lang w:val="uk-UA"/>
        </w:rPr>
        <w:t xml:space="preserve">останній власник </w:t>
      </w:r>
      <w:r w:rsidRPr="00B85940" w:rsidR="004330D1">
        <w:rPr>
          <w:lang w:val="uk-UA"/>
        </w:rPr>
        <w:t xml:space="preserve">є добросовісним набувачем. </w:t>
      </w:r>
      <w:r w:rsidRPr="00B85940" w:rsidR="0033650C">
        <w:rPr>
          <w:lang w:val="uk-UA"/>
        </w:rPr>
        <w:t xml:space="preserve">Дійсно, </w:t>
      </w:r>
      <w:r w:rsidRPr="00B85940" w:rsidR="004330D1">
        <w:rPr>
          <w:lang w:val="uk-UA"/>
        </w:rPr>
        <w:t>нове законодавство не може виправити ситуацію заявни</w:t>
      </w:r>
      <w:r w:rsidRPr="00B85940" w:rsidR="0033650C">
        <w:rPr>
          <w:lang w:val="uk-UA"/>
        </w:rPr>
        <w:t>ці</w:t>
      </w:r>
      <w:r w:rsidRPr="00B85940" w:rsidR="004330D1">
        <w:rPr>
          <w:lang w:val="uk-UA"/>
        </w:rPr>
        <w:t xml:space="preserve">, оскільки воно застосовується лише до майбутніх справ (зі зворотною дією лише для справ, </w:t>
      </w:r>
      <w:r w:rsidRPr="00B85940" w:rsidR="0033650C">
        <w:rPr>
          <w:lang w:val="uk-UA"/>
        </w:rPr>
        <w:t>що перебувають на розгляді судів першої інстанції</w:t>
      </w:r>
      <w:r w:rsidRPr="00B85940" w:rsidR="004330D1">
        <w:rPr>
          <w:lang w:val="uk-UA"/>
        </w:rPr>
        <w:t xml:space="preserve">), </w:t>
      </w:r>
      <w:r w:rsidRPr="00B85940" w:rsidR="0033650C">
        <w:rPr>
          <w:lang w:val="uk-UA"/>
        </w:rPr>
        <w:t>проте</w:t>
      </w:r>
      <w:r w:rsidRPr="00B85940" w:rsidR="004330D1">
        <w:rPr>
          <w:lang w:val="uk-UA"/>
        </w:rPr>
        <w:t xml:space="preserve"> Суд вважає, що такий підхід </w:t>
      </w:r>
      <w:r w:rsidRPr="00B85940" w:rsidR="0033650C">
        <w:rPr>
          <w:lang w:val="uk-UA"/>
        </w:rPr>
        <w:t xml:space="preserve">відображає </w:t>
      </w:r>
      <w:r w:rsidRPr="00B85940" w:rsidR="004330D1">
        <w:rPr>
          <w:lang w:val="uk-UA"/>
        </w:rPr>
        <w:t xml:space="preserve">погляд законодавця на спосіб вирішення </w:t>
      </w:r>
      <w:r w:rsidRPr="00B85940" w:rsidR="0033650C">
        <w:rPr>
          <w:lang w:val="uk-UA"/>
        </w:rPr>
        <w:t xml:space="preserve">відповідних </w:t>
      </w:r>
      <w:r w:rsidRPr="00B85940" w:rsidR="004330D1">
        <w:rPr>
          <w:lang w:val="uk-UA"/>
        </w:rPr>
        <w:t>складних ситуацій, як</w:t>
      </w:r>
      <w:r w:rsidRPr="00B85940" w:rsidR="0033650C">
        <w:rPr>
          <w:lang w:val="uk-UA"/>
        </w:rPr>
        <w:t xml:space="preserve"> у</w:t>
      </w:r>
      <w:r w:rsidRPr="00B85940" w:rsidR="004330D1">
        <w:rPr>
          <w:lang w:val="uk-UA"/>
        </w:rPr>
        <w:t xml:space="preserve"> цій справі.</w:t>
      </w:r>
    </w:p>
    <w:p w:rsidRPr="00B85940" w:rsidR="0033650C" w:rsidP="00B85940" w14:paraId="14342F31" w14:textId="77777777">
      <w:pPr>
        <w:pStyle w:val="JuPara"/>
        <w:rPr>
          <w:lang w:val="uk-UA"/>
        </w:rPr>
      </w:pPr>
      <w:r w:rsidRPr="00B85940">
        <w:rPr>
          <w:lang w:val="uk-UA"/>
        </w:rPr>
        <w:t>50.  </w:t>
      </w:r>
      <w:r w:rsidRPr="00B85940">
        <w:rPr>
          <w:lang w:val="uk-UA"/>
        </w:rPr>
        <w:t xml:space="preserve">Насамкінець стосовно аргументу Уряду, що заявниця могла б вимагати за статтею 390 Цивільного кодексу України відшкодування вартості будь-яких здійснених </w:t>
      </w:r>
      <w:r w:rsidRPr="00B85940" w:rsidR="00F860C7">
        <w:rPr>
          <w:lang w:val="uk-UA"/>
        </w:rPr>
        <w:t xml:space="preserve">поліпшень </w:t>
      </w:r>
      <w:r w:rsidRPr="00B85940">
        <w:rPr>
          <w:lang w:val="uk-UA"/>
        </w:rPr>
        <w:t xml:space="preserve">або понесених витрат на утримання майна, Суд зазначає, що навіть </w:t>
      </w:r>
      <w:r w:rsidRPr="00B85940" w:rsidR="00F860C7">
        <w:rPr>
          <w:lang w:val="uk-UA"/>
        </w:rPr>
        <w:t>припустивши</w:t>
      </w:r>
      <w:r w:rsidRPr="00B85940">
        <w:rPr>
          <w:lang w:val="uk-UA"/>
        </w:rPr>
        <w:t>, що цей спосіб був доступним на практиці та ефективним, він не передбачав відшкодування шкоди за втрату майна як такого.</w:t>
      </w:r>
    </w:p>
    <w:p w:rsidRPr="00B85940" w:rsidR="0033650C" w:rsidP="00B85940" w14:paraId="310331E9" w14:textId="77777777">
      <w:pPr>
        <w:pStyle w:val="JuPara"/>
        <w:rPr>
          <w:lang w:val="uk-UA"/>
        </w:rPr>
      </w:pPr>
      <w:r w:rsidRPr="00B85940">
        <w:rPr>
          <w:lang w:val="uk-UA"/>
        </w:rPr>
        <w:t>51.  </w:t>
      </w:r>
      <w:r w:rsidRPr="00B85940">
        <w:rPr>
          <w:lang w:val="uk-UA"/>
        </w:rPr>
        <w:t xml:space="preserve">З огляду на наведені міркування Суд </w:t>
      </w:r>
      <w:r w:rsidRPr="00B85940" w:rsidR="00F860C7">
        <w:rPr>
          <w:lang w:val="uk-UA"/>
        </w:rPr>
        <w:t xml:space="preserve">доходить </w:t>
      </w:r>
      <w:r w:rsidRPr="00B85940">
        <w:rPr>
          <w:lang w:val="uk-UA"/>
        </w:rPr>
        <w:t>висновку, що втручання у майнові права заявниці, окрім того, що викликало сумніви стосовно його законності, поклало на неї непропорційний тягар. Отже, було порушено статтю 1 Першого протоколу до Конвенції.</w:t>
      </w:r>
    </w:p>
    <w:p w:rsidRPr="00B85940" w:rsidR="00862459" w:rsidP="00B85940" w14:paraId="629E7994" w14:textId="77777777">
      <w:pPr>
        <w:pStyle w:val="JuHIRoman"/>
        <w:tabs>
          <w:tab w:val="left" w:pos="567"/>
          <w:tab w:val="left" w:pos="680"/>
        </w:tabs>
        <w:ind w:left="397" w:hanging="397"/>
        <w:rPr>
          <w:lang w:val="uk-UA"/>
        </w:rPr>
      </w:pPr>
      <w:r w:rsidRPr="00B85940">
        <w:rPr>
          <w:lang w:val="uk-UA"/>
        </w:rPr>
        <w:t>ЗАСТОСУВАННЯ СТАТЕЙ 41 ТА 46 КОНВЕНЦІЇ</w:t>
      </w:r>
    </w:p>
    <w:p w:rsidRPr="00B85940" w:rsidR="00862459" w:rsidP="00B85940" w14:paraId="74AB1CF9" w14:textId="77777777">
      <w:pPr>
        <w:pStyle w:val="JuPara"/>
        <w:rPr>
          <w:lang w:val="uk-UA"/>
        </w:rPr>
      </w:pPr>
      <w:r w:rsidRPr="00B85940">
        <w:rPr>
          <w:lang w:val="uk-UA"/>
        </w:rPr>
        <w:t>52.  Стаття 41 Конвенції передбачає:</w:t>
      </w:r>
    </w:p>
    <w:p w:rsidRPr="00B85940" w:rsidR="00862459" w:rsidP="00B85940" w14:paraId="6383601C" w14:textId="77777777">
      <w:pPr>
        <w:pStyle w:val="JuQuot"/>
        <w:rPr>
          <w:lang w:val="uk-UA"/>
        </w:rPr>
      </w:pPr>
      <w:r w:rsidRPr="00B85940">
        <w:rPr>
          <w:lang w:val="uk-UA"/>
        </w:rPr>
        <w:t>«Якщо Суд визнає факт порушення Конвенції або протоколів до неї і якщо внутрішнє право відповідної Високої Договірної Сторони передбачає лише часткове відшкодування, Суд, у разі необхідності, надає потерпілій стороні справедливу сатисфакцію.»</w:t>
      </w:r>
    </w:p>
    <w:p w:rsidRPr="00B85940" w:rsidR="00862459" w:rsidP="00B85940" w14:paraId="420B027D" w14:textId="77777777">
      <w:pPr>
        <w:pStyle w:val="JuParaLast"/>
        <w:rPr>
          <w:lang w:val="uk-UA"/>
        </w:rPr>
      </w:pPr>
      <w:r w:rsidRPr="00B85940">
        <w:rPr>
          <w:lang w:val="uk-UA"/>
        </w:rPr>
        <w:t>53.  Відповідна частина статті 46 Конвенції передбачає:</w:t>
      </w:r>
    </w:p>
    <w:p w:rsidRPr="00B85940" w:rsidR="00FB30D3" w:rsidP="00B85940" w14:paraId="3B6B59F7" w14:textId="3F92B322">
      <w:pPr>
        <w:pStyle w:val="JuQuot"/>
        <w:rPr>
          <w:lang w:val="uk-UA"/>
        </w:rPr>
      </w:pPr>
      <w:r w:rsidRPr="00B85940">
        <w:rPr>
          <w:lang w:val="uk-UA"/>
        </w:rPr>
        <w:t>«1.  Високі Договірні Сторони зобов</w:t>
      </w:r>
      <w:r w:rsidRPr="00B85940" w:rsidR="00B85940">
        <w:rPr>
          <w:lang w:val="uk-UA"/>
        </w:rPr>
        <w:t>’</w:t>
      </w:r>
      <w:r w:rsidRPr="00B85940">
        <w:rPr>
          <w:lang w:val="uk-UA"/>
        </w:rPr>
        <w:t>язуються виконувати остаточні рішення Суду в будь-яких справах, у яких вони є сторонами.</w:t>
      </w:r>
    </w:p>
    <w:p w:rsidRPr="00B85940" w:rsidR="00FB30D3" w:rsidP="00B85940" w14:paraId="2067296E" w14:textId="77777777">
      <w:pPr>
        <w:pStyle w:val="JuQuot"/>
        <w:rPr>
          <w:lang w:val="uk-UA"/>
        </w:rPr>
      </w:pPr>
      <w:r w:rsidRPr="00B85940">
        <w:rPr>
          <w:lang w:val="uk-UA"/>
        </w:rPr>
        <w:t>2.  Остаточне рішення Суду передається Комітету Міністрів, який здійснює нагляд за його виконанням.»</w:t>
      </w:r>
    </w:p>
    <w:p w:rsidRPr="00B85940" w:rsidR="00BB5A4F" w:rsidP="00B85940" w14:paraId="30AD2C7D" w14:textId="77777777">
      <w:pPr>
        <w:pStyle w:val="JuPara"/>
        <w:rPr>
          <w:lang w:val="uk-UA"/>
        </w:rPr>
      </w:pPr>
      <w:r w:rsidRPr="00B85940">
        <w:rPr>
          <w:lang w:val="uk-UA"/>
        </w:rPr>
        <w:t>54.  </w:t>
      </w:r>
      <w:r w:rsidRPr="00B85940">
        <w:rPr>
          <w:lang w:val="uk-UA"/>
        </w:rPr>
        <w:t xml:space="preserve">Заявниця вимагала </w:t>
      </w:r>
      <w:r w:rsidRPr="00B85940" w:rsidR="008D0526">
        <w:rPr>
          <w:lang w:val="uk-UA"/>
        </w:rPr>
        <w:t xml:space="preserve">справедливу сатисфакцію </w:t>
      </w:r>
      <w:r w:rsidRPr="00B85940">
        <w:rPr>
          <w:lang w:val="uk-UA"/>
        </w:rPr>
        <w:t>у формі повернення земельної ділянки або відшкодування у грошовій формі. Останнє, на її думку, становило 11 360 808,33 українських гривень (далі – грн; еквівалент приблизно 279 300 євро на момент подання заявницею вимоги про справедливу сатисфакцію), що становило загальну вартість 14 земельних ділянок (3 029 145 грн), «інфляційні втрати» за період з 2014 до 2023 роки (</w:t>
      </w:r>
      <w:r w:rsidRPr="00B85940" w:rsidR="00633F2E">
        <w:rPr>
          <w:lang w:val="uk-UA"/>
        </w:rPr>
        <w:t>7 491 075,59</w:t>
      </w:r>
      <w:r w:rsidRPr="00B85940" w:rsidR="00B91DB1">
        <w:rPr>
          <w:lang w:val="uk-UA"/>
        </w:rPr>
        <w:t xml:space="preserve"> </w:t>
      </w:r>
      <w:r w:rsidRPr="00B85940">
        <w:rPr>
          <w:lang w:val="uk-UA"/>
        </w:rPr>
        <w:t>грн) та «3% річних пені» за той самий період (840 587,74 гривень). На підтвердження вона надала висновок щодо оцінки від 11 січня 2024 року, підготовлений експертом.</w:t>
      </w:r>
    </w:p>
    <w:p w:rsidRPr="00B85940" w:rsidR="00502888" w:rsidP="00B85940" w14:paraId="7E9094D8" w14:textId="77777777">
      <w:pPr>
        <w:pStyle w:val="JuPara"/>
        <w:rPr>
          <w:lang w:val="uk-UA"/>
        </w:rPr>
      </w:pPr>
      <w:r w:rsidRPr="00B85940">
        <w:rPr>
          <w:lang w:val="uk-UA"/>
        </w:rPr>
        <w:t>55.  </w:t>
      </w:r>
      <w:r w:rsidRPr="00B85940">
        <w:rPr>
          <w:lang w:val="uk-UA"/>
        </w:rPr>
        <w:t xml:space="preserve">Уряд заперечив проти цих вимог, повторивши свою позицію, що заява була неприйнятною чи що порушення прав заявниці не було, а заявниця все ще </w:t>
      </w:r>
      <w:r w:rsidRPr="00B85940" w:rsidR="008D0526">
        <w:rPr>
          <w:lang w:val="uk-UA"/>
        </w:rPr>
        <w:t xml:space="preserve">могла </w:t>
      </w:r>
      <w:r w:rsidRPr="00B85940">
        <w:rPr>
          <w:lang w:val="uk-UA"/>
        </w:rPr>
        <w:t>подати позов до суду проти продавців задля стягнення сплаченої ціни та відшкодування шкоди.</w:t>
      </w:r>
    </w:p>
    <w:p w:rsidRPr="00B85940" w:rsidR="00502888" w:rsidP="00B85940" w14:paraId="0BAB0FB8" w14:textId="77777777">
      <w:pPr>
        <w:pStyle w:val="JuPara"/>
        <w:rPr>
          <w:lang w:val="uk-UA"/>
        </w:rPr>
      </w:pPr>
      <w:r w:rsidRPr="00B85940">
        <w:rPr>
          <w:lang w:val="uk-UA"/>
        </w:rPr>
        <w:t>56.  </w:t>
      </w:r>
      <w:r w:rsidRPr="00B85940">
        <w:rPr>
          <w:lang w:val="uk-UA"/>
        </w:rPr>
        <w:t xml:space="preserve">Стосовно останнього аргументу Уряду Суд зауважує, що, вочевидь, заявниця не ініціювала такого провадження. Навіть </w:t>
      </w:r>
      <w:r w:rsidRPr="00B85940" w:rsidR="008D0526">
        <w:rPr>
          <w:lang w:val="uk-UA"/>
        </w:rPr>
        <w:t>припустивши</w:t>
      </w:r>
      <w:r w:rsidRPr="00B85940">
        <w:rPr>
          <w:lang w:val="uk-UA"/>
        </w:rPr>
        <w:t xml:space="preserve">, що це все ще може </w:t>
      </w:r>
      <w:r w:rsidRPr="00B85940" w:rsidR="008D0526">
        <w:rPr>
          <w:lang w:val="uk-UA"/>
        </w:rPr>
        <w:t>було зробити</w:t>
      </w:r>
      <w:r w:rsidRPr="00B85940">
        <w:rPr>
          <w:lang w:val="uk-UA"/>
        </w:rPr>
        <w:t>, незважаючи на плин часу, Суд, враховуючи договірну основу потенційних відповідних вимог, не вважає, що доступність такого провадження прирівнюється до доступності «відшкодування» у розумінні статті 41 Конвенції, внаслідок чого присудження Судом справедливої сатисфакції може не вважатися доречним або необхідним. Суд також вважає, що Уряд не стверджував, що національні суди, розглядаючи позов заявниці проти продавців у майбутньому, не зможуть врахувати присуджене Судом відшкодування матеріальної шкоди у цьому рішенні. Тому Суд перейде до розгляду вимоги заявниці про справедливу сатисфакцію.</w:t>
      </w:r>
    </w:p>
    <w:p w:rsidRPr="00B85940" w:rsidR="00502888" w:rsidP="00B85940" w14:paraId="3C86B307" w14:textId="504545F1">
      <w:pPr>
        <w:pStyle w:val="JuPara"/>
        <w:rPr>
          <w:lang w:val="uk-UA"/>
        </w:rPr>
      </w:pPr>
      <w:r w:rsidRPr="00B85940">
        <w:rPr>
          <w:lang w:val="uk-UA"/>
        </w:rPr>
        <w:t>57.  </w:t>
      </w:r>
      <w:r w:rsidRPr="00B85940">
        <w:rPr>
          <w:lang w:val="uk-UA"/>
        </w:rPr>
        <w:t xml:space="preserve">У цій справі Суд встановив, що визнання </w:t>
      </w:r>
      <w:r w:rsidRPr="00B85940" w:rsidR="008D0526">
        <w:rPr>
          <w:lang w:val="uk-UA"/>
        </w:rPr>
        <w:t xml:space="preserve">недійсним </w:t>
      </w:r>
      <w:r w:rsidRPr="00B85940">
        <w:rPr>
          <w:lang w:val="uk-UA"/>
        </w:rPr>
        <w:t>права власності заявниці на 28 га землі без відшкодування шкоди було непропорційним заходом. Тому він вважає, що існує прямий причинно-наслідковий зв</w:t>
      </w:r>
      <w:r w:rsidRPr="00B85940" w:rsidR="00B85940">
        <w:rPr>
          <w:lang w:val="uk-UA"/>
        </w:rPr>
        <w:t>’</w:t>
      </w:r>
      <w:r w:rsidRPr="00B85940">
        <w:rPr>
          <w:lang w:val="uk-UA"/>
        </w:rPr>
        <w:t>язок між встановленим порушенням та вимогою заявниці щодо вартості майна. Стосовно решти її вимог щодо матеріальної шкоди, Суд не вбачає жодного причинно-наслідкового зв</w:t>
      </w:r>
      <w:r w:rsidRPr="00B85940" w:rsidR="00B85940">
        <w:rPr>
          <w:lang w:val="uk-UA"/>
        </w:rPr>
        <w:t>’</w:t>
      </w:r>
      <w:r w:rsidRPr="00B85940">
        <w:rPr>
          <w:lang w:val="uk-UA"/>
        </w:rPr>
        <w:t xml:space="preserve">язку між встановленим порушенням та «інфляцією» </w:t>
      </w:r>
      <w:r w:rsidRPr="00B85940" w:rsidR="00EE68A0">
        <w:rPr>
          <w:lang w:val="uk-UA"/>
        </w:rPr>
        <w:t>чи</w:t>
      </w:r>
      <w:r w:rsidRPr="00B85940">
        <w:rPr>
          <w:lang w:val="uk-UA"/>
        </w:rPr>
        <w:t xml:space="preserve"> «пенею»,</w:t>
      </w:r>
      <w:r w:rsidRPr="00B85940" w:rsidR="00EE68A0">
        <w:rPr>
          <w:lang w:val="uk-UA"/>
        </w:rPr>
        <w:t xml:space="preserve"> які вимагалися,</w:t>
      </w:r>
      <w:r w:rsidRPr="00B85940">
        <w:rPr>
          <w:lang w:val="uk-UA"/>
        </w:rPr>
        <w:t xml:space="preserve"> враховуючи також, що заявниця не пояснила ці вимоги.</w:t>
      </w:r>
    </w:p>
    <w:p w:rsidRPr="00B85940" w:rsidR="00EE68A0" w:rsidP="00B85940" w14:paraId="168EDB54" w14:textId="56F02608">
      <w:pPr>
        <w:pStyle w:val="JuPara"/>
        <w:rPr>
          <w:lang w:val="uk-UA"/>
        </w:rPr>
      </w:pPr>
      <w:r w:rsidRPr="00B85940">
        <w:rPr>
          <w:lang w:val="uk-UA"/>
        </w:rPr>
        <w:t>58.  </w:t>
      </w:r>
      <w:r w:rsidRPr="00B85940">
        <w:rPr>
          <w:lang w:val="uk-UA"/>
        </w:rPr>
        <w:t>Стосовно пунктів 1 і 2 статті 46 Конвенції Суд повторює, що рішення, в якому він встановлює порушення Конвенції або протоколів до неї, покладає на державу-відповідача обов</w:t>
      </w:r>
      <w:r w:rsidRPr="00B85940" w:rsidR="00B85940">
        <w:rPr>
          <w:lang w:val="uk-UA"/>
        </w:rPr>
        <w:t>’</w:t>
      </w:r>
      <w:r w:rsidRPr="00B85940">
        <w:rPr>
          <w:lang w:val="uk-UA"/>
        </w:rPr>
        <w:t xml:space="preserve">язок обрати, за умови нагляду Комітету </w:t>
      </w:r>
      <w:r w:rsidRPr="00B85940" w:rsidR="00563B58">
        <w:rPr>
          <w:lang w:val="uk-UA"/>
        </w:rPr>
        <w:t>Міністрів</w:t>
      </w:r>
      <w:r w:rsidRPr="00B85940">
        <w:rPr>
          <w:lang w:val="uk-UA"/>
        </w:rPr>
        <w:t>, заходи загального та/або, за необхідності, індивідуального характеру, які повинні бути запроваджені в національній правовій системі з метою припинення порушення та застосувати всі можливі шляхи виправлення його наслідків у такий спосіб, щоб відновити, наскільки це можливо, ситуацію, яка існувала б, якби порушення не відбулося. Крім того, з Конвенції, та її статті 1, зокрема, випливає, що, ратифікуючи Конвенцію та протоколи до неї, Договірні Сторони зобов</w:t>
      </w:r>
      <w:r w:rsidRPr="00B85940" w:rsidR="00B85940">
        <w:rPr>
          <w:lang w:val="uk-UA"/>
        </w:rPr>
        <w:t>’</w:t>
      </w:r>
      <w:r w:rsidRPr="00B85940">
        <w:rPr>
          <w:lang w:val="uk-UA"/>
        </w:rPr>
        <w:t xml:space="preserve">язуються забезпечити відповідність їм національного законодавства (див., серед інших джерел, рішення у справах «Центр юридичних ресурсів в інтересах Валентина Кимпеану проти Румунії» </w:t>
      </w:r>
      <w:r w:rsidRPr="00B85940">
        <w:rPr>
          <w:i/>
          <w:iCs/>
          <w:lang w:val="uk-UA"/>
        </w:rPr>
        <w:t>(Centre for Legal Resources on behalf of Valentin Câmpeanu v. Romania)</w:t>
      </w:r>
      <w:r w:rsidRPr="00B85940">
        <w:rPr>
          <w:lang w:val="uk-UA"/>
        </w:rPr>
        <w:t xml:space="preserve">, заява № 47848/08, пункти 158 і 159, ЄСПЛ 2014; «Юрій Миколайович Іванов проти України» </w:t>
      </w:r>
      <w:r w:rsidRPr="00B85940">
        <w:rPr>
          <w:i/>
          <w:iCs/>
          <w:lang w:val="uk-UA"/>
        </w:rPr>
        <w:t>(Yuriy Nikolayevich Ivanov v. Ukraine)</w:t>
      </w:r>
      <w:r w:rsidRPr="00B85940">
        <w:rPr>
          <w:lang w:val="uk-UA"/>
        </w:rPr>
        <w:t xml:space="preserve">, заява № 40450/04, пункт 78, від 15 жовтня 2009 року та «Броньовські проти Польщі» [ВП] </w:t>
      </w:r>
      <w:r w:rsidRPr="00B85940">
        <w:rPr>
          <w:i/>
          <w:iCs/>
          <w:lang w:val="uk-UA"/>
        </w:rPr>
        <w:t>(Broniowski v. Poland)</w:t>
      </w:r>
      <w:r w:rsidRPr="00B85940">
        <w:rPr>
          <w:lang w:val="uk-UA"/>
        </w:rPr>
        <w:t xml:space="preserve"> [GC], заява № 31443/96, пункт 194, ЄСПЛ 2004-V). Проте за певних особливих обставин Суд визнавав корисним вказати державі-відповідачу тип заходу – індивідуального та/або загального характеру – який могло бути вжито, щоб виправити ситуацію, яка призвела до встановлення порушення (див., наприклад, згадане рішення у справі «Броньовські проти Польщі» </w:t>
      </w:r>
      <w:r w:rsidRPr="00B85940">
        <w:rPr>
          <w:i/>
          <w:iCs/>
          <w:lang w:val="uk-UA"/>
        </w:rPr>
        <w:t>(Broniowski v. Poland)</w:t>
      </w:r>
      <w:r w:rsidRPr="00B85940">
        <w:rPr>
          <w:lang w:val="uk-UA"/>
        </w:rPr>
        <w:t>, пункт 194).</w:t>
      </w:r>
    </w:p>
    <w:p w:rsidRPr="00B85940" w:rsidR="00EE68A0" w:rsidP="00B85940" w14:paraId="0180D972" w14:textId="77777777">
      <w:pPr>
        <w:pStyle w:val="JuPara"/>
        <w:rPr>
          <w:lang w:val="uk-UA"/>
        </w:rPr>
      </w:pPr>
      <w:r w:rsidRPr="00B85940">
        <w:rPr>
          <w:lang w:val="uk-UA"/>
        </w:rPr>
        <w:t>59.  </w:t>
      </w:r>
      <w:r w:rsidRPr="00B85940">
        <w:rPr>
          <w:lang w:val="uk-UA"/>
        </w:rPr>
        <w:t xml:space="preserve">Беручи до уваги свої висновки у цій справі (див. пункт 48), Суд вважає, що заявниця має бути поставлена, наскільки це можливо, у ситуацію, еквівалентну тій, у якій </w:t>
      </w:r>
      <w:r w:rsidRPr="00B85940" w:rsidR="00563B58">
        <w:rPr>
          <w:lang w:val="uk-UA"/>
        </w:rPr>
        <w:t xml:space="preserve">вона </w:t>
      </w:r>
      <w:r w:rsidRPr="00B85940">
        <w:rPr>
          <w:lang w:val="uk-UA"/>
        </w:rPr>
        <w:t xml:space="preserve">б </w:t>
      </w:r>
      <w:r w:rsidRPr="00B85940" w:rsidR="00563B58">
        <w:rPr>
          <w:lang w:val="uk-UA"/>
        </w:rPr>
        <w:t>перебувала</w:t>
      </w:r>
      <w:r w:rsidRPr="00B85940">
        <w:rPr>
          <w:lang w:val="uk-UA"/>
        </w:rPr>
        <w:t xml:space="preserve">, якби порушення статті 1 Першого протоколу до Конвенції не було, </w:t>
      </w:r>
      <w:r w:rsidRPr="00B85940" w:rsidR="004F7CCE">
        <w:rPr>
          <w:lang w:val="uk-UA"/>
        </w:rPr>
        <w:t>у спосіб</w:t>
      </w:r>
      <w:r w:rsidRPr="00B85940">
        <w:rPr>
          <w:lang w:val="uk-UA"/>
        </w:rPr>
        <w:t xml:space="preserve"> повного повернення заявниці права власності на витребувану земельну ділянку (</w:t>
      </w:r>
      <w:r w:rsidRPr="00B85940" w:rsidR="004F7CCE">
        <w:rPr>
          <w:lang w:val="uk-UA"/>
        </w:rPr>
        <w:t>шляхом повторного відкриття провадження на національному рівні, якщо це можливо</w:t>
      </w:r>
      <w:r w:rsidRPr="00B85940">
        <w:rPr>
          <w:lang w:val="uk-UA"/>
        </w:rPr>
        <w:t xml:space="preserve">, або іншими засобами). Якщо це </w:t>
      </w:r>
      <w:r w:rsidRPr="00B85940" w:rsidR="004F7CCE">
        <w:rPr>
          <w:lang w:val="uk-UA"/>
        </w:rPr>
        <w:t>неможливо</w:t>
      </w:r>
      <w:r w:rsidRPr="00B85940">
        <w:rPr>
          <w:lang w:val="uk-UA"/>
        </w:rPr>
        <w:t xml:space="preserve">, держава-відповідач повинна надати </w:t>
      </w:r>
      <w:r w:rsidRPr="00B85940" w:rsidR="004F7CCE">
        <w:rPr>
          <w:lang w:val="uk-UA"/>
        </w:rPr>
        <w:t xml:space="preserve">відшкодування у </w:t>
      </w:r>
      <w:r w:rsidRPr="00B85940">
        <w:rPr>
          <w:lang w:val="uk-UA"/>
        </w:rPr>
        <w:t>грошов</w:t>
      </w:r>
      <w:r w:rsidRPr="00B85940" w:rsidR="004F7CCE">
        <w:rPr>
          <w:lang w:val="uk-UA"/>
        </w:rPr>
        <w:t>ій формі</w:t>
      </w:r>
      <w:r w:rsidRPr="00B85940">
        <w:rPr>
          <w:lang w:val="uk-UA"/>
        </w:rPr>
        <w:t xml:space="preserve"> (</w:t>
      </w:r>
      <w:r w:rsidRPr="00B85940" w:rsidR="004F7CCE">
        <w:rPr>
          <w:lang w:val="uk-UA"/>
        </w:rPr>
        <w:t>розрахованої відповідно до національних вимог щодо оцінки майна та практики Суду</w:t>
      </w:r>
      <w:r w:rsidRPr="00B85940">
        <w:rPr>
          <w:lang w:val="uk-UA"/>
        </w:rPr>
        <w:t>)</w:t>
      </w:r>
      <w:r w:rsidRPr="00B85940" w:rsidR="004F7CCE">
        <w:rPr>
          <w:lang w:val="uk-UA"/>
        </w:rPr>
        <w:t>,</w:t>
      </w:r>
      <w:r w:rsidRPr="00B85940">
        <w:rPr>
          <w:lang w:val="uk-UA"/>
        </w:rPr>
        <w:t xml:space="preserve"> </w:t>
      </w:r>
      <w:r w:rsidRPr="00B85940" w:rsidR="004F7CCE">
        <w:rPr>
          <w:lang w:val="uk-UA"/>
        </w:rPr>
        <w:t xml:space="preserve">або </w:t>
      </w:r>
      <w:r w:rsidRPr="00B85940" w:rsidR="008D0526">
        <w:rPr>
          <w:lang w:val="uk-UA"/>
        </w:rPr>
        <w:t xml:space="preserve">надати рівнозначне майно </w:t>
      </w:r>
      <w:r w:rsidRPr="00B85940">
        <w:rPr>
          <w:lang w:val="uk-UA"/>
        </w:rPr>
        <w:t xml:space="preserve">(див. </w:t>
      </w:r>
      <w:r w:rsidRPr="00B85940" w:rsidR="004F7CCE">
        <w:rPr>
          <w:lang w:val="uk-UA"/>
        </w:rPr>
        <w:t xml:space="preserve">рішення у справі «Молла Салі </w:t>
      </w:r>
      <w:r w:rsidRPr="00B85940">
        <w:rPr>
          <w:lang w:val="uk-UA"/>
        </w:rPr>
        <w:t>проти Греції</w:t>
      </w:r>
      <w:r w:rsidRPr="00B85940" w:rsidR="004F7CCE">
        <w:rPr>
          <w:lang w:val="uk-UA"/>
        </w:rPr>
        <w:t>»</w:t>
      </w:r>
      <w:r w:rsidRPr="00B85940">
        <w:rPr>
          <w:lang w:val="uk-UA"/>
        </w:rPr>
        <w:t xml:space="preserve"> (справедлива сатисфакція) [ВП]</w:t>
      </w:r>
      <w:r w:rsidRPr="00B85940" w:rsidR="004F7CCE">
        <w:rPr>
          <w:lang w:val="uk-UA"/>
        </w:rPr>
        <w:t xml:space="preserve"> </w:t>
      </w:r>
      <w:r w:rsidRPr="00B85940" w:rsidR="004F7CCE">
        <w:rPr>
          <w:i/>
          <w:iCs/>
          <w:lang w:val="uk-UA"/>
        </w:rPr>
        <w:t>(Molla Sali v. Greece)</w:t>
      </w:r>
      <w:r w:rsidRPr="00B85940" w:rsidR="004F7CCE">
        <w:rPr>
          <w:lang w:val="uk-UA"/>
        </w:rPr>
        <w:t xml:space="preserve"> (just satisfaction) [GC]</w:t>
      </w:r>
      <w:r w:rsidRPr="00B85940">
        <w:rPr>
          <w:lang w:val="uk-UA"/>
        </w:rPr>
        <w:t xml:space="preserve">, </w:t>
      </w:r>
      <w:r w:rsidRPr="00B85940" w:rsidR="004F7CCE">
        <w:rPr>
          <w:lang w:val="uk-UA"/>
        </w:rPr>
        <w:t xml:space="preserve">заява </w:t>
      </w:r>
      <w:r w:rsidRPr="00B85940">
        <w:rPr>
          <w:lang w:val="uk-UA"/>
        </w:rPr>
        <w:t>№</w:t>
      </w:r>
      <w:r w:rsidRPr="00B85940" w:rsidR="004F7CCE">
        <w:rPr>
          <w:lang w:val="uk-UA"/>
        </w:rPr>
        <w:t> </w:t>
      </w:r>
      <w:r w:rsidRPr="00B85940">
        <w:rPr>
          <w:lang w:val="uk-UA"/>
        </w:rPr>
        <w:t xml:space="preserve">20452/14, </w:t>
      </w:r>
      <w:r w:rsidRPr="00B85940" w:rsidR="004F7CCE">
        <w:rPr>
          <w:lang w:val="uk-UA"/>
        </w:rPr>
        <w:t>пункт</w:t>
      </w:r>
      <w:r w:rsidRPr="00B85940">
        <w:rPr>
          <w:lang w:val="uk-UA"/>
        </w:rPr>
        <w:t xml:space="preserve"> 32,</w:t>
      </w:r>
      <w:r w:rsidRPr="00B85940" w:rsidR="004F7CCE">
        <w:rPr>
          <w:lang w:val="uk-UA"/>
        </w:rPr>
        <w:t xml:space="preserve"> від</w:t>
      </w:r>
      <w:r w:rsidRPr="00B85940">
        <w:rPr>
          <w:lang w:val="uk-UA"/>
        </w:rPr>
        <w:t xml:space="preserve"> </w:t>
      </w:r>
      <w:r w:rsidRPr="00B85940" w:rsidR="0018605D">
        <w:rPr>
          <w:lang w:val="uk-UA"/>
        </w:rPr>
        <w:t>18 </w:t>
      </w:r>
      <w:r w:rsidRPr="00B85940">
        <w:rPr>
          <w:lang w:val="uk-UA"/>
        </w:rPr>
        <w:t xml:space="preserve">червня 2020 року; </w:t>
      </w:r>
      <w:r w:rsidRPr="00B85940" w:rsidR="004F7CCE">
        <w:rPr>
          <w:lang w:val="uk-UA"/>
        </w:rPr>
        <w:t xml:space="preserve">згадані рішення у справах «Дроздик та Мікула проти України» </w:t>
      </w:r>
      <w:r w:rsidRPr="00B85940" w:rsidR="004F7CCE">
        <w:rPr>
          <w:i/>
          <w:iCs/>
          <w:lang w:val="uk-UA"/>
        </w:rPr>
        <w:t>(Drozdyk and Mikula v. Ukraine)</w:t>
      </w:r>
      <w:r w:rsidRPr="00B85940">
        <w:rPr>
          <w:lang w:val="uk-UA"/>
        </w:rPr>
        <w:t xml:space="preserve">, </w:t>
      </w:r>
      <w:r w:rsidRPr="00B85940" w:rsidR="004F7CCE">
        <w:rPr>
          <w:lang w:val="uk-UA"/>
        </w:rPr>
        <w:t>пункт</w:t>
      </w:r>
      <w:r w:rsidRPr="00B85940">
        <w:rPr>
          <w:lang w:val="uk-UA"/>
        </w:rPr>
        <w:t xml:space="preserve"> 62 та </w:t>
      </w:r>
      <w:r w:rsidRPr="00B85940" w:rsidR="004F7CCE">
        <w:rPr>
          <w:lang w:val="uk-UA"/>
        </w:rPr>
        <w:t xml:space="preserve">«Гладишева проти Росії» </w:t>
      </w:r>
      <w:r w:rsidRPr="00B85940" w:rsidR="004F7CCE">
        <w:rPr>
          <w:i/>
          <w:iCs/>
          <w:lang w:val="uk-UA"/>
        </w:rPr>
        <w:t>(Gladysheva v. Russia)</w:t>
      </w:r>
      <w:r w:rsidRPr="00B85940">
        <w:rPr>
          <w:lang w:val="uk-UA"/>
        </w:rPr>
        <w:t xml:space="preserve">, </w:t>
      </w:r>
      <w:r w:rsidRPr="00B85940" w:rsidR="004F7CCE">
        <w:rPr>
          <w:lang w:val="uk-UA"/>
        </w:rPr>
        <w:t>пункт</w:t>
      </w:r>
      <w:r w:rsidRPr="00B85940">
        <w:rPr>
          <w:lang w:val="uk-UA"/>
        </w:rPr>
        <w:t xml:space="preserve"> 106).</w:t>
      </w:r>
    </w:p>
    <w:p w:rsidRPr="00B85940" w:rsidR="004F7CCE" w:rsidP="00B85940" w14:paraId="4722992B" w14:textId="77777777">
      <w:pPr>
        <w:pStyle w:val="JuPara"/>
        <w:rPr>
          <w:lang w:val="uk-UA"/>
        </w:rPr>
      </w:pPr>
      <w:r w:rsidRPr="00B85940">
        <w:rPr>
          <w:lang w:val="uk-UA"/>
        </w:rPr>
        <w:t>60.  </w:t>
      </w:r>
      <w:r w:rsidRPr="00B85940">
        <w:rPr>
          <w:lang w:val="uk-UA"/>
        </w:rPr>
        <w:t xml:space="preserve">Заявниця не висунула вимог щодо відшкодування моральної шкоди або </w:t>
      </w:r>
      <w:r w:rsidRPr="00B85940" w:rsidR="001A023F">
        <w:rPr>
          <w:lang w:val="uk-UA"/>
        </w:rPr>
        <w:t xml:space="preserve">компенсації </w:t>
      </w:r>
      <w:r w:rsidRPr="00B85940">
        <w:rPr>
          <w:lang w:val="uk-UA"/>
        </w:rPr>
        <w:t>судових та інших витрат. Тому Суд нічого не присуджує за цими пунктами.</w:t>
      </w:r>
    </w:p>
    <w:p w:rsidRPr="00B85940" w:rsidR="00862459" w:rsidP="00B85940" w14:paraId="155AEDA7" w14:textId="77777777">
      <w:pPr>
        <w:pStyle w:val="JuHHead"/>
        <w:numPr>
          <w:ilvl w:val="0"/>
          <w:numId w:val="21"/>
        </w:numPr>
        <w:rPr>
          <w:lang w:val="uk-UA"/>
        </w:rPr>
      </w:pPr>
      <w:r w:rsidRPr="00B85940">
        <w:rPr>
          <w:lang w:val="uk-UA"/>
        </w:rPr>
        <w:t>ЗА ЦИХ ПІДСТАВ СУД ОДНОГОЛОСНО</w:t>
      </w:r>
    </w:p>
    <w:p w:rsidRPr="00B85940" w:rsidR="00862459" w:rsidP="00B85940" w14:paraId="5C5BD53E" w14:textId="77777777">
      <w:pPr>
        <w:pStyle w:val="JuList"/>
        <w:keepNext/>
        <w:keepLines/>
        <w:rPr>
          <w:iCs/>
          <w:lang w:val="uk-UA"/>
        </w:rPr>
      </w:pPr>
      <w:r w:rsidRPr="00B85940">
        <w:rPr>
          <w:i/>
          <w:iCs/>
          <w:lang w:val="uk-UA"/>
        </w:rPr>
        <w:t>Оголошує</w:t>
      </w:r>
      <w:r w:rsidRPr="00B85940">
        <w:rPr>
          <w:i/>
          <w:lang w:val="uk-UA"/>
        </w:rPr>
        <w:t xml:space="preserve"> </w:t>
      </w:r>
      <w:r w:rsidRPr="00B85940">
        <w:rPr>
          <w:iCs/>
          <w:lang w:val="uk-UA"/>
        </w:rPr>
        <w:t>заяву прийнятною;</w:t>
      </w:r>
    </w:p>
    <w:p w:rsidRPr="00B85940" w:rsidR="00862459" w:rsidP="00B85940" w14:paraId="4A10807E" w14:textId="77777777">
      <w:pPr>
        <w:pStyle w:val="JuList"/>
        <w:keepNext/>
        <w:keepLines/>
        <w:rPr>
          <w:lang w:val="uk-UA"/>
        </w:rPr>
      </w:pPr>
      <w:r w:rsidRPr="00B85940">
        <w:rPr>
          <w:i/>
          <w:iCs/>
          <w:lang w:val="uk-UA"/>
        </w:rPr>
        <w:t>Постановляє</w:t>
      </w:r>
      <w:r w:rsidRPr="00B85940">
        <w:rPr>
          <w:i/>
          <w:lang w:val="uk-UA"/>
        </w:rPr>
        <w:t>,</w:t>
      </w:r>
      <w:r w:rsidRPr="00B85940">
        <w:rPr>
          <w:iCs/>
          <w:lang w:val="uk-UA"/>
        </w:rPr>
        <w:t xml:space="preserve"> що було порушено статтю 1 Першого протоколу до Конвенції;</w:t>
      </w:r>
    </w:p>
    <w:p w:rsidRPr="00B85940" w:rsidR="00862459" w:rsidP="00B85940" w14:paraId="761E3ADC" w14:textId="77777777">
      <w:pPr>
        <w:pStyle w:val="JuList"/>
        <w:keepNext/>
        <w:keepLines/>
        <w:rPr>
          <w:lang w:val="uk-UA"/>
        </w:rPr>
      </w:pPr>
      <w:r w:rsidRPr="00B85940">
        <w:rPr>
          <w:i/>
          <w:lang w:val="uk-UA"/>
        </w:rPr>
        <w:t xml:space="preserve">Постановляє, </w:t>
      </w:r>
      <w:r w:rsidRPr="00B85940">
        <w:rPr>
          <w:iCs/>
          <w:lang w:val="uk-UA"/>
        </w:rPr>
        <w:t xml:space="preserve">що держава-відповідач повинна забезпечити належними засобами та протягом розумного терміну, </w:t>
      </w:r>
      <w:r w:rsidRPr="00B85940" w:rsidR="001A023F">
        <w:rPr>
          <w:iCs/>
          <w:lang w:val="uk-UA"/>
        </w:rPr>
        <w:t xml:space="preserve">повне </w:t>
      </w:r>
      <w:r w:rsidRPr="00B85940">
        <w:rPr>
          <w:iCs/>
          <w:lang w:val="uk-UA"/>
        </w:rPr>
        <w:t xml:space="preserve">повернення заявниці права власності на витребувану земельну ділянку </w:t>
      </w:r>
      <w:r w:rsidRPr="00B85940" w:rsidR="008276A5">
        <w:rPr>
          <w:lang w:val="uk-UA"/>
        </w:rPr>
        <w:t>або надати відшкодування у грошовій формі чи право власності на рівнозначне майно.</w:t>
      </w:r>
    </w:p>
    <w:p w:rsidRPr="00B85940" w:rsidR="008276A5" w:rsidP="00B85940" w14:paraId="00C50901" w14:textId="77777777">
      <w:pPr>
        <w:pStyle w:val="JuList"/>
        <w:keepNext/>
        <w:keepLines/>
        <w:rPr>
          <w:lang w:val="uk-UA"/>
        </w:rPr>
      </w:pPr>
      <w:r w:rsidRPr="00B85940">
        <w:rPr>
          <w:i/>
          <w:iCs/>
          <w:lang w:val="uk-UA"/>
        </w:rPr>
        <w:t xml:space="preserve">Відхиляє </w:t>
      </w:r>
      <w:r w:rsidRPr="00B85940">
        <w:rPr>
          <w:lang w:val="uk-UA"/>
        </w:rPr>
        <w:t>решту вимог заявниці щодо справедливої сатисфакції</w:t>
      </w:r>
      <w:r w:rsidRPr="00B85940">
        <w:rPr>
          <w:i/>
          <w:iCs/>
          <w:lang w:val="uk-UA"/>
        </w:rPr>
        <w:t>.</w:t>
      </w:r>
    </w:p>
    <w:p w:rsidRPr="00B85940" w:rsidR="008276A5" w:rsidP="00B85940" w14:paraId="21F7213D" w14:textId="77777777">
      <w:pPr>
        <w:pStyle w:val="JuParaLast"/>
        <w:rPr>
          <w:lang w:val="uk-UA"/>
        </w:rPr>
      </w:pPr>
      <w:r w:rsidRPr="00B85940">
        <w:rPr>
          <w:lang w:val="uk-UA"/>
        </w:rPr>
        <w:t xml:space="preserve">Учинено англійською мовою та повідомлено письмово 04 грудня 2025 року відповідно до пунктів 2 і 3 Правила 77 Регламенту Суду. </w:t>
      </w:r>
    </w:p>
    <w:tbl>
      <w:tblPr>
        <w:tblStyle w:val="TableGrid"/>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tblPr>
      <w:tblGrid>
        <w:gridCol w:w="3674"/>
        <w:gridCol w:w="3674"/>
      </w:tblGrid>
      <w:tr w:rsidTr="008276A5" w14:paraId="3B6D5BB7" w14:textId="77777777">
        <w:tblPrEx>
          <w:tblW w:w="0" w:type="auto"/>
          <w:tblLook w:val="04A0"/>
        </w:tblPrEx>
        <w:trPr>
          <w:trHeight w:val="60"/>
        </w:trPr>
        <w:tc>
          <w:tcPr>
            <w:tcW w:w="3674" w:type="dxa"/>
            <w:hideMark/>
          </w:tcPr>
          <w:p w:rsidRPr="00B85940" w:rsidR="008276A5" w:rsidP="00B85940" w14:paraId="20C2EBA4" w14:textId="77777777">
            <w:pPr>
              <w:pStyle w:val="ECHRPlaceholder"/>
              <w:tabs>
                <w:tab w:val="clear" w:pos="1418"/>
                <w:tab w:val="clear" w:pos="5954"/>
              </w:tabs>
              <w:spacing w:before="0"/>
              <w:jc w:val="center"/>
              <w:rPr>
                <w:color w:val="auto"/>
                <w:lang w:val="uk-UA"/>
              </w:rPr>
            </w:pPr>
            <w:r w:rsidRPr="00B85940">
              <w:rPr>
                <w:color w:val="auto"/>
                <w:lang w:val="uk-UA"/>
              </w:rPr>
              <w:t>Віктор Соловейчік</w:t>
            </w:r>
          </w:p>
          <w:p w:rsidRPr="00B85940" w:rsidR="008276A5" w:rsidP="00B85940" w14:paraId="70D6C6AF" w14:textId="77777777">
            <w:pPr>
              <w:pStyle w:val="ECHRPlaceholder"/>
              <w:tabs>
                <w:tab w:val="clear" w:pos="1418"/>
                <w:tab w:val="clear" w:pos="5954"/>
              </w:tabs>
              <w:spacing w:before="0"/>
              <w:jc w:val="center"/>
              <w:rPr>
                <w:i/>
                <w:iCs/>
                <w:color w:val="auto"/>
                <w:lang w:val="uk-UA"/>
              </w:rPr>
            </w:pPr>
            <w:r w:rsidRPr="00B85940">
              <w:rPr>
                <w:i/>
                <w:iCs/>
                <w:color w:val="auto"/>
                <w:lang w:val="uk-UA"/>
              </w:rPr>
              <w:t>(Victor Soloveytchik)</w:t>
            </w:r>
          </w:p>
          <w:p w:rsidRPr="00B85940" w:rsidR="008276A5" w:rsidP="00B85940" w14:paraId="7A91106F" w14:textId="77777777">
            <w:pPr>
              <w:pStyle w:val="ECHRPlaceholder"/>
              <w:tabs>
                <w:tab w:val="clear" w:pos="1418"/>
                <w:tab w:val="clear" w:pos="5954"/>
              </w:tabs>
              <w:spacing w:before="0"/>
              <w:jc w:val="center"/>
              <w:rPr>
                <w:color w:val="auto"/>
                <w:lang w:val="uk-UA"/>
              </w:rPr>
            </w:pPr>
            <w:r w:rsidRPr="00B85940">
              <w:rPr>
                <w:color w:val="auto"/>
                <w:lang w:val="uk-UA"/>
              </w:rPr>
              <w:t>Секретар</w:t>
            </w:r>
          </w:p>
        </w:tc>
        <w:tc>
          <w:tcPr>
            <w:tcW w:w="3674" w:type="dxa"/>
            <w:hideMark/>
          </w:tcPr>
          <w:p w:rsidRPr="00B85940" w:rsidR="008276A5" w:rsidP="00B85940" w14:paraId="2A30674A" w14:textId="77777777">
            <w:pPr>
              <w:pStyle w:val="ECHRPlaceholder"/>
              <w:tabs>
                <w:tab w:val="clear" w:pos="1418"/>
                <w:tab w:val="clear" w:pos="5954"/>
              </w:tabs>
              <w:spacing w:before="0"/>
              <w:jc w:val="center"/>
              <w:rPr>
                <w:bCs/>
                <w:color w:val="auto"/>
                <w:lang w:val="uk-UA"/>
              </w:rPr>
            </w:pPr>
            <w:r w:rsidRPr="00B85940">
              <w:rPr>
                <w:bCs/>
                <w:color w:val="auto"/>
                <w:lang w:val="uk-UA"/>
              </w:rPr>
              <w:t>Катержіна Шімачкова</w:t>
            </w:r>
          </w:p>
          <w:p w:rsidRPr="00B85940" w:rsidR="008276A5" w:rsidP="00B85940" w14:paraId="1DF74A31" w14:textId="77777777">
            <w:pPr>
              <w:pStyle w:val="ECHRPlaceholder"/>
              <w:tabs>
                <w:tab w:val="clear" w:pos="1418"/>
                <w:tab w:val="clear" w:pos="5954"/>
              </w:tabs>
              <w:spacing w:before="0"/>
              <w:jc w:val="center"/>
              <w:rPr>
                <w:i/>
                <w:iCs/>
                <w:color w:val="auto"/>
                <w:lang w:val="uk-UA"/>
              </w:rPr>
            </w:pPr>
            <w:r w:rsidRPr="00B85940">
              <w:rPr>
                <w:i/>
                <w:iCs/>
                <w:color w:val="auto"/>
                <w:lang w:val="uk-UA"/>
              </w:rPr>
              <w:t>(Kateřina Šimáčková)</w:t>
            </w:r>
          </w:p>
          <w:p w:rsidRPr="00B85940" w:rsidR="008276A5" w:rsidP="00B85940" w14:paraId="32E5F824" w14:textId="77777777">
            <w:pPr>
              <w:pStyle w:val="ECHRPlaceholder"/>
              <w:tabs>
                <w:tab w:val="clear" w:pos="1418"/>
                <w:tab w:val="clear" w:pos="5954"/>
              </w:tabs>
              <w:spacing w:before="0"/>
              <w:jc w:val="center"/>
              <w:rPr>
                <w:color w:val="auto"/>
                <w:lang w:val="uk-UA"/>
              </w:rPr>
            </w:pPr>
            <w:r w:rsidRPr="00B85940">
              <w:rPr>
                <w:color w:val="auto"/>
                <w:lang w:val="uk-UA"/>
              </w:rPr>
              <w:t>Голова</w:t>
            </w:r>
          </w:p>
        </w:tc>
      </w:tr>
    </w:tbl>
    <w:p w:rsidRPr="00B85940" w:rsidR="007E79A4" w:rsidP="00B85940" w14:paraId="6D643EC3" w14:textId="77777777">
      <w:pPr>
        <w:pStyle w:val="ECHRPlaceholder"/>
        <w:rPr>
          <w:szCs w:val="22"/>
          <w:lang w:val="uk-UA"/>
        </w:rPr>
      </w:pPr>
      <w:r w:rsidRPr="00B85940">
        <w:rPr>
          <w:lang w:val="uk-UA"/>
        </w:rPr>
        <w:tab/>
      </w:r>
    </w:p>
    <w:sectPr w:rsidSect="007D3701">
      <w:headerReference w:type="even" r:id="rId9"/>
      <w:headerReference w:type="default" r:id="rId10"/>
      <w:footerReference w:type="even" r:id="rId11"/>
      <w:footerReference w:type="default" r:id="rId12"/>
      <w:footnotePr>
        <w:numRestart w:val="eachSect"/>
      </w:footnotePr>
      <w:pgSz w:w="11906" w:h="16838" w:code="9"/>
      <w:pgMar w:top="2274" w:right="2274" w:bottom="2274" w:left="2274" w:header="1701" w:footer="720" w:gutter="0"/>
      <w:pgNumType w:start="1"/>
      <w:cols w:space="720"/>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onsolas">
    <w:panose1 w:val="020B0609020204030204"/>
    <w:charset w:val="CC"/>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C62F42" w:rsidRPr="00150BFA" w:rsidP="0020718E" w14:paraId="4F964DB6" w14:textId="77777777">
    <w:pPr>
      <w:jc w:val="center"/>
    </w:pPr>
    <w:r>
      <w:rPr>
        <w:noProof/>
        <w:lang w:val="uk-UA" w:eastAsia="uk-UA"/>
      </w:rPr>
      <w:drawing>
        <wp:inline distT="0" distB="0" distL="0" distR="0">
          <wp:extent cx="771525" cy="619125"/>
          <wp:effectExtent l="0" t="0" r="9525" b="9525"/>
          <wp:docPr id="557048073" name="Picture 557048073"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7048073"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771525" cy="619125"/>
                  </a:xfrm>
                  <a:prstGeom prst="rect">
                    <a:avLst/>
                  </a:prstGeom>
                  <a:noFill/>
                  <a:ln>
                    <a:noFill/>
                  </a:ln>
                </pic:spPr>
              </pic:pic>
            </a:graphicData>
          </a:graphic>
        </wp:inline>
      </w:drawing>
    </w:r>
  </w:p>
  <w:p w:rsidR="00C62F42" w:rsidRPr="00E67565" w:rsidP="00AF12C5" w14:paraId="5430216C" w14:textId="77777777">
    <w:pPr>
      <w:pStyle w:val="Footer1"/>
      <w:jc w:val="center"/>
      <w:rPr>
        <w:sz w:val="4"/>
        <w:szCs w:val="4"/>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C62F42" w:rsidRPr="00150BFA" w:rsidP="0020718E" w14:paraId="40E08440" w14:textId="77777777">
    <w:pPr>
      <w:jc w:val="center"/>
    </w:pPr>
    <w:r>
      <w:rPr>
        <w:noProof/>
        <w:lang w:val="uk-UA" w:eastAsia="uk-UA"/>
      </w:rPr>
      <w:drawing>
        <wp:inline distT="0" distB="0" distL="0" distR="0">
          <wp:extent cx="771525" cy="619125"/>
          <wp:effectExtent l="0" t="0" r="9525" b="9525"/>
          <wp:docPr id="3" name="Picture 3"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771525" cy="619125"/>
                  </a:xfrm>
                  <a:prstGeom prst="rect">
                    <a:avLst/>
                  </a:prstGeom>
                  <a:noFill/>
                  <a:ln>
                    <a:noFill/>
                  </a:ln>
                </pic:spPr>
              </pic:pic>
            </a:graphicData>
          </a:graphic>
        </wp:inline>
      </w:drawing>
    </w:r>
  </w:p>
  <w:p w:rsidR="00C62F42" w:rsidRPr="00E67565" w:rsidP="009E7A6F" w14:paraId="003E59A1" w14:textId="77777777">
    <w:pPr>
      <w:pStyle w:val="Footer1"/>
      <w:jc w:val="center"/>
      <w:rPr>
        <w:sz w:val="4"/>
        <w:szCs w:val="4"/>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C62F42" w:rsidP="009A115C" w14:paraId="26D5E6CB" w14:textId="77777777">
    <w:pPr>
      <w:pStyle w:val="JuHeader"/>
    </w:pPr>
    <w:r>
      <w:fldChar w:fldCharType="begin"/>
    </w:r>
    <w:r>
      <w:instrText xml:space="preserve"> PAGE  \* MERGEFORMAT </w:instrText>
    </w:r>
    <w:r>
      <w:fldChar w:fldCharType="separate"/>
    </w:r>
    <w:r>
      <w:rPr>
        <w:noProof/>
      </w:rPr>
      <w:t>18</w:t>
    </w:r>
    <w:r>
      <w:rPr>
        <w:noProof/>
      </w:rP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C62F42" w:rsidRPr="000B7195" w:rsidP="007D3701" w14:paraId="65BF96DB" w14:textId="77777777">
    <w:pPr>
      <w:pStyle w:val="JuHeader"/>
    </w:pPr>
    <w:r>
      <w:fldChar w:fldCharType="begin"/>
    </w:r>
    <w:r>
      <w:instrText xml:space="preserve"> PAGE  \* MERGEFORMAT </w:instrText>
    </w:r>
    <w:r>
      <w:fldChar w:fldCharType="separate"/>
    </w:r>
    <w:r>
      <w:rPr>
        <w:noProof/>
      </w:rPr>
      <w:t>1</w:t>
    </w:r>
    <w:r>
      <w:rPr>
        <w:noProof/>
      </w:rPr>
      <w:fldChar w:fldCharType="end"/>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C62F42" w:rsidRPr="00A45145" w:rsidP="00A45145" w14:paraId="4CB60D28" w14:textId="77777777">
    <w:pPr>
      <w:jc w:val="center"/>
    </w:pPr>
    <w:r>
      <w:rPr>
        <w:noProof/>
        <w:lang w:val="uk-UA" w:eastAsia="uk-UA"/>
      </w:rPr>
      <w:drawing>
        <wp:inline distT="0" distB="0" distL="0" distR="0">
          <wp:extent cx="2962275" cy="1219200"/>
          <wp:effectExtent l="0" t="0" r="9525" b="0"/>
          <wp:docPr id="1" name="Picture 1"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962275" cy="1219200"/>
                  </a:xfrm>
                  <a:prstGeom prst="rect">
                    <a:avLst/>
                  </a:prstGeom>
                  <a:noFill/>
                  <a:ln>
                    <a:noFill/>
                  </a:ln>
                </pic:spPr>
              </pic:pic>
            </a:graphicData>
          </a:graphic>
        </wp:inline>
      </w:drawing>
    </w:r>
  </w:p>
  <w:p w:rsidR="00C62F42" w:rsidRPr="00E67565" w:rsidP="00B14793" w14:paraId="7F2393FD" w14:textId="77777777">
    <w:pPr>
      <w:jc w:val="center"/>
      <w:rPr>
        <w:sz w:val="4"/>
        <w:szCs w:val="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C62F42" w:rsidRPr="00A45145" w:rsidP="00A45145" w14:paraId="06E4C3E3" w14:textId="77777777">
    <w:pPr>
      <w:jc w:val="center"/>
    </w:pPr>
    <w:r>
      <w:rPr>
        <w:noProof/>
        <w:lang w:val="uk-UA" w:eastAsia="uk-UA"/>
      </w:rPr>
      <w:drawing>
        <wp:inline distT="0" distB="0" distL="0" distR="0">
          <wp:extent cx="2962275" cy="1219200"/>
          <wp:effectExtent l="0" t="0" r="9525" b="0"/>
          <wp:docPr id="806425770" name="Picture 806425770"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642577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962275" cy="1219200"/>
                  </a:xfrm>
                  <a:prstGeom prst="rect">
                    <a:avLst/>
                  </a:prstGeom>
                  <a:noFill/>
                  <a:ln>
                    <a:noFill/>
                  </a:ln>
                </pic:spPr>
              </pic:pic>
            </a:graphicData>
          </a:graphic>
        </wp:inline>
      </w:drawing>
    </w:r>
  </w:p>
  <w:p w:rsidR="00C62F42" w:rsidRPr="00E67565" w14:paraId="113B874D" w14:textId="77777777"/>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C62F42" w:rsidRPr="008546A5" w:rsidP="008546A5" w14:paraId="0E879DAA" w14:textId="77777777">
    <w:pPr>
      <w:pStyle w:val="JuHeader"/>
      <w:rPr>
        <w:lang w:val="uk-UA"/>
      </w:rPr>
    </w:pPr>
    <w:r>
      <w:rPr>
        <w:lang w:val="uk-UA"/>
      </w:rPr>
      <w:t>РІШЕННЯ У СПРАВІ «КОСМАЦЬКА ПРОТИ УКРАЇНИ»</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C62F42" w:rsidRPr="008546A5" w:rsidP="007D3701" w14:paraId="50584730" w14:textId="77777777">
    <w:pPr>
      <w:pStyle w:val="JuHeader"/>
      <w:rPr>
        <w:lang w:val="uk-UA"/>
      </w:rPr>
    </w:pPr>
    <w:r>
      <w:rPr>
        <w:lang w:val="uk-UA"/>
      </w:rPr>
      <w:t>РІШЕННЯ У СПРАВІ «КОСМАЦЬКА ПРОТИ УКРАЇНИ»</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D67019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3283F3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F369A7C"/>
    <w:lvl w:ilvl="0">
      <w:start w:val="1"/>
      <w:numFmt w:val="decimal"/>
      <w:pStyle w:val="ListNumber3"/>
      <w:lvlText w:val="%1."/>
      <w:lvlJc w:val="left"/>
      <w:pPr>
        <w:tabs>
          <w:tab w:val="num" w:pos="926"/>
        </w:tabs>
        <w:ind w:left="926" w:hanging="360"/>
      </w:pPr>
    </w:lvl>
  </w:abstractNum>
  <w:abstractNum w:abstractNumId="3">
    <w:nsid w:val="FFFFFF7F"/>
    <w:multiLevelType w:val="singleLevel"/>
    <w:tmpl w:val="3346880A"/>
    <w:lvl w:ilvl="0">
      <w:start w:val="1"/>
      <w:numFmt w:val="decimal"/>
      <w:pStyle w:val="ListNumber2"/>
      <w:lvlText w:val="%1."/>
      <w:lvlJc w:val="left"/>
      <w:pPr>
        <w:tabs>
          <w:tab w:val="num" w:pos="643"/>
        </w:tabs>
        <w:ind w:left="643" w:hanging="360"/>
      </w:pPr>
    </w:lvl>
  </w:abstractNum>
  <w:abstractNum w:abstractNumId="4">
    <w:nsid w:val="FFFFFF80"/>
    <w:multiLevelType w:val="singleLevel"/>
    <w:tmpl w:val="552A83E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85AC83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7486FE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A528BA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66C20B0"/>
    <w:lvl w:ilvl="0">
      <w:start w:val="1"/>
      <w:numFmt w:val="decimal"/>
      <w:pStyle w:val="ListNumber"/>
      <w:lvlText w:val="%1."/>
      <w:lvlJc w:val="left"/>
      <w:pPr>
        <w:tabs>
          <w:tab w:val="num" w:pos="360"/>
        </w:tabs>
        <w:ind w:left="360" w:hanging="360"/>
      </w:pPr>
    </w:lvl>
  </w:abstractNum>
  <w:abstractNum w:abstractNumId="9">
    <w:nsid w:val="048F2261"/>
    <w:multiLevelType w:val="multilevel"/>
    <w:tmpl w:val="C8FE6436"/>
    <w:numStyleLink w:val="ECHRA1StyleList"/>
  </w:abstractNum>
  <w:abstractNum w:abstractNumId="10">
    <w:nsid w:val="0C0F5BFC"/>
    <w:multiLevelType w:val="multilevel"/>
    <w:tmpl w:val="E2B270DC"/>
    <w:lvl w:ilvl="0">
      <w:start w:val="1"/>
      <w:numFmt w:val="none"/>
      <w:pStyle w:val="JuHHead"/>
      <w:suff w:val="nothing"/>
      <w:lvlText w:val="%1"/>
      <w:lvlJc w:val="left"/>
      <w:pPr>
        <w:ind w:left="0" w:firstLine="0"/>
      </w:pPr>
      <w:rPr>
        <w:rFonts w:hint="default"/>
      </w:rPr>
    </w:lvl>
    <w:lvl w:ilvl="1">
      <w:start w:val="1"/>
      <w:numFmt w:val="upperRoman"/>
      <w:pStyle w:val="JuHIRoman"/>
      <w:lvlText w:val="%2."/>
      <w:lvlJc w:val="left"/>
      <w:pPr>
        <w:ind w:left="511" w:hanging="369"/>
      </w:pPr>
      <w:rPr>
        <w:rFonts w:hint="default"/>
      </w:rPr>
    </w:lvl>
    <w:lvl w:ilvl="2">
      <w:start w:val="1"/>
      <w:numFmt w:val="upperLetter"/>
      <w:pStyle w:val="JuHA"/>
      <w:lvlText w:val="%3."/>
      <w:lvlJc w:val="left"/>
      <w:pPr>
        <w:ind w:left="510" w:hanging="340"/>
      </w:pPr>
      <w:rPr>
        <w:rFonts w:hint="default"/>
      </w:rPr>
    </w:lvl>
    <w:lvl w:ilvl="3">
      <w:start w:val="1"/>
      <w:numFmt w:val="decimal"/>
      <w:pStyle w:val="JuH1"/>
      <w:lvlText w:val="%4."/>
      <w:lvlJc w:val="left"/>
      <w:pPr>
        <w:ind w:left="680" w:hanging="340"/>
      </w:pPr>
      <w:rPr>
        <w:rFonts w:hint="default"/>
      </w:rPr>
    </w:lvl>
    <w:lvl w:ilvl="4">
      <w:start w:val="1"/>
      <w:numFmt w:val="lowerLetter"/>
      <w:pStyle w:val="JuHa0"/>
      <w:lvlText w:val="(%5)"/>
      <w:lvlJc w:val="left"/>
      <w:pPr>
        <w:ind w:left="851" w:hanging="341"/>
      </w:pPr>
      <w:rPr>
        <w:rFonts w:hint="default"/>
      </w:rPr>
    </w:lvl>
    <w:lvl w:ilvl="5">
      <w:start w:val="1"/>
      <w:numFmt w:val="lowerRoman"/>
      <w:pStyle w:val="JuHi"/>
      <w:lvlText w:val="(%6)"/>
      <w:lvlJc w:val="left"/>
      <w:pPr>
        <w:ind w:left="1021" w:hanging="341"/>
      </w:pPr>
      <w:rPr>
        <w:rFonts w:hint="default"/>
      </w:rPr>
    </w:lvl>
    <w:lvl w:ilvl="6">
      <w:start w:val="1"/>
      <w:numFmt w:val="decimal"/>
      <w:pStyle w:val="JuHalpha"/>
      <w:lvlText w:val="(%7)"/>
      <w:lvlJc w:val="left"/>
      <w:pPr>
        <w:ind w:left="1247" w:hanging="396"/>
      </w:pPr>
      <w:rPr>
        <w:rFonts w:asciiTheme="minorHAnsi" w:hAnsiTheme="minorHAnsi" w:hint="default"/>
        <w:b w:val="0"/>
        <w:i w:val="0"/>
      </w:rPr>
    </w:lvl>
    <w:lvl w:ilvl="7">
      <w:start w:val="1"/>
      <w:numFmt w:val="bullet"/>
      <w:pStyle w:val="JuH"/>
      <w:lvlText w:val="‒"/>
      <w:lvlJc w:val="left"/>
      <w:pPr>
        <w:ind w:left="1247" w:hanging="226"/>
      </w:pPr>
      <w:rPr>
        <w:rFonts w:ascii="Times New Roman" w:hAnsi="Times New Roman" w:cs="Times New Roman" w:hint="default"/>
        <w:color w:val="auto"/>
      </w:rPr>
    </w:lvl>
    <w:lvl w:ilvl="8">
      <w:start w:val="1"/>
      <w:numFmt w:val="bullet"/>
      <w:pStyle w:val="ECHRHeading9"/>
      <w:lvlText w:val="▪"/>
      <w:lvlJc w:val="left"/>
      <w:pPr>
        <w:ind w:left="1361" w:hanging="170"/>
      </w:pPr>
      <w:rPr>
        <w:rFonts w:ascii="Times New Roman" w:hAnsi="Times New Roman" w:cs="Times New Roman" w:hint="default"/>
        <w:color w:val="auto"/>
      </w:rPr>
    </w:lvl>
  </w:abstractNum>
  <w:abstractNum w:abstractNumId="11">
    <w:nsid w:val="1AA96CEA"/>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2">
    <w:nsid w:val="1D27094A"/>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nsid w:val="27D5546B"/>
    <w:multiLevelType w:val="multilevel"/>
    <w:tmpl w:val="C8FE6436"/>
    <w:styleLink w:val="ECHRA1StyleList"/>
    <w:lvl w:ilvl="0">
      <w:start w:val="1"/>
      <w:numFmt w:val="decimal"/>
      <w:pStyle w:val="JuList"/>
      <w:lvlText w:val="%1."/>
      <w:lvlJc w:val="left"/>
      <w:pPr>
        <w:tabs>
          <w:tab w:val="num" w:pos="340"/>
        </w:tabs>
        <w:ind w:left="340" w:hanging="340"/>
      </w:pPr>
      <w:rPr>
        <w:rFonts w:hint="default"/>
      </w:rPr>
    </w:lvl>
    <w:lvl w:ilvl="1">
      <w:start w:val="1"/>
      <w:numFmt w:val="lowerLetter"/>
      <w:pStyle w:val="JuLista"/>
      <w:lvlText w:val="(%2)"/>
      <w:lvlJc w:val="left"/>
      <w:pPr>
        <w:tabs>
          <w:tab w:val="num" w:pos="680"/>
        </w:tabs>
        <w:ind w:left="680" w:hanging="340"/>
      </w:pPr>
      <w:rPr>
        <w:rFonts w:hint="default"/>
      </w:rPr>
    </w:lvl>
    <w:lvl w:ilvl="2">
      <w:start w:val="1"/>
      <w:numFmt w:val="lowerRoman"/>
      <w:pStyle w:val="JuListi"/>
      <w:suff w:val="space"/>
      <w:lvlText w:val="(%3)"/>
      <w:lvlJc w:val="left"/>
      <w:pPr>
        <w:ind w:left="1021" w:hanging="341"/>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nsid w:val="40B939E1"/>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nsid w:val="4989571C"/>
    <w:multiLevelType w:val="multilevel"/>
    <w:tmpl w:val="EFC26858"/>
    <w:styleLink w:val="ECHRA1StyleBulletedSquare"/>
    <w:lvl w:ilvl="0">
      <w:start w:val="1"/>
      <w:numFmt w:val="bullet"/>
      <w:pStyle w:val="ECHRBullet1"/>
      <w:lvlText w:val=""/>
      <w:lvlJc w:val="left"/>
      <w:pPr>
        <w:tabs>
          <w:tab w:val="num" w:pos="851"/>
        </w:tabs>
        <w:ind w:left="851" w:hanging="284"/>
      </w:pPr>
      <w:rPr>
        <w:rFonts w:ascii="Wingdings" w:hAnsi="Wingdings" w:hint="default"/>
        <w:color w:val="0072BC" w:themeColor="background1"/>
      </w:rPr>
    </w:lvl>
    <w:lvl w:ilvl="1">
      <w:start w:val="1"/>
      <w:numFmt w:val="bullet"/>
      <w:pStyle w:val="ECHRBullet2"/>
      <w:lvlText w:val=""/>
      <w:lvlJc w:val="left"/>
      <w:pPr>
        <w:tabs>
          <w:tab w:val="num" w:pos="1134"/>
        </w:tabs>
        <w:ind w:left="1135" w:hanging="284"/>
      </w:pPr>
      <w:rPr>
        <w:rFonts w:ascii="Wingdings" w:hAnsi="Wingdings" w:hint="default"/>
        <w:color w:val="0072BC" w:themeColor="background1"/>
      </w:rPr>
    </w:lvl>
    <w:lvl w:ilvl="2">
      <w:start w:val="1"/>
      <w:numFmt w:val="bullet"/>
      <w:pStyle w:val="ECHRBullet3"/>
      <w:lvlText w:val=""/>
      <w:lvlJc w:val="left"/>
      <w:pPr>
        <w:tabs>
          <w:tab w:val="num" w:pos="1418"/>
        </w:tabs>
        <w:ind w:left="1419" w:hanging="284"/>
      </w:pPr>
      <w:rPr>
        <w:rFonts w:ascii="Wingdings" w:hAnsi="Wingdings" w:hint="default"/>
        <w:color w:val="7F7F7F" w:themeColor="text1" w:themeTint="80"/>
      </w:rPr>
    </w:lvl>
    <w:lvl w:ilvl="3">
      <w:start w:val="1"/>
      <w:numFmt w:val="bullet"/>
      <w:pStyle w:val="ECHRBullet4"/>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0072BC"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abstractNum w:abstractNumId="16">
    <w:nsid w:val="5032512D"/>
    <w:multiLevelType w:val="multilevel"/>
    <w:tmpl w:val="9B34AC6C"/>
    <w:styleLink w:val="ECHRA1StyleNumberedList"/>
    <w:lvl w:ilvl="0">
      <w:start w:val="1"/>
      <w:numFmt w:val="decimal"/>
      <w:pStyle w:val="ECHRNumberedList1"/>
      <w:lvlText w:val="%1."/>
      <w:lvlJc w:val="left"/>
      <w:pPr>
        <w:tabs>
          <w:tab w:val="num" w:pos="964"/>
        </w:tabs>
        <w:ind w:left="964" w:hanging="397"/>
      </w:pPr>
      <w:rPr>
        <w:rFonts w:hint="default"/>
      </w:rPr>
    </w:lvl>
    <w:lvl w:ilvl="1">
      <w:start w:val="1"/>
      <w:numFmt w:val="lowerLetter"/>
      <w:pStyle w:val="ECHRNumberedList2"/>
      <w:lvlText w:val="%2."/>
      <w:lvlJc w:val="left"/>
      <w:pPr>
        <w:tabs>
          <w:tab w:val="num" w:pos="1361"/>
        </w:tabs>
        <w:ind w:left="1361" w:hanging="397"/>
      </w:pPr>
      <w:rPr>
        <w:rFonts w:hint="default"/>
      </w:rPr>
    </w:lvl>
    <w:lvl w:ilvl="2">
      <w:start w:val="1"/>
      <w:numFmt w:val="lowerRoman"/>
      <w:pStyle w:val="ECHRNumberedList3"/>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17">
    <w:nsid w:val="56B9429C"/>
    <w:multiLevelType w:val="multilevel"/>
    <w:tmpl w:val="EAA66700"/>
    <w:lvl w:ilvl="0">
      <w:start w:val="1"/>
      <w:numFmt w:val="none"/>
      <w:suff w:val="nothing"/>
      <w:lvlJc w:val="left"/>
      <w:pPr>
        <w:ind w:left="0" w:firstLine="0"/>
      </w:pPr>
      <w:rPr>
        <w:rFonts w:hint="default"/>
      </w:rPr>
    </w:lvl>
    <w:lvl w:ilvl="1">
      <w:start w:val="1"/>
      <w:numFmt w:val="upperRoman"/>
      <w:suff w:val="space"/>
      <w:lvlText w:val="%2."/>
      <w:lvlJc w:val="left"/>
      <w:pPr>
        <w:ind w:left="357" w:hanging="357"/>
      </w:pPr>
      <w:rPr>
        <w:rFonts w:hint="default"/>
        <w:sz w:val="24"/>
      </w:rPr>
    </w:lvl>
    <w:lvl w:ilvl="2">
      <w:start w:val="1"/>
      <w:numFmt w:val="upperLetter"/>
      <w:lvlText w:val="%3."/>
      <w:lvlJc w:val="left"/>
      <w:pPr>
        <w:ind w:left="584" w:hanging="352"/>
      </w:pPr>
      <w:rPr>
        <w:rFonts w:hint="default"/>
      </w:rPr>
    </w:lvl>
    <w:lvl w:ilvl="3">
      <w:start w:val="1"/>
      <w:numFmt w:val="decimal"/>
      <w:lvlText w:val="%4."/>
      <w:lvlJc w:val="left"/>
      <w:pPr>
        <w:ind w:left="731" w:hanging="300"/>
      </w:pPr>
      <w:rPr>
        <w:rFonts w:hint="default"/>
      </w:rPr>
    </w:lvl>
    <w:lvl w:ilvl="4">
      <w:start w:val="1"/>
      <w:numFmt w:val="lowerLetter"/>
      <w:lvlText w:val="(%5)"/>
      <w:lvlJc w:val="left"/>
      <w:pPr>
        <w:ind w:left="975" w:hanging="340"/>
      </w:pPr>
      <w:rPr>
        <w:rFonts w:hint="default"/>
      </w:rPr>
    </w:lvl>
    <w:lvl w:ilvl="5">
      <w:start w:val="1"/>
      <w:numFmt w:val="lowerRoman"/>
      <w:suff w:val="space"/>
      <w:lvlText w:val="(%6)"/>
      <w:lvlJc w:val="left"/>
      <w:pPr>
        <w:ind w:left="1191" w:hanging="358"/>
      </w:pPr>
      <w:rPr>
        <w:rFonts w:hint="default"/>
      </w:rPr>
    </w:lvl>
    <w:lvl w:ilvl="6">
      <w:start w:val="1"/>
      <w:numFmt w:val="lowerLetter"/>
      <w:lvlText w:val="(%7)"/>
      <w:lvlJc w:val="left"/>
      <w:pPr>
        <w:ind w:left="1372" w:hanging="334"/>
      </w:pPr>
      <w:rPr>
        <w:rFonts w:ascii="Symbol" w:hAnsi="Symbol" w:hint="default"/>
        <w:sz w:val="20"/>
      </w:rPr>
    </w:lvl>
    <w:lvl w:ilvl="7">
      <w:start w:val="1"/>
      <w:numFmt w:val="bullet"/>
      <w:lvlText w:val="‒"/>
      <w:lvlJc w:val="left"/>
      <w:pPr>
        <w:ind w:left="1304" w:hanging="68"/>
      </w:pPr>
      <w:rPr>
        <w:rFonts w:ascii="Calibri" w:hAnsi="Calibri" w:hint="default"/>
        <w:color w:val="auto"/>
      </w:rPr>
    </w:lvl>
    <w:lvl w:ilvl="8">
      <w:start w:val="1"/>
      <w:numFmt w:val="none"/>
      <w:lvlText w:val="%9"/>
      <w:lvlJc w:val="right"/>
      <w:pPr>
        <w:ind w:left="7313" w:hanging="180"/>
      </w:pPr>
      <w:rPr>
        <w:rFonts w:hint="default"/>
      </w:rPr>
    </w:lvl>
  </w:abstractNum>
  <w:abstractNum w:abstractNumId="18">
    <w:nsid w:val="67FD1241"/>
    <w:multiLevelType w:val="hybridMultilevel"/>
    <w:tmpl w:val="F6D86CC2"/>
    <w:lvl w:ilvl="0">
      <w:start w:val="1"/>
      <w:numFmt w:val="bullet"/>
      <w:pStyle w:val="ListBullet"/>
      <w:lvlText w:val=""/>
      <w:lvlJc w:val="left"/>
      <w:pPr>
        <w:tabs>
          <w:tab w:val="num" w:pos="851"/>
        </w:tabs>
        <w:ind w:left="568" w:firstLine="0"/>
      </w:pPr>
      <w:rPr>
        <w:rFonts w:ascii="Wingdings" w:hAnsi="Wingdings" w:hint="default"/>
        <w:color w:val="808080"/>
        <w:sz w:val="16"/>
      </w:rPr>
    </w:lvl>
    <w:lvl w:ilvl="1" w:tentative="1">
      <w:start w:val="1"/>
      <w:numFmt w:val="bullet"/>
      <w:lvlText w:val="o"/>
      <w:lvlJc w:val="left"/>
      <w:pPr>
        <w:tabs>
          <w:tab w:val="num" w:pos="1724"/>
        </w:tabs>
        <w:ind w:left="1724" w:hanging="360"/>
      </w:pPr>
      <w:rPr>
        <w:rFonts w:ascii="Courier New" w:hAnsi="Courier New" w:cs="Courier New" w:hint="default"/>
      </w:rPr>
    </w:lvl>
    <w:lvl w:ilvl="2" w:tentative="1">
      <w:start w:val="1"/>
      <w:numFmt w:val="bullet"/>
      <w:lvlText w:val=""/>
      <w:lvlJc w:val="left"/>
      <w:pPr>
        <w:tabs>
          <w:tab w:val="num" w:pos="2444"/>
        </w:tabs>
        <w:ind w:left="2444" w:hanging="360"/>
      </w:pPr>
      <w:rPr>
        <w:rFonts w:ascii="Wingdings" w:hAnsi="Wingdings" w:hint="default"/>
      </w:rPr>
    </w:lvl>
    <w:lvl w:ilvl="3" w:tentative="1">
      <w:start w:val="1"/>
      <w:numFmt w:val="bullet"/>
      <w:lvlText w:val=""/>
      <w:lvlJc w:val="left"/>
      <w:pPr>
        <w:tabs>
          <w:tab w:val="num" w:pos="3164"/>
        </w:tabs>
        <w:ind w:left="3164" w:hanging="360"/>
      </w:pPr>
      <w:rPr>
        <w:rFonts w:ascii="Symbol" w:hAnsi="Symbol" w:hint="default"/>
      </w:rPr>
    </w:lvl>
    <w:lvl w:ilvl="4" w:tentative="1">
      <w:start w:val="1"/>
      <w:numFmt w:val="bullet"/>
      <w:lvlText w:val="o"/>
      <w:lvlJc w:val="left"/>
      <w:pPr>
        <w:tabs>
          <w:tab w:val="num" w:pos="3884"/>
        </w:tabs>
        <w:ind w:left="3884" w:hanging="360"/>
      </w:pPr>
      <w:rPr>
        <w:rFonts w:ascii="Courier New" w:hAnsi="Courier New" w:cs="Courier New" w:hint="default"/>
      </w:rPr>
    </w:lvl>
    <w:lvl w:ilvl="5" w:tentative="1">
      <w:start w:val="1"/>
      <w:numFmt w:val="bullet"/>
      <w:lvlText w:val=""/>
      <w:lvlJc w:val="left"/>
      <w:pPr>
        <w:tabs>
          <w:tab w:val="num" w:pos="4604"/>
        </w:tabs>
        <w:ind w:left="4604" w:hanging="360"/>
      </w:pPr>
      <w:rPr>
        <w:rFonts w:ascii="Wingdings" w:hAnsi="Wingdings" w:hint="default"/>
      </w:rPr>
    </w:lvl>
    <w:lvl w:ilvl="6" w:tentative="1">
      <w:start w:val="1"/>
      <w:numFmt w:val="bullet"/>
      <w:lvlText w:val=""/>
      <w:lvlJc w:val="left"/>
      <w:pPr>
        <w:tabs>
          <w:tab w:val="num" w:pos="5324"/>
        </w:tabs>
        <w:ind w:left="5324" w:hanging="360"/>
      </w:pPr>
      <w:rPr>
        <w:rFonts w:ascii="Symbol" w:hAnsi="Symbol" w:hint="default"/>
      </w:rPr>
    </w:lvl>
    <w:lvl w:ilvl="7" w:tentative="1">
      <w:start w:val="1"/>
      <w:numFmt w:val="bullet"/>
      <w:lvlText w:val="o"/>
      <w:lvlJc w:val="left"/>
      <w:pPr>
        <w:tabs>
          <w:tab w:val="num" w:pos="6044"/>
        </w:tabs>
        <w:ind w:left="6044" w:hanging="360"/>
      </w:pPr>
      <w:rPr>
        <w:rFonts w:ascii="Courier New" w:hAnsi="Courier New" w:cs="Courier New" w:hint="default"/>
      </w:rPr>
    </w:lvl>
    <w:lvl w:ilvl="8" w:tentative="1">
      <w:start w:val="1"/>
      <w:numFmt w:val="bullet"/>
      <w:lvlText w:val=""/>
      <w:lvlJc w:val="left"/>
      <w:pPr>
        <w:tabs>
          <w:tab w:val="num" w:pos="6764"/>
        </w:tabs>
        <w:ind w:left="6764" w:hanging="360"/>
      </w:pPr>
      <w:rPr>
        <w:rFonts w:ascii="Wingdings" w:hAnsi="Wingdings" w:hint="default"/>
      </w:rPr>
    </w:lvl>
  </w:abstractNum>
  <w:abstractNum w:abstractNumId="19">
    <w:nsid w:val="7D35409C"/>
    <w:multiLevelType w:val="multilevel"/>
    <w:tmpl w:val="EAA66700"/>
    <w:lvl w:ilvl="0">
      <w:start w:val="1"/>
      <w:numFmt w:val="none"/>
      <w:suff w:val="nothing"/>
      <w:lvlJc w:val="left"/>
      <w:pPr>
        <w:ind w:left="0" w:firstLine="0"/>
      </w:pPr>
      <w:rPr>
        <w:rFonts w:hint="default"/>
      </w:rPr>
    </w:lvl>
    <w:lvl w:ilvl="1">
      <w:start w:val="1"/>
      <w:numFmt w:val="upperRoman"/>
      <w:suff w:val="space"/>
      <w:lvlText w:val="%2."/>
      <w:lvlJc w:val="left"/>
      <w:pPr>
        <w:ind w:left="357" w:hanging="357"/>
      </w:pPr>
      <w:rPr>
        <w:rFonts w:hint="default"/>
        <w:sz w:val="24"/>
      </w:rPr>
    </w:lvl>
    <w:lvl w:ilvl="2">
      <w:start w:val="1"/>
      <w:numFmt w:val="upperLetter"/>
      <w:lvlText w:val="%3."/>
      <w:lvlJc w:val="left"/>
      <w:pPr>
        <w:ind w:left="2763" w:hanging="352"/>
      </w:pPr>
      <w:rPr>
        <w:rFonts w:hint="default"/>
      </w:rPr>
    </w:lvl>
    <w:lvl w:ilvl="3">
      <w:start w:val="1"/>
      <w:numFmt w:val="decimal"/>
      <w:lvlText w:val="%4."/>
      <w:lvlJc w:val="left"/>
      <w:pPr>
        <w:ind w:left="731" w:hanging="300"/>
      </w:pPr>
      <w:rPr>
        <w:rFonts w:hint="default"/>
      </w:rPr>
    </w:lvl>
    <w:lvl w:ilvl="4">
      <w:start w:val="1"/>
      <w:numFmt w:val="lowerLetter"/>
      <w:lvlText w:val="(%5)"/>
      <w:lvlJc w:val="left"/>
      <w:pPr>
        <w:ind w:left="975" w:hanging="340"/>
      </w:pPr>
      <w:rPr>
        <w:rFonts w:hint="default"/>
      </w:rPr>
    </w:lvl>
    <w:lvl w:ilvl="5">
      <w:start w:val="1"/>
      <w:numFmt w:val="lowerRoman"/>
      <w:suff w:val="space"/>
      <w:lvlText w:val="(%6)"/>
      <w:lvlJc w:val="left"/>
      <w:pPr>
        <w:ind w:left="1191" w:hanging="358"/>
      </w:pPr>
      <w:rPr>
        <w:rFonts w:hint="default"/>
      </w:rPr>
    </w:lvl>
    <w:lvl w:ilvl="6">
      <w:start w:val="1"/>
      <w:numFmt w:val="lowerLetter"/>
      <w:lvlText w:val="(%7)"/>
      <w:lvlJc w:val="left"/>
      <w:pPr>
        <w:ind w:left="1372" w:hanging="334"/>
      </w:pPr>
      <w:rPr>
        <w:rFonts w:ascii="Symbol" w:hAnsi="Symbol" w:hint="default"/>
        <w:sz w:val="20"/>
      </w:rPr>
    </w:lvl>
    <w:lvl w:ilvl="7">
      <w:start w:val="1"/>
      <w:numFmt w:val="bullet"/>
      <w:lvlText w:val="‒"/>
      <w:lvlJc w:val="left"/>
      <w:pPr>
        <w:ind w:left="1304" w:hanging="68"/>
      </w:pPr>
      <w:rPr>
        <w:rFonts w:ascii="Calibri" w:hAnsi="Calibri" w:hint="default"/>
        <w:color w:val="auto"/>
      </w:rPr>
    </w:lvl>
    <w:lvl w:ilvl="8">
      <w:start w:val="1"/>
      <w:numFmt w:val="none"/>
      <w:lvlText w:val="%9"/>
      <w:lvlJc w:val="right"/>
      <w:pPr>
        <w:ind w:left="7313" w:hanging="180"/>
      </w:pPr>
      <w:rPr>
        <w:rFonts w:hint="default"/>
      </w:rPr>
    </w:lvl>
  </w:abstractNum>
  <w:num w:numId="1" w16cid:durableId="849830658">
    <w:abstractNumId w:val="14"/>
  </w:num>
  <w:num w:numId="2" w16cid:durableId="1224024541">
    <w:abstractNumId w:val="12"/>
  </w:num>
  <w:num w:numId="3" w16cid:durableId="1804075181">
    <w:abstractNumId w:val="11"/>
  </w:num>
  <w:num w:numId="4" w16cid:durableId="1649279866">
    <w:abstractNumId w:val="15"/>
  </w:num>
  <w:num w:numId="5" w16cid:durableId="300313035">
    <w:abstractNumId w:val="13"/>
  </w:num>
  <w:num w:numId="6" w16cid:durableId="1091857329">
    <w:abstractNumId w:val="16"/>
  </w:num>
  <w:num w:numId="7" w16cid:durableId="488716866">
    <w:abstractNumId w:val="15"/>
  </w:num>
  <w:num w:numId="8" w16cid:durableId="1160776597">
    <w:abstractNumId w:val="16"/>
  </w:num>
  <w:num w:numId="9" w16cid:durableId="349987569">
    <w:abstractNumId w:val="10"/>
  </w:num>
  <w:num w:numId="10" w16cid:durableId="1453329147">
    <w:abstractNumId w:val="9"/>
  </w:num>
  <w:num w:numId="11" w16cid:durableId="1684043420">
    <w:abstractNumId w:val="18"/>
  </w:num>
  <w:num w:numId="12" w16cid:durableId="933172207">
    <w:abstractNumId w:val="7"/>
  </w:num>
  <w:num w:numId="13" w16cid:durableId="1988584172">
    <w:abstractNumId w:val="6"/>
  </w:num>
  <w:num w:numId="14" w16cid:durableId="602372951">
    <w:abstractNumId w:val="5"/>
  </w:num>
  <w:num w:numId="15" w16cid:durableId="248736544">
    <w:abstractNumId w:val="4"/>
  </w:num>
  <w:num w:numId="16" w16cid:durableId="400904244">
    <w:abstractNumId w:val="8"/>
  </w:num>
  <w:num w:numId="17" w16cid:durableId="1312709631">
    <w:abstractNumId w:val="3"/>
  </w:num>
  <w:num w:numId="18" w16cid:durableId="316959692">
    <w:abstractNumId w:val="2"/>
  </w:num>
  <w:num w:numId="19" w16cid:durableId="2111506455">
    <w:abstractNumId w:val="1"/>
  </w:num>
  <w:num w:numId="20" w16cid:durableId="48189381">
    <w:abstractNumId w:val="0"/>
  </w:num>
  <w:num w:numId="21" w16cid:durableId="853418623">
    <w:abstractNumId w:val="19"/>
  </w:num>
  <w:num w:numId="22" w16cid:durableId="1516652652">
    <w:abstractNumId w:val="17"/>
  </w:num>
  <w:num w:numId="23" w16cid:durableId="44951862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stylePaneFormatFilter w:val="D004" w:allStyles="0" w:alternateStyleNames="1" w:clearFormatting="1" w:customStyles="0" w:directFormattingOnNumbering="0" w:directFormattingOnParagraphs="0" w:directFormattingOnRuns="0" w:directFormattingOnTables="0" w:headingStyles="0" w:latentStyles="1" w:numberingStyles="0" w:stylesInUse="0" w:tableStyles="0" w:top3HeadingStyles="0" w:visibleStyles="1"/>
  <w:defaultTabStop w:val="720"/>
  <w:hyphenationZone w:val="425"/>
  <w:evenAndOddHeaders/>
  <w:drawingGridHorizontalSpacing w:val="110"/>
  <w:displayHorizontalDrawingGridEvery w:val="2"/>
  <w:displayVerticalDrawingGridEvery w:val="2"/>
  <w:characterSpacingControl w:val="doNotCompress"/>
  <w:footnotePr>
    <w:numRestart w:val="eachSect"/>
  </w:footnotePr>
  <w:endnotePr>
    <w:numFmt w:val="decimal"/>
  </w:endnotePr>
  <w:compat>
    <w:compatSetting w:name="compatibilityMode" w:uri="http://schemas.microsoft.com/office/word" w:val="12"/>
    <w:compatSetting w:name="useWord2013TrackBottomHyphenation" w:uri="http://schemas.microsoft.com/office/word" w:val="1"/>
    <w:compatSetting w:name="overrideTableStyleFontSizeAndJustification" w:uri="http://schemas.microsoft.com/office/word" w:val="0"/>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62459"/>
    <w:rsid w:val="000005FD"/>
    <w:rsid w:val="000041F8"/>
    <w:rsid w:val="000042A8"/>
    <w:rsid w:val="00004308"/>
    <w:rsid w:val="00005BF0"/>
    <w:rsid w:val="00005FCE"/>
    <w:rsid w:val="0000617D"/>
    <w:rsid w:val="00007154"/>
    <w:rsid w:val="000103AE"/>
    <w:rsid w:val="00011D69"/>
    <w:rsid w:val="00012AD3"/>
    <w:rsid w:val="00015C2D"/>
    <w:rsid w:val="00015F00"/>
    <w:rsid w:val="0001768D"/>
    <w:rsid w:val="00022C1D"/>
    <w:rsid w:val="0002592F"/>
    <w:rsid w:val="00031428"/>
    <w:rsid w:val="00034987"/>
    <w:rsid w:val="000408C7"/>
    <w:rsid w:val="00041560"/>
    <w:rsid w:val="000512A4"/>
    <w:rsid w:val="0005481E"/>
    <w:rsid w:val="000602DF"/>
    <w:rsid w:val="00061B05"/>
    <w:rsid w:val="000632D5"/>
    <w:rsid w:val="000644EE"/>
    <w:rsid w:val="000712E3"/>
    <w:rsid w:val="0007780A"/>
    <w:rsid w:val="00077C06"/>
    <w:rsid w:val="00082924"/>
    <w:rsid w:val="00085457"/>
    <w:rsid w:val="000906D5"/>
    <w:rsid w:val="000925AD"/>
    <w:rsid w:val="00095D5A"/>
    <w:rsid w:val="00096FE1"/>
    <w:rsid w:val="00097A62"/>
    <w:rsid w:val="000A24EB"/>
    <w:rsid w:val="000B686A"/>
    <w:rsid w:val="000B6923"/>
    <w:rsid w:val="000B7195"/>
    <w:rsid w:val="000C5F3C"/>
    <w:rsid w:val="000C6DCC"/>
    <w:rsid w:val="000D47AA"/>
    <w:rsid w:val="000D721F"/>
    <w:rsid w:val="000E069B"/>
    <w:rsid w:val="000E0E82"/>
    <w:rsid w:val="000E1DC5"/>
    <w:rsid w:val="000E223F"/>
    <w:rsid w:val="000E46B8"/>
    <w:rsid w:val="000E6CE5"/>
    <w:rsid w:val="000E7D45"/>
    <w:rsid w:val="000F106B"/>
    <w:rsid w:val="000F1273"/>
    <w:rsid w:val="000F52F4"/>
    <w:rsid w:val="000F7851"/>
    <w:rsid w:val="00101505"/>
    <w:rsid w:val="00104E23"/>
    <w:rsid w:val="00110DA8"/>
    <w:rsid w:val="00111B0C"/>
    <w:rsid w:val="001120D0"/>
    <w:rsid w:val="00120D6C"/>
    <w:rsid w:val="001257EC"/>
    <w:rsid w:val="00133D33"/>
    <w:rsid w:val="00134B6A"/>
    <w:rsid w:val="00134D64"/>
    <w:rsid w:val="00135A30"/>
    <w:rsid w:val="0013612C"/>
    <w:rsid w:val="00137FF6"/>
    <w:rsid w:val="00141650"/>
    <w:rsid w:val="00150BFA"/>
    <w:rsid w:val="00152976"/>
    <w:rsid w:val="001561B6"/>
    <w:rsid w:val="00162A12"/>
    <w:rsid w:val="00166530"/>
    <w:rsid w:val="00170027"/>
    <w:rsid w:val="00182EBA"/>
    <w:rsid w:val="001832BD"/>
    <w:rsid w:val="00183650"/>
    <w:rsid w:val="0018605D"/>
    <w:rsid w:val="001943B5"/>
    <w:rsid w:val="00195134"/>
    <w:rsid w:val="001A020C"/>
    <w:rsid w:val="001A023F"/>
    <w:rsid w:val="001A145B"/>
    <w:rsid w:val="001A3E09"/>
    <w:rsid w:val="001A674C"/>
    <w:rsid w:val="001B3B24"/>
    <w:rsid w:val="001C055B"/>
    <w:rsid w:val="001C0F98"/>
    <w:rsid w:val="001C21F4"/>
    <w:rsid w:val="001C2A42"/>
    <w:rsid w:val="001D434D"/>
    <w:rsid w:val="001D515E"/>
    <w:rsid w:val="001D63ED"/>
    <w:rsid w:val="001D7348"/>
    <w:rsid w:val="001E035B"/>
    <w:rsid w:val="001E0961"/>
    <w:rsid w:val="001E3EAE"/>
    <w:rsid w:val="001E6857"/>
    <w:rsid w:val="001E6F32"/>
    <w:rsid w:val="001F2145"/>
    <w:rsid w:val="001F36B9"/>
    <w:rsid w:val="001F545F"/>
    <w:rsid w:val="001F6262"/>
    <w:rsid w:val="001F67B0"/>
    <w:rsid w:val="001F7B3D"/>
    <w:rsid w:val="00202752"/>
    <w:rsid w:val="0020335A"/>
    <w:rsid w:val="00203D42"/>
    <w:rsid w:val="002052BC"/>
    <w:rsid w:val="00205F9F"/>
    <w:rsid w:val="0020718E"/>
    <w:rsid w:val="00210338"/>
    <w:rsid w:val="002115FC"/>
    <w:rsid w:val="0021423C"/>
    <w:rsid w:val="00226C89"/>
    <w:rsid w:val="00230D00"/>
    <w:rsid w:val="00230FEF"/>
    <w:rsid w:val="00231DF7"/>
    <w:rsid w:val="00231FD1"/>
    <w:rsid w:val="002339E0"/>
    <w:rsid w:val="00233CF8"/>
    <w:rsid w:val="0023575D"/>
    <w:rsid w:val="00237148"/>
    <w:rsid w:val="0024222D"/>
    <w:rsid w:val="002422B6"/>
    <w:rsid w:val="00244B0E"/>
    <w:rsid w:val="00244F6C"/>
    <w:rsid w:val="00246B89"/>
    <w:rsid w:val="00252C4E"/>
    <w:rsid w:val="002532C5"/>
    <w:rsid w:val="00253F0A"/>
    <w:rsid w:val="00254DF2"/>
    <w:rsid w:val="00260C03"/>
    <w:rsid w:val="0026439A"/>
    <w:rsid w:val="0026540E"/>
    <w:rsid w:val="00275123"/>
    <w:rsid w:val="00276ACA"/>
    <w:rsid w:val="00281B7C"/>
    <w:rsid w:val="00282240"/>
    <w:rsid w:val="00282BD8"/>
    <w:rsid w:val="00287AD5"/>
    <w:rsid w:val="002934D0"/>
    <w:rsid w:val="00293676"/>
    <w:rsid w:val="00293BD9"/>
    <w:rsid w:val="002948AD"/>
    <w:rsid w:val="002952EA"/>
    <w:rsid w:val="002A01CC"/>
    <w:rsid w:val="002A613A"/>
    <w:rsid w:val="002A61B1"/>
    <w:rsid w:val="002A663C"/>
    <w:rsid w:val="002B444B"/>
    <w:rsid w:val="002B5887"/>
    <w:rsid w:val="002B5B43"/>
    <w:rsid w:val="002C0E27"/>
    <w:rsid w:val="002C3040"/>
    <w:rsid w:val="002C4433"/>
    <w:rsid w:val="002C5ADD"/>
    <w:rsid w:val="002C7826"/>
    <w:rsid w:val="002D022D"/>
    <w:rsid w:val="002D24BB"/>
    <w:rsid w:val="002D2FA7"/>
    <w:rsid w:val="002D47BA"/>
    <w:rsid w:val="002D77B9"/>
    <w:rsid w:val="002E2A18"/>
    <w:rsid w:val="002E46DA"/>
    <w:rsid w:val="002E7764"/>
    <w:rsid w:val="002F2AF7"/>
    <w:rsid w:val="002F5557"/>
    <w:rsid w:val="002F69C4"/>
    <w:rsid w:val="002F6BA0"/>
    <w:rsid w:val="002F7D9E"/>
    <w:rsid w:val="002F7E1C"/>
    <w:rsid w:val="00301524"/>
    <w:rsid w:val="00301A75"/>
    <w:rsid w:val="00302F70"/>
    <w:rsid w:val="0030336F"/>
    <w:rsid w:val="0030375E"/>
    <w:rsid w:val="003056EE"/>
    <w:rsid w:val="00312A30"/>
    <w:rsid w:val="00313143"/>
    <w:rsid w:val="00314F89"/>
    <w:rsid w:val="003201D8"/>
    <w:rsid w:val="00320F72"/>
    <w:rsid w:val="0032463E"/>
    <w:rsid w:val="00326224"/>
    <w:rsid w:val="0033650C"/>
    <w:rsid w:val="00337EE4"/>
    <w:rsid w:val="00340FFD"/>
    <w:rsid w:val="00345C41"/>
    <w:rsid w:val="003506B1"/>
    <w:rsid w:val="00355877"/>
    <w:rsid w:val="00356AC7"/>
    <w:rsid w:val="003609FA"/>
    <w:rsid w:val="003710C8"/>
    <w:rsid w:val="003750BE"/>
    <w:rsid w:val="00385A36"/>
    <w:rsid w:val="00385F3D"/>
    <w:rsid w:val="0038740C"/>
    <w:rsid w:val="00387B9D"/>
    <w:rsid w:val="00387C70"/>
    <w:rsid w:val="00390294"/>
    <w:rsid w:val="003907FD"/>
    <w:rsid w:val="0039364F"/>
    <w:rsid w:val="00396686"/>
    <w:rsid w:val="0039778E"/>
    <w:rsid w:val="003B4941"/>
    <w:rsid w:val="003C37FB"/>
    <w:rsid w:val="003C4D8C"/>
    <w:rsid w:val="003C5714"/>
    <w:rsid w:val="003C6B9F"/>
    <w:rsid w:val="003C6E2A"/>
    <w:rsid w:val="003D0299"/>
    <w:rsid w:val="003D0B2F"/>
    <w:rsid w:val="003D47B0"/>
    <w:rsid w:val="003E6D80"/>
    <w:rsid w:val="003E7BCC"/>
    <w:rsid w:val="003F05FA"/>
    <w:rsid w:val="003F244A"/>
    <w:rsid w:val="003F2517"/>
    <w:rsid w:val="003F30B8"/>
    <w:rsid w:val="003F4C45"/>
    <w:rsid w:val="003F5611"/>
    <w:rsid w:val="003F5F7B"/>
    <w:rsid w:val="003F7D64"/>
    <w:rsid w:val="0040433A"/>
    <w:rsid w:val="00414300"/>
    <w:rsid w:val="00414F27"/>
    <w:rsid w:val="00415BD5"/>
    <w:rsid w:val="00420703"/>
    <w:rsid w:val="00425C67"/>
    <w:rsid w:val="00427E7A"/>
    <w:rsid w:val="004330D1"/>
    <w:rsid w:val="00434C03"/>
    <w:rsid w:val="004355AC"/>
    <w:rsid w:val="00436C49"/>
    <w:rsid w:val="00441E24"/>
    <w:rsid w:val="00443D98"/>
    <w:rsid w:val="00445366"/>
    <w:rsid w:val="00447F5B"/>
    <w:rsid w:val="00461DB0"/>
    <w:rsid w:val="00463926"/>
    <w:rsid w:val="00464AB7"/>
    <w:rsid w:val="00464C9A"/>
    <w:rsid w:val="00474F3D"/>
    <w:rsid w:val="00477E3A"/>
    <w:rsid w:val="00483E5F"/>
    <w:rsid w:val="00485FF9"/>
    <w:rsid w:val="0049049B"/>
    <w:rsid w:val="004907F0"/>
    <w:rsid w:val="0049140B"/>
    <w:rsid w:val="004923A5"/>
    <w:rsid w:val="0049310E"/>
    <w:rsid w:val="004950E2"/>
    <w:rsid w:val="00496BFB"/>
    <w:rsid w:val="00496E64"/>
    <w:rsid w:val="004A15C7"/>
    <w:rsid w:val="004A3201"/>
    <w:rsid w:val="004A7044"/>
    <w:rsid w:val="004B013B"/>
    <w:rsid w:val="004B112B"/>
    <w:rsid w:val="004B1718"/>
    <w:rsid w:val="004B444E"/>
    <w:rsid w:val="004B6F4E"/>
    <w:rsid w:val="004C01E4"/>
    <w:rsid w:val="004C086C"/>
    <w:rsid w:val="004C1F56"/>
    <w:rsid w:val="004C27BC"/>
    <w:rsid w:val="004C6621"/>
    <w:rsid w:val="004D0EC7"/>
    <w:rsid w:val="004D15F3"/>
    <w:rsid w:val="004D3B3D"/>
    <w:rsid w:val="004D4EF1"/>
    <w:rsid w:val="004D5311"/>
    <w:rsid w:val="004D5DCC"/>
    <w:rsid w:val="004D7E45"/>
    <w:rsid w:val="004F10AF"/>
    <w:rsid w:val="004F11A4"/>
    <w:rsid w:val="004F2389"/>
    <w:rsid w:val="004F304D"/>
    <w:rsid w:val="004F4290"/>
    <w:rsid w:val="004F61BE"/>
    <w:rsid w:val="004F66B1"/>
    <w:rsid w:val="004F6DDA"/>
    <w:rsid w:val="004F7CCE"/>
    <w:rsid w:val="005018BC"/>
    <w:rsid w:val="00502888"/>
    <w:rsid w:val="00505F69"/>
    <w:rsid w:val="00511C07"/>
    <w:rsid w:val="005125CB"/>
    <w:rsid w:val="00512EC4"/>
    <w:rsid w:val="0051725A"/>
    <w:rsid w:val="005173A6"/>
    <w:rsid w:val="00517BB8"/>
    <w:rsid w:val="00520354"/>
    <w:rsid w:val="00520BAA"/>
    <w:rsid w:val="005217D8"/>
    <w:rsid w:val="00525208"/>
    <w:rsid w:val="005257A5"/>
    <w:rsid w:val="005264C0"/>
    <w:rsid w:val="00526A8A"/>
    <w:rsid w:val="00527FB1"/>
    <w:rsid w:val="00530FE6"/>
    <w:rsid w:val="00531DF2"/>
    <w:rsid w:val="0053315C"/>
    <w:rsid w:val="00537476"/>
    <w:rsid w:val="005442EE"/>
    <w:rsid w:val="00545DA6"/>
    <w:rsid w:val="00546ED9"/>
    <w:rsid w:val="0054716E"/>
    <w:rsid w:val="00547353"/>
    <w:rsid w:val="005474E7"/>
    <w:rsid w:val="00550EFA"/>
    <w:rsid w:val="005512A3"/>
    <w:rsid w:val="005578CE"/>
    <w:rsid w:val="00562781"/>
    <w:rsid w:val="00562B6C"/>
    <w:rsid w:val="00563B58"/>
    <w:rsid w:val="0057271C"/>
    <w:rsid w:val="00572845"/>
    <w:rsid w:val="005879A2"/>
    <w:rsid w:val="00592772"/>
    <w:rsid w:val="0059574A"/>
    <w:rsid w:val="005A1B9B"/>
    <w:rsid w:val="005A2221"/>
    <w:rsid w:val="005A2E79"/>
    <w:rsid w:val="005A6751"/>
    <w:rsid w:val="005B092E"/>
    <w:rsid w:val="005B152C"/>
    <w:rsid w:val="005B1EE0"/>
    <w:rsid w:val="005B2B24"/>
    <w:rsid w:val="005B4425"/>
    <w:rsid w:val="005B4B94"/>
    <w:rsid w:val="005B7803"/>
    <w:rsid w:val="005B7D77"/>
    <w:rsid w:val="005C2C62"/>
    <w:rsid w:val="005C3EE8"/>
    <w:rsid w:val="005D0EB2"/>
    <w:rsid w:val="005D2F2A"/>
    <w:rsid w:val="005D34F9"/>
    <w:rsid w:val="005D4190"/>
    <w:rsid w:val="005D67A3"/>
    <w:rsid w:val="005E2988"/>
    <w:rsid w:val="005E3085"/>
    <w:rsid w:val="005F0C9D"/>
    <w:rsid w:val="005F0EB3"/>
    <w:rsid w:val="005F34DB"/>
    <w:rsid w:val="005F51E1"/>
    <w:rsid w:val="0060524F"/>
    <w:rsid w:val="00611C80"/>
    <w:rsid w:val="00620692"/>
    <w:rsid w:val="00623885"/>
    <w:rsid w:val="006242CA"/>
    <w:rsid w:val="00627507"/>
    <w:rsid w:val="00627DBC"/>
    <w:rsid w:val="00633717"/>
    <w:rsid w:val="00633F2E"/>
    <w:rsid w:val="006344E1"/>
    <w:rsid w:val="00643524"/>
    <w:rsid w:val="0064393B"/>
    <w:rsid w:val="00645CF2"/>
    <w:rsid w:val="00653BED"/>
    <w:rsid w:val="006545C4"/>
    <w:rsid w:val="00661971"/>
    <w:rsid w:val="00661CE8"/>
    <w:rsid w:val="006623D9"/>
    <w:rsid w:val="006642A5"/>
    <w:rsid w:val="0066550C"/>
    <w:rsid w:val="00665BD2"/>
    <w:rsid w:val="00667DDB"/>
    <w:rsid w:val="006716F2"/>
    <w:rsid w:val="00675AF2"/>
    <w:rsid w:val="00682BF2"/>
    <w:rsid w:val="0068573E"/>
    <w:rsid w:val="006859CE"/>
    <w:rsid w:val="00691270"/>
    <w:rsid w:val="00694BA8"/>
    <w:rsid w:val="006A037C"/>
    <w:rsid w:val="006A0C84"/>
    <w:rsid w:val="006A11F5"/>
    <w:rsid w:val="006A36F4"/>
    <w:rsid w:val="006A406F"/>
    <w:rsid w:val="006A4E97"/>
    <w:rsid w:val="006A5D3A"/>
    <w:rsid w:val="006B1942"/>
    <w:rsid w:val="006C1E36"/>
    <w:rsid w:val="006C23D4"/>
    <w:rsid w:val="006C7BB0"/>
    <w:rsid w:val="006D3237"/>
    <w:rsid w:val="006E2E37"/>
    <w:rsid w:val="006E3CF1"/>
    <w:rsid w:val="006E68A3"/>
    <w:rsid w:val="006E7E80"/>
    <w:rsid w:val="006F118E"/>
    <w:rsid w:val="006F1C2D"/>
    <w:rsid w:val="006F48CA"/>
    <w:rsid w:val="006F64DD"/>
    <w:rsid w:val="006F712D"/>
    <w:rsid w:val="00706593"/>
    <w:rsid w:val="00715127"/>
    <w:rsid w:val="00715E8E"/>
    <w:rsid w:val="00723580"/>
    <w:rsid w:val="00723755"/>
    <w:rsid w:val="00730B0F"/>
    <w:rsid w:val="0073136C"/>
    <w:rsid w:val="00731F0F"/>
    <w:rsid w:val="00733250"/>
    <w:rsid w:val="00736D14"/>
    <w:rsid w:val="00741404"/>
    <w:rsid w:val="007414F5"/>
    <w:rsid w:val="00741EE4"/>
    <w:rsid w:val="007449E5"/>
    <w:rsid w:val="00745196"/>
    <w:rsid w:val="0074750E"/>
    <w:rsid w:val="00747FF0"/>
    <w:rsid w:val="00751066"/>
    <w:rsid w:val="0075566E"/>
    <w:rsid w:val="00761329"/>
    <w:rsid w:val="00763602"/>
    <w:rsid w:val="00764D4E"/>
    <w:rsid w:val="00765A1F"/>
    <w:rsid w:val="00775B6D"/>
    <w:rsid w:val="00776D68"/>
    <w:rsid w:val="00781140"/>
    <w:rsid w:val="0078323E"/>
    <w:rsid w:val="007836AD"/>
    <w:rsid w:val="007849C2"/>
    <w:rsid w:val="007850EE"/>
    <w:rsid w:val="00785B95"/>
    <w:rsid w:val="00790E96"/>
    <w:rsid w:val="007926FD"/>
    <w:rsid w:val="00793366"/>
    <w:rsid w:val="0079666C"/>
    <w:rsid w:val="007A716F"/>
    <w:rsid w:val="007B270A"/>
    <w:rsid w:val="007B4182"/>
    <w:rsid w:val="007C0695"/>
    <w:rsid w:val="007C419A"/>
    <w:rsid w:val="007C4CC8"/>
    <w:rsid w:val="007C5426"/>
    <w:rsid w:val="007C5798"/>
    <w:rsid w:val="007D1ECD"/>
    <w:rsid w:val="007D3701"/>
    <w:rsid w:val="007D4832"/>
    <w:rsid w:val="007E21B2"/>
    <w:rsid w:val="007E2C4E"/>
    <w:rsid w:val="007E2C8C"/>
    <w:rsid w:val="007E51BA"/>
    <w:rsid w:val="007E62CA"/>
    <w:rsid w:val="007E73D7"/>
    <w:rsid w:val="007E79A4"/>
    <w:rsid w:val="007F1905"/>
    <w:rsid w:val="007F27E4"/>
    <w:rsid w:val="007F3437"/>
    <w:rsid w:val="00802C64"/>
    <w:rsid w:val="00805E52"/>
    <w:rsid w:val="008061D0"/>
    <w:rsid w:val="00806CF3"/>
    <w:rsid w:val="00810B38"/>
    <w:rsid w:val="00813B05"/>
    <w:rsid w:val="008204C7"/>
    <w:rsid w:val="00820992"/>
    <w:rsid w:val="008210DB"/>
    <w:rsid w:val="00823602"/>
    <w:rsid w:val="008255F5"/>
    <w:rsid w:val="00826890"/>
    <w:rsid w:val="008276A5"/>
    <w:rsid w:val="0083014E"/>
    <w:rsid w:val="00831C10"/>
    <w:rsid w:val="0083214A"/>
    <w:rsid w:val="00834220"/>
    <w:rsid w:val="00837BFD"/>
    <w:rsid w:val="00845723"/>
    <w:rsid w:val="008519E7"/>
    <w:rsid w:val="00851EF9"/>
    <w:rsid w:val="008546A5"/>
    <w:rsid w:val="008577FD"/>
    <w:rsid w:val="00860B03"/>
    <w:rsid w:val="00862459"/>
    <w:rsid w:val="0086497A"/>
    <w:rsid w:val="0086538E"/>
    <w:rsid w:val="00867066"/>
    <w:rsid w:val="008713A1"/>
    <w:rsid w:val="00872584"/>
    <w:rsid w:val="00872F45"/>
    <w:rsid w:val="008754AB"/>
    <w:rsid w:val="0088060C"/>
    <w:rsid w:val="00882CD5"/>
    <w:rsid w:val="00883151"/>
    <w:rsid w:val="00893576"/>
    <w:rsid w:val="00893E73"/>
    <w:rsid w:val="008B02DC"/>
    <w:rsid w:val="008B092C"/>
    <w:rsid w:val="008B57CE"/>
    <w:rsid w:val="008C26DE"/>
    <w:rsid w:val="008D0526"/>
    <w:rsid w:val="008D1668"/>
    <w:rsid w:val="008D2225"/>
    <w:rsid w:val="008D4752"/>
    <w:rsid w:val="008D5A13"/>
    <w:rsid w:val="008E271C"/>
    <w:rsid w:val="008E3A08"/>
    <w:rsid w:val="008E418E"/>
    <w:rsid w:val="008E5BC6"/>
    <w:rsid w:val="008E6217"/>
    <w:rsid w:val="008E6A25"/>
    <w:rsid w:val="008F2465"/>
    <w:rsid w:val="008F2554"/>
    <w:rsid w:val="008F3AEC"/>
    <w:rsid w:val="008F475E"/>
    <w:rsid w:val="008F4D80"/>
    <w:rsid w:val="008F5193"/>
    <w:rsid w:val="008F6B36"/>
    <w:rsid w:val="009013A7"/>
    <w:rsid w:val="009017FB"/>
    <w:rsid w:val="009017FC"/>
    <w:rsid w:val="0090506B"/>
    <w:rsid w:val="009050C9"/>
    <w:rsid w:val="009066FC"/>
    <w:rsid w:val="009140A3"/>
    <w:rsid w:val="009144A2"/>
    <w:rsid w:val="0091510C"/>
    <w:rsid w:val="00923DA4"/>
    <w:rsid w:val="009259AC"/>
    <w:rsid w:val="00926F38"/>
    <w:rsid w:val="00927BEB"/>
    <w:rsid w:val="009333DC"/>
    <w:rsid w:val="00934301"/>
    <w:rsid w:val="00936CD1"/>
    <w:rsid w:val="0094131C"/>
    <w:rsid w:val="00941747"/>
    <w:rsid w:val="00941EFB"/>
    <w:rsid w:val="00947AFB"/>
    <w:rsid w:val="00951563"/>
    <w:rsid w:val="00951AA3"/>
    <w:rsid w:val="00951D7D"/>
    <w:rsid w:val="00956D0C"/>
    <w:rsid w:val="009630C7"/>
    <w:rsid w:val="009637DB"/>
    <w:rsid w:val="00972B55"/>
    <w:rsid w:val="009743B7"/>
    <w:rsid w:val="0098228B"/>
    <w:rsid w:val="009828DA"/>
    <w:rsid w:val="0098410D"/>
    <w:rsid w:val="00985BAB"/>
    <w:rsid w:val="00986B3C"/>
    <w:rsid w:val="009A115C"/>
    <w:rsid w:val="009A7FC1"/>
    <w:rsid w:val="009B0401"/>
    <w:rsid w:val="009B11F6"/>
    <w:rsid w:val="009B1606"/>
    <w:rsid w:val="009B1B5F"/>
    <w:rsid w:val="009B6673"/>
    <w:rsid w:val="009C191B"/>
    <w:rsid w:val="009C2BD6"/>
    <w:rsid w:val="009D57AA"/>
    <w:rsid w:val="009E1F32"/>
    <w:rsid w:val="009E2CC2"/>
    <w:rsid w:val="009E47A2"/>
    <w:rsid w:val="009E776C"/>
    <w:rsid w:val="009E7A6F"/>
    <w:rsid w:val="009F4C8F"/>
    <w:rsid w:val="00A02972"/>
    <w:rsid w:val="00A05588"/>
    <w:rsid w:val="00A1081E"/>
    <w:rsid w:val="00A12A15"/>
    <w:rsid w:val="00A15601"/>
    <w:rsid w:val="00A1726E"/>
    <w:rsid w:val="00A204CF"/>
    <w:rsid w:val="00A21D2B"/>
    <w:rsid w:val="00A22745"/>
    <w:rsid w:val="00A23BD9"/>
    <w:rsid w:val="00A23D49"/>
    <w:rsid w:val="00A27004"/>
    <w:rsid w:val="00A27DB4"/>
    <w:rsid w:val="00A308CE"/>
    <w:rsid w:val="00A30C29"/>
    <w:rsid w:val="00A3162D"/>
    <w:rsid w:val="00A34DD6"/>
    <w:rsid w:val="00A35683"/>
    <w:rsid w:val="00A36819"/>
    <w:rsid w:val="00A36989"/>
    <w:rsid w:val="00A41D86"/>
    <w:rsid w:val="00A43628"/>
    <w:rsid w:val="00A45145"/>
    <w:rsid w:val="00A509C8"/>
    <w:rsid w:val="00A51D0F"/>
    <w:rsid w:val="00A54192"/>
    <w:rsid w:val="00A57147"/>
    <w:rsid w:val="00A6035E"/>
    <w:rsid w:val="00A6144C"/>
    <w:rsid w:val="00A65B8A"/>
    <w:rsid w:val="00A66617"/>
    <w:rsid w:val="00A671F8"/>
    <w:rsid w:val="00A673A4"/>
    <w:rsid w:val="00A724AE"/>
    <w:rsid w:val="00A73329"/>
    <w:rsid w:val="00A77FCF"/>
    <w:rsid w:val="00A82359"/>
    <w:rsid w:val="00A865D2"/>
    <w:rsid w:val="00A87C10"/>
    <w:rsid w:val="00A90BCD"/>
    <w:rsid w:val="00A91DC3"/>
    <w:rsid w:val="00A92625"/>
    <w:rsid w:val="00A94C20"/>
    <w:rsid w:val="00A95D81"/>
    <w:rsid w:val="00A96A65"/>
    <w:rsid w:val="00AA0980"/>
    <w:rsid w:val="00AA1B09"/>
    <w:rsid w:val="00AA227F"/>
    <w:rsid w:val="00AA3BC7"/>
    <w:rsid w:val="00AA754A"/>
    <w:rsid w:val="00AB099E"/>
    <w:rsid w:val="00AB1451"/>
    <w:rsid w:val="00AB4328"/>
    <w:rsid w:val="00AB4BD4"/>
    <w:rsid w:val="00AB4C50"/>
    <w:rsid w:val="00AC38DE"/>
    <w:rsid w:val="00AC4CD4"/>
    <w:rsid w:val="00AE0A2E"/>
    <w:rsid w:val="00AE354C"/>
    <w:rsid w:val="00AF12C5"/>
    <w:rsid w:val="00AF4B07"/>
    <w:rsid w:val="00AF4EDE"/>
    <w:rsid w:val="00AF6186"/>
    <w:rsid w:val="00AF7A3A"/>
    <w:rsid w:val="00B02587"/>
    <w:rsid w:val="00B0458C"/>
    <w:rsid w:val="00B049D1"/>
    <w:rsid w:val="00B14793"/>
    <w:rsid w:val="00B153A0"/>
    <w:rsid w:val="00B160DB"/>
    <w:rsid w:val="00B20836"/>
    <w:rsid w:val="00B235BB"/>
    <w:rsid w:val="00B27A44"/>
    <w:rsid w:val="00B30BBF"/>
    <w:rsid w:val="00B33C03"/>
    <w:rsid w:val="00B4421F"/>
    <w:rsid w:val="00B44E56"/>
    <w:rsid w:val="00B45917"/>
    <w:rsid w:val="00B46543"/>
    <w:rsid w:val="00B4690D"/>
    <w:rsid w:val="00B47D33"/>
    <w:rsid w:val="00B52BE0"/>
    <w:rsid w:val="00B54133"/>
    <w:rsid w:val="00B55A8D"/>
    <w:rsid w:val="00B6027C"/>
    <w:rsid w:val="00B61A15"/>
    <w:rsid w:val="00B701ED"/>
    <w:rsid w:val="00B748F7"/>
    <w:rsid w:val="00B8086C"/>
    <w:rsid w:val="00B81C58"/>
    <w:rsid w:val="00B85940"/>
    <w:rsid w:val="00B861B4"/>
    <w:rsid w:val="00B86DFE"/>
    <w:rsid w:val="00B90990"/>
    <w:rsid w:val="00B91DB1"/>
    <w:rsid w:val="00B922FF"/>
    <w:rsid w:val="00B9281E"/>
    <w:rsid w:val="00B93925"/>
    <w:rsid w:val="00B95187"/>
    <w:rsid w:val="00B95971"/>
    <w:rsid w:val="00BA1A2A"/>
    <w:rsid w:val="00BA2D55"/>
    <w:rsid w:val="00BA71B1"/>
    <w:rsid w:val="00BB0637"/>
    <w:rsid w:val="00BB345F"/>
    <w:rsid w:val="00BB38FE"/>
    <w:rsid w:val="00BB5A4F"/>
    <w:rsid w:val="00BB68EA"/>
    <w:rsid w:val="00BC0B99"/>
    <w:rsid w:val="00BC1C27"/>
    <w:rsid w:val="00BC56A7"/>
    <w:rsid w:val="00BC6BBF"/>
    <w:rsid w:val="00BC6D53"/>
    <w:rsid w:val="00BD1572"/>
    <w:rsid w:val="00BE14E3"/>
    <w:rsid w:val="00BE24EE"/>
    <w:rsid w:val="00BE3774"/>
    <w:rsid w:val="00BE3AC5"/>
    <w:rsid w:val="00BE41E5"/>
    <w:rsid w:val="00BE4CE2"/>
    <w:rsid w:val="00BF118F"/>
    <w:rsid w:val="00BF4109"/>
    <w:rsid w:val="00BF4CC3"/>
    <w:rsid w:val="00C054C7"/>
    <w:rsid w:val="00C057B5"/>
    <w:rsid w:val="00C07D0E"/>
    <w:rsid w:val="00C115C3"/>
    <w:rsid w:val="00C12502"/>
    <w:rsid w:val="00C15547"/>
    <w:rsid w:val="00C1672D"/>
    <w:rsid w:val="00C22687"/>
    <w:rsid w:val="00C26A92"/>
    <w:rsid w:val="00C26B1C"/>
    <w:rsid w:val="00C32E4D"/>
    <w:rsid w:val="00C333A0"/>
    <w:rsid w:val="00C36A81"/>
    <w:rsid w:val="00C36DE7"/>
    <w:rsid w:val="00C41974"/>
    <w:rsid w:val="00C44A2C"/>
    <w:rsid w:val="00C44F09"/>
    <w:rsid w:val="00C477F7"/>
    <w:rsid w:val="00C509A6"/>
    <w:rsid w:val="00C53F4A"/>
    <w:rsid w:val="00C54125"/>
    <w:rsid w:val="00C55B54"/>
    <w:rsid w:val="00C6098E"/>
    <w:rsid w:val="00C6152C"/>
    <w:rsid w:val="00C6203C"/>
    <w:rsid w:val="00C62F42"/>
    <w:rsid w:val="00C71424"/>
    <w:rsid w:val="00C74810"/>
    <w:rsid w:val="00C815BD"/>
    <w:rsid w:val="00C87D2A"/>
    <w:rsid w:val="00C90D68"/>
    <w:rsid w:val="00C9337D"/>
    <w:rsid w:val="00C939FE"/>
    <w:rsid w:val="00CA4BDA"/>
    <w:rsid w:val="00CB13E3"/>
    <w:rsid w:val="00CB1F66"/>
    <w:rsid w:val="00CB232C"/>
    <w:rsid w:val="00CB2951"/>
    <w:rsid w:val="00CB4277"/>
    <w:rsid w:val="00CC5067"/>
    <w:rsid w:val="00CD11D3"/>
    <w:rsid w:val="00CD282B"/>
    <w:rsid w:val="00CD447B"/>
    <w:rsid w:val="00CD4C35"/>
    <w:rsid w:val="00CD7369"/>
    <w:rsid w:val="00CE0B0E"/>
    <w:rsid w:val="00CE3831"/>
    <w:rsid w:val="00CE3B7F"/>
    <w:rsid w:val="00CF2397"/>
    <w:rsid w:val="00D00ABB"/>
    <w:rsid w:val="00D02EEC"/>
    <w:rsid w:val="00D03551"/>
    <w:rsid w:val="00D04315"/>
    <w:rsid w:val="00D06A63"/>
    <w:rsid w:val="00D07E0E"/>
    <w:rsid w:val="00D10CD6"/>
    <w:rsid w:val="00D11478"/>
    <w:rsid w:val="00D15ED0"/>
    <w:rsid w:val="00D164BF"/>
    <w:rsid w:val="00D21B3E"/>
    <w:rsid w:val="00D21FED"/>
    <w:rsid w:val="00D23048"/>
    <w:rsid w:val="00D24251"/>
    <w:rsid w:val="00D26E72"/>
    <w:rsid w:val="00D343E2"/>
    <w:rsid w:val="00D361A2"/>
    <w:rsid w:val="00D37272"/>
    <w:rsid w:val="00D44C2E"/>
    <w:rsid w:val="00D45414"/>
    <w:rsid w:val="00D45D6B"/>
    <w:rsid w:val="00D50A0A"/>
    <w:rsid w:val="00D526AB"/>
    <w:rsid w:val="00D53548"/>
    <w:rsid w:val="00D5576B"/>
    <w:rsid w:val="00D566BD"/>
    <w:rsid w:val="00D57A4D"/>
    <w:rsid w:val="00D606CF"/>
    <w:rsid w:val="00D60AA7"/>
    <w:rsid w:val="00D6435F"/>
    <w:rsid w:val="00D66471"/>
    <w:rsid w:val="00D669D4"/>
    <w:rsid w:val="00D70641"/>
    <w:rsid w:val="00D74888"/>
    <w:rsid w:val="00D7488B"/>
    <w:rsid w:val="00D75809"/>
    <w:rsid w:val="00D75E28"/>
    <w:rsid w:val="00D772C2"/>
    <w:rsid w:val="00D8008E"/>
    <w:rsid w:val="00D82C45"/>
    <w:rsid w:val="00D83E48"/>
    <w:rsid w:val="00D908A8"/>
    <w:rsid w:val="00D91B55"/>
    <w:rsid w:val="00D975A8"/>
    <w:rsid w:val="00D977B6"/>
    <w:rsid w:val="00DA1223"/>
    <w:rsid w:val="00DA4A31"/>
    <w:rsid w:val="00DA7B04"/>
    <w:rsid w:val="00DB36C2"/>
    <w:rsid w:val="00DB71CF"/>
    <w:rsid w:val="00DC00A8"/>
    <w:rsid w:val="00DC169B"/>
    <w:rsid w:val="00DC2AB9"/>
    <w:rsid w:val="00DC63F0"/>
    <w:rsid w:val="00DD37EA"/>
    <w:rsid w:val="00DD6EE5"/>
    <w:rsid w:val="00DE041D"/>
    <w:rsid w:val="00DE386C"/>
    <w:rsid w:val="00DE4D35"/>
    <w:rsid w:val="00DF098B"/>
    <w:rsid w:val="00DF11C4"/>
    <w:rsid w:val="00DF210C"/>
    <w:rsid w:val="00DF4B6A"/>
    <w:rsid w:val="00E004C0"/>
    <w:rsid w:val="00E02C09"/>
    <w:rsid w:val="00E04D59"/>
    <w:rsid w:val="00E07DA1"/>
    <w:rsid w:val="00E123CB"/>
    <w:rsid w:val="00E13B09"/>
    <w:rsid w:val="00E15A16"/>
    <w:rsid w:val="00E20E13"/>
    <w:rsid w:val="00E20F95"/>
    <w:rsid w:val="00E21C7C"/>
    <w:rsid w:val="00E21DBC"/>
    <w:rsid w:val="00E275D7"/>
    <w:rsid w:val="00E27DBE"/>
    <w:rsid w:val="00E32AB1"/>
    <w:rsid w:val="00E36C71"/>
    <w:rsid w:val="00E40404"/>
    <w:rsid w:val="00E4126A"/>
    <w:rsid w:val="00E42A06"/>
    <w:rsid w:val="00E4399D"/>
    <w:rsid w:val="00E459C6"/>
    <w:rsid w:val="00E47589"/>
    <w:rsid w:val="00E557AA"/>
    <w:rsid w:val="00E63EC7"/>
    <w:rsid w:val="00E64915"/>
    <w:rsid w:val="00E64D3A"/>
    <w:rsid w:val="00E661D4"/>
    <w:rsid w:val="00E67565"/>
    <w:rsid w:val="00E70091"/>
    <w:rsid w:val="00E70D2E"/>
    <w:rsid w:val="00E720F5"/>
    <w:rsid w:val="00E744E0"/>
    <w:rsid w:val="00E76D47"/>
    <w:rsid w:val="00E827BC"/>
    <w:rsid w:val="00E838A6"/>
    <w:rsid w:val="00E849F7"/>
    <w:rsid w:val="00E90302"/>
    <w:rsid w:val="00E91D05"/>
    <w:rsid w:val="00E9262D"/>
    <w:rsid w:val="00E94245"/>
    <w:rsid w:val="00E94535"/>
    <w:rsid w:val="00E95C1E"/>
    <w:rsid w:val="00E97396"/>
    <w:rsid w:val="00EA185E"/>
    <w:rsid w:val="00EA592A"/>
    <w:rsid w:val="00EB14E4"/>
    <w:rsid w:val="00EB32A5"/>
    <w:rsid w:val="00EB34ED"/>
    <w:rsid w:val="00EB447C"/>
    <w:rsid w:val="00EB7BE0"/>
    <w:rsid w:val="00EC315E"/>
    <w:rsid w:val="00ED077C"/>
    <w:rsid w:val="00ED10A9"/>
    <w:rsid w:val="00ED1190"/>
    <w:rsid w:val="00ED34AC"/>
    <w:rsid w:val="00ED6544"/>
    <w:rsid w:val="00EE0277"/>
    <w:rsid w:val="00EE2899"/>
    <w:rsid w:val="00EE2D3C"/>
    <w:rsid w:val="00EE3E00"/>
    <w:rsid w:val="00EE5DD2"/>
    <w:rsid w:val="00EE68A0"/>
    <w:rsid w:val="00EE6BEB"/>
    <w:rsid w:val="00EF36C5"/>
    <w:rsid w:val="00EF3DB4"/>
    <w:rsid w:val="00F00A79"/>
    <w:rsid w:val="00F00D13"/>
    <w:rsid w:val="00F00E86"/>
    <w:rsid w:val="00F066CC"/>
    <w:rsid w:val="00F07C1E"/>
    <w:rsid w:val="00F10208"/>
    <w:rsid w:val="00F105DB"/>
    <w:rsid w:val="00F132BC"/>
    <w:rsid w:val="00F13D80"/>
    <w:rsid w:val="00F15B4D"/>
    <w:rsid w:val="00F16A7C"/>
    <w:rsid w:val="00F16AAA"/>
    <w:rsid w:val="00F1709C"/>
    <w:rsid w:val="00F21161"/>
    <w:rsid w:val="00F218EF"/>
    <w:rsid w:val="00F21BC7"/>
    <w:rsid w:val="00F266A2"/>
    <w:rsid w:val="00F2685C"/>
    <w:rsid w:val="00F32269"/>
    <w:rsid w:val="00F35B7A"/>
    <w:rsid w:val="00F537D2"/>
    <w:rsid w:val="00F56A6F"/>
    <w:rsid w:val="00F5709C"/>
    <w:rsid w:val="00F60B85"/>
    <w:rsid w:val="00F61EEA"/>
    <w:rsid w:val="00F626B5"/>
    <w:rsid w:val="00F64EF1"/>
    <w:rsid w:val="00F6555C"/>
    <w:rsid w:val="00F72498"/>
    <w:rsid w:val="00F72B14"/>
    <w:rsid w:val="00F7349B"/>
    <w:rsid w:val="00F758D7"/>
    <w:rsid w:val="00F77B17"/>
    <w:rsid w:val="00F84A44"/>
    <w:rsid w:val="00F860C7"/>
    <w:rsid w:val="00F867A8"/>
    <w:rsid w:val="00F8765F"/>
    <w:rsid w:val="00F90767"/>
    <w:rsid w:val="00F9263C"/>
    <w:rsid w:val="00FA1637"/>
    <w:rsid w:val="00FA4FB1"/>
    <w:rsid w:val="00FA685B"/>
    <w:rsid w:val="00FB0C01"/>
    <w:rsid w:val="00FB30D3"/>
    <w:rsid w:val="00FB3767"/>
    <w:rsid w:val="00FB5934"/>
    <w:rsid w:val="00FC18F2"/>
    <w:rsid w:val="00FC2823"/>
    <w:rsid w:val="00FC2A17"/>
    <w:rsid w:val="00FC38CF"/>
    <w:rsid w:val="00FC39E5"/>
    <w:rsid w:val="00FC3A78"/>
    <w:rsid w:val="00FC4060"/>
    <w:rsid w:val="00FD1005"/>
    <w:rsid w:val="00FD1F7F"/>
    <w:rsid w:val="00FD6C75"/>
    <w:rsid w:val="00FD7972"/>
    <w:rsid w:val="00FE0401"/>
    <w:rsid w:val="00FE1B01"/>
    <w:rsid w:val="00FE71B3"/>
    <w:rsid w:val="00FF42C5"/>
    <w:rsid w:val="00FF6CD9"/>
    <w:rsid w:val="00FF7FF0"/>
  </w:rsids>
  <w:docVars>
    <w:docVar w:name="ApplicationsApp" w:val="1"/>
    <w:docVar w:name="EMM" w:val="0"/>
    <w:docVar w:name="NBEMMDOC" w:val="0"/>
    <w:docVar w:name="Plural" w:val="0"/>
  </w:docVars>
  <m:mathPr>
    <m:mathFont m:val="Cambria Math"/>
    <m:smallFrac/>
  </m:mathPr>
  <w:themeFontLang w:val="en-US" w:bidi="ar-SA"/>
  <w:clrSchemeMapping w:bg1="light1" w:t1="dark1" w:bg2="light2" w:t2="dark2" w:accent1="accent1" w:accent2="accent2" w:accent3="accent3" w:accent4="accent4" w:accent5="accent5" w:accent6="accent6" w:hyperlink="hyperlink" w:followedHyperlink="followedHyperlink"/>
  <w:doNotAutoCompressPictures/>
  <w14:docId w14:val="7D984784"/>
  <w15:docId w15:val="{47CDF451-9E61-4907-A3FD-7BAB973FF9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docDefaults>
  <w:latentStyles w:defLockedState="0" w:defUIPriority="98" w:defSemiHidden="0" w:defUnhideWhenUsed="0" w:defQFormat="0" w:count="376">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lsdException w:name="toa heading" w:semiHidden="1" w:unhideWhenUsed="1"/>
    <w:lsdException w:name="List" w:semiHidden="1" w:unhideWhenUsed="1"/>
    <w:lsdException w:name="List Bullet" w:semiHidden="1"/>
    <w:lsdException w:name="List Number" w:semiHidden="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lsdException w:name="List Continue 4" w:semiHidden="1"/>
    <w:lsdException w:name="List Continue 5" w:semiHidden="1"/>
    <w:lsdException w:name="Message Header" w:semiHidden="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nhideWhenUsed="1"/>
    <w:lsdException w:name="Table Grid" w:uiPriority="59"/>
    <w:lsdException w:name="Table Theme" w:semiHidden="1" w:uiPriority="99"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semiHidden/>
    <w:rsid w:val="002B5B43"/>
    <w:rPr>
      <w:sz w:val="24"/>
      <w:szCs w:val="24"/>
      <w:lang w:val="en-GB"/>
    </w:rPr>
  </w:style>
  <w:style w:type="paragraph" w:styleId="Heading1">
    <w:name w:val="heading 1"/>
    <w:basedOn w:val="Normal"/>
    <w:next w:val="Normal"/>
    <w:link w:val="Heading1Char"/>
    <w:uiPriority w:val="98"/>
    <w:rsid w:val="002B5B43"/>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8"/>
    <w:semiHidden/>
    <w:rsid w:val="002B5B43"/>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8"/>
    <w:semiHidden/>
    <w:rsid w:val="002B5B43"/>
    <w:pPr>
      <w:spacing w:before="200" w:line="271" w:lineRule="auto"/>
      <w:outlineLvl w:val="2"/>
    </w:pPr>
    <w:rPr>
      <w:rFonts w:asciiTheme="majorHAnsi" w:eastAsiaTheme="majorEastAsia" w:hAnsiTheme="majorHAnsi" w:cstheme="majorBidi"/>
      <w:b/>
      <w:bCs/>
      <w:color w:val="5F5F5F"/>
      <w:sz w:val="22"/>
      <w:szCs w:val="22"/>
    </w:rPr>
  </w:style>
  <w:style w:type="paragraph" w:styleId="Heading4">
    <w:name w:val="heading 4"/>
    <w:basedOn w:val="Normal"/>
    <w:next w:val="Normal"/>
    <w:link w:val="Heading4Char"/>
    <w:uiPriority w:val="98"/>
    <w:semiHidden/>
    <w:rsid w:val="002B5B43"/>
    <w:pPr>
      <w:spacing w:before="200"/>
      <w:outlineLvl w:val="3"/>
    </w:pPr>
    <w:rPr>
      <w:rFonts w:asciiTheme="majorHAnsi" w:eastAsiaTheme="majorEastAsia" w:hAnsiTheme="majorHAnsi" w:cstheme="majorBidi"/>
      <w:b/>
      <w:bCs/>
      <w:i/>
      <w:iCs/>
      <w:color w:val="777777"/>
      <w:sz w:val="22"/>
      <w:szCs w:val="22"/>
    </w:rPr>
  </w:style>
  <w:style w:type="paragraph" w:styleId="Heading5">
    <w:name w:val="heading 5"/>
    <w:basedOn w:val="Normal"/>
    <w:next w:val="Normal"/>
    <w:link w:val="Heading5Char"/>
    <w:uiPriority w:val="98"/>
    <w:semiHidden/>
    <w:qFormat/>
    <w:rsid w:val="002B5B43"/>
    <w:pPr>
      <w:spacing w:before="200"/>
      <w:outlineLvl w:val="4"/>
    </w:pPr>
    <w:rPr>
      <w:rFonts w:asciiTheme="majorHAnsi" w:eastAsiaTheme="majorEastAsia" w:hAnsiTheme="majorHAnsi" w:cstheme="majorBidi"/>
      <w:b/>
      <w:bCs/>
      <w:color w:val="808080"/>
      <w:sz w:val="22"/>
      <w:szCs w:val="22"/>
    </w:rPr>
  </w:style>
  <w:style w:type="paragraph" w:styleId="Heading6">
    <w:name w:val="heading 6"/>
    <w:basedOn w:val="Normal"/>
    <w:next w:val="Normal"/>
    <w:link w:val="Heading6Char"/>
    <w:uiPriority w:val="98"/>
    <w:semiHidden/>
    <w:rsid w:val="002B5B43"/>
    <w:pPr>
      <w:spacing w:line="271" w:lineRule="auto"/>
      <w:outlineLvl w:val="5"/>
    </w:pPr>
    <w:rPr>
      <w:rFonts w:asciiTheme="majorHAnsi" w:eastAsiaTheme="majorEastAsia" w:hAnsiTheme="majorHAnsi" w:cstheme="majorBidi"/>
      <w:b/>
      <w:bCs/>
      <w:i/>
      <w:iCs/>
      <w:color w:val="7F7F7F" w:themeColor="text1" w:themeTint="80"/>
      <w:sz w:val="22"/>
      <w:szCs w:val="22"/>
      <w:lang w:bidi="en-US"/>
    </w:rPr>
  </w:style>
  <w:style w:type="paragraph" w:styleId="Heading7">
    <w:name w:val="heading 7"/>
    <w:basedOn w:val="Normal"/>
    <w:next w:val="Normal"/>
    <w:link w:val="Heading7Char"/>
    <w:uiPriority w:val="98"/>
    <w:semiHidden/>
    <w:qFormat/>
    <w:rsid w:val="002B5B43"/>
    <w:pPr>
      <w:outlineLvl w:val="6"/>
    </w:pPr>
    <w:rPr>
      <w:rFonts w:asciiTheme="majorHAnsi" w:eastAsiaTheme="majorEastAsia" w:hAnsiTheme="majorHAnsi" w:cstheme="majorBidi"/>
      <w:i/>
      <w:iCs/>
      <w:sz w:val="22"/>
      <w:szCs w:val="22"/>
      <w:lang w:bidi="en-US"/>
    </w:rPr>
  </w:style>
  <w:style w:type="paragraph" w:styleId="Heading8">
    <w:name w:val="heading 8"/>
    <w:basedOn w:val="Normal"/>
    <w:next w:val="Normal"/>
    <w:link w:val="Heading8Char"/>
    <w:uiPriority w:val="98"/>
    <w:semiHidden/>
    <w:qFormat/>
    <w:rsid w:val="002B5B43"/>
    <w:pPr>
      <w:outlineLvl w:val="7"/>
    </w:pPr>
    <w:rPr>
      <w:rFonts w:asciiTheme="majorHAnsi" w:eastAsiaTheme="majorEastAsia" w:hAnsiTheme="majorHAnsi" w:cstheme="majorBidi"/>
      <w:sz w:val="20"/>
      <w:szCs w:val="20"/>
      <w:lang w:bidi="en-US"/>
    </w:rPr>
  </w:style>
  <w:style w:type="paragraph" w:styleId="Heading9">
    <w:name w:val="heading 9"/>
    <w:basedOn w:val="Normal"/>
    <w:next w:val="Normal"/>
    <w:link w:val="Heading9Char"/>
    <w:uiPriority w:val="98"/>
    <w:semiHidden/>
    <w:qFormat/>
    <w:rsid w:val="002B5B43"/>
    <w:pPr>
      <w:outlineLvl w:val="8"/>
    </w:pPr>
    <w:rPr>
      <w:rFonts w:asciiTheme="majorHAnsi" w:eastAsiaTheme="majorEastAsia" w:hAnsiTheme="majorHAnsi" w:cstheme="majorBidi"/>
      <w:i/>
      <w:iCs/>
      <w:spacing w:val="5"/>
      <w:sz w:val="20"/>
      <w:szCs w:val="2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8"/>
    <w:semiHidden/>
    <w:rsid w:val="002B5B43"/>
    <w:rPr>
      <w:rFonts w:ascii="Tahoma" w:hAnsi="Tahoma" w:cs="Tahoma"/>
      <w:sz w:val="16"/>
      <w:szCs w:val="16"/>
    </w:rPr>
  </w:style>
  <w:style w:type="character" w:customStyle="1" w:styleId="BalloonTextChar">
    <w:name w:val="Balloon Text Char"/>
    <w:basedOn w:val="DefaultParagraphFont"/>
    <w:link w:val="BalloonText"/>
    <w:uiPriority w:val="98"/>
    <w:semiHidden/>
    <w:rsid w:val="002B5B43"/>
    <w:rPr>
      <w:rFonts w:ascii="Tahoma" w:hAnsi="Tahoma" w:cs="Tahoma"/>
      <w:sz w:val="16"/>
      <w:szCs w:val="16"/>
      <w:lang w:val="en-GB"/>
    </w:rPr>
  </w:style>
  <w:style w:type="character" w:styleId="BookTitle">
    <w:name w:val="Book Title"/>
    <w:uiPriority w:val="98"/>
    <w:qFormat/>
    <w:rsid w:val="002B5B43"/>
    <w:rPr>
      <w:i/>
      <w:iCs/>
      <w:smallCaps/>
      <w:spacing w:val="5"/>
    </w:rPr>
  </w:style>
  <w:style w:type="paragraph" w:customStyle="1" w:styleId="JuHeader">
    <w:name w:val="Ju_Header"/>
    <w:aliases w:val="_Header"/>
    <w:basedOn w:val="Header0"/>
    <w:uiPriority w:val="29"/>
    <w:qFormat/>
    <w:rsid w:val="002B5B43"/>
    <w:pPr>
      <w:tabs>
        <w:tab w:val="clear" w:pos="4536"/>
        <w:tab w:val="clear" w:pos="9072"/>
      </w:tabs>
      <w:jc w:val="center"/>
    </w:pPr>
    <w:rPr>
      <w:sz w:val="18"/>
    </w:rPr>
  </w:style>
  <w:style w:type="paragraph" w:customStyle="1" w:styleId="NormalJustified">
    <w:name w:val="Normal_Justified"/>
    <w:basedOn w:val="Normal"/>
    <w:semiHidden/>
    <w:rsid w:val="002B5B43"/>
    <w:pPr>
      <w:jc w:val="both"/>
    </w:pPr>
  </w:style>
  <w:style w:type="character" w:styleId="Strong">
    <w:name w:val="Strong"/>
    <w:uiPriority w:val="98"/>
    <w:qFormat/>
    <w:rsid w:val="002B5B43"/>
    <w:rPr>
      <w:b/>
      <w:bCs/>
    </w:rPr>
  </w:style>
  <w:style w:type="paragraph" w:styleId="NoSpacing">
    <w:name w:val="No Spacing"/>
    <w:basedOn w:val="Normal"/>
    <w:link w:val="NoSpacingChar"/>
    <w:uiPriority w:val="98"/>
    <w:qFormat/>
    <w:rsid w:val="002B5B43"/>
  </w:style>
  <w:style w:type="character" w:customStyle="1" w:styleId="NoSpacingChar">
    <w:name w:val="No Spacing Char"/>
    <w:basedOn w:val="DefaultParagraphFont"/>
    <w:link w:val="NoSpacing"/>
    <w:uiPriority w:val="98"/>
    <w:rsid w:val="002B5B43"/>
    <w:rPr>
      <w:sz w:val="24"/>
      <w:szCs w:val="24"/>
      <w:lang w:val="en-GB"/>
    </w:rPr>
  </w:style>
  <w:style w:type="paragraph" w:customStyle="1" w:styleId="JuQuot">
    <w:name w:val="Ju_Quot"/>
    <w:aliases w:val="_Quote"/>
    <w:basedOn w:val="NormalJustified"/>
    <w:qFormat/>
    <w:rsid w:val="002B5B43"/>
    <w:pPr>
      <w:spacing w:before="120" w:after="120"/>
      <w:ind w:left="425" w:firstLine="142"/>
    </w:pPr>
    <w:rPr>
      <w:sz w:val="20"/>
    </w:rPr>
  </w:style>
  <w:style w:type="paragraph" w:customStyle="1" w:styleId="DummyStyle">
    <w:name w:val="Dummy_Style"/>
    <w:aliases w:val="_Dummy"/>
    <w:basedOn w:val="Normal"/>
    <w:semiHidden/>
    <w:qFormat/>
    <w:rsid w:val="002B5B43"/>
    <w:rPr>
      <w:color w:val="00B050"/>
      <w:sz w:val="22"/>
    </w:rPr>
  </w:style>
  <w:style w:type="paragraph" w:customStyle="1" w:styleId="JuList">
    <w:name w:val="Ju_List"/>
    <w:aliases w:val="_List_1"/>
    <w:basedOn w:val="NormalJustified"/>
    <w:uiPriority w:val="23"/>
    <w:qFormat/>
    <w:rsid w:val="002B5B43"/>
    <w:pPr>
      <w:numPr>
        <w:numId w:val="10"/>
      </w:numPr>
      <w:spacing w:before="280" w:after="60"/>
    </w:pPr>
  </w:style>
  <w:style w:type="paragraph" w:customStyle="1" w:styleId="JuLista">
    <w:name w:val="Ju_List_a"/>
    <w:aliases w:val="_List_2"/>
    <w:basedOn w:val="NormalJustified"/>
    <w:uiPriority w:val="23"/>
    <w:rsid w:val="002B5B43"/>
    <w:pPr>
      <w:numPr>
        <w:ilvl w:val="1"/>
        <w:numId w:val="10"/>
      </w:numPr>
    </w:pPr>
  </w:style>
  <w:style w:type="paragraph" w:customStyle="1" w:styleId="JuListi">
    <w:name w:val="Ju_List_i"/>
    <w:aliases w:val="_List_3"/>
    <w:basedOn w:val="NormalJustified"/>
    <w:uiPriority w:val="23"/>
    <w:rsid w:val="002B5B43"/>
    <w:pPr>
      <w:numPr>
        <w:ilvl w:val="2"/>
        <w:numId w:val="10"/>
      </w:numPr>
    </w:pPr>
  </w:style>
  <w:style w:type="paragraph" w:customStyle="1" w:styleId="JuHArticle">
    <w:name w:val="Ju_H_Article"/>
    <w:aliases w:val="_Title_Quote"/>
    <w:basedOn w:val="Normal"/>
    <w:next w:val="JuQuot"/>
    <w:uiPriority w:val="19"/>
    <w:qFormat/>
    <w:rsid w:val="002B5B43"/>
    <w:pPr>
      <w:keepNext/>
      <w:spacing w:before="100" w:beforeAutospacing="1" w:after="120"/>
      <w:contextualSpacing/>
      <w:jc w:val="center"/>
    </w:pPr>
    <w:rPr>
      <w:b/>
      <w:sz w:val="20"/>
    </w:rPr>
  </w:style>
  <w:style w:type="paragraph" w:customStyle="1" w:styleId="DecHTitle">
    <w:name w:val="Dec_H_Title"/>
    <w:aliases w:val="_Title_1"/>
    <w:basedOn w:val="JuPara"/>
    <w:next w:val="JuPara"/>
    <w:uiPriority w:val="38"/>
    <w:qFormat/>
    <w:rsid w:val="002B5B43"/>
    <w:pPr>
      <w:keepNext/>
      <w:keepLines/>
      <w:spacing w:after="240"/>
      <w:ind w:firstLine="0"/>
      <w:jc w:val="center"/>
      <w:outlineLvl w:val="0"/>
    </w:pPr>
    <w:rPr>
      <w:rFonts w:asciiTheme="majorHAnsi" w:hAnsiTheme="majorHAnsi"/>
      <w:sz w:val="28"/>
    </w:rPr>
  </w:style>
  <w:style w:type="paragraph" w:customStyle="1" w:styleId="ECHRCoverTitle4">
    <w:name w:val="ECHR_Cover_Title_4"/>
    <w:aliases w:val="_Title_4"/>
    <w:basedOn w:val="JuPara"/>
    <w:next w:val="JuPara"/>
    <w:uiPriority w:val="38"/>
    <w:qFormat/>
    <w:rsid w:val="002B5B43"/>
    <w:pPr>
      <w:keepNext/>
      <w:keepLines/>
      <w:tabs>
        <w:tab w:val="right" w:pos="7938"/>
      </w:tabs>
      <w:ind w:firstLine="0"/>
      <w:jc w:val="center"/>
    </w:pPr>
    <w:rPr>
      <w:i/>
    </w:rPr>
  </w:style>
  <w:style w:type="paragraph" w:customStyle="1" w:styleId="JuHHead">
    <w:name w:val="Ju_H_Head"/>
    <w:aliases w:val="_Head_1"/>
    <w:basedOn w:val="Heading1"/>
    <w:next w:val="JuPara"/>
    <w:uiPriority w:val="17"/>
    <w:qFormat/>
    <w:rsid w:val="002B5B43"/>
    <w:pPr>
      <w:keepNext/>
      <w:keepLines/>
      <w:numPr>
        <w:numId w:val="9"/>
      </w:numPr>
      <w:spacing w:before="100" w:beforeAutospacing="1" w:after="240"/>
      <w:contextualSpacing w:val="0"/>
      <w:jc w:val="both"/>
    </w:pPr>
    <w:rPr>
      <w:b w:val="0"/>
      <w:caps/>
      <w:color w:val="auto"/>
    </w:rPr>
  </w:style>
  <w:style w:type="numbering" w:customStyle="1" w:styleId="ECHRA1StyleBulletedSquare">
    <w:name w:val="ECHR_A1_Style_Bulleted_Square"/>
    <w:basedOn w:val="NoList"/>
    <w:rsid w:val="002B5B43"/>
    <w:pPr>
      <w:numPr>
        <w:numId w:val="4"/>
      </w:numPr>
    </w:pPr>
  </w:style>
  <w:style w:type="paragraph" w:customStyle="1" w:styleId="JuSigned">
    <w:name w:val="Ju_Signed"/>
    <w:aliases w:val="_Signature"/>
    <w:basedOn w:val="Normal"/>
    <w:next w:val="JuPara"/>
    <w:uiPriority w:val="31"/>
    <w:qFormat/>
    <w:rsid w:val="002B5B43"/>
    <w:pPr>
      <w:tabs>
        <w:tab w:val="center" w:pos="1418"/>
        <w:tab w:val="center" w:pos="5954"/>
      </w:tabs>
      <w:spacing w:before="720"/>
    </w:pPr>
  </w:style>
  <w:style w:type="paragraph" w:styleId="Title">
    <w:name w:val="Title"/>
    <w:basedOn w:val="Normal"/>
    <w:next w:val="Normal"/>
    <w:link w:val="TitleChar"/>
    <w:uiPriority w:val="98"/>
    <w:qFormat/>
    <w:rsid w:val="002B5B43"/>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8"/>
    <w:rsid w:val="002B5B43"/>
    <w:rPr>
      <w:rFonts w:asciiTheme="majorHAnsi" w:eastAsiaTheme="majorEastAsia" w:hAnsiTheme="majorHAnsi" w:cstheme="majorBidi"/>
      <w:spacing w:val="5"/>
      <w:sz w:val="52"/>
      <w:szCs w:val="52"/>
      <w:lang w:val="en-GB" w:bidi="en-US"/>
    </w:rPr>
  </w:style>
  <w:style w:type="numbering" w:customStyle="1" w:styleId="ECHRA1StyleList">
    <w:name w:val="ECHR_A1_Style_List"/>
    <w:basedOn w:val="NoList"/>
    <w:uiPriority w:val="99"/>
    <w:rsid w:val="002B5B43"/>
    <w:pPr>
      <w:numPr>
        <w:numId w:val="5"/>
      </w:numPr>
    </w:pPr>
  </w:style>
  <w:style w:type="numbering" w:customStyle="1" w:styleId="ECHRA1StyleNumberedList">
    <w:name w:val="ECHR_A1_Style_Numbered_List"/>
    <w:basedOn w:val="NoList"/>
    <w:rsid w:val="002B5B43"/>
    <w:pPr>
      <w:numPr>
        <w:numId w:val="6"/>
      </w:numPr>
    </w:pPr>
  </w:style>
  <w:style w:type="table" w:customStyle="1" w:styleId="ECHRTable2019">
    <w:name w:val="ECHR_Table_2019"/>
    <w:basedOn w:val="TableNormal"/>
    <w:uiPriority w:val="99"/>
    <w:rsid w:val="002B5B43"/>
    <w:rPr>
      <w:sz w:val="24"/>
      <w:szCs w:val="24"/>
    </w:rPr>
    <w:tblPr>
      <w:tblStyleRowBandSize w:val="1"/>
      <w:tblStyleColBandSize w:val="1"/>
      <w:jc w:val="center"/>
      <w:tbl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blBorders>
    </w:tblPr>
    <w:trPr>
      <w:jc w:val="center"/>
    </w:trPr>
    <w:tblStylePr w:type="firstRow">
      <w:rPr>
        <w:rFonts w:asciiTheme="majorHAnsi" w:hAnsiTheme="majorHAnsi"/>
        <w:b/>
        <w:i w:val="0"/>
        <w:color w:val="auto"/>
        <w:sz w:val="22"/>
      </w:rPr>
      <w:tblPr/>
      <w:tcPr>
        <w:shd w:val="clear" w:color="auto" w:fill="DFDFDF" w:themeFill="accent3" w:themeFillTint="3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F3F3F3" w:themeFill="text2" w:themeFillTint="33"/>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F3F3F3" w:themeFill="text2" w:themeFillTint="33"/>
      </w:tcPr>
    </w:tblStylePr>
    <w:tblStylePr w:type="band2Horz">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l2br w:val="nil"/>
          <w:tr2bl w:val="nil"/>
        </w:tcBorders>
        <w:shd w:val="clear" w:color="auto" w:fill="F3F3F3" w:themeFill="text2" w:themeFillTint="33"/>
      </w:tcPr>
    </w:tblStylePr>
  </w:style>
  <w:style w:type="paragraph" w:customStyle="1" w:styleId="Footer">
    <w:name w:val="_Footer"/>
    <w:aliases w:val="Footer_"/>
    <w:basedOn w:val="Footer1"/>
    <w:uiPriority w:val="57"/>
    <w:semiHidden/>
    <w:rsid w:val="007D3701"/>
    <w:rPr>
      <w:sz w:val="8"/>
    </w:rPr>
  </w:style>
  <w:style w:type="paragraph" w:customStyle="1" w:styleId="JuCourt">
    <w:name w:val="Ju_Court"/>
    <w:aliases w:val="_Court_Names"/>
    <w:basedOn w:val="Normal"/>
    <w:next w:val="Normal"/>
    <w:uiPriority w:val="32"/>
    <w:qFormat/>
    <w:rsid w:val="002B5B43"/>
    <w:pPr>
      <w:tabs>
        <w:tab w:val="left" w:pos="907"/>
        <w:tab w:val="left" w:pos="1701"/>
        <w:tab w:val="right" w:pos="7371"/>
      </w:tabs>
      <w:spacing w:before="240"/>
      <w:ind w:left="397" w:hanging="397"/>
    </w:pPr>
    <w:rPr>
      <w:lang w:bidi="en-US"/>
    </w:rPr>
  </w:style>
  <w:style w:type="paragraph" w:customStyle="1" w:styleId="JuHIRoman">
    <w:name w:val="Ju_H_I_Roman"/>
    <w:aliases w:val="_Head_2"/>
    <w:basedOn w:val="Heading2"/>
    <w:next w:val="JuPara"/>
    <w:uiPriority w:val="17"/>
    <w:qFormat/>
    <w:rsid w:val="002B5B43"/>
    <w:pPr>
      <w:keepNext/>
      <w:keepLines/>
      <w:numPr>
        <w:ilvl w:val="1"/>
        <w:numId w:val="9"/>
      </w:numPr>
      <w:tabs>
        <w:tab w:val="left" w:pos="454"/>
        <w:tab w:val="left" w:pos="539"/>
        <w:tab w:val="left" w:pos="624"/>
        <w:tab w:val="left" w:pos="709"/>
        <w:tab w:val="left" w:pos="794"/>
      </w:tabs>
      <w:spacing w:before="100" w:beforeAutospacing="1" w:after="240"/>
      <w:ind w:left="369"/>
      <w:jc w:val="both"/>
    </w:pPr>
    <w:rPr>
      <w:b w:val="0"/>
      <w:caps/>
      <w:color w:val="auto"/>
      <w:sz w:val="24"/>
    </w:rPr>
  </w:style>
  <w:style w:type="paragraph" w:customStyle="1" w:styleId="JuHA">
    <w:name w:val="Ju_H_A"/>
    <w:aliases w:val="_Head_3"/>
    <w:basedOn w:val="Heading3"/>
    <w:next w:val="JuPara"/>
    <w:uiPriority w:val="17"/>
    <w:qFormat/>
    <w:rsid w:val="002B5B43"/>
    <w:pPr>
      <w:keepNext/>
      <w:keepLines/>
      <w:numPr>
        <w:ilvl w:val="2"/>
        <w:numId w:val="9"/>
      </w:numPr>
      <w:spacing w:before="100" w:beforeAutospacing="1" w:after="240" w:line="240" w:lineRule="auto"/>
      <w:jc w:val="both"/>
    </w:pPr>
    <w:rPr>
      <w:color w:val="auto"/>
      <w:sz w:val="24"/>
    </w:rPr>
  </w:style>
  <w:style w:type="paragraph" w:customStyle="1" w:styleId="JuH1">
    <w:name w:val="Ju_H_1."/>
    <w:aliases w:val="_Head_4"/>
    <w:basedOn w:val="Heading4"/>
    <w:next w:val="JuPara"/>
    <w:uiPriority w:val="17"/>
    <w:rsid w:val="002B5B43"/>
    <w:pPr>
      <w:keepNext/>
      <w:keepLines/>
      <w:numPr>
        <w:ilvl w:val="3"/>
        <w:numId w:val="9"/>
      </w:numPr>
      <w:spacing w:before="100" w:beforeAutospacing="1" w:after="120"/>
      <w:jc w:val="both"/>
    </w:pPr>
    <w:rPr>
      <w:b w:val="0"/>
      <w:color w:val="auto"/>
      <w:sz w:val="24"/>
    </w:rPr>
  </w:style>
  <w:style w:type="paragraph" w:styleId="Header0">
    <w:name w:val="header"/>
    <w:basedOn w:val="Normal"/>
    <w:link w:val="HeaderChar"/>
    <w:uiPriority w:val="98"/>
    <w:semiHidden/>
    <w:rsid w:val="002B5B43"/>
    <w:pPr>
      <w:tabs>
        <w:tab w:val="center" w:pos="4536"/>
        <w:tab w:val="right" w:pos="9072"/>
      </w:tabs>
    </w:pPr>
  </w:style>
  <w:style w:type="character" w:customStyle="1" w:styleId="HeaderChar">
    <w:name w:val="Header Char"/>
    <w:basedOn w:val="DefaultParagraphFont"/>
    <w:link w:val="Header0"/>
    <w:uiPriority w:val="98"/>
    <w:semiHidden/>
    <w:rsid w:val="002B5B43"/>
    <w:rPr>
      <w:sz w:val="24"/>
      <w:szCs w:val="24"/>
      <w:lang w:val="en-GB"/>
    </w:rPr>
  </w:style>
  <w:style w:type="character" w:customStyle="1" w:styleId="Heading1Char">
    <w:name w:val="Heading 1 Char"/>
    <w:basedOn w:val="DefaultParagraphFont"/>
    <w:link w:val="Heading1"/>
    <w:uiPriority w:val="98"/>
    <w:rsid w:val="002B5B43"/>
    <w:rPr>
      <w:rFonts w:asciiTheme="majorHAnsi" w:eastAsiaTheme="majorEastAsia" w:hAnsiTheme="majorHAnsi" w:cstheme="majorBidi"/>
      <w:b/>
      <w:bCs/>
      <w:color w:val="333333"/>
      <w:sz w:val="28"/>
      <w:szCs w:val="28"/>
      <w:lang w:val="en-GB"/>
    </w:rPr>
  </w:style>
  <w:style w:type="paragraph" w:customStyle="1" w:styleId="JuHa0">
    <w:name w:val="Ju_H_a"/>
    <w:aliases w:val="_Head_5"/>
    <w:basedOn w:val="Heading5"/>
    <w:next w:val="JuPara"/>
    <w:uiPriority w:val="17"/>
    <w:rsid w:val="002B5B43"/>
    <w:pPr>
      <w:keepNext/>
      <w:keepLines/>
      <w:numPr>
        <w:ilvl w:val="4"/>
        <w:numId w:val="9"/>
      </w:numPr>
      <w:spacing w:before="100" w:beforeAutospacing="1" w:after="120"/>
      <w:jc w:val="both"/>
    </w:pPr>
    <w:rPr>
      <w:color w:val="auto"/>
      <w:sz w:val="20"/>
    </w:rPr>
  </w:style>
  <w:style w:type="paragraph" w:customStyle="1" w:styleId="JuHi">
    <w:name w:val="Ju_H_i"/>
    <w:aliases w:val="_Head_6"/>
    <w:basedOn w:val="Heading6"/>
    <w:next w:val="JuPara"/>
    <w:uiPriority w:val="17"/>
    <w:rsid w:val="002B5B43"/>
    <w:pPr>
      <w:keepNext/>
      <w:keepLines/>
      <w:numPr>
        <w:ilvl w:val="5"/>
        <w:numId w:val="9"/>
      </w:numPr>
      <w:tabs>
        <w:tab w:val="left" w:pos="1077"/>
        <w:tab w:val="left" w:pos="1134"/>
        <w:tab w:val="left" w:pos="1191"/>
        <w:tab w:val="left" w:pos="1247"/>
      </w:tabs>
      <w:spacing w:before="100" w:beforeAutospacing="1" w:after="120"/>
      <w:jc w:val="both"/>
    </w:pPr>
    <w:rPr>
      <w:b w:val="0"/>
      <w:color w:val="auto"/>
      <w:sz w:val="20"/>
    </w:rPr>
  </w:style>
  <w:style w:type="character" w:customStyle="1" w:styleId="Heading2Char">
    <w:name w:val="Heading 2 Char"/>
    <w:basedOn w:val="DefaultParagraphFont"/>
    <w:link w:val="Heading2"/>
    <w:uiPriority w:val="98"/>
    <w:semiHidden/>
    <w:rsid w:val="002B5B43"/>
    <w:rPr>
      <w:rFonts w:asciiTheme="majorHAnsi" w:eastAsiaTheme="majorEastAsia" w:hAnsiTheme="majorHAnsi" w:cstheme="majorBidi"/>
      <w:b/>
      <w:bCs/>
      <w:color w:val="4D4D4D"/>
      <w:sz w:val="26"/>
      <w:szCs w:val="26"/>
      <w:lang w:val="en-GB"/>
    </w:rPr>
  </w:style>
  <w:style w:type="paragraph" w:customStyle="1" w:styleId="JuHalpha">
    <w:name w:val="Ju_H_alpha"/>
    <w:aliases w:val="_Head_7"/>
    <w:basedOn w:val="Heading7"/>
    <w:next w:val="JuPara"/>
    <w:uiPriority w:val="17"/>
    <w:rsid w:val="002B5B43"/>
    <w:pPr>
      <w:keepNext/>
      <w:keepLines/>
      <w:numPr>
        <w:ilvl w:val="6"/>
        <w:numId w:val="9"/>
      </w:numPr>
      <w:tabs>
        <w:tab w:val="left" w:pos="1361"/>
      </w:tabs>
      <w:spacing w:before="100" w:beforeAutospacing="1" w:after="120"/>
      <w:jc w:val="both"/>
    </w:pPr>
    <w:rPr>
      <w:i w:val="0"/>
      <w:sz w:val="20"/>
    </w:rPr>
  </w:style>
  <w:style w:type="paragraph" w:customStyle="1" w:styleId="JuH">
    <w:name w:val="Ju_H_–"/>
    <w:aliases w:val="_Head_8"/>
    <w:basedOn w:val="Heading8"/>
    <w:next w:val="JuPara"/>
    <w:uiPriority w:val="17"/>
    <w:rsid w:val="002B5B43"/>
    <w:pPr>
      <w:keepNext/>
      <w:keepLines/>
      <w:numPr>
        <w:ilvl w:val="7"/>
        <w:numId w:val="9"/>
      </w:numPr>
      <w:spacing w:before="100" w:beforeAutospacing="1" w:after="120"/>
      <w:jc w:val="both"/>
    </w:pPr>
    <w:rPr>
      <w:i/>
    </w:rPr>
  </w:style>
  <w:style w:type="character" w:customStyle="1" w:styleId="Heading3Char">
    <w:name w:val="Heading 3 Char"/>
    <w:basedOn w:val="DefaultParagraphFont"/>
    <w:link w:val="Heading3"/>
    <w:uiPriority w:val="98"/>
    <w:semiHidden/>
    <w:rsid w:val="002B5B43"/>
    <w:rPr>
      <w:rFonts w:asciiTheme="majorHAnsi" w:eastAsiaTheme="majorEastAsia" w:hAnsiTheme="majorHAnsi" w:cstheme="majorBidi"/>
      <w:b/>
      <w:bCs/>
      <w:color w:val="5F5F5F"/>
      <w:lang w:val="en-GB"/>
    </w:rPr>
  </w:style>
  <w:style w:type="paragraph" w:customStyle="1" w:styleId="JuParaLast">
    <w:name w:val="Ju_Para_Last"/>
    <w:aliases w:val="ECHR_Para_Spaced,_Para_Spaced"/>
    <w:basedOn w:val="NormalJustified"/>
    <w:uiPriority w:val="5"/>
    <w:qFormat/>
    <w:rsid w:val="002B5B43"/>
    <w:pPr>
      <w:keepNext/>
      <w:keepLines/>
      <w:spacing w:before="240" w:after="240"/>
      <w:ind w:firstLine="284"/>
    </w:pPr>
  </w:style>
  <w:style w:type="paragraph" w:customStyle="1" w:styleId="JuJudges">
    <w:name w:val="Ju_Judges"/>
    <w:aliases w:val="_Judges"/>
    <w:basedOn w:val="Normal"/>
    <w:uiPriority w:val="32"/>
    <w:qFormat/>
    <w:rsid w:val="002B5B43"/>
    <w:pPr>
      <w:tabs>
        <w:tab w:val="left" w:pos="567"/>
        <w:tab w:val="left" w:pos="1134"/>
      </w:tabs>
    </w:pPr>
  </w:style>
  <w:style w:type="character" w:customStyle="1" w:styleId="Heading4Char">
    <w:name w:val="Heading 4 Char"/>
    <w:basedOn w:val="DefaultParagraphFont"/>
    <w:link w:val="Heading4"/>
    <w:uiPriority w:val="98"/>
    <w:semiHidden/>
    <w:rsid w:val="002B5B43"/>
    <w:rPr>
      <w:rFonts w:asciiTheme="majorHAnsi" w:eastAsiaTheme="majorEastAsia" w:hAnsiTheme="majorHAnsi" w:cstheme="majorBidi"/>
      <w:b/>
      <w:bCs/>
      <w:i/>
      <w:iCs/>
      <w:color w:val="777777"/>
      <w:lang w:val="en-GB"/>
    </w:rPr>
  </w:style>
  <w:style w:type="paragraph" w:customStyle="1" w:styleId="JuInitialled">
    <w:name w:val="Ju_Initialled"/>
    <w:aliases w:val="_Right"/>
    <w:basedOn w:val="Normal"/>
    <w:uiPriority w:val="30"/>
    <w:qFormat/>
    <w:rsid w:val="002B5B43"/>
    <w:pPr>
      <w:tabs>
        <w:tab w:val="center" w:pos="6407"/>
      </w:tabs>
      <w:spacing w:before="720"/>
      <w:jc w:val="right"/>
    </w:pPr>
  </w:style>
  <w:style w:type="character" w:customStyle="1" w:styleId="Heading5Char">
    <w:name w:val="Heading 5 Char"/>
    <w:basedOn w:val="DefaultParagraphFont"/>
    <w:link w:val="Heading5"/>
    <w:uiPriority w:val="98"/>
    <w:semiHidden/>
    <w:rsid w:val="002B5B43"/>
    <w:rPr>
      <w:rFonts w:asciiTheme="majorHAnsi" w:eastAsiaTheme="majorEastAsia" w:hAnsiTheme="majorHAnsi" w:cstheme="majorBidi"/>
      <w:b/>
      <w:bCs/>
      <w:color w:val="808080"/>
      <w:lang w:val="en-GB"/>
    </w:rPr>
  </w:style>
  <w:style w:type="character" w:customStyle="1" w:styleId="JuITMark">
    <w:name w:val="Ju_ITMark"/>
    <w:aliases w:val="_ITMark"/>
    <w:basedOn w:val="DefaultParagraphFont"/>
    <w:uiPriority w:val="54"/>
    <w:qFormat/>
    <w:rsid w:val="002B5B43"/>
    <w:rPr>
      <w:vanish w:val="0"/>
      <w:color w:val="auto"/>
      <w:sz w:val="14"/>
      <w:bdr w:val="none" w:sz="0" w:space="0" w:color="auto"/>
      <w:shd w:val="clear" w:color="auto" w:fill="BEE5FF" w:themeFill="background1" w:themeFillTint="33"/>
    </w:rPr>
  </w:style>
  <w:style w:type="character" w:customStyle="1" w:styleId="JUNAMES">
    <w:name w:val="JU_NAMES"/>
    <w:aliases w:val="_Ju_Names"/>
    <w:uiPriority w:val="33"/>
    <w:qFormat/>
    <w:rsid w:val="002B5B43"/>
    <w:rPr>
      <w:caps w:val="0"/>
      <w:smallCaps/>
    </w:rPr>
  </w:style>
  <w:style w:type="character" w:styleId="SubtleEmphasis">
    <w:name w:val="Subtle Emphasis"/>
    <w:uiPriority w:val="98"/>
    <w:qFormat/>
    <w:rsid w:val="002B5B43"/>
    <w:rPr>
      <w:i/>
      <w:iCs/>
    </w:rPr>
  </w:style>
  <w:style w:type="table" w:customStyle="1" w:styleId="ECHRTable">
    <w:name w:val="ECHR_Table"/>
    <w:basedOn w:val="TableNormal"/>
    <w:rsid w:val="002B5B43"/>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2B5B43"/>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character" w:styleId="Emphasis">
    <w:name w:val="Emphasis"/>
    <w:uiPriority w:val="98"/>
    <w:qFormat/>
    <w:rsid w:val="002B5B43"/>
    <w:rPr>
      <w:b/>
      <w:bCs/>
      <w:i/>
      <w:iCs/>
      <w:spacing w:val="10"/>
      <w:bdr w:val="none" w:sz="0" w:space="0" w:color="auto"/>
      <w:shd w:val="clear" w:color="auto" w:fill="auto"/>
    </w:rPr>
  </w:style>
  <w:style w:type="paragraph" w:styleId="Footer1">
    <w:name w:val="footer"/>
    <w:basedOn w:val="Normal"/>
    <w:link w:val="FooterChar"/>
    <w:uiPriority w:val="98"/>
    <w:semiHidden/>
    <w:rsid w:val="002B5B43"/>
    <w:pPr>
      <w:tabs>
        <w:tab w:val="center" w:pos="3686"/>
        <w:tab w:val="right" w:pos="7371"/>
      </w:tabs>
    </w:pPr>
  </w:style>
  <w:style w:type="character" w:customStyle="1" w:styleId="FooterChar">
    <w:name w:val="Footer Char"/>
    <w:basedOn w:val="DefaultParagraphFont"/>
    <w:link w:val="Footer1"/>
    <w:uiPriority w:val="98"/>
    <w:semiHidden/>
    <w:rsid w:val="002B5B43"/>
    <w:rPr>
      <w:sz w:val="24"/>
      <w:szCs w:val="24"/>
      <w:lang w:val="en-GB"/>
    </w:rPr>
  </w:style>
  <w:style w:type="character" w:styleId="FootnoteReference">
    <w:name w:val="footnote reference"/>
    <w:basedOn w:val="DefaultParagraphFont"/>
    <w:uiPriority w:val="98"/>
    <w:semiHidden/>
    <w:rsid w:val="002B5B43"/>
    <w:rPr>
      <w:vertAlign w:val="superscript"/>
    </w:rPr>
  </w:style>
  <w:style w:type="paragraph" w:styleId="FootnoteText">
    <w:name w:val="footnote text"/>
    <w:basedOn w:val="NormalJustified"/>
    <w:link w:val="FootnoteTextChar"/>
    <w:uiPriority w:val="98"/>
    <w:semiHidden/>
    <w:rsid w:val="002B5B43"/>
    <w:rPr>
      <w:sz w:val="20"/>
      <w:szCs w:val="20"/>
    </w:rPr>
  </w:style>
  <w:style w:type="character" w:customStyle="1" w:styleId="FootnoteTextChar">
    <w:name w:val="Footnote Text Char"/>
    <w:basedOn w:val="DefaultParagraphFont"/>
    <w:link w:val="FootnoteText"/>
    <w:uiPriority w:val="98"/>
    <w:semiHidden/>
    <w:rsid w:val="002B5B43"/>
    <w:rPr>
      <w:sz w:val="20"/>
      <w:szCs w:val="20"/>
      <w:lang w:val="en-GB"/>
    </w:rPr>
  </w:style>
  <w:style w:type="character" w:customStyle="1" w:styleId="Heading6Char">
    <w:name w:val="Heading 6 Char"/>
    <w:basedOn w:val="DefaultParagraphFont"/>
    <w:link w:val="Heading6"/>
    <w:uiPriority w:val="98"/>
    <w:semiHidden/>
    <w:rsid w:val="002B5B43"/>
    <w:rPr>
      <w:rFonts w:asciiTheme="majorHAnsi" w:eastAsiaTheme="majorEastAsia" w:hAnsiTheme="majorHAnsi" w:cstheme="majorBidi"/>
      <w:b/>
      <w:bCs/>
      <w:i/>
      <w:iCs/>
      <w:color w:val="7F7F7F" w:themeColor="text1" w:themeTint="80"/>
      <w:lang w:val="en-GB" w:bidi="en-US"/>
    </w:rPr>
  </w:style>
  <w:style w:type="character" w:customStyle="1" w:styleId="Heading7Char">
    <w:name w:val="Heading 7 Char"/>
    <w:basedOn w:val="DefaultParagraphFont"/>
    <w:link w:val="Heading7"/>
    <w:uiPriority w:val="98"/>
    <w:semiHidden/>
    <w:rsid w:val="002B5B43"/>
    <w:rPr>
      <w:rFonts w:asciiTheme="majorHAnsi" w:eastAsiaTheme="majorEastAsia" w:hAnsiTheme="majorHAnsi" w:cstheme="majorBidi"/>
      <w:i/>
      <w:iCs/>
      <w:lang w:val="en-GB" w:bidi="en-US"/>
    </w:rPr>
  </w:style>
  <w:style w:type="character" w:customStyle="1" w:styleId="Heading8Char">
    <w:name w:val="Heading 8 Char"/>
    <w:basedOn w:val="DefaultParagraphFont"/>
    <w:link w:val="Heading8"/>
    <w:uiPriority w:val="98"/>
    <w:semiHidden/>
    <w:rsid w:val="002B5B43"/>
    <w:rPr>
      <w:rFonts w:asciiTheme="majorHAnsi" w:eastAsiaTheme="majorEastAsia" w:hAnsiTheme="majorHAnsi" w:cstheme="majorBidi"/>
      <w:sz w:val="20"/>
      <w:szCs w:val="20"/>
      <w:lang w:val="en-GB" w:bidi="en-US"/>
    </w:rPr>
  </w:style>
  <w:style w:type="character" w:customStyle="1" w:styleId="Heading9Char">
    <w:name w:val="Heading 9 Char"/>
    <w:basedOn w:val="DefaultParagraphFont"/>
    <w:link w:val="Heading9"/>
    <w:uiPriority w:val="98"/>
    <w:semiHidden/>
    <w:rsid w:val="002B5B43"/>
    <w:rPr>
      <w:rFonts w:asciiTheme="majorHAnsi" w:eastAsiaTheme="majorEastAsia" w:hAnsiTheme="majorHAnsi" w:cstheme="majorBidi"/>
      <w:i/>
      <w:iCs/>
      <w:spacing w:val="5"/>
      <w:sz w:val="20"/>
      <w:szCs w:val="20"/>
      <w:lang w:val="en-GB" w:bidi="en-US"/>
    </w:rPr>
  </w:style>
  <w:style w:type="character" w:styleId="Hyperlink">
    <w:name w:val="Hyperlink"/>
    <w:basedOn w:val="DefaultParagraphFont"/>
    <w:uiPriority w:val="98"/>
    <w:rsid w:val="002B5B43"/>
    <w:rPr>
      <w:color w:val="0072BC" w:themeColor="hyperlink"/>
      <w:u w:val="single"/>
    </w:rPr>
  </w:style>
  <w:style w:type="character" w:styleId="IntenseEmphasis">
    <w:name w:val="Intense Emphasis"/>
    <w:uiPriority w:val="98"/>
    <w:qFormat/>
    <w:rsid w:val="002B5B43"/>
    <w:rPr>
      <w:b/>
      <w:bCs/>
    </w:rPr>
  </w:style>
  <w:style w:type="paragraph" w:styleId="IntenseQuote">
    <w:name w:val="Intense Quote"/>
    <w:basedOn w:val="Normal"/>
    <w:next w:val="Normal"/>
    <w:link w:val="IntenseQuoteChar"/>
    <w:uiPriority w:val="98"/>
    <w:qFormat/>
    <w:rsid w:val="002B5B43"/>
    <w:pPr>
      <w:pBdr>
        <w:bottom w:val="single" w:sz="4" w:space="1" w:color="auto"/>
      </w:pBdr>
      <w:spacing w:before="200" w:after="280"/>
      <w:ind w:left="1008" w:right="1152"/>
    </w:pPr>
    <w:rPr>
      <w:b/>
      <w:bCs/>
      <w:i/>
      <w:iCs/>
      <w:lang w:bidi="en-US"/>
    </w:rPr>
  </w:style>
  <w:style w:type="character" w:customStyle="1" w:styleId="IntenseQuoteChar">
    <w:name w:val="Intense Quote Char"/>
    <w:basedOn w:val="DefaultParagraphFont"/>
    <w:link w:val="IntenseQuote"/>
    <w:uiPriority w:val="98"/>
    <w:rsid w:val="002B5B43"/>
    <w:rPr>
      <w:b/>
      <w:bCs/>
      <w:i/>
      <w:iCs/>
      <w:sz w:val="24"/>
      <w:szCs w:val="24"/>
      <w:lang w:val="en-GB" w:bidi="en-US"/>
    </w:rPr>
  </w:style>
  <w:style w:type="character" w:styleId="IntenseReference">
    <w:name w:val="Intense Reference"/>
    <w:uiPriority w:val="98"/>
    <w:qFormat/>
    <w:rsid w:val="002B5B43"/>
    <w:rPr>
      <w:smallCaps/>
      <w:spacing w:val="5"/>
      <w:u w:val="single"/>
    </w:rPr>
  </w:style>
  <w:style w:type="paragraph" w:styleId="ListParagraph">
    <w:name w:val="List Paragraph"/>
    <w:basedOn w:val="Normal"/>
    <w:uiPriority w:val="98"/>
    <w:qFormat/>
    <w:rsid w:val="002B5B43"/>
    <w:pPr>
      <w:ind w:left="720"/>
      <w:contextualSpacing/>
    </w:pPr>
  </w:style>
  <w:style w:type="table" w:customStyle="1" w:styleId="LtrTableAddress">
    <w:name w:val="Ltr_Table_Address"/>
    <w:aliases w:val="ECHR_Ltr_Table_Address"/>
    <w:basedOn w:val="TableNormal"/>
    <w:uiPriority w:val="99"/>
    <w:rsid w:val="002B5B43"/>
    <w:rPr>
      <w:sz w:val="24"/>
      <w:szCs w:val="24"/>
    </w:rPr>
    <w:tblPr>
      <w:tblInd w:w="5103" w:type="dxa"/>
    </w:tblPr>
  </w:style>
  <w:style w:type="paragraph" w:styleId="Quote0">
    <w:name w:val="Quote"/>
    <w:basedOn w:val="Normal"/>
    <w:next w:val="Normal"/>
    <w:link w:val="QuoteChar"/>
    <w:uiPriority w:val="98"/>
    <w:qFormat/>
    <w:rsid w:val="002B5B43"/>
    <w:pPr>
      <w:spacing w:before="200"/>
      <w:ind w:left="360" w:right="360"/>
    </w:pPr>
    <w:rPr>
      <w:i/>
      <w:iCs/>
      <w:lang w:bidi="en-US"/>
    </w:rPr>
  </w:style>
  <w:style w:type="character" w:customStyle="1" w:styleId="QuoteChar">
    <w:name w:val="Quote Char"/>
    <w:basedOn w:val="DefaultParagraphFont"/>
    <w:link w:val="Quote0"/>
    <w:uiPriority w:val="98"/>
    <w:rsid w:val="002B5B43"/>
    <w:rPr>
      <w:i/>
      <w:iCs/>
      <w:sz w:val="24"/>
      <w:szCs w:val="24"/>
      <w:lang w:val="en-GB" w:bidi="en-US"/>
    </w:rPr>
  </w:style>
  <w:style w:type="character" w:styleId="SubtleReference">
    <w:name w:val="Subtle Reference"/>
    <w:uiPriority w:val="98"/>
    <w:qFormat/>
    <w:rsid w:val="002B5B43"/>
    <w:rPr>
      <w:smallCaps/>
    </w:rPr>
  </w:style>
  <w:style w:type="table" w:styleId="TableGrid">
    <w:name w:val="Table Grid"/>
    <w:basedOn w:val="TableNormal"/>
    <w:uiPriority w:val="59"/>
    <w:rsid w:val="002B5B43"/>
    <w:rPr>
      <w:rFonts w:eastAsiaTheme="minorEastAsia"/>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8"/>
    <w:semiHidden/>
    <w:rsid w:val="002B5B43"/>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8"/>
    <w:semiHidden/>
    <w:rsid w:val="002B5B43"/>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8"/>
    <w:semiHidden/>
    <w:rsid w:val="002B5B43"/>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8"/>
    <w:semiHidden/>
    <w:rsid w:val="002B5B43"/>
    <w:pPr>
      <w:keepNext/>
      <w:tabs>
        <w:tab w:val="right" w:leader="dot" w:pos="7371"/>
      </w:tabs>
      <w:spacing w:after="60" w:line="240" w:lineRule="exact"/>
      <w:ind w:left="1361" w:right="567" w:hanging="340"/>
    </w:pPr>
    <w:rPr>
      <w:sz w:val="20"/>
    </w:rPr>
  </w:style>
  <w:style w:type="paragraph" w:styleId="TOC5">
    <w:name w:val="toc 5"/>
    <w:basedOn w:val="Normal"/>
    <w:next w:val="Normal"/>
    <w:autoRedefine/>
    <w:uiPriority w:val="98"/>
    <w:semiHidden/>
    <w:rsid w:val="002B5B43"/>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8"/>
    <w:semiHidden/>
    <w:qFormat/>
    <w:rsid w:val="002B5B43"/>
    <w:pPr>
      <w:keepNext/>
      <w:keepLines/>
      <w:spacing w:before="240"/>
      <w:contextualSpacing/>
      <w:jc w:val="center"/>
    </w:pPr>
    <w:rPr>
      <w:rFonts w:asciiTheme="majorHAnsi" w:hAnsiTheme="majorHAnsi"/>
      <w:b/>
      <w:color w:val="474747" w:themeColor="accent3" w:themeShade="BF"/>
      <w:sz w:val="28"/>
    </w:rPr>
  </w:style>
  <w:style w:type="table" w:customStyle="1" w:styleId="UGTable">
    <w:name w:val="UG_Table"/>
    <w:aliases w:val="ECHR_UG_Table"/>
    <w:basedOn w:val="TableNormal"/>
    <w:uiPriority w:val="99"/>
    <w:rsid w:val="002B5B43"/>
    <w:rPr>
      <w:rFonts w:eastAsiaTheme="minorEastAsia"/>
      <w:sz w:val="20"/>
      <w:szCs w:val="24"/>
      <w:lang w:val="en-GB"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aliases w:val="ECHR_UG_Table_White_Box"/>
    <w:basedOn w:val="TableNormal"/>
    <w:uiPriority w:val="99"/>
    <w:rsid w:val="002B5B43"/>
    <w:rPr>
      <w:rFonts w:eastAsiaTheme="minorEastAsia"/>
      <w:sz w:val="24"/>
      <w:szCs w:val="24"/>
      <w:lang w:val="en-GB" w:eastAsia="en-GB"/>
    </w:rPr>
    <w:tblPr>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aliases w:val="ECHR_PCF_Table_Style"/>
    <w:basedOn w:val="TableNormal"/>
    <w:uiPriority w:val="99"/>
    <w:rsid w:val="002B5B43"/>
    <w:rPr>
      <w:color w:val="000000" w:themeColor="text1"/>
      <w:sz w:val="18"/>
      <w:szCs w:val="24"/>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Lines="0" w:beforeAutospacing="0" w:afterLines="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2B5B43"/>
    <w:rPr>
      <w:color w:val="000000" w:themeColor="text1"/>
      <w:sz w:val="24"/>
      <w:szCs w:val="24"/>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2B5B43"/>
    <w:rPr>
      <w:sz w:val="24"/>
      <w:szCs w:val="24"/>
    </w:rPr>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basedOn w:val="TableNormal"/>
    <w:uiPriority w:val="99"/>
    <w:rsid w:val="002B5B43"/>
    <w:rPr>
      <w:sz w:val="24"/>
      <w:szCs w:val="24"/>
    </w:rPr>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0" w:leftChars="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8"/>
    <w:semiHidden/>
    <w:rsid w:val="002B5B43"/>
    <w:pPr>
      <w:keepNext/>
      <w:keepLines/>
      <w:spacing w:before="240"/>
      <w:contextualSpacing/>
      <w:jc w:val="center"/>
    </w:pPr>
    <w:rPr>
      <w:rFonts w:asciiTheme="majorHAnsi" w:eastAsiaTheme="majorEastAsia" w:hAnsiTheme="majorHAnsi" w:cstheme="majorBidi"/>
      <w:b/>
      <w:bCs/>
      <w:color w:val="474747" w:themeColor="accent3" w:themeShade="BF"/>
      <w:sz w:val="28"/>
    </w:rPr>
  </w:style>
  <w:style w:type="paragraph" w:styleId="Subtitle">
    <w:name w:val="Subtitle"/>
    <w:basedOn w:val="Normal"/>
    <w:next w:val="Normal"/>
    <w:link w:val="SubtitleChar"/>
    <w:uiPriority w:val="98"/>
    <w:qFormat/>
    <w:rsid w:val="002B5B43"/>
    <w:pPr>
      <w:spacing w:after="600"/>
    </w:pPr>
    <w:rPr>
      <w:rFonts w:asciiTheme="majorHAnsi" w:eastAsiaTheme="majorEastAsia" w:hAnsiTheme="majorHAnsi" w:cstheme="majorBidi"/>
      <w:i/>
      <w:iCs/>
      <w:spacing w:val="13"/>
      <w:lang w:bidi="en-US"/>
    </w:rPr>
  </w:style>
  <w:style w:type="character" w:customStyle="1" w:styleId="SubtitleChar">
    <w:name w:val="Subtitle Char"/>
    <w:basedOn w:val="DefaultParagraphFont"/>
    <w:link w:val="Subtitle"/>
    <w:uiPriority w:val="98"/>
    <w:rsid w:val="002B5B43"/>
    <w:rPr>
      <w:rFonts w:asciiTheme="majorHAnsi" w:eastAsiaTheme="majorEastAsia" w:hAnsiTheme="majorHAnsi" w:cstheme="majorBidi"/>
      <w:i/>
      <w:iCs/>
      <w:spacing w:val="13"/>
      <w:sz w:val="24"/>
      <w:szCs w:val="24"/>
      <w:lang w:val="en-GB" w:bidi="en-US"/>
    </w:rPr>
  </w:style>
  <w:style w:type="numbering" w:styleId="111111">
    <w:name w:val="Outline List 2"/>
    <w:basedOn w:val="NoList"/>
    <w:uiPriority w:val="99"/>
    <w:semiHidden/>
    <w:unhideWhenUsed/>
    <w:rsid w:val="002B5B43"/>
    <w:pPr>
      <w:numPr>
        <w:numId w:val="1"/>
      </w:numPr>
    </w:pPr>
  </w:style>
  <w:style w:type="paragraph" w:customStyle="1" w:styleId="JuPara">
    <w:name w:val="Ju_Para"/>
    <w:aliases w:val="_Para,ECHR_Para,First line:  0 cm,Left,N_Para,Para"/>
    <w:basedOn w:val="NormalJustified"/>
    <w:link w:val="JuParaChar"/>
    <w:uiPriority w:val="4"/>
    <w:qFormat/>
    <w:rsid w:val="002B5B43"/>
    <w:pPr>
      <w:ind w:firstLine="284"/>
    </w:pPr>
  </w:style>
  <w:style w:type="numbering" w:styleId="1ai">
    <w:name w:val="Outline List 1"/>
    <w:basedOn w:val="NoList"/>
    <w:uiPriority w:val="99"/>
    <w:semiHidden/>
    <w:unhideWhenUsed/>
    <w:rsid w:val="002B5B43"/>
    <w:pPr>
      <w:numPr>
        <w:numId w:val="2"/>
      </w:numPr>
    </w:pPr>
  </w:style>
  <w:style w:type="table" w:customStyle="1" w:styleId="ECHRTableSimpleBox">
    <w:name w:val="ECHR_Table_Simple_Box"/>
    <w:basedOn w:val="TableNormal"/>
    <w:uiPriority w:val="99"/>
    <w:rsid w:val="002B5B43"/>
    <w:rPr>
      <w:sz w:val="24"/>
      <w:szCs w:val="24"/>
    </w:rPr>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2B5B43"/>
    <w:rPr>
      <w:sz w:val="24"/>
      <w:szCs w:val="24"/>
    </w:rPr>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numbering" w:styleId="ArticleSection">
    <w:name w:val="Outline List 3"/>
    <w:basedOn w:val="NoList"/>
    <w:uiPriority w:val="99"/>
    <w:semiHidden/>
    <w:unhideWhenUsed/>
    <w:rsid w:val="002B5B43"/>
    <w:pPr>
      <w:numPr>
        <w:numId w:val="3"/>
      </w:numPr>
    </w:pPr>
  </w:style>
  <w:style w:type="table" w:customStyle="1" w:styleId="ECHRTableForInternalUse">
    <w:name w:val="ECHR_Table_For_Internal_Use"/>
    <w:basedOn w:val="TableNormal"/>
    <w:uiPriority w:val="99"/>
    <w:rsid w:val="002B5B43"/>
    <w:rPr>
      <w:color w:val="636363" w:themeColor="text2" w:themeShade="80"/>
      <w:sz w:val="18"/>
      <w:szCs w:val="24"/>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2B5B43"/>
    <w:rPr>
      <w:sz w:val="24"/>
      <w:szCs w:val="24"/>
    </w:rPr>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paragraph" w:styleId="Bibliography">
    <w:name w:val="Bibliography"/>
    <w:basedOn w:val="Normal"/>
    <w:next w:val="Normal"/>
    <w:uiPriority w:val="98"/>
    <w:semiHidden/>
    <w:rsid w:val="002B5B43"/>
  </w:style>
  <w:style w:type="paragraph" w:styleId="BlockText">
    <w:name w:val="Block Text"/>
    <w:basedOn w:val="Normal"/>
    <w:uiPriority w:val="98"/>
    <w:semiHidden/>
    <w:rsid w:val="002B5B43"/>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table" w:customStyle="1" w:styleId="ECHRHeaderTable">
    <w:name w:val="ECHR_Header_Table"/>
    <w:basedOn w:val="TableNormal"/>
    <w:uiPriority w:val="99"/>
    <w:rsid w:val="002B5B43"/>
    <w:rPr>
      <w:sz w:val="24"/>
      <w:szCs w:val="24"/>
    </w:rPr>
    <w:tblPr>
      <w:tblInd w:w="-1474"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paragraph" w:styleId="BodyText">
    <w:name w:val="Body Text"/>
    <w:basedOn w:val="Normal"/>
    <w:link w:val="BodyTextChar"/>
    <w:uiPriority w:val="98"/>
    <w:semiHidden/>
    <w:rsid w:val="002B5B43"/>
    <w:pPr>
      <w:spacing w:after="120"/>
    </w:pPr>
  </w:style>
  <w:style w:type="character" w:customStyle="1" w:styleId="BodyTextChar">
    <w:name w:val="Body Text Char"/>
    <w:basedOn w:val="DefaultParagraphFont"/>
    <w:link w:val="BodyText"/>
    <w:uiPriority w:val="98"/>
    <w:semiHidden/>
    <w:rsid w:val="002B5B43"/>
    <w:rPr>
      <w:sz w:val="24"/>
      <w:szCs w:val="24"/>
      <w:lang w:val="en-GB"/>
    </w:rPr>
  </w:style>
  <w:style w:type="table" w:customStyle="1" w:styleId="ECHRTableOddBanded">
    <w:name w:val="ECHR_Table_Odd_Banded"/>
    <w:basedOn w:val="TableNormal"/>
    <w:uiPriority w:val="99"/>
    <w:rsid w:val="002B5B43"/>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styleId="BodyText2">
    <w:name w:val="Body Text 2"/>
    <w:basedOn w:val="Normal"/>
    <w:link w:val="BodyText2Char"/>
    <w:uiPriority w:val="98"/>
    <w:semiHidden/>
    <w:rsid w:val="002B5B43"/>
    <w:pPr>
      <w:spacing w:after="120" w:line="480" w:lineRule="auto"/>
    </w:pPr>
  </w:style>
  <w:style w:type="table" w:customStyle="1" w:styleId="ECHRHeaderTableReduced">
    <w:name w:val="ECHR_Header_Table_Reduced"/>
    <w:basedOn w:val="TableNormal"/>
    <w:uiPriority w:val="99"/>
    <w:rsid w:val="002B5B43"/>
    <w:rPr>
      <w:sz w:val="24"/>
      <w:szCs w:val="24"/>
    </w:rPr>
    <w:tblPr>
      <w:tblInd w:w="-1474" w:type="dxa"/>
      <w:tblCellMar>
        <w:left w:w="0" w:type="dxa"/>
        <w:right w:w="0" w:type="dxa"/>
      </w:tblCellMar>
    </w:tblPr>
    <w:tcPr>
      <w:vAlign w:val="bottom"/>
    </w:tcPr>
    <w:tblStylePr w:type="firstRow">
      <w:rPr>
        <w:sz w:val="18"/>
      </w:rPr>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paragraph" w:customStyle="1" w:styleId="JuCase">
    <w:name w:val="Ju_Case"/>
    <w:aliases w:val="_Case_Name"/>
    <w:basedOn w:val="NormalJustified"/>
    <w:next w:val="JuPara"/>
    <w:uiPriority w:val="32"/>
    <w:rsid w:val="002B5B43"/>
    <w:pPr>
      <w:ind w:firstLine="284"/>
    </w:pPr>
    <w:rPr>
      <w:b/>
    </w:rPr>
  </w:style>
  <w:style w:type="character" w:styleId="PageNumber">
    <w:name w:val="page number"/>
    <w:uiPriority w:val="98"/>
    <w:semiHidden/>
    <w:rsid w:val="002B5B43"/>
    <w:rPr>
      <w:sz w:val="18"/>
    </w:rPr>
  </w:style>
  <w:style w:type="paragraph" w:styleId="ListBullet">
    <w:name w:val="List Bullet"/>
    <w:basedOn w:val="Normal"/>
    <w:uiPriority w:val="98"/>
    <w:semiHidden/>
    <w:rsid w:val="002B5B43"/>
    <w:pPr>
      <w:numPr>
        <w:numId w:val="11"/>
      </w:numPr>
    </w:pPr>
  </w:style>
  <w:style w:type="paragraph" w:styleId="ListBullet3">
    <w:name w:val="List Bullet 3"/>
    <w:basedOn w:val="Normal"/>
    <w:uiPriority w:val="98"/>
    <w:semiHidden/>
    <w:rsid w:val="002B5B43"/>
    <w:pPr>
      <w:numPr>
        <w:numId w:val="13"/>
      </w:numPr>
      <w:contextualSpacing/>
    </w:pPr>
  </w:style>
  <w:style w:type="character" w:customStyle="1" w:styleId="BodyText2Char">
    <w:name w:val="Body Text 2 Char"/>
    <w:basedOn w:val="DefaultParagraphFont"/>
    <w:link w:val="BodyText2"/>
    <w:uiPriority w:val="98"/>
    <w:semiHidden/>
    <w:rsid w:val="002B5B43"/>
    <w:rPr>
      <w:sz w:val="24"/>
      <w:szCs w:val="24"/>
      <w:lang w:val="en-GB"/>
    </w:rPr>
  </w:style>
  <w:style w:type="paragraph" w:styleId="BodyText3">
    <w:name w:val="Body Text 3"/>
    <w:basedOn w:val="Normal"/>
    <w:link w:val="BodyText3Char"/>
    <w:uiPriority w:val="98"/>
    <w:semiHidden/>
    <w:rsid w:val="002B5B43"/>
    <w:pPr>
      <w:spacing w:after="120"/>
    </w:pPr>
    <w:rPr>
      <w:sz w:val="16"/>
      <w:szCs w:val="16"/>
    </w:rPr>
  </w:style>
  <w:style w:type="character" w:customStyle="1" w:styleId="BodyText3Char">
    <w:name w:val="Body Text 3 Char"/>
    <w:basedOn w:val="DefaultParagraphFont"/>
    <w:link w:val="BodyText3"/>
    <w:uiPriority w:val="98"/>
    <w:semiHidden/>
    <w:rsid w:val="002B5B43"/>
    <w:rPr>
      <w:sz w:val="16"/>
      <w:szCs w:val="16"/>
      <w:lang w:val="en-GB"/>
    </w:rPr>
  </w:style>
  <w:style w:type="paragraph" w:styleId="BodyTextFirstIndent">
    <w:name w:val="Body Text First Indent"/>
    <w:basedOn w:val="BodyText"/>
    <w:link w:val="BodyTextFirstIndentChar"/>
    <w:uiPriority w:val="98"/>
    <w:semiHidden/>
    <w:rsid w:val="002B5B43"/>
    <w:pPr>
      <w:spacing w:after="0"/>
      <w:ind w:firstLine="360"/>
    </w:pPr>
  </w:style>
  <w:style w:type="character" w:customStyle="1" w:styleId="BodyTextFirstIndentChar">
    <w:name w:val="Body Text First Indent Char"/>
    <w:basedOn w:val="BodyTextChar"/>
    <w:link w:val="BodyTextFirstIndent"/>
    <w:uiPriority w:val="98"/>
    <w:semiHidden/>
    <w:rsid w:val="002B5B43"/>
    <w:rPr>
      <w:sz w:val="24"/>
      <w:szCs w:val="24"/>
      <w:lang w:val="en-GB"/>
    </w:rPr>
  </w:style>
  <w:style w:type="paragraph" w:styleId="BodyTextIndent">
    <w:name w:val="Body Text Indent"/>
    <w:basedOn w:val="Normal"/>
    <w:link w:val="BodyTextIndentChar"/>
    <w:uiPriority w:val="98"/>
    <w:semiHidden/>
    <w:rsid w:val="002B5B43"/>
    <w:pPr>
      <w:spacing w:after="120"/>
      <w:ind w:left="283"/>
    </w:pPr>
  </w:style>
  <w:style w:type="character" w:customStyle="1" w:styleId="BodyTextIndentChar">
    <w:name w:val="Body Text Indent Char"/>
    <w:basedOn w:val="DefaultParagraphFont"/>
    <w:link w:val="BodyTextIndent"/>
    <w:uiPriority w:val="98"/>
    <w:semiHidden/>
    <w:rsid w:val="002B5B43"/>
    <w:rPr>
      <w:sz w:val="24"/>
      <w:szCs w:val="24"/>
      <w:lang w:val="en-GB"/>
    </w:rPr>
  </w:style>
  <w:style w:type="paragraph" w:styleId="BodyTextFirstIndent2">
    <w:name w:val="Body Text First Indent 2"/>
    <w:basedOn w:val="BodyTextIndent"/>
    <w:link w:val="BodyTextFirstIndent2Char"/>
    <w:uiPriority w:val="98"/>
    <w:semiHidden/>
    <w:rsid w:val="002B5B43"/>
    <w:pPr>
      <w:spacing w:after="0"/>
      <w:ind w:left="360" w:firstLine="360"/>
    </w:pPr>
  </w:style>
  <w:style w:type="character" w:customStyle="1" w:styleId="BodyTextFirstIndent2Char">
    <w:name w:val="Body Text First Indent 2 Char"/>
    <w:basedOn w:val="BodyTextIndentChar"/>
    <w:link w:val="BodyTextFirstIndent2"/>
    <w:uiPriority w:val="98"/>
    <w:semiHidden/>
    <w:rsid w:val="002B5B43"/>
    <w:rPr>
      <w:sz w:val="24"/>
      <w:szCs w:val="24"/>
      <w:lang w:val="en-GB"/>
    </w:rPr>
  </w:style>
  <w:style w:type="paragraph" w:styleId="BodyTextIndent2">
    <w:name w:val="Body Text Indent 2"/>
    <w:basedOn w:val="Normal"/>
    <w:link w:val="BodyTextIndent2Char"/>
    <w:uiPriority w:val="98"/>
    <w:semiHidden/>
    <w:rsid w:val="002B5B43"/>
    <w:pPr>
      <w:spacing w:after="120" w:line="480" w:lineRule="auto"/>
      <w:ind w:left="283"/>
    </w:pPr>
  </w:style>
  <w:style w:type="character" w:customStyle="1" w:styleId="BodyTextIndent2Char">
    <w:name w:val="Body Text Indent 2 Char"/>
    <w:basedOn w:val="DefaultParagraphFont"/>
    <w:link w:val="BodyTextIndent2"/>
    <w:uiPriority w:val="98"/>
    <w:semiHidden/>
    <w:rsid w:val="002B5B43"/>
    <w:rPr>
      <w:sz w:val="24"/>
      <w:szCs w:val="24"/>
      <w:lang w:val="en-GB"/>
    </w:rPr>
  </w:style>
  <w:style w:type="paragraph" w:styleId="BodyTextIndent3">
    <w:name w:val="Body Text Indent 3"/>
    <w:basedOn w:val="Normal"/>
    <w:link w:val="BodyTextIndent3Char"/>
    <w:uiPriority w:val="98"/>
    <w:semiHidden/>
    <w:rsid w:val="002B5B43"/>
    <w:pPr>
      <w:spacing w:after="120"/>
      <w:ind w:left="283"/>
    </w:pPr>
    <w:rPr>
      <w:sz w:val="16"/>
      <w:szCs w:val="16"/>
    </w:rPr>
  </w:style>
  <w:style w:type="character" w:customStyle="1" w:styleId="BodyTextIndent3Char">
    <w:name w:val="Body Text Indent 3 Char"/>
    <w:basedOn w:val="DefaultParagraphFont"/>
    <w:link w:val="BodyTextIndent3"/>
    <w:uiPriority w:val="98"/>
    <w:semiHidden/>
    <w:rsid w:val="002B5B43"/>
    <w:rPr>
      <w:sz w:val="16"/>
      <w:szCs w:val="16"/>
      <w:lang w:val="en-GB"/>
    </w:rPr>
  </w:style>
  <w:style w:type="paragraph" w:styleId="Caption">
    <w:name w:val="caption"/>
    <w:basedOn w:val="Normal"/>
    <w:next w:val="Normal"/>
    <w:uiPriority w:val="98"/>
    <w:semiHidden/>
    <w:qFormat/>
    <w:rsid w:val="002B5B43"/>
    <w:pPr>
      <w:spacing w:after="200"/>
    </w:pPr>
    <w:rPr>
      <w:b/>
      <w:bCs/>
      <w:color w:val="0072BC" w:themeColor="accent1"/>
      <w:sz w:val="18"/>
      <w:szCs w:val="18"/>
    </w:rPr>
  </w:style>
  <w:style w:type="paragraph" w:styleId="Closing">
    <w:name w:val="Closing"/>
    <w:basedOn w:val="Normal"/>
    <w:link w:val="ClosingChar"/>
    <w:uiPriority w:val="98"/>
    <w:semiHidden/>
    <w:rsid w:val="002B5B43"/>
    <w:pPr>
      <w:ind w:left="4252"/>
    </w:pPr>
  </w:style>
  <w:style w:type="character" w:customStyle="1" w:styleId="ClosingChar">
    <w:name w:val="Closing Char"/>
    <w:basedOn w:val="DefaultParagraphFont"/>
    <w:link w:val="Closing"/>
    <w:uiPriority w:val="98"/>
    <w:semiHidden/>
    <w:rsid w:val="002B5B43"/>
    <w:rPr>
      <w:sz w:val="24"/>
      <w:szCs w:val="24"/>
      <w:lang w:val="en-GB"/>
    </w:rPr>
  </w:style>
  <w:style w:type="table" w:customStyle="1" w:styleId="1">
    <w:name w:val="Кольорова сітка1"/>
    <w:basedOn w:val="TableNormal"/>
    <w:uiPriority w:val="73"/>
    <w:semiHidden/>
    <w:rsid w:val="002B5B43"/>
    <w:rPr>
      <w:color w:val="000000" w:themeColor="text1"/>
      <w:sz w:val="24"/>
      <w:szCs w:val="24"/>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2B5B43"/>
    <w:rPr>
      <w:color w:val="000000" w:themeColor="text1"/>
      <w:sz w:val="24"/>
      <w:szCs w:val="24"/>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73"/>
    <w:semiHidden/>
    <w:rsid w:val="002B5B43"/>
    <w:rPr>
      <w:color w:val="000000" w:themeColor="text1"/>
      <w:sz w:val="24"/>
      <w:szCs w:val="24"/>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73"/>
    <w:semiHidden/>
    <w:rsid w:val="002B5B43"/>
    <w:rPr>
      <w:color w:val="000000" w:themeColor="text1"/>
      <w:sz w:val="24"/>
      <w:szCs w:val="24"/>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73"/>
    <w:semiHidden/>
    <w:rsid w:val="002B5B43"/>
    <w:rPr>
      <w:color w:val="000000" w:themeColor="text1"/>
      <w:sz w:val="24"/>
      <w:szCs w:val="24"/>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73"/>
    <w:semiHidden/>
    <w:rsid w:val="002B5B43"/>
    <w:rPr>
      <w:color w:val="000000" w:themeColor="text1"/>
      <w:sz w:val="24"/>
      <w:szCs w:val="24"/>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73"/>
    <w:semiHidden/>
    <w:rsid w:val="002B5B43"/>
    <w:rPr>
      <w:color w:val="000000" w:themeColor="text1"/>
      <w:sz w:val="24"/>
      <w:szCs w:val="24"/>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customStyle="1" w:styleId="10">
    <w:name w:val="Кольоровий список1"/>
    <w:basedOn w:val="TableNormal"/>
    <w:uiPriority w:val="72"/>
    <w:semiHidden/>
    <w:rsid w:val="002B5B43"/>
    <w:rPr>
      <w:color w:val="000000" w:themeColor="text1"/>
      <w:sz w:val="24"/>
      <w:szCs w:val="24"/>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2B5B43"/>
    <w:rPr>
      <w:color w:val="000000" w:themeColor="text1"/>
      <w:sz w:val="24"/>
      <w:szCs w:val="24"/>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72"/>
    <w:semiHidden/>
    <w:rsid w:val="002B5B43"/>
    <w:rPr>
      <w:color w:val="000000" w:themeColor="text1"/>
      <w:sz w:val="24"/>
      <w:szCs w:val="24"/>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72"/>
    <w:semiHidden/>
    <w:rsid w:val="002B5B43"/>
    <w:rPr>
      <w:color w:val="000000" w:themeColor="text1"/>
      <w:sz w:val="24"/>
      <w:szCs w:val="24"/>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72"/>
    <w:semiHidden/>
    <w:rsid w:val="002B5B43"/>
    <w:rPr>
      <w:color w:val="000000" w:themeColor="text1"/>
      <w:sz w:val="24"/>
      <w:szCs w:val="24"/>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72"/>
    <w:semiHidden/>
    <w:rsid w:val="002B5B43"/>
    <w:rPr>
      <w:color w:val="000000" w:themeColor="text1"/>
      <w:sz w:val="24"/>
      <w:szCs w:val="24"/>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72"/>
    <w:semiHidden/>
    <w:rsid w:val="002B5B43"/>
    <w:rPr>
      <w:color w:val="000000" w:themeColor="text1"/>
      <w:sz w:val="24"/>
      <w:szCs w:val="24"/>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customStyle="1" w:styleId="11">
    <w:name w:val="Кольорова заливка1"/>
    <w:basedOn w:val="TableNormal"/>
    <w:uiPriority w:val="71"/>
    <w:semiHidden/>
    <w:rsid w:val="002B5B43"/>
    <w:rPr>
      <w:color w:val="000000" w:themeColor="text1"/>
      <w:sz w:val="24"/>
      <w:szCs w:val="24"/>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2B5B43"/>
    <w:rPr>
      <w:color w:val="000000" w:themeColor="text1"/>
      <w:sz w:val="24"/>
      <w:szCs w:val="24"/>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2B5B43"/>
    <w:rPr>
      <w:color w:val="000000" w:themeColor="text1"/>
      <w:sz w:val="24"/>
      <w:szCs w:val="24"/>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2B5B43"/>
    <w:rPr>
      <w:color w:val="000000" w:themeColor="text1"/>
      <w:sz w:val="24"/>
      <w:szCs w:val="24"/>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71"/>
    <w:semiHidden/>
    <w:rsid w:val="002B5B43"/>
    <w:rPr>
      <w:color w:val="000000" w:themeColor="text1"/>
      <w:sz w:val="24"/>
      <w:szCs w:val="24"/>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2B5B43"/>
    <w:rPr>
      <w:color w:val="000000" w:themeColor="text1"/>
      <w:sz w:val="24"/>
      <w:szCs w:val="24"/>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2B5B43"/>
    <w:rPr>
      <w:color w:val="000000" w:themeColor="text1"/>
      <w:sz w:val="24"/>
      <w:szCs w:val="24"/>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8"/>
    <w:semiHidden/>
    <w:rsid w:val="002B5B43"/>
    <w:rPr>
      <w:sz w:val="16"/>
      <w:szCs w:val="16"/>
    </w:rPr>
  </w:style>
  <w:style w:type="paragraph" w:styleId="CommentText">
    <w:name w:val="annotation text"/>
    <w:basedOn w:val="Normal"/>
    <w:link w:val="CommentTextChar"/>
    <w:uiPriority w:val="98"/>
    <w:rsid w:val="002B5B43"/>
    <w:rPr>
      <w:sz w:val="20"/>
      <w:szCs w:val="20"/>
    </w:rPr>
  </w:style>
  <w:style w:type="character" w:customStyle="1" w:styleId="CommentTextChar">
    <w:name w:val="Comment Text Char"/>
    <w:basedOn w:val="DefaultParagraphFont"/>
    <w:link w:val="CommentText"/>
    <w:uiPriority w:val="98"/>
    <w:rsid w:val="002B5B43"/>
    <w:rPr>
      <w:sz w:val="20"/>
      <w:szCs w:val="20"/>
      <w:lang w:val="en-GB"/>
    </w:rPr>
  </w:style>
  <w:style w:type="paragraph" w:styleId="CommentSubject">
    <w:name w:val="annotation subject"/>
    <w:basedOn w:val="CommentText"/>
    <w:next w:val="CommentText"/>
    <w:link w:val="CommentSubjectChar"/>
    <w:uiPriority w:val="98"/>
    <w:semiHidden/>
    <w:rsid w:val="002B5B43"/>
    <w:rPr>
      <w:b/>
      <w:bCs/>
    </w:rPr>
  </w:style>
  <w:style w:type="character" w:customStyle="1" w:styleId="CommentSubjectChar">
    <w:name w:val="Comment Subject Char"/>
    <w:basedOn w:val="CommentTextChar"/>
    <w:link w:val="CommentSubject"/>
    <w:uiPriority w:val="98"/>
    <w:semiHidden/>
    <w:rsid w:val="002B5B43"/>
    <w:rPr>
      <w:b/>
      <w:bCs/>
      <w:sz w:val="20"/>
      <w:szCs w:val="20"/>
      <w:lang w:val="en-GB"/>
    </w:rPr>
  </w:style>
  <w:style w:type="table" w:customStyle="1" w:styleId="12">
    <w:name w:val="Темний список1"/>
    <w:basedOn w:val="TableNormal"/>
    <w:uiPriority w:val="70"/>
    <w:semiHidden/>
    <w:rsid w:val="002B5B43"/>
    <w:rPr>
      <w:color w:val="0072BC" w:themeColor="background1"/>
      <w:sz w:val="24"/>
      <w:szCs w:val="24"/>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2B5B43"/>
    <w:rPr>
      <w:color w:val="0072BC" w:themeColor="background1"/>
      <w:sz w:val="24"/>
      <w:szCs w:val="24"/>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70"/>
    <w:semiHidden/>
    <w:rsid w:val="002B5B43"/>
    <w:rPr>
      <w:color w:val="0072BC" w:themeColor="background1"/>
      <w:sz w:val="24"/>
      <w:szCs w:val="24"/>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70"/>
    <w:semiHidden/>
    <w:rsid w:val="002B5B43"/>
    <w:rPr>
      <w:color w:val="0072BC" w:themeColor="background1"/>
      <w:sz w:val="24"/>
      <w:szCs w:val="24"/>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70"/>
    <w:semiHidden/>
    <w:rsid w:val="002B5B43"/>
    <w:rPr>
      <w:color w:val="0072BC" w:themeColor="background1"/>
      <w:sz w:val="24"/>
      <w:szCs w:val="24"/>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70"/>
    <w:semiHidden/>
    <w:rsid w:val="002B5B43"/>
    <w:rPr>
      <w:color w:val="0072BC" w:themeColor="background1"/>
      <w:sz w:val="24"/>
      <w:szCs w:val="24"/>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70"/>
    <w:semiHidden/>
    <w:rsid w:val="002B5B43"/>
    <w:rPr>
      <w:color w:val="0072BC" w:themeColor="background1"/>
      <w:sz w:val="24"/>
      <w:szCs w:val="24"/>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8"/>
    <w:semiHidden/>
    <w:rsid w:val="002B5B43"/>
  </w:style>
  <w:style w:type="character" w:customStyle="1" w:styleId="DateChar">
    <w:name w:val="Date Char"/>
    <w:basedOn w:val="DefaultParagraphFont"/>
    <w:link w:val="Date"/>
    <w:uiPriority w:val="98"/>
    <w:semiHidden/>
    <w:rsid w:val="002B5B43"/>
    <w:rPr>
      <w:sz w:val="24"/>
      <w:szCs w:val="24"/>
      <w:lang w:val="en-GB"/>
    </w:rPr>
  </w:style>
  <w:style w:type="paragraph" w:styleId="DocumentMap">
    <w:name w:val="Document Map"/>
    <w:basedOn w:val="Normal"/>
    <w:link w:val="DocumentMapChar"/>
    <w:uiPriority w:val="98"/>
    <w:semiHidden/>
    <w:rsid w:val="002B5B43"/>
    <w:rPr>
      <w:rFonts w:ascii="Tahoma" w:hAnsi="Tahoma" w:cs="Tahoma"/>
      <w:sz w:val="16"/>
      <w:szCs w:val="16"/>
    </w:rPr>
  </w:style>
  <w:style w:type="character" w:customStyle="1" w:styleId="DocumentMapChar">
    <w:name w:val="Document Map Char"/>
    <w:basedOn w:val="DefaultParagraphFont"/>
    <w:link w:val="DocumentMap"/>
    <w:uiPriority w:val="98"/>
    <w:semiHidden/>
    <w:rsid w:val="002B5B43"/>
    <w:rPr>
      <w:rFonts w:ascii="Tahoma" w:hAnsi="Tahoma" w:cs="Tahoma"/>
      <w:sz w:val="16"/>
      <w:szCs w:val="16"/>
      <w:lang w:val="en-GB"/>
    </w:rPr>
  </w:style>
  <w:style w:type="paragraph" w:styleId="E-mailSignature">
    <w:name w:val="E-mail Signature"/>
    <w:basedOn w:val="Normal"/>
    <w:link w:val="E-mailSignatureChar"/>
    <w:uiPriority w:val="98"/>
    <w:semiHidden/>
    <w:rsid w:val="002B5B43"/>
  </w:style>
  <w:style w:type="character" w:customStyle="1" w:styleId="E-mailSignatureChar">
    <w:name w:val="E-mail Signature Char"/>
    <w:basedOn w:val="DefaultParagraphFont"/>
    <w:link w:val="E-mailSignature"/>
    <w:uiPriority w:val="98"/>
    <w:semiHidden/>
    <w:rsid w:val="002B5B43"/>
    <w:rPr>
      <w:sz w:val="24"/>
      <w:szCs w:val="24"/>
      <w:lang w:val="en-GB"/>
    </w:rPr>
  </w:style>
  <w:style w:type="character" w:styleId="EndnoteReference">
    <w:name w:val="endnote reference"/>
    <w:basedOn w:val="DefaultParagraphFont"/>
    <w:uiPriority w:val="98"/>
    <w:semiHidden/>
    <w:rsid w:val="002B5B43"/>
    <w:rPr>
      <w:vertAlign w:val="superscript"/>
    </w:rPr>
  </w:style>
  <w:style w:type="paragraph" w:styleId="EndnoteText">
    <w:name w:val="endnote text"/>
    <w:basedOn w:val="Normal"/>
    <w:link w:val="EndnoteTextChar"/>
    <w:uiPriority w:val="98"/>
    <w:semiHidden/>
    <w:rsid w:val="002B5B43"/>
    <w:rPr>
      <w:sz w:val="20"/>
      <w:szCs w:val="20"/>
    </w:rPr>
  </w:style>
  <w:style w:type="character" w:customStyle="1" w:styleId="EndnoteTextChar">
    <w:name w:val="Endnote Text Char"/>
    <w:basedOn w:val="DefaultParagraphFont"/>
    <w:link w:val="EndnoteText"/>
    <w:uiPriority w:val="98"/>
    <w:semiHidden/>
    <w:rsid w:val="002B5B43"/>
    <w:rPr>
      <w:sz w:val="20"/>
      <w:szCs w:val="20"/>
      <w:lang w:val="en-GB"/>
    </w:rPr>
  </w:style>
  <w:style w:type="paragraph" w:styleId="EnvelopeAddress">
    <w:name w:val="envelope address"/>
    <w:basedOn w:val="Normal"/>
    <w:uiPriority w:val="98"/>
    <w:semiHidden/>
    <w:rsid w:val="002B5B43"/>
    <w:pPr>
      <w:framePr w:w="7938" w:h="1985" w:hRule="exact" w:hSpace="141" w:wrap="auto" w:hAnchor="page" w:xAlign="center" w:yAlign="bottom"/>
      <w:ind w:left="2835"/>
    </w:pPr>
    <w:rPr>
      <w:rFonts w:asciiTheme="majorHAnsi" w:eastAsiaTheme="majorEastAsia" w:hAnsiTheme="majorHAnsi" w:cstheme="majorBidi"/>
    </w:rPr>
  </w:style>
  <w:style w:type="paragraph" w:styleId="EnvelopeReturn">
    <w:name w:val="envelope return"/>
    <w:basedOn w:val="Normal"/>
    <w:uiPriority w:val="98"/>
    <w:semiHidden/>
    <w:rsid w:val="002B5B43"/>
    <w:rPr>
      <w:rFonts w:asciiTheme="majorHAnsi" w:eastAsiaTheme="majorEastAsia" w:hAnsiTheme="majorHAnsi" w:cstheme="majorBidi"/>
      <w:sz w:val="20"/>
      <w:szCs w:val="20"/>
    </w:rPr>
  </w:style>
  <w:style w:type="character" w:styleId="FollowedHyperlink">
    <w:name w:val="FollowedHyperlink"/>
    <w:basedOn w:val="DefaultParagraphFont"/>
    <w:uiPriority w:val="98"/>
    <w:semiHidden/>
    <w:rsid w:val="002B5B43"/>
    <w:rPr>
      <w:color w:val="7030A0" w:themeColor="followedHyperlink"/>
      <w:u w:val="single"/>
    </w:rPr>
  </w:style>
  <w:style w:type="character" w:styleId="HTMLAcronym">
    <w:name w:val="HTML Acronym"/>
    <w:basedOn w:val="DefaultParagraphFont"/>
    <w:uiPriority w:val="98"/>
    <w:semiHidden/>
    <w:rsid w:val="002B5B43"/>
  </w:style>
  <w:style w:type="paragraph" w:styleId="HTMLAddress">
    <w:name w:val="HTML Address"/>
    <w:basedOn w:val="Normal"/>
    <w:link w:val="HTMLAddressChar"/>
    <w:uiPriority w:val="98"/>
    <w:semiHidden/>
    <w:rsid w:val="002B5B43"/>
    <w:rPr>
      <w:i/>
      <w:iCs/>
    </w:rPr>
  </w:style>
  <w:style w:type="character" w:customStyle="1" w:styleId="HTMLAddressChar">
    <w:name w:val="HTML Address Char"/>
    <w:basedOn w:val="DefaultParagraphFont"/>
    <w:link w:val="HTMLAddress"/>
    <w:uiPriority w:val="98"/>
    <w:semiHidden/>
    <w:rsid w:val="002B5B43"/>
    <w:rPr>
      <w:i/>
      <w:iCs/>
      <w:sz w:val="24"/>
      <w:szCs w:val="24"/>
      <w:lang w:val="en-GB"/>
    </w:rPr>
  </w:style>
  <w:style w:type="character" w:styleId="HTMLCite">
    <w:name w:val="HTML Cite"/>
    <w:basedOn w:val="DefaultParagraphFont"/>
    <w:uiPriority w:val="98"/>
    <w:semiHidden/>
    <w:rsid w:val="002B5B43"/>
    <w:rPr>
      <w:i/>
      <w:iCs/>
    </w:rPr>
  </w:style>
  <w:style w:type="character" w:styleId="HTMLCode">
    <w:name w:val="HTML Code"/>
    <w:basedOn w:val="DefaultParagraphFont"/>
    <w:uiPriority w:val="98"/>
    <w:semiHidden/>
    <w:rsid w:val="002B5B43"/>
    <w:rPr>
      <w:rFonts w:ascii="Consolas" w:hAnsi="Consolas" w:cs="Consolas"/>
      <w:sz w:val="20"/>
      <w:szCs w:val="20"/>
    </w:rPr>
  </w:style>
  <w:style w:type="character" w:styleId="HTMLDefinition">
    <w:name w:val="HTML Definition"/>
    <w:basedOn w:val="DefaultParagraphFont"/>
    <w:uiPriority w:val="98"/>
    <w:semiHidden/>
    <w:rsid w:val="002B5B43"/>
    <w:rPr>
      <w:i/>
      <w:iCs/>
    </w:rPr>
  </w:style>
  <w:style w:type="character" w:styleId="HTMLKeyboard">
    <w:name w:val="HTML Keyboard"/>
    <w:basedOn w:val="DefaultParagraphFont"/>
    <w:uiPriority w:val="98"/>
    <w:semiHidden/>
    <w:rsid w:val="002B5B43"/>
    <w:rPr>
      <w:rFonts w:ascii="Consolas" w:hAnsi="Consolas" w:cs="Consolas"/>
      <w:sz w:val="20"/>
      <w:szCs w:val="20"/>
    </w:rPr>
  </w:style>
  <w:style w:type="paragraph" w:styleId="HTMLPreformatted">
    <w:name w:val="HTML Preformatted"/>
    <w:basedOn w:val="Normal"/>
    <w:link w:val="HTMLPreformattedChar"/>
    <w:uiPriority w:val="98"/>
    <w:semiHidden/>
    <w:rsid w:val="002B5B43"/>
    <w:rPr>
      <w:rFonts w:ascii="Consolas" w:hAnsi="Consolas" w:cs="Consolas"/>
      <w:sz w:val="20"/>
      <w:szCs w:val="20"/>
    </w:rPr>
  </w:style>
  <w:style w:type="character" w:customStyle="1" w:styleId="HTMLPreformattedChar">
    <w:name w:val="HTML Preformatted Char"/>
    <w:basedOn w:val="DefaultParagraphFont"/>
    <w:link w:val="HTMLPreformatted"/>
    <w:uiPriority w:val="98"/>
    <w:semiHidden/>
    <w:rsid w:val="002B5B43"/>
    <w:rPr>
      <w:rFonts w:ascii="Consolas" w:hAnsi="Consolas" w:cs="Consolas"/>
      <w:sz w:val="20"/>
      <w:szCs w:val="20"/>
      <w:lang w:val="en-GB"/>
    </w:rPr>
  </w:style>
  <w:style w:type="character" w:styleId="HTMLSample">
    <w:name w:val="HTML Sample"/>
    <w:basedOn w:val="DefaultParagraphFont"/>
    <w:uiPriority w:val="98"/>
    <w:semiHidden/>
    <w:rsid w:val="002B5B43"/>
    <w:rPr>
      <w:rFonts w:ascii="Consolas" w:hAnsi="Consolas" w:cs="Consolas"/>
      <w:sz w:val="24"/>
      <w:szCs w:val="24"/>
    </w:rPr>
  </w:style>
  <w:style w:type="character" w:styleId="HTMLTypewriter">
    <w:name w:val="HTML Typewriter"/>
    <w:basedOn w:val="DefaultParagraphFont"/>
    <w:uiPriority w:val="98"/>
    <w:semiHidden/>
    <w:rsid w:val="002B5B43"/>
    <w:rPr>
      <w:rFonts w:ascii="Consolas" w:hAnsi="Consolas" w:cs="Consolas"/>
      <w:sz w:val="20"/>
      <w:szCs w:val="20"/>
    </w:rPr>
  </w:style>
  <w:style w:type="character" w:styleId="HTMLVariable">
    <w:name w:val="HTML Variable"/>
    <w:basedOn w:val="DefaultParagraphFont"/>
    <w:uiPriority w:val="98"/>
    <w:semiHidden/>
    <w:rsid w:val="002B5B43"/>
    <w:rPr>
      <w:i/>
      <w:iCs/>
    </w:rPr>
  </w:style>
  <w:style w:type="paragraph" w:styleId="Index1">
    <w:name w:val="index 1"/>
    <w:basedOn w:val="Normal"/>
    <w:next w:val="Normal"/>
    <w:autoRedefine/>
    <w:uiPriority w:val="98"/>
    <w:semiHidden/>
    <w:rsid w:val="002B5B43"/>
    <w:pPr>
      <w:ind w:left="240" w:hanging="240"/>
    </w:pPr>
  </w:style>
  <w:style w:type="paragraph" w:styleId="Index2">
    <w:name w:val="index 2"/>
    <w:basedOn w:val="Normal"/>
    <w:next w:val="Normal"/>
    <w:autoRedefine/>
    <w:uiPriority w:val="98"/>
    <w:semiHidden/>
    <w:rsid w:val="002B5B43"/>
    <w:pPr>
      <w:ind w:left="480" w:hanging="240"/>
    </w:pPr>
  </w:style>
  <w:style w:type="paragraph" w:styleId="Index3">
    <w:name w:val="index 3"/>
    <w:basedOn w:val="Normal"/>
    <w:next w:val="Normal"/>
    <w:autoRedefine/>
    <w:uiPriority w:val="98"/>
    <w:semiHidden/>
    <w:rsid w:val="002B5B43"/>
    <w:pPr>
      <w:ind w:left="720" w:hanging="240"/>
    </w:pPr>
  </w:style>
  <w:style w:type="paragraph" w:styleId="Index4">
    <w:name w:val="index 4"/>
    <w:basedOn w:val="Normal"/>
    <w:next w:val="Normal"/>
    <w:autoRedefine/>
    <w:uiPriority w:val="98"/>
    <w:semiHidden/>
    <w:rsid w:val="002B5B43"/>
    <w:pPr>
      <w:ind w:left="960" w:hanging="240"/>
    </w:pPr>
  </w:style>
  <w:style w:type="paragraph" w:styleId="Index5">
    <w:name w:val="index 5"/>
    <w:basedOn w:val="Normal"/>
    <w:next w:val="Normal"/>
    <w:autoRedefine/>
    <w:uiPriority w:val="98"/>
    <w:semiHidden/>
    <w:rsid w:val="002B5B43"/>
    <w:pPr>
      <w:ind w:left="1200" w:hanging="240"/>
    </w:pPr>
  </w:style>
  <w:style w:type="paragraph" w:styleId="Index6">
    <w:name w:val="index 6"/>
    <w:basedOn w:val="Normal"/>
    <w:next w:val="Normal"/>
    <w:autoRedefine/>
    <w:uiPriority w:val="98"/>
    <w:semiHidden/>
    <w:rsid w:val="002B5B43"/>
    <w:pPr>
      <w:ind w:left="1440" w:hanging="240"/>
    </w:pPr>
  </w:style>
  <w:style w:type="paragraph" w:styleId="Index7">
    <w:name w:val="index 7"/>
    <w:basedOn w:val="Normal"/>
    <w:next w:val="Normal"/>
    <w:autoRedefine/>
    <w:uiPriority w:val="98"/>
    <w:semiHidden/>
    <w:rsid w:val="002B5B43"/>
    <w:pPr>
      <w:ind w:left="1680" w:hanging="240"/>
    </w:pPr>
  </w:style>
  <w:style w:type="paragraph" w:styleId="Index8">
    <w:name w:val="index 8"/>
    <w:basedOn w:val="Normal"/>
    <w:next w:val="Normal"/>
    <w:autoRedefine/>
    <w:uiPriority w:val="98"/>
    <w:semiHidden/>
    <w:rsid w:val="002B5B43"/>
    <w:pPr>
      <w:ind w:left="1920" w:hanging="240"/>
    </w:pPr>
  </w:style>
  <w:style w:type="paragraph" w:styleId="Index9">
    <w:name w:val="index 9"/>
    <w:basedOn w:val="Normal"/>
    <w:next w:val="Normal"/>
    <w:autoRedefine/>
    <w:uiPriority w:val="98"/>
    <w:semiHidden/>
    <w:rsid w:val="002B5B43"/>
    <w:pPr>
      <w:ind w:left="2160" w:hanging="240"/>
    </w:pPr>
  </w:style>
  <w:style w:type="paragraph" w:styleId="IndexHeading">
    <w:name w:val="index heading"/>
    <w:basedOn w:val="Normal"/>
    <w:next w:val="Index1"/>
    <w:uiPriority w:val="98"/>
    <w:semiHidden/>
    <w:rsid w:val="002B5B43"/>
    <w:rPr>
      <w:rFonts w:asciiTheme="majorHAnsi" w:eastAsiaTheme="majorEastAsia" w:hAnsiTheme="majorHAnsi" w:cstheme="majorBidi"/>
      <w:b/>
      <w:bCs/>
    </w:rPr>
  </w:style>
  <w:style w:type="table" w:customStyle="1" w:styleId="13">
    <w:name w:val="Світла сітка1"/>
    <w:basedOn w:val="TableNormal"/>
    <w:uiPriority w:val="62"/>
    <w:semiHidden/>
    <w:rsid w:val="002B5B43"/>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customStyle="1" w:styleId="110">
    <w:name w:val="Світла сітка — акцент 11"/>
    <w:basedOn w:val="TableNormal"/>
    <w:uiPriority w:val="62"/>
    <w:semiHidden/>
    <w:rsid w:val="002B5B43"/>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62"/>
    <w:semiHidden/>
    <w:rsid w:val="002B5B43"/>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62"/>
    <w:semiHidden/>
    <w:rsid w:val="002B5B43"/>
    <w:rPr>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62"/>
    <w:semiHidden/>
    <w:rsid w:val="002B5B43"/>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62"/>
    <w:semiHidden/>
    <w:rsid w:val="002B5B43"/>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62"/>
    <w:semiHidden/>
    <w:rsid w:val="002B5B43"/>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customStyle="1" w:styleId="14">
    <w:name w:val="Світлий список1"/>
    <w:basedOn w:val="TableNormal"/>
    <w:uiPriority w:val="61"/>
    <w:semiHidden/>
    <w:rsid w:val="002B5B43"/>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111">
    <w:name w:val="Світлий список — акцент 11"/>
    <w:basedOn w:val="TableNormal"/>
    <w:uiPriority w:val="61"/>
    <w:semiHidden/>
    <w:rsid w:val="002B5B43"/>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61"/>
    <w:semiHidden/>
    <w:rsid w:val="002B5B43"/>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61"/>
    <w:semiHidden/>
    <w:rsid w:val="002B5B43"/>
    <w:rPr>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61"/>
    <w:semiHidden/>
    <w:rsid w:val="002B5B43"/>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61"/>
    <w:semiHidden/>
    <w:rsid w:val="002B5B43"/>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61"/>
    <w:semiHidden/>
    <w:rsid w:val="002B5B43"/>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customStyle="1" w:styleId="15">
    <w:name w:val="Світле штрихування1"/>
    <w:basedOn w:val="TableNormal"/>
    <w:uiPriority w:val="60"/>
    <w:semiHidden/>
    <w:rsid w:val="002B5B43"/>
    <w:rPr>
      <w:color w:val="000000" w:themeColor="text1" w:themeShade="BF"/>
      <w:sz w:val="24"/>
      <w:szCs w:val="24"/>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112">
    <w:name w:val="Світла заливка — акцент 11"/>
    <w:basedOn w:val="TableNormal"/>
    <w:uiPriority w:val="60"/>
    <w:semiHidden/>
    <w:rsid w:val="002B5B43"/>
    <w:rPr>
      <w:color w:val="00548C" w:themeColor="accent1" w:themeShade="BF"/>
      <w:sz w:val="24"/>
      <w:szCs w:val="24"/>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60"/>
    <w:semiHidden/>
    <w:rsid w:val="002B5B43"/>
    <w:rPr>
      <w:color w:val="8F0000" w:themeColor="accent2" w:themeShade="BF"/>
      <w:sz w:val="24"/>
      <w:szCs w:val="24"/>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60"/>
    <w:semiHidden/>
    <w:rsid w:val="002B5B43"/>
    <w:rPr>
      <w:color w:val="474747" w:themeColor="accent3" w:themeShade="BF"/>
      <w:sz w:val="24"/>
      <w:szCs w:val="24"/>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60"/>
    <w:semiHidden/>
    <w:rsid w:val="002B5B43"/>
    <w:rPr>
      <w:color w:val="707070" w:themeColor="accent4" w:themeShade="BF"/>
      <w:sz w:val="24"/>
      <w:szCs w:val="24"/>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60"/>
    <w:semiHidden/>
    <w:rsid w:val="002B5B43"/>
    <w:rPr>
      <w:color w:val="474747" w:themeColor="accent5" w:themeShade="BF"/>
      <w:sz w:val="24"/>
      <w:szCs w:val="24"/>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60"/>
    <w:semiHidden/>
    <w:rsid w:val="002B5B43"/>
    <w:rPr>
      <w:color w:val="393939" w:themeColor="accent6" w:themeShade="BF"/>
      <w:sz w:val="24"/>
      <w:szCs w:val="24"/>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8"/>
    <w:semiHidden/>
    <w:rsid w:val="002B5B43"/>
  </w:style>
  <w:style w:type="paragraph" w:styleId="List">
    <w:name w:val="List"/>
    <w:basedOn w:val="Normal"/>
    <w:uiPriority w:val="98"/>
    <w:semiHidden/>
    <w:rsid w:val="002B5B43"/>
    <w:pPr>
      <w:ind w:left="283" w:hanging="283"/>
      <w:contextualSpacing/>
    </w:pPr>
  </w:style>
  <w:style w:type="paragraph" w:styleId="List20">
    <w:name w:val="List 2"/>
    <w:basedOn w:val="Normal"/>
    <w:uiPriority w:val="98"/>
    <w:semiHidden/>
    <w:rsid w:val="002B5B43"/>
    <w:pPr>
      <w:ind w:left="566" w:hanging="283"/>
      <w:contextualSpacing/>
    </w:pPr>
  </w:style>
  <w:style w:type="paragraph" w:styleId="List30">
    <w:name w:val="List 3"/>
    <w:basedOn w:val="Normal"/>
    <w:uiPriority w:val="98"/>
    <w:semiHidden/>
    <w:rsid w:val="002B5B43"/>
    <w:pPr>
      <w:ind w:left="849" w:hanging="283"/>
      <w:contextualSpacing/>
    </w:pPr>
  </w:style>
  <w:style w:type="paragraph" w:styleId="List4">
    <w:name w:val="List 4"/>
    <w:basedOn w:val="Normal"/>
    <w:uiPriority w:val="98"/>
    <w:semiHidden/>
    <w:rsid w:val="002B5B43"/>
    <w:pPr>
      <w:ind w:left="1132" w:hanging="283"/>
      <w:contextualSpacing/>
    </w:pPr>
  </w:style>
  <w:style w:type="paragraph" w:styleId="List5">
    <w:name w:val="List 5"/>
    <w:basedOn w:val="Normal"/>
    <w:uiPriority w:val="98"/>
    <w:semiHidden/>
    <w:rsid w:val="002B5B43"/>
    <w:pPr>
      <w:ind w:left="1415" w:hanging="283"/>
      <w:contextualSpacing/>
    </w:pPr>
  </w:style>
  <w:style w:type="paragraph" w:styleId="ListBullet2">
    <w:name w:val="List Bullet 2"/>
    <w:basedOn w:val="Normal"/>
    <w:uiPriority w:val="98"/>
    <w:semiHidden/>
    <w:rsid w:val="002B5B43"/>
    <w:pPr>
      <w:numPr>
        <w:numId w:val="12"/>
      </w:numPr>
      <w:contextualSpacing/>
    </w:pPr>
  </w:style>
  <w:style w:type="paragraph" w:styleId="ListBullet4">
    <w:name w:val="List Bullet 4"/>
    <w:basedOn w:val="Normal"/>
    <w:uiPriority w:val="98"/>
    <w:semiHidden/>
    <w:rsid w:val="002B5B43"/>
    <w:pPr>
      <w:numPr>
        <w:numId w:val="14"/>
      </w:numPr>
      <w:contextualSpacing/>
    </w:pPr>
  </w:style>
  <w:style w:type="paragraph" w:styleId="ListBullet5">
    <w:name w:val="List Bullet 5"/>
    <w:basedOn w:val="Normal"/>
    <w:uiPriority w:val="98"/>
    <w:semiHidden/>
    <w:rsid w:val="002B5B43"/>
    <w:pPr>
      <w:numPr>
        <w:numId w:val="15"/>
      </w:numPr>
      <w:contextualSpacing/>
    </w:pPr>
  </w:style>
  <w:style w:type="paragraph" w:styleId="ListContinue">
    <w:name w:val="List Continue"/>
    <w:basedOn w:val="Normal"/>
    <w:uiPriority w:val="98"/>
    <w:semiHidden/>
    <w:rsid w:val="002B5B43"/>
    <w:pPr>
      <w:spacing w:after="120"/>
      <w:ind w:left="283"/>
      <w:contextualSpacing/>
    </w:pPr>
  </w:style>
  <w:style w:type="paragraph" w:styleId="ListContinue2">
    <w:name w:val="List Continue 2"/>
    <w:basedOn w:val="Normal"/>
    <w:uiPriority w:val="98"/>
    <w:semiHidden/>
    <w:rsid w:val="002B5B43"/>
    <w:pPr>
      <w:spacing w:after="120"/>
      <w:ind w:left="566"/>
      <w:contextualSpacing/>
    </w:pPr>
  </w:style>
  <w:style w:type="paragraph" w:styleId="ListContinue3">
    <w:name w:val="List Continue 3"/>
    <w:basedOn w:val="Normal"/>
    <w:uiPriority w:val="98"/>
    <w:semiHidden/>
    <w:rsid w:val="002B5B43"/>
    <w:pPr>
      <w:spacing w:after="120"/>
      <w:ind w:left="849"/>
      <w:contextualSpacing/>
    </w:pPr>
  </w:style>
  <w:style w:type="paragraph" w:styleId="ListContinue4">
    <w:name w:val="List Continue 4"/>
    <w:basedOn w:val="Normal"/>
    <w:uiPriority w:val="98"/>
    <w:semiHidden/>
    <w:rsid w:val="002B5B43"/>
    <w:pPr>
      <w:spacing w:after="120"/>
      <w:ind w:left="1132"/>
      <w:contextualSpacing/>
    </w:pPr>
  </w:style>
  <w:style w:type="paragraph" w:styleId="ListContinue5">
    <w:name w:val="List Continue 5"/>
    <w:basedOn w:val="Normal"/>
    <w:uiPriority w:val="98"/>
    <w:semiHidden/>
    <w:rsid w:val="002B5B43"/>
    <w:pPr>
      <w:spacing w:after="120"/>
      <w:ind w:left="1415"/>
      <w:contextualSpacing/>
    </w:pPr>
  </w:style>
  <w:style w:type="paragraph" w:styleId="ListNumber">
    <w:name w:val="List Number"/>
    <w:basedOn w:val="Normal"/>
    <w:uiPriority w:val="98"/>
    <w:semiHidden/>
    <w:rsid w:val="002B5B43"/>
    <w:pPr>
      <w:numPr>
        <w:numId w:val="16"/>
      </w:numPr>
      <w:contextualSpacing/>
    </w:pPr>
  </w:style>
  <w:style w:type="paragraph" w:styleId="ListNumber2">
    <w:name w:val="List Number 2"/>
    <w:basedOn w:val="Normal"/>
    <w:uiPriority w:val="98"/>
    <w:semiHidden/>
    <w:rsid w:val="002B5B43"/>
    <w:pPr>
      <w:numPr>
        <w:numId w:val="17"/>
      </w:numPr>
      <w:contextualSpacing/>
    </w:pPr>
  </w:style>
  <w:style w:type="paragraph" w:styleId="ListNumber3">
    <w:name w:val="List Number 3"/>
    <w:basedOn w:val="Normal"/>
    <w:uiPriority w:val="98"/>
    <w:semiHidden/>
    <w:rsid w:val="002B5B43"/>
    <w:pPr>
      <w:numPr>
        <w:numId w:val="18"/>
      </w:numPr>
      <w:contextualSpacing/>
    </w:pPr>
  </w:style>
  <w:style w:type="paragraph" w:styleId="ListNumber4">
    <w:name w:val="List Number 4"/>
    <w:basedOn w:val="Normal"/>
    <w:uiPriority w:val="98"/>
    <w:semiHidden/>
    <w:rsid w:val="002B5B43"/>
    <w:pPr>
      <w:numPr>
        <w:numId w:val="19"/>
      </w:numPr>
      <w:contextualSpacing/>
    </w:pPr>
  </w:style>
  <w:style w:type="paragraph" w:styleId="ListNumber5">
    <w:name w:val="List Number 5"/>
    <w:basedOn w:val="Normal"/>
    <w:uiPriority w:val="98"/>
    <w:semiHidden/>
    <w:rsid w:val="002B5B43"/>
    <w:pPr>
      <w:numPr>
        <w:numId w:val="20"/>
      </w:numPr>
      <w:contextualSpacing/>
    </w:pPr>
  </w:style>
  <w:style w:type="paragraph" w:styleId="Macro">
    <w:name w:val="macro"/>
    <w:link w:val="MacroTextChar"/>
    <w:uiPriority w:val="98"/>
    <w:semiHidden/>
    <w:rsid w:val="002B5B43"/>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eastAsiaTheme="minorEastAsia" w:cs="Consolas"/>
      <w:sz w:val="20"/>
      <w:szCs w:val="20"/>
    </w:rPr>
  </w:style>
  <w:style w:type="character" w:customStyle="1" w:styleId="MacroTextChar">
    <w:name w:val="Macro Text Char"/>
    <w:basedOn w:val="DefaultParagraphFont"/>
    <w:link w:val="Macro"/>
    <w:uiPriority w:val="98"/>
    <w:semiHidden/>
    <w:rsid w:val="002B5B43"/>
    <w:rPr>
      <w:rFonts w:ascii="Consolas" w:hAnsi="Consolas" w:eastAsiaTheme="minorEastAsia" w:cs="Consolas"/>
      <w:sz w:val="20"/>
      <w:szCs w:val="20"/>
    </w:rPr>
  </w:style>
  <w:style w:type="table" w:customStyle="1" w:styleId="113">
    <w:name w:val="Середня сітка 11"/>
    <w:basedOn w:val="TableNormal"/>
    <w:uiPriority w:val="67"/>
    <w:semiHidden/>
    <w:rsid w:val="002B5B43"/>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2B5B43"/>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67"/>
    <w:semiHidden/>
    <w:rsid w:val="002B5B43"/>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67"/>
    <w:semiHidden/>
    <w:rsid w:val="002B5B43"/>
    <w:rPr>
      <w:sz w:val="24"/>
      <w:szCs w:val="24"/>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67"/>
    <w:semiHidden/>
    <w:rsid w:val="002B5B43"/>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67"/>
    <w:semiHidden/>
    <w:rsid w:val="002B5B43"/>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67"/>
    <w:semiHidden/>
    <w:rsid w:val="002B5B43"/>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customStyle="1" w:styleId="21">
    <w:name w:val="Середня сітка 21"/>
    <w:basedOn w:val="TableNormal"/>
    <w:uiPriority w:val="68"/>
    <w:semiHidden/>
    <w:rsid w:val="002B5B43"/>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68"/>
    <w:semiHidden/>
    <w:rsid w:val="002B5B43"/>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68"/>
    <w:semiHidden/>
    <w:rsid w:val="002B5B43"/>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68"/>
    <w:semiHidden/>
    <w:rsid w:val="002B5B43"/>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68"/>
    <w:semiHidden/>
    <w:rsid w:val="002B5B43"/>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68"/>
    <w:semiHidden/>
    <w:rsid w:val="002B5B43"/>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68"/>
    <w:semiHidden/>
    <w:rsid w:val="002B5B43"/>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customStyle="1" w:styleId="31">
    <w:name w:val="Середня сітка 31"/>
    <w:basedOn w:val="TableNormal"/>
    <w:uiPriority w:val="69"/>
    <w:semiHidden/>
    <w:rsid w:val="002B5B43"/>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69"/>
    <w:semiHidden/>
    <w:rsid w:val="002B5B43"/>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69"/>
    <w:semiHidden/>
    <w:rsid w:val="002B5B43"/>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69"/>
    <w:semiHidden/>
    <w:rsid w:val="002B5B43"/>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69"/>
    <w:semiHidden/>
    <w:rsid w:val="002B5B43"/>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69"/>
    <w:semiHidden/>
    <w:rsid w:val="002B5B43"/>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69"/>
    <w:semiHidden/>
    <w:rsid w:val="002B5B43"/>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customStyle="1" w:styleId="114">
    <w:name w:val="Середній список 11"/>
    <w:basedOn w:val="TableNormal"/>
    <w:uiPriority w:val="65"/>
    <w:semiHidden/>
    <w:rsid w:val="002B5B43"/>
    <w:rPr>
      <w:color w:val="000000" w:themeColor="text1"/>
      <w:sz w:val="24"/>
      <w:szCs w:val="24"/>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customStyle="1" w:styleId="1110">
    <w:name w:val="Середній список 1 – акцент 11"/>
    <w:basedOn w:val="TableNormal"/>
    <w:uiPriority w:val="65"/>
    <w:semiHidden/>
    <w:rsid w:val="002B5B43"/>
    <w:rPr>
      <w:color w:val="000000" w:themeColor="text1"/>
      <w:sz w:val="24"/>
      <w:szCs w:val="24"/>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65"/>
    <w:semiHidden/>
    <w:rsid w:val="002B5B43"/>
    <w:rPr>
      <w:color w:val="000000" w:themeColor="text1"/>
      <w:sz w:val="24"/>
      <w:szCs w:val="24"/>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65"/>
    <w:semiHidden/>
    <w:rsid w:val="002B5B43"/>
    <w:rPr>
      <w:color w:val="000000" w:themeColor="text1"/>
      <w:sz w:val="24"/>
      <w:szCs w:val="24"/>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65"/>
    <w:semiHidden/>
    <w:rsid w:val="002B5B43"/>
    <w:rPr>
      <w:color w:val="000000" w:themeColor="text1"/>
      <w:sz w:val="24"/>
      <w:szCs w:val="24"/>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65"/>
    <w:semiHidden/>
    <w:rsid w:val="002B5B43"/>
    <w:rPr>
      <w:color w:val="000000" w:themeColor="text1"/>
      <w:sz w:val="24"/>
      <w:szCs w:val="24"/>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65"/>
    <w:semiHidden/>
    <w:rsid w:val="002B5B43"/>
    <w:rPr>
      <w:color w:val="000000" w:themeColor="text1"/>
      <w:sz w:val="24"/>
      <w:szCs w:val="24"/>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customStyle="1" w:styleId="210">
    <w:name w:val="Середній список 21"/>
    <w:basedOn w:val="TableNormal"/>
    <w:uiPriority w:val="66"/>
    <w:semiHidden/>
    <w:rsid w:val="002B5B43"/>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2B5B43"/>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2B5B43"/>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2B5B43"/>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2B5B43"/>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2B5B43"/>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2B5B43"/>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customStyle="1" w:styleId="115">
    <w:name w:val="Середня заливка 11"/>
    <w:basedOn w:val="TableNormal"/>
    <w:uiPriority w:val="63"/>
    <w:semiHidden/>
    <w:rsid w:val="002B5B43"/>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customStyle="1" w:styleId="1111">
    <w:name w:val="Середня заливка 1 – акцент 11"/>
    <w:basedOn w:val="TableNormal"/>
    <w:uiPriority w:val="63"/>
    <w:semiHidden/>
    <w:rsid w:val="002B5B43"/>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2B5B43"/>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2B5B43"/>
    <w:rPr>
      <w:sz w:val="24"/>
      <w:szCs w:val="24"/>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2B5B43"/>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2B5B43"/>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2B5B43"/>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customStyle="1" w:styleId="211">
    <w:name w:val="Середня заливка 21"/>
    <w:basedOn w:val="TableNormal"/>
    <w:uiPriority w:val="64"/>
    <w:semiHidden/>
    <w:rsid w:val="002B5B43"/>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customStyle="1" w:styleId="2110">
    <w:name w:val="Середня заливка 2 – акцент 11"/>
    <w:basedOn w:val="TableNormal"/>
    <w:uiPriority w:val="64"/>
    <w:semiHidden/>
    <w:rsid w:val="002B5B43"/>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2B5B43"/>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2B5B43"/>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2B5B43"/>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2B5B43"/>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2B5B43"/>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8"/>
    <w:semiHidden/>
    <w:rsid w:val="002B5B43"/>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8"/>
    <w:semiHidden/>
    <w:rsid w:val="002B5B43"/>
    <w:rPr>
      <w:rFonts w:asciiTheme="majorHAnsi" w:eastAsiaTheme="majorEastAsia" w:hAnsiTheme="majorHAnsi" w:cstheme="majorBidi"/>
      <w:sz w:val="24"/>
      <w:szCs w:val="24"/>
      <w:shd w:val="pct20" w:color="auto" w:fill="auto"/>
      <w:lang w:val="en-GB"/>
    </w:rPr>
  </w:style>
  <w:style w:type="paragraph" w:styleId="NormalWeb">
    <w:name w:val="Normal (Web)"/>
    <w:basedOn w:val="Normal"/>
    <w:uiPriority w:val="98"/>
    <w:semiHidden/>
    <w:rsid w:val="002B5B43"/>
    <w:rPr>
      <w:rFonts w:ascii="Times New Roman" w:hAnsi="Times New Roman" w:cs="Times New Roman"/>
    </w:rPr>
  </w:style>
  <w:style w:type="paragraph" w:styleId="NormalIndent">
    <w:name w:val="Normal Indent"/>
    <w:basedOn w:val="Normal"/>
    <w:uiPriority w:val="98"/>
    <w:semiHidden/>
    <w:rsid w:val="002B5B43"/>
    <w:pPr>
      <w:ind w:left="720"/>
    </w:pPr>
  </w:style>
  <w:style w:type="paragraph" w:styleId="NoteHeading">
    <w:name w:val="Note Heading"/>
    <w:basedOn w:val="Normal"/>
    <w:next w:val="Normal"/>
    <w:link w:val="NoteHeadingChar"/>
    <w:uiPriority w:val="98"/>
    <w:rsid w:val="002B5B43"/>
  </w:style>
  <w:style w:type="character" w:customStyle="1" w:styleId="NoteHeadingChar">
    <w:name w:val="Note Heading Char"/>
    <w:basedOn w:val="DefaultParagraphFont"/>
    <w:link w:val="NoteHeading"/>
    <w:uiPriority w:val="98"/>
    <w:semiHidden/>
    <w:rsid w:val="002B5B43"/>
    <w:rPr>
      <w:sz w:val="24"/>
      <w:szCs w:val="24"/>
      <w:lang w:val="en-GB"/>
    </w:rPr>
  </w:style>
  <w:style w:type="character" w:styleId="PlaceholderText">
    <w:name w:val="Placeholder Text"/>
    <w:basedOn w:val="DefaultParagraphFont"/>
    <w:uiPriority w:val="98"/>
    <w:semiHidden/>
    <w:rsid w:val="002B5B43"/>
    <w:rPr>
      <w:color w:val="auto"/>
      <w:bdr w:val="none" w:sz="0" w:space="0" w:color="auto"/>
      <w:shd w:val="clear" w:color="auto" w:fill="DFDFDF" w:themeFill="background2" w:themeFillShade="E6"/>
    </w:rPr>
  </w:style>
  <w:style w:type="paragraph" w:styleId="PlainText">
    <w:name w:val="Plain Text"/>
    <w:basedOn w:val="Normal"/>
    <w:link w:val="PlainTextChar"/>
    <w:uiPriority w:val="98"/>
    <w:semiHidden/>
    <w:rsid w:val="002B5B43"/>
    <w:rPr>
      <w:rFonts w:ascii="Consolas" w:hAnsi="Consolas" w:cs="Consolas"/>
      <w:sz w:val="21"/>
      <w:szCs w:val="21"/>
    </w:rPr>
  </w:style>
  <w:style w:type="character" w:customStyle="1" w:styleId="PlainTextChar">
    <w:name w:val="Plain Text Char"/>
    <w:basedOn w:val="DefaultParagraphFont"/>
    <w:link w:val="PlainText"/>
    <w:uiPriority w:val="98"/>
    <w:semiHidden/>
    <w:rsid w:val="002B5B43"/>
    <w:rPr>
      <w:rFonts w:ascii="Consolas" w:hAnsi="Consolas" w:cs="Consolas"/>
      <w:sz w:val="21"/>
      <w:szCs w:val="21"/>
      <w:lang w:val="en-GB"/>
    </w:rPr>
  </w:style>
  <w:style w:type="paragraph" w:styleId="Salutation">
    <w:name w:val="Salutation"/>
    <w:basedOn w:val="Normal"/>
    <w:next w:val="Normal"/>
    <w:link w:val="SalutationChar"/>
    <w:uiPriority w:val="98"/>
    <w:semiHidden/>
    <w:rsid w:val="002B5B43"/>
  </w:style>
  <w:style w:type="character" w:customStyle="1" w:styleId="SalutationChar">
    <w:name w:val="Salutation Char"/>
    <w:basedOn w:val="DefaultParagraphFont"/>
    <w:link w:val="Salutation"/>
    <w:uiPriority w:val="98"/>
    <w:semiHidden/>
    <w:rsid w:val="002B5B43"/>
    <w:rPr>
      <w:sz w:val="24"/>
      <w:szCs w:val="24"/>
      <w:lang w:val="en-GB"/>
    </w:rPr>
  </w:style>
  <w:style w:type="paragraph" w:styleId="Signature0">
    <w:name w:val="Signature"/>
    <w:basedOn w:val="Normal"/>
    <w:link w:val="SignatureChar"/>
    <w:uiPriority w:val="98"/>
    <w:semiHidden/>
    <w:rsid w:val="002B5B43"/>
    <w:pPr>
      <w:ind w:left="4252"/>
    </w:pPr>
  </w:style>
  <w:style w:type="character" w:customStyle="1" w:styleId="SignatureChar">
    <w:name w:val="Signature Char"/>
    <w:basedOn w:val="DefaultParagraphFont"/>
    <w:link w:val="Signature0"/>
    <w:uiPriority w:val="98"/>
    <w:semiHidden/>
    <w:rsid w:val="002B5B43"/>
    <w:rPr>
      <w:sz w:val="24"/>
      <w:szCs w:val="24"/>
      <w:lang w:val="en-GB"/>
    </w:rPr>
  </w:style>
  <w:style w:type="table" w:styleId="Table3Deffects1">
    <w:name w:val="Table 3D effects 1"/>
    <w:basedOn w:val="TableNormal"/>
    <w:uiPriority w:val="99"/>
    <w:semiHidden/>
    <w:unhideWhenUsed/>
    <w:rsid w:val="002B5B43"/>
    <w:pPr>
      <w:jc w:val="both"/>
    </w:pPr>
    <w:rPr>
      <w:sz w:val="24"/>
      <w:szCs w:val="24"/>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2B5B43"/>
    <w:pPr>
      <w:jc w:val="both"/>
    </w:pPr>
    <w:rPr>
      <w:sz w:val="24"/>
      <w:szCs w:val="24"/>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2B5B43"/>
    <w:pPr>
      <w:jc w:val="both"/>
    </w:pPr>
    <w:rPr>
      <w:sz w:val="24"/>
      <w:szCs w:val="24"/>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2B5B43"/>
    <w:pPr>
      <w:jc w:val="both"/>
    </w:pPr>
    <w:rPr>
      <w:sz w:val="24"/>
      <w:szCs w:val="24"/>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2B5B43"/>
    <w:pPr>
      <w:jc w:val="both"/>
    </w:pPr>
    <w:rPr>
      <w:sz w:val="24"/>
      <w:szCs w:val="24"/>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2B5B43"/>
    <w:pPr>
      <w:jc w:val="both"/>
    </w:pPr>
    <w:rPr>
      <w:color w:val="000080"/>
      <w:sz w:val="24"/>
      <w:szCs w:val="24"/>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2B5B43"/>
    <w:pPr>
      <w:jc w:val="both"/>
    </w:pPr>
    <w:rPr>
      <w:sz w:val="24"/>
      <w:szCs w:val="24"/>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2B5B43"/>
    <w:pPr>
      <w:jc w:val="both"/>
    </w:pPr>
    <w:rPr>
      <w:color w:val="FFFFFF"/>
      <w:sz w:val="24"/>
      <w:szCs w:val="24"/>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2B5B43"/>
    <w:pPr>
      <w:jc w:val="both"/>
    </w:pPr>
    <w:rPr>
      <w:sz w:val="24"/>
      <w:szCs w:val="24"/>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2B5B43"/>
    <w:pPr>
      <w:jc w:val="both"/>
    </w:pPr>
    <w:rPr>
      <w:sz w:val="24"/>
      <w:szCs w:val="24"/>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2B5B43"/>
    <w:pPr>
      <w:jc w:val="both"/>
    </w:pPr>
    <w:rPr>
      <w:b/>
      <w:bCs/>
      <w:sz w:val="24"/>
      <w:szCs w:val="24"/>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2B5B43"/>
    <w:pPr>
      <w:jc w:val="both"/>
    </w:pPr>
    <w:rPr>
      <w:b/>
      <w:bCs/>
      <w:sz w:val="24"/>
      <w:szCs w:val="24"/>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2B5B43"/>
    <w:pPr>
      <w:jc w:val="both"/>
    </w:pPr>
    <w:rPr>
      <w:b/>
      <w:bCs/>
      <w:sz w:val="24"/>
      <w:szCs w:val="24"/>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2B5B43"/>
    <w:pPr>
      <w:jc w:val="both"/>
    </w:pPr>
    <w:rPr>
      <w:sz w:val="24"/>
      <w:szCs w:val="24"/>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2B5B43"/>
    <w:pPr>
      <w:jc w:val="both"/>
    </w:pPr>
    <w:rPr>
      <w:sz w:val="24"/>
      <w:szCs w:val="24"/>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2B5B43"/>
    <w:pPr>
      <w:jc w:val="both"/>
    </w:pPr>
    <w:rPr>
      <w:sz w:val="24"/>
      <w:szCs w:val="24"/>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2B5B43"/>
    <w:pPr>
      <w:jc w:val="both"/>
    </w:pPr>
    <w:rPr>
      <w:sz w:val="24"/>
      <w:szCs w:val="24"/>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2B5B43"/>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2B5B43"/>
    <w:pPr>
      <w:jc w:val="both"/>
    </w:pPr>
    <w:rPr>
      <w:sz w:val="24"/>
      <w:szCs w:val="24"/>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2B5B43"/>
    <w:pPr>
      <w:jc w:val="both"/>
    </w:pPr>
    <w:rPr>
      <w:sz w:val="24"/>
      <w:szCs w:val="24"/>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2B5B43"/>
    <w:pPr>
      <w:jc w:val="both"/>
    </w:pPr>
    <w:rPr>
      <w:sz w:val="24"/>
      <w:szCs w:val="24"/>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2B5B43"/>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2B5B43"/>
    <w:pPr>
      <w:jc w:val="both"/>
    </w:pPr>
    <w:rPr>
      <w:sz w:val="24"/>
      <w:szCs w:val="24"/>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2B5B43"/>
    <w:pPr>
      <w:jc w:val="both"/>
    </w:pPr>
    <w:rPr>
      <w:b/>
      <w:bCs/>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2B5B43"/>
    <w:pPr>
      <w:jc w:val="both"/>
    </w:pPr>
    <w:rPr>
      <w:sz w:val="24"/>
      <w:szCs w:val="24"/>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2B5B43"/>
    <w:pPr>
      <w:jc w:val="both"/>
    </w:pPr>
    <w:rPr>
      <w:sz w:val="24"/>
      <w:szCs w:val="24"/>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2B5B43"/>
    <w:pPr>
      <w:jc w:val="both"/>
    </w:pPr>
    <w:rPr>
      <w:sz w:val="24"/>
      <w:szCs w:val="24"/>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2B5B43"/>
    <w:pPr>
      <w:jc w:val="both"/>
    </w:pPr>
    <w:rPr>
      <w:sz w:val="24"/>
      <w:szCs w:val="24"/>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2B5B43"/>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2B5B43"/>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2B5B43"/>
    <w:pPr>
      <w:jc w:val="both"/>
    </w:pPr>
    <w:rPr>
      <w:sz w:val="24"/>
      <w:szCs w:val="24"/>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2B5B43"/>
    <w:pPr>
      <w:jc w:val="both"/>
    </w:pPr>
    <w:rPr>
      <w:sz w:val="24"/>
      <w:szCs w:val="24"/>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2B5B43"/>
    <w:pPr>
      <w:jc w:val="both"/>
    </w:pPr>
    <w:rPr>
      <w:sz w:val="24"/>
      <w:szCs w:val="24"/>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8"/>
    <w:semiHidden/>
    <w:rsid w:val="002B5B43"/>
    <w:pPr>
      <w:ind w:left="240" w:hanging="240"/>
    </w:pPr>
  </w:style>
  <w:style w:type="paragraph" w:styleId="TableofFigures">
    <w:name w:val="table of figures"/>
    <w:basedOn w:val="Normal"/>
    <w:next w:val="Normal"/>
    <w:uiPriority w:val="98"/>
    <w:semiHidden/>
    <w:rsid w:val="002B5B43"/>
  </w:style>
  <w:style w:type="table" w:styleId="TableProfessional">
    <w:name w:val="Table Professional"/>
    <w:basedOn w:val="TableNormal"/>
    <w:uiPriority w:val="99"/>
    <w:semiHidden/>
    <w:unhideWhenUsed/>
    <w:rsid w:val="002B5B43"/>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2B5B43"/>
    <w:pPr>
      <w:jc w:val="both"/>
    </w:pPr>
    <w:rPr>
      <w:sz w:val="24"/>
      <w:szCs w:val="24"/>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2B5B43"/>
    <w:pPr>
      <w:jc w:val="both"/>
    </w:pPr>
    <w:rPr>
      <w:sz w:val="24"/>
      <w:szCs w:val="24"/>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2B5B43"/>
    <w:pPr>
      <w:jc w:val="both"/>
    </w:pPr>
    <w:rPr>
      <w:sz w:val="24"/>
      <w:szCs w:val="24"/>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2B5B43"/>
    <w:pPr>
      <w:jc w:val="both"/>
    </w:pPr>
    <w:rPr>
      <w:sz w:val="24"/>
      <w:szCs w:val="24"/>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2B5B43"/>
    <w:pPr>
      <w:jc w:val="both"/>
    </w:pPr>
    <w:rPr>
      <w:sz w:val="24"/>
      <w:szCs w:val="24"/>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2B5B43"/>
    <w:pPr>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2B5B43"/>
    <w:pPr>
      <w:jc w:val="both"/>
    </w:pPr>
    <w:rPr>
      <w:sz w:val="24"/>
      <w:szCs w:val="24"/>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2B5B43"/>
    <w:pPr>
      <w:jc w:val="both"/>
    </w:pPr>
    <w:rPr>
      <w:sz w:val="24"/>
      <w:szCs w:val="24"/>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2B5B43"/>
    <w:pPr>
      <w:jc w:val="both"/>
    </w:pPr>
    <w:rPr>
      <w:sz w:val="24"/>
      <w:szCs w:val="24"/>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8"/>
    <w:semiHidden/>
    <w:rsid w:val="002B5B43"/>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8"/>
    <w:semiHidden/>
    <w:rsid w:val="002B5B43"/>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8"/>
    <w:semiHidden/>
    <w:rsid w:val="002B5B43"/>
    <w:pPr>
      <w:spacing w:after="100"/>
      <w:ind w:left="1680"/>
    </w:pPr>
  </w:style>
  <w:style w:type="paragraph" w:styleId="TOC9">
    <w:name w:val="toc 9"/>
    <w:basedOn w:val="Normal"/>
    <w:next w:val="Normal"/>
    <w:autoRedefine/>
    <w:uiPriority w:val="98"/>
    <w:semiHidden/>
    <w:rsid w:val="002B5B43"/>
    <w:pPr>
      <w:spacing w:after="100"/>
      <w:ind w:left="1920"/>
    </w:pPr>
  </w:style>
  <w:style w:type="paragraph" w:customStyle="1" w:styleId="ECHRFooter">
    <w:name w:val="ECHR_Footer"/>
    <w:aliases w:val="Footer_ECHR"/>
    <w:basedOn w:val="Footer1"/>
    <w:uiPriority w:val="57"/>
    <w:semiHidden/>
    <w:rsid w:val="0064393B"/>
    <w:rPr>
      <w:sz w:val="8"/>
    </w:rPr>
  </w:style>
  <w:style w:type="paragraph" w:customStyle="1" w:styleId="ECHRFooterLine">
    <w:name w:val="ECHR_Footer_Line"/>
    <w:aliases w:val="_Footer_Line"/>
    <w:basedOn w:val="Normal"/>
    <w:next w:val="Normal"/>
    <w:uiPriority w:val="30"/>
    <w:semiHidden/>
    <w:rsid w:val="002B5B43"/>
    <w:pPr>
      <w:pBdr>
        <w:top w:val="single" w:sz="6" w:space="1" w:color="5F5F5F"/>
      </w:pBdr>
      <w:tabs>
        <w:tab w:val="center" w:pos="3686"/>
        <w:tab w:val="right" w:pos="7371"/>
      </w:tabs>
      <w:ind w:left="-1474" w:right="-1474"/>
    </w:pPr>
    <w:rPr>
      <w:color w:val="5F5F5F"/>
    </w:rPr>
  </w:style>
  <w:style w:type="paragraph" w:customStyle="1" w:styleId="DecHCase">
    <w:name w:val="Dec_H_Case"/>
    <w:aliases w:val="_Title_3"/>
    <w:basedOn w:val="JuPara"/>
    <w:next w:val="JuPara"/>
    <w:uiPriority w:val="38"/>
    <w:qFormat/>
    <w:rsid w:val="002B5B43"/>
    <w:pPr>
      <w:keepNext/>
      <w:keepLines/>
      <w:spacing w:after="280"/>
      <w:ind w:firstLine="0"/>
      <w:jc w:val="center"/>
    </w:pPr>
    <w:rPr>
      <w:rFonts w:asciiTheme="majorHAnsi" w:hAnsiTheme="majorHAnsi"/>
    </w:rPr>
  </w:style>
  <w:style w:type="paragraph" w:customStyle="1" w:styleId="JuTitle">
    <w:name w:val="Ju_Title"/>
    <w:aliases w:val="_Title_2"/>
    <w:basedOn w:val="Normal"/>
    <w:next w:val="JuPara"/>
    <w:uiPriority w:val="38"/>
    <w:qFormat/>
    <w:rsid w:val="002B5B43"/>
    <w:pPr>
      <w:keepNext/>
      <w:keepLines/>
      <w:spacing w:before="1320" w:after="280"/>
      <w:contextualSpacing/>
      <w:jc w:val="center"/>
    </w:pPr>
    <w:rPr>
      <w:b/>
    </w:rPr>
  </w:style>
  <w:style w:type="paragraph" w:customStyle="1" w:styleId="ECHRHeaderLandscape">
    <w:name w:val="ECHR_Header_Landscape"/>
    <w:aliases w:val="_Header_Landscape"/>
    <w:basedOn w:val="JuHeader"/>
    <w:uiPriority w:val="29"/>
    <w:rsid w:val="002B5B43"/>
    <w:pPr>
      <w:tabs>
        <w:tab w:val="center" w:pos="6146"/>
        <w:tab w:val="right" w:pos="13778"/>
      </w:tabs>
      <w:ind w:left="-1474" w:right="-1474"/>
    </w:pPr>
  </w:style>
  <w:style w:type="paragraph" w:customStyle="1" w:styleId="ECHRBullet1">
    <w:name w:val="ECHR_Bullet_1"/>
    <w:aliases w:val="_Bul_1"/>
    <w:basedOn w:val="NormalJustified"/>
    <w:uiPriority w:val="23"/>
    <w:semiHidden/>
    <w:qFormat/>
    <w:rsid w:val="002B5B43"/>
    <w:pPr>
      <w:numPr>
        <w:numId w:val="7"/>
      </w:numPr>
      <w:spacing w:before="60" w:after="60"/>
    </w:pPr>
  </w:style>
  <w:style w:type="paragraph" w:customStyle="1" w:styleId="ECHRBullet2">
    <w:name w:val="ECHR_Bullet_2"/>
    <w:aliases w:val="_Bul_2"/>
    <w:basedOn w:val="ECHRBullet1"/>
    <w:uiPriority w:val="23"/>
    <w:semiHidden/>
    <w:rsid w:val="002B5B43"/>
    <w:pPr>
      <w:numPr>
        <w:ilvl w:val="1"/>
      </w:numPr>
    </w:pPr>
  </w:style>
  <w:style w:type="paragraph" w:customStyle="1" w:styleId="ECHRBullet3">
    <w:name w:val="ECHR_Bullet_3"/>
    <w:aliases w:val="_Bul_3"/>
    <w:basedOn w:val="ECHRBullet2"/>
    <w:uiPriority w:val="23"/>
    <w:semiHidden/>
    <w:rsid w:val="002B5B43"/>
    <w:pPr>
      <w:numPr>
        <w:ilvl w:val="2"/>
      </w:numPr>
    </w:pPr>
  </w:style>
  <w:style w:type="paragraph" w:customStyle="1" w:styleId="ECHRBullet4">
    <w:name w:val="ECHR_Bullet_4"/>
    <w:aliases w:val="_Bul_4"/>
    <w:basedOn w:val="ECHRBullet3"/>
    <w:uiPriority w:val="23"/>
    <w:semiHidden/>
    <w:rsid w:val="002B5B43"/>
    <w:pPr>
      <w:numPr>
        <w:ilvl w:val="3"/>
      </w:numPr>
    </w:pPr>
  </w:style>
  <w:style w:type="paragraph" w:customStyle="1" w:styleId="ECHRConfidential">
    <w:name w:val="ECHR_Confidential"/>
    <w:aliases w:val="_Confidential"/>
    <w:basedOn w:val="Normal"/>
    <w:next w:val="Normal"/>
    <w:uiPriority w:val="42"/>
    <w:semiHidden/>
    <w:qFormat/>
    <w:rsid w:val="002B5B43"/>
    <w:pPr>
      <w:jc w:val="right"/>
    </w:pPr>
    <w:rPr>
      <w:color w:val="C00000"/>
      <w:sz w:val="20"/>
    </w:rPr>
  </w:style>
  <w:style w:type="paragraph" w:customStyle="1" w:styleId="ECHRDecisionBody">
    <w:name w:val="ECHR_Decision_Body"/>
    <w:aliases w:val="_Decision_Body"/>
    <w:basedOn w:val="NormalJustified"/>
    <w:uiPriority w:val="54"/>
    <w:semiHidden/>
    <w:rsid w:val="002B5B43"/>
    <w:pPr>
      <w:tabs>
        <w:tab w:val="left" w:pos="567"/>
        <w:tab w:val="left" w:pos="1134"/>
      </w:tabs>
      <w:spacing w:line="240" w:lineRule="exact"/>
      <w:jc w:val="left"/>
    </w:pPr>
  </w:style>
  <w:style w:type="paragraph" w:customStyle="1" w:styleId="ECHRDivisionName">
    <w:name w:val="ECHR_DivisionName"/>
    <w:aliases w:val="_Div_Name"/>
    <w:basedOn w:val="Normal"/>
    <w:link w:val="ECHRDivisionNameChar"/>
    <w:uiPriority w:val="41"/>
    <w:semiHidden/>
    <w:qFormat/>
    <w:rsid w:val="002B5B43"/>
    <w:pPr>
      <w:contextualSpacing/>
      <w:jc w:val="center"/>
    </w:pPr>
    <w:rPr>
      <w:rFonts w:ascii="Arial" w:hAnsi="Arial"/>
      <w:i/>
      <w:color w:val="002856"/>
      <w:sz w:val="32"/>
    </w:rPr>
  </w:style>
  <w:style w:type="character" w:customStyle="1" w:styleId="ECHRDivisionNameChar">
    <w:name w:val="ECHR_DivisionName Char"/>
    <w:aliases w:val="_Div_Name Char"/>
    <w:basedOn w:val="DefaultParagraphFont"/>
    <w:link w:val="ECHRDivisionName"/>
    <w:uiPriority w:val="41"/>
    <w:semiHidden/>
    <w:rsid w:val="002B5B43"/>
    <w:rPr>
      <w:rFonts w:ascii="Arial" w:hAnsi="Arial"/>
      <w:i/>
      <w:color w:val="002856"/>
      <w:sz w:val="32"/>
      <w:szCs w:val="24"/>
      <w:lang w:val="en-GB"/>
    </w:rPr>
  </w:style>
  <w:style w:type="paragraph" w:customStyle="1" w:styleId="ECHRFooterLineLandscape">
    <w:name w:val="ECHR_Footer_Line_Landscape"/>
    <w:aliases w:val="_Footer_Line_Landscape"/>
    <w:basedOn w:val="Normal"/>
    <w:uiPriority w:val="30"/>
    <w:semiHidden/>
    <w:rsid w:val="002B5B43"/>
    <w:pPr>
      <w:pBdr>
        <w:top w:val="single" w:sz="8" w:space="1" w:color="7F7F7F" w:themeColor="text1" w:themeTint="80"/>
      </w:pBdr>
      <w:tabs>
        <w:tab w:val="center" w:pos="6146"/>
        <w:tab w:val="right" w:pos="12293"/>
      </w:tabs>
      <w:ind w:left="-1474" w:right="-1474"/>
    </w:pPr>
    <w:rPr>
      <w:color w:val="474747" w:themeColor="accent3" w:themeShade="BF"/>
      <w:sz w:val="22"/>
    </w:rPr>
  </w:style>
  <w:style w:type="paragraph" w:customStyle="1" w:styleId="ECHRHeaderDate">
    <w:name w:val="ECHR_Header_Date"/>
    <w:aliases w:val="_Ref_Date"/>
    <w:basedOn w:val="Normal"/>
    <w:uiPriority w:val="44"/>
    <w:semiHidden/>
    <w:qFormat/>
    <w:rsid w:val="002B5B43"/>
    <w:pPr>
      <w:jc w:val="right"/>
    </w:pPr>
    <w:rPr>
      <w:sz w:val="20"/>
    </w:rPr>
  </w:style>
  <w:style w:type="paragraph" w:customStyle="1" w:styleId="ECHRHeaderRefIt">
    <w:name w:val="ECHR_Header_Ref_It"/>
    <w:aliases w:val="_Ref_Ital"/>
    <w:basedOn w:val="Normal"/>
    <w:next w:val="ECHRHeaderDate"/>
    <w:uiPriority w:val="43"/>
    <w:qFormat/>
    <w:rsid w:val="002B5B43"/>
    <w:pPr>
      <w:jc w:val="right"/>
    </w:pPr>
    <w:rPr>
      <w:i/>
      <w:sz w:val="20"/>
    </w:rPr>
  </w:style>
  <w:style w:type="paragraph" w:customStyle="1" w:styleId="ECHRHeading9">
    <w:name w:val="ECHR_Heading_9"/>
    <w:aliases w:val="_Head_9"/>
    <w:basedOn w:val="Heading9"/>
    <w:uiPriority w:val="17"/>
    <w:semiHidden/>
    <w:rsid w:val="002B5B43"/>
    <w:pPr>
      <w:keepNext/>
      <w:keepLines/>
      <w:numPr>
        <w:ilvl w:val="8"/>
        <w:numId w:val="9"/>
      </w:numPr>
      <w:spacing w:before="100" w:beforeAutospacing="1"/>
      <w:contextualSpacing/>
      <w:jc w:val="both"/>
    </w:pPr>
    <w:rPr>
      <w:i w:val="0"/>
      <w:sz w:val="18"/>
    </w:rPr>
  </w:style>
  <w:style w:type="paragraph" w:customStyle="1" w:styleId="ECHRLine">
    <w:name w:val="ECHR_Line"/>
    <w:aliases w:val="_Line"/>
    <w:basedOn w:val="NormalJustified"/>
    <w:next w:val="Normal"/>
    <w:uiPriority w:val="46"/>
    <w:semiHidden/>
    <w:rsid w:val="002B5B43"/>
    <w:pPr>
      <w:pBdr>
        <w:bottom w:val="single" w:sz="12" w:space="1" w:color="949494" w:themeColor="text2" w:themeShade="BF"/>
      </w:pBdr>
      <w:spacing w:after="120"/>
    </w:pPr>
    <w:rPr>
      <w:sz w:val="12"/>
    </w:rPr>
  </w:style>
  <w:style w:type="paragraph" w:customStyle="1" w:styleId="ECHRNumberedList1">
    <w:name w:val="ECHR_Numbered_List_1"/>
    <w:aliases w:val="_Num_1"/>
    <w:basedOn w:val="NormalJustified"/>
    <w:uiPriority w:val="23"/>
    <w:semiHidden/>
    <w:qFormat/>
    <w:rsid w:val="002B5B43"/>
    <w:pPr>
      <w:numPr>
        <w:numId w:val="8"/>
      </w:numPr>
      <w:spacing w:before="60" w:after="60"/>
    </w:pPr>
  </w:style>
  <w:style w:type="paragraph" w:customStyle="1" w:styleId="ECHRNumberedList2">
    <w:name w:val="ECHR_Numbered_List_2"/>
    <w:aliases w:val="_Num_2"/>
    <w:basedOn w:val="ECHRNumberedList1"/>
    <w:uiPriority w:val="23"/>
    <w:semiHidden/>
    <w:rsid w:val="002B5B43"/>
    <w:pPr>
      <w:numPr>
        <w:ilvl w:val="1"/>
      </w:numPr>
    </w:pPr>
  </w:style>
  <w:style w:type="paragraph" w:customStyle="1" w:styleId="ECHRNumberedList3">
    <w:name w:val="ECHR_Numbered_List_3"/>
    <w:aliases w:val="_Num_3"/>
    <w:basedOn w:val="ECHRNumberedList2"/>
    <w:uiPriority w:val="23"/>
    <w:semiHidden/>
    <w:rsid w:val="002B5B43"/>
    <w:pPr>
      <w:numPr>
        <w:ilvl w:val="2"/>
      </w:numPr>
    </w:pPr>
  </w:style>
  <w:style w:type="paragraph" w:customStyle="1" w:styleId="ECHRParaHanging">
    <w:name w:val="ECHR_Para_Hanging"/>
    <w:aliases w:val="_Hanging"/>
    <w:basedOn w:val="NormalJustified"/>
    <w:uiPriority w:val="8"/>
    <w:semiHidden/>
    <w:qFormat/>
    <w:rsid w:val="002B5B43"/>
    <w:pPr>
      <w:ind w:left="567" w:hanging="567"/>
    </w:pPr>
  </w:style>
  <w:style w:type="paragraph" w:customStyle="1" w:styleId="ECHRParaIndent">
    <w:name w:val="ECHR_Para_Indent"/>
    <w:aliases w:val="_Indent"/>
    <w:basedOn w:val="NormalJustified"/>
    <w:uiPriority w:val="7"/>
    <w:semiHidden/>
    <w:qFormat/>
    <w:rsid w:val="002B5B43"/>
    <w:pPr>
      <w:spacing w:before="120" w:after="120"/>
      <w:ind w:left="284"/>
    </w:pPr>
  </w:style>
  <w:style w:type="character" w:customStyle="1" w:styleId="ECHRRed">
    <w:name w:val="ECHR_Red"/>
    <w:aliases w:val="_Red"/>
    <w:basedOn w:val="DefaultParagraphFont"/>
    <w:uiPriority w:val="15"/>
    <w:semiHidden/>
    <w:qFormat/>
    <w:rsid w:val="002B5B43"/>
    <w:rPr>
      <w:color w:val="C00000" w:themeColor="accent2"/>
    </w:rPr>
  </w:style>
  <w:style w:type="paragraph" w:customStyle="1" w:styleId="DecList">
    <w:name w:val="Dec_List"/>
    <w:aliases w:val="_List"/>
    <w:basedOn w:val="JuList"/>
    <w:uiPriority w:val="22"/>
    <w:rsid w:val="002B5B43"/>
    <w:pPr>
      <w:numPr>
        <w:numId w:val="0"/>
      </w:numPr>
      <w:ind w:left="284"/>
    </w:pPr>
  </w:style>
  <w:style w:type="table" w:customStyle="1" w:styleId="ECHRTable2">
    <w:name w:val="ECHR_Table_2"/>
    <w:basedOn w:val="TableNormal"/>
    <w:uiPriority w:val="99"/>
    <w:rsid w:val="002B5B43"/>
    <w:pPr>
      <w:tabs>
        <w:tab w:val="left" w:pos="567"/>
        <w:tab w:val="left" w:pos="851"/>
        <w:tab w:val="right" w:pos="5273"/>
      </w:tabs>
    </w:pPr>
    <w:rPr>
      <w:color w:val="262626" w:themeColor="text1" w:themeTint="D9"/>
      <w:sz w:val="24"/>
      <w:szCs w:val="24"/>
    </w:rPr>
    <w:tblPr>
      <w:tblStyleRowBandSize w:val="1"/>
      <w:tblStyleColBandSize w:val="1"/>
      <w:tblCellSpacing w:w="28" w:type="dxa"/>
      <w:tblInd w:w="-964" w:type="dxa"/>
      <w:tblCellMar>
        <w:top w:w="85" w:type="dxa"/>
        <w:left w:w="113" w:type="dxa"/>
        <w:bottom w:w="85" w:type="dxa"/>
        <w:right w:w="113" w:type="dxa"/>
      </w:tblCellMar>
    </w:tblPr>
    <w:trPr>
      <w:tblCellSpacing w:w="28" w:type="dxa"/>
    </w:trPr>
    <w:tblStylePr w:type="firstRow">
      <w:pPr>
        <w:jc w:val="center"/>
      </w:pPr>
      <w:rPr>
        <w:b/>
        <w:sz w:val="24"/>
      </w:rPr>
      <w:tblPr/>
      <w:tcPr>
        <w:tcBorders>
          <w:top w:val="nil"/>
          <w:left w:val="nil"/>
          <w:bottom w:val="nil"/>
          <w:right w:val="nil"/>
          <w:insideH w:val="nil"/>
          <w:insideV w:val="nil"/>
          <w:tl2br w:val="nil"/>
          <w:tr2bl w:val="nil"/>
        </w:tcBorders>
        <w:shd w:val="clear" w:color="auto" w:fill="DFDFDF" w:themeFill="background2" w:themeFillShade="E6"/>
      </w:tcPr>
    </w:tblStylePr>
    <w:tblStylePr w:type="lastRow">
      <w:rPr>
        <w:b/>
      </w:rPr>
      <w:tblPr/>
      <w:tcPr>
        <w:tcBorders>
          <w:top w:val="nil"/>
          <w:left w:val="nil"/>
          <w:bottom w:val="nil"/>
          <w:right w:val="nil"/>
          <w:insideH w:val="nil"/>
          <w:insideV w:val="nil"/>
          <w:tl2br w:val="nil"/>
          <w:tr2bl w:val="nil"/>
        </w:tcBorders>
        <w:shd w:val="clear" w:color="auto" w:fill="ECECEC"/>
      </w:tcPr>
    </w:tblStylePr>
    <w:tblStylePr w:type="firstCol">
      <w:tblPr/>
      <w:tcPr>
        <w:tcBorders>
          <w:top w:val="nil"/>
          <w:left w:val="nil"/>
          <w:bottom w:val="nil"/>
          <w:right w:val="nil"/>
          <w:insideH w:val="nil"/>
          <w:insideV w:val="nil"/>
          <w:tl2br w:val="nil"/>
          <w:tr2bl w:val="nil"/>
        </w:tcBorders>
        <w:shd w:val="clear" w:color="auto" w:fill="EFF8FF"/>
      </w:tcPr>
    </w:tblStylePr>
    <w:tblStylePr w:type="lastCol">
      <w:tblPr/>
      <w:tcPr>
        <w:tcBorders>
          <w:top w:val="nil"/>
          <w:left w:val="nil"/>
          <w:bottom w:val="nil"/>
          <w:right w:val="nil"/>
          <w:insideH w:val="nil"/>
          <w:insideV w:val="nil"/>
          <w:tl2br w:val="nil"/>
          <w:tr2bl w:val="nil"/>
        </w:tcBorders>
        <w:shd w:val="clear" w:color="auto" w:fill="F3FCE8"/>
      </w:tcPr>
    </w:tblStylePr>
    <w:tblStylePr w:type="band1Vert">
      <w:pPr>
        <w:jc w:val="center"/>
      </w:pPr>
      <w:rPr>
        <w:b/>
        <w:sz w:val="28"/>
      </w:rPr>
      <w:tblPr/>
      <w:tcPr>
        <w:tcBorders>
          <w:top w:val="nil"/>
          <w:left w:val="nil"/>
          <w:bottom w:val="nil"/>
          <w:right w:val="nil"/>
          <w:insideH w:val="nil"/>
          <w:insideV w:val="nil"/>
          <w:tl2br w:val="nil"/>
          <w:tr2bl w:val="nil"/>
        </w:tcBorders>
        <w:shd w:val="clear" w:color="auto" w:fill="A7DBFF"/>
      </w:tcPr>
    </w:tblStylePr>
    <w:tblStylePr w:type="band2Vert">
      <w:pPr>
        <w:jc w:val="center"/>
      </w:pPr>
      <w:rPr>
        <w:b/>
        <w:sz w:val="28"/>
      </w:rPr>
      <w:tblPr/>
      <w:tcPr>
        <w:tcBorders>
          <w:top w:val="nil"/>
          <w:left w:val="nil"/>
          <w:bottom w:val="nil"/>
          <w:right w:val="nil"/>
          <w:insideH w:val="nil"/>
          <w:insideV w:val="nil"/>
          <w:tl2br w:val="nil"/>
          <w:tr2bl w:val="nil"/>
        </w:tcBorders>
        <w:shd w:val="clear" w:color="auto" w:fill="C6F094"/>
      </w:tcPr>
    </w:tblStylePr>
    <w:tblStylePr w:type="band1Horz">
      <w:tblPr/>
      <w:tcPr>
        <w:tcBorders>
          <w:top w:val="nil"/>
          <w:left w:val="nil"/>
          <w:bottom w:val="nil"/>
          <w:right w:val="nil"/>
          <w:insideH w:val="nil"/>
          <w:insideV w:val="nil"/>
          <w:tl2br w:val="nil"/>
          <w:tr2bl w:val="nil"/>
        </w:tcBorders>
      </w:tcPr>
    </w:tblStylePr>
    <w:tblStylePr w:type="band2Horz">
      <w:tblPr/>
      <w:tcPr>
        <w:tcBorders>
          <w:top w:val="nil"/>
          <w:left w:val="nil"/>
          <w:bottom w:val="nil"/>
          <w:right w:val="nil"/>
          <w:insideH w:val="nil"/>
          <w:insideV w:val="nil"/>
          <w:tl2br w:val="nil"/>
          <w:tr2bl w:val="nil"/>
        </w:tcBorders>
        <w:shd w:val="clear" w:color="auto" w:fill="F8F8F8" w:themeFill="background2"/>
      </w:tcPr>
    </w:tblStylePr>
    <w:tblStylePr w:type="neCell">
      <w:pPr>
        <w:jc w:val="center"/>
      </w:pPr>
      <w:rPr>
        <w:b/>
      </w:rPr>
      <w:tblPr/>
      <w:tcPr>
        <w:tcBorders>
          <w:top w:val="nil"/>
          <w:left w:val="nil"/>
          <w:bottom w:val="nil"/>
          <w:right w:val="nil"/>
          <w:insideH w:val="nil"/>
          <w:insideV w:val="nil"/>
          <w:tl2br w:val="nil"/>
          <w:tr2bl w:val="nil"/>
        </w:tcBorders>
        <w:shd w:val="clear" w:color="auto" w:fill="DCF6BC"/>
      </w:tcPr>
    </w:tblStylePr>
    <w:tblStylePr w:type="nwCell">
      <w:pPr>
        <w:jc w:val="center"/>
      </w:pPr>
      <w:rPr>
        <w:b/>
      </w:rPr>
      <w:tblPr/>
      <w:tcPr>
        <w:tcBorders>
          <w:top w:val="nil"/>
          <w:left w:val="nil"/>
          <w:bottom w:val="nil"/>
          <w:right w:val="nil"/>
          <w:insideH w:val="nil"/>
          <w:insideV w:val="nil"/>
          <w:tl2br w:val="nil"/>
          <w:tr2bl w:val="nil"/>
        </w:tcBorders>
        <w:shd w:val="clear" w:color="auto" w:fill="CDEBFF"/>
      </w:tcPr>
    </w:tblStylePr>
    <w:tblStylePr w:type="seCell">
      <w:tblPr/>
      <w:tcPr>
        <w:tcBorders>
          <w:top w:val="nil"/>
          <w:left w:val="nil"/>
          <w:bottom w:val="nil"/>
          <w:right w:val="nil"/>
          <w:insideH w:val="nil"/>
          <w:insideV w:val="nil"/>
          <w:tl2br w:val="nil"/>
          <w:tr2bl w:val="nil"/>
        </w:tcBorders>
        <w:shd w:val="clear" w:color="auto" w:fill="C6F094"/>
      </w:tcPr>
    </w:tblStylePr>
    <w:tblStylePr w:type="swCell">
      <w:tblPr/>
      <w:tcPr>
        <w:tcBorders>
          <w:top w:val="nil"/>
          <w:left w:val="nil"/>
          <w:bottom w:val="nil"/>
          <w:right w:val="nil"/>
          <w:insideH w:val="nil"/>
          <w:insideV w:val="nil"/>
          <w:tl2br w:val="nil"/>
          <w:tr2bl w:val="nil"/>
        </w:tcBorders>
        <w:shd w:val="clear" w:color="auto" w:fill="A7DBFF"/>
      </w:tcPr>
    </w:tblStylePr>
  </w:style>
  <w:style w:type="table" w:customStyle="1" w:styleId="ECHRTable2016">
    <w:name w:val="ECHR_Table_2016"/>
    <w:basedOn w:val="TableNormal"/>
    <w:uiPriority w:val="99"/>
    <w:rsid w:val="002B5B43"/>
    <w:rPr>
      <w:sz w:val="24"/>
      <w:szCs w:val="24"/>
    </w:rPr>
    <w:tblPr>
      <w:tblStyleRowBandSize w:val="1"/>
      <w:tblStyleColBandSize w:val="1"/>
      <w:jc w:val="center"/>
      <w:tbl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blBorders>
    </w:tblPr>
    <w:trPr>
      <w:jc w:val="center"/>
    </w:trPr>
    <w:tblStylePr w:type="firstRow">
      <w:rPr>
        <w:rFonts w:asciiTheme="majorHAnsi" w:hAnsiTheme="majorHAnsi"/>
        <w:b/>
        <w:i w:val="0"/>
        <w:color w:val="F8F8F8" w:themeColor="background2"/>
        <w:sz w:val="22"/>
      </w:rPr>
      <w:tblPr/>
      <w:trPr>
        <w:tblHeader/>
      </w:tr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F8F8F8" w:themeColor="background2"/>
          <w:tl2br w:val="nil"/>
          <w:tr2bl w:val="nil"/>
        </w:tcBorders>
        <w:shd w:val="clear" w:color="auto" w:fill="5F5F5F" w:themeFill="accent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band2Horz">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single" w:sz="4" w:space="0" w:color="0072BC" w:themeColor="accent1"/>
          <w:insideV w:val="single" w:sz="4" w:space="0" w:color="0072BC" w:themeColor="accent1"/>
          <w:tl2br w:val="nil"/>
          <w:tr2bl w:val="nil"/>
        </w:tcBorders>
        <w:shd w:val="clear" w:color="auto" w:fill="E8E8E8" w:themeFill="text2" w:themeFillTint="66"/>
      </w:tcPr>
    </w:tblStylePr>
  </w:style>
  <w:style w:type="paragraph" w:customStyle="1" w:styleId="ECHRTitle1">
    <w:name w:val="ECHR_Title_1"/>
    <w:aliases w:val="_Title_L_1"/>
    <w:basedOn w:val="Normal"/>
    <w:next w:val="Normal"/>
    <w:uiPriority w:val="28"/>
    <w:semiHidden/>
    <w:qFormat/>
    <w:rsid w:val="002B5B43"/>
    <w:pPr>
      <w:keepNext/>
      <w:keepLines/>
      <w:spacing w:before="240"/>
      <w:contextualSpacing/>
    </w:pPr>
    <w:rPr>
      <w:rFonts w:asciiTheme="majorHAnsi" w:hAnsiTheme="majorHAnsi"/>
      <w:b/>
      <w:color w:val="2F2F2F" w:themeColor="accent3" w:themeShade="80"/>
      <w:sz w:val="32"/>
    </w:rPr>
  </w:style>
  <w:style w:type="paragraph" w:customStyle="1" w:styleId="ECHRTitle2">
    <w:name w:val="ECHR_Title_2"/>
    <w:aliases w:val="_Title_L_2"/>
    <w:basedOn w:val="Normal"/>
    <w:next w:val="Normal"/>
    <w:uiPriority w:val="28"/>
    <w:semiHidden/>
    <w:qFormat/>
    <w:rsid w:val="002B5B43"/>
    <w:pPr>
      <w:keepNext/>
      <w:keepLines/>
      <w:spacing w:before="240"/>
      <w:contextualSpacing/>
    </w:pPr>
    <w:rPr>
      <w:rFonts w:asciiTheme="majorHAnsi" w:hAnsiTheme="majorHAnsi"/>
      <w:b/>
      <w:color w:val="474747" w:themeColor="accent3" w:themeShade="BF"/>
      <w:sz w:val="28"/>
    </w:rPr>
  </w:style>
  <w:style w:type="paragraph" w:customStyle="1" w:styleId="ECHRTitle3">
    <w:name w:val="ECHR_Title_3"/>
    <w:aliases w:val="_Title_L_3"/>
    <w:basedOn w:val="Normal"/>
    <w:next w:val="Normal"/>
    <w:uiPriority w:val="28"/>
    <w:semiHidden/>
    <w:qFormat/>
    <w:rsid w:val="002B5B43"/>
    <w:pPr>
      <w:keepNext/>
      <w:keepLines/>
      <w:spacing w:before="240"/>
      <w:contextualSpacing/>
    </w:pPr>
    <w:rPr>
      <w:rFonts w:asciiTheme="majorHAnsi" w:hAnsiTheme="majorHAnsi"/>
      <w:b/>
      <w:color w:val="474747" w:themeColor="accent3" w:themeShade="BF"/>
    </w:rPr>
  </w:style>
  <w:style w:type="paragraph" w:customStyle="1" w:styleId="ECHRTitleCentre1">
    <w:name w:val="ECHR_Title_Centre_1"/>
    <w:aliases w:val="_Title_C_1"/>
    <w:basedOn w:val="Normal"/>
    <w:next w:val="Normal"/>
    <w:uiPriority w:val="26"/>
    <w:semiHidden/>
    <w:qFormat/>
    <w:rsid w:val="002B5B43"/>
    <w:pPr>
      <w:keepNext/>
      <w:keepLines/>
      <w:spacing w:before="240"/>
      <w:contextualSpacing/>
      <w:jc w:val="center"/>
    </w:pPr>
    <w:rPr>
      <w:rFonts w:asciiTheme="majorHAnsi" w:hAnsiTheme="majorHAnsi"/>
      <w:b/>
      <w:color w:val="2F2F2F" w:themeColor="accent3" w:themeShade="80"/>
      <w:sz w:val="32"/>
    </w:rPr>
  </w:style>
  <w:style w:type="paragraph" w:customStyle="1" w:styleId="ECHRTitleCentre2">
    <w:name w:val="ECHR_Title_Centre_2"/>
    <w:aliases w:val="_Title_C_2"/>
    <w:basedOn w:val="Normal"/>
    <w:next w:val="Normal"/>
    <w:uiPriority w:val="26"/>
    <w:semiHidden/>
    <w:qFormat/>
    <w:rsid w:val="002B5B43"/>
    <w:pPr>
      <w:keepNext/>
      <w:keepLines/>
      <w:spacing w:before="240"/>
      <w:contextualSpacing/>
      <w:jc w:val="center"/>
    </w:pPr>
    <w:rPr>
      <w:rFonts w:asciiTheme="majorHAnsi" w:hAnsiTheme="majorHAnsi"/>
      <w:b/>
      <w:color w:val="474747" w:themeColor="accent3" w:themeShade="BF"/>
      <w:sz w:val="28"/>
    </w:rPr>
  </w:style>
  <w:style w:type="paragraph" w:customStyle="1" w:styleId="ECHRTitleCentre3">
    <w:name w:val="ECHR_Title_Centre_3"/>
    <w:aliases w:val="_Title_C_3"/>
    <w:basedOn w:val="Normal"/>
    <w:next w:val="Normal"/>
    <w:uiPriority w:val="26"/>
    <w:semiHidden/>
    <w:qFormat/>
    <w:rsid w:val="002B5B43"/>
    <w:pPr>
      <w:keepNext/>
      <w:keepLines/>
      <w:spacing w:before="240"/>
      <w:contextualSpacing/>
      <w:jc w:val="center"/>
    </w:pPr>
    <w:rPr>
      <w:rFonts w:asciiTheme="majorHAnsi" w:hAnsiTheme="majorHAnsi"/>
      <w:b/>
      <w:color w:val="474747" w:themeColor="accent3" w:themeShade="BF"/>
    </w:rPr>
  </w:style>
  <w:style w:type="paragraph" w:customStyle="1" w:styleId="ECHRTitleCentreTOC1">
    <w:name w:val="ECHR_Title_Centre_TOC_1"/>
    <w:aliases w:val="_Title_C_TOC"/>
    <w:basedOn w:val="ECHRTitleCentre1"/>
    <w:next w:val="Normal"/>
    <w:uiPriority w:val="25"/>
    <w:semiHidden/>
    <w:qFormat/>
    <w:rsid w:val="002B5B43"/>
    <w:pPr>
      <w:outlineLvl w:val="0"/>
    </w:pPr>
  </w:style>
  <w:style w:type="paragraph" w:customStyle="1" w:styleId="ECHRTitleTOC1">
    <w:name w:val="ECHR_Title_TOC_1"/>
    <w:aliases w:val="_Title_L_TOC"/>
    <w:basedOn w:val="ECHRTitle1"/>
    <w:next w:val="Normal"/>
    <w:uiPriority w:val="27"/>
    <w:semiHidden/>
    <w:qFormat/>
    <w:rsid w:val="002B5B43"/>
    <w:pPr>
      <w:outlineLvl w:val="0"/>
    </w:pPr>
  </w:style>
  <w:style w:type="paragraph" w:customStyle="1" w:styleId="ECHRPlaceholder">
    <w:name w:val="ECHR_Placeholder"/>
    <w:aliases w:val="_Placeholder"/>
    <w:basedOn w:val="JuSigned"/>
    <w:uiPriority w:val="31"/>
    <w:rsid w:val="002B5B43"/>
    <w:rPr>
      <w:color w:val="FFFFFF"/>
    </w:rPr>
  </w:style>
  <w:style w:type="paragraph" w:customStyle="1" w:styleId="ECHRSpacer">
    <w:name w:val="ECHR_Spacer"/>
    <w:aliases w:val="_Spacer"/>
    <w:basedOn w:val="Normal"/>
    <w:uiPriority w:val="45"/>
    <w:semiHidden/>
    <w:rsid w:val="002B5B43"/>
    <w:rPr>
      <w:sz w:val="4"/>
    </w:rPr>
  </w:style>
  <w:style w:type="table" w:customStyle="1" w:styleId="ECHRTableGrey">
    <w:name w:val="ECHR_Table_Grey"/>
    <w:basedOn w:val="TableNormal"/>
    <w:uiPriority w:val="99"/>
    <w:rsid w:val="002B5B43"/>
    <w:pPr>
      <w:tabs>
        <w:tab w:val="left" w:pos="397"/>
      </w:tabs>
    </w:pPr>
    <w:tblPr>
      <w:jc w:val="center"/>
      <w:tblBorders>
        <w:top w:val="single" w:sz="4" w:space="0" w:color="636363" w:themeColor="text2" w:themeShade="80"/>
        <w:left w:val="single" w:sz="4" w:space="0" w:color="636363" w:themeColor="text2" w:themeShade="80"/>
        <w:bottom w:val="single" w:sz="4" w:space="0" w:color="636363" w:themeColor="text2" w:themeShade="80"/>
        <w:right w:val="single" w:sz="4" w:space="0" w:color="636363" w:themeColor="text2" w:themeShade="80"/>
      </w:tblBorders>
      <w:tblCellMar>
        <w:top w:w="142" w:type="dxa"/>
        <w:bottom w:w="85" w:type="dxa"/>
      </w:tblCellMar>
    </w:tblPr>
    <w:trPr>
      <w:jc w:val="center"/>
    </w:trPr>
    <w:tcPr>
      <w:shd w:val="clear" w:color="auto" w:fill="F8F8F8" w:themeFill="background2"/>
    </w:tcPr>
    <w:tblStylePr w:type="firstRow">
      <w:rPr>
        <w:b/>
        <w:color w:val="262626" w:themeColor="text1" w:themeTint="D9"/>
      </w:rPr>
    </w:tblStylePr>
  </w:style>
  <w:style w:type="character" w:customStyle="1" w:styleId="16">
    <w:name w:val="Незакрита згадка1"/>
    <w:basedOn w:val="DefaultParagraphFont"/>
    <w:uiPriority w:val="99"/>
    <w:unhideWhenUsed/>
    <w:rsid w:val="002B5B43"/>
    <w:rPr>
      <w:color w:val="605E5C"/>
      <w:shd w:val="clear" w:color="auto" w:fill="E1DFDD"/>
    </w:rPr>
  </w:style>
  <w:style w:type="character" w:customStyle="1" w:styleId="JuParaChar">
    <w:name w:val="Ju_Para Char"/>
    <w:aliases w:val="_Para Char,ECHR_Para Char"/>
    <w:link w:val="JuPara"/>
    <w:uiPriority w:val="4"/>
    <w:qFormat/>
    <w:rsid w:val="00862459"/>
    <w:rPr>
      <w:sz w:val="24"/>
      <w:szCs w:val="24"/>
      <w:lang w:val="en-GB"/>
    </w:rPr>
  </w:style>
  <w:style w:type="table" w:customStyle="1" w:styleId="GridTable1Light1">
    <w:name w:val="Grid Table 1 Light1"/>
    <w:basedOn w:val="TableNormal"/>
    <w:uiPriority w:val="46"/>
    <w:semiHidden/>
    <w:rsid w:val="00862459"/>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paragraph" w:customStyle="1" w:styleId="JuList4">
    <w:name w:val="Ju_List_4"/>
    <w:aliases w:val="N_Bul_4"/>
    <w:basedOn w:val="JuListi"/>
    <w:uiPriority w:val="19"/>
    <w:rsid w:val="00862459"/>
    <w:pPr>
      <w:numPr>
        <w:ilvl w:val="0"/>
        <w:numId w:val="0"/>
      </w:numPr>
      <w:tabs>
        <w:tab w:val="num" w:pos="1701"/>
      </w:tabs>
      <w:spacing w:before="60" w:after="60" w:line="240" w:lineRule="exact"/>
      <w:ind w:left="1703" w:hanging="284"/>
      <w:contextualSpacing/>
    </w:pPr>
    <w:rPr>
      <w:sz w:val="22"/>
      <w:lang w:val="fr-FR" w:eastAsia="fr-FR"/>
    </w:rPr>
  </w:style>
  <w:style w:type="table" w:customStyle="1" w:styleId="GridTable1Light-Accent11">
    <w:name w:val="Grid Table 1 Light - Accent 11"/>
    <w:basedOn w:val="TableNormal"/>
    <w:uiPriority w:val="46"/>
    <w:semiHidden/>
    <w:rsid w:val="00862459"/>
    <w:tblPr>
      <w:tblStyleRowBandSize w:val="1"/>
      <w:tblStyleColBandSize w:val="1"/>
      <w:tblBorders>
        <w:top w:val="single" w:sz="4" w:space="0" w:color="7ECBFF" w:themeColor="accent1" w:themeTint="66"/>
        <w:left w:val="single" w:sz="4" w:space="0" w:color="7ECBFF" w:themeColor="accent1" w:themeTint="66"/>
        <w:bottom w:val="single" w:sz="4" w:space="0" w:color="7ECBFF" w:themeColor="accent1" w:themeTint="66"/>
        <w:right w:val="single" w:sz="4" w:space="0" w:color="7ECBFF" w:themeColor="accent1" w:themeTint="66"/>
        <w:insideH w:val="single" w:sz="4" w:space="0" w:color="7ECBFF" w:themeColor="accent1" w:themeTint="66"/>
        <w:insideV w:val="single" w:sz="4" w:space="0" w:color="7ECBFF" w:themeColor="accent1" w:themeTint="66"/>
      </w:tblBorders>
    </w:tblPr>
    <w:tblStylePr w:type="firstRow">
      <w:rPr>
        <w:b/>
        <w:bCs/>
      </w:rPr>
      <w:tblPr/>
      <w:tcPr>
        <w:tcBorders>
          <w:bottom w:val="single" w:sz="12" w:space="0" w:color="3DB2FF" w:themeColor="accent1" w:themeTint="99"/>
        </w:tcBorders>
      </w:tcPr>
    </w:tblStylePr>
    <w:tblStylePr w:type="lastRow">
      <w:rPr>
        <w:b/>
        <w:bCs/>
      </w:rPr>
      <w:tblPr/>
      <w:tcPr>
        <w:tcBorders>
          <w:top w:val="double" w:sz="2" w:space="0" w:color="3DB2FF" w:themeColor="accent1" w:themeTint="99"/>
        </w:tcBorders>
      </w:tcPr>
    </w:tblStylePr>
    <w:tblStylePr w:type="firstCol">
      <w:rPr>
        <w:b/>
        <w:bCs/>
      </w:rPr>
    </w:tblStylePr>
    <w:tblStylePr w:type="lastCol">
      <w:rPr>
        <w:b/>
        <w:bCs/>
      </w:rPr>
    </w:tblStylePr>
  </w:style>
  <w:style w:type="table" w:customStyle="1" w:styleId="GridTable1Light-Accent21">
    <w:name w:val="Grid Table 1 Light - Accent 21"/>
    <w:basedOn w:val="TableNormal"/>
    <w:uiPriority w:val="46"/>
    <w:semiHidden/>
    <w:rsid w:val="00862459"/>
    <w:tblPr>
      <w:tblStyleRowBandSize w:val="1"/>
      <w:tblStyleColBandSize w:val="1"/>
      <w:tblBorders>
        <w:top w:val="single" w:sz="4" w:space="0" w:color="FF7F7F" w:themeColor="accent2" w:themeTint="66"/>
        <w:left w:val="single" w:sz="4" w:space="0" w:color="FF7F7F" w:themeColor="accent2" w:themeTint="66"/>
        <w:bottom w:val="single" w:sz="4" w:space="0" w:color="FF7F7F" w:themeColor="accent2" w:themeTint="66"/>
        <w:right w:val="single" w:sz="4" w:space="0" w:color="FF7F7F" w:themeColor="accent2" w:themeTint="66"/>
        <w:insideH w:val="single" w:sz="4" w:space="0" w:color="FF7F7F" w:themeColor="accent2" w:themeTint="66"/>
        <w:insideV w:val="single" w:sz="4" w:space="0" w:color="FF7F7F" w:themeColor="accent2" w:themeTint="66"/>
      </w:tblBorders>
    </w:tblPr>
    <w:tblStylePr w:type="firstRow">
      <w:rPr>
        <w:b/>
        <w:bCs/>
      </w:rPr>
      <w:tblPr/>
      <w:tcPr>
        <w:tcBorders>
          <w:bottom w:val="single" w:sz="12" w:space="0" w:color="FF4040" w:themeColor="accent2" w:themeTint="99"/>
        </w:tcBorders>
      </w:tcPr>
    </w:tblStylePr>
    <w:tblStylePr w:type="lastRow">
      <w:rPr>
        <w:b/>
        <w:bCs/>
      </w:rPr>
      <w:tblPr/>
      <w:tcPr>
        <w:tcBorders>
          <w:top w:val="double" w:sz="2" w:space="0" w:color="FF4040" w:themeColor="accent2" w:themeTint="99"/>
        </w:tcBorders>
      </w:tcPr>
    </w:tblStylePr>
    <w:tblStylePr w:type="firstCol">
      <w:rPr>
        <w:b/>
        <w:bCs/>
      </w:rPr>
    </w:tblStylePr>
    <w:tblStylePr w:type="lastCol">
      <w:rPr>
        <w:b/>
        <w:bCs/>
      </w:rPr>
    </w:tblStylePr>
  </w:style>
  <w:style w:type="table" w:customStyle="1" w:styleId="GridTable1Light-Accent31">
    <w:name w:val="Grid Table 1 Light - Accent 31"/>
    <w:basedOn w:val="TableNormal"/>
    <w:uiPriority w:val="46"/>
    <w:semiHidden/>
    <w:rsid w:val="00862459"/>
    <w:tblPr>
      <w:tblStyleRowBandSize w:val="1"/>
      <w:tblStyleColBandSize w:val="1"/>
      <w:tblBorders>
        <w:top w:val="single" w:sz="4" w:space="0" w:color="BFBFBF" w:themeColor="accent3" w:themeTint="66"/>
        <w:left w:val="single" w:sz="4" w:space="0" w:color="BFBFBF" w:themeColor="accent3" w:themeTint="66"/>
        <w:bottom w:val="single" w:sz="4" w:space="0" w:color="BFBFBF" w:themeColor="accent3" w:themeTint="66"/>
        <w:right w:val="single" w:sz="4" w:space="0" w:color="BFBFBF" w:themeColor="accent3" w:themeTint="66"/>
        <w:insideH w:val="single" w:sz="4" w:space="0" w:color="BFBFBF" w:themeColor="accent3" w:themeTint="66"/>
        <w:insideV w:val="single" w:sz="4" w:space="0" w:color="BFBFBF" w:themeColor="accent3" w:themeTint="66"/>
      </w:tblBorders>
    </w:tblPr>
    <w:tblStylePr w:type="firstRow">
      <w:rPr>
        <w:b/>
        <w:bCs/>
      </w:rPr>
      <w:tblPr/>
      <w:tcPr>
        <w:tcBorders>
          <w:bottom w:val="single" w:sz="12" w:space="0" w:color="9F9F9F" w:themeColor="accent3" w:themeTint="99"/>
        </w:tcBorders>
      </w:tcPr>
    </w:tblStylePr>
    <w:tblStylePr w:type="lastRow">
      <w:rPr>
        <w:b/>
        <w:bCs/>
      </w:rPr>
      <w:tblPr/>
      <w:tcPr>
        <w:tcBorders>
          <w:top w:val="double" w:sz="2" w:space="0" w:color="9F9F9F" w:themeColor="accent3" w:themeTint="99"/>
        </w:tcBorders>
      </w:tcPr>
    </w:tblStylePr>
    <w:tblStylePr w:type="firstCol">
      <w:rPr>
        <w:b/>
        <w:bCs/>
      </w:rPr>
    </w:tblStylePr>
    <w:tblStylePr w:type="lastCol">
      <w:rPr>
        <w:b/>
        <w:bCs/>
      </w:rPr>
    </w:tblStylePr>
  </w:style>
  <w:style w:type="table" w:customStyle="1" w:styleId="GridTable1Light-Accent41">
    <w:name w:val="Grid Table 1 Light - Accent 41"/>
    <w:basedOn w:val="TableNormal"/>
    <w:uiPriority w:val="46"/>
    <w:semiHidden/>
    <w:rsid w:val="00862459"/>
    <w:tblPr>
      <w:tblStyleRowBandSize w:val="1"/>
      <w:tblStyleColBandSize w:val="1"/>
      <w:tblBorders>
        <w:top w:val="single" w:sz="4" w:space="0" w:color="D5D5D5" w:themeColor="accent4" w:themeTint="66"/>
        <w:left w:val="single" w:sz="4" w:space="0" w:color="D5D5D5" w:themeColor="accent4" w:themeTint="66"/>
        <w:bottom w:val="single" w:sz="4" w:space="0" w:color="D5D5D5" w:themeColor="accent4" w:themeTint="66"/>
        <w:right w:val="single" w:sz="4" w:space="0" w:color="D5D5D5" w:themeColor="accent4" w:themeTint="66"/>
        <w:insideH w:val="single" w:sz="4" w:space="0" w:color="D5D5D5" w:themeColor="accent4" w:themeTint="66"/>
        <w:insideV w:val="single" w:sz="4" w:space="0" w:color="D5D5D5" w:themeColor="accent4" w:themeTint="66"/>
      </w:tblBorders>
    </w:tblPr>
    <w:tblStylePr w:type="firstRow">
      <w:rPr>
        <w:b/>
        <w:bCs/>
      </w:rPr>
      <w:tblPr/>
      <w:tcPr>
        <w:tcBorders>
          <w:bottom w:val="single" w:sz="12" w:space="0" w:color="C0C0C0" w:themeColor="accent4" w:themeTint="99"/>
        </w:tcBorders>
      </w:tcPr>
    </w:tblStylePr>
    <w:tblStylePr w:type="lastRow">
      <w:rPr>
        <w:b/>
        <w:bCs/>
      </w:rPr>
      <w:tblPr/>
      <w:tcPr>
        <w:tcBorders>
          <w:top w:val="double" w:sz="2" w:space="0" w:color="C0C0C0" w:themeColor="accent4" w:themeTint="99"/>
        </w:tcBorders>
      </w:tcPr>
    </w:tblStylePr>
    <w:tblStylePr w:type="firstCol">
      <w:rPr>
        <w:b/>
        <w:bCs/>
      </w:rPr>
    </w:tblStylePr>
    <w:tblStylePr w:type="lastCol">
      <w:rPr>
        <w:b/>
        <w:bCs/>
      </w:rPr>
    </w:tblStylePr>
  </w:style>
  <w:style w:type="table" w:customStyle="1" w:styleId="GridTable1Light-Accent51">
    <w:name w:val="Grid Table 1 Light - Accent 51"/>
    <w:basedOn w:val="TableNormal"/>
    <w:uiPriority w:val="46"/>
    <w:semiHidden/>
    <w:rsid w:val="00862459"/>
    <w:tblPr>
      <w:tblStyleRowBandSize w:val="1"/>
      <w:tblStyleColBandSize w:val="1"/>
      <w:tblBorders>
        <w:top w:val="single" w:sz="4" w:space="0" w:color="BFBFBF" w:themeColor="accent5" w:themeTint="66"/>
        <w:left w:val="single" w:sz="4" w:space="0" w:color="BFBFBF" w:themeColor="accent5" w:themeTint="66"/>
        <w:bottom w:val="single" w:sz="4" w:space="0" w:color="BFBFBF" w:themeColor="accent5" w:themeTint="66"/>
        <w:right w:val="single" w:sz="4" w:space="0" w:color="BFBFBF" w:themeColor="accent5" w:themeTint="66"/>
        <w:insideH w:val="single" w:sz="4" w:space="0" w:color="BFBFBF" w:themeColor="accent5" w:themeTint="66"/>
        <w:insideV w:val="single" w:sz="4" w:space="0" w:color="BFBFBF" w:themeColor="accent5" w:themeTint="66"/>
      </w:tblBorders>
    </w:tblPr>
    <w:tblStylePr w:type="firstRow">
      <w:rPr>
        <w:b/>
        <w:bCs/>
      </w:rPr>
      <w:tblPr/>
      <w:tcPr>
        <w:tcBorders>
          <w:bottom w:val="single" w:sz="12" w:space="0" w:color="9F9F9F" w:themeColor="accent5" w:themeTint="99"/>
        </w:tcBorders>
      </w:tcPr>
    </w:tblStylePr>
    <w:tblStylePr w:type="lastRow">
      <w:rPr>
        <w:b/>
        <w:bCs/>
      </w:rPr>
      <w:tblPr/>
      <w:tcPr>
        <w:tcBorders>
          <w:top w:val="double" w:sz="2" w:space="0" w:color="9F9F9F" w:themeColor="accent5" w:themeTint="99"/>
        </w:tcBorders>
      </w:tcPr>
    </w:tblStylePr>
    <w:tblStylePr w:type="firstCol">
      <w:rPr>
        <w:b/>
        <w:bCs/>
      </w:rPr>
    </w:tblStylePr>
    <w:tblStylePr w:type="lastCol">
      <w:rPr>
        <w:b/>
        <w:bCs/>
      </w:rPr>
    </w:tblStylePr>
  </w:style>
  <w:style w:type="table" w:customStyle="1" w:styleId="GridTable1Light-Accent61">
    <w:name w:val="Grid Table 1 Light - Accent 61"/>
    <w:basedOn w:val="TableNormal"/>
    <w:uiPriority w:val="46"/>
    <w:semiHidden/>
    <w:rsid w:val="00862459"/>
    <w:tblPr>
      <w:tblStyleRowBandSize w:val="1"/>
      <w:tblStyleColBandSize w:val="1"/>
      <w:tblBorders>
        <w:top w:val="single" w:sz="4" w:space="0" w:color="B7B7B7" w:themeColor="accent6" w:themeTint="66"/>
        <w:left w:val="single" w:sz="4" w:space="0" w:color="B7B7B7" w:themeColor="accent6" w:themeTint="66"/>
        <w:bottom w:val="single" w:sz="4" w:space="0" w:color="B7B7B7" w:themeColor="accent6" w:themeTint="66"/>
        <w:right w:val="single" w:sz="4" w:space="0" w:color="B7B7B7" w:themeColor="accent6" w:themeTint="66"/>
        <w:insideH w:val="single" w:sz="4" w:space="0" w:color="B7B7B7" w:themeColor="accent6" w:themeTint="66"/>
        <w:insideV w:val="single" w:sz="4" w:space="0" w:color="B7B7B7" w:themeColor="accent6" w:themeTint="66"/>
      </w:tblBorders>
    </w:tblPr>
    <w:tblStylePr w:type="firstRow">
      <w:rPr>
        <w:b/>
        <w:bCs/>
      </w:rPr>
      <w:tblPr/>
      <w:tcPr>
        <w:tcBorders>
          <w:bottom w:val="single" w:sz="12" w:space="0" w:color="949494" w:themeColor="accent6" w:themeTint="99"/>
        </w:tcBorders>
      </w:tcPr>
    </w:tblStylePr>
    <w:tblStylePr w:type="lastRow">
      <w:rPr>
        <w:b/>
        <w:bCs/>
      </w:rPr>
      <w:tblPr/>
      <w:tcPr>
        <w:tcBorders>
          <w:top w:val="double" w:sz="2" w:space="0" w:color="949494" w:themeColor="accent6" w:themeTint="99"/>
        </w:tcBorders>
      </w:tcPr>
    </w:tblStylePr>
    <w:tblStylePr w:type="firstCol">
      <w:rPr>
        <w:b/>
        <w:bCs/>
      </w:rPr>
    </w:tblStylePr>
    <w:tblStylePr w:type="lastCol">
      <w:rPr>
        <w:b/>
        <w:bCs/>
      </w:rPr>
    </w:tblStylePr>
  </w:style>
  <w:style w:type="table" w:customStyle="1" w:styleId="GridTable21">
    <w:name w:val="Grid Table 21"/>
    <w:basedOn w:val="TableNormal"/>
    <w:uiPriority w:val="47"/>
    <w:semiHidden/>
    <w:rsid w:val="00862459"/>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0072BC" w:themeFill="background1"/>
      </w:tcPr>
    </w:tblStylePr>
    <w:tblStylePr w:type="lastRow">
      <w:rPr>
        <w:b/>
        <w:bCs/>
      </w:rPr>
      <w:tblPr/>
      <w:tcPr>
        <w:tcBorders>
          <w:top w:val="double" w:sz="2" w:space="0" w:color="666666" w:themeColor="text1"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GridTable2-Accent11">
    <w:name w:val="Grid Table 2 - Accent 11"/>
    <w:basedOn w:val="TableNormal"/>
    <w:uiPriority w:val="47"/>
    <w:semiHidden/>
    <w:rsid w:val="00862459"/>
    <w:tblPr>
      <w:tblStyleRowBandSize w:val="1"/>
      <w:tblStyleColBandSize w:val="1"/>
      <w:tblBorders>
        <w:top w:val="single" w:sz="2" w:space="0" w:color="3DB2FF" w:themeColor="accent1" w:themeTint="99"/>
        <w:bottom w:val="single" w:sz="2" w:space="0" w:color="3DB2FF" w:themeColor="accent1" w:themeTint="99"/>
        <w:insideH w:val="single" w:sz="2" w:space="0" w:color="3DB2FF" w:themeColor="accent1" w:themeTint="99"/>
        <w:insideV w:val="single" w:sz="2" w:space="0" w:color="3DB2FF" w:themeColor="accent1" w:themeTint="99"/>
      </w:tblBorders>
    </w:tblPr>
    <w:tblStylePr w:type="firstRow">
      <w:rPr>
        <w:b/>
        <w:bCs/>
      </w:rPr>
      <w:tblPr/>
      <w:tcPr>
        <w:tcBorders>
          <w:top w:val="nil"/>
          <w:bottom w:val="single" w:sz="12" w:space="0" w:color="3DB2FF" w:themeColor="accent1" w:themeTint="99"/>
          <w:insideH w:val="nil"/>
          <w:insideV w:val="nil"/>
        </w:tcBorders>
        <w:shd w:val="clear" w:color="auto" w:fill="0072BC" w:themeFill="background1"/>
      </w:tcPr>
    </w:tblStylePr>
    <w:tblStylePr w:type="lastRow">
      <w:rPr>
        <w:b/>
        <w:bCs/>
      </w:rPr>
      <w:tblPr/>
      <w:tcPr>
        <w:tcBorders>
          <w:top w:val="double" w:sz="2" w:space="0" w:color="3DB2FF" w:themeColor="accent1"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customStyle="1" w:styleId="GridTable2-Accent21">
    <w:name w:val="Grid Table 2 - Accent 21"/>
    <w:basedOn w:val="TableNormal"/>
    <w:uiPriority w:val="47"/>
    <w:semiHidden/>
    <w:rsid w:val="00862459"/>
    <w:tblPr>
      <w:tblStyleRowBandSize w:val="1"/>
      <w:tblStyleColBandSize w:val="1"/>
      <w:tblBorders>
        <w:top w:val="single" w:sz="2" w:space="0" w:color="FF4040" w:themeColor="accent2" w:themeTint="99"/>
        <w:bottom w:val="single" w:sz="2" w:space="0" w:color="FF4040" w:themeColor="accent2" w:themeTint="99"/>
        <w:insideH w:val="single" w:sz="2" w:space="0" w:color="FF4040" w:themeColor="accent2" w:themeTint="99"/>
        <w:insideV w:val="single" w:sz="2" w:space="0" w:color="FF4040" w:themeColor="accent2" w:themeTint="99"/>
      </w:tblBorders>
    </w:tblPr>
    <w:tblStylePr w:type="firstRow">
      <w:rPr>
        <w:b/>
        <w:bCs/>
      </w:rPr>
      <w:tblPr/>
      <w:tcPr>
        <w:tcBorders>
          <w:top w:val="nil"/>
          <w:bottom w:val="single" w:sz="12" w:space="0" w:color="FF4040" w:themeColor="accent2" w:themeTint="99"/>
          <w:insideH w:val="nil"/>
          <w:insideV w:val="nil"/>
        </w:tcBorders>
        <w:shd w:val="clear" w:color="auto" w:fill="0072BC" w:themeFill="background1"/>
      </w:tcPr>
    </w:tblStylePr>
    <w:tblStylePr w:type="lastRow">
      <w:rPr>
        <w:b/>
        <w:bCs/>
      </w:rPr>
      <w:tblPr/>
      <w:tcPr>
        <w:tcBorders>
          <w:top w:val="double" w:sz="2" w:space="0" w:color="FF4040" w:themeColor="accent2"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customStyle="1" w:styleId="GridTable2-Accent31">
    <w:name w:val="Grid Table 2 - Accent 31"/>
    <w:basedOn w:val="TableNormal"/>
    <w:uiPriority w:val="47"/>
    <w:semiHidden/>
    <w:rsid w:val="00862459"/>
    <w:tblPr>
      <w:tblStyleRowBandSize w:val="1"/>
      <w:tblStyleColBandSize w:val="1"/>
      <w:tblBorders>
        <w:top w:val="single" w:sz="2" w:space="0" w:color="9F9F9F" w:themeColor="accent3" w:themeTint="99"/>
        <w:bottom w:val="single" w:sz="2" w:space="0" w:color="9F9F9F" w:themeColor="accent3" w:themeTint="99"/>
        <w:insideH w:val="single" w:sz="2" w:space="0" w:color="9F9F9F" w:themeColor="accent3" w:themeTint="99"/>
        <w:insideV w:val="single" w:sz="2" w:space="0" w:color="9F9F9F" w:themeColor="accent3" w:themeTint="99"/>
      </w:tblBorders>
    </w:tblPr>
    <w:tblStylePr w:type="firstRow">
      <w:rPr>
        <w:b/>
        <w:bCs/>
      </w:rPr>
      <w:tblPr/>
      <w:tcPr>
        <w:tcBorders>
          <w:top w:val="nil"/>
          <w:bottom w:val="single" w:sz="12" w:space="0" w:color="9F9F9F" w:themeColor="accent3" w:themeTint="99"/>
          <w:insideH w:val="nil"/>
          <w:insideV w:val="nil"/>
        </w:tcBorders>
        <w:shd w:val="clear" w:color="auto" w:fill="0072BC" w:themeFill="background1"/>
      </w:tcPr>
    </w:tblStylePr>
    <w:tblStylePr w:type="lastRow">
      <w:rPr>
        <w:b/>
        <w:bCs/>
      </w:rPr>
      <w:tblPr/>
      <w:tcPr>
        <w:tcBorders>
          <w:top w:val="double" w:sz="2" w:space="0" w:color="9F9F9F" w:themeColor="accent3"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customStyle="1" w:styleId="GridTable2-Accent41">
    <w:name w:val="Grid Table 2 - Accent 41"/>
    <w:basedOn w:val="TableNormal"/>
    <w:uiPriority w:val="47"/>
    <w:semiHidden/>
    <w:rsid w:val="00862459"/>
    <w:tblPr>
      <w:tblStyleRowBandSize w:val="1"/>
      <w:tblStyleColBandSize w:val="1"/>
      <w:tblBorders>
        <w:top w:val="single" w:sz="2" w:space="0" w:color="C0C0C0" w:themeColor="accent4" w:themeTint="99"/>
        <w:bottom w:val="single" w:sz="2" w:space="0" w:color="C0C0C0" w:themeColor="accent4" w:themeTint="99"/>
        <w:insideH w:val="single" w:sz="2" w:space="0" w:color="C0C0C0" w:themeColor="accent4" w:themeTint="99"/>
        <w:insideV w:val="single" w:sz="2" w:space="0" w:color="C0C0C0" w:themeColor="accent4" w:themeTint="99"/>
      </w:tblBorders>
    </w:tblPr>
    <w:tblStylePr w:type="firstRow">
      <w:rPr>
        <w:b/>
        <w:bCs/>
      </w:rPr>
      <w:tblPr/>
      <w:tcPr>
        <w:tcBorders>
          <w:top w:val="nil"/>
          <w:bottom w:val="single" w:sz="12" w:space="0" w:color="C0C0C0" w:themeColor="accent4" w:themeTint="99"/>
          <w:insideH w:val="nil"/>
          <w:insideV w:val="nil"/>
        </w:tcBorders>
        <w:shd w:val="clear" w:color="auto" w:fill="0072BC" w:themeFill="background1"/>
      </w:tcPr>
    </w:tblStylePr>
    <w:tblStylePr w:type="lastRow">
      <w:rPr>
        <w:b/>
        <w:bCs/>
      </w:rPr>
      <w:tblPr/>
      <w:tcPr>
        <w:tcBorders>
          <w:top w:val="double" w:sz="2" w:space="0" w:color="C0C0C0" w:themeColor="accent4"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customStyle="1" w:styleId="GridTable2-Accent51">
    <w:name w:val="Grid Table 2 - Accent 51"/>
    <w:basedOn w:val="TableNormal"/>
    <w:uiPriority w:val="47"/>
    <w:semiHidden/>
    <w:rsid w:val="00862459"/>
    <w:tblPr>
      <w:tblStyleRowBandSize w:val="1"/>
      <w:tblStyleColBandSize w:val="1"/>
      <w:tblBorders>
        <w:top w:val="single" w:sz="2" w:space="0" w:color="9F9F9F" w:themeColor="accent5" w:themeTint="99"/>
        <w:bottom w:val="single" w:sz="2" w:space="0" w:color="9F9F9F" w:themeColor="accent5" w:themeTint="99"/>
        <w:insideH w:val="single" w:sz="2" w:space="0" w:color="9F9F9F" w:themeColor="accent5" w:themeTint="99"/>
        <w:insideV w:val="single" w:sz="2" w:space="0" w:color="9F9F9F" w:themeColor="accent5" w:themeTint="99"/>
      </w:tblBorders>
    </w:tblPr>
    <w:tblStylePr w:type="firstRow">
      <w:rPr>
        <w:b/>
        <w:bCs/>
      </w:rPr>
      <w:tblPr/>
      <w:tcPr>
        <w:tcBorders>
          <w:top w:val="nil"/>
          <w:bottom w:val="single" w:sz="12" w:space="0" w:color="9F9F9F" w:themeColor="accent5" w:themeTint="99"/>
          <w:insideH w:val="nil"/>
          <w:insideV w:val="nil"/>
        </w:tcBorders>
        <w:shd w:val="clear" w:color="auto" w:fill="0072BC" w:themeFill="background1"/>
      </w:tcPr>
    </w:tblStylePr>
    <w:tblStylePr w:type="lastRow">
      <w:rPr>
        <w:b/>
        <w:bCs/>
      </w:rPr>
      <w:tblPr/>
      <w:tcPr>
        <w:tcBorders>
          <w:top w:val="double" w:sz="2" w:space="0" w:color="9F9F9F" w:themeColor="accent5"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customStyle="1" w:styleId="GridTable2-Accent61">
    <w:name w:val="Grid Table 2 - Accent 61"/>
    <w:basedOn w:val="TableNormal"/>
    <w:uiPriority w:val="47"/>
    <w:semiHidden/>
    <w:rsid w:val="00862459"/>
    <w:tblPr>
      <w:tblStyleRowBandSize w:val="1"/>
      <w:tblStyleColBandSize w:val="1"/>
      <w:tblBorders>
        <w:top w:val="single" w:sz="2" w:space="0" w:color="949494" w:themeColor="accent6" w:themeTint="99"/>
        <w:bottom w:val="single" w:sz="2" w:space="0" w:color="949494" w:themeColor="accent6" w:themeTint="99"/>
        <w:insideH w:val="single" w:sz="2" w:space="0" w:color="949494" w:themeColor="accent6" w:themeTint="99"/>
        <w:insideV w:val="single" w:sz="2" w:space="0" w:color="949494" w:themeColor="accent6" w:themeTint="99"/>
      </w:tblBorders>
    </w:tblPr>
    <w:tblStylePr w:type="firstRow">
      <w:rPr>
        <w:b/>
        <w:bCs/>
      </w:rPr>
      <w:tblPr/>
      <w:tcPr>
        <w:tcBorders>
          <w:top w:val="nil"/>
          <w:bottom w:val="single" w:sz="12" w:space="0" w:color="949494" w:themeColor="accent6" w:themeTint="99"/>
          <w:insideH w:val="nil"/>
          <w:insideV w:val="nil"/>
        </w:tcBorders>
        <w:shd w:val="clear" w:color="auto" w:fill="0072BC" w:themeFill="background1"/>
      </w:tcPr>
    </w:tblStylePr>
    <w:tblStylePr w:type="lastRow">
      <w:rPr>
        <w:b/>
        <w:bCs/>
      </w:rPr>
      <w:tblPr/>
      <w:tcPr>
        <w:tcBorders>
          <w:top w:val="double" w:sz="2" w:space="0" w:color="949494" w:themeColor="accent6"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customStyle="1" w:styleId="GridTable31">
    <w:name w:val="Grid Table 31"/>
    <w:basedOn w:val="TableNormal"/>
    <w:uiPriority w:val="48"/>
    <w:semiHidden/>
    <w:rsid w:val="00862459"/>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customStyle="1" w:styleId="GridTable3-Accent11">
    <w:name w:val="Grid Table 3 - Accent 11"/>
    <w:basedOn w:val="TableNormal"/>
    <w:uiPriority w:val="48"/>
    <w:semiHidden/>
    <w:rsid w:val="00862459"/>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bottom w:val="single" w:sz="4" w:space="0" w:color="3DB2FF" w:themeColor="accent1" w:themeTint="99"/>
        </w:tcBorders>
      </w:tcPr>
    </w:tblStylePr>
    <w:tblStylePr w:type="nwCell">
      <w:tblPr/>
      <w:tcPr>
        <w:tcBorders>
          <w:bottom w:val="single" w:sz="4" w:space="0" w:color="3DB2FF" w:themeColor="accent1" w:themeTint="99"/>
        </w:tcBorders>
      </w:tcPr>
    </w:tblStylePr>
    <w:tblStylePr w:type="seCell">
      <w:tblPr/>
      <w:tcPr>
        <w:tcBorders>
          <w:top w:val="single" w:sz="4" w:space="0" w:color="3DB2FF" w:themeColor="accent1" w:themeTint="99"/>
        </w:tcBorders>
      </w:tcPr>
    </w:tblStylePr>
    <w:tblStylePr w:type="swCell">
      <w:tblPr/>
      <w:tcPr>
        <w:tcBorders>
          <w:top w:val="single" w:sz="4" w:space="0" w:color="3DB2FF" w:themeColor="accent1" w:themeTint="99"/>
        </w:tcBorders>
      </w:tcPr>
    </w:tblStylePr>
  </w:style>
  <w:style w:type="table" w:customStyle="1" w:styleId="GridTable3-Accent21">
    <w:name w:val="Grid Table 3 - Accent 21"/>
    <w:basedOn w:val="TableNormal"/>
    <w:uiPriority w:val="48"/>
    <w:semiHidden/>
    <w:rsid w:val="00862459"/>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bottom w:val="single" w:sz="4" w:space="0" w:color="FF4040" w:themeColor="accent2" w:themeTint="99"/>
        </w:tcBorders>
      </w:tcPr>
    </w:tblStylePr>
    <w:tblStylePr w:type="nwCell">
      <w:tblPr/>
      <w:tcPr>
        <w:tcBorders>
          <w:bottom w:val="single" w:sz="4" w:space="0" w:color="FF4040" w:themeColor="accent2" w:themeTint="99"/>
        </w:tcBorders>
      </w:tcPr>
    </w:tblStylePr>
    <w:tblStylePr w:type="seCell">
      <w:tblPr/>
      <w:tcPr>
        <w:tcBorders>
          <w:top w:val="single" w:sz="4" w:space="0" w:color="FF4040" w:themeColor="accent2" w:themeTint="99"/>
        </w:tcBorders>
      </w:tcPr>
    </w:tblStylePr>
    <w:tblStylePr w:type="swCell">
      <w:tblPr/>
      <w:tcPr>
        <w:tcBorders>
          <w:top w:val="single" w:sz="4" w:space="0" w:color="FF4040" w:themeColor="accent2" w:themeTint="99"/>
        </w:tcBorders>
      </w:tcPr>
    </w:tblStylePr>
  </w:style>
  <w:style w:type="table" w:customStyle="1" w:styleId="GridTable3-Accent31">
    <w:name w:val="Grid Table 3 - Accent 31"/>
    <w:basedOn w:val="TableNormal"/>
    <w:uiPriority w:val="48"/>
    <w:semiHidden/>
    <w:rsid w:val="00862459"/>
    <w:tblPr>
      <w:tblStyleRowBandSize w:val="1"/>
      <w:tblStyleColBandSize w:val="1"/>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insideV w:val="single" w:sz="4" w:space="0" w:color="9F9F9F" w:themeColor="accent3"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FDFDF" w:themeFill="accent3" w:themeFillTint="33"/>
      </w:tcPr>
    </w:tblStylePr>
    <w:tblStylePr w:type="band1Horz">
      <w:tblPr/>
      <w:tcPr>
        <w:shd w:val="clear" w:color="auto" w:fill="DFDFDF" w:themeFill="accent3" w:themeFillTint="33"/>
      </w:tcPr>
    </w:tblStylePr>
    <w:tblStylePr w:type="neCell">
      <w:tblPr/>
      <w:tcPr>
        <w:tcBorders>
          <w:bottom w:val="single" w:sz="4" w:space="0" w:color="9F9F9F" w:themeColor="accent3" w:themeTint="99"/>
        </w:tcBorders>
      </w:tcPr>
    </w:tblStylePr>
    <w:tblStylePr w:type="nwCell">
      <w:tblPr/>
      <w:tcPr>
        <w:tcBorders>
          <w:bottom w:val="single" w:sz="4" w:space="0" w:color="9F9F9F" w:themeColor="accent3" w:themeTint="99"/>
        </w:tcBorders>
      </w:tcPr>
    </w:tblStylePr>
    <w:tblStylePr w:type="seCell">
      <w:tblPr/>
      <w:tcPr>
        <w:tcBorders>
          <w:top w:val="single" w:sz="4" w:space="0" w:color="9F9F9F" w:themeColor="accent3" w:themeTint="99"/>
        </w:tcBorders>
      </w:tcPr>
    </w:tblStylePr>
    <w:tblStylePr w:type="swCell">
      <w:tblPr/>
      <w:tcPr>
        <w:tcBorders>
          <w:top w:val="single" w:sz="4" w:space="0" w:color="9F9F9F" w:themeColor="accent3" w:themeTint="99"/>
        </w:tcBorders>
      </w:tcPr>
    </w:tblStylePr>
  </w:style>
  <w:style w:type="table" w:customStyle="1" w:styleId="GridTable3-Accent41">
    <w:name w:val="Grid Table 3 - Accent 41"/>
    <w:basedOn w:val="TableNormal"/>
    <w:uiPriority w:val="48"/>
    <w:semiHidden/>
    <w:rsid w:val="00862459"/>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bottom w:val="single" w:sz="4" w:space="0" w:color="C0C0C0" w:themeColor="accent4" w:themeTint="99"/>
        </w:tcBorders>
      </w:tcPr>
    </w:tblStylePr>
    <w:tblStylePr w:type="nwCell">
      <w:tblPr/>
      <w:tcPr>
        <w:tcBorders>
          <w:bottom w:val="single" w:sz="4" w:space="0" w:color="C0C0C0" w:themeColor="accent4" w:themeTint="99"/>
        </w:tcBorders>
      </w:tcPr>
    </w:tblStylePr>
    <w:tblStylePr w:type="seCell">
      <w:tblPr/>
      <w:tcPr>
        <w:tcBorders>
          <w:top w:val="single" w:sz="4" w:space="0" w:color="C0C0C0" w:themeColor="accent4" w:themeTint="99"/>
        </w:tcBorders>
      </w:tcPr>
    </w:tblStylePr>
    <w:tblStylePr w:type="swCell">
      <w:tblPr/>
      <w:tcPr>
        <w:tcBorders>
          <w:top w:val="single" w:sz="4" w:space="0" w:color="C0C0C0" w:themeColor="accent4" w:themeTint="99"/>
        </w:tcBorders>
      </w:tcPr>
    </w:tblStylePr>
  </w:style>
  <w:style w:type="table" w:customStyle="1" w:styleId="GridTable3-Accent51">
    <w:name w:val="Grid Table 3 - Accent 51"/>
    <w:basedOn w:val="TableNormal"/>
    <w:uiPriority w:val="48"/>
    <w:semiHidden/>
    <w:rsid w:val="00862459"/>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bottom w:val="single" w:sz="4" w:space="0" w:color="9F9F9F" w:themeColor="accent5" w:themeTint="99"/>
        </w:tcBorders>
      </w:tcPr>
    </w:tblStylePr>
    <w:tblStylePr w:type="nwCell">
      <w:tblPr/>
      <w:tcPr>
        <w:tcBorders>
          <w:bottom w:val="single" w:sz="4" w:space="0" w:color="9F9F9F" w:themeColor="accent5" w:themeTint="99"/>
        </w:tcBorders>
      </w:tcPr>
    </w:tblStylePr>
    <w:tblStylePr w:type="seCell">
      <w:tblPr/>
      <w:tcPr>
        <w:tcBorders>
          <w:top w:val="single" w:sz="4" w:space="0" w:color="9F9F9F" w:themeColor="accent5" w:themeTint="99"/>
        </w:tcBorders>
      </w:tcPr>
    </w:tblStylePr>
    <w:tblStylePr w:type="swCell">
      <w:tblPr/>
      <w:tcPr>
        <w:tcBorders>
          <w:top w:val="single" w:sz="4" w:space="0" w:color="9F9F9F" w:themeColor="accent5" w:themeTint="99"/>
        </w:tcBorders>
      </w:tcPr>
    </w:tblStylePr>
  </w:style>
  <w:style w:type="table" w:customStyle="1" w:styleId="GridTable3-Accent61">
    <w:name w:val="Grid Table 3 - Accent 61"/>
    <w:basedOn w:val="TableNormal"/>
    <w:uiPriority w:val="48"/>
    <w:semiHidden/>
    <w:rsid w:val="00862459"/>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bottom w:val="single" w:sz="4" w:space="0" w:color="949494" w:themeColor="accent6" w:themeTint="99"/>
        </w:tcBorders>
      </w:tcPr>
    </w:tblStylePr>
    <w:tblStylePr w:type="nwCell">
      <w:tblPr/>
      <w:tcPr>
        <w:tcBorders>
          <w:bottom w:val="single" w:sz="4" w:space="0" w:color="949494" w:themeColor="accent6" w:themeTint="99"/>
        </w:tcBorders>
      </w:tcPr>
    </w:tblStylePr>
    <w:tblStylePr w:type="seCell">
      <w:tblPr/>
      <w:tcPr>
        <w:tcBorders>
          <w:top w:val="single" w:sz="4" w:space="0" w:color="949494" w:themeColor="accent6" w:themeTint="99"/>
        </w:tcBorders>
      </w:tcPr>
    </w:tblStylePr>
    <w:tblStylePr w:type="swCell">
      <w:tblPr/>
      <w:tcPr>
        <w:tcBorders>
          <w:top w:val="single" w:sz="4" w:space="0" w:color="949494" w:themeColor="accent6" w:themeTint="99"/>
        </w:tcBorders>
      </w:tcPr>
    </w:tblStylePr>
  </w:style>
  <w:style w:type="table" w:customStyle="1" w:styleId="GridTable41">
    <w:name w:val="Grid Table 41"/>
    <w:basedOn w:val="TableNormal"/>
    <w:uiPriority w:val="49"/>
    <w:semiHidden/>
    <w:rsid w:val="00862459"/>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0072BC"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GridTable4-Accent11">
    <w:name w:val="Grid Table 4 - Accent 11"/>
    <w:basedOn w:val="TableNormal"/>
    <w:uiPriority w:val="49"/>
    <w:semiHidden/>
    <w:rsid w:val="00862459"/>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color w:val="0072BC" w:themeColor="background1"/>
      </w:rPr>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nil"/>
          <w:insideV w:val="nil"/>
        </w:tcBorders>
        <w:shd w:val="clear" w:color="auto" w:fill="0072BC" w:themeFill="accent1"/>
      </w:tcPr>
    </w:tblStylePr>
    <w:tblStylePr w:type="lastRow">
      <w:rPr>
        <w:b/>
        <w:bCs/>
      </w:rPr>
      <w:tblPr/>
      <w:tcPr>
        <w:tcBorders>
          <w:top w:val="double" w:sz="4" w:space="0" w:color="0072BC" w:themeColor="accent1"/>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customStyle="1" w:styleId="GridTable4-Accent21">
    <w:name w:val="Grid Table 4 - Accent 21"/>
    <w:basedOn w:val="TableNormal"/>
    <w:uiPriority w:val="49"/>
    <w:semiHidden/>
    <w:rsid w:val="00862459"/>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color w:val="0072BC" w:themeColor="background1"/>
      </w:rPr>
      <w:tblPr/>
      <w:tcPr>
        <w:tcBorders>
          <w:top w:val="single" w:sz="4" w:space="0" w:color="C00000" w:themeColor="accent2"/>
          <w:left w:val="single" w:sz="4" w:space="0" w:color="C00000" w:themeColor="accent2"/>
          <w:bottom w:val="single" w:sz="4" w:space="0" w:color="C00000" w:themeColor="accent2"/>
          <w:right w:val="single" w:sz="4" w:space="0" w:color="C00000" w:themeColor="accent2"/>
          <w:insideH w:val="nil"/>
          <w:insideV w:val="nil"/>
        </w:tcBorders>
        <w:shd w:val="clear" w:color="auto" w:fill="C00000" w:themeFill="accent2"/>
      </w:tcPr>
    </w:tblStylePr>
    <w:tblStylePr w:type="lastRow">
      <w:rPr>
        <w:b/>
        <w:bCs/>
      </w:rPr>
      <w:tblPr/>
      <w:tcPr>
        <w:tcBorders>
          <w:top w:val="double" w:sz="4" w:space="0" w:color="C00000" w:themeColor="accent2"/>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customStyle="1" w:styleId="GridTable4-Accent31">
    <w:name w:val="Grid Table 4 - Accent 31"/>
    <w:basedOn w:val="TableNormal"/>
    <w:uiPriority w:val="49"/>
    <w:semiHidden/>
    <w:rsid w:val="00862459"/>
    <w:tblPr>
      <w:tblStyleRowBandSize w:val="1"/>
      <w:tblStyleColBandSize w:val="1"/>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insideV w:val="single" w:sz="4" w:space="0" w:color="9F9F9F" w:themeColor="accent3" w:themeTint="99"/>
      </w:tblBorders>
    </w:tblPr>
    <w:tblStylePr w:type="firstRow">
      <w:rPr>
        <w:b/>
        <w:bCs/>
        <w:color w:val="0072BC" w:themeColor="background1"/>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cBorders>
        <w:shd w:val="clear" w:color="auto" w:fill="5F5F5F" w:themeFill="accent3"/>
      </w:tcPr>
    </w:tblStylePr>
    <w:tblStylePr w:type="lastRow">
      <w:rPr>
        <w:b/>
        <w:bCs/>
      </w:rPr>
      <w:tblPr/>
      <w:tcPr>
        <w:tcBorders>
          <w:top w:val="double" w:sz="4" w:space="0" w:color="5F5F5F" w:themeColor="accent3"/>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customStyle="1" w:styleId="GridTable4-Accent41">
    <w:name w:val="Grid Table 4 - Accent 41"/>
    <w:basedOn w:val="TableNormal"/>
    <w:uiPriority w:val="49"/>
    <w:semiHidden/>
    <w:rsid w:val="00862459"/>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color w:val="0072BC" w:themeColor="background1"/>
      </w:rPr>
      <w:tblPr/>
      <w:tcPr>
        <w:tcBorders>
          <w:top w:val="single" w:sz="4" w:space="0" w:color="969696" w:themeColor="accent4"/>
          <w:left w:val="single" w:sz="4" w:space="0" w:color="969696" w:themeColor="accent4"/>
          <w:bottom w:val="single" w:sz="4" w:space="0" w:color="969696" w:themeColor="accent4"/>
          <w:right w:val="single" w:sz="4" w:space="0" w:color="969696" w:themeColor="accent4"/>
          <w:insideH w:val="nil"/>
          <w:insideV w:val="nil"/>
        </w:tcBorders>
        <w:shd w:val="clear" w:color="auto" w:fill="969696" w:themeFill="accent4"/>
      </w:tcPr>
    </w:tblStylePr>
    <w:tblStylePr w:type="lastRow">
      <w:rPr>
        <w:b/>
        <w:bCs/>
      </w:rPr>
      <w:tblPr/>
      <w:tcPr>
        <w:tcBorders>
          <w:top w:val="double" w:sz="4" w:space="0" w:color="969696" w:themeColor="accent4"/>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customStyle="1" w:styleId="GridTable4-Accent51">
    <w:name w:val="Grid Table 4 - Accent 51"/>
    <w:basedOn w:val="TableNormal"/>
    <w:uiPriority w:val="49"/>
    <w:semiHidden/>
    <w:rsid w:val="00862459"/>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color w:val="0072BC" w:themeColor="background1"/>
      </w:rPr>
      <w:tblPr/>
      <w:tcPr>
        <w:tcBorders>
          <w:top w:val="single" w:sz="4" w:space="0" w:color="5F5F5F" w:themeColor="accent5"/>
          <w:left w:val="single" w:sz="4" w:space="0" w:color="5F5F5F" w:themeColor="accent5"/>
          <w:bottom w:val="single" w:sz="4" w:space="0" w:color="5F5F5F" w:themeColor="accent5"/>
          <w:right w:val="single" w:sz="4" w:space="0" w:color="5F5F5F" w:themeColor="accent5"/>
          <w:insideH w:val="nil"/>
          <w:insideV w:val="nil"/>
        </w:tcBorders>
        <w:shd w:val="clear" w:color="auto" w:fill="5F5F5F" w:themeFill="accent5"/>
      </w:tcPr>
    </w:tblStylePr>
    <w:tblStylePr w:type="lastRow">
      <w:rPr>
        <w:b/>
        <w:bCs/>
      </w:rPr>
      <w:tblPr/>
      <w:tcPr>
        <w:tcBorders>
          <w:top w:val="double" w:sz="4" w:space="0" w:color="5F5F5F" w:themeColor="accent5"/>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customStyle="1" w:styleId="GridTable4-Accent61">
    <w:name w:val="Grid Table 4 - Accent 61"/>
    <w:basedOn w:val="TableNormal"/>
    <w:uiPriority w:val="49"/>
    <w:semiHidden/>
    <w:rsid w:val="00862459"/>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color w:val="0072BC" w:themeColor="background1"/>
      </w:rPr>
      <w:tblPr/>
      <w:tcPr>
        <w:tcBorders>
          <w:top w:val="single" w:sz="4" w:space="0" w:color="4D4D4D" w:themeColor="accent6"/>
          <w:left w:val="single" w:sz="4" w:space="0" w:color="4D4D4D" w:themeColor="accent6"/>
          <w:bottom w:val="single" w:sz="4" w:space="0" w:color="4D4D4D" w:themeColor="accent6"/>
          <w:right w:val="single" w:sz="4" w:space="0" w:color="4D4D4D" w:themeColor="accent6"/>
          <w:insideH w:val="nil"/>
          <w:insideV w:val="nil"/>
        </w:tcBorders>
        <w:shd w:val="clear" w:color="auto" w:fill="4D4D4D" w:themeFill="accent6"/>
      </w:tcPr>
    </w:tblStylePr>
    <w:tblStylePr w:type="lastRow">
      <w:rPr>
        <w:b/>
        <w:bCs/>
      </w:rPr>
      <w:tblPr/>
      <w:tcPr>
        <w:tcBorders>
          <w:top w:val="double" w:sz="4" w:space="0" w:color="4D4D4D" w:themeColor="accent6"/>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customStyle="1" w:styleId="GridTable5Dark1">
    <w:name w:val="Grid Table 5 Dark1"/>
    <w:basedOn w:val="TableNormal"/>
    <w:uiPriority w:val="50"/>
    <w:semiHidden/>
    <w:rsid w:val="00862459"/>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CCCCCC" w:themeFill="text1"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000000" w:themeFill="text1"/>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000000" w:themeFill="text1"/>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000000" w:themeFill="text1"/>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customStyle="1" w:styleId="GridTable5Dark-Accent11">
    <w:name w:val="Grid Table 5 Dark - Accent 11"/>
    <w:basedOn w:val="TableNormal"/>
    <w:uiPriority w:val="50"/>
    <w:semiHidden/>
    <w:rsid w:val="00862459"/>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BEE5FF" w:themeFill="accent1"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0072BC" w:themeFill="accent1"/>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0072BC" w:themeFill="accent1"/>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0072BC" w:themeFill="accent1"/>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0072BC" w:themeFill="accent1"/>
      </w:tcPr>
    </w:tblStylePr>
    <w:tblStylePr w:type="band1Vert">
      <w:tblPr/>
      <w:tcPr>
        <w:shd w:val="clear" w:color="auto" w:fill="7ECBFF" w:themeFill="accent1" w:themeFillTint="66"/>
      </w:tcPr>
    </w:tblStylePr>
    <w:tblStylePr w:type="band1Horz">
      <w:tblPr/>
      <w:tcPr>
        <w:shd w:val="clear" w:color="auto" w:fill="7ECBFF" w:themeFill="accent1" w:themeFillTint="66"/>
      </w:tcPr>
    </w:tblStylePr>
  </w:style>
  <w:style w:type="table" w:customStyle="1" w:styleId="GridTable5Dark-Accent21">
    <w:name w:val="Grid Table 5 Dark - Accent 21"/>
    <w:basedOn w:val="TableNormal"/>
    <w:uiPriority w:val="50"/>
    <w:semiHidden/>
    <w:rsid w:val="00862459"/>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FFBFBF" w:themeFill="accent2"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C00000" w:themeFill="accent2"/>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C00000" w:themeFill="accent2"/>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C00000" w:themeFill="accent2"/>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C00000" w:themeFill="accent2"/>
      </w:tcPr>
    </w:tblStylePr>
    <w:tblStylePr w:type="band1Vert">
      <w:tblPr/>
      <w:tcPr>
        <w:shd w:val="clear" w:color="auto" w:fill="FF7F7F" w:themeFill="accent2" w:themeFillTint="66"/>
      </w:tcPr>
    </w:tblStylePr>
    <w:tblStylePr w:type="band1Horz">
      <w:tblPr/>
      <w:tcPr>
        <w:shd w:val="clear" w:color="auto" w:fill="FF7F7F" w:themeFill="accent2" w:themeFillTint="66"/>
      </w:tcPr>
    </w:tblStylePr>
  </w:style>
  <w:style w:type="table" w:customStyle="1" w:styleId="GridTable5Dark-Accent31">
    <w:name w:val="Grid Table 5 Dark - Accent 31"/>
    <w:basedOn w:val="TableNormal"/>
    <w:uiPriority w:val="50"/>
    <w:semiHidden/>
    <w:rsid w:val="00862459"/>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DFDFDF" w:themeFill="accent3"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5F5F5F" w:themeFill="accent3"/>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5F5F5F" w:themeFill="accent3"/>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5F5F5F" w:themeFill="accent3"/>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5F5F5F" w:themeFill="accent3"/>
      </w:tcPr>
    </w:tblStylePr>
    <w:tblStylePr w:type="band1Vert">
      <w:tblPr/>
      <w:tcPr>
        <w:shd w:val="clear" w:color="auto" w:fill="BFBFBF" w:themeFill="accent3" w:themeFillTint="66"/>
      </w:tcPr>
    </w:tblStylePr>
    <w:tblStylePr w:type="band1Horz">
      <w:tblPr/>
      <w:tcPr>
        <w:shd w:val="clear" w:color="auto" w:fill="BFBFBF" w:themeFill="accent3" w:themeFillTint="66"/>
      </w:tcPr>
    </w:tblStylePr>
  </w:style>
  <w:style w:type="table" w:customStyle="1" w:styleId="GridTable5Dark-Accent41">
    <w:name w:val="Grid Table 5 Dark - Accent 41"/>
    <w:basedOn w:val="TableNormal"/>
    <w:uiPriority w:val="50"/>
    <w:semiHidden/>
    <w:rsid w:val="00862459"/>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EAEAEA" w:themeFill="accent4"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969696" w:themeFill="accent4"/>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969696" w:themeFill="accent4"/>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969696" w:themeFill="accent4"/>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969696" w:themeFill="accent4"/>
      </w:tcPr>
    </w:tblStylePr>
    <w:tblStylePr w:type="band1Vert">
      <w:tblPr/>
      <w:tcPr>
        <w:shd w:val="clear" w:color="auto" w:fill="D5D5D5" w:themeFill="accent4" w:themeFillTint="66"/>
      </w:tcPr>
    </w:tblStylePr>
    <w:tblStylePr w:type="band1Horz">
      <w:tblPr/>
      <w:tcPr>
        <w:shd w:val="clear" w:color="auto" w:fill="D5D5D5" w:themeFill="accent4" w:themeFillTint="66"/>
      </w:tcPr>
    </w:tblStylePr>
  </w:style>
  <w:style w:type="table" w:customStyle="1" w:styleId="GridTable5Dark-Accent51">
    <w:name w:val="Grid Table 5 Dark - Accent 51"/>
    <w:basedOn w:val="TableNormal"/>
    <w:uiPriority w:val="50"/>
    <w:semiHidden/>
    <w:rsid w:val="00862459"/>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DFDFDF" w:themeFill="accent5"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5F5F5F" w:themeFill="accent5"/>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5F5F5F" w:themeFill="accent5"/>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5F5F5F" w:themeFill="accent5"/>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5F5F5F" w:themeFill="accent5"/>
      </w:tcPr>
    </w:tblStylePr>
    <w:tblStylePr w:type="band1Vert">
      <w:tblPr/>
      <w:tcPr>
        <w:shd w:val="clear" w:color="auto" w:fill="BFBFBF" w:themeFill="accent5" w:themeFillTint="66"/>
      </w:tcPr>
    </w:tblStylePr>
    <w:tblStylePr w:type="band1Horz">
      <w:tblPr/>
      <w:tcPr>
        <w:shd w:val="clear" w:color="auto" w:fill="BFBFBF" w:themeFill="accent5" w:themeFillTint="66"/>
      </w:tcPr>
    </w:tblStylePr>
  </w:style>
  <w:style w:type="table" w:customStyle="1" w:styleId="GridTable5Dark-Accent61">
    <w:name w:val="Grid Table 5 Dark - Accent 61"/>
    <w:basedOn w:val="TableNormal"/>
    <w:uiPriority w:val="50"/>
    <w:semiHidden/>
    <w:rsid w:val="00862459"/>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DBDBDB" w:themeFill="accent6"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4D4D4D" w:themeFill="accent6"/>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4D4D4D" w:themeFill="accent6"/>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4D4D4D" w:themeFill="accent6"/>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4D4D4D" w:themeFill="accent6"/>
      </w:tcPr>
    </w:tblStylePr>
    <w:tblStylePr w:type="band1Vert">
      <w:tblPr/>
      <w:tcPr>
        <w:shd w:val="clear" w:color="auto" w:fill="B7B7B7" w:themeFill="accent6" w:themeFillTint="66"/>
      </w:tcPr>
    </w:tblStylePr>
    <w:tblStylePr w:type="band1Horz">
      <w:tblPr/>
      <w:tcPr>
        <w:shd w:val="clear" w:color="auto" w:fill="B7B7B7" w:themeFill="accent6" w:themeFillTint="66"/>
      </w:tcPr>
    </w:tblStylePr>
  </w:style>
  <w:style w:type="table" w:customStyle="1" w:styleId="GridTable6Colorful1">
    <w:name w:val="Grid Table 6 Colorful1"/>
    <w:basedOn w:val="TableNormal"/>
    <w:uiPriority w:val="51"/>
    <w:semiHidden/>
    <w:rsid w:val="00862459"/>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GridTable6Colorful-Accent11">
    <w:name w:val="Grid Table 6 Colorful - Accent 11"/>
    <w:basedOn w:val="TableNormal"/>
    <w:uiPriority w:val="51"/>
    <w:semiHidden/>
    <w:rsid w:val="00862459"/>
    <w:rPr>
      <w:color w:val="00548C" w:themeColor="accent1" w:themeShade="BF"/>
    </w:rPr>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bottom w:val="single" w:sz="12" w:space="0" w:color="3DB2FF" w:themeColor="accent1" w:themeTint="99"/>
        </w:tcBorders>
      </w:tcPr>
    </w:tblStylePr>
    <w:tblStylePr w:type="lastRow">
      <w:rPr>
        <w:b/>
        <w:bCs/>
      </w:rPr>
      <w:tblPr/>
      <w:tcPr>
        <w:tcBorders>
          <w:top w:val="doub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customStyle="1" w:styleId="GridTable6Colorful-Accent21">
    <w:name w:val="Grid Table 6 Colorful - Accent 21"/>
    <w:basedOn w:val="TableNormal"/>
    <w:uiPriority w:val="51"/>
    <w:semiHidden/>
    <w:rsid w:val="00862459"/>
    <w:rPr>
      <w:color w:val="8F0000" w:themeColor="accent2" w:themeShade="BF"/>
    </w:rPr>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bottom w:val="single" w:sz="12" w:space="0" w:color="FF4040" w:themeColor="accent2" w:themeTint="99"/>
        </w:tcBorders>
      </w:tcPr>
    </w:tblStylePr>
    <w:tblStylePr w:type="lastRow">
      <w:rPr>
        <w:b/>
        <w:bCs/>
      </w:rPr>
      <w:tblPr/>
      <w:tcPr>
        <w:tcBorders>
          <w:top w:val="doub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customStyle="1" w:styleId="GridTable6Colorful-Accent31">
    <w:name w:val="Grid Table 6 Colorful - Accent 31"/>
    <w:basedOn w:val="TableNormal"/>
    <w:uiPriority w:val="51"/>
    <w:semiHidden/>
    <w:rsid w:val="00862459"/>
    <w:rPr>
      <w:color w:val="474747" w:themeColor="accent3" w:themeShade="BF"/>
    </w:rPr>
    <w:tblPr>
      <w:tblStyleRowBandSize w:val="1"/>
      <w:tblStyleColBandSize w:val="1"/>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insideV w:val="single" w:sz="4" w:space="0" w:color="9F9F9F" w:themeColor="accent3" w:themeTint="99"/>
      </w:tblBorders>
    </w:tblPr>
    <w:tblStylePr w:type="firstRow">
      <w:rPr>
        <w:b/>
        <w:bCs/>
      </w:rPr>
      <w:tblPr/>
      <w:tcPr>
        <w:tcBorders>
          <w:bottom w:val="single" w:sz="12" w:space="0" w:color="9F9F9F" w:themeColor="accent3" w:themeTint="99"/>
        </w:tcBorders>
      </w:tcPr>
    </w:tblStylePr>
    <w:tblStylePr w:type="lastRow">
      <w:rPr>
        <w:b/>
        <w:bCs/>
      </w:rPr>
      <w:tblPr/>
      <w:tcPr>
        <w:tcBorders>
          <w:top w:val="double" w:sz="4" w:space="0" w:color="9F9F9F" w:themeColor="accent3" w:themeTint="99"/>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customStyle="1" w:styleId="GridTable6Colorful-Accent41">
    <w:name w:val="Grid Table 6 Colorful - Accent 41"/>
    <w:basedOn w:val="TableNormal"/>
    <w:uiPriority w:val="51"/>
    <w:semiHidden/>
    <w:rsid w:val="00862459"/>
    <w:rPr>
      <w:color w:val="707070" w:themeColor="accent4" w:themeShade="BF"/>
    </w:rPr>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bottom w:val="single" w:sz="12" w:space="0" w:color="C0C0C0" w:themeColor="accent4" w:themeTint="99"/>
        </w:tcBorders>
      </w:tcPr>
    </w:tblStylePr>
    <w:tblStylePr w:type="lastRow">
      <w:rPr>
        <w:b/>
        <w:bCs/>
      </w:rPr>
      <w:tblPr/>
      <w:tcPr>
        <w:tcBorders>
          <w:top w:val="doub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customStyle="1" w:styleId="GridTable6Colorful-Accent51">
    <w:name w:val="Grid Table 6 Colorful - Accent 51"/>
    <w:basedOn w:val="TableNormal"/>
    <w:uiPriority w:val="51"/>
    <w:semiHidden/>
    <w:rsid w:val="00862459"/>
    <w:rPr>
      <w:color w:val="474747" w:themeColor="accent5" w:themeShade="BF"/>
    </w:r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bottom w:val="single" w:sz="12" w:space="0" w:color="9F9F9F" w:themeColor="accent5" w:themeTint="99"/>
        </w:tcBorders>
      </w:tcPr>
    </w:tblStylePr>
    <w:tblStylePr w:type="lastRow">
      <w:rPr>
        <w:b/>
        <w:bCs/>
      </w:rPr>
      <w:tblPr/>
      <w:tcPr>
        <w:tcBorders>
          <w:top w:val="doub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customStyle="1" w:styleId="GridTable6Colorful-Accent61">
    <w:name w:val="Grid Table 6 Colorful - Accent 61"/>
    <w:basedOn w:val="TableNormal"/>
    <w:uiPriority w:val="51"/>
    <w:semiHidden/>
    <w:rsid w:val="00862459"/>
    <w:rPr>
      <w:color w:val="393939" w:themeColor="accent6" w:themeShade="BF"/>
    </w:r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bottom w:val="single" w:sz="12" w:space="0" w:color="949494" w:themeColor="accent6" w:themeTint="99"/>
        </w:tcBorders>
      </w:tcPr>
    </w:tblStylePr>
    <w:tblStylePr w:type="lastRow">
      <w:rPr>
        <w:b/>
        <w:bCs/>
      </w:rPr>
      <w:tblPr/>
      <w:tcPr>
        <w:tcBorders>
          <w:top w:val="doub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customStyle="1" w:styleId="GridTable7Colorful1">
    <w:name w:val="Grid Table 7 Colorful1"/>
    <w:basedOn w:val="TableNormal"/>
    <w:uiPriority w:val="52"/>
    <w:semiHidden/>
    <w:rsid w:val="00862459"/>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customStyle="1" w:styleId="GridTable7Colorful-Accent11">
    <w:name w:val="Grid Table 7 Colorful - Accent 11"/>
    <w:basedOn w:val="TableNormal"/>
    <w:uiPriority w:val="52"/>
    <w:semiHidden/>
    <w:rsid w:val="00862459"/>
    <w:rPr>
      <w:color w:val="00548C" w:themeColor="accent1" w:themeShade="BF"/>
    </w:rPr>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bottom w:val="single" w:sz="4" w:space="0" w:color="3DB2FF" w:themeColor="accent1" w:themeTint="99"/>
        </w:tcBorders>
      </w:tcPr>
    </w:tblStylePr>
    <w:tblStylePr w:type="nwCell">
      <w:tblPr/>
      <w:tcPr>
        <w:tcBorders>
          <w:bottom w:val="single" w:sz="4" w:space="0" w:color="3DB2FF" w:themeColor="accent1" w:themeTint="99"/>
        </w:tcBorders>
      </w:tcPr>
    </w:tblStylePr>
    <w:tblStylePr w:type="seCell">
      <w:tblPr/>
      <w:tcPr>
        <w:tcBorders>
          <w:top w:val="single" w:sz="4" w:space="0" w:color="3DB2FF" w:themeColor="accent1" w:themeTint="99"/>
        </w:tcBorders>
      </w:tcPr>
    </w:tblStylePr>
    <w:tblStylePr w:type="swCell">
      <w:tblPr/>
      <w:tcPr>
        <w:tcBorders>
          <w:top w:val="single" w:sz="4" w:space="0" w:color="3DB2FF" w:themeColor="accent1" w:themeTint="99"/>
        </w:tcBorders>
      </w:tcPr>
    </w:tblStylePr>
  </w:style>
  <w:style w:type="table" w:customStyle="1" w:styleId="GridTable7Colorful-Accent21">
    <w:name w:val="Grid Table 7 Colorful - Accent 21"/>
    <w:basedOn w:val="TableNormal"/>
    <w:uiPriority w:val="52"/>
    <w:semiHidden/>
    <w:rsid w:val="00862459"/>
    <w:rPr>
      <w:color w:val="8F0000" w:themeColor="accent2" w:themeShade="BF"/>
    </w:rPr>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bottom w:val="single" w:sz="4" w:space="0" w:color="FF4040" w:themeColor="accent2" w:themeTint="99"/>
        </w:tcBorders>
      </w:tcPr>
    </w:tblStylePr>
    <w:tblStylePr w:type="nwCell">
      <w:tblPr/>
      <w:tcPr>
        <w:tcBorders>
          <w:bottom w:val="single" w:sz="4" w:space="0" w:color="FF4040" w:themeColor="accent2" w:themeTint="99"/>
        </w:tcBorders>
      </w:tcPr>
    </w:tblStylePr>
    <w:tblStylePr w:type="seCell">
      <w:tblPr/>
      <w:tcPr>
        <w:tcBorders>
          <w:top w:val="single" w:sz="4" w:space="0" w:color="FF4040" w:themeColor="accent2" w:themeTint="99"/>
        </w:tcBorders>
      </w:tcPr>
    </w:tblStylePr>
    <w:tblStylePr w:type="swCell">
      <w:tblPr/>
      <w:tcPr>
        <w:tcBorders>
          <w:top w:val="single" w:sz="4" w:space="0" w:color="FF4040" w:themeColor="accent2" w:themeTint="99"/>
        </w:tcBorders>
      </w:tcPr>
    </w:tblStylePr>
  </w:style>
  <w:style w:type="table" w:customStyle="1" w:styleId="GridTable7Colorful-Accent31">
    <w:name w:val="Grid Table 7 Colorful - Accent 31"/>
    <w:basedOn w:val="TableNormal"/>
    <w:uiPriority w:val="52"/>
    <w:semiHidden/>
    <w:rsid w:val="00862459"/>
    <w:rPr>
      <w:color w:val="474747" w:themeColor="accent3" w:themeShade="BF"/>
    </w:rPr>
    <w:tblPr>
      <w:tblStyleRowBandSize w:val="1"/>
      <w:tblStyleColBandSize w:val="1"/>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insideV w:val="single" w:sz="4" w:space="0" w:color="9F9F9F" w:themeColor="accent3"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FDFDF" w:themeFill="accent3" w:themeFillTint="33"/>
      </w:tcPr>
    </w:tblStylePr>
    <w:tblStylePr w:type="band1Horz">
      <w:tblPr/>
      <w:tcPr>
        <w:shd w:val="clear" w:color="auto" w:fill="DFDFDF" w:themeFill="accent3" w:themeFillTint="33"/>
      </w:tcPr>
    </w:tblStylePr>
    <w:tblStylePr w:type="neCell">
      <w:tblPr/>
      <w:tcPr>
        <w:tcBorders>
          <w:bottom w:val="single" w:sz="4" w:space="0" w:color="9F9F9F" w:themeColor="accent3" w:themeTint="99"/>
        </w:tcBorders>
      </w:tcPr>
    </w:tblStylePr>
    <w:tblStylePr w:type="nwCell">
      <w:tblPr/>
      <w:tcPr>
        <w:tcBorders>
          <w:bottom w:val="single" w:sz="4" w:space="0" w:color="9F9F9F" w:themeColor="accent3" w:themeTint="99"/>
        </w:tcBorders>
      </w:tcPr>
    </w:tblStylePr>
    <w:tblStylePr w:type="seCell">
      <w:tblPr/>
      <w:tcPr>
        <w:tcBorders>
          <w:top w:val="single" w:sz="4" w:space="0" w:color="9F9F9F" w:themeColor="accent3" w:themeTint="99"/>
        </w:tcBorders>
      </w:tcPr>
    </w:tblStylePr>
    <w:tblStylePr w:type="swCell">
      <w:tblPr/>
      <w:tcPr>
        <w:tcBorders>
          <w:top w:val="single" w:sz="4" w:space="0" w:color="9F9F9F" w:themeColor="accent3" w:themeTint="99"/>
        </w:tcBorders>
      </w:tcPr>
    </w:tblStylePr>
  </w:style>
  <w:style w:type="table" w:customStyle="1" w:styleId="GridTable7Colorful-Accent41">
    <w:name w:val="Grid Table 7 Colorful - Accent 41"/>
    <w:basedOn w:val="TableNormal"/>
    <w:uiPriority w:val="52"/>
    <w:semiHidden/>
    <w:rsid w:val="00862459"/>
    <w:rPr>
      <w:color w:val="707070" w:themeColor="accent4" w:themeShade="BF"/>
    </w:rPr>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bottom w:val="single" w:sz="4" w:space="0" w:color="C0C0C0" w:themeColor="accent4" w:themeTint="99"/>
        </w:tcBorders>
      </w:tcPr>
    </w:tblStylePr>
    <w:tblStylePr w:type="nwCell">
      <w:tblPr/>
      <w:tcPr>
        <w:tcBorders>
          <w:bottom w:val="single" w:sz="4" w:space="0" w:color="C0C0C0" w:themeColor="accent4" w:themeTint="99"/>
        </w:tcBorders>
      </w:tcPr>
    </w:tblStylePr>
    <w:tblStylePr w:type="seCell">
      <w:tblPr/>
      <w:tcPr>
        <w:tcBorders>
          <w:top w:val="single" w:sz="4" w:space="0" w:color="C0C0C0" w:themeColor="accent4" w:themeTint="99"/>
        </w:tcBorders>
      </w:tcPr>
    </w:tblStylePr>
    <w:tblStylePr w:type="swCell">
      <w:tblPr/>
      <w:tcPr>
        <w:tcBorders>
          <w:top w:val="single" w:sz="4" w:space="0" w:color="C0C0C0" w:themeColor="accent4" w:themeTint="99"/>
        </w:tcBorders>
      </w:tcPr>
    </w:tblStylePr>
  </w:style>
  <w:style w:type="table" w:customStyle="1" w:styleId="GridTable7Colorful-Accent51">
    <w:name w:val="Grid Table 7 Colorful - Accent 51"/>
    <w:basedOn w:val="TableNormal"/>
    <w:uiPriority w:val="52"/>
    <w:semiHidden/>
    <w:rsid w:val="00862459"/>
    <w:rPr>
      <w:color w:val="474747" w:themeColor="accent5" w:themeShade="BF"/>
    </w:r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bottom w:val="single" w:sz="4" w:space="0" w:color="9F9F9F" w:themeColor="accent5" w:themeTint="99"/>
        </w:tcBorders>
      </w:tcPr>
    </w:tblStylePr>
    <w:tblStylePr w:type="nwCell">
      <w:tblPr/>
      <w:tcPr>
        <w:tcBorders>
          <w:bottom w:val="single" w:sz="4" w:space="0" w:color="9F9F9F" w:themeColor="accent5" w:themeTint="99"/>
        </w:tcBorders>
      </w:tcPr>
    </w:tblStylePr>
    <w:tblStylePr w:type="seCell">
      <w:tblPr/>
      <w:tcPr>
        <w:tcBorders>
          <w:top w:val="single" w:sz="4" w:space="0" w:color="9F9F9F" w:themeColor="accent5" w:themeTint="99"/>
        </w:tcBorders>
      </w:tcPr>
    </w:tblStylePr>
    <w:tblStylePr w:type="swCell">
      <w:tblPr/>
      <w:tcPr>
        <w:tcBorders>
          <w:top w:val="single" w:sz="4" w:space="0" w:color="9F9F9F" w:themeColor="accent5" w:themeTint="99"/>
        </w:tcBorders>
      </w:tcPr>
    </w:tblStylePr>
  </w:style>
  <w:style w:type="table" w:customStyle="1" w:styleId="GridTable7Colorful-Accent61">
    <w:name w:val="Grid Table 7 Colorful - Accent 61"/>
    <w:basedOn w:val="TableNormal"/>
    <w:uiPriority w:val="52"/>
    <w:semiHidden/>
    <w:rsid w:val="00862459"/>
    <w:rPr>
      <w:color w:val="393939" w:themeColor="accent6" w:themeShade="BF"/>
    </w:r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bottom w:val="single" w:sz="4" w:space="0" w:color="949494" w:themeColor="accent6" w:themeTint="99"/>
        </w:tcBorders>
      </w:tcPr>
    </w:tblStylePr>
    <w:tblStylePr w:type="nwCell">
      <w:tblPr/>
      <w:tcPr>
        <w:tcBorders>
          <w:bottom w:val="single" w:sz="4" w:space="0" w:color="949494" w:themeColor="accent6" w:themeTint="99"/>
        </w:tcBorders>
      </w:tcPr>
    </w:tblStylePr>
    <w:tblStylePr w:type="seCell">
      <w:tblPr/>
      <w:tcPr>
        <w:tcBorders>
          <w:top w:val="single" w:sz="4" w:space="0" w:color="949494" w:themeColor="accent6" w:themeTint="99"/>
        </w:tcBorders>
      </w:tcPr>
    </w:tblStylePr>
    <w:tblStylePr w:type="swCell">
      <w:tblPr/>
      <w:tcPr>
        <w:tcBorders>
          <w:top w:val="single" w:sz="4" w:space="0" w:color="949494" w:themeColor="accent6" w:themeTint="99"/>
        </w:tcBorders>
      </w:tcPr>
    </w:tblStylePr>
  </w:style>
  <w:style w:type="table" w:customStyle="1" w:styleId="ListTable1Light1">
    <w:name w:val="List Table 1 Light1"/>
    <w:basedOn w:val="TableNormal"/>
    <w:uiPriority w:val="46"/>
    <w:semiHidden/>
    <w:rsid w:val="00862459"/>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1Light-Accent11">
    <w:name w:val="List Table 1 Light - Accent 11"/>
    <w:basedOn w:val="TableNormal"/>
    <w:uiPriority w:val="46"/>
    <w:semiHidden/>
    <w:rsid w:val="00862459"/>
    <w:tblPr>
      <w:tblStyleRowBandSize w:val="1"/>
      <w:tblStyleColBandSize w:val="1"/>
    </w:tblPr>
    <w:tblStylePr w:type="firstRow">
      <w:rPr>
        <w:b/>
        <w:bCs/>
      </w:rPr>
      <w:tblPr/>
      <w:tcPr>
        <w:tcBorders>
          <w:bottom w:val="single" w:sz="4" w:space="0" w:color="3DB2FF" w:themeColor="accent1" w:themeTint="99"/>
        </w:tcBorders>
      </w:tcPr>
    </w:tblStylePr>
    <w:tblStylePr w:type="lastRow">
      <w:rPr>
        <w:b/>
        <w:bCs/>
      </w:rPr>
      <w:tblPr/>
      <w:tcPr>
        <w:tcBorders>
          <w:top w:val="sing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customStyle="1" w:styleId="ListTable1Light-Accent21">
    <w:name w:val="List Table 1 Light - Accent 21"/>
    <w:basedOn w:val="TableNormal"/>
    <w:uiPriority w:val="46"/>
    <w:semiHidden/>
    <w:rsid w:val="00862459"/>
    <w:tblPr>
      <w:tblStyleRowBandSize w:val="1"/>
      <w:tblStyleColBandSize w:val="1"/>
    </w:tblPr>
    <w:tblStylePr w:type="firstRow">
      <w:rPr>
        <w:b/>
        <w:bCs/>
      </w:rPr>
      <w:tblPr/>
      <w:tcPr>
        <w:tcBorders>
          <w:bottom w:val="single" w:sz="4" w:space="0" w:color="FF4040" w:themeColor="accent2" w:themeTint="99"/>
        </w:tcBorders>
      </w:tcPr>
    </w:tblStylePr>
    <w:tblStylePr w:type="lastRow">
      <w:rPr>
        <w:b/>
        <w:bCs/>
      </w:rPr>
      <w:tblPr/>
      <w:tcPr>
        <w:tcBorders>
          <w:top w:val="sing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customStyle="1" w:styleId="ListTable1Light-Accent31">
    <w:name w:val="List Table 1 Light - Accent 31"/>
    <w:basedOn w:val="TableNormal"/>
    <w:uiPriority w:val="46"/>
    <w:semiHidden/>
    <w:rsid w:val="00862459"/>
    <w:tblPr>
      <w:tblStyleRowBandSize w:val="1"/>
      <w:tblStyleColBandSize w:val="1"/>
    </w:tblPr>
    <w:tblStylePr w:type="firstRow">
      <w:rPr>
        <w:b/>
        <w:bCs/>
      </w:rPr>
      <w:tblPr/>
      <w:tcPr>
        <w:tcBorders>
          <w:bottom w:val="single" w:sz="4" w:space="0" w:color="9F9F9F" w:themeColor="accent3" w:themeTint="99"/>
        </w:tcBorders>
      </w:tcPr>
    </w:tblStylePr>
    <w:tblStylePr w:type="lastRow">
      <w:rPr>
        <w:b/>
        <w:bCs/>
      </w:rPr>
      <w:tblPr/>
      <w:tcPr>
        <w:tcBorders>
          <w:top w:val="single" w:sz="4" w:space="0" w:color="9F9F9F" w:themeColor="accent3" w:themeTint="99"/>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customStyle="1" w:styleId="ListTable1Light-Accent41">
    <w:name w:val="List Table 1 Light - Accent 41"/>
    <w:basedOn w:val="TableNormal"/>
    <w:uiPriority w:val="46"/>
    <w:semiHidden/>
    <w:rsid w:val="00862459"/>
    <w:tblPr>
      <w:tblStyleRowBandSize w:val="1"/>
      <w:tblStyleColBandSize w:val="1"/>
    </w:tblPr>
    <w:tblStylePr w:type="firstRow">
      <w:rPr>
        <w:b/>
        <w:bCs/>
      </w:rPr>
      <w:tblPr/>
      <w:tcPr>
        <w:tcBorders>
          <w:bottom w:val="single" w:sz="4" w:space="0" w:color="C0C0C0" w:themeColor="accent4" w:themeTint="99"/>
        </w:tcBorders>
      </w:tcPr>
    </w:tblStylePr>
    <w:tblStylePr w:type="lastRow">
      <w:rPr>
        <w:b/>
        <w:bCs/>
      </w:rPr>
      <w:tblPr/>
      <w:tcPr>
        <w:tcBorders>
          <w:top w:val="sing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customStyle="1" w:styleId="ListTable1Light-Accent51">
    <w:name w:val="List Table 1 Light - Accent 51"/>
    <w:basedOn w:val="TableNormal"/>
    <w:uiPriority w:val="46"/>
    <w:semiHidden/>
    <w:rsid w:val="00862459"/>
    <w:tblPr>
      <w:tblStyleRowBandSize w:val="1"/>
      <w:tblStyleColBandSize w:val="1"/>
    </w:tblPr>
    <w:tblStylePr w:type="firstRow">
      <w:rPr>
        <w:b/>
        <w:bCs/>
      </w:rPr>
      <w:tblPr/>
      <w:tcPr>
        <w:tcBorders>
          <w:bottom w:val="single" w:sz="4" w:space="0" w:color="9F9F9F" w:themeColor="accent5" w:themeTint="99"/>
        </w:tcBorders>
      </w:tcPr>
    </w:tblStylePr>
    <w:tblStylePr w:type="lastRow">
      <w:rPr>
        <w:b/>
        <w:bCs/>
      </w:rPr>
      <w:tblPr/>
      <w:tcPr>
        <w:tcBorders>
          <w:top w:val="sing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customStyle="1" w:styleId="ListTable1Light-Accent61">
    <w:name w:val="List Table 1 Light - Accent 61"/>
    <w:basedOn w:val="TableNormal"/>
    <w:uiPriority w:val="46"/>
    <w:semiHidden/>
    <w:rsid w:val="00862459"/>
    <w:tblPr>
      <w:tblStyleRowBandSize w:val="1"/>
      <w:tblStyleColBandSize w:val="1"/>
    </w:tblPr>
    <w:tblStylePr w:type="firstRow">
      <w:rPr>
        <w:b/>
        <w:bCs/>
      </w:rPr>
      <w:tblPr/>
      <w:tcPr>
        <w:tcBorders>
          <w:bottom w:val="single" w:sz="4" w:space="0" w:color="949494" w:themeColor="accent6" w:themeTint="99"/>
        </w:tcBorders>
      </w:tcPr>
    </w:tblStylePr>
    <w:tblStylePr w:type="lastRow">
      <w:rPr>
        <w:b/>
        <w:bCs/>
      </w:rPr>
      <w:tblPr/>
      <w:tcPr>
        <w:tcBorders>
          <w:top w:val="sing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customStyle="1" w:styleId="ListTable21">
    <w:name w:val="List Table 21"/>
    <w:basedOn w:val="TableNormal"/>
    <w:uiPriority w:val="47"/>
    <w:semiHidden/>
    <w:rsid w:val="00862459"/>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2-Accent11">
    <w:name w:val="List Table 2 - Accent 11"/>
    <w:basedOn w:val="TableNormal"/>
    <w:uiPriority w:val="47"/>
    <w:semiHidden/>
    <w:rsid w:val="00862459"/>
    <w:tblPr>
      <w:tblStyleRowBandSize w:val="1"/>
      <w:tblStyleColBandSize w:val="1"/>
      <w:tblBorders>
        <w:top w:val="single" w:sz="4" w:space="0" w:color="3DB2FF" w:themeColor="accent1" w:themeTint="99"/>
        <w:bottom w:val="single" w:sz="4" w:space="0" w:color="3DB2FF" w:themeColor="accent1" w:themeTint="99"/>
        <w:insideH w:val="single" w:sz="4" w:space="0" w:color="3DB2FF"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customStyle="1" w:styleId="ListTable2-Accent21">
    <w:name w:val="List Table 2 - Accent 21"/>
    <w:basedOn w:val="TableNormal"/>
    <w:uiPriority w:val="47"/>
    <w:semiHidden/>
    <w:rsid w:val="00862459"/>
    <w:tblPr>
      <w:tblStyleRowBandSize w:val="1"/>
      <w:tblStyleColBandSize w:val="1"/>
      <w:tblBorders>
        <w:top w:val="single" w:sz="4" w:space="0" w:color="FF4040" w:themeColor="accent2" w:themeTint="99"/>
        <w:bottom w:val="single" w:sz="4" w:space="0" w:color="FF4040" w:themeColor="accent2" w:themeTint="99"/>
        <w:insideH w:val="single" w:sz="4" w:space="0" w:color="FF4040"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customStyle="1" w:styleId="ListTable2-Accent31">
    <w:name w:val="List Table 2 - Accent 31"/>
    <w:basedOn w:val="TableNormal"/>
    <w:uiPriority w:val="47"/>
    <w:semiHidden/>
    <w:rsid w:val="00862459"/>
    <w:tblPr>
      <w:tblStyleRowBandSize w:val="1"/>
      <w:tblStyleColBandSize w:val="1"/>
      <w:tblBorders>
        <w:top w:val="single" w:sz="4" w:space="0" w:color="9F9F9F" w:themeColor="accent3" w:themeTint="99"/>
        <w:bottom w:val="single" w:sz="4" w:space="0" w:color="9F9F9F" w:themeColor="accent3" w:themeTint="99"/>
        <w:insideH w:val="single" w:sz="4" w:space="0" w:color="9F9F9F"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customStyle="1" w:styleId="ListTable2-Accent41">
    <w:name w:val="List Table 2 - Accent 41"/>
    <w:basedOn w:val="TableNormal"/>
    <w:uiPriority w:val="47"/>
    <w:semiHidden/>
    <w:rsid w:val="00862459"/>
    <w:tblPr>
      <w:tblStyleRowBandSize w:val="1"/>
      <w:tblStyleColBandSize w:val="1"/>
      <w:tblBorders>
        <w:top w:val="single" w:sz="4" w:space="0" w:color="C0C0C0" w:themeColor="accent4" w:themeTint="99"/>
        <w:bottom w:val="single" w:sz="4" w:space="0" w:color="C0C0C0" w:themeColor="accent4" w:themeTint="99"/>
        <w:insideH w:val="single" w:sz="4" w:space="0" w:color="C0C0C0"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customStyle="1" w:styleId="ListTable2-Accent51">
    <w:name w:val="List Table 2 - Accent 51"/>
    <w:basedOn w:val="TableNormal"/>
    <w:uiPriority w:val="47"/>
    <w:semiHidden/>
    <w:rsid w:val="00862459"/>
    <w:tblPr>
      <w:tblStyleRowBandSize w:val="1"/>
      <w:tblStyleColBandSize w:val="1"/>
      <w:tblBorders>
        <w:top w:val="single" w:sz="4" w:space="0" w:color="9F9F9F" w:themeColor="accent5" w:themeTint="99"/>
        <w:bottom w:val="single" w:sz="4" w:space="0" w:color="9F9F9F" w:themeColor="accent5" w:themeTint="99"/>
        <w:insideH w:val="single" w:sz="4" w:space="0" w:color="9F9F9F"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customStyle="1" w:styleId="ListTable2-Accent61">
    <w:name w:val="List Table 2 - Accent 61"/>
    <w:basedOn w:val="TableNormal"/>
    <w:uiPriority w:val="47"/>
    <w:semiHidden/>
    <w:rsid w:val="00862459"/>
    <w:tblPr>
      <w:tblStyleRowBandSize w:val="1"/>
      <w:tblStyleColBandSize w:val="1"/>
      <w:tblBorders>
        <w:top w:val="single" w:sz="4" w:space="0" w:color="949494" w:themeColor="accent6" w:themeTint="99"/>
        <w:bottom w:val="single" w:sz="4" w:space="0" w:color="949494" w:themeColor="accent6" w:themeTint="99"/>
        <w:insideH w:val="single" w:sz="4" w:space="0" w:color="949494"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customStyle="1" w:styleId="ListTable31">
    <w:name w:val="List Table 31"/>
    <w:basedOn w:val="TableNormal"/>
    <w:uiPriority w:val="48"/>
    <w:semiHidden/>
    <w:rsid w:val="00862459"/>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0072BC"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customStyle="1" w:styleId="ListTable3-Accent11">
    <w:name w:val="List Table 3 - Accent 11"/>
    <w:basedOn w:val="TableNormal"/>
    <w:uiPriority w:val="48"/>
    <w:semiHidden/>
    <w:rsid w:val="00862459"/>
    <w:tblPr>
      <w:tblStyleRowBandSize w:val="1"/>
      <w:tblStyleColBandSize w:val="1"/>
      <w:tblBorders>
        <w:top w:val="single" w:sz="4" w:space="0" w:color="0072BC" w:themeColor="accent1"/>
        <w:left w:val="single" w:sz="4" w:space="0" w:color="0072BC" w:themeColor="accent1"/>
        <w:bottom w:val="single" w:sz="4" w:space="0" w:color="0072BC" w:themeColor="accent1"/>
        <w:right w:val="single" w:sz="4" w:space="0" w:color="0072BC" w:themeColor="accent1"/>
      </w:tblBorders>
    </w:tblPr>
    <w:tblStylePr w:type="firstRow">
      <w:rPr>
        <w:b/>
        <w:bCs/>
        <w:color w:val="0072BC" w:themeColor="background1"/>
      </w:rPr>
      <w:tblPr/>
      <w:tcPr>
        <w:shd w:val="clear" w:color="auto" w:fill="0072BC" w:themeFill="accent1"/>
      </w:tcPr>
    </w:tblStylePr>
    <w:tblStylePr w:type="lastRow">
      <w:rPr>
        <w:b/>
        <w:bCs/>
      </w:rPr>
      <w:tblPr/>
      <w:tcPr>
        <w:tcBorders>
          <w:top w:val="double" w:sz="4" w:space="0" w:color="0072BC" w:themeColor="accent1"/>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0072BC" w:themeColor="accent1"/>
          <w:right w:val="single" w:sz="4" w:space="0" w:color="0072BC" w:themeColor="accent1"/>
        </w:tcBorders>
      </w:tcPr>
    </w:tblStylePr>
    <w:tblStylePr w:type="band1Horz">
      <w:tblPr/>
      <w:tcPr>
        <w:tcBorders>
          <w:top w:val="single" w:sz="4" w:space="0" w:color="0072BC" w:themeColor="accent1"/>
          <w:bottom w:val="single" w:sz="4" w:space="0" w:color="0072BC"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72BC" w:themeColor="accent1"/>
          <w:left w:val="nil"/>
        </w:tcBorders>
      </w:tcPr>
    </w:tblStylePr>
    <w:tblStylePr w:type="swCell">
      <w:tblPr/>
      <w:tcPr>
        <w:tcBorders>
          <w:top w:val="double" w:sz="4" w:space="0" w:color="0072BC" w:themeColor="accent1"/>
          <w:right w:val="nil"/>
        </w:tcBorders>
      </w:tcPr>
    </w:tblStylePr>
  </w:style>
  <w:style w:type="table" w:customStyle="1" w:styleId="ListTable3-Accent21">
    <w:name w:val="List Table 3 - Accent 21"/>
    <w:basedOn w:val="TableNormal"/>
    <w:uiPriority w:val="48"/>
    <w:semiHidden/>
    <w:rsid w:val="00862459"/>
    <w:tblPr>
      <w:tblStyleRowBandSize w:val="1"/>
      <w:tblStyleColBandSize w:val="1"/>
      <w:tblBorders>
        <w:top w:val="single" w:sz="4" w:space="0" w:color="C00000" w:themeColor="accent2"/>
        <w:left w:val="single" w:sz="4" w:space="0" w:color="C00000" w:themeColor="accent2"/>
        <w:bottom w:val="single" w:sz="4" w:space="0" w:color="C00000" w:themeColor="accent2"/>
        <w:right w:val="single" w:sz="4" w:space="0" w:color="C00000" w:themeColor="accent2"/>
      </w:tblBorders>
    </w:tblPr>
    <w:tblStylePr w:type="firstRow">
      <w:rPr>
        <w:b/>
        <w:bCs/>
        <w:color w:val="0072BC" w:themeColor="background1"/>
      </w:rPr>
      <w:tblPr/>
      <w:tcPr>
        <w:shd w:val="clear" w:color="auto" w:fill="C00000" w:themeFill="accent2"/>
      </w:tcPr>
    </w:tblStylePr>
    <w:tblStylePr w:type="lastRow">
      <w:rPr>
        <w:b/>
        <w:bCs/>
      </w:rPr>
      <w:tblPr/>
      <w:tcPr>
        <w:tcBorders>
          <w:top w:val="double" w:sz="4" w:space="0" w:color="C00000" w:themeColor="accent2"/>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C00000" w:themeColor="accent2"/>
          <w:right w:val="single" w:sz="4" w:space="0" w:color="C00000" w:themeColor="accent2"/>
        </w:tcBorders>
      </w:tcPr>
    </w:tblStylePr>
    <w:tblStylePr w:type="band1Horz">
      <w:tblPr/>
      <w:tcPr>
        <w:tcBorders>
          <w:top w:val="single" w:sz="4" w:space="0" w:color="C00000" w:themeColor="accent2"/>
          <w:bottom w:val="single" w:sz="4" w:space="0" w:color="C00000"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0000" w:themeColor="accent2"/>
          <w:left w:val="nil"/>
        </w:tcBorders>
      </w:tcPr>
    </w:tblStylePr>
    <w:tblStylePr w:type="swCell">
      <w:tblPr/>
      <w:tcPr>
        <w:tcBorders>
          <w:top w:val="double" w:sz="4" w:space="0" w:color="C00000" w:themeColor="accent2"/>
          <w:right w:val="nil"/>
        </w:tcBorders>
      </w:tcPr>
    </w:tblStylePr>
  </w:style>
  <w:style w:type="table" w:customStyle="1" w:styleId="ListTable3-Accent31">
    <w:name w:val="List Table 3 - Accent 31"/>
    <w:basedOn w:val="TableNormal"/>
    <w:uiPriority w:val="48"/>
    <w:semiHidden/>
    <w:rsid w:val="00862459"/>
    <w:tblPr>
      <w:tblStyleRowBandSize w:val="1"/>
      <w:tblStyleColBandSize w:val="1"/>
      <w:tblBorders>
        <w:top w:val="single" w:sz="4" w:space="0" w:color="5F5F5F" w:themeColor="accent3"/>
        <w:left w:val="single" w:sz="4" w:space="0" w:color="5F5F5F" w:themeColor="accent3"/>
        <w:bottom w:val="single" w:sz="4" w:space="0" w:color="5F5F5F" w:themeColor="accent3"/>
        <w:right w:val="single" w:sz="4" w:space="0" w:color="5F5F5F" w:themeColor="accent3"/>
      </w:tblBorders>
    </w:tblPr>
    <w:tblStylePr w:type="firstRow">
      <w:rPr>
        <w:b/>
        <w:bCs/>
        <w:color w:val="0072BC" w:themeColor="background1"/>
      </w:rPr>
      <w:tblPr/>
      <w:tcPr>
        <w:shd w:val="clear" w:color="auto" w:fill="5F5F5F" w:themeFill="accent3"/>
      </w:tcPr>
    </w:tblStylePr>
    <w:tblStylePr w:type="lastRow">
      <w:rPr>
        <w:b/>
        <w:bCs/>
      </w:rPr>
      <w:tblPr/>
      <w:tcPr>
        <w:tcBorders>
          <w:top w:val="double" w:sz="4" w:space="0" w:color="5F5F5F" w:themeColor="accent3"/>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5F5F5F" w:themeColor="accent3"/>
          <w:right w:val="single" w:sz="4" w:space="0" w:color="5F5F5F" w:themeColor="accent3"/>
        </w:tcBorders>
      </w:tcPr>
    </w:tblStylePr>
    <w:tblStylePr w:type="band1Horz">
      <w:tblPr/>
      <w:tcPr>
        <w:tcBorders>
          <w:top w:val="single" w:sz="4" w:space="0" w:color="5F5F5F" w:themeColor="accent3"/>
          <w:bottom w:val="single" w:sz="4" w:space="0" w:color="5F5F5F"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F5F5F" w:themeColor="accent3"/>
          <w:left w:val="nil"/>
        </w:tcBorders>
      </w:tcPr>
    </w:tblStylePr>
    <w:tblStylePr w:type="swCell">
      <w:tblPr/>
      <w:tcPr>
        <w:tcBorders>
          <w:top w:val="double" w:sz="4" w:space="0" w:color="5F5F5F" w:themeColor="accent3"/>
          <w:right w:val="nil"/>
        </w:tcBorders>
      </w:tcPr>
    </w:tblStylePr>
  </w:style>
  <w:style w:type="table" w:customStyle="1" w:styleId="ListTable3-Accent41">
    <w:name w:val="List Table 3 - Accent 41"/>
    <w:basedOn w:val="TableNormal"/>
    <w:uiPriority w:val="48"/>
    <w:semiHidden/>
    <w:rsid w:val="00862459"/>
    <w:tblPr>
      <w:tblStyleRowBandSize w:val="1"/>
      <w:tblStyleColBandSize w:val="1"/>
      <w:tblBorders>
        <w:top w:val="single" w:sz="4" w:space="0" w:color="969696" w:themeColor="accent4"/>
        <w:left w:val="single" w:sz="4" w:space="0" w:color="969696" w:themeColor="accent4"/>
        <w:bottom w:val="single" w:sz="4" w:space="0" w:color="969696" w:themeColor="accent4"/>
        <w:right w:val="single" w:sz="4" w:space="0" w:color="969696" w:themeColor="accent4"/>
      </w:tblBorders>
    </w:tblPr>
    <w:tblStylePr w:type="firstRow">
      <w:rPr>
        <w:b/>
        <w:bCs/>
        <w:color w:val="0072BC" w:themeColor="background1"/>
      </w:rPr>
      <w:tblPr/>
      <w:tcPr>
        <w:shd w:val="clear" w:color="auto" w:fill="969696" w:themeFill="accent4"/>
      </w:tcPr>
    </w:tblStylePr>
    <w:tblStylePr w:type="lastRow">
      <w:rPr>
        <w:b/>
        <w:bCs/>
      </w:rPr>
      <w:tblPr/>
      <w:tcPr>
        <w:tcBorders>
          <w:top w:val="double" w:sz="4" w:space="0" w:color="969696" w:themeColor="accent4"/>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969696" w:themeColor="accent4"/>
          <w:right w:val="single" w:sz="4" w:space="0" w:color="969696" w:themeColor="accent4"/>
        </w:tcBorders>
      </w:tcPr>
    </w:tblStylePr>
    <w:tblStylePr w:type="band1Horz">
      <w:tblPr/>
      <w:tcPr>
        <w:tcBorders>
          <w:top w:val="single" w:sz="4" w:space="0" w:color="969696" w:themeColor="accent4"/>
          <w:bottom w:val="single" w:sz="4" w:space="0" w:color="969696"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69696" w:themeColor="accent4"/>
          <w:left w:val="nil"/>
        </w:tcBorders>
      </w:tcPr>
    </w:tblStylePr>
    <w:tblStylePr w:type="swCell">
      <w:tblPr/>
      <w:tcPr>
        <w:tcBorders>
          <w:top w:val="double" w:sz="4" w:space="0" w:color="969696" w:themeColor="accent4"/>
          <w:right w:val="nil"/>
        </w:tcBorders>
      </w:tcPr>
    </w:tblStylePr>
  </w:style>
  <w:style w:type="table" w:customStyle="1" w:styleId="ListTable3-Accent51">
    <w:name w:val="List Table 3 - Accent 51"/>
    <w:basedOn w:val="TableNormal"/>
    <w:uiPriority w:val="48"/>
    <w:semiHidden/>
    <w:rsid w:val="00862459"/>
    <w:tblPr>
      <w:tblStyleRowBandSize w:val="1"/>
      <w:tblStyleColBandSize w:val="1"/>
      <w:tblBorders>
        <w:top w:val="single" w:sz="4" w:space="0" w:color="5F5F5F" w:themeColor="accent5"/>
        <w:left w:val="single" w:sz="4" w:space="0" w:color="5F5F5F" w:themeColor="accent5"/>
        <w:bottom w:val="single" w:sz="4" w:space="0" w:color="5F5F5F" w:themeColor="accent5"/>
        <w:right w:val="single" w:sz="4" w:space="0" w:color="5F5F5F" w:themeColor="accent5"/>
      </w:tblBorders>
    </w:tblPr>
    <w:tblStylePr w:type="firstRow">
      <w:rPr>
        <w:b/>
        <w:bCs/>
        <w:color w:val="0072BC" w:themeColor="background1"/>
      </w:rPr>
      <w:tblPr/>
      <w:tcPr>
        <w:shd w:val="clear" w:color="auto" w:fill="5F5F5F" w:themeFill="accent5"/>
      </w:tcPr>
    </w:tblStylePr>
    <w:tblStylePr w:type="lastRow">
      <w:rPr>
        <w:b/>
        <w:bCs/>
      </w:rPr>
      <w:tblPr/>
      <w:tcPr>
        <w:tcBorders>
          <w:top w:val="double" w:sz="4" w:space="0" w:color="5F5F5F" w:themeColor="accent5"/>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5F5F5F" w:themeColor="accent5"/>
          <w:right w:val="single" w:sz="4" w:space="0" w:color="5F5F5F" w:themeColor="accent5"/>
        </w:tcBorders>
      </w:tcPr>
    </w:tblStylePr>
    <w:tblStylePr w:type="band1Horz">
      <w:tblPr/>
      <w:tcPr>
        <w:tcBorders>
          <w:top w:val="single" w:sz="4" w:space="0" w:color="5F5F5F" w:themeColor="accent5"/>
          <w:bottom w:val="single" w:sz="4" w:space="0" w:color="5F5F5F"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F5F5F" w:themeColor="accent5"/>
          <w:left w:val="nil"/>
        </w:tcBorders>
      </w:tcPr>
    </w:tblStylePr>
    <w:tblStylePr w:type="swCell">
      <w:tblPr/>
      <w:tcPr>
        <w:tcBorders>
          <w:top w:val="double" w:sz="4" w:space="0" w:color="5F5F5F" w:themeColor="accent5"/>
          <w:right w:val="nil"/>
        </w:tcBorders>
      </w:tcPr>
    </w:tblStylePr>
  </w:style>
  <w:style w:type="table" w:customStyle="1" w:styleId="ListTable3-Accent61">
    <w:name w:val="List Table 3 - Accent 61"/>
    <w:basedOn w:val="TableNormal"/>
    <w:uiPriority w:val="48"/>
    <w:semiHidden/>
    <w:rsid w:val="00862459"/>
    <w:tblPr>
      <w:tblStyleRowBandSize w:val="1"/>
      <w:tblStyleColBandSize w:val="1"/>
      <w:tblBorders>
        <w:top w:val="single" w:sz="4" w:space="0" w:color="4D4D4D" w:themeColor="accent6"/>
        <w:left w:val="single" w:sz="4" w:space="0" w:color="4D4D4D" w:themeColor="accent6"/>
        <w:bottom w:val="single" w:sz="4" w:space="0" w:color="4D4D4D" w:themeColor="accent6"/>
        <w:right w:val="single" w:sz="4" w:space="0" w:color="4D4D4D" w:themeColor="accent6"/>
      </w:tblBorders>
    </w:tblPr>
    <w:tblStylePr w:type="firstRow">
      <w:rPr>
        <w:b/>
        <w:bCs/>
        <w:color w:val="0072BC" w:themeColor="background1"/>
      </w:rPr>
      <w:tblPr/>
      <w:tcPr>
        <w:shd w:val="clear" w:color="auto" w:fill="4D4D4D" w:themeFill="accent6"/>
      </w:tcPr>
    </w:tblStylePr>
    <w:tblStylePr w:type="lastRow">
      <w:rPr>
        <w:b/>
        <w:bCs/>
      </w:rPr>
      <w:tblPr/>
      <w:tcPr>
        <w:tcBorders>
          <w:top w:val="double" w:sz="4" w:space="0" w:color="4D4D4D" w:themeColor="accent6"/>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4D4D4D" w:themeColor="accent6"/>
          <w:right w:val="single" w:sz="4" w:space="0" w:color="4D4D4D" w:themeColor="accent6"/>
        </w:tcBorders>
      </w:tcPr>
    </w:tblStylePr>
    <w:tblStylePr w:type="band1Horz">
      <w:tblPr/>
      <w:tcPr>
        <w:tcBorders>
          <w:top w:val="single" w:sz="4" w:space="0" w:color="4D4D4D" w:themeColor="accent6"/>
          <w:bottom w:val="single" w:sz="4" w:space="0" w:color="4D4D4D"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D4D4D" w:themeColor="accent6"/>
          <w:left w:val="nil"/>
        </w:tcBorders>
      </w:tcPr>
    </w:tblStylePr>
    <w:tblStylePr w:type="swCell">
      <w:tblPr/>
      <w:tcPr>
        <w:tcBorders>
          <w:top w:val="double" w:sz="4" w:space="0" w:color="4D4D4D" w:themeColor="accent6"/>
          <w:right w:val="nil"/>
        </w:tcBorders>
      </w:tcPr>
    </w:tblStylePr>
  </w:style>
  <w:style w:type="table" w:customStyle="1" w:styleId="ListTable41">
    <w:name w:val="List Table 41"/>
    <w:basedOn w:val="TableNormal"/>
    <w:uiPriority w:val="49"/>
    <w:semiHidden/>
    <w:rsid w:val="00862459"/>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0072BC"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4-Accent11">
    <w:name w:val="List Table 4 - Accent 11"/>
    <w:basedOn w:val="TableNormal"/>
    <w:uiPriority w:val="49"/>
    <w:semiHidden/>
    <w:rsid w:val="00862459"/>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tblBorders>
    </w:tblPr>
    <w:tblStylePr w:type="firstRow">
      <w:rPr>
        <w:b/>
        <w:bCs/>
        <w:color w:val="0072BC" w:themeColor="background1"/>
      </w:rPr>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nil"/>
        </w:tcBorders>
        <w:shd w:val="clear" w:color="auto" w:fill="0072BC" w:themeFill="accent1"/>
      </w:tcPr>
    </w:tblStylePr>
    <w:tblStylePr w:type="lastRow">
      <w:rPr>
        <w:b/>
        <w:bCs/>
      </w:rPr>
      <w:tblPr/>
      <w:tcPr>
        <w:tcBorders>
          <w:top w:val="doub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customStyle="1" w:styleId="ListTable4-Accent21">
    <w:name w:val="List Table 4 - Accent 21"/>
    <w:basedOn w:val="TableNormal"/>
    <w:uiPriority w:val="49"/>
    <w:semiHidden/>
    <w:rsid w:val="00862459"/>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tblBorders>
    </w:tblPr>
    <w:tblStylePr w:type="firstRow">
      <w:rPr>
        <w:b/>
        <w:bCs/>
        <w:color w:val="0072BC" w:themeColor="background1"/>
      </w:rPr>
      <w:tblPr/>
      <w:tcPr>
        <w:tcBorders>
          <w:top w:val="single" w:sz="4" w:space="0" w:color="C00000" w:themeColor="accent2"/>
          <w:left w:val="single" w:sz="4" w:space="0" w:color="C00000" w:themeColor="accent2"/>
          <w:bottom w:val="single" w:sz="4" w:space="0" w:color="C00000" w:themeColor="accent2"/>
          <w:right w:val="single" w:sz="4" w:space="0" w:color="C00000" w:themeColor="accent2"/>
          <w:insideH w:val="nil"/>
        </w:tcBorders>
        <w:shd w:val="clear" w:color="auto" w:fill="C00000" w:themeFill="accent2"/>
      </w:tcPr>
    </w:tblStylePr>
    <w:tblStylePr w:type="lastRow">
      <w:rPr>
        <w:b/>
        <w:bCs/>
      </w:rPr>
      <w:tblPr/>
      <w:tcPr>
        <w:tcBorders>
          <w:top w:val="doub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customStyle="1" w:styleId="ListTable4-Accent31">
    <w:name w:val="List Table 4 - Accent 31"/>
    <w:basedOn w:val="TableNormal"/>
    <w:uiPriority w:val="49"/>
    <w:semiHidden/>
    <w:rsid w:val="00862459"/>
    <w:tblPr>
      <w:tblStyleRowBandSize w:val="1"/>
      <w:tblStyleColBandSize w:val="1"/>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tblBorders>
    </w:tblPr>
    <w:tblStylePr w:type="firstRow">
      <w:rPr>
        <w:b/>
        <w:bCs/>
        <w:color w:val="0072BC" w:themeColor="background1"/>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tcBorders>
        <w:shd w:val="clear" w:color="auto" w:fill="5F5F5F" w:themeFill="accent3"/>
      </w:tcPr>
    </w:tblStylePr>
    <w:tblStylePr w:type="lastRow">
      <w:rPr>
        <w:b/>
        <w:bCs/>
      </w:rPr>
      <w:tblPr/>
      <w:tcPr>
        <w:tcBorders>
          <w:top w:val="double" w:sz="4" w:space="0" w:color="9F9F9F" w:themeColor="accent3" w:themeTint="99"/>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customStyle="1" w:styleId="ListTable4-Accent41">
    <w:name w:val="List Table 4 - Accent 41"/>
    <w:basedOn w:val="TableNormal"/>
    <w:uiPriority w:val="49"/>
    <w:semiHidden/>
    <w:rsid w:val="00862459"/>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tblBorders>
    </w:tblPr>
    <w:tblStylePr w:type="firstRow">
      <w:rPr>
        <w:b/>
        <w:bCs/>
        <w:color w:val="0072BC" w:themeColor="background1"/>
      </w:rPr>
      <w:tblPr/>
      <w:tcPr>
        <w:tcBorders>
          <w:top w:val="single" w:sz="4" w:space="0" w:color="969696" w:themeColor="accent4"/>
          <w:left w:val="single" w:sz="4" w:space="0" w:color="969696" w:themeColor="accent4"/>
          <w:bottom w:val="single" w:sz="4" w:space="0" w:color="969696" w:themeColor="accent4"/>
          <w:right w:val="single" w:sz="4" w:space="0" w:color="969696" w:themeColor="accent4"/>
          <w:insideH w:val="nil"/>
        </w:tcBorders>
        <w:shd w:val="clear" w:color="auto" w:fill="969696" w:themeFill="accent4"/>
      </w:tcPr>
    </w:tblStylePr>
    <w:tblStylePr w:type="lastRow">
      <w:rPr>
        <w:b/>
        <w:bCs/>
      </w:rPr>
      <w:tblPr/>
      <w:tcPr>
        <w:tcBorders>
          <w:top w:val="doub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customStyle="1" w:styleId="ListTable4-Accent51">
    <w:name w:val="List Table 4 - Accent 51"/>
    <w:basedOn w:val="TableNormal"/>
    <w:uiPriority w:val="49"/>
    <w:semiHidden/>
    <w:rsid w:val="00862459"/>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tblBorders>
    </w:tblPr>
    <w:tblStylePr w:type="firstRow">
      <w:rPr>
        <w:b/>
        <w:bCs/>
        <w:color w:val="0072BC" w:themeColor="background1"/>
      </w:rPr>
      <w:tblPr/>
      <w:tcPr>
        <w:tcBorders>
          <w:top w:val="single" w:sz="4" w:space="0" w:color="5F5F5F" w:themeColor="accent5"/>
          <w:left w:val="single" w:sz="4" w:space="0" w:color="5F5F5F" w:themeColor="accent5"/>
          <w:bottom w:val="single" w:sz="4" w:space="0" w:color="5F5F5F" w:themeColor="accent5"/>
          <w:right w:val="single" w:sz="4" w:space="0" w:color="5F5F5F" w:themeColor="accent5"/>
          <w:insideH w:val="nil"/>
        </w:tcBorders>
        <w:shd w:val="clear" w:color="auto" w:fill="5F5F5F" w:themeFill="accent5"/>
      </w:tcPr>
    </w:tblStylePr>
    <w:tblStylePr w:type="lastRow">
      <w:rPr>
        <w:b/>
        <w:bCs/>
      </w:rPr>
      <w:tblPr/>
      <w:tcPr>
        <w:tcBorders>
          <w:top w:val="doub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customStyle="1" w:styleId="ListTable4-Accent61">
    <w:name w:val="List Table 4 - Accent 61"/>
    <w:basedOn w:val="TableNormal"/>
    <w:uiPriority w:val="49"/>
    <w:semiHidden/>
    <w:rsid w:val="00862459"/>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tblBorders>
    </w:tblPr>
    <w:tblStylePr w:type="firstRow">
      <w:rPr>
        <w:b/>
        <w:bCs/>
        <w:color w:val="0072BC" w:themeColor="background1"/>
      </w:rPr>
      <w:tblPr/>
      <w:tcPr>
        <w:tcBorders>
          <w:top w:val="single" w:sz="4" w:space="0" w:color="4D4D4D" w:themeColor="accent6"/>
          <w:left w:val="single" w:sz="4" w:space="0" w:color="4D4D4D" w:themeColor="accent6"/>
          <w:bottom w:val="single" w:sz="4" w:space="0" w:color="4D4D4D" w:themeColor="accent6"/>
          <w:right w:val="single" w:sz="4" w:space="0" w:color="4D4D4D" w:themeColor="accent6"/>
          <w:insideH w:val="nil"/>
        </w:tcBorders>
        <w:shd w:val="clear" w:color="auto" w:fill="4D4D4D" w:themeFill="accent6"/>
      </w:tcPr>
    </w:tblStylePr>
    <w:tblStylePr w:type="lastRow">
      <w:rPr>
        <w:b/>
        <w:bCs/>
      </w:rPr>
      <w:tblPr/>
      <w:tcPr>
        <w:tcBorders>
          <w:top w:val="doub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customStyle="1" w:styleId="ListTable5Dark1">
    <w:name w:val="List Table 5 Dark1"/>
    <w:basedOn w:val="TableNormal"/>
    <w:uiPriority w:val="50"/>
    <w:semiHidden/>
    <w:rsid w:val="00862459"/>
    <w:rPr>
      <w:color w:val="0072BC"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11">
    <w:name w:val="List Table 5 Dark - Accent 11"/>
    <w:basedOn w:val="TableNormal"/>
    <w:uiPriority w:val="50"/>
    <w:semiHidden/>
    <w:rsid w:val="00862459"/>
    <w:rPr>
      <w:color w:val="0072BC" w:themeColor="background1"/>
    </w:rPr>
    <w:tblPr>
      <w:tblStyleRowBandSize w:val="1"/>
      <w:tblStyleColBandSize w:val="1"/>
      <w:tblBorders>
        <w:top w:val="single" w:sz="24" w:space="0" w:color="0072BC" w:themeColor="accent1"/>
        <w:left w:val="single" w:sz="24" w:space="0" w:color="0072BC" w:themeColor="accent1"/>
        <w:bottom w:val="single" w:sz="24" w:space="0" w:color="0072BC" w:themeColor="accent1"/>
        <w:right w:val="single" w:sz="24" w:space="0" w:color="0072BC" w:themeColor="accent1"/>
      </w:tblBorders>
    </w:tblPr>
    <w:tcPr>
      <w:shd w:val="clear" w:color="auto" w:fill="0072BC" w:themeFill="accent1"/>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21">
    <w:name w:val="List Table 5 Dark - Accent 21"/>
    <w:basedOn w:val="TableNormal"/>
    <w:uiPriority w:val="50"/>
    <w:semiHidden/>
    <w:rsid w:val="00862459"/>
    <w:rPr>
      <w:color w:val="0072BC" w:themeColor="background1"/>
    </w:rPr>
    <w:tblPr>
      <w:tblStyleRowBandSize w:val="1"/>
      <w:tblStyleColBandSize w:val="1"/>
      <w:tblBorders>
        <w:top w:val="single" w:sz="24" w:space="0" w:color="C00000" w:themeColor="accent2"/>
        <w:left w:val="single" w:sz="24" w:space="0" w:color="C00000" w:themeColor="accent2"/>
        <w:bottom w:val="single" w:sz="24" w:space="0" w:color="C00000" w:themeColor="accent2"/>
        <w:right w:val="single" w:sz="24" w:space="0" w:color="C00000" w:themeColor="accent2"/>
      </w:tblBorders>
    </w:tblPr>
    <w:tcPr>
      <w:shd w:val="clear" w:color="auto" w:fill="C00000" w:themeFill="accent2"/>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31">
    <w:name w:val="List Table 5 Dark - Accent 31"/>
    <w:basedOn w:val="TableNormal"/>
    <w:uiPriority w:val="50"/>
    <w:semiHidden/>
    <w:rsid w:val="00862459"/>
    <w:rPr>
      <w:color w:val="0072BC" w:themeColor="background1"/>
    </w:rPr>
    <w:tblPr>
      <w:tblStyleRowBandSize w:val="1"/>
      <w:tblStyleColBandSize w:val="1"/>
      <w:tblBorders>
        <w:top w:val="single" w:sz="24" w:space="0" w:color="5F5F5F" w:themeColor="accent3"/>
        <w:left w:val="single" w:sz="24" w:space="0" w:color="5F5F5F" w:themeColor="accent3"/>
        <w:bottom w:val="single" w:sz="24" w:space="0" w:color="5F5F5F" w:themeColor="accent3"/>
        <w:right w:val="single" w:sz="24" w:space="0" w:color="5F5F5F" w:themeColor="accent3"/>
      </w:tblBorders>
    </w:tblPr>
    <w:tcPr>
      <w:shd w:val="clear" w:color="auto" w:fill="5F5F5F" w:themeFill="accent3"/>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41">
    <w:name w:val="List Table 5 Dark - Accent 41"/>
    <w:basedOn w:val="TableNormal"/>
    <w:uiPriority w:val="50"/>
    <w:semiHidden/>
    <w:rsid w:val="00862459"/>
    <w:rPr>
      <w:color w:val="0072BC" w:themeColor="background1"/>
    </w:rPr>
    <w:tblPr>
      <w:tblStyleRowBandSize w:val="1"/>
      <w:tblStyleColBandSize w:val="1"/>
      <w:tblBorders>
        <w:top w:val="single" w:sz="24" w:space="0" w:color="969696" w:themeColor="accent4"/>
        <w:left w:val="single" w:sz="24" w:space="0" w:color="969696" w:themeColor="accent4"/>
        <w:bottom w:val="single" w:sz="24" w:space="0" w:color="969696" w:themeColor="accent4"/>
        <w:right w:val="single" w:sz="24" w:space="0" w:color="969696" w:themeColor="accent4"/>
      </w:tblBorders>
    </w:tblPr>
    <w:tcPr>
      <w:shd w:val="clear" w:color="auto" w:fill="969696" w:themeFill="accent4"/>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51">
    <w:name w:val="List Table 5 Dark - Accent 51"/>
    <w:basedOn w:val="TableNormal"/>
    <w:uiPriority w:val="50"/>
    <w:semiHidden/>
    <w:rsid w:val="00862459"/>
    <w:rPr>
      <w:color w:val="0072BC" w:themeColor="background1"/>
    </w:rPr>
    <w:tblPr>
      <w:tblStyleRowBandSize w:val="1"/>
      <w:tblStyleColBandSize w:val="1"/>
      <w:tblBorders>
        <w:top w:val="single" w:sz="24" w:space="0" w:color="5F5F5F" w:themeColor="accent5"/>
        <w:left w:val="single" w:sz="24" w:space="0" w:color="5F5F5F" w:themeColor="accent5"/>
        <w:bottom w:val="single" w:sz="24" w:space="0" w:color="5F5F5F" w:themeColor="accent5"/>
        <w:right w:val="single" w:sz="24" w:space="0" w:color="5F5F5F" w:themeColor="accent5"/>
      </w:tblBorders>
    </w:tblPr>
    <w:tcPr>
      <w:shd w:val="clear" w:color="auto" w:fill="5F5F5F" w:themeFill="accent5"/>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61">
    <w:name w:val="List Table 5 Dark - Accent 61"/>
    <w:basedOn w:val="TableNormal"/>
    <w:uiPriority w:val="50"/>
    <w:semiHidden/>
    <w:rsid w:val="00862459"/>
    <w:rPr>
      <w:color w:val="0072BC" w:themeColor="background1"/>
    </w:rPr>
    <w:tblPr>
      <w:tblStyleRowBandSize w:val="1"/>
      <w:tblStyleColBandSize w:val="1"/>
      <w:tblBorders>
        <w:top w:val="single" w:sz="24" w:space="0" w:color="4D4D4D" w:themeColor="accent6"/>
        <w:left w:val="single" w:sz="24" w:space="0" w:color="4D4D4D" w:themeColor="accent6"/>
        <w:bottom w:val="single" w:sz="24" w:space="0" w:color="4D4D4D" w:themeColor="accent6"/>
        <w:right w:val="single" w:sz="24" w:space="0" w:color="4D4D4D" w:themeColor="accent6"/>
      </w:tblBorders>
    </w:tblPr>
    <w:tcPr>
      <w:shd w:val="clear" w:color="auto" w:fill="4D4D4D" w:themeFill="accent6"/>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6Colorful1">
    <w:name w:val="List Table 6 Colorful1"/>
    <w:basedOn w:val="TableNormal"/>
    <w:uiPriority w:val="51"/>
    <w:semiHidden/>
    <w:rsid w:val="00862459"/>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6Colorful-Accent11">
    <w:name w:val="List Table 6 Colorful - Accent 11"/>
    <w:basedOn w:val="TableNormal"/>
    <w:uiPriority w:val="51"/>
    <w:semiHidden/>
    <w:rsid w:val="00862459"/>
    <w:rPr>
      <w:color w:val="00548C" w:themeColor="accent1" w:themeShade="BF"/>
    </w:rPr>
    <w:tblPr>
      <w:tblStyleRowBandSize w:val="1"/>
      <w:tblStyleColBandSize w:val="1"/>
      <w:tblBorders>
        <w:top w:val="single" w:sz="4" w:space="0" w:color="0072BC" w:themeColor="accent1"/>
        <w:bottom w:val="single" w:sz="4" w:space="0" w:color="0072BC" w:themeColor="accent1"/>
      </w:tblBorders>
    </w:tblPr>
    <w:tblStylePr w:type="firstRow">
      <w:rPr>
        <w:b/>
        <w:bCs/>
      </w:rPr>
      <w:tblPr/>
      <w:tcPr>
        <w:tcBorders>
          <w:bottom w:val="single" w:sz="4" w:space="0" w:color="0072BC" w:themeColor="accent1"/>
        </w:tcBorders>
      </w:tcPr>
    </w:tblStylePr>
    <w:tblStylePr w:type="lastRow">
      <w:rPr>
        <w:b/>
        <w:bCs/>
      </w:rPr>
      <w:tblPr/>
      <w:tcPr>
        <w:tcBorders>
          <w:top w:val="double" w:sz="4" w:space="0" w:color="0072BC" w:themeColor="accent1"/>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customStyle="1" w:styleId="ListTable6Colorful-Accent21">
    <w:name w:val="List Table 6 Colorful - Accent 21"/>
    <w:basedOn w:val="TableNormal"/>
    <w:uiPriority w:val="51"/>
    <w:semiHidden/>
    <w:rsid w:val="00862459"/>
    <w:rPr>
      <w:color w:val="8F0000" w:themeColor="accent2" w:themeShade="BF"/>
    </w:rPr>
    <w:tblPr>
      <w:tblStyleRowBandSize w:val="1"/>
      <w:tblStyleColBandSize w:val="1"/>
      <w:tblBorders>
        <w:top w:val="single" w:sz="4" w:space="0" w:color="C00000" w:themeColor="accent2"/>
        <w:bottom w:val="single" w:sz="4" w:space="0" w:color="C00000" w:themeColor="accent2"/>
      </w:tblBorders>
    </w:tblPr>
    <w:tblStylePr w:type="firstRow">
      <w:rPr>
        <w:b/>
        <w:bCs/>
      </w:rPr>
      <w:tblPr/>
      <w:tcPr>
        <w:tcBorders>
          <w:bottom w:val="single" w:sz="4" w:space="0" w:color="C00000" w:themeColor="accent2"/>
        </w:tcBorders>
      </w:tcPr>
    </w:tblStylePr>
    <w:tblStylePr w:type="lastRow">
      <w:rPr>
        <w:b/>
        <w:bCs/>
      </w:rPr>
      <w:tblPr/>
      <w:tcPr>
        <w:tcBorders>
          <w:top w:val="double" w:sz="4" w:space="0" w:color="C00000" w:themeColor="accent2"/>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customStyle="1" w:styleId="ListTable6Colorful-Accent31">
    <w:name w:val="List Table 6 Colorful - Accent 31"/>
    <w:basedOn w:val="TableNormal"/>
    <w:uiPriority w:val="51"/>
    <w:semiHidden/>
    <w:rsid w:val="00862459"/>
    <w:rPr>
      <w:color w:val="474747" w:themeColor="accent3" w:themeShade="BF"/>
    </w:rPr>
    <w:tblPr>
      <w:tblStyleRowBandSize w:val="1"/>
      <w:tblStyleColBandSize w:val="1"/>
      <w:tblBorders>
        <w:top w:val="single" w:sz="4" w:space="0" w:color="5F5F5F" w:themeColor="accent3"/>
        <w:bottom w:val="single" w:sz="4" w:space="0" w:color="5F5F5F" w:themeColor="accent3"/>
      </w:tblBorders>
    </w:tblPr>
    <w:tblStylePr w:type="firstRow">
      <w:rPr>
        <w:b/>
        <w:bCs/>
      </w:rPr>
      <w:tblPr/>
      <w:tcPr>
        <w:tcBorders>
          <w:bottom w:val="single" w:sz="4" w:space="0" w:color="5F5F5F" w:themeColor="accent3"/>
        </w:tcBorders>
      </w:tcPr>
    </w:tblStylePr>
    <w:tblStylePr w:type="lastRow">
      <w:rPr>
        <w:b/>
        <w:bCs/>
      </w:rPr>
      <w:tblPr/>
      <w:tcPr>
        <w:tcBorders>
          <w:top w:val="double" w:sz="4" w:space="0" w:color="5F5F5F" w:themeColor="accent3"/>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customStyle="1" w:styleId="ListTable6Colorful-Accent41">
    <w:name w:val="List Table 6 Colorful - Accent 41"/>
    <w:basedOn w:val="TableNormal"/>
    <w:uiPriority w:val="51"/>
    <w:semiHidden/>
    <w:rsid w:val="00862459"/>
    <w:rPr>
      <w:color w:val="707070" w:themeColor="accent4" w:themeShade="BF"/>
    </w:rPr>
    <w:tblPr>
      <w:tblStyleRowBandSize w:val="1"/>
      <w:tblStyleColBandSize w:val="1"/>
      <w:tblBorders>
        <w:top w:val="single" w:sz="4" w:space="0" w:color="969696" w:themeColor="accent4"/>
        <w:bottom w:val="single" w:sz="4" w:space="0" w:color="969696" w:themeColor="accent4"/>
      </w:tblBorders>
    </w:tblPr>
    <w:tblStylePr w:type="firstRow">
      <w:rPr>
        <w:b/>
        <w:bCs/>
      </w:rPr>
      <w:tblPr/>
      <w:tcPr>
        <w:tcBorders>
          <w:bottom w:val="single" w:sz="4" w:space="0" w:color="969696" w:themeColor="accent4"/>
        </w:tcBorders>
      </w:tcPr>
    </w:tblStylePr>
    <w:tblStylePr w:type="lastRow">
      <w:rPr>
        <w:b/>
        <w:bCs/>
      </w:rPr>
      <w:tblPr/>
      <w:tcPr>
        <w:tcBorders>
          <w:top w:val="double" w:sz="4" w:space="0" w:color="969696" w:themeColor="accent4"/>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customStyle="1" w:styleId="ListTable6Colorful-Accent51">
    <w:name w:val="List Table 6 Colorful - Accent 51"/>
    <w:basedOn w:val="TableNormal"/>
    <w:uiPriority w:val="51"/>
    <w:semiHidden/>
    <w:rsid w:val="00862459"/>
    <w:rPr>
      <w:color w:val="474747" w:themeColor="accent5" w:themeShade="BF"/>
    </w:rPr>
    <w:tblPr>
      <w:tblStyleRowBandSize w:val="1"/>
      <w:tblStyleColBandSize w:val="1"/>
      <w:tblBorders>
        <w:top w:val="single" w:sz="4" w:space="0" w:color="5F5F5F" w:themeColor="accent5"/>
        <w:bottom w:val="single" w:sz="4" w:space="0" w:color="5F5F5F" w:themeColor="accent5"/>
      </w:tblBorders>
    </w:tblPr>
    <w:tblStylePr w:type="firstRow">
      <w:rPr>
        <w:b/>
        <w:bCs/>
      </w:rPr>
      <w:tblPr/>
      <w:tcPr>
        <w:tcBorders>
          <w:bottom w:val="single" w:sz="4" w:space="0" w:color="5F5F5F" w:themeColor="accent5"/>
        </w:tcBorders>
      </w:tcPr>
    </w:tblStylePr>
    <w:tblStylePr w:type="lastRow">
      <w:rPr>
        <w:b/>
        <w:bCs/>
      </w:rPr>
      <w:tblPr/>
      <w:tcPr>
        <w:tcBorders>
          <w:top w:val="double" w:sz="4" w:space="0" w:color="5F5F5F" w:themeColor="accent5"/>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customStyle="1" w:styleId="ListTable6Colorful-Accent61">
    <w:name w:val="List Table 6 Colorful - Accent 61"/>
    <w:basedOn w:val="TableNormal"/>
    <w:uiPriority w:val="51"/>
    <w:semiHidden/>
    <w:rsid w:val="00862459"/>
    <w:rPr>
      <w:color w:val="393939" w:themeColor="accent6" w:themeShade="BF"/>
    </w:rPr>
    <w:tblPr>
      <w:tblStyleRowBandSize w:val="1"/>
      <w:tblStyleColBandSize w:val="1"/>
      <w:tblBorders>
        <w:top w:val="single" w:sz="4" w:space="0" w:color="4D4D4D" w:themeColor="accent6"/>
        <w:bottom w:val="single" w:sz="4" w:space="0" w:color="4D4D4D" w:themeColor="accent6"/>
      </w:tblBorders>
    </w:tblPr>
    <w:tblStylePr w:type="firstRow">
      <w:rPr>
        <w:b/>
        <w:bCs/>
      </w:rPr>
      <w:tblPr/>
      <w:tcPr>
        <w:tcBorders>
          <w:bottom w:val="single" w:sz="4" w:space="0" w:color="4D4D4D" w:themeColor="accent6"/>
        </w:tcBorders>
      </w:tcPr>
    </w:tblStylePr>
    <w:tblStylePr w:type="lastRow">
      <w:rPr>
        <w:b/>
        <w:bCs/>
      </w:rPr>
      <w:tblPr/>
      <w:tcPr>
        <w:tcBorders>
          <w:top w:val="double" w:sz="4" w:space="0" w:color="4D4D4D" w:themeColor="accent6"/>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customStyle="1" w:styleId="ListTable7Colorful1">
    <w:name w:val="List Table 7 Colorful1"/>
    <w:basedOn w:val="TableNormal"/>
    <w:uiPriority w:val="52"/>
    <w:semiHidden/>
    <w:rsid w:val="00862459"/>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0072BC"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11">
    <w:name w:val="List Table 7 Colorful - Accent 11"/>
    <w:basedOn w:val="TableNormal"/>
    <w:uiPriority w:val="52"/>
    <w:semiHidden/>
    <w:rsid w:val="00862459"/>
    <w:rPr>
      <w:color w:val="00548C"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72BC" w:themeColor="accent1"/>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0072BC" w:themeColor="accent1"/>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72BC" w:themeColor="accent1"/>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0072BC" w:themeColor="accent1"/>
        </w:tcBorders>
        <w:shd w:val="clear" w:color="auto" w:fill="0072BC"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21">
    <w:name w:val="List Table 7 Colorful - Accent 21"/>
    <w:basedOn w:val="TableNormal"/>
    <w:uiPriority w:val="52"/>
    <w:semiHidden/>
    <w:rsid w:val="00862459"/>
    <w:rPr>
      <w:color w:val="8F0000"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0000" w:themeColor="accent2"/>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C00000" w:themeColor="accent2"/>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0000" w:themeColor="accent2"/>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C00000" w:themeColor="accent2"/>
        </w:tcBorders>
        <w:shd w:val="clear" w:color="auto" w:fill="0072BC"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31">
    <w:name w:val="List Table 7 Colorful - Accent 31"/>
    <w:basedOn w:val="TableNormal"/>
    <w:uiPriority w:val="52"/>
    <w:semiHidden/>
    <w:rsid w:val="00862459"/>
    <w:rPr>
      <w:color w:val="474747"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F5F5F" w:themeColor="accent3"/>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5F5F5F" w:themeColor="accent3"/>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F5F5F" w:themeColor="accent3"/>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5F5F5F" w:themeColor="accent3"/>
        </w:tcBorders>
        <w:shd w:val="clear" w:color="auto" w:fill="0072BC" w:themeFill="background1"/>
      </w:tcPr>
    </w:tblStylePr>
    <w:tblStylePr w:type="band1Vert">
      <w:tblPr/>
      <w:tcPr>
        <w:shd w:val="clear" w:color="auto" w:fill="DFDFDF" w:themeFill="accent3" w:themeFillTint="33"/>
      </w:tcPr>
    </w:tblStylePr>
    <w:tblStylePr w:type="band1Horz">
      <w:tblPr/>
      <w:tcPr>
        <w:shd w:val="clear" w:color="auto" w:fill="DFDFDF"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41">
    <w:name w:val="List Table 7 Colorful - Accent 41"/>
    <w:basedOn w:val="TableNormal"/>
    <w:uiPriority w:val="52"/>
    <w:semiHidden/>
    <w:rsid w:val="00862459"/>
    <w:rPr>
      <w:color w:val="70707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69696" w:themeColor="accent4"/>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969696" w:themeColor="accent4"/>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69696" w:themeColor="accent4"/>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969696" w:themeColor="accent4"/>
        </w:tcBorders>
        <w:shd w:val="clear" w:color="auto" w:fill="0072BC"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51">
    <w:name w:val="List Table 7 Colorful - Accent 51"/>
    <w:basedOn w:val="TableNormal"/>
    <w:uiPriority w:val="52"/>
    <w:semiHidden/>
    <w:rsid w:val="00862459"/>
    <w:rPr>
      <w:color w:val="474747"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F5F5F" w:themeColor="accent5"/>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5F5F5F" w:themeColor="accent5"/>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F5F5F" w:themeColor="accent5"/>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5F5F5F" w:themeColor="accent5"/>
        </w:tcBorders>
        <w:shd w:val="clear" w:color="auto" w:fill="0072BC"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61">
    <w:name w:val="List Table 7 Colorful - Accent 61"/>
    <w:basedOn w:val="TableNormal"/>
    <w:uiPriority w:val="52"/>
    <w:semiHidden/>
    <w:rsid w:val="00862459"/>
    <w:rPr>
      <w:color w:val="393939"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D4D4D" w:themeColor="accent6"/>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4D4D4D" w:themeColor="accent6"/>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D4D4D" w:themeColor="accent6"/>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4D4D4D" w:themeColor="accent6"/>
        </w:tcBorders>
        <w:shd w:val="clear" w:color="auto" w:fill="0072BC"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PlainTable11">
    <w:name w:val="Plain Table 11"/>
    <w:basedOn w:val="TableNormal"/>
    <w:uiPriority w:val="41"/>
    <w:semiHidden/>
    <w:rsid w:val="00862459"/>
    <w:tblPr>
      <w:tblStyleRowBandSize w:val="1"/>
      <w:tblStyleColBandSize w:val="1"/>
      <w:tblBorders>
        <w:top w:val="single" w:sz="4" w:space="0" w:color="00548C" w:themeColor="background1" w:themeShade="BF"/>
        <w:left w:val="single" w:sz="4" w:space="0" w:color="00548C" w:themeColor="background1" w:themeShade="BF"/>
        <w:bottom w:val="single" w:sz="4" w:space="0" w:color="00548C" w:themeColor="background1" w:themeShade="BF"/>
        <w:right w:val="single" w:sz="4" w:space="0" w:color="00548C" w:themeColor="background1" w:themeShade="BF"/>
        <w:insideH w:val="single" w:sz="4" w:space="0" w:color="00548C" w:themeColor="background1" w:themeShade="BF"/>
        <w:insideV w:val="single" w:sz="4" w:space="0" w:color="00548C" w:themeColor="background1" w:themeShade="BF"/>
      </w:tblBorders>
    </w:tblPr>
    <w:tblStylePr w:type="firstRow">
      <w:rPr>
        <w:b/>
        <w:bCs/>
      </w:rPr>
    </w:tblStylePr>
    <w:tblStylePr w:type="lastRow">
      <w:rPr>
        <w:b/>
        <w:bCs/>
      </w:rPr>
      <w:tblPr/>
      <w:tcPr>
        <w:tcBorders>
          <w:top w:val="double" w:sz="4" w:space="0" w:color="00548C" w:themeColor="background1" w:themeShade="BF"/>
        </w:tcBorders>
      </w:tcPr>
    </w:tblStylePr>
    <w:tblStylePr w:type="firstCol">
      <w:rPr>
        <w:b/>
        <w:bCs/>
      </w:rPr>
    </w:tblStylePr>
    <w:tblStylePr w:type="lastCol">
      <w:rPr>
        <w:b/>
        <w:bCs/>
      </w:rPr>
    </w:tblStylePr>
    <w:tblStylePr w:type="band1Vert">
      <w:tblPr/>
      <w:tcPr>
        <w:shd w:val="clear" w:color="auto" w:fill="006BB2" w:themeFill="background1" w:themeFillShade="F2"/>
      </w:tcPr>
    </w:tblStylePr>
    <w:tblStylePr w:type="band1Horz">
      <w:tblPr/>
      <w:tcPr>
        <w:shd w:val="clear" w:color="auto" w:fill="006BB2" w:themeFill="background1" w:themeFillShade="F2"/>
      </w:tcPr>
    </w:tblStylePr>
  </w:style>
  <w:style w:type="table" w:customStyle="1" w:styleId="PlainTable21">
    <w:name w:val="Plain Table 21"/>
    <w:basedOn w:val="TableNormal"/>
    <w:uiPriority w:val="42"/>
    <w:semiHidden/>
    <w:rsid w:val="00862459"/>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customStyle="1" w:styleId="PlainTable31">
    <w:name w:val="Plain Table 31"/>
    <w:basedOn w:val="TableNormal"/>
    <w:uiPriority w:val="43"/>
    <w:semiHidden/>
    <w:rsid w:val="00862459"/>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006BB2" w:themeFill="background1" w:themeFillShade="F2"/>
      </w:tcPr>
    </w:tblStylePr>
    <w:tblStylePr w:type="band1Horz">
      <w:tblPr/>
      <w:tcPr>
        <w:shd w:val="clear" w:color="auto" w:fill="006BB2" w:themeFill="background1" w:themeFillShade="F2"/>
      </w:tcPr>
    </w:tblStylePr>
    <w:tblStylePr w:type="neCell">
      <w:tblPr/>
      <w:tcPr>
        <w:tcBorders>
          <w:left w:val="nil"/>
        </w:tcBorders>
      </w:tcPr>
    </w:tblStylePr>
    <w:tblStylePr w:type="nwCell">
      <w:tblPr/>
      <w:tcPr>
        <w:tcBorders>
          <w:right w:val="nil"/>
        </w:tcBorders>
      </w:tcPr>
    </w:tblStylePr>
  </w:style>
  <w:style w:type="table" w:customStyle="1" w:styleId="PlainTable41">
    <w:name w:val="Plain Table 41"/>
    <w:basedOn w:val="TableNormal"/>
    <w:uiPriority w:val="44"/>
    <w:semiHidden/>
    <w:rsid w:val="00862459"/>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006BB2" w:themeFill="background1" w:themeFillShade="F2"/>
      </w:tcPr>
    </w:tblStylePr>
    <w:tblStylePr w:type="band1Horz">
      <w:tblPr/>
      <w:tcPr>
        <w:shd w:val="clear" w:color="auto" w:fill="006BB2" w:themeFill="background1" w:themeFillShade="F2"/>
      </w:tcPr>
    </w:tblStylePr>
  </w:style>
  <w:style w:type="table" w:customStyle="1" w:styleId="PlainTable51">
    <w:name w:val="Plain Table 51"/>
    <w:basedOn w:val="TableNormal"/>
    <w:uiPriority w:val="45"/>
    <w:semiHidden/>
    <w:rsid w:val="00862459"/>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0072BC" w:themeFill="background1"/>
      </w:tcPr>
    </w:tblStylePr>
    <w:tblStylePr w:type="band1Vert">
      <w:tblPr/>
      <w:tcPr>
        <w:shd w:val="clear" w:color="auto" w:fill="006BB2" w:themeFill="background1" w:themeFillShade="F2"/>
      </w:tcPr>
    </w:tblStylePr>
    <w:tblStylePr w:type="band1Horz">
      <w:tblPr/>
      <w:tcPr>
        <w:shd w:val="clear" w:color="auto" w:fill="006BB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TableGridLight1">
    <w:name w:val="Table Grid Light1"/>
    <w:basedOn w:val="TableNormal"/>
    <w:uiPriority w:val="40"/>
    <w:semiHidden/>
    <w:rsid w:val="00862459"/>
    <w:tblPr>
      <w:tblBorders>
        <w:top w:val="single" w:sz="4" w:space="0" w:color="00548C" w:themeColor="background1" w:themeShade="BF"/>
        <w:left w:val="single" w:sz="4" w:space="0" w:color="00548C" w:themeColor="background1" w:themeShade="BF"/>
        <w:bottom w:val="single" w:sz="4" w:space="0" w:color="00548C" w:themeColor="background1" w:themeShade="BF"/>
        <w:right w:val="single" w:sz="4" w:space="0" w:color="00548C" w:themeColor="background1" w:themeShade="BF"/>
        <w:insideH w:val="single" w:sz="4" w:space="0" w:color="00548C" w:themeColor="background1" w:themeShade="BF"/>
        <w:insideV w:val="single" w:sz="4" w:space="0" w:color="00548C" w:themeColor="background1" w:themeShade="BF"/>
      </w:tblBorders>
    </w:tblPr>
  </w:style>
  <w:style w:type="table" w:customStyle="1" w:styleId="GridTable1Light2">
    <w:name w:val="Grid Table 1 Light2"/>
    <w:basedOn w:val="TableNormal"/>
    <w:uiPriority w:val="46"/>
    <w:rsid w:val="00862459"/>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customStyle="1" w:styleId="GridTable1Light-Accent12">
    <w:name w:val="Grid Table 1 Light - Accent 12"/>
    <w:basedOn w:val="TableNormal"/>
    <w:uiPriority w:val="46"/>
    <w:rsid w:val="00862459"/>
    <w:tblPr>
      <w:tblStyleRowBandSize w:val="1"/>
      <w:tblStyleColBandSize w:val="1"/>
      <w:tblBorders>
        <w:top w:val="single" w:sz="4" w:space="0" w:color="7ECBFF" w:themeColor="accent1" w:themeTint="66"/>
        <w:left w:val="single" w:sz="4" w:space="0" w:color="7ECBFF" w:themeColor="accent1" w:themeTint="66"/>
        <w:bottom w:val="single" w:sz="4" w:space="0" w:color="7ECBFF" w:themeColor="accent1" w:themeTint="66"/>
        <w:right w:val="single" w:sz="4" w:space="0" w:color="7ECBFF" w:themeColor="accent1" w:themeTint="66"/>
        <w:insideH w:val="single" w:sz="4" w:space="0" w:color="7ECBFF" w:themeColor="accent1" w:themeTint="66"/>
        <w:insideV w:val="single" w:sz="4" w:space="0" w:color="7ECBFF" w:themeColor="accent1" w:themeTint="66"/>
      </w:tblBorders>
    </w:tblPr>
    <w:tblStylePr w:type="firstRow">
      <w:rPr>
        <w:b/>
        <w:bCs/>
      </w:rPr>
      <w:tblPr/>
      <w:tcPr>
        <w:tcBorders>
          <w:bottom w:val="single" w:sz="12" w:space="0" w:color="3DB2FF" w:themeColor="accent1" w:themeTint="99"/>
        </w:tcBorders>
      </w:tcPr>
    </w:tblStylePr>
    <w:tblStylePr w:type="lastRow">
      <w:rPr>
        <w:b/>
        <w:bCs/>
      </w:rPr>
      <w:tblPr/>
      <w:tcPr>
        <w:tcBorders>
          <w:top w:val="double" w:sz="2" w:space="0" w:color="3DB2FF" w:themeColor="accent1" w:themeTint="99"/>
        </w:tcBorders>
      </w:tcPr>
    </w:tblStylePr>
    <w:tblStylePr w:type="firstCol">
      <w:rPr>
        <w:b/>
        <w:bCs/>
      </w:rPr>
    </w:tblStylePr>
    <w:tblStylePr w:type="lastCol">
      <w:rPr>
        <w:b/>
        <w:bCs/>
      </w:rPr>
    </w:tblStylePr>
  </w:style>
  <w:style w:type="table" w:customStyle="1" w:styleId="GridTable1Light-Accent22">
    <w:name w:val="Grid Table 1 Light - Accent 22"/>
    <w:basedOn w:val="TableNormal"/>
    <w:uiPriority w:val="46"/>
    <w:rsid w:val="00862459"/>
    <w:tblPr>
      <w:tblStyleRowBandSize w:val="1"/>
      <w:tblStyleColBandSize w:val="1"/>
      <w:tblBorders>
        <w:top w:val="single" w:sz="4" w:space="0" w:color="FF7F7F" w:themeColor="accent2" w:themeTint="66"/>
        <w:left w:val="single" w:sz="4" w:space="0" w:color="FF7F7F" w:themeColor="accent2" w:themeTint="66"/>
        <w:bottom w:val="single" w:sz="4" w:space="0" w:color="FF7F7F" w:themeColor="accent2" w:themeTint="66"/>
        <w:right w:val="single" w:sz="4" w:space="0" w:color="FF7F7F" w:themeColor="accent2" w:themeTint="66"/>
        <w:insideH w:val="single" w:sz="4" w:space="0" w:color="FF7F7F" w:themeColor="accent2" w:themeTint="66"/>
        <w:insideV w:val="single" w:sz="4" w:space="0" w:color="FF7F7F" w:themeColor="accent2" w:themeTint="66"/>
      </w:tblBorders>
    </w:tblPr>
    <w:tblStylePr w:type="firstRow">
      <w:rPr>
        <w:b/>
        <w:bCs/>
      </w:rPr>
      <w:tblPr/>
      <w:tcPr>
        <w:tcBorders>
          <w:bottom w:val="single" w:sz="12" w:space="0" w:color="FF4040" w:themeColor="accent2" w:themeTint="99"/>
        </w:tcBorders>
      </w:tcPr>
    </w:tblStylePr>
    <w:tblStylePr w:type="lastRow">
      <w:rPr>
        <w:b/>
        <w:bCs/>
      </w:rPr>
      <w:tblPr/>
      <w:tcPr>
        <w:tcBorders>
          <w:top w:val="double" w:sz="2" w:space="0" w:color="FF4040" w:themeColor="accent2" w:themeTint="99"/>
        </w:tcBorders>
      </w:tcPr>
    </w:tblStylePr>
    <w:tblStylePr w:type="firstCol">
      <w:rPr>
        <w:b/>
        <w:bCs/>
      </w:rPr>
    </w:tblStylePr>
    <w:tblStylePr w:type="lastCol">
      <w:rPr>
        <w:b/>
        <w:bCs/>
      </w:rPr>
    </w:tblStylePr>
  </w:style>
  <w:style w:type="table" w:customStyle="1" w:styleId="GridTable1Light-Accent32">
    <w:name w:val="Grid Table 1 Light - Accent 32"/>
    <w:basedOn w:val="TableNormal"/>
    <w:uiPriority w:val="46"/>
    <w:rsid w:val="00862459"/>
    <w:tblPr>
      <w:tblStyleRowBandSize w:val="1"/>
      <w:tblStyleColBandSize w:val="1"/>
      <w:tblBorders>
        <w:top w:val="single" w:sz="4" w:space="0" w:color="BFBFBF" w:themeColor="accent3" w:themeTint="66"/>
        <w:left w:val="single" w:sz="4" w:space="0" w:color="BFBFBF" w:themeColor="accent3" w:themeTint="66"/>
        <w:bottom w:val="single" w:sz="4" w:space="0" w:color="BFBFBF" w:themeColor="accent3" w:themeTint="66"/>
        <w:right w:val="single" w:sz="4" w:space="0" w:color="BFBFBF" w:themeColor="accent3" w:themeTint="66"/>
        <w:insideH w:val="single" w:sz="4" w:space="0" w:color="BFBFBF" w:themeColor="accent3" w:themeTint="66"/>
        <w:insideV w:val="single" w:sz="4" w:space="0" w:color="BFBFBF" w:themeColor="accent3" w:themeTint="66"/>
      </w:tblBorders>
    </w:tblPr>
    <w:tblStylePr w:type="firstRow">
      <w:rPr>
        <w:b/>
        <w:bCs/>
      </w:rPr>
      <w:tblPr/>
      <w:tcPr>
        <w:tcBorders>
          <w:bottom w:val="single" w:sz="12" w:space="0" w:color="9F9F9F" w:themeColor="accent3" w:themeTint="99"/>
        </w:tcBorders>
      </w:tcPr>
    </w:tblStylePr>
    <w:tblStylePr w:type="lastRow">
      <w:rPr>
        <w:b/>
        <w:bCs/>
      </w:rPr>
      <w:tblPr/>
      <w:tcPr>
        <w:tcBorders>
          <w:top w:val="double" w:sz="2" w:space="0" w:color="9F9F9F" w:themeColor="accent3" w:themeTint="99"/>
        </w:tcBorders>
      </w:tcPr>
    </w:tblStylePr>
    <w:tblStylePr w:type="firstCol">
      <w:rPr>
        <w:b/>
        <w:bCs/>
      </w:rPr>
    </w:tblStylePr>
    <w:tblStylePr w:type="lastCol">
      <w:rPr>
        <w:b/>
        <w:bCs/>
      </w:rPr>
    </w:tblStylePr>
  </w:style>
  <w:style w:type="table" w:customStyle="1" w:styleId="GridTable1Light-Accent42">
    <w:name w:val="Grid Table 1 Light - Accent 42"/>
    <w:basedOn w:val="TableNormal"/>
    <w:uiPriority w:val="46"/>
    <w:rsid w:val="00862459"/>
    <w:tblPr>
      <w:tblStyleRowBandSize w:val="1"/>
      <w:tblStyleColBandSize w:val="1"/>
      <w:tblBorders>
        <w:top w:val="single" w:sz="4" w:space="0" w:color="D5D5D5" w:themeColor="accent4" w:themeTint="66"/>
        <w:left w:val="single" w:sz="4" w:space="0" w:color="D5D5D5" w:themeColor="accent4" w:themeTint="66"/>
        <w:bottom w:val="single" w:sz="4" w:space="0" w:color="D5D5D5" w:themeColor="accent4" w:themeTint="66"/>
        <w:right w:val="single" w:sz="4" w:space="0" w:color="D5D5D5" w:themeColor="accent4" w:themeTint="66"/>
        <w:insideH w:val="single" w:sz="4" w:space="0" w:color="D5D5D5" w:themeColor="accent4" w:themeTint="66"/>
        <w:insideV w:val="single" w:sz="4" w:space="0" w:color="D5D5D5" w:themeColor="accent4" w:themeTint="66"/>
      </w:tblBorders>
    </w:tblPr>
    <w:tblStylePr w:type="firstRow">
      <w:rPr>
        <w:b/>
        <w:bCs/>
      </w:rPr>
      <w:tblPr/>
      <w:tcPr>
        <w:tcBorders>
          <w:bottom w:val="single" w:sz="12" w:space="0" w:color="C0C0C0" w:themeColor="accent4" w:themeTint="99"/>
        </w:tcBorders>
      </w:tcPr>
    </w:tblStylePr>
    <w:tblStylePr w:type="lastRow">
      <w:rPr>
        <w:b/>
        <w:bCs/>
      </w:rPr>
      <w:tblPr/>
      <w:tcPr>
        <w:tcBorders>
          <w:top w:val="double" w:sz="2" w:space="0" w:color="C0C0C0" w:themeColor="accent4" w:themeTint="99"/>
        </w:tcBorders>
      </w:tcPr>
    </w:tblStylePr>
    <w:tblStylePr w:type="firstCol">
      <w:rPr>
        <w:b/>
        <w:bCs/>
      </w:rPr>
    </w:tblStylePr>
    <w:tblStylePr w:type="lastCol">
      <w:rPr>
        <w:b/>
        <w:bCs/>
      </w:rPr>
    </w:tblStylePr>
  </w:style>
  <w:style w:type="table" w:customStyle="1" w:styleId="GridTable1Light-Accent52">
    <w:name w:val="Grid Table 1 Light - Accent 52"/>
    <w:basedOn w:val="TableNormal"/>
    <w:uiPriority w:val="46"/>
    <w:rsid w:val="00862459"/>
    <w:tblPr>
      <w:tblStyleRowBandSize w:val="1"/>
      <w:tblStyleColBandSize w:val="1"/>
      <w:tblBorders>
        <w:top w:val="single" w:sz="4" w:space="0" w:color="BFBFBF" w:themeColor="accent5" w:themeTint="66"/>
        <w:left w:val="single" w:sz="4" w:space="0" w:color="BFBFBF" w:themeColor="accent5" w:themeTint="66"/>
        <w:bottom w:val="single" w:sz="4" w:space="0" w:color="BFBFBF" w:themeColor="accent5" w:themeTint="66"/>
        <w:right w:val="single" w:sz="4" w:space="0" w:color="BFBFBF" w:themeColor="accent5" w:themeTint="66"/>
        <w:insideH w:val="single" w:sz="4" w:space="0" w:color="BFBFBF" w:themeColor="accent5" w:themeTint="66"/>
        <w:insideV w:val="single" w:sz="4" w:space="0" w:color="BFBFBF" w:themeColor="accent5" w:themeTint="66"/>
      </w:tblBorders>
    </w:tblPr>
    <w:tblStylePr w:type="firstRow">
      <w:rPr>
        <w:b/>
        <w:bCs/>
      </w:rPr>
      <w:tblPr/>
      <w:tcPr>
        <w:tcBorders>
          <w:bottom w:val="single" w:sz="12" w:space="0" w:color="9F9F9F" w:themeColor="accent5" w:themeTint="99"/>
        </w:tcBorders>
      </w:tcPr>
    </w:tblStylePr>
    <w:tblStylePr w:type="lastRow">
      <w:rPr>
        <w:b/>
        <w:bCs/>
      </w:rPr>
      <w:tblPr/>
      <w:tcPr>
        <w:tcBorders>
          <w:top w:val="double" w:sz="2" w:space="0" w:color="9F9F9F" w:themeColor="accent5" w:themeTint="99"/>
        </w:tcBorders>
      </w:tcPr>
    </w:tblStylePr>
    <w:tblStylePr w:type="firstCol">
      <w:rPr>
        <w:b/>
        <w:bCs/>
      </w:rPr>
    </w:tblStylePr>
    <w:tblStylePr w:type="lastCol">
      <w:rPr>
        <w:b/>
        <w:bCs/>
      </w:rPr>
    </w:tblStylePr>
  </w:style>
  <w:style w:type="table" w:customStyle="1" w:styleId="GridTable1Light-Accent62">
    <w:name w:val="Grid Table 1 Light - Accent 62"/>
    <w:basedOn w:val="TableNormal"/>
    <w:uiPriority w:val="46"/>
    <w:rsid w:val="00862459"/>
    <w:tblPr>
      <w:tblStyleRowBandSize w:val="1"/>
      <w:tblStyleColBandSize w:val="1"/>
      <w:tblBorders>
        <w:top w:val="single" w:sz="4" w:space="0" w:color="B7B7B7" w:themeColor="accent6" w:themeTint="66"/>
        <w:left w:val="single" w:sz="4" w:space="0" w:color="B7B7B7" w:themeColor="accent6" w:themeTint="66"/>
        <w:bottom w:val="single" w:sz="4" w:space="0" w:color="B7B7B7" w:themeColor="accent6" w:themeTint="66"/>
        <w:right w:val="single" w:sz="4" w:space="0" w:color="B7B7B7" w:themeColor="accent6" w:themeTint="66"/>
        <w:insideH w:val="single" w:sz="4" w:space="0" w:color="B7B7B7" w:themeColor="accent6" w:themeTint="66"/>
        <w:insideV w:val="single" w:sz="4" w:space="0" w:color="B7B7B7" w:themeColor="accent6" w:themeTint="66"/>
      </w:tblBorders>
    </w:tblPr>
    <w:tblStylePr w:type="firstRow">
      <w:rPr>
        <w:b/>
        <w:bCs/>
      </w:rPr>
      <w:tblPr/>
      <w:tcPr>
        <w:tcBorders>
          <w:bottom w:val="single" w:sz="12" w:space="0" w:color="949494" w:themeColor="accent6" w:themeTint="99"/>
        </w:tcBorders>
      </w:tcPr>
    </w:tblStylePr>
    <w:tblStylePr w:type="lastRow">
      <w:rPr>
        <w:b/>
        <w:bCs/>
      </w:rPr>
      <w:tblPr/>
      <w:tcPr>
        <w:tcBorders>
          <w:top w:val="double" w:sz="2" w:space="0" w:color="949494" w:themeColor="accent6" w:themeTint="99"/>
        </w:tcBorders>
      </w:tcPr>
    </w:tblStylePr>
    <w:tblStylePr w:type="firstCol">
      <w:rPr>
        <w:b/>
        <w:bCs/>
      </w:rPr>
    </w:tblStylePr>
    <w:tblStylePr w:type="lastCol">
      <w:rPr>
        <w:b/>
        <w:bCs/>
      </w:rPr>
    </w:tblStylePr>
  </w:style>
  <w:style w:type="table" w:customStyle="1" w:styleId="GridTable22">
    <w:name w:val="Grid Table 22"/>
    <w:basedOn w:val="TableNormal"/>
    <w:uiPriority w:val="47"/>
    <w:rsid w:val="00862459"/>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0072BC" w:themeFill="background1"/>
      </w:tcPr>
    </w:tblStylePr>
    <w:tblStylePr w:type="lastRow">
      <w:rPr>
        <w:b/>
        <w:bCs/>
      </w:rPr>
      <w:tblPr/>
      <w:tcPr>
        <w:tcBorders>
          <w:top w:val="double" w:sz="2" w:space="0" w:color="666666" w:themeColor="text1"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GridTable2-Accent12">
    <w:name w:val="Grid Table 2 - Accent 12"/>
    <w:basedOn w:val="TableNormal"/>
    <w:uiPriority w:val="47"/>
    <w:rsid w:val="00862459"/>
    <w:tblPr>
      <w:tblStyleRowBandSize w:val="1"/>
      <w:tblStyleColBandSize w:val="1"/>
      <w:tblBorders>
        <w:top w:val="single" w:sz="2" w:space="0" w:color="3DB2FF" w:themeColor="accent1" w:themeTint="99"/>
        <w:bottom w:val="single" w:sz="2" w:space="0" w:color="3DB2FF" w:themeColor="accent1" w:themeTint="99"/>
        <w:insideH w:val="single" w:sz="2" w:space="0" w:color="3DB2FF" w:themeColor="accent1" w:themeTint="99"/>
        <w:insideV w:val="single" w:sz="2" w:space="0" w:color="3DB2FF" w:themeColor="accent1" w:themeTint="99"/>
      </w:tblBorders>
    </w:tblPr>
    <w:tblStylePr w:type="firstRow">
      <w:rPr>
        <w:b/>
        <w:bCs/>
      </w:rPr>
      <w:tblPr/>
      <w:tcPr>
        <w:tcBorders>
          <w:top w:val="nil"/>
          <w:bottom w:val="single" w:sz="12" w:space="0" w:color="3DB2FF" w:themeColor="accent1" w:themeTint="99"/>
          <w:insideH w:val="nil"/>
          <w:insideV w:val="nil"/>
        </w:tcBorders>
        <w:shd w:val="clear" w:color="auto" w:fill="0072BC" w:themeFill="background1"/>
      </w:tcPr>
    </w:tblStylePr>
    <w:tblStylePr w:type="lastRow">
      <w:rPr>
        <w:b/>
        <w:bCs/>
      </w:rPr>
      <w:tblPr/>
      <w:tcPr>
        <w:tcBorders>
          <w:top w:val="double" w:sz="2" w:space="0" w:color="3DB2FF" w:themeColor="accent1"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customStyle="1" w:styleId="GridTable2-Accent22">
    <w:name w:val="Grid Table 2 - Accent 22"/>
    <w:basedOn w:val="TableNormal"/>
    <w:uiPriority w:val="47"/>
    <w:rsid w:val="00862459"/>
    <w:tblPr>
      <w:tblStyleRowBandSize w:val="1"/>
      <w:tblStyleColBandSize w:val="1"/>
      <w:tblBorders>
        <w:top w:val="single" w:sz="2" w:space="0" w:color="FF4040" w:themeColor="accent2" w:themeTint="99"/>
        <w:bottom w:val="single" w:sz="2" w:space="0" w:color="FF4040" w:themeColor="accent2" w:themeTint="99"/>
        <w:insideH w:val="single" w:sz="2" w:space="0" w:color="FF4040" w:themeColor="accent2" w:themeTint="99"/>
        <w:insideV w:val="single" w:sz="2" w:space="0" w:color="FF4040" w:themeColor="accent2" w:themeTint="99"/>
      </w:tblBorders>
    </w:tblPr>
    <w:tblStylePr w:type="firstRow">
      <w:rPr>
        <w:b/>
        <w:bCs/>
      </w:rPr>
      <w:tblPr/>
      <w:tcPr>
        <w:tcBorders>
          <w:top w:val="nil"/>
          <w:bottom w:val="single" w:sz="12" w:space="0" w:color="FF4040" w:themeColor="accent2" w:themeTint="99"/>
          <w:insideH w:val="nil"/>
          <w:insideV w:val="nil"/>
        </w:tcBorders>
        <w:shd w:val="clear" w:color="auto" w:fill="0072BC" w:themeFill="background1"/>
      </w:tcPr>
    </w:tblStylePr>
    <w:tblStylePr w:type="lastRow">
      <w:rPr>
        <w:b/>
        <w:bCs/>
      </w:rPr>
      <w:tblPr/>
      <w:tcPr>
        <w:tcBorders>
          <w:top w:val="double" w:sz="2" w:space="0" w:color="FF4040" w:themeColor="accent2"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customStyle="1" w:styleId="GridTable2-Accent32">
    <w:name w:val="Grid Table 2 - Accent 32"/>
    <w:basedOn w:val="TableNormal"/>
    <w:uiPriority w:val="47"/>
    <w:rsid w:val="00862459"/>
    <w:tblPr>
      <w:tblStyleRowBandSize w:val="1"/>
      <w:tblStyleColBandSize w:val="1"/>
      <w:tblBorders>
        <w:top w:val="single" w:sz="2" w:space="0" w:color="9F9F9F" w:themeColor="accent3" w:themeTint="99"/>
        <w:bottom w:val="single" w:sz="2" w:space="0" w:color="9F9F9F" w:themeColor="accent3" w:themeTint="99"/>
        <w:insideH w:val="single" w:sz="2" w:space="0" w:color="9F9F9F" w:themeColor="accent3" w:themeTint="99"/>
        <w:insideV w:val="single" w:sz="2" w:space="0" w:color="9F9F9F" w:themeColor="accent3" w:themeTint="99"/>
      </w:tblBorders>
    </w:tblPr>
    <w:tblStylePr w:type="firstRow">
      <w:rPr>
        <w:b/>
        <w:bCs/>
      </w:rPr>
      <w:tblPr/>
      <w:tcPr>
        <w:tcBorders>
          <w:top w:val="nil"/>
          <w:bottom w:val="single" w:sz="12" w:space="0" w:color="9F9F9F" w:themeColor="accent3" w:themeTint="99"/>
          <w:insideH w:val="nil"/>
          <w:insideV w:val="nil"/>
        </w:tcBorders>
        <w:shd w:val="clear" w:color="auto" w:fill="0072BC" w:themeFill="background1"/>
      </w:tcPr>
    </w:tblStylePr>
    <w:tblStylePr w:type="lastRow">
      <w:rPr>
        <w:b/>
        <w:bCs/>
      </w:rPr>
      <w:tblPr/>
      <w:tcPr>
        <w:tcBorders>
          <w:top w:val="double" w:sz="2" w:space="0" w:color="9F9F9F" w:themeColor="accent3"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customStyle="1" w:styleId="GridTable2-Accent42">
    <w:name w:val="Grid Table 2 - Accent 42"/>
    <w:basedOn w:val="TableNormal"/>
    <w:uiPriority w:val="47"/>
    <w:rsid w:val="00862459"/>
    <w:tblPr>
      <w:tblStyleRowBandSize w:val="1"/>
      <w:tblStyleColBandSize w:val="1"/>
      <w:tblBorders>
        <w:top w:val="single" w:sz="2" w:space="0" w:color="C0C0C0" w:themeColor="accent4" w:themeTint="99"/>
        <w:bottom w:val="single" w:sz="2" w:space="0" w:color="C0C0C0" w:themeColor="accent4" w:themeTint="99"/>
        <w:insideH w:val="single" w:sz="2" w:space="0" w:color="C0C0C0" w:themeColor="accent4" w:themeTint="99"/>
        <w:insideV w:val="single" w:sz="2" w:space="0" w:color="C0C0C0" w:themeColor="accent4" w:themeTint="99"/>
      </w:tblBorders>
    </w:tblPr>
    <w:tblStylePr w:type="firstRow">
      <w:rPr>
        <w:b/>
        <w:bCs/>
      </w:rPr>
      <w:tblPr/>
      <w:tcPr>
        <w:tcBorders>
          <w:top w:val="nil"/>
          <w:bottom w:val="single" w:sz="12" w:space="0" w:color="C0C0C0" w:themeColor="accent4" w:themeTint="99"/>
          <w:insideH w:val="nil"/>
          <w:insideV w:val="nil"/>
        </w:tcBorders>
        <w:shd w:val="clear" w:color="auto" w:fill="0072BC" w:themeFill="background1"/>
      </w:tcPr>
    </w:tblStylePr>
    <w:tblStylePr w:type="lastRow">
      <w:rPr>
        <w:b/>
        <w:bCs/>
      </w:rPr>
      <w:tblPr/>
      <w:tcPr>
        <w:tcBorders>
          <w:top w:val="double" w:sz="2" w:space="0" w:color="C0C0C0" w:themeColor="accent4"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customStyle="1" w:styleId="GridTable2-Accent52">
    <w:name w:val="Grid Table 2 - Accent 52"/>
    <w:basedOn w:val="TableNormal"/>
    <w:uiPriority w:val="47"/>
    <w:rsid w:val="00862459"/>
    <w:tblPr>
      <w:tblStyleRowBandSize w:val="1"/>
      <w:tblStyleColBandSize w:val="1"/>
      <w:tblBorders>
        <w:top w:val="single" w:sz="2" w:space="0" w:color="9F9F9F" w:themeColor="accent5" w:themeTint="99"/>
        <w:bottom w:val="single" w:sz="2" w:space="0" w:color="9F9F9F" w:themeColor="accent5" w:themeTint="99"/>
        <w:insideH w:val="single" w:sz="2" w:space="0" w:color="9F9F9F" w:themeColor="accent5" w:themeTint="99"/>
        <w:insideV w:val="single" w:sz="2" w:space="0" w:color="9F9F9F" w:themeColor="accent5" w:themeTint="99"/>
      </w:tblBorders>
    </w:tblPr>
    <w:tblStylePr w:type="firstRow">
      <w:rPr>
        <w:b/>
        <w:bCs/>
      </w:rPr>
      <w:tblPr/>
      <w:tcPr>
        <w:tcBorders>
          <w:top w:val="nil"/>
          <w:bottom w:val="single" w:sz="12" w:space="0" w:color="9F9F9F" w:themeColor="accent5" w:themeTint="99"/>
          <w:insideH w:val="nil"/>
          <w:insideV w:val="nil"/>
        </w:tcBorders>
        <w:shd w:val="clear" w:color="auto" w:fill="0072BC" w:themeFill="background1"/>
      </w:tcPr>
    </w:tblStylePr>
    <w:tblStylePr w:type="lastRow">
      <w:rPr>
        <w:b/>
        <w:bCs/>
      </w:rPr>
      <w:tblPr/>
      <w:tcPr>
        <w:tcBorders>
          <w:top w:val="double" w:sz="2" w:space="0" w:color="9F9F9F" w:themeColor="accent5"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customStyle="1" w:styleId="GridTable2-Accent62">
    <w:name w:val="Grid Table 2 - Accent 62"/>
    <w:basedOn w:val="TableNormal"/>
    <w:uiPriority w:val="47"/>
    <w:rsid w:val="00862459"/>
    <w:tblPr>
      <w:tblStyleRowBandSize w:val="1"/>
      <w:tblStyleColBandSize w:val="1"/>
      <w:tblBorders>
        <w:top w:val="single" w:sz="2" w:space="0" w:color="949494" w:themeColor="accent6" w:themeTint="99"/>
        <w:bottom w:val="single" w:sz="2" w:space="0" w:color="949494" w:themeColor="accent6" w:themeTint="99"/>
        <w:insideH w:val="single" w:sz="2" w:space="0" w:color="949494" w:themeColor="accent6" w:themeTint="99"/>
        <w:insideV w:val="single" w:sz="2" w:space="0" w:color="949494" w:themeColor="accent6" w:themeTint="99"/>
      </w:tblBorders>
    </w:tblPr>
    <w:tblStylePr w:type="firstRow">
      <w:rPr>
        <w:b/>
        <w:bCs/>
      </w:rPr>
      <w:tblPr/>
      <w:tcPr>
        <w:tcBorders>
          <w:top w:val="nil"/>
          <w:bottom w:val="single" w:sz="12" w:space="0" w:color="949494" w:themeColor="accent6" w:themeTint="99"/>
          <w:insideH w:val="nil"/>
          <w:insideV w:val="nil"/>
        </w:tcBorders>
        <w:shd w:val="clear" w:color="auto" w:fill="0072BC" w:themeFill="background1"/>
      </w:tcPr>
    </w:tblStylePr>
    <w:tblStylePr w:type="lastRow">
      <w:rPr>
        <w:b/>
        <w:bCs/>
      </w:rPr>
      <w:tblPr/>
      <w:tcPr>
        <w:tcBorders>
          <w:top w:val="double" w:sz="2" w:space="0" w:color="949494" w:themeColor="accent6"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customStyle="1" w:styleId="GridTable32">
    <w:name w:val="Grid Table 32"/>
    <w:basedOn w:val="TableNormal"/>
    <w:uiPriority w:val="48"/>
    <w:rsid w:val="00862459"/>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customStyle="1" w:styleId="GridTable3-Accent12">
    <w:name w:val="Grid Table 3 - Accent 12"/>
    <w:basedOn w:val="TableNormal"/>
    <w:uiPriority w:val="48"/>
    <w:rsid w:val="00862459"/>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bottom w:val="single" w:sz="4" w:space="0" w:color="3DB2FF" w:themeColor="accent1" w:themeTint="99"/>
        </w:tcBorders>
      </w:tcPr>
    </w:tblStylePr>
    <w:tblStylePr w:type="nwCell">
      <w:tblPr/>
      <w:tcPr>
        <w:tcBorders>
          <w:bottom w:val="single" w:sz="4" w:space="0" w:color="3DB2FF" w:themeColor="accent1" w:themeTint="99"/>
        </w:tcBorders>
      </w:tcPr>
    </w:tblStylePr>
    <w:tblStylePr w:type="seCell">
      <w:tblPr/>
      <w:tcPr>
        <w:tcBorders>
          <w:top w:val="single" w:sz="4" w:space="0" w:color="3DB2FF" w:themeColor="accent1" w:themeTint="99"/>
        </w:tcBorders>
      </w:tcPr>
    </w:tblStylePr>
    <w:tblStylePr w:type="swCell">
      <w:tblPr/>
      <w:tcPr>
        <w:tcBorders>
          <w:top w:val="single" w:sz="4" w:space="0" w:color="3DB2FF" w:themeColor="accent1" w:themeTint="99"/>
        </w:tcBorders>
      </w:tcPr>
    </w:tblStylePr>
  </w:style>
  <w:style w:type="table" w:customStyle="1" w:styleId="GridTable3-Accent22">
    <w:name w:val="Grid Table 3 - Accent 22"/>
    <w:basedOn w:val="TableNormal"/>
    <w:uiPriority w:val="48"/>
    <w:rsid w:val="00862459"/>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bottom w:val="single" w:sz="4" w:space="0" w:color="FF4040" w:themeColor="accent2" w:themeTint="99"/>
        </w:tcBorders>
      </w:tcPr>
    </w:tblStylePr>
    <w:tblStylePr w:type="nwCell">
      <w:tblPr/>
      <w:tcPr>
        <w:tcBorders>
          <w:bottom w:val="single" w:sz="4" w:space="0" w:color="FF4040" w:themeColor="accent2" w:themeTint="99"/>
        </w:tcBorders>
      </w:tcPr>
    </w:tblStylePr>
    <w:tblStylePr w:type="seCell">
      <w:tblPr/>
      <w:tcPr>
        <w:tcBorders>
          <w:top w:val="single" w:sz="4" w:space="0" w:color="FF4040" w:themeColor="accent2" w:themeTint="99"/>
        </w:tcBorders>
      </w:tcPr>
    </w:tblStylePr>
    <w:tblStylePr w:type="swCell">
      <w:tblPr/>
      <w:tcPr>
        <w:tcBorders>
          <w:top w:val="single" w:sz="4" w:space="0" w:color="FF4040" w:themeColor="accent2" w:themeTint="99"/>
        </w:tcBorders>
      </w:tcPr>
    </w:tblStylePr>
  </w:style>
  <w:style w:type="table" w:customStyle="1" w:styleId="GridTable3-Accent32">
    <w:name w:val="Grid Table 3 - Accent 32"/>
    <w:basedOn w:val="TableNormal"/>
    <w:uiPriority w:val="48"/>
    <w:rsid w:val="00862459"/>
    <w:tblPr>
      <w:tblStyleRowBandSize w:val="1"/>
      <w:tblStyleColBandSize w:val="1"/>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insideV w:val="single" w:sz="4" w:space="0" w:color="9F9F9F" w:themeColor="accent3"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FDFDF" w:themeFill="accent3" w:themeFillTint="33"/>
      </w:tcPr>
    </w:tblStylePr>
    <w:tblStylePr w:type="band1Horz">
      <w:tblPr/>
      <w:tcPr>
        <w:shd w:val="clear" w:color="auto" w:fill="DFDFDF" w:themeFill="accent3" w:themeFillTint="33"/>
      </w:tcPr>
    </w:tblStylePr>
    <w:tblStylePr w:type="neCell">
      <w:tblPr/>
      <w:tcPr>
        <w:tcBorders>
          <w:bottom w:val="single" w:sz="4" w:space="0" w:color="9F9F9F" w:themeColor="accent3" w:themeTint="99"/>
        </w:tcBorders>
      </w:tcPr>
    </w:tblStylePr>
    <w:tblStylePr w:type="nwCell">
      <w:tblPr/>
      <w:tcPr>
        <w:tcBorders>
          <w:bottom w:val="single" w:sz="4" w:space="0" w:color="9F9F9F" w:themeColor="accent3" w:themeTint="99"/>
        </w:tcBorders>
      </w:tcPr>
    </w:tblStylePr>
    <w:tblStylePr w:type="seCell">
      <w:tblPr/>
      <w:tcPr>
        <w:tcBorders>
          <w:top w:val="single" w:sz="4" w:space="0" w:color="9F9F9F" w:themeColor="accent3" w:themeTint="99"/>
        </w:tcBorders>
      </w:tcPr>
    </w:tblStylePr>
    <w:tblStylePr w:type="swCell">
      <w:tblPr/>
      <w:tcPr>
        <w:tcBorders>
          <w:top w:val="single" w:sz="4" w:space="0" w:color="9F9F9F" w:themeColor="accent3" w:themeTint="99"/>
        </w:tcBorders>
      </w:tcPr>
    </w:tblStylePr>
  </w:style>
  <w:style w:type="table" w:customStyle="1" w:styleId="GridTable3-Accent42">
    <w:name w:val="Grid Table 3 - Accent 42"/>
    <w:basedOn w:val="TableNormal"/>
    <w:uiPriority w:val="48"/>
    <w:rsid w:val="00862459"/>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bottom w:val="single" w:sz="4" w:space="0" w:color="C0C0C0" w:themeColor="accent4" w:themeTint="99"/>
        </w:tcBorders>
      </w:tcPr>
    </w:tblStylePr>
    <w:tblStylePr w:type="nwCell">
      <w:tblPr/>
      <w:tcPr>
        <w:tcBorders>
          <w:bottom w:val="single" w:sz="4" w:space="0" w:color="C0C0C0" w:themeColor="accent4" w:themeTint="99"/>
        </w:tcBorders>
      </w:tcPr>
    </w:tblStylePr>
    <w:tblStylePr w:type="seCell">
      <w:tblPr/>
      <w:tcPr>
        <w:tcBorders>
          <w:top w:val="single" w:sz="4" w:space="0" w:color="C0C0C0" w:themeColor="accent4" w:themeTint="99"/>
        </w:tcBorders>
      </w:tcPr>
    </w:tblStylePr>
    <w:tblStylePr w:type="swCell">
      <w:tblPr/>
      <w:tcPr>
        <w:tcBorders>
          <w:top w:val="single" w:sz="4" w:space="0" w:color="C0C0C0" w:themeColor="accent4" w:themeTint="99"/>
        </w:tcBorders>
      </w:tcPr>
    </w:tblStylePr>
  </w:style>
  <w:style w:type="table" w:customStyle="1" w:styleId="GridTable3-Accent52">
    <w:name w:val="Grid Table 3 - Accent 52"/>
    <w:basedOn w:val="TableNormal"/>
    <w:uiPriority w:val="48"/>
    <w:rsid w:val="00862459"/>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bottom w:val="single" w:sz="4" w:space="0" w:color="9F9F9F" w:themeColor="accent5" w:themeTint="99"/>
        </w:tcBorders>
      </w:tcPr>
    </w:tblStylePr>
    <w:tblStylePr w:type="nwCell">
      <w:tblPr/>
      <w:tcPr>
        <w:tcBorders>
          <w:bottom w:val="single" w:sz="4" w:space="0" w:color="9F9F9F" w:themeColor="accent5" w:themeTint="99"/>
        </w:tcBorders>
      </w:tcPr>
    </w:tblStylePr>
    <w:tblStylePr w:type="seCell">
      <w:tblPr/>
      <w:tcPr>
        <w:tcBorders>
          <w:top w:val="single" w:sz="4" w:space="0" w:color="9F9F9F" w:themeColor="accent5" w:themeTint="99"/>
        </w:tcBorders>
      </w:tcPr>
    </w:tblStylePr>
    <w:tblStylePr w:type="swCell">
      <w:tblPr/>
      <w:tcPr>
        <w:tcBorders>
          <w:top w:val="single" w:sz="4" w:space="0" w:color="9F9F9F" w:themeColor="accent5" w:themeTint="99"/>
        </w:tcBorders>
      </w:tcPr>
    </w:tblStylePr>
  </w:style>
  <w:style w:type="table" w:customStyle="1" w:styleId="GridTable3-Accent62">
    <w:name w:val="Grid Table 3 - Accent 62"/>
    <w:basedOn w:val="TableNormal"/>
    <w:uiPriority w:val="48"/>
    <w:rsid w:val="00862459"/>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bottom w:val="single" w:sz="4" w:space="0" w:color="949494" w:themeColor="accent6" w:themeTint="99"/>
        </w:tcBorders>
      </w:tcPr>
    </w:tblStylePr>
    <w:tblStylePr w:type="nwCell">
      <w:tblPr/>
      <w:tcPr>
        <w:tcBorders>
          <w:bottom w:val="single" w:sz="4" w:space="0" w:color="949494" w:themeColor="accent6" w:themeTint="99"/>
        </w:tcBorders>
      </w:tcPr>
    </w:tblStylePr>
    <w:tblStylePr w:type="seCell">
      <w:tblPr/>
      <w:tcPr>
        <w:tcBorders>
          <w:top w:val="single" w:sz="4" w:space="0" w:color="949494" w:themeColor="accent6" w:themeTint="99"/>
        </w:tcBorders>
      </w:tcPr>
    </w:tblStylePr>
    <w:tblStylePr w:type="swCell">
      <w:tblPr/>
      <w:tcPr>
        <w:tcBorders>
          <w:top w:val="single" w:sz="4" w:space="0" w:color="949494" w:themeColor="accent6" w:themeTint="99"/>
        </w:tcBorders>
      </w:tcPr>
    </w:tblStylePr>
  </w:style>
  <w:style w:type="table" w:customStyle="1" w:styleId="GridTable42">
    <w:name w:val="Grid Table 42"/>
    <w:basedOn w:val="TableNormal"/>
    <w:uiPriority w:val="49"/>
    <w:rsid w:val="00862459"/>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0072BC"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GridTable4-Accent12">
    <w:name w:val="Grid Table 4 - Accent 12"/>
    <w:basedOn w:val="TableNormal"/>
    <w:uiPriority w:val="49"/>
    <w:rsid w:val="00862459"/>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color w:val="0072BC" w:themeColor="background1"/>
      </w:rPr>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nil"/>
          <w:insideV w:val="nil"/>
        </w:tcBorders>
        <w:shd w:val="clear" w:color="auto" w:fill="0072BC" w:themeFill="accent1"/>
      </w:tcPr>
    </w:tblStylePr>
    <w:tblStylePr w:type="lastRow">
      <w:rPr>
        <w:b/>
        <w:bCs/>
      </w:rPr>
      <w:tblPr/>
      <w:tcPr>
        <w:tcBorders>
          <w:top w:val="double" w:sz="4" w:space="0" w:color="0072BC" w:themeColor="accent1"/>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customStyle="1" w:styleId="GridTable4-Accent22">
    <w:name w:val="Grid Table 4 - Accent 22"/>
    <w:basedOn w:val="TableNormal"/>
    <w:uiPriority w:val="49"/>
    <w:rsid w:val="00862459"/>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color w:val="0072BC" w:themeColor="background1"/>
      </w:rPr>
      <w:tblPr/>
      <w:tcPr>
        <w:tcBorders>
          <w:top w:val="single" w:sz="4" w:space="0" w:color="C00000" w:themeColor="accent2"/>
          <w:left w:val="single" w:sz="4" w:space="0" w:color="C00000" w:themeColor="accent2"/>
          <w:bottom w:val="single" w:sz="4" w:space="0" w:color="C00000" w:themeColor="accent2"/>
          <w:right w:val="single" w:sz="4" w:space="0" w:color="C00000" w:themeColor="accent2"/>
          <w:insideH w:val="nil"/>
          <w:insideV w:val="nil"/>
        </w:tcBorders>
        <w:shd w:val="clear" w:color="auto" w:fill="C00000" w:themeFill="accent2"/>
      </w:tcPr>
    </w:tblStylePr>
    <w:tblStylePr w:type="lastRow">
      <w:rPr>
        <w:b/>
        <w:bCs/>
      </w:rPr>
      <w:tblPr/>
      <w:tcPr>
        <w:tcBorders>
          <w:top w:val="double" w:sz="4" w:space="0" w:color="C00000" w:themeColor="accent2"/>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customStyle="1" w:styleId="GridTable4-Accent32">
    <w:name w:val="Grid Table 4 - Accent 32"/>
    <w:basedOn w:val="TableNormal"/>
    <w:uiPriority w:val="49"/>
    <w:rsid w:val="00862459"/>
    <w:tblPr>
      <w:tblStyleRowBandSize w:val="1"/>
      <w:tblStyleColBandSize w:val="1"/>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insideV w:val="single" w:sz="4" w:space="0" w:color="9F9F9F" w:themeColor="accent3" w:themeTint="99"/>
      </w:tblBorders>
    </w:tblPr>
    <w:tblStylePr w:type="firstRow">
      <w:rPr>
        <w:b/>
        <w:bCs/>
        <w:color w:val="0072BC" w:themeColor="background1"/>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cBorders>
        <w:shd w:val="clear" w:color="auto" w:fill="5F5F5F" w:themeFill="accent3"/>
      </w:tcPr>
    </w:tblStylePr>
    <w:tblStylePr w:type="lastRow">
      <w:rPr>
        <w:b/>
        <w:bCs/>
      </w:rPr>
      <w:tblPr/>
      <w:tcPr>
        <w:tcBorders>
          <w:top w:val="double" w:sz="4" w:space="0" w:color="5F5F5F" w:themeColor="accent3"/>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customStyle="1" w:styleId="GridTable4-Accent42">
    <w:name w:val="Grid Table 4 - Accent 42"/>
    <w:basedOn w:val="TableNormal"/>
    <w:uiPriority w:val="49"/>
    <w:rsid w:val="00862459"/>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color w:val="0072BC" w:themeColor="background1"/>
      </w:rPr>
      <w:tblPr/>
      <w:tcPr>
        <w:tcBorders>
          <w:top w:val="single" w:sz="4" w:space="0" w:color="969696" w:themeColor="accent4"/>
          <w:left w:val="single" w:sz="4" w:space="0" w:color="969696" w:themeColor="accent4"/>
          <w:bottom w:val="single" w:sz="4" w:space="0" w:color="969696" w:themeColor="accent4"/>
          <w:right w:val="single" w:sz="4" w:space="0" w:color="969696" w:themeColor="accent4"/>
          <w:insideH w:val="nil"/>
          <w:insideV w:val="nil"/>
        </w:tcBorders>
        <w:shd w:val="clear" w:color="auto" w:fill="969696" w:themeFill="accent4"/>
      </w:tcPr>
    </w:tblStylePr>
    <w:tblStylePr w:type="lastRow">
      <w:rPr>
        <w:b/>
        <w:bCs/>
      </w:rPr>
      <w:tblPr/>
      <w:tcPr>
        <w:tcBorders>
          <w:top w:val="double" w:sz="4" w:space="0" w:color="969696" w:themeColor="accent4"/>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customStyle="1" w:styleId="GridTable4-Accent52">
    <w:name w:val="Grid Table 4 - Accent 52"/>
    <w:basedOn w:val="TableNormal"/>
    <w:uiPriority w:val="49"/>
    <w:rsid w:val="00862459"/>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color w:val="0072BC" w:themeColor="background1"/>
      </w:rPr>
      <w:tblPr/>
      <w:tcPr>
        <w:tcBorders>
          <w:top w:val="single" w:sz="4" w:space="0" w:color="5F5F5F" w:themeColor="accent5"/>
          <w:left w:val="single" w:sz="4" w:space="0" w:color="5F5F5F" w:themeColor="accent5"/>
          <w:bottom w:val="single" w:sz="4" w:space="0" w:color="5F5F5F" w:themeColor="accent5"/>
          <w:right w:val="single" w:sz="4" w:space="0" w:color="5F5F5F" w:themeColor="accent5"/>
          <w:insideH w:val="nil"/>
          <w:insideV w:val="nil"/>
        </w:tcBorders>
        <w:shd w:val="clear" w:color="auto" w:fill="5F5F5F" w:themeFill="accent5"/>
      </w:tcPr>
    </w:tblStylePr>
    <w:tblStylePr w:type="lastRow">
      <w:rPr>
        <w:b/>
        <w:bCs/>
      </w:rPr>
      <w:tblPr/>
      <w:tcPr>
        <w:tcBorders>
          <w:top w:val="double" w:sz="4" w:space="0" w:color="5F5F5F" w:themeColor="accent5"/>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customStyle="1" w:styleId="GridTable4-Accent62">
    <w:name w:val="Grid Table 4 - Accent 62"/>
    <w:basedOn w:val="TableNormal"/>
    <w:uiPriority w:val="49"/>
    <w:rsid w:val="00862459"/>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color w:val="0072BC" w:themeColor="background1"/>
      </w:rPr>
      <w:tblPr/>
      <w:tcPr>
        <w:tcBorders>
          <w:top w:val="single" w:sz="4" w:space="0" w:color="4D4D4D" w:themeColor="accent6"/>
          <w:left w:val="single" w:sz="4" w:space="0" w:color="4D4D4D" w:themeColor="accent6"/>
          <w:bottom w:val="single" w:sz="4" w:space="0" w:color="4D4D4D" w:themeColor="accent6"/>
          <w:right w:val="single" w:sz="4" w:space="0" w:color="4D4D4D" w:themeColor="accent6"/>
          <w:insideH w:val="nil"/>
          <w:insideV w:val="nil"/>
        </w:tcBorders>
        <w:shd w:val="clear" w:color="auto" w:fill="4D4D4D" w:themeFill="accent6"/>
      </w:tcPr>
    </w:tblStylePr>
    <w:tblStylePr w:type="lastRow">
      <w:rPr>
        <w:b/>
        <w:bCs/>
      </w:rPr>
      <w:tblPr/>
      <w:tcPr>
        <w:tcBorders>
          <w:top w:val="double" w:sz="4" w:space="0" w:color="4D4D4D" w:themeColor="accent6"/>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customStyle="1" w:styleId="GridTable5Dark2">
    <w:name w:val="Grid Table 5 Dark2"/>
    <w:basedOn w:val="TableNormal"/>
    <w:uiPriority w:val="50"/>
    <w:rsid w:val="00862459"/>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CCCCCC" w:themeFill="text1"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000000" w:themeFill="text1"/>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000000" w:themeFill="text1"/>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000000" w:themeFill="text1"/>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customStyle="1" w:styleId="GridTable5Dark-Accent12">
    <w:name w:val="Grid Table 5 Dark - Accent 12"/>
    <w:basedOn w:val="TableNormal"/>
    <w:uiPriority w:val="50"/>
    <w:rsid w:val="00862459"/>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BEE5FF" w:themeFill="accent1"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0072BC" w:themeFill="accent1"/>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0072BC" w:themeFill="accent1"/>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0072BC" w:themeFill="accent1"/>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0072BC" w:themeFill="accent1"/>
      </w:tcPr>
    </w:tblStylePr>
    <w:tblStylePr w:type="band1Vert">
      <w:tblPr/>
      <w:tcPr>
        <w:shd w:val="clear" w:color="auto" w:fill="7ECBFF" w:themeFill="accent1" w:themeFillTint="66"/>
      </w:tcPr>
    </w:tblStylePr>
    <w:tblStylePr w:type="band1Horz">
      <w:tblPr/>
      <w:tcPr>
        <w:shd w:val="clear" w:color="auto" w:fill="7ECBFF" w:themeFill="accent1" w:themeFillTint="66"/>
      </w:tcPr>
    </w:tblStylePr>
  </w:style>
  <w:style w:type="table" w:customStyle="1" w:styleId="GridTable5Dark-Accent22">
    <w:name w:val="Grid Table 5 Dark - Accent 22"/>
    <w:basedOn w:val="TableNormal"/>
    <w:uiPriority w:val="50"/>
    <w:rsid w:val="00862459"/>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FFBFBF" w:themeFill="accent2"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C00000" w:themeFill="accent2"/>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C00000" w:themeFill="accent2"/>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C00000" w:themeFill="accent2"/>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C00000" w:themeFill="accent2"/>
      </w:tcPr>
    </w:tblStylePr>
    <w:tblStylePr w:type="band1Vert">
      <w:tblPr/>
      <w:tcPr>
        <w:shd w:val="clear" w:color="auto" w:fill="FF7F7F" w:themeFill="accent2" w:themeFillTint="66"/>
      </w:tcPr>
    </w:tblStylePr>
    <w:tblStylePr w:type="band1Horz">
      <w:tblPr/>
      <w:tcPr>
        <w:shd w:val="clear" w:color="auto" w:fill="FF7F7F" w:themeFill="accent2" w:themeFillTint="66"/>
      </w:tcPr>
    </w:tblStylePr>
  </w:style>
  <w:style w:type="table" w:customStyle="1" w:styleId="GridTable5Dark-Accent32">
    <w:name w:val="Grid Table 5 Dark - Accent 32"/>
    <w:basedOn w:val="TableNormal"/>
    <w:uiPriority w:val="50"/>
    <w:rsid w:val="00862459"/>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DFDFDF" w:themeFill="accent3"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5F5F5F" w:themeFill="accent3"/>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5F5F5F" w:themeFill="accent3"/>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5F5F5F" w:themeFill="accent3"/>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5F5F5F" w:themeFill="accent3"/>
      </w:tcPr>
    </w:tblStylePr>
    <w:tblStylePr w:type="band1Vert">
      <w:tblPr/>
      <w:tcPr>
        <w:shd w:val="clear" w:color="auto" w:fill="BFBFBF" w:themeFill="accent3" w:themeFillTint="66"/>
      </w:tcPr>
    </w:tblStylePr>
    <w:tblStylePr w:type="band1Horz">
      <w:tblPr/>
      <w:tcPr>
        <w:shd w:val="clear" w:color="auto" w:fill="BFBFBF" w:themeFill="accent3" w:themeFillTint="66"/>
      </w:tcPr>
    </w:tblStylePr>
  </w:style>
  <w:style w:type="table" w:customStyle="1" w:styleId="GridTable5Dark-Accent42">
    <w:name w:val="Grid Table 5 Dark - Accent 42"/>
    <w:basedOn w:val="TableNormal"/>
    <w:uiPriority w:val="50"/>
    <w:rsid w:val="00862459"/>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EAEAEA" w:themeFill="accent4"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969696" w:themeFill="accent4"/>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969696" w:themeFill="accent4"/>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969696" w:themeFill="accent4"/>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969696" w:themeFill="accent4"/>
      </w:tcPr>
    </w:tblStylePr>
    <w:tblStylePr w:type="band1Vert">
      <w:tblPr/>
      <w:tcPr>
        <w:shd w:val="clear" w:color="auto" w:fill="D5D5D5" w:themeFill="accent4" w:themeFillTint="66"/>
      </w:tcPr>
    </w:tblStylePr>
    <w:tblStylePr w:type="band1Horz">
      <w:tblPr/>
      <w:tcPr>
        <w:shd w:val="clear" w:color="auto" w:fill="D5D5D5" w:themeFill="accent4" w:themeFillTint="66"/>
      </w:tcPr>
    </w:tblStylePr>
  </w:style>
  <w:style w:type="table" w:customStyle="1" w:styleId="GridTable5Dark-Accent52">
    <w:name w:val="Grid Table 5 Dark - Accent 52"/>
    <w:basedOn w:val="TableNormal"/>
    <w:uiPriority w:val="50"/>
    <w:rsid w:val="00862459"/>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DFDFDF" w:themeFill="accent5"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5F5F5F" w:themeFill="accent5"/>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5F5F5F" w:themeFill="accent5"/>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5F5F5F" w:themeFill="accent5"/>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5F5F5F" w:themeFill="accent5"/>
      </w:tcPr>
    </w:tblStylePr>
    <w:tblStylePr w:type="band1Vert">
      <w:tblPr/>
      <w:tcPr>
        <w:shd w:val="clear" w:color="auto" w:fill="BFBFBF" w:themeFill="accent5" w:themeFillTint="66"/>
      </w:tcPr>
    </w:tblStylePr>
    <w:tblStylePr w:type="band1Horz">
      <w:tblPr/>
      <w:tcPr>
        <w:shd w:val="clear" w:color="auto" w:fill="BFBFBF" w:themeFill="accent5" w:themeFillTint="66"/>
      </w:tcPr>
    </w:tblStylePr>
  </w:style>
  <w:style w:type="table" w:customStyle="1" w:styleId="GridTable5Dark-Accent62">
    <w:name w:val="Grid Table 5 Dark - Accent 62"/>
    <w:basedOn w:val="TableNormal"/>
    <w:uiPriority w:val="50"/>
    <w:rsid w:val="00862459"/>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DBDBDB" w:themeFill="accent6"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4D4D4D" w:themeFill="accent6"/>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4D4D4D" w:themeFill="accent6"/>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4D4D4D" w:themeFill="accent6"/>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4D4D4D" w:themeFill="accent6"/>
      </w:tcPr>
    </w:tblStylePr>
    <w:tblStylePr w:type="band1Vert">
      <w:tblPr/>
      <w:tcPr>
        <w:shd w:val="clear" w:color="auto" w:fill="B7B7B7" w:themeFill="accent6" w:themeFillTint="66"/>
      </w:tcPr>
    </w:tblStylePr>
    <w:tblStylePr w:type="band1Horz">
      <w:tblPr/>
      <w:tcPr>
        <w:shd w:val="clear" w:color="auto" w:fill="B7B7B7" w:themeFill="accent6" w:themeFillTint="66"/>
      </w:tcPr>
    </w:tblStylePr>
  </w:style>
  <w:style w:type="table" w:customStyle="1" w:styleId="GridTable6Colorful2">
    <w:name w:val="Grid Table 6 Colorful2"/>
    <w:basedOn w:val="TableNormal"/>
    <w:uiPriority w:val="51"/>
    <w:rsid w:val="00862459"/>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GridTable6Colorful-Accent12">
    <w:name w:val="Grid Table 6 Colorful - Accent 12"/>
    <w:basedOn w:val="TableNormal"/>
    <w:uiPriority w:val="51"/>
    <w:rsid w:val="00862459"/>
    <w:rPr>
      <w:color w:val="00548C" w:themeColor="accent1" w:themeShade="BF"/>
    </w:rPr>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bottom w:val="single" w:sz="12" w:space="0" w:color="3DB2FF" w:themeColor="accent1" w:themeTint="99"/>
        </w:tcBorders>
      </w:tcPr>
    </w:tblStylePr>
    <w:tblStylePr w:type="lastRow">
      <w:rPr>
        <w:b/>
        <w:bCs/>
      </w:rPr>
      <w:tblPr/>
      <w:tcPr>
        <w:tcBorders>
          <w:top w:val="doub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customStyle="1" w:styleId="GridTable6Colorful-Accent22">
    <w:name w:val="Grid Table 6 Colorful - Accent 22"/>
    <w:basedOn w:val="TableNormal"/>
    <w:uiPriority w:val="51"/>
    <w:rsid w:val="00862459"/>
    <w:rPr>
      <w:color w:val="8F0000" w:themeColor="accent2" w:themeShade="BF"/>
    </w:rPr>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bottom w:val="single" w:sz="12" w:space="0" w:color="FF4040" w:themeColor="accent2" w:themeTint="99"/>
        </w:tcBorders>
      </w:tcPr>
    </w:tblStylePr>
    <w:tblStylePr w:type="lastRow">
      <w:rPr>
        <w:b/>
        <w:bCs/>
      </w:rPr>
      <w:tblPr/>
      <w:tcPr>
        <w:tcBorders>
          <w:top w:val="doub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customStyle="1" w:styleId="GridTable6Colorful-Accent32">
    <w:name w:val="Grid Table 6 Colorful - Accent 32"/>
    <w:basedOn w:val="TableNormal"/>
    <w:uiPriority w:val="51"/>
    <w:rsid w:val="00862459"/>
    <w:rPr>
      <w:color w:val="474747" w:themeColor="accent3" w:themeShade="BF"/>
    </w:rPr>
    <w:tblPr>
      <w:tblStyleRowBandSize w:val="1"/>
      <w:tblStyleColBandSize w:val="1"/>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insideV w:val="single" w:sz="4" w:space="0" w:color="9F9F9F" w:themeColor="accent3" w:themeTint="99"/>
      </w:tblBorders>
    </w:tblPr>
    <w:tblStylePr w:type="firstRow">
      <w:rPr>
        <w:b/>
        <w:bCs/>
      </w:rPr>
      <w:tblPr/>
      <w:tcPr>
        <w:tcBorders>
          <w:bottom w:val="single" w:sz="12" w:space="0" w:color="9F9F9F" w:themeColor="accent3" w:themeTint="99"/>
        </w:tcBorders>
      </w:tcPr>
    </w:tblStylePr>
    <w:tblStylePr w:type="lastRow">
      <w:rPr>
        <w:b/>
        <w:bCs/>
      </w:rPr>
      <w:tblPr/>
      <w:tcPr>
        <w:tcBorders>
          <w:top w:val="double" w:sz="4" w:space="0" w:color="9F9F9F" w:themeColor="accent3" w:themeTint="99"/>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customStyle="1" w:styleId="GridTable6Colorful-Accent42">
    <w:name w:val="Grid Table 6 Colorful - Accent 42"/>
    <w:basedOn w:val="TableNormal"/>
    <w:uiPriority w:val="51"/>
    <w:rsid w:val="00862459"/>
    <w:rPr>
      <w:color w:val="707070" w:themeColor="accent4" w:themeShade="BF"/>
    </w:rPr>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bottom w:val="single" w:sz="12" w:space="0" w:color="C0C0C0" w:themeColor="accent4" w:themeTint="99"/>
        </w:tcBorders>
      </w:tcPr>
    </w:tblStylePr>
    <w:tblStylePr w:type="lastRow">
      <w:rPr>
        <w:b/>
        <w:bCs/>
      </w:rPr>
      <w:tblPr/>
      <w:tcPr>
        <w:tcBorders>
          <w:top w:val="doub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customStyle="1" w:styleId="GridTable6Colorful-Accent52">
    <w:name w:val="Grid Table 6 Colorful - Accent 52"/>
    <w:basedOn w:val="TableNormal"/>
    <w:uiPriority w:val="51"/>
    <w:rsid w:val="00862459"/>
    <w:rPr>
      <w:color w:val="474747" w:themeColor="accent5" w:themeShade="BF"/>
    </w:r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bottom w:val="single" w:sz="12" w:space="0" w:color="9F9F9F" w:themeColor="accent5" w:themeTint="99"/>
        </w:tcBorders>
      </w:tcPr>
    </w:tblStylePr>
    <w:tblStylePr w:type="lastRow">
      <w:rPr>
        <w:b/>
        <w:bCs/>
      </w:rPr>
      <w:tblPr/>
      <w:tcPr>
        <w:tcBorders>
          <w:top w:val="doub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customStyle="1" w:styleId="GridTable6Colorful-Accent62">
    <w:name w:val="Grid Table 6 Colorful - Accent 62"/>
    <w:basedOn w:val="TableNormal"/>
    <w:uiPriority w:val="51"/>
    <w:rsid w:val="00862459"/>
    <w:rPr>
      <w:color w:val="393939" w:themeColor="accent6" w:themeShade="BF"/>
    </w:r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bottom w:val="single" w:sz="12" w:space="0" w:color="949494" w:themeColor="accent6" w:themeTint="99"/>
        </w:tcBorders>
      </w:tcPr>
    </w:tblStylePr>
    <w:tblStylePr w:type="lastRow">
      <w:rPr>
        <w:b/>
        <w:bCs/>
      </w:rPr>
      <w:tblPr/>
      <w:tcPr>
        <w:tcBorders>
          <w:top w:val="doub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customStyle="1" w:styleId="GridTable7Colorful2">
    <w:name w:val="Grid Table 7 Colorful2"/>
    <w:basedOn w:val="TableNormal"/>
    <w:uiPriority w:val="52"/>
    <w:rsid w:val="00862459"/>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customStyle="1" w:styleId="GridTable7Colorful-Accent12">
    <w:name w:val="Grid Table 7 Colorful - Accent 12"/>
    <w:basedOn w:val="TableNormal"/>
    <w:uiPriority w:val="52"/>
    <w:rsid w:val="00862459"/>
    <w:rPr>
      <w:color w:val="00548C" w:themeColor="accent1" w:themeShade="BF"/>
    </w:rPr>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bottom w:val="single" w:sz="4" w:space="0" w:color="3DB2FF" w:themeColor="accent1" w:themeTint="99"/>
        </w:tcBorders>
      </w:tcPr>
    </w:tblStylePr>
    <w:tblStylePr w:type="nwCell">
      <w:tblPr/>
      <w:tcPr>
        <w:tcBorders>
          <w:bottom w:val="single" w:sz="4" w:space="0" w:color="3DB2FF" w:themeColor="accent1" w:themeTint="99"/>
        </w:tcBorders>
      </w:tcPr>
    </w:tblStylePr>
    <w:tblStylePr w:type="seCell">
      <w:tblPr/>
      <w:tcPr>
        <w:tcBorders>
          <w:top w:val="single" w:sz="4" w:space="0" w:color="3DB2FF" w:themeColor="accent1" w:themeTint="99"/>
        </w:tcBorders>
      </w:tcPr>
    </w:tblStylePr>
    <w:tblStylePr w:type="swCell">
      <w:tblPr/>
      <w:tcPr>
        <w:tcBorders>
          <w:top w:val="single" w:sz="4" w:space="0" w:color="3DB2FF" w:themeColor="accent1" w:themeTint="99"/>
        </w:tcBorders>
      </w:tcPr>
    </w:tblStylePr>
  </w:style>
  <w:style w:type="table" w:customStyle="1" w:styleId="GridTable7Colorful-Accent22">
    <w:name w:val="Grid Table 7 Colorful - Accent 22"/>
    <w:basedOn w:val="TableNormal"/>
    <w:uiPriority w:val="52"/>
    <w:rsid w:val="00862459"/>
    <w:rPr>
      <w:color w:val="8F0000" w:themeColor="accent2" w:themeShade="BF"/>
    </w:rPr>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bottom w:val="single" w:sz="4" w:space="0" w:color="FF4040" w:themeColor="accent2" w:themeTint="99"/>
        </w:tcBorders>
      </w:tcPr>
    </w:tblStylePr>
    <w:tblStylePr w:type="nwCell">
      <w:tblPr/>
      <w:tcPr>
        <w:tcBorders>
          <w:bottom w:val="single" w:sz="4" w:space="0" w:color="FF4040" w:themeColor="accent2" w:themeTint="99"/>
        </w:tcBorders>
      </w:tcPr>
    </w:tblStylePr>
    <w:tblStylePr w:type="seCell">
      <w:tblPr/>
      <w:tcPr>
        <w:tcBorders>
          <w:top w:val="single" w:sz="4" w:space="0" w:color="FF4040" w:themeColor="accent2" w:themeTint="99"/>
        </w:tcBorders>
      </w:tcPr>
    </w:tblStylePr>
    <w:tblStylePr w:type="swCell">
      <w:tblPr/>
      <w:tcPr>
        <w:tcBorders>
          <w:top w:val="single" w:sz="4" w:space="0" w:color="FF4040" w:themeColor="accent2" w:themeTint="99"/>
        </w:tcBorders>
      </w:tcPr>
    </w:tblStylePr>
  </w:style>
  <w:style w:type="table" w:customStyle="1" w:styleId="GridTable7Colorful-Accent32">
    <w:name w:val="Grid Table 7 Colorful - Accent 32"/>
    <w:basedOn w:val="TableNormal"/>
    <w:uiPriority w:val="52"/>
    <w:rsid w:val="00862459"/>
    <w:rPr>
      <w:color w:val="474747" w:themeColor="accent3" w:themeShade="BF"/>
    </w:rPr>
    <w:tblPr>
      <w:tblStyleRowBandSize w:val="1"/>
      <w:tblStyleColBandSize w:val="1"/>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insideV w:val="single" w:sz="4" w:space="0" w:color="9F9F9F" w:themeColor="accent3"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FDFDF" w:themeFill="accent3" w:themeFillTint="33"/>
      </w:tcPr>
    </w:tblStylePr>
    <w:tblStylePr w:type="band1Horz">
      <w:tblPr/>
      <w:tcPr>
        <w:shd w:val="clear" w:color="auto" w:fill="DFDFDF" w:themeFill="accent3" w:themeFillTint="33"/>
      </w:tcPr>
    </w:tblStylePr>
    <w:tblStylePr w:type="neCell">
      <w:tblPr/>
      <w:tcPr>
        <w:tcBorders>
          <w:bottom w:val="single" w:sz="4" w:space="0" w:color="9F9F9F" w:themeColor="accent3" w:themeTint="99"/>
        </w:tcBorders>
      </w:tcPr>
    </w:tblStylePr>
    <w:tblStylePr w:type="nwCell">
      <w:tblPr/>
      <w:tcPr>
        <w:tcBorders>
          <w:bottom w:val="single" w:sz="4" w:space="0" w:color="9F9F9F" w:themeColor="accent3" w:themeTint="99"/>
        </w:tcBorders>
      </w:tcPr>
    </w:tblStylePr>
    <w:tblStylePr w:type="seCell">
      <w:tblPr/>
      <w:tcPr>
        <w:tcBorders>
          <w:top w:val="single" w:sz="4" w:space="0" w:color="9F9F9F" w:themeColor="accent3" w:themeTint="99"/>
        </w:tcBorders>
      </w:tcPr>
    </w:tblStylePr>
    <w:tblStylePr w:type="swCell">
      <w:tblPr/>
      <w:tcPr>
        <w:tcBorders>
          <w:top w:val="single" w:sz="4" w:space="0" w:color="9F9F9F" w:themeColor="accent3" w:themeTint="99"/>
        </w:tcBorders>
      </w:tcPr>
    </w:tblStylePr>
  </w:style>
  <w:style w:type="table" w:customStyle="1" w:styleId="GridTable7Colorful-Accent42">
    <w:name w:val="Grid Table 7 Colorful - Accent 42"/>
    <w:basedOn w:val="TableNormal"/>
    <w:uiPriority w:val="52"/>
    <w:rsid w:val="00862459"/>
    <w:rPr>
      <w:color w:val="707070" w:themeColor="accent4" w:themeShade="BF"/>
    </w:rPr>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bottom w:val="single" w:sz="4" w:space="0" w:color="C0C0C0" w:themeColor="accent4" w:themeTint="99"/>
        </w:tcBorders>
      </w:tcPr>
    </w:tblStylePr>
    <w:tblStylePr w:type="nwCell">
      <w:tblPr/>
      <w:tcPr>
        <w:tcBorders>
          <w:bottom w:val="single" w:sz="4" w:space="0" w:color="C0C0C0" w:themeColor="accent4" w:themeTint="99"/>
        </w:tcBorders>
      </w:tcPr>
    </w:tblStylePr>
    <w:tblStylePr w:type="seCell">
      <w:tblPr/>
      <w:tcPr>
        <w:tcBorders>
          <w:top w:val="single" w:sz="4" w:space="0" w:color="C0C0C0" w:themeColor="accent4" w:themeTint="99"/>
        </w:tcBorders>
      </w:tcPr>
    </w:tblStylePr>
    <w:tblStylePr w:type="swCell">
      <w:tblPr/>
      <w:tcPr>
        <w:tcBorders>
          <w:top w:val="single" w:sz="4" w:space="0" w:color="C0C0C0" w:themeColor="accent4" w:themeTint="99"/>
        </w:tcBorders>
      </w:tcPr>
    </w:tblStylePr>
  </w:style>
  <w:style w:type="table" w:customStyle="1" w:styleId="GridTable7Colorful-Accent52">
    <w:name w:val="Grid Table 7 Colorful - Accent 52"/>
    <w:basedOn w:val="TableNormal"/>
    <w:uiPriority w:val="52"/>
    <w:rsid w:val="00862459"/>
    <w:rPr>
      <w:color w:val="474747" w:themeColor="accent5" w:themeShade="BF"/>
    </w:r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bottom w:val="single" w:sz="4" w:space="0" w:color="9F9F9F" w:themeColor="accent5" w:themeTint="99"/>
        </w:tcBorders>
      </w:tcPr>
    </w:tblStylePr>
    <w:tblStylePr w:type="nwCell">
      <w:tblPr/>
      <w:tcPr>
        <w:tcBorders>
          <w:bottom w:val="single" w:sz="4" w:space="0" w:color="9F9F9F" w:themeColor="accent5" w:themeTint="99"/>
        </w:tcBorders>
      </w:tcPr>
    </w:tblStylePr>
    <w:tblStylePr w:type="seCell">
      <w:tblPr/>
      <w:tcPr>
        <w:tcBorders>
          <w:top w:val="single" w:sz="4" w:space="0" w:color="9F9F9F" w:themeColor="accent5" w:themeTint="99"/>
        </w:tcBorders>
      </w:tcPr>
    </w:tblStylePr>
    <w:tblStylePr w:type="swCell">
      <w:tblPr/>
      <w:tcPr>
        <w:tcBorders>
          <w:top w:val="single" w:sz="4" w:space="0" w:color="9F9F9F" w:themeColor="accent5" w:themeTint="99"/>
        </w:tcBorders>
      </w:tcPr>
    </w:tblStylePr>
  </w:style>
  <w:style w:type="table" w:customStyle="1" w:styleId="GridTable7Colorful-Accent62">
    <w:name w:val="Grid Table 7 Colorful - Accent 62"/>
    <w:basedOn w:val="TableNormal"/>
    <w:uiPriority w:val="52"/>
    <w:rsid w:val="00862459"/>
    <w:rPr>
      <w:color w:val="393939" w:themeColor="accent6" w:themeShade="BF"/>
    </w:r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bottom w:val="single" w:sz="4" w:space="0" w:color="949494" w:themeColor="accent6" w:themeTint="99"/>
        </w:tcBorders>
      </w:tcPr>
    </w:tblStylePr>
    <w:tblStylePr w:type="nwCell">
      <w:tblPr/>
      <w:tcPr>
        <w:tcBorders>
          <w:bottom w:val="single" w:sz="4" w:space="0" w:color="949494" w:themeColor="accent6" w:themeTint="99"/>
        </w:tcBorders>
      </w:tcPr>
    </w:tblStylePr>
    <w:tblStylePr w:type="seCell">
      <w:tblPr/>
      <w:tcPr>
        <w:tcBorders>
          <w:top w:val="single" w:sz="4" w:space="0" w:color="949494" w:themeColor="accent6" w:themeTint="99"/>
        </w:tcBorders>
      </w:tcPr>
    </w:tblStylePr>
    <w:tblStylePr w:type="swCell">
      <w:tblPr/>
      <w:tcPr>
        <w:tcBorders>
          <w:top w:val="single" w:sz="4" w:space="0" w:color="949494" w:themeColor="accent6" w:themeTint="99"/>
        </w:tcBorders>
      </w:tcPr>
    </w:tblStylePr>
  </w:style>
  <w:style w:type="character" w:customStyle="1" w:styleId="17">
    <w:name w:val="Гештег1"/>
    <w:basedOn w:val="DefaultParagraphFont"/>
    <w:uiPriority w:val="99"/>
    <w:unhideWhenUsed/>
    <w:rsid w:val="00862459"/>
    <w:rPr>
      <w:color w:val="2B579A"/>
      <w:shd w:val="clear" w:color="auto" w:fill="E1DFDD"/>
    </w:rPr>
  </w:style>
  <w:style w:type="table" w:customStyle="1" w:styleId="ListTable1Light2">
    <w:name w:val="List Table 1 Light2"/>
    <w:basedOn w:val="TableNormal"/>
    <w:uiPriority w:val="46"/>
    <w:rsid w:val="00862459"/>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1Light-Accent12">
    <w:name w:val="List Table 1 Light - Accent 12"/>
    <w:basedOn w:val="TableNormal"/>
    <w:uiPriority w:val="46"/>
    <w:rsid w:val="00862459"/>
    <w:tblPr>
      <w:tblStyleRowBandSize w:val="1"/>
      <w:tblStyleColBandSize w:val="1"/>
    </w:tblPr>
    <w:tblStylePr w:type="firstRow">
      <w:rPr>
        <w:b/>
        <w:bCs/>
      </w:rPr>
      <w:tblPr/>
      <w:tcPr>
        <w:tcBorders>
          <w:bottom w:val="single" w:sz="4" w:space="0" w:color="3DB2FF" w:themeColor="accent1" w:themeTint="99"/>
        </w:tcBorders>
      </w:tcPr>
    </w:tblStylePr>
    <w:tblStylePr w:type="lastRow">
      <w:rPr>
        <w:b/>
        <w:bCs/>
      </w:rPr>
      <w:tblPr/>
      <w:tcPr>
        <w:tcBorders>
          <w:top w:val="sing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customStyle="1" w:styleId="ListTable1Light-Accent22">
    <w:name w:val="List Table 1 Light - Accent 22"/>
    <w:basedOn w:val="TableNormal"/>
    <w:uiPriority w:val="46"/>
    <w:rsid w:val="00862459"/>
    <w:tblPr>
      <w:tblStyleRowBandSize w:val="1"/>
      <w:tblStyleColBandSize w:val="1"/>
    </w:tblPr>
    <w:tblStylePr w:type="firstRow">
      <w:rPr>
        <w:b/>
        <w:bCs/>
      </w:rPr>
      <w:tblPr/>
      <w:tcPr>
        <w:tcBorders>
          <w:bottom w:val="single" w:sz="4" w:space="0" w:color="FF4040" w:themeColor="accent2" w:themeTint="99"/>
        </w:tcBorders>
      </w:tcPr>
    </w:tblStylePr>
    <w:tblStylePr w:type="lastRow">
      <w:rPr>
        <w:b/>
        <w:bCs/>
      </w:rPr>
      <w:tblPr/>
      <w:tcPr>
        <w:tcBorders>
          <w:top w:val="sing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customStyle="1" w:styleId="ListTable1Light-Accent32">
    <w:name w:val="List Table 1 Light - Accent 32"/>
    <w:basedOn w:val="TableNormal"/>
    <w:uiPriority w:val="46"/>
    <w:rsid w:val="00862459"/>
    <w:tblPr>
      <w:tblStyleRowBandSize w:val="1"/>
      <w:tblStyleColBandSize w:val="1"/>
    </w:tblPr>
    <w:tblStylePr w:type="firstRow">
      <w:rPr>
        <w:b/>
        <w:bCs/>
      </w:rPr>
      <w:tblPr/>
      <w:tcPr>
        <w:tcBorders>
          <w:bottom w:val="single" w:sz="4" w:space="0" w:color="9F9F9F" w:themeColor="accent3" w:themeTint="99"/>
        </w:tcBorders>
      </w:tcPr>
    </w:tblStylePr>
    <w:tblStylePr w:type="lastRow">
      <w:rPr>
        <w:b/>
        <w:bCs/>
      </w:rPr>
      <w:tblPr/>
      <w:tcPr>
        <w:tcBorders>
          <w:top w:val="single" w:sz="4" w:space="0" w:color="9F9F9F" w:themeColor="accent3" w:themeTint="99"/>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customStyle="1" w:styleId="ListTable1Light-Accent42">
    <w:name w:val="List Table 1 Light - Accent 42"/>
    <w:basedOn w:val="TableNormal"/>
    <w:uiPriority w:val="46"/>
    <w:rsid w:val="00862459"/>
    <w:tblPr>
      <w:tblStyleRowBandSize w:val="1"/>
      <w:tblStyleColBandSize w:val="1"/>
    </w:tblPr>
    <w:tblStylePr w:type="firstRow">
      <w:rPr>
        <w:b/>
        <w:bCs/>
      </w:rPr>
      <w:tblPr/>
      <w:tcPr>
        <w:tcBorders>
          <w:bottom w:val="single" w:sz="4" w:space="0" w:color="C0C0C0" w:themeColor="accent4" w:themeTint="99"/>
        </w:tcBorders>
      </w:tcPr>
    </w:tblStylePr>
    <w:tblStylePr w:type="lastRow">
      <w:rPr>
        <w:b/>
        <w:bCs/>
      </w:rPr>
      <w:tblPr/>
      <w:tcPr>
        <w:tcBorders>
          <w:top w:val="sing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customStyle="1" w:styleId="ListTable1Light-Accent52">
    <w:name w:val="List Table 1 Light - Accent 52"/>
    <w:basedOn w:val="TableNormal"/>
    <w:uiPriority w:val="46"/>
    <w:rsid w:val="00862459"/>
    <w:tblPr>
      <w:tblStyleRowBandSize w:val="1"/>
      <w:tblStyleColBandSize w:val="1"/>
    </w:tblPr>
    <w:tblStylePr w:type="firstRow">
      <w:rPr>
        <w:b/>
        <w:bCs/>
      </w:rPr>
      <w:tblPr/>
      <w:tcPr>
        <w:tcBorders>
          <w:bottom w:val="single" w:sz="4" w:space="0" w:color="9F9F9F" w:themeColor="accent5" w:themeTint="99"/>
        </w:tcBorders>
      </w:tcPr>
    </w:tblStylePr>
    <w:tblStylePr w:type="lastRow">
      <w:rPr>
        <w:b/>
        <w:bCs/>
      </w:rPr>
      <w:tblPr/>
      <w:tcPr>
        <w:tcBorders>
          <w:top w:val="sing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customStyle="1" w:styleId="ListTable1Light-Accent62">
    <w:name w:val="List Table 1 Light - Accent 62"/>
    <w:basedOn w:val="TableNormal"/>
    <w:uiPriority w:val="46"/>
    <w:rsid w:val="00862459"/>
    <w:tblPr>
      <w:tblStyleRowBandSize w:val="1"/>
      <w:tblStyleColBandSize w:val="1"/>
    </w:tblPr>
    <w:tblStylePr w:type="firstRow">
      <w:rPr>
        <w:b/>
        <w:bCs/>
      </w:rPr>
      <w:tblPr/>
      <w:tcPr>
        <w:tcBorders>
          <w:bottom w:val="single" w:sz="4" w:space="0" w:color="949494" w:themeColor="accent6" w:themeTint="99"/>
        </w:tcBorders>
      </w:tcPr>
    </w:tblStylePr>
    <w:tblStylePr w:type="lastRow">
      <w:rPr>
        <w:b/>
        <w:bCs/>
      </w:rPr>
      <w:tblPr/>
      <w:tcPr>
        <w:tcBorders>
          <w:top w:val="sing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customStyle="1" w:styleId="ListTable22">
    <w:name w:val="List Table 22"/>
    <w:basedOn w:val="TableNormal"/>
    <w:uiPriority w:val="47"/>
    <w:rsid w:val="00862459"/>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2-Accent12">
    <w:name w:val="List Table 2 - Accent 12"/>
    <w:basedOn w:val="TableNormal"/>
    <w:uiPriority w:val="47"/>
    <w:rsid w:val="00862459"/>
    <w:tblPr>
      <w:tblStyleRowBandSize w:val="1"/>
      <w:tblStyleColBandSize w:val="1"/>
      <w:tblBorders>
        <w:top w:val="single" w:sz="4" w:space="0" w:color="3DB2FF" w:themeColor="accent1" w:themeTint="99"/>
        <w:bottom w:val="single" w:sz="4" w:space="0" w:color="3DB2FF" w:themeColor="accent1" w:themeTint="99"/>
        <w:insideH w:val="single" w:sz="4" w:space="0" w:color="3DB2FF"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customStyle="1" w:styleId="ListTable2-Accent22">
    <w:name w:val="List Table 2 - Accent 22"/>
    <w:basedOn w:val="TableNormal"/>
    <w:uiPriority w:val="47"/>
    <w:rsid w:val="00862459"/>
    <w:tblPr>
      <w:tblStyleRowBandSize w:val="1"/>
      <w:tblStyleColBandSize w:val="1"/>
      <w:tblBorders>
        <w:top w:val="single" w:sz="4" w:space="0" w:color="FF4040" w:themeColor="accent2" w:themeTint="99"/>
        <w:bottom w:val="single" w:sz="4" w:space="0" w:color="FF4040" w:themeColor="accent2" w:themeTint="99"/>
        <w:insideH w:val="single" w:sz="4" w:space="0" w:color="FF4040"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customStyle="1" w:styleId="ListTable2-Accent32">
    <w:name w:val="List Table 2 - Accent 32"/>
    <w:basedOn w:val="TableNormal"/>
    <w:uiPriority w:val="47"/>
    <w:rsid w:val="00862459"/>
    <w:tblPr>
      <w:tblStyleRowBandSize w:val="1"/>
      <w:tblStyleColBandSize w:val="1"/>
      <w:tblBorders>
        <w:top w:val="single" w:sz="4" w:space="0" w:color="9F9F9F" w:themeColor="accent3" w:themeTint="99"/>
        <w:bottom w:val="single" w:sz="4" w:space="0" w:color="9F9F9F" w:themeColor="accent3" w:themeTint="99"/>
        <w:insideH w:val="single" w:sz="4" w:space="0" w:color="9F9F9F"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customStyle="1" w:styleId="ListTable2-Accent42">
    <w:name w:val="List Table 2 - Accent 42"/>
    <w:basedOn w:val="TableNormal"/>
    <w:uiPriority w:val="47"/>
    <w:rsid w:val="00862459"/>
    <w:tblPr>
      <w:tblStyleRowBandSize w:val="1"/>
      <w:tblStyleColBandSize w:val="1"/>
      <w:tblBorders>
        <w:top w:val="single" w:sz="4" w:space="0" w:color="C0C0C0" w:themeColor="accent4" w:themeTint="99"/>
        <w:bottom w:val="single" w:sz="4" w:space="0" w:color="C0C0C0" w:themeColor="accent4" w:themeTint="99"/>
        <w:insideH w:val="single" w:sz="4" w:space="0" w:color="C0C0C0"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customStyle="1" w:styleId="ListTable2-Accent52">
    <w:name w:val="List Table 2 - Accent 52"/>
    <w:basedOn w:val="TableNormal"/>
    <w:uiPriority w:val="47"/>
    <w:rsid w:val="00862459"/>
    <w:tblPr>
      <w:tblStyleRowBandSize w:val="1"/>
      <w:tblStyleColBandSize w:val="1"/>
      <w:tblBorders>
        <w:top w:val="single" w:sz="4" w:space="0" w:color="9F9F9F" w:themeColor="accent5" w:themeTint="99"/>
        <w:bottom w:val="single" w:sz="4" w:space="0" w:color="9F9F9F" w:themeColor="accent5" w:themeTint="99"/>
        <w:insideH w:val="single" w:sz="4" w:space="0" w:color="9F9F9F"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customStyle="1" w:styleId="ListTable2-Accent62">
    <w:name w:val="List Table 2 - Accent 62"/>
    <w:basedOn w:val="TableNormal"/>
    <w:uiPriority w:val="47"/>
    <w:rsid w:val="00862459"/>
    <w:tblPr>
      <w:tblStyleRowBandSize w:val="1"/>
      <w:tblStyleColBandSize w:val="1"/>
      <w:tblBorders>
        <w:top w:val="single" w:sz="4" w:space="0" w:color="949494" w:themeColor="accent6" w:themeTint="99"/>
        <w:bottom w:val="single" w:sz="4" w:space="0" w:color="949494" w:themeColor="accent6" w:themeTint="99"/>
        <w:insideH w:val="single" w:sz="4" w:space="0" w:color="949494"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customStyle="1" w:styleId="ListTable32">
    <w:name w:val="List Table 32"/>
    <w:basedOn w:val="TableNormal"/>
    <w:uiPriority w:val="48"/>
    <w:rsid w:val="00862459"/>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0072BC"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customStyle="1" w:styleId="ListTable3-Accent12">
    <w:name w:val="List Table 3 - Accent 12"/>
    <w:basedOn w:val="TableNormal"/>
    <w:uiPriority w:val="48"/>
    <w:rsid w:val="00862459"/>
    <w:tblPr>
      <w:tblStyleRowBandSize w:val="1"/>
      <w:tblStyleColBandSize w:val="1"/>
      <w:tblBorders>
        <w:top w:val="single" w:sz="4" w:space="0" w:color="0072BC" w:themeColor="accent1"/>
        <w:left w:val="single" w:sz="4" w:space="0" w:color="0072BC" w:themeColor="accent1"/>
        <w:bottom w:val="single" w:sz="4" w:space="0" w:color="0072BC" w:themeColor="accent1"/>
        <w:right w:val="single" w:sz="4" w:space="0" w:color="0072BC" w:themeColor="accent1"/>
      </w:tblBorders>
    </w:tblPr>
    <w:tblStylePr w:type="firstRow">
      <w:rPr>
        <w:b/>
        <w:bCs/>
        <w:color w:val="0072BC" w:themeColor="background1"/>
      </w:rPr>
      <w:tblPr/>
      <w:tcPr>
        <w:shd w:val="clear" w:color="auto" w:fill="0072BC" w:themeFill="accent1"/>
      </w:tcPr>
    </w:tblStylePr>
    <w:tblStylePr w:type="lastRow">
      <w:rPr>
        <w:b/>
        <w:bCs/>
      </w:rPr>
      <w:tblPr/>
      <w:tcPr>
        <w:tcBorders>
          <w:top w:val="double" w:sz="4" w:space="0" w:color="0072BC" w:themeColor="accent1"/>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0072BC" w:themeColor="accent1"/>
          <w:right w:val="single" w:sz="4" w:space="0" w:color="0072BC" w:themeColor="accent1"/>
        </w:tcBorders>
      </w:tcPr>
    </w:tblStylePr>
    <w:tblStylePr w:type="band1Horz">
      <w:tblPr/>
      <w:tcPr>
        <w:tcBorders>
          <w:top w:val="single" w:sz="4" w:space="0" w:color="0072BC" w:themeColor="accent1"/>
          <w:bottom w:val="single" w:sz="4" w:space="0" w:color="0072BC"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72BC" w:themeColor="accent1"/>
          <w:left w:val="nil"/>
        </w:tcBorders>
      </w:tcPr>
    </w:tblStylePr>
    <w:tblStylePr w:type="swCell">
      <w:tblPr/>
      <w:tcPr>
        <w:tcBorders>
          <w:top w:val="double" w:sz="4" w:space="0" w:color="0072BC" w:themeColor="accent1"/>
          <w:right w:val="nil"/>
        </w:tcBorders>
      </w:tcPr>
    </w:tblStylePr>
  </w:style>
  <w:style w:type="table" w:customStyle="1" w:styleId="ListTable3-Accent22">
    <w:name w:val="List Table 3 - Accent 22"/>
    <w:basedOn w:val="TableNormal"/>
    <w:uiPriority w:val="48"/>
    <w:rsid w:val="00862459"/>
    <w:tblPr>
      <w:tblStyleRowBandSize w:val="1"/>
      <w:tblStyleColBandSize w:val="1"/>
      <w:tblBorders>
        <w:top w:val="single" w:sz="4" w:space="0" w:color="C00000" w:themeColor="accent2"/>
        <w:left w:val="single" w:sz="4" w:space="0" w:color="C00000" w:themeColor="accent2"/>
        <w:bottom w:val="single" w:sz="4" w:space="0" w:color="C00000" w:themeColor="accent2"/>
        <w:right w:val="single" w:sz="4" w:space="0" w:color="C00000" w:themeColor="accent2"/>
      </w:tblBorders>
    </w:tblPr>
    <w:tblStylePr w:type="firstRow">
      <w:rPr>
        <w:b/>
        <w:bCs/>
        <w:color w:val="0072BC" w:themeColor="background1"/>
      </w:rPr>
      <w:tblPr/>
      <w:tcPr>
        <w:shd w:val="clear" w:color="auto" w:fill="C00000" w:themeFill="accent2"/>
      </w:tcPr>
    </w:tblStylePr>
    <w:tblStylePr w:type="lastRow">
      <w:rPr>
        <w:b/>
        <w:bCs/>
      </w:rPr>
      <w:tblPr/>
      <w:tcPr>
        <w:tcBorders>
          <w:top w:val="double" w:sz="4" w:space="0" w:color="C00000" w:themeColor="accent2"/>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C00000" w:themeColor="accent2"/>
          <w:right w:val="single" w:sz="4" w:space="0" w:color="C00000" w:themeColor="accent2"/>
        </w:tcBorders>
      </w:tcPr>
    </w:tblStylePr>
    <w:tblStylePr w:type="band1Horz">
      <w:tblPr/>
      <w:tcPr>
        <w:tcBorders>
          <w:top w:val="single" w:sz="4" w:space="0" w:color="C00000" w:themeColor="accent2"/>
          <w:bottom w:val="single" w:sz="4" w:space="0" w:color="C00000"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0000" w:themeColor="accent2"/>
          <w:left w:val="nil"/>
        </w:tcBorders>
      </w:tcPr>
    </w:tblStylePr>
    <w:tblStylePr w:type="swCell">
      <w:tblPr/>
      <w:tcPr>
        <w:tcBorders>
          <w:top w:val="double" w:sz="4" w:space="0" w:color="C00000" w:themeColor="accent2"/>
          <w:right w:val="nil"/>
        </w:tcBorders>
      </w:tcPr>
    </w:tblStylePr>
  </w:style>
  <w:style w:type="table" w:customStyle="1" w:styleId="ListTable3-Accent32">
    <w:name w:val="List Table 3 - Accent 32"/>
    <w:basedOn w:val="TableNormal"/>
    <w:uiPriority w:val="48"/>
    <w:rsid w:val="00862459"/>
    <w:tblPr>
      <w:tblStyleRowBandSize w:val="1"/>
      <w:tblStyleColBandSize w:val="1"/>
      <w:tblBorders>
        <w:top w:val="single" w:sz="4" w:space="0" w:color="5F5F5F" w:themeColor="accent3"/>
        <w:left w:val="single" w:sz="4" w:space="0" w:color="5F5F5F" w:themeColor="accent3"/>
        <w:bottom w:val="single" w:sz="4" w:space="0" w:color="5F5F5F" w:themeColor="accent3"/>
        <w:right w:val="single" w:sz="4" w:space="0" w:color="5F5F5F" w:themeColor="accent3"/>
      </w:tblBorders>
    </w:tblPr>
    <w:tblStylePr w:type="firstRow">
      <w:rPr>
        <w:b/>
        <w:bCs/>
        <w:color w:val="0072BC" w:themeColor="background1"/>
      </w:rPr>
      <w:tblPr/>
      <w:tcPr>
        <w:shd w:val="clear" w:color="auto" w:fill="5F5F5F" w:themeFill="accent3"/>
      </w:tcPr>
    </w:tblStylePr>
    <w:tblStylePr w:type="lastRow">
      <w:rPr>
        <w:b/>
        <w:bCs/>
      </w:rPr>
      <w:tblPr/>
      <w:tcPr>
        <w:tcBorders>
          <w:top w:val="double" w:sz="4" w:space="0" w:color="5F5F5F" w:themeColor="accent3"/>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5F5F5F" w:themeColor="accent3"/>
          <w:right w:val="single" w:sz="4" w:space="0" w:color="5F5F5F" w:themeColor="accent3"/>
        </w:tcBorders>
      </w:tcPr>
    </w:tblStylePr>
    <w:tblStylePr w:type="band1Horz">
      <w:tblPr/>
      <w:tcPr>
        <w:tcBorders>
          <w:top w:val="single" w:sz="4" w:space="0" w:color="5F5F5F" w:themeColor="accent3"/>
          <w:bottom w:val="single" w:sz="4" w:space="0" w:color="5F5F5F"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F5F5F" w:themeColor="accent3"/>
          <w:left w:val="nil"/>
        </w:tcBorders>
      </w:tcPr>
    </w:tblStylePr>
    <w:tblStylePr w:type="swCell">
      <w:tblPr/>
      <w:tcPr>
        <w:tcBorders>
          <w:top w:val="double" w:sz="4" w:space="0" w:color="5F5F5F" w:themeColor="accent3"/>
          <w:right w:val="nil"/>
        </w:tcBorders>
      </w:tcPr>
    </w:tblStylePr>
  </w:style>
  <w:style w:type="table" w:customStyle="1" w:styleId="ListTable3-Accent42">
    <w:name w:val="List Table 3 - Accent 42"/>
    <w:basedOn w:val="TableNormal"/>
    <w:uiPriority w:val="48"/>
    <w:rsid w:val="00862459"/>
    <w:tblPr>
      <w:tblStyleRowBandSize w:val="1"/>
      <w:tblStyleColBandSize w:val="1"/>
      <w:tblBorders>
        <w:top w:val="single" w:sz="4" w:space="0" w:color="969696" w:themeColor="accent4"/>
        <w:left w:val="single" w:sz="4" w:space="0" w:color="969696" w:themeColor="accent4"/>
        <w:bottom w:val="single" w:sz="4" w:space="0" w:color="969696" w:themeColor="accent4"/>
        <w:right w:val="single" w:sz="4" w:space="0" w:color="969696" w:themeColor="accent4"/>
      </w:tblBorders>
    </w:tblPr>
    <w:tblStylePr w:type="firstRow">
      <w:rPr>
        <w:b/>
        <w:bCs/>
        <w:color w:val="0072BC" w:themeColor="background1"/>
      </w:rPr>
      <w:tblPr/>
      <w:tcPr>
        <w:shd w:val="clear" w:color="auto" w:fill="969696" w:themeFill="accent4"/>
      </w:tcPr>
    </w:tblStylePr>
    <w:tblStylePr w:type="lastRow">
      <w:rPr>
        <w:b/>
        <w:bCs/>
      </w:rPr>
      <w:tblPr/>
      <w:tcPr>
        <w:tcBorders>
          <w:top w:val="double" w:sz="4" w:space="0" w:color="969696" w:themeColor="accent4"/>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969696" w:themeColor="accent4"/>
          <w:right w:val="single" w:sz="4" w:space="0" w:color="969696" w:themeColor="accent4"/>
        </w:tcBorders>
      </w:tcPr>
    </w:tblStylePr>
    <w:tblStylePr w:type="band1Horz">
      <w:tblPr/>
      <w:tcPr>
        <w:tcBorders>
          <w:top w:val="single" w:sz="4" w:space="0" w:color="969696" w:themeColor="accent4"/>
          <w:bottom w:val="single" w:sz="4" w:space="0" w:color="969696"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69696" w:themeColor="accent4"/>
          <w:left w:val="nil"/>
        </w:tcBorders>
      </w:tcPr>
    </w:tblStylePr>
    <w:tblStylePr w:type="swCell">
      <w:tblPr/>
      <w:tcPr>
        <w:tcBorders>
          <w:top w:val="double" w:sz="4" w:space="0" w:color="969696" w:themeColor="accent4"/>
          <w:right w:val="nil"/>
        </w:tcBorders>
      </w:tcPr>
    </w:tblStylePr>
  </w:style>
  <w:style w:type="table" w:customStyle="1" w:styleId="ListTable3-Accent52">
    <w:name w:val="List Table 3 - Accent 52"/>
    <w:basedOn w:val="TableNormal"/>
    <w:uiPriority w:val="48"/>
    <w:rsid w:val="00862459"/>
    <w:tblPr>
      <w:tblStyleRowBandSize w:val="1"/>
      <w:tblStyleColBandSize w:val="1"/>
      <w:tblBorders>
        <w:top w:val="single" w:sz="4" w:space="0" w:color="5F5F5F" w:themeColor="accent5"/>
        <w:left w:val="single" w:sz="4" w:space="0" w:color="5F5F5F" w:themeColor="accent5"/>
        <w:bottom w:val="single" w:sz="4" w:space="0" w:color="5F5F5F" w:themeColor="accent5"/>
        <w:right w:val="single" w:sz="4" w:space="0" w:color="5F5F5F" w:themeColor="accent5"/>
      </w:tblBorders>
    </w:tblPr>
    <w:tblStylePr w:type="firstRow">
      <w:rPr>
        <w:b/>
        <w:bCs/>
        <w:color w:val="0072BC" w:themeColor="background1"/>
      </w:rPr>
      <w:tblPr/>
      <w:tcPr>
        <w:shd w:val="clear" w:color="auto" w:fill="5F5F5F" w:themeFill="accent5"/>
      </w:tcPr>
    </w:tblStylePr>
    <w:tblStylePr w:type="lastRow">
      <w:rPr>
        <w:b/>
        <w:bCs/>
      </w:rPr>
      <w:tblPr/>
      <w:tcPr>
        <w:tcBorders>
          <w:top w:val="double" w:sz="4" w:space="0" w:color="5F5F5F" w:themeColor="accent5"/>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5F5F5F" w:themeColor="accent5"/>
          <w:right w:val="single" w:sz="4" w:space="0" w:color="5F5F5F" w:themeColor="accent5"/>
        </w:tcBorders>
      </w:tcPr>
    </w:tblStylePr>
    <w:tblStylePr w:type="band1Horz">
      <w:tblPr/>
      <w:tcPr>
        <w:tcBorders>
          <w:top w:val="single" w:sz="4" w:space="0" w:color="5F5F5F" w:themeColor="accent5"/>
          <w:bottom w:val="single" w:sz="4" w:space="0" w:color="5F5F5F"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F5F5F" w:themeColor="accent5"/>
          <w:left w:val="nil"/>
        </w:tcBorders>
      </w:tcPr>
    </w:tblStylePr>
    <w:tblStylePr w:type="swCell">
      <w:tblPr/>
      <w:tcPr>
        <w:tcBorders>
          <w:top w:val="double" w:sz="4" w:space="0" w:color="5F5F5F" w:themeColor="accent5"/>
          <w:right w:val="nil"/>
        </w:tcBorders>
      </w:tcPr>
    </w:tblStylePr>
  </w:style>
  <w:style w:type="table" w:customStyle="1" w:styleId="ListTable3-Accent62">
    <w:name w:val="List Table 3 - Accent 62"/>
    <w:basedOn w:val="TableNormal"/>
    <w:uiPriority w:val="48"/>
    <w:rsid w:val="00862459"/>
    <w:tblPr>
      <w:tblStyleRowBandSize w:val="1"/>
      <w:tblStyleColBandSize w:val="1"/>
      <w:tblBorders>
        <w:top w:val="single" w:sz="4" w:space="0" w:color="4D4D4D" w:themeColor="accent6"/>
        <w:left w:val="single" w:sz="4" w:space="0" w:color="4D4D4D" w:themeColor="accent6"/>
        <w:bottom w:val="single" w:sz="4" w:space="0" w:color="4D4D4D" w:themeColor="accent6"/>
        <w:right w:val="single" w:sz="4" w:space="0" w:color="4D4D4D" w:themeColor="accent6"/>
      </w:tblBorders>
    </w:tblPr>
    <w:tblStylePr w:type="firstRow">
      <w:rPr>
        <w:b/>
        <w:bCs/>
        <w:color w:val="0072BC" w:themeColor="background1"/>
      </w:rPr>
      <w:tblPr/>
      <w:tcPr>
        <w:shd w:val="clear" w:color="auto" w:fill="4D4D4D" w:themeFill="accent6"/>
      </w:tcPr>
    </w:tblStylePr>
    <w:tblStylePr w:type="lastRow">
      <w:rPr>
        <w:b/>
        <w:bCs/>
      </w:rPr>
      <w:tblPr/>
      <w:tcPr>
        <w:tcBorders>
          <w:top w:val="double" w:sz="4" w:space="0" w:color="4D4D4D" w:themeColor="accent6"/>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4D4D4D" w:themeColor="accent6"/>
          <w:right w:val="single" w:sz="4" w:space="0" w:color="4D4D4D" w:themeColor="accent6"/>
        </w:tcBorders>
      </w:tcPr>
    </w:tblStylePr>
    <w:tblStylePr w:type="band1Horz">
      <w:tblPr/>
      <w:tcPr>
        <w:tcBorders>
          <w:top w:val="single" w:sz="4" w:space="0" w:color="4D4D4D" w:themeColor="accent6"/>
          <w:bottom w:val="single" w:sz="4" w:space="0" w:color="4D4D4D"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D4D4D" w:themeColor="accent6"/>
          <w:left w:val="nil"/>
        </w:tcBorders>
      </w:tcPr>
    </w:tblStylePr>
    <w:tblStylePr w:type="swCell">
      <w:tblPr/>
      <w:tcPr>
        <w:tcBorders>
          <w:top w:val="double" w:sz="4" w:space="0" w:color="4D4D4D" w:themeColor="accent6"/>
          <w:right w:val="nil"/>
        </w:tcBorders>
      </w:tcPr>
    </w:tblStylePr>
  </w:style>
  <w:style w:type="table" w:customStyle="1" w:styleId="ListTable42">
    <w:name w:val="List Table 42"/>
    <w:basedOn w:val="TableNormal"/>
    <w:uiPriority w:val="49"/>
    <w:rsid w:val="00862459"/>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0072BC"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4-Accent12">
    <w:name w:val="List Table 4 - Accent 12"/>
    <w:basedOn w:val="TableNormal"/>
    <w:uiPriority w:val="49"/>
    <w:rsid w:val="00862459"/>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tblBorders>
    </w:tblPr>
    <w:tblStylePr w:type="firstRow">
      <w:rPr>
        <w:b/>
        <w:bCs/>
        <w:color w:val="0072BC" w:themeColor="background1"/>
      </w:rPr>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nil"/>
        </w:tcBorders>
        <w:shd w:val="clear" w:color="auto" w:fill="0072BC" w:themeFill="accent1"/>
      </w:tcPr>
    </w:tblStylePr>
    <w:tblStylePr w:type="lastRow">
      <w:rPr>
        <w:b/>
        <w:bCs/>
      </w:rPr>
      <w:tblPr/>
      <w:tcPr>
        <w:tcBorders>
          <w:top w:val="doub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customStyle="1" w:styleId="ListTable4-Accent22">
    <w:name w:val="List Table 4 - Accent 22"/>
    <w:basedOn w:val="TableNormal"/>
    <w:uiPriority w:val="49"/>
    <w:rsid w:val="00862459"/>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tblBorders>
    </w:tblPr>
    <w:tblStylePr w:type="firstRow">
      <w:rPr>
        <w:b/>
        <w:bCs/>
        <w:color w:val="0072BC" w:themeColor="background1"/>
      </w:rPr>
      <w:tblPr/>
      <w:tcPr>
        <w:tcBorders>
          <w:top w:val="single" w:sz="4" w:space="0" w:color="C00000" w:themeColor="accent2"/>
          <w:left w:val="single" w:sz="4" w:space="0" w:color="C00000" w:themeColor="accent2"/>
          <w:bottom w:val="single" w:sz="4" w:space="0" w:color="C00000" w:themeColor="accent2"/>
          <w:right w:val="single" w:sz="4" w:space="0" w:color="C00000" w:themeColor="accent2"/>
          <w:insideH w:val="nil"/>
        </w:tcBorders>
        <w:shd w:val="clear" w:color="auto" w:fill="C00000" w:themeFill="accent2"/>
      </w:tcPr>
    </w:tblStylePr>
    <w:tblStylePr w:type="lastRow">
      <w:rPr>
        <w:b/>
        <w:bCs/>
      </w:rPr>
      <w:tblPr/>
      <w:tcPr>
        <w:tcBorders>
          <w:top w:val="doub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customStyle="1" w:styleId="ListTable4-Accent32">
    <w:name w:val="List Table 4 - Accent 32"/>
    <w:basedOn w:val="TableNormal"/>
    <w:uiPriority w:val="49"/>
    <w:rsid w:val="00862459"/>
    <w:tblPr>
      <w:tblStyleRowBandSize w:val="1"/>
      <w:tblStyleColBandSize w:val="1"/>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tblBorders>
    </w:tblPr>
    <w:tblStylePr w:type="firstRow">
      <w:rPr>
        <w:b/>
        <w:bCs/>
        <w:color w:val="0072BC" w:themeColor="background1"/>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tcBorders>
        <w:shd w:val="clear" w:color="auto" w:fill="5F5F5F" w:themeFill="accent3"/>
      </w:tcPr>
    </w:tblStylePr>
    <w:tblStylePr w:type="lastRow">
      <w:rPr>
        <w:b/>
        <w:bCs/>
      </w:rPr>
      <w:tblPr/>
      <w:tcPr>
        <w:tcBorders>
          <w:top w:val="double" w:sz="4" w:space="0" w:color="9F9F9F" w:themeColor="accent3" w:themeTint="99"/>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customStyle="1" w:styleId="ListTable4-Accent42">
    <w:name w:val="List Table 4 - Accent 42"/>
    <w:basedOn w:val="TableNormal"/>
    <w:uiPriority w:val="49"/>
    <w:rsid w:val="00862459"/>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tblBorders>
    </w:tblPr>
    <w:tblStylePr w:type="firstRow">
      <w:rPr>
        <w:b/>
        <w:bCs/>
        <w:color w:val="0072BC" w:themeColor="background1"/>
      </w:rPr>
      <w:tblPr/>
      <w:tcPr>
        <w:tcBorders>
          <w:top w:val="single" w:sz="4" w:space="0" w:color="969696" w:themeColor="accent4"/>
          <w:left w:val="single" w:sz="4" w:space="0" w:color="969696" w:themeColor="accent4"/>
          <w:bottom w:val="single" w:sz="4" w:space="0" w:color="969696" w:themeColor="accent4"/>
          <w:right w:val="single" w:sz="4" w:space="0" w:color="969696" w:themeColor="accent4"/>
          <w:insideH w:val="nil"/>
        </w:tcBorders>
        <w:shd w:val="clear" w:color="auto" w:fill="969696" w:themeFill="accent4"/>
      </w:tcPr>
    </w:tblStylePr>
    <w:tblStylePr w:type="lastRow">
      <w:rPr>
        <w:b/>
        <w:bCs/>
      </w:rPr>
      <w:tblPr/>
      <w:tcPr>
        <w:tcBorders>
          <w:top w:val="doub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customStyle="1" w:styleId="ListTable4-Accent52">
    <w:name w:val="List Table 4 - Accent 52"/>
    <w:basedOn w:val="TableNormal"/>
    <w:uiPriority w:val="49"/>
    <w:rsid w:val="00862459"/>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tblBorders>
    </w:tblPr>
    <w:tblStylePr w:type="firstRow">
      <w:rPr>
        <w:b/>
        <w:bCs/>
        <w:color w:val="0072BC" w:themeColor="background1"/>
      </w:rPr>
      <w:tblPr/>
      <w:tcPr>
        <w:tcBorders>
          <w:top w:val="single" w:sz="4" w:space="0" w:color="5F5F5F" w:themeColor="accent5"/>
          <w:left w:val="single" w:sz="4" w:space="0" w:color="5F5F5F" w:themeColor="accent5"/>
          <w:bottom w:val="single" w:sz="4" w:space="0" w:color="5F5F5F" w:themeColor="accent5"/>
          <w:right w:val="single" w:sz="4" w:space="0" w:color="5F5F5F" w:themeColor="accent5"/>
          <w:insideH w:val="nil"/>
        </w:tcBorders>
        <w:shd w:val="clear" w:color="auto" w:fill="5F5F5F" w:themeFill="accent5"/>
      </w:tcPr>
    </w:tblStylePr>
    <w:tblStylePr w:type="lastRow">
      <w:rPr>
        <w:b/>
        <w:bCs/>
      </w:rPr>
      <w:tblPr/>
      <w:tcPr>
        <w:tcBorders>
          <w:top w:val="doub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customStyle="1" w:styleId="ListTable4-Accent62">
    <w:name w:val="List Table 4 - Accent 62"/>
    <w:basedOn w:val="TableNormal"/>
    <w:uiPriority w:val="49"/>
    <w:rsid w:val="00862459"/>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tblBorders>
    </w:tblPr>
    <w:tblStylePr w:type="firstRow">
      <w:rPr>
        <w:b/>
        <w:bCs/>
        <w:color w:val="0072BC" w:themeColor="background1"/>
      </w:rPr>
      <w:tblPr/>
      <w:tcPr>
        <w:tcBorders>
          <w:top w:val="single" w:sz="4" w:space="0" w:color="4D4D4D" w:themeColor="accent6"/>
          <w:left w:val="single" w:sz="4" w:space="0" w:color="4D4D4D" w:themeColor="accent6"/>
          <w:bottom w:val="single" w:sz="4" w:space="0" w:color="4D4D4D" w:themeColor="accent6"/>
          <w:right w:val="single" w:sz="4" w:space="0" w:color="4D4D4D" w:themeColor="accent6"/>
          <w:insideH w:val="nil"/>
        </w:tcBorders>
        <w:shd w:val="clear" w:color="auto" w:fill="4D4D4D" w:themeFill="accent6"/>
      </w:tcPr>
    </w:tblStylePr>
    <w:tblStylePr w:type="lastRow">
      <w:rPr>
        <w:b/>
        <w:bCs/>
      </w:rPr>
      <w:tblPr/>
      <w:tcPr>
        <w:tcBorders>
          <w:top w:val="doub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customStyle="1" w:styleId="ListTable5Dark2">
    <w:name w:val="List Table 5 Dark2"/>
    <w:basedOn w:val="TableNormal"/>
    <w:uiPriority w:val="50"/>
    <w:rsid w:val="00862459"/>
    <w:rPr>
      <w:color w:val="0072BC"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12">
    <w:name w:val="List Table 5 Dark - Accent 12"/>
    <w:basedOn w:val="TableNormal"/>
    <w:uiPriority w:val="50"/>
    <w:rsid w:val="00862459"/>
    <w:rPr>
      <w:color w:val="0072BC" w:themeColor="background1"/>
    </w:rPr>
    <w:tblPr>
      <w:tblStyleRowBandSize w:val="1"/>
      <w:tblStyleColBandSize w:val="1"/>
      <w:tblBorders>
        <w:top w:val="single" w:sz="24" w:space="0" w:color="0072BC" w:themeColor="accent1"/>
        <w:left w:val="single" w:sz="24" w:space="0" w:color="0072BC" w:themeColor="accent1"/>
        <w:bottom w:val="single" w:sz="24" w:space="0" w:color="0072BC" w:themeColor="accent1"/>
        <w:right w:val="single" w:sz="24" w:space="0" w:color="0072BC" w:themeColor="accent1"/>
      </w:tblBorders>
    </w:tblPr>
    <w:tcPr>
      <w:shd w:val="clear" w:color="auto" w:fill="0072BC" w:themeFill="accent1"/>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22">
    <w:name w:val="List Table 5 Dark - Accent 22"/>
    <w:basedOn w:val="TableNormal"/>
    <w:uiPriority w:val="50"/>
    <w:rsid w:val="00862459"/>
    <w:rPr>
      <w:color w:val="0072BC" w:themeColor="background1"/>
    </w:rPr>
    <w:tblPr>
      <w:tblStyleRowBandSize w:val="1"/>
      <w:tblStyleColBandSize w:val="1"/>
      <w:tblBorders>
        <w:top w:val="single" w:sz="24" w:space="0" w:color="C00000" w:themeColor="accent2"/>
        <w:left w:val="single" w:sz="24" w:space="0" w:color="C00000" w:themeColor="accent2"/>
        <w:bottom w:val="single" w:sz="24" w:space="0" w:color="C00000" w:themeColor="accent2"/>
        <w:right w:val="single" w:sz="24" w:space="0" w:color="C00000" w:themeColor="accent2"/>
      </w:tblBorders>
    </w:tblPr>
    <w:tcPr>
      <w:shd w:val="clear" w:color="auto" w:fill="C00000" w:themeFill="accent2"/>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32">
    <w:name w:val="List Table 5 Dark - Accent 32"/>
    <w:basedOn w:val="TableNormal"/>
    <w:uiPriority w:val="50"/>
    <w:rsid w:val="00862459"/>
    <w:rPr>
      <w:color w:val="0072BC" w:themeColor="background1"/>
    </w:rPr>
    <w:tblPr>
      <w:tblStyleRowBandSize w:val="1"/>
      <w:tblStyleColBandSize w:val="1"/>
      <w:tblBorders>
        <w:top w:val="single" w:sz="24" w:space="0" w:color="5F5F5F" w:themeColor="accent3"/>
        <w:left w:val="single" w:sz="24" w:space="0" w:color="5F5F5F" w:themeColor="accent3"/>
        <w:bottom w:val="single" w:sz="24" w:space="0" w:color="5F5F5F" w:themeColor="accent3"/>
        <w:right w:val="single" w:sz="24" w:space="0" w:color="5F5F5F" w:themeColor="accent3"/>
      </w:tblBorders>
    </w:tblPr>
    <w:tcPr>
      <w:shd w:val="clear" w:color="auto" w:fill="5F5F5F" w:themeFill="accent3"/>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42">
    <w:name w:val="List Table 5 Dark - Accent 42"/>
    <w:basedOn w:val="TableNormal"/>
    <w:uiPriority w:val="50"/>
    <w:rsid w:val="00862459"/>
    <w:rPr>
      <w:color w:val="0072BC" w:themeColor="background1"/>
    </w:rPr>
    <w:tblPr>
      <w:tblStyleRowBandSize w:val="1"/>
      <w:tblStyleColBandSize w:val="1"/>
      <w:tblBorders>
        <w:top w:val="single" w:sz="24" w:space="0" w:color="969696" w:themeColor="accent4"/>
        <w:left w:val="single" w:sz="24" w:space="0" w:color="969696" w:themeColor="accent4"/>
        <w:bottom w:val="single" w:sz="24" w:space="0" w:color="969696" w:themeColor="accent4"/>
        <w:right w:val="single" w:sz="24" w:space="0" w:color="969696" w:themeColor="accent4"/>
      </w:tblBorders>
    </w:tblPr>
    <w:tcPr>
      <w:shd w:val="clear" w:color="auto" w:fill="969696" w:themeFill="accent4"/>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52">
    <w:name w:val="List Table 5 Dark - Accent 52"/>
    <w:basedOn w:val="TableNormal"/>
    <w:uiPriority w:val="50"/>
    <w:rsid w:val="00862459"/>
    <w:rPr>
      <w:color w:val="0072BC" w:themeColor="background1"/>
    </w:rPr>
    <w:tblPr>
      <w:tblStyleRowBandSize w:val="1"/>
      <w:tblStyleColBandSize w:val="1"/>
      <w:tblBorders>
        <w:top w:val="single" w:sz="24" w:space="0" w:color="5F5F5F" w:themeColor="accent5"/>
        <w:left w:val="single" w:sz="24" w:space="0" w:color="5F5F5F" w:themeColor="accent5"/>
        <w:bottom w:val="single" w:sz="24" w:space="0" w:color="5F5F5F" w:themeColor="accent5"/>
        <w:right w:val="single" w:sz="24" w:space="0" w:color="5F5F5F" w:themeColor="accent5"/>
      </w:tblBorders>
    </w:tblPr>
    <w:tcPr>
      <w:shd w:val="clear" w:color="auto" w:fill="5F5F5F" w:themeFill="accent5"/>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62">
    <w:name w:val="List Table 5 Dark - Accent 62"/>
    <w:basedOn w:val="TableNormal"/>
    <w:uiPriority w:val="50"/>
    <w:rsid w:val="00862459"/>
    <w:rPr>
      <w:color w:val="0072BC" w:themeColor="background1"/>
    </w:rPr>
    <w:tblPr>
      <w:tblStyleRowBandSize w:val="1"/>
      <w:tblStyleColBandSize w:val="1"/>
      <w:tblBorders>
        <w:top w:val="single" w:sz="24" w:space="0" w:color="4D4D4D" w:themeColor="accent6"/>
        <w:left w:val="single" w:sz="24" w:space="0" w:color="4D4D4D" w:themeColor="accent6"/>
        <w:bottom w:val="single" w:sz="24" w:space="0" w:color="4D4D4D" w:themeColor="accent6"/>
        <w:right w:val="single" w:sz="24" w:space="0" w:color="4D4D4D" w:themeColor="accent6"/>
      </w:tblBorders>
    </w:tblPr>
    <w:tcPr>
      <w:shd w:val="clear" w:color="auto" w:fill="4D4D4D" w:themeFill="accent6"/>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6Colorful2">
    <w:name w:val="List Table 6 Colorful2"/>
    <w:basedOn w:val="TableNormal"/>
    <w:uiPriority w:val="51"/>
    <w:rsid w:val="00862459"/>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6Colorful-Accent12">
    <w:name w:val="List Table 6 Colorful - Accent 12"/>
    <w:basedOn w:val="TableNormal"/>
    <w:uiPriority w:val="51"/>
    <w:rsid w:val="00862459"/>
    <w:rPr>
      <w:color w:val="00548C" w:themeColor="accent1" w:themeShade="BF"/>
    </w:rPr>
    <w:tblPr>
      <w:tblStyleRowBandSize w:val="1"/>
      <w:tblStyleColBandSize w:val="1"/>
      <w:tblBorders>
        <w:top w:val="single" w:sz="4" w:space="0" w:color="0072BC" w:themeColor="accent1"/>
        <w:bottom w:val="single" w:sz="4" w:space="0" w:color="0072BC" w:themeColor="accent1"/>
      </w:tblBorders>
    </w:tblPr>
    <w:tblStylePr w:type="firstRow">
      <w:rPr>
        <w:b/>
        <w:bCs/>
      </w:rPr>
      <w:tblPr/>
      <w:tcPr>
        <w:tcBorders>
          <w:bottom w:val="single" w:sz="4" w:space="0" w:color="0072BC" w:themeColor="accent1"/>
        </w:tcBorders>
      </w:tcPr>
    </w:tblStylePr>
    <w:tblStylePr w:type="lastRow">
      <w:rPr>
        <w:b/>
        <w:bCs/>
      </w:rPr>
      <w:tblPr/>
      <w:tcPr>
        <w:tcBorders>
          <w:top w:val="double" w:sz="4" w:space="0" w:color="0072BC" w:themeColor="accent1"/>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customStyle="1" w:styleId="ListTable6Colorful-Accent22">
    <w:name w:val="List Table 6 Colorful - Accent 22"/>
    <w:basedOn w:val="TableNormal"/>
    <w:uiPriority w:val="51"/>
    <w:rsid w:val="00862459"/>
    <w:rPr>
      <w:color w:val="8F0000" w:themeColor="accent2" w:themeShade="BF"/>
    </w:rPr>
    <w:tblPr>
      <w:tblStyleRowBandSize w:val="1"/>
      <w:tblStyleColBandSize w:val="1"/>
      <w:tblBorders>
        <w:top w:val="single" w:sz="4" w:space="0" w:color="C00000" w:themeColor="accent2"/>
        <w:bottom w:val="single" w:sz="4" w:space="0" w:color="C00000" w:themeColor="accent2"/>
      </w:tblBorders>
    </w:tblPr>
    <w:tblStylePr w:type="firstRow">
      <w:rPr>
        <w:b/>
        <w:bCs/>
      </w:rPr>
      <w:tblPr/>
      <w:tcPr>
        <w:tcBorders>
          <w:bottom w:val="single" w:sz="4" w:space="0" w:color="C00000" w:themeColor="accent2"/>
        </w:tcBorders>
      </w:tcPr>
    </w:tblStylePr>
    <w:tblStylePr w:type="lastRow">
      <w:rPr>
        <w:b/>
        <w:bCs/>
      </w:rPr>
      <w:tblPr/>
      <w:tcPr>
        <w:tcBorders>
          <w:top w:val="double" w:sz="4" w:space="0" w:color="C00000" w:themeColor="accent2"/>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customStyle="1" w:styleId="ListTable6Colorful-Accent32">
    <w:name w:val="List Table 6 Colorful - Accent 32"/>
    <w:basedOn w:val="TableNormal"/>
    <w:uiPriority w:val="51"/>
    <w:rsid w:val="00862459"/>
    <w:rPr>
      <w:color w:val="474747" w:themeColor="accent3" w:themeShade="BF"/>
    </w:rPr>
    <w:tblPr>
      <w:tblStyleRowBandSize w:val="1"/>
      <w:tblStyleColBandSize w:val="1"/>
      <w:tblBorders>
        <w:top w:val="single" w:sz="4" w:space="0" w:color="5F5F5F" w:themeColor="accent3"/>
        <w:bottom w:val="single" w:sz="4" w:space="0" w:color="5F5F5F" w:themeColor="accent3"/>
      </w:tblBorders>
    </w:tblPr>
    <w:tblStylePr w:type="firstRow">
      <w:rPr>
        <w:b/>
        <w:bCs/>
      </w:rPr>
      <w:tblPr/>
      <w:tcPr>
        <w:tcBorders>
          <w:bottom w:val="single" w:sz="4" w:space="0" w:color="5F5F5F" w:themeColor="accent3"/>
        </w:tcBorders>
      </w:tcPr>
    </w:tblStylePr>
    <w:tblStylePr w:type="lastRow">
      <w:rPr>
        <w:b/>
        <w:bCs/>
      </w:rPr>
      <w:tblPr/>
      <w:tcPr>
        <w:tcBorders>
          <w:top w:val="double" w:sz="4" w:space="0" w:color="5F5F5F" w:themeColor="accent3"/>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customStyle="1" w:styleId="ListTable6Colorful-Accent42">
    <w:name w:val="List Table 6 Colorful - Accent 42"/>
    <w:basedOn w:val="TableNormal"/>
    <w:uiPriority w:val="51"/>
    <w:rsid w:val="00862459"/>
    <w:rPr>
      <w:color w:val="707070" w:themeColor="accent4" w:themeShade="BF"/>
    </w:rPr>
    <w:tblPr>
      <w:tblStyleRowBandSize w:val="1"/>
      <w:tblStyleColBandSize w:val="1"/>
      <w:tblBorders>
        <w:top w:val="single" w:sz="4" w:space="0" w:color="969696" w:themeColor="accent4"/>
        <w:bottom w:val="single" w:sz="4" w:space="0" w:color="969696" w:themeColor="accent4"/>
      </w:tblBorders>
    </w:tblPr>
    <w:tblStylePr w:type="firstRow">
      <w:rPr>
        <w:b/>
        <w:bCs/>
      </w:rPr>
      <w:tblPr/>
      <w:tcPr>
        <w:tcBorders>
          <w:bottom w:val="single" w:sz="4" w:space="0" w:color="969696" w:themeColor="accent4"/>
        </w:tcBorders>
      </w:tcPr>
    </w:tblStylePr>
    <w:tblStylePr w:type="lastRow">
      <w:rPr>
        <w:b/>
        <w:bCs/>
      </w:rPr>
      <w:tblPr/>
      <w:tcPr>
        <w:tcBorders>
          <w:top w:val="double" w:sz="4" w:space="0" w:color="969696" w:themeColor="accent4"/>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customStyle="1" w:styleId="ListTable6Colorful-Accent52">
    <w:name w:val="List Table 6 Colorful - Accent 52"/>
    <w:basedOn w:val="TableNormal"/>
    <w:uiPriority w:val="51"/>
    <w:rsid w:val="00862459"/>
    <w:rPr>
      <w:color w:val="474747" w:themeColor="accent5" w:themeShade="BF"/>
    </w:rPr>
    <w:tblPr>
      <w:tblStyleRowBandSize w:val="1"/>
      <w:tblStyleColBandSize w:val="1"/>
      <w:tblBorders>
        <w:top w:val="single" w:sz="4" w:space="0" w:color="5F5F5F" w:themeColor="accent5"/>
        <w:bottom w:val="single" w:sz="4" w:space="0" w:color="5F5F5F" w:themeColor="accent5"/>
      </w:tblBorders>
    </w:tblPr>
    <w:tblStylePr w:type="firstRow">
      <w:rPr>
        <w:b/>
        <w:bCs/>
      </w:rPr>
      <w:tblPr/>
      <w:tcPr>
        <w:tcBorders>
          <w:bottom w:val="single" w:sz="4" w:space="0" w:color="5F5F5F" w:themeColor="accent5"/>
        </w:tcBorders>
      </w:tcPr>
    </w:tblStylePr>
    <w:tblStylePr w:type="lastRow">
      <w:rPr>
        <w:b/>
        <w:bCs/>
      </w:rPr>
      <w:tblPr/>
      <w:tcPr>
        <w:tcBorders>
          <w:top w:val="double" w:sz="4" w:space="0" w:color="5F5F5F" w:themeColor="accent5"/>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customStyle="1" w:styleId="ListTable6Colorful-Accent62">
    <w:name w:val="List Table 6 Colorful - Accent 62"/>
    <w:basedOn w:val="TableNormal"/>
    <w:uiPriority w:val="51"/>
    <w:rsid w:val="00862459"/>
    <w:rPr>
      <w:color w:val="393939" w:themeColor="accent6" w:themeShade="BF"/>
    </w:rPr>
    <w:tblPr>
      <w:tblStyleRowBandSize w:val="1"/>
      <w:tblStyleColBandSize w:val="1"/>
      <w:tblBorders>
        <w:top w:val="single" w:sz="4" w:space="0" w:color="4D4D4D" w:themeColor="accent6"/>
        <w:bottom w:val="single" w:sz="4" w:space="0" w:color="4D4D4D" w:themeColor="accent6"/>
      </w:tblBorders>
    </w:tblPr>
    <w:tblStylePr w:type="firstRow">
      <w:rPr>
        <w:b/>
        <w:bCs/>
      </w:rPr>
      <w:tblPr/>
      <w:tcPr>
        <w:tcBorders>
          <w:bottom w:val="single" w:sz="4" w:space="0" w:color="4D4D4D" w:themeColor="accent6"/>
        </w:tcBorders>
      </w:tcPr>
    </w:tblStylePr>
    <w:tblStylePr w:type="lastRow">
      <w:rPr>
        <w:b/>
        <w:bCs/>
      </w:rPr>
      <w:tblPr/>
      <w:tcPr>
        <w:tcBorders>
          <w:top w:val="double" w:sz="4" w:space="0" w:color="4D4D4D" w:themeColor="accent6"/>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customStyle="1" w:styleId="ListTable7Colorful2">
    <w:name w:val="List Table 7 Colorful2"/>
    <w:basedOn w:val="TableNormal"/>
    <w:uiPriority w:val="52"/>
    <w:rsid w:val="00862459"/>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0072BC"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12">
    <w:name w:val="List Table 7 Colorful - Accent 12"/>
    <w:basedOn w:val="TableNormal"/>
    <w:uiPriority w:val="52"/>
    <w:rsid w:val="00862459"/>
    <w:rPr>
      <w:color w:val="00548C"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72BC" w:themeColor="accent1"/>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0072BC" w:themeColor="accent1"/>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72BC" w:themeColor="accent1"/>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0072BC" w:themeColor="accent1"/>
        </w:tcBorders>
        <w:shd w:val="clear" w:color="auto" w:fill="0072BC"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22">
    <w:name w:val="List Table 7 Colorful - Accent 22"/>
    <w:basedOn w:val="TableNormal"/>
    <w:uiPriority w:val="52"/>
    <w:rsid w:val="00862459"/>
    <w:rPr>
      <w:color w:val="8F0000"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0000" w:themeColor="accent2"/>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C00000" w:themeColor="accent2"/>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0000" w:themeColor="accent2"/>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C00000" w:themeColor="accent2"/>
        </w:tcBorders>
        <w:shd w:val="clear" w:color="auto" w:fill="0072BC"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32">
    <w:name w:val="List Table 7 Colorful - Accent 32"/>
    <w:basedOn w:val="TableNormal"/>
    <w:uiPriority w:val="52"/>
    <w:rsid w:val="00862459"/>
    <w:rPr>
      <w:color w:val="474747"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F5F5F" w:themeColor="accent3"/>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5F5F5F" w:themeColor="accent3"/>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F5F5F" w:themeColor="accent3"/>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5F5F5F" w:themeColor="accent3"/>
        </w:tcBorders>
        <w:shd w:val="clear" w:color="auto" w:fill="0072BC" w:themeFill="background1"/>
      </w:tcPr>
    </w:tblStylePr>
    <w:tblStylePr w:type="band1Vert">
      <w:tblPr/>
      <w:tcPr>
        <w:shd w:val="clear" w:color="auto" w:fill="DFDFDF" w:themeFill="accent3" w:themeFillTint="33"/>
      </w:tcPr>
    </w:tblStylePr>
    <w:tblStylePr w:type="band1Horz">
      <w:tblPr/>
      <w:tcPr>
        <w:shd w:val="clear" w:color="auto" w:fill="DFDFDF"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42">
    <w:name w:val="List Table 7 Colorful - Accent 42"/>
    <w:basedOn w:val="TableNormal"/>
    <w:uiPriority w:val="52"/>
    <w:rsid w:val="00862459"/>
    <w:rPr>
      <w:color w:val="70707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69696" w:themeColor="accent4"/>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969696" w:themeColor="accent4"/>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69696" w:themeColor="accent4"/>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969696" w:themeColor="accent4"/>
        </w:tcBorders>
        <w:shd w:val="clear" w:color="auto" w:fill="0072BC"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52">
    <w:name w:val="List Table 7 Colorful - Accent 52"/>
    <w:basedOn w:val="TableNormal"/>
    <w:uiPriority w:val="52"/>
    <w:rsid w:val="00862459"/>
    <w:rPr>
      <w:color w:val="474747"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F5F5F" w:themeColor="accent5"/>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5F5F5F" w:themeColor="accent5"/>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F5F5F" w:themeColor="accent5"/>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5F5F5F" w:themeColor="accent5"/>
        </w:tcBorders>
        <w:shd w:val="clear" w:color="auto" w:fill="0072BC"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62">
    <w:name w:val="List Table 7 Colorful - Accent 62"/>
    <w:basedOn w:val="TableNormal"/>
    <w:uiPriority w:val="52"/>
    <w:rsid w:val="00862459"/>
    <w:rPr>
      <w:color w:val="393939"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D4D4D" w:themeColor="accent6"/>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4D4D4D" w:themeColor="accent6"/>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D4D4D" w:themeColor="accent6"/>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4D4D4D" w:themeColor="accent6"/>
        </w:tcBorders>
        <w:shd w:val="clear" w:color="auto" w:fill="0072BC"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customStyle="1" w:styleId="18">
    <w:name w:val="Згадати1"/>
    <w:basedOn w:val="DefaultParagraphFont"/>
    <w:uiPriority w:val="99"/>
    <w:unhideWhenUsed/>
    <w:rsid w:val="00862459"/>
    <w:rPr>
      <w:color w:val="2B579A"/>
      <w:shd w:val="clear" w:color="auto" w:fill="E1DFDD"/>
    </w:rPr>
  </w:style>
  <w:style w:type="table" w:customStyle="1" w:styleId="PlainTable12">
    <w:name w:val="Plain Table 12"/>
    <w:basedOn w:val="TableNormal"/>
    <w:uiPriority w:val="41"/>
    <w:rsid w:val="00862459"/>
    <w:tblPr>
      <w:tblStyleRowBandSize w:val="1"/>
      <w:tblStyleColBandSize w:val="1"/>
      <w:tblBorders>
        <w:top w:val="single" w:sz="4" w:space="0" w:color="00548C" w:themeColor="background1" w:themeShade="BF"/>
        <w:left w:val="single" w:sz="4" w:space="0" w:color="00548C" w:themeColor="background1" w:themeShade="BF"/>
        <w:bottom w:val="single" w:sz="4" w:space="0" w:color="00548C" w:themeColor="background1" w:themeShade="BF"/>
        <w:right w:val="single" w:sz="4" w:space="0" w:color="00548C" w:themeColor="background1" w:themeShade="BF"/>
        <w:insideH w:val="single" w:sz="4" w:space="0" w:color="00548C" w:themeColor="background1" w:themeShade="BF"/>
        <w:insideV w:val="single" w:sz="4" w:space="0" w:color="00548C" w:themeColor="background1" w:themeShade="BF"/>
      </w:tblBorders>
    </w:tblPr>
    <w:tblStylePr w:type="firstRow">
      <w:rPr>
        <w:b/>
        <w:bCs/>
      </w:rPr>
    </w:tblStylePr>
    <w:tblStylePr w:type="lastRow">
      <w:rPr>
        <w:b/>
        <w:bCs/>
      </w:rPr>
      <w:tblPr/>
      <w:tcPr>
        <w:tcBorders>
          <w:top w:val="double" w:sz="4" w:space="0" w:color="00548C" w:themeColor="background1" w:themeShade="BF"/>
        </w:tcBorders>
      </w:tcPr>
    </w:tblStylePr>
    <w:tblStylePr w:type="firstCol">
      <w:rPr>
        <w:b/>
        <w:bCs/>
      </w:rPr>
    </w:tblStylePr>
    <w:tblStylePr w:type="lastCol">
      <w:rPr>
        <w:b/>
        <w:bCs/>
      </w:rPr>
    </w:tblStylePr>
    <w:tblStylePr w:type="band1Vert">
      <w:tblPr/>
      <w:tcPr>
        <w:shd w:val="clear" w:color="auto" w:fill="006BB2" w:themeFill="background1" w:themeFillShade="F2"/>
      </w:tcPr>
    </w:tblStylePr>
    <w:tblStylePr w:type="band1Horz">
      <w:tblPr/>
      <w:tcPr>
        <w:shd w:val="clear" w:color="auto" w:fill="006BB2" w:themeFill="background1" w:themeFillShade="F2"/>
      </w:tcPr>
    </w:tblStylePr>
  </w:style>
  <w:style w:type="table" w:customStyle="1" w:styleId="PlainTable22">
    <w:name w:val="Plain Table 22"/>
    <w:basedOn w:val="TableNormal"/>
    <w:uiPriority w:val="42"/>
    <w:rsid w:val="00862459"/>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customStyle="1" w:styleId="PlainTable32">
    <w:name w:val="Plain Table 32"/>
    <w:basedOn w:val="TableNormal"/>
    <w:uiPriority w:val="43"/>
    <w:rsid w:val="00862459"/>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006BB2" w:themeFill="background1" w:themeFillShade="F2"/>
      </w:tcPr>
    </w:tblStylePr>
    <w:tblStylePr w:type="band1Horz">
      <w:tblPr/>
      <w:tcPr>
        <w:shd w:val="clear" w:color="auto" w:fill="006BB2" w:themeFill="background1" w:themeFillShade="F2"/>
      </w:tcPr>
    </w:tblStylePr>
    <w:tblStylePr w:type="neCell">
      <w:tblPr/>
      <w:tcPr>
        <w:tcBorders>
          <w:left w:val="nil"/>
        </w:tcBorders>
      </w:tcPr>
    </w:tblStylePr>
    <w:tblStylePr w:type="nwCell">
      <w:tblPr/>
      <w:tcPr>
        <w:tcBorders>
          <w:right w:val="nil"/>
        </w:tcBorders>
      </w:tcPr>
    </w:tblStylePr>
  </w:style>
  <w:style w:type="table" w:customStyle="1" w:styleId="PlainTable42">
    <w:name w:val="Plain Table 42"/>
    <w:basedOn w:val="TableNormal"/>
    <w:uiPriority w:val="44"/>
    <w:rsid w:val="00862459"/>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006BB2" w:themeFill="background1" w:themeFillShade="F2"/>
      </w:tcPr>
    </w:tblStylePr>
    <w:tblStylePr w:type="band1Horz">
      <w:tblPr/>
      <w:tcPr>
        <w:shd w:val="clear" w:color="auto" w:fill="006BB2" w:themeFill="background1" w:themeFillShade="F2"/>
      </w:tcPr>
    </w:tblStylePr>
  </w:style>
  <w:style w:type="table" w:customStyle="1" w:styleId="PlainTable52">
    <w:name w:val="Plain Table 52"/>
    <w:basedOn w:val="TableNormal"/>
    <w:uiPriority w:val="45"/>
    <w:rsid w:val="00862459"/>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0072BC" w:themeFill="background1"/>
      </w:tcPr>
    </w:tblStylePr>
    <w:tblStylePr w:type="band1Vert">
      <w:tblPr/>
      <w:tcPr>
        <w:shd w:val="clear" w:color="auto" w:fill="006BB2" w:themeFill="background1" w:themeFillShade="F2"/>
      </w:tcPr>
    </w:tblStylePr>
    <w:tblStylePr w:type="band1Horz">
      <w:tblPr/>
      <w:tcPr>
        <w:shd w:val="clear" w:color="auto" w:fill="006BB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customStyle="1" w:styleId="19">
    <w:name w:val="Пунктирне гіперпосилання1"/>
    <w:basedOn w:val="DefaultParagraphFont"/>
    <w:uiPriority w:val="99"/>
    <w:unhideWhenUsed/>
    <w:rsid w:val="00862459"/>
    <w:rPr>
      <w:u w:val="dotted"/>
    </w:rPr>
  </w:style>
  <w:style w:type="character" w:customStyle="1" w:styleId="SmartLink1">
    <w:name w:val="SmartLink1"/>
    <w:basedOn w:val="DefaultParagraphFont"/>
    <w:uiPriority w:val="99"/>
    <w:unhideWhenUsed/>
    <w:rsid w:val="00862459"/>
    <w:rPr>
      <w:color w:val="0000FF"/>
      <w:u w:val="single"/>
      <w:shd w:val="clear" w:color="auto" w:fill="F3F2F1"/>
    </w:rPr>
  </w:style>
  <w:style w:type="table" w:customStyle="1" w:styleId="TableGridLight2">
    <w:name w:val="Table Grid Light2"/>
    <w:basedOn w:val="TableNormal"/>
    <w:uiPriority w:val="40"/>
    <w:rsid w:val="00862459"/>
    <w:tblPr>
      <w:tblBorders>
        <w:top w:val="single" w:sz="4" w:space="0" w:color="00548C" w:themeColor="background1" w:themeShade="BF"/>
        <w:left w:val="single" w:sz="4" w:space="0" w:color="00548C" w:themeColor="background1" w:themeShade="BF"/>
        <w:bottom w:val="single" w:sz="4" w:space="0" w:color="00548C" w:themeColor="background1" w:themeShade="BF"/>
        <w:right w:val="single" w:sz="4" w:space="0" w:color="00548C" w:themeColor="background1" w:themeShade="BF"/>
        <w:insideH w:val="single" w:sz="4" w:space="0" w:color="00548C" w:themeColor="background1" w:themeShade="BF"/>
        <w:insideV w:val="single" w:sz="4" w:space="0" w:color="00548C" w:themeColor="background1" w:themeShade="BF"/>
      </w:tblBorders>
    </w:tblPr>
  </w:style>
  <w:style w:type="paragraph" w:styleId="Revision">
    <w:name w:val="Revision"/>
    <w:hidden/>
    <w:uiPriority w:val="99"/>
    <w:semiHidden/>
    <w:rsid w:val="00862459"/>
    <w:rPr>
      <w:sz w:val="24"/>
      <w:szCs w:val="24"/>
      <w:lang w:val="en-GB"/>
    </w:rPr>
  </w:style>
  <w:style w:type="character" w:customStyle="1" w:styleId="UnresolvedMention1">
    <w:name w:val="Unresolved Mention1"/>
    <w:basedOn w:val="DefaultParagraphFont"/>
    <w:uiPriority w:val="98"/>
    <w:rsid w:val="00F066C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3.xml" /><Relationship Id="rId12" Type="http://schemas.openxmlformats.org/officeDocument/2006/relationships/footer" Target="footer4.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header" Target="header2.xml" /><Relationship Id="rId8" Type="http://schemas.openxmlformats.org/officeDocument/2006/relationships/footer" Target="footer2.xml" /><Relationship Id="rId9" Type="http://schemas.openxmlformats.org/officeDocument/2006/relationships/header" Target="header3.xml" /></Relationships>
</file>

<file path=word/_rels/footer1.xml.rels><?xml version="1.0" encoding="utf-8" standalone="yes"?><Relationships xmlns="http://schemas.openxmlformats.org/package/2006/relationships"><Relationship Id="rId1" Type="http://schemas.openxmlformats.org/officeDocument/2006/relationships/image" Target="media/image2.png" /></Relationships>
</file>

<file path=word/_rels/footer2.xml.rels><?xml version="1.0" encoding="utf-8" standalone="yes"?><Relationships xmlns="http://schemas.openxmlformats.org/package/2006/relationships"><Relationship Id="rId1" Type="http://schemas.openxmlformats.org/officeDocument/2006/relationships/image" Target="media/image2.png" /></Relationships>
</file>

<file path=word/_rels/header1.xml.rels><?xml version="1.0" encoding="utf-8" standalone="yes"?><Relationships xmlns="http://schemas.openxmlformats.org/package/2006/relationships"><Relationship Id="rId1" Type="http://schemas.openxmlformats.org/officeDocument/2006/relationships/image" Target="media/image1.png" /></Relationships>
</file>

<file path=word/_rels/header2.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2258DC8-8283-459E-B518-31F9750E73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21</Pages>
  <Words>6414</Words>
  <Characters>39512</Characters>
  <Application>Microsoft Office Word</Application>
  <DocSecurity>0</DocSecurity>
  <Lines>806</Lines>
  <Paragraphs>190</Paragraphs>
  <ScaleCrop>false</ScaleCrop>
  <HeadingPairs>
    <vt:vector size="4" baseType="variant">
      <vt:variant>
        <vt:lpstr>Назва</vt:lpstr>
      </vt:variant>
      <vt:variant>
        <vt:i4>1</vt:i4>
      </vt:variant>
      <vt:variant>
        <vt:lpstr>Title</vt:lpstr>
      </vt:variant>
      <vt:variant>
        <vt:i4>1</vt:i4>
      </vt:variant>
    </vt:vector>
  </HeadingPairs>
  <TitlesOfParts>
    <vt:vector size="2" baseType="lpstr">
      <vt:lpstr>ECHR</vt:lpstr>
      <vt:lpstr>ECHR</vt:lpstr>
    </vt:vector>
  </TitlesOfParts>
  <Company/>
  <LinksUpToDate>false</LinksUpToDate>
  <CharactersWithSpaces>45736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JUD</dc:subject>
  <cp:lastModifiedBy>Alexieva, Elizabeth</cp:lastModifiedBy>
  <cp:revision>2</cp:revision>
  <dcterms:created xsi:type="dcterms:W3CDTF">2026-04-14T11:25:00Z</dcterms:created>
  <dcterms:modified xsi:type="dcterms:W3CDTF">2026-04-14T11:25:00Z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SEID">
    <vt:lpwstr>1183451</vt:lpwstr>
  </property>
  <property fmtid="{D5CDD505-2E9C-101B-9397-08002B2CF9AE}" pid="3" name="cstLanguage">
    <vt:i4>2057</vt:i4>
  </property>
  <property fmtid="{D5CDD505-2E9C-101B-9397-08002B2CF9AE}" pid="4" name="RegisteredNo">
    <vt:lpwstr>9953/16</vt:lpwstr>
  </property>
</Properties>
</file>