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9E1366" w:rsidR="008D51B6" w:rsidP="009E1366" w14:paraId="143E39CC" w14:textId="77777777">
      <w:pPr>
        <w:jc w:val="center"/>
      </w:pPr>
    </w:p>
    <w:p w:rsidRPr="009E1366" w:rsidR="000C5149" w:rsidP="009E1366" w14:paraId="323C0839" w14:textId="77777777">
      <w:pPr>
        <w:jc w:val="center"/>
      </w:pPr>
    </w:p>
    <w:p w:rsidRPr="009E1366" w:rsidR="00606600" w:rsidP="009E1366" w14:paraId="441446A0" w14:textId="77777777">
      <w:pPr>
        <w:pStyle w:val="DecHTitle"/>
      </w:pPr>
      <w:r w:rsidRPr="009E1366">
        <w:t>FIFTH SECTION</w:t>
      </w:r>
    </w:p>
    <w:p w:rsidRPr="009E1366" w:rsidR="006D324D" w:rsidP="00E529E0" w14:paraId="58E652BF" w14:textId="77777777">
      <w:pPr>
        <w:pStyle w:val="JuTitle"/>
        <w:spacing w:before="1440"/>
      </w:pPr>
      <w:bookmarkStart w:name="To" w:id="0"/>
      <w:r w:rsidRPr="009E1366">
        <w:rPr>
          <w:color w:val="000000" w:themeColor="text1"/>
        </w:rPr>
        <w:t xml:space="preserve">CASE OF </w:t>
      </w:r>
      <w:bookmarkEnd w:id="0"/>
      <w:r w:rsidRPr="009E1366" w:rsidR="002B2FB0">
        <w:t>GRINKOV v. UKRAINE</w:t>
      </w:r>
    </w:p>
    <w:p w:rsidRPr="009E1366" w:rsidR="006D324D" w:rsidP="009E1366" w14:paraId="17015570" w14:textId="77777777">
      <w:pPr>
        <w:pStyle w:val="ECHRCoverTitle4"/>
      </w:pPr>
      <w:r w:rsidRPr="009E1366">
        <w:t>(</w:t>
      </w:r>
      <w:r w:rsidRPr="009E1366" w:rsidR="002B2FB0">
        <w:t>Application no. 15485/25</w:t>
      </w:r>
      <w:r w:rsidRPr="009E1366">
        <w:t>)</w:t>
      </w:r>
    </w:p>
    <w:p w:rsidRPr="009E1366" w:rsidR="006D324D" w:rsidP="009E1366" w14:paraId="29375A51" w14:textId="77777777">
      <w:pPr>
        <w:pStyle w:val="DecHCase"/>
      </w:pPr>
    </w:p>
    <w:p w:rsidRPr="009E1366" w:rsidR="006D324D" w:rsidP="009E1366" w14:paraId="4B90AAD8" w14:textId="77777777">
      <w:pPr>
        <w:pStyle w:val="DecHCase"/>
      </w:pPr>
    </w:p>
    <w:p w:rsidRPr="009E1366" w:rsidR="00606600" w:rsidP="009E1366" w14:paraId="3B634BF7" w14:textId="77777777">
      <w:pPr>
        <w:pStyle w:val="DecHCase"/>
      </w:pPr>
    </w:p>
    <w:p w:rsidRPr="009E1366" w:rsidR="00606600" w:rsidP="009E1366" w14:paraId="6B661E71" w14:textId="77777777">
      <w:pPr>
        <w:pStyle w:val="DecHCase"/>
      </w:pPr>
    </w:p>
    <w:p w:rsidRPr="009E1366" w:rsidR="00606600" w:rsidP="009E1366" w14:paraId="7BE71CD8" w14:textId="686A343B">
      <w:pPr>
        <w:pStyle w:val="DecHCase"/>
        <w:rPr>
          <w:i/>
        </w:rPr>
      </w:pPr>
      <w:r w:rsidRPr="009E1366">
        <w:t>JUDGMENT</w:t>
      </w:r>
      <w:r w:rsidRPr="009E1366" w:rsidR="009E1366">
        <w:br/>
      </w:r>
    </w:p>
    <w:p w:rsidRPr="009E1366" w:rsidR="00606600" w:rsidP="009E1366" w14:paraId="6C4A8F64" w14:textId="77777777">
      <w:pPr>
        <w:pStyle w:val="DecHCase"/>
      </w:pPr>
      <w:r w:rsidRPr="009E1366">
        <w:t>STRASBOURG</w:t>
      </w:r>
    </w:p>
    <w:p w:rsidRPr="009E1366" w:rsidR="00606600" w:rsidP="009E1366" w14:paraId="036BD22A" w14:textId="77777777">
      <w:pPr>
        <w:pStyle w:val="DecHCase"/>
      </w:pPr>
      <w:r w:rsidRPr="009E1366">
        <w:t>16 April 2026</w:t>
      </w:r>
    </w:p>
    <w:p w:rsidRPr="009E1366" w:rsidR="00525414" w:rsidP="009E1366" w14:paraId="5A6A38D9" w14:textId="77777777">
      <w:pPr>
        <w:pStyle w:val="JuPara"/>
      </w:pPr>
    </w:p>
    <w:p w:rsidR="00606600" w:rsidP="009E1366" w14:paraId="3813C163" w14:textId="77777777">
      <w:pPr>
        <w:jc w:val="center"/>
      </w:pPr>
    </w:p>
    <w:p w:rsidR="00E529E0" w:rsidP="009E1366" w14:paraId="3A904618" w14:textId="77777777">
      <w:pPr>
        <w:jc w:val="center"/>
      </w:pPr>
    </w:p>
    <w:p w:rsidR="00E529E0" w:rsidP="009E1366" w14:paraId="17C3793B" w14:textId="77777777">
      <w:pPr>
        <w:jc w:val="center"/>
      </w:pPr>
    </w:p>
    <w:p w:rsidRPr="009E1366" w:rsidR="00E529E0" w:rsidP="009E1366" w14:paraId="65C94E3E" w14:textId="77777777">
      <w:pPr>
        <w:jc w:val="center"/>
      </w:pPr>
    </w:p>
    <w:p w:rsidRPr="009E1366" w:rsidR="00606600" w:rsidP="00E529E0" w14:paraId="68EEC3A9" w14:textId="77777777">
      <w:pPr>
        <w:jc w:val="center"/>
        <w:rPr>
          <w:sz w:val="22"/>
          <w:szCs w:val="22"/>
        </w:rPr>
      </w:pPr>
      <w:r w:rsidRPr="009E1366">
        <w:rPr>
          <w:i/>
          <w:sz w:val="22"/>
          <w:szCs w:val="22"/>
        </w:rPr>
        <w:t xml:space="preserve">This judgment is </w:t>
      </w:r>
      <w:r w:rsidRPr="009E1366">
        <w:rPr>
          <w:i/>
          <w:sz w:val="22"/>
          <w:szCs w:val="22"/>
        </w:rPr>
        <w:t>final</w:t>
      </w:r>
      <w:r w:rsidRPr="009E1366">
        <w:rPr>
          <w:i/>
          <w:sz w:val="22"/>
          <w:szCs w:val="22"/>
        </w:rPr>
        <w:t xml:space="preserve"> but it may be subject to editorial revision.</w:t>
      </w:r>
    </w:p>
    <w:p w:rsidR="00606600" w:rsidP="009E1366" w14:paraId="6A71689B" w14:textId="77777777">
      <w:pPr>
        <w:pStyle w:val="JuCase"/>
      </w:pPr>
    </w:p>
    <w:p w:rsidRPr="00E529E0" w:rsidR="00E529E0" w:rsidP="00E529E0" w14:paraId="2AD51C4A" w14:textId="77777777">
      <w:pPr>
        <w:pStyle w:val="JuPara"/>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9E1366" w:rsidR="00606600" w:rsidP="009E1366" w14:paraId="4CAAF9F4" w14:textId="77777777">
      <w:pPr>
        <w:pStyle w:val="JuCase"/>
        <w:rPr>
          <w:bCs/>
        </w:rPr>
      </w:pPr>
      <w:r w:rsidRPr="009E1366">
        <w:t xml:space="preserve">In the case of </w:t>
      </w:r>
      <w:r w:rsidRPr="009E1366" w:rsidR="002B2FB0">
        <w:t>Grinkov</w:t>
      </w:r>
      <w:r w:rsidRPr="009E1366" w:rsidR="002B2FB0">
        <w:t xml:space="preserve"> v. Ukraine</w:t>
      </w:r>
      <w:r w:rsidRPr="009E1366">
        <w:t>,</w:t>
      </w:r>
    </w:p>
    <w:p w:rsidRPr="009E1366" w:rsidR="00606600" w:rsidP="009E1366" w14:paraId="5643F2E3" w14:textId="67A6EB29">
      <w:pPr>
        <w:pStyle w:val="JuPara"/>
      </w:pPr>
      <w:r w:rsidRPr="009E1366">
        <w:t>The European Court of Human Rights (</w:t>
      </w:r>
      <w:r w:rsidRPr="009E1366" w:rsidR="002B2FB0">
        <w:t>Fifth Section</w:t>
      </w:r>
      <w:r w:rsidRPr="009E1366">
        <w:t>), sitting as a</w:t>
      </w:r>
      <w:r w:rsidRPr="009E1366" w:rsidR="00A50DC2">
        <w:t> </w:t>
      </w:r>
      <w:r w:rsidRPr="009E1366">
        <w:t>Committee composed of:</w:t>
      </w:r>
    </w:p>
    <w:p w:rsidRPr="009E1366" w:rsidR="002C5B23" w:rsidP="009E1366" w14:paraId="07C9C1DD" w14:textId="06A9D283">
      <w:pPr>
        <w:pStyle w:val="JuJudges"/>
      </w:pPr>
      <w:r w:rsidRPr="009E1366">
        <w:tab/>
        <w:t>Andreas Zünd</w:t>
      </w:r>
      <w:r w:rsidRPr="009E1366">
        <w:rPr>
          <w:i/>
        </w:rPr>
        <w:t>, President</w:t>
      </w:r>
      <w:r w:rsidRPr="009E1366">
        <w:t>,</w:t>
      </w:r>
      <w:r w:rsidRPr="009E1366">
        <w:br/>
      </w:r>
      <w:r w:rsidRPr="009E1366">
        <w:tab/>
        <w:t>Diana Sârcu,</w:t>
      </w:r>
      <w:r w:rsidRPr="009E1366">
        <w:br/>
      </w:r>
      <w:r w:rsidRPr="009E1366">
        <w:tab/>
        <w:t>Mykola Gnatovskyy</w:t>
      </w:r>
      <w:r w:rsidRPr="009E1366">
        <w:rPr>
          <w:i/>
        </w:rPr>
        <w:t>, judges</w:t>
      </w:r>
      <w:r w:rsidRPr="009E1366">
        <w:t>,</w:t>
      </w:r>
    </w:p>
    <w:p w:rsidRPr="009E1366" w:rsidR="00606600" w:rsidP="009E1366" w14:paraId="621EF521" w14:textId="71721D79">
      <w:pPr>
        <w:pStyle w:val="JuJudges"/>
      </w:pPr>
      <w:r w:rsidRPr="009E1366">
        <w:t xml:space="preserve">and </w:t>
      </w:r>
      <w:r w:rsidRPr="009E1366" w:rsidR="002B2FB0">
        <w:t>Viktoriya</w:t>
      </w:r>
      <w:r w:rsidRPr="009E1366">
        <w:t xml:space="preserve"> </w:t>
      </w:r>
      <w:r w:rsidRPr="009E1366" w:rsidR="002B2FB0">
        <w:t>Maradudina</w:t>
      </w:r>
      <w:r w:rsidRPr="009E1366" w:rsidR="00555A1D">
        <w:t>,</w:t>
      </w:r>
      <w:r w:rsidRPr="009E1366">
        <w:t xml:space="preserve"> </w:t>
      </w:r>
      <w:r w:rsidRPr="009E1366">
        <w:rPr>
          <w:i/>
        </w:rPr>
        <w:t>Acting</w:t>
      </w:r>
      <w:r w:rsidRPr="009E1366">
        <w:t xml:space="preserve"> </w:t>
      </w:r>
      <w:r w:rsidRPr="009E1366">
        <w:rPr>
          <w:rFonts w:cstheme="minorHAnsi"/>
          <w:i/>
        </w:rPr>
        <w:t>Deputy Section Registrar</w:t>
      </w:r>
      <w:r w:rsidRPr="009E1366">
        <w:rPr>
          <w:i/>
        </w:rPr>
        <w:t>,</w:t>
      </w:r>
    </w:p>
    <w:p w:rsidRPr="009E1366" w:rsidR="00606600" w:rsidP="009E1366" w14:paraId="58AED585" w14:textId="0DCE03D9">
      <w:pPr>
        <w:pStyle w:val="JuPara"/>
      </w:pPr>
      <w:r w:rsidRPr="009E1366">
        <w:t xml:space="preserve">Having deliberated in private on </w:t>
      </w:r>
      <w:r w:rsidRPr="009E1366" w:rsidR="00600F8D">
        <w:t>26 March 2026</w:t>
      </w:r>
      <w:r w:rsidRPr="009E1366">
        <w:t>,</w:t>
      </w:r>
    </w:p>
    <w:p w:rsidRPr="009E1366" w:rsidR="00606600" w:rsidP="009E1366" w14:paraId="464223B0" w14:textId="77777777">
      <w:pPr>
        <w:pStyle w:val="JuPara"/>
      </w:pPr>
      <w:r w:rsidRPr="009E1366">
        <w:t>Delivers the following judgment, which was adopted on that date:</w:t>
      </w:r>
    </w:p>
    <w:p w:rsidRPr="009E1366" w:rsidR="002B2FB0" w:rsidP="009E1366" w14:paraId="725FDEA4" w14:textId="77777777">
      <w:pPr>
        <w:pStyle w:val="JuHHead"/>
      </w:pPr>
      <w:bookmarkStart w:name="ITMARKStartJudgment" w:id="1"/>
      <w:bookmarkEnd w:id="1"/>
      <w:r w:rsidRPr="009E1366">
        <w:t>PROCEDURE</w:t>
      </w:r>
    </w:p>
    <w:p w:rsidRPr="009E1366" w:rsidR="002B2FB0" w:rsidP="009E1366" w14:paraId="62ED3343" w14:textId="7B0D954E">
      <w:pPr>
        <w:pStyle w:val="JuPara"/>
      </w:pPr>
      <w:r>
        <w:fldChar w:fldCharType="begin"/>
      </w:r>
      <w:r>
        <w:instrText xml:space="preserve"> SEQ level0 \*arabic \* MERGEFORMAT </w:instrText>
      </w:r>
      <w:r>
        <w:fldChar w:fldCharType="separate"/>
      </w:r>
      <w:r w:rsidRPr="009E1366">
        <w:rPr>
          <w:noProof/>
        </w:rPr>
        <w:t>1</w:t>
      </w:r>
      <w:r w:rsidRPr="009E1366">
        <w:rPr>
          <w:noProof/>
        </w:rPr>
        <w:fldChar w:fldCharType="end"/>
      </w:r>
      <w:r w:rsidRPr="009E1366">
        <w:t>.  The case originated in an application against Ukraine lodged with the</w:t>
      </w:r>
      <w:r w:rsidRPr="009E1366" w:rsidR="00600F8D">
        <w:t> </w:t>
      </w:r>
      <w:r w:rsidRPr="009E1366">
        <w:t>Court under Article 34 of the Convention for the Protection of Human Rights and Fundamental Freedoms (“the Convention”) on 13 May 2025.</w:t>
      </w:r>
    </w:p>
    <w:p w:rsidRPr="009E1366" w:rsidR="002B2FB0" w:rsidP="009E1366" w14:paraId="40D46A94" w14:textId="73FDFE51">
      <w:pPr>
        <w:pStyle w:val="JuPara"/>
      </w:pPr>
      <w:r>
        <w:fldChar w:fldCharType="begin"/>
      </w:r>
      <w:r>
        <w:instrText xml:space="preserve"> SEQ level0 \*arabic \* MERGEFORMAT </w:instrText>
      </w:r>
      <w:r>
        <w:fldChar w:fldCharType="separate"/>
      </w:r>
      <w:r w:rsidRPr="009E1366">
        <w:rPr>
          <w:noProof/>
        </w:rPr>
        <w:t>2</w:t>
      </w:r>
      <w:r w:rsidRPr="009E1366">
        <w:rPr>
          <w:noProof/>
        </w:rPr>
        <w:fldChar w:fldCharType="end"/>
      </w:r>
      <w:r w:rsidRPr="009E1366">
        <w:t>.  The applicant was represented by Mr O.A. Myronov, a lawyer practising in Kharkiv.</w:t>
      </w:r>
    </w:p>
    <w:p w:rsidRPr="009E1366" w:rsidR="002B2FB0" w:rsidP="009E1366" w14:paraId="3009966B" w14:textId="2F244875">
      <w:pPr>
        <w:pStyle w:val="JuPara"/>
      </w:pPr>
      <w:r>
        <w:fldChar w:fldCharType="begin"/>
      </w:r>
      <w:r>
        <w:instrText xml:space="preserve"> SEQ level0 \*arabic \* MERGEFORMAT </w:instrText>
      </w:r>
      <w:r>
        <w:fldChar w:fldCharType="separate"/>
      </w:r>
      <w:r w:rsidRPr="009E1366">
        <w:rPr>
          <w:noProof/>
        </w:rPr>
        <w:t>3</w:t>
      </w:r>
      <w:r w:rsidRPr="009E1366">
        <w:rPr>
          <w:noProof/>
        </w:rPr>
        <w:fldChar w:fldCharType="end"/>
      </w:r>
      <w:r w:rsidRPr="009E1366">
        <w:t>.  The Ukrainian Government (“the Government”) were given notice of the application.</w:t>
      </w:r>
    </w:p>
    <w:p w:rsidRPr="009E1366" w:rsidR="002B2FB0" w:rsidP="009E1366" w14:paraId="7ADC5ADD" w14:textId="77777777">
      <w:pPr>
        <w:pStyle w:val="JuHHead"/>
        <w:jc w:val="left"/>
      </w:pPr>
      <w:r w:rsidRPr="009E1366">
        <w:t>THE FACTS</w:t>
      </w:r>
    </w:p>
    <w:p w:rsidRPr="009E1366" w:rsidR="002B2FB0" w:rsidP="009E1366" w14:paraId="7296C1E0" w14:textId="05B6C0D3">
      <w:pPr>
        <w:pStyle w:val="JuPara"/>
      </w:pPr>
      <w:r>
        <w:fldChar w:fldCharType="begin"/>
      </w:r>
      <w:r>
        <w:instrText xml:space="preserve"> SEQ level0 \*arabic \* MERGEFORMAT </w:instrText>
      </w:r>
      <w:r>
        <w:fldChar w:fldCharType="separate"/>
      </w:r>
      <w:r w:rsidRPr="009E1366">
        <w:rPr>
          <w:noProof/>
        </w:rPr>
        <w:t>4</w:t>
      </w:r>
      <w:r w:rsidRPr="009E1366">
        <w:rPr>
          <w:noProof/>
        </w:rPr>
        <w:fldChar w:fldCharType="end"/>
      </w:r>
      <w:r w:rsidRPr="009E1366">
        <w:t>.  The applicant</w:t>
      </w:r>
      <w:r w:rsidRPr="009E1366">
        <w:t>’</w:t>
      </w:r>
      <w:r w:rsidRPr="009E1366">
        <w:t>s details and information relevant to the application are set out in the appended table.</w:t>
      </w:r>
    </w:p>
    <w:p w:rsidRPr="009E1366" w:rsidR="002B2FB0" w:rsidP="009E1366" w14:paraId="1C98964E" w14:textId="77777777">
      <w:pPr>
        <w:pStyle w:val="JuHHead"/>
        <w:jc w:val="left"/>
      </w:pPr>
      <w:r w:rsidRPr="009E1366">
        <w:t>THE LAW</w:t>
      </w:r>
    </w:p>
    <w:p w:rsidRPr="009E1366" w:rsidR="002B2FB0" w:rsidP="009E1366" w14:paraId="24CADF6A" w14:textId="77777777">
      <w:pPr>
        <w:pStyle w:val="JuHIRoman"/>
        <w:tabs>
          <w:tab w:val="clear" w:pos="454"/>
          <w:tab w:val="clear" w:pos="539"/>
          <w:tab w:val="clear" w:pos="624"/>
          <w:tab w:val="clear" w:pos="709"/>
          <w:tab w:val="clear" w:pos="794"/>
        </w:tabs>
        <w:ind w:left="357" w:hanging="357"/>
        <w:rPr>
          <w:rFonts w:eastAsia="PMingLiU"/>
        </w:rPr>
      </w:pPr>
      <w:r w:rsidRPr="009E1366">
        <w:t>ALLEGED VIOLATION OF ARTICLE 5 § 1</w:t>
      </w:r>
      <w:r w:rsidRPr="009E1366">
        <w:rPr>
          <w:rFonts w:ascii="Times New Roman" w:hAnsi="Times New Roman" w:eastAsia="PMingLiU" w:cs="Times New Roman"/>
        </w:rPr>
        <w:t xml:space="preserve"> of the Convention</w:t>
      </w:r>
    </w:p>
    <w:p w:rsidRPr="009E1366" w:rsidR="002B2FB0" w:rsidP="009E1366" w14:paraId="15E9BE60" w14:textId="33BF9E9B">
      <w:pPr>
        <w:pStyle w:val="JuPara"/>
        <w:rPr>
          <w:rFonts w:ascii="Times New Roman" w:hAnsi="Times New Roman" w:eastAsia="PMingLiU" w:cs="Times New Roman"/>
        </w:rPr>
      </w:pPr>
      <w:r>
        <w:fldChar w:fldCharType="begin"/>
      </w:r>
      <w:r>
        <w:instrText xml:space="preserve"> SEQ level0 \*arabic \* MERGEFORMAT </w:instrText>
      </w:r>
      <w:r>
        <w:fldChar w:fldCharType="separate"/>
      </w:r>
      <w:r w:rsidRPr="009E1366">
        <w:rPr>
          <w:noProof/>
        </w:rPr>
        <w:t>5</w:t>
      </w:r>
      <w:r w:rsidRPr="009E1366">
        <w:rPr>
          <w:noProof/>
        </w:rPr>
        <w:fldChar w:fldCharType="end"/>
      </w:r>
      <w:r w:rsidRPr="009E1366">
        <w:t xml:space="preserve">.  The applicant complained </w:t>
      </w:r>
      <w:r w:rsidRPr="009E1366">
        <w:rPr>
          <w:bCs/>
        </w:rPr>
        <w:t xml:space="preserve">principally </w:t>
      </w:r>
      <w:r w:rsidRPr="009E1366">
        <w:t>of the unlawful detention</w:t>
      </w:r>
      <w:r w:rsidRPr="009E1366">
        <w:rPr>
          <w:bCs/>
        </w:rPr>
        <w:t>.</w:t>
      </w:r>
      <w:r w:rsidRPr="009E1366">
        <w:t xml:space="preserve"> He relied on Article 5 § 1</w:t>
      </w:r>
      <w:r w:rsidRPr="009E1366">
        <w:rPr>
          <w:rFonts w:ascii="Times New Roman" w:hAnsi="Times New Roman" w:eastAsia="PMingLiU" w:cs="Times New Roman"/>
        </w:rPr>
        <w:t xml:space="preserve"> of the Convention.</w:t>
      </w:r>
    </w:p>
    <w:p w:rsidRPr="009E1366" w:rsidR="002B2FB0" w:rsidP="009E1366" w14:paraId="43392CAF" w14:textId="4C80738A">
      <w:pPr>
        <w:pStyle w:val="JuPara"/>
      </w:pPr>
      <w:r>
        <w:fldChar w:fldCharType="begin"/>
      </w:r>
      <w:r>
        <w:instrText xml:space="preserve"> SEQ level0 \*arabic \* MERGEFORMAT </w:instrText>
      </w:r>
      <w:r>
        <w:fldChar w:fldCharType="separate"/>
      </w:r>
      <w:r w:rsidRPr="009E1366">
        <w:rPr>
          <w:noProof/>
        </w:rPr>
        <w:t>6</w:t>
      </w:r>
      <w:r w:rsidRPr="009E1366">
        <w:rPr>
          <w:noProof/>
        </w:rPr>
        <w:fldChar w:fldCharType="end"/>
      </w:r>
      <w:r w:rsidRPr="009E1366">
        <w:t>.  The Court reiterates that Article 5 of the Convention is, together with Articles 2, 3 and 4, in the first rank of the fundamental rights that protect the</w:t>
      </w:r>
      <w:r w:rsidRPr="009E1366" w:rsidR="00600F8D">
        <w:t> </w:t>
      </w:r>
      <w:r w:rsidRPr="009E1366">
        <w:t xml:space="preserve">physical security of the individual, and as such its importance is paramount. Its key purpose is to prevent arbitrary or unjustified deprivations of liberty (see </w:t>
      </w:r>
      <w:r w:rsidRPr="009E1366">
        <w:rPr>
          <w:i/>
          <w:iCs/>
        </w:rPr>
        <w:t>Buzadji</w:t>
      </w:r>
      <w:r w:rsidRPr="009E1366">
        <w:rPr>
          <w:i/>
          <w:iCs/>
        </w:rPr>
        <w:t xml:space="preserve"> v. the Republic of Moldova </w:t>
      </w:r>
      <w:r w:rsidRPr="009E1366">
        <w:t>[GC], no. 23755/07, § 84, ECHR 2016 (extracts), with further references).</w:t>
      </w:r>
    </w:p>
    <w:p w:rsidRPr="009E1366" w:rsidR="002B2FB0" w:rsidP="009E1366" w14:paraId="03741E2E" w14:textId="7E2E08D2">
      <w:pPr>
        <w:pStyle w:val="JuPara"/>
      </w:pPr>
      <w:r>
        <w:fldChar w:fldCharType="begin"/>
      </w:r>
      <w:r>
        <w:instrText xml:space="preserve"> SEQ level0 \*arabic \* MERGEFORMAT </w:instrText>
      </w:r>
      <w:r>
        <w:fldChar w:fldCharType="separate"/>
      </w:r>
      <w:r w:rsidRPr="009E1366">
        <w:rPr>
          <w:noProof/>
        </w:rPr>
        <w:t>7</w:t>
      </w:r>
      <w:r w:rsidRPr="009E1366">
        <w:rPr>
          <w:noProof/>
        </w:rPr>
        <w:fldChar w:fldCharType="end"/>
      </w:r>
      <w:r w:rsidRPr="009E1366">
        <w:t xml:space="preserve">.  Where the “lawfulness” of detention is in issue, including the question whether “a procedure prescribed by law” has been followed, the Convention refers essentially to national law and lays down the obligation to conform to the substantive and procedural rules thereof. Compliance with national law is not, however, sufficient: Article 5 § 1 requires in addition that any deprivation of liberty should be in keeping with the purpose of protecting the individual </w:t>
      </w:r>
      <w:r w:rsidRPr="009E1366">
        <w:t xml:space="preserve">from arbitrariness (see </w:t>
      </w:r>
      <w:r w:rsidRPr="009E1366">
        <w:rPr>
          <w:i/>
          <w:iCs/>
        </w:rPr>
        <w:t xml:space="preserve">S., V. and A. v. Denmark </w:t>
      </w:r>
      <w:r w:rsidRPr="009E1366">
        <w:t>[GC], nos. 35553/12, 36678/12 and 36711/12, § 74, 22 October 2018, with further references).</w:t>
      </w:r>
    </w:p>
    <w:p w:rsidRPr="009E1366" w:rsidR="002B2FB0" w:rsidP="009E1366" w14:paraId="18B66DB5" w14:textId="4F32B8BA">
      <w:pPr>
        <w:pStyle w:val="JuPara"/>
      </w:pPr>
      <w:r>
        <w:fldChar w:fldCharType="begin"/>
      </w:r>
      <w:r>
        <w:instrText xml:space="preserve"> SEQ level0 \*arabic \* MERGEFORMAT </w:instrText>
      </w:r>
      <w:r>
        <w:fldChar w:fldCharType="separate"/>
      </w:r>
      <w:r w:rsidRPr="009E1366">
        <w:rPr>
          <w:noProof/>
        </w:rPr>
        <w:t>8</w:t>
      </w:r>
      <w:r w:rsidRPr="009E1366">
        <w:rPr>
          <w:noProof/>
        </w:rPr>
        <w:fldChar w:fldCharType="end"/>
      </w:r>
      <w:r w:rsidRPr="009E1366">
        <w:t xml:space="preserve">.  The Court found a violation in respect of issues </w:t>
      </w:r>
      <w:r w:rsidRPr="009E1366">
        <w:t>similar to</w:t>
      </w:r>
      <w:r w:rsidRPr="009E1366">
        <w:t xml:space="preserve"> those in the</w:t>
      </w:r>
      <w:r w:rsidRPr="009E1366" w:rsidR="00600F8D">
        <w:t> </w:t>
      </w:r>
      <w:r w:rsidRPr="009E1366">
        <w:t>present case in the leading cases set out in the appended table.</w:t>
      </w:r>
    </w:p>
    <w:p w:rsidRPr="009E1366" w:rsidR="002B2FB0" w:rsidP="009E1366" w14:paraId="299B6590" w14:textId="348C0512">
      <w:pPr>
        <w:pStyle w:val="JuPara"/>
      </w:pPr>
      <w:r>
        <w:fldChar w:fldCharType="begin"/>
      </w:r>
      <w:r>
        <w:instrText xml:space="preserve"> SEQ level0 \*arabic \* MERGEFORMAT </w:instrText>
      </w:r>
      <w:r>
        <w:fldChar w:fldCharType="separate"/>
      </w:r>
      <w:r w:rsidRPr="009E1366">
        <w:rPr>
          <w:noProof/>
        </w:rPr>
        <w:t>9</w:t>
      </w:r>
      <w:r w:rsidRPr="009E1366">
        <w:rPr>
          <w:noProof/>
        </w:rPr>
        <w:fldChar w:fldCharType="end"/>
      </w:r>
      <w:r w:rsidRPr="009E1366">
        <w:t>.  Having examined all the material submitted to it, the Court has not found any fact or argument capable of persuading it to reach a different conclusion on the admissibility and merits of these complaints. Having regard to its case-law on the subject, the Court considers that in the instant case the</w:t>
      </w:r>
      <w:r w:rsidRPr="009E1366" w:rsidR="00600F8D">
        <w:t> </w:t>
      </w:r>
      <w:r w:rsidRPr="009E1366">
        <w:t>applicant</w:t>
      </w:r>
      <w:r w:rsidRPr="009E1366">
        <w:t>’</w:t>
      </w:r>
      <w:r w:rsidRPr="009E1366">
        <w:t>s detention was not in accordance with Article 5 § 1 of the</w:t>
      </w:r>
      <w:r w:rsidRPr="009E1366" w:rsidR="00600F8D">
        <w:t> </w:t>
      </w:r>
      <w:r w:rsidRPr="009E1366">
        <w:t>Convention</w:t>
      </w:r>
      <w:r w:rsidRPr="009E1366">
        <w:rPr>
          <w:rFonts w:eastAsia="PMingLiU"/>
        </w:rPr>
        <w:t>.</w:t>
      </w:r>
    </w:p>
    <w:p w:rsidRPr="009E1366" w:rsidR="002B2FB0" w:rsidP="009E1366" w14:paraId="4994109D" w14:textId="1B392DB6">
      <w:pPr>
        <w:pStyle w:val="JuPara"/>
      </w:pPr>
      <w:r>
        <w:fldChar w:fldCharType="begin"/>
      </w:r>
      <w:r>
        <w:instrText xml:space="preserve"> SEQ level0 \*arabic \* MERGEFORMAT </w:instrText>
      </w:r>
      <w:r>
        <w:fldChar w:fldCharType="separate"/>
      </w:r>
      <w:r w:rsidRPr="009E1366">
        <w:rPr>
          <w:noProof/>
        </w:rPr>
        <w:t>10</w:t>
      </w:r>
      <w:r w:rsidRPr="009E1366">
        <w:rPr>
          <w:noProof/>
        </w:rPr>
        <w:fldChar w:fldCharType="end"/>
      </w:r>
      <w:r w:rsidRPr="009E1366">
        <w:t>.  These complaints are therefore admissible and disclose a breach of Article 5 § 1</w:t>
      </w:r>
      <w:r w:rsidRPr="009E1366">
        <w:rPr>
          <w:rFonts w:ascii="Times New Roman" w:hAnsi="Times New Roman" w:eastAsia="PMingLiU" w:cs="Times New Roman"/>
        </w:rPr>
        <w:t xml:space="preserve"> of the Convention</w:t>
      </w:r>
      <w:r w:rsidRPr="009E1366">
        <w:t>.</w:t>
      </w:r>
    </w:p>
    <w:p w:rsidRPr="009E1366" w:rsidR="002B2FB0" w:rsidP="009E1366" w14:paraId="504E45EE" w14:textId="77777777">
      <w:pPr>
        <w:pStyle w:val="JuHIRoman"/>
        <w:tabs>
          <w:tab w:val="clear" w:pos="454"/>
          <w:tab w:val="clear" w:pos="539"/>
          <w:tab w:val="clear" w:pos="624"/>
          <w:tab w:val="clear" w:pos="709"/>
          <w:tab w:val="clear" w:pos="794"/>
        </w:tabs>
        <w:ind w:left="357" w:hanging="357"/>
        <w:rPr>
          <w:rFonts w:eastAsia="PMingLiU"/>
          <w:lang w:eastAsia="en-GB"/>
        </w:rPr>
      </w:pPr>
      <w:r w:rsidRPr="009E1366">
        <w:t>OTHER ALLEGED VIOLATIONS UNDER WELL-ESTABLISHED CASE-LAW</w:t>
      </w:r>
    </w:p>
    <w:p w:rsidRPr="009E1366" w:rsidR="002B2FB0" w:rsidP="009E1366" w14:paraId="65DD8EB4" w14:textId="2794CD8C">
      <w:pPr>
        <w:pStyle w:val="JuPara"/>
        <w:rPr>
          <w:snapToGrid w:val="0"/>
        </w:rPr>
      </w:pPr>
      <w:r>
        <w:fldChar w:fldCharType="begin"/>
      </w:r>
      <w:r>
        <w:instrText xml:space="preserve"> SEQ level0 \*arabic \* MERGEFORMAT </w:instrText>
      </w:r>
      <w:r>
        <w:fldChar w:fldCharType="separate"/>
      </w:r>
      <w:r w:rsidRPr="009E1366">
        <w:rPr>
          <w:noProof/>
        </w:rPr>
        <w:t>11</w:t>
      </w:r>
      <w:r w:rsidRPr="009E1366">
        <w:rPr>
          <w:noProof/>
        </w:rPr>
        <w:fldChar w:fldCharType="end"/>
      </w:r>
      <w:r w:rsidRPr="009E1366">
        <w:t>.  The applicant submitted other complaints which also raised issues under the Convention, given the relevant well-established case-law of the</w:t>
      </w:r>
      <w:r w:rsidRPr="009E1366" w:rsidR="00600F8D">
        <w:t> </w:t>
      </w:r>
      <w:r w:rsidRPr="009E1366">
        <w:t>Court (see appended table). These complaints are not manifestly ill-founded within the meaning of Article 35 § 3 (a) of the Convention, nor are they inadmissible on any other ground. Accordingly, they must be declared admissible. Having examined all the material before it, the Court concludes that they also disclose violations of the Convention in the light of its findings in the case set out in the appended table</w:t>
      </w:r>
      <w:r w:rsidRPr="009E1366">
        <w:rPr>
          <w:snapToGrid w:val="0"/>
        </w:rPr>
        <w:t>.</w:t>
      </w:r>
    </w:p>
    <w:p w:rsidRPr="009E1366" w:rsidR="002B2FB0" w:rsidP="009E1366" w14:paraId="7FB88806" w14:textId="77777777">
      <w:pPr>
        <w:pStyle w:val="JuHIRoman"/>
        <w:tabs>
          <w:tab w:val="clear" w:pos="454"/>
          <w:tab w:val="clear" w:pos="539"/>
          <w:tab w:val="clear" w:pos="624"/>
          <w:tab w:val="clear" w:pos="709"/>
          <w:tab w:val="clear" w:pos="794"/>
        </w:tabs>
        <w:ind w:left="357" w:hanging="357"/>
        <w:jc w:val="left"/>
      </w:pPr>
      <w:r w:rsidRPr="009E1366">
        <w:t>APPLICATION OF ARTICLE 41 OF THE CONVENTION</w:t>
      </w:r>
    </w:p>
    <w:p w:rsidRPr="009E1366" w:rsidR="002B2FB0" w:rsidP="009E1366" w14:paraId="654738F3" w14:textId="00C5BBB7">
      <w:pPr>
        <w:pStyle w:val="JuPara"/>
      </w:pPr>
      <w:r>
        <w:fldChar w:fldCharType="begin"/>
      </w:r>
      <w:r>
        <w:instrText xml:space="preserve"> SEQ level0 \*arabic \* MERGEFORMAT </w:instrText>
      </w:r>
      <w:r>
        <w:fldChar w:fldCharType="separate"/>
      </w:r>
      <w:r w:rsidRPr="009E1366">
        <w:rPr>
          <w:noProof/>
        </w:rPr>
        <w:t>12</w:t>
      </w:r>
      <w:r w:rsidRPr="009E1366">
        <w:rPr>
          <w:noProof/>
        </w:rPr>
        <w:fldChar w:fldCharType="end"/>
      </w:r>
      <w:r w:rsidRPr="009E1366">
        <w:t>.  Regard being had to the documents in its possession and to its case</w:t>
      </w:r>
      <w:r w:rsidRPr="009E1366">
        <w:noBreakHyphen/>
        <w:t>law (see</w:t>
      </w:r>
      <w:r w:rsidRPr="009E1366">
        <w:t xml:space="preserve">, in particular, </w:t>
      </w:r>
      <w:r w:rsidRPr="009E1366">
        <w:rPr>
          <w:i/>
        </w:rPr>
        <w:t>Malyk</w:t>
      </w:r>
      <w:r w:rsidRPr="009E1366">
        <w:rPr>
          <w:i/>
        </w:rPr>
        <w:t xml:space="preserve"> v. Ukraine, </w:t>
      </w:r>
      <w:r w:rsidRPr="009E1366">
        <w:t>no. 37198/10, 29</w:t>
      </w:r>
      <w:r w:rsidRPr="009E1366" w:rsidR="00600F8D">
        <w:t> </w:t>
      </w:r>
      <w:r w:rsidRPr="009E1366">
        <w:t>January</w:t>
      </w:r>
      <w:r w:rsidRPr="009E1366" w:rsidR="00600F8D">
        <w:t> </w:t>
      </w:r>
      <w:r w:rsidRPr="009E1366">
        <w:t>2015), the Court considers it reasonable to award the sums indicated in the appended table.</w:t>
      </w:r>
    </w:p>
    <w:p w:rsidRPr="009E1366" w:rsidR="002B2FB0" w:rsidP="009E1366" w14:paraId="7860BC55" w14:textId="77777777">
      <w:pPr>
        <w:pStyle w:val="JuHHead"/>
        <w:jc w:val="left"/>
      </w:pPr>
      <w:r w:rsidRPr="009E1366">
        <w:t>FOR THESE REASONS, THE COURT, UNANIMOUSLY,</w:t>
      </w:r>
    </w:p>
    <w:p w:rsidRPr="009E1366" w:rsidR="002B2FB0" w:rsidP="009E1366" w14:paraId="322604F6" w14:textId="77777777">
      <w:pPr>
        <w:pStyle w:val="JuList"/>
        <w:keepNext/>
        <w:keepLines/>
      </w:pPr>
      <w:r w:rsidRPr="009E1366">
        <w:rPr>
          <w:i/>
        </w:rPr>
        <w:t xml:space="preserve">Declares </w:t>
      </w:r>
      <w:r w:rsidRPr="009E1366">
        <w:t xml:space="preserve">the application </w:t>
      </w:r>
      <w:r w:rsidRPr="009E1366">
        <w:t>admissible;</w:t>
      </w:r>
    </w:p>
    <w:p w:rsidRPr="009E1366" w:rsidR="002B2FB0" w:rsidP="009E1366" w14:paraId="77992369" w14:textId="492B49EB">
      <w:pPr>
        <w:pStyle w:val="JuList"/>
        <w:rPr>
          <w:rFonts w:cstheme="minorHAnsi"/>
          <w:bCs/>
        </w:rPr>
      </w:pPr>
      <w:r w:rsidRPr="009E1366">
        <w:rPr>
          <w:i/>
        </w:rPr>
        <w:t xml:space="preserve">Holds </w:t>
      </w:r>
      <w:r w:rsidRPr="009E1366">
        <w:t>that this application discloses a breach of Article 5 § 1</w:t>
      </w:r>
      <w:r w:rsidRPr="009E1366">
        <w:rPr>
          <w:rFonts w:ascii="Times New Roman" w:hAnsi="Times New Roman" w:eastAsia="PMingLiU" w:cs="Times New Roman"/>
        </w:rPr>
        <w:t xml:space="preserve"> of the</w:t>
      </w:r>
      <w:r w:rsidRPr="009E1366" w:rsidR="00600F8D">
        <w:rPr>
          <w:rFonts w:ascii="Times New Roman" w:hAnsi="Times New Roman" w:eastAsia="PMingLiU" w:cs="Times New Roman"/>
        </w:rPr>
        <w:t> </w:t>
      </w:r>
      <w:r w:rsidRPr="009E1366">
        <w:rPr>
          <w:rFonts w:ascii="Times New Roman" w:hAnsi="Times New Roman" w:eastAsia="PMingLiU" w:cs="Times New Roman"/>
        </w:rPr>
        <w:t>Convention</w:t>
      </w:r>
      <w:r w:rsidRPr="009E1366">
        <w:t xml:space="preserve"> concerning the </w:t>
      </w:r>
      <w:r w:rsidRPr="009E1366">
        <w:rPr>
          <w:rFonts w:cstheme="minorHAnsi"/>
        </w:rPr>
        <w:t xml:space="preserve">unlawful </w:t>
      </w:r>
      <w:r w:rsidRPr="009E1366">
        <w:rPr>
          <w:rFonts w:cstheme="minorHAnsi"/>
        </w:rPr>
        <w:t>detention</w:t>
      </w:r>
      <w:r w:rsidRPr="009E1366">
        <w:rPr>
          <w:rFonts w:eastAsia="PMingLiU"/>
        </w:rPr>
        <w:t>;</w:t>
      </w:r>
    </w:p>
    <w:p w:rsidRPr="009E1366" w:rsidR="002B2FB0" w:rsidP="009E1366" w14:paraId="48F06F60" w14:textId="7FB2A79A">
      <w:pPr>
        <w:pStyle w:val="JuList"/>
      </w:pPr>
      <w:r w:rsidRPr="009E1366">
        <w:rPr>
          <w:i/>
        </w:rPr>
        <w:t xml:space="preserve">Holds </w:t>
      </w:r>
      <w:r w:rsidRPr="009E1366">
        <w:t>that there has been a violation of the Convention as regards the</w:t>
      </w:r>
      <w:r w:rsidRPr="009E1366" w:rsidR="00600F8D">
        <w:t> </w:t>
      </w:r>
      <w:r w:rsidRPr="009E1366">
        <w:t>other complaints raised under the well-established case-law of the Court (see appended table</w:t>
      </w:r>
      <w:r w:rsidRPr="009E1366">
        <w:t>);</w:t>
      </w:r>
    </w:p>
    <w:p w:rsidRPr="009E1366" w:rsidR="002B2FB0" w:rsidP="009E1366" w14:paraId="4AED9602" w14:textId="77777777">
      <w:pPr>
        <w:pStyle w:val="JuList"/>
        <w:keepNext/>
        <w:keepLines/>
        <w:rPr>
          <w:rFonts w:cstheme="minorHAnsi"/>
          <w:bCs/>
        </w:rPr>
      </w:pPr>
      <w:r w:rsidRPr="009E1366">
        <w:rPr>
          <w:i/>
        </w:rPr>
        <w:t>Holds</w:t>
      </w:r>
    </w:p>
    <w:p w:rsidRPr="009E1366" w:rsidR="002B2FB0" w:rsidP="009E1366" w14:paraId="17A0A64B" w14:textId="77777777">
      <w:pPr>
        <w:pStyle w:val="JuLista"/>
        <w:keepNext/>
        <w:keepLines/>
      </w:pPr>
      <w:r w:rsidRPr="009E1366">
        <w:t xml:space="preserve">that the respondent State is to pay the applicant, within three months, the amounts indicated in the appended table, to be converted into the currency of the respondent State at the rate applicable at the date of </w:t>
      </w:r>
      <w:r w:rsidRPr="009E1366">
        <w:t>settlement;</w:t>
      </w:r>
    </w:p>
    <w:p w:rsidRPr="009E1366" w:rsidR="00606600" w:rsidP="009E1366" w14:paraId="09183D60" w14:textId="6922576A">
      <w:pPr>
        <w:pStyle w:val="JuLista"/>
      </w:pPr>
      <w:r w:rsidRPr="009E1366">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9E1366" w:rsidR="00606600" w:rsidP="009E1366" w14:paraId="01F75336" w14:textId="77777777">
      <w:pPr>
        <w:pStyle w:val="JuParaLast"/>
      </w:pPr>
      <w:r w:rsidRPr="009E1366">
        <w:t xml:space="preserve">Done in English, and notified in writing on </w:t>
      </w:r>
      <w:r w:rsidRPr="009E1366" w:rsidR="002B2FB0">
        <w:t>16 April 2026</w:t>
      </w:r>
      <w:r w:rsidRPr="009E1366">
        <w:t>, pursuant to Rule 77 §§ 2 and 3 of the Rules of Court.</w:t>
      </w:r>
    </w:p>
    <w:p w:rsidRPr="009E1366" w:rsidR="00656431" w:rsidP="009E1366" w14:paraId="083FEF19" w14:textId="408844CB">
      <w:pPr>
        <w:pStyle w:val="ECHRPlaceholder"/>
        <w:rPr>
          <w:szCs w:val="22"/>
        </w:rPr>
      </w:pPr>
      <w:r w:rsidRPr="009E1366">
        <w:rPr>
          <w:rFonts w:eastAsia="PMingLiU"/>
        </w:rPr>
        <w:tab/>
      </w:r>
    </w:p>
    <w:p w:rsidRPr="009E1366" w:rsidR="00B91668" w:rsidP="009E1366" w14:paraId="62ACE515" w14:textId="5B6F9FCE">
      <w:pPr>
        <w:pStyle w:val="JuSigned"/>
        <w:rPr>
          <w:rFonts w:eastAsia="PMingLiU"/>
        </w:rPr>
      </w:pPr>
      <w:r w:rsidRPr="009E1366">
        <w:rPr>
          <w:rFonts w:eastAsia="PMingLiU"/>
        </w:rPr>
        <w:tab/>
      </w:r>
      <w:r w:rsidRPr="009E1366" w:rsidR="002B2FB0">
        <w:rPr>
          <w:rFonts w:eastAsia="PMingLiU"/>
        </w:rPr>
        <w:t>Viktoriya</w:t>
      </w:r>
      <w:r w:rsidRPr="009E1366" w:rsidR="0048584C">
        <w:rPr>
          <w:rFonts w:eastAsia="PMingLiU"/>
        </w:rPr>
        <w:t xml:space="preserve"> </w:t>
      </w:r>
      <w:r w:rsidRPr="009E1366" w:rsidR="002B2FB0">
        <w:rPr>
          <w:rFonts w:eastAsia="PMingLiU"/>
        </w:rPr>
        <w:t>Maradudina</w:t>
      </w:r>
      <w:r w:rsidRPr="009E1366" w:rsidR="0048584C">
        <w:rPr>
          <w:rFonts w:eastAsia="PMingLiU"/>
        </w:rPr>
        <w:tab/>
      </w:r>
      <w:r w:rsidRPr="009E1366" w:rsidR="002B2FB0">
        <w:rPr>
          <w:rFonts w:eastAsia="PMingLiU"/>
        </w:rPr>
        <w:t xml:space="preserve">Andreas </w:t>
      </w:r>
      <w:r w:rsidRPr="009E1366" w:rsidR="002B2FB0">
        <w:rPr>
          <w:rFonts w:eastAsia="PMingLiU"/>
        </w:rPr>
        <w:t>Zünd</w:t>
      </w:r>
      <w:r w:rsidRPr="009E1366" w:rsidR="009E1366">
        <w:rPr>
          <w:rFonts w:eastAsia="PMingLiU"/>
        </w:rPr>
        <w:br/>
      </w:r>
      <w:r w:rsidRPr="009E1366" w:rsidR="0048584C">
        <w:rPr>
          <w:rFonts w:eastAsia="PMingLiU"/>
        </w:rPr>
        <w:tab/>
        <w:t>Acting Deputy Registrar</w:t>
      </w:r>
      <w:r w:rsidRPr="009E1366" w:rsidR="0048584C">
        <w:rPr>
          <w:rFonts w:eastAsia="PMingLiU"/>
        </w:rPr>
        <w:tab/>
        <w:t>President</w:t>
      </w:r>
    </w:p>
    <w:p w:rsidRPr="009E1366" w:rsidR="009E1366" w:rsidP="009E1366" w14:paraId="3D510F8B" w14:textId="77777777">
      <w:pPr>
        <w:pStyle w:val="JuPara"/>
      </w:pPr>
    </w:p>
    <w:p w:rsidRPr="009E1366" w:rsidR="009E1366" w:rsidP="009E1366" w14:paraId="2499C553" w14:textId="77777777">
      <w:pPr>
        <w:pStyle w:val="JuPara"/>
      </w:pPr>
    </w:p>
    <w:p w:rsidRPr="009E1366" w:rsidR="00606600" w:rsidP="009E1366" w14:paraId="4553A6DA"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9E1366" w:rsidR="00606600" w:rsidP="009E1366" w14:paraId="3534D356" w14:textId="77777777">
      <w:pPr>
        <w:pStyle w:val="DecHTitle"/>
      </w:pPr>
      <w:r w:rsidRPr="009E1366">
        <w:t>APPENDIX</w:t>
      </w:r>
    </w:p>
    <w:p w:rsidRPr="009E1366" w:rsidR="00606600" w:rsidP="009E1366" w14:paraId="469C516D" w14:textId="77777777">
      <w:pPr>
        <w:pStyle w:val="DecHCase"/>
        <w:contextualSpacing/>
        <w:rPr>
          <w:b/>
          <w:i/>
          <w:color w:val="3E3E3E" w:themeColor="background2" w:themeShade="40"/>
        </w:rPr>
      </w:pPr>
      <w:r w:rsidRPr="009E1366">
        <w:rPr>
          <w:color w:val="3E3E3E" w:themeColor="background2" w:themeShade="40"/>
        </w:rPr>
        <w:t>Application</w:t>
      </w:r>
      <w:r w:rsidRPr="009E1366" w:rsidR="0048584C">
        <w:rPr>
          <w:color w:val="3E3E3E" w:themeColor="background2" w:themeShade="40"/>
        </w:rPr>
        <w:t xml:space="preserve"> raising complaints under Article</w:t>
      </w:r>
      <w:r w:rsidRPr="009E1366">
        <w:rPr>
          <w:color w:val="3E3E3E" w:themeColor="background2" w:themeShade="40"/>
        </w:rPr>
        <w:t xml:space="preserve"> 5 § 1 of the Convention</w:t>
      </w:r>
    </w:p>
    <w:p w:rsidRPr="009E1366" w:rsidR="00606600" w:rsidP="009E1366" w14:paraId="75EC8B80" w14:textId="77777777">
      <w:pPr>
        <w:pStyle w:val="DecHCase"/>
        <w:contextualSpacing/>
        <w:rPr>
          <w:b/>
          <w:i/>
        </w:rPr>
      </w:pPr>
      <w:r w:rsidRPr="009E1366">
        <w:rPr>
          <w:color w:val="3E3E3E" w:themeColor="background2" w:themeShade="40"/>
        </w:rPr>
        <w:t>(</w:t>
      </w:r>
      <w:r w:rsidRPr="009E1366" w:rsidR="002B2FB0">
        <w:rPr>
          <w:color w:val="3E3E3E" w:themeColor="background2" w:themeShade="40"/>
        </w:rPr>
        <w:t>unlawful detention</w:t>
      </w:r>
      <w:r w:rsidRPr="009E1366">
        <w:rPr>
          <w:color w:val="3E3E3E" w:themeColor="background2" w:themeShade="40"/>
        </w:rPr>
        <w:t>)</w:t>
      </w:r>
    </w:p>
    <w:tbl>
      <w:tblPr>
        <w:tblStyle w:val="ECHRListTable"/>
        <w:tblW w:w="9775" w:type="dxa"/>
        <w:jc w:val="center"/>
        <w:tblLook w:val="0420"/>
      </w:tblPr>
      <w:tblGrid>
        <w:gridCol w:w="1092"/>
        <w:gridCol w:w="1064"/>
        <w:gridCol w:w="1046"/>
        <w:gridCol w:w="1985"/>
        <w:gridCol w:w="2450"/>
        <w:gridCol w:w="1034"/>
        <w:gridCol w:w="1104"/>
      </w:tblGrid>
      <w:tr w:rsidTr="00600F8D" w14:paraId="2B9F97B8" w14:textId="77777777">
        <w:tblPrEx>
          <w:tblW w:w="9775" w:type="dxa"/>
          <w:tblLook w:val="0420"/>
        </w:tblPrEx>
        <w:tc>
          <w:tcPr>
            <w:tcW w:w="0" w:type="auto"/>
          </w:tcPr>
          <w:p w:rsidRPr="009E1366" w:rsidR="00600F8D" w:rsidP="009E1366" w14:paraId="0EB0A397" w14:textId="77777777">
            <w:pPr>
              <w:jc w:val="center"/>
              <w:rPr>
                <w:sz w:val="16"/>
              </w:rPr>
            </w:pPr>
            <w:bookmarkStart w:name="WECLListStart" w:id="2"/>
            <w:bookmarkEnd w:id="2"/>
            <w:r w:rsidRPr="009E1366">
              <w:rPr>
                <w:sz w:val="16"/>
              </w:rPr>
              <w:t>Application no.</w:t>
            </w:r>
          </w:p>
          <w:p w:rsidRPr="009E1366" w:rsidR="00600F8D" w:rsidP="009E1366" w14:paraId="29809586" w14:textId="77777777">
            <w:pPr>
              <w:jc w:val="center"/>
              <w:rPr>
                <w:sz w:val="16"/>
              </w:rPr>
            </w:pPr>
            <w:r w:rsidRPr="009E1366">
              <w:rPr>
                <w:sz w:val="16"/>
              </w:rPr>
              <w:t>Date of introduction</w:t>
            </w:r>
          </w:p>
        </w:tc>
        <w:tc>
          <w:tcPr>
            <w:tcW w:w="0" w:type="auto"/>
          </w:tcPr>
          <w:p w:rsidRPr="009E1366" w:rsidR="00600F8D" w:rsidP="009E1366" w14:paraId="44F4FBF6" w14:textId="17E5A98C">
            <w:pPr>
              <w:jc w:val="center"/>
              <w:rPr>
                <w:sz w:val="16"/>
              </w:rPr>
            </w:pPr>
            <w:r w:rsidRPr="009E1366">
              <w:rPr>
                <w:sz w:val="16"/>
              </w:rPr>
              <w:t>Applicant</w:t>
            </w:r>
            <w:r w:rsidRPr="009E1366" w:rsidR="009E1366">
              <w:rPr>
                <w:sz w:val="16"/>
              </w:rPr>
              <w:t>’</w:t>
            </w:r>
            <w:r w:rsidRPr="009E1366">
              <w:rPr>
                <w:sz w:val="16"/>
              </w:rPr>
              <w:t>s name</w:t>
            </w:r>
          </w:p>
          <w:p w:rsidRPr="009E1366" w:rsidR="00600F8D" w:rsidP="009E1366" w14:paraId="0572F4BF" w14:textId="77777777">
            <w:pPr>
              <w:jc w:val="center"/>
              <w:rPr>
                <w:sz w:val="16"/>
              </w:rPr>
            </w:pPr>
            <w:r w:rsidRPr="009E1366">
              <w:rPr>
                <w:sz w:val="16"/>
              </w:rPr>
              <w:t>Year of birth</w:t>
            </w:r>
          </w:p>
          <w:p w:rsidRPr="009E1366" w:rsidR="00600F8D" w:rsidP="009E1366" w14:paraId="2623F7D7" w14:textId="77777777">
            <w:pPr>
              <w:jc w:val="center"/>
              <w:rPr>
                <w:sz w:val="16"/>
              </w:rPr>
            </w:pPr>
          </w:p>
        </w:tc>
        <w:tc>
          <w:tcPr>
            <w:tcW w:w="0" w:type="auto"/>
          </w:tcPr>
          <w:p w:rsidRPr="009E1366" w:rsidR="00600F8D" w:rsidP="009E1366" w14:paraId="4CE7AC46" w14:textId="77777777">
            <w:pPr>
              <w:jc w:val="center"/>
              <w:rPr>
                <w:sz w:val="16"/>
              </w:rPr>
            </w:pPr>
            <w:r w:rsidRPr="009E1366">
              <w:rPr>
                <w:sz w:val="16"/>
              </w:rPr>
              <w:t>Period of unlawful detention</w:t>
            </w:r>
          </w:p>
        </w:tc>
        <w:tc>
          <w:tcPr>
            <w:tcW w:w="0" w:type="auto"/>
          </w:tcPr>
          <w:p w:rsidRPr="009E1366" w:rsidR="00600F8D" w:rsidP="009E1366" w14:paraId="6EC8E9F8" w14:textId="77777777">
            <w:pPr>
              <w:jc w:val="center"/>
              <w:rPr>
                <w:sz w:val="16"/>
              </w:rPr>
            </w:pPr>
            <w:r w:rsidRPr="009E1366">
              <w:rPr>
                <w:sz w:val="16"/>
              </w:rPr>
              <w:t>Specific defects</w:t>
            </w:r>
          </w:p>
        </w:tc>
        <w:tc>
          <w:tcPr>
            <w:tcW w:w="0" w:type="auto"/>
          </w:tcPr>
          <w:p w:rsidRPr="009E1366" w:rsidR="00600F8D" w:rsidP="009E1366" w14:paraId="2CC4C88E" w14:textId="77777777">
            <w:pPr>
              <w:jc w:val="center"/>
              <w:rPr>
                <w:sz w:val="16"/>
              </w:rPr>
            </w:pPr>
            <w:r w:rsidRPr="009E1366">
              <w:rPr>
                <w:sz w:val="16"/>
              </w:rPr>
              <w:t>Other complaints under well-established case-law</w:t>
            </w:r>
          </w:p>
        </w:tc>
        <w:tc>
          <w:tcPr>
            <w:tcW w:w="0" w:type="auto"/>
          </w:tcPr>
          <w:p w:rsidRPr="009E1366" w:rsidR="00600F8D" w:rsidP="009E1366" w14:paraId="144EB400" w14:textId="77777777">
            <w:pPr>
              <w:jc w:val="center"/>
              <w:rPr>
                <w:sz w:val="16"/>
              </w:rPr>
            </w:pPr>
            <w:r w:rsidRPr="009E1366">
              <w:rPr>
                <w:sz w:val="16"/>
              </w:rPr>
              <w:t>Amount awarded for non-pecuniary damage per applicant</w:t>
            </w:r>
          </w:p>
          <w:p w:rsidRPr="009E1366" w:rsidR="00600F8D" w:rsidP="009E1366" w14:paraId="2A5C1142" w14:textId="77777777">
            <w:pPr>
              <w:jc w:val="center"/>
              <w:rPr>
                <w:sz w:val="16"/>
              </w:rPr>
            </w:pPr>
            <w:r w:rsidRPr="009E1366">
              <w:rPr>
                <w:sz w:val="16"/>
              </w:rPr>
              <w:t>(in euros)</w:t>
            </w:r>
            <w:r>
              <w:rPr>
                <w:rStyle w:val="EndnoteReference"/>
                <w:sz w:val="16"/>
              </w:rPr>
              <w:endnoteReference w:id="2"/>
            </w:r>
          </w:p>
        </w:tc>
        <w:tc>
          <w:tcPr>
            <w:tcW w:w="0" w:type="auto"/>
          </w:tcPr>
          <w:p w:rsidRPr="009E1366" w:rsidR="00600F8D" w:rsidP="009E1366" w14:paraId="290EDFBA" w14:textId="77777777">
            <w:pPr>
              <w:jc w:val="center"/>
              <w:rPr>
                <w:sz w:val="16"/>
              </w:rPr>
            </w:pPr>
            <w:r w:rsidRPr="009E1366">
              <w:rPr>
                <w:sz w:val="16"/>
              </w:rPr>
              <w:t>Amount awarded for costs and expenses per application</w:t>
            </w:r>
          </w:p>
          <w:p w:rsidRPr="009E1366" w:rsidR="00600F8D" w:rsidP="009E1366" w14:paraId="3AA9B8BD" w14:textId="77777777">
            <w:pPr>
              <w:jc w:val="center"/>
              <w:rPr>
                <w:sz w:val="16"/>
              </w:rPr>
            </w:pPr>
            <w:r w:rsidRPr="009E1366">
              <w:rPr>
                <w:sz w:val="16"/>
              </w:rPr>
              <w:t>(in euros)</w:t>
            </w:r>
            <w:r>
              <w:rPr>
                <w:rStyle w:val="EndnoteReference"/>
                <w:sz w:val="16"/>
              </w:rPr>
              <w:endnoteReference w:id="3"/>
            </w:r>
          </w:p>
        </w:tc>
      </w:tr>
      <w:tr w:rsidTr="00600F8D" w14:paraId="0E084C65" w14:textId="77777777">
        <w:tblPrEx>
          <w:tblW w:w="9775" w:type="dxa"/>
          <w:tblLook w:val="0420"/>
        </w:tblPrEx>
        <w:tc>
          <w:tcPr>
            <w:tcW w:w="0" w:type="auto"/>
          </w:tcPr>
          <w:p w:rsidRPr="009E1366" w:rsidR="00600F8D" w:rsidP="009E1366" w14:paraId="248C2657" w14:textId="77777777">
            <w:pPr>
              <w:jc w:val="center"/>
              <w:rPr>
                <w:sz w:val="16"/>
              </w:rPr>
            </w:pPr>
            <w:r w:rsidRPr="009E1366">
              <w:rPr>
                <w:sz w:val="16"/>
              </w:rPr>
              <w:t>15485/25</w:t>
            </w:r>
          </w:p>
          <w:p w:rsidRPr="009E1366" w:rsidR="00600F8D" w:rsidP="009E1366" w14:paraId="2FA7AFCC" w14:textId="77777777">
            <w:pPr>
              <w:jc w:val="center"/>
              <w:rPr>
                <w:sz w:val="16"/>
              </w:rPr>
            </w:pPr>
            <w:r w:rsidRPr="009E1366">
              <w:rPr>
                <w:sz w:val="16"/>
              </w:rPr>
              <w:t>13/05/2025</w:t>
            </w:r>
          </w:p>
        </w:tc>
        <w:tc>
          <w:tcPr>
            <w:tcW w:w="0" w:type="auto"/>
          </w:tcPr>
          <w:p w:rsidRPr="009E1366" w:rsidR="00600F8D" w:rsidP="009E1366" w14:paraId="4F0FF6EE" w14:textId="77777777">
            <w:pPr>
              <w:jc w:val="center"/>
              <w:rPr>
                <w:sz w:val="16"/>
              </w:rPr>
            </w:pPr>
            <w:r w:rsidRPr="009E1366">
              <w:rPr>
                <w:b/>
                <w:sz w:val="16"/>
              </w:rPr>
              <w:t>Oleg Yuriyovych GRINKOV</w:t>
            </w:r>
          </w:p>
          <w:p w:rsidRPr="009E1366" w:rsidR="00600F8D" w:rsidP="009E1366" w14:paraId="3280EFCA" w14:textId="77777777">
            <w:pPr>
              <w:jc w:val="center"/>
              <w:rPr>
                <w:sz w:val="16"/>
              </w:rPr>
            </w:pPr>
            <w:r w:rsidRPr="009E1366">
              <w:rPr>
                <w:sz w:val="16"/>
              </w:rPr>
              <w:t>1966</w:t>
            </w:r>
          </w:p>
          <w:p w:rsidRPr="009E1366" w:rsidR="00600F8D" w:rsidP="009E1366" w14:paraId="177BDE5E" w14:textId="77777777">
            <w:pPr>
              <w:jc w:val="center"/>
              <w:rPr>
                <w:sz w:val="16"/>
              </w:rPr>
            </w:pPr>
          </w:p>
        </w:tc>
        <w:tc>
          <w:tcPr>
            <w:tcW w:w="0" w:type="auto"/>
          </w:tcPr>
          <w:p w:rsidRPr="009E1366" w:rsidR="00600F8D" w:rsidP="009E1366" w14:paraId="060E88A7" w14:textId="77777777">
            <w:pPr>
              <w:jc w:val="center"/>
              <w:rPr>
                <w:sz w:val="16"/>
              </w:rPr>
            </w:pPr>
            <w:r w:rsidRPr="009E1366">
              <w:rPr>
                <w:sz w:val="16"/>
              </w:rPr>
              <w:t>31/03/2025-02/04/2025</w:t>
            </w:r>
          </w:p>
        </w:tc>
        <w:tc>
          <w:tcPr>
            <w:tcW w:w="0" w:type="auto"/>
          </w:tcPr>
          <w:p w:rsidRPr="009E1366" w:rsidR="00600F8D" w:rsidP="009E1366" w14:paraId="769D3399" w14:textId="1E31984D">
            <w:pPr>
              <w:jc w:val="center"/>
              <w:rPr>
                <w:sz w:val="16"/>
              </w:rPr>
            </w:pPr>
            <w:r w:rsidRPr="009E1366">
              <w:rPr>
                <w:sz w:val="16"/>
              </w:rPr>
              <w:t>No legal basis for arrest without a prior court decision (</w:t>
            </w:r>
            <w:r w:rsidRPr="009E1366">
              <w:rPr>
                <w:i/>
                <w:iCs/>
                <w:sz w:val="16"/>
              </w:rPr>
              <w:t>Strogan</w:t>
            </w:r>
            <w:r w:rsidRPr="009E1366">
              <w:rPr>
                <w:i/>
                <w:iCs/>
                <w:sz w:val="16"/>
              </w:rPr>
              <w:t xml:space="preserve"> v. Ukraine</w:t>
            </w:r>
            <w:r w:rsidRPr="009E1366">
              <w:rPr>
                <w:sz w:val="16"/>
              </w:rPr>
              <w:t xml:space="preserve">, no. 30198/11, §§ 88-89, 6 October 2016, and </w:t>
            </w:r>
            <w:r w:rsidRPr="009E1366">
              <w:rPr>
                <w:i/>
                <w:iCs/>
                <w:sz w:val="16"/>
              </w:rPr>
              <w:t>Grubnyk</w:t>
            </w:r>
            <w:r w:rsidRPr="009E1366">
              <w:rPr>
                <w:i/>
                <w:iCs/>
                <w:sz w:val="16"/>
              </w:rPr>
              <w:t xml:space="preserve"> v. Ukraine</w:t>
            </w:r>
            <w:r w:rsidRPr="009E1366">
              <w:rPr>
                <w:sz w:val="16"/>
              </w:rPr>
              <w:t>, no. 58444/15, §§ 83-85, 17 September 2020),</w:t>
            </w:r>
          </w:p>
          <w:p w:rsidRPr="009E1366" w:rsidR="00600F8D" w:rsidP="009E1366" w14:paraId="07D178FC" w14:textId="77777777">
            <w:pPr>
              <w:jc w:val="center"/>
              <w:rPr>
                <w:sz w:val="16"/>
              </w:rPr>
            </w:pPr>
          </w:p>
          <w:p w:rsidRPr="009E1366" w:rsidR="00600F8D" w:rsidP="009E1366" w14:paraId="0A1B0D87" w14:textId="4A781C87">
            <w:pPr>
              <w:jc w:val="center"/>
              <w:rPr>
                <w:sz w:val="16"/>
              </w:rPr>
            </w:pPr>
            <w:r w:rsidRPr="009E1366">
              <w:rPr>
                <w:sz w:val="16"/>
              </w:rPr>
              <w:t xml:space="preserve">Deficiencies in drafting the arrest protocol, lack of details for the arrest of the applicant without the prior court authorisation (see </w:t>
            </w:r>
            <w:r w:rsidRPr="009E1366">
              <w:rPr>
                <w:i/>
                <w:iCs/>
                <w:sz w:val="16"/>
              </w:rPr>
              <w:t>Rytikov</w:t>
            </w:r>
            <w:r w:rsidRPr="009E1366">
              <w:rPr>
                <w:i/>
                <w:iCs/>
                <w:sz w:val="16"/>
              </w:rPr>
              <w:t xml:space="preserve"> v. Ukraine</w:t>
            </w:r>
            <w:r w:rsidRPr="009E1366">
              <w:rPr>
                <w:sz w:val="16"/>
              </w:rPr>
              <w:t>, no. 52855/19, §§ 25-29, 23 May 2024)</w:t>
            </w:r>
          </w:p>
        </w:tc>
        <w:tc>
          <w:tcPr>
            <w:tcW w:w="0" w:type="auto"/>
          </w:tcPr>
          <w:p w:rsidRPr="009E1366" w:rsidR="00600F8D" w:rsidP="009E1366" w14:paraId="4AE2AD70" w14:textId="0E8B9FD1">
            <w:pPr>
              <w:jc w:val="center"/>
              <w:rPr>
                <w:sz w:val="16"/>
              </w:rPr>
            </w:pPr>
            <w:r w:rsidRPr="009E1366">
              <w:rPr>
                <w:sz w:val="16"/>
              </w:rPr>
              <w:t>Art. 5 (4) - deficiencies in proceedings for review of the lawfulness of detention - in either proceedings under Article 206 of the Code of Criminal Procedure or in the proceedings on the applicant</w:t>
            </w:r>
            <w:r w:rsidRPr="009E1366" w:rsidR="009E1366">
              <w:rPr>
                <w:sz w:val="16"/>
              </w:rPr>
              <w:t>’</w:t>
            </w:r>
            <w:r w:rsidRPr="009E1366">
              <w:rPr>
                <w:sz w:val="16"/>
              </w:rPr>
              <w:t>s pre-trial detention the courts failed to sufficiently address the applicant</w:t>
            </w:r>
            <w:r w:rsidRPr="009E1366" w:rsidR="009E1366">
              <w:rPr>
                <w:sz w:val="16"/>
              </w:rPr>
              <w:t>’</w:t>
            </w:r>
            <w:r w:rsidRPr="009E1366">
              <w:rPr>
                <w:sz w:val="16"/>
              </w:rPr>
              <w:t xml:space="preserve">s arguments about the unlawfulness of and lack of grounds for his arrest without a prior court order on 31/03/2025 (see </w:t>
            </w:r>
            <w:r w:rsidRPr="009E1366">
              <w:rPr>
                <w:i/>
                <w:iCs/>
                <w:sz w:val="16"/>
              </w:rPr>
              <w:t>Vadym Melnyk v. Ukraine</w:t>
            </w:r>
            <w:r w:rsidRPr="009E1366">
              <w:rPr>
                <w:sz w:val="16"/>
              </w:rPr>
              <w:t>, nos. 62209/17 and 50933/18, § 123, 1</w:t>
            </w:r>
            <w:r w:rsidR="00636515">
              <w:rPr>
                <w:sz w:val="16"/>
              </w:rPr>
              <w:t>5</w:t>
            </w:r>
            <w:r w:rsidRPr="009E1366">
              <w:rPr>
                <w:sz w:val="16"/>
              </w:rPr>
              <w:t xml:space="preserve"> September 2022; </w:t>
            </w:r>
            <w:r w:rsidRPr="009E1366">
              <w:rPr>
                <w:i/>
                <w:iCs/>
                <w:sz w:val="16"/>
              </w:rPr>
              <w:t>Trofimenko</w:t>
            </w:r>
            <w:r w:rsidRPr="009E1366">
              <w:rPr>
                <w:i/>
                <w:iCs/>
                <w:sz w:val="16"/>
              </w:rPr>
              <w:t xml:space="preserve"> v. Ukraine</w:t>
            </w:r>
            <w:r w:rsidRPr="009E1366">
              <w:rPr>
                <w:sz w:val="16"/>
              </w:rPr>
              <w:t>, no. 18444/18, §§ 21-22,</w:t>
            </w:r>
          </w:p>
          <w:p w:rsidRPr="009E1366" w:rsidR="00600F8D" w:rsidP="009E1366" w14:paraId="752480C5" w14:textId="77777777">
            <w:pPr>
              <w:jc w:val="center"/>
              <w:rPr>
                <w:sz w:val="16"/>
              </w:rPr>
            </w:pPr>
            <w:r w:rsidRPr="009E1366">
              <w:rPr>
                <w:sz w:val="16"/>
              </w:rPr>
              <w:t>4 May 2023),</w:t>
            </w:r>
          </w:p>
          <w:p w:rsidRPr="009E1366" w:rsidR="00600F8D" w:rsidP="009E1366" w14:paraId="146CF2AA" w14:textId="77777777">
            <w:pPr>
              <w:jc w:val="center"/>
              <w:rPr>
                <w:sz w:val="16"/>
              </w:rPr>
            </w:pPr>
          </w:p>
          <w:p w:rsidRPr="009E1366" w:rsidR="00600F8D" w:rsidP="009E1366" w14:paraId="32A62938" w14:textId="6D9F2293">
            <w:pPr>
              <w:jc w:val="center"/>
              <w:rPr>
                <w:sz w:val="16"/>
              </w:rPr>
            </w:pPr>
            <w:r w:rsidRPr="009E1366">
              <w:rPr>
                <w:sz w:val="16"/>
              </w:rPr>
              <w:t xml:space="preserve">Art. 5 (5) - lack of, or inadequate, compensation for unlawful arrest or detention (see </w:t>
            </w:r>
            <w:r w:rsidRPr="009E1366">
              <w:rPr>
                <w:i/>
                <w:iCs/>
                <w:sz w:val="16"/>
              </w:rPr>
              <w:t>Sinkova</w:t>
            </w:r>
            <w:r w:rsidRPr="009E1366">
              <w:rPr>
                <w:i/>
                <w:iCs/>
                <w:sz w:val="16"/>
              </w:rPr>
              <w:t xml:space="preserve"> v. Ukraine</w:t>
            </w:r>
            <w:r w:rsidRPr="009E1366">
              <w:rPr>
                <w:sz w:val="16"/>
              </w:rPr>
              <w:t xml:space="preserve">, no. 39496/11, §§ 82-84, 27 February 2018; </w:t>
            </w:r>
            <w:r w:rsidRPr="009E1366">
              <w:rPr>
                <w:i/>
                <w:iCs/>
                <w:sz w:val="16"/>
              </w:rPr>
              <w:t>Korban v. Ukraine</w:t>
            </w:r>
            <w:r w:rsidRPr="009E1366">
              <w:rPr>
                <w:sz w:val="16"/>
              </w:rPr>
              <w:t>, no. 26744/16, § 201, 4 July 2019)</w:t>
            </w:r>
          </w:p>
        </w:tc>
        <w:tc>
          <w:tcPr>
            <w:tcW w:w="0" w:type="auto"/>
          </w:tcPr>
          <w:p w:rsidRPr="009E1366" w:rsidR="00600F8D" w:rsidP="009E1366" w14:paraId="2B880B6F" w14:textId="77777777">
            <w:pPr>
              <w:jc w:val="center"/>
              <w:rPr>
                <w:sz w:val="16"/>
              </w:rPr>
            </w:pPr>
            <w:r w:rsidRPr="009E1366">
              <w:rPr>
                <w:sz w:val="16"/>
              </w:rPr>
              <w:t>2,340</w:t>
            </w:r>
          </w:p>
        </w:tc>
        <w:tc>
          <w:tcPr>
            <w:tcW w:w="0" w:type="auto"/>
          </w:tcPr>
          <w:p w:rsidRPr="009E1366" w:rsidR="00600F8D" w:rsidP="009E1366" w14:paraId="1D2B5CBF" w14:textId="77777777">
            <w:pPr>
              <w:jc w:val="center"/>
              <w:rPr>
                <w:sz w:val="16"/>
              </w:rPr>
            </w:pPr>
            <w:r w:rsidRPr="009E1366">
              <w:rPr>
                <w:sz w:val="16"/>
              </w:rPr>
              <w:t>250</w:t>
            </w:r>
          </w:p>
        </w:tc>
      </w:tr>
    </w:tbl>
    <w:p w:rsidRPr="009E1366" w:rsidR="00606600" w:rsidP="009E1366" w14:paraId="6D407C8D" w14:textId="77777777"/>
    <w:sectPr w:rsidSect="00600F8D">
      <w:headerReference w:type="even" r:id="rId13"/>
      <w:headerReference w:type="default" r:id="rId14"/>
      <w:footnotePr>
        <w:numRestart w:val="eachPage"/>
      </w:footnotePr>
      <w:endnotePr>
        <w:numFmt w:val="decimal"/>
      </w:end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endnote w:type="separator" w:id="0">
    <w:p w:rsidR="002B2FB0" w:rsidRPr="005E62B9" w14:paraId="0E675530" w14:textId="77777777">
      <w:r w:rsidRPr="005E62B9">
        <w:separator/>
      </w:r>
    </w:p>
  </w:endnote>
  <w:endnote w:type="continuationSeparator" w:id="1">
    <w:p w:rsidR="002B2FB0" w:rsidRPr="005E62B9" w14:paraId="68191FB4" w14:textId="77777777">
      <w:r w:rsidRPr="005E62B9">
        <w:continuationSeparator/>
      </w:r>
    </w:p>
  </w:endnote>
  <w:endnote w:id="2">
    <w:p w:rsidR="00600F8D" w:rsidRPr="006E5D36" w:rsidP="002B2FB0" w14:paraId="676AF285" w14:textId="77777777">
      <w:pPr>
        <w:pStyle w:val="EndnoteText"/>
        <w:rPr>
          <w:sz w:val="16"/>
          <w:szCs w:val="16"/>
        </w:rPr>
      </w:pPr>
      <w:r w:rsidRPr="00253C4E">
        <w:rPr>
          <w:rStyle w:val="EndnoteReference"/>
        </w:rPr>
        <w:endnoteRef/>
      </w:r>
      <w:r w:rsidRPr="00253C4E">
        <w:t xml:space="preserve"> </w:t>
      </w:r>
      <w:r w:rsidRPr="006E5D36">
        <w:rPr>
          <w:sz w:val="16"/>
          <w:szCs w:val="16"/>
        </w:rPr>
        <w:t>Plus any tax that may be chargeable to the applicant.</w:t>
      </w:r>
    </w:p>
  </w:endnote>
  <w:endnote w:id="3">
    <w:p w:rsidR="00600F8D" w:rsidRPr="00253C4E" w:rsidP="002B2FB0" w14:paraId="0CE6C38B" w14:textId="77777777">
      <w:pPr>
        <w:pStyle w:val="EndnoteText"/>
      </w:pPr>
      <w:r w:rsidRPr="006E5D36">
        <w:rPr>
          <w:rStyle w:val="EndnoteReference"/>
          <w:sz w:val="16"/>
          <w:szCs w:val="16"/>
        </w:rPr>
        <w:endnoteRef/>
      </w:r>
      <w:r w:rsidRPr="006E5D36">
        <w:rPr>
          <w:sz w:val="16"/>
          <w:szCs w:val="16"/>
        </w:rPr>
        <w:t xml:space="preserve"> Plus any tax that may be chargeable to the applicant.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D554D" w:rsidRPr="005E62B9" w:rsidP="00BD554D" w14:paraId="45859FB8" w14:textId="77777777">
    <w:pPr>
      <w:pStyle w:val="JuHeader"/>
    </w:pPr>
    <w:r>
      <w:fldChar w:fldCharType="begin"/>
    </w:r>
    <w:r>
      <w:instrText xml:space="preserve"> PAGE  \* MERGEFORMAT </w:instrText>
    </w:r>
    <w:r>
      <w:fldChar w:fldCharType="separate"/>
    </w:r>
    <w:r>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D554D" w:rsidRPr="005E62B9" w:rsidP="00BD554D" w14:paraId="58A661AA" w14:textId="77777777">
    <w:pPr>
      <w:pStyle w:val="JuHeader"/>
    </w:pPr>
    <w:r>
      <w:fldChar w:fldCharType="begin"/>
    </w:r>
    <w:r>
      <w:instrText xml:space="preserve"> PAGE  \* MERGEFORMAT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D7723" w:rsidRPr="005E62B9" w:rsidP="0020718E" w14:paraId="23BBC63E" w14:textId="77777777">
    <w:pPr>
      <w:jc w:val="center"/>
    </w:pPr>
    <w:r w:rsidRPr="005E62B9">
      <w:rPr>
        <w:noProof/>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606600" w:rsidRPr="005E62B9" w:rsidP="0029309A" w14:paraId="75B108FE" w14:textId="77777777">
    <w:pPr>
      <w:pStyle w:val="Footer1"/>
      <w:jc w:val="center"/>
      <w:rPr>
        <w:sz w:val="4"/>
        <w:szCs w:val="4"/>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D7723" w:rsidRPr="005E62B9" w:rsidP="00A45145" w14:paraId="44EFB857" w14:textId="77777777">
    <w:pPr>
      <w:jc w:val="center"/>
    </w:pPr>
    <w:r w:rsidRPr="005E62B9">
      <w:rPr>
        <w:noProof/>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606600" w:rsidRPr="005E62B9" w:rsidP="000318F7" w14:paraId="3B7FADBC" w14:textId="77777777">
    <w:pPr>
      <w:jc w:val="center"/>
      <w:rPr>
        <w:sz w:val="4"/>
        <w:szCs w:val="4"/>
      </w:rPr>
    </w:pPr>
  </w:p>
  <w:p w:rsidR="00606600" w:rsidRPr="005E62B9" w14:paraId="2C38CDC1"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2B2FB0" w:rsidRPr="00A45145" w:rsidP="00A45145" w14:paraId="790E1ED4" w14:textId="77777777">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5E62B9" w:rsidP="008D51B6" w14:paraId="2DC1921F" w14:textId="77777777">
    <w:pPr>
      <w:pStyle w:val="Header0"/>
    </w:pPr>
  </w:p>
  <w:p w:rsidR="00606600" w:rsidRPr="005E62B9" w:rsidP="00B64153" w14:paraId="760F776A"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06600" w:rsidRPr="005C3A15" w:rsidP="006372F5" w14:paraId="246BECA3" w14:textId="77777777">
    <w:pPr>
      <w:pStyle w:val="JuHeader"/>
    </w:pPr>
    <w:r>
      <w:t>GRINKOV v. UKRAINE</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06600" w:rsidRPr="00DE7D3F" w:rsidP="00BD554D" w14:paraId="5824F863" w14:textId="77777777">
    <w:pPr>
      <w:pStyle w:val="JuHeader"/>
    </w:pPr>
    <w:r>
      <w:t>GRINKOV v. UKRAINE</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06600" w:rsidRPr="005C3A15" w:rsidP="00E026EC" w14:paraId="1CD96764" w14:textId="77777777">
    <w:pPr>
      <w:pStyle w:val="JuHeader"/>
    </w:pPr>
    <w:r>
      <w:t>GRINKOV v. UKRAINE</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06600" w:rsidRPr="00DE7D3F" w:rsidP="00E026EC" w14:paraId="14F35457" w14:textId="77777777">
    <w:pPr>
      <w:pStyle w:val="JuHeader"/>
    </w:pPr>
    <w:r>
      <w:t>GRINKOV v. UKRAINE</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174346712">
    <w:abstractNumId w:val="14"/>
  </w:num>
  <w:num w:numId="2" w16cid:durableId="624501454">
    <w:abstractNumId w:val="12"/>
  </w:num>
  <w:num w:numId="3" w16cid:durableId="522213196">
    <w:abstractNumId w:val="11"/>
  </w:num>
  <w:num w:numId="4" w16cid:durableId="2034069393">
    <w:abstractNumId w:val="15"/>
  </w:num>
  <w:num w:numId="5" w16cid:durableId="1303654916">
    <w:abstractNumId w:val="13"/>
  </w:num>
  <w:num w:numId="6" w16cid:durableId="299268812">
    <w:abstractNumId w:val="16"/>
  </w:num>
  <w:num w:numId="7" w16cid:durableId="2053268741">
    <w:abstractNumId w:val="15"/>
  </w:num>
  <w:num w:numId="8" w16cid:durableId="1868324233">
    <w:abstractNumId w:val="16"/>
  </w:num>
  <w:num w:numId="9" w16cid:durableId="395083387">
    <w:abstractNumId w:val="10"/>
  </w:num>
  <w:num w:numId="10" w16cid:durableId="275647440">
    <w:abstractNumId w:val="9"/>
  </w:num>
  <w:num w:numId="11" w16cid:durableId="833910525">
    <w:abstractNumId w:val="17"/>
  </w:num>
  <w:num w:numId="12" w16cid:durableId="1054424265">
    <w:abstractNumId w:val="7"/>
  </w:num>
  <w:num w:numId="13" w16cid:durableId="249850929">
    <w:abstractNumId w:val="6"/>
  </w:num>
  <w:num w:numId="14" w16cid:durableId="1223718294">
    <w:abstractNumId w:val="5"/>
  </w:num>
  <w:num w:numId="15" w16cid:durableId="627469077">
    <w:abstractNumId w:val="4"/>
  </w:num>
  <w:num w:numId="16" w16cid:durableId="1116214109">
    <w:abstractNumId w:val="8"/>
  </w:num>
  <w:num w:numId="17" w16cid:durableId="269826179">
    <w:abstractNumId w:val="3"/>
  </w:num>
  <w:num w:numId="18" w16cid:durableId="117336965">
    <w:abstractNumId w:val="2"/>
  </w:num>
  <w:num w:numId="19" w16cid:durableId="86851226">
    <w:abstractNumId w:val="1"/>
  </w:num>
  <w:num w:numId="20" w16cid:durableId="1944723019">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Pr>
  <w:endnotePr>
    <w:numFmt w:val="decimal"/>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FB0"/>
    <w:rsid w:val="000318F7"/>
    <w:rsid w:val="000447B5"/>
    <w:rsid w:val="00044AD5"/>
    <w:rsid w:val="000666B0"/>
    <w:rsid w:val="000C5149"/>
    <w:rsid w:val="00135384"/>
    <w:rsid w:val="0016534E"/>
    <w:rsid w:val="00173A91"/>
    <w:rsid w:val="00177329"/>
    <w:rsid w:val="001963DD"/>
    <w:rsid w:val="001A15B6"/>
    <w:rsid w:val="001A3C4A"/>
    <w:rsid w:val="001D7CD3"/>
    <w:rsid w:val="001F1037"/>
    <w:rsid w:val="001F3812"/>
    <w:rsid w:val="002056B7"/>
    <w:rsid w:val="0020718E"/>
    <w:rsid w:val="00216665"/>
    <w:rsid w:val="0023364D"/>
    <w:rsid w:val="00253C4E"/>
    <w:rsid w:val="0029309A"/>
    <w:rsid w:val="002B2FB0"/>
    <w:rsid w:val="002C5B23"/>
    <w:rsid w:val="003140EC"/>
    <w:rsid w:val="00337785"/>
    <w:rsid w:val="0037589C"/>
    <w:rsid w:val="003B3ECB"/>
    <w:rsid w:val="00403FBB"/>
    <w:rsid w:val="00464A0F"/>
    <w:rsid w:val="0048584C"/>
    <w:rsid w:val="00497FF8"/>
    <w:rsid w:val="004B0B4E"/>
    <w:rsid w:val="004D042B"/>
    <w:rsid w:val="004D0EC7"/>
    <w:rsid w:val="00525414"/>
    <w:rsid w:val="00555A1D"/>
    <w:rsid w:val="00573202"/>
    <w:rsid w:val="005B102C"/>
    <w:rsid w:val="005B16C1"/>
    <w:rsid w:val="005C3A15"/>
    <w:rsid w:val="005D4C81"/>
    <w:rsid w:val="005E62B9"/>
    <w:rsid w:val="005E6AD7"/>
    <w:rsid w:val="005F60F9"/>
    <w:rsid w:val="00600F8D"/>
    <w:rsid w:val="00606600"/>
    <w:rsid w:val="00611E1D"/>
    <w:rsid w:val="0062400A"/>
    <w:rsid w:val="00636515"/>
    <w:rsid w:val="006372F5"/>
    <w:rsid w:val="00656431"/>
    <w:rsid w:val="006C5A70"/>
    <w:rsid w:val="006D324D"/>
    <w:rsid w:val="006E5D36"/>
    <w:rsid w:val="00722689"/>
    <w:rsid w:val="00743B2A"/>
    <w:rsid w:val="007A72B4"/>
    <w:rsid w:val="007B7348"/>
    <w:rsid w:val="007C674A"/>
    <w:rsid w:val="007D4F48"/>
    <w:rsid w:val="007F018A"/>
    <w:rsid w:val="008522DD"/>
    <w:rsid w:val="00860732"/>
    <w:rsid w:val="008A0E2E"/>
    <w:rsid w:val="008D51B6"/>
    <w:rsid w:val="009522DD"/>
    <w:rsid w:val="00984368"/>
    <w:rsid w:val="00993A05"/>
    <w:rsid w:val="009E1366"/>
    <w:rsid w:val="009F1914"/>
    <w:rsid w:val="00A329E0"/>
    <w:rsid w:val="00A34A54"/>
    <w:rsid w:val="00A44415"/>
    <w:rsid w:val="00A45145"/>
    <w:rsid w:val="00A50DC2"/>
    <w:rsid w:val="00A6104A"/>
    <w:rsid w:val="00A94CA7"/>
    <w:rsid w:val="00AC03BB"/>
    <w:rsid w:val="00AF3E5A"/>
    <w:rsid w:val="00AF4730"/>
    <w:rsid w:val="00B216C1"/>
    <w:rsid w:val="00B54B18"/>
    <w:rsid w:val="00B64153"/>
    <w:rsid w:val="00B76B3C"/>
    <w:rsid w:val="00B772F5"/>
    <w:rsid w:val="00B91668"/>
    <w:rsid w:val="00BD554D"/>
    <w:rsid w:val="00BE2415"/>
    <w:rsid w:val="00C20CC3"/>
    <w:rsid w:val="00C63253"/>
    <w:rsid w:val="00C877A3"/>
    <w:rsid w:val="00D849A9"/>
    <w:rsid w:val="00DE7D3F"/>
    <w:rsid w:val="00E026EC"/>
    <w:rsid w:val="00E21182"/>
    <w:rsid w:val="00E45537"/>
    <w:rsid w:val="00E529E0"/>
    <w:rsid w:val="00E6230A"/>
    <w:rsid w:val="00ED7723"/>
    <w:rsid w:val="00F90F88"/>
    <w:rsid w:val="00FB16F8"/>
    <w:rsid w:val="00FD54CA"/>
    <w:rsid w:val="00FF1740"/>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37A1F8E7"/>
  <w15:docId w15:val="{5ED4C031-D020-4952-AB99-C1BE79CB6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link w:val="JuListChar"/>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tabs>
        <w:tab w:val="num" w:pos="1209"/>
      </w:tabs>
      <w:ind w:left="1209" w:hanging="360"/>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tabs>
        <w:tab w:val="num" w:pos="1080"/>
      </w:tabs>
      <w:spacing w:before="100" w:beforeAutospacing="1" w:after="120"/>
      <w:ind w:left="1080" w:hanging="36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tabs>
        <w:tab w:val="num" w:pos="1080"/>
      </w:tabs>
      <w:spacing w:before="100" w:beforeAutospacing="1" w:after="120"/>
      <w:ind w:left="1080" w:hanging="36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ind w:left="1080" w:hanging="36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num" w:pos="1080"/>
        <w:tab w:val="left" w:pos="1361"/>
      </w:tabs>
      <w:spacing w:before="100" w:beforeAutospacing="1" w:after="120"/>
      <w:ind w:left="1080" w:hanging="36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tabs>
        <w:tab w:val="num" w:pos="1080"/>
      </w:tabs>
      <w:spacing w:before="100" w:beforeAutospacing="1" w:after="120"/>
      <w:ind w:left="1080" w:hanging="36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ECHR_Para,Para"/>
    <w:basedOn w:val="NormalJustified"/>
    <w:link w:val="JuParaChar"/>
    <w:uiPriority w:val="8"/>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ECHR_Para Char"/>
    <w:basedOn w:val="DefaultParagraphFont"/>
    <w:link w:val="JuPara"/>
    <w:uiPriority w:val="8"/>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tabs>
        <w:tab w:val="num" w:pos="1080"/>
      </w:tabs>
      <w:spacing w:before="100" w:beforeAutospacing="1"/>
      <w:ind w:left="1080" w:hanging="360"/>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FB16F8"/>
    <w:rPr>
      <w:color w:val="605E5C"/>
      <w:shd w:val="clear" w:color="auto" w:fill="E1DFDD"/>
    </w:rPr>
  </w:style>
  <w:style w:type="character" w:customStyle="1" w:styleId="JuListChar">
    <w:name w:val="Ju_List Char"/>
    <w:basedOn w:val="DefaultParagraphFont"/>
    <w:link w:val="JuList"/>
    <w:uiPriority w:val="23"/>
    <w:locked/>
    <w:rsid w:val="002B2FB0"/>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endnotes" Target="end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1062</Words>
  <Characters>5845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Judgment</vt:lpstr>
    </vt:vector>
  </TitlesOfParts>
  <Company/>
  <LinksUpToDate>false</LinksUpToDate>
  <CharactersWithSpaces>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lastModifiedBy>Kochevsky, Ruslan</cp:lastModifiedBy>
  <cp:revision>3</cp:revision>
  <dcterms:created xsi:type="dcterms:W3CDTF">2026-04-22T10:18:00Z</dcterms:created>
  <dcterms:modified xsi:type="dcterms:W3CDTF">2026-04-22T15:02:00Z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2155768</vt:lpwstr>
  </property>
  <property fmtid="{D5CDD505-2E9C-101B-9397-08002B2CF9AE}" pid="3" name="cstLanguage">
    <vt:i4>2057</vt:i4>
  </property>
  <property fmtid="{D5CDD505-2E9C-101B-9397-08002B2CF9AE}" pid="4" name="RegisteredNo">
    <vt:lpwstr>15485/25</vt:lpwstr>
  </property>
</Properties>
</file>