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047D38" w:rsidR="008D51B6" w:rsidP="00047D38" w14:paraId="0AFD288F" w14:textId="77777777">
      <w:pPr>
        <w:jc w:val="center"/>
      </w:pPr>
    </w:p>
    <w:p w:rsidRPr="00047D38" w:rsidR="000C5149" w:rsidP="00047D38" w14:paraId="2D09A887" w14:textId="77777777">
      <w:pPr>
        <w:jc w:val="center"/>
      </w:pPr>
    </w:p>
    <w:p w:rsidRPr="00047D38" w:rsidR="00606600" w:rsidP="00047D38" w14:paraId="66930DD2" w14:textId="7FA8F328">
      <w:pPr>
        <w:pStyle w:val="DecHTitle"/>
      </w:pPr>
      <w:r w:rsidRPr="00047D38">
        <w:t>FIFTH SECTION</w:t>
      </w:r>
    </w:p>
    <w:p w:rsidRPr="00047D38" w:rsidR="006D324D" w:rsidP="00047D38" w14:paraId="328615C5" w14:textId="08A2BA19">
      <w:pPr>
        <w:pStyle w:val="JuTitle"/>
      </w:pPr>
      <w:bookmarkStart w:name="To" w:id="0"/>
      <w:r w:rsidRPr="00047D38">
        <w:rPr>
          <w:color w:val="000000" w:themeColor="text1"/>
        </w:rPr>
        <w:t xml:space="preserve">CASE OF </w:t>
      </w:r>
      <w:bookmarkEnd w:id="0"/>
      <w:r w:rsidRPr="00047D38" w:rsidR="00704659">
        <w:t>KYRYK AND GONCHAR v. UKRAINE</w:t>
      </w:r>
    </w:p>
    <w:p w:rsidRPr="00047D38" w:rsidR="006D324D" w:rsidP="00047D38" w14:paraId="14F86343" w14:textId="33491F6A">
      <w:pPr>
        <w:pStyle w:val="ECHRCoverTitle4"/>
      </w:pPr>
      <w:r w:rsidRPr="00047D38">
        <w:t>(</w:t>
      </w:r>
      <w:r w:rsidRPr="00047D38" w:rsidR="00704659">
        <w:t xml:space="preserve">Applications nos. 6200/25 and </w:t>
      </w:r>
      <w:r w:rsidRPr="00047D38" w:rsidR="006B7BFC">
        <w:t>7881/25</w:t>
      </w:r>
      <w:r w:rsidRPr="00047D38">
        <w:t>)</w:t>
      </w:r>
    </w:p>
    <w:p w:rsidRPr="00047D38" w:rsidR="006D324D" w:rsidP="00047D38" w14:paraId="1804B80A" w14:textId="77777777">
      <w:pPr>
        <w:pStyle w:val="DecHCase"/>
      </w:pPr>
    </w:p>
    <w:p w:rsidRPr="00047D38" w:rsidR="006D324D" w:rsidP="00047D38" w14:paraId="0815220A" w14:textId="77777777">
      <w:pPr>
        <w:pStyle w:val="DecHCase"/>
      </w:pPr>
    </w:p>
    <w:p w:rsidRPr="00047D38" w:rsidR="00606600" w:rsidP="00047D38" w14:paraId="2DC79B45" w14:textId="77777777">
      <w:pPr>
        <w:pStyle w:val="DecHCase"/>
      </w:pPr>
    </w:p>
    <w:p w:rsidRPr="00047D38" w:rsidR="00606600" w:rsidP="00047D38" w14:paraId="58903131" w14:textId="77777777">
      <w:pPr>
        <w:pStyle w:val="DecHCase"/>
      </w:pPr>
    </w:p>
    <w:p w:rsidRPr="00047D38" w:rsidR="00606600" w:rsidP="00047D38" w14:paraId="2EBC1379" w14:textId="77777777">
      <w:pPr>
        <w:pStyle w:val="DecHCase"/>
      </w:pPr>
    </w:p>
    <w:p w:rsidRPr="00047D38" w:rsidR="00606600" w:rsidP="00047D38" w14:paraId="43418D3E" w14:textId="68C35572">
      <w:pPr>
        <w:pStyle w:val="DecHCase"/>
        <w:rPr>
          <w:i/>
        </w:rPr>
      </w:pPr>
      <w:r w:rsidRPr="00047D38">
        <w:t>JUDGMENT</w:t>
      </w:r>
      <w:r w:rsidRPr="00047D38" w:rsidR="002F3B96">
        <w:br/>
      </w:r>
    </w:p>
    <w:p w:rsidRPr="00047D38" w:rsidR="00606600" w:rsidP="00047D38" w14:paraId="44D46D2C" w14:textId="77777777">
      <w:pPr>
        <w:pStyle w:val="DecHCase"/>
      </w:pPr>
      <w:r w:rsidRPr="00047D38">
        <w:t>STRASBOURG</w:t>
      </w:r>
    </w:p>
    <w:p w:rsidRPr="00047D38" w:rsidR="00606600" w:rsidP="00047D38" w14:paraId="246D1D8F" w14:textId="69F4DFAF">
      <w:pPr>
        <w:pStyle w:val="DecHCase"/>
      </w:pPr>
      <w:r w:rsidRPr="00047D38">
        <w:t>16 April 2026</w:t>
      </w:r>
    </w:p>
    <w:p w:rsidRPr="00047D38" w:rsidR="00525414" w:rsidP="00047D38" w14:paraId="0913B1FF" w14:textId="77777777">
      <w:pPr>
        <w:pStyle w:val="JuPara"/>
      </w:pPr>
    </w:p>
    <w:p w:rsidRPr="00047D38" w:rsidR="00E12A78" w:rsidP="00047D38" w14:paraId="4624640C" w14:textId="77777777">
      <w:pPr>
        <w:pStyle w:val="JuPara"/>
      </w:pPr>
    </w:p>
    <w:p w:rsidRPr="00047D38" w:rsidR="00E12A78" w:rsidP="00047D38" w14:paraId="28E16328" w14:textId="77777777">
      <w:pPr>
        <w:pStyle w:val="JuPara"/>
      </w:pPr>
    </w:p>
    <w:p w:rsidRPr="00047D38" w:rsidR="00606600" w:rsidP="00047D38" w14:paraId="53A03C35" w14:textId="77777777">
      <w:pPr>
        <w:jc w:val="center"/>
      </w:pPr>
    </w:p>
    <w:p w:rsidRPr="00047D38" w:rsidR="00606600" w:rsidP="00047D38" w14:paraId="45329C6A" w14:textId="77777777">
      <w:pPr>
        <w:jc w:val="center"/>
        <w:rPr>
          <w:sz w:val="22"/>
          <w:szCs w:val="22"/>
        </w:rPr>
      </w:pPr>
      <w:r w:rsidRPr="00047D38">
        <w:rPr>
          <w:i/>
          <w:sz w:val="22"/>
          <w:szCs w:val="22"/>
        </w:rPr>
        <w:t xml:space="preserve">This judgment is </w:t>
      </w:r>
      <w:r w:rsidRPr="00047D38">
        <w:rPr>
          <w:i/>
          <w:sz w:val="22"/>
          <w:szCs w:val="22"/>
        </w:rPr>
        <w:t>final</w:t>
      </w:r>
      <w:r w:rsidRPr="00047D38">
        <w:rPr>
          <w:i/>
          <w:sz w:val="22"/>
          <w:szCs w:val="22"/>
        </w:rPr>
        <w:t xml:space="preserve"> but it may be subject to editorial revision.</w:t>
      </w:r>
    </w:p>
    <w:p w:rsidRPr="00047D38" w:rsidR="00606600" w:rsidP="00047D38" w14:paraId="5A8DC429" w14:textId="77777777">
      <w:pPr>
        <w:pStyle w:val="JuCase"/>
      </w:pPr>
    </w:p>
    <w:p w:rsidRPr="00047D38" w:rsidR="00E12A78" w:rsidP="00047D38" w14:paraId="41A75C35" w14:textId="77777777">
      <w:pPr>
        <w:pStyle w:val="JuPara"/>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047D38" w:rsidR="00606600" w:rsidP="00047D38" w14:paraId="4C8944F4" w14:textId="250018E4">
      <w:pPr>
        <w:pStyle w:val="JuCase"/>
        <w:rPr>
          <w:bCs/>
        </w:rPr>
      </w:pPr>
      <w:r w:rsidRPr="00047D38">
        <w:t xml:space="preserve">In the case of </w:t>
      </w:r>
      <w:r w:rsidRPr="00047D38" w:rsidR="00704659">
        <w:t>Kyryk</w:t>
      </w:r>
      <w:r w:rsidRPr="00047D38" w:rsidR="00704659">
        <w:t xml:space="preserve"> and Gonchar v. Ukraine</w:t>
      </w:r>
      <w:r w:rsidRPr="00047D38">
        <w:t>,</w:t>
      </w:r>
    </w:p>
    <w:p w:rsidRPr="00047D38" w:rsidR="00606600" w:rsidP="00047D38" w14:paraId="49272D77" w14:textId="65EF9456">
      <w:pPr>
        <w:pStyle w:val="JuPara"/>
      </w:pPr>
      <w:r w:rsidRPr="00047D38">
        <w:t>The European Court of Human Rights (</w:t>
      </w:r>
      <w:r w:rsidRPr="00047D38" w:rsidR="00704659">
        <w:t>Fifth Section</w:t>
      </w:r>
      <w:r w:rsidRPr="00047D38">
        <w:t>), sitting as a Committee composed of:</w:t>
      </w:r>
    </w:p>
    <w:p w:rsidRPr="00047D38" w:rsidR="002C5B23" w:rsidP="00047D38" w14:paraId="7F080C7D" w14:textId="39045DB6">
      <w:pPr>
        <w:pStyle w:val="JuJudges"/>
      </w:pPr>
      <w:r w:rsidRPr="00047D38">
        <w:tab/>
        <w:t>Andreas Zünd</w:t>
      </w:r>
      <w:r w:rsidRPr="00047D38">
        <w:rPr>
          <w:i/>
        </w:rPr>
        <w:t>, President</w:t>
      </w:r>
      <w:r w:rsidRPr="00047D38">
        <w:t>,</w:t>
      </w:r>
      <w:r w:rsidRPr="00047D38">
        <w:br/>
      </w:r>
      <w:r w:rsidRPr="00047D38">
        <w:tab/>
        <w:t>Diana Sârcu,</w:t>
      </w:r>
      <w:r w:rsidRPr="00047D38">
        <w:br/>
      </w:r>
      <w:r w:rsidRPr="00047D38">
        <w:tab/>
        <w:t>Mykola Gnatovskyy</w:t>
      </w:r>
      <w:r w:rsidRPr="00047D38">
        <w:rPr>
          <w:i/>
        </w:rPr>
        <w:t>, judges</w:t>
      </w:r>
      <w:r w:rsidRPr="00047D38">
        <w:t>,</w:t>
      </w:r>
    </w:p>
    <w:p w:rsidRPr="00047D38" w:rsidR="00606600" w:rsidP="00047D38" w14:paraId="72D40494" w14:textId="12F2A4AD">
      <w:pPr>
        <w:pStyle w:val="JuJudges"/>
      </w:pPr>
      <w:r w:rsidRPr="00047D38">
        <w:t xml:space="preserve">and </w:t>
      </w:r>
      <w:r w:rsidRPr="00047D38" w:rsidR="00704659">
        <w:t>Viktoriya</w:t>
      </w:r>
      <w:r w:rsidRPr="00047D38">
        <w:t xml:space="preserve"> </w:t>
      </w:r>
      <w:r w:rsidRPr="00047D38" w:rsidR="00704659">
        <w:t>Maradudina</w:t>
      </w:r>
      <w:r w:rsidRPr="00047D38" w:rsidR="00555A1D">
        <w:t>,</w:t>
      </w:r>
      <w:r w:rsidRPr="00047D38">
        <w:t xml:space="preserve"> </w:t>
      </w:r>
      <w:r w:rsidRPr="00047D38">
        <w:rPr>
          <w:i/>
        </w:rPr>
        <w:t>Acting</w:t>
      </w:r>
      <w:r w:rsidRPr="00047D38">
        <w:t xml:space="preserve"> </w:t>
      </w:r>
      <w:r w:rsidRPr="00047D38">
        <w:rPr>
          <w:rFonts w:cstheme="minorHAnsi"/>
          <w:i/>
        </w:rPr>
        <w:t>Deputy Section Registrar</w:t>
      </w:r>
      <w:r w:rsidRPr="00047D38">
        <w:rPr>
          <w:i/>
        </w:rPr>
        <w:t>,</w:t>
      </w:r>
    </w:p>
    <w:p w:rsidRPr="00047D38" w:rsidR="00606600" w:rsidP="00047D38" w14:paraId="4AC094A1" w14:textId="55A2FB52">
      <w:pPr>
        <w:pStyle w:val="JuPara"/>
      </w:pPr>
      <w:r w:rsidRPr="00047D38">
        <w:t xml:space="preserve">Having deliberated in private on </w:t>
      </w:r>
      <w:r w:rsidRPr="00047D38" w:rsidR="006B7BFC">
        <w:t>26 March 2026</w:t>
      </w:r>
      <w:r w:rsidRPr="00047D38">
        <w:t>,</w:t>
      </w:r>
    </w:p>
    <w:p w:rsidRPr="00047D38" w:rsidR="00606600" w:rsidP="00047D38" w14:paraId="5912CFDC" w14:textId="77777777">
      <w:pPr>
        <w:pStyle w:val="JuPara"/>
      </w:pPr>
      <w:r w:rsidRPr="00047D38">
        <w:t>Delivers the following judgment, which was adopted on that date:</w:t>
      </w:r>
    </w:p>
    <w:p w:rsidRPr="00047D38" w:rsidR="00704659" w:rsidP="00047D38" w14:paraId="41BD0FED" w14:textId="77777777">
      <w:pPr>
        <w:pStyle w:val="JuHHead"/>
      </w:pPr>
      <w:bookmarkStart w:name="ITMARKStartJudgment" w:id="1"/>
      <w:bookmarkEnd w:id="1"/>
      <w:r w:rsidRPr="00047D38">
        <w:t>PROCEDURE</w:t>
      </w:r>
    </w:p>
    <w:p w:rsidRPr="00047D38" w:rsidR="00704659" w:rsidP="00047D38" w14:paraId="0D18CB3F" w14:textId="686EB719">
      <w:pPr>
        <w:pStyle w:val="JuPara"/>
        <w:rPr>
          <w:rFonts w:eastAsia="PMingLiU"/>
        </w:rPr>
      </w:pPr>
      <w:r>
        <w:fldChar w:fldCharType="begin"/>
      </w:r>
      <w:r>
        <w:instrText xml:space="preserve"> SEQ level0 \*arabic \* MERGEFORMAT </w:instrText>
      </w:r>
      <w:r>
        <w:fldChar w:fldCharType="separate"/>
      </w:r>
      <w:r w:rsidRPr="00047D38" w:rsidR="00047D38">
        <w:rPr>
          <w:noProof/>
        </w:rPr>
        <w:t>1</w:t>
      </w:r>
      <w:r w:rsidRPr="00047D38" w:rsidR="00047D38">
        <w:rPr>
          <w:noProof/>
        </w:rPr>
        <w:fldChar w:fldCharType="end"/>
      </w:r>
      <w:r w:rsidRPr="00047D38">
        <w:t xml:space="preserve">.  The case originated in applications against Ukraine lodged with the Court under Article 34 of the Convention for the Protection of Human Rights and Fundamental Freedoms (“the Convention”) on </w:t>
      </w:r>
      <w:r w:rsidRPr="00047D38">
        <w:rPr>
          <w:rFonts w:eastAsia="PMingLiU"/>
        </w:rPr>
        <w:t>the various dates indicated in the appended table.</w:t>
      </w:r>
    </w:p>
    <w:p w:rsidRPr="00047D38" w:rsidR="00704659" w:rsidP="00047D38" w14:paraId="0B39E2B1" w14:textId="6AEC2A02">
      <w:pPr>
        <w:pStyle w:val="JuPara"/>
      </w:pPr>
      <w:r>
        <w:fldChar w:fldCharType="begin"/>
      </w:r>
      <w:r>
        <w:instrText xml:space="preserve"> SEQ level0 \*arabic \* MERGEFORMAT </w:instrText>
      </w:r>
      <w:r>
        <w:fldChar w:fldCharType="separate"/>
      </w:r>
      <w:r w:rsidRPr="00047D38" w:rsidR="00047D38">
        <w:rPr>
          <w:noProof/>
        </w:rPr>
        <w:t>2</w:t>
      </w:r>
      <w:r w:rsidRPr="00047D38" w:rsidR="00047D38">
        <w:rPr>
          <w:noProof/>
        </w:rPr>
        <w:fldChar w:fldCharType="end"/>
      </w:r>
      <w:r w:rsidRPr="00047D38">
        <w:t>.  The Ukrainian Government (“the Government”) were given notice of the applications.</w:t>
      </w:r>
    </w:p>
    <w:p w:rsidRPr="00047D38" w:rsidR="00704659" w:rsidP="00047D38" w14:paraId="46BA599F" w14:textId="77777777">
      <w:pPr>
        <w:pStyle w:val="JuHHead"/>
        <w:jc w:val="left"/>
      </w:pPr>
      <w:r w:rsidRPr="00047D38">
        <w:t>THE FACTS</w:t>
      </w:r>
    </w:p>
    <w:p w:rsidRPr="00047D38" w:rsidR="00704659" w:rsidP="00047D38" w14:paraId="760D00E0" w14:textId="79EE465E">
      <w:pPr>
        <w:pStyle w:val="JuPara"/>
      </w:pPr>
      <w:r>
        <w:fldChar w:fldCharType="begin"/>
      </w:r>
      <w:r>
        <w:instrText xml:space="preserve"> SEQ level0 \*arabic \* MERGEFORMAT </w:instrText>
      </w:r>
      <w:r>
        <w:fldChar w:fldCharType="separate"/>
      </w:r>
      <w:r w:rsidRPr="00047D38" w:rsidR="00047D38">
        <w:rPr>
          <w:noProof/>
        </w:rPr>
        <w:t>3</w:t>
      </w:r>
      <w:r w:rsidRPr="00047D38" w:rsidR="00047D38">
        <w:rPr>
          <w:noProof/>
        </w:rPr>
        <w:fldChar w:fldCharType="end"/>
      </w:r>
      <w:r w:rsidRPr="00047D38">
        <w:t>.  </w:t>
      </w:r>
      <w:r w:rsidRPr="00047D38">
        <w:rPr>
          <w:rFonts w:eastAsia="PMingLiU"/>
        </w:rPr>
        <w:t>The list of applicant</w:t>
      </w:r>
      <w:r w:rsidRPr="00047D38">
        <w:t>s and the relevant details of the applications are set out in the appended table.</w:t>
      </w:r>
    </w:p>
    <w:p w:rsidRPr="00047D38" w:rsidR="00704659" w:rsidP="00047D38" w14:paraId="6BE78297" w14:textId="77777777">
      <w:pPr>
        <w:pStyle w:val="JuHHead"/>
        <w:jc w:val="left"/>
      </w:pPr>
      <w:r w:rsidRPr="00047D38">
        <w:t>THE LAW</w:t>
      </w:r>
    </w:p>
    <w:p w:rsidRPr="00047D38" w:rsidR="00704659" w:rsidP="00047D38" w14:paraId="2B89C661" w14:textId="77777777">
      <w:pPr>
        <w:pStyle w:val="JuHIRoman"/>
        <w:tabs>
          <w:tab w:val="clear" w:pos="454"/>
          <w:tab w:val="clear" w:pos="539"/>
          <w:tab w:val="clear" w:pos="624"/>
          <w:tab w:val="clear" w:pos="709"/>
          <w:tab w:val="clear" w:pos="794"/>
        </w:tabs>
        <w:ind w:left="357" w:hanging="357"/>
        <w:jc w:val="left"/>
      </w:pPr>
      <w:r w:rsidRPr="00047D38">
        <w:t>JOINDER OF THE APPLICATIONS</w:t>
      </w:r>
    </w:p>
    <w:p w:rsidRPr="00047D38" w:rsidR="00704659" w:rsidP="00047D38" w14:paraId="5F8C43E3" w14:textId="65E28E6B">
      <w:pPr>
        <w:pStyle w:val="JuPara"/>
        <w:rPr>
          <w:rFonts w:cs="Times New Roman"/>
        </w:rPr>
      </w:pPr>
      <w:r>
        <w:fldChar w:fldCharType="begin"/>
      </w:r>
      <w:r>
        <w:instrText xml:space="preserve"> SEQ level0 \*arabic \* MERGEFORMAT </w:instrText>
      </w:r>
      <w:r>
        <w:fldChar w:fldCharType="separate"/>
      </w:r>
      <w:r w:rsidRPr="00047D38" w:rsidR="00047D38">
        <w:rPr>
          <w:noProof/>
        </w:rPr>
        <w:t>4</w:t>
      </w:r>
      <w:r w:rsidRPr="00047D38" w:rsidR="00047D38">
        <w:rPr>
          <w:noProof/>
        </w:rPr>
        <w:fldChar w:fldCharType="end"/>
      </w:r>
      <w:r w:rsidRPr="00047D38">
        <w:t>.  Having regard to the similar subject matter of the applications, the Court finds it appropriate to examine them jointly in a single judgment.</w:t>
      </w:r>
    </w:p>
    <w:p w:rsidRPr="00047D38" w:rsidR="00704659" w:rsidP="00047D38" w14:paraId="231554B3" w14:textId="77777777">
      <w:pPr>
        <w:pStyle w:val="JuHIRoman"/>
        <w:tabs>
          <w:tab w:val="clear" w:pos="454"/>
          <w:tab w:val="clear" w:pos="539"/>
          <w:tab w:val="clear" w:pos="624"/>
          <w:tab w:val="clear" w:pos="709"/>
          <w:tab w:val="clear" w:pos="794"/>
        </w:tabs>
        <w:ind w:left="357" w:hanging="357"/>
        <w:rPr>
          <w:rFonts w:eastAsia="PMingLiU"/>
        </w:rPr>
      </w:pPr>
      <w:r w:rsidRPr="00047D38">
        <w:t>ALLEGED VIOLATION OF ARTICLE 2</w:t>
      </w:r>
      <w:r w:rsidRPr="00047D38">
        <w:rPr>
          <w:rFonts w:eastAsia="PMingLiU"/>
        </w:rPr>
        <w:t xml:space="preserve"> </w:t>
      </w:r>
      <w:r w:rsidRPr="00047D38">
        <w:rPr>
          <w:rFonts w:ascii="Times New Roman" w:hAnsi="Times New Roman" w:eastAsia="PMingLiU" w:cs="Times New Roman"/>
        </w:rPr>
        <w:t>of the Convention</w:t>
      </w:r>
    </w:p>
    <w:p w:rsidRPr="00047D38" w:rsidR="00704659" w:rsidP="00047D38" w14:paraId="503EDC48" w14:textId="1AAEEA2A">
      <w:pPr>
        <w:pStyle w:val="JuPara"/>
        <w:rPr>
          <w:rFonts w:ascii="Times New Roman" w:hAnsi="Times New Roman" w:eastAsia="PMingLiU" w:cs="Times New Roman"/>
        </w:rPr>
      </w:pPr>
      <w:r>
        <w:fldChar w:fldCharType="begin"/>
      </w:r>
      <w:r>
        <w:instrText xml:space="preserve"> SEQ level0 \*arabic \* MERGEFORMAT </w:instrText>
      </w:r>
      <w:r>
        <w:fldChar w:fldCharType="separate"/>
      </w:r>
      <w:r w:rsidRPr="00047D38" w:rsidR="00047D38">
        <w:rPr>
          <w:noProof/>
        </w:rPr>
        <w:t>5</w:t>
      </w:r>
      <w:r w:rsidRPr="00047D38" w:rsidR="00047D38">
        <w:rPr>
          <w:noProof/>
        </w:rPr>
        <w:fldChar w:fldCharType="end"/>
      </w:r>
      <w:r w:rsidRPr="00047D38">
        <w:t>.  The applicants complained of the ineffective investigation into deaths or life-threatening accidents without involvement of State agents</w:t>
      </w:r>
      <w:r w:rsidRPr="00047D38">
        <w:rPr>
          <w:bCs/>
        </w:rPr>
        <w:t>.</w:t>
      </w:r>
      <w:r w:rsidRPr="00047D38">
        <w:t xml:space="preserve"> </w:t>
      </w:r>
      <w:r w:rsidRPr="00047D38">
        <w:rPr>
          <w:rFonts w:eastAsia="PMingLiU"/>
        </w:rPr>
        <w:t>They</w:t>
      </w:r>
      <w:r w:rsidRPr="00047D38">
        <w:t xml:space="preserve"> relied, expressly or in substance, on Article 2 </w:t>
      </w:r>
      <w:r w:rsidRPr="00047D38">
        <w:rPr>
          <w:rFonts w:ascii="Times New Roman" w:hAnsi="Times New Roman" w:eastAsia="PMingLiU" w:cs="Times New Roman"/>
        </w:rPr>
        <w:t>of the Convention.</w:t>
      </w:r>
    </w:p>
    <w:p w:rsidRPr="00047D38" w:rsidR="00704659" w:rsidP="00047D38" w14:paraId="52474D4E" w14:textId="1DB8B807">
      <w:pPr>
        <w:pStyle w:val="JuPara"/>
      </w:pPr>
      <w:r>
        <w:fldChar w:fldCharType="begin"/>
      </w:r>
      <w:r>
        <w:instrText xml:space="preserve"> SEQ level0 \*arabic \* MERGEFORMAT </w:instrText>
      </w:r>
      <w:r>
        <w:fldChar w:fldCharType="separate"/>
      </w:r>
      <w:r w:rsidRPr="00047D38" w:rsidR="00047D38">
        <w:rPr>
          <w:noProof/>
        </w:rPr>
        <w:t>6</w:t>
      </w:r>
      <w:r w:rsidRPr="00047D38" w:rsidR="00047D38">
        <w:rPr>
          <w:noProof/>
        </w:rPr>
        <w:fldChar w:fldCharType="end"/>
      </w:r>
      <w:r w:rsidRPr="00047D38">
        <w:t>.  The Court notes at the outset that the present case falls to be examined from the perspective of the State</w:t>
      </w:r>
      <w:r w:rsidRPr="00047D38" w:rsidR="00047D38">
        <w:t>’</w:t>
      </w:r>
      <w:r w:rsidRPr="00047D38">
        <w:t xml:space="preserve">s obligation to conduct an effective investigation under the procedural limb of Article 2 of the Convention. The relevant general principles concerning the effectiveness of the investigation were summarised in </w:t>
      </w:r>
      <w:r w:rsidRPr="00047D38">
        <w:rPr>
          <w:i/>
          <w:iCs/>
        </w:rPr>
        <w:t xml:space="preserve">Mustafa Tunç and </w:t>
      </w:r>
      <w:r w:rsidRPr="00047D38">
        <w:rPr>
          <w:i/>
          <w:iCs/>
        </w:rPr>
        <w:t>Fecire</w:t>
      </w:r>
      <w:r w:rsidRPr="00047D38">
        <w:rPr>
          <w:i/>
          <w:iCs/>
        </w:rPr>
        <w:t xml:space="preserve"> Tunç v. Turkey</w:t>
      </w:r>
      <w:r w:rsidRPr="00047D38">
        <w:t xml:space="preserve"> [GC] (no. 24014/05, §§ 169-82, 14 April 2015). </w:t>
      </w:r>
      <w:r w:rsidRPr="00047D38">
        <w:t>In particular, once</w:t>
      </w:r>
      <w:r w:rsidRPr="00047D38">
        <w:t xml:space="preserve"> the investigative obligation is triggered, compliance with the procedural requirement of Article 2 is assessed </w:t>
      </w:r>
      <w:r w:rsidRPr="00047D38">
        <w:t>on the basis of</w:t>
      </w:r>
      <w:r w:rsidRPr="00047D38">
        <w:t xml:space="preserve"> several essential parameters: the adequacy </w:t>
      </w:r>
      <w:r w:rsidRPr="00047D38">
        <w:t>of the investigative measures, the promptness of the investigation, the involvement of the deceased person</w:t>
      </w:r>
      <w:r w:rsidRPr="00047D38" w:rsidR="00047D38">
        <w:t>’</w:t>
      </w:r>
      <w:r w:rsidRPr="00047D38">
        <w:t>s family, and the independence of the investigation. These elements are inter</w:t>
      </w:r>
      <w:r w:rsidRPr="00047D38">
        <w:noBreakHyphen/>
        <w:t xml:space="preserve">related and each of them, taken separately, does not amount to an </w:t>
      </w:r>
      <w:r w:rsidRPr="00047D38">
        <w:t>end in itself</w:t>
      </w:r>
      <w:r w:rsidRPr="00047D38">
        <w:t xml:space="preserve"> (ibid., § 225).</w:t>
      </w:r>
    </w:p>
    <w:p w:rsidRPr="00047D38" w:rsidR="00704659" w:rsidP="00047D38" w14:paraId="146D7B16" w14:textId="7B329E08">
      <w:pPr>
        <w:pStyle w:val="JuPara"/>
      </w:pPr>
      <w:r>
        <w:fldChar w:fldCharType="begin"/>
      </w:r>
      <w:r>
        <w:instrText xml:space="preserve"> SEQ level0 \*arabic \* MERGEFORMAT </w:instrText>
      </w:r>
      <w:r>
        <w:fldChar w:fldCharType="separate"/>
      </w:r>
      <w:r w:rsidRPr="00047D38" w:rsidR="00047D38">
        <w:rPr>
          <w:noProof/>
        </w:rPr>
        <w:t>7</w:t>
      </w:r>
      <w:r w:rsidRPr="00047D38" w:rsidR="00047D38">
        <w:rPr>
          <w:noProof/>
        </w:rPr>
        <w:fldChar w:fldCharType="end"/>
      </w:r>
      <w:r w:rsidRPr="00047D38">
        <w:t xml:space="preserve">.  Moreover, this is not an obligation of results to be achieved but of means to be employed. The Court accepts that not every investigation is necessarily successful or </w:t>
      </w:r>
      <w:r w:rsidRPr="00047D38">
        <w:t>comes to a conclusion</w:t>
      </w:r>
      <w:r w:rsidRPr="00047D38">
        <w:t xml:space="preserve"> coinciding with the claimant</w:t>
      </w:r>
      <w:r w:rsidRPr="00047D38" w:rsidR="00047D38">
        <w:t>’</w:t>
      </w:r>
      <w:r w:rsidRPr="00047D38">
        <w:t xml:space="preserve">s account of events. However, it should, in principle, be capable of leading to the establishment of the facts of the case and, if the allegations prove to be true, to the identification and punishment of those responsible (see </w:t>
      </w:r>
      <w:r w:rsidRPr="00047D38">
        <w:rPr>
          <w:i/>
          <w:iCs/>
        </w:rPr>
        <w:t>Paul and Audrey Edwards v. the United Kingdom</w:t>
      </w:r>
      <w:r w:rsidRPr="00047D38">
        <w:t>, no. 46477/99, §</w:t>
      </w:r>
      <w:r w:rsidRPr="00047D38" w:rsidR="006B7BFC">
        <w:t> </w:t>
      </w:r>
      <w:r w:rsidRPr="00047D38">
        <w:t>71, ECHR 2002-II).</w:t>
      </w:r>
    </w:p>
    <w:p w:rsidRPr="00047D38" w:rsidR="00704659" w:rsidP="00047D38" w14:paraId="4717B4FD" w14:textId="3085F93D">
      <w:pPr>
        <w:pStyle w:val="JuPara"/>
      </w:pPr>
      <w:r>
        <w:fldChar w:fldCharType="begin"/>
      </w:r>
      <w:r>
        <w:instrText xml:space="preserve"> SEQ level0 \*arabic \* MERGEFORMAT </w:instrText>
      </w:r>
      <w:r>
        <w:fldChar w:fldCharType="separate"/>
      </w:r>
      <w:r w:rsidRPr="00047D38" w:rsidR="00047D38">
        <w:rPr>
          <w:noProof/>
        </w:rPr>
        <w:t>8</w:t>
      </w:r>
      <w:r w:rsidRPr="00047D38" w:rsidR="00047D38">
        <w:rPr>
          <w:noProof/>
        </w:rPr>
        <w:fldChar w:fldCharType="end"/>
      </w:r>
      <w:r w:rsidRPr="00047D38">
        <w:t>.  Reviewing the facts of the present applications in the light of the principles mentioned above, the Court considers that the investigation was marked by various shortcomings, which had undermined the ability of the investigating authorities to establish the circumstances of the life-threatening accident, and who, if anyone, was responsible. The specific shortcomings are indicated in the appended table.</w:t>
      </w:r>
    </w:p>
    <w:p w:rsidRPr="00047D38" w:rsidR="00704659" w:rsidP="00047D38" w14:paraId="73871803" w14:textId="2E3E7F8D">
      <w:pPr>
        <w:pStyle w:val="JuPara"/>
      </w:pPr>
      <w:r>
        <w:fldChar w:fldCharType="begin"/>
      </w:r>
      <w:r>
        <w:instrText xml:space="preserve"> SEQ level0 \*arabic \* MERGEFORMAT </w:instrText>
      </w:r>
      <w:r>
        <w:fldChar w:fldCharType="separate"/>
      </w:r>
      <w:r w:rsidRPr="00047D38" w:rsidR="00047D38">
        <w:rPr>
          <w:noProof/>
        </w:rPr>
        <w:t>9</w:t>
      </w:r>
      <w:r w:rsidRPr="00047D38" w:rsidR="00047D38">
        <w:rPr>
          <w:noProof/>
        </w:rPr>
        <w:fldChar w:fldCharType="end"/>
      </w:r>
      <w:r w:rsidRPr="00047D38">
        <w:t xml:space="preserve">.  In the leading cases of </w:t>
      </w:r>
      <w:r w:rsidRPr="00047D38">
        <w:rPr>
          <w:i/>
        </w:rPr>
        <w:t>Kachurka</w:t>
      </w:r>
      <w:r w:rsidRPr="00047D38">
        <w:rPr>
          <w:i/>
        </w:rPr>
        <w:t xml:space="preserve"> v. Ukraine </w:t>
      </w:r>
      <w:r w:rsidRPr="00047D38">
        <w:rPr>
          <w:iCs/>
        </w:rPr>
        <w:t>(</w:t>
      </w:r>
      <w:r w:rsidRPr="00047D38">
        <w:t>no.</w:t>
      </w:r>
      <w:r w:rsidRPr="00047D38" w:rsidR="006B7BFC">
        <w:t> </w:t>
      </w:r>
      <w:r w:rsidRPr="00047D38">
        <w:t xml:space="preserve">4737/06, 15 September 2011), </w:t>
      </w:r>
      <w:r w:rsidRPr="00047D38">
        <w:rPr>
          <w:i/>
        </w:rPr>
        <w:t>Pozhyvotko</w:t>
      </w:r>
      <w:r w:rsidRPr="00047D38">
        <w:rPr>
          <w:i/>
        </w:rPr>
        <w:t xml:space="preserve"> v. Ukraine </w:t>
      </w:r>
      <w:r w:rsidRPr="00047D38">
        <w:rPr>
          <w:iCs/>
        </w:rPr>
        <w:t>(</w:t>
      </w:r>
      <w:r w:rsidRPr="00047D38">
        <w:t>no. 42752/08, 17</w:t>
      </w:r>
      <w:r w:rsidRPr="00047D38" w:rsidR="006B7BFC">
        <w:t> </w:t>
      </w:r>
      <w:r w:rsidRPr="00047D38">
        <w:t xml:space="preserve">October 2013), and </w:t>
      </w:r>
      <w:r w:rsidRPr="00047D38">
        <w:rPr>
          <w:i/>
        </w:rPr>
        <w:t>Basyuk</w:t>
      </w:r>
      <w:r w:rsidRPr="00047D38">
        <w:rPr>
          <w:i/>
        </w:rPr>
        <w:t xml:space="preserve"> v. Ukraine </w:t>
      </w:r>
      <w:r w:rsidRPr="00047D38">
        <w:rPr>
          <w:iCs/>
        </w:rPr>
        <w:t>(</w:t>
      </w:r>
      <w:r w:rsidRPr="00047D38">
        <w:t xml:space="preserve">no. 51151/10, 5 November 2015), the Court already found a violation in respect of issues </w:t>
      </w:r>
      <w:r w:rsidRPr="00047D38">
        <w:t>similar to</w:t>
      </w:r>
      <w:r w:rsidRPr="00047D38">
        <w:t xml:space="preserve"> those in the present case.</w:t>
      </w:r>
    </w:p>
    <w:p w:rsidRPr="00047D38" w:rsidR="00704659" w:rsidP="00047D38" w14:paraId="20B11D95" w14:textId="5AFE01B5">
      <w:pPr>
        <w:pStyle w:val="JuPara"/>
      </w:pPr>
      <w:r>
        <w:fldChar w:fldCharType="begin"/>
      </w:r>
      <w:r>
        <w:instrText xml:space="preserve"> SEQ level0 \*arabic \* MERGEFORMAT </w:instrText>
      </w:r>
      <w:r>
        <w:fldChar w:fldCharType="separate"/>
      </w:r>
      <w:r w:rsidRPr="00047D38" w:rsidR="00047D38">
        <w:rPr>
          <w:noProof/>
        </w:rPr>
        <w:t>10</w:t>
      </w:r>
      <w:r w:rsidRPr="00047D38" w:rsidR="00047D38">
        <w:rPr>
          <w:noProof/>
        </w:rPr>
        <w:fldChar w:fldCharType="end"/>
      </w:r>
      <w:r w:rsidRPr="00047D38">
        <w:t xml:space="preserve">.  Having examined all the material submitted to it, the Court has not found any fact or argument capable of persuading it to reach a different conclusion on the admissibility and merits of these complaints. Having regard to its case-law on the subject, the Court considers that </w:t>
      </w:r>
      <w:r w:rsidRPr="00047D38">
        <w:rPr>
          <w:rFonts w:eastAsia="PMingLiU"/>
        </w:rPr>
        <w:t>the investigation in the applications as described below failed to meet the criteria of effectiveness.</w:t>
      </w:r>
    </w:p>
    <w:p w:rsidRPr="00047D38" w:rsidR="00704659" w:rsidP="00047D38" w14:paraId="45C8A596" w14:textId="5499E7CB">
      <w:pPr>
        <w:pStyle w:val="JuPara"/>
      </w:pPr>
      <w:r>
        <w:fldChar w:fldCharType="begin"/>
      </w:r>
      <w:r>
        <w:instrText xml:space="preserve"> SEQ level0 \*arabic \* MERGEFORMAT </w:instrText>
      </w:r>
      <w:r>
        <w:fldChar w:fldCharType="separate"/>
      </w:r>
      <w:r w:rsidRPr="00047D38" w:rsidR="00047D38">
        <w:rPr>
          <w:noProof/>
        </w:rPr>
        <w:t>11</w:t>
      </w:r>
      <w:r w:rsidRPr="00047D38" w:rsidR="00047D38">
        <w:rPr>
          <w:noProof/>
        </w:rPr>
        <w:fldChar w:fldCharType="end"/>
      </w:r>
      <w:r w:rsidRPr="00047D38">
        <w:t xml:space="preserve">.  These complaints are therefore admissible and disclose a breach of Article 2 </w:t>
      </w:r>
      <w:r w:rsidRPr="00047D38">
        <w:rPr>
          <w:rFonts w:ascii="Times New Roman" w:hAnsi="Times New Roman" w:eastAsia="PMingLiU" w:cs="Times New Roman"/>
        </w:rPr>
        <w:t>of the Convention</w:t>
      </w:r>
      <w:r w:rsidRPr="00047D38">
        <w:t>.</w:t>
      </w:r>
    </w:p>
    <w:p w:rsidRPr="00047D38" w:rsidR="00704659" w:rsidP="00047D38" w14:paraId="3D8537C5" w14:textId="77777777">
      <w:pPr>
        <w:pStyle w:val="JuHIRoman"/>
        <w:tabs>
          <w:tab w:val="clear" w:pos="454"/>
          <w:tab w:val="clear" w:pos="539"/>
          <w:tab w:val="clear" w:pos="624"/>
          <w:tab w:val="clear" w:pos="709"/>
          <w:tab w:val="clear" w:pos="794"/>
        </w:tabs>
        <w:ind w:left="357" w:hanging="357"/>
        <w:jc w:val="left"/>
      </w:pPr>
      <w:r w:rsidRPr="00047D38">
        <w:t>APPLICATION OF ARTICLE 41 OF THE CONVENTION</w:t>
      </w:r>
    </w:p>
    <w:p w:rsidRPr="00047D38" w:rsidR="00704659" w:rsidP="00047D38" w14:paraId="3AB956F6" w14:textId="398BCA59">
      <w:pPr>
        <w:pStyle w:val="JuPara"/>
      </w:pPr>
      <w:r>
        <w:fldChar w:fldCharType="begin"/>
      </w:r>
      <w:r>
        <w:instrText xml:space="preserve"> SEQ level0 \*arabic \* MERGEFORMAT </w:instrText>
      </w:r>
      <w:r>
        <w:fldChar w:fldCharType="separate"/>
      </w:r>
      <w:r w:rsidRPr="00047D38" w:rsidR="00047D38">
        <w:rPr>
          <w:noProof/>
        </w:rPr>
        <w:t>12</w:t>
      </w:r>
      <w:r w:rsidRPr="00047D38" w:rsidR="00047D38">
        <w:rPr>
          <w:noProof/>
        </w:rPr>
        <w:fldChar w:fldCharType="end"/>
      </w:r>
      <w:r w:rsidRPr="00047D38">
        <w:t>.  Regard being had to the documents in its possession and to its case</w:t>
      </w:r>
      <w:r w:rsidRPr="00047D38">
        <w:noBreakHyphen/>
        <w:t>law (see</w:t>
      </w:r>
      <w:r w:rsidRPr="00047D38">
        <w:t xml:space="preserve">, in particular, </w:t>
      </w:r>
      <w:r w:rsidRPr="00047D38">
        <w:rPr>
          <w:i/>
        </w:rPr>
        <w:t>Basyuk</w:t>
      </w:r>
      <w:r w:rsidRPr="00047D38">
        <w:rPr>
          <w:i/>
        </w:rPr>
        <w:t xml:space="preserve">, </w:t>
      </w:r>
      <w:r w:rsidRPr="00047D38">
        <w:t>cited above, §§ 74-80), the Court considers it reasonable to award the sums indicated in the appended table.</w:t>
      </w:r>
    </w:p>
    <w:p w:rsidRPr="00047D38" w:rsidR="00704659" w:rsidP="00047D38" w14:paraId="7349DF66" w14:textId="77777777">
      <w:pPr>
        <w:pStyle w:val="JuPara"/>
      </w:pPr>
    </w:p>
    <w:p w:rsidRPr="00047D38" w:rsidR="00704659" w:rsidP="00047D38" w14:paraId="740C498F" w14:textId="77777777">
      <w:pPr>
        <w:pStyle w:val="JuHHead"/>
        <w:jc w:val="left"/>
      </w:pPr>
      <w:r w:rsidRPr="00047D38">
        <w:t>FOR THESE REASONS, THE COURT</w:t>
      </w:r>
      <w:r w:rsidRPr="00047D38">
        <w:rPr>
          <w:color w:val="000000"/>
        </w:rPr>
        <w:t>,</w:t>
      </w:r>
      <w:r w:rsidRPr="00047D38">
        <w:t xml:space="preserve"> UNANIMOUSLY,</w:t>
      </w:r>
    </w:p>
    <w:p w:rsidRPr="00047D38" w:rsidR="00704659" w:rsidP="00047D38" w14:paraId="166ED662" w14:textId="77777777">
      <w:pPr>
        <w:pStyle w:val="JuList"/>
        <w:keepNext/>
        <w:keepLines/>
      </w:pPr>
      <w:r w:rsidRPr="00047D38">
        <w:rPr>
          <w:i/>
        </w:rPr>
        <w:t xml:space="preserve">Decides </w:t>
      </w:r>
      <w:r w:rsidRPr="00047D38">
        <w:t xml:space="preserve">to join the </w:t>
      </w:r>
      <w:r w:rsidRPr="00047D38">
        <w:t>applications;</w:t>
      </w:r>
    </w:p>
    <w:p w:rsidRPr="00047D38" w:rsidR="00704659" w:rsidP="00047D38" w14:paraId="35232294" w14:textId="77777777">
      <w:pPr>
        <w:pStyle w:val="JuList"/>
        <w:keepNext/>
        <w:keepLines/>
      </w:pPr>
      <w:r w:rsidRPr="00047D38">
        <w:rPr>
          <w:i/>
        </w:rPr>
        <w:t xml:space="preserve">Declares </w:t>
      </w:r>
      <w:r w:rsidRPr="00047D38">
        <w:t xml:space="preserve">the applications </w:t>
      </w:r>
      <w:r w:rsidRPr="00047D38">
        <w:t>admissible;</w:t>
      </w:r>
    </w:p>
    <w:p w:rsidRPr="00047D38" w:rsidR="00704659" w:rsidP="00047D38" w14:paraId="1FF24B5A" w14:textId="77777777">
      <w:pPr>
        <w:pStyle w:val="JuList"/>
        <w:rPr>
          <w:rFonts w:cstheme="minorHAnsi"/>
          <w:bCs/>
        </w:rPr>
      </w:pPr>
      <w:r w:rsidRPr="00047D38">
        <w:rPr>
          <w:i/>
        </w:rPr>
        <w:t xml:space="preserve">Holds </w:t>
      </w:r>
      <w:r w:rsidRPr="00047D38">
        <w:t xml:space="preserve">that </w:t>
      </w:r>
      <w:r w:rsidRPr="00047D38">
        <w:rPr>
          <w:rFonts w:eastAsia="PMingLiU"/>
        </w:rPr>
        <w:t xml:space="preserve">these applications </w:t>
      </w:r>
      <w:r w:rsidRPr="00047D38">
        <w:t>disclose a breach of Article 2</w:t>
      </w:r>
      <w:r w:rsidRPr="00047D38">
        <w:rPr>
          <w:rFonts w:ascii="Times New Roman" w:hAnsi="Times New Roman" w:eastAsia="PMingLiU" w:cs="Times New Roman"/>
        </w:rPr>
        <w:t xml:space="preserve"> of the Convention</w:t>
      </w:r>
      <w:r w:rsidRPr="00047D38">
        <w:t xml:space="preserve"> concerning the </w:t>
      </w:r>
      <w:r w:rsidRPr="00047D38">
        <w:rPr>
          <w:rFonts w:cstheme="minorHAnsi"/>
        </w:rPr>
        <w:t xml:space="preserve">ineffective investigation into deaths or life-threatening accidents without involvement of State </w:t>
      </w:r>
      <w:r w:rsidRPr="00047D38">
        <w:rPr>
          <w:rFonts w:cstheme="minorHAnsi"/>
        </w:rPr>
        <w:t>agents</w:t>
      </w:r>
      <w:r w:rsidRPr="00047D38">
        <w:rPr>
          <w:rFonts w:eastAsia="PMingLiU"/>
        </w:rPr>
        <w:t>;</w:t>
      </w:r>
    </w:p>
    <w:p w:rsidRPr="00047D38" w:rsidR="00704659" w:rsidP="00047D38" w14:paraId="2D418F64" w14:textId="77777777">
      <w:pPr>
        <w:pStyle w:val="JuList"/>
        <w:ind w:left="0" w:firstLine="0"/>
        <w:rPr>
          <w:rFonts w:cstheme="minorHAnsi"/>
          <w:bCs/>
        </w:rPr>
      </w:pPr>
      <w:r w:rsidRPr="00047D38">
        <w:rPr>
          <w:i/>
        </w:rPr>
        <w:t>Holds</w:t>
      </w:r>
    </w:p>
    <w:p w:rsidRPr="00047D38" w:rsidR="00704659" w:rsidP="00047D38" w14:paraId="4726C50C" w14:textId="77777777">
      <w:pPr>
        <w:pStyle w:val="JuLista"/>
      </w:pPr>
      <w:r w:rsidRPr="00047D38">
        <w:t xml:space="preserve">that the respondent State is to pay the applicants, within three months, the amounts indicated in the appended table, to be converted into the currency of the respondent State at the rate applicable at the date of </w:t>
      </w:r>
      <w:r w:rsidRPr="00047D38">
        <w:t>settlement;</w:t>
      </w:r>
    </w:p>
    <w:p w:rsidRPr="00047D38" w:rsidR="00606600" w:rsidP="00047D38" w14:paraId="35622F68" w14:textId="77777777">
      <w:pPr>
        <w:pStyle w:val="JuLista"/>
      </w:pPr>
      <w:r w:rsidRPr="00047D38">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047D38" w:rsidR="00606600" w:rsidP="00047D38" w14:paraId="12C17EA7" w14:textId="1AF2072D">
      <w:pPr>
        <w:pStyle w:val="JuParaLast"/>
      </w:pPr>
      <w:r w:rsidRPr="00047D38">
        <w:t xml:space="preserve">Done in English, and notified in writing on </w:t>
      </w:r>
      <w:r w:rsidRPr="00047D38" w:rsidR="00704659">
        <w:t>16 April 2026</w:t>
      </w:r>
      <w:r w:rsidRPr="00047D38">
        <w:t>, pursuant to Rule 77 §§ 2 and 3 of the Rules of Court.</w:t>
      </w:r>
    </w:p>
    <w:p w:rsidRPr="00047D38" w:rsidR="00656431" w:rsidP="00047D38" w14:paraId="2424864A" w14:textId="09069495">
      <w:pPr>
        <w:pStyle w:val="ECHRPlaceholder"/>
        <w:rPr>
          <w:szCs w:val="22"/>
        </w:rPr>
      </w:pPr>
      <w:r w:rsidRPr="00047D38">
        <w:rPr>
          <w:rFonts w:eastAsia="PMingLiU"/>
        </w:rPr>
        <w:tab/>
      </w:r>
    </w:p>
    <w:p w:rsidRPr="00047D38" w:rsidR="00B91668" w:rsidP="00047D38" w14:paraId="504165F5" w14:textId="49723511">
      <w:pPr>
        <w:pStyle w:val="JuSigned"/>
        <w:rPr>
          <w:rFonts w:eastAsia="PMingLiU"/>
        </w:rPr>
      </w:pPr>
      <w:r w:rsidRPr="00047D38">
        <w:rPr>
          <w:rFonts w:eastAsia="PMingLiU"/>
        </w:rPr>
        <w:tab/>
      </w:r>
      <w:r w:rsidRPr="00047D38" w:rsidR="00704659">
        <w:rPr>
          <w:rFonts w:eastAsia="PMingLiU"/>
        </w:rPr>
        <w:t>Viktoriya</w:t>
      </w:r>
      <w:r w:rsidRPr="00047D38" w:rsidR="0048584C">
        <w:rPr>
          <w:rFonts w:eastAsia="PMingLiU"/>
        </w:rPr>
        <w:t xml:space="preserve"> </w:t>
      </w:r>
      <w:r w:rsidRPr="00047D38" w:rsidR="00704659">
        <w:rPr>
          <w:rFonts w:eastAsia="PMingLiU"/>
        </w:rPr>
        <w:t>Maradudina</w:t>
      </w:r>
      <w:r w:rsidRPr="00047D38" w:rsidR="0048584C">
        <w:rPr>
          <w:rFonts w:eastAsia="PMingLiU"/>
        </w:rPr>
        <w:tab/>
      </w:r>
      <w:r w:rsidRPr="00047D38" w:rsidR="00704659">
        <w:rPr>
          <w:rFonts w:eastAsia="PMingLiU"/>
        </w:rPr>
        <w:t xml:space="preserve">Andreas </w:t>
      </w:r>
      <w:r w:rsidRPr="00047D38" w:rsidR="00704659">
        <w:rPr>
          <w:rFonts w:eastAsia="PMingLiU"/>
        </w:rPr>
        <w:t>Zünd</w:t>
      </w:r>
      <w:r w:rsidRPr="00047D38" w:rsidR="002F3B96">
        <w:rPr>
          <w:rFonts w:eastAsia="PMingLiU"/>
        </w:rPr>
        <w:br/>
      </w:r>
      <w:r w:rsidRPr="00047D38" w:rsidR="0048584C">
        <w:rPr>
          <w:rFonts w:eastAsia="PMingLiU"/>
        </w:rPr>
        <w:tab/>
        <w:t>Acting Deputy Registrar</w:t>
      </w:r>
      <w:r w:rsidRPr="00047D38" w:rsidR="0048584C">
        <w:rPr>
          <w:rFonts w:eastAsia="PMingLiU"/>
        </w:rPr>
        <w:tab/>
        <w:t>President</w:t>
      </w:r>
    </w:p>
    <w:p w:rsidRPr="00047D38" w:rsidR="002F3B96" w:rsidP="00047D38" w14:paraId="4278D4E3" w14:textId="77777777">
      <w:pPr>
        <w:pStyle w:val="JuPara"/>
      </w:pPr>
    </w:p>
    <w:p w:rsidRPr="00047D38" w:rsidR="002F3B96" w:rsidP="00047D38" w14:paraId="03A622CB" w14:textId="77777777">
      <w:pPr>
        <w:pStyle w:val="JuPara"/>
      </w:pPr>
    </w:p>
    <w:p w:rsidRPr="00047D38" w:rsidR="00606600" w:rsidP="00047D38" w14:paraId="57630865"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047D38" w:rsidR="00606600" w:rsidP="00047D38" w14:paraId="0D45F76A" w14:textId="77777777">
      <w:pPr>
        <w:pStyle w:val="DecHTitle"/>
      </w:pPr>
      <w:r w:rsidRPr="00047D38">
        <w:t>APPENDIX</w:t>
      </w:r>
    </w:p>
    <w:p w:rsidRPr="00047D38" w:rsidR="00606600" w:rsidP="00047D38" w14:paraId="5031667D" w14:textId="34E7EC9A">
      <w:pPr>
        <w:pStyle w:val="DecHCase"/>
        <w:contextualSpacing/>
        <w:rPr>
          <w:b/>
          <w:i/>
          <w:color w:val="3E3E3E" w:themeColor="background2" w:themeShade="40"/>
        </w:rPr>
      </w:pPr>
      <w:r w:rsidRPr="00047D38">
        <w:rPr>
          <w:color w:val="3E3E3E" w:themeColor="background2" w:themeShade="40"/>
        </w:rPr>
        <w:t>List of applications</w:t>
      </w:r>
      <w:r w:rsidRPr="00047D38" w:rsidR="0048584C">
        <w:rPr>
          <w:color w:val="3E3E3E" w:themeColor="background2" w:themeShade="40"/>
        </w:rPr>
        <w:t xml:space="preserve"> raising complaints under Article</w:t>
      </w:r>
      <w:r w:rsidRPr="00047D38">
        <w:rPr>
          <w:color w:val="3E3E3E" w:themeColor="background2" w:themeShade="40"/>
        </w:rPr>
        <w:t xml:space="preserve"> 2 of the Convention</w:t>
      </w:r>
    </w:p>
    <w:p w:rsidRPr="00047D38" w:rsidR="00606600" w:rsidP="00047D38" w14:paraId="1235A01B" w14:textId="2F0FE71E">
      <w:pPr>
        <w:pStyle w:val="DecHCase"/>
        <w:contextualSpacing/>
        <w:rPr>
          <w:b/>
          <w:i/>
        </w:rPr>
      </w:pPr>
      <w:r w:rsidRPr="00047D38">
        <w:rPr>
          <w:color w:val="3E3E3E" w:themeColor="background2" w:themeShade="40"/>
        </w:rPr>
        <w:t>(</w:t>
      </w:r>
      <w:r w:rsidRPr="00047D38" w:rsidR="00704659">
        <w:rPr>
          <w:color w:val="3E3E3E" w:themeColor="background2" w:themeShade="40"/>
        </w:rPr>
        <w:t>ineffective investigation into deaths or life-threatening accidents without involvement of State agents</w:t>
      </w:r>
      <w:r w:rsidRPr="00047D38">
        <w:rPr>
          <w:color w:val="3E3E3E" w:themeColor="background2" w:themeShade="40"/>
        </w:rPr>
        <w:t>)</w:t>
      </w:r>
    </w:p>
    <w:tbl>
      <w:tblPr>
        <w:tblStyle w:val="ECHRListTable"/>
        <w:tblW w:w="14743" w:type="dxa"/>
        <w:jc w:val="center"/>
        <w:tblLook w:val="0420"/>
      </w:tblPr>
      <w:tblGrid>
        <w:gridCol w:w="452"/>
        <w:gridCol w:w="1241"/>
        <w:gridCol w:w="1415"/>
        <w:gridCol w:w="1354"/>
        <w:gridCol w:w="5908"/>
        <w:gridCol w:w="2384"/>
        <w:gridCol w:w="991"/>
        <w:gridCol w:w="998"/>
      </w:tblGrid>
      <w:tr w:rsidTr="006B7BFC" w14:paraId="1DF6D837" w14:textId="77777777">
        <w:tblPrEx>
          <w:tblW w:w="14743" w:type="dxa"/>
          <w:tblLook w:val="0420"/>
        </w:tblPrEx>
        <w:tc>
          <w:tcPr>
            <w:tcW w:w="452" w:type="dxa"/>
          </w:tcPr>
          <w:p w:rsidRPr="00047D38" w:rsidR="006B7BFC" w:rsidP="00047D38" w14:paraId="5FC9DDD6" w14:textId="77777777">
            <w:pPr>
              <w:jc w:val="center"/>
              <w:rPr>
                <w:sz w:val="16"/>
              </w:rPr>
            </w:pPr>
            <w:bookmarkStart w:name="WECLListStart" w:id="2"/>
            <w:bookmarkEnd w:id="2"/>
            <w:r w:rsidRPr="00047D38">
              <w:rPr>
                <w:sz w:val="16"/>
              </w:rPr>
              <w:t>No.</w:t>
            </w:r>
          </w:p>
        </w:tc>
        <w:tc>
          <w:tcPr>
            <w:tcW w:w="1244" w:type="dxa"/>
          </w:tcPr>
          <w:p w:rsidRPr="00047D38" w:rsidR="006B7BFC" w:rsidP="00047D38" w14:paraId="5E504883" w14:textId="77777777">
            <w:pPr>
              <w:jc w:val="center"/>
              <w:rPr>
                <w:sz w:val="16"/>
              </w:rPr>
            </w:pPr>
            <w:r w:rsidRPr="00047D38">
              <w:rPr>
                <w:sz w:val="16"/>
              </w:rPr>
              <w:t>Application no.</w:t>
            </w:r>
          </w:p>
          <w:p w:rsidRPr="00047D38" w:rsidR="006B7BFC" w:rsidP="00047D38" w14:paraId="48FAA766" w14:textId="77777777">
            <w:pPr>
              <w:jc w:val="center"/>
              <w:rPr>
                <w:sz w:val="16"/>
              </w:rPr>
            </w:pPr>
            <w:r w:rsidRPr="00047D38">
              <w:rPr>
                <w:sz w:val="16"/>
              </w:rPr>
              <w:t>Date of introduction</w:t>
            </w:r>
          </w:p>
        </w:tc>
        <w:tc>
          <w:tcPr>
            <w:tcW w:w="1418" w:type="dxa"/>
          </w:tcPr>
          <w:p w:rsidRPr="00047D38" w:rsidR="006B7BFC" w:rsidP="00047D38" w14:paraId="52F4DDC7" w14:textId="05945FE8">
            <w:pPr>
              <w:jc w:val="center"/>
              <w:rPr>
                <w:sz w:val="16"/>
              </w:rPr>
            </w:pPr>
            <w:r w:rsidRPr="00047D38">
              <w:rPr>
                <w:sz w:val="16"/>
              </w:rPr>
              <w:t>Applicant</w:t>
            </w:r>
            <w:r w:rsidRPr="00047D38" w:rsidR="00047D38">
              <w:rPr>
                <w:sz w:val="16"/>
              </w:rPr>
              <w:t>’</w:t>
            </w:r>
            <w:r w:rsidRPr="00047D38">
              <w:rPr>
                <w:sz w:val="16"/>
              </w:rPr>
              <w:t>s name</w:t>
            </w:r>
          </w:p>
          <w:p w:rsidRPr="00047D38" w:rsidR="006B7BFC" w:rsidP="00047D38" w14:paraId="1D36F77F" w14:textId="3B759449">
            <w:pPr>
              <w:jc w:val="center"/>
              <w:rPr>
                <w:sz w:val="16"/>
              </w:rPr>
            </w:pPr>
            <w:r w:rsidRPr="00047D38">
              <w:rPr>
                <w:sz w:val="16"/>
              </w:rPr>
              <w:t>Year of birth</w:t>
            </w:r>
          </w:p>
        </w:tc>
        <w:tc>
          <w:tcPr>
            <w:tcW w:w="1276" w:type="dxa"/>
          </w:tcPr>
          <w:p w:rsidRPr="00047D38" w:rsidR="006B7BFC" w:rsidP="00047D38" w14:paraId="60C1940F" w14:textId="53889816">
            <w:pPr>
              <w:jc w:val="center"/>
              <w:rPr>
                <w:sz w:val="16"/>
              </w:rPr>
            </w:pPr>
            <w:r w:rsidRPr="00047D38">
              <w:rPr>
                <w:sz w:val="16"/>
              </w:rPr>
              <w:t>Representative</w:t>
            </w:r>
            <w:r w:rsidRPr="00047D38" w:rsidR="00047D38">
              <w:rPr>
                <w:sz w:val="16"/>
              </w:rPr>
              <w:t>’</w:t>
            </w:r>
            <w:r w:rsidRPr="00047D38">
              <w:rPr>
                <w:sz w:val="16"/>
              </w:rPr>
              <w:t>s name and location</w:t>
            </w:r>
          </w:p>
        </w:tc>
        <w:tc>
          <w:tcPr>
            <w:tcW w:w="5964" w:type="dxa"/>
          </w:tcPr>
          <w:p w:rsidRPr="00047D38" w:rsidR="006B7BFC" w:rsidP="00047D38" w14:paraId="7D59E3E1" w14:textId="77777777">
            <w:pPr>
              <w:jc w:val="center"/>
              <w:rPr>
                <w:sz w:val="16"/>
              </w:rPr>
            </w:pPr>
            <w:r w:rsidRPr="00047D38">
              <w:rPr>
                <w:sz w:val="16"/>
              </w:rPr>
              <w:t>Background to the case and domestic proceedings</w:t>
            </w:r>
          </w:p>
        </w:tc>
        <w:tc>
          <w:tcPr>
            <w:tcW w:w="2399" w:type="dxa"/>
          </w:tcPr>
          <w:p w:rsidRPr="00047D38" w:rsidR="006B7BFC" w:rsidP="00047D38" w14:paraId="7C88262C" w14:textId="77777777">
            <w:pPr>
              <w:jc w:val="center"/>
              <w:rPr>
                <w:sz w:val="16"/>
              </w:rPr>
            </w:pPr>
            <w:r w:rsidRPr="00047D38">
              <w:rPr>
                <w:sz w:val="16"/>
              </w:rPr>
              <w:t>Key issues</w:t>
            </w:r>
          </w:p>
        </w:tc>
        <w:tc>
          <w:tcPr>
            <w:tcW w:w="992" w:type="dxa"/>
          </w:tcPr>
          <w:p w:rsidRPr="00047D38" w:rsidR="006B7BFC" w:rsidP="00047D38" w14:paraId="0E2D5482" w14:textId="77777777">
            <w:pPr>
              <w:jc w:val="center"/>
              <w:rPr>
                <w:sz w:val="16"/>
              </w:rPr>
            </w:pPr>
            <w:r w:rsidRPr="00047D38">
              <w:rPr>
                <w:sz w:val="16"/>
              </w:rPr>
              <w:t>Amount awarded for non-pecuniary damage per applicant (in euros)</w:t>
            </w:r>
            <w:r>
              <w:rPr>
                <w:rStyle w:val="EndnoteReference"/>
                <w:sz w:val="16"/>
              </w:rPr>
              <w:endnoteReference w:id="2"/>
            </w:r>
          </w:p>
        </w:tc>
        <w:tc>
          <w:tcPr>
            <w:tcW w:w="998" w:type="dxa"/>
          </w:tcPr>
          <w:p w:rsidRPr="00047D38" w:rsidR="006B7BFC" w:rsidP="00047D38" w14:paraId="7C0FAFB4" w14:textId="77777777">
            <w:pPr>
              <w:jc w:val="center"/>
              <w:rPr>
                <w:sz w:val="16"/>
              </w:rPr>
            </w:pPr>
            <w:r w:rsidRPr="00047D38">
              <w:rPr>
                <w:sz w:val="16"/>
              </w:rPr>
              <w:t>Amount awarded for costs and expenses per application</w:t>
            </w:r>
          </w:p>
          <w:p w:rsidRPr="00047D38" w:rsidR="006B7BFC" w:rsidP="00047D38" w14:paraId="00D47A3D" w14:textId="77777777">
            <w:pPr>
              <w:jc w:val="center"/>
              <w:rPr>
                <w:sz w:val="16"/>
              </w:rPr>
            </w:pPr>
            <w:r w:rsidRPr="00047D38">
              <w:rPr>
                <w:sz w:val="16"/>
              </w:rPr>
              <w:t>(in euros)</w:t>
            </w:r>
            <w:r>
              <w:rPr>
                <w:rStyle w:val="EndnoteReference"/>
                <w:sz w:val="16"/>
              </w:rPr>
              <w:endnoteReference w:id="3"/>
            </w:r>
          </w:p>
        </w:tc>
      </w:tr>
      <w:tr w:rsidTr="006B7BFC" w14:paraId="1931DB61" w14:textId="77777777">
        <w:tblPrEx>
          <w:tblW w:w="14743" w:type="dxa"/>
          <w:tblLook w:val="0420"/>
        </w:tblPrEx>
        <w:tc>
          <w:tcPr>
            <w:tcW w:w="452" w:type="dxa"/>
          </w:tcPr>
          <w:p w:rsidRPr="00047D38" w:rsidR="006B7BFC" w:rsidP="00047D38" w14:paraId="21D16DE1" w14:textId="77777777">
            <w:pPr>
              <w:pStyle w:val="ListParagraph"/>
              <w:numPr>
                <w:ilvl w:val="0"/>
                <w:numId w:val="21"/>
              </w:numPr>
              <w:tabs>
                <w:tab w:val="num" w:pos="283"/>
              </w:tabs>
              <w:ind w:left="0" w:firstLine="0"/>
              <w:jc w:val="center"/>
              <w:rPr>
                <w:rFonts w:eastAsiaTheme="minorEastAsia"/>
                <w:sz w:val="16"/>
              </w:rPr>
            </w:pPr>
          </w:p>
        </w:tc>
        <w:tc>
          <w:tcPr>
            <w:tcW w:w="1244" w:type="dxa"/>
          </w:tcPr>
          <w:p w:rsidRPr="00047D38" w:rsidR="006B7BFC" w:rsidP="00047D38" w14:paraId="7A71178B" w14:textId="77777777">
            <w:pPr>
              <w:jc w:val="center"/>
              <w:rPr>
                <w:sz w:val="16"/>
              </w:rPr>
            </w:pPr>
            <w:r w:rsidRPr="00047D38">
              <w:rPr>
                <w:sz w:val="16"/>
              </w:rPr>
              <w:t>6200/25</w:t>
            </w:r>
          </w:p>
          <w:p w:rsidRPr="00047D38" w:rsidR="006B7BFC" w:rsidP="00047D38" w14:paraId="5FA12249" w14:textId="77777777">
            <w:pPr>
              <w:jc w:val="center"/>
              <w:rPr>
                <w:sz w:val="16"/>
              </w:rPr>
            </w:pPr>
            <w:r w:rsidRPr="00047D38">
              <w:rPr>
                <w:sz w:val="16"/>
              </w:rPr>
              <w:t>13/02/2025</w:t>
            </w:r>
          </w:p>
        </w:tc>
        <w:tc>
          <w:tcPr>
            <w:tcW w:w="1418" w:type="dxa"/>
          </w:tcPr>
          <w:p w:rsidRPr="00047D38" w:rsidR="006B7BFC" w:rsidP="00047D38" w14:paraId="43AD2ED9" w14:textId="77777777">
            <w:pPr>
              <w:jc w:val="center"/>
              <w:rPr>
                <w:sz w:val="16"/>
              </w:rPr>
            </w:pPr>
            <w:r w:rsidRPr="00047D38">
              <w:rPr>
                <w:b/>
                <w:sz w:val="16"/>
              </w:rPr>
              <w:t xml:space="preserve">Stefaniya </w:t>
            </w:r>
            <w:r w:rsidRPr="00047D38">
              <w:rPr>
                <w:b/>
                <w:sz w:val="16"/>
              </w:rPr>
              <w:t>Mykhaylivna</w:t>
            </w:r>
            <w:r w:rsidRPr="00047D38">
              <w:rPr>
                <w:b/>
                <w:sz w:val="16"/>
              </w:rPr>
              <w:t xml:space="preserve"> KYRYK</w:t>
            </w:r>
          </w:p>
          <w:p w:rsidRPr="00047D38" w:rsidR="006B7BFC" w:rsidP="00047D38" w14:paraId="07C3EDCE" w14:textId="335E15C2">
            <w:pPr>
              <w:jc w:val="center"/>
              <w:rPr>
                <w:sz w:val="16"/>
              </w:rPr>
            </w:pPr>
            <w:r w:rsidRPr="00047D38">
              <w:rPr>
                <w:sz w:val="16"/>
              </w:rPr>
              <w:t>1987</w:t>
            </w:r>
          </w:p>
        </w:tc>
        <w:tc>
          <w:tcPr>
            <w:tcW w:w="1276" w:type="dxa"/>
          </w:tcPr>
          <w:p w:rsidRPr="00047D38" w:rsidR="006B7BFC" w:rsidP="00047D38" w14:paraId="0286ADCA" w14:textId="77777777">
            <w:pPr>
              <w:jc w:val="center"/>
              <w:rPr>
                <w:sz w:val="16"/>
              </w:rPr>
            </w:pPr>
            <w:r w:rsidRPr="00047D38">
              <w:rPr>
                <w:sz w:val="16"/>
              </w:rPr>
              <w:t>Stavruk</w:t>
            </w:r>
            <w:r w:rsidRPr="00047D38">
              <w:rPr>
                <w:sz w:val="16"/>
              </w:rPr>
              <w:t xml:space="preserve"> Nataliya </w:t>
            </w:r>
            <w:r w:rsidRPr="00047D38">
              <w:rPr>
                <w:sz w:val="16"/>
              </w:rPr>
              <w:t>Zinoviyivna</w:t>
            </w:r>
          </w:p>
          <w:p w:rsidRPr="00047D38" w:rsidR="006B7BFC" w:rsidP="00047D38" w14:paraId="03C5C978" w14:textId="77777777">
            <w:pPr>
              <w:jc w:val="center"/>
              <w:rPr>
                <w:sz w:val="16"/>
              </w:rPr>
            </w:pPr>
            <w:r w:rsidRPr="00047D38">
              <w:rPr>
                <w:sz w:val="16"/>
              </w:rPr>
              <w:t>Lviv</w:t>
            </w:r>
          </w:p>
        </w:tc>
        <w:tc>
          <w:tcPr>
            <w:tcW w:w="5964" w:type="dxa"/>
          </w:tcPr>
          <w:p w:rsidRPr="00047D38" w:rsidR="006B7BFC" w:rsidP="00047D38" w14:paraId="55CEC514" w14:textId="0DBF1E18">
            <w:pPr>
              <w:jc w:val="center"/>
              <w:rPr>
                <w:sz w:val="16"/>
              </w:rPr>
            </w:pPr>
            <w:r w:rsidRPr="00047D38">
              <w:rPr>
                <w:sz w:val="16"/>
              </w:rPr>
              <w:t>On 12/08/2018 the applicant</w:t>
            </w:r>
            <w:r w:rsidRPr="00047D38" w:rsidR="00047D38">
              <w:rPr>
                <w:sz w:val="16"/>
              </w:rPr>
              <w:t>’</w:t>
            </w:r>
            <w:r w:rsidRPr="00047D38">
              <w:rPr>
                <w:sz w:val="16"/>
              </w:rPr>
              <w:t>s husband rode a motorcycle, having collided with a car driven by V. The applicant</w:t>
            </w:r>
            <w:r w:rsidRPr="00047D38" w:rsidR="00047D38">
              <w:rPr>
                <w:sz w:val="16"/>
              </w:rPr>
              <w:t>’</w:t>
            </w:r>
            <w:r w:rsidRPr="00047D38">
              <w:rPr>
                <w:sz w:val="16"/>
              </w:rPr>
              <w:t>s husband sustained severe injuries. A criminal case was opened. On 25/08/2018 the applicant</w:t>
            </w:r>
            <w:r w:rsidRPr="00047D38" w:rsidR="00047D38">
              <w:rPr>
                <w:sz w:val="16"/>
              </w:rPr>
              <w:t>’</w:t>
            </w:r>
            <w:r w:rsidRPr="00047D38">
              <w:rPr>
                <w:sz w:val="16"/>
              </w:rPr>
              <w:t>s husband died in the hospital.</w:t>
            </w:r>
          </w:p>
          <w:p w:rsidRPr="00047D38" w:rsidR="006B7BFC" w:rsidP="00047D38" w14:paraId="786B81D8" w14:textId="77777777">
            <w:pPr>
              <w:jc w:val="center"/>
              <w:rPr>
                <w:sz w:val="16"/>
              </w:rPr>
            </w:pPr>
            <w:r w:rsidRPr="00047D38">
              <w:rPr>
                <w:sz w:val="16"/>
              </w:rPr>
              <w:t>Despite multiple requests to the investigators, the applicant was only granted victim status in the criminal proceedings on 14/11/2018. Investigators carried out several investigative actions and questioned witnesses. On 26/12/2018 the case was closed due to a lack of evidence of a criminal offense. Expert conclusions stated that V. had no technical possibility to avoid the collision.</w:t>
            </w:r>
          </w:p>
          <w:p w:rsidRPr="00047D38" w:rsidR="006B7BFC" w:rsidP="00047D38" w14:paraId="4F613A79" w14:textId="21A89022">
            <w:pPr>
              <w:jc w:val="center"/>
              <w:rPr>
                <w:sz w:val="16"/>
              </w:rPr>
            </w:pPr>
            <w:r w:rsidRPr="00047D38">
              <w:rPr>
                <w:sz w:val="16"/>
              </w:rPr>
              <w:t xml:space="preserve">However, on </w:t>
            </w:r>
            <w:r w:rsidRPr="00047D38" w:rsidR="00323039">
              <w:rPr>
                <w:sz w:val="16"/>
              </w:rPr>
              <w:t>21</w:t>
            </w:r>
            <w:r w:rsidRPr="00047D38">
              <w:rPr>
                <w:sz w:val="16"/>
              </w:rPr>
              <w:t>/01/2019 the investigative judge overturned the decision to close the case, doubting the thoroughness and completeness of the investigation. Following the reopening, a crime scene reconstruction was carried out with the participation of the applicant, along with forensic metallurgical and engineering examinations of the motorcycle.</w:t>
            </w:r>
          </w:p>
          <w:p w:rsidRPr="00047D38" w:rsidR="006B7BFC" w:rsidP="00047D38" w14:paraId="600D094C" w14:textId="201809E0">
            <w:pPr>
              <w:jc w:val="center"/>
              <w:rPr>
                <w:sz w:val="16"/>
              </w:rPr>
            </w:pPr>
            <w:r w:rsidRPr="00047D38">
              <w:rPr>
                <w:sz w:val="16"/>
              </w:rPr>
              <w:t>On 31/03/2021 the case was closed again due to the absence of a criminal offense. On 11/05/2021 the investigative judge annulled that decision, deeming it premature and highlighting the investigators</w:t>
            </w:r>
            <w:r w:rsidRPr="00047D38" w:rsidR="00047D38">
              <w:rPr>
                <w:sz w:val="16"/>
              </w:rPr>
              <w:t>’</w:t>
            </w:r>
            <w:r w:rsidRPr="00047D38">
              <w:rPr>
                <w:sz w:val="16"/>
              </w:rPr>
              <w:t xml:space="preserve"> failure to exhaust all means of verifying key circumstances and to adequately address the arguments raised by the applicant.</w:t>
            </w:r>
          </w:p>
          <w:p w:rsidRPr="00047D38" w:rsidR="006B7BFC" w:rsidP="00047D38" w14:paraId="6F2AA48A" w14:textId="66472AF4">
            <w:pPr>
              <w:jc w:val="center"/>
              <w:rPr>
                <w:sz w:val="16"/>
              </w:rPr>
            </w:pPr>
            <w:r w:rsidRPr="00047D38">
              <w:rPr>
                <w:sz w:val="16"/>
              </w:rPr>
              <w:t>It remains unclear whether any further investigative actions were taken, aside from the appointment of a road traffic technical examination in 2022. On 24/06/2024 the expert report concluded that the traffic organisation at the intersection where the accident occurred did not comply with regulatory standards. On 29/08/2024 the investigat</w:t>
            </w:r>
            <w:r w:rsidRPr="00047D38" w:rsidR="00323039">
              <w:rPr>
                <w:sz w:val="16"/>
              </w:rPr>
              <w:t>or</w:t>
            </w:r>
            <w:r w:rsidRPr="00047D38">
              <w:rPr>
                <w:sz w:val="16"/>
              </w:rPr>
              <w:t xml:space="preserve"> closed the case, finding no traffic violations by V. directly linked to the accident.</w:t>
            </w:r>
          </w:p>
          <w:p w:rsidRPr="00047D38" w:rsidR="006B7BFC" w:rsidP="00047D38" w14:paraId="51F72C9B" w14:textId="77777777">
            <w:pPr>
              <w:jc w:val="center"/>
              <w:rPr>
                <w:sz w:val="16"/>
              </w:rPr>
            </w:pPr>
            <w:r w:rsidRPr="00047D38">
              <w:rPr>
                <w:sz w:val="16"/>
              </w:rPr>
              <w:t>On 14/10/2024 the appellate court upheld the first-instance decision and dismissed the appeal lodged by the applicant against the closure of the criminal case.</w:t>
            </w:r>
          </w:p>
        </w:tc>
        <w:tc>
          <w:tcPr>
            <w:tcW w:w="2399" w:type="dxa"/>
          </w:tcPr>
          <w:p w:rsidRPr="00047D38" w:rsidR="006B7BFC" w:rsidP="00047D38" w14:paraId="6BD4F941" w14:textId="0D968ABE">
            <w:pPr>
              <w:jc w:val="center"/>
              <w:rPr>
                <w:sz w:val="16"/>
              </w:rPr>
            </w:pPr>
            <w:r w:rsidRPr="00047D38">
              <w:rPr>
                <w:sz w:val="16"/>
              </w:rPr>
              <w:t>Investigation criticised by the national authorities themselves for lack of efficiency (</w:t>
            </w:r>
            <w:r w:rsidRPr="00047D38">
              <w:rPr>
                <w:i/>
                <w:iCs/>
                <w:sz w:val="16"/>
              </w:rPr>
              <w:t>Prynda</w:t>
            </w:r>
            <w:r w:rsidRPr="00047D38">
              <w:rPr>
                <w:i/>
                <w:iCs/>
                <w:sz w:val="16"/>
              </w:rPr>
              <w:t xml:space="preserve"> v. Ukraine</w:t>
            </w:r>
            <w:r w:rsidRPr="00047D38">
              <w:rPr>
                <w:sz w:val="16"/>
              </w:rPr>
              <w:t xml:space="preserve">, no. 10904/05, § 56, 31 July 2012; </w:t>
            </w:r>
            <w:r w:rsidRPr="00047D38">
              <w:rPr>
                <w:i/>
                <w:iCs/>
                <w:sz w:val="16"/>
              </w:rPr>
              <w:t>Pozhyvotko</w:t>
            </w:r>
            <w:r w:rsidRPr="00047D38">
              <w:rPr>
                <w:i/>
                <w:iCs/>
                <w:sz w:val="16"/>
              </w:rPr>
              <w:t xml:space="preserve"> v. Ukraine</w:t>
            </w:r>
            <w:r w:rsidRPr="00047D38">
              <w:rPr>
                <w:sz w:val="16"/>
              </w:rPr>
              <w:t>, no. 42752/08, § 40, 17 October 2013),</w:t>
            </w:r>
          </w:p>
          <w:p w:rsidRPr="00047D38" w:rsidR="006B7BFC" w:rsidP="00047D38" w14:paraId="7D5A0BF9" w14:textId="5CB6CCA0">
            <w:pPr>
              <w:jc w:val="center"/>
              <w:rPr>
                <w:sz w:val="16"/>
              </w:rPr>
            </w:pPr>
          </w:p>
          <w:p w:rsidRPr="00047D38" w:rsidR="006B7BFC" w:rsidP="00047D38" w14:paraId="7B929B65" w14:textId="03642D2E">
            <w:pPr>
              <w:jc w:val="center"/>
              <w:rPr>
                <w:sz w:val="16"/>
              </w:rPr>
            </w:pPr>
            <w:r w:rsidRPr="00047D38">
              <w:rPr>
                <w:sz w:val="16"/>
              </w:rPr>
              <w:t>lack of thoroughness and promptness which undermined the authorities</w:t>
            </w:r>
            <w:r w:rsidRPr="00047D38" w:rsidR="00047D38">
              <w:rPr>
                <w:sz w:val="16"/>
              </w:rPr>
              <w:t>’</w:t>
            </w:r>
            <w:r w:rsidRPr="00047D38">
              <w:rPr>
                <w:sz w:val="16"/>
              </w:rPr>
              <w:t xml:space="preserve"> ability to establish the circumstances of the case (</w:t>
            </w:r>
            <w:r w:rsidRPr="00047D38">
              <w:rPr>
                <w:i/>
                <w:iCs/>
                <w:sz w:val="16"/>
              </w:rPr>
              <w:t>Igor Shevchenko v. Ukraine</w:t>
            </w:r>
            <w:r w:rsidRPr="00047D38">
              <w:rPr>
                <w:sz w:val="16"/>
              </w:rPr>
              <w:t xml:space="preserve">, no. 22737/04, § 60, 12 January 2012; </w:t>
            </w:r>
            <w:r w:rsidRPr="00047D38">
              <w:rPr>
                <w:i/>
                <w:iCs/>
                <w:sz w:val="16"/>
              </w:rPr>
              <w:t>Zubkova v. Ukraine</w:t>
            </w:r>
            <w:r w:rsidRPr="00047D38">
              <w:rPr>
                <w:sz w:val="16"/>
              </w:rPr>
              <w:t>, no. 36660/08, § 40, 17 October 2013),</w:t>
            </w:r>
          </w:p>
          <w:p w:rsidRPr="00047D38" w:rsidR="006B7BFC" w:rsidP="00047D38" w14:paraId="0DBA682E" w14:textId="646B185D">
            <w:pPr>
              <w:jc w:val="center"/>
              <w:rPr>
                <w:sz w:val="16"/>
              </w:rPr>
            </w:pPr>
          </w:p>
          <w:p w:rsidRPr="00047D38" w:rsidR="006B7BFC" w:rsidP="00047D38" w14:paraId="0A8DBE0A" w14:textId="77777777">
            <w:pPr>
              <w:jc w:val="center"/>
              <w:rPr>
                <w:sz w:val="16"/>
              </w:rPr>
            </w:pPr>
            <w:r w:rsidRPr="00047D38">
              <w:rPr>
                <w:sz w:val="16"/>
              </w:rPr>
              <w:t>repeated remittals of the case for additional investigation owing to the insufficiency of the measures taken by the investigators (</w:t>
            </w:r>
            <w:r w:rsidRPr="00047D38">
              <w:rPr>
                <w:i/>
                <w:iCs/>
                <w:sz w:val="16"/>
              </w:rPr>
              <w:t>Antonov v. Ukraine</w:t>
            </w:r>
            <w:r w:rsidRPr="00047D38">
              <w:rPr>
                <w:sz w:val="16"/>
              </w:rPr>
              <w:t>, no. 28096/04, § 50, 3 November 2011),</w:t>
            </w:r>
          </w:p>
          <w:p w:rsidRPr="00047D38" w:rsidR="006B7BFC" w:rsidP="00047D38" w14:paraId="5AB779A6" w14:textId="42607C4F">
            <w:pPr>
              <w:jc w:val="center"/>
              <w:rPr>
                <w:sz w:val="16"/>
              </w:rPr>
            </w:pPr>
          </w:p>
          <w:p w:rsidRPr="00047D38" w:rsidR="006B7BFC" w:rsidP="00047D38" w14:paraId="4BC2CD6A" w14:textId="0A7D5D4E">
            <w:pPr>
              <w:jc w:val="center"/>
              <w:rPr>
                <w:sz w:val="16"/>
              </w:rPr>
            </w:pPr>
            <w:r w:rsidRPr="00047D38">
              <w:rPr>
                <w:sz w:val="16"/>
              </w:rPr>
              <w:t>applicant</w:t>
            </w:r>
            <w:r w:rsidRPr="00047D38" w:rsidR="00047D38">
              <w:rPr>
                <w:sz w:val="16"/>
              </w:rPr>
              <w:t>’</w:t>
            </w:r>
            <w:r w:rsidRPr="00047D38">
              <w:rPr>
                <w:sz w:val="16"/>
              </w:rPr>
              <w:t>s rights as a victim were not properly safeguarded (</w:t>
            </w:r>
            <w:r w:rsidRPr="00047D38">
              <w:rPr>
                <w:i/>
                <w:iCs/>
                <w:sz w:val="16"/>
              </w:rPr>
              <w:t>Sergey Shevchenko v. Ukraine</w:t>
            </w:r>
            <w:r w:rsidRPr="00047D38">
              <w:rPr>
                <w:sz w:val="16"/>
              </w:rPr>
              <w:t xml:space="preserve">, no. 32478/02, § 74, 4 April 2006; </w:t>
            </w:r>
            <w:r w:rsidRPr="00047D38">
              <w:rPr>
                <w:i/>
                <w:iCs/>
                <w:sz w:val="16"/>
              </w:rPr>
              <w:t>Masneva</w:t>
            </w:r>
            <w:r w:rsidRPr="00047D38">
              <w:rPr>
                <w:i/>
                <w:iCs/>
                <w:sz w:val="16"/>
              </w:rPr>
              <w:t xml:space="preserve"> v. Ukraine</w:t>
            </w:r>
            <w:r w:rsidRPr="00047D38">
              <w:rPr>
                <w:sz w:val="16"/>
              </w:rPr>
              <w:t xml:space="preserve">, no. 5952/07, § 56, 20 December 2011; </w:t>
            </w:r>
            <w:r w:rsidRPr="00047D38">
              <w:rPr>
                <w:i/>
                <w:iCs/>
                <w:sz w:val="16"/>
              </w:rPr>
              <w:t>Prynda</w:t>
            </w:r>
            <w:r w:rsidRPr="00047D38">
              <w:rPr>
                <w:i/>
                <w:iCs/>
                <w:sz w:val="16"/>
              </w:rPr>
              <w:t xml:space="preserve"> v. Ukraine</w:t>
            </w:r>
            <w:r w:rsidRPr="00047D38">
              <w:rPr>
                <w:sz w:val="16"/>
              </w:rPr>
              <w:t>, no. 10904/05, § 56, 31 July 2012)</w:t>
            </w:r>
          </w:p>
        </w:tc>
        <w:tc>
          <w:tcPr>
            <w:tcW w:w="992" w:type="dxa"/>
          </w:tcPr>
          <w:p w:rsidRPr="00047D38" w:rsidR="006B7BFC" w:rsidP="00047D38" w14:paraId="0B4F3BDE" w14:textId="77777777">
            <w:pPr>
              <w:jc w:val="center"/>
              <w:rPr>
                <w:sz w:val="16"/>
              </w:rPr>
            </w:pPr>
            <w:r w:rsidRPr="00047D38">
              <w:rPr>
                <w:sz w:val="16"/>
              </w:rPr>
              <w:t>6,000</w:t>
            </w:r>
          </w:p>
        </w:tc>
        <w:tc>
          <w:tcPr>
            <w:tcW w:w="998" w:type="dxa"/>
          </w:tcPr>
          <w:p w:rsidRPr="00047D38" w:rsidR="006B7BFC" w:rsidP="00047D38" w14:paraId="79B87DC0" w14:textId="77777777">
            <w:pPr>
              <w:jc w:val="center"/>
              <w:rPr>
                <w:sz w:val="16"/>
              </w:rPr>
            </w:pPr>
            <w:r w:rsidRPr="00047D38">
              <w:rPr>
                <w:sz w:val="16"/>
              </w:rPr>
              <w:t>250</w:t>
            </w:r>
          </w:p>
        </w:tc>
      </w:tr>
      <w:tr w:rsidTr="006B7BFC" w14:paraId="355F2435" w14:textId="77777777">
        <w:tblPrEx>
          <w:tblW w:w="14743" w:type="dxa"/>
          <w:tblLook w:val="0420"/>
        </w:tblPrEx>
        <w:tc>
          <w:tcPr>
            <w:tcW w:w="452" w:type="dxa"/>
          </w:tcPr>
          <w:p w:rsidRPr="00047D38" w:rsidR="006B7BFC" w:rsidP="00047D38" w14:paraId="28B9C905" w14:textId="77777777">
            <w:pPr>
              <w:pStyle w:val="ListParagraph"/>
              <w:numPr>
                <w:ilvl w:val="0"/>
                <w:numId w:val="21"/>
              </w:numPr>
              <w:tabs>
                <w:tab w:val="num" w:pos="283"/>
              </w:tabs>
              <w:ind w:left="0" w:firstLine="0"/>
              <w:jc w:val="center"/>
              <w:rPr>
                <w:rFonts w:eastAsiaTheme="minorEastAsia"/>
                <w:sz w:val="16"/>
              </w:rPr>
            </w:pPr>
          </w:p>
        </w:tc>
        <w:tc>
          <w:tcPr>
            <w:tcW w:w="1244" w:type="dxa"/>
          </w:tcPr>
          <w:p w:rsidRPr="00047D38" w:rsidR="006B7BFC" w:rsidP="00047D38" w14:paraId="7A6181CE" w14:textId="77777777">
            <w:pPr>
              <w:jc w:val="center"/>
              <w:rPr>
                <w:sz w:val="16"/>
              </w:rPr>
            </w:pPr>
            <w:r w:rsidRPr="00047D38">
              <w:rPr>
                <w:sz w:val="16"/>
              </w:rPr>
              <w:t>7881/25</w:t>
            </w:r>
          </w:p>
          <w:p w:rsidRPr="00047D38" w:rsidR="006B7BFC" w:rsidP="00047D38" w14:paraId="09BDB67F" w14:textId="77777777">
            <w:pPr>
              <w:jc w:val="center"/>
              <w:rPr>
                <w:sz w:val="16"/>
              </w:rPr>
            </w:pPr>
            <w:r w:rsidRPr="00047D38">
              <w:rPr>
                <w:sz w:val="16"/>
              </w:rPr>
              <w:t>23/02/2025</w:t>
            </w:r>
          </w:p>
        </w:tc>
        <w:tc>
          <w:tcPr>
            <w:tcW w:w="1418" w:type="dxa"/>
          </w:tcPr>
          <w:p w:rsidRPr="00047D38" w:rsidR="006B7BFC" w:rsidP="00047D38" w14:paraId="4E0EE6F3" w14:textId="77777777">
            <w:pPr>
              <w:jc w:val="center"/>
              <w:rPr>
                <w:sz w:val="16"/>
              </w:rPr>
            </w:pPr>
            <w:r w:rsidRPr="00047D38">
              <w:rPr>
                <w:b/>
                <w:sz w:val="16"/>
              </w:rPr>
              <w:t>Mykhaylo Ivanovych GONCHAR</w:t>
            </w:r>
          </w:p>
          <w:p w:rsidRPr="00047D38" w:rsidR="006B7BFC" w:rsidP="00047D38" w14:paraId="303EF2AF" w14:textId="33D4A913">
            <w:pPr>
              <w:jc w:val="center"/>
              <w:rPr>
                <w:sz w:val="16"/>
              </w:rPr>
            </w:pPr>
            <w:r w:rsidRPr="00047D38">
              <w:rPr>
                <w:sz w:val="16"/>
              </w:rPr>
              <w:t>1950</w:t>
            </w:r>
          </w:p>
        </w:tc>
        <w:tc>
          <w:tcPr>
            <w:tcW w:w="1276" w:type="dxa"/>
          </w:tcPr>
          <w:p w:rsidRPr="00047D38" w:rsidR="002F3B96" w:rsidP="00047D38" w14:paraId="004E8CCA" w14:textId="77777777">
            <w:pPr>
              <w:jc w:val="center"/>
              <w:rPr>
                <w:sz w:val="16"/>
              </w:rPr>
            </w:pPr>
            <w:r w:rsidRPr="00047D38">
              <w:rPr>
                <w:sz w:val="16"/>
              </w:rPr>
              <w:t>Sobyna</w:t>
            </w:r>
          </w:p>
          <w:p w:rsidRPr="00047D38" w:rsidR="006B7BFC" w:rsidP="00047D38" w14:paraId="79F0E7C1" w14:textId="6A0FEEF1">
            <w:pPr>
              <w:jc w:val="center"/>
              <w:rPr>
                <w:sz w:val="16"/>
              </w:rPr>
            </w:pPr>
            <w:r w:rsidRPr="00047D38">
              <w:rPr>
                <w:sz w:val="16"/>
              </w:rPr>
              <w:t>Pavlo Mykolayovych</w:t>
            </w:r>
          </w:p>
          <w:p w:rsidRPr="00047D38" w:rsidR="006B7BFC" w:rsidP="00047D38" w14:paraId="29F7E28E" w14:textId="77777777">
            <w:pPr>
              <w:jc w:val="center"/>
              <w:rPr>
                <w:sz w:val="16"/>
              </w:rPr>
            </w:pPr>
            <w:r w:rsidRPr="00047D38">
              <w:rPr>
                <w:sz w:val="16"/>
              </w:rPr>
              <w:t>Okhtyrka</w:t>
            </w:r>
          </w:p>
        </w:tc>
        <w:tc>
          <w:tcPr>
            <w:tcW w:w="5964" w:type="dxa"/>
          </w:tcPr>
          <w:p w:rsidRPr="00047D38" w:rsidR="006B7BFC" w:rsidP="00047D38" w14:paraId="25BB3CC7" w14:textId="77777777">
            <w:pPr>
              <w:jc w:val="center"/>
              <w:rPr>
                <w:sz w:val="16"/>
              </w:rPr>
            </w:pPr>
            <w:r w:rsidRPr="00047D38">
              <w:rPr>
                <w:sz w:val="16"/>
              </w:rPr>
              <w:t xml:space="preserve">On 29/07/2019 the applicant, while riding a scooter, was cut off by a car driven by P. The applicant fell and received injuries classified as moderate by a forensic medical expert. Criminal proceedings were initiated on the following day. On 19/03/2020 P. was served with a notice of </w:t>
            </w:r>
            <w:r w:rsidRPr="00047D38">
              <w:rPr>
                <w:sz w:val="16"/>
              </w:rPr>
              <w:t>suspicion</w:t>
            </w:r>
            <w:r w:rsidRPr="00047D38">
              <w:rPr>
                <w:sz w:val="16"/>
              </w:rPr>
              <w:t xml:space="preserve"> and the two-month period of pre-trial investigation began. An indictment was issued on 17/06/2020 and was sent to a trial court on 22/06/2020. On 24/06/2020 the applicant lodged a civil claim within the criminal proceedings.</w:t>
            </w:r>
          </w:p>
          <w:p w:rsidRPr="00047D38" w:rsidR="006B7BFC" w:rsidP="00047D38" w14:paraId="1B1753F2" w14:textId="77777777">
            <w:pPr>
              <w:jc w:val="center"/>
              <w:rPr>
                <w:sz w:val="16"/>
              </w:rPr>
            </w:pPr>
            <w:r w:rsidRPr="00047D38">
              <w:rPr>
                <w:sz w:val="16"/>
              </w:rPr>
              <w:t>On 15/09/2021 the local court convicted P. of violation of the traffic rules and sentenced him to two years of community service. On 20/10/2025 the Sumy Court of Appeal quashed the verdict and terminated criminal proceedings. The appellate court held that pursuant to mandatory legal provisions the criminal proceedings had to be terminated because the two-month pre-trial investigation time-limit had expired and had never been extended by the investigating authorities, while the bill of indictment was submitted to the trial court after the expiry of that period.</w:t>
            </w:r>
          </w:p>
        </w:tc>
        <w:tc>
          <w:tcPr>
            <w:tcW w:w="2399" w:type="dxa"/>
          </w:tcPr>
          <w:p w:rsidRPr="00047D38" w:rsidR="006B7BFC" w:rsidP="00047D38" w14:paraId="68FC207C" w14:textId="7823633E">
            <w:pPr>
              <w:jc w:val="center"/>
              <w:rPr>
                <w:sz w:val="16"/>
              </w:rPr>
            </w:pPr>
            <w:r w:rsidRPr="00047D38">
              <w:rPr>
                <w:sz w:val="16"/>
              </w:rPr>
              <w:t>Investigation criticised by the national authorities themselves for lack of efficiency (</w:t>
            </w:r>
            <w:r w:rsidRPr="00047D38">
              <w:rPr>
                <w:i/>
                <w:iCs/>
                <w:sz w:val="16"/>
              </w:rPr>
              <w:t>Prynda</w:t>
            </w:r>
            <w:r w:rsidRPr="00047D38">
              <w:rPr>
                <w:i/>
                <w:iCs/>
                <w:sz w:val="16"/>
              </w:rPr>
              <w:t xml:space="preserve"> v. Ukraine</w:t>
            </w:r>
            <w:r w:rsidRPr="00047D38">
              <w:rPr>
                <w:sz w:val="16"/>
              </w:rPr>
              <w:t xml:space="preserve">, no. 10904/05, § 56, 31 July 2012; </w:t>
            </w:r>
            <w:r w:rsidRPr="00047D38">
              <w:rPr>
                <w:i/>
                <w:iCs/>
                <w:sz w:val="16"/>
              </w:rPr>
              <w:t>Pozhyvotko</w:t>
            </w:r>
            <w:r w:rsidRPr="00047D38">
              <w:rPr>
                <w:i/>
                <w:iCs/>
                <w:sz w:val="16"/>
              </w:rPr>
              <w:t xml:space="preserve"> v. Ukraine</w:t>
            </w:r>
            <w:r w:rsidRPr="00047D38">
              <w:rPr>
                <w:sz w:val="16"/>
              </w:rPr>
              <w:t>, no. 42752/08</w:t>
            </w:r>
          </w:p>
        </w:tc>
        <w:tc>
          <w:tcPr>
            <w:tcW w:w="992" w:type="dxa"/>
          </w:tcPr>
          <w:p w:rsidRPr="00047D38" w:rsidR="006B7BFC" w:rsidP="00047D38" w14:paraId="2B773061" w14:textId="77777777">
            <w:pPr>
              <w:jc w:val="center"/>
              <w:rPr>
                <w:sz w:val="16"/>
              </w:rPr>
            </w:pPr>
            <w:r w:rsidRPr="00047D38">
              <w:rPr>
                <w:sz w:val="16"/>
              </w:rPr>
              <w:t>6,000</w:t>
            </w:r>
          </w:p>
        </w:tc>
        <w:tc>
          <w:tcPr>
            <w:tcW w:w="998" w:type="dxa"/>
          </w:tcPr>
          <w:p w:rsidRPr="00047D38" w:rsidR="006B7BFC" w:rsidP="00047D38" w14:paraId="1687D255" w14:textId="77777777">
            <w:pPr>
              <w:jc w:val="center"/>
              <w:rPr>
                <w:sz w:val="16"/>
              </w:rPr>
            </w:pPr>
            <w:r w:rsidRPr="00047D38">
              <w:rPr>
                <w:sz w:val="16"/>
              </w:rPr>
              <w:t>250</w:t>
            </w:r>
          </w:p>
        </w:tc>
      </w:tr>
    </w:tbl>
    <w:p w:rsidRPr="00047D38" w:rsidR="00606600" w:rsidP="00047D38" w14:paraId="2E4BE55B"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704659" w:rsidRPr="005E62B9" w14:paraId="50291411" w14:textId="77777777">
      <w:r w:rsidRPr="005E62B9">
        <w:separator/>
      </w:r>
    </w:p>
  </w:endnote>
  <w:endnote w:type="continuationSeparator" w:id="1">
    <w:p w:rsidR="00704659" w:rsidRPr="005E62B9" w14:paraId="6C6043FF" w14:textId="77777777">
      <w:r w:rsidRPr="005E62B9">
        <w:continuationSeparator/>
      </w:r>
    </w:p>
  </w:endnote>
  <w:endnote w:id="2">
    <w:p w:rsidR="006B7BFC" w:rsidRPr="00A52764" w:rsidP="00704659" w14:paraId="1DFCDB59" w14:textId="77777777">
      <w:pPr>
        <w:pStyle w:val="EndnoteText"/>
        <w:rPr>
          <w:sz w:val="16"/>
          <w:szCs w:val="16"/>
        </w:rPr>
      </w:pPr>
      <w:r w:rsidRPr="00CD4C97">
        <w:rPr>
          <w:rStyle w:val="EndnoteReference"/>
        </w:rPr>
        <w:endnoteRef/>
      </w:r>
      <w:r w:rsidRPr="00CD4C97">
        <w:t xml:space="preserve"> </w:t>
      </w:r>
      <w:r w:rsidRPr="00A52764">
        <w:rPr>
          <w:sz w:val="16"/>
          <w:szCs w:val="16"/>
        </w:rPr>
        <w:t>Plus any tax that may be chargeable to the applicants.</w:t>
      </w:r>
    </w:p>
  </w:endnote>
  <w:endnote w:id="3">
    <w:p w:rsidR="006B7BFC" w:rsidRPr="00CD4C97" w:rsidP="00704659" w14:paraId="0877B3DC" w14:textId="77777777">
      <w:pPr>
        <w:pStyle w:val="EndnoteText"/>
      </w:pPr>
      <w:r w:rsidRPr="00A52764">
        <w:rPr>
          <w:rStyle w:val="EndnoteReference"/>
          <w:sz w:val="16"/>
          <w:szCs w:val="16"/>
        </w:rPr>
        <w:endnoteRef/>
      </w:r>
      <w:r w:rsidRPr="00A52764">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437E00A6" w14:textId="06F02F91">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175377F7" w14:textId="4C539C84">
    <w:pPr>
      <w:pStyle w:val="JuHeader"/>
    </w:pPr>
    <w:r>
      <w:fldChar w:fldCharType="begin"/>
    </w:r>
    <w:r>
      <w:instrText xml:space="preserve"> PAGE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20718E" w14:paraId="797FD69E"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385966A8"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A45145" w14:paraId="3BDA4E3C"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40F81F2D" w14:textId="77777777">
    <w:pPr>
      <w:jc w:val="center"/>
      <w:rPr>
        <w:sz w:val="4"/>
        <w:szCs w:val="4"/>
      </w:rPr>
    </w:pPr>
  </w:p>
  <w:p w:rsidR="00606600" w:rsidRPr="005E62B9" w14:paraId="09D0D0DA"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04659" w:rsidRPr="00A45145" w:rsidP="00A45145" w14:paraId="11819B8E" w14:textId="59D1C514">
    <w:pPr>
      <w:jc w:val="center"/>
    </w:pPr>
    <w:r>
      <w:rPr>
        <w:noProof/>
        <w:lang w:val="en-US"/>
      </w:rPr>
      <w:drawing>
        <wp:inline distT="0" distB="0" distL="0" distR="0">
          <wp:extent cx="2962275" cy="1219200"/>
          <wp:effectExtent l="0" t="0" r="9525" b="0"/>
          <wp:docPr id="685041969" name="Picture 68504196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04196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6D42C107" w14:textId="03CFE6B1">
    <w:pPr>
      <w:pStyle w:val="Header0"/>
    </w:pPr>
  </w:p>
  <w:p w:rsidR="00606600" w:rsidRPr="005E62B9" w:rsidP="00B64153" w14:paraId="34F41D62"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6372F5" w14:paraId="743C4DDF" w14:textId="26B2E46F">
    <w:pPr>
      <w:pStyle w:val="JuHeader"/>
    </w:pPr>
    <w:r>
      <w:t>KYRYK AND GONCHAR 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BD554D" w14:paraId="19B4E75A" w14:textId="507D09CF">
    <w:pPr>
      <w:pStyle w:val="JuHeader"/>
    </w:pPr>
    <w:r>
      <w:t>KYRYK AND GONCHAR 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E026EC" w14:paraId="6E50CCE3" w14:textId="232D7DFA">
    <w:pPr>
      <w:pStyle w:val="JuHeader"/>
    </w:pPr>
    <w:r>
      <w:t>KYRYK AND GONCHAR 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E026EC" w14:paraId="6958A5E9" w14:textId="2977C186">
    <w:pPr>
      <w:pStyle w:val="JuHeader"/>
    </w:pPr>
    <w:r>
      <w:t>KYRYK AND GONCHAR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1896746"/>
    <w:multiLevelType w:val="hybridMultilevel"/>
    <w:tmpl w:val="53F6912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1475"/>
        </w:tabs>
        <w:ind w:left="1475"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4346712">
    <w:abstractNumId w:val="15"/>
  </w:num>
  <w:num w:numId="2" w16cid:durableId="624501454">
    <w:abstractNumId w:val="13"/>
  </w:num>
  <w:num w:numId="3" w16cid:durableId="522213196">
    <w:abstractNumId w:val="12"/>
  </w:num>
  <w:num w:numId="4" w16cid:durableId="2034069393">
    <w:abstractNumId w:val="16"/>
  </w:num>
  <w:num w:numId="5" w16cid:durableId="1303654916">
    <w:abstractNumId w:val="14"/>
  </w:num>
  <w:num w:numId="6" w16cid:durableId="299268812">
    <w:abstractNumId w:val="17"/>
  </w:num>
  <w:num w:numId="7" w16cid:durableId="2053268741">
    <w:abstractNumId w:val="16"/>
  </w:num>
  <w:num w:numId="8" w16cid:durableId="1868324233">
    <w:abstractNumId w:val="17"/>
  </w:num>
  <w:num w:numId="9" w16cid:durableId="395083387">
    <w:abstractNumId w:val="10"/>
  </w:num>
  <w:num w:numId="10" w16cid:durableId="275647440">
    <w:abstractNumId w:val="9"/>
  </w:num>
  <w:num w:numId="11" w16cid:durableId="833910525">
    <w:abstractNumId w:val="18"/>
  </w:num>
  <w:num w:numId="12" w16cid:durableId="1054424265">
    <w:abstractNumId w:val="7"/>
  </w:num>
  <w:num w:numId="13" w16cid:durableId="249850929">
    <w:abstractNumId w:val="6"/>
  </w:num>
  <w:num w:numId="14" w16cid:durableId="1223718294">
    <w:abstractNumId w:val="5"/>
  </w:num>
  <w:num w:numId="15" w16cid:durableId="627469077">
    <w:abstractNumId w:val="4"/>
  </w:num>
  <w:num w:numId="16" w16cid:durableId="1116214109">
    <w:abstractNumId w:val="8"/>
  </w:num>
  <w:num w:numId="17" w16cid:durableId="269826179">
    <w:abstractNumId w:val="3"/>
  </w:num>
  <w:num w:numId="18" w16cid:durableId="117336965">
    <w:abstractNumId w:val="2"/>
  </w:num>
  <w:num w:numId="19" w16cid:durableId="86851226">
    <w:abstractNumId w:val="1"/>
  </w:num>
  <w:num w:numId="20" w16cid:durableId="1944723019">
    <w:abstractNumId w:val="0"/>
  </w:num>
  <w:num w:numId="21" w16cid:durableId="1136341015">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659"/>
    <w:rsid w:val="00004EF2"/>
    <w:rsid w:val="000318F7"/>
    <w:rsid w:val="000447B5"/>
    <w:rsid w:val="00044AD5"/>
    <w:rsid w:val="00047D38"/>
    <w:rsid w:val="000C5149"/>
    <w:rsid w:val="00135384"/>
    <w:rsid w:val="0016534E"/>
    <w:rsid w:val="00173A91"/>
    <w:rsid w:val="00177329"/>
    <w:rsid w:val="0018684E"/>
    <w:rsid w:val="001963DD"/>
    <w:rsid w:val="001A15B6"/>
    <w:rsid w:val="001A3C4A"/>
    <w:rsid w:val="001D7CD3"/>
    <w:rsid w:val="001F3812"/>
    <w:rsid w:val="002056B7"/>
    <w:rsid w:val="0020718E"/>
    <w:rsid w:val="0023364D"/>
    <w:rsid w:val="0026179A"/>
    <w:rsid w:val="00281C49"/>
    <w:rsid w:val="0028691C"/>
    <w:rsid w:val="0029309A"/>
    <w:rsid w:val="002C5B23"/>
    <w:rsid w:val="002F3B96"/>
    <w:rsid w:val="00323039"/>
    <w:rsid w:val="00337785"/>
    <w:rsid w:val="0037589C"/>
    <w:rsid w:val="003B3ECB"/>
    <w:rsid w:val="00403FBB"/>
    <w:rsid w:val="00464A0F"/>
    <w:rsid w:val="0048584C"/>
    <w:rsid w:val="00497FF8"/>
    <w:rsid w:val="004B0B4E"/>
    <w:rsid w:val="004D042B"/>
    <w:rsid w:val="004D0EC7"/>
    <w:rsid w:val="004E15DB"/>
    <w:rsid w:val="005239BE"/>
    <w:rsid w:val="00525414"/>
    <w:rsid w:val="00555A1D"/>
    <w:rsid w:val="00573202"/>
    <w:rsid w:val="005B102C"/>
    <w:rsid w:val="005B16C1"/>
    <w:rsid w:val="005C3A15"/>
    <w:rsid w:val="005D4C81"/>
    <w:rsid w:val="005E62B9"/>
    <w:rsid w:val="005E6AD7"/>
    <w:rsid w:val="005F60F9"/>
    <w:rsid w:val="00606600"/>
    <w:rsid w:val="00611E1D"/>
    <w:rsid w:val="0062400A"/>
    <w:rsid w:val="006372F5"/>
    <w:rsid w:val="00656431"/>
    <w:rsid w:val="00680F61"/>
    <w:rsid w:val="006B7BFC"/>
    <w:rsid w:val="006C5A70"/>
    <w:rsid w:val="006D324D"/>
    <w:rsid w:val="00704659"/>
    <w:rsid w:val="00722689"/>
    <w:rsid w:val="007418B1"/>
    <w:rsid w:val="00743B2A"/>
    <w:rsid w:val="007A72B4"/>
    <w:rsid w:val="007B7348"/>
    <w:rsid w:val="007C674A"/>
    <w:rsid w:val="007D4F48"/>
    <w:rsid w:val="007F018A"/>
    <w:rsid w:val="008522DD"/>
    <w:rsid w:val="00860732"/>
    <w:rsid w:val="008A0E2E"/>
    <w:rsid w:val="008D51B6"/>
    <w:rsid w:val="008E0FB9"/>
    <w:rsid w:val="009522DD"/>
    <w:rsid w:val="00984368"/>
    <w:rsid w:val="00993A05"/>
    <w:rsid w:val="009F1914"/>
    <w:rsid w:val="00A329E0"/>
    <w:rsid w:val="00A34A54"/>
    <w:rsid w:val="00A44415"/>
    <w:rsid w:val="00A45145"/>
    <w:rsid w:val="00A52764"/>
    <w:rsid w:val="00A6104A"/>
    <w:rsid w:val="00A94CA7"/>
    <w:rsid w:val="00AC03BB"/>
    <w:rsid w:val="00AF3E5A"/>
    <w:rsid w:val="00AF4730"/>
    <w:rsid w:val="00B216C1"/>
    <w:rsid w:val="00B54B18"/>
    <w:rsid w:val="00B64153"/>
    <w:rsid w:val="00B76B3C"/>
    <w:rsid w:val="00B772F5"/>
    <w:rsid w:val="00B91668"/>
    <w:rsid w:val="00BD554D"/>
    <w:rsid w:val="00BE2415"/>
    <w:rsid w:val="00C20CC3"/>
    <w:rsid w:val="00C877A3"/>
    <w:rsid w:val="00CD4C97"/>
    <w:rsid w:val="00D32130"/>
    <w:rsid w:val="00D726EF"/>
    <w:rsid w:val="00D849A9"/>
    <w:rsid w:val="00DE7D3F"/>
    <w:rsid w:val="00E026EC"/>
    <w:rsid w:val="00E12A78"/>
    <w:rsid w:val="00E45537"/>
    <w:rsid w:val="00E6230A"/>
    <w:rsid w:val="00ED7723"/>
    <w:rsid w:val="00EE5735"/>
    <w:rsid w:val="00F90F88"/>
    <w:rsid w:val="00FB16F8"/>
    <w:rsid w:val="00FD54CA"/>
    <w:rsid w:val="00FF1740"/>
  </w:rsids>
  <w:docVars>
    <w:docVar w:name="ApplicationsApp" w:val="1"/>
    <w:docVar w:name="EMM" w:val="0"/>
    <w:docVar w:name="NBEMMDOC" w:val="0"/>
    <w:docVar w:name="Plural" w:val="1"/>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26AF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link w:val="JuListChar"/>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tabs>
        <w:tab w:val="num" w:pos="680"/>
        <w:tab w:val="clear" w:pos="1475"/>
      </w:tabs>
      <w:ind w:left="680"/>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FB16F8"/>
    <w:rPr>
      <w:color w:val="605E5C"/>
      <w:shd w:val="clear" w:color="auto" w:fill="E1DFDD"/>
    </w:rPr>
  </w:style>
  <w:style w:type="character" w:customStyle="1" w:styleId="JuListChar">
    <w:name w:val="Ju_List Char"/>
    <w:basedOn w:val="DefaultParagraphFont"/>
    <w:link w:val="JuList"/>
    <w:uiPriority w:val="23"/>
    <w:locked/>
    <w:rsid w:val="00704659"/>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1621</Words>
  <Characters>8885</Characters>
  <Application>Microsoft Office Word</Application>
  <DocSecurity>0</DocSecurity>
  <Lines>261</Lines>
  <Paragraphs>106</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10400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4</cp:revision>
  <dcterms:created xsi:type="dcterms:W3CDTF">2026-04-22T13:36:00Z</dcterms:created>
  <dcterms:modified xsi:type="dcterms:W3CDTF">2026-04-23T08:58:00Z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2076495</vt:lpwstr>
  </property>
  <property fmtid="{D5CDD505-2E9C-101B-9397-08002B2CF9AE}" pid="3" name="cstLanguage">
    <vt:i4>2057</vt:i4>
  </property>
  <property fmtid="{D5CDD505-2E9C-101B-9397-08002B2CF9AE}" pid="4" name="RegisteredNo">
    <vt:lpwstr>6200/25</vt:lpwstr>
  </property>
</Properties>
</file>