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1141B" w:rsidR="008D51B6" w:rsidP="0071141B" w14:paraId="67A7391C" w14:textId="77777777">
      <w:pPr>
        <w:jc w:val="center"/>
      </w:pPr>
    </w:p>
    <w:p w:rsidRPr="0071141B" w:rsidR="000C5149" w:rsidP="0071141B" w14:paraId="1546D65E" w14:textId="77777777">
      <w:pPr>
        <w:jc w:val="center"/>
      </w:pPr>
    </w:p>
    <w:p w:rsidRPr="0071141B" w:rsidR="00606600" w:rsidP="0071141B" w14:paraId="599A9CE7" w14:textId="771B2343">
      <w:pPr>
        <w:pStyle w:val="DecHTitle"/>
      </w:pPr>
      <w:r w:rsidRPr="0071141B">
        <w:t>FIFTH SECTION</w:t>
      </w:r>
    </w:p>
    <w:p w:rsidRPr="0071141B" w:rsidR="006D324D" w:rsidP="0071141B" w14:paraId="1B823212" w14:textId="0627DA02">
      <w:pPr>
        <w:pStyle w:val="JuTitle"/>
      </w:pPr>
      <w:bookmarkStart w:name="To" w:id="0"/>
      <w:r w:rsidRPr="0071141B">
        <w:rPr>
          <w:color w:val="000000" w:themeColor="text1"/>
        </w:rPr>
        <w:t xml:space="preserve">CASE OF </w:t>
      </w:r>
      <w:bookmarkEnd w:id="0"/>
      <w:r w:rsidRPr="0071141B" w:rsidR="005022EF">
        <w:t>SINKO AND OTHERS v. UKRAINE</w:t>
      </w:r>
    </w:p>
    <w:p w:rsidRPr="0071141B" w:rsidR="005022EF" w:rsidP="0071141B" w14:paraId="64EC1851" w14:textId="2FF5EDFA">
      <w:pPr>
        <w:pStyle w:val="ECHRCoverTitle4"/>
      </w:pPr>
      <w:r w:rsidRPr="0071141B">
        <w:t>(</w:t>
      </w:r>
      <w:r w:rsidRPr="0071141B">
        <w:t xml:space="preserve">Applications nos. 1516/21 and 2 </w:t>
      </w:r>
      <w:r w:rsidRPr="0071141B" w:rsidR="00EB4222">
        <w:t>others</w:t>
      </w:r>
      <w:r w:rsidRPr="0071141B">
        <w:t xml:space="preserve"> –</w:t>
      </w:r>
    </w:p>
    <w:p w:rsidRPr="0071141B" w:rsidR="006D324D" w:rsidP="0071141B" w14:paraId="41AFDB50" w14:textId="08B7659E">
      <w:pPr>
        <w:pStyle w:val="ECHRCoverTitle4"/>
      </w:pPr>
      <w:r w:rsidRPr="0071141B">
        <w:rPr>
          <w:iCs/>
        </w:rPr>
        <w:t>see appended list</w:t>
      </w:r>
      <w:r w:rsidRPr="0071141B">
        <w:t>)</w:t>
      </w:r>
    </w:p>
    <w:p w:rsidRPr="0071141B" w:rsidR="006D324D" w:rsidP="0071141B" w14:paraId="127D551F" w14:textId="77777777">
      <w:pPr>
        <w:pStyle w:val="DecHCase"/>
      </w:pPr>
    </w:p>
    <w:p w:rsidRPr="0071141B" w:rsidR="006D324D" w:rsidP="0071141B" w14:paraId="6D373D8E" w14:textId="77777777">
      <w:pPr>
        <w:pStyle w:val="DecHCase"/>
      </w:pPr>
    </w:p>
    <w:p w:rsidRPr="0071141B" w:rsidR="00606600" w:rsidP="0071141B" w14:paraId="7B4172BC" w14:textId="77777777">
      <w:pPr>
        <w:pStyle w:val="DecHCase"/>
      </w:pPr>
    </w:p>
    <w:p w:rsidRPr="0071141B" w:rsidR="00606600" w:rsidP="0071141B" w14:paraId="18DB83C5" w14:textId="77777777">
      <w:pPr>
        <w:pStyle w:val="DecHCase"/>
      </w:pPr>
    </w:p>
    <w:p w:rsidRPr="0071141B" w:rsidR="00606600" w:rsidP="0071141B" w14:paraId="385ADE94" w14:textId="77777777">
      <w:pPr>
        <w:pStyle w:val="DecHCase"/>
      </w:pPr>
    </w:p>
    <w:p w:rsidRPr="0071141B" w:rsidR="00606600" w:rsidP="0071141B" w14:paraId="1119AE95" w14:textId="77777777">
      <w:pPr>
        <w:pStyle w:val="DecHCase"/>
      </w:pPr>
    </w:p>
    <w:p w:rsidRPr="0071141B" w:rsidR="00606600" w:rsidP="0071141B" w14:paraId="214B434D" w14:textId="77777777">
      <w:pPr>
        <w:pStyle w:val="DecHCase"/>
      </w:pPr>
      <w:r w:rsidRPr="0071141B">
        <w:t>JUDGMENT</w:t>
      </w:r>
    </w:p>
    <w:p w:rsidRPr="0071141B" w:rsidR="00606600" w:rsidP="0071141B" w14:paraId="5F61AB26" w14:textId="77777777">
      <w:pPr>
        <w:jc w:val="center"/>
        <w:rPr>
          <w:i/>
        </w:rPr>
      </w:pPr>
    </w:p>
    <w:p w:rsidRPr="0071141B" w:rsidR="00606600" w:rsidP="0071141B" w14:paraId="40EFCA44" w14:textId="77777777">
      <w:pPr>
        <w:pStyle w:val="DecHCase"/>
      </w:pPr>
      <w:r w:rsidRPr="0071141B">
        <w:t>STRASBOURG</w:t>
      </w:r>
    </w:p>
    <w:p w:rsidRPr="0071141B" w:rsidR="00606600" w:rsidP="0071141B" w14:paraId="4A2F570A" w14:textId="79CB6E7B">
      <w:pPr>
        <w:pStyle w:val="DecHCase"/>
      </w:pPr>
      <w:r w:rsidRPr="0071141B">
        <w:t>16 April 2026</w:t>
      </w:r>
    </w:p>
    <w:p w:rsidRPr="0071141B" w:rsidR="00606600" w:rsidP="0071141B" w14:paraId="29F7AE64" w14:textId="77777777">
      <w:pPr>
        <w:jc w:val="center"/>
      </w:pPr>
    </w:p>
    <w:p w:rsidRPr="0071141B" w:rsidR="00606600" w:rsidP="0071141B" w14:paraId="1DEA0820" w14:textId="77777777">
      <w:pPr>
        <w:rPr>
          <w:sz w:val="22"/>
          <w:szCs w:val="22"/>
        </w:rPr>
      </w:pPr>
      <w:r w:rsidRPr="0071141B">
        <w:rPr>
          <w:i/>
          <w:sz w:val="22"/>
          <w:szCs w:val="22"/>
        </w:rPr>
        <w:t>This judgment is final but it may be subject to editorial revision.</w:t>
      </w:r>
    </w:p>
    <w:p w:rsidRPr="0071141B" w:rsidR="00606600" w:rsidP="0071141B" w14:paraId="36466647"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71141B" w:rsidR="00606600" w:rsidP="0071141B" w14:paraId="45CE838A" w14:textId="00B26340">
      <w:pPr>
        <w:pStyle w:val="JuCase"/>
        <w:rPr>
          <w:bCs/>
        </w:rPr>
      </w:pPr>
      <w:r w:rsidRPr="0071141B">
        <w:t xml:space="preserve">In the case of </w:t>
      </w:r>
      <w:r w:rsidRPr="0071141B" w:rsidR="005022EF">
        <w:t>Sinko and others v. Ukraine</w:t>
      </w:r>
      <w:r w:rsidRPr="0071141B">
        <w:t>,</w:t>
      </w:r>
    </w:p>
    <w:p w:rsidRPr="0071141B" w:rsidR="00606600" w:rsidP="0071141B" w14:paraId="1E99257E" w14:textId="4ECB43B0">
      <w:pPr>
        <w:pStyle w:val="JuPara"/>
      </w:pPr>
      <w:r w:rsidRPr="0071141B">
        <w:t>The European Court of Human Rights (</w:t>
      </w:r>
      <w:r w:rsidRPr="0071141B" w:rsidR="005022EF">
        <w:t>Fifth Section</w:t>
      </w:r>
      <w:r w:rsidRPr="0071141B">
        <w:t>), sitting as a Committee composed of:</w:t>
      </w:r>
    </w:p>
    <w:p w:rsidRPr="0071141B" w:rsidR="002C5B23" w:rsidP="0071141B" w14:paraId="74401CE0" w14:textId="62B1E04D">
      <w:pPr>
        <w:pStyle w:val="JuJudges"/>
      </w:pPr>
      <w:r w:rsidRPr="0071141B">
        <w:tab/>
        <w:t>Andreas Zünd</w:t>
      </w:r>
      <w:r w:rsidRPr="0071141B">
        <w:rPr>
          <w:i/>
        </w:rPr>
        <w:t>, President</w:t>
      </w:r>
      <w:r w:rsidRPr="0071141B">
        <w:t>,</w:t>
      </w:r>
      <w:r w:rsidRPr="0071141B">
        <w:br/>
      </w:r>
      <w:r w:rsidRPr="0071141B">
        <w:tab/>
        <w:t>Diana Sârcu,</w:t>
      </w:r>
      <w:r w:rsidRPr="0071141B">
        <w:br/>
      </w:r>
      <w:r w:rsidRPr="0071141B">
        <w:tab/>
        <w:t>Mykola Gnatovskyy</w:t>
      </w:r>
      <w:r w:rsidRPr="0071141B">
        <w:rPr>
          <w:i/>
        </w:rPr>
        <w:t>, judges</w:t>
      </w:r>
      <w:r w:rsidRPr="0071141B">
        <w:t>,</w:t>
      </w:r>
    </w:p>
    <w:p w:rsidRPr="0071141B" w:rsidR="00606600" w:rsidP="0071141B" w14:paraId="5AA0AFDD" w14:textId="03A72D5B">
      <w:pPr>
        <w:pStyle w:val="JuJudges"/>
      </w:pPr>
      <w:r w:rsidRPr="0071141B">
        <w:t xml:space="preserve">and </w:t>
      </w:r>
      <w:r w:rsidRPr="0071141B" w:rsidR="005022EF">
        <w:t>Viktoriya</w:t>
      </w:r>
      <w:r w:rsidRPr="0071141B">
        <w:t xml:space="preserve"> </w:t>
      </w:r>
      <w:r w:rsidRPr="0071141B" w:rsidR="005022EF">
        <w:t>Maradudina</w:t>
      </w:r>
      <w:r w:rsidRPr="0071141B" w:rsidR="00555A1D">
        <w:t>,</w:t>
      </w:r>
      <w:r w:rsidRPr="0071141B">
        <w:t xml:space="preserve"> </w:t>
      </w:r>
      <w:r w:rsidRPr="0071141B">
        <w:rPr>
          <w:i/>
        </w:rPr>
        <w:t>Acting</w:t>
      </w:r>
      <w:r w:rsidRPr="0071141B">
        <w:t xml:space="preserve"> </w:t>
      </w:r>
      <w:r w:rsidRPr="0071141B">
        <w:rPr>
          <w:rFonts w:cstheme="minorHAnsi"/>
          <w:i/>
        </w:rPr>
        <w:t>Deputy Section Registrar</w:t>
      </w:r>
      <w:r w:rsidRPr="0071141B">
        <w:rPr>
          <w:i/>
        </w:rPr>
        <w:t>,</w:t>
      </w:r>
    </w:p>
    <w:p w:rsidRPr="0071141B" w:rsidR="00606600" w:rsidP="0071141B" w14:paraId="6187A01A" w14:textId="2A280E9E">
      <w:pPr>
        <w:pStyle w:val="JuPara"/>
      </w:pPr>
      <w:r w:rsidRPr="0071141B">
        <w:t xml:space="preserve">Having deliberated in private on </w:t>
      </w:r>
      <w:r w:rsidRPr="0071141B" w:rsidR="00EB4222">
        <w:t>26 March 2026</w:t>
      </w:r>
      <w:r w:rsidRPr="0071141B">
        <w:t>,</w:t>
      </w:r>
    </w:p>
    <w:p w:rsidRPr="0071141B" w:rsidR="00606600" w:rsidP="0071141B" w14:paraId="2B15F816" w14:textId="77777777">
      <w:pPr>
        <w:pStyle w:val="JuPara"/>
      </w:pPr>
      <w:r w:rsidRPr="0071141B">
        <w:t>Delivers the following judgment, which was adopted on that date:</w:t>
      </w:r>
    </w:p>
    <w:p w:rsidRPr="0071141B" w:rsidR="005022EF" w:rsidP="0071141B" w14:paraId="04DB3A63" w14:textId="77777777">
      <w:pPr>
        <w:pStyle w:val="JuHHead"/>
      </w:pPr>
      <w:bookmarkStart w:name="ITMARKStartJudgment" w:id="1"/>
      <w:bookmarkEnd w:id="1"/>
      <w:r w:rsidRPr="0071141B">
        <w:t>PROCEDURE</w:t>
      </w:r>
    </w:p>
    <w:p w:rsidRPr="0071141B" w:rsidR="005022EF" w:rsidP="0071141B" w14:paraId="695BABFF" w14:textId="7691EA13">
      <w:pPr>
        <w:pStyle w:val="JuPara"/>
        <w:rPr>
          <w:rFonts w:eastAsia="PMingLiU"/>
        </w:rPr>
      </w:pPr>
      <w:r>
        <w:fldChar w:fldCharType="begin"/>
      </w:r>
      <w:r>
        <w:instrText xml:space="preserve"> SEQ level0 \*arabic \* MERGEFORMAT </w:instrText>
      </w:r>
      <w:r>
        <w:fldChar w:fldCharType="separate"/>
      </w:r>
      <w:r w:rsidRPr="0071141B">
        <w:rPr>
          <w:noProof/>
        </w:rPr>
        <w:t>1</w:t>
      </w:r>
      <w:r w:rsidRPr="0071141B">
        <w:rPr>
          <w:noProof/>
        </w:rPr>
        <w:fldChar w:fldCharType="end"/>
      </w:r>
      <w:r w:rsidRPr="0071141B">
        <w:t xml:space="preserve">.  The case originated in applications against Ukraine lodged with the Court under Article 34 of the Convention for the Protection of Human Rights and Fundamental Freedoms (“the Convention”) on </w:t>
      </w:r>
      <w:r w:rsidRPr="0071141B">
        <w:rPr>
          <w:rFonts w:eastAsia="PMingLiU"/>
        </w:rPr>
        <w:t>the various dates indicated in the appended table.</w:t>
      </w:r>
    </w:p>
    <w:p w:rsidRPr="0071141B" w:rsidR="005022EF" w:rsidP="0071141B" w14:paraId="7CE25323" w14:textId="4DBB3744">
      <w:pPr>
        <w:pStyle w:val="JuPara"/>
      </w:pPr>
      <w:r>
        <w:fldChar w:fldCharType="begin"/>
      </w:r>
      <w:r>
        <w:instrText xml:space="preserve"> SEQ level0 \*arabic \* MERGEFORMAT </w:instrText>
      </w:r>
      <w:r>
        <w:fldChar w:fldCharType="separate"/>
      </w:r>
      <w:r w:rsidRPr="0071141B">
        <w:rPr>
          <w:noProof/>
        </w:rPr>
        <w:t>2</w:t>
      </w:r>
      <w:r w:rsidRPr="0071141B">
        <w:rPr>
          <w:noProof/>
        </w:rPr>
        <w:fldChar w:fldCharType="end"/>
      </w:r>
      <w:r w:rsidRPr="0071141B">
        <w:t>.  The Ukrainian Government (“the Government”) were given notice of the applications.</w:t>
      </w:r>
    </w:p>
    <w:p w:rsidRPr="0071141B" w:rsidR="005022EF" w:rsidP="0071141B" w14:paraId="119C6F70" w14:textId="77777777">
      <w:pPr>
        <w:pStyle w:val="JuHHead"/>
        <w:jc w:val="left"/>
      </w:pPr>
      <w:r w:rsidRPr="0071141B">
        <w:t>THE FACTS</w:t>
      </w:r>
    </w:p>
    <w:p w:rsidRPr="0071141B" w:rsidR="005022EF" w:rsidP="0071141B" w14:paraId="396BC9C5" w14:textId="3E8806DB">
      <w:pPr>
        <w:pStyle w:val="JuPara"/>
      </w:pPr>
      <w:r>
        <w:fldChar w:fldCharType="begin"/>
      </w:r>
      <w:r>
        <w:instrText xml:space="preserve"> SEQ level0 \*arabic \* MERGEFORMAT </w:instrText>
      </w:r>
      <w:r>
        <w:fldChar w:fldCharType="separate"/>
      </w:r>
      <w:r w:rsidRPr="0071141B">
        <w:rPr>
          <w:noProof/>
        </w:rPr>
        <w:t>3</w:t>
      </w:r>
      <w:r w:rsidRPr="0071141B">
        <w:rPr>
          <w:noProof/>
        </w:rPr>
        <w:fldChar w:fldCharType="end"/>
      </w:r>
      <w:r w:rsidRPr="0071141B">
        <w:t>.  </w:t>
      </w:r>
      <w:r w:rsidRPr="0071141B">
        <w:rPr>
          <w:rFonts w:eastAsia="PMingLiU"/>
        </w:rPr>
        <w:t>The list of applicant</w:t>
      </w:r>
      <w:r w:rsidRPr="0071141B">
        <w:t>s and the relevant details of the applications are set out in the appended table.</w:t>
      </w:r>
    </w:p>
    <w:p w:rsidRPr="0071141B" w:rsidR="005022EF" w:rsidP="0071141B" w14:paraId="7728593D" w14:textId="77777777">
      <w:pPr>
        <w:pStyle w:val="JuHHead"/>
        <w:jc w:val="left"/>
      </w:pPr>
      <w:r w:rsidRPr="0071141B">
        <w:t>THE LAW</w:t>
      </w:r>
    </w:p>
    <w:p w:rsidRPr="0071141B" w:rsidR="005022EF" w:rsidP="0071141B" w14:paraId="61F46EB9" w14:textId="77777777">
      <w:pPr>
        <w:pStyle w:val="JuHIRoman"/>
        <w:tabs>
          <w:tab w:val="clear" w:pos="454"/>
          <w:tab w:val="clear" w:pos="539"/>
          <w:tab w:val="clear" w:pos="624"/>
          <w:tab w:val="clear" w:pos="709"/>
          <w:tab w:val="clear" w:pos="794"/>
        </w:tabs>
        <w:ind w:left="357" w:hanging="357"/>
        <w:jc w:val="left"/>
      </w:pPr>
      <w:r w:rsidRPr="0071141B">
        <w:t>JOINDER OF THE APPLICATIONS</w:t>
      </w:r>
    </w:p>
    <w:p w:rsidRPr="0071141B" w:rsidR="005022EF" w:rsidP="0071141B" w14:paraId="794888E5" w14:textId="5CAB3ED0">
      <w:pPr>
        <w:pStyle w:val="JuPara"/>
        <w:rPr>
          <w:rFonts w:cs="Times New Roman"/>
        </w:rPr>
      </w:pPr>
      <w:r>
        <w:fldChar w:fldCharType="begin"/>
      </w:r>
      <w:r>
        <w:instrText xml:space="preserve"> SEQ level0 \*arabic \* MERGEFORMAT </w:instrText>
      </w:r>
      <w:r>
        <w:fldChar w:fldCharType="separate"/>
      </w:r>
      <w:r w:rsidRPr="0071141B">
        <w:rPr>
          <w:noProof/>
        </w:rPr>
        <w:t>4</w:t>
      </w:r>
      <w:r w:rsidRPr="0071141B">
        <w:rPr>
          <w:noProof/>
        </w:rPr>
        <w:fldChar w:fldCharType="end"/>
      </w:r>
      <w:r w:rsidRPr="0071141B">
        <w:t>.  Having regard to the similar subject matter of the applications, the Court finds it appropriate to examine them jointly in a single judgment.</w:t>
      </w:r>
    </w:p>
    <w:p w:rsidRPr="0071141B" w:rsidR="005022EF" w:rsidP="0071141B" w14:paraId="6EB8A34A" w14:textId="77777777">
      <w:pPr>
        <w:pStyle w:val="JuHIRoman"/>
        <w:tabs>
          <w:tab w:val="clear" w:pos="454"/>
          <w:tab w:val="clear" w:pos="539"/>
          <w:tab w:val="clear" w:pos="624"/>
          <w:tab w:val="clear" w:pos="709"/>
          <w:tab w:val="clear" w:pos="794"/>
        </w:tabs>
        <w:ind w:left="357" w:hanging="357"/>
        <w:rPr>
          <w:rFonts w:eastAsia="PMingLiU"/>
        </w:rPr>
      </w:pPr>
      <w:r w:rsidRPr="0071141B">
        <w:t xml:space="preserve">ALLEGED VIOLATION OF ARTICLE 2 </w:t>
      </w:r>
      <w:r w:rsidRPr="0071141B">
        <w:rPr>
          <w:rFonts w:ascii="Times New Roman" w:hAnsi="Times New Roman" w:eastAsia="PMingLiU" w:cs="Times New Roman"/>
        </w:rPr>
        <w:t>of the Convention</w:t>
      </w:r>
    </w:p>
    <w:p w:rsidRPr="0071141B" w:rsidR="005022EF" w:rsidP="0071141B" w14:paraId="3C5D2F84" w14:textId="38CBF24F">
      <w:pPr>
        <w:pStyle w:val="JuPara"/>
      </w:pPr>
      <w:r>
        <w:fldChar w:fldCharType="begin"/>
      </w:r>
      <w:r>
        <w:instrText xml:space="preserve"> SEQ level0 \*arabic \* MERGEFORMAT </w:instrText>
      </w:r>
      <w:r>
        <w:fldChar w:fldCharType="separate"/>
      </w:r>
      <w:r w:rsidRPr="0071141B">
        <w:rPr>
          <w:noProof/>
        </w:rPr>
        <w:t>5</w:t>
      </w:r>
      <w:r w:rsidRPr="0071141B">
        <w:rPr>
          <w:noProof/>
        </w:rPr>
        <w:fldChar w:fldCharType="end"/>
      </w:r>
      <w:r w:rsidRPr="0071141B">
        <w:t xml:space="preserve">.  The applicants complained </w:t>
      </w:r>
      <w:r w:rsidRPr="0071141B">
        <w:rPr>
          <w:bCs/>
        </w:rPr>
        <w:t xml:space="preserve">principally </w:t>
      </w:r>
      <w:r w:rsidRPr="0071141B">
        <w:t>of the ineffectiveness of domestic proceedings concerning the deaths of their relatives as a result of medical negligence</w:t>
      </w:r>
      <w:r w:rsidRPr="0071141B">
        <w:rPr>
          <w:bCs/>
        </w:rPr>
        <w:t>.</w:t>
      </w:r>
      <w:r w:rsidRPr="0071141B">
        <w:t xml:space="preserve"> </w:t>
      </w:r>
      <w:r w:rsidRPr="0071141B">
        <w:rPr>
          <w:rFonts w:eastAsia="PMingLiU"/>
        </w:rPr>
        <w:t>They</w:t>
      </w:r>
      <w:r w:rsidRPr="0071141B">
        <w:t xml:space="preserve"> relied, expressly or in substance, on Article 2 </w:t>
      </w:r>
      <w:r w:rsidRPr="0071141B">
        <w:rPr>
          <w:rFonts w:ascii="Times New Roman" w:hAnsi="Times New Roman" w:eastAsia="PMingLiU" w:cs="Times New Roman"/>
        </w:rPr>
        <w:t>of the Convention.</w:t>
      </w:r>
    </w:p>
    <w:p w:rsidRPr="0071141B" w:rsidR="005022EF" w:rsidP="0071141B" w14:paraId="5DF4A881" w14:textId="16DA82DD">
      <w:pPr>
        <w:pStyle w:val="JuPara"/>
      </w:pPr>
      <w:r>
        <w:fldChar w:fldCharType="begin"/>
      </w:r>
      <w:r>
        <w:instrText xml:space="preserve"> SEQ level0 \*arabic \* MERGEFORMAT </w:instrText>
      </w:r>
      <w:r>
        <w:fldChar w:fldCharType="separate"/>
      </w:r>
      <w:r w:rsidRPr="0071141B">
        <w:rPr>
          <w:noProof/>
        </w:rPr>
        <w:t>6</w:t>
      </w:r>
      <w:r w:rsidRPr="0071141B">
        <w:rPr>
          <w:noProof/>
        </w:rPr>
        <w:fldChar w:fldCharType="end"/>
      </w:r>
      <w:r w:rsidRPr="0071141B">
        <w:t>.  The Court notes at the outset that the present case falls to be examined from the perspective of the State</w:t>
      </w:r>
      <w:r w:rsidRPr="0071141B">
        <w:t>’</w:t>
      </w:r>
      <w:r w:rsidRPr="0071141B">
        <w:t>s procedural obligations under Article</w:t>
      </w:r>
      <w:r w:rsidRPr="0071141B" w:rsidR="00EB4222">
        <w:t> </w:t>
      </w:r>
      <w:r w:rsidRPr="0071141B">
        <w:t xml:space="preserve">2 of the Convention in the context of healthcare. The relevant general principles were summarised in </w:t>
      </w:r>
      <w:r w:rsidRPr="0071141B">
        <w:rPr>
          <w:i/>
          <w:iCs/>
        </w:rPr>
        <w:t>Lopes de Sousa Fernandes v. Portugal</w:t>
      </w:r>
      <w:r w:rsidRPr="0071141B">
        <w:t xml:space="preserve"> ([GC], no. 56080/13, §§ 214-21, 19 December 2017).</w:t>
      </w:r>
    </w:p>
    <w:p w:rsidRPr="0071141B" w:rsidR="005022EF" w:rsidP="0071141B" w14:paraId="0DF136A1" w14:textId="0CA383E2">
      <w:pPr>
        <w:pStyle w:val="JuPara"/>
      </w:pPr>
      <w:r>
        <w:fldChar w:fldCharType="begin"/>
      </w:r>
      <w:r>
        <w:instrText xml:space="preserve"> SEQ level0 \*arabic \* MERGEFORMAT </w:instrText>
      </w:r>
      <w:r>
        <w:fldChar w:fldCharType="separate"/>
      </w:r>
      <w:r w:rsidRPr="0071141B">
        <w:rPr>
          <w:noProof/>
        </w:rPr>
        <w:t>7</w:t>
      </w:r>
      <w:r w:rsidRPr="0071141B">
        <w:rPr>
          <w:noProof/>
        </w:rPr>
        <w:fldChar w:fldCharType="end"/>
      </w:r>
      <w:r w:rsidRPr="0071141B">
        <w:t xml:space="preserve">.  Reviewing the facts of the present case in the light of those principles, the Court considers that the domestic proceedings were marked by various </w:t>
      </w:r>
      <w:r w:rsidRPr="0071141B">
        <w:t>shortcomings which undermined the ability of the authorities to establish the circumstances surrounding the deaths of the applicants</w:t>
      </w:r>
      <w:r w:rsidRPr="0071141B">
        <w:t>’</w:t>
      </w:r>
      <w:r w:rsidRPr="0071141B">
        <w:t xml:space="preserve"> next of kin and to identify who, if anyone, was responsible. The specific shortcomings are indicated in the appended table.</w:t>
      </w:r>
    </w:p>
    <w:p w:rsidRPr="0071141B" w:rsidR="005022EF" w:rsidP="0071141B" w14:paraId="79C98930" w14:textId="1CD92CFB">
      <w:pPr>
        <w:pStyle w:val="JuPara"/>
      </w:pPr>
      <w:r>
        <w:fldChar w:fldCharType="begin"/>
      </w:r>
      <w:r>
        <w:instrText xml:space="preserve"> SEQ level0 \*arabic \* MERGEFORMAT </w:instrText>
      </w:r>
      <w:r>
        <w:fldChar w:fldCharType="separate"/>
      </w:r>
      <w:r w:rsidRPr="0071141B">
        <w:rPr>
          <w:noProof/>
        </w:rPr>
        <w:t>8</w:t>
      </w:r>
      <w:r w:rsidRPr="0071141B">
        <w:rPr>
          <w:noProof/>
        </w:rPr>
        <w:fldChar w:fldCharType="end"/>
      </w:r>
      <w:r w:rsidRPr="0071141B">
        <w:t xml:space="preserve">.  In the leading cases of </w:t>
      </w:r>
      <w:r w:rsidRPr="0071141B">
        <w:rPr>
          <w:i/>
        </w:rPr>
        <w:t>Arskaya</w:t>
      </w:r>
      <w:r w:rsidRPr="0071141B">
        <w:rPr>
          <w:i/>
        </w:rPr>
        <w:t xml:space="preserve"> v. Ukraine </w:t>
      </w:r>
      <w:r w:rsidRPr="0071141B">
        <w:rPr>
          <w:iCs/>
        </w:rPr>
        <w:t>(</w:t>
      </w:r>
      <w:r w:rsidRPr="0071141B">
        <w:t xml:space="preserve">no. 45076/05, 5 December 2013) and </w:t>
      </w:r>
      <w:r w:rsidRPr="0071141B">
        <w:rPr>
          <w:i/>
        </w:rPr>
        <w:t xml:space="preserve">Valeriy Fuklev v. Ukraine </w:t>
      </w:r>
      <w:r w:rsidRPr="0071141B">
        <w:rPr>
          <w:iCs/>
        </w:rPr>
        <w:t>(</w:t>
      </w:r>
      <w:r w:rsidRPr="0071141B">
        <w:t>no. 6318/03, 16 January 2014), the Court already found a violation in respect of issues similar to those in the present case.</w:t>
      </w:r>
    </w:p>
    <w:p w:rsidRPr="0071141B" w:rsidR="005022EF" w:rsidP="0071141B" w14:paraId="43A0FA50" w14:textId="51A047C4">
      <w:pPr>
        <w:pStyle w:val="JuPara"/>
      </w:pPr>
      <w:r>
        <w:fldChar w:fldCharType="begin"/>
      </w:r>
      <w:r>
        <w:instrText xml:space="preserve"> SEQ level0 \*arabic \* MERGEFORMAT </w:instrText>
      </w:r>
      <w:r>
        <w:fldChar w:fldCharType="separate"/>
      </w:r>
      <w:r w:rsidRPr="0071141B">
        <w:rPr>
          <w:noProof/>
        </w:rPr>
        <w:t>9</w:t>
      </w:r>
      <w:r w:rsidRPr="0071141B">
        <w:rPr>
          <w:noProof/>
        </w:rPr>
        <w:fldChar w:fldCharType="end"/>
      </w:r>
      <w:r w:rsidRPr="0071141B">
        <w:t xml:space="preserve">.  Having examined all the material submitted to it, the Court has not found any fact or argument capable of persuading it to reach a different conclusion on the admissibility and merits of these complaints. Having regard to its case-law on the subject (see, for illustrative purposes, </w:t>
      </w:r>
      <w:r w:rsidRPr="0071141B">
        <w:rPr>
          <w:i/>
          <w:iCs/>
        </w:rPr>
        <w:t xml:space="preserve">Marchuk v. Ukraine </w:t>
      </w:r>
      <w:r w:rsidRPr="0071141B">
        <w:rPr>
          <w:bCs/>
        </w:rPr>
        <w:t>[Committee] (</w:t>
      </w:r>
      <w:r w:rsidRPr="0071141B">
        <w:t xml:space="preserve">no. 65663/12, 28 July 2016) and </w:t>
      </w:r>
      <w:r w:rsidRPr="0071141B">
        <w:rPr>
          <w:i/>
          <w:iCs/>
        </w:rPr>
        <w:t>Tretyakova v. Ukraine</w:t>
      </w:r>
      <w:r w:rsidRPr="0071141B">
        <w:t xml:space="preserve"> </w:t>
      </w:r>
      <w:r w:rsidRPr="0071141B">
        <w:rPr>
          <w:iCs/>
        </w:rPr>
        <w:t>[Committee] (</w:t>
      </w:r>
      <w:r w:rsidRPr="0071141B">
        <w:t>no. 63126/13, 4 November 2021)), the Court considers that in the instant case the domestic proceedings failed to meet the criteria of effectiveness.</w:t>
      </w:r>
    </w:p>
    <w:p w:rsidRPr="0071141B" w:rsidR="005022EF" w:rsidP="0071141B" w14:paraId="11AF9CEB" w14:textId="38A1D46D">
      <w:pPr>
        <w:pStyle w:val="JuPara"/>
      </w:pPr>
      <w:r>
        <w:fldChar w:fldCharType="begin"/>
      </w:r>
      <w:r>
        <w:instrText xml:space="preserve"> SEQ level0 \*arabic \* MERGEFORMAT </w:instrText>
      </w:r>
      <w:r>
        <w:fldChar w:fldCharType="separate"/>
      </w:r>
      <w:r w:rsidRPr="0071141B">
        <w:rPr>
          <w:noProof/>
        </w:rPr>
        <w:t>10</w:t>
      </w:r>
      <w:r w:rsidRPr="0071141B">
        <w:rPr>
          <w:noProof/>
        </w:rPr>
        <w:fldChar w:fldCharType="end"/>
      </w:r>
      <w:r w:rsidRPr="0071141B">
        <w:t>.  These complaints are therefore admissible and disclose a breach of Article 2</w:t>
      </w:r>
      <w:r w:rsidRPr="0071141B">
        <w:rPr>
          <w:rFonts w:ascii="Times New Roman" w:hAnsi="Times New Roman" w:eastAsia="PMingLiU" w:cs="Times New Roman"/>
        </w:rPr>
        <w:t xml:space="preserve"> of the Convention under its procedural limb</w:t>
      </w:r>
      <w:r w:rsidRPr="0071141B">
        <w:t>.</w:t>
      </w:r>
    </w:p>
    <w:p w:rsidRPr="0071141B" w:rsidR="005022EF" w:rsidP="0071141B" w14:paraId="19238C49" w14:textId="77777777">
      <w:pPr>
        <w:pStyle w:val="JuHIRoman"/>
        <w:tabs>
          <w:tab w:val="clear" w:pos="454"/>
          <w:tab w:val="clear" w:pos="539"/>
          <w:tab w:val="clear" w:pos="624"/>
          <w:tab w:val="clear" w:pos="709"/>
          <w:tab w:val="clear" w:pos="794"/>
        </w:tabs>
        <w:ind w:left="357" w:hanging="357"/>
        <w:jc w:val="left"/>
      </w:pPr>
      <w:r w:rsidRPr="0071141B">
        <w:t>REMAINING COMPLAINTS</w:t>
      </w:r>
    </w:p>
    <w:p w:rsidRPr="0071141B" w:rsidR="005022EF" w:rsidP="0071141B" w14:paraId="03C986BE" w14:textId="26AE8265">
      <w:pPr>
        <w:pStyle w:val="JuPara"/>
      </w:pPr>
      <w:r>
        <w:fldChar w:fldCharType="begin"/>
      </w:r>
      <w:r>
        <w:instrText xml:space="preserve"> SEQ level0 \*arabic \* MERGEFORMAT </w:instrText>
      </w:r>
      <w:r>
        <w:fldChar w:fldCharType="separate"/>
      </w:r>
      <w:r w:rsidRPr="0071141B">
        <w:rPr>
          <w:noProof/>
        </w:rPr>
        <w:t>11</w:t>
      </w:r>
      <w:r w:rsidRPr="0071141B">
        <w:rPr>
          <w:noProof/>
        </w:rPr>
        <w:fldChar w:fldCharType="end"/>
      </w:r>
      <w:r w:rsidRPr="0071141B">
        <w:t>.  In applications no. 1516/21 and 44287/21, the applicants also raised complaints under the substantive limb of Article 2 of the Convention.</w:t>
      </w:r>
    </w:p>
    <w:p w:rsidRPr="0071141B" w:rsidR="005022EF" w:rsidP="0071141B" w14:paraId="6542DFAB" w14:textId="27FC6BBE">
      <w:pPr>
        <w:pStyle w:val="JuPara"/>
      </w:pPr>
      <w:r>
        <w:fldChar w:fldCharType="begin"/>
      </w:r>
      <w:r>
        <w:instrText xml:space="preserve"> SEQ level0 \*arabic \* MERGEFORMAT </w:instrText>
      </w:r>
      <w:r>
        <w:fldChar w:fldCharType="separate"/>
      </w:r>
      <w:r w:rsidRPr="0071141B">
        <w:rPr>
          <w:noProof/>
        </w:rPr>
        <w:t>12</w:t>
      </w:r>
      <w:r w:rsidRPr="0071141B">
        <w:rPr>
          <w:noProof/>
        </w:rPr>
        <w:fldChar w:fldCharType="end"/>
      </w:r>
      <w:r w:rsidRPr="0071141B">
        <w:t>.  The Court has examined the complaints raised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71141B" w:rsidR="005022EF" w:rsidP="0071141B" w14:paraId="518B893F" w14:textId="77777777">
      <w:pPr>
        <w:pStyle w:val="JuPara"/>
      </w:pPr>
      <w:r w:rsidRPr="0071141B">
        <w:t>It follows that this part of the applications must be rejected in accordance with Article 35 § 4 of the Convention.</w:t>
      </w:r>
    </w:p>
    <w:p w:rsidRPr="0071141B" w:rsidR="005022EF" w:rsidP="0071141B" w14:paraId="711D25D4" w14:textId="77777777">
      <w:pPr>
        <w:pStyle w:val="JuHIRoman"/>
        <w:tabs>
          <w:tab w:val="clear" w:pos="454"/>
          <w:tab w:val="clear" w:pos="539"/>
          <w:tab w:val="clear" w:pos="624"/>
          <w:tab w:val="clear" w:pos="709"/>
          <w:tab w:val="clear" w:pos="794"/>
        </w:tabs>
        <w:ind w:left="357" w:hanging="357"/>
        <w:jc w:val="left"/>
      </w:pPr>
      <w:r w:rsidRPr="0071141B">
        <w:t>APPLICATION OF ARTICLE 41 OF THE CONVENTION</w:t>
      </w:r>
    </w:p>
    <w:p w:rsidRPr="0071141B" w:rsidR="005022EF" w:rsidP="0071141B" w14:paraId="06411E18" w14:textId="441CF96A">
      <w:pPr>
        <w:pStyle w:val="JuPara"/>
      </w:pPr>
      <w:r>
        <w:fldChar w:fldCharType="begin"/>
      </w:r>
      <w:r>
        <w:instrText xml:space="preserve"> SEQ level0 \*arabic \* MERGEFORMAT </w:instrText>
      </w:r>
      <w:r>
        <w:fldChar w:fldCharType="separate"/>
      </w:r>
      <w:r w:rsidRPr="0071141B">
        <w:rPr>
          <w:noProof/>
        </w:rPr>
        <w:t>13</w:t>
      </w:r>
      <w:r w:rsidRPr="0071141B">
        <w:rPr>
          <w:noProof/>
        </w:rPr>
        <w:fldChar w:fldCharType="end"/>
      </w:r>
      <w:r w:rsidRPr="0071141B">
        <w:t>.  Regard being had to the documents in its possession and to its case</w:t>
      </w:r>
      <w:r w:rsidRPr="0071141B">
        <w:noBreakHyphen/>
        <w:t xml:space="preserve">law (see, in particular, </w:t>
      </w:r>
      <w:r w:rsidRPr="0071141B">
        <w:rPr>
          <w:i/>
        </w:rPr>
        <w:t>Valeriy Fuklev</w:t>
      </w:r>
      <w:r w:rsidRPr="0071141B">
        <w:rPr>
          <w:iCs/>
        </w:rPr>
        <w:t>,</w:t>
      </w:r>
      <w:r w:rsidRPr="0071141B">
        <w:rPr>
          <w:i/>
        </w:rPr>
        <w:t xml:space="preserve"> </w:t>
      </w:r>
      <w:r w:rsidRPr="0071141B">
        <w:t>cited above, §</w:t>
      </w:r>
      <w:r w:rsidRPr="0071141B" w:rsidR="00EB4222">
        <w:t> </w:t>
      </w:r>
      <w:r w:rsidRPr="0071141B">
        <w:t xml:space="preserve">104, and </w:t>
      </w:r>
      <w:r w:rsidRPr="0071141B">
        <w:rPr>
          <w:i/>
        </w:rPr>
        <w:t>Tretyakova</w:t>
      </w:r>
      <w:r w:rsidRPr="0071141B">
        <w:t>, also cited above, § 43), the Court considers it reasonable to award the sums indicated in the appended table and dismisses the remainder of the applicants</w:t>
      </w:r>
      <w:r w:rsidRPr="0071141B">
        <w:t>’</w:t>
      </w:r>
      <w:r w:rsidRPr="0071141B">
        <w:t xml:space="preserve"> claims for just satisfaction.</w:t>
      </w:r>
    </w:p>
    <w:p w:rsidRPr="0071141B" w:rsidR="005022EF" w:rsidP="0071141B" w14:paraId="0B2C3DBD" w14:textId="77777777">
      <w:pPr>
        <w:pStyle w:val="JuHHead"/>
        <w:jc w:val="left"/>
      </w:pPr>
      <w:r w:rsidRPr="0071141B">
        <w:t>FOR THESE REASONS, THE COURT</w:t>
      </w:r>
      <w:r w:rsidRPr="0071141B">
        <w:rPr>
          <w:color w:val="000000"/>
        </w:rPr>
        <w:t>,</w:t>
      </w:r>
      <w:r w:rsidRPr="0071141B">
        <w:t xml:space="preserve"> UNANIMOUSLY,</w:t>
      </w:r>
    </w:p>
    <w:p w:rsidRPr="0071141B" w:rsidR="005022EF" w:rsidP="0071141B" w14:paraId="3B4925EC" w14:textId="77777777">
      <w:pPr>
        <w:pStyle w:val="JuList"/>
        <w:keepNext/>
        <w:keepLines/>
      </w:pPr>
      <w:r w:rsidRPr="0071141B">
        <w:rPr>
          <w:i/>
        </w:rPr>
        <w:t xml:space="preserve">Decides </w:t>
      </w:r>
      <w:r w:rsidRPr="0071141B">
        <w:t>to join the applications;</w:t>
      </w:r>
    </w:p>
    <w:p w:rsidRPr="0071141B" w:rsidR="005022EF" w:rsidP="0071141B" w14:paraId="0040934C" w14:textId="5D93FA2D">
      <w:pPr>
        <w:pStyle w:val="JuList"/>
        <w:keepNext/>
        <w:keepLines/>
      </w:pPr>
      <w:r w:rsidRPr="0071141B">
        <w:rPr>
          <w:i/>
        </w:rPr>
        <w:t xml:space="preserve">Declares </w:t>
      </w:r>
      <w:r w:rsidRPr="0071141B">
        <w:t>the complaints concerning the ineffectiveness of domestic proceedings concerning the deaths of the applicants</w:t>
      </w:r>
      <w:r w:rsidRPr="0071141B" w:rsidR="0071141B">
        <w:t>’</w:t>
      </w:r>
      <w:r w:rsidRPr="0071141B">
        <w:t xml:space="preserve"> relatives as a result of medical negligence</w:t>
      </w:r>
      <w:r w:rsidRPr="0071141B">
        <w:rPr>
          <w:rFonts w:cstheme="minorHAnsi"/>
        </w:rPr>
        <w:t xml:space="preserve"> </w:t>
      </w:r>
      <w:r w:rsidRPr="0071141B">
        <w:t>admissible, and the remainder of applications nos. 1516/21 and 44287/21 inadmissible;</w:t>
      </w:r>
    </w:p>
    <w:p w:rsidRPr="0071141B" w:rsidR="005022EF" w:rsidP="0071141B" w14:paraId="485F85CD" w14:textId="77777777">
      <w:pPr>
        <w:pStyle w:val="JuList"/>
        <w:rPr>
          <w:rFonts w:cstheme="minorHAnsi"/>
          <w:bCs/>
        </w:rPr>
      </w:pPr>
      <w:r w:rsidRPr="0071141B">
        <w:rPr>
          <w:i/>
        </w:rPr>
        <w:t xml:space="preserve">Holds </w:t>
      </w:r>
      <w:r w:rsidRPr="0071141B">
        <w:t xml:space="preserve">that </w:t>
      </w:r>
      <w:r w:rsidRPr="0071141B">
        <w:rPr>
          <w:rFonts w:eastAsia="PMingLiU"/>
        </w:rPr>
        <w:t>these applications</w:t>
      </w:r>
      <w:r w:rsidRPr="0071141B">
        <w:t xml:space="preserve"> disclose a breach of Article 2 </w:t>
      </w:r>
      <w:r w:rsidRPr="0071141B">
        <w:rPr>
          <w:rFonts w:ascii="Times New Roman" w:hAnsi="Times New Roman" w:eastAsia="PMingLiU" w:cs="Times New Roman"/>
        </w:rPr>
        <w:t>of the Convention</w:t>
      </w:r>
      <w:r w:rsidRPr="0071141B">
        <w:t xml:space="preserve"> under its procedural limb</w:t>
      </w:r>
      <w:r w:rsidRPr="0071141B">
        <w:rPr>
          <w:rFonts w:eastAsia="PMingLiU"/>
        </w:rPr>
        <w:t>;</w:t>
      </w:r>
    </w:p>
    <w:p w:rsidRPr="0071141B" w:rsidR="005022EF" w:rsidP="0071141B" w14:paraId="139CF659" w14:textId="77777777">
      <w:pPr>
        <w:pStyle w:val="JuList"/>
        <w:ind w:left="0" w:firstLine="0"/>
        <w:rPr>
          <w:rFonts w:cstheme="minorHAnsi"/>
          <w:bCs/>
        </w:rPr>
      </w:pPr>
      <w:r w:rsidRPr="0071141B">
        <w:rPr>
          <w:i/>
        </w:rPr>
        <w:t>Holds</w:t>
      </w:r>
    </w:p>
    <w:p w:rsidRPr="0071141B" w:rsidR="005022EF" w:rsidP="0071141B" w14:paraId="07A37347" w14:textId="77777777">
      <w:pPr>
        <w:pStyle w:val="JuLista"/>
      </w:pPr>
      <w:r w:rsidRPr="0071141B">
        <w:t xml:space="preserve">that the respondent State is to pay the applicants, within three months, the amounts indicated in the appended table, to be converted into </w:t>
      </w:r>
      <w:r w:rsidRPr="0071141B">
        <w:rPr>
          <w:color w:val="000000"/>
        </w:rPr>
        <w:t>the currency of the respondent State</w:t>
      </w:r>
      <w:r w:rsidRPr="0071141B">
        <w:t xml:space="preserve"> at the rate applicable at the date of settlement;</w:t>
      </w:r>
    </w:p>
    <w:p w:rsidRPr="0071141B" w:rsidR="005022EF" w:rsidP="0071141B" w14:paraId="248A0E16" w14:textId="77777777">
      <w:pPr>
        <w:pStyle w:val="JuLista"/>
      </w:pPr>
      <w:r w:rsidRPr="0071141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1141B" w:rsidR="00606600" w:rsidP="0071141B" w14:paraId="5F4B2AAC" w14:textId="1A27323B">
      <w:pPr>
        <w:pStyle w:val="JuList"/>
      </w:pPr>
      <w:r w:rsidRPr="0071141B">
        <w:rPr>
          <w:rStyle w:val="JuListChar"/>
          <w:i/>
          <w:iCs/>
        </w:rPr>
        <w:t>Dismisses</w:t>
      </w:r>
      <w:r w:rsidRPr="0071141B">
        <w:rPr>
          <w:rStyle w:val="JuListChar"/>
        </w:rPr>
        <w:t xml:space="preserve"> the remain</w:t>
      </w:r>
      <w:r w:rsidRPr="0071141B">
        <w:rPr>
          <w:rFonts w:eastAsia="PMingLiU"/>
        </w:rPr>
        <w:t>der of the applicants</w:t>
      </w:r>
      <w:r w:rsidRPr="0071141B" w:rsidR="0071141B">
        <w:rPr>
          <w:rFonts w:eastAsia="PMingLiU"/>
        </w:rPr>
        <w:t>’</w:t>
      </w:r>
      <w:r w:rsidRPr="0071141B">
        <w:rPr>
          <w:rFonts w:eastAsia="PMingLiU"/>
        </w:rPr>
        <w:t xml:space="preserve"> claims for just satisfaction.</w:t>
      </w:r>
    </w:p>
    <w:p w:rsidRPr="0071141B" w:rsidR="00606600" w:rsidP="0071141B" w14:paraId="61B0E9AA" w14:textId="223D1876">
      <w:pPr>
        <w:pStyle w:val="JuParaLast"/>
      </w:pPr>
      <w:r w:rsidRPr="0071141B">
        <w:t xml:space="preserve">Done in English, and notified in writing on </w:t>
      </w:r>
      <w:r w:rsidRPr="0071141B" w:rsidR="005022EF">
        <w:t>16 April 2026</w:t>
      </w:r>
      <w:r w:rsidRPr="0071141B">
        <w:t>, pursuant to Rule 77 §§ 2 and 3 of the Rules of Court.</w:t>
      </w:r>
    </w:p>
    <w:p w:rsidRPr="0071141B" w:rsidR="00656431" w:rsidP="0071141B" w14:paraId="5B010F26" w14:textId="0D7771F9">
      <w:pPr>
        <w:pStyle w:val="ECHRPlaceholder"/>
        <w:rPr>
          <w:szCs w:val="22"/>
        </w:rPr>
      </w:pPr>
      <w:r w:rsidRPr="0071141B">
        <w:rPr>
          <w:rFonts w:eastAsia="PMingLiU"/>
        </w:rPr>
        <w:tab/>
      </w:r>
    </w:p>
    <w:p w:rsidRPr="0071141B" w:rsidR="00606600" w:rsidP="0071141B" w14:paraId="52AF1053" w14:textId="5AB30527">
      <w:pPr>
        <w:pStyle w:val="JuSigned"/>
        <w:rPr>
          <w:rFonts w:eastAsia="PMingLiU"/>
        </w:rPr>
      </w:pPr>
      <w:r w:rsidRPr="0071141B">
        <w:rPr>
          <w:rFonts w:eastAsia="PMingLiU"/>
        </w:rPr>
        <w:tab/>
      </w:r>
      <w:r w:rsidRPr="0071141B" w:rsidR="005022EF">
        <w:rPr>
          <w:rFonts w:eastAsia="PMingLiU"/>
        </w:rPr>
        <w:t>Viktoriya</w:t>
      </w:r>
      <w:r w:rsidRPr="0071141B" w:rsidR="0048584C">
        <w:rPr>
          <w:rFonts w:eastAsia="PMingLiU"/>
        </w:rPr>
        <w:t xml:space="preserve"> </w:t>
      </w:r>
      <w:r w:rsidRPr="0071141B" w:rsidR="005022EF">
        <w:rPr>
          <w:rFonts w:eastAsia="PMingLiU"/>
        </w:rPr>
        <w:t>Maradudina</w:t>
      </w:r>
      <w:r w:rsidRPr="0071141B" w:rsidR="0048584C">
        <w:rPr>
          <w:rFonts w:eastAsia="PMingLiU"/>
        </w:rPr>
        <w:tab/>
      </w:r>
      <w:r w:rsidRPr="0071141B" w:rsidR="005022EF">
        <w:rPr>
          <w:rFonts w:eastAsia="PMingLiU"/>
        </w:rPr>
        <w:t xml:space="preserve">Andreas </w:t>
      </w:r>
      <w:r w:rsidRPr="0071141B" w:rsidR="005022EF">
        <w:rPr>
          <w:rFonts w:eastAsia="PMingLiU"/>
        </w:rPr>
        <w:t>Zünd</w:t>
      </w:r>
    </w:p>
    <w:p w:rsidRPr="0071141B" w:rsidR="00B91668" w:rsidP="0071141B" w14:paraId="21123318" w14:textId="6919BEB5">
      <w:pPr>
        <w:pStyle w:val="JuSigned"/>
        <w:contextualSpacing/>
        <w:rPr>
          <w:rFonts w:eastAsia="PMingLiU"/>
        </w:rPr>
      </w:pPr>
      <w:r w:rsidRPr="0071141B">
        <w:rPr>
          <w:rFonts w:eastAsia="PMingLiU"/>
        </w:rPr>
        <w:tab/>
        <w:t>Acting Deputy Registrar</w:t>
      </w:r>
      <w:r w:rsidRPr="0071141B">
        <w:rPr>
          <w:rFonts w:eastAsia="PMingLiU"/>
        </w:rPr>
        <w:tab/>
        <w:t>President</w:t>
      </w:r>
    </w:p>
    <w:p w:rsidRPr="0071141B" w:rsidR="00B91668" w:rsidP="0071141B" w14:paraId="523EEB9F" w14:textId="77777777">
      <w:pPr>
        <w:rPr>
          <w:rFonts w:eastAsia="PMingLiU"/>
        </w:rPr>
      </w:pPr>
    </w:p>
    <w:p w:rsidRPr="0071141B" w:rsidR="00BD554D" w:rsidP="0071141B" w14:paraId="52E20CAD" w14:textId="77777777">
      <w:pPr>
        <w:pStyle w:val="JuSigned"/>
        <w:tabs>
          <w:tab w:val="left" w:pos="5115"/>
        </w:tabs>
        <w:contextualSpacing/>
        <w:rPr>
          <w:rFonts w:eastAsia="PMingLiU"/>
        </w:rPr>
      </w:pPr>
      <w:r w:rsidRPr="0071141B">
        <w:rPr>
          <w:rFonts w:eastAsia="PMingLiU"/>
        </w:rPr>
        <w:tab/>
      </w:r>
    </w:p>
    <w:p w:rsidRPr="0071141B" w:rsidR="00606600" w:rsidP="0071141B" w14:paraId="450D217D" w14:textId="77777777">
      <w:pPr>
        <w:pStyle w:val="JuSigned"/>
        <w:tabs>
          <w:tab w:val="center" w:pos="1134"/>
        </w:tabs>
        <w:contextualSpacing/>
        <w:rPr>
          <w:rFonts w:eastAsia="PMingLiU"/>
        </w:rPr>
      </w:pPr>
    </w:p>
    <w:p w:rsidRPr="0071141B" w:rsidR="00606600" w:rsidP="0071141B" w14:paraId="23CA8DAE"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71141B" w:rsidR="00606600" w:rsidP="0071141B" w14:paraId="2CAA1AD0" w14:textId="77777777">
      <w:pPr>
        <w:pStyle w:val="DecHTitle"/>
      </w:pPr>
      <w:r w:rsidRPr="0071141B">
        <w:t>APPENDIX</w:t>
      </w:r>
    </w:p>
    <w:p w:rsidRPr="0071141B" w:rsidR="00606600" w:rsidP="0071141B" w14:paraId="14D365CC" w14:textId="5989F3BC">
      <w:pPr>
        <w:pStyle w:val="DecHCase"/>
        <w:contextualSpacing/>
        <w:rPr>
          <w:b/>
          <w:i/>
          <w:color w:val="3E3E3E" w:themeColor="background2" w:themeShade="40"/>
        </w:rPr>
      </w:pPr>
      <w:r w:rsidRPr="0071141B">
        <w:rPr>
          <w:color w:val="3E3E3E" w:themeColor="background2" w:themeShade="40"/>
        </w:rPr>
        <w:t>List of applications</w:t>
      </w:r>
      <w:r w:rsidRPr="0071141B" w:rsidR="0048584C">
        <w:rPr>
          <w:color w:val="3E3E3E" w:themeColor="background2" w:themeShade="40"/>
        </w:rPr>
        <w:t xml:space="preserve"> raising complaints under Article</w:t>
      </w:r>
      <w:r w:rsidRPr="0071141B">
        <w:rPr>
          <w:color w:val="3E3E3E" w:themeColor="background2" w:themeShade="40"/>
        </w:rPr>
        <w:t xml:space="preserve"> 2 of the Convention</w:t>
      </w:r>
    </w:p>
    <w:p w:rsidRPr="0071141B" w:rsidR="00606600" w:rsidP="0071141B" w14:paraId="0CF4FA7C" w14:textId="6CEF8C24">
      <w:pPr>
        <w:pStyle w:val="DecHCase"/>
        <w:contextualSpacing/>
        <w:rPr>
          <w:b/>
          <w:i/>
        </w:rPr>
      </w:pPr>
      <w:r w:rsidRPr="0071141B">
        <w:rPr>
          <w:color w:val="3E3E3E" w:themeColor="background2" w:themeShade="40"/>
        </w:rPr>
        <w:t>(</w:t>
      </w:r>
      <w:r w:rsidRPr="0071141B" w:rsidR="005022EF">
        <w:rPr>
          <w:color w:val="3E3E3E" w:themeColor="background2" w:themeShade="40"/>
        </w:rPr>
        <w:t>ineffectiveness of domestic proceedings concerning the death of the applicant</w:t>
      </w:r>
      <w:r w:rsidRPr="0071141B" w:rsidR="0071141B">
        <w:rPr>
          <w:color w:val="3E3E3E" w:themeColor="background2" w:themeShade="40"/>
        </w:rPr>
        <w:t>’</w:t>
      </w:r>
      <w:r w:rsidRPr="0071141B" w:rsidR="005022EF">
        <w:rPr>
          <w:color w:val="3E3E3E" w:themeColor="background2" w:themeShade="40"/>
        </w:rPr>
        <w:t>s relative as a result of medical negligence</w:t>
      </w:r>
      <w:r w:rsidRPr="0071141B">
        <w:rPr>
          <w:color w:val="3E3E3E" w:themeColor="background2" w:themeShade="40"/>
        </w:rPr>
        <w:t>)</w:t>
      </w:r>
    </w:p>
    <w:tbl>
      <w:tblPr>
        <w:tblStyle w:val="ECHRListTable"/>
        <w:tblW w:w="15026" w:type="dxa"/>
        <w:jc w:val="center"/>
        <w:tblLayout w:type="fixed"/>
        <w:tblLook w:val="0420"/>
      </w:tblPr>
      <w:tblGrid>
        <w:gridCol w:w="562"/>
        <w:gridCol w:w="1134"/>
        <w:gridCol w:w="1276"/>
        <w:gridCol w:w="1418"/>
        <w:gridCol w:w="6095"/>
        <w:gridCol w:w="2126"/>
        <w:gridCol w:w="1276"/>
        <w:gridCol w:w="1139"/>
      </w:tblGrid>
      <w:tr w:rsidTr="00EB4222" w14:paraId="20B995EB" w14:textId="77777777">
        <w:tblPrEx>
          <w:tblW w:w="15026" w:type="dxa"/>
          <w:tblLayout w:type="fixed"/>
          <w:tblLook w:val="0420"/>
        </w:tblPrEx>
        <w:tc>
          <w:tcPr>
            <w:tcW w:w="562" w:type="dxa"/>
          </w:tcPr>
          <w:p w:rsidRPr="0071141B" w:rsidR="00EB4222" w:rsidP="0071141B" w14:paraId="07625ED5" w14:textId="77777777">
            <w:pPr>
              <w:jc w:val="center"/>
              <w:rPr>
                <w:sz w:val="16"/>
              </w:rPr>
            </w:pPr>
            <w:bookmarkStart w:name="WECLListStart" w:id="2"/>
            <w:bookmarkEnd w:id="2"/>
            <w:r w:rsidRPr="0071141B">
              <w:rPr>
                <w:sz w:val="16"/>
              </w:rPr>
              <w:t>No.</w:t>
            </w:r>
          </w:p>
        </w:tc>
        <w:tc>
          <w:tcPr>
            <w:tcW w:w="1134" w:type="dxa"/>
          </w:tcPr>
          <w:p w:rsidRPr="0071141B" w:rsidR="00EB4222" w:rsidP="0071141B" w14:paraId="63DCBBF0" w14:textId="77777777">
            <w:pPr>
              <w:jc w:val="center"/>
              <w:rPr>
                <w:sz w:val="16"/>
              </w:rPr>
            </w:pPr>
            <w:r w:rsidRPr="0071141B">
              <w:rPr>
                <w:sz w:val="16"/>
              </w:rPr>
              <w:t>Application no.</w:t>
            </w:r>
          </w:p>
          <w:p w:rsidRPr="0071141B" w:rsidR="00EB4222" w:rsidP="0071141B" w14:paraId="2622C69F" w14:textId="77777777">
            <w:pPr>
              <w:jc w:val="center"/>
              <w:rPr>
                <w:sz w:val="16"/>
              </w:rPr>
            </w:pPr>
            <w:r w:rsidRPr="0071141B">
              <w:rPr>
                <w:sz w:val="16"/>
              </w:rPr>
              <w:t>Date of introduction</w:t>
            </w:r>
          </w:p>
        </w:tc>
        <w:tc>
          <w:tcPr>
            <w:tcW w:w="1276" w:type="dxa"/>
          </w:tcPr>
          <w:p w:rsidRPr="0071141B" w:rsidR="00EB4222" w:rsidP="0071141B" w14:paraId="1F2A92D6" w14:textId="7DCE6B98">
            <w:pPr>
              <w:jc w:val="center"/>
              <w:rPr>
                <w:sz w:val="16"/>
              </w:rPr>
            </w:pPr>
            <w:r w:rsidRPr="0071141B">
              <w:rPr>
                <w:sz w:val="16"/>
              </w:rPr>
              <w:t>Applicant</w:t>
            </w:r>
            <w:r w:rsidRPr="0071141B" w:rsidR="0071141B">
              <w:rPr>
                <w:sz w:val="16"/>
              </w:rPr>
              <w:t>’</w:t>
            </w:r>
            <w:r w:rsidRPr="0071141B">
              <w:rPr>
                <w:sz w:val="16"/>
              </w:rPr>
              <w:t>s name</w:t>
            </w:r>
          </w:p>
          <w:p w:rsidRPr="0071141B" w:rsidR="00EB4222" w:rsidP="0071141B" w14:paraId="76E10594" w14:textId="5A374E77">
            <w:pPr>
              <w:jc w:val="center"/>
              <w:rPr>
                <w:sz w:val="16"/>
              </w:rPr>
            </w:pPr>
            <w:r w:rsidRPr="0071141B">
              <w:rPr>
                <w:sz w:val="16"/>
              </w:rPr>
              <w:t>Year of birth</w:t>
            </w:r>
          </w:p>
        </w:tc>
        <w:tc>
          <w:tcPr>
            <w:tcW w:w="1418" w:type="dxa"/>
          </w:tcPr>
          <w:p w:rsidRPr="0071141B" w:rsidR="00EB4222" w:rsidP="0071141B" w14:paraId="319FEDE3" w14:textId="49525C90">
            <w:pPr>
              <w:jc w:val="center"/>
              <w:rPr>
                <w:sz w:val="16"/>
              </w:rPr>
            </w:pPr>
            <w:r w:rsidRPr="0071141B">
              <w:rPr>
                <w:sz w:val="16"/>
              </w:rPr>
              <w:t>Representative</w:t>
            </w:r>
            <w:r w:rsidRPr="0071141B" w:rsidR="0071141B">
              <w:rPr>
                <w:sz w:val="16"/>
              </w:rPr>
              <w:t>’</w:t>
            </w:r>
            <w:r w:rsidRPr="0071141B">
              <w:rPr>
                <w:sz w:val="16"/>
              </w:rPr>
              <w:t>s name and location</w:t>
            </w:r>
          </w:p>
        </w:tc>
        <w:tc>
          <w:tcPr>
            <w:tcW w:w="6095" w:type="dxa"/>
          </w:tcPr>
          <w:p w:rsidRPr="0071141B" w:rsidR="00EB4222" w:rsidP="0071141B" w14:paraId="5F75DF53" w14:textId="77777777">
            <w:pPr>
              <w:jc w:val="center"/>
              <w:rPr>
                <w:sz w:val="16"/>
              </w:rPr>
            </w:pPr>
            <w:r w:rsidRPr="0071141B">
              <w:rPr>
                <w:sz w:val="16"/>
              </w:rPr>
              <w:t>Background to the case</w:t>
            </w:r>
          </w:p>
          <w:p w:rsidRPr="0071141B" w:rsidR="00EB4222" w:rsidP="0071141B" w14:paraId="48056664" w14:textId="77777777">
            <w:pPr>
              <w:jc w:val="center"/>
              <w:rPr>
                <w:sz w:val="16"/>
              </w:rPr>
            </w:pPr>
            <w:r w:rsidRPr="0071141B">
              <w:rPr>
                <w:sz w:val="16"/>
              </w:rPr>
              <w:t>Domestic proceedings</w:t>
            </w:r>
          </w:p>
        </w:tc>
        <w:tc>
          <w:tcPr>
            <w:tcW w:w="2126" w:type="dxa"/>
          </w:tcPr>
          <w:p w:rsidRPr="0071141B" w:rsidR="00EB4222" w:rsidP="0071141B" w14:paraId="1235F21B" w14:textId="77777777">
            <w:pPr>
              <w:jc w:val="center"/>
              <w:rPr>
                <w:sz w:val="16"/>
              </w:rPr>
            </w:pPr>
            <w:r w:rsidRPr="0071141B">
              <w:rPr>
                <w:sz w:val="16"/>
              </w:rPr>
              <w:t>Key issues</w:t>
            </w:r>
          </w:p>
        </w:tc>
        <w:tc>
          <w:tcPr>
            <w:tcW w:w="1276" w:type="dxa"/>
          </w:tcPr>
          <w:p w:rsidRPr="0071141B" w:rsidR="00EB4222" w:rsidP="0071141B" w14:paraId="6A6B3E4D" w14:textId="77777777">
            <w:pPr>
              <w:jc w:val="center"/>
              <w:rPr>
                <w:sz w:val="16"/>
              </w:rPr>
            </w:pPr>
            <w:r w:rsidRPr="0071141B">
              <w:rPr>
                <w:sz w:val="16"/>
              </w:rPr>
              <w:t>Amount awarded for non-pecuniary damage per applicant</w:t>
            </w:r>
          </w:p>
          <w:p w:rsidRPr="0071141B" w:rsidR="00EB4222" w:rsidP="0071141B" w14:paraId="1DD6614D" w14:textId="01EFDFD9">
            <w:pPr>
              <w:jc w:val="center"/>
              <w:rPr>
                <w:sz w:val="16"/>
              </w:rPr>
            </w:pPr>
            <w:r w:rsidRPr="0071141B">
              <w:rPr>
                <w:sz w:val="16"/>
              </w:rPr>
              <w:t>(in euros)</w:t>
            </w:r>
            <w:r>
              <w:rPr>
                <w:rStyle w:val="EndnoteReference"/>
                <w:sz w:val="16"/>
              </w:rPr>
              <w:endnoteReference w:id="2"/>
            </w:r>
          </w:p>
        </w:tc>
        <w:tc>
          <w:tcPr>
            <w:tcW w:w="1139" w:type="dxa"/>
          </w:tcPr>
          <w:p w:rsidRPr="0071141B" w:rsidR="00EB4222" w:rsidP="0071141B" w14:paraId="445F8E28" w14:textId="77777777">
            <w:pPr>
              <w:jc w:val="center"/>
              <w:rPr>
                <w:sz w:val="16"/>
              </w:rPr>
            </w:pPr>
            <w:r w:rsidRPr="0071141B">
              <w:rPr>
                <w:sz w:val="16"/>
              </w:rPr>
              <w:t>Amount awarded for costs and expenses per application</w:t>
            </w:r>
          </w:p>
          <w:p w:rsidRPr="0071141B" w:rsidR="00EB4222" w:rsidP="0071141B" w14:paraId="20DD5D70" w14:textId="77777777">
            <w:pPr>
              <w:jc w:val="center"/>
              <w:rPr>
                <w:sz w:val="16"/>
              </w:rPr>
            </w:pPr>
            <w:r w:rsidRPr="0071141B">
              <w:rPr>
                <w:sz w:val="16"/>
              </w:rPr>
              <w:t>(in euros)</w:t>
            </w:r>
            <w:r>
              <w:rPr>
                <w:rStyle w:val="EndnoteReference"/>
                <w:sz w:val="16"/>
              </w:rPr>
              <w:endnoteReference w:id="3"/>
            </w:r>
          </w:p>
        </w:tc>
      </w:tr>
      <w:tr w:rsidTr="00EB4222" w14:paraId="2D8F73DC" w14:textId="77777777">
        <w:tblPrEx>
          <w:tblW w:w="15026" w:type="dxa"/>
          <w:tblLayout w:type="fixed"/>
          <w:tblLook w:val="0420"/>
        </w:tblPrEx>
        <w:tc>
          <w:tcPr>
            <w:tcW w:w="562" w:type="dxa"/>
          </w:tcPr>
          <w:p w:rsidRPr="0071141B" w:rsidR="00EB4222" w:rsidP="00BF6239" w14:paraId="0AB91045" w14:textId="77777777">
            <w:pPr>
              <w:pStyle w:val="ListParagraph"/>
              <w:numPr>
                <w:ilvl w:val="0"/>
                <w:numId w:val="7"/>
              </w:numPr>
              <w:tabs>
                <w:tab w:val="num" w:pos="283"/>
              </w:tabs>
              <w:ind w:left="0" w:firstLine="0"/>
              <w:jc w:val="center"/>
              <w:rPr>
                <w:rFonts w:eastAsiaTheme="minorEastAsia"/>
                <w:sz w:val="16"/>
              </w:rPr>
            </w:pPr>
          </w:p>
        </w:tc>
        <w:tc>
          <w:tcPr>
            <w:tcW w:w="1134" w:type="dxa"/>
          </w:tcPr>
          <w:p w:rsidRPr="0071141B" w:rsidR="00EB4222" w:rsidP="0071141B" w14:paraId="78B1EDDF" w14:textId="77777777">
            <w:pPr>
              <w:jc w:val="center"/>
              <w:rPr>
                <w:sz w:val="16"/>
              </w:rPr>
            </w:pPr>
            <w:r w:rsidRPr="0071141B">
              <w:rPr>
                <w:sz w:val="16"/>
              </w:rPr>
              <w:t>1516/21</w:t>
            </w:r>
          </w:p>
          <w:p w:rsidRPr="0071141B" w:rsidR="00EB4222" w:rsidP="0071141B" w14:paraId="5CFF76CD" w14:textId="77777777">
            <w:pPr>
              <w:jc w:val="center"/>
              <w:rPr>
                <w:sz w:val="16"/>
              </w:rPr>
            </w:pPr>
            <w:r w:rsidRPr="0071141B">
              <w:rPr>
                <w:sz w:val="16"/>
              </w:rPr>
              <w:t>18/12/2020</w:t>
            </w:r>
          </w:p>
        </w:tc>
        <w:tc>
          <w:tcPr>
            <w:tcW w:w="1276" w:type="dxa"/>
          </w:tcPr>
          <w:p w:rsidRPr="0071141B" w:rsidR="00EB4222" w:rsidP="0071141B" w14:paraId="4F7D7ACD" w14:textId="77777777">
            <w:pPr>
              <w:jc w:val="center"/>
              <w:rPr>
                <w:sz w:val="16"/>
              </w:rPr>
            </w:pPr>
            <w:r w:rsidRPr="0071141B">
              <w:rPr>
                <w:b/>
                <w:sz w:val="16"/>
              </w:rPr>
              <w:t>Anatoliy Leonidovych SINKO</w:t>
            </w:r>
          </w:p>
          <w:p w:rsidRPr="0071141B" w:rsidR="00EB4222" w:rsidP="0071141B" w14:paraId="056EB462" w14:textId="16CA079F">
            <w:pPr>
              <w:jc w:val="center"/>
              <w:rPr>
                <w:sz w:val="16"/>
              </w:rPr>
            </w:pPr>
            <w:r w:rsidRPr="0071141B">
              <w:rPr>
                <w:sz w:val="16"/>
              </w:rPr>
              <w:t>1959</w:t>
            </w:r>
          </w:p>
        </w:tc>
        <w:tc>
          <w:tcPr>
            <w:tcW w:w="1418" w:type="dxa"/>
          </w:tcPr>
          <w:p w:rsidRPr="0071141B" w:rsidR="00EB4222" w:rsidP="0071141B" w14:paraId="030AC98E" w14:textId="77777777">
            <w:pPr>
              <w:jc w:val="center"/>
              <w:rPr>
                <w:sz w:val="16"/>
              </w:rPr>
            </w:pPr>
            <w:r w:rsidRPr="0071141B">
              <w:rPr>
                <w:sz w:val="16"/>
              </w:rPr>
              <w:t>Solodovnyk</w:t>
            </w:r>
            <w:r w:rsidRPr="0071141B">
              <w:rPr>
                <w:sz w:val="16"/>
              </w:rPr>
              <w:t xml:space="preserve"> Sergiy </w:t>
            </w:r>
            <w:r w:rsidRPr="0071141B">
              <w:rPr>
                <w:sz w:val="16"/>
              </w:rPr>
              <w:t>Oleksandrovych</w:t>
            </w:r>
          </w:p>
          <w:p w:rsidRPr="0071141B" w:rsidR="00EB4222" w:rsidP="0071141B" w14:paraId="4FE2F7AB" w14:textId="77777777">
            <w:pPr>
              <w:jc w:val="center"/>
              <w:rPr>
                <w:sz w:val="16"/>
              </w:rPr>
            </w:pPr>
            <w:r w:rsidRPr="0071141B">
              <w:rPr>
                <w:sz w:val="16"/>
              </w:rPr>
              <w:t>Slobozhanske</w:t>
            </w:r>
            <w:r w:rsidRPr="0071141B">
              <w:rPr>
                <w:sz w:val="16"/>
              </w:rPr>
              <w:t xml:space="preserve"> Dnipropetrovsk region</w:t>
            </w:r>
          </w:p>
        </w:tc>
        <w:tc>
          <w:tcPr>
            <w:tcW w:w="6095" w:type="dxa"/>
          </w:tcPr>
          <w:p w:rsidRPr="0071141B" w:rsidR="00EB4222" w:rsidP="0071141B" w14:paraId="514445F8" w14:textId="77777777">
            <w:pPr>
              <w:jc w:val="center"/>
              <w:rPr>
                <w:b/>
                <w:bCs/>
                <w:i/>
                <w:iCs/>
                <w:sz w:val="16"/>
              </w:rPr>
            </w:pPr>
            <w:r w:rsidRPr="0071141B">
              <w:rPr>
                <w:b/>
                <w:bCs/>
                <w:i/>
                <w:iCs/>
                <w:sz w:val="16"/>
              </w:rPr>
              <w:t>Circumstances of the incident</w:t>
            </w:r>
          </w:p>
          <w:p w:rsidRPr="0071141B" w:rsidR="00EB4222" w:rsidP="0071141B" w14:paraId="433D2CAF" w14:textId="77777777">
            <w:pPr>
              <w:jc w:val="center"/>
              <w:rPr>
                <w:b/>
                <w:bCs/>
                <w:i/>
                <w:iCs/>
                <w:sz w:val="16"/>
              </w:rPr>
            </w:pPr>
          </w:p>
          <w:p w:rsidRPr="0071141B" w:rsidR="00EB4222" w:rsidP="0071141B" w14:paraId="1CE81D81" w14:textId="4F6D23E4">
            <w:pPr>
              <w:jc w:val="center"/>
              <w:rPr>
                <w:sz w:val="16"/>
              </w:rPr>
            </w:pPr>
            <w:r w:rsidRPr="0071141B">
              <w:rPr>
                <w:sz w:val="16"/>
              </w:rPr>
              <w:t>On 26/08/2011 the applicant</w:t>
            </w:r>
            <w:r w:rsidRPr="0071141B" w:rsidR="0071141B">
              <w:rPr>
                <w:sz w:val="16"/>
              </w:rPr>
              <w:t>’</w:t>
            </w:r>
            <w:r w:rsidRPr="0071141B">
              <w:rPr>
                <w:sz w:val="16"/>
              </w:rPr>
              <w:t>s mother was admitted to a hospital for a planned examination and further treatment of osteoarthrosis of her knee. After being examined by doctor S., several other health problems were established, and at the doctor</w:t>
            </w:r>
            <w:r w:rsidRPr="0071141B" w:rsidR="0071141B">
              <w:rPr>
                <w:sz w:val="16"/>
              </w:rPr>
              <w:t>’</w:t>
            </w:r>
            <w:r w:rsidRPr="0071141B">
              <w:rPr>
                <w:sz w:val="16"/>
              </w:rPr>
              <w:t>s advice, the patient agreed to undergo a surgery to remove an abdominal hernia. The surgery was carried out on 06/09/2011. On the next day, the patient</w:t>
            </w:r>
            <w:r w:rsidRPr="0071141B" w:rsidR="0071141B">
              <w:rPr>
                <w:sz w:val="16"/>
              </w:rPr>
              <w:t>’</w:t>
            </w:r>
            <w:r w:rsidRPr="0071141B">
              <w:rPr>
                <w:sz w:val="16"/>
              </w:rPr>
              <w:t>s health condition started deteriorating rapidly, and on 09/09/2011 she died because of the exacerbation of the cardiovascular disease.</w:t>
            </w:r>
          </w:p>
          <w:p w:rsidRPr="0071141B" w:rsidR="00EB4222" w:rsidP="0071141B" w14:paraId="0FC08EDF" w14:textId="77777777">
            <w:pPr>
              <w:jc w:val="center"/>
              <w:rPr>
                <w:sz w:val="16"/>
              </w:rPr>
            </w:pPr>
          </w:p>
          <w:p w:rsidRPr="0071141B" w:rsidR="00EB4222" w:rsidP="0071141B" w14:paraId="6935AC8B" w14:textId="77777777">
            <w:pPr>
              <w:jc w:val="center"/>
              <w:rPr>
                <w:b/>
                <w:bCs/>
                <w:i/>
                <w:iCs/>
                <w:sz w:val="16"/>
              </w:rPr>
            </w:pPr>
            <w:r w:rsidRPr="0071141B">
              <w:rPr>
                <w:b/>
                <w:bCs/>
                <w:i/>
                <w:iCs/>
                <w:sz w:val="16"/>
              </w:rPr>
              <w:t>Criminal and internal investigation</w:t>
            </w:r>
          </w:p>
          <w:p w:rsidRPr="0071141B" w:rsidR="00EB4222" w:rsidP="0071141B" w14:paraId="4B293ECA" w14:textId="77777777">
            <w:pPr>
              <w:jc w:val="center"/>
              <w:rPr>
                <w:b/>
                <w:bCs/>
                <w:i/>
                <w:iCs/>
                <w:sz w:val="16"/>
              </w:rPr>
            </w:pPr>
          </w:p>
          <w:p w:rsidRPr="0071141B" w:rsidR="00EB4222" w:rsidP="0071141B" w14:paraId="085AB39D" w14:textId="7D68EFE1">
            <w:pPr>
              <w:jc w:val="center"/>
              <w:rPr>
                <w:sz w:val="16"/>
              </w:rPr>
            </w:pPr>
            <w:r w:rsidRPr="0071141B">
              <w:rPr>
                <w:sz w:val="16"/>
              </w:rPr>
              <w:t>On the hospital</w:t>
            </w:r>
            <w:r w:rsidRPr="0071141B" w:rsidR="0071141B">
              <w:rPr>
                <w:sz w:val="16"/>
              </w:rPr>
              <w:t>’</w:t>
            </w:r>
            <w:r w:rsidRPr="0071141B">
              <w:rPr>
                <w:sz w:val="16"/>
              </w:rPr>
              <w:t>s own motion, an internal medical examination was carried out, which established several significant shortcomings in the preoperative examination, the surgery itself and postoperative care, which led to the applicant</w:t>
            </w:r>
            <w:r w:rsidRPr="0071141B" w:rsidR="0071141B">
              <w:rPr>
                <w:sz w:val="16"/>
              </w:rPr>
              <w:t>’</w:t>
            </w:r>
            <w:r w:rsidRPr="0071141B">
              <w:rPr>
                <w:sz w:val="16"/>
              </w:rPr>
              <w:t>s mother</w:t>
            </w:r>
            <w:r w:rsidRPr="0071141B" w:rsidR="0071141B">
              <w:rPr>
                <w:sz w:val="16"/>
              </w:rPr>
              <w:t>’</w:t>
            </w:r>
            <w:r w:rsidRPr="0071141B">
              <w:rPr>
                <w:sz w:val="16"/>
              </w:rPr>
              <w:t>s death. This conclusion was confirmed by the examination by the regional health administration.</w:t>
            </w:r>
          </w:p>
          <w:p w:rsidRPr="0071141B" w:rsidR="00EB4222" w:rsidP="0071141B" w14:paraId="1AA9348D" w14:textId="77777777">
            <w:pPr>
              <w:jc w:val="center"/>
              <w:rPr>
                <w:b/>
                <w:bCs/>
                <w:i/>
                <w:iCs/>
                <w:sz w:val="16"/>
              </w:rPr>
            </w:pPr>
          </w:p>
          <w:p w:rsidRPr="0071141B" w:rsidR="00EB4222" w:rsidP="0071141B" w14:paraId="6851C6A2" w14:textId="393D7019">
            <w:pPr>
              <w:jc w:val="center"/>
              <w:rPr>
                <w:sz w:val="16"/>
              </w:rPr>
            </w:pPr>
            <w:r w:rsidRPr="0071141B">
              <w:rPr>
                <w:sz w:val="16"/>
              </w:rPr>
              <w:t>On 25/12/2011 criminal proceedings were instituted. The investigator ordered a forensic medical examination (no. 171), which identified several shortcomings in the medical treatment of the applicant</w:t>
            </w:r>
            <w:r w:rsidRPr="0071141B" w:rsidR="0071141B">
              <w:rPr>
                <w:sz w:val="16"/>
              </w:rPr>
              <w:t>’</w:t>
            </w:r>
            <w:r w:rsidRPr="0071141B">
              <w:rPr>
                <w:sz w:val="16"/>
              </w:rPr>
              <w:t>s mother by doctor S. On 05/07/2012 the applicant was granted a victim status. On 03/08/2012 doctor S. was charged with committing a crime of medical negligence which led to the death of a patient. However, due to procedural shortcomings and violation of doctor S.</w:t>
            </w:r>
            <w:r w:rsidRPr="0071141B" w:rsidR="0071141B">
              <w:rPr>
                <w:sz w:val="16"/>
              </w:rPr>
              <w:t>’</w:t>
            </w:r>
            <w:r w:rsidRPr="0071141B">
              <w:rPr>
                <w:sz w:val="16"/>
              </w:rPr>
              <w:t xml:space="preserve">s defence rights, the prosecutor returned the case for an additional investigation and required the investigator to order an additional forensic examination. The second forensic examination was commissioned to the same experts. The </w:t>
            </w:r>
            <w:r w:rsidRPr="0071141B">
              <w:rPr>
                <w:sz w:val="16"/>
              </w:rPr>
              <w:t>conclusions of the second examination confirmed the findings of the first one. On 29/04/2013 the bill of indictment was drawn up.</w:t>
            </w:r>
          </w:p>
          <w:p w:rsidRPr="0071141B" w:rsidR="00EB4222" w:rsidP="0071141B" w14:paraId="243E24A6" w14:textId="67762F46">
            <w:pPr>
              <w:jc w:val="center"/>
              <w:rPr>
                <w:sz w:val="16"/>
              </w:rPr>
            </w:pPr>
            <w:r w:rsidRPr="0071141B">
              <w:rPr>
                <w:sz w:val="16"/>
              </w:rPr>
              <w:t xml:space="preserve">On 11/12/2013 the trial court found doctor S. guilty; the appellate court changed the sanction upholding the rest of the judgment. However, by its decision of 20/11/2014 the </w:t>
            </w:r>
            <w:r w:rsidRPr="001F0D91" w:rsidR="001F0D91">
              <w:rPr>
                <w:sz w:val="16"/>
              </w:rPr>
              <w:t>Higher Specialised Court for Civil and Criminal Matters</w:t>
            </w:r>
            <w:r w:rsidRPr="001F0D91" w:rsidR="001F0D91">
              <w:rPr>
                <w:sz w:val="16"/>
              </w:rPr>
              <w:t xml:space="preserve"> </w:t>
            </w:r>
            <w:r w:rsidRPr="0071141B">
              <w:rPr>
                <w:sz w:val="16"/>
              </w:rPr>
              <w:t>quashed the judgment and returned the case for reconsideration to the appellate court.</w:t>
            </w:r>
          </w:p>
          <w:p w:rsidRPr="0071141B" w:rsidR="00EB4222" w:rsidP="0071141B" w14:paraId="7F10A814" w14:textId="2F7F9282">
            <w:pPr>
              <w:jc w:val="center"/>
              <w:rPr>
                <w:sz w:val="16"/>
              </w:rPr>
            </w:pPr>
            <w:r w:rsidRPr="0071141B">
              <w:rPr>
                <w:sz w:val="16"/>
              </w:rPr>
              <w:t>On 31/03/2015 the appellate court ordered another forensic examination (no. 81/к), which concluded that the applicant</w:t>
            </w:r>
            <w:r w:rsidRPr="0071141B" w:rsidR="0071141B">
              <w:rPr>
                <w:sz w:val="16"/>
              </w:rPr>
              <w:t>’</w:t>
            </w:r>
            <w:r w:rsidRPr="0071141B">
              <w:rPr>
                <w:sz w:val="16"/>
              </w:rPr>
              <w:t>s mother had not had specific contraindications for the surgery, and that despite several shortcomings in the doctor S.</w:t>
            </w:r>
            <w:r w:rsidRPr="0071141B" w:rsidR="0071141B">
              <w:rPr>
                <w:sz w:val="16"/>
              </w:rPr>
              <w:t>’</w:t>
            </w:r>
            <w:r w:rsidRPr="0071141B">
              <w:rPr>
                <w:sz w:val="16"/>
              </w:rPr>
              <w:t>s actions, there was no direct causal link with the patient</w:t>
            </w:r>
            <w:r w:rsidRPr="0071141B" w:rsidR="0071141B">
              <w:rPr>
                <w:sz w:val="16"/>
              </w:rPr>
              <w:t>’</w:t>
            </w:r>
            <w:r w:rsidRPr="0071141B">
              <w:rPr>
                <w:sz w:val="16"/>
              </w:rPr>
              <w:t>s death. On 24/09/2015 the appellate court returned the case to the trial court. Further, the bill of indictment was returned to the prosecutor twice; following the appeals from both parties, the case was remitted for new consideration by the court several times. On 10/01/2019 the trial court acquitted doctor S. relying mainly on the conclusion of the forensic examination no. 81/к and having dismissed the previous expert examinations as inadmissible evidence. By its final decision of 17/06/2020, the Supreme Court in the applicant</w:t>
            </w:r>
            <w:r w:rsidRPr="0071141B" w:rsidR="0071141B">
              <w:rPr>
                <w:sz w:val="16"/>
              </w:rPr>
              <w:t>’</w:t>
            </w:r>
            <w:r w:rsidRPr="0071141B">
              <w:rPr>
                <w:sz w:val="16"/>
              </w:rPr>
              <w:t>s absence, upheld that judgment.</w:t>
            </w:r>
          </w:p>
          <w:p w:rsidRPr="0071141B" w:rsidR="00EB4222" w:rsidP="0071141B" w14:paraId="3D0CF4D0" w14:textId="33BDB30C">
            <w:pPr>
              <w:jc w:val="center"/>
              <w:rPr>
                <w:sz w:val="16"/>
              </w:rPr>
            </w:pPr>
            <w:r w:rsidRPr="0071141B">
              <w:rPr>
                <w:sz w:val="16"/>
              </w:rPr>
              <w:t>In particular, the courts noted that, in violation of the law, the expert examinations of 2012 and 2013 were performed with participation of surgeon B., was also a member of the internal medical commissions; the prosecutor returned the case for additional investigation precisely due to defects in performing the expert examination of 2012 (violation of doctor S.</w:t>
            </w:r>
            <w:r w:rsidRPr="0071141B" w:rsidR="0071141B">
              <w:rPr>
                <w:sz w:val="16"/>
              </w:rPr>
              <w:t>’</w:t>
            </w:r>
            <w:r w:rsidRPr="0071141B">
              <w:rPr>
                <w:sz w:val="16"/>
              </w:rPr>
              <w:t>s right to defence), the additional forensic examination of 2013 was commissioned to the same experts having performed forensic examination of 2012; therefore, both expert examinations were inadmissible evidence as well as questioning of the experts having performed those examinations. Further, the courts could not establish a direct causal link between the doctor S</w:t>
            </w:r>
            <w:r w:rsidRPr="0071141B" w:rsidR="0071141B">
              <w:rPr>
                <w:sz w:val="16"/>
              </w:rPr>
              <w:t>’</w:t>
            </w:r>
            <w:r w:rsidRPr="0071141B">
              <w:rPr>
                <w:sz w:val="16"/>
              </w:rPr>
              <w:t>s actions and the applicant</w:t>
            </w:r>
            <w:r w:rsidRPr="0071141B" w:rsidR="0071141B">
              <w:rPr>
                <w:sz w:val="16"/>
              </w:rPr>
              <w:t>’</w:t>
            </w:r>
            <w:r w:rsidRPr="0071141B">
              <w:rPr>
                <w:sz w:val="16"/>
              </w:rPr>
              <w:t>s mother</w:t>
            </w:r>
            <w:r w:rsidRPr="0071141B" w:rsidR="0071141B">
              <w:rPr>
                <w:sz w:val="16"/>
              </w:rPr>
              <w:t>’</w:t>
            </w:r>
            <w:r w:rsidRPr="0071141B">
              <w:rPr>
                <w:sz w:val="16"/>
              </w:rPr>
              <w:t>s death as there were other doctors involved in her post-operative medical treatment, and their actions were not assessed during the investigation.</w:t>
            </w:r>
          </w:p>
        </w:tc>
        <w:tc>
          <w:tcPr>
            <w:tcW w:w="2126" w:type="dxa"/>
          </w:tcPr>
          <w:p w:rsidRPr="0071141B" w:rsidR="00E0463B" w:rsidP="0071141B" w14:paraId="40364BB1" w14:textId="77777777">
            <w:pPr>
              <w:jc w:val="center"/>
              <w:rPr>
                <w:i/>
                <w:iCs/>
                <w:sz w:val="16"/>
              </w:rPr>
            </w:pPr>
            <w:r w:rsidRPr="0071141B">
              <w:rPr>
                <w:sz w:val="16"/>
              </w:rPr>
              <w:t xml:space="preserve">Investigation criticised by the national authorities themselves for lack of efficiency (see </w:t>
            </w:r>
            <w:r w:rsidRPr="0071141B">
              <w:rPr>
                <w:i/>
                <w:iCs/>
                <w:sz w:val="16"/>
              </w:rPr>
              <w:t>Marchuk</w:t>
            </w:r>
          </w:p>
          <w:p w:rsidRPr="0071141B" w:rsidR="00EB4222" w:rsidP="0071141B" w14:paraId="3518989E" w14:textId="33D652E1">
            <w:pPr>
              <w:jc w:val="center"/>
              <w:rPr>
                <w:sz w:val="16"/>
              </w:rPr>
            </w:pPr>
            <w:r w:rsidRPr="0071141B">
              <w:rPr>
                <w:i/>
                <w:iCs/>
                <w:sz w:val="16"/>
              </w:rPr>
              <w:t xml:space="preserve">v. Ukraine </w:t>
            </w:r>
            <w:r w:rsidRPr="0071141B">
              <w:rPr>
                <w:sz w:val="16"/>
              </w:rPr>
              <w:t>[Committee], no. 65663/12, § 35, 28 July 2016),</w:t>
            </w:r>
          </w:p>
          <w:p w:rsidRPr="0071141B" w:rsidR="00EB4222" w:rsidP="0071141B" w14:paraId="0BA3C310" w14:textId="77777777">
            <w:pPr>
              <w:jc w:val="center"/>
              <w:rPr>
                <w:sz w:val="16"/>
              </w:rPr>
            </w:pPr>
          </w:p>
          <w:p w:rsidRPr="0071141B" w:rsidR="00E0463B" w:rsidP="0071141B" w14:paraId="473B0742" w14:textId="77777777">
            <w:pPr>
              <w:jc w:val="center"/>
              <w:rPr>
                <w:sz w:val="16"/>
              </w:rPr>
            </w:pPr>
            <w:r w:rsidRPr="0071141B">
              <w:rPr>
                <w:sz w:val="16"/>
              </w:rPr>
              <w:t xml:space="preserve">remittals of the case on account of shortcomings in the investigation (see </w:t>
            </w:r>
            <w:r w:rsidRPr="0071141B">
              <w:rPr>
                <w:i/>
                <w:iCs/>
                <w:sz w:val="16"/>
              </w:rPr>
              <w:t>Arskaya</w:t>
            </w:r>
            <w:r w:rsidRPr="0071141B">
              <w:rPr>
                <w:i/>
                <w:iCs/>
                <w:sz w:val="16"/>
              </w:rPr>
              <w:t xml:space="preserve"> v. Ukraine</w:t>
            </w:r>
            <w:r w:rsidRPr="0071141B">
              <w:rPr>
                <w:sz w:val="16"/>
              </w:rPr>
              <w:t xml:space="preserve">, no. 45076/05, § 72, 5 December 2013; </w:t>
            </w:r>
            <w:r w:rsidRPr="0071141B">
              <w:rPr>
                <w:i/>
                <w:iCs/>
                <w:sz w:val="16"/>
              </w:rPr>
              <w:t>Valeriy Fuklev v. Ukraine</w:t>
            </w:r>
            <w:r w:rsidRPr="0071141B">
              <w:rPr>
                <w:sz w:val="16"/>
              </w:rPr>
              <w:t>, no. 6318/03, §§ 75-76,</w:t>
            </w:r>
          </w:p>
          <w:p w:rsidRPr="0071141B" w:rsidR="00EB4222" w:rsidP="0071141B" w14:paraId="247EF23D" w14:textId="7E02A9DA">
            <w:pPr>
              <w:jc w:val="center"/>
              <w:rPr>
                <w:sz w:val="16"/>
              </w:rPr>
            </w:pPr>
            <w:r w:rsidRPr="0071141B">
              <w:rPr>
                <w:sz w:val="16"/>
              </w:rPr>
              <w:t>16 January 2014),</w:t>
            </w:r>
          </w:p>
          <w:p w:rsidRPr="0071141B" w:rsidR="00EB4222" w:rsidP="0071141B" w14:paraId="351FD531" w14:textId="77777777">
            <w:pPr>
              <w:jc w:val="center"/>
              <w:rPr>
                <w:sz w:val="16"/>
              </w:rPr>
            </w:pPr>
          </w:p>
          <w:p w:rsidRPr="0071141B" w:rsidR="00E0463B" w:rsidP="0071141B" w14:paraId="0ADE242C" w14:textId="77777777">
            <w:pPr>
              <w:jc w:val="center"/>
              <w:rPr>
                <w:sz w:val="16"/>
              </w:rPr>
            </w:pPr>
            <w:r w:rsidRPr="0071141B">
              <w:rPr>
                <w:sz w:val="16"/>
              </w:rPr>
              <w:t xml:space="preserve">undue delay and lack of diligence (see </w:t>
            </w:r>
            <w:r w:rsidRPr="0071141B">
              <w:rPr>
                <w:i/>
                <w:iCs/>
                <w:sz w:val="16"/>
              </w:rPr>
              <w:t>Arskaya</w:t>
            </w:r>
            <w:r w:rsidRPr="0071141B">
              <w:rPr>
                <w:i/>
                <w:iCs/>
                <w:sz w:val="16"/>
              </w:rPr>
              <w:t xml:space="preserve"> v. Ukraine</w:t>
            </w:r>
            <w:r w:rsidRPr="0071141B">
              <w:rPr>
                <w:sz w:val="16"/>
              </w:rPr>
              <w:t>, no. 45076/05,</w:t>
            </w:r>
          </w:p>
          <w:p w:rsidRPr="0071141B" w:rsidR="00E0463B" w:rsidP="0071141B" w14:paraId="358B6928" w14:textId="77777777">
            <w:pPr>
              <w:jc w:val="center"/>
              <w:rPr>
                <w:sz w:val="16"/>
              </w:rPr>
            </w:pPr>
            <w:r w:rsidRPr="0071141B">
              <w:rPr>
                <w:sz w:val="16"/>
              </w:rPr>
              <w:t xml:space="preserve">§ 72, 5 December 2013; </w:t>
            </w:r>
            <w:r w:rsidRPr="0071141B">
              <w:rPr>
                <w:i/>
                <w:iCs/>
                <w:sz w:val="16"/>
              </w:rPr>
              <w:t>Valeriy Fuklev v. Ukraine</w:t>
            </w:r>
            <w:r w:rsidRPr="0071141B">
              <w:rPr>
                <w:sz w:val="16"/>
              </w:rPr>
              <w:t>, no. 6318/03, §§ 75-76,</w:t>
            </w:r>
          </w:p>
          <w:p w:rsidRPr="0071141B" w:rsidR="00E0463B" w:rsidP="0071141B" w14:paraId="0B6B3246" w14:textId="77777777">
            <w:pPr>
              <w:jc w:val="center"/>
              <w:rPr>
                <w:sz w:val="16"/>
              </w:rPr>
            </w:pPr>
            <w:r w:rsidRPr="0071141B">
              <w:rPr>
                <w:sz w:val="16"/>
              </w:rPr>
              <w:t xml:space="preserve">16 January 2014; </w:t>
            </w:r>
            <w:r w:rsidRPr="0071141B">
              <w:rPr>
                <w:i/>
                <w:iCs/>
                <w:sz w:val="16"/>
              </w:rPr>
              <w:t>Marchuk v. Ukraine</w:t>
            </w:r>
            <w:r w:rsidRPr="0071141B">
              <w:rPr>
                <w:sz w:val="16"/>
              </w:rPr>
              <w:t xml:space="preserve"> [Committee],</w:t>
            </w:r>
          </w:p>
          <w:p w:rsidRPr="0071141B" w:rsidR="00E0463B" w:rsidP="0071141B" w14:paraId="4C464E29" w14:textId="77777777">
            <w:pPr>
              <w:jc w:val="center"/>
              <w:rPr>
                <w:i/>
                <w:iCs/>
                <w:sz w:val="16"/>
              </w:rPr>
            </w:pPr>
            <w:r w:rsidRPr="0071141B">
              <w:rPr>
                <w:sz w:val="16"/>
              </w:rPr>
              <w:t xml:space="preserve">no. 65663/12, §§ 35 and 37, 28 July 2016; </w:t>
            </w:r>
            <w:r w:rsidRPr="0071141B">
              <w:rPr>
                <w:i/>
                <w:iCs/>
                <w:sz w:val="16"/>
              </w:rPr>
              <w:t>Tretyakova</w:t>
            </w:r>
          </w:p>
          <w:p w:rsidRPr="0071141B" w:rsidR="00E0463B" w:rsidP="0071141B" w14:paraId="40613866" w14:textId="77777777">
            <w:pPr>
              <w:jc w:val="center"/>
              <w:rPr>
                <w:sz w:val="16"/>
              </w:rPr>
            </w:pPr>
            <w:r w:rsidRPr="0071141B">
              <w:rPr>
                <w:i/>
                <w:iCs/>
                <w:sz w:val="16"/>
              </w:rPr>
              <w:t>v. Ukraine</w:t>
            </w:r>
            <w:r w:rsidRPr="0071141B">
              <w:rPr>
                <w:sz w:val="16"/>
              </w:rPr>
              <w:t xml:space="preserve"> [Committee], no. 63126/13, §§ 31-33,</w:t>
            </w:r>
          </w:p>
          <w:p w:rsidRPr="0071141B" w:rsidR="00EB4222" w:rsidP="0071141B" w14:paraId="67AF2663" w14:textId="40315A47">
            <w:pPr>
              <w:jc w:val="center"/>
              <w:rPr>
                <w:sz w:val="16"/>
              </w:rPr>
            </w:pPr>
            <w:r w:rsidRPr="0071141B">
              <w:rPr>
                <w:sz w:val="16"/>
              </w:rPr>
              <w:t>4 November 2021),</w:t>
            </w:r>
          </w:p>
          <w:p w:rsidRPr="0071141B" w:rsidR="00EB4222" w:rsidP="0071141B" w14:paraId="131FE252" w14:textId="4E171C8D">
            <w:pPr>
              <w:jc w:val="center"/>
              <w:rPr>
                <w:sz w:val="16"/>
              </w:rPr>
            </w:pPr>
          </w:p>
          <w:p w:rsidRPr="0071141B" w:rsidR="00E0463B" w:rsidP="0071141B" w14:paraId="3C59F247" w14:textId="77777777">
            <w:pPr>
              <w:jc w:val="center"/>
              <w:rPr>
                <w:sz w:val="16"/>
              </w:rPr>
            </w:pPr>
            <w:r w:rsidRPr="0071141B">
              <w:rPr>
                <w:sz w:val="16"/>
              </w:rPr>
              <w:t xml:space="preserve">failure to establish the essential facts of the case and possible errors in the medical treatment provided (see </w:t>
            </w:r>
            <w:r w:rsidRPr="0071141B">
              <w:rPr>
                <w:i/>
                <w:iCs/>
                <w:sz w:val="16"/>
              </w:rPr>
              <w:t>Ioniță v. Romania</w:t>
            </w:r>
            <w:r w:rsidRPr="0071141B">
              <w:rPr>
                <w:sz w:val="16"/>
              </w:rPr>
              <w:t xml:space="preserve">, no. 81270/12, § 83, 10 January 2017; </w:t>
            </w:r>
            <w:r w:rsidRPr="0071141B">
              <w:rPr>
                <w:i/>
                <w:iCs/>
                <w:sz w:val="16"/>
              </w:rPr>
              <w:t>Nina Kutsenko v. Ukraine</w:t>
            </w:r>
            <w:r w:rsidRPr="0071141B">
              <w:rPr>
                <w:sz w:val="16"/>
              </w:rPr>
              <w:t xml:space="preserve">, no. 25114/11, § 159, 18 July 2017; </w:t>
            </w:r>
            <w:r w:rsidRPr="0071141B">
              <w:rPr>
                <w:i/>
                <w:iCs/>
                <w:sz w:val="16"/>
              </w:rPr>
              <w:t>Lukashenko v. Ukraine</w:t>
            </w:r>
            <w:r w:rsidRPr="0071141B">
              <w:rPr>
                <w:sz w:val="16"/>
              </w:rPr>
              <w:t xml:space="preserve"> [Committee], no. 33944/13,</w:t>
            </w:r>
          </w:p>
          <w:p w:rsidRPr="0071141B" w:rsidR="00EB4222" w:rsidP="0071141B" w14:paraId="493A20B5" w14:textId="6CBD7C64">
            <w:pPr>
              <w:jc w:val="center"/>
              <w:rPr>
                <w:sz w:val="16"/>
              </w:rPr>
            </w:pPr>
            <w:r w:rsidRPr="0071141B">
              <w:rPr>
                <w:sz w:val="16"/>
              </w:rPr>
              <w:t>§ 30, 11 September 2025)</w:t>
            </w:r>
          </w:p>
        </w:tc>
        <w:tc>
          <w:tcPr>
            <w:tcW w:w="1276" w:type="dxa"/>
          </w:tcPr>
          <w:p w:rsidRPr="0071141B" w:rsidR="00EB4222" w:rsidP="0071141B" w14:paraId="56058D14" w14:textId="77777777">
            <w:pPr>
              <w:jc w:val="center"/>
              <w:rPr>
                <w:sz w:val="16"/>
              </w:rPr>
            </w:pPr>
            <w:r w:rsidRPr="0071141B">
              <w:rPr>
                <w:sz w:val="16"/>
              </w:rPr>
              <w:t>6,000</w:t>
            </w:r>
          </w:p>
        </w:tc>
        <w:tc>
          <w:tcPr>
            <w:tcW w:w="1139" w:type="dxa"/>
          </w:tcPr>
          <w:p w:rsidRPr="0071141B" w:rsidR="00EB4222" w:rsidP="0071141B" w14:paraId="2E02237D" w14:textId="32A70DD4">
            <w:pPr>
              <w:jc w:val="center"/>
              <w:rPr>
                <w:sz w:val="16"/>
              </w:rPr>
            </w:pPr>
          </w:p>
        </w:tc>
      </w:tr>
      <w:tr w:rsidTr="00EB4222" w14:paraId="25F45DCF" w14:textId="77777777">
        <w:tblPrEx>
          <w:tblW w:w="15026" w:type="dxa"/>
          <w:tblLayout w:type="fixed"/>
          <w:tblLook w:val="0420"/>
        </w:tblPrEx>
        <w:tc>
          <w:tcPr>
            <w:tcW w:w="562" w:type="dxa"/>
          </w:tcPr>
          <w:p w:rsidRPr="0071141B" w:rsidR="00EB4222" w:rsidP="00BF6239" w14:paraId="735C97DC" w14:textId="77777777">
            <w:pPr>
              <w:pStyle w:val="ListParagraph"/>
              <w:numPr>
                <w:ilvl w:val="0"/>
                <w:numId w:val="7"/>
              </w:numPr>
              <w:tabs>
                <w:tab w:val="num" w:pos="283"/>
              </w:tabs>
              <w:ind w:left="0" w:firstLine="0"/>
              <w:jc w:val="center"/>
              <w:rPr>
                <w:rFonts w:eastAsiaTheme="minorEastAsia"/>
                <w:sz w:val="16"/>
              </w:rPr>
            </w:pPr>
          </w:p>
        </w:tc>
        <w:tc>
          <w:tcPr>
            <w:tcW w:w="1134" w:type="dxa"/>
          </w:tcPr>
          <w:p w:rsidRPr="0071141B" w:rsidR="00EB4222" w:rsidP="0071141B" w14:paraId="423AC410" w14:textId="77777777">
            <w:pPr>
              <w:jc w:val="center"/>
              <w:rPr>
                <w:sz w:val="16"/>
              </w:rPr>
            </w:pPr>
            <w:r w:rsidRPr="0071141B">
              <w:rPr>
                <w:sz w:val="16"/>
              </w:rPr>
              <w:t>17167/21</w:t>
            </w:r>
          </w:p>
          <w:p w:rsidRPr="0071141B" w:rsidR="00EB4222" w:rsidP="0071141B" w14:paraId="63807E70" w14:textId="77777777">
            <w:pPr>
              <w:jc w:val="center"/>
              <w:rPr>
                <w:sz w:val="16"/>
              </w:rPr>
            </w:pPr>
            <w:r w:rsidRPr="0071141B">
              <w:rPr>
                <w:sz w:val="16"/>
              </w:rPr>
              <w:t>12/03/2021</w:t>
            </w:r>
          </w:p>
        </w:tc>
        <w:tc>
          <w:tcPr>
            <w:tcW w:w="1276" w:type="dxa"/>
          </w:tcPr>
          <w:p w:rsidRPr="0071141B" w:rsidR="00EB4222" w:rsidP="0071141B" w14:paraId="537F8CB7" w14:textId="77777777">
            <w:pPr>
              <w:jc w:val="center"/>
              <w:rPr>
                <w:sz w:val="16"/>
              </w:rPr>
            </w:pPr>
            <w:r w:rsidRPr="0071141B">
              <w:rPr>
                <w:b/>
                <w:sz w:val="16"/>
              </w:rPr>
              <w:t>Oleg Petrovych KARPENKO</w:t>
            </w:r>
          </w:p>
          <w:p w:rsidRPr="0071141B" w:rsidR="00EB4222" w:rsidP="0071141B" w14:paraId="239C1310" w14:textId="37226B8F">
            <w:pPr>
              <w:jc w:val="center"/>
              <w:rPr>
                <w:sz w:val="16"/>
              </w:rPr>
            </w:pPr>
            <w:r w:rsidRPr="0071141B">
              <w:rPr>
                <w:sz w:val="16"/>
              </w:rPr>
              <w:t>1974</w:t>
            </w:r>
          </w:p>
        </w:tc>
        <w:tc>
          <w:tcPr>
            <w:tcW w:w="1418" w:type="dxa"/>
          </w:tcPr>
          <w:p w:rsidRPr="0071141B" w:rsidR="00EB4222" w:rsidP="0071141B" w14:paraId="3594102D" w14:textId="77777777">
            <w:pPr>
              <w:jc w:val="center"/>
              <w:rPr>
                <w:sz w:val="16"/>
              </w:rPr>
            </w:pPr>
            <w:r w:rsidRPr="0071141B">
              <w:rPr>
                <w:sz w:val="16"/>
              </w:rPr>
              <w:t>Davydko</w:t>
            </w:r>
            <w:r w:rsidRPr="0071141B">
              <w:rPr>
                <w:sz w:val="16"/>
              </w:rPr>
              <w:t xml:space="preserve"> Igor Anatoliyovych</w:t>
            </w:r>
          </w:p>
          <w:p w:rsidRPr="0071141B" w:rsidR="00EB4222" w:rsidP="0071141B" w14:paraId="0C3D4D24" w14:textId="77777777">
            <w:pPr>
              <w:jc w:val="center"/>
              <w:rPr>
                <w:sz w:val="16"/>
              </w:rPr>
            </w:pPr>
            <w:r w:rsidRPr="0071141B">
              <w:rPr>
                <w:sz w:val="16"/>
              </w:rPr>
              <w:t>Sumy</w:t>
            </w:r>
          </w:p>
        </w:tc>
        <w:tc>
          <w:tcPr>
            <w:tcW w:w="6095" w:type="dxa"/>
          </w:tcPr>
          <w:p w:rsidRPr="0071141B" w:rsidR="00EB4222" w:rsidP="0071141B" w14:paraId="26C519CC" w14:textId="77777777">
            <w:pPr>
              <w:jc w:val="center"/>
              <w:rPr>
                <w:b/>
                <w:bCs/>
                <w:i/>
                <w:iCs/>
                <w:sz w:val="16"/>
              </w:rPr>
            </w:pPr>
            <w:r w:rsidRPr="0071141B">
              <w:rPr>
                <w:b/>
                <w:bCs/>
                <w:i/>
                <w:iCs/>
                <w:sz w:val="16"/>
              </w:rPr>
              <w:t>Circumstances of the incident</w:t>
            </w:r>
          </w:p>
          <w:p w:rsidRPr="0071141B" w:rsidR="00EB4222" w:rsidP="0071141B" w14:paraId="727B7807" w14:textId="77777777">
            <w:pPr>
              <w:jc w:val="center"/>
              <w:rPr>
                <w:sz w:val="16"/>
              </w:rPr>
            </w:pPr>
          </w:p>
          <w:p w:rsidRPr="0071141B" w:rsidR="00EB4222" w:rsidP="0071141B" w14:paraId="05B8AB58" w14:textId="43336D77">
            <w:pPr>
              <w:jc w:val="center"/>
              <w:rPr>
                <w:sz w:val="16"/>
              </w:rPr>
            </w:pPr>
            <w:r w:rsidRPr="0071141B">
              <w:rPr>
                <w:sz w:val="16"/>
              </w:rPr>
              <w:t>The applicant</w:t>
            </w:r>
            <w:r w:rsidRPr="0071141B" w:rsidR="0071141B">
              <w:rPr>
                <w:sz w:val="16"/>
              </w:rPr>
              <w:t>’</w:t>
            </w:r>
            <w:r w:rsidRPr="0071141B">
              <w:rPr>
                <w:sz w:val="16"/>
              </w:rPr>
              <w:t xml:space="preserve">s father, 79 years old at that time, had kidney and urinary chronic diseases. On 28/03/2015 he started feeling unwell, and on 02/04/2015 he was taken by an ambulance to a district hospital in Sumy. After several medical examinations, on 07/04/2015 the </w:t>
            </w:r>
            <w:r w:rsidRPr="0071141B">
              <w:rPr>
                <w:sz w:val="16"/>
              </w:rPr>
              <w:t>applicant</w:t>
            </w:r>
            <w:r w:rsidRPr="0071141B" w:rsidR="0071141B">
              <w:rPr>
                <w:sz w:val="16"/>
              </w:rPr>
              <w:t>’</w:t>
            </w:r>
            <w:r w:rsidRPr="0071141B">
              <w:rPr>
                <w:sz w:val="16"/>
              </w:rPr>
              <w:t>s father was transported to the regional hospital with a specialised urinary department, and on the same day he underwent an urgent surgery. Two hours after the surgery the applicant</w:t>
            </w:r>
            <w:r w:rsidRPr="0071141B" w:rsidR="0071141B">
              <w:rPr>
                <w:sz w:val="16"/>
              </w:rPr>
              <w:t>’</w:t>
            </w:r>
            <w:r w:rsidRPr="0071141B">
              <w:rPr>
                <w:sz w:val="16"/>
              </w:rPr>
              <w:t>s father was transported back to the district hospital. Upon arrival, the applicant</w:t>
            </w:r>
            <w:r w:rsidRPr="0071141B" w:rsidR="0071141B">
              <w:rPr>
                <w:sz w:val="16"/>
              </w:rPr>
              <w:t>’</w:t>
            </w:r>
            <w:r w:rsidRPr="0071141B">
              <w:rPr>
                <w:sz w:val="16"/>
              </w:rPr>
              <w:t>s father</w:t>
            </w:r>
            <w:r w:rsidRPr="0071141B" w:rsidR="0071141B">
              <w:rPr>
                <w:sz w:val="16"/>
              </w:rPr>
              <w:t>’</w:t>
            </w:r>
            <w:r w:rsidRPr="0071141B">
              <w:rPr>
                <w:sz w:val="16"/>
              </w:rPr>
              <w:t>s condition worsened, and on the same day he died. The applicant refused to carry out a post-mortem examination. He argued that his father died due to the inappropriate medical treatment and conditions of transportation.</w:t>
            </w:r>
          </w:p>
          <w:p w:rsidRPr="0071141B" w:rsidR="00EB4222" w:rsidP="0071141B" w14:paraId="1891F9C1" w14:textId="77777777">
            <w:pPr>
              <w:jc w:val="center"/>
              <w:rPr>
                <w:sz w:val="16"/>
              </w:rPr>
            </w:pPr>
          </w:p>
          <w:p w:rsidRPr="0071141B" w:rsidR="00EB4222" w:rsidP="0071141B" w14:paraId="33273017" w14:textId="77777777">
            <w:pPr>
              <w:jc w:val="center"/>
              <w:rPr>
                <w:b/>
                <w:bCs/>
                <w:i/>
                <w:iCs/>
                <w:sz w:val="16"/>
              </w:rPr>
            </w:pPr>
            <w:r w:rsidRPr="0071141B">
              <w:rPr>
                <w:b/>
                <w:bCs/>
                <w:i/>
                <w:iCs/>
                <w:sz w:val="16"/>
              </w:rPr>
              <w:t>Criminal investigation</w:t>
            </w:r>
          </w:p>
          <w:p w:rsidRPr="0071141B" w:rsidR="00EB4222" w:rsidP="0071141B" w14:paraId="016CA712" w14:textId="77777777">
            <w:pPr>
              <w:jc w:val="center"/>
              <w:rPr>
                <w:b/>
                <w:bCs/>
                <w:i/>
                <w:iCs/>
                <w:sz w:val="16"/>
              </w:rPr>
            </w:pPr>
          </w:p>
          <w:p w:rsidRPr="0071141B" w:rsidR="00EB4222" w:rsidP="0071141B" w14:paraId="4052004E" w14:textId="4F2BB811">
            <w:pPr>
              <w:jc w:val="center"/>
              <w:rPr>
                <w:sz w:val="16"/>
              </w:rPr>
            </w:pPr>
            <w:r w:rsidRPr="0071141B">
              <w:rPr>
                <w:sz w:val="16"/>
              </w:rPr>
              <w:t>On 21/12/2015 criminal proceedings were instituted. On 14/06/2016 a forensic medical examination concluded that there were no signs of negligence on the part of the medical staff; it was impossible to establish the exact reason of the death in the absence of a post-mortem examination; there were no contraindications to the transportation of the applicant</w:t>
            </w:r>
            <w:r w:rsidRPr="0071141B" w:rsidR="0071141B">
              <w:rPr>
                <w:sz w:val="16"/>
              </w:rPr>
              <w:t>’</w:t>
            </w:r>
            <w:r w:rsidRPr="0071141B">
              <w:rPr>
                <w:sz w:val="16"/>
              </w:rPr>
              <w:t>s father either before or after the surgery. The applicant requested other forensic examinations, which on 15/02/2018 and 10/02/2021 respectively reached the same conclusions. On 06/04/2021 criminal proceedings were discontinued due to the lack of evidence of crime. On 19/01/2023 the investigating judge quashed that decision for failure of the authorities to carry out the necessary investigating actions, a</w:t>
            </w:r>
            <w:r w:rsidR="00C105AB">
              <w:rPr>
                <w:sz w:val="16"/>
              </w:rPr>
              <w:t>ss</w:t>
            </w:r>
            <w:r w:rsidRPr="0071141B">
              <w:rPr>
                <w:sz w:val="16"/>
              </w:rPr>
              <w:t>ess the evidence and substantiate the termination of investigation, and the investigation was resumed.</w:t>
            </w:r>
          </w:p>
        </w:tc>
        <w:tc>
          <w:tcPr>
            <w:tcW w:w="2126" w:type="dxa"/>
          </w:tcPr>
          <w:p w:rsidRPr="0071141B" w:rsidR="00E0463B" w:rsidP="0071141B" w14:paraId="469E8DDF" w14:textId="77777777">
            <w:pPr>
              <w:jc w:val="center"/>
              <w:rPr>
                <w:i/>
                <w:iCs/>
                <w:sz w:val="16"/>
              </w:rPr>
            </w:pPr>
            <w:r w:rsidRPr="0071141B">
              <w:rPr>
                <w:sz w:val="16"/>
              </w:rPr>
              <w:t xml:space="preserve">Investigation criticised by the national authorities themselves for lack of efficiency (see </w:t>
            </w:r>
            <w:r w:rsidRPr="0071141B">
              <w:rPr>
                <w:i/>
                <w:iCs/>
                <w:sz w:val="16"/>
              </w:rPr>
              <w:t>Marchuk</w:t>
            </w:r>
          </w:p>
          <w:p w:rsidRPr="0071141B" w:rsidR="00EB4222" w:rsidP="0071141B" w14:paraId="24E294F8" w14:textId="61B061A3">
            <w:pPr>
              <w:jc w:val="center"/>
              <w:rPr>
                <w:sz w:val="16"/>
              </w:rPr>
            </w:pPr>
            <w:r w:rsidRPr="0071141B">
              <w:rPr>
                <w:i/>
                <w:iCs/>
                <w:sz w:val="16"/>
              </w:rPr>
              <w:t>v. Ukraine</w:t>
            </w:r>
            <w:r w:rsidRPr="0071141B">
              <w:rPr>
                <w:sz w:val="16"/>
              </w:rPr>
              <w:t xml:space="preserve"> [Committee], no. 65663/12, § 35, 28 July 2016),</w:t>
            </w:r>
          </w:p>
          <w:p w:rsidRPr="0071141B" w:rsidR="00EB4222" w:rsidP="0071141B" w14:paraId="2379AADD" w14:textId="77777777">
            <w:pPr>
              <w:jc w:val="center"/>
              <w:rPr>
                <w:sz w:val="16"/>
              </w:rPr>
            </w:pPr>
          </w:p>
          <w:p w:rsidRPr="0071141B" w:rsidR="00E0463B" w:rsidP="0071141B" w14:paraId="0A42C18C" w14:textId="77777777">
            <w:pPr>
              <w:jc w:val="center"/>
              <w:rPr>
                <w:sz w:val="16"/>
              </w:rPr>
            </w:pPr>
            <w:r w:rsidRPr="0071141B">
              <w:rPr>
                <w:sz w:val="16"/>
              </w:rPr>
              <w:t xml:space="preserve">undue delay and lack of diligence (see </w:t>
            </w:r>
            <w:r w:rsidRPr="0071141B">
              <w:rPr>
                <w:i/>
                <w:iCs/>
                <w:sz w:val="16"/>
              </w:rPr>
              <w:t>Arskaya</w:t>
            </w:r>
            <w:r w:rsidRPr="0071141B">
              <w:rPr>
                <w:i/>
                <w:iCs/>
                <w:sz w:val="16"/>
              </w:rPr>
              <w:t xml:space="preserve"> v. Ukraine</w:t>
            </w:r>
            <w:r w:rsidRPr="0071141B">
              <w:rPr>
                <w:sz w:val="16"/>
              </w:rPr>
              <w:t>, no. 45076/05,</w:t>
            </w:r>
          </w:p>
          <w:p w:rsidRPr="0071141B" w:rsidR="00E0463B" w:rsidP="0071141B" w14:paraId="4BEDF577" w14:textId="77777777">
            <w:pPr>
              <w:jc w:val="center"/>
              <w:rPr>
                <w:sz w:val="16"/>
              </w:rPr>
            </w:pPr>
            <w:r w:rsidRPr="0071141B">
              <w:rPr>
                <w:sz w:val="16"/>
              </w:rPr>
              <w:t xml:space="preserve">§ 72, 5 December 2013; </w:t>
            </w:r>
            <w:r w:rsidRPr="0071141B">
              <w:rPr>
                <w:i/>
                <w:iCs/>
                <w:sz w:val="16"/>
              </w:rPr>
              <w:t>Valeriy Fuklev v. Ukraine</w:t>
            </w:r>
            <w:r w:rsidRPr="0071141B">
              <w:rPr>
                <w:sz w:val="16"/>
              </w:rPr>
              <w:t>, no. 6318/03, §§ 75-76,</w:t>
            </w:r>
          </w:p>
          <w:p w:rsidRPr="0071141B" w:rsidR="00E0463B" w:rsidP="0071141B" w14:paraId="1B7DA1D9" w14:textId="77777777">
            <w:pPr>
              <w:jc w:val="center"/>
              <w:rPr>
                <w:sz w:val="16"/>
              </w:rPr>
            </w:pPr>
            <w:r w:rsidRPr="0071141B">
              <w:rPr>
                <w:sz w:val="16"/>
              </w:rPr>
              <w:t xml:space="preserve">16 January 2014; </w:t>
            </w:r>
            <w:r w:rsidRPr="0071141B">
              <w:rPr>
                <w:i/>
                <w:iCs/>
                <w:sz w:val="16"/>
              </w:rPr>
              <w:t>Marchuk v. Ukraine</w:t>
            </w:r>
            <w:r w:rsidRPr="0071141B">
              <w:rPr>
                <w:sz w:val="16"/>
              </w:rPr>
              <w:t xml:space="preserve"> [Committee],</w:t>
            </w:r>
          </w:p>
          <w:p w:rsidRPr="0071141B" w:rsidR="00E0463B" w:rsidP="0071141B" w14:paraId="298F4FC0" w14:textId="77777777">
            <w:pPr>
              <w:jc w:val="center"/>
              <w:rPr>
                <w:i/>
                <w:iCs/>
                <w:sz w:val="16"/>
              </w:rPr>
            </w:pPr>
            <w:r w:rsidRPr="0071141B">
              <w:rPr>
                <w:sz w:val="16"/>
              </w:rPr>
              <w:t xml:space="preserve">no. 65663/12, §§ 35 and 37, 28 July 2016; </w:t>
            </w:r>
            <w:r w:rsidRPr="0071141B">
              <w:rPr>
                <w:i/>
                <w:iCs/>
                <w:sz w:val="16"/>
              </w:rPr>
              <w:t>Tretyakova</w:t>
            </w:r>
          </w:p>
          <w:p w:rsidRPr="0071141B" w:rsidR="00E0463B" w:rsidP="0071141B" w14:paraId="030846D2" w14:textId="77777777">
            <w:pPr>
              <w:jc w:val="center"/>
              <w:rPr>
                <w:sz w:val="16"/>
              </w:rPr>
            </w:pPr>
            <w:r w:rsidRPr="0071141B">
              <w:rPr>
                <w:i/>
                <w:iCs/>
                <w:sz w:val="16"/>
              </w:rPr>
              <w:t>v. Ukraine</w:t>
            </w:r>
            <w:r w:rsidRPr="0071141B">
              <w:rPr>
                <w:sz w:val="16"/>
              </w:rPr>
              <w:t xml:space="preserve"> [Committee], no. 63126/13, §§ 31-33,</w:t>
            </w:r>
          </w:p>
          <w:p w:rsidRPr="0071141B" w:rsidR="00EB4222" w:rsidP="0071141B" w14:paraId="0D9C9FAE" w14:textId="79F33A16">
            <w:pPr>
              <w:jc w:val="center"/>
              <w:rPr>
                <w:sz w:val="16"/>
              </w:rPr>
            </w:pPr>
            <w:r w:rsidRPr="0071141B">
              <w:rPr>
                <w:sz w:val="16"/>
              </w:rPr>
              <w:t>4 November 2021)</w:t>
            </w:r>
          </w:p>
        </w:tc>
        <w:tc>
          <w:tcPr>
            <w:tcW w:w="1276" w:type="dxa"/>
          </w:tcPr>
          <w:p w:rsidRPr="0071141B" w:rsidR="00EB4222" w:rsidP="0071141B" w14:paraId="4CA67CF3" w14:textId="77777777">
            <w:pPr>
              <w:jc w:val="center"/>
              <w:rPr>
                <w:sz w:val="16"/>
              </w:rPr>
            </w:pPr>
            <w:r w:rsidRPr="0071141B">
              <w:rPr>
                <w:sz w:val="16"/>
              </w:rPr>
              <w:t>6,000</w:t>
            </w:r>
          </w:p>
        </w:tc>
        <w:tc>
          <w:tcPr>
            <w:tcW w:w="1139" w:type="dxa"/>
          </w:tcPr>
          <w:p w:rsidRPr="0071141B" w:rsidR="00EB4222" w:rsidP="0071141B" w14:paraId="2A144C99" w14:textId="77777777">
            <w:pPr>
              <w:jc w:val="center"/>
              <w:rPr>
                <w:sz w:val="16"/>
              </w:rPr>
            </w:pPr>
            <w:r w:rsidRPr="0071141B">
              <w:rPr>
                <w:sz w:val="16"/>
              </w:rPr>
              <w:t>250</w:t>
            </w:r>
          </w:p>
        </w:tc>
      </w:tr>
      <w:tr w:rsidTr="00EB4222" w14:paraId="432F7CA6" w14:textId="77777777">
        <w:tblPrEx>
          <w:tblW w:w="15026" w:type="dxa"/>
          <w:tblLayout w:type="fixed"/>
          <w:tblLook w:val="0420"/>
        </w:tblPrEx>
        <w:tc>
          <w:tcPr>
            <w:tcW w:w="562" w:type="dxa"/>
          </w:tcPr>
          <w:p w:rsidRPr="0071141B" w:rsidR="00EB4222" w:rsidP="00BF6239" w14:paraId="2ABF92AF" w14:textId="77777777">
            <w:pPr>
              <w:pStyle w:val="ListParagraph"/>
              <w:numPr>
                <w:ilvl w:val="0"/>
                <w:numId w:val="7"/>
              </w:numPr>
              <w:tabs>
                <w:tab w:val="num" w:pos="283"/>
              </w:tabs>
              <w:ind w:left="0" w:firstLine="0"/>
              <w:jc w:val="center"/>
              <w:rPr>
                <w:rFonts w:eastAsiaTheme="minorEastAsia"/>
                <w:sz w:val="16"/>
              </w:rPr>
            </w:pPr>
          </w:p>
        </w:tc>
        <w:tc>
          <w:tcPr>
            <w:tcW w:w="1134" w:type="dxa"/>
          </w:tcPr>
          <w:p w:rsidRPr="0071141B" w:rsidR="00EB4222" w:rsidP="0071141B" w14:paraId="126B1E2A" w14:textId="77777777">
            <w:pPr>
              <w:jc w:val="center"/>
              <w:rPr>
                <w:sz w:val="16"/>
              </w:rPr>
            </w:pPr>
            <w:r w:rsidRPr="0071141B">
              <w:rPr>
                <w:sz w:val="16"/>
              </w:rPr>
              <w:t>44287/21</w:t>
            </w:r>
          </w:p>
          <w:p w:rsidRPr="0071141B" w:rsidR="00EB4222" w:rsidP="0071141B" w14:paraId="3270FBE3" w14:textId="77777777">
            <w:pPr>
              <w:jc w:val="center"/>
              <w:rPr>
                <w:sz w:val="16"/>
              </w:rPr>
            </w:pPr>
            <w:r w:rsidRPr="0071141B">
              <w:rPr>
                <w:sz w:val="16"/>
              </w:rPr>
              <w:t>27/08/2021</w:t>
            </w:r>
          </w:p>
        </w:tc>
        <w:tc>
          <w:tcPr>
            <w:tcW w:w="1276" w:type="dxa"/>
          </w:tcPr>
          <w:p w:rsidRPr="0071141B" w:rsidR="00EB4222" w:rsidP="0071141B" w14:paraId="337C0A02" w14:textId="77777777">
            <w:pPr>
              <w:jc w:val="center"/>
              <w:rPr>
                <w:sz w:val="16"/>
              </w:rPr>
            </w:pPr>
            <w:r w:rsidRPr="0071141B">
              <w:rPr>
                <w:b/>
                <w:sz w:val="16"/>
              </w:rPr>
              <w:t>Yuriy Yakovych PUSHKAR</w:t>
            </w:r>
          </w:p>
          <w:p w:rsidRPr="0071141B" w:rsidR="00EB4222" w:rsidP="0071141B" w14:paraId="572561ED" w14:textId="78142027">
            <w:pPr>
              <w:jc w:val="center"/>
              <w:rPr>
                <w:sz w:val="16"/>
              </w:rPr>
            </w:pPr>
            <w:r w:rsidRPr="0071141B">
              <w:rPr>
                <w:sz w:val="16"/>
              </w:rPr>
              <w:t>1950</w:t>
            </w:r>
          </w:p>
        </w:tc>
        <w:tc>
          <w:tcPr>
            <w:tcW w:w="1418" w:type="dxa"/>
          </w:tcPr>
          <w:p w:rsidRPr="0071141B" w:rsidR="00EB4222" w:rsidP="0071141B" w14:paraId="502AA534" w14:textId="77777777">
            <w:pPr>
              <w:jc w:val="center"/>
              <w:rPr>
                <w:sz w:val="16"/>
              </w:rPr>
            </w:pPr>
            <w:r w:rsidRPr="0071141B">
              <w:rPr>
                <w:sz w:val="16"/>
              </w:rPr>
              <w:t>Tokarev Gennadiy Volodymyrovych</w:t>
            </w:r>
          </w:p>
          <w:p w:rsidRPr="0071141B" w:rsidR="00EB4222" w:rsidP="0071141B" w14:paraId="0F108925" w14:textId="77777777">
            <w:pPr>
              <w:jc w:val="center"/>
              <w:rPr>
                <w:sz w:val="16"/>
              </w:rPr>
            </w:pPr>
            <w:r w:rsidRPr="0071141B">
              <w:rPr>
                <w:sz w:val="16"/>
              </w:rPr>
              <w:t>Kharkiv</w:t>
            </w:r>
          </w:p>
        </w:tc>
        <w:tc>
          <w:tcPr>
            <w:tcW w:w="6095" w:type="dxa"/>
          </w:tcPr>
          <w:p w:rsidRPr="0071141B" w:rsidR="00EB4222" w:rsidP="0071141B" w14:paraId="086A0E56" w14:textId="77777777">
            <w:pPr>
              <w:jc w:val="center"/>
              <w:rPr>
                <w:b/>
                <w:bCs/>
                <w:i/>
                <w:iCs/>
                <w:sz w:val="16"/>
              </w:rPr>
            </w:pPr>
            <w:r w:rsidRPr="0071141B">
              <w:rPr>
                <w:b/>
                <w:bCs/>
                <w:i/>
                <w:iCs/>
                <w:sz w:val="16"/>
              </w:rPr>
              <w:t>Circumstances of the incident</w:t>
            </w:r>
          </w:p>
          <w:p w:rsidRPr="0071141B" w:rsidR="00EB4222" w:rsidP="0071141B" w14:paraId="67B4AE11" w14:textId="77777777">
            <w:pPr>
              <w:jc w:val="center"/>
              <w:rPr>
                <w:b/>
                <w:bCs/>
                <w:i/>
                <w:iCs/>
                <w:sz w:val="16"/>
              </w:rPr>
            </w:pPr>
          </w:p>
          <w:p w:rsidRPr="0071141B" w:rsidR="00EB4222" w:rsidP="0071141B" w14:paraId="19869E31" w14:textId="2DA831D2">
            <w:pPr>
              <w:jc w:val="center"/>
              <w:rPr>
                <w:sz w:val="16"/>
              </w:rPr>
            </w:pPr>
            <w:r w:rsidRPr="0071141B">
              <w:rPr>
                <w:sz w:val="16"/>
              </w:rPr>
              <w:t>On 29/09/2009 the applicant</w:t>
            </w:r>
            <w:r w:rsidRPr="0071141B" w:rsidR="0071141B">
              <w:rPr>
                <w:sz w:val="16"/>
              </w:rPr>
              <w:t>’</w:t>
            </w:r>
            <w:r w:rsidRPr="0071141B">
              <w:rPr>
                <w:sz w:val="16"/>
              </w:rPr>
              <w:t>s son, 27 years old at the time, was admitted to a hospital with acute pancreatitis. After several days of intensive therapy, on 13/10/2009 he died of severe complications. The applicant alleged that the death was due to serious intervention in the form of a blood purification procedure to which his son did not consent, failure to test his son</w:t>
            </w:r>
            <w:r w:rsidRPr="0071141B" w:rsidR="0071141B">
              <w:rPr>
                <w:sz w:val="16"/>
              </w:rPr>
              <w:t>’</w:t>
            </w:r>
            <w:r w:rsidRPr="0071141B">
              <w:rPr>
                <w:sz w:val="16"/>
              </w:rPr>
              <w:t>s tolerance of medical preparations, and errors in diagnosing and treating his son.</w:t>
            </w:r>
          </w:p>
          <w:p w:rsidRPr="0071141B" w:rsidR="00EB4222" w:rsidP="0071141B" w14:paraId="5C6F7360" w14:textId="77777777">
            <w:pPr>
              <w:jc w:val="center"/>
              <w:rPr>
                <w:b/>
                <w:bCs/>
                <w:i/>
                <w:iCs/>
                <w:sz w:val="16"/>
              </w:rPr>
            </w:pPr>
            <w:r w:rsidRPr="0071141B">
              <w:rPr>
                <w:b/>
                <w:bCs/>
                <w:i/>
                <w:iCs/>
                <w:sz w:val="16"/>
              </w:rPr>
              <w:t>Criminal and internal investigation</w:t>
            </w:r>
          </w:p>
          <w:p w:rsidRPr="0071141B" w:rsidR="00EB4222" w:rsidP="0071141B" w14:paraId="3AA9FED8" w14:textId="77777777">
            <w:pPr>
              <w:jc w:val="center"/>
              <w:rPr>
                <w:b/>
                <w:bCs/>
                <w:i/>
                <w:iCs/>
                <w:sz w:val="16"/>
              </w:rPr>
            </w:pPr>
          </w:p>
          <w:p w:rsidRPr="0071141B" w:rsidR="00EB4222" w:rsidP="0071141B" w14:paraId="26A27D8F" w14:textId="21938A89">
            <w:pPr>
              <w:jc w:val="center"/>
              <w:rPr>
                <w:sz w:val="16"/>
              </w:rPr>
            </w:pPr>
            <w:r w:rsidRPr="0071141B">
              <w:rPr>
                <w:sz w:val="16"/>
              </w:rPr>
              <w:t xml:space="preserve">In December 2009 an investigator started pre-investigative inquiries, but repeatedly refused to open a criminal investigation. A post-mortem examination commenced on 14/10/2009 and was completed on 14/01/2010. The applicant alleged that, during that period, the medical staff forged the medical documentation by changing some of the records and </w:t>
            </w:r>
            <w:r w:rsidRPr="0071141B">
              <w:rPr>
                <w:sz w:val="16"/>
              </w:rPr>
              <w:t>forging his son</w:t>
            </w:r>
            <w:r w:rsidRPr="0071141B" w:rsidR="0071141B">
              <w:rPr>
                <w:sz w:val="16"/>
              </w:rPr>
              <w:t>’</w:t>
            </w:r>
            <w:r w:rsidRPr="0071141B">
              <w:rPr>
                <w:sz w:val="16"/>
              </w:rPr>
              <w:t>s signature. The investigators have never examined those allegations. The experts concluded that the applicant</w:t>
            </w:r>
            <w:r w:rsidRPr="0071141B" w:rsidR="0071141B">
              <w:rPr>
                <w:sz w:val="16"/>
              </w:rPr>
              <w:t>’</w:t>
            </w:r>
            <w:r w:rsidRPr="0071141B">
              <w:rPr>
                <w:sz w:val="16"/>
              </w:rPr>
              <w:t>s son died as a result of intoxication and other complications of pancreatitis. On 21/03/2011 a commission of the Ministry of Health found several errors that had aggravated the applicant</w:t>
            </w:r>
            <w:r w:rsidRPr="0071141B" w:rsidR="0071141B">
              <w:rPr>
                <w:sz w:val="16"/>
              </w:rPr>
              <w:t>’</w:t>
            </w:r>
            <w:r w:rsidRPr="0071141B">
              <w:rPr>
                <w:sz w:val="16"/>
              </w:rPr>
              <w:t>s son</w:t>
            </w:r>
            <w:r w:rsidRPr="0071141B" w:rsidR="0071141B">
              <w:rPr>
                <w:sz w:val="16"/>
              </w:rPr>
              <w:t>’</w:t>
            </w:r>
            <w:r w:rsidRPr="0071141B">
              <w:rPr>
                <w:sz w:val="16"/>
              </w:rPr>
              <w:t>s state of health but concluded that the treatment had been adequate in general. On 16/12/2012 criminal proceedings were instituted under Article 140 § 1 of the Criminal Code (medical negligence), after the new Code of Criminal Procedure entered into force leaving no discretion for the investigator. On 30/01/2013 the investigator terminated the proceedings due to lack of evidence of crime, but that decision was later quashed. In the following years, the applicant repeatedly complained of the investigator</w:t>
            </w:r>
            <w:r w:rsidRPr="0071141B" w:rsidR="0071141B">
              <w:rPr>
                <w:sz w:val="16"/>
              </w:rPr>
              <w:t>’</w:t>
            </w:r>
            <w:r w:rsidRPr="0071141B">
              <w:rPr>
                <w:sz w:val="16"/>
              </w:rPr>
              <w:t>s inactivity, and another investigator was appointed. The inactivity of both investigators was confirmed by a supervising police department and by a prosecutor. The investigator was not replying to the applicant</w:t>
            </w:r>
            <w:r w:rsidRPr="0071141B" w:rsidR="0071141B">
              <w:rPr>
                <w:sz w:val="16"/>
              </w:rPr>
              <w:t>’</w:t>
            </w:r>
            <w:r w:rsidRPr="0071141B">
              <w:rPr>
                <w:sz w:val="16"/>
              </w:rPr>
              <w:t>s requests. No medical personnel has been questioned during the investigation. On 20/06/2018 a forensic medical examination confirmed that the medical treatment was adequate. The applicant did not agree with this conclusion and requested an additional examination. On 25/06/2020 a new forensic medical examination was ordered but it was never executed. On 27/01/2025 the investigation was closed due to lack of evidence of crime.</w:t>
            </w:r>
          </w:p>
        </w:tc>
        <w:tc>
          <w:tcPr>
            <w:tcW w:w="2126" w:type="dxa"/>
          </w:tcPr>
          <w:p w:rsidRPr="0071141B" w:rsidR="00E0463B" w:rsidP="0071141B" w14:paraId="40713E1E" w14:textId="77777777">
            <w:pPr>
              <w:jc w:val="center"/>
              <w:rPr>
                <w:i/>
                <w:iCs/>
                <w:sz w:val="16"/>
              </w:rPr>
            </w:pPr>
            <w:r w:rsidRPr="0071141B">
              <w:rPr>
                <w:sz w:val="16"/>
              </w:rPr>
              <w:t xml:space="preserve">Refusal to institute and/or delay in instituting criminal proceedings (see </w:t>
            </w:r>
            <w:r w:rsidRPr="0071141B">
              <w:rPr>
                <w:i/>
                <w:iCs/>
                <w:sz w:val="16"/>
              </w:rPr>
              <w:t>Arskaya</w:t>
            </w:r>
          </w:p>
          <w:p w:rsidRPr="0071141B" w:rsidR="00E0463B" w:rsidP="0071141B" w14:paraId="7A0A80C2" w14:textId="77777777">
            <w:pPr>
              <w:jc w:val="center"/>
              <w:rPr>
                <w:i/>
                <w:iCs/>
                <w:sz w:val="16"/>
              </w:rPr>
            </w:pPr>
            <w:r w:rsidRPr="0071141B">
              <w:rPr>
                <w:i/>
                <w:iCs/>
                <w:sz w:val="16"/>
              </w:rPr>
              <w:t>v. Ukraine</w:t>
            </w:r>
            <w:r w:rsidRPr="0071141B">
              <w:rPr>
                <w:sz w:val="16"/>
              </w:rPr>
              <w:t xml:space="preserve">, no. 45076/05, § 72, 5 December 2013; </w:t>
            </w:r>
            <w:r w:rsidRPr="0071141B">
              <w:rPr>
                <w:i/>
                <w:iCs/>
                <w:sz w:val="16"/>
              </w:rPr>
              <w:t>Nina Kutsenko v. Ukraine</w:t>
            </w:r>
            <w:r w:rsidRPr="0071141B">
              <w:rPr>
                <w:sz w:val="16"/>
              </w:rPr>
              <w:t xml:space="preserve">, no. 25114/11, § 158, 18 July 2017; </w:t>
            </w:r>
            <w:r w:rsidRPr="0071141B">
              <w:rPr>
                <w:i/>
                <w:iCs/>
                <w:sz w:val="16"/>
              </w:rPr>
              <w:t>Zhukov and Zhukova</w:t>
            </w:r>
          </w:p>
          <w:p w:rsidRPr="0071141B" w:rsidR="00E0463B" w:rsidP="0071141B" w14:paraId="4B136C5F" w14:textId="77777777">
            <w:pPr>
              <w:jc w:val="center"/>
              <w:rPr>
                <w:i/>
                <w:iCs/>
                <w:sz w:val="16"/>
              </w:rPr>
            </w:pPr>
            <w:r w:rsidRPr="0071141B">
              <w:rPr>
                <w:i/>
                <w:iCs/>
                <w:sz w:val="16"/>
              </w:rPr>
              <w:t>v. Ukraine</w:t>
            </w:r>
            <w:r w:rsidRPr="0071141B">
              <w:rPr>
                <w:sz w:val="16"/>
              </w:rPr>
              <w:t xml:space="preserve"> [Committee], nos. 60191/16 and foll., § 21, 3 July 2025; </w:t>
            </w:r>
            <w:r w:rsidRPr="0071141B">
              <w:rPr>
                <w:i/>
                <w:iCs/>
                <w:sz w:val="16"/>
              </w:rPr>
              <w:t>Lukashenko</w:t>
            </w:r>
          </w:p>
          <w:p w:rsidRPr="0071141B" w:rsidR="00EB4222" w:rsidP="0071141B" w14:paraId="5340177E" w14:textId="7FFA942D">
            <w:pPr>
              <w:jc w:val="center"/>
              <w:rPr>
                <w:sz w:val="16"/>
              </w:rPr>
            </w:pPr>
            <w:r w:rsidRPr="0071141B">
              <w:rPr>
                <w:i/>
                <w:iCs/>
                <w:sz w:val="16"/>
              </w:rPr>
              <w:t>v. Ukraine</w:t>
            </w:r>
            <w:r w:rsidRPr="0071141B">
              <w:rPr>
                <w:sz w:val="16"/>
              </w:rPr>
              <w:t xml:space="preserve"> [Committee], no. 33944/13, § 29, 11 September 2025),</w:t>
            </w:r>
          </w:p>
          <w:p w:rsidRPr="0071141B" w:rsidR="00EB4222" w:rsidP="0071141B" w14:paraId="1BDAE8FF" w14:textId="0C7A84AA">
            <w:pPr>
              <w:jc w:val="center"/>
              <w:rPr>
                <w:sz w:val="16"/>
              </w:rPr>
            </w:pPr>
          </w:p>
          <w:p w:rsidRPr="0071141B" w:rsidR="00E0463B" w:rsidP="0071141B" w14:paraId="565396D0" w14:textId="77777777">
            <w:pPr>
              <w:jc w:val="center"/>
              <w:rPr>
                <w:sz w:val="16"/>
              </w:rPr>
            </w:pPr>
            <w:r w:rsidRPr="0071141B">
              <w:rPr>
                <w:sz w:val="16"/>
              </w:rPr>
              <w:t xml:space="preserve">undue delay and lack of diligence (see </w:t>
            </w:r>
            <w:r w:rsidRPr="0071141B">
              <w:rPr>
                <w:i/>
                <w:iCs/>
                <w:sz w:val="16"/>
              </w:rPr>
              <w:t>Arskaya</w:t>
            </w:r>
            <w:r w:rsidRPr="0071141B">
              <w:rPr>
                <w:i/>
                <w:iCs/>
                <w:sz w:val="16"/>
              </w:rPr>
              <w:t xml:space="preserve"> v. Ukraine</w:t>
            </w:r>
            <w:r w:rsidRPr="0071141B">
              <w:rPr>
                <w:sz w:val="16"/>
              </w:rPr>
              <w:t>, no. 45076/05,</w:t>
            </w:r>
          </w:p>
          <w:p w:rsidRPr="0071141B" w:rsidR="00E0463B" w:rsidP="0071141B" w14:paraId="6E3BE9CA" w14:textId="77777777">
            <w:pPr>
              <w:jc w:val="center"/>
              <w:rPr>
                <w:sz w:val="16"/>
              </w:rPr>
            </w:pPr>
            <w:r w:rsidRPr="0071141B">
              <w:rPr>
                <w:sz w:val="16"/>
              </w:rPr>
              <w:t xml:space="preserve">§ 72, 5 December 2013; </w:t>
            </w:r>
            <w:r w:rsidRPr="0071141B">
              <w:rPr>
                <w:i/>
                <w:iCs/>
                <w:sz w:val="16"/>
              </w:rPr>
              <w:t>Valeriy Fuklev v. Ukraine</w:t>
            </w:r>
            <w:r w:rsidRPr="0071141B">
              <w:rPr>
                <w:sz w:val="16"/>
              </w:rPr>
              <w:t>, no. 6318/03, §§ 75-76,</w:t>
            </w:r>
          </w:p>
          <w:p w:rsidRPr="0071141B" w:rsidR="00E0463B" w:rsidP="0071141B" w14:paraId="02766D48" w14:textId="77777777">
            <w:pPr>
              <w:jc w:val="center"/>
              <w:rPr>
                <w:sz w:val="16"/>
              </w:rPr>
            </w:pPr>
            <w:r w:rsidRPr="0071141B">
              <w:rPr>
                <w:sz w:val="16"/>
              </w:rPr>
              <w:t xml:space="preserve">16 January 2014; </w:t>
            </w:r>
            <w:r w:rsidRPr="0071141B">
              <w:rPr>
                <w:i/>
                <w:iCs/>
                <w:sz w:val="16"/>
              </w:rPr>
              <w:t>Marchuk v. Ukraine</w:t>
            </w:r>
            <w:r w:rsidRPr="0071141B">
              <w:rPr>
                <w:sz w:val="16"/>
              </w:rPr>
              <w:t xml:space="preserve"> [Committee],</w:t>
            </w:r>
          </w:p>
          <w:p w:rsidRPr="0071141B" w:rsidR="00E0463B" w:rsidP="0071141B" w14:paraId="1F6839C3" w14:textId="77777777">
            <w:pPr>
              <w:jc w:val="center"/>
              <w:rPr>
                <w:i/>
                <w:iCs/>
                <w:sz w:val="16"/>
              </w:rPr>
            </w:pPr>
            <w:r w:rsidRPr="0071141B">
              <w:rPr>
                <w:sz w:val="16"/>
              </w:rPr>
              <w:t xml:space="preserve">no. 65663/12, §§ 35 and 37, 28 July 2016; </w:t>
            </w:r>
            <w:r w:rsidRPr="0071141B">
              <w:rPr>
                <w:i/>
                <w:iCs/>
                <w:sz w:val="16"/>
              </w:rPr>
              <w:t>Tretyakova</w:t>
            </w:r>
          </w:p>
          <w:p w:rsidRPr="0071141B" w:rsidR="00E0463B" w:rsidP="0071141B" w14:paraId="55D7DFFE" w14:textId="77777777">
            <w:pPr>
              <w:jc w:val="center"/>
              <w:rPr>
                <w:sz w:val="16"/>
              </w:rPr>
            </w:pPr>
            <w:r w:rsidRPr="0071141B">
              <w:rPr>
                <w:i/>
                <w:iCs/>
                <w:sz w:val="16"/>
              </w:rPr>
              <w:t>v. Ukraine</w:t>
            </w:r>
            <w:r w:rsidRPr="0071141B">
              <w:rPr>
                <w:sz w:val="16"/>
              </w:rPr>
              <w:t xml:space="preserve"> [Committee], no. 63126/13, §§ 31-33,</w:t>
            </w:r>
          </w:p>
          <w:p w:rsidRPr="0071141B" w:rsidR="00EB4222" w:rsidP="0071141B" w14:paraId="03BA2B33" w14:textId="7C7CABCD">
            <w:pPr>
              <w:jc w:val="center"/>
              <w:rPr>
                <w:sz w:val="16"/>
              </w:rPr>
            </w:pPr>
            <w:r w:rsidRPr="0071141B">
              <w:rPr>
                <w:sz w:val="16"/>
              </w:rPr>
              <w:t>4 November 2021),</w:t>
            </w:r>
          </w:p>
          <w:p w:rsidRPr="0071141B" w:rsidR="00EB4222" w:rsidP="0071141B" w14:paraId="22E6CC82" w14:textId="5CD21D48">
            <w:pPr>
              <w:jc w:val="center"/>
              <w:rPr>
                <w:sz w:val="16"/>
              </w:rPr>
            </w:pPr>
          </w:p>
          <w:p w:rsidRPr="0071141B" w:rsidR="00E0463B" w:rsidP="0071141B" w14:paraId="32284650" w14:textId="77777777">
            <w:pPr>
              <w:jc w:val="center"/>
              <w:rPr>
                <w:i/>
                <w:iCs/>
                <w:sz w:val="16"/>
              </w:rPr>
            </w:pPr>
            <w:r w:rsidRPr="0071141B">
              <w:rPr>
                <w:sz w:val="16"/>
              </w:rPr>
              <w:t xml:space="preserve">investigation criticised by the national authorities themselves for lack of efficiency (see </w:t>
            </w:r>
            <w:r w:rsidRPr="0071141B">
              <w:rPr>
                <w:i/>
                <w:iCs/>
                <w:sz w:val="16"/>
              </w:rPr>
              <w:t>Marchuk</w:t>
            </w:r>
          </w:p>
          <w:p w:rsidRPr="0071141B" w:rsidR="00EB4222" w:rsidP="0071141B" w14:paraId="0B404B15" w14:textId="55B8EB50">
            <w:pPr>
              <w:jc w:val="center"/>
              <w:rPr>
                <w:sz w:val="16"/>
              </w:rPr>
            </w:pPr>
            <w:r w:rsidRPr="0071141B">
              <w:rPr>
                <w:i/>
                <w:iCs/>
                <w:sz w:val="16"/>
              </w:rPr>
              <w:t xml:space="preserve">v. Ukraine </w:t>
            </w:r>
            <w:r w:rsidRPr="0071141B">
              <w:rPr>
                <w:sz w:val="16"/>
              </w:rPr>
              <w:t>[Committee], no. 65663/12, § 35, 28 July 2016)</w:t>
            </w:r>
          </w:p>
        </w:tc>
        <w:tc>
          <w:tcPr>
            <w:tcW w:w="1276" w:type="dxa"/>
          </w:tcPr>
          <w:p w:rsidRPr="0071141B" w:rsidR="00EB4222" w:rsidP="0071141B" w14:paraId="3C8D0C6B" w14:textId="77777777">
            <w:pPr>
              <w:jc w:val="center"/>
              <w:rPr>
                <w:sz w:val="16"/>
              </w:rPr>
            </w:pPr>
            <w:r w:rsidRPr="0071141B">
              <w:rPr>
                <w:sz w:val="16"/>
              </w:rPr>
              <w:t>6,000</w:t>
            </w:r>
          </w:p>
        </w:tc>
        <w:tc>
          <w:tcPr>
            <w:tcW w:w="1139" w:type="dxa"/>
          </w:tcPr>
          <w:p w:rsidRPr="0071141B" w:rsidR="00EB4222" w:rsidP="0071141B" w14:paraId="0A2229A9" w14:textId="77777777">
            <w:pPr>
              <w:jc w:val="center"/>
              <w:rPr>
                <w:sz w:val="16"/>
              </w:rPr>
            </w:pPr>
            <w:r w:rsidRPr="0071141B">
              <w:rPr>
                <w:sz w:val="16"/>
              </w:rPr>
              <w:t>250</w:t>
            </w:r>
          </w:p>
        </w:tc>
      </w:tr>
    </w:tbl>
    <w:p w:rsidRPr="0071141B" w:rsidR="00606600" w:rsidP="0071141B" w14:paraId="2A6E68F7"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5022EF" w:rsidRPr="005E62B9" w14:paraId="43A16C5D" w14:textId="77777777">
      <w:r w:rsidRPr="005E62B9">
        <w:separator/>
      </w:r>
    </w:p>
  </w:endnote>
  <w:endnote w:type="continuationSeparator" w:id="1">
    <w:p w:rsidR="005022EF" w:rsidRPr="005E62B9" w14:paraId="468ECF8D" w14:textId="77777777">
      <w:r w:rsidRPr="005E62B9">
        <w:continuationSeparator/>
      </w:r>
    </w:p>
  </w:endnote>
  <w:endnote w:id="2">
    <w:p w:rsidR="00EB4222" w:rsidRPr="00A945E6" w:rsidP="005022EF" w14:paraId="0FCDD3B6" w14:textId="77777777">
      <w:pPr>
        <w:pStyle w:val="EndnoteText"/>
        <w:rPr>
          <w:sz w:val="16"/>
          <w:szCs w:val="16"/>
        </w:rPr>
      </w:pPr>
      <w:r w:rsidRPr="00B554CD">
        <w:rPr>
          <w:rStyle w:val="EndnoteReference"/>
        </w:rPr>
        <w:endnoteRef/>
      </w:r>
      <w:r w:rsidRPr="00B554CD">
        <w:t xml:space="preserve"> </w:t>
      </w:r>
      <w:r w:rsidRPr="00A945E6">
        <w:rPr>
          <w:sz w:val="16"/>
          <w:szCs w:val="16"/>
        </w:rPr>
        <w:t>Plus any tax that may be chargeable to the applicants.</w:t>
      </w:r>
    </w:p>
  </w:endnote>
  <w:endnote w:id="3">
    <w:p w:rsidR="00EB4222" w:rsidRPr="00B554CD" w:rsidP="005022EF" w14:paraId="663F93B4" w14:textId="77777777">
      <w:pPr>
        <w:pStyle w:val="EndnoteText"/>
      </w:pPr>
      <w:r w:rsidRPr="00A945E6">
        <w:rPr>
          <w:rStyle w:val="EndnoteReference"/>
          <w:sz w:val="16"/>
          <w:szCs w:val="16"/>
        </w:rPr>
        <w:endnoteRef/>
      </w:r>
      <w:r w:rsidRPr="00A945E6">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0E6B61E3" w14:textId="395FCC49">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636A85C5" w14:textId="57ECB0F1">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73C6F1D5"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32386361"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141B" w14:paraId="1804DD2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451BEA53"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5AF949E4" w14:textId="77777777">
    <w:pPr>
      <w:jc w:val="center"/>
      <w:rPr>
        <w:sz w:val="4"/>
        <w:szCs w:val="4"/>
      </w:rPr>
    </w:pPr>
  </w:p>
  <w:p w:rsidR="00606600" w:rsidRPr="005E62B9" w14:paraId="2894A491"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22EF" w:rsidRPr="00A45145" w:rsidP="00A45145" w14:paraId="317A0FA7" w14:textId="65BD2E8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0016BCD5" w14:textId="19AB8FED">
    <w:pPr>
      <w:pStyle w:val="Header0"/>
    </w:pPr>
  </w:p>
  <w:p w:rsidR="00606600" w:rsidRPr="005E62B9" w:rsidP="00B64153" w14:paraId="0356E264"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6D852BCD" w14:textId="2D92ABF3">
    <w:pPr>
      <w:pStyle w:val="JuHeader"/>
    </w:pPr>
    <w:r>
      <w:t>SINKO AND OTHERS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5A449DFD" w14:textId="28B174AF">
    <w:pPr>
      <w:pStyle w:val="JuHeader"/>
    </w:pPr>
    <w:r>
      <w:t>SINKO AND OTHERS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350EDCFA" w14:textId="0D44B3BF">
    <w:pPr>
      <w:pStyle w:val="JuHeader"/>
    </w:pPr>
    <w:r>
      <w:t>SINKO AND OTHERS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380820B7" w14:textId="243872E9">
    <w:pPr>
      <w:pStyle w:val="JuHeader"/>
    </w:pPr>
    <w:r>
      <w:t>SINKO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BBC3C9B"/>
    <w:multiLevelType w:val="hybridMultilevel"/>
    <w:tmpl w:val="A4A4BE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5"/>
  </w:num>
  <w:num w:numId="2" w16cid:durableId="624501454">
    <w:abstractNumId w:val="13"/>
  </w:num>
  <w:num w:numId="3" w16cid:durableId="522213196">
    <w:abstractNumId w:val="11"/>
  </w:num>
  <w:num w:numId="4" w16cid:durableId="2034069393">
    <w:abstractNumId w:val="16"/>
  </w:num>
  <w:num w:numId="5" w16cid:durableId="1303654916">
    <w:abstractNumId w:val="14"/>
  </w:num>
  <w:num w:numId="6" w16cid:durableId="299268812">
    <w:abstractNumId w:val="17"/>
  </w:num>
  <w:num w:numId="7" w16cid:durableId="1060398604">
    <w:abstractNumId w:val="12"/>
  </w:num>
  <w:num w:numId="8" w16cid:durableId="1843543918">
    <w:abstractNumId w:val="18"/>
  </w:num>
  <w:num w:numId="9" w16cid:durableId="416442054">
    <w:abstractNumId w:val="7"/>
  </w:num>
  <w:num w:numId="10" w16cid:durableId="213591504">
    <w:abstractNumId w:val="6"/>
  </w:num>
  <w:num w:numId="11" w16cid:durableId="1654287734">
    <w:abstractNumId w:val="5"/>
  </w:num>
  <w:num w:numId="12" w16cid:durableId="87242766">
    <w:abstractNumId w:val="4"/>
  </w:num>
  <w:num w:numId="13" w16cid:durableId="687608563">
    <w:abstractNumId w:val="8"/>
  </w:num>
  <w:num w:numId="14" w16cid:durableId="589824331">
    <w:abstractNumId w:val="3"/>
  </w:num>
  <w:num w:numId="15" w16cid:durableId="1147744862">
    <w:abstractNumId w:val="2"/>
  </w:num>
  <w:num w:numId="16" w16cid:durableId="2076707839">
    <w:abstractNumId w:val="1"/>
  </w:num>
  <w:num w:numId="17" w16cid:durableId="1539391740">
    <w:abstractNumId w:val="0"/>
  </w:num>
  <w:num w:numId="18" w16cid:durableId="12346673">
    <w:abstractNumId w:val="16"/>
  </w:num>
  <w:num w:numId="19" w16cid:durableId="377438706">
    <w:abstractNumId w:val="17"/>
  </w:num>
  <w:num w:numId="20" w16cid:durableId="1005323381">
    <w:abstractNumId w:val="10"/>
  </w:num>
  <w:num w:numId="21" w16cid:durableId="85925050">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2EF"/>
    <w:rsid w:val="000318F7"/>
    <w:rsid w:val="000447B5"/>
    <w:rsid w:val="00044AD5"/>
    <w:rsid w:val="0004593A"/>
    <w:rsid w:val="00091340"/>
    <w:rsid w:val="000C2816"/>
    <w:rsid w:val="000C5149"/>
    <w:rsid w:val="00135384"/>
    <w:rsid w:val="0016534E"/>
    <w:rsid w:val="00173A91"/>
    <w:rsid w:val="00177329"/>
    <w:rsid w:val="001963DD"/>
    <w:rsid w:val="001A15B6"/>
    <w:rsid w:val="001A3C4A"/>
    <w:rsid w:val="001D7CD3"/>
    <w:rsid w:val="001F0D91"/>
    <w:rsid w:val="001F3812"/>
    <w:rsid w:val="002056B7"/>
    <w:rsid w:val="0020718E"/>
    <w:rsid w:val="0023364D"/>
    <w:rsid w:val="0029309A"/>
    <w:rsid w:val="002C5B23"/>
    <w:rsid w:val="00337785"/>
    <w:rsid w:val="0037589C"/>
    <w:rsid w:val="003B3ECB"/>
    <w:rsid w:val="00403FBB"/>
    <w:rsid w:val="00464A0F"/>
    <w:rsid w:val="0048584C"/>
    <w:rsid w:val="00497FF8"/>
    <w:rsid w:val="004B0B4E"/>
    <w:rsid w:val="004D042B"/>
    <w:rsid w:val="004D0EC7"/>
    <w:rsid w:val="005022EF"/>
    <w:rsid w:val="00525414"/>
    <w:rsid w:val="00555A1D"/>
    <w:rsid w:val="00573202"/>
    <w:rsid w:val="005B102C"/>
    <w:rsid w:val="005B16C1"/>
    <w:rsid w:val="005C3A15"/>
    <w:rsid w:val="005D6615"/>
    <w:rsid w:val="005E62B9"/>
    <w:rsid w:val="005E6AD7"/>
    <w:rsid w:val="005F60F9"/>
    <w:rsid w:val="00606600"/>
    <w:rsid w:val="00611E1D"/>
    <w:rsid w:val="0062400A"/>
    <w:rsid w:val="006372F5"/>
    <w:rsid w:val="00637EC9"/>
    <w:rsid w:val="00656431"/>
    <w:rsid w:val="00670706"/>
    <w:rsid w:val="006818D9"/>
    <w:rsid w:val="006B7AE6"/>
    <w:rsid w:val="006C5A70"/>
    <w:rsid w:val="006D324D"/>
    <w:rsid w:val="0071141B"/>
    <w:rsid w:val="00722689"/>
    <w:rsid w:val="00743B2A"/>
    <w:rsid w:val="007A72B4"/>
    <w:rsid w:val="007B7348"/>
    <w:rsid w:val="007C674A"/>
    <w:rsid w:val="007D4F48"/>
    <w:rsid w:val="007F018A"/>
    <w:rsid w:val="008522DD"/>
    <w:rsid w:val="00860732"/>
    <w:rsid w:val="008A0E2E"/>
    <w:rsid w:val="008D51B6"/>
    <w:rsid w:val="009522DD"/>
    <w:rsid w:val="00984368"/>
    <w:rsid w:val="00993A05"/>
    <w:rsid w:val="009F1914"/>
    <w:rsid w:val="00A329E0"/>
    <w:rsid w:val="00A34A54"/>
    <w:rsid w:val="00A44415"/>
    <w:rsid w:val="00A45145"/>
    <w:rsid w:val="00A6104A"/>
    <w:rsid w:val="00A945E6"/>
    <w:rsid w:val="00A94CA7"/>
    <w:rsid w:val="00AC03BB"/>
    <w:rsid w:val="00AF3E5A"/>
    <w:rsid w:val="00AF4730"/>
    <w:rsid w:val="00B216C1"/>
    <w:rsid w:val="00B54B18"/>
    <w:rsid w:val="00B554CD"/>
    <w:rsid w:val="00B64153"/>
    <w:rsid w:val="00B76B3C"/>
    <w:rsid w:val="00B772F5"/>
    <w:rsid w:val="00B91668"/>
    <w:rsid w:val="00BD554D"/>
    <w:rsid w:val="00BE2415"/>
    <w:rsid w:val="00BF6239"/>
    <w:rsid w:val="00C105AB"/>
    <w:rsid w:val="00C20CC3"/>
    <w:rsid w:val="00C41450"/>
    <w:rsid w:val="00C877A3"/>
    <w:rsid w:val="00D849A9"/>
    <w:rsid w:val="00DB35DF"/>
    <w:rsid w:val="00DE7D3F"/>
    <w:rsid w:val="00E026EC"/>
    <w:rsid w:val="00E0463B"/>
    <w:rsid w:val="00E45537"/>
    <w:rsid w:val="00E6230A"/>
    <w:rsid w:val="00EB4222"/>
    <w:rsid w:val="00ED7723"/>
    <w:rsid w:val="00F90F88"/>
    <w:rsid w:val="00FB16F8"/>
    <w:rsid w:val="00FD54CA"/>
    <w:rsid w:val="00FF1740"/>
  </w:rsids>
  <w:docVars>
    <w:docVar w:name="ApplicationsApp" w:val="2"/>
    <w:docVar w:name="EMM"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F5B8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1141B"/>
    <w:rPr>
      <w:sz w:val="24"/>
      <w:szCs w:val="24"/>
      <w:lang w:val="en-GB"/>
    </w:rPr>
  </w:style>
  <w:style w:type="paragraph" w:styleId="Heading1">
    <w:name w:val="heading 1"/>
    <w:basedOn w:val="Normal"/>
    <w:next w:val="Normal"/>
    <w:link w:val="Heading1Char"/>
    <w:uiPriority w:val="98"/>
    <w:semiHidden/>
    <w:rsid w:val="0071141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1141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1141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1141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1141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1141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1141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1141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1141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1141B"/>
    <w:rPr>
      <w:rFonts w:ascii="Tahoma" w:hAnsi="Tahoma" w:cs="Tahoma"/>
      <w:sz w:val="16"/>
      <w:szCs w:val="16"/>
    </w:rPr>
  </w:style>
  <w:style w:type="character" w:customStyle="1" w:styleId="BalloonTextChar">
    <w:name w:val="Balloon Text Char"/>
    <w:basedOn w:val="DefaultParagraphFont"/>
    <w:link w:val="BalloonText"/>
    <w:uiPriority w:val="98"/>
    <w:semiHidden/>
    <w:rsid w:val="0071141B"/>
    <w:rPr>
      <w:rFonts w:ascii="Tahoma" w:hAnsi="Tahoma" w:cs="Tahoma"/>
      <w:sz w:val="16"/>
      <w:szCs w:val="16"/>
      <w:lang w:val="en-GB"/>
    </w:rPr>
  </w:style>
  <w:style w:type="character" w:styleId="BookTitle">
    <w:name w:val="Book Title"/>
    <w:uiPriority w:val="98"/>
    <w:semiHidden/>
    <w:qFormat/>
    <w:rsid w:val="0071141B"/>
    <w:rPr>
      <w:i/>
      <w:iCs/>
      <w:smallCaps/>
      <w:spacing w:val="5"/>
    </w:rPr>
  </w:style>
  <w:style w:type="paragraph" w:customStyle="1" w:styleId="JuHeader">
    <w:name w:val="Ju_Header"/>
    <w:aliases w:val="_Header"/>
    <w:basedOn w:val="Header0"/>
    <w:uiPriority w:val="29"/>
    <w:qFormat/>
    <w:rsid w:val="0071141B"/>
    <w:pPr>
      <w:tabs>
        <w:tab w:val="clear" w:pos="4536"/>
        <w:tab w:val="clear" w:pos="9072"/>
      </w:tabs>
      <w:jc w:val="center"/>
    </w:pPr>
    <w:rPr>
      <w:sz w:val="18"/>
    </w:rPr>
  </w:style>
  <w:style w:type="paragraph" w:customStyle="1" w:styleId="DummyStyle">
    <w:name w:val="Dummy_Style"/>
    <w:aliases w:val="_Dummy"/>
    <w:basedOn w:val="Normal"/>
    <w:semiHidden/>
    <w:qFormat/>
    <w:rsid w:val="0071141B"/>
    <w:rPr>
      <w:color w:val="00B050"/>
      <w:sz w:val="22"/>
    </w:rPr>
  </w:style>
  <w:style w:type="character" w:styleId="Strong">
    <w:name w:val="Strong"/>
    <w:uiPriority w:val="98"/>
    <w:semiHidden/>
    <w:qFormat/>
    <w:rsid w:val="0071141B"/>
    <w:rPr>
      <w:b/>
      <w:bCs/>
    </w:rPr>
  </w:style>
  <w:style w:type="paragraph" w:styleId="NoSpacing">
    <w:name w:val="No Spacing"/>
    <w:basedOn w:val="Normal"/>
    <w:link w:val="NoSpacingChar"/>
    <w:uiPriority w:val="98"/>
    <w:semiHidden/>
    <w:qFormat/>
    <w:rsid w:val="0071141B"/>
  </w:style>
  <w:style w:type="character" w:customStyle="1" w:styleId="NoSpacingChar">
    <w:name w:val="No Spacing Char"/>
    <w:basedOn w:val="DefaultParagraphFont"/>
    <w:link w:val="NoSpacing"/>
    <w:uiPriority w:val="98"/>
    <w:semiHidden/>
    <w:rsid w:val="0071141B"/>
    <w:rPr>
      <w:sz w:val="24"/>
      <w:szCs w:val="24"/>
      <w:lang w:val="en-GB"/>
    </w:rPr>
  </w:style>
  <w:style w:type="paragraph" w:customStyle="1" w:styleId="JuQuot">
    <w:name w:val="Ju_Quot"/>
    <w:aliases w:val="_Quote"/>
    <w:basedOn w:val="NormalJustified"/>
    <w:uiPriority w:val="20"/>
    <w:qFormat/>
    <w:rsid w:val="0071141B"/>
    <w:pPr>
      <w:spacing w:before="120" w:after="120"/>
      <w:ind w:left="425" w:firstLine="142"/>
    </w:pPr>
    <w:rPr>
      <w:sz w:val="20"/>
    </w:rPr>
  </w:style>
  <w:style w:type="paragraph" w:customStyle="1" w:styleId="JuList">
    <w:name w:val="Ju_List"/>
    <w:aliases w:val="_List_1"/>
    <w:basedOn w:val="NormalJustified"/>
    <w:link w:val="JuListChar"/>
    <w:uiPriority w:val="23"/>
    <w:qFormat/>
    <w:rsid w:val="0071141B"/>
    <w:pPr>
      <w:numPr>
        <w:numId w:val="21"/>
      </w:numPr>
      <w:spacing w:before="280" w:after="60"/>
    </w:pPr>
  </w:style>
  <w:style w:type="paragraph" w:customStyle="1" w:styleId="JuListi">
    <w:name w:val="Ju_List_i"/>
    <w:aliases w:val="_List_3"/>
    <w:basedOn w:val="NormalJustified"/>
    <w:uiPriority w:val="23"/>
    <w:rsid w:val="0071141B"/>
    <w:pPr>
      <w:numPr>
        <w:ilvl w:val="2"/>
        <w:numId w:val="21"/>
      </w:numPr>
    </w:pPr>
  </w:style>
  <w:style w:type="paragraph" w:customStyle="1" w:styleId="JuTitle">
    <w:name w:val="Ju_Title"/>
    <w:aliases w:val="_Title_2"/>
    <w:basedOn w:val="Normal"/>
    <w:next w:val="JuPara"/>
    <w:uiPriority w:val="38"/>
    <w:qFormat/>
    <w:rsid w:val="0071141B"/>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1141B"/>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1141B"/>
    <w:pPr>
      <w:keepNext/>
      <w:spacing w:before="100" w:beforeAutospacing="1" w:after="120"/>
      <w:contextualSpacing/>
      <w:jc w:val="center"/>
    </w:pPr>
    <w:rPr>
      <w:b/>
      <w:sz w:val="20"/>
    </w:rPr>
  </w:style>
  <w:style w:type="numbering" w:customStyle="1" w:styleId="ECHRA1StyleBulletedSquare">
    <w:name w:val="ECHR_A1_Style_Bulleted_Square"/>
    <w:basedOn w:val="NoList"/>
    <w:rsid w:val="0071141B"/>
    <w:pPr>
      <w:numPr>
        <w:numId w:val="4"/>
      </w:numPr>
    </w:pPr>
  </w:style>
  <w:style w:type="numbering" w:customStyle="1" w:styleId="ECHRA1StyleList">
    <w:name w:val="ECHR_A1_Style_List"/>
    <w:basedOn w:val="NoList"/>
    <w:uiPriority w:val="99"/>
    <w:rsid w:val="0071141B"/>
    <w:pPr>
      <w:numPr>
        <w:numId w:val="5"/>
      </w:numPr>
    </w:pPr>
  </w:style>
  <w:style w:type="paragraph" w:customStyle="1" w:styleId="JuHHead">
    <w:name w:val="Ju_H_Head"/>
    <w:aliases w:val="_Head_1"/>
    <w:basedOn w:val="Heading1"/>
    <w:next w:val="JuPara"/>
    <w:uiPriority w:val="17"/>
    <w:qFormat/>
    <w:rsid w:val="0071141B"/>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1141B"/>
    <w:pPr>
      <w:numPr>
        <w:numId w:val="6"/>
      </w:numPr>
    </w:pPr>
  </w:style>
  <w:style w:type="table" w:customStyle="1" w:styleId="ECHRTable2019">
    <w:name w:val="ECHR_Table_2019"/>
    <w:basedOn w:val="TableNormal"/>
    <w:uiPriority w:val="99"/>
    <w:rsid w:val="0071141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71141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1141B"/>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1141B"/>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1141B"/>
    <w:pPr>
      <w:tabs>
        <w:tab w:val="center" w:pos="6407"/>
      </w:tabs>
      <w:spacing w:before="720"/>
      <w:jc w:val="right"/>
    </w:pPr>
  </w:style>
  <w:style w:type="character" w:customStyle="1" w:styleId="JuITMark">
    <w:name w:val="Ju_ITMark"/>
    <w:aliases w:val="_ITMark"/>
    <w:basedOn w:val="DefaultParagraphFont"/>
    <w:uiPriority w:val="54"/>
    <w:semiHidden/>
    <w:qFormat/>
    <w:rsid w:val="0071141B"/>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71141B"/>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1141B"/>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1141B"/>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1141B"/>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71141B"/>
    <w:pPr>
      <w:tabs>
        <w:tab w:val="center" w:pos="4536"/>
        <w:tab w:val="right" w:pos="9072"/>
      </w:tabs>
    </w:pPr>
  </w:style>
  <w:style w:type="character" w:customStyle="1" w:styleId="HeaderChar">
    <w:name w:val="Header Char"/>
    <w:basedOn w:val="DefaultParagraphFont"/>
    <w:link w:val="Header0"/>
    <w:uiPriority w:val="98"/>
    <w:semiHidden/>
    <w:rsid w:val="0071141B"/>
    <w:rPr>
      <w:sz w:val="24"/>
      <w:szCs w:val="24"/>
      <w:lang w:val="en-GB"/>
    </w:rPr>
  </w:style>
  <w:style w:type="character" w:customStyle="1" w:styleId="Heading1Char">
    <w:name w:val="Heading 1 Char"/>
    <w:basedOn w:val="DefaultParagraphFont"/>
    <w:link w:val="Heading1"/>
    <w:uiPriority w:val="98"/>
    <w:semiHidden/>
    <w:rsid w:val="0071141B"/>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1141B"/>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1141B"/>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1141B"/>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1141B"/>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71141B"/>
    <w:rPr>
      <w:caps w:val="0"/>
      <w:smallCaps/>
    </w:rPr>
  </w:style>
  <w:style w:type="character" w:customStyle="1" w:styleId="Heading3Char">
    <w:name w:val="Heading 3 Char"/>
    <w:basedOn w:val="DefaultParagraphFont"/>
    <w:link w:val="Heading3"/>
    <w:uiPriority w:val="98"/>
    <w:semiHidden/>
    <w:rsid w:val="0071141B"/>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1141B"/>
    <w:pPr>
      <w:numPr>
        <w:ilvl w:val="1"/>
        <w:numId w:val="21"/>
      </w:numPr>
    </w:pPr>
  </w:style>
  <w:style w:type="paragraph" w:customStyle="1" w:styleId="NormalJustified">
    <w:name w:val="Normal_Justified"/>
    <w:basedOn w:val="Normal"/>
    <w:semiHidden/>
    <w:rsid w:val="0071141B"/>
    <w:pPr>
      <w:jc w:val="both"/>
    </w:pPr>
  </w:style>
  <w:style w:type="character" w:customStyle="1" w:styleId="Heading4Char">
    <w:name w:val="Heading 4 Char"/>
    <w:basedOn w:val="DefaultParagraphFont"/>
    <w:link w:val="Heading4"/>
    <w:uiPriority w:val="98"/>
    <w:semiHidden/>
    <w:rsid w:val="0071141B"/>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1141B"/>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1141B"/>
    <w:rPr>
      <w:i/>
      <w:iCs/>
    </w:rPr>
  </w:style>
  <w:style w:type="table" w:customStyle="1" w:styleId="ECHRTable">
    <w:name w:val="ECHR_Table"/>
    <w:basedOn w:val="TableNormal"/>
    <w:rsid w:val="0071141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1141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71141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1141B"/>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1141B"/>
    <w:pPr>
      <w:keepNext/>
      <w:keepLines/>
      <w:spacing w:after="280"/>
      <w:ind w:firstLine="0"/>
      <w:jc w:val="center"/>
    </w:pPr>
    <w:rPr>
      <w:rFonts w:asciiTheme="majorHAnsi" w:hAnsiTheme="majorHAnsi"/>
    </w:rPr>
  </w:style>
  <w:style w:type="character" w:styleId="Emphasis">
    <w:name w:val="Emphasis"/>
    <w:uiPriority w:val="98"/>
    <w:semiHidden/>
    <w:qFormat/>
    <w:rsid w:val="0071141B"/>
    <w:rPr>
      <w:b/>
      <w:bCs/>
      <w:i/>
      <w:iCs/>
      <w:spacing w:val="10"/>
      <w:bdr w:val="none" w:sz="0" w:space="0" w:color="auto"/>
      <w:shd w:val="clear" w:color="auto" w:fill="auto"/>
    </w:rPr>
  </w:style>
  <w:style w:type="paragraph" w:styleId="Footer1">
    <w:name w:val="footer"/>
    <w:basedOn w:val="Normal"/>
    <w:link w:val="FooterChar"/>
    <w:uiPriority w:val="98"/>
    <w:semiHidden/>
    <w:rsid w:val="0071141B"/>
    <w:pPr>
      <w:tabs>
        <w:tab w:val="center" w:pos="3686"/>
        <w:tab w:val="right" w:pos="7371"/>
      </w:tabs>
    </w:pPr>
  </w:style>
  <w:style w:type="character" w:customStyle="1" w:styleId="FooterChar">
    <w:name w:val="Footer Char"/>
    <w:basedOn w:val="DefaultParagraphFont"/>
    <w:link w:val="Footer1"/>
    <w:uiPriority w:val="98"/>
    <w:semiHidden/>
    <w:rsid w:val="0071141B"/>
    <w:rPr>
      <w:sz w:val="24"/>
      <w:szCs w:val="24"/>
      <w:lang w:val="en-GB"/>
    </w:rPr>
  </w:style>
  <w:style w:type="character" w:styleId="FootnoteReference">
    <w:name w:val="footnote reference"/>
    <w:basedOn w:val="DefaultParagraphFont"/>
    <w:uiPriority w:val="98"/>
    <w:semiHidden/>
    <w:rsid w:val="0071141B"/>
    <w:rPr>
      <w:vertAlign w:val="superscript"/>
    </w:rPr>
  </w:style>
  <w:style w:type="paragraph" w:styleId="FootnoteText">
    <w:name w:val="footnote text"/>
    <w:basedOn w:val="NormalJustified"/>
    <w:link w:val="FootnoteTextChar"/>
    <w:uiPriority w:val="98"/>
    <w:semiHidden/>
    <w:rsid w:val="0071141B"/>
    <w:rPr>
      <w:sz w:val="20"/>
      <w:szCs w:val="20"/>
    </w:rPr>
  </w:style>
  <w:style w:type="character" w:customStyle="1" w:styleId="FootnoteTextChar">
    <w:name w:val="Footnote Text Char"/>
    <w:basedOn w:val="DefaultParagraphFont"/>
    <w:link w:val="FootnoteText"/>
    <w:uiPriority w:val="98"/>
    <w:semiHidden/>
    <w:rsid w:val="0071141B"/>
    <w:rPr>
      <w:sz w:val="20"/>
      <w:szCs w:val="20"/>
      <w:lang w:val="en-GB"/>
    </w:rPr>
  </w:style>
  <w:style w:type="character" w:customStyle="1" w:styleId="Heading6Char">
    <w:name w:val="Heading 6 Char"/>
    <w:basedOn w:val="DefaultParagraphFont"/>
    <w:link w:val="Heading6"/>
    <w:uiPriority w:val="98"/>
    <w:semiHidden/>
    <w:rsid w:val="0071141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1141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1141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1141B"/>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1141B"/>
    <w:rPr>
      <w:b/>
      <w:bCs/>
    </w:rPr>
  </w:style>
  <w:style w:type="paragraph" w:styleId="IntenseQuote">
    <w:name w:val="Intense Quote"/>
    <w:basedOn w:val="Normal"/>
    <w:next w:val="Normal"/>
    <w:link w:val="IntenseQuoteChar"/>
    <w:uiPriority w:val="98"/>
    <w:semiHidden/>
    <w:qFormat/>
    <w:rsid w:val="0071141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1141B"/>
    <w:rPr>
      <w:b/>
      <w:bCs/>
      <w:i/>
      <w:iCs/>
      <w:sz w:val="24"/>
      <w:szCs w:val="24"/>
      <w:lang w:val="en-GB" w:bidi="en-US"/>
    </w:rPr>
  </w:style>
  <w:style w:type="character" w:styleId="IntenseReference">
    <w:name w:val="Intense Reference"/>
    <w:uiPriority w:val="98"/>
    <w:semiHidden/>
    <w:qFormat/>
    <w:rsid w:val="0071141B"/>
    <w:rPr>
      <w:smallCaps/>
      <w:spacing w:val="5"/>
      <w:u w:val="single"/>
    </w:rPr>
  </w:style>
  <w:style w:type="paragraph" w:styleId="ListParagraph">
    <w:name w:val="List Paragraph"/>
    <w:basedOn w:val="Normal"/>
    <w:uiPriority w:val="98"/>
    <w:semiHidden/>
    <w:qFormat/>
    <w:rsid w:val="0071141B"/>
    <w:pPr>
      <w:ind w:left="720"/>
      <w:contextualSpacing/>
    </w:pPr>
  </w:style>
  <w:style w:type="table" w:customStyle="1" w:styleId="LtrTableAddress">
    <w:name w:val="Ltr_Table_Address"/>
    <w:aliases w:val="ECHR_Ltr_Table_Address"/>
    <w:basedOn w:val="TableNormal"/>
    <w:uiPriority w:val="99"/>
    <w:rsid w:val="0071141B"/>
    <w:rPr>
      <w:sz w:val="24"/>
      <w:szCs w:val="24"/>
    </w:rPr>
    <w:tblPr>
      <w:tblInd w:w="5103" w:type="dxa"/>
    </w:tblPr>
  </w:style>
  <w:style w:type="paragraph" w:styleId="Quote0">
    <w:name w:val="Quote"/>
    <w:basedOn w:val="Normal"/>
    <w:next w:val="Normal"/>
    <w:link w:val="QuoteChar"/>
    <w:uiPriority w:val="98"/>
    <w:semiHidden/>
    <w:qFormat/>
    <w:rsid w:val="0071141B"/>
    <w:pPr>
      <w:spacing w:before="200"/>
      <w:ind w:left="360" w:right="360"/>
    </w:pPr>
    <w:rPr>
      <w:i/>
      <w:iCs/>
      <w:lang w:bidi="en-US"/>
    </w:rPr>
  </w:style>
  <w:style w:type="character" w:customStyle="1" w:styleId="QuoteChar">
    <w:name w:val="Quote Char"/>
    <w:basedOn w:val="DefaultParagraphFont"/>
    <w:link w:val="Quote0"/>
    <w:uiPriority w:val="98"/>
    <w:semiHidden/>
    <w:rsid w:val="0071141B"/>
    <w:rPr>
      <w:i/>
      <w:iCs/>
      <w:sz w:val="24"/>
      <w:szCs w:val="24"/>
      <w:lang w:val="en-GB" w:bidi="en-US"/>
    </w:rPr>
  </w:style>
  <w:style w:type="character" w:styleId="SubtleReference">
    <w:name w:val="Subtle Reference"/>
    <w:uiPriority w:val="98"/>
    <w:semiHidden/>
    <w:qFormat/>
    <w:rsid w:val="0071141B"/>
    <w:rPr>
      <w:smallCaps/>
    </w:rPr>
  </w:style>
  <w:style w:type="table" w:styleId="TableGrid">
    <w:name w:val="Table Grid"/>
    <w:basedOn w:val="TableNormal"/>
    <w:uiPriority w:val="59"/>
    <w:semiHidden/>
    <w:rsid w:val="0071141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1141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1141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1141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1141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1141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1141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1141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1141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1141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1141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1141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1141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1141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71141B"/>
    <w:pPr>
      <w:numPr>
        <w:numId w:val="1"/>
      </w:numPr>
    </w:pPr>
  </w:style>
  <w:style w:type="numbering" w:styleId="1ai">
    <w:name w:val="Outline List 1"/>
    <w:basedOn w:val="NoList"/>
    <w:uiPriority w:val="99"/>
    <w:semiHidden/>
    <w:unhideWhenUsed/>
    <w:rsid w:val="0071141B"/>
    <w:pPr>
      <w:numPr>
        <w:numId w:val="2"/>
      </w:numPr>
    </w:pPr>
  </w:style>
  <w:style w:type="paragraph" w:styleId="Bibliography">
    <w:name w:val="Bibliography"/>
    <w:basedOn w:val="Normal"/>
    <w:next w:val="Normal"/>
    <w:uiPriority w:val="98"/>
    <w:semiHidden/>
    <w:rsid w:val="0071141B"/>
  </w:style>
  <w:style w:type="paragraph" w:customStyle="1" w:styleId="JuPara">
    <w:name w:val="Ju_Para"/>
    <w:aliases w:val="_Para"/>
    <w:basedOn w:val="NormalJustified"/>
    <w:link w:val="JuParaChar"/>
    <w:uiPriority w:val="4"/>
    <w:qFormat/>
    <w:rsid w:val="0071141B"/>
    <w:pPr>
      <w:ind w:firstLine="284"/>
    </w:pPr>
  </w:style>
  <w:style w:type="paragraph" w:styleId="BlockText">
    <w:name w:val="Block Text"/>
    <w:basedOn w:val="Normal"/>
    <w:uiPriority w:val="98"/>
    <w:semiHidden/>
    <w:rsid w:val="0071141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1141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1141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71141B"/>
    <w:pPr>
      <w:spacing w:after="120"/>
    </w:pPr>
  </w:style>
  <w:style w:type="table" w:customStyle="1" w:styleId="ECHRTableForInternalUse">
    <w:name w:val="ECHR_Table_For_Internal_Use"/>
    <w:basedOn w:val="TableNormal"/>
    <w:uiPriority w:val="99"/>
    <w:rsid w:val="0071141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1141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1141B"/>
    <w:rPr>
      <w:sz w:val="24"/>
      <w:szCs w:val="24"/>
      <w:lang w:val="en-GB"/>
    </w:rPr>
  </w:style>
  <w:style w:type="paragraph" w:styleId="BodyText2">
    <w:name w:val="Body Text 2"/>
    <w:basedOn w:val="Normal"/>
    <w:link w:val="BodyText2Char"/>
    <w:uiPriority w:val="98"/>
    <w:semiHidden/>
    <w:rsid w:val="0071141B"/>
    <w:pPr>
      <w:spacing w:after="120" w:line="480" w:lineRule="auto"/>
    </w:pPr>
  </w:style>
  <w:style w:type="table" w:customStyle="1" w:styleId="ECHRHeaderTable">
    <w:name w:val="ECHR_Header_Table"/>
    <w:basedOn w:val="TableNormal"/>
    <w:uiPriority w:val="99"/>
    <w:rsid w:val="0071141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1141B"/>
    <w:rPr>
      <w:sz w:val="24"/>
      <w:szCs w:val="24"/>
      <w:lang w:val="en-GB"/>
    </w:rPr>
  </w:style>
  <w:style w:type="paragraph" w:styleId="BodyText3">
    <w:name w:val="Body Text 3"/>
    <w:basedOn w:val="Normal"/>
    <w:link w:val="BodyText3Char"/>
    <w:uiPriority w:val="98"/>
    <w:semiHidden/>
    <w:rsid w:val="0071141B"/>
    <w:pPr>
      <w:spacing w:after="120"/>
    </w:pPr>
    <w:rPr>
      <w:sz w:val="16"/>
      <w:szCs w:val="16"/>
    </w:rPr>
  </w:style>
  <w:style w:type="table" w:customStyle="1" w:styleId="ECHRTableOddBanded">
    <w:name w:val="ECHR_Table_Odd_Banded"/>
    <w:basedOn w:val="TableNormal"/>
    <w:uiPriority w:val="99"/>
    <w:rsid w:val="0071141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1141B"/>
    <w:pPr>
      <w:tabs>
        <w:tab w:val="left" w:pos="567"/>
        <w:tab w:val="left" w:pos="1134"/>
      </w:tabs>
    </w:pPr>
  </w:style>
  <w:style w:type="table" w:customStyle="1" w:styleId="ECHRHeaderTableReduced">
    <w:name w:val="ECHR_Header_Table_Reduced"/>
    <w:basedOn w:val="TableNormal"/>
    <w:uiPriority w:val="99"/>
    <w:rsid w:val="0071141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1141B"/>
    <w:rPr>
      <w:sz w:val="16"/>
      <w:szCs w:val="16"/>
      <w:lang w:val="en-GB"/>
    </w:rPr>
  </w:style>
  <w:style w:type="paragraph" w:styleId="BodyTextFirstIndent">
    <w:name w:val="Body Text First Indent"/>
    <w:basedOn w:val="BodyText"/>
    <w:link w:val="BodyTextFirstIndentChar"/>
    <w:uiPriority w:val="98"/>
    <w:semiHidden/>
    <w:rsid w:val="0071141B"/>
    <w:pPr>
      <w:spacing w:after="0"/>
      <w:ind w:firstLine="360"/>
    </w:pPr>
  </w:style>
  <w:style w:type="character" w:customStyle="1" w:styleId="BodyTextFirstIndentChar">
    <w:name w:val="Body Text First Indent Char"/>
    <w:basedOn w:val="BodyTextChar"/>
    <w:link w:val="BodyTextFirstIndent"/>
    <w:uiPriority w:val="98"/>
    <w:semiHidden/>
    <w:rsid w:val="0071141B"/>
    <w:rPr>
      <w:sz w:val="24"/>
      <w:szCs w:val="24"/>
      <w:lang w:val="en-GB"/>
    </w:rPr>
  </w:style>
  <w:style w:type="character" w:styleId="PlaceholderText">
    <w:name w:val="Placeholder Text"/>
    <w:basedOn w:val="DefaultParagraphFont"/>
    <w:uiPriority w:val="98"/>
    <w:semiHidden/>
    <w:rsid w:val="0071141B"/>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1141B"/>
    <w:pPr>
      <w:tabs>
        <w:tab w:val="center" w:pos="1418"/>
        <w:tab w:val="center" w:pos="5954"/>
      </w:tabs>
      <w:spacing w:before="720"/>
    </w:pPr>
  </w:style>
  <w:style w:type="character" w:styleId="PageNumber">
    <w:name w:val="page number"/>
    <w:uiPriority w:val="98"/>
    <w:semiHidden/>
    <w:rsid w:val="0071141B"/>
    <w:rPr>
      <w:sz w:val="18"/>
    </w:rPr>
  </w:style>
  <w:style w:type="character" w:styleId="CommentReference">
    <w:name w:val="annotation reference"/>
    <w:basedOn w:val="DefaultParagraphFont"/>
    <w:uiPriority w:val="98"/>
    <w:semiHidden/>
    <w:rsid w:val="0071141B"/>
    <w:rPr>
      <w:sz w:val="16"/>
      <w:szCs w:val="16"/>
    </w:rPr>
  </w:style>
  <w:style w:type="paragraph" w:styleId="CommentText">
    <w:name w:val="annotation text"/>
    <w:basedOn w:val="Normal"/>
    <w:link w:val="CommentTextChar"/>
    <w:uiPriority w:val="98"/>
    <w:semiHidden/>
    <w:rsid w:val="0071141B"/>
    <w:rPr>
      <w:sz w:val="20"/>
      <w:szCs w:val="20"/>
    </w:rPr>
  </w:style>
  <w:style w:type="character" w:customStyle="1" w:styleId="CommentTextChar">
    <w:name w:val="Comment Text Char"/>
    <w:basedOn w:val="DefaultParagraphFont"/>
    <w:link w:val="CommentText"/>
    <w:uiPriority w:val="98"/>
    <w:semiHidden/>
    <w:rsid w:val="0071141B"/>
    <w:rPr>
      <w:sz w:val="20"/>
      <w:szCs w:val="20"/>
      <w:lang w:val="en-GB"/>
    </w:rPr>
  </w:style>
  <w:style w:type="paragraph" w:customStyle="1" w:styleId="DecHTitle">
    <w:name w:val="Dec_H_Title"/>
    <w:aliases w:val="_Title_1"/>
    <w:basedOn w:val="JuPara"/>
    <w:next w:val="JuPara"/>
    <w:uiPriority w:val="38"/>
    <w:qFormat/>
    <w:rsid w:val="0071141B"/>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1141B"/>
    <w:pPr>
      <w:keepNext/>
      <w:keepLines/>
      <w:spacing w:before="240" w:after="240"/>
      <w:ind w:firstLine="284"/>
    </w:pPr>
  </w:style>
  <w:style w:type="numbering" w:styleId="ArticleSection">
    <w:name w:val="Outline List 3"/>
    <w:basedOn w:val="NoList"/>
    <w:uiPriority w:val="99"/>
    <w:semiHidden/>
    <w:unhideWhenUsed/>
    <w:rsid w:val="0071141B"/>
    <w:pPr>
      <w:numPr>
        <w:numId w:val="3"/>
      </w:numPr>
    </w:pPr>
  </w:style>
  <w:style w:type="paragraph" w:styleId="ListBullet">
    <w:name w:val="List Bullet"/>
    <w:basedOn w:val="Normal"/>
    <w:uiPriority w:val="98"/>
    <w:semiHidden/>
    <w:rsid w:val="0071141B"/>
    <w:pPr>
      <w:numPr>
        <w:numId w:val="8"/>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71141B"/>
    <w:pPr>
      <w:ind w:firstLine="284"/>
    </w:pPr>
    <w:rPr>
      <w:b/>
    </w:rPr>
  </w:style>
  <w:style w:type="paragraph" w:styleId="BodyTextIndent">
    <w:name w:val="Body Text Indent"/>
    <w:basedOn w:val="Normal"/>
    <w:link w:val="BodyTextIndentChar"/>
    <w:uiPriority w:val="98"/>
    <w:semiHidden/>
    <w:rsid w:val="0071141B"/>
    <w:pPr>
      <w:spacing w:after="120"/>
      <w:ind w:left="283"/>
    </w:pPr>
  </w:style>
  <w:style w:type="character" w:customStyle="1" w:styleId="BodyTextIndentChar">
    <w:name w:val="Body Text Indent Char"/>
    <w:basedOn w:val="DefaultParagraphFont"/>
    <w:link w:val="BodyTextIndent"/>
    <w:uiPriority w:val="98"/>
    <w:semiHidden/>
    <w:rsid w:val="0071141B"/>
    <w:rPr>
      <w:sz w:val="24"/>
      <w:szCs w:val="24"/>
      <w:lang w:val="en-GB"/>
    </w:rPr>
  </w:style>
  <w:style w:type="paragraph" w:styleId="BodyTextFirstIndent2">
    <w:name w:val="Body Text First Indent 2"/>
    <w:basedOn w:val="BodyTextIndent"/>
    <w:link w:val="BodyTextFirstIndent2Char"/>
    <w:uiPriority w:val="98"/>
    <w:semiHidden/>
    <w:rsid w:val="0071141B"/>
    <w:pPr>
      <w:spacing w:after="0"/>
      <w:ind w:left="360" w:firstLine="360"/>
    </w:pPr>
  </w:style>
  <w:style w:type="character" w:customStyle="1" w:styleId="BodyTextFirstIndent2Char">
    <w:name w:val="Body Text First Indent 2 Char"/>
    <w:basedOn w:val="BodyTextIndentChar"/>
    <w:link w:val="BodyTextFirstIndent2"/>
    <w:uiPriority w:val="98"/>
    <w:semiHidden/>
    <w:rsid w:val="0071141B"/>
    <w:rPr>
      <w:sz w:val="24"/>
      <w:szCs w:val="24"/>
      <w:lang w:val="en-GB"/>
    </w:rPr>
  </w:style>
  <w:style w:type="paragraph" w:styleId="BodyTextIndent2">
    <w:name w:val="Body Text Indent 2"/>
    <w:basedOn w:val="Normal"/>
    <w:link w:val="BodyTextIndent2Char"/>
    <w:uiPriority w:val="98"/>
    <w:semiHidden/>
    <w:rsid w:val="0071141B"/>
    <w:pPr>
      <w:spacing w:after="120" w:line="480" w:lineRule="auto"/>
      <w:ind w:left="283"/>
    </w:pPr>
  </w:style>
  <w:style w:type="character" w:customStyle="1" w:styleId="BodyTextIndent2Char">
    <w:name w:val="Body Text Indent 2 Char"/>
    <w:basedOn w:val="DefaultParagraphFont"/>
    <w:link w:val="BodyTextIndent2"/>
    <w:uiPriority w:val="98"/>
    <w:semiHidden/>
    <w:rsid w:val="0071141B"/>
    <w:rPr>
      <w:sz w:val="24"/>
      <w:szCs w:val="24"/>
      <w:lang w:val="en-GB"/>
    </w:rPr>
  </w:style>
  <w:style w:type="paragraph" w:styleId="BodyTextIndent3">
    <w:name w:val="Body Text Indent 3"/>
    <w:basedOn w:val="Normal"/>
    <w:link w:val="BodyTextIndent3Char"/>
    <w:uiPriority w:val="98"/>
    <w:semiHidden/>
    <w:rsid w:val="0071141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1141B"/>
    <w:rPr>
      <w:sz w:val="16"/>
      <w:szCs w:val="16"/>
      <w:lang w:val="en-GB"/>
    </w:rPr>
  </w:style>
  <w:style w:type="paragraph" w:styleId="Caption">
    <w:name w:val="caption"/>
    <w:basedOn w:val="Normal"/>
    <w:next w:val="Normal"/>
    <w:uiPriority w:val="98"/>
    <w:semiHidden/>
    <w:qFormat/>
    <w:rsid w:val="0071141B"/>
    <w:pPr>
      <w:spacing w:after="200"/>
    </w:pPr>
    <w:rPr>
      <w:b/>
      <w:bCs/>
      <w:color w:val="0072BC" w:themeColor="accent1"/>
      <w:sz w:val="18"/>
      <w:szCs w:val="18"/>
    </w:rPr>
  </w:style>
  <w:style w:type="paragraph" w:styleId="Closing">
    <w:name w:val="Closing"/>
    <w:basedOn w:val="Normal"/>
    <w:link w:val="ClosingChar"/>
    <w:uiPriority w:val="98"/>
    <w:semiHidden/>
    <w:rsid w:val="0071141B"/>
    <w:pPr>
      <w:ind w:left="4252"/>
    </w:pPr>
  </w:style>
  <w:style w:type="character" w:customStyle="1" w:styleId="ClosingChar">
    <w:name w:val="Closing Char"/>
    <w:basedOn w:val="DefaultParagraphFont"/>
    <w:link w:val="Closing"/>
    <w:uiPriority w:val="98"/>
    <w:semiHidden/>
    <w:rsid w:val="0071141B"/>
    <w:rPr>
      <w:sz w:val="24"/>
      <w:szCs w:val="24"/>
      <w:lang w:val="en-GB"/>
    </w:rPr>
  </w:style>
  <w:style w:type="table" w:styleId="ColorfulGrid">
    <w:name w:val="Colorful Grid"/>
    <w:basedOn w:val="TableNormal"/>
    <w:uiPriority w:val="73"/>
    <w:semiHidden/>
    <w:rsid w:val="0071141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1141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1141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1141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1141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1141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1141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1141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1141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1141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1141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1141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1141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1141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1141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1141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1141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1141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1141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1141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1141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1141B"/>
    <w:rPr>
      <w:b/>
      <w:bCs/>
    </w:rPr>
  </w:style>
  <w:style w:type="character" w:customStyle="1" w:styleId="CommentSubjectChar">
    <w:name w:val="Comment Subject Char"/>
    <w:basedOn w:val="CommentTextChar"/>
    <w:link w:val="CommentSubject"/>
    <w:uiPriority w:val="98"/>
    <w:semiHidden/>
    <w:rsid w:val="0071141B"/>
    <w:rPr>
      <w:b/>
      <w:bCs/>
      <w:sz w:val="20"/>
      <w:szCs w:val="20"/>
      <w:lang w:val="en-GB"/>
    </w:rPr>
  </w:style>
  <w:style w:type="table" w:styleId="DarkList">
    <w:name w:val="Dark List"/>
    <w:basedOn w:val="TableNormal"/>
    <w:uiPriority w:val="70"/>
    <w:semiHidden/>
    <w:rsid w:val="0071141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1141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1141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1141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1141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1141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1141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1141B"/>
  </w:style>
  <w:style w:type="character" w:customStyle="1" w:styleId="DateChar">
    <w:name w:val="Date Char"/>
    <w:basedOn w:val="DefaultParagraphFont"/>
    <w:link w:val="Date"/>
    <w:uiPriority w:val="98"/>
    <w:semiHidden/>
    <w:rsid w:val="0071141B"/>
    <w:rPr>
      <w:sz w:val="24"/>
      <w:szCs w:val="24"/>
      <w:lang w:val="en-GB"/>
    </w:rPr>
  </w:style>
  <w:style w:type="paragraph" w:styleId="DocumentMap">
    <w:name w:val="Document Map"/>
    <w:basedOn w:val="Normal"/>
    <w:link w:val="DocumentMapChar"/>
    <w:uiPriority w:val="98"/>
    <w:semiHidden/>
    <w:rsid w:val="0071141B"/>
    <w:rPr>
      <w:rFonts w:ascii="Tahoma" w:hAnsi="Tahoma" w:cs="Tahoma"/>
      <w:sz w:val="16"/>
      <w:szCs w:val="16"/>
    </w:rPr>
  </w:style>
  <w:style w:type="character" w:customStyle="1" w:styleId="DocumentMapChar">
    <w:name w:val="Document Map Char"/>
    <w:basedOn w:val="DefaultParagraphFont"/>
    <w:link w:val="DocumentMap"/>
    <w:uiPriority w:val="98"/>
    <w:semiHidden/>
    <w:rsid w:val="0071141B"/>
    <w:rPr>
      <w:rFonts w:ascii="Tahoma" w:hAnsi="Tahoma" w:cs="Tahoma"/>
      <w:sz w:val="16"/>
      <w:szCs w:val="16"/>
      <w:lang w:val="en-GB"/>
    </w:rPr>
  </w:style>
  <w:style w:type="paragraph" w:styleId="E-mailSignature">
    <w:name w:val="E-mail Signature"/>
    <w:basedOn w:val="Normal"/>
    <w:link w:val="E-mailSignatureChar"/>
    <w:uiPriority w:val="98"/>
    <w:semiHidden/>
    <w:rsid w:val="0071141B"/>
  </w:style>
  <w:style w:type="character" w:customStyle="1" w:styleId="E-mailSignatureChar">
    <w:name w:val="E-mail Signature Char"/>
    <w:basedOn w:val="DefaultParagraphFont"/>
    <w:link w:val="E-mailSignature"/>
    <w:uiPriority w:val="98"/>
    <w:semiHidden/>
    <w:rsid w:val="0071141B"/>
    <w:rPr>
      <w:sz w:val="24"/>
      <w:szCs w:val="24"/>
      <w:lang w:val="en-GB"/>
    </w:rPr>
  </w:style>
  <w:style w:type="character" w:styleId="EndnoteReference">
    <w:name w:val="endnote reference"/>
    <w:basedOn w:val="DefaultParagraphFont"/>
    <w:uiPriority w:val="98"/>
    <w:semiHidden/>
    <w:rsid w:val="0071141B"/>
    <w:rPr>
      <w:vertAlign w:val="superscript"/>
    </w:rPr>
  </w:style>
  <w:style w:type="paragraph" w:styleId="EndnoteText">
    <w:name w:val="endnote text"/>
    <w:basedOn w:val="Normal"/>
    <w:link w:val="EndnoteTextChar"/>
    <w:uiPriority w:val="98"/>
    <w:semiHidden/>
    <w:rsid w:val="0071141B"/>
    <w:rPr>
      <w:sz w:val="20"/>
      <w:szCs w:val="20"/>
    </w:rPr>
  </w:style>
  <w:style w:type="character" w:customStyle="1" w:styleId="EndnoteTextChar">
    <w:name w:val="Endnote Text Char"/>
    <w:basedOn w:val="DefaultParagraphFont"/>
    <w:link w:val="EndnoteText"/>
    <w:uiPriority w:val="98"/>
    <w:semiHidden/>
    <w:rsid w:val="0071141B"/>
    <w:rPr>
      <w:sz w:val="20"/>
      <w:szCs w:val="20"/>
      <w:lang w:val="en-GB"/>
    </w:rPr>
  </w:style>
  <w:style w:type="paragraph" w:styleId="EnvelopeAddress">
    <w:name w:val="envelope address"/>
    <w:basedOn w:val="Normal"/>
    <w:uiPriority w:val="98"/>
    <w:semiHidden/>
    <w:rsid w:val="0071141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1141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1141B"/>
    <w:rPr>
      <w:color w:val="7030A0" w:themeColor="followedHyperlink"/>
      <w:u w:val="single"/>
    </w:rPr>
  </w:style>
  <w:style w:type="character" w:styleId="HTMLAcronym">
    <w:name w:val="HTML Acronym"/>
    <w:basedOn w:val="DefaultParagraphFont"/>
    <w:uiPriority w:val="98"/>
    <w:semiHidden/>
    <w:rsid w:val="0071141B"/>
  </w:style>
  <w:style w:type="paragraph" w:styleId="HTMLAddress">
    <w:name w:val="HTML Address"/>
    <w:basedOn w:val="Normal"/>
    <w:link w:val="HTMLAddressChar"/>
    <w:uiPriority w:val="98"/>
    <w:semiHidden/>
    <w:rsid w:val="0071141B"/>
    <w:rPr>
      <w:i/>
      <w:iCs/>
    </w:rPr>
  </w:style>
  <w:style w:type="character" w:customStyle="1" w:styleId="HTMLAddressChar">
    <w:name w:val="HTML Address Char"/>
    <w:basedOn w:val="DefaultParagraphFont"/>
    <w:link w:val="HTMLAddress"/>
    <w:uiPriority w:val="98"/>
    <w:semiHidden/>
    <w:rsid w:val="0071141B"/>
    <w:rPr>
      <w:i/>
      <w:iCs/>
      <w:sz w:val="24"/>
      <w:szCs w:val="24"/>
      <w:lang w:val="en-GB"/>
    </w:rPr>
  </w:style>
  <w:style w:type="character" w:styleId="HTMLCite">
    <w:name w:val="HTML Cite"/>
    <w:basedOn w:val="DefaultParagraphFont"/>
    <w:uiPriority w:val="98"/>
    <w:semiHidden/>
    <w:rsid w:val="0071141B"/>
    <w:rPr>
      <w:i/>
      <w:iCs/>
    </w:rPr>
  </w:style>
  <w:style w:type="character" w:styleId="HTMLCode">
    <w:name w:val="HTML Code"/>
    <w:basedOn w:val="DefaultParagraphFont"/>
    <w:uiPriority w:val="98"/>
    <w:semiHidden/>
    <w:rsid w:val="0071141B"/>
    <w:rPr>
      <w:rFonts w:ascii="Consolas" w:hAnsi="Consolas" w:cs="Consolas"/>
      <w:sz w:val="20"/>
      <w:szCs w:val="20"/>
    </w:rPr>
  </w:style>
  <w:style w:type="character" w:styleId="HTMLDefinition">
    <w:name w:val="HTML Definition"/>
    <w:basedOn w:val="DefaultParagraphFont"/>
    <w:uiPriority w:val="98"/>
    <w:semiHidden/>
    <w:rsid w:val="0071141B"/>
    <w:rPr>
      <w:i/>
      <w:iCs/>
    </w:rPr>
  </w:style>
  <w:style w:type="character" w:styleId="HTMLKeyboard">
    <w:name w:val="HTML Keyboard"/>
    <w:basedOn w:val="DefaultParagraphFont"/>
    <w:uiPriority w:val="98"/>
    <w:semiHidden/>
    <w:rsid w:val="0071141B"/>
    <w:rPr>
      <w:rFonts w:ascii="Consolas" w:hAnsi="Consolas" w:cs="Consolas"/>
      <w:sz w:val="20"/>
      <w:szCs w:val="20"/>
    </w:rPr>
  </w:style>
  <w:style w:type="paragraph" w:styleId="HTMLPreformatted">
    <w:name w:val="HTML Preformatted"/>
    <w:basedOn w:val="Normal"/>
    <w:link w:val="HTMLPreformattedChar"/>
    <w:uiPriority w:val="98"/>
    <w:semiHidden/>
    <w:rsid w:val="0071141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1141B"/>
    <w:rPr>
      <w:rFonts w:ascii="Consolas" w:hAnsi="Consolas" w:cs="Consolas"/>
      <w:sz w:val="20"/>
      <w:szCs w:val="20"/>
      <w:lang w:val="en-GB"/>
    </w:rPr>
  </w:style>
  <w:style w:type="character" w:styleId="HTMLSample">
    <w:name w:val="HTML Sample"/>
    <w:basedOn w:val="DefaultParagraphFont"/>
    <w:uiPriority w:val="98"/>
    <w:semiHidden/>
    <w:rsid w:val="0071141B"/>
    <w:rPr>
      <w:rFonts w:ascii="Consolas" w:hAnsi="Consolas" w:cs="Consolas"/>
      <w:sz w:val="24"/>
      <w:szCs w:val="24"/>
    </w:rPr>
  </w:style>
  <w:style w:type="character" w:styleId="HTMLTypewriter">
    <w:name w:val="HTML Typewriter"/>
    <w:basedOn w:val="DefaultParagraphFont"/>
    <w:uiPriority w:val="98"/>
    <w:semiHidden/>
    <w:rsid w:val="0071141B"/>
    <w:rPr>
      <w:rFonts w:ascii="Consolas" w:hAnsi="Consolas" w:cs="Consolas"/>
      <w:sz w:val="20"/>
      <w:szCs w:val="20"/>
    </w:rPr>
  </w:style>
  <w:style w:type="character" w:styleId="HTMLVariable">
    <w:name w:val="HTML Variable"/>
    <w:basedOn w:val="DefaultParagraphFont"/>
    <w:uiPriority w:val="98"/>
    <w:semiHidden/>
    <w:rsid w:val="0071141B"/>
    <w:rPr>
      <w:i/>
      <w:iCs/>
    </w:rPr>
  </w:style>
  <w:style w:type="paragraph" w:styleId="Index1">
    <w:name w:val="index 1"/>
    <w:basedOn w:val="Normal"/>
    <w:next w:val="Normal"/>
    <w:autoRedefine/>
    <w:uiPriority w:val="98"/>
    <w:semiHidden/>
    <w:rsid w:val="0071141B"/>
    <w:pPr>
      <w:ind w:left="240" w:hanging="240"/>
    </w:pPr>
  </w:style>
  <w:style w:type="paragraph" w:styleId="Index2">
    <w:name w:val="index 2"/>
    <w:basedOn w:val="Normal"/>
    <w:next w:val="Normal"/>
    <w:autoRedefine/>
    <w:uiPriority w:val="98"/>
    <w:semiHidden/>
    <w:rsid w:val="0071141B"/>
    <w:pPr>
      <w:ind w:left="480" w:hanging="240"/>
    </w:pPr>
  </w:style>
  <w:style w:type="paragraph" w:styleId="Index3">
    <w:name w:val="index 3"/>
    <w:basedOn w:val="Normal"/>
    <w:next w:val="Normal"/>
    <w:autoRedefine/>
    <w:uiPriority w:val="98"/>
    <w:semiHidden/>
    <w:rsid w:val="0071141B"/>
    <w:pPr>
      <w:ind w:left="720" w:hanging="240"/>
    </w:pPr>
  </w:style>
  <w:style w:type="paragraph" w:styleId="Index4">
    <w:name w:val="index 4"/>
    <w:basedOn w:val="Normal"/>
    <w:next w:val="Normal"/>
    <w:autoRedefine/>
    <w:uiPriority w:val="98"/>
    <w:semiHidden/>
    <w:rsid w:val="0071141B"/>
    <w:pPr>
      <w:ind w:left="960" w:hanging="240"/>
    </w:pPr>
  </w:style>
  <w:style w:type="paragraph" w:styleId="Index5">
    <w:name w:val="index 5"/>
    <w:basedOn w:val="Normal"/>
    <w:next w:val="Normal"/>
    <w:autoRedefine/>
    <w:uiPriority w:val="98"/>
    <w:semiHidden/>
    <w:rsid w:val="0071141B"/>
    <w:pPr>
      <w:ind w:left="1200" w:hanging="240"/>
    </w:pPr>
  </w:style>
  <w:style w:type="paragraph" w:styleId="Index6">
    <w:name w:val="index 6"/>
    <w:basedOn w:val="Normal"/>
    <w:next w:val="Normal"/>
    <w:autoRedefine/>
    <w:uiPriority w:val="98"/>
    <w:semiHidden/>
    <w:rsid w:val="0071141B"/>
    <w:pPr>
      <w:ind w:left="1440" w:hanging="240"/>
    </w:pPr>
  </w:style>
  <w:style w:type="paragraph" w:styleId="Index7">
    <w:name w:val="index 7"/>
    <w:basedOn w:val="Normal"/>
    <w:next w:val="Normal"/>
    <w:autoRedefine/>
    <w:uiPriority w:val="98"/>
    <w:semiHidden/>
    <w:rsid w:val="0071141B"/>
    <w:pPr>
      <w:ind w:left="1680" w:hanging="240"/>
    </w:pPr>
  </w:style>
  <w:style w:type="paragraph" w:styleId="Index8">
    <w:name w:val="index 8"/>
    <w:basedOn w:val="Normal"/>
    <w:next w:val="Normal"/>
    <w:autoRedefine/>
    <w:uiPriority w:val="98"/>
    <w:semiHidden/>
    <w:rsid w:val="0071141B"/>
    <w:pPr>
      <w:ind w:left="1920" w:hanging="240"/>
    </w:pPr>
  </w:style>
  <w:style w:type="paragraph" w:styleId="Index9">
    <w:name w:val="index 9"/>
    <w:basedOn w:val="Normal"/>
    <w:next w:val="Normal"/>
    <w:autoRedefine/>
    <w:uiPriority w:val="98"/>
    <w:semiHidden/>
    <w:rsid w:val="0071141B"/>
    <w:pPr>
      <w:ind w:left="2160" w:hanging="240"/>
    </w:pPr>
  </w:style>
  <w:style w:type="paragraph" w:styleId="IndexHeading">
    <w:name w:val="index heading"/>
    <w:basedOn w:val="Normal"/>
    <w:next w:val="Index1"/>
    <w:uiPriority w:val="98"/>
    <w:semiHidden/>
    <w:rsid w:val="0071141B"/>
    <w:rPr>
      <w:rFonts w:asciiTheme="majorHAnsi" w:eastAsiaTheme="majorEastAsia" w:hAnsiTheme="majorHAnsi" w:cstheme="majorBidi"/>
      <w:b/>
      <w:bCs/>
    </w:rPr>
  </w:style>
  <w:style w:type="table" w:styleId="LightGrid">
    <w:name w:val="Light Grid"/>
    <w:basedOn w:val="TableNormal"/>
    <w:uiPriority w:val="62"/>
    <w:semiHidden/>
    <w:rsid w:val="0071141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1141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1141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1141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1141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1141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1141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1141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1141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1141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1141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1141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1141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1141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1141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1141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1141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1141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1141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1141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1141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1141B"/>
  </w:style>
  <w:style w:type="paragraph" w:styleId="List">
    <w:name w:val="List"/>
    <w:basedOn w:val="Normal"/>
    <w:uiPriority w:val="98"/>
    <w:semiHidden/>
    <w:rsid w:val="0071141B"/>
    <w:pPr>
      <w:ind w:left="283" w:hanging="283"/>
      <w:contextualSpacing/>
    </w:pPr>
  </w:style>
  <w:style w:type="paragraph" w:styleId="List20">
    <w:name w:val="List 2"/>
    <w:basedOn w:val="Normal"/>
    <w:uiPriority w:val="98"/>
    <w:semiHidden/>
    <w:rsid w:val="0071141B"/>
    <w:pPr>
      <w:ind w:left="566" w:hanging="283"/>
      <w:contextualSpacing/>
    </w:pPr>
  </w:style>
  <w:style w:type="paragraph" w:styleId="List30">
    <w:name w:val="List 3"/>
    <w:basedOn w:val="Normal"/>
    <w:uiPriority w:val="98"/>
    <w:semiHidden/>
    <w:rsid w:val="0071141B"/>
    <w:pPr>
      <w:ind w:left="849" w:hanging="283"/>
      <w:contextualSpacing/>
    </w:pPr>
  </w:style>
  <w:style w:type="paragraph" w:styleId="List4">
    <w:name w:val="List 4"/>
    <w:basedOn w:val="Normal"/>
    <w:uiPriority w:val="98"/>
    <w:semiHidden/>
    <w:rsid w:val="0071141B"/>
    <w:pPr>
      <w:ind w:left="1132" w:hanging="283"/>
      <w:contextualSpacing/>
    </w:pPr>
  </w:style>
  <w:style w:type="paragraph" w:styleId="List5">
    <w:name w:val="List 5"/>
    <w:basedOn w:val="Normal"/>
    <w:uiPriority w:val="98"/>
    <w:semiHidden/>
    <w:rsid w:val="0071141B"/>
    <w:pPr>
      <w:ind w:left="1415" w:hanging="283"/>
      <w:contextualSpacing/>
    </w:pPr>
  </w:style>
  <w:style w:type="paragraph" w:styleId="ListBullet2">
    <w:name w:val="List Bullet 2"/>
    <w:basedOn w:val="Normal"/>
    <w:uiPriority w:val="98"/>
    <w:semiHidden/>
    <w:rsid w:val="0071141B"/>
    <w:pPr>
      <w:numPr>
        <w:numId w:val="9"/>
      </w:numPr>
      <w:contextualSpacing/>
    </w:pPr>
  </w:style>
  <w:style w:type="paragraph" w:styleId="ListBullet3">
    <w:name w:val="List Bullet 3"/>
    <w:basedOn w:val="Normal"/>
    <w:uiPriority w:val="98"/>
    <w:semiHidden/>
    <w:rsid w:val="0071141B"/>
    <w:pPr>
      <w:numPr>
        <w:numId w:val="10"/>
      </w:numPr>
      <w:contextualSpacing/>
    </w:pPr>
  </w:style>
  <w:style w:type="paragraph" w:styleId="ListBullet4">
    <w:name w:val="List Bullet 4"/>
    <w:basedOn w:val="Normal"/>
    <w:uiPriority w:val="98"/>
    <w:semiHidden/>
    <w:rsid w:val="0071141B"/>
    <w:pPr>
      <w:numPr>
        <w:numId w:val="11"/>
      </w:numPr>
      <w:contextualSpacing/>
    </w:pPr>
  </w:style>
  <w:style w:type="paragraph" w:styleId="ListBullet5">
    <w:name w:val="List Bullet 5"/>
    <w:basedOn w:val="Normal"/>
    <w:uiPriority w:val="98"/>
    <w:semiHidden/>
    <w:rsid w:val="0071141B"/>
    <w:pPr>
      <w:numPr>
        <w:numId w:val="12"/>
      </w:numPr>
      <w:contextualSpacing/>
    </w:pPr>
  </w:style>
  <w:style w:type="paragraph" w:styleId="ListContinue">
    <w:name w:val="List Continue"/>
    <w:basedOn w:val="Normal"/>
    <w:uiPriority w:val="98"/>
    <w:semiHidden/>
    <w:rsid w:val="0071141B"/>
    <w:pPr>
      <w:spacing w:after="120"/>
      <w:ind w:left="283"/>
      <w:contextualSpacing/>
    </w:pPr>
  </w:style>
  <w:style w:type="paragraph" w:styleId="ListContinue2">
    <w:name w:val="List Continue 2"/>
    <w:basedOn w:val="Normal"/>
    <w:uiPriority w:val="98"/>
    <w:semiHidden/>
    <w:rsid w:val="0071141B"/>
    <w:pPr>
      <w:spacing w:after="120"/>
      <w:ind w:left="566"/>
      <w:contextualSpacing/>
    </w:pPr>
  </w:style>
  <w:style w:type="paragraph" w:styleId="ListContinue3">
    <w:name w:val="List Continue 3"/>
    <w:basedOn w:val="Normal"/>
    <w:uiPriority w:val="98"/>
    <w:semiHidden/>
    <w:rsid w:val="0071141B"/>
    <w:pPr>
      <w:spacing w:after="120"/>
      <w:ind w:left="849"/>
      <w:contextualSpacing/>
    </w:pPr>
  </w:style>
  <w:style w:type="paragraph" w:styleId="ListContinue4">
    <w:name w:val="List Continue 4"/>
    <w:basedOn w:val="Normal"/>
    <w:uiPriority w:val="98"/>
    <w:semiHidden/>
    <w:rsid w:val="0071141B"/>
    <w:pPr>
      <w:spacing w:after="120"/>
      <w:ind w:left="1132"/>
      <w:contextualSpacing/>
    </w:pPr>
  </w:style>
  <w:style w:type="paragraph" w:styleId="ListContinue5">
    <w:name w:val="List Continue 5"/>
    <w:basedOn w:val="Normal"/>
    <w:uiPriority w:val="98"/>
    <w:semiHidden/>
    <w:rsid w:val="0071141B"/>
    <w:pPr>
      <w:spacing w:after="120"/>
      <w:ind w:left="1415"/>
      <w:contextualSpacing/>
    </w:pPr>
  </w:style>
  <w:style w:type="paragraph" w:styleId="ListNumber">
    <w:name w:val="List Number"/>
    <w:basedOn w:val="Normal"/>
    <w:uiPriority w:val="98"/>
    <w:semiHidden/>
    <w:rsid w:val="0071141B"/>
    <w:pPr>
      <w:numPr>
        <w:numId w:val="13"/>
      </w:numPr>
      <w:contextualSpacing/>
    </w:pPr>
  </w:style>
  <w:style w:type="paragraph" w:styleId="ListNumber2">
    <w:name w:val="List Number 2"/>
    <w:basedOn w:val="Normal"/>
    <w:uiPriority w:val="98"/>
    <w:semiHidden/>
    <w:rsid w:val="0071141B"/>
    <w:pPr>
      <w:numPr>
        <w:numId w:val="14"/>
      </w:numPr>
      <w:contextualSpacing/>
    </w:pPr>
  </w:style>
  <w:style w:type="paragraph" w:styleId="ListNumber3">
    <w:name w:val="List Number 3"/>
    <w:basedOn w:val="Normal"/>
    <w:uiPriority w:val="98"/>
    <w:semiHidden/>
    <w:rsid w:val="0071141B"/>
    <w:pPr>
      <w:numPr>
        <w:numId w:val="15"/>
      </w:numPr>
      <w:contextualSpacing/>
    </w:pPr>
  </w:style>
  <w:style w:type="paragraph" w:styleId="ListNumber4">
    <w:name w:val="List Number 4"/>
    <w:basedOn w:val="Normal"/>
    <w:uiPriority w:val="98"/>
    <w:semiHidden/>
    <w:rsid w:val="0071141B"/>
    <w:pPr>
      <w:numPr>
        <w:numId w:val="16"/>
      </w:numPr>
      <w:contextualSpacing/>
    </w:pPr>
  </w:style>
  <w:style w:type="paragraph" w:styleId="ListNumber5">
    <w:name w:val="List Number 5"/>
    <w:basedOn w:val="Normal"/>
    <w:uiPriority w:val="98"/>
    <w:semiHidden/>
    <w:rsid w:val="0071141B"/>
    <w:pPr>
      <w:numPr>
        <w:numId w:val="17"/>
      </w:numPr>
      <w:contextualSpacing/>
    </w:pPr>
  </w:style>
  <w:style w:type="paragraph" w:styleId="Macro">
    <w:name w:val="macro"/>
    <w:link w:val="MacroTextChar"/>
    <w:uiPriority w:val="98"/>
    <w:semiHidden/>
    <w:rsid w:val="0071141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1141B"/>
    <w:rPr>
      <w:rFonts w:ascii="Consolas" w:hAnsi="Consolas" w:eastAsiaTheme="minorEastAsia" w:cs="Consolas"/>
      <w:sz w:val="20"/>
      <w:szCs w:val="20"/>
    </w:rPr>
  </w:style>
  <w:style w:type="table" w:styleId="MediumGrid1">
    <w:name w:val="Medium Grid 1"/>
    <w:basedOn w:val="TableNormal"/>
    <w:uiPriority w:val="67"/>
    <w:semiHidden/>
    <w:rsid w:val="0071141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1141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1141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1141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1141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1141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1141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114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114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114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114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114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114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114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1141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1141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1141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1141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1141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1141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1141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1141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1141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1141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1141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1141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1141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1141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1141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114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114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114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114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114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114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114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1141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1141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1141B"/>
    <w:rPr>
      <w:rFonts w:ascii="Times New Roman" w:hAnsi="Times New Roman" w:cs="Times New Roman"/>
    </w:rPr>
  </w:style>
  <w:style w:type="paragraph" w:styleId="NormalIndent">
    <w:name w:val="Normal Indent"/>
    <w:basedOn w:val="Normal"/>
    <w:uiPriority w:val="98"/>
    <w:semiHidden/>
    <w:rsid w:val="0071141B"/>
    <w:pPr>
      <w:ind w:left="720"/>
    </w:pPr>
  </w:style>
  <w:style w:type="paragraph" w:customStyle="1" w:styleId="ECHRHeaderLandscape">
    <w:name w:val="ECHR_Header_Landscape"/>
    <w:aliases w:val="_Header_Landscape"/>
    <w:basedOn w:val="JuHeader"/>
    <w:uiPriority w:val="29"/>
    <w:semiHidden/>
    <w:rsid w:val="0071141B"/>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1141B"/>
    <w:rPr>
      <w:sz w:val="24"/>
      <w:szCs w:val="24"/>
      <w:lang w:val="en-GB"/>
    </w:rPr>
  </w:style>
  <w:style w:type="paragraph" w:styleId="PlainText">
    <w:name w:val="Plain Text"/>
    <w:basedOn w:val="Normal"/>
    <w:link w:val="PlainTextChar"/>
    <w:uiPriority w:val="98"/>
    <w:semiHidden/>
    <w:rsid w:val="0071141B"/>
    <w:rPr>
      <w:rFonts w:ascii="Consolas" w:hAnsi="Consolas" w:cs="Consolas"/>
      <w:sz w:val="21"/>
      <w:szCs w:val="21"/>
    </w:rPr>
  </w:style>
  <w:style w:type="character" w:customStyle="1" w:styleId="PlainTextChar">
    <w:name w:val="Plain Text Char"/>
    <w:basedOn w:val="DefaultParagraphFont"/>
    <w:link w:val="PlainText"/>
    <w:uiPriority w:val="98"/>
    <w:semiHidden/>
    <w:rsid w:val="0071141B"/>
    <w:rPr>
      <w:rFonts w:ascii="Consolas" w:hAnsi="Consolas" w:cs="Consolas"/>
      <w:sz w:val="21"/>
      <w:szCs w:val="21"/>
      <w:lang w:val="en-GB"/>
    </w:rPr>
  </w:style>
  <w:style w:type="paragraph" w:styleId="Salutation">
    <w:name w:val="Salutation"/>
    <w:basedOn w:val="Normal"/>
    <w:next w:val="Normal"/>
    <w:link w:val="SalutationChar"/>
    <w:uiPriority w:val="98"/>
    <w:semiHidden/>
    <w:rsid w:val="0071141B"/>
  </w:style>
  <w:style w:type="character" w:customStyle="1" w:styleId="SalutationChar">
    <w:name w:val="Salutation Char"/>
    <w:basedOn w:val="DefaultParagraphFont"/>
    <w:link w:val="Salutation"/>
    <w:uiPriority w:val="98"/>
    <w:semiHidden/>
    <w:rsid w:val="0071141B"/>
    <w:rPr>
      <w:sz w:val="24"/>
      <w:szCs w:val="24"/>
      <w:lang w:val="en-GB"/>
    </w:rPr>
  </w:style>
  <w:style w:type="paragraph" w:styleId="Signature0">
    <w:name w:val="Signature"/>
    <w:basedOn w:val="Normal"/>
    <w:link w:val="SignatureChar"/>
    <w:uiPriority w:val="98"/>
    <w:semiHidden/>
    <w:rsid w:val="0071141B"/>
    <w:pPr>
      <w:ind w:left="4252"/>
    </w:pPr>
  </w:style>
  <w:style w:type="character" w:customStyle="1" w:styleId="SignatureChar">
    <w:name w:val="Signature Char"/>
    <w:basedOn w:val="DefaultParagraphFont"/>
    <w:link w:val="Signature0"/>
    <w:uiPriority w:val="98"/>
    <w:semiHidden/>
    <w:rsid w:val="0071141B"/>
    <w:rPr>
      <w:sz w:val="24"/>
      <w:szCs w:val="24"/>
      <w:lang w:val="en-GB"/>
    </w:rPr>
  </w:style>
  <w:style w:type="table" w:styleId="Table3Deffects1">
    <w:name w:val="Table 3D effects 1"/>
    <w:basedOn w:val="TableNormal"/>
    <w:uiPriority w:val="99"/>
    <w:semiHidden/>
    <w:unhideWhenUsed/>
    <w:rsid w:val="0071141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1141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1141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1141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1141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1141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1141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1141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1141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1141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1141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1141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1141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1141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1141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1141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1141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114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1141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1141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1141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1141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1141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1141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1141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1141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1141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1141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1141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114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1141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1141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1141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1141B"/>
    <w:pPr>
      <w:ind w:left="240" w:hanging="240"/>
    </w:pPr>
  </w:style>
  <w:style w:type="paragraph" w:styleId="TableofFigures">
    <w:name w:val="table of figures"/>
    <w:basedOn w:val="Normal"/>
    <w:next w:val="Normal"/>
    <w:uiPriority w:val="98"/>
    <w:semiHidden/>
    <w:rsid w:val="0071141B"/>
  </w:style>
  <w:style w:type="table" w:styleId="TableProfessional">
    <w:name w:val="Table Professional"/>
    <w:basedOn w:val="TableNormal"/>
    <w:uiPriority w:val="99"/>
    <w:semiHidden/>
    <w:unhideWhenUsed/>
    <w:rsid w:val="007114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1141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1141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1141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1141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1141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1141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1141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1141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1141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1141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1141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1141B"/>
    <w:pPr>
      <w:spacing w:after="100"/>
      <w:ind w:left="1680"/>
    </w:pPr>
  </w:style>
  <w:style w:type="paragraph" w:styleId="TOC9">
    <w:name w:val="toc 9"/>
    <w:basedOn w:val="Normal"/>
    <w:next w:val="Normal"/>
    <w:autoRedefine/>
    <w:uiPriority w:val="98"/>
    <w:semiHidden/>
    <w:rsid w:val="0071141B"/>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1141B"/>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1141B"/>
    <w:rPr>
      <w:color w:val="0072BC" w:themeColor="hyperlink"/>
      <w:u w:val="single"/>
    </w:rPr>
  </w:style>
  <w:style w:type="paragraph" w:styleId="NoteHeading">
    <w:name w:val="Note Heading"/>
    <w:basedOn w:val="Normal"/>
    <w:next w:val="Normal"/>
    <w:link w:val="NoteHeadingChar"/>
    <w:uiPriority w:val="98"/>
    <w:semiHidden/>
    <w:rsid w:val="0071141B"/>
  </w:style>
  <w:style w:type="paragraph" w:customStyle="1" w:styleId="DecList">
    <w:name w:val="Dec_List"/>
    <w:aliases w:val="_List"/>
    <w:basedOn w:val="JuList"/>
    <w:uiPriority w:val="22"/>
    <w:rsid w:val="0071141B"/>
    <w:pPr>
      <w:numPr>
        <w:numId w:val="0"/>
      </w:numPr>
      <w:ind w:left="284"/>
    </w:pPr>
  </w:style>
  <w:style w:type="paragraph" w:customStyle="1" w:styleId="ECHRPlaceholder">
    <w:name w:val="ECHR_Placeholder"/>
    <w:aliases w:val="_Placeholder"/>
    <w:basedOn w:val="JuSigned"/>
    <w:uiPriority w:val="31"/>
    <w:rsid w:val="0071141B"/>
    <w:rPr>
      <w:color w:val="FFFFFF"/>
    </w:rPr>
  </w:style>
  <w:style w:type="paragraph" w:customStyle="1" w:styleId="ECHRBullet1">
    <w:name w:val="ECHR_Bullet_1"/>
    <w:aliases w:val="_Bul_1"/>
    <w:basedOn w:val="NormalJustified"/>
    <w:uiPriority w:val="23"/>
    <w:semiHidden/>
    <w:qFormat/>
    <w:rsid w:val="0071141B"/>
    <w:pPr>
      <w:numPr>
        <w:numId w:val="18"/>
      </w:numPr>
      <w:spacing w:before="60" w:after="60"/>
    </w:pPr>
  </w:style>
  <w:style w:type="paragraph" w:customStyle="1" w:styleId="ECHRBullet2">
    <w:name w:val="ECHR_Bullet_2"/>
    <w:aliases w:val="_Bul_2"/>
    <w:basedOn w:val="ECHRBullet1"/>
    <w:uiPriority w:val="23"/>
    <w:semiHidden/>
    <w:rsid w:val="0071141B"/>
    <w:pPr>
      <w:numPr>
        <w:ilvl w:val="1"/>
      </w:numPr>
    </w:pPr>
  </w:style>
  <w:style w:type="paragraph" w:customStyle="1" w:styleId="ECHRBullet3">
    <w:name w:val="ECHR_Bullet_3"/>
    <w:aliases w:val="_Bul_3"/>
    <w:basedOn w:val="ECHRBullet2"/>
    <w:uiPriority w:val="23"/>
    <w:semiHidden/>
    <w:rsid w:val="0071141B"/>
    <w:pPr>
      <w:numPr>
        <w:ilvl w:val="2"/>
      </w:numPr>
    </w:pPr>
  </w:style>
  <w:style w:type="paragraph" w:customStyle="1" w:styleId="ECHRBullet4">
    <w:name w:val="ECHR_Bullet_4"/>
    <w:aliases w:val="_Bul_4"/>
    <w:basedOn w:val="ECHRBullet3"/>
    <w:uiPriority w:val="23"/>
    <w:semiHidden/>
    <w:rsid w:val="0071141B"/>
    <w:pPr>
      <w:numPr>
        <w:ilvl w:val="3"/>
      </w:numPr>
    </w:pPr>
  </w:style>
  <w:style w:type="paragraph" w:customStyle="1" w:styleId="ECHRConfidential">
    <w:name w:val="ECHR_Confidential"/>
    <w:aliases w:val="_Confidential"/>
    <w:basedOn w:val="Normal"/>
    <w:next w:val="Normal"/>
    <w:uiPriority w:val="42"/>
    <w:semiHidden/>
    <w:qFormat/>
    <w:rsid w:val="0071141B"/>
    <w:pPr>
      <w:jc w:val="right"/>
    </w:pPr>
    <w:rPr>
      <w:color w:val="C00000"/>
      <w:sz w:val="20"/>
    </w:rPr>
  </w:style>
  <w:style w:type="paragraph" w:customStyle="1" w:styleId="ECHRDecisionBody">
    <w:name w:val="ECHR_Decision_Body"/>
    <w:aliases w:val="_Decision_Body"/>
    <w:basedOn w:val="NormalJustified"/>
    <w:uiPriority w:val="54"/>
    <w:semiHidden/>
    <w:rsid w:val="0071141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1141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1141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1141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1141B"/>
    <w:pPr>
      <w:jc w:val="right"/>
    </w:pPr>
    <w:rPr>
      <w:sz w:val="20"/>
    </w:rPr>
  </w:style>
  <w:style w:type="paragraph" w:customStyle="1" w:styleId="ECHRHeaderRefIt">
    <w:name w:val="ECHR_Header_Ref_It"/>
    <w:aliases w:val="_Ref_Ital"/>
    <w:basedOn w:val="Normal"/>
    <w:next w:val="ECHRHeaderDate"/>
    <w:uiPriority w:val="43"/>
    <w:semiHidden/>
    <w:qFormat/>
    <w:rsid w:val="0071141B"/>
    <w:pPr>
      <w:jc w:val="right"/>
    </w:pPr>
    <w:rPr>
      <w:i/>
      <w:sz w:val="20"/>
    </w:rPr>
  </w:style>
  <w:style w:type="paragraph" w:customStyle="1" w:styleId="ECHRHeading9">
    <w:name w:val="ECHR_Heading_9"/>
    <w:aliases w:val="_Head_9"/>
    <w:basedOn w:val="Heading9"/>
    <w:uiPriority w:val="17"/>
    <w:semiHidden/>
    <w:rsid w:val="0071141B"/>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1141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1141B"/>
    <w:pPr>
      <w:numPr>
        <w:numId w:val="19"/>
      </w:numPr>
      <w:spacing w:before="60" w:after="60"/>
    </w:pPr>
  </w:style>
  <w:style w:type="paragraph" w:customStyle="1" w:styleId="ECHRNumberedList2">
    <w:name w:val="ECHR_Numbered_List_2"/>
    <w:aliases w:val="_Num_2"/>
    <w:basedOn w:val="ECHRNumberedList1"/>
    <w:uiPriority w:val="23"/>
    <w:semiHidden/>
    <w:rsid w:val="0071141B"/>
    <w:pPr>
      <w:numPr>
        <w:ilvl w:val="1"/>
      </w:numPr>
    </w:pPr>
  </w:style>
  <w:style w:type="paragraph" w:customStyle="1" w:styleId="ECHRNumberedList3">
    <w:name w:val="ECHR_Numbered_List_3"/>
    <w:aliases w:val="_Num_3"/>
    <w:basedOn w:val="ECHRNumberedList2"/>
    <w:uiPriority w:val="23"/>
    <w:semiHidden/>
    <w:rsid w:val="0071141B"/>
    <w:pPr>
      <w:numPr>
        <w:ilvl w:val="2"/>
      </w:numPr>
    </w:pPr>
  </w:style>
  <w:style w:type="paragraph" w:customStyle="1" w:styleId="ECHRParaHanging">
    <w:name w:val="ECHR_Para_Hanging"/>
    <w:aliases w:val="_Hanging"/>
    <w:basedOn w:val="NormalJustified"/>
    <w:uiPriority w:val="8"/>
    <w:semiHidden/>
    <w:qFormat/>
    <w:rsid w:val="0071141B"/>
    <w:pPr>
      <w:ind w:left="567" w:hanging="567"/>
    </w:pPr>
  </w:style>
  <w:style w:type="paragraph" w:customStyle="1" w:styleId="ECHRParaIndent">
    <w:name w:val="ECHR_Para_Indent"/>
    <w:aliases w:val="_Indent"/>
    <w:basedOn w:val="NormalJustified"/>
    <w:uiPriority w:val="7"/>
    <w:semiHidden/>
    <w:qFormat/>
    <w:rsid w:val="0071141B"/>
    <w:pPr>
      <w:spacing w:before="120" w:after="120"/>
      <w:ind w:left="284"/>
    </w:pPr>
  </w:style>
  <w:style w:type="character" w:customStyle="1" w:styleId="ECHRRed">
    <w:name w:val="ECHR_Red"/>
    <w:aliases w:val="_Red"/>
    <w:basedOn w:val="DefaultParagraphFont"/>
    <w:uiPriority w:val="15"/>
    <w:semiHidden/>
    <w:qFormat/>
    <w:rsid w:val="0071141B"/>
    <w:rPr>
      <w:color w:val="C00000" w:themeColor="accent2"/>
    </w:rPr>
  </w:style>
  <w:style w:type="paragraph" w:customStyle="1" w:styleId="ECHRSpacer">
    <w:name w:val="ECHR_Spacer"/>
    <w:aliases w:val="_Spacer"/>
    <w:basedOn w:val="Normal"/>
    <w:uiPriority w:val="45"/>
    <w:semiHidden/>
    <w:rsid w:val="0071141B"/>
    <w:rPr>
      <w:sz w:val="4"/>
    </w:rPr>
  </w:style>
  <w:style w:type="table" w:customStyle="1" w:styleId="ECHRTable2">
    <w:name w:val="ECHR_Table_2"/>
    <w:basedOn w:val="TableNormal"/>
    <w:uiPriority w:val="99"/>
    <w:rsid w:val="0071141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1141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1141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1141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1141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1141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1141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1141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1141B"/>
    <w:pPr>
      <w:outlineLvl w:val="0"/>
    </w:pPr>
  </w:style>
  <w:style w:type="paragraph" w:customStyle="1" w:styleId="ECHRTitleTOC1">
    <w:name w:val="ECHR_Title_TOC_1"/>
    <w:aliases w:val="_Title_L_TOC"/>
    <w:basedOn w:val="ECHRTitle1"/>
    <w:next w:val="Normal"/>
    <w:uiPriority w:val="27"/>
    <w:semiHidden/>
    <w:qFormat/>
    <w:rsid w:val="0071141B"/>
    <w:pPr>
      <w:outlineLvl w:val="0"/>
    </w:pPr>
  </w:style>
  <w:style w:type="table" w:customStyle="1" w:styleId="ECHRTableGrey">
    <w:name w:val="ECHR_Table_Grey"/>
    <w:basedOn w:val="TableNormal"/>
    <w:uiPriority w:val="99"/>
    <w:rsid w:val="0071141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1141B"/>
    <w:rPr>
      <w:color w:val="605E5C"/>
      <w:shd w:val="clear" w:color="auto" w:fill="E1DFDD"/>
    </w:rPr>
  </w:style>
  <w:style w:type="character" w:customStyle="1" w:styleId="JuListChar">
    <w:name w:val="Ju_List Char"/>
    <w:basedOn w:val="DefaultParagraphFont"/>
    <w:link w:val="JuList"/>
    <w:uiPriority w:val="23"/>
    <w:locked/>
    <w:rsid w:val="005022EF"/>
    <w:rPr>
      <w:sz w:val="24"/>
      <w:szCs w:val="24"/>
      <w:lang w:val="en-GB"/>
    </w:rPr>
  </w:style>
  <w:style w:type="table" w:styleId="GridTable1Light">
    <w:name w:val="Grid Table 1 Light"/>
    <w:basedOn w:val="TableNormal"/>
    <w:uiPriority w:val="46"/>
    <w:semiHidden/>
    <w:rsid w:val="0071141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1141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1141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1141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1141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1141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1141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1141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1141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1141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1141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1141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1141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1141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114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114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114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114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114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114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114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114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114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114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114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114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114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114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114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114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114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114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114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114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114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1141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1141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1141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1141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1141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1141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1141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1141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1141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1141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1141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1141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1141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1141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1141B"/>
    <w:rPr>
      <w:color w:val="2B579A"/>
      <w:shd w:val="clear" w:color="auto" w:fill="E1DFDD"/>
    </w:rPr>
  </w:style>
  <w:style w:type="table" w:styleId="ListTable1Light">
    <w:name w:val="List Table 1 Light"/>
    <w:basedOn w:val="TableNormal"/>
    <w:uiPriority w:val="46"/>
    <w:semiHidden/>
    <w:rsid w:val="0071141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1141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1141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1141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1141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1141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1141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1141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1141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1141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1141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1141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1141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1141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1141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1141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1141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1141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1141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1141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1141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114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114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114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114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114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114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114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1141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1141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1141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1141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1141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1141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1141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1141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1141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1141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1141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1141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1141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1141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1141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1141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1141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1141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1141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1141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1141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1141B"/>
    <w:rPr>
      <w:color w:val="2B579A"/>
      <w:shd w:val="clear" w:color="auto" w:fill="E1DFDD"/>
    </w:rPr>
  </w:style>
  <w:style w:type="table" w:styleId="PlainTable1">
    <w:name w:val="Plain Table 1"/>
    <w:basedOn w:val="TableNormal"/>
    <w:uiPriority w:val="41"/>
    <w:semiHidden/>
    <w:rsid w:val="0071141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1141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1141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1141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1141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1141B"/>
    <w:rPr>
      <w:u w:val="dotted"/>
    </w:rPr>
  </w:style>
  <w:style w:type="character" w:styleId="SmartLink">
    <w:name w:val="Smart Link"/>
    <w:basedOn w:val="DefaultParagraphFont"/>
    <w:uiPriority w:val="99"/>
    <w:semiHidden/>
    <w:unhideWhenUsed/>
    <w:rsid w:val="0071141B"/>
    <w:rPr>
      <w:color w:val="0000FF"/>
      <w:u w:val="single"/>
      <w:shd w:val="clear" w:color="auto" w:fill="F3F2F1"/>
    </w:rPr>
  </w:style>
  <w:style w:type="table" w:styleId="GridTableLight">
    <w:name w:val="Grid Table Light"/>
    <w:basedOn w:val="TableNormal"/>
    <w:uiPriority w:val="40"/>
    <w:semiHidden/>
    <w:rsid w:val="007114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2611</Words>
  <Characters>14365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2026-04-30T07:38:00Z</dcterms:created>
  <dcterms:modified xsi:type="dcterms:W3CDTF">2026-05-04T07:36:00Z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1601022</vt:lpwstr>
  </property>
  <property fmtid="{D5CDD505-2E9C-101B-9397-08002B2CF9AE}" pid="3" name="cstLanguage">
    <vt:i4>2057</vt:i4>
  </property>
  <property fmtid="{D5CDD505-2E9C-101B-9397-08002B2CF9AE}" pid="4" name="RegisteredNo">
    <vt:lpwstr>1516/21</vt:lpwstr>
  </property>
</Properties>
</file>