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BF6084" w:rsidR="00B32591" w:rsidP="00BF6084" w14:paraId="1213655C" w14:textId="697DE9E9">
      <w:pPr>
        <w:jc w:val="center"/>
        <w:rPr>
          <w:rFonts w:ascii="Sylfaen" w:hAnsi="Sylfaen"/>
          <w:lang w:val="ka-GE"/>
        </w:rPr>
      </w:pPr>
    </w:p>
    <w:p w:rsidRPr="00BF6084" w:rsidR="00B32591" w:rsidP="00BF6084" w14:paraId="0D243758" w14:textId="4204B501">
      <w:pPr>
        <w:jc w:val="center"/>
        <w:rPr>
          <w:sz w:val="4"/>
          <w:szCs w:val="4"/>
        </w:rPr>
      </w:pPr>
    </w:p>
    <w:p w:rsidRPr="00BF6084" w:rsidR="00B32591" w:rsidP="00BF6084" w14:paraId="416BD1EF" w14:textId="34ED52E9">
      <w:pPr>
        <w:pStyle w:val="DecHTitle"/>
      </w:pPr>
      <w:r w:rsidRPr="00BF6084">
        <w:t>FOURTH SECTION</w:t>
      </w:r>
    </w:p>
    <w:p w:rsidRPr="00BF6084" w:rsidR="00B32591" w:rsidP="00BF6084" w14:paraId="606182AF" w14:textId="77777777">
      <w:pPr>
        <w:pStyle w:val="DecHTitle"/>
      </w:pPr>
      <w:r w:rsidRPr="00BF6084">
        <w:t>DECISION</w:t>
      </w:r>
    </w:p>
    <w:p w:rsidRPr="00BF6084" w:rsidR="00B32591" w:rsidP="00BF6084" w14:paraId="17DF4AA5" w14:textId="4799587D">
      <w:pPr>
        <w:pStyle w:val="DecHCase"/>
        <w:rPr>
          <w:i/>
        </w:rPr>
      </w:pPr>
      <w:r w:rsidRPr="00BF6084">
        <w:rPr>
          <w:noProof/>
        </w:rPr>
        <w:t>Application no.</w:t>
      </w:r>
      <w:r w:rsidRPr="00BF6084" w:rsidR="006267D3">
        <w:t xml:space="preserve"> </w:t>
      </w:r>
      <w:r w:rsidRPr="00BF6084">
        <w:t>54352/20</w:t>
      </w:r>
      <w:r w:rsidRPr="00BF6084" w:rsidR="006267D3">
        <w:br/>
      </w:r>
      <w:r w:rsidRPr="00BF6084">
        <w:rPr>
          <w:noProof/>
        </w:rPr>
        <w:t>T.K.</w:t>
      </w:r>
      <w:r w:rsidRPr="00BF6084">
        <w:rPr>
          <w:noProof/>
        </w:rPr>
        <w:br/>
      </w:r>
      <w:r w:rsidRPr="00BF6084" w:rsidR="006267D3">
        <w:t xml:space="preserve">against </w:t>
      </w:r>
      <w:r w:rsidRPr="00BF6084">
        <w:t>Georgia</w:t>
      </w:r>
    </w:p>
    <w:p w:rsidRPr="00BF6084" w:rsidR="00B32591" w:rsidP="00BF6084" w14:paraId="6C3F51F6" w14:textId="1240EC10">
      <w:pPr>
        <w:rPr>
          <w:sz w:val="2"/>
          <w:szCs w:val="2"/>
        </w:rPr>
      </w:pPr>
    </w:p>
    <w:p w:rsidRPr="00BF6084" w:rsidR="00396F89" w:rsidP="00BF6084" w14:paraId="54384925" w14:textId="5DE2BDAB">
      <w:pPr>
        <w:pStyle w:val="JuPara"/>
      </w:pPr>
      <w:r w:rsidRPr="00BF6084">
        <w:t xml:space="preserve">The European Court of Human Rights (Fourth Section), sitting on </w:t>
      </w:r>
      <w:r w:rsidRPr="00BF6084" w:rsidR="00C95E31">
        <w:t>3</w:t>
      </w:r>
      <w:r w:rsidRPr="00BF6084" w:rsidR="00016AF4">
        <w:t> </w:t>
      </w:r>
      <w:r w:rsidRPr="00BF6084" w:rsidR="00C95E31">
        <w:rPr>
          <w:rFonts w:ascii="Sylfaen" w:hAnsi="Sylfaen"/>
        </w:rPr>
        <w:t>March</w:t>
      </w:r>
      <w:r w:rsidRPr="00BF6084" w:rsidR="00016AF4">
        <w:rPr>
          <w:rFonts w:ascii="Sylfaen" w:hAnsi="Sylfaen"/>
        </w:rPr>
        <w:t> </w:t>
      </w:r>
      <w:r w:rsidRPr="00BF6084" w:rsidR="00C95E31">
        <w:rPr>
          <w:rFonts w:ascii="Sylfaen" w:hAnsi="Sylfaen"/>
        </w:rPr>
        <w:t>2026</w:t>
      </w:r>
      <w:r w:rsidRPr="00BF6084">
        <w:t xml:space="preserve"> as a Committee composed of:</w:t>
      </w:r>
    </w:p>
    <w:p w:rsidRPr="00BF6084" w:rsidR="00396F89" w:rsidP="00BF6084" w14:paraId="0E5AF72C" w14:textId="19A81251">
      <w:pPr>
        <w:pStyle w:val="JuJudges"/>
        <w:rPr>
          <w:iCs/>
        </w:rPr>
      </w:pPr>
      <w:r w:rsidRPr="00BF6084">
        <w:tab/>
        <w:t xml:space="preserve">Faris </w:t>
      </w:r>
      <w:r w:rsidRPr="00BF6084">
        <w:t>Vehabović</w:t>
      </w:r>
      <w:r w:rsidRPr="00BF6084">
        <w:rPr>
          <w:i/>
        </w:rPr>
        <w:t>, President</w:t>
      </w:r>
      <w:r w:rsidRPr="00BF6084">
        <w:t>,</w:t>
      </w:r>
      <w:r w:rsidRPr="00BF6084">
        <w:br/>
      </w:r>
      <w:r w:rsidRPr="00BF6084">
        <w:tab/>
        <w:t>Lorraine Schembri Orland,</w:t>
      </w:r>
      <w:r w:rsidRPr="00BF6084">
        <w:br/>
      </w:r>
      <w:r w:rsidRPr="00BF6084">
        <w:tab/>
        <w:t xml:space="preserve">Sebastian </w:t>
      </w:r>
      <w:r w:rsidRPr="00BF6084">
        <w:t>Răduleţu</w:t>
      </w:r>
      <w:r w:rsidRPr="00BF6084">
        <w:rPr>
          <w:i/>
        </w:rPr>
        <w:t>, judges</w:t>
      </w:r>
      <w:r w:rsidRPr="00BF6084">
        <w:t>,</w:t>
      </w:r>
      <w:r w:rsidRPr="00BF6084">
        <w:br/>
        <w:t xml:space="preserve">and Giorgi Badashvili, </w:t>
      </w:r>
      <w:r w:rsidRPr="00BF6084">
        <w:rPr>
          <w:i/>
          <w:iCs/>
        </w:rPr>
        <w:t>Acting</w:t>
      </w:r>
      <w:r w:rsidRPr="00BF6084">
        <w:t xml:space="preserve"> </w:t>
      </w:r>
      <w:r w:rsidRPr="00BF6084">
        <w:rPr>
          <w:i/>
        </w:rPr>
        <w:t>Deputy</w:t>
      </w:r>
      <w:r w:rsidRPr="00BF6084">
        <w:t xml:space="preserve"> </w:t>
      </w:r>
      <w:r w:rsidRPr="00BF6084">
        <w:rPr>
          <w:i/>
          <w:iCs/>
        </w:rPr>
        <w:t>Section Registrar</w:t>
      </w:r>
      <w:r w:rsidRPr="00BF6084">
        <w:rPr>
          <w:i/>
        </w:rPr>
        <w:t>,</w:t>
      </w:r>
    </w:p>
    <w:p w:rsidRPr="00BF6084" w:rsidR="00396F89" w:rsidP="00BF6084" w14:paraId="52C90795" w14:textId="77777777">
      <w:pPr>
        <w:pStyle w:val="JuPara"/>
      </w:pPr>
      <w:r w:rsidRPr="00BF6084">
        <w:t>Having regard to:</w:t>
      </w:r>
    </w:p>
    <w:p w:rsidRPr="00BF6084" w:rsidR="00396F89" w:rsidP="00BF6084" w14:paraId="0534CC9A" w14:textId="77777777">
      <w:pPr>
        <w:pStyle w:val="JuPara"/>
      </w:pPr>
      <w:r w:rsidRPr="00BF6084">
        <w:t xml:space="preserve">the application (no. 54352/20) against Georgia lodged with the Court under Article 34 of the Convention for the Protection of Human Rights and Fundamental Freedoms (“the Convention”) on 9 December 2020 by a Georgian national, T.K., who was born in 1970, and was represented by Mr Y.L. Boychenko, a lawyer practising in </w:t>
      </w:r>
      <w:r w:rsidRPr="00BF6084">
        <w:t>Strasbourg;</w:t>
      </w:r>
    </w:p>
    <w:p w:rsidRPr="00BF6084" w:rsidR="00396F89" w:rsidP="00BF6084" w14:paraId="5599F1E2" w14:textId="77777777">
      <w:pPr>
        <w:pStyle w:val="JuPara"/>
      </w:pPr>
      <w:r w:rsidRPr="00BF6084">
        <w:t>the decision to give notice of the application</w:t>
      </w:r>
      <w:r w:rsidRPr="00BF6084">
        <w:rPr>
          <w:color w:val="0072BC" w:themeColor="background1"/>
        </w:rPr>
        <w:t xml:space="preserve"> </w:t>
      </w:r>
      <w:r w:rsidRPr="00BF6084">
        <w:t xml:space="preserve">to the Georgian Government (“the Government”), represented by their Agent, Mr B. </w:t>
      </w:r>
      <w:r w:rsidRPr="00BF6084">
        <w:t>Dzamashvili</w:t>
      </w:r>
      <w:r w:rsidRPr="00BF6084">
        <w:t xml:space="preserve"> of the Ministry of </w:t>
      </w:r>
      <w:r w:rsidRPr="00BF6084">
        <w:t>Justice;</w:t>
      </w:r>
    </w:p>
    <w:p w:rsidRPr="00BF6084" w:rsidR="00396F89" w:rsidP="00BF6084" w14:paraId="0DE13EF3" w14:textId="02F39698">
      <w:pPr>
        <w:pStyle w:val="JuPara"/>
      </w:pPr>
      <w:r w:rsidRPr="00BF6084">
        <w:t>the decision not to disclose the applicant</w:t>
      </w:r>
      <w:r w:rsidRPr="00BF6084" w:rsidR="00BF6084">
        <w:t>’</w:t>
      </w:r>
      <w:r w:rsidRPr="00BF6084">
        <w:t xml:space="preserve">s </w:t>
      </w:r>
      <w:r w:rsidRPr="00BF6084">
        <w:t>name;</w:t>
      </w:r>
    </w:p>
    <w:p w:rsidRPr="00BF6084" w:rsidR="00396F89" w:rsidP="00BF6084" w14:paraId="1538AD92" w14:textId="4BDDB992">
      <w:pPr>
        <w:pStyle w:val="JuPara"/>
      </w:pPr>
      <w:r w:rsidRPr="00BF6084">
        <w:t>the parties</w:t>
      </w:r>
      <w:r w:rsidRPr="00BF6084" w:rsidR="00BF6084">
        <w:t>’</w:t>
      </w:r>
      <w:r w:rsidRPr="00BF6084">
        <w:t xml:space="preserve"> </w:t>
      </w:r>
      <w:r w:rsidRPr="00BF6084">
        <w:t>observations;</w:t>
      </w:r>
    </w:p>
    <w:p w:rsidRPr="00BF6084" w:rsidR="00396F89" w:rsidP="00BF6084" w14:paraId="3A6783D8" w14:textId="77777777">
      <w:pPr>
        <w:pStyle w:val="JuPara"/>
      </w:pPr>
      <w:r w:rsidRPr="00BF6084">
        <w:t>Having deliberated, decides as follows:</w:t>
      </w:r>
    </w:p>
    <w:p w:rsidRPr="00BF6084" w:rsidR="00396F89" w:rsidP="00BF6084" w14:paraId="3039CC16" w14:textId="0A892977">
      <w:pPr>
        <w:pStyle w:val="JuHHead"/>
        <w:numPr>
          <w:ilvl w:val="0"/>
          <w:numId w:val="0"/>
        </w:numPr>
      </w:pPr>
      <w:r w:rsidRPr="00BF6084">
        <w:t>SUBJECT MATTER OF THE CASE</w:t>
      </w:r>
    </w:p>
    <w:p w:rsidRPr="00BF6084" w:rsidR="00396F89" w:rsidP="00BF6084" w14:paraId="345740EF" w14:textId="267C8F62">
      <w:pPr>
        <w:pStyle w:val="JuPara"/>
      </w:pPr>
      <w:r>
        <w:fldChar w:fldCharType="begin"/>
      </w:r>
      <w:r>
        <w:instrText xml:space="preserve"> SEQ level0 \*arabic \* MERGEFORMAT </w:instrText>
      </w:r>
      <w:r>
        <w:fldChar w:fldCharType="separate"/>
      </w:r>
      <w:r w:rsidRPr="00BF6084" w:rsidR="00BF6084">
        <w:rPr>
          <w:noProof/>
        </w:rPr>
        <w:t>1</w:t>
      </w:r>
      <w:r w:rsidRPr="00BF6084" w:rsidR="00BF6084">
        <w:rPr>
          <w:noProof/>
        </w:rPr>
        <w:fldChar w:fldCharType="end"/>
      </w:r>
      <w:r w:rsidRPr="00BF6084">
        <w:t>.  The present application concerns the scope of the State</w:t>
      </w:r>
      <w:r w:rsidRPr="00BF6084" w:rsidR="00BF6084">
        <w:t>’</w:t>
      </w:r>
      <w:r w:rsidRPr="00BF6084">
        <w:t>s positive obligations under Article 8 of the Convention in relation to dissemination on social media, by a private individual, of personal information concerning the applicant</w:t>
      </w:r>
      <w:r w:rsidRPr="00BF6084" w:rsidR="00BF6084">
        <w:t>’</w:t>
      </w:r>
      <w:r w:rsidRPr="00BF6084">
        <w:t>s private and/or family life. The applicant also relied on Article 13 of the Convention.</w:t>
      </w:r>
    </w:p>
    <w:p w:rsidRPr="00BF6084" w:rsidR="00396F89" w:rsidP="00BF6084" w14:paraId="1262DB9B" w14:textId="0CB1EBFE">
      <w:pPr>
        <w:pStyle w:val="JuPara"/>
      </w:pPr>
      <w:r>
        <w:fldChar w:fldCharType="begin"/>
      </w:r>
      <w:r>
        <w:instrText xml:space="preserve"> SEQ level0 \*arabic \* MERGEFORMAT </w:instrText>
      </w:r>
      <w:r>
        <w:fldChar w:fldCharType="separate"/>
      </w:r>
      <w:bookmarkStart w:name="paragraph00002" w:id="0"/>
      <w:r w:rsidRPr="00BF6084" w:rsidR="00BF6084">
        <w:rPr>
          <w:noProof/>
        </w:rPr>
        <w:t>2</w:t>
      </w:r>
      <w:bookmarkEnd w:id="0"/>
      <w:r>
        <w:fldChar w:fldCharType="end"/>
      </w:r>
      <w:r w:rsidRPr="00BF6084">
        <w:t xml:space="preserve">.  According to the material in the case file, since around 2012, the applicant, in her capacity as director of a surrogacy clinic and founder of a </w:t>
      </w:r>
      <w:r w:rsidRPr="00BF6084">
        <w:t xml:space="preserve">non-governmental organisation (NGO) dedicated to raising awareness about allegedly illegal surrogacy practices, began denouncing the activities of a private surrogacy agency headed by M.K. as involving various unlawful practices. The applicant submitted multiple requests to the prosecuting authorities and other bodies to investigate the matter. These events eventually led to personal animosity between the two individuals, thereby attracting considerable public attention. The applicant apparently published various pieces of information concerning M.K., which frequently resulted in altercations between the two on Facebook. Sometime in 2019 M.K. initiated judicial proceedings against the applicant (which, according to the information in the case file, appear to be ongoing), requesting, </w:t>
      </w:r>
      <w:r w:rsidRPr="00BF6084">
        <w:rPr>
          <w:i/>
          <w:iCs/>
        </w:rPr>
        <w:t>inter alia</w:t>
      </w:r>
      <w:r w:rsidRPr="00BF6084">
        <w:t>, that the applicant be barred from publishing social media posts about her.</w:t>
      </w:r>
    </w:p>
    <w:p w:rsidRPr="00BF6084" w:rsidR="00396F89" w:rsidP="00BF6084" w14:paraId="758F876C" w14:textId="4D6A12B2">
      <w:pPr>
        <w:pStyle w:val="JuPara"/>
      </w:pPr>
      <w:r>
        <w:fldChar w:fldCharType="begin"/>
      </w:r>
      <w:r>
        <w:instrText xml:space="preserve"> SEQ level0 \*arabic \* MERGEFORMAT </w:instrText>
      </w:r>
      <w:r>
        <w:fldChar w:fldCharType="separate"/>
      </w:r>
      <w:bookmarkStart w:name="paragraph00003" w:id="1"/>
      <w:r w:rsidRPr="00BF6084" w:rsidR="00BF6084">
        <w:rPr>
          <w:noProof/>
        </w:rPr>
        <w:t>3</w:t>
      </w:r>
      <w:bookmarkEnd w:id="1"/>
      <w:r>
        <w:fldChar w:fldCharType="end"/>
      </w:r>
      <w:r w:rsidRPr="00BF6084">
        <w:t>.  On 14 June 2016 M.K. wrote the following comment on her own Facebook page, concerning the applicant: “[The applicant] also sued her husband in 2011, alleging attempted rape.”</w:t>
      </w:r>
    </w:p>
    <w:p w:rsidRPr="00BF6084" w:rsidR="00396F89" w:rsidP="00BF6084" w14:paraId="1E4B2A54" w14:textId="5359966A">
      <w:pPr>
        <w:pStyle w:val="JuPara"/>
      </w:pPr>
      <w:r>
        <w:fldChar w:fldCharType="begin"/>
      </w:r>
      <w:r>
        <w:instrText xml:space="preserve"> SEQ level0 \*arabic \* MERGEFORMAT </w:instrText>
      </w:r>
      <w:r>
        <w:fldChar w:fldCharType="separate"/>
      </w:r>
      <w:bookmarkStart w:name="paragraph00004" w:id="2"/>
      <w:r w:rsidRPr="00BF6084" w:rsidR="00BF6084">
        <w:rPr>
          <w:noProof/>
        </w:rPr>
        <w:t>4</w:t>
      </w:r>
      <w:bookmarkEnd w:id="2"/>
      <w:r>
        <w:fldChar w:fldCharType="end"/>
      </w:r>
      <w:r w:rsidRPr="00BF6084">
        <w:t>.  On 19 June 2016 M.K. published the following post on her Facebook page, which received 66 “likes”:</w:t>
      </w:r>
    </w:p>
    <w:p w:rsidRPr="00BF6084" w:rsidR="00396F89" w:rsidP="00BF6084" w14:paraId="44A3A82A" w14:textId="6791DB34">
      <w:pPr>
        <w:pStyle w:val="JuQuot"/>
      </w:pPr>
      <w:r w:rsidRPr="00BF6084">
        <w:t>“As predicted, my arrival in Tbilisi and [the applicant</w:t>
      </w:r>
      <w:r w:rsidRPr="00BF6084" w:rsidR="00BF6084">
        <w:t>’</w:t>
      </w:r>
      <w:r w:rsidRPr="00BF6084">
        <w:t>s] recourse to the police turned out to be the same thing. This time, the subject of the complaint is that somewhere in the comments section I mentioned the fact that she had sued her husband in 2011. ...”</w:t>
      </w:r>
    </w:p>
    <w:p w:rsidRPr="00BF6084" w:rsidR="00396F89" w:rsidP="00BF6084" w14:paraId="55773051" w14:textId="2D1191FA">
      <w:pPr>
        <w:pStyle w:val="JuPara"/>
      </w:pPr>
      <w:r>
        <w:fldChar w:fldCharType="begin"/>
      </w:r>
      <w:r>
        <w:instrText xml:space="preserve"> SEQ level0 \*arabic \* MERGEFORMAT </w:instrText>
      </w:r>
      <w:r>
        <w:fldChar w:fldCharType="separate"/>
      </w:r>
      <w:bookmarkStart w:name="paragraph00005" w:id="3"/>
      <w:r w:rsidRPr="00BF6084" w:rsidR="00BF6084">
        <w:rPr>
          <w:noProof/>
        </w:rPr>
        <w:t>5</w:t>
      </w:r>
      <w:bookmarkEnd w:id="3"/>
      <w:r>
        <w:fldChar w:fldCharType="end"/>
      </w:r>
      <w:r w:rsidRPr="00BF6084">
        <w:t>.  The applicant, using her NGO</w:t>
      </w:r>
      <w:r w:rsidRPr="00BF6084" w:rsidR="00BF6084">
        <w:t>’</w:t>
      </w:r>
      <w:r w:rsidRPr="00BF6084">
        <w:t>s Facebook account with approximately 9,000 followers, denounced M.K.</w:t>
      </w:r>
      <w:r w:rsidRPr="00BF6084" w:rsidR="00BF6084">
        <w:t>’</w:t>
      </w:r>
      <w:r w:rsidRPr="00BF6084">
        <w:t>s sharing of information regarding her private life (without republishing M.K.</w:t>
      </w:r>
      <w:r w:rsidRPr="00BF6084" w:rsidR="00BF6084">
        <w:t>’</w:t>
      </w:r>
      <w:r w:rsidRPr="00BF6084">
        <w:t xml:space="preserve">s original post). </w:t>
      </w:r>
      <w:r w:rsidRPr="00BF6084">
        <w:t>In particular, on</w:t>
      </w:r>
      <w:r w:rsidRPr="00BF6084">
        <w:t xml:space="preserve"> 19 June 2016 the applicant made a lengthy post accusing M.K. of breaching her privacy. It received approximately 300 comments and 1,000 likes and was shared 400 times. On 23 June 2016 the applicant shared the same information, gathering approximately 200 likes, 40 shares and 25 comments. It appears that at the time M.K.</w:t>
      </w:r>
      <w:r w:rsidRPr="00BF6084" w:rsidR="00BF6084">
        <w:t>’</w:t>
      </w:r>
      <w:r w:rsidRPr="00BF6084">
        <w:t>s original post (see paragraph </w:t>
      </w:r>
      <w:r w:rsidRPr="00BF6084">
        <w:fldChar w:fldCharType="begin"/>
      </w:r>
      <w:r w:rsidRPr="00BF6084">
        <w:instrText xml:space="preserve"> REF paragraph00003 \h  \* CharFormat </w:instrText>
      </w:r>
      <w:r w:rsidRPr="00BF6084">
        <w:fldChar w:fldCharType="separate"/>
      </w:r>
      <w:r w:rsidRPr="00BF6084" w:rsidR="00BF6084">
        <w:t>3</w:t>
      </w:r>
      <w:r w:rsidRPr="00BF6084">
        <w:fldChar w:fldCharType="end"/>
      </w:r>
      <w:r w:rsidRPr="00BF6084">
        <w:t xml:space="preserve"> above) was still accessible on her page. On 15 February 2020 the applicant posted again regarding the alleged breach of privacy by M.K. The post received over 1,600 likes, 200 shares and numerous comments.</w:t>
      </w:r>
    </w:p>
    <w:p w:rsidRPr="00BF6084" w:rsidR="00396F89" w:rsidP="00BF6084" w14:paraId="02A50618" w14:textId="4189B3CA">
      <w:pPr>
        <w:pStyle w:val="JuPara"/>
      </w:pPr>
      <w:r>
        <w:fldChar w:fldCharType="begin"/>
      </w:r>
      <w:r>
        <w:instrText xml:space="preserve"> SEQ level0 \*arabic \* MERGEFORMAT </w:instrText>
      </w:r>
      <w:r>
        <w:fldChar w:fldCharType="separate"/>
      </w:r>
      <w:bookmarkStart w:name="paragraph00006" w:id="4"/>
      <w:r w:rsidRPr="00BF6084" w:rsidR="00BF6084">
        <w:rPr>
          <w:noProof/>
        </w:rPr>
        <w:t>6</w:t>
      </w:r>
      <w:bookmarkEnd w:id="4"/>
      <w:r>
        <w:fldChar w:fldCharType="end"/>
      </w:r>
      <w:r w:rsidRPr="00BF6084">
        <w:t xml:space="preserve">.  On 20 June 2016 the prosecution service opened, </w:t>
      </w:r>
      <w:r w:rsidRPr="00BF6084">
        <w:t>on the basis of</w:t>
      </w:r>
      <w:r w:rsidRPr="00BF6084">
        <w:t xml:space="preserve"> a complaint lodged by the applicant on 18 June 2016, a criminal case into the alleged disclosure of information concerning private life (“the criminal case”). The authorities questioned the applicant, M.K. and M.K.</w:t>
      </w:r>
      <w:r w:rsidRPr="00BF6084" w:rsidR="00BF6084">
        <w:t>’</w:t>
      </w:r>
      <w:r w:rsidRPr="00BF6084">
        <w:t xml:space="preserve">s mother. M.K. stated that the applicant had consistently spread false information about her. As for the information she had disseminated about the applicant (see paragraphs </w:t>
      </w:r>
      <w:r w:rsidRPr="00BF6084">
        <w:fldChar w:fldCharType="begin"/>
      </w:r>
      <w:r w:rsidRPr="00BF6084">
        <w:instrText xml:space="preserve"> REF paragraph00003 \h  \* CharFormat </w:instrText>
      </w:r>
      <w:r w:rsidRPr="00BF6084">
        <w:fldChar w:fldCharType="separate"/>
      </w:r>
      <w:r w:rsidRPr="00BF6084" w:rsidR="00BF6084">
        <w:t>3</w:t>
      </w:r>
      <w:r w:rsidRPr="00BF6084">
        <w:fldChar w:fldCharType="end"/>
      </w:r>
      <w:r w:rsidRPr="00BF6084">
        <w:t xml:space="preserve"> and </w:t>
      </w:r>
      <w:r w:rsidRPr="00BF6084">
        <w:fldChar w:fldCharType="begin"/>
      </w:r>
      <w:r w:rsidRPr="00BF6084">
        <w:instrText xml:space="preserve"> REF paragraph00004 \h  \* CharFormat </w:instrText>
      </w:r>
      <w:r w:rsidRPr="00BF6084">
        <w:fldChar w:fldCharType="separate"/>
      </w:r>
      <w:r w:rsidRPr="00BF6084" w:rsidR="00BF6084">
        <w:t>4</w:t>
      </w:r>
      <w:r w:rsidRPr="00BF6084">
        <w:fldChar w:fldCharType="end"/>
      </w:r>
      <w:r w:rsidRPr="00BF6084">
        <w:t xml:space="preserve"> above), she could not recall the exact source from which she had learned of the alleged facts concerning the applicant</w:t>
      </w:r>
      <w:r w:rsidRPr="00BF6084" w:rsidR="00BF6084">
        <w:t>’</w:t>
      </w:r>
      <w:r w:rsidRPr="00BF6084">
        <w:t>s private life, but that she had known about them for a long time. The investigating authorities also examined the relevant social media accounts and the impugned posts.</w:t>
      </w:r>
    </w:p>
    <w:bookmarkStart w:name="media" w:id="5"/>
    <w:p w:rsidRPr="00BF6084" w:rsidR="00396F89" w:rsidP="00BF6084" w14:paraId="152D33CE" w14:textId="3A1C8A08">
      <w:pPr>
        <w:pStyle w:val="JuPara"/>
      </w:pPr>
      <w:r w:rsidRPr="00BF6084">
        <w:fldChar w:fldCharType="begin"/>
      </w:r>
      <w:r w:rsidRPr="00BF6084">
        <w:instrText xml:space="preserve"> SEQ level0 \*arabic \* MERGEFORMAT </w:instrText>
      </w:r>
      <w:r w:rsidRPr="00BF6084">
        <w:fldChar w:fldCharType="separate"/>
      </w:r>
      <w:r w:rsidRPr="00BF6084" w:rsidR="00BF6084">
        <w:rPr>
          <w:noProof/>
        </w:rPr>
        <w:t>7</w:t>
      </w:r>
      <w:r w:rsidRPr="00BF6084">
        <w:fldChar w:fldCharType="end"/>
      </w:r>
      <w:bookmarkEnd w:id="5"/>
      <w:r w:rsidRPr="00BF6084">
        <w:t xml:space="preserve">.  The authorities, furthermore, obtained information about another criminal complaint lodged by the applicant in 2012 regarding the </w:t>
      </w:r>
      <w:r w:rsidRPr="00BF6084">
        <w:t>dissemination in the media of the family dispute referred to in M.K.</w:t>
      </w:r>
      <w:r w:rsidRPr="00BF6084" w:rsidR="00BF6084">
        <w:t>’</w:t>
      </w:r>
      <w:r w:rsidRPr="00BF6084">
        <w:t>s post. Specifically, in 2012 the media had reported that a restraining order had been issued against the applicant</w:t>
      </w:r>
      <w:r w:rsidRPr="00BF6084" w:rsidR="00BF6084">
        <w:t>’</w:t>
      </w:r>
      <w:r w:rsidRPr="00BF6084">
        <w:t xml:space="preserve">s spouse. At the time, the applicant had lodged a criminal complaint against the journalists, alleging that the broadcast had disclosed personal information by identifying both her spouse and </w:t>
      </w:r>
      <w:r w:rsidRPr="00BF6084">
        <w:t>herself</w:t>
      </w:r>
      <w:r w:rsidRPr="00BF6084">
        <w:t>, their names being visible on a judicial order shown in the media. On 6 February 2012 the authorities had discontinued that investigation, informing the applicant that her complaint had disclosed no elements of a criminal offence and advising her that the matter fell within the competence of the civil courts.</w:t>
      </w:r>
    </w:p>
    <w:p w:rsidRPr="00BF6084" w:rsidR="00396F89" w:rsidP="00BF6084" w14:paraId="02291DD0" w14:textId="77A54324">
      <w:pPr>
        <w:pStyle w:val="JuPara"/>
      </w:pPr>
      <w:r>
        <w:fldChar w:fldCharType="begin"/>
      </w:r>
      <w:r>
        <w:instrText xml:space="preserve"> SEQ level0 \*arabic \* MERGEFORMAT </w:instrText>
      </w:r>
      <w:r>
        <w:fldChar w:fldCharType="separate"/>
      </w:r>
      <w:bookmarkStart w:name="paragraph00007" w:id="6"/>
      <w:r w:rsidRPr="00BF6084" w:rsidR="00BF6084">
        <w:rPr>
          <w:noProof/>
        </w:rPr>
        <w:t>8</w:t>
      </w:r>
      <w:bookmarkEnd w:id="6"/>
      <w:r>
        <w:fldChar w:fldCharType="end"/>
      </w:r>
      <w:r w:rsidRPr="00BF6084">
        <w:t xml:space="preserve">.  The applicant applied on five occasions to be granted procedural status of a victim in the context of the ongoing criminal case (see paragraph </w:t>
      </w:r>
      <w:r w:rsidRPr="00BF6084">
        <w:fldChar w:fldCharType="begin"/>
      </w:r>
      <w:r w:rsidRPr="00BF6084">
        <w:instrText xml:space="preserve"> REF paragraph00006 \h  \* CharFormat </w:instrText>
      </w:r>
      <w:r w:rsidRPr="00BF6084">
        <w:fldChar w:fldCharType="separate"/>
      </w:r>
      <w:r w:rsidRPr="00BF6084" w:rsidR="00BF6084">
        <w:t>6</w:t>
      </w:r>
      <w:r w:rsidRPr="00BF6084">
        <w:fldChar w:fldCharType="end"/>
      </w:r>
      <w:r w:rsidRPr="00BF6084">
        <w:t xml:space="preserve"> above). The prosecuting authorities initially informed her that the investigation was still pending and that a decision would be taken at a later stage should sufficient </w:t>
      </w:r>
      <w:r w:rsidRPr="00BF6084">
        <w:rPr>
          <w:i/>
          <w:iCs/>
        </w:rPr>
        <w:t>prima facie</w:t>
      </w:r>
      <w:r w:rsidRPr="00BF6084">
        <w:t xml:space="preserve"> evidence of a criminal offence emerge. Her most recent application, dated 22 June 2021, was dismissed by a prosecutor on the ground that no such </w:t>
      </w:r>
      <w:r w:rsidRPr="00BF6084">
        <w:rPr>
          <w:i/>
          <w:iCs/>
        </w:rPr>
        <w:t>prima facie</w:t>
      </w:r>
      <w:r w:rsidRPr="00BF6084">
        <w:t xml:space="preserve"> evidence had been established. That decision was amenable to appeal to a superior prosecutor and, subsequently, to a court; however, the applicant did not avail herself of that opportunity.</w:t>
      </w:r>
    </w:p>
    <w:p w:rsidRPr="00BF6084" w:rsidR="00396F89" w:rsidP="00BF6084" w14:paraId="7E695BF9" w14:textId="09E1108A">
      <w:pPr>
        <w:pStyle w:val="JuPara"/>
      </w:pPr>
      <w:r>
        <w:fldChar w:fldCharType="begin"/>
      </w:r>
      <w:r>
        <w:instrText xml:space="preserve"> SEQ level0 \*arabic \* MERGEFORMAT </w:instrText>
      </w:r>
      <w:r>
        <w:fldChar w:fldCharType="separate"/>
      </w:r>
      <w:r w:rsidRPr="00BF6084" w:rsidR="00BF6084">
        <w:rPr>
          <w:noProof/>
        </w:rPr>
        <w:t>9</w:t>
      </w:r>
      <w:r w:rsidRPr="00BF6084" w:rsidR="00BF6084">
        <w:rPr>
          <w:noProof/>
        </w:rPr>
        <w:fldChar w:fldCharType="end"/>
      </w:r>
      <w:r w:rsidRPr="00BF6084">
        <w:t xml:space="preserve">.  According to the information in the case file, the criminal case (see paragraph </w:t>
      </w:r>
      <w:r w:rsidRPr="00BF6084">
        <w:fldChar w:fldCharType="begin"/>
      </w:r>
      <w:r w:rsidRPr="00BF6084">
        <w:instrText xml:space="preserve"> REF paragraph00006 \h  \* CharFormat </w:instrText>
      </w:r>
      <w:r w:rsidRPr="00BF6084">
        <w:fldChar w:fldCharType="separate"/>
      </w:r>
      <w:r w:rsidRPr="00BF6084" w:rsidR="00BF6084">
        <w:t>6</w:t>
      </w:r>
      <w:r w:rsidRPr="00BF6084">
        <w:fldChar w:fldCharType="end"/>
      </w:r>
      <w:r w:rsidRPr="00BF6084">
        <w:t xml:space="preserve"> above) remains ongoing.</w:t>
      </w:r>
    </w:p>
    <w:p w:rsidRPr="00BF6084" w:rsidR="00396F89" w:rsidP="00BF6084" w14:paraId="2AFA4E21" w14:textId="2DC64204">
      <w:pPr>
        <w:pStyle w:val="JuHHead"/>
        <w:keepLines w:val="0"/>
        <w:numPr>
          <w:ilvl w:val="0"/>
          <w:numId w:val="21"/>
        </w:numPr>
        <w:ind w:left="360" w:hanging="360"/>
      </w:pPr>
      <w:r w:rsidRPr="00BF6084">
        <w:t>THE COURT</w:t>
      </w:r>
      <w:r w:rsidRPr="00BF6084" w:rsidR="00BF6084">
        <w:t>’</w:t>
      </w:r>
      <w:r w:rsidRPr="00BF6084">
        <w:t>S ASSESSMENT</w:t>
      </w:r>
    </w:p>
    <w:p w:rsidRPr="00BF6084" w:rsidR="00396F89" w:rsidP="00BF6084" w14:paraId="5F941D54" w14:textId="421A12D1">
      <w:pPr>
        <w:pStyle w:val="JuPara"/>
      </w:pPr>
      <w:r>
        <w:fldChar w:fldCharType="begin"/>
      </w:r>
      <w:r>
        <w:instrText xml:space="preserve"> SEQ level0 \*arabic \* MERGEFORMAT </w:instrText>
      </w:r>
      <w:r>
        <w:fldChar w:fldCharType="separate"/>
      </w:r>
      <w:r w:rsidRPr="00BF6084" w:rsidR="00BF6084">
        <w:rPr>
          <w:noProof/>
        </w:rPr>
        <w:t>10</w:t>
      </w:r>
      <w:r w:rsidRPr="00BF6084" w:rsidR="00BF6084">
        <w:rPr>
          <w:noProof/>
        </w:rPr>
        <w:fldChar w:fldCharType="end"/>
      </w:r>
      <w:r w:rsidRPr="00BF6084">
        <w:t>.  Relying on Articles 8 and 13 of the Convention, the applicant complained that the State had failed to comply with its positive obligation to protect her private and/or family life against interference by M.K.</w:t>
      </w:r>
    </w:p>
    <w:p w:rsidRPr="00BF6084" w:rsidR="00396F89" w:rsidP="00BF6084" w14:paraId="50361B72" w14:textId="6782C629">
      <w:pPr>
        <w:pStyle w:val="JuPara"/>
      </w:pPr>
      <w:r>
        <w:fldChar w:fldCharType="begin"/>
      </w:r>
      <w:r>
        <w:instrText xml:space="preserve"> SEQ level0 \*arabic \* MERGEFORMAT </w:instrText>
      </w:r>
      <w:r>
        <w:fldChar w:fldCharType="separate"/>
      </w:r>
      <w:r w:rsidRPr="00BF6084" w:rsidR="00BF6084">
        <w:rPr>
          <w:noProof/>
        </w:rPr>
        <w:t>11</w:t>
      </w:r>
      <w:r w:rsidRPr="00BF6084" w:rsidR="00BF6084">
        <w:rPr>
          <w:noProof/>
        </w:rPr>
        <w:fldChar w:fldCharType="end"/>
      </w:r>
      <w:r w:rsidRPr="00BF6084">
        <w:t xml:space="preserve">.  The Government submitted, </w:t>
      </w:r>
      <w:r w:rsidRPr="00BF6084">
        <w:rPr>
          <w:i/>
          <w:iCs/>
        </w:rPr>
        <w:t>inter alia</w:t>
      </w:r>
      <w:r w:rsidRPr="00BF6084">
        <w:t xml:space="preserve">, that the matter concerned a trivial dispute between private parties to which Article 8 did not apply </w:t>
      </w:r>
      <w:r w:rsidRPr="00BF6084">
        <w:rPr>
          <w:i/>
          <w:iCs/>
        </w:rPr>
        <w:t xml:space="preserve">ratione </w:t>
      </w:r>
      <w:r w:rsidRPr="00BF6084">
        <w:rPr>
          <w:i/>
          <w:iCs/>
        </w:rPr>
        <w:t>materiae</w:t>
      </w:r>
      <w:r w:rsidRPr="00BF6084">
        <w:t xml:space="preserve"> under the Convention; that the applicant had suffered no significant disadvantage, given that the information disseminated by M.K. had already been in the public domain; that the applicant had failed to exhaust effective remedies by instituting civil-law proceedings against the individual in question; or that the complaint was manifestly ill-founded on account of the applicant</w:t>
      </w:r>
      <w:r w:rsidRPr="00BF6084" w:rsidR="00BF6084">
        <w:t>’</w:t>
      </w:r>
      <w:r w:rsidRPr="00BF6084">
        <w:t>s own role in amplifying the information disseminated by M.K. and that the Convention did not provide for a right to “private revenge.”</w:t>
      </w:r>
    </w:p>
    <w:p w:rsidRPr="00BF6084" w:rsidR="00396F89" w:rsidP="00BF6084" w14:paraId="46C7CEE3" w14:textId="6CAC34BB">
      <w:pPr>
        <w:pStyle w:val="JuPara"/>
      </w:pPr>
      <w:r>
        <w:fldChar w:fldCharType="begin"/>
      </w:r>
      <w:r>
        <w:instrText xml:space="preserve"> SEQ level0 \*arabic \* MERGEFORMAT </w:instrText>
      </w:r>
      <w:r>
        <w:fldChar w:fldCharType="separate"/>
      </w:r>
      <w:r w:rsidRPr="00BF6084" w:rsidR="00BF6084">
        <w:rPr>
          <w:noProof/>
        </w:rPr>
        <w:t>12</w:t>
      </w:r>
      <w:r w:rsidRPr="00BF6084" w:rsidR="00BF6084">
        <w:rPr>
          <w:noProof/>
        </w:rPr>
        <w:fldChar w:fldCharType="end"/>
      </w:r>
      <w:r w:rsidRPr="00BF6084">
        <w:t xml:space="preserve">.  The applicant replied, </w:t>
      </w:r>
      <w:r w:rsidRPr="00BF6084">
        <w:rPr>
          <w:i/>
          <w:iCs/>
        </w:rPr>
        <w:t>inter alia</w:t>
      </w:r>
      <w:r w:rsidRPr="00BF6084">
        <w:t>, that the civil remedy would not have been effective in her case, as the information disclosed by M.K. had not contained false facts and, in any event, the crux of her case had been to establish how M.K. had obtained the information and to have her “brought to justice” for disclosing personal information regarding the applicant which had negatively affected her psychological well-being.</w:t>
      </w:r>
    </w:p>
    <w:p w:rsidRPr="00BF6084" w:rsidR="00396F89" w:rsidP="00BF6084" w14:paraId="7A58B892" w14:textId="47DFA00E">
      <w:pPr>
        <w:pStyle w:val="JuPara"/>
      </w:pPr>
      <w:r>
        <w:fldChar w:fldCharType="begin"/>
      </w:r>
      <w:r>
        <w:instrText xml:space="preserve"> SEQ level0 \*arabic \* MERGEFORMAT </w:instrText>
      </w:r>
      <w:r>
        <w:fldChar w:fldCharType="separate"/>
      </w:r>
      <w:r w:rsidRPr="00BF6084" w:rsidR="00BF6084">
        <w:rPr>
          <w:noProof/>
        </w:rPr>
        <w:t>13</w:t>
      </w:r>
      <w:r w:rsidRPr="00BF6084" w:rsidR="00BF6084">
        <w:rPr>
          <w:noProof/>
        </w:rPr>
        <w:fldChar w:fldCharType="end"/>
      </w:r>
      <w:r w:rsidRPr="00BF6084">
        <w:t>.  Turning to the circumstances of the present case, the Court need not address all the objections raised by the Government, as the application is in any event inadmissible on the following grounds.</w:t>
      </w:r>
    </w:p>
    <w:p w:rsidRPr="00BF6084" w:rsidR="00396F89" w:rsidP="00BF6084" w14:paraId="38ADBEA3" w14:textId="507624C2">
      <w:pPr>
        <w:pStyle w:val="JuPara"/>
      </w:pPr>
      <w:r>
        <w:fldChar w:fldCharType="begin"/>
      </w:r>
      <w:r>
        <w:instrText xml:space="preserve"> SEQ level0 \*arabic \* MERGEFORMAT </w:instrText>
      </w:r>
      <w:r>
        <w:fldChar w:fldCharType="separate"/>
      </w:r>
      <w:bookmarkStart w:name="paragraph00015" w:id="7"/>
      <w:r w:rsidRPr="00BF6084" w:rsidR="00BF6084">
        <w:rPr>
          <w:noProof/>
        </w:rPr>
        <w:t>14</w:t>
      </w:r>
      <w:bookmarkEnd w:id="7"/>
      <w:r>
        <w:fldChar w:fldCharType="end"/>
      </w:r>
      <w:r w:rsidRPr="00BF6084">
        <w:t>.  Assuming the applicability of Article 8 of the Convention, the Court observes that the present case does not involve serious acts of violence by private parties, triggering the authorities</w:t>
      </w:r>
      <w:r w:rsidRPr="00BF6084" w:rsidR="00BF6084">
        <w:t>’</w:t>
      </w:r>
      <w:r w:rsidRPr="00BF6084">
        <w:t xml:space="preserve"> duty to apply criminal-law mechanisms of effective investigation and prosecution (see </w:t>
      </w:r>
      <w:r w:rsidRPr="00BF6084">
        <w:rPr>
          <w:i/>
          <w:iCs/>
        </w:rPr>
        <w:t xml:space="preserve">B.V. and Others v. Croatia </w:t>
      </w:r>
      <w:r w:rsidRPr="00BF6084">
        <w:t>(dec.), no. 38435/13, §§ 151-54, 15 December 2015, with further references). Rather, it involves a long-standing dispute between private parties and the use of social media to disseminate information about the applicant, which had, at least in substance, been in the public domain for several years (see paragraphs </w:t>
      </w:r>
      <w:r w:rsidRPr="00BF6084">
        <w:fldChar w:fldCharType="begin"/>
      </w:r>
      <w:r w:rsidRPr="00BF6084">
        <w:instrText xml:space="preserve"> REF paragraph00002 \h  \* CharFormat  \* MERGEFORMAT </w:instrText>
      </w:r>
      <w:r w:rsidRPr="00BF6084">
        <w:fldChar w:fldCharType="separate"/>
      </w:r>
      <w:r w:rsidRPr="00BF6084" w:rsidR="00BF6084">
        <w:t>2</w:t>
      </w:r>
      <w:r w:rsidRPr="00BF6084">
        <w:fldChar w:fldCharType="end"/>
      </w:r>
      <w:r w:rsidRPr="00BF6084">
        <w:t>-</w:t>
      </w:r>
      <w:r w:rsidRPr="00BF6084">
        <w:fldChar w:fldCharType="begin"/>
      </w:r>
      <w:r w:rsidRPr="00BF6084">
        <w:instrText xml:space="preserve"> REF paragraph00005 \h  \* CharFormat  \* MERGEFORMAT </w:instrText>
      </w:r>
      <w:r w:rsidRPr="00BF6084">
        <w:fldChar w:fldCharType="separate"/>
      </w:r>
      <w:r w:rsidRPr="00BF6084" w:rsidR="00BF6084">
        <w:t>5</w:t>
      </w:r>
      <w:r w:rsidRPr="00BF6084">
        <w:fldChar w:fldCharType="end"/>
      </w:r>
      <w:r w:rsidRPr="00BF6084">
        <w:t xml:space="preserve"> above).</w:t>
      </w:r>
    </w:p>
    <w:p w:rsidRPr="00BF6084" w:rsidR="00396F89" w:rsidP="00BF6084" w14:paraId="4A528DAA" w14:textId="75D41C86">
      <w:pPr>
        <w:pStyle w:val="JuPara"/>
      </w:pPr>
      <w:r>
        <w:fldChar w:fldCharType="begin"/>
      </w:r>
      <w:r>
        <w:instrText xml:space="preserve"> SEQ level0 \*arabic \* MERGEFORMAT </w:instrText>
      </w:r>
      <w:r>
        <w:fldChar w:fldCharType="separate"/>
      </w:r>
      <w:r w:rsidRPr="00BF6084" w:rsidR="00BF6084">
        <w:rPr>
          <w:noProof/>
        </w:rPr>
        <w:t>15</w:t>
      </w:r>
      <w:r w:rsidRPr="00BF6084" w:rsidR="00BF6084">
        <w:rPr>
          <w:noProof/>
        </w:rPr>
        <w:fldChar w:fldCharType="end"/>
      </w:r>
      <w:r w:rsidRPr="00BF6084">
        <w:t>.  Therefore, the present case involves less serious acts between individuals which may violate psychological integrity, in respect of which the State</w:t>
      </w:r>
      <w:r w:rsidRPr="00BF6084" w:rsidR="00BF6084">
        <w:t>’</w:t>
      </w:r>
      <w:r w:rsidRPr="00BF6084">
        <w:t xml:space="preserve">s obligation under Article 8 of the Convention to maintain and apply in practice an adequate legal framework affording protection does not always require that an efficient criminal-law provision covering the specific act be in place. The legal framework may also consist of civil-law remedies capable of affording sufficient protection (see </w:t>
      </w:r>
      <w:bookmarkStart w:name="_cl36786THECOURTSASSESSMENT" w:id="8"/>
      <w:r w:rsidRPr="00BF6084">
        <w:rPr>
          <w:i/>
          <w:iCs/>
        </w:rPr>
        <w:t>Söderman</w:t>
      </w:r>
      <w:r w:rsidRPr="00BF6084">
        <w:rPr>
          <w:i/>
          <w:iCs/>
        </w:rPr>
        <w:t xml:space="preserve"> v. Sweden</w:t>
      </w:r>
      <w:bookmarkEnd w:id="8"/>
      <w:r w:rsidRPr="00BF6084">
        <w:t xml:space="preserve"> [GC], no. 5786/08, § 85, ECHR 2013, and </w:t>
      </w:r>
      <w:r w:rsidRPr="00BF6084">
        <w:rPr>
          <w:i/>
          <w:iCs/>
        </w:rPr>
        <w:t xml:space="preserve">B.V. </w:t>
      </w:r>
      <w:r w:rsidRPr="00BF6084">
        <w:rPr>
          <w:i/>
          <w:iCs/>
        </w:rPr>
        <w:t>and Others</w:t>
      </w:r>
      <w:r w:rsidRPr="00BF6084">
        <w:t xml:space="preserve">, cited above, </w:t>
      </w:r>
      <w:r w:rsidRPr="00BF6084">
        <w:rPr>
          <w:rFonts w:cstheme="minorHAnsi"/>
        </w:rPr>
        <w:t>§</w:t>
      </w:r>
      <w:r w:rsidRPr="00BF6084">
        <w:t xml:space="preserve"> 154 </w:t>
      </w:r>
      <w:r w:rsidRPr="00BF6084">
        <w:rPr>
          <w:i/>
          <w:iCs/>
        </w:rPr>
        <w:t>in fine</w:t>
      </w:r>
      <w:r w:rsidRPr="00BF6084">
        <w:t>).</w:t>
      </w:r>
    </w:p>
    <w:p w:rsidRPr="00BF6084" w:rsidR="00396F89" w:rsidP="00BF6084" w14:paraId="07106C8E" w14:textId="33BACE1C">
      <w:pPr>
        <w:pStyle w:val="JuPara"/>
      </w:pPr>
      <w:r>
        <w:fldChar w:fldCharType="begin"/>
      </w:r>
      <w:r>
        <w:instrText xml:space="preserve"> SEQ level0 \*arabic \* MERGEFORMAT </w:instrText>
      </w:r>
      <w:r>
        <w:fldChar w:fldCharType="separate"/>
      </w:r>
      <w:r w:rsidRPr="00BF6084" w:rsidR="00BF6084">
        <w:rPr>
          <w:noProof/>
        </w:rPr>
        <w:t>16</w:t>
      </w:r>
      <w:r w:rsidRPr="00BF6084" w:rsidR="00BF6084">
        <w:rPr>
          <w:noProof/>
        </w:rPr>
        <w:fldChar w:fldCharType="end"/>
      </w:r>
      <w:r w:rsidRPr="00BF6084">
        <w:t>.  The Court takes note of the applicant</w:t>
      </w:r>
      <w:r w:rsidRPr="00BF6084" w:rsidR="00BF6084">
        <w:t>’</w:t>
      </w:r>
      <w:r w:rsidRPr="00BF6084">
        <w:t xml:space="preserve">s insistence that the criminal investigation had yet to determine the </w:t>
      </w:r>
      <w:r w:rsidRPr="00BF6084">
        <w:t>manner in which</w:t>
      </w:r>
      <w:r w:rsidRPr="00BF6084">
        <w:t xml:space="preserve"> the private individual in question had accessed the information regarding her private life. However, the Court cannot overlook that, in addition to the availability in the public domain of the information concerning the applicant</w:t>
      </w:r>
      <w:r w:rsidRPr="00BF6084" w:rsidR="00BF6084">
        <w:t>’</w:t>
      </w:r>
      <w:r w:rsidRPr="00BF6084">
        <w:t>s family dispute (see paragraphs </w:t>
      </w:r>
      <w:r w:rsidRPr="00BF6084">
        <w:fldChar w:fldCharType="begin"/>
      </w:r>
      <w:r w:rsidRPr="00BF6084">
        <w:instrText xml:space="preserve"> REF paragraph00006 \h  \* CharFormat </w:instrText>
      </w:r>
      <w:r w:rsidRPr="00BF6084">
        <w:fldChar w:fldCharType="separate"/>
      </w:r>
      <w:r w:rsidRPr="00BF6084" w:rsidR="00BF6084">
        <w:t>6</w:t>
      </w:r>
      <w:r w:rsidRPr="00BF6084">
        <w:fldChar w:fldCharType="end"/>
      </w:r>
      <w:r w:rsidRPr="00BF6084">
        <w:t>-</w:t>
      </w:r>
      <w:r w:rsidRPr="00BF6084">
        <w:fldChar w:fldCharType="begin"/>
      </w:r>
      <w:r w:rsidRPr="00BF6084">
        <w:instrText xml:space="preserve"> REF media \h </w:instrText>
      </w:r>
      <w:r w:rsidRPr="00BF6084">
        <w:fldChar w:fldCharType="separate"/>
      </w:r>
      <w:r w:rsidRPr="00BF6084" w:rsidR="00BF6084">
        <w:rPr>
          <w:noProof/>
        </w:rPr>
        <w:t>7</w:t>
      </w:r>
      <w:r w:rsidRPr="00BF6084">
        <w:fldChar w:fldCharType="end"/>
      </w:r>
      <w:r w:rsidRPr="00BF6084">
        <w:t xml:space="preserve"> above), already in 2012 the applicant was instructed by the relevant authorities that the adjudication of matters such as the present one fell within the domain of the civil courts (see </w:t>
      </w:r>
      <w:r w:rsidRPr="00BF6084">
        <w:rPr>
          <w:i/>
          <w:iCs/>
        </w:rPr>
        <w:t>Noveski</w:t>
      </w:r>
      <w:r w:rsidRPr="00BF6084">
        <w:rPr>
          <w:i/>
          <w:iCs/>
        </w:rPr>
        <w:t xml:space="preserve"> and Others v. the former Yugoslav Republic of Macedonia</w:t>
      </w:r>
      <w:r w:rsidRPr="00BF6084">
        <w:t xml:space="preserve"> (dec.), nos. 25163/08 and 2 others, §</w:t>
      </w:r>
      <w:r w:rsidRPr="00BF6084">
        <w:rPr>
          <w:rFonts w:cstheme="minorHAnsi"/>
        </w:rPr>
        <w:t>§</w:t>
      </w:r>
      <w:r w:rsidRPr="00BF6084">
        <w:t xml:space="preserve"> 61 and 68, 13 September 2016). Yet, she chose not to pursue that remedy in the present case, considering that the criminal-law remedy was most appropriate to bring M.K. “to justice”. The Court reiterates, however, that the Convention does not guarantee an applicant a right to secure the prosecution and conviction of a third party or a right to “private revenge” (see </w:t>
      </w:r>
      <w:bookmarkStart w:name="_cl33243THECOURTSASSESSMENT" w:id="9"/>
      <w:r w:rsidRPr="00BF6084">
        <w:rPr>
          <w:i/>
          <w:iCs/>
        </w:rPr>
        <w:t>Öneryıldız</w:t>
      </w:r>
      <w:r w:rsidRPr="00BF6084">
        <w:rPr>
          <w:i/>
          <w:iCs/>
        </w:rPr>
        <w:t xml:space="preserve"> v. Turkey</w:t>
      </w:r>
      <w:bookmarkEnd w:id="9"/>
      <w:r w:rsidRPr="00BF6084">
        <w:t xml:space="preserve"> [GC], no. 48939/99, § 147, ECHR 2004-XII).</w:t>
      </w:r>
    </w:p>
    <w:p w:rsidRPr="00BF6084" w:rsidR="00396F89" w:rsidP="00BF6084" w14:paraId="2776E4D3" w14:textId="5FF916B5">
      <w:pPr>
        <w:pStyle w:val="JuPara"/>
      </w:pPr>
      <w:r>
        <w:fldChar w:fldCharType="begin"/>
      </w:r>
      <w:r>
        <w:instrText xml:space="preserve"> SEQ level0 \*arabic \* MERGEFORMAT </w:instrText>
      </w:r>
      <w:r>
        <w:fldChar w:fldCharType="separate"/>
      </w:r>
      <w:r w:rsidRPr="00BF6084" w:rsidR="00BF6084">
        <w:rPr>
          <w:noProof/>
        </w:rPr>
        <w:t>17</w:t>
      </w:r>
      <w:r w:rsidRPr="00BF6084" w:rsidR="00BF6084">
        <w:rPr>
          <w:noProof/>
        </w:rPr>
        <w:fldChar w:fldCharType="end"/>
      </w:r>
      <w:r w:rsidRPr="00BF6084">
        <w:t>.  In this regard, even assuming that the authorities</w:t>
      </w:r>
      <w:r w:rsidRPr="00BF6084" w:rsidR="00BF6084">
        <w:t>’</w:t>
      </w:r>
      <w:r w:rsidRPr="00BF6084">
        <w:t xml:space="preserve"> duty to apply criminal-law remedies was applicable in the present case, and bearing in mind the applicant</w:t>
      </w:r>
      <w:r w:rsidRPr="00BF6084" w:rsidR="00BF6084">
        <w:t>’</w:t>
      </w:r>
      <w:r w:rsidRPr="00BF6084">
        <w:t>s own possible role in attracting public attention to her case (see paragraph </w:t>
      </w:r>
      <w:r w:rsidRPr="00BF6084">
        <w:fldChar w:fldCharType="begin"/>
      </w:r>
      <w:r w:rsidRPr="00BF6084">
        <w:instrText xml:space="preserve"> REF paragraph00005 \h  \* CharFormat </w:instrText>
      </w:r>
      <w:r w:rsidRPr="00BF6084">
        <w:fldChar w:fldCharType="separate"/>
      </w:r>
      <w:r w:rsidRPr="00BF6084" w:rsidR="00BF6084">
        <w:t>5</w:t>
      </w:r>
      <w:r w:rsidRPr="00BF6084">
        <w:fldChar w:fldCharType="end"/>
      </w:r>
      <w:r w:rsidRPr="00BF6084">
        <w:t xml:space="preserve"> above), as well as the availability of the impugned information in the public domain for several years (see paragraphs </w:t>
      </w:r>
      <w:r w:rsidRPr="00BF6084">
        <w:fldChar w:fldCharType="begin"/>
      </w:r>
      <w:r w:rsidRPr="00BF6084">
        <w:instrText xml:space="preserve"> REF paragraph00006 \h  \* CharFormat </w:instrText>
      </w:r>
      <w:r w:rsidRPr="00BF6084">
        <w:fldChar w:fldCharType="separate"/>
      </w:r>
      <w:r w:rsidRPr="00BF6084" w:rsidR="00BF6084">
        <w:t>6</w:t>
      </w:r>
      <w:r w:rsidRPr="00BF6084">
        <w:fldChar w:fldCharType="end"/>
      </w:r>
      <w:r w:rsidRPr="00BF6084">
        <w:t>-</w:t>
      </w:r>
      <w:r w:rsidRPr="00BF6084">
        <w:fldChar w:fldCharType="begin"/>
      </w:r>
      <w:r w:rsidRPr="00BF6084">
        <w:instrText xml:space="preserve"> REF media \h </w:instrText>
      </w:r>
      <w:r w:rsidRPr="00BF6084">
        <w:fldChar w:fldCharType="separate"/>
      </w:r>
      <w:r w:rsidRPr="00BF6084" w:rsidR="00BF6084">
        <w:rPr>
          <w:noProof/>
        </w:rPr>
        <w:t>7</w:t>
      </w:r>
      <w:r w:rsidRPr="00BF6084">
        <w:fldChar w:fldCharType="end"/>
      </w:r>
      <w:r w:rsidRPr="00BF6084">
        <w:t xml:space="preserve"> above), the Court observes that the prosecuting authorities carried out various investigative measures without delay and with no apparent omissions (see paragraphs </w:t>
      </w:r>
      <w:r w:rsidRPr="00BF6084">
        <w:fldChar w:fldCharType="begin"/>
      </w:r>
      <w:r w:rsidRPr="00BF6084">
        <w:instrText xml:space="preserve"> REF paragraph00006 \h  \* CharFormat  \* MERGEFORMAT </w:instrText>
      </w:r>
      <w:r w:rsidRPr="00BF6084">
        <w:fldChar w:fldCharType="separate"/>
      </w:r>
      <w:r w:rsidRPr="00BF6084" w:rsidR="00BF6084">
        <w:t>6</w:t>
      </w:r>
      <w:r w:rsidRPr="00BF6084">
        <w:fldChar w:fldCharType="end"/>
      </w:r>
      <w:r w:rsidRPr="00BF6084">
        <w:t>-</w:t>
      </w:r>
      <w:r w:rsidRPr="00BF6084">
        <w:fldChar w:fldCharType="begin"/>
      </w:r>
      <w:r w:rsidRPr="00BF6084">
        <w:instrText xml:space="preserve"> REF paragraph00007 \h  \* CharFormat </w:instrText>
      </w:r>
      <w:r w:rsidRPr="00BF6084">
        <w:fldChar w:fldCharType="separate"/>
      </w:r>
      <w:r w:rsidRPr="00BF6084" w:rsidR="00BF6084">
        <w:t>8</w:t>
      </w:r>
      <w:r w:rsidRPr="00BF6084">
        <w:fldChar w:fldCharType="end"/>
      </w:r>
      <w:r w:rsidRPr="00BF6084">
        <w:t xml:space="preserve"> above). There is, therefore, nothing in the case file which discloses any shortcomings in the handling of the case by the domestic authorities.</w:t>
      </w:r>
    </w:p>
    <w:p w:rsidRPr="00BF6084" w:rsidR="00396F89" w:rsidP="00BF6084" w14:paraId="42FF1ED4" w14:textId="597F75C5">
      <w:pPr>
        <w:pStyle w:val="JuPara"/>
      </w:pPr>
      <w:r>
        <w:fldChar w:fldCharType="begin"/>
      </w:r>
      <w:r>
        <w:instrText xml:space="preserve"> SEQ level0 \*arabic \* MERGEFORMAT </w:instrText>
      </w:r>
      <w:r>
        <w:fldChar w:fldCharType="separate"/>
      </w:r>
      <w:r w:rsidRPr="00BF6084" w:rsidR="00BF6084">
        <w:rPr>
          <w:noProof/>
        </w:rPr>
        <w:t>18</w:t>
      </w:r>
      <w:r w:rsidRPr="00BF6084" w:rsidR="00BF6084">
        <w:rPr>
          <w:noProof/>
        </w:rPr>
        <w:fldChar w:fldCharType="end"/>
      </w:r>
      <w:r w:rsidRPr="00BF6084">
        <w:t>.  Accordingly, having regard to the authorities</w:t>
      </w:r>
      <w:r w:rsidRPr="00BF6084" w:rsidR="00BF6084">
        <w:t>’</w:t>
      </w:r>
      <w:r w:rsidRPr="00BF6084">
        <w:t xml:space="preserve"> response to the applicants</w:t>
      </w:r>
      <w:r w:rsidRPr="00BF6084" w:rsidR="00BF6084">
        <w:t>’</w:t>
      </w:r>
      <w:r w:rsidRPr="00BF6084">
        <w:t xml:space="preserve"> requests for intervention, the measures already adopted, and the availability of civil compensation proceedings, the Court is unable to find any appearance of deficiencies in the application of the relevant domestic framework in the circumstances of the present case (compare </w:t>
      </w:r>
      <w:r w:rsidRPr="00BF6084">
        <w:rPr>
          <w:i/>
          <w:iCs/>
        </w:rPr>
        <w:t xml:space="preserve">B.V. </w:t>
      </w:r>
      <w:r w:rsidRPr="00BF6084" w:rsidR="00C200A9">
        <w:rPr>
          <w:i/>
          <w:iCs/>
        </w:rPr>
        <w:t>and Others</w:t>
      </w:r>
      <w:r w:rsidRPr="00BF6084">
        <w:t xml:space="preserve">, cited above, §§ 148-64, and </w:t>
      </w:r>
      <w:r w:rsidRPr="00BF6084">
        <w:rPr>
          <w:i/>
          <w:iCs/>
        </w:rPr>
        <w:t>Noveski</w:t>
      </w:r>
      <w:r w:rsidRPr="00BF6084">
        <w:rPr>
          <w:i/>
          <w:iCs/>
        </w:rPr>
        <w:t xml:space="preserve"> and Others</w:t>
      </w:r>
      <w:r w:rsidRPr="00BF6084">
        <w:t xml:space="preserve">, cited above, </w:t>
      </w:r>
      <w:r w:rsidRPr="00BF6084">
        <w:rPr>
          <w:rFonts w:cstheme="minorHAnsi"/>
        </w:rPr>
        <w:t>§§</w:t>
      </w:r>
      <w:r w:rsidRPr="00BF6084">
        <w:t xml:space="preserve"> 62</w:t>
      </w:r>
      <w:r w:rsidRPr="00BF6084" w:rsidR="00BF6084">
        <w:noBreakHyphen/>
        <w:t>article</w:t>
      </w:r>
      <w:r w:rsidRPr="00BF6084">
        <w:t>70).</w:t>
      </w:r>
    </w:p>
    <w:p w:rsidRPr="00BF6084" w:rsidR="00396F89" w:rsidP="00BF6084" w14:paraId="504E77D1" w14:textId="6D9A309A">
      <w:pPr>
        <w:pStyle w:val="JuPara"/>
      </w:pPr>
      <w:r>
        <w:fldChar w:fldCharType="begin"/>
      </w:r>
      <w:r>
        <w:instrText xml:space="preserve"> SEQ level0 \*arabic \* MERGEFORMAT </w:instrText>
      </w:r>
      <w:r>
        <w:fldChar w:fldCharType="separate"/>
      </w:r>
      <w:r w:rsidRPr="00BF6084" w:rsidR="00BF6084">
        <w:rPr>
          <w:noProof/>
        </w:rPr>
        <w:t>19</w:t>
      </w:r>
      <w:r w:rsidRPr="00BF6084" w:rsidR="00BF6084">
        <w:rPr>
          <w:noProof/>
        </w:rPr>
        <w:fldChar w:fldCharType="end"/>
      </w:r>
      <w:r w:rsidRPr="00BF6084">
        <w:t>.  In the light of the foregoing, the Court finds that the application is manifestly ill-founded within the meaning of Article 35 § 3 (a) and must be rejected in accordance with Article 35 § 4 of the Convention.</w:t>
      </w:r>
    </w:p>
    <w:p w:rsidRPr="00BF6084" w:rsidR="00396F89" w:rsidP="00BF6084" w14:paraId="6D576DBB" w14:textId="207BC55D">
      <w:pPr>
        <w:pStyle w:val="JuParaLast"/>
      </w:pPr>
      <w:r w:rsidRPr="00BF6084">
        <w:t>For these reasons, the Court, unanimously,</w:t>
      </w:r>
    </w:p>
    <w:p w:rsidRPr="00BF6084" w:rsidR="00396F89" w:rsidP="00BF6084" w14:paraId="4E1992D9" w14:textId="77777777">
      <w:pPr>
        <w:pStyle w:val="DecList"/>
      </w:pPr>
      <w:r w:rsidRPr="00BF6084">
        <w:rPr>
          <w:i/>
        </w:rPr>
        <w:t>Declares</w:t>
      </w:r>
      <w:r w:rsidRPr="00BF6084">
        <w:t xml:space="preserve"> the application inadmissible.</w:t>
      </w:r>
    </w:p>
    <w:p w:rsidRPr="00BF6084" w:rsidR="00BD1692" w:rsidP="00BF6084" w14:paraId="462368AC" w14:textId="1C1A1891">
      <w:pPr>
        <w:pStyle w:val="JuParaLast"/>
        <w:rPr>
          <w:sz w:val="14"/>
        </w:rPr>
      </w:pPr>
      <w:r w:rsidRPr="00BF6084">
        <w:t xml:space="preserve">Done in English and notified in writing on </w:t>
      </w:r>
      <w:r w:rsidRPr="00BF6084" w:rsidR="00396F89">
        <w:rPr>
          <w:noProof/>
        </w:rPr>
        <w:t>26 March 2026</w:t>
      </w:r>
      <w:r w:rsidRPr="00BF6084">
        <w:t>.</w:t>
      </w:r>
    </w:p>
    <w:p w:rsidRPr="00BF6084" w:rsidR="00BD1692" w:rsidP="00BF6084" w14:paraId="57736028" w14:textId="7019C467">
      <w:pPr>
        <w:pStyle w:val="ECHRPlaceholder"/>
      </w:pPr>
      <w:r w:rsidRPr="00BF6084">
        <w:tab/>
      </w:r>
    </w:p>
    <w:p w:rsidRPr="00BF6084" w:rsidR="00CB3BD9" w:rsidP="00BF6084" w14:paraId="1DEA3AA1" w14:textId="45ADA34A">
      <w:pPr>
        <w:pStyle w:val="JuSigned"/>
      </w:pPr>
      <w:r w:rsidRPr="00BF6084">
        <w:tab/>
      </w:r>
      <w:r w:rsidRPr="00BF6084" w:rsidR="00C95E31">
        <w:rPr>
          <w:rFonts w:eastAsia="PMingLiU"/>
          <w:noProof/>
        </w:rPr>
        <w:t>Giorgi Badashvili</w:t>
      </w:r>
      <w:r w:rsidRPr="00BF6084" w:rsidR="001D1233">
        <w:tab/>
      </w:r>
      <w:r w:rsidRPr="00BF6084" w:rsidR="00396F89">
        <w:rPr>
          <w:noProof/>
        </w:rPr>
        <w:t>Faris Vehabović</w:t>
      </w:r>
      <w:r w:rsidRPr="00BF6084" w:rsidR="001D1233">
        <w:br/>
      </w:r>
      <w:r w:rsidRPr="00BF6084" w:rsidR="001D1233">
        <w:tab/>
      </w:r>
      <w:r w:rsidRPr="00BF6084" w:rsidR="00C95E31">
        <w:t xml:space="preserve">Acting </w:t>
      </w:r>
      <w:r w:rsidRPr="00BF6084" w:rsidR="00396F89">
        <w:rPr>
          <w:noProof/>
        </w:rPr>
        <w:t>Deputy Registrar</w:t>
      </w:r>
      <w:r w:rsidRPr="00BF6084" w:rsidR="006267D3">
        <w:tab/>
        <w:t>President</w:t>
      </w:r>
    </w:p>
    <w:sectPr w:rsidSect="0076040F">
      <w:headerReference w:type="even" r:id="rId5"/>
      <w:headerReference w:type="default" r:id="rId6"/>
      <w:footerReference w:type="even" r:id="rId7"/>
      <w:footerReference w:type="default" r:id="rId8"/>
      <w:headerReference w:type="first" r:id="rId9"/>
      <w:footerReference w:type="first" r:id="rId10"/>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396F89" w:rsidP="000D61E7" w14:paraId="5AECD2C8" w14:textId="50ED7AE5">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396F89" w:rsidP="000D61E7" w14:paraId="40F701BA" w14:textId="7545569B">
    <w:pPr>
      <w:pStyle w:val="JuHeader"/>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96F89" w:rsidRPr="00150BFA" w:rsidP="0020718E" w14:paraId="2833A915" w14:textId="358CC832">
    <w:pPr>
      <w:jc w:val="center"/>
    </w:pPr>
    <w:r w:rsidRPr="00396F89">
      <w:rPr>
        <w:noProof/>
      </w:rPr>
      <w:drawing>
        <wp:inline distT="0" distB="0" distL="0" distR="0">
          <wp:extent cx="771525" cy="619125"/>
          <wp:effectExtent l="0" t="0" r="9525" b="9525"/>
          <wp:docPr id="176744980" name="Picture 17674498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4498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B32591" w:rsidRPr="00396F89" w:rsidP="002E2C77" w14:paraId="321E2A5F" w14:textId="53531656">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396F89" w:rsidP="0076040F" w14:paraId="4325EE99" w14:textId="6E427BCA">
    <w:pPr>
      <w:pStyle w:val="JuHeader"/>
    </w:pPr>
    <w:r>
      <w:t>T.K. v. GEORGIA</w:t>
    </w:r>
    <w:r w:rsidRPr="00396F89"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396F89" w:rsidP="000D61E7" w14:paraId="1340BD1B" w14:textId="49A43E0C">
    <w:pPr>
      <w:pStyle w:val="JuHeader"/>
    </w:pPr>
    <w:r>
      <w:t>T.K. v. GEORGIA</w:t>
    </w:r>
    <w:r w:rsidRPr="00396F89"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96F89" w:rsidRPr="00A45145" w:rsidP="00A45145" w14:paraId="44DB1078" w14:textId="6D8B561A">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B32591" w:rsidRPr="00396F89" w:rsidP="00EA1004" w14:paraId="0D1C6356" w14:textId="1944555B">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03942361">
    <w:abstractNumId w:val="14"/>
  </w:num>
  <w:num w:numId="2" w16cid:durableId="2059862927">
    <w:abstractNumId w:val="12"/>
  </w:num>
  <w:num w:numId="3" w16cid:durableId="1844079290">
    <w:abstractNumId w:val="11"/>
  </w:num>
  <w:num w:numId="4" w16cid:durableId="180752241">
    <w:abstractNumId w:val="15"/>
  </w:num>
  <w:num w:numId="5" w16cid:durableId="1480733613">
    <w:abstractNumId w:val="13"/>
  </w:num>
  <w:num w:numId="6" w16cid:durableId="1707215420">
    <w:abstractNumId w:val="16"/>
  </w:num>
  <w:num w:numId="7" w16cid:durableId="1078097660">
    <w:abstractNumId w:val="15"/>
  </w:num>
  <w:num w:numId="8" w16cid:durableId="1336759074">
    <w:abstractNumId w:val="16"/>
  </w:num>
  <w:num w:numId="9" w16cid:durableId="462693332">
    <w:abstractNumId w:val="10"/>
  </w:num>
  <w:num w:numId="10" w16cid:durableId="844319453">
    <w:abstractNumId w:val="9"/>
  </w:num>
  <w:num w:numId="11" w16cid:durableId="622346873">
    <w:abstractNumId w:val="18"/>
  </w:num>
  <w:num w:numId="12" w16cid:durableId="1709060402">
    <w:abstractNumId w:val="7"/>
  </w:num>
  <w:num w:numId="13" w16cid:durableId="804355579">
    <w:abstractNumId w:val="6"/>
  </w:num>
  <w:num w:numId="14" w16cid:durableId="95634939">
    <w:abstractNumId w:val="5"/>
  </w:num>
  <w:num w:numId="15" w16cid:durableId="946619809">
    <w:abstractNumId w:val="4"/>
  </w:num>
  <w:num w:numId="16" w16cid:durableId="1313292002">
    <w:abstractNumId w:val="8"/>
  </w:num>
  <w:num w:numId="17" w16cid:durableId="1790969470">
    <w:abstractNumId w:val="3"/>
  </w:num>
  <w:num w:numId="18" w16cid:durableId="1807816631">
    <w:abstractNumId w:val="2"/>
  </w:num>
  <w:num w:numId="19" w16cid:durableId="1367177158">
    <w:abstractNumId w:val="1"/>
  </w:num>
  <w:num w:numId="20" w16cid:durableId="363411353">
    <w:abstractNumId w:val="0"/>
  </w:num>
  <w:num w:numId="21" w16cid:durableId="298729552">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F89"/>
    <w:rsid w:val="00016AF4"/>
    <w:rsid w:val="00095FD8"/>
    <w:rsid w:val="000B1FA9"/>
    <w:rsid w:val="000D61E7"/>
    <w:rsid w:val="000E3A89"/>
    <w:rsid w:val="000E655C"/>
    <w:rsid w:val="00132029"/>
    <w:rsid w:val="00144EBC"/>
    <w:rsid w:val="00150BFA"/>
    <w:rsid w:val="001D1233"/>
    <w:rsid w:val="0020718E"/>
    <w:rsid w:val="00223591"/>
    <w:rsid w:val="002A7443"/>
    <w:rsid w:val="002E2C77"/>
    <w:rsid w:val="002F3499"/>
    <w:rsid w:val="00307231"/>
    <w:rsid w:val="00365960"/>
    <w:rsid w:val="00365E84"/>
    <w:rsid w:val="00396F89"/>
    <w:rsid w:val="003B50D7"/>
    <w:rsid w:val="003E3C60"/>
    <w:rsid w:val="00452087"/>
    <w:rsid w:val="00464268"/>
    <w:rsid w:val="004A4C71"/>
    <w:rsid w:val="004B4E73"/>
    <w:rsid w:val="005D69A1"/>
    <w:rsid w:val="005E56C2"/>
    <w:rsid w:val="005F11CB"/>
    <w:rsid w:val="006262FA"/>
    <w:rsid w:val="006267D3"/>
    <w:rsid w:val="006300E9"/>
    <w:rsid w:val="00653EF4"/>
    <w:rsid w:val="00656B81"/>
    <w:rsid w:val="006D4D63"/>
    <w:rsid w:val="006E123B"/>
    <w:rsid w:val="0076040F"/>
    <w:rsid w:val="007907C0"/>
    <w:rsid w:val="007A74FC"/>
    <w:rsid w:val="007B2364"/>
    <w:rsid w:val="00807458"/>
    <w:rsid w:val="00812D10"/>
    <w:rsid w:val="00823E3A"/>
    <w:rsid w:val="00831ADC"/>
    <w:rsid w:val="008D10E4"/>
    <w:rsid w:val="008F0A92"/>
    <w:rsid w:val="008F7189"/>
    <w:rsid w:val="00903951"/>
    <w:rsid w:val="00905512"/>
    <w:rsid w:val="00956B2A"/>
    <w:rsid w:val="0096293E"/>
    <w:rsid w:val="009656DE"/>
    <w:rsid w:val="009B6F49"/>
    <w:rsid w:val="009C21E8"/>
    <w:rsid w:val="009E01FB"/>
    <w:rsid w:val="00A45145"/>
    <w:rsid w:val="00AA5AEE"/>
    <w:rsid w:val="00AC58E5"/>
    <w:rsid w:val="00AE05E6"/>
    <w:rsid w:val="00B140D3"/>
    <w:rsid w:val="00B32591"/>
    <w:rsid w:val="00B3676E"/>
    <w:rsid w:val="00B93B45"/>
    <w:rsid w:val="00BD1692"/>
    <w:rsid w:val="00BF3FB6"/>
    <w:rsid w:val="00BF6084"/>
    <w:rsid w:val="00C200A9"/>
    <w:rsid w:val="00C42C12"/>
    <w:rsid w:val="00C739A6"/>
    <w:rsid w:val="00C8038F"/>
    <w:rsid w:val="00C95E31"/>
    <w:rsid w:val="00CB3BD9"/>
    <w:rsid w:val="00D415D6"/>
    <w:rsid w:val="00DB6354"/>
    <w:rsid w:val="00E5464B"/>
    <w:rsid w:val="00EA1004"/>
    <w:rsid w:val="00EE38CA"/>
    <w:rsid w:val="00F0534F"/>
    <w:rsid w:val="00F24AB9"/>
    <w:rsid w:val="00F70D9D"/>
    <w:rsid w:val="00FC2655"/>
  </w:rsids>
  <w:docVars>
    <w:docVar w:name="ApplicationsApp" w:val="1"/>
    <w:docVar w:name="AppNatAutre" w:val="0"/>
    <w:docVar w:name="DocVarPREMATURE" w:val="0"/>
    <w:docVar w:name="EMM" w:val="0"/>
    <w:docVar w:name="ETRANSMISSION" w:val="BY E-TRANSMISSION ONLY"/>
    <w:docVar w:name="L4_1Annex" w:val="0"/>
    <w:docVar w:name="L4_1Anonymity" w:val="1"/>
    <w:docVar w:name="NBEMMDOC" w:val="0"/>
    <w:docVar w:name="Plural" w:val="0"/>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873A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144EBC"/>
    <w:rPr>
      <w:sz w:val="24"/>
      <w:szCs w:val="24"/>
      <w:lang w:val="en-GB"/>
    </w:rPr>
  </w:style>
  <w:style w:type="paragraph" w:styleId="Heading1">
    <w:name w:val="heading 1"/>
    <w:basedOn w:val="Normal"/>
    <w:next w:val="Normal"/>
    <w:link w:val="Heading1Char"/>
    <w:uiPriority w:val="98"/>
    <w:semiHidden/>
    <w:rsid w:val="00144EB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44EB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44EB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44EB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44EB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44EB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44EB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44EB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44EB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144EBC"/>
    <w:pPr>
      <w:tabs>
        <w:tab w:val="center" w:pos="1418"/>
        <w:tab w:val="center" w:pos="5954"/>
      </w:tabs>
      <w:spacing w:before="720"/>
    </w:pPr>
  </w:style>
  <w:style w:type="paragraph" w:customStyle="1" w:styleId="JuPara">
    <w:name w:val="Ju_Para"/>
    <w:aliases w:val="_Para"/>
    <w:basedOn w:val="NormalJustified"/>
    <w:uiPriority w:val="4"/>
    <w:qFormat/>
    <w:rsid w:val="00144EBC"/>
    <w:pPr>
      <w:ind w:firstLine="284"/>
    </w:pPr>
  </w:style>
  <w:style w:type="character" w:styleId="PageNumber">
    <w:name w:val="page number"/>
    <w:uiPriority w:val="98"/>
    <w:semiHidden/>
    <w:rsid w:val="00144EBC"/>
    <w:rPr>
      <w:sz w:val="18"/>
    </w:rPr>
  </w:style>
  <w:style w:type="character" w:styleId="CommentReference">
    <w:name w:val="annotation reference"/>
    <w:basedOn w:val="DefaultParagraphFont"/>
    <w:uiPriority w:val="98"/>
    <w:semiHidden/>
    <w:rsid w:val="00144EBC"/>
    <w:rPr>
      <w:sz w:val="16"/>
      <w:szCs w:val="16"/>
    </w:rPr>
  </w:style>
  <w:style w:type="paragraph" w:styleId="CommentText">
    <w:name w:val="annotation text"/>
    <w:basedOn w:val="Normal"/>
    <w:link w:val="CommentTextChar"/>
    <w:uiPriority w:val="98"/>
    <w:semiHidden/>
    <w:rsid w:val="00144EBC"/>
    <w:rPr>
      <w:sz w:val="20"/>
      <w:szCs w:val="20"/>
    </w:rPr>
  </w:style>
  <w:style w:type="character" w:customStyle="1" w:styleId="CommentTextChar">
    <w:name w:val="Comment Text Char"/>
    <w:basedOn w:val="DefaultParagraphFont"/>
    <w:link w:val="CommentText"/>
    <w:uiPriority w:val="98"/>
    <w:semiHidden/>
    <w:rsid w:val="00144EBC"/>
    <w:rPr>
      <w:sz w:val="20"/>
      <w:szCs w:val="20"/>
      <w:lang w:val="en-GB"/>
    </w:rPr>
  </w:style>
  <w:style w:type="paragraph" w:customStyle="1" w:styleId="DecHTitle">
    <w:name w:val="Dec_H_Title"/>
    <w:aliases w:val="_Title_1"/>
    <w:basedOn w:val="JuPara"/>
    <w:next w:val="JuPara"/>
    <w:uiPriority w:val="38"/>
    <w:qFormat/>
    <w:rsid w:val="00144EBC"/>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144EB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44EBC"/>
    <w:pPr>
      <w:keepNext/>
      <w:keepLines/>
      <w:spacing w:before="1320" w:after="280"/>
      <w:contextualSpacing/>
      <w:jc w:val="center"/>
    </w:pPr>
    <w:rPr>
      <w:b/>
    </w:rPr>
  </w:style>
  <w:style w:type="paragraph" w:customStyle="1" w:styleId="JuHeader">
    <w:name w:val="Ju_Header"/>
    <w:aliases w:val="_Header"/>
    <w:basedOn w:val="Header0"/>
    <w:uiPriority w:val="29"/>
    <w:qFormat/>
    <w:rsid w:val="00144EBC"/>
    <w:pPr>
      <w:tabs>
        <w:tab w:val="clear" w:pos="4536"/>
        <w:tab w:val="clear" w:pos="9072"/>
      </w:tabs>
      <w:jc w:val="center"/>
    </w:pPr>
    <w:rPr>
      <w:sz w:val="18"/>
    </w:rPr>
  </w:style>
  <w:style w:type="paragraph" w:styleId="Header0">
    <w:name w:val="header"/>
    <w:basedOn w:val="Normal"/>
    <w:link w:val="HeaderChar"/>
    <w:uiPriority w:val="98"/>
    <w:semiHidden/>
    <w:rsid w:val="00144EBC"/>
    <w:pPr>
      <w:tabs>
        <w:tab w:val="center" w:pos="4536"/>
        <w:tab w:val="right" w:pos="9072"/>
      </w:tabs>
    </w:pPr>
  </w:style>
  <w:style w:type="character" w:customStyle="1" w:styleId="HeaderChar">
    <w:name w:val="Header Char"/>
    <w:basedOn w:val="DefaultParagraphFont"/>
    <w:link w:val="Header0"/>
    <w:uiPriority w:val="98"/>
    <w:semiHidden/>
    <w:rsid w:val="00144EBC"/>
    <w:rPr>
      <w:sz w:val="24"/>
      <w:szCs w:val="24"/>
      <w:lang w:val="en-GB"/>
    </w:rPr>
  </w:style>
  <w:style w:type="paragraph" w:styleId="BalloonText">
    <w:name w:val="Balloon Text"/>
    <w:basedOn w:val="Normal"/>
    <w:link w:val="BalloonTextChar"/>
    <w:uiPriority w:val="98"/>
    <w:semiHidden/>
    <w:rsid w:val="00144EBC"/>
    <w:rPr>
      <w:rFonts w:ascii="Tahoma" w:hAnsi="Tahoma" w:cs="Tahoma"/>
      <w:sz w:val="16"/>
      <w:szCs w:val="16"/>
    </w:rPr>
  </w:style>
  <w:style w:type="character" w:customStyle="1" w:styleId="BalloonTextChar">
    <w:name w:val="Balloon Text Char"/>
    <w:basedOn w:val="DefaultParagraphFont"/>
    <w:link w:val="BalloonText"/>
    <w:uiPriority w:val="98"/>
    <w:semiHidden/>
    <w:rsid w:val="00144EBC"/>
    <w:rPr>
      <w:rFonts w:ascii="Tahoma" w:hAnsi="Tahoma" w:cs="Tahoma"/>
      <w:sz w:val="16"/>
      <w:szCs w:val="16"/>
      <w:lang w:val="en-GB"/>
    </w:rPr>
  </w:style>
  <w:style w:type="paragraph" w:customStyle="1" w:styleId="DummyStyle">
    <w:name w:val="Dummy_Style"/>
    <w:aliases w:val="_Dummy"/>
    <w:basedOn w:val="Normal"/>
    <w:semiHidden/>
    <w:qFormat/>
    <w:rsid w:val="00144EBC"/>
    <w:rPr>
      <w:color w:val="00B050"/>
      <w:sz w:val="22"/>
    </w:rPr>
  </w:style>
  <w:style w:type="paragraph" w:customStyle="1" w:styleId="NormalJustified">
    <w:name w:val="Normal_Justified"/>
    <w:basedOn w:val="Normal"/>
    <w:semiHidden/>
    <w:rsid w:val="00144EBC"/>
    <w:pPr>
      <w:jc w:val="both"/>
    </w:pPr>
  </w:style>
  <w:style w:type="paragraph" w:customStyle="1" w:styleId="JuQuot">
    <w:name w:val="Ju_Quot"/>
    <w:aliases w:val="_Quote"/>
    <w:basedOn w:val="NormalJustified"/>
    <w:uiPriority w:val="20"/>
    <w:qFormat/>
    <w:rsid w:val="00144EBC"/>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144EBC"/>
    <w:pPr>
      <w:keepNext/>
      <w:keepLines/>
      <w:tabs>
        <w:tab w:val="right" w:pos="7938"/>
      </w:tabs>
      <w:ind w:firstLine="0"/>
      <w:jc w:val="center"/>
    </w:pPr>
    <w:rPr>
      <w:i/>
    </w:rPr>
  </w:style>
  <w:style w:type="table" w:customStyle="1" w:styleId="ECHRDNTable">
    <w:name w:val="ECHR_DN_Table"/>
    <w:basedOn w:val="TableNormal"/>
    <w:uiPriority w:val="99"/>
    <w:rsid w:val="00144EB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144EBC"/>
    <w:pPr>
      <w:numPr>
        <w:numId w:val="4"/>
      </w:numPr>
    </w:pPr>
  </w:style>
  <w:style w:type="numbering" w:customStyle="1" w:styleId="ECHRA1StyleList">
    <w:name w:val="ECHR_A1_Style_List"/>
    <w:basedOn w:val="NoList"/>
    <w:uiPriority w:val="99"/>
    <w:rsid w:val="00144EBC"/>
    <w:pPr>
      <w:numPr>
        <w:numId w:val="5"/>
      </w:numPr>
    </w:pPr>
  </w:style>
  <w:style w:type="paragraph" w:customStyle="1" w:styleId="JuHArticle">
    <w:name w:val="Ju_H_Article"/>
    <w:aliases w:val="_Title_Quote"/>
    <w:basedOn w:val="Normal"/>
    <w:next w:val="JuQuot"/>
    <w:uiPriority w:val="19"/>
    <w:qFormat/>
    <w:rsid w:val="00144EBC"/>
    <w:pPr>
      <w:keepNext/>
      <w:spacing w:before="100" w:beforeAutospacing="1" w:after="120"/>
      <w:contextualSpacing/>
      <w:jc w:val="center"/>
    </w:pPr>
    <w:rPr>
      <w:b/>
      <w:sz w:val="20"/>
    </w:rPr>
  </w:style>
  <w:style w:type="numbering" w:customStyle="1" w:styleId="ECHRA1StyleNumberedList">
    <w:name w:val="ECHR_A1_Style_Numbered_List"/>
    <w:basedOn w:val="NoList"/>
    <w:rsid w:val="00144EBC"/>
    <w:pPr>
      <w:numPr>
        <w:numId w:val="6"/>
      </w:numPr>
    </w:pPr>
  </w:style>
  <w:style w:type="table" w:customStyle="1" w:styleId="ECHRHeaderTable">
    <w:name w:val="ECHR_Header_Table"/>
    <w:basedOn w:val="TableNormal"/>
    <w:uiPriority w:val="99"/>
    <w:rsid w:val="00144EB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144EBC"/>
    <w:pPr>
      <w:keepNext/>
      <w:keepLines/>
      <w:numPr>
        <w:numId w:val="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144EBC"/>
    <w:pPr>
      <w:tabs>
        <w:tab w:val="center" w:pos="6407"/>
      </w:tabs>
      <w:spacing w:before="720"/>
      <w:jc w:val="right"/>
    </w:pPr>
  </w:style>
  <w:style w:type="table" w:customStyle="1" w:styleId="ECHRHeaderTableReduced">
    <w:name w:val="ECHR_Header_Table_Reduced"/>
    <w:basedOn w:val="TableNormal"/>
    <w:uiPriority w:val="99"/>
    <w:rsid w:val="00144EB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144EBC"/>
    <w:rPr>
      <w:caps w:val="0"/>
      <w:smallCaps/>
    </w:rPr>
  </w:style>
  <w:style w:type="character" w:customStyle="1" w:styleId="JuITMark">
    <w:name w:val="Ju_ITMark"/>
    <w:aliases w:val="_ITMark"/>
    <w:basedOn w:val="DefaultParagraphFont"/>
    <w:uiPriority w:val="54"/>
    <w:qFormat/>
    <w:rsid w:val="00144EBC"/>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144E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144EB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44EBC"/>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144EBC"/>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144EBC"/>
    <w:pPr>
      <w:keepNext/>
      <w:keepLines/>
      <w:numPr>
        <w:ilvl w:val="2"/>
        <w:numId w:val="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144EBC"/>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144EBC"/>
    <w:pPr>
      <w:keepNext/>
      <w:keepLines/>
      <w:numPr>
        <w:ilvl w:val="3"/>
        <w:numId w:val="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144EBC"/>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144EBC"/>
    <w:pPr>
      <w:keepNext/>
      <w:keepLines/>
      <w:numPr>
        <w:ilvl w:val="4"/>
        <w:numId w:val="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144EBC"/>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144EBC"/>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144EBC"/>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144EBC"/>
    <w:pPr>
      <w:keepNext/>
      <w:keepLines/>
      <w:numPr>
        <w:ilvl w:val="6"/>
        <w:numId w:val="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144EBC"/>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144EBC"/>
    <w:pPr>
      <w:keepNext/>
      <w:keepLines/>
      <w:numPr>
        <w:ilvl w:val="7"/>
        <w:numId w:val="9"/>
      </w:numPr>
      <w:spacing w:before="100" w:beforeAutospacing="1" w:after="120"/>
      <w:jc w:val="both"/>
    </w:pPr>
    <w:rPr>
      <w:i/>
    </w:rPr>
  </w:style>
  <w:style w:type="character" w:customStyle="1" w:styleId="Heading7Char">
    <w:name w:val="Heading 7 Char"/>
    <w:basedOn w:val="DefaultParagraphFont"/>
    <w:link w:val="Heading7"/>
    <w:uiPriority w:val="98"/>
    <w:semiHidden/>
    <w:rsid w:val="00144EBC"/>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144EBC"/>
    <w:pPr>
      <w:keepNext/>
      <w:keepLines/>
      <w:spacing w:before="240" w:after="240"/>
      <w:ind w:firstLine="284"/>
    </w:pPr>
  </w:style>
  <w:style w:type="table" w:customStyle="1" w:styleId="ECHRTableBoxHeader">
    <w:name w:val="ECHR_Table_Box_Header"/>
    <w:basedOn w:val="TableNormal"/>
    <w:rsid w:val="00144EB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32"/>
    <w:qFormat/>
    <w:rsid w:val="00144EBC"/>
    <w:pPr>
      <w:tabs>
        <w:tab w:val="left" w:pos="567"/>
        <w:tab w:val="left" w:pos="1134"/>
      </w:tabs>
    </w:pPr>
  </w:style>
  <w:style w:type="paragraph" w:customStyle="1" w:styleId="JuList">
    <w:name w:val="Ju_List"/>
    <w:aliases w:val="_List_1"/>
    <w:basedOn w:val="NormalJustified"/>
    <w:uiPriority w:val="23"/>
    <w:qFormat/>
    <w:rsid w:val="00144EBC"/>
    <w:pPr>
      <w:numPr>
        <w:numId w:val="10"/>
      </w:numPr>
      <w:spacing w:before="280" w:after="60"/>
    </w:pPr>
  </w:style>
  <w:style w:type="paragraph" w:customStyle="1" w:styleId="JuLista">
    <w:name w:val="Ju_List_a"/>
    <w:aliases w:val="_List_2"/>
    <w:basedOn w:val="NormalJustified"/>
    <w:uiPriority w:val="23"/>
    <w:rsid w:val="00144EBC"/>
    <w:pPr>
      <w:numPr>
        <w:ilvl w:val="1"/>
        <w:numId w:val="10"/>
      </w:numPr>
    </w:pPr>
  </w:style>
  <w:style w:type="paragraph" w:customStyle="1" w:styleId="JuListi">
    <w:name w:val="Ju_List_i"/>
    <w:aliases w:val="_List_3"/>
    <w:basedOn w:val="NormalJustified"/>
    <w:uiPriority w:val="23"/>
    <w:rsid w:val="00144EBC"/>
    <w:pPr>
      <w:numPr>
        <w:ilvl w:val="2"/>
        <w:numId w:val="10"/>
      </w:numPr>
    </w:pPr>
  </w:style>
  <w:style w:type="table" w:customStyle="1" w:styleId="ECHRTableFax">
    <w:name w:val="ECHR_Table_Fax"/>
    <w:basedOn w:val="TableNormal"/>
    <w:uiPriority w:val="99"/>
    <w:rsid w:val="00144EB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144EB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144EB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144EB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44EBC"/>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144EB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44EBC"/>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144EB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44EBC"/>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144EBC"/>
    <w:rPr>
      <w:b/>
      <w:bCs/>
    </w:rPr>
  </w:style>
  <w:style w:type="character" w:styleId="Emphasis">
    <w:name w:val="Emphasis"/>
    <w:uiPriority w:val="98"/>
    <w:semiHidden/>
    <w:qFormat/>
    <w:rsid w:val="00144EBC"/>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144EBC"/>
  </w:style>
  <w:style w:type="character" w:customStyle="1" w:styleId="NoSpacingChar">
    <w:name w:val="No Spacing Char"/>
    <w:basedOn w:val="DefaultParagraphFont"/>
    <w:link w:val="NoSpacing"/>
    <w:uiPriority w:val="98"/>
    <w:semiHidden/>
    <w:rsid w:val="00144EBC"/>
    <w:rPr>
      <w:sz w:val="24"/>
      <w:szCs w:val="24"/>
      <w:lang w:val="en-GB"/>
    </w:rPr>
  </w:style>
  <w:style w:type="paragraph" w:styleId="ListParagraph">
    <w:name w:val="List Paragraph"/>
    <w:basedOn w:val="Normal"/>
    <w:uiPriority w:val="98"/>
    <w:semiHidden/>
    <w:qFormat/>
    <w:rsid w:val="00144EBC"/>
    <w:pPr>
      <w:ind w:left="720"/>
      <w:contextualSpacing/>
    </w:pPr>
  </w:style>
  <w:style w:type="paragraph" w:styleId="Quote0">
    <w:name w:val="Quote"/>
    <w:basedOn w:val="Normal"/>
    <w:next w:val="Normal"/>
    <w:link w:val="QuoteChar"/>
    <w:uiPriority w:val="98"/>
    <w:semiHidden/>
    <w:qFormat/>
    <w:rsid w:val="00144EBC"/>
    <w:pPr>
      <w:spacing w:before="200"/>
      <w:ind w:left="360" w:right="360"/>
    </w:pPr>
    <w:rPr>
      <w:i/>
      <w:iCs/>
      <w:lang w:bidi="en-US"/>
    </w:rPr>
  </w:style>
  <w:style w:type="character" w:customStyle="1" w:styleId="QuoteChar">
    <w:name w:val="Quote Char"/>
    <w:basedOn w:val="DefaultParagraphFont"/>
    <w:link w:val="Quote0"/>
    <w:uiPriority w:val="98"/>
    <w:semiHidden/>
    <w:rsid w:val="00144EBC"/>
    <w:rPr>
      <w:i/>
      <w:iCs/>
      <w:sz w:val="24"/>
      <w:szCs w:val="24"/>
      <w:lang w:val="en-GB" w:bidi="en-US"/>
    </w:rPr>
  </w:style>
  <w:style w:type="paragraph" w:styleId="IntenseQuote">
    <w:name w:val="Intense Quote"/>
    <w:basedOn w:val="Normal"/>
    <w:next w:val="Normal"/>
    <w:link w:val="IntenseQuoteChar"/>
    <w:uiPriority w:val="98"/>
    <w:semiHidden/>
    <w:qFormat/>
    <w:rsid w:val="00144EB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44EBC"/>
    <w:rPr>
      <w:b/>
      <w:bCs/>
      <w:i/>
      <w:iCs/>
      <w:sz w:val="24"/>
      <w:szCs w:val="24"/>
      <w:lang w:val="en-GB" w:bidi="en-US"/>
    </w:rPr>
  </w:style>
  <w:style w:type="character" w:styleId="SubtleEmphasis">
    <w:name w:val="Subtle Emphasis"/>
    <w:uiPriority w:val="98"/>
    <w:semiHidden/>
    <w:qFormat/>
    <w:rsid w:val="00144EBC"/>
    <w:rPr>
      <w:i/>
      <w:iCs/>
    </w:rPr>
  </w:style>
  <w:style w:type="character" w:styleId="IntenseEmphasis">
    <w:name w:val="Intense Emphasis"/>
    <w:uiPriority w:val="98"/>
    <w:semiHidden/>
    <w:qFormat/>
    <w:rsid w:val="00144EBC"/>
    <w:rPr>
      <w:b/>
      <w:bCs/>
    </w:rPr>
  </w:style>
  <w:style w:type="character" w:styleId="SubtleReference">
    <w:name w:val="Subtle Reference"/>
    <w:uiPriority w:val="98"/>
    <w:semiHidden/>
    <w:qFormat/>
    <w:rsid w:val="00144EBC"/>
    <w:rPr>
      <w:smallCaps/>
    </w:rPr>
  </w:style>
  <w:style w:type="character" w:styleId="IntenseReference">
    <w:name w:val="Intense Reference"/>
    <w:uiPriority w:val="98"/>
    <w:semiHidden/>
    <w:qFormat/>
    <w:rsid w:val="00144EBC"/>
    <w:rPr>
      <w:smallCaps/>
      <w:spacing w:val="5"/>
      <w:u w:val="single"/>
    </w:rPr>
  </w:style>
  <w:style w:type="character" w:styleId="BookTitle">
    <w:name w:val="Book Title"/>
    <w:uiPriority w:val="98"/>
    <w:semiHidden/>
    <w:qFormat/>
    <w:rsid w:val="00144EBC"/>
    <w:rPr>
      <w:i/>
      <w:iCs/>
      <w:smallCaps/>
      <w:spacing w:val="5"/>
    </w:rPr>
  </w:style>
  <w:style w:type="paragraph" w:styleId="TOCHeading">
    <w:name w:val="TOC Heading"/>
    <w:basedOn w:val="Normal"/>
    <w:next w:val="Normal"/>
    <w:uiPriority w:val="98"/>
    <w:semiHidden/>
    <w:qFormat/>
    <w:rsid w:val="00144EBC"/>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144EBC"/>
    <w:pPr>
      <w:numPr>
        <w:numId w:val="1"/>
      </w:numPr>
    </w:pPr>
  </w:style>
  <w:style w:type="numbering" w:styleId="1ai">
    <w:name w:val="Outline List 1"/>
    <w:basedOn w:val="NoList"/>
    <w:uiPriority w:val="99"/>
    <w:semiHidden/>
    <w:unhideWhenUsed/>
    <w:rsid w:val="00144EBC"/>
    <w:pPr>
      <w:numPr>
        <w:numId w:val="2"/>
      </w:numPr>
    </w:pPr>
  </w:style>
  <w:style w:type="numbering" w:styleId="ArticleSection">
    <w:name w:val="Outline List 3"/>
    <w:basedOn w:val="NoList"/>
    <w:uiPriority w:val="99"/>
    <w:semiHidden/>
    <w:unhideWhenUsed/>
    <w:rsid w:val="00144EBC"/>
    <w:pPr>
      <w:numPr>
        <w:numId w:val="3"/>
      </w:numPr>
    </w:pPr>
  </w:style>
  <w:style w:type="paragraph" w:styleId="Bibliography">
    <w:name w:val="Bibliography"/>
    <w:basedOn w:val="Normal"/>
    <w:next w:val="Normal"/>
    <w:uiPriority w:val="98"/>
    <w:semiHidden/>
    <w:rsid w:val="00144EBC"/>
  </w:style>
  <w:style w:type="paragraph" w:styleId="BlockText">
    <w:name w:val="Block Text"/>
    <w:basedOn w:val="Normal"/>
    <w:uiPriority w:val="98"/>
    <w:semiHidden/>
    <w:rsid w:val="00144EB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144EBC"/>
    <w:pPr>
      <w:spacing w:after="120"/>
    </w:pPr>
  </w:style>
  <w:style w:type="character" w:customStyle="1" w:styleId="BodyTextChar">
    <w:name w:val="Body Text Char"/>
    <w:basedOn w:val="DefaultParagraphFont"/>
    <w:link w:val="BodyText"/>
    <w:uiPriority w:val="98"/>
    <w:semiHidden/>
    <w:rsid w:val="00144EBC"/>
    <w:rPr>
      <w:sz w:val="24"/>
      <w:szCs w:val="24"/>
      <w:lang w:val="en-GB"/>
    </w:rPr>
  </w:style>
  <w:style w:type="paragraph" w:styleId="BodyText2">
    <w:name w:val="Body Text 2"/>
    <w:basedOn w:val="Normal"/>
    <w:link w:val="BodyText2Char"/>
    <w:uiPriority w:val="98"/>
    <w:semiHidden/>
    <w:rsid w:val="00144EBC"/>
    <w:pPr>
      <w:spacing w:after="120" w:line="480" w:lineRule="auto"/>
    </w:pPr>
  </w:style>
  <w:style w:type="character" w:customStyle="1" w:styleId="BodyText2Char">
    <w:name w:val="Body Text 2 Char"/>
    <w:basedOn w:val="DefaultParagraphFont"/>
    <w:link w:val="BodyText2"/>
    <w:uiPriority w:val="98"/>
    <w:semiHidden/>
    <w:rsid w:val="00144EBC"/>
    <w:rPr>
      <w:sz w:val="24"/>
      <w:szCs w:val="24"/>
      <w:lang w:val="en-GB"/>
    </w:rPr>
  </w:style>
  <w:style w:type="paragraph" w:styleId="BodyText3">
    <w:name w:val="Body Text 3"/>
    <w:basedOn w:val="Normal"/>
    <w:link w:val="BodyText3Char"/>
    <w:uiPriority w:val="98"/>
    <w:semiHidden/>
    <w:rsid w:val="00144EBC"/>
    <w:pPr>
      <w:spacing w:after="120"/>
    </w:pPr>
    <w:rPr>
      <w:sz w:val="16"/>
      <w:szCs w:val="16"/>
    </w:rPr>
  </w:style>
  <w:style w:type="character" w:customStyle="1" w:styleId="BodyText3Char">
    <w:name w:val="Body Text 3 Char"/>
    <w:basedOn w:val="DefaultParagraphFont"/>
    <w:link w:val="BodyText3"/>
    <w:uiPriority w:val="98"/>
    <w:semiHidden/>
    <w:rsid w:val="00144EBC"/>
    <w:rPr>
      <w:sz w:val="16"/>
      <w:szCs w:val="16"/>
      <w:lang w:val="en-GB"/>
    </w:rPr>
  </w:style>
  <w:style w:type="paragraph" w:styleId="BodyTextFirstIndent">
    <w:name w:val="Body Text First Indent"/>
    <w:basedOn w:val="BodyText"/>
    <w:link w:val="BodyTextFirstIndentChar"/>
    <w:uiPriority w:val="98"/>
    <w:semiHidden/>
    <w:rsid w:val="00144EBC"/>
    <w:pPr>
      <w:spacing w:after="0"/>
      <w:ind w:firstLine="360"/>
    </w:pPr>
  </w:style>
  <w:style w:type="character" w:customStyle="1" w:styleId="BodyTextFirstIndentChar">
    <w:name w:val="Body Text First Indent Char"/>
    <w:basedOn w:val="BodyTextChar"/>
    <w:link w:val="BodyTextFirstIndent"/>
    <w:uiPriority w:val="98"/>
    <w:semiHidden/>
    <w:rsid w:val="00144EBC"/>
    <w:rPr>
      <w:sz w:val="24"/>
      <w:szCs w:val="24"/>
      <w:lang w:val="en-GB"/>
    </w:rPr>
  </w:style>
  <w:style w:type="paragraph" w:styleId="BodyTextIndent">
    <w:name w:val="Body Text Indent"/>
    <w:basedOn w:val="Normal"/>
    <w:link w:val="BodyTextIndentChar"/>
    <w:uiPriority w:val="98"/>
    <w:semiHidden/>
    <w:rsid w:val="00144EBC"/>
    <w:pPr>
      <w:spacing w:after="120"/>
      <w:ind w:left="283"/>
    </w:pPr>
  </w:style>
  <w:style w:type="character" w:customStyle="1" w:styleId="BodyTextIndentChar">
    <w:name w:val="Body Text Indent Char"/>
    <w:basedOn w:val="DefaultParagraphFont"/>
    <w:link w:val="BodyTextIndent"/>
    <w:uiPriority w:val="98"/>
    <w:semiHidden/>
    <w:rsid w:val="00144EBC"/>
    <w:rPr>
      <w:sz w:val="24"/>
      <w:szCs w:val="24"/>
      <w:lang w:val="en-GB"/>
    </w:rPr>
  </w:style>
  <w:style w:type="paragraph" w:styleId="BodyTextFirstIndent2">
    <w:name w:val="Body Text First Indent 2"/>
    <w:basedOn w:val="BodyTextIndent"/>
    <w:link w:val="BodyTextFirstIndent2Char"/>
    <w:uiPriority w:val="98"/>
    <w:semiHidden/>
    <w:rsid w:val="00144EBC"/>
    <w:pPr>
      <w:spacing w:after="0"/>
      <w:ind w:left="360" w:firstLine="360"/>
    </w:pPr>
  </w:style>
  <w:style w:type="character" w:customStyle="1" w:styleId="BodyTextFirstIndent2Char">
    <w:name w:val="Body Text First Indent 2 Char"/>
    <w:basedOn w:val="BodyTextIndentChar"/>
    <w:link w:val="BodyTextFirstIndent2"/>
    <w:uiPriority w:val="98"/>
    <w:semiHidden/>
    <w:rsid w:val="00144EBC"/>
    <w:rPr>
      <w:sz w:val="24"/>
      <w:szCs w:val="24"/>
      <w:lang w:val="en-GB"/>
    </w:rPr>
  </w:style>
  <w:style w:type="paragraph" w:styleId="BodyTextIndent2">
    <w:name w:val="Body Text Indent 2"/>
    <w:basedOn w:val="Normal"/>
    <w:link w:val="BodyTextIndent2Char"/>
    <w:uiPriority w:val="98"/>
    <w:semiHidden/>
    <w:rsid w:val="00144EBC"/>
    <w:pPr>
      <w:spacing w:after="120" w:line="480" w:lineRule="auto"/>
      <w:ind w:left="283"/>
    </w:pPr>
  </w:style>
  <w:style w:type="character" w:customStyle="1" w:styleId="BodyTextIndent2Char">
    <w:name w:val="Body Text Indent 2 Char"/>
    <w:basedOn w:val="DefaultParagraphFont"/>
    <w:link w:val="BodyTextIndent2"/>
    <w:uiPriority w:val="98"/>
    <w:semiHidden/>
    <w:rsid w:val="00144EBC"/>
    <w:rPr>
      <w:sz w:val="24"/>
      <w:szCs w:val="24"/>
      <w:lang w:val="en-GB"/>
    </w:rPr>
  </w:style>
  <w:style w:type="paragraph" w:styleId="BodyTextIndent3">
    <w:name w:val="Body Text Indent 3"/>
    <w:basedOn w:val="Normal"/>
    <w:link w:val="BodyTextIndent3Char"/>
    <w:uiPriority w:val="98"/>
    <w:semiHidden/>
    <w:rsid w:val="00144EB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44EBC"/>
    <w:rPr>
      <w:sz w:val="16"/>
      <w:szCs w:val="16"/>
      <w:lang w:val="en-GB"/>
    </w:rPr>
  </w:style>
  <w:style w:type="paragraph" w:styleId="Caption">
    <w:name w:val="caption"/>
    <w:basedOn w:val="Normal"/>
    <w:next w:val="Normal"/>
    <w:uiPriority w:val="98"/>
    <w:semiHidden/>
    <w:qFormat/>
    <w:rsid w:val="00144EBC"/>
    <w:pPr>
      <w:spacing w:after="200"/>
    </w:pPr>
    <w:rPr>
      <w:b/>
      <w:bCs/>
      <w:color w:val="0072BC" w:themeColor="accent1"/>
      <w:sz w:val="18"/>
      <w:szCs w:val="18"/>
    </w:rPr>
  </w:style>
  <w:style w:type="paragraph" w:styleId="Closing">
    <w:name w:val="Closing"/>
    <w:basedOn w:val="Normal"/>
    <w:link w:val="ClosingChar"/>
    <w:uiPriority w:val="98"/>
    <w:semiHidden/>
    <w:rsid w:val="00144EBC"/>
    <w:pPr>
      <w:ind w:left="4252"/>
    </w:pPr>
  </w:style>
  <w:style w:type="character" w:customStyle="1" w:styleId="ClosingChar">
    <w:name w:val="Closing Char"/>
    <w:basedOn w:val="DefaultParagraphFont"/>
    <w:link w:val="Closing"/>
    <w:uiPriority w:val="98"/>
    <w:semiHidden/>
    <w:rsid w:val="00144EBC"/>
    <w:rPr>
      <w:sz w:val="24"/>
      <w:szCs w:val="24"/>
      <w:lang w:val="en-GB"/>
    </w:rPr>
  </w:style>
  <w:style w:type="table" w:styleId="ColorfulGrid">
    <w:name w:val="Colorful Grid"/>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44EB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44EB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44EB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44EB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44EB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44EB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44EB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44EB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44EB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44EB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44EB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144EBC"/>
    <w:rPr>
      <w:b/>
      <w:bCs/>
    </w:rPr>
  </w:style>
  <w:style w:type="character" w:customStyle="1" w:styleId="CommentSubjectChar">
    <w:name w:val="Comment Subject Char"/>
    <w:basedOn w:val="CommentTextChar"/>
    <w:link w:val="CommentSubject"/>
    <w:uiPriority w:val="98"/>
    <w:semiHidden/>
    <w:rsid w:val="00144EBC"/>
    <w:rPr>
      <w:b/>
      <w:bCs/>
      <w:sz w:val="20"/>
      <w:szCs w:val="20"/>
      <w:lang w:val="en-GB"/>
    </w:rPr>
  </w:style>
  <w:style w:type="table" w:styleId="DarkList">
    <w:name w:val="Dark List"/>
    <w:basedOn w:val="TableNormal"/>
    <w:uiPriority w:val="70"/>
    <w:semiHidden/>
    <w:rsid w:val="00144EB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44EB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44EB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44EB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44EB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44EB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44EB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44EBC"/>
  </w:style>
  <w:style w:type="character" w:customStyle="1" w:styleId="DateChar">
    <w:name w:val="Date Char"/>
    <w:basedOn w:val="DefaultParagraphFont"/>
    <w:link w:val="Date"/>
    <w:uiPriority w:val="98"/>
    <w:semiHidden/>
    <w:rsid w:val="00144EBC"/>
    <w:rPr>
      <w:sz w:val="24"/>
      <w:szCs w:val="24"/>
      <w:lang w:val="en-GB"/>
    </w:rPr>
  </w:style>
  <w:style w:type="paragraph" w:styleId="DocumentMap">
    <w:name w:val="Document Map"/>
    <w:basedOn w:val="Normal"/>
    <w:link w:val="DocumentMapChar"/>
    <w:uiPriority w:val="98"/>
    <w:semiHidden/>
    <w:rsid w:val="00144EBC"/>
    <w:rPr>
      <w:rFonts w:ascii="Tahoma" w:hAnsi="Tahoma" w:cs="Tahoma"/>
      <w:sz w:val="16"/>
      <w:szCs w:val="16"/>
    </w:rPr>
  </w:style>
  <w:style w:type="character" w:customStyle="1" w:styleId="DocumentMapChar">
    <w:name w:val="Document Map Char"/>
    <w:basedOn w:val="DefaultParagraphFont"/>
    <w:link w:val="DocumentMap"/>
    <w:uiPriority w:val="98"/>
    <w:semiHidden/>
    <w:rsid w:val="00144EBC"/>
    <w:rPr>
      <w:rFonts w:ascii="Tahoma" w:hAnsi="Tahoma" w:cs="Tahoma"/>
      <w:sz w:val="16"/>
      <w:szCs w:val="16"/>
      <w:lang w:val="en-GB"/>
    </w:rPr>
  </w:style>
  <w:style w:type="paragraph" w:styleId="E-mailSignature">
    <w:name w:val="E-mail Signature"/>
    <w:basedOn w:val="Normal"/>
    <w:link w:val="E-mailSignatureChar"/>
    <w:uiPriority w:val="98"/>
    <w:semiHidden/>
    <w:rsid w:val="00144EBC"/>
  </w:style>
  <w:style w:type="character" w:customStyle="1" w:styleId="E-mailSignatureChar">
    <w:name w:val="E-mail Signature Char"/>
    <w:basedOn w:val="DefaultParagraphFont"/>
    <w:link w:val="E-mailSignature"/>
    <w:uiPriority w:val="98"/>
    <w:semiHidden/>
    <w:rsid w:val="00144EBC"/>
    <w:rPr>
      <w:sz w:val="24"/>
      <w:szCs w:val="24"/>
      <w:lang w:val="en-GB"/>
    </w:rPr>
  </w:style>
  <w:style w:type="character" w:styleId="EndnoteReference">
    <w:name w:val="endnote reference"/>
    <w:basedOn w:val="DefaultParagraphFont"/>
    <w:uiPriority w:val="98"/>
    <w:semiHidden/>
    <w:rsid w:val="00144EBC"/>
    <w:rPr>
      <w:vertAlign w:val="superscript"/>
    </w:rPr>
  </w:style>
  <w:style w:type="paragraph" w:styleId="EndnoteText">
    <w:name w:val="endnote text"/>
    <w:basedOn w:val="Normal"/>
    <w:link w:val="EndnoteTextChar"/>
    <w:uiPriority w:val="98"/>
    <w:semiHidden/>
    <w:rsid w:val="00144EBC"/>
    <w:rPr>
      <w:sz w:val="20"/>
      <w:szCs w:val="20"/>
    </w:rPr>
  </w:style>
  <w:style w:type="character" w:customStyle="1" w:styleId="EndnoteTextChar">
    <w:name w:val="Endnote Text Char"/>
    <w:basedOn w:val="DefaultParagraphFont"/>
    <w:link w:val="EndnoteText"/>
    <w:uiPriority w:val="98"/>
    <w:semiHidden/>
    <w:rsid w:val="00144EBC"/>
    <w:rPr>
      <w:sz w:val="20"/>
      <w:szCs w:val="20"/>
      <w:lang w:val="en-GB"/>
    </w:rPr>
  </w:style>
  <w:style w:type="paragraph" w:styleId="EnvelopeAddress">
    <w:name w:val="envelope address"/>
    <w:basedOn w:val="Normal"/>
    <w:uiPriority w:val="98"/>
    <w:semiHidden/>
    <w:rsid w:val="00144EB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44EB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44EBC"/>
    <w:rPr>
      <w:color w:val="7030A0" w:themeColor="followedHyperlink"/>
      <w:u w:val="single"/>
    </w:rPr>
  </w:style>
  <w:style w:type="character" w:styleId="FootnoteReference">
    <w:name w:val="footnote reference"/>
    <w:basedOn w:val="DefaultParagraphFont"/>
    <w:uiPriority w:val="98"/>
    <w:semiHidden/>
    <w:rsid w:val="00144EBC"/>
    <w:rPr>
      <w:vertAlign w:val="superscript"/>
    </w:rPr>
  </w:style>
  <w:style w:type="paragraph" w:styleId="FootnoteText">
    <w:name w:val="footnote text"/>
    <w:basedOn w:val="Normal"/>
    <w:link w:val="FootnoteTextChar"/>
    <w:uiPriority w:val="98"/>
    <w:semiHidden/>
    <w:rsid w:val="00144EBC"/>
    <w:rPr>
      <w:sz w:val="20"/>
      <w:szCs w:val="20"/>
    </w:rPr>
  </w:style>
  <w:style w:type="character" w:customStyle="1" w:styleId="FootnoteTextChar">
    <w:name w:val="Footnote Text Char"/>
    <w:basedOn w:val="DefaultParagraphFont"/>
    <w:link w:val="FootnoteText"/>
    <w:uiPriority w:val="98"/>
    <w:semiHidden/>
    <w:rsid w:val="00144EBC"/>
    <w:rPr>
      <w:sz w:val="20"/>
      <w:szCs w:val="20"/>
      <w:lang w:val="en-GB"/>
    </w:rPr>
  </w:style>
  <w:style w:type="character" w:styleId="HTMLAcronym">
    <w:name w:val="HTML Acronym"/>
    <w:basedOn w:val="DefaultParagraphFont"/>
    <w:uiPriority w:val="98"/>
    <w:semiHidden/>
    <w:rsid w:val="00144EBC"/>
  </w:style>
  <w:style w:type="paragraph" w:styleId="HTMLAddress">
    <w:name w:val="HTML Address"/>
    <w:basedOn w:val="Normal"/>
    <w:link w:val="HTMLAddressChar"/>
    <w:uiPriority w:val="98"/>
    <w:semiHidden/>
    <w:rsid w:val="00144EBC"/>
    <w:rPr>
      <w:i/>
      <w:iCs/>
    </w:rPr>
  </w:style>
  <w:style w:type="character" w:customStyle="1" w:styleId="HTMLAddressChar">
    <w:name w:val="HTML Address Char"/>
    <w:basedOn w:val="DefaultParagraphFont"/>
    <w:link w:val="HTMLAddress"/>
    <w:uiPriority w:val="98"/>
    <w:semiHidden/>
    <w:rsid w:val="00144EBC"/>
    <w:rPr>
      <w:i/>
      <w:iCs/>
      <w:sz w:val="24"/>
      <w:szCs w:val="24"/>
      <w:lang w:val="en-GB"/>
    </w:rPr>
  </w:style>
  <w:style w:type="character" w:styleId="HTMLCite">
    <w:name w:val="HTML Cite"/>
    <w:basedOn w:val="DefaultParagraphFont"/>
    <w:uiPriority w:val="98"/>
    <w:semiHidden/>
    <w:rsid w:val="00144EBC"/>
    <w:rPr>
      <w:i/>
      <w:iCs/>
    </w:rPr>
  </w:style>
  <w:style w:type="character" w:styleId="HTMLCode">
    <w:name w:val="HTML Code"/>
    <w:basedOn w:val="DefaultParagraphFont"/>
    <w:uiPriority w:val="98"/>
    <w:semiHidden/>
    <w:rsid w:val="00144EBC"/>
    <w:rPr>
      <w:rFonts w:ascii="Consolas" w:hAnsi="Consolas" w:cs="Consolas"/>
      <w:sz w:val="20"/>
      <w:szCs w:val="20"/>
    </w:rPr>
  </w:style>
  <w:style w:type="character" w:styleId="HTMLDefinition">
    <w:name w:val="HTML Definition"/>
    <w:basedOn w:val="DefaultParagraphFont"/>
    <w:uiPriority w:val="98"/>
    <w:semiHidden/>
    <w:rsid w:val="00144EBC"/>
    <w:rPr>
      <w:i/>
      <w:iCs/>
    </w:rPr>
  </w:style>
  <w:style w:type="character" w:styleId="HTMLKeyboard">
    <w:name w:val="HTML Keyboard"/>
    <w:basedOn w:val="DefaultParagraphFont"/>
    <w:uiPriority w:val="98"/>
    <w:semiHidden/>
    <w:rsid w:val="00144EBC"/>
    <w:rPr>
      <w:rFonts w:ascii="Consolas" w:hAnsi="Consolas" w:cs="Consolas"/>
      <w:sz w:val="20"/>
      <w:szCs w:val="20"/>
    </w:rPr>
  </w:style>
  <w:style w:type="paragraph" w:styleId="HTMLPreformatted">
    <w:name w:val="HTML Preformatted"/>
    <w:basedOn w:val="Normal"/>
    <w:link w:val="HTMLPreformattedChar"/>
    <w:uiPriority w:val="98"/>
    <w:semiHidden/>
    <w:rsid w:val="00144EB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44EBC"/>
    <w:rPr>
      <w:rFonts w:ascii="Consolas" w:hAnsi="Consolas" w:cs="Consolas"/>
      <w:sz w:val="20"/>
      <w:szCs w:val="20"/>
      <w:lang w:val="en-GB"/>
    </w:rPr>
  </w:style>
  <w:style w:type="character" w:styleId="HTMLSample">
    <w:name w:val="HTML Sample"/>
    <w:basedOn w:val="DefaultParagraphFont"/>
    <w:uiPriority w:val="98"/>
    <w:semiHidden/>
    <w:rsid w:val="00144EBC"/>
    <w:rPr>
      <w:rFonts w:ascii="Consolas" w:hAnsi="Consolas" w:cs="Consolas"/>
      <w:sz w:val="24"/>
      <w:szCs w:val="24"/>
    </w:rPr>
  </w:style>
  <w:style w:type="character" w:styleId="HTMLTypewriter">
    <w:name w:val="HTML Typewriter"/>
    <w:basedOn w:val="DefaultParagraphFont"/>
    <w:uiPriority w:val="98"/>
    <w:semiHidden/>
    <w:rsid w:val="00144EBC"/>
    <w:rPr>
      <w:rFonts w:ascii="Consolas" w:hAnsi="Consolas" w:cs="Consolas"/>
      <w:sz w:val="20"/>
      <w:szCs w:val="20"/>
    </w:rPr>
  </w:style>
  <w:style w:type="character" w:styleId="HTMLVariable">
    <w:name w:val="HTML Variable"/>
    <w:basedOn w:val="DefaultParagraphFont"/>
    <w:uiPriority w:val="98"/>
    <w:semiHidden/>
    <w:rsid w:val="00144EBC"/>
    <w:rPr>
      <w:i/>
      <w:iCs/>
    </w:rPr>
  </w:style>
  <w:style w:type="character" w:styleId="Hyperlink">
    <w:name w:val="Hyperlink"/>
    <w:basedOn w:val="DefaultParagraphFont"/>
    <w:uiPriority w:val="98"/>
    <w:rsid w:val="00144EBC"/>
    <w:rPr>
      <w:color w:val="0072BC" w:themeColor="hyperlink"/>
      <w:u w:val="single"/>
    </w:rPr>
  </w:style>
  <w:style w:type="paragraph" w:styleId="Index1">
    <w:name w:val="index 1"/>
    <w:basedOn w:val="Normal"/>
    <w:next w:val="Normal"/>
    <w:autoRedefine/>
    <w:uiPriority w:val="98"/>
    <w:semiHidden/>
    <w:rsid w:val="00144EBC"/>
    <w:pPr>
      <w:ind w:left="240" w:hanging="240"/>
    </w:pPr>
  </w:style>
  <w:style w:type="paragraph" w:styleId="Index2">
    <w:name w:val="index 2"/>
    <w:basedOn w:val="Normal"/>
    <w:next w:val="Normal"/>
    <w:autoRedefine/>
    <w:uiPriority w:val="98"/>
    <w:semiHidden/>
    <w:rsid w:val="00144EBC"/>
    <w:pPr>
      <w:ind w:left="480" w:hanging="240"/>
    </w:pPr>
  </w:style>
  <w:style w:type="paragraph" w:styleId="Index3">
    <w:name w:val="index 3"/>
    <w:basedOn w:val="Normal"/>
    <w:next w:val="Normal"/>
    <w:autoRedefine/>
    <w:uiPriority w:val="98"/>
    <w:semiHidden/>
    <w:rsid w:val="00144EBC"/>
    <w:pPr>
      <w:ind w:left="720" w:hanging="240"/>
    </w:pPr>
  </w:style>
  <w:style w:type="paragraph" w:styleId="Index4">
    <w:name w:val="index 4"/>
    <w:basedOn w:val="Normal"/>
    <w:next w:val="Normal"/>
    <w:autoRedefine/>
    <w:uiPriority w:val="98"/>
    <w:semiHidden/>
    <w:rsid w:val="00144EBC"/>
    <w:pPr>
      <w:ind w:left="960" w:hanging="240"/>
    </w:pPr>
  </w:style>
  <w:style w:type="paragraph" w:styleId="Index5">
    <w:name w:val="index 5"/>
    <w:basedOn w:val="Normal"/>
    <w:next w:val="Normal"/>
    <w:autoRedefine/>
    <w:uiPriority w:val="98"/>
    <w:semiHidden/>
    <w:rsid w:val="00144EBC"/>
    <w:pPr>
      <w:ind w:left="1200" w:hanging="240"/>
    </w:pPr>
  </w:style>
  <w:style w:type="paragraph" w:styleId="Index6">
    <w:name w:val="index 6"/>
    <w:basedOn w:val="Normal"/>
    <w:next w:val="Normal"/>
    <w:autoRedefine/>
    <w:uiPriority w:val="98"/>
    <w:semiHidden/>
    <w:rsid w:val="00144EBC"/>
    <w:pPr>
      <w:ind w:left="1440" w:hanging="240"/>
    </w:pPr>
  </w:style>
  <w:style w:type="paragraph" w:styleId="Index7">
    <w:name w:val="index 7"/>
    <w:basedOn w:val="Normal"/>
    <w:next w:val="Normal"/>
    <w:autoRedefine/>
    <w:uiPriority w:val="98"/>
    <w:semiHidden/>
    <w:rsid w:val="00144EBC"/>
    <w:pPr>
      <w:ind w:left="1680" w:hanging="240"/>
    </w:pPr>
  </w:style>
  <w:style w:type="paragraph" w:styleId="Index8">
    <w:name w:val="index 8"/>
    <w:basedOn w:val="Normal"/>
    <w:next w:val="Normal"/>
    <w:autoRedefine/>
    <w:uiPriority w:val="98"/>
    <w:semiHidden/>
    <w:rsid w:val="00144EBC"/>
    <w:pPr>
      <w:ind w:left="1920" w:hanging="240"/>
    </w:pPr>
  </w:style>
  <w:style w:type="paragraph" w:styleId="Index9">
    <w:name w:val="index 9"/>
    <w:basedOn w:val="Normal"/>
    <w:next w:val="Normal"/>
    <w:autoRedefine/>
    <w:uiPriority w:val="98"/>
    <w:semiHidden/>
    <w:rsid w:val="00144EBC"/>
    <w:pPr>
      <w:ind w:left="2160" w:hanging="240"/>
    </w:pPr>
  </w:style>
  <w:style w:type="paragraph" w:styleId="IndexHeading">
    <w:name w:val="index heading"/>
    <w:basedOn w:val="Normal"/>
    <w:next w:val="Index1"/>
    <w:uiPriority w:val="98"/>
    <w:semiHidden/>
    <w:rsid w:val="00144EBC"/>
    <w:rPr>
      <w:rFonts w:asciiTheme="majorHAnsi" w:eastAsiaTheme="majorEastAsia" w:hAnsiTheme="majorHAnsi" w:cstheme="majorBidi"/>
      <w:b/>
      <w:bCs/>
    </w:rPr>
  </w:style>
  <w:style w:type="table" w:styleId="LightGrid">
    <w:name w:val="Light Grid"/>
    <w:basedOn w:val="TableNormal"/>
    <w:uiPriority w:val="62"/>
    <w:semiHidden/>
    <w:rsid w:val="00144E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44E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44E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44E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44E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44E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44E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44E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44E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44E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44E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44E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44E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44E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44EB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44EB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44EB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44EB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44EB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44EB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44EB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44EBC"/>
  </w:style>
  <w:style w:type="paragraph" w:styleId="List">
    <w:name w:val="List"/>
    <w:basedOn w:val="Normal"/>
    <w:uiPriority w:val="98"/>
    <w:semiHidden/>
    <w:rsid w:val="00144EBC"/>
    <w:pPr>
      <w:ind w:left="283" w:hanging="283"/>
      <w:contextualSpacing/>
    </w:pPr>
  </w:style>
  <w:style w:type="paragraph" w:styleId="List20">
    <w:name w:val="List 2"/>
    <w:basedOn w:val="Normal"/>
    <w:uiPriority w:val="98"/>
    <w:semiHidden/>
    <w:rsid w:val="00144EBC"/>
    <w:pPr>
      <w:ind w:left="566" w:hanging="283"/>
      <w:contextualSpacing/>
    </w:pPr>
  </w:style>
  <w:style w:type="paragraph" w:styleId="List30">
    <w:name w:val="List 3"/>
    <w:basedOn w:val="Normal"/>
    <w:uiPriority w:val="98"/>
    <w:semiHidden/>
    <w:rsid w:val="00144EBC"/>
    <w:pPr>
      <w:ind w:left="849" w:hanging="283"/>
      <w:contextualSpacing/>
    </w:pPr>
  </w:style>
  <w:style w:type="paragraph" w:styleId="List4">
    <w:name w:val="List 4"/>
    <w:basedOn w:val="Normal"/>
    <w:uiPriority w:val="98"/>
    <w:semiHidden/>
    <w:rsid w:val="00144EBC"/>
    <w:pPr>
      <w:ind w:left="1132" w:hanging="283"/>
      <w:contextualSpacing/>
    </w:pPr>
  </w:style>
  <w:style w:type="paragraph" w:styleId="List5">
    <w:name w:val="List 5"/>
    <w:basedOn w:val="Normal"/>
    <w:uiPriority w:val="98"/>
    <w:semiHidden/>
    <w:rsid w:val="00144EBC"/>
    <w:pPr>
      <w:ind w:left="1415" w:hanging="283"/>
      <w:contextualSpacing/>
    </w:pPr>
  </w:style>
  <w:style w:type="paragraph" w:styleId="ListBullet">
    <w:name w:val="List Bullet"/>
    <w:basedOn w:val="Normal"/>
    <w:uiPriority w:val="98"/>
    <w:semiHidden/>
    <w:rsid w:val="00144EBC"/>
    <w:pPr>
      <w:numPr>
        <w:numId w:val="11"/>
      </w:numPr>
    </w:pPr>
  </w:style>
  <w:style w:type="paragraph" w:styleId="ListBullet2">
    <w:name w:val="List Bullet 2"/>
    <w:basedOn w:val="Normal"/>
    <w:uiPriority w:val="98"/>
    <w:semiHidden/>
    <w:rsid w:val="00144EBC"/>
    <w:pPr>
      <w:numPr>
        <w:numId w:val="12"/>
      </w:numPr>
      <w:contextualSpacing/>
    </w:pPr>
  </w:style>
  <w:style w:type="paragraph" w:styleId="ListBullet3">
    <w:name w:val="List Bullet 3"/>
    <w:basedOn w:val="Normal"/>
    <w:uiPriority w:val="98"/>
    <w:semiHidden/>
    <w:rsid w:val="00144EBC"/>
    <w:pPr>
      <w:numPr>
        <w:numId w:val="13"/>
      </w:numPr>
      <w:contextualSpacing/>
    </w:pPr>
  </w:style>
  <w:style w:type="paragraph" w:styleId="ListBullet4">
    <w:name w:val="List Bullet 4"/>
    <w:basedOn w:val="Normal"/>
    <w:uiPriority w:val="98"/>
    <w:semiHidden/>
    <w:rsid w:val="00144EBC"/>
    <w:pPr>
      <w:numPr>
        <w:numId w:val="14"/>
      </w:numPr>
      <w:contextualSpacing/>
    </w:pPr>
  </w:style>
  <w:style w:type="paragraph" w:styleId="ListBullet5">
    <w:name w:val="List Bullet 5"/>
    <w:basedOn w:val="Normal"/>
    <w:uiPriority w:val="98"/>
    <w:semiHidden/>
    <w:rsid w:val="00144EBC"/>
    <w:pPr>
      <w:numPr>
        <w:numId w:val="15"/>
      </w:numPr>
      <w:contextualSpacing/>
    </w:pPr>
  </w:style>
  <w:style w:type="paragraph" w:styleId="ListContinue">
    <w:name w:val="List Continue"/>
    <w:basedOn w:val="Normal"/>
    <w:uiPriority w:val="98"/>
    <w:semiHidden/>
    <w:rsid w:val="00144EBC"/>
    <w:pPr>
      <w:spacing w:after="120"/>
      <w:ind w:left="283"/>
      <w:contextualSpacing/>
    </w:pPr>
  </w:style>
  <w:style w:type="paragraph" w:styleId="ListContinue2">
    <w:name w:val="List Continue 2"/>
    <w:basedOn w:val="Normal"/>
    <w:uiPriority w:val="98"/>
    <w:semiHidden/>
    <w:rsid w:val="00144EBC"/>
    <w:pPr>
      <w:spacing w:after="120"/>
      <w:ind w:left="566"/>
      <w:contextualSpacing/>
    </w:pPr>
  </w:style>
  <w:style w:type="paragraph" w:styleId="ListContinue3">
    <w:name w:val="List Continue 3"/>
    <w:basedOn w:val="Normal"/>
    <w:uiPriority w:val="98"/>
    <w:semiHidden/>
    <w:rsid w:val="00144EBC"/>
    <w:pPr>
      <w:spacing w:after="120"/>
      <w:ind w:left="849"/>
      <w:contextualSpacing/>
    </w:pPr>
  </w:style>
  <w:style w:type="paragraph" w:styleId="ListContinue4">
    <w:name w:val="List Continue 4"/>
    <w:basedOn w:val="Normal"/>
    <w:uiPriority w:val="98"/>
    <w:semiHidden/>
    <w:rsid w:val="00144EBC"/>
    <w:pPr>
      <w:spacing w:after="120"/>
      <w:ind w:left="1132"/>
      <w:contextualSpacing/>
    </w:pPr>
  </w:style>
  <w:style w:type="paragraph" w:styleId="ListContinue5">
    <w:name w:val="List Continue 5"/>
    <w:basedOn w:val="Normal"/>
    <w:uiPriority w:val="98"/>
    <w:semiHidden/>
    <w:rsid w:val="00144EBC"/>
    <w:pPr>
      <w:spacing w:after="120"/>
      <w:ind w:left="1415"/>
      <w:contextualSpacing/>
    </w:pPr>
  </w:style>
  <w:style w:type="paragraph" w:styleId="ListNumber">
    <w:name w:val="List Number"/>
    <w:basedOn w:val="Normal"/>
    <w:uiPriority w:val="98"/>
    <w:semiHidden/>
    <w:rsid w:val="00144EBC"/>
    <w:pPr>
      <w:numPr>
        <w:numId w:val="16"/>
      </w:numPr>
      <w:contextualSpacing/>
    </w:pPr>
  </w:style>
  <w:style w:type="paragraph" w:styleId="ListNumber2">
    <w:name w:val="List Number 2"/>
    <w:basedOn w:val="Normal"/>
    <w:uiPriority w:val="98"/>
    <w:semiHidden/>
    <w:rsid w:val="00144EBC"/>
    <w:pPr>
      <w:numPr>
        <w:numId w:val="17"/>
      </w:numPr>
      <w:contextualSpacing/>
    </w:pPr>
  </w:style>
  <w:style w:type="paragraph" w:styleId="ListNumber3">
    <w:name w:val="List Number 3"/>
    <w:basedOn w:val="Normal"/>
    <w:uiPriority w:val="98"/>
    <w:semiHidden/>
    <w:rsid w:val="00144EBC"/>
    <w:pPr>
      <w:numPr>
        <w:numId w:val="18"/>
      </w:numPr>
      <w:contextualSpacing/>
    </w:pPr>
  </w:style>
  <w:style w:type="paragraph" w:styleId="ListNumber4">
    <w:name w:val="List Number 4"/>
    <w:basedOn w:val="Normal"/>
    <w:uiPriority w:val="98"/>
    <w:semiHidden/>
    <w:rsid w:val="00144EBC"/>
    <w:pPr>
      <w:numPr>
        <w:numId w:val="19"/>
      </w:numPr>
      <w:contextualSpacing/>
    </w:pPr>
  </w:style>
  <w:style w:type="paragraph" w:styleId="ListNumber5">
    <w:name w:val="List Number 5"/>
    <w:basedOn w:val="Normal"/>
    <w:uiPriority w:val="98"/>
    <w:semiHidden/>
    <w:rsid w:val="00144EBC"/>
    <w:pPr>
      <w:numPr>
        <w:numId w:val="20"/>
      </w:numPr>
      <w:contextualSpacing/>
    </w:pPr>
  </w:style>
  <w:style w:type="paragraph" w:styleId="Macro">
    <w:name w:val="macro"/>
    <w:link w:val="MacroTextChar"/>
    <w:uiPriority w:val="98"/>
    <w:semiHidden/>
    <w:rsid w:val="00144EB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44EBC"/>
    <w:rPr>
      <w:rFonts w:ascii="Consolas" w:hAnsi="Consolas" w:eastAsiaTheme="minorEastAsia" w:cs="Consolas"/>
      <w:sz w:val="20"/>
      <w:szCs w:val="20"/>
    </w:rPr>
  </w:style>
  <w:style w:type="table" w:styleId="MediumGrid1">
    <w:name w:val="Medium Grid 1"/>
    <w:basedOn w:val="TableNormal"/>
    <w:uiPriority w:val="67"/>
    <w:semiHidden/>
    <w:rsid w:val="00144E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44E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44E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44E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44E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44E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44E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44EB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44EB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44EB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44EB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44EB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44EB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44EB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44E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44E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44E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44E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44E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44E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44E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44EB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44EB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44EBC"/>
    <w:rPr>
      <w:rFonts w:ascii="Times New Roman" w:hAnsi="Times New Roman" w:cs="Times New Roman"/>
    </w:rPr>
  </w:style>
  <w:style w:type="paragraph" w:styleId="NormalIndent">
    <w:name w:val="Normal Indent"/>
    <w:basedOn w:val="Normal"/>
    <w:uiPriority w:val="98"/>
    <w:semiHidden/>
    <w:rsid w:val="00144EBC"/>
    <w:pPr>
      <w:ind w:left="720"/>
    </w:pPr>
  </w:style>
  <w:style w:type="table" w:customStyle="1" w:styleId="ECHRTableNoLines">
    <w:name w:val="ECHR_Table_No_Lines"/>
    <w:basedOn w:val="TableNormal"/>
    <w:uiPriority w:val="99"/>
    <w:rsid w:val="00144EB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144EB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character" w:styleId="PlaceholderText">
    <w:name w:val="Placeholder Text"/>
    <w:basedOn w:val="DefaultParagraphFont"/>
    <w:uiPriority w:val="98"/>
    <w:semiHidden/>
    <w:rsid w:val="00144EB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44EBC"/>
    <w:rPr>
      <w:rFonts w:ascii="Consolas" w:hAnsi="Consolas" w:cs="Consolas"/>
      <w:sz w:val="21"/>
      <w:szCs w:val="21"/>
    </w:rPr>
  </w:style>
  <w:style w:type="character" w:customStyle="1" w:styleId="PlainTextChar">
    <w:name w:val="Plain Text Char"/>
    <w:basedOn w:val="DefaultParagraphFont"/>
    <w:link w:val="PlainText"/>
    <w:uiPriority w:val="98"/>
    <w:semiHidden/>
    <w:rsid w:val="00144EBC"/>
    <w:rPr>
      <w:rFonts w:ascii="Consolas" w:hAnsi="Consolas" w:cs="Consolas"/>
      <w:sz w:val="21"/>
      <w:szCs w:val="21"/>
      <w:lang w:val="en-GB"/>
    </w:rPr>
  </w:style>
  <w:style w:type="paragraph" w:styleId="Salutation">
    <w:name w:val="Salutation"/>
    <w:basedOn w:val="Normal"/>
    <w:next w:val="Normal"/>
    <w:link w:val="SalutationChar"/>
    <w:uiPriority w:val="98"/>
    <w:semiHidden/>
    <w:rsid w:val="00144EBC"/>
  </w:style>
  <w:style w:type="character" w:customStyle="1" w:styleId="SalutationChar">
    <w:name w:val="Salutation Char"/>
    <w:basedOn w:val="DefaultParagraphFont"/>
    <w:link w:val="Salutation"/>
    <w:uiPriority w:val="98"/>
    <w:semiHidden/>
    <w:rsid w:val="00144EBC"/>
    <w:rPr>
      <w:sz w:val="24"/>
      <w:szCs w:val="24"/>
      <w:lang w:val="en-GB"/>
    </w:rPr>
  </w:style>
  <w:style w:type="paragraph" w:styleId="Signature0">
    <w:name w:val="Signature"/>
    <w:basedOn w:val="Normal"/>
    <w:link w:val="SignatureChar"/>
    <w:uiPriority w:val="98"/>
    <w:semiHidden/>
    <w:rsid w:val="00144EBC"/>
    <w:pPr>
      <w:ind w:left="4252"/>
    </w:pPr>
  </w:style>
  <w:style w:type="character" w:customStyle="1" w:styleId="SignatureChar">
    <w:name w:val="Signature Char"/>
    <w:basedOn w:val="DefaultParagraphFont"/>
    <w:link w:val="Signature0"/>
    <w:uiPriority w:val="98"/>
    <w:semiHidden/>
    <w:rsid w:val="00144EBC"/>
    <w:rPr>
      <w:sz w:val="24"/>
      <w:szCs w:val="24"/>
      <w:lang w:val="en-GB"/>
    </w:rPr>
  </w:style>
  <w:style w:type="table" w:styleId="Table3Deffects1">
    <w:name w:val="Table 3D effects 1"/>
    <w:basedOn w:val="TableNormal"/>
    <w:uiPriority w:val="99"/>
    <w:semiHidden/>
    <w:unhideWhenUsed/>
    <w:rsid w:val="00144EB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44EB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44EB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44EB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44EB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44EB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44EB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44EB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44EB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44EB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44EB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44EB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44EB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44EB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44EB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44EB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44EB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144EB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44EB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44EB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44EB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44EB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44EB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44EB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44EB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44EB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44E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44EB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44E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44EBC"/>
    <w:pPr>
      <w:ind w:left="240" w:hanging="240"/>
    </w:pPr>
  </w:style>
  <w:style w:type="paragraph" w:styleId="TableofFigures">
    <w:name w:val="table of figures"/>
    <w:basedOn w:val="Normal"/>
    <w:next w:val="Normal"/>
    <w:uiPriority w:val="98"/>
    <w:semiHidden/>
    <w:rsid w:val="00144EBC"/>
  </w:style>
  <w:style w:type="table" w:styleId="TableProfessional">
    <w:name w:val="Table Professional"/>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44EB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44EB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44EB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44EB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44EB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44EB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44EB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44EB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144EB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144EB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44EB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44EB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44EB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44EBC"/>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144EB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44EB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44EBC"/>
    <w:pPr>
      <w:spacing w:after="100"/>
      <w:ind w:left="1680"/>
    </w:pPr>
  </w:style>
  <w:style w:type="paragraph" w:styleId="TOC9">
    <w:name w:val="toc 9"/>
    <w:basedOn w:val="Normal"/>
    <w:next w:val="Normal"/>
    <w:autoRedefine/>
    <w:uiPriority w:val="98"/>
    <w:semiHidden/>
    <w:rsid w:val="00144EBC"/>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144EBC"/>
    <w:pPr>
      <w:tabs>
        <w:tab w:val="center" w:pos="3686"/>
        <w:tab w:val="right" w:pos="7371"/>
      </w:tabs>
    </w:pPr>
  </w:style>
  <w:style w:type="character" w:customStyle="1" w:styleId="FooterChar">
    <w:name w:val="Footer Char"/>
    <w:basedOn w:val="DefaultParagraphFont"/>
    <w:link w:val="Footer1"/>
    <w:uiPriority w:val="98"/>
    <w:semiHidden/>
    <w:rsid w:val="00144EBC"/>
    <w:rPr>
      <w:sz w:val="24"/>
      <w:szCs w:val="24"/>
      <w:lang w:val="en-GB"/>
    </w:rPr>
  </w:style>
  <w:style w:type="paragraph" w:customStyle="1" w:styleId="ECHRFooterLine">
    <w:name w:val="ECHR_Footer_Line"/>
    <w:aliases w:val="_Footer_Line"/>
    <w:basedOn w:val="Normal"/>
    <w:next w:val="Normal"/>
    <w:uiPriority w:val="30"/>
    <w:semiHidden/>
    <w:rsid w:val="00144EBC"/>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144EB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
    <w:next w:val="JuPara"/>
    <w:uiPriority w:val="32"/>
    <w:rsid w:val="00144EBC"/>
    <w:pPr>
      <w:ind w:firstLine="284"/>
      <w:jc w:val="both"/>
    </w:pPr>
    <w:rPr>
      <w:b/>
    </w:rPr>
  </w:style>
  <w:style w:type="paragraph" w:styleId="NoteHeading">
    <w:name w:val="Note Heading"/>
    <w:basedOn w:val="Normal"/>
    <w:next w:val="Normal"/>
    <w:link w:val="NoteHeadingChar"/>
    <w:uiPriority w:val="98"/>
    <w:semiHidden/>
    <w:rsid w:val="00144EBC"/>
  </w:style>
  <w:style w:type="character" w:customStyle="1" w:styleId="NoteHeadingChar">
    <w:name w:val="Note Heading Char"/>
    <w:basedOn w:val="DefaultParagraphFont"/>
    <w:link w:val="NoteHeading"/>
    <w:uiPriority w:val="98"/>
    <w:semiHidden/>
    <w:rsid w:val="00144EBC"/>
    <w:rPr>
      <w:sz w:val="24"/>
      <w:szCs w:val="24"/>
      <w:lang w:val="en-GB"/>
    </w:rPr>
  </w:style>
  <w:style w:type="paragraph" w:customStyle="1" w:styleId="ECHRHeaderLandscape">
    <w:name w:val="ECHR_Header_Landscape"/>
    <w:aliases w:val="_Header_Landscape"/>
    <w:basedOn w:val="JuHeader"/>
    <w:uiPriority w:val="29"/>
    <w:semiHidden/>
    <w:rsid w:val="00144EBC"/>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44EBC"/>
    <w:pPr>
      <w:numPr>
        <w:numId w:val="7"/>
      </w:numPr>
      <w:spacing w:before="60" w:after="60"/>
    </w:pPr>
  </w:style>
  <w:style w:type="paragraph" w:customStyle="1" w:styleId="ECHRBullet2">
    <w:name w:val="ECHR_Bullet_2"/>
    <w:aliases w:val="_Bul_2"/>
    <w:basedOn w:val="ECHRBullet1"/>
    <w:uiPriority w:val="23"/>
    <w:semiHidden/>
    <w:rsid w:val="00144EBC"/>
    <w:pPr>
      <w:numPr>
        <w:ilvl w:val="1"/>
      </w:numPr>
    </w:pPr>
  </w:style>
  <w:style w:type="paragraph" w:customStyle="1" w:styleId="ECHRBullet3">
    <w:name w:val="ECHR_Bullet_3"/>
    <w:aliases w:val="_Bul_3"/>
    <w:basedOn w:val="ECHRBullet2"/>
    <w:uiPriority w:val="23"/>
    <w:semiHidden/>
    <w:rsid w:val="00144EBC"/>
    <w:pPr>
      <w:numPr>
        <w:ilvl w:val="2"/>
      </w:numPr>
    </w:pPr>
  </w:style>
  <w:style w:type="paragraph" w:customStyle="1" w:styleId="ECHRBullet4">
    <w:name w:val="ECHR_Bullet_4"/>
    <w:aliases w:val="_Bul_4"/>
    <w:basedOn w:val="ECHRBullet3"/>
    <w:uiPriority w:val="23"/>
    <w:semiHidden/>
    <w:rsid w:val="00144EBC"/>
    <w:pPr>
      <w:numPr>
        <w:ilvl w:val="3"/>
      </w:numPr>
    </w:pPr>
  </w:style>
  <w:style w:type="paragraph" w:customStyle="1" w:styleId="ECHRConfidential">
    <w:name w:val="ECHR_Confidential"/>
    <w:aliases w:val="_Confidential"/>
    <w:basedOn w:val="Normal"/>
    <w:next w:val="Normal"/>
    <w:uiPriority w:val="42"/>
    <w:semiHidden/>
    <w:qFormat/>
    <w:rsid w:val="00144EBC"/>
    <w:pPr>
      <w:jc w:val="right"/>
    </w:pPr>
    <w:rPr>
      <w:color w:val="C00000"/>
      <w:sz w:val="20"/>
    </w:rPr>
  </w:style>
  <w:style w:type="paragraph" w:customStyle="1" w:styleId="ECHRDecisionBody">
    <w:name w:val="ECHR_Decision_Body"/>
    <w:aliases w:val="_Decision_Body"/>
    <w:basedOn w:val="NormalJustified"/>
    <w:uiPriority w:val="54"/>
    <w:semiHidden/>
    <w:rsid w:val="00144EB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44EB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44EB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44EB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144EBC"/>
    <w:pPr>
      <w:jc w:val="right"/>
    </w:pPr>
    <w:rPr>
      <w:sz w:val="20"/>
    </w:rPr>
  </w:style>
  <w:style w:type="paragraph" w:customStyle="1" w:styleId="ECHRHeaderRefIt">
    <w:name w:val="ECHR_Header_Ref_It"/>
    <w:aliases w:val="_Ref_Ital"/>
    <w:basedOn w:val="Normal"/>
    <w:next w:val="ECHRHeaderDate"/>
    <w:uiPriority w:val="43"/>
    <w:semiHidden/>
    <w:qFormat/>
    <w:rsid w:val="00144EBC"/>
    <w:pPr>
      <w:jc w:val="right"/>
    </w:pPr>
    <w:rPr>
      <w:i/>
      <w:sz w:val="20"/>
    </w:rPr>
  </w:style>
  <w:style w:type="paragraph" w:customStyle="1" w:styleId="ECHRHeading9">
    <w:name w:val="ECHR_Heading_9"/>
    <w:aliases w:val="_Head_9"/>
    <w:basedOn w:val="Heading9"/>
    <w:uiPriority w:val="17"/>
    <w:semiHidden/>
    <w:rsid w:val="00144EBC"/>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44EBC"/>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144EBC"/>
    <w:pPr>
      <w:numPr>
        <w:numId w:val="8"/>
      </w:numPr>
      <w:spacing w:before="60" w:after="60"/>
    </w:pPr>
  </w:style>
  <w:style w:type="paragraph" w:customStyle="1" w:styleId="ECHRNumberedList2">
    <w:name w:val="ECHR_Numbered_List_2"/>
    <w:aliases w:val="_Num_2"/>
    <w:basedOn w:val="ECHRNumberedList1"/>
    <w:uiPriority w:val="23"/>
    <w:semiHidden/>
    <w:rsid w:val="00144EBC"/>
    <w:pPr>
      <w:numPr>
        <w:ilvl w:val="1"/>
      </w:numPr>
    </w:pPr>
  </w:style>
  <w:style w:type="paragraph" w:customStyle="1" w:styleId="ECHRNumberedList3">
    <w:name w:val="ECHR_Numbered_List_3"/>
    <w:aliases w:val="_Num_3"/>
    <w:basedOn w:val="ECHRNumberedList2"/>
    <w:uiPriority w:val="23"/>
    <w:semiHidden/>
    <w:rsid w:val="00144EBC"/>
    <w:pPr>
      <w:numPr>
        <w:ilvl w:val="2"/>
      </w:numPr>
    </w:pPr>
  </w:style>
  <w:style w:type="paragraph" w:customStyle="1" w:styleId="ECHRParaHanging">
    <w:name w:val="ECHR_Para_Hanging"/>
    <w:aliases w:val="_Hanging"/>
    <w:basedOn w:val="Normal"/>
    <w:uiPriority w:val="8"/>
    <w:semiHidden/>
    <w:qFormat/>
    <w:rsid w:val="00144EBC"/>
    <w:pPr>
      <w:ind w:left="567" w:hanging="567"/>
      <w:jc w:val="both"/>
    </w:pPr>
  </w:style>
  <w:style w:type="paragraph" w:customStyle="1" w:styleId="ECHRParaIndent">
    <w:name w:val="ECHR_Para_Indent"/>
    <w:aliases w:val="_Indent"/>
    <w:basedOn w:val="Normal"/>
    <w:uiPriority w:val="7"/>
    <w:semiHidden/>
    <w:qFormat/>
    <w:rsid w:val="00144EBC"/>
    <w:pPr>
      <w:spacing w:before="120" w:after="120"/>
      <w:ind w:left="284"/>
      <w:jc w:val="both"/>
    </w:pPr>
  </w:style>
  <w:style w:type="character" w:customStyle="1" w:styleId="ECHRRed">
    <w:name w:val="ECHR_Red"/>
    <w:aliases w:val="_Red"/>
    <w:basedOn w:val="DefaultParagraphFont"/>
    <w:uiPriority w:val="15"/>
    <w:semiHidden/>
    <w:qFormat/>
    <w:rsid w:val="00144EBC"/>
    <w:rPr>
      <w:color w:val="C00000" w:themeColor="accent2"/>
    </w:rPr>
  </w:style>
  <w:style w:type="paragraph" w:customStyle="1" w:styleId="DecList">
    <w:name w:val="Dec_List"/>
    <w:aliases w:val="_List"/>
    <w:basedOn w:val="JuList"/>
    <w:uiPriority w:val="22"/>
    <w:rsid w:val="00144EBC"/>
    <w:pPr>
      <w:numPr>
        <w:numId w:val="0"/>
      </w:numPr>
      <w:ind w:left="284"/>
    </w:pPr>
  </w:style>
  <w:style w:type="table" w:customStyle="1" w:styleId="ECHRTable">
    <w:name w:val="ECHR_Table"/>
    <w:basedOn w:val="TableNormal"/>
    <w:rsid w:val="00144EB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144EB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44E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144EB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44EB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44EBC"/>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144EB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44EB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44EB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44EBC"/>
    <w:pPr>
      <w:outlineLvl w:val="0"/>
    </w:pPr>
  </w:style>
  <w:style w:type="paragraph" w:customStyle="1" w:styleId="ECHRTitleTOC1">
    <w:name w:val="ECHR_Title_TOC_1"/>
    <w:aliases w:val="_Title_L_TOC"/>
    <w:basedOn w:val="ECHRTitle1"/>
    <w:next w:val="Normal"/>
    <w:uiPriority w:val="27"/>
    <w:semiHidden/>
    <w:qFormat/>
    <w:rsid w:val="00144EBC"/>
    <w:pPr>
      <w:outlineLvl w:val="0"/>
    </w:pPr>
  </w:style>
  <w:style w:type="table" w:customStyle="1" w:styleId="LtrTableAddress">
    <w:name w:val="Ltr_Table_Address"/>
    <w:aliases w:val="ECHR_Ltr_Table_Address"/>
    <w:basedOn w:val="TableNormal"/>
    <w:uiPriority w:val="99"/>
    <w:rsid w:val="00144EBC"/>
    <w:rPr>
      <w:sz w:val="24"/>
      <w:szCs w:val="24"/>
    </w:rPr>
    <w:tblPr>
      <w:tblInd w:w="5103" w:type="dxa"/>
    </w:tblPr>
  </w:style>
  <w:style w:type="table" w:customStyle="1" w:styleId="PCFTableStyle">
    <w:name w:val="PCF_Table_Style"/>
    <w:aliases w:val="ECHR_PCF_Table_Style"/>
    <w:basedOn w:val="TableNormal"/>
    <w:uiPriority w:val="99"/>
    <w:rsid w:val="00144EB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144EB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44EB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144EBC"/>
    <w:rPr>
      <w:color w:val="FFFFFF"/>
    </w:rPr>
  </w:style>
  <w:style w:type="paragraph" w:customStyle="1" w:styleId="ECHRSpacer">
    <w:name w:val="ECHR_Spacer"/>
    <w:aliases w:val="_Spacer"/>
    <w:basedOn w:val="Normal"/>
    <w:uiPriority w:val="45"/>
    <w:semiHidden/>
    <w:rsid w:val="00144EBC"/>
    <w:rPr>
      <w:sz w:val="4"/>
    </w:rPr>
  </w:style>
  <w:style w:type="table" w:customStyle="1" w:styleId="ECHRTableGrey">
    <w:name w:val="ECHR_Table_Grey"/>
    <w:basedOn w:val="TableNormal"/>
    <w:uiPriority w:val="99"/>
    <w:rsid w:val="00144EBC"/>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144EBC"/>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CB3B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1782</Words>
  <Characters>11031</Characters>
  <Application>Microsoft Office Word</Application>
  <DocSecurity>0</DocSecurity>
  <Lines>204</Lines>
  <Paragraphs>50</Paragraphs>
  <ScaleCrop>false</ScaleCrop>
  <HeadingPairs>
    <vt:vector size="2" baseType="variant">
      <vt:variant>
        <vt:lpstr>Title</vt:lpstr>
      </vt:variant>
      <vt:variant>
        <vt:i4>1</vt:i4>
      </vt:variant>
    </vt:vector>
  </HeadingPairs>
  <TitlesOfParts>
    <vt:vector size="1" baseType="lpstr">
      <vt:lpstr>Decision</vt:lpstr>
    </vt:vector>
  </TitlesOfParts>
  <Company/>
  <LinksUpToDate>false</LinksUpToDate>
  <CharactersWithSpaces>12763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2026-03-23T14:30:00Z</dcterms:created>
  <dcterms:modified xsi:type="dcterms:W3CDTF">2026-03-23T14:35:00Z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1597861</vt:lpwstr>
  </property>
  <property fmtid="{D5CDD505-2E9C-101B-9397-08002B2CF9AE}" pid="3" name="cstLanguage">
    <vt:i4>2057</vt:i4>
  </property>
  <property fmtid="{D5CDD505-2E9C-101B-9397-08002B2CF9AE}" pid="4" name="RegisteredNo">
    <vt:lpwstr>54352/20</vt:lpwstr>
  </property>
</Properties>
</file>