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A7416" w:rsidR="007E19C9" w:rsidP="001A7416" w14:paraId="575960FC" w14:textId="77777777">
      <w:pPr>
        <w:jc w:val="center"/>
        <w:rPr>
          <w:rFonts w:ascii="Times New Roman" w:hAnsi="Times New Roman" w:cs="Times New Roman"/>
          <w:noProof/>
        </w:rPr>
      </w:pPr>
    </w:p>
    <w:p w:rsidRPr="001A7416" w:rsidR="0098410D" w:rsidP="001A7416" w14:paraId="1DBA09CB" w14:textId="77777777">
      <w:pPr>
        <w:jc w:val="center"/>
      </w:pPr>
    </w:p>
    <w:p w:rsidRPr="001A7416" w:rsidR="0098410D" w:rsidP="001A7416" w14:paraId="0516699F" w14:textId="774FCE51">
      <w:pPr>
        <w:pStyle w:val="DecHTitle"/>
      </w:pPr>
      <w:r w:rsidRPr="001A7416">
        <w:t>FIFTH SECTION</w:t>
      </w:r>
    </w:p>
    <w:p w:rsidRPr="001A7416" w:rsidR="008E6217" w:rsidP="001A7416" w14:paraId="47DEA711" w14:textId="3ABD205E">
      <w:pPr>
        <w:pStyle w:val="JuTitle"/>
      </w:pPr>
      <w:r w:rsidRPr="001A7416">
        <w:rPr>
          <w:color w:val="000000" w:themeColor="text1"/>
        </w:rPr>
        <w:t xml:space="preserve">CASE OF </w:t>
      </w:r>
      <w:r w:rsidRPr="001A7416" w:rsidR="007E19C9">
        <w:t>L.P. v. HUNGARY</w:t>
      </w:r>
    </w:p>
    <w:p w:rsidRPr="001A7416" w:rsidR="00D74888" w:rsidP="001A7416" w14:paraId="225B4751" w14:textId="69B5BEA3">
      <w:pPr>
        <w:pStyle w:val="ECHRCoverTitle4"/>
      </w:pPr>
      <w:r w:rsidRPr="001A7416">
        <w:t>(</w:t>
      </w:r>
      <w:r w:rsidRPr="001A7416" w:rsidR="007E19C9">
        <w:rPr>
          <w:noProof/>
        </w:rPr>
        <w:t>Application no.</w:t>
      </w:r>
      <w:r w:rsidRPr="001A7416">
        <w:t xml:space="preserve"> </w:t>
      </w:r>
      <w:r w:rsidRPr="001A7416" w:rsidR="007E19C9">
        <w:t>19376/23</w:t>
      </w:r>
      <w:r w:rsidRPr="001A7416">
        <w:t>)</w:t>
      </w:r>
    </w:p>
    <w:p w:rsidRPr="001A7416" w:rsidR="0098410D" w:rsidP="001A7416" w14:paraId="22CBA2CE" w14:textId="77777777">
      <w:pPr>
        <w:pStyle w:val="DecHCase"/>
      </w:pPr>
    </w:p>
    <w:p w:rsidRPr="001A7416" w:rsidR="0054716E" w:rsidP="001A7416" w14:paraId="79316B09" w14:textId="77777777">
      <w:pPr>
        <w:pStyle w:val="DecHCase"/>
      </w:pPr>
    </w:p>
    <w:p w:rsidRPr="001A7416" w:rsidR="0054716E" w:rsidP="001A7416" w14:paraId="77E42CEE" w14:textId="77777777">
      <w:pPr>
        <w:pStyle w:val="DecHCase"/>
      </w:pPr>
    </w:p>
    <w:p w:rsidRPr="001A7416" w:rsidR="0098410D" w:rsidP="001A7416" w14:paraId="079C9FA0" w14:textId="77777777">
      <w:pPr>
        <w:pStyle w:val="DecHCase"/>
      </w:pPr>
    </w:p>
    <w:p w:rsidRPr="001A7416" w:rsidR="00AC4CD4" w:rsidP="001A7416" w14:paraId="1EA465AA" w14:textId="77777777">
      <w:pPr>
        <w:pStyle w:val="DecHCase"/>
      </w:pPr>
    </w:p>
    <w:p w:rsidRPr="001A7416" w:rsidR="0098410D" w:rsidP="001A7416" w14:paraId="23DCE880" w14:textId="77777777">
      <w:pPr>
        <w:pStyle w:val="DecHCase"/>
      </w:pPr>
    </w:p>
    <w:p w:rsidRPr="001A7416" w:rsidR="0098410D" w:rsidP="001A7416" w14:paraId="6CD043C0" w14:textId="32B26A37">
      <w:pPr>
        <w:pStyle w:val="DecHCase"/>
      </w:pPr>
      <w:r w:rsidRPr="001A7416">
        <w:t>JUDGMENT</w:t>
      </w:r>
      <w:r w:rsidRPr="001A7416" w:rsidR="00AC4CD4">
        <w:br/>
      </w:r>
    </w:p>
    <w:p w:rsidRPr="001A7416" w:rsidR="0098410D" w:rsidP="001A7416" w14:paraId="0CC40102" w14:textId="77777777">
      <w:pPr>
        <w:pStyle w:val="DecHCase"/>
      </w:pPr>
      <w:r w:rsidRPr="001A7416">
        <w:t>STRASBOURG</w:t>
      </w:r>
    </w:p>
    <w:p w:rsidRPr="001A7416" w:rsidR="0098410D" w:rsidP="001A7416" w14:paraId="56675EB3" w14:textId="74D3646C">
      <w:pPr>
        <w:pStyle w:val="DecHCase"/>
      </w:pPr>
      <w:r w:rsidRPr="001A7416">
        <w:rPr>
          <w:rFonts w:ascii="Times New Roman" w:hAnsi="Times New Roman" w:cs="Times New Roman"/>
        </w:rPr>
        <w:t>9 April 2026</w:t>
      </w:r>
    </w:p>
    <w:p w:rsidRPr="001A7416" w:rsidR="00AC4CD4" w:rsidP="001A7416" w14:paraId="56A8E2FA" w14:textId="77777777">
      <w:pPr>
        <w:pStyle w:val="DecHCase"/>
      </w:pPr>
    </w:p>
    <w:p w:rsidRPr="001A7416" w:rsidR="002422B6" w:rsidP="001A7416" w14:paraId="28186484" w14:textId="4E0629F4">
      <w:pPr>
        <w:rPr>
          <w:i/>
          <w:sz w:val="22"/>
        </w:rPr>
      </w:pPr>
      <w:r w:rsidRPr="001A7416">
        <w:rPr>
          <w:i/>
          <w:sz w:val="22"/>
        </w:rPr>
        <w:t xml:space="preserve">This judgment </w:t>
      </w:r>
      <w:r w:rsidRPr="001A7416" w:rsidR="007E19C9">
        <w:rPr>
          <w:i/>
          <w:noProof/>
          <w:sz w:val="22"/>
        </w:rPr>
        <w:t>is final but it</w:t>
      </w:r>
      <w:r w:rsidRPr="001A7416">
        <w:rPr>
          <w:i/>
          <w:sz w:val="22"/>
        </w:rPr>
        <w:t xml:space="preserve"> may be subject to editorial revision.</w:t>
      </w:r>
    </w:p>
    <w:p w:rsidRPr="001A7416" w:rsidR="0098410D" w:rsidP="001A7416" w14:paraId="4AD4F1AC"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A7416" w:rsidR="0098410D" w:rsidP="001A7416" w14:paraId="66482587" w14:textId="6CB62365">
      <w:pPr>
        <w:pStyle w:val="JuCase"/>
      </w:pPr>
      <w:r w:rsidRPr="001A7416">
        <w:t xml:space="preserve">In the case of </w:t>
      </w:r>
      <w:r w:rsidRPr="001A7416" w:rsidR="007E19C9">
        <w:t>L.P. v. Hungary</w:t>
      </w:r>
      <w:r w:rsidRPr="001A7416">
        <w:t>,</w:t>
      </w:r>
    </w:p>
    <w:p w:rsidRPr="001A7416" w:rsidR="009F4C8F" w:rsidP="001A7416" w14:paraId="78D4A845" w14:textId="15EF8A64">
      <w:pPr>
        <w:pStyle w:val="JuPara"/>
      </w:pPr>
      <w:r w:rsidRPr="001A7416">
        <w:t>The European Court of Human Rights (</w:t>
      </w:r>
      <w:r w:rsidRPr="001A7416" w:rsidR="007E19C9">
        <w:t>Fifth Section</w:t>
      </w:r>
      <w:r w:rsidRPr="001A7416">
        <w:t xml:space="preserve">), sitting as a </w:t>
      </w:r>
      <w:r w:rsidRPr="001A7416" w:rsidR="007E19C9">
        <w:rPr>
          <w:noProof/>
        </w:rPr>
        <w:t>Committee</w:t>
      </w:r>
      <w:r w:rsidRPr="001A7416">
        <w:t xml:space="preserve"> composed of:</w:t>
      </w:r>
    </w:p>
    <w:p w:rsidRPr="001A7416" w:rsidR="00A92625" w:rsidP="001A7416" w14:paraId="1148656A" w14:textId="39D178F2">
      <w:pPr>
        <w:pStyle w:val="JuJudges"/>
      </w:pPr>
      <w:r w:rsidRPr="001A7416">
        <w:tab/>
        <w:t xml:space="preserve">María Elósegui, </w:t>
      </w:r>
      <w:r w:rsidRPr="001A7416">
        <w:rPr>
          <w:i/>
          <w:iCs/>
        </w:rPr>
        <w:t>President</w:t>
      </w:r>
      <w:r w:rsidRPr="001A7416">
        <w:t>,</w:t>
      </w:r>
      <w:r w:rsidRPr="001A7416">
        <w:br/>
      </w:r>
      <w:r w:rsidRPr="001A7416">
        <w:tab/>
        <w:t>Gilberto Felici,</w:t>
      </w:r>
      <w:r w:rsidRPr="001A7416">
        <w:br/>
      </w:r>
      <w:r w:rsidRPr="001A7416">
        <w:tab/>
        <w:t>Diana Sârcu</w:t>
      </w:r>
      <w:r w:rsidRPr="001A7416">
        <w:rPr>
          <w:i/>
        </w:rPr>
        <w:t>, judges</w:t>
      </w:r>
      <w:r w:rsidRPr="001A7416">
        <w:t>,</w:t>
      </w:r>
      <w:r w:rsidRPr="001A7416" w:rsidR="009F4C8F">
        <w:br/>
        <w:t>and</w:t>
      </w:r>
      <w:r w:rsidRPr="001A7416" w:rsidR="005C2C62">
        <w:t xml:space="preserve"> </w:t>
      </w:r>
      <w:r w:rsidRPr="001A7416" w:rsidR="007E19C9">
        <w:rPr>
          <w:rFonts w:eastAsia="PMingLiU"/>
          <w:noProof/>
        </w:rPr>
        <w:t>Sophie Piquet</w:t>
      </w:r>
      <w:r w:rsidRPr="001A7416">
        <w:t xml:space="preserve">, </w:t>
      </w:r>
      <w:r w:rsidRPr="001A7416" w:rsidR="007E19C9">
        <w:rPr>
          <w:i/>
          <w:noProof/>
        </w:rPr>
        <w:t xml:space="preserve">Acting Deputy </w:t>
      </w:r>
      <w:r w:rsidRPr="001A7416" w:rsidR="00E744E0">
        <w:rPr>
          <w:i/>
        </w:rPr>
        <w:t>Section Registrar</w:t>
      </w:r>
      <w:r w:rsidRPr="001A7416" w:rsidR="008F2465">
        <w:t>,</w:t>
      </w:r>
    </w:p>
    <w:p w:rsidRPr="001A7416" w:rsidR="007E19C9" w:rsidP="001A7416" w14:paraId="21676136" w14:textId="77777777">
      <w:pPr>
        <w:pStyle w:val="JuPara"/>
      </w:pPr>
      <w:r w:rsidRPr="001A7416">
        <w:t>Having regard to:</w:t>
      </w:r>
    </w:p>
    <w:p w:rsidRPr="001A7416" w:rsidR="007E19C9" w:rsidP="001A7416" w14:paraId="160915F5" w14:textId="77777777">
      <w:pPr>
        <w:pStyle w:val="JuPara"/>
      </w:pPr>
      <w:r w:rsidRPr="001A7416">
        <w:t>the application (no. 19376/23) against Hungary lodged with the Court under Article 34 of the Convention for the Protection of Human Rights and Fundamental Freedoms (“the Convention”) on 9 May 2023 by a Chinese national, Mr L.P. (“the applicant”), who was born in 1955, lives in China and was represented by Ms E. Kadlót, a lawyer practising in Budapest;</w:t>
      </w:r>
    </w:p>
    <w:p w:rsidRPr="001A7416" w:rsidR="007E19C9" w:rsidP="001A7416" w14:paraId="759C1A76" w14:textId="77777777">
      <w:pPr>
        <w:pStyle w:val="JuPara"/>
      </w:pPr>
      <w:r w:rsidRPr="001A7416">
        <w:t>the decision to give notice of the complaints concerning Articles 8 and 13 of the Convention and Article 1 of Protocol No. 7 to the Convention to the Hungarian Government (“the Government”), represented by their Agent, Mr Z. Tallódi, of the Ministry of Justice, and to declare inadmissible the remainder of the application;</w:t>
      </w:r>
    </w:p>
    <w:p w:rsidRPr="001A7416" w:rsidR="00113E61" w:rsidP="001A7416" w14:paraId="543E31B5" w14:textId="77777777">
      <w:pPr>
        <w:pStyle w:val="JuPara"/>
      </w:pPr>
      <w:r w:rsidRPr="001A7416">
        <w:t>the decision to give priority to the application (Rule 41 of the Rules of Court)</w:t>
      </w:r>
      <w:r w:rsidRPr="001A7416">
        <w:t>;</w:t>
      </w:r>
    </w:p>
    <w:p w:rsidRPr="001A7416" w:rsidR="007E19C9" w:rsidP="001A7416" w14:paraId="00B0257F" w14:textId="3952F601">
      <w:pPr>
        <w:pStyle w:val="JuPara"/>
      </w:pPr>
      <w:r w:rsidRPr="001A7416">
        <w:t>the decision to grant anonymity to the applicant</w:t>
      </w:r>
      <w:r w:rsidRPr="001A7416">
        <w:t>;</w:t>
      </w:r>
    </w:p>
    <w:p w:rsidRPr="001A7416" w:rsidR="007E19C9" w:rsidP="001A7416" w14:paraId="009B19BC" w14:textId="2E09DF6C">
      <w:pPr>
        <w:pStyle w:val="JuPara"/>
      </w:pPr>
      <w:r w:rsidRPr="001A7416">
        <w:t>the parties</w:t>
      </w:r>
      <w:r w:rsidRPr="001A7416" w:rsidR="001A7416">
        <w:t>’</w:t>
      </w:r>
      <w:r w:rsidRPr="001A7416">
        <w:t xml:space="preserve"> observations;</w:t>
      </w:r>
    </w:p>
    <w:p w:rsidRPr="001A7416" w:rsidR="009F4C8F" w:rsidP="001A7416" w14:paraId="2C6D4C32" w14:textId="789CEF76">
      <w:pPr>
        <w:pStyle w:val="JuPara"/>
      </w:pPr>
      <w:r w:rsidRPr="001A7416">
        <w:t xml:space="preserve">Having deliberated in private on </w:t>
      </w:r>
      <w:r w:rsidRPr="001A7416" w:rsidR="007E19C9">
        <w:t>19 March 2026</w:t>
      </w:r>
      <w:r w:rsidRPr="001A7416">
        <w:t>,</w:t>
      </w:r>
    </w:p>
    <w:p w:rsidRPr="001A7416" w:rsidR="009F4C8F" w:rsidP="001A7416" w14:paraId="7810F4C0" w14:textId="77777777">
      <w:pPr>
        <w:pStyle w:val="JuPara"/>
      </w:pPr>
      <w:r w:rsidRPr="001A7416">
        <w:t>Delivers the following judgment, which was adopted on that date:</w:t>
      </w:r>
    </w:p>
    <w:p w:rsidRPr="001A7416" w:rsidR="007E19C9" w:rsidP="001A7416" w14:paraId="3D8A5ABE" w14:textId="0D5310CB">
      <w:pPr>
        <w:pStyle w:val="JuHHead"/>
        <w:numPr>
          <w:ilvl w:val="0"/>
          <w:numId w:val="0"/>
        </w:numPr>
      </w:pPr>
      <w:r w:rsidRPr="001A7416">
        <w:t>SUBJECT MATTER OF THE CASE</w:t>
      </w:r>
    </w:p>
    <w:p w:rsidRPr="001A7416" w:rsidR="007E19C9" w:rsidP="001A7416" w14:paraId="7FC80190" w14:textId="0777C379">
      <w:pPr>
        <w:pStyle w:val="JuPara"/>
      </w:pPr>
      <w:r>
        <w:fldChar w:fldCharType="begin"/>
      </w:r>
      <w:r>
        <w:instrText xml:space="preserve"> SEQ level0 \*arabic \* MERGEFORMAT </w:instrText>
      </w:r>
      <w:r>
        <w:fldChar w:fldCharType="separate"/>
      </w:r>
      <w:r w:rsidRPr="001A7416" w:rsidR="001A7416">
        <w:rPr>
          <w:noProof/>
        </w:rPr>
        <w:t>1</w:t>
      </w:r>
      <w:r w:rsidRPr="001A7416" w:rsidR="001A7416">
        <w:rPr>
          <w:noProof/>
        </w:rPr>
        <w:fldChar w:fldCharType="end"/>
      </w:r>
      <w:r w:rsidRPr="001A7416">
        <w:t>.  </w:t>
      </w:r>
      <w:r w:rsidRPr="001A7416">
        <w:rPr>
          <w:rFonts w:asciiTheme="majorHAnsi" w:hAnsiTheme="majorHAnsi" w:cstheme="majorHAnsi"/>
        </w:rPr>
        <w:t>T</w:t>
      </w:r>
      <w:r w:rsidRPr="001A7416">
        <w:rPr>
          <w:rFonts w:asciiTheme="majorHAnsi" w:hAnsiTheme="majorHAnsi" w:cstheme="majorHAnsi"/>
          <w:color w:val="000000"/>
        </w:rPr>
        <w:t>he case concerns the decision to expel the applicant from Hungary on national security grounds, allegedly without any reasons being given.</w:t>
      </w:r>
    </w:p>
    <w:p w:rsidRPr="001A7416" w:rsidR="007E19C9" w:rsidP="001A7416" w14:paraId="36F0E9A6" w14:textId="3B87C520">
      <w:pPr>
        <w:pStyle w:val="JuPara"/>
      </w:pPr>
      <w:r>
        <w:fldChar w:fldCharType="begin"/>
      </w:r>
      <w:r>
        <w:instrText xml:space="preserve"> SEQ level0 \*arabic \* MERGEFORMAT </w:instrText>
      </w:r>
      <w:r>
        <w:fldChar w:fldCharType="separate"/>
      </w:r>
      <w:r w:rsidRPr="001A7416" w:rsidR="001A7416">
        <w:rPr>
          <w:noProof/>
        </w:rPr>
        <w:t>2</w:t>
      </w:r>
      <w:r w:rsidRPr="001A7416" w:rsidR="001A7416">
        <w:rPr>
          <w:noProof/>
        </w:rPr>
        <w:fldChar w:fldCharType="end"/>
      </w:r>
      <w:r w:rsidRPr="001A7416">
        <w:t>.  The applicant had been residing in Hungary since 1995. He got married in 2008 with a Hungarian national and has two children.</w:t>
      </w:r>
    </w:p>
    <w:p w:rsidRPr="001A7416" w:rsidR="007E19C9" w:rsidP="001A7416" w14:paraId="5340545A" w14:textId="39FC685E">
      <w:pPr>
        <w:pStyle w:val="JuPara"/>
      </w:pPr>
      <w:r>
        <w:fldChar w:fldCharType="begin"/>
      </w:r>
      <w:r>
        <w:instrText xml:space="preserve"> SEQ level0 \*arabic \* MERGEFORMAT </w:instrText>
      </w:r>
      <w:r>
        <w:fldChar w:fldCharType="separate"/>
      </w:r>
      <w:r w:rsidRPr="001A7416" w:rsidR="001A7416">
        <w:rPr>
          <w:noProof/>
        </w:rPr>
        <w:t>3</w:t>
      </w:r>
      <w:r w:rsidRPr="001A7416" w:rsidR="001A7416">
        <w:rPr>
          <w:noProof/>
        </w:rPr>
        <w:fldChar w:fldCharType="end"/>
      </w:r>
      <w:r w:rsidRPr="001A7416">
        <w:t>.  In 2004 the applicant was issued a residence permit for employment purposes and in 2009 a residence card on the basis of his family relationship. In 2011 he was granted permanent residency and issued a permanent residence card, which was valid until 10 March 2021. The validity of the card was prolonged owing to the state of emergency declared during the COVID</w:t>
      </w:r>
      <w:r w:rsidRPr="001A7416" w:rsidR="002C358C">
        <w:noBreakHyphen/>
      </w:r>
      <w:r w:rsidRPr="001A7416">
        <w:t>19 pandemic.</w:t>
      </w:r>
    </w:p>
    <w:p w:rsidRPr="001A7416" w:rsidR="007E19C9" w:rsidP="001A7416" w14:paraId="65F0F2BC" w14:textId="175C2DC2">
      <w:pPr>
        <w:pStyle w:val="JuPara"/>
      </w:pPr>
      <w:r>
        <w:fldChar w:fldCharType="begin"/>
      </w:r>
      <w:r>
        <w:instrText xml:space="preserve"> SEQ level0 \*arabic \* MERGEFORMAT </w:instrText>
      </w:r>
      <w:r>
        <w:fldChar w:fldCharType="separate"/>
      </w:r>
      <w:r w:rsidRPr="001A7416" w:rsidR="001A7416">
        <w:rPr>
          <w:noProof/>
        </w:rPr>
        <w:t>4</w:t>
      </w:r>
      <w:r w:rsidRPr="001A7416" w:rsidR="001A7416">
        <w:rPr>
          <w:noProof/>
        </w:rPr>
        <w:fldChar w:fldCharType="end"/>
      </w:r>
      <w:r w:rsidRPr="001A7416">
        <w:t xml:space="preserve">.  On 5 February 2021, prompted by changes in the relevant legislation, the applicant applied for a national settlement permit. On 6 September 2021 his request was rejected by the </w:t>
      </w:r>
      <w:r w:rsidRPr="001A7416">
        <w:rPr>
          <w:rFonts w:asciiTheme="majorHAnsi" w:hAnsiTheme="majorHAnsi" w:cstheme="majorHAnsi"/>
        </w:rPr>
        <w:t>National Directorate-General for Aliens Policing</w:t>
      </w:r>
      <w:r w:rsidRPr="001A7416">
        <w:rPr>
          <w:rFonts w:asciiTheme="majorHAnsi" w:hAnsiTheme="majorHAnsi" w:cstheme="majorHAnsi"/>
          <w:i/>
          <w:iCs/>
        </w:rPr>
        <w:t xml:space="preserve"> </w:t>
      </w:r>
      <w:r w:rsidRPr="001A7416">
        <w:rPr>
          <w:rFonts w:asciiTheme="majorHAnsi" w:hAnsiTheme="majorHAnsi" w:cstheme="majorHAnsi"/>
        </w:rPr>
        <w:t xml:space="preserve">(hereinafter “the NDGAP”) based on a report of the </w:t>
      </w:r>
      <w:r w:rsidRPr="001A7416">
        <w:t>Constitution Protection Office (hereinafter “the CPO”) stating that the applicant represented a threat to national security.</w:t>
      </w:r>
    </w:p>
    <w:bookmarkStart w:name="revocation_residence_card" w:id="0"/>
    <w:p w:rsidRPr="001A7416" w:rsidR="007E19C9" w:rsidP="001A7416" w14:paraId="679D01AB" w14:textId="677790C8">
      <w:pPr>
        <w:pStyle w:val="JuPara"/>
      </w:pPr>
      <w:r w:rsidRPr="001A7416">
        <w:fldChar w:fldCharType="begin"/>
      </w:r>
      <w:r w:rsidRPr="001A7416">
        <w:instrText xml:space="preserve"> SEQ level0 \*arabic \* MERGEFORMAT </w:instrText>
      </w:r>
      <w:r w:rsidRPr="001A7416">
        <w:fldChar w:fldCharType="separate"/>
      </w:r>
      <w:r w:rsidRPr="001A7416" w:rsidR="001A7416">
        <w:rPr>
          <w:noProof/>
        </w:rPr>
        <w:t>5</w:t>
      </w:r>
      <w:r w:rsidRPr="001A7416">
        <w:fldChar w:fldCharType="end"/>
      </w:r>
      <w:bookmarkEnd w:id="0"/>
      <w:r w:rsidRPr="001A7416">
        <w:t>.  On 6 October 2021 the NDGAP revoked the applicant</w:t>
      </w:r>
      <w:r w:rsidRPr="001A7416" w:rsidR="001A7416">
        <w:t>’</w:t>
      </w:r>
      <w:r w:rsidRPr="001A7416">
        <w:t>s permanent residence card based on the CPO</w:t>
      </w:r>
      <w:r w:rsidRPr="001A7416" w:rsidR="001A7416">
        <w:t>’</w:t>
      </w:r>
      <w:r w:rsidRPr="001A7416">
        <w:t>s report.</w:t>
      </w:r>
    </w:p>
    <w:p w:rsidRPr="001A7416" w:rsidR="007E19C9" w:rsidP="001A7416" w14:paraId="0D55E221" w14:textId="48912238">
      <w:pPr>
        <w:pStyle w:val="JuPara"/>
        <w:rPr>
          <w:rFonts w:asciiTheme="majorHAnsi" w:hAnsiTheme="majorHAnsi" w:cstheme="majorHAnsi"/>
        </w:rPr>
      </w:pPr>
      <w:r>
        <w:fldChar w:fldCharType="begin"/>
      </w:r>
      <w:r>
        <w:instrText xml:space="preserve"> SEQ level0 \*arabic \* MERGEFORMAT </w:instrText>
      </w:r>
      <w:r>
        <w:fldChar w:fldCharType="separate"/>
      </w:r>
      <w:r w:rsidRPr="001A7416" w:rsidR="001A7416">
        <w:rPr>
          <w:noProof/>
        </w:rPr>
        <w:t>6</w:t>
      </w:r>
      <w:r w:rsidRPr="001A7416" w:rsidR="001A7416">
        <w:rPr>
          <w:noProof/>
        </w:rPr>
        <w:fldChar w:fldCharType="end"/>
      </w:r>
      <w:r w:rsidRPr="001A7416">
        <w:t xml:space="preserve">.  On 2 September 2021 the applicant submitted a request for a residence permit for the purposes of family reunification. On 29 November 2021 the CPO issued a new report, in which they reiterated that the applicant represented a threat to national security. Based on that report, on 6 December 2021 </w:t>
      </w:r>
      <w:r w:rsidRPr="001A7416">
        <w:rPr>
          <w:rFonts w:asciiTheme="majorHAnsi" w:hAnsiTheme="majorHAnsi" w:cstheme="majorHAnsi"/>
        </w:rPr>
        <w:t>the NDGAP refused the applicant</w:t>
      </w:r>
      <w:r w:rsidRPr="001A7416" w:rsidR="001A7416">
        <w:rPr>
          <w:rFonts w:asciiTheme="majorHAnsi" w:hAnsiTheme="majorHAnsi" w:cstheme="majorHAnsi"/>
        </w:rPr>
        <w:t>’</w:t>
      </w:r>
      <w:r w:rsidRPr="001A7416">
        <w:rPr>
          <w:rFonts w:asciiTheme="majorHAnsi" w:hAnsiTheme="majorHAnsi" w:cstheme="majorHAnsi"/>
        </w:rPr>
        <w:t>s request and ordered his expulsion to China. On 24 March 2022 the NDGAP upheld the decision at second instance.</w:t>
      </w:r>
    </w:p>
    <w:bookmarkStart w:name="budapesthighcourtjudg" w:id="1"/>
    <w:p w:rsidRPr="001A7416" w:rsidR="007E19C9" w:rsidP="001A7416" w14:paraId="32D0B9C5" w14:textId="152B929E">
      <w:pPr>
        <w:pStyle w:val="JuPara"/>
      </w:pPr>
      <w:r w:rsidRPr="001A7416">
        <w:fldChar w:fldCharType="begin"/>
      </w:r>
      <w:r w:rsidRPr="001A7416">
        <w:instrText xml:space="preserve"> SEQ level0 \*arabic \* MERGEFORMAT </w:instrText>
      </w:r>
      <w:r w:rsidRPr="001A7416">
        <w:fldChar w:fldCharType="separate"/>
      </w:r>
      <w:r w:rsidRPr="001A7416" w:rsidR="001A7416">
        <w:rPr>
          <w:noProof/>
        </w:rPr>
        <w:t>7</w:t>
      </w:r>
      <w:r w:rsidRPr="001A7416">
        <w:fldChar w:fldCharType="end"/>
      </w:r>
      <w:bookmarkEnd w:id="1"/>
      <w:r w:rsidRPr="001A7416">
        <w:t>.  On 6 September 2022 the Budapest High Court dismissed the applicant</w:t>
      </w:r>
      <w:r w:rsidRPr="001A7416" w:rsidR="001A7416">
        <w:t>’</w:t>
      </w:r>
      <w:r w:rsidRPr="001A7416">
        <w:t>s administrative action. It held that the NDGAP had been bound by the CPO</w:t>
      </w:r>
      <w:r w:rsidRPr="001A7416" w:rsidR="001A7416">
        <w:t>’</w:t>
      </w:r>
      <w:r w:rsidRPr="001A7416">
        <w:t>s recommendation. Since the underlying CPO report was classified, the NDGAP could not have referred to it. Although the NDGAP</w:t>
      </w:r>
      <w:r w:rsidRPr="001A7416" w:rsidR="001A7416">
        <w:t>’</w:t>
      </w:r>
      <w:r w:rsidRPr="001A7416">
        <w:t>s decision had given no reasons as to why the applicant posed a threat to national security, the file to which the court had had access clearly indicated that that was the case. The applicant had not proved that there was a close relationship of dependence between him and his family members.</w:t>
      </w:r>
    </w:p>
    <w:p w:rsidRPr="001A7416" w:rsidR="007E19C9" w:rsidP="001A7416" w14:paraId="0C7393BC" w14:textId="1437D579">
      <w:pPr>
        <w:pStyle w:val="JuPara"/>
      </w:pPr>
      <w:r>
        <w:fldChar w:fldCharType="begin"/>
      </w:r>
      <w:r>
        <w:instrText xml:space="preserve"> SEQ level0 \*arabic \* MERGEFORMAT </w:instrText>
      </w:r>
      <w:r>
        <w:fldChar w:fldCharType="separate"/>
      </w:r>
      <w:r w:rsidRPr="001A7416" w:rsidR="001A7416">
        <w:rPr>
          <w:noProof/>
        </w:rPr>
        <w:t>8</w:t>
      </w:r>
      <w:r w:rsidRPr="001A7416" w:rsidR="001A7416">
        <w:rPr>
          <w:noProof/>
        </w:rPr>
        <w:fldChar w:fldCharType="end"/>
      </w:r>
      <w:r w:rsidRPr="001A7416">
        <w:t>.  The applicant</w:t>
      </w:r>
      <w:r w:rsidRPr="001A7416" w:rsidR="001A7416">
        <w:t>’</w:t>
      </w:r>
      <w:r w:rsidRPr="001A7416">
        <w:t xml:space="preserve">s petition for review was declared inadmissible on 2 March 2023 by the </w:t>
      </w:r>
      <w:r w:rsidRPr="001A7416">
        <w:rPr>
          <w:i/>
          <w:iCs/>
        </w:rPr>
        <w:t>Kúria</w:t>
      </w:r>
      <w:r w:rsidRPr="001A7416">
        <w:t>.</w:t>
      </w:r>
    </w:p>
    <w:p w:rsidRPr="001A7416" w:rsidR="007E19C9" w:rsidP="001A7416" w14:paraId="48F74C9E" w14:textId="69274B66">
      <w:pPr>
        <w:pStyle w:val="JuPara"/>
      </w:pPr>
      <w:r>
        <w:fldChar w:fldCharType="begin"/>
      </w:r>
      <w:r>
        <w:instrText xml:space="preserve"> SEQ level0 \*arabic \* MERGEFORMAT </w:instrText>
      </w:r>
      <w:r>
        <w:fldChar w:fldCharType="separate"/>
      </w:r>
      <w:r w:rsidRPr="001A7416" w:rsidR="001A7416">
        <w:rPr>
          <w:noProof/>
        </w:rPr>
        <w:t>9</w:t>
      </w:r>
      <w:r w:rsidRPr="001A7416" w:rsidR="001A7416">
        <w:rPr>
          <w:noProof/>
        </w:rPr>
        <w:fldChar w:fldCharType="end"/>
      </w:r>
      <w:r w:rsidRPr="001A7416">
        <w:t>.  The applicant alleges a violation of Articles 8 and 13 of the Convention and Article 1 of Protocol No. 7.</w:t>
      </w:r>
    </w:p>
    <w:p w:rsidRPr="001A7416" w:rsidR="007E19C9" w:rsidP="001A7416" w14:paraId="52432183" w14:textId="0FA6883A">
      <w:pPr>
        <w:pStyle w:val="JuHHead"/>
      </w:pPr>
      <w:r w:rsidRPr="001A7416">
        <w:t>THE COURT</w:t>
      </w:r>
      <w:r w:rsidRPr="001A7416" w:rsidR="001A7416">
        <w:t>’</w:t>
      </w:r>
      <w:r w:rsidRPr="001A7416">
        <w:t>S ASSESSMENT</w:t>
      </w:r>
    </w:p>
    <w:p w:rsidRPr="001A7416" w:rsidR="007E19C9" w:rsidP="001A7416" w14:paraId="74698FCE" w14:textId="77777777">
      <w:pPr>
        <w:pStyle w:val="JuHIRoman"/>
      </w:pPr>
      <w:r w:rsidRPr="001A7416">
        <w:t>ALLEGED VIOLATION OF ARTICLE 8 OF THE CONVENTION</w:t>
      </w:r>
    </w:p>
    <w:p w:rsidRPr="001A7416" w:rsidR="007E19C9" w:rsidP="001A7416" w14:paraId="10BEBD49" w14:textId="29A128B0">
      <w:pPr>
        <w:pStyle w:val="JuPara"/>
      </w:pPr>
      <w:r>
        <w:fldChar w:fldCharType="begin"/>
      </w:r>
      <w:r>
        <w:instrText xml:space="preserve"> SEQ level0 \*arabic \* MERGEFORMAT </w:instrText>
      </w:r>
      <w:r>
        <w:fldChar w:fldCharType="separate"/>
      </w:r>
      <w:r w:rsidRPr="001A7416" w:rsidR="001A7416">
        <w:rPr>
          <w:noProof/>
        </w:rPr>
        <w:t>10</w:t>
      </w:r>
      <w:r w:rsidRPr="001A7416" w:rsidR="001A7416">
        <w:rPr>
          <w:noProof/>
        </w:rPr>
        <w:fldChar w:fldCharType="end"/>
      </w:r>
      <w:r w:rsidRPr="001A7416">
        <w:t>.  </w:t>
      </w:r>
      <w:r w:rsidRPr="001A7416">
        <w:rPr>
          <w:rFonts w:asciiTheme="majorHAnsi" w:hAnsiTheme="majorHAnsi" w:cstheme="majorHAnsi"/>
          <w:color w:val="000000"/>
        </w:rPr>
        <w:t>The applicant complained that his expulsion had been ordered in a decision based on classified information to which he had had no access, in violation of his rights under Article 8 of the Convention</w:t>
      </w:r>
      <w:r w:rsidRPr="001A7416">
        <w:t>.</w:t>
      </w:r>
    </w:p>
    <w:p w:rsidRPr="001A7416" w:rsidR="007E19C9" w:rsidP="001A7416" w14:paraId="00705F48" w14:textId="71827795">
      <w:pPr>
        <w:pStyle w:val="JuPara"/>
      </w:pPr>
      <w:r>
        <w:fldChar w:fldCharType="begin"/>
      </w:r>
      <w:r>
        <w:instrText xml:space="preserve"> SEQ level0 \*arabic \* MERGEFORMAT </w:instrText>
      </w:r>
      <w:r>
        <w:fldChar w:fldCharType="separate"/>
      </w:r>
      <w:r w:rsidRPr="001A7416" w:rsidR="001A7416">
        <w:rPr>
          <w:noProof/>
        </w:rPr>
        <w:t>11</w:t>
      </w:r>
      <w:r w:rsidRPr="001A7416" w:rsidR="001A7416">
        <w:rPr>
          <w:noProof/>
        </w:rPr>
        <w:fldChar w:fldCharType="end"/>
      </w:r>
      <w:r w:rsidRPr="001A7416">
        <w:t>.  The Court notes that this complaint is not manifestly ill-founded within the meaning of Article 35 § 3 (a) of the Convention or inadmissible on any other grounds. It must therefore be declared admissible.</w:t>
      </w:r>
    </w:p>
    <w:p w:rsidRPr="001A7416" w:rsidR="007E19C9" w:rsidP="001A7416" w14:paraId="720404C0" w14:textId="54943543">
      <w:pPr>
        <w:pStyle w:val="JuPara"/>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12</w:t>
      </w:r>
      <w:r w:rsidRPr="001A7416">
        <w:rPr>
          <w:rFonts w:asciiTheme="majorHAnsi" w:hAnsiTheme="majorHAnsi" w:cstheme="majorHAnsi"/>
          <w:color w:val="000000"/>
        </w:rPr>
        <w:fldChar w:fldCharType="end"/>
      </w:r>
      <w:r w:rsidRPr="001A7416">
        <w:rPr>
          <w:rFonts w:asciiTheme="majorHAnsi" w:hAnsiTheme="majorHAnsi" w:cstheme="majorHAnsi"/>
          <w:color w:val="000000"/>
        </w:rPr>
        <w:t>.  Procedural safeguards are an integral feature of the lawfulness of deportation and exclusion decisions under Article 8 of the Convention. The Convention must be read as a whole, and interpreted in such a way as to promote internal consistency and harmony between its various provisions. In keeping with this principle of harmonious interpretation of the Convention, in cases concerning measures affecting an alien</w:t>
      </w:r>
      <w:r w:rsidRPr="001A7416" w:rsidR="001A7416">
        <w:rPr>
          <w:rFonts w:asciiTheme="majorHAnsi" w:hAnsiTheme="majorHAnsi" w:cstheme="majorHAnsi"/>
          <w:color w:val="000000"/>
        </w:rPr>
        <w:t>’</w:t>
      </w:r>
      <w:r w:rsidRPr="001A7416">
        <w:rPr>
          <w:rFonts w:asciiTheme="majorHAnsi" w:hAnsiTheme="majorHAnsi" w:cstheme="majorHAnsi"/>
          <w:color w:val="000000"/>
        </w:rPr>
        <w:t>s residence permit in a manner that may potentially lead to his or her expulsion, procedural safeguards under Article 8 of the Convention must be interpreted in the light of those provided by Article 1 of Protocol No. 7, in so far as relevant (see</w:t>
      </w:r>
      <w:r w:rsidRPr="001A7416" w:rsidR="002C358C">
        <w:rPr>
          <w:rFonts w:asciiTheme="majorHAnsi" w:hAnsiTheme="majorHAnsi" w:cstheme="majorHAnsi"/>
          <w:color w:val="000000"/>
        </w:rPr>
        <w:t> </w:t>
      </w:r>
      <w:r w:rsidRPr="001A7416">
        <w:rPr>
          <w:rFonts w:eastAsia="Times New Roman"/>
          <w:i/>
          <w:iCs/>
        </w:rPr>
        <w:t>Mirzoyan v. the Czech Republic</w:t>
      </w:r>
      <w:r w:rsidRPr="001A7416">
        <w:rPr>
          <w:rFonts w:eastAsia="Times New Roman"/>
        </w:rPr>
        <w:t xml:space="preserve">, nos. 15117/21 and 15689/21, § </w:t>
      </w:r>
      <w:r w:rsidRPr="001A7416">
        <w:t>82</w:t>
      </w:r>
      <w:r w:rsidRPr="001A7416">
        <w:rPr>
          <w:rFonts w:eastAsia="Times New Roman"/>
        </w:rPr>
        <w:t>, 16</w:t>
      </w:r>
      <w:r w:rsidRPr="001A7416" w:rsidR="00AF6F3D">
        <w:rPr>
          <w:rFonts w:eastAsia="Times New Roman"/>
        </w:rPr>
        <w:t> </w:t>
      </w:r>
      <w:r w:rsidRPr="001A7416">
        <w:rPr>
          <w:rFonts w:eastAsia="Times New Roman"/>
        </w:rPr>
        <w:t>May 2024</w:t>
      </w:r>
      <w:r w:rsidRPr="001A7416">
        <w:t>).</w:t>
      </w:r>
    </w:p>
    <w:p w:rsidRPr="001A7416" w:rsidR="007E19C9" w:rsidP="001A7416" w14:paraId="1F37316A" w14:textId="7C7FEAB9">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1A7416" w:rsidR="001A7416">
        <w:rPr>
          <w:noProof/>
        </w:rPr>
        <w:t>13</w:t>
      </w:r>
      <w:r w:rsidRPr="001A7416" w:rsidR="001A7416">
        <w:rPr>
          <w:noProof/>
        </w:rPr>
        <w:fldChar w:fldCharType="end"/>
      </w:r>
      <w:r w:rsidRPr="001A7416">
        <w:t>.  </w:t>
      </w:r>
      <w:r w:rsidRPr="001A7416">
        <w:rPr>
          <w:rFonts w:asciiTheme="majorHAnsi" w:hAnsiTheme="majorHAnsi" w:cstheme="majorHAnsi"/>
        </w:rPr>
        <w:t xml:space="preserve">The general principles under Article 1 of Protocol No. 7 </w:t>
      </w:r>
      <w:r w:rsidRPr="001A7416">
        <w:rPr>
          <w:rFonts w:asciiTheme="majorHAnsi" w:hAnsiTheme="majorHAnsi" w:cstheme="majorHAnsi"/>
          <w:color w:val="000000"/>
        </w:rPr>
        <w:t xml:space="preserve">were summarised in the case of </w:t>
      </w:r>
      <w:bookmarkStart w:name="_cl40063THELAW" w:id="2"/>
      <w:r w:rsidRPr="001A7416">
        <w:rPr>
          <w:rFonts w:asciiTheme="majorHAnsi" w:hAnsiTheme="majorHAnsi" w:cstheme="majorHAnsi"/>
          <w:i/>
          <w:iCs/>
          <w:color w:val="000000"/>
        </w:rPr>
        <w:t>Muhammad and Muhammad v. Romania</w:t>
      </w:r>
      <w:bookmarkEnd w:id="2"/>
      <w:r w:rsidRPr="001A7416">
        <w:rPr>
          <w:rFonts w:asciiTheme="majorHAnsi" w:hAnsiTheme="majorHAnsi" w:cstheme="majorHAnsi"/>
          <w:color w:val="000000"/>
        </w:rPr>
        <w:t xml:space="preserve"> [GC] (no. 80982/12, §§ 126-57, 15 October 2020).</w:t>
      </w:r>
    </w:p>
    <w:p w:rsidRPr="001A7416" w:rsidR="007E19C9" w:rsidP="001A7416" w14:paraId="236F71AC" w14:textId="68E2101B">
      <w:pPr>
        <w:pStyle w:val="JuPara"/>
      </w:pPr>
      <w:r>
        <w:fldChar w:fldCharType="begin"/>
      </w:r>
      <w:r>
        <w:instrText xml:space="preserve"> SEQ level0 \*arabic \* MERGEFORMAT </w:instrText>
      </w:r>
      <w:r>
        <w:fldChar w:fldCharType="separate"/>
      </w:r>
      <w:r w:rsidRPr="001A7416" w:rsidR="001A7416">
        <w:rPr>
          <w:noProof/>
        </w:rPr>
        <w:t>14</w:t>
      </w:r>
      <w:r w:rsidRPr="001A7416" w:rsidR="001A7416">
        <w:rPr>
          <w:noProof/>
        </w:rPr>
        <w:fldChar w:fldCharType="end"/>
      </w:r>
      <w:r w:rsidRPr="001A7416">
        <w:t>.  The Court will first examine whether there were limitations of the applicant</w:t>
      </w:r>
      <w:r w:rsidRPr="001A7416" w:rsidR="001A7416">
        <w:t>’</w:t>
      </w:r>
      <w:r w:rsidRPr="001A7416">
        <w:t>s procedural rights that needed to be counterbalanced by appropriate safeguards and, secondly, whether the applicant</w:t>
      </w:r>
      <w:r w:rsidRPr="001A7416" w:rsidR="001A7416">
        <w:t>’</w:t>
      </w:r>
      <w:r w:rsidRPr="001A7416">
        <w:t xml:space="preserve">s ties in Hungary were given sufficient consideration (see </w:t>
      </w:r>
      <w:bookmarkStart w:name="_cl44165THELAW" w:id="3"/>
      <w:r w:rsidRPr="001A7416">
        <w:rPr>
          <w:rFonts w:eastAsia="Times New Roman"/>
          <w:i/>
          <w:iCs/>
          <w:lang w:eastAsia="fr-FR"/>
        </w:rPr>
        <w:t>Mirzoyan</w:t>
      </w:r>
      <w:r w:rsidRPr="001A7416">
        <w:rPr>
          <w:rFonts w:eastAsia="Times New Roman"/>
          <w:lang w:eastAsia="fr-FR"/>
        </w:rPr>
        <w:t xml:space="preserve">, </w:t>
      </w:r>
      <w:r w:rsidRPr="001A7416">
        <w:rPr>
          <w:lang w:eastAsia="fr-FR"/>
        </w:rPr>
        <w:t>cited above</w:t>
      </w:r>
      <w:r w:rsidRPr="001A7416">
        <w:rPr>
          <w:rFonts w:eastAsia="Times New Roman"/>
          <w:lang w:eastAsia="fr-FR"/>
        </w:rPr>
        <w:t xml:space="preserve">, § </w:t>
      </w:r>
      <w:r w:rsidRPr="001A7416">
        <w:t>86).</w:t>
      </w:r>
    </w:p>
    <w:p w:rsidRPr="001A7416" w:rsidR="007E19C9" w:rsidP="001A7416" w14:paraId="056895E0" w14:textId="397DC74A">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15</w:t>
      </w:r>
      <w:r w:rsidRPr="001A7416">
        <w:rPr>
          <w:rFonts w:asciiTheme="majorHAnsi" w:hAnsiTheme="majorHAnsi" w:cstheme="majorHAnsi"/>
          <w:color w:val="000000"/>
        </w:rPr>
        <w:fldChar w:fldCharType="end"/>
      </w:r>
      <w:r w:rsidRPr="001A7416">
        <w:rPr>
          <w:rFonts w:asciiTheme="majorHAnsi" w:hAnsiTheme="majorHAnsi" w:cstheme="majorHAnsi"/>
          <w:color w:val="000000"/>
        </w:rPr>
        <w:t>.  As to the first issue, the administrative authorities justified their decision referring to the opinion of the CPO. Although under section 87/B(1) of the Immigration Act the NDGAP was under an obligation to provide reasons for its decisions – including the specialised agency</w:t>
      </w:r>
      <w:r w:rsidRPr="001A7416" w:rsidR="001A7416">
        <w:rPr>
          <w:rFonts w:asciiTheme="majorHAnsi" w:hAnsiTheme="majorHAnsi" w:cstheme="majorHAnsi"/>
          <w:color w:val="000000"/>
        </w:rPr>
        <w:t>’</w:t>
      </w:r>
      <w:r w:rsidRPr="001A7416">
        <w:rPr>
          <w:rFonts w:asciiTheme="majorHAnsi" w:hAnsiTheme="majorHAnsi" w:cstheme="majorHAnsi"/>
          <w:color w:val="000000"/>
        </w:rPr>
        <w:t>s assessment, the ascertained facts of the case, the available evidence and an explanation of the specialised agency</w:t>
      </w:r>
      <w:r w:rsidRPr="001A7416" w:rsidR="001A7416">
        <w:rPr>
          <w:rFonts w:asciiTheme="majorHAnsi" w:hAnsiTheme="majorHAnsi" w:cstheme="majorHAnsi"/>
          <w:color w:val="000000"/>
        </w:rPr>
        <w:t>’</w:t>
      </w:r>
      <w:r w:rsidRPr="001A7416">
        <w:rPr>
          <w:rFonts w:asciiTheme="majorHAnsi" w:hAnsiTheme="majorHAnsi" w:cstheme="majorHAnsi"/>
          <w:color w:val="000000"/>
        </w:rPr>
        <w:t>s assessment – in practice the decisions did not specify why the applicant was considered a danger to national security, nor did they cite the specific factual elements on the basis of which those findings had been made by the CPO.</w:t>
      </w:r>
    </w:p>
    <w:p w:rsidRPr="001A7416" w:rsidR="007E19C9" w:rsidP="001A7416" w14:paraId="184A634E" w14:textId="7A072FCA">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16</w:t>
      </w:r>
      <w:r w:rsidRPr="001A7416">
        <w:rPr>
          <w:rFonts w:asciiTheme="majorHAnsi" w:hAnsiTheme="majorHAnsi" w:cstheme="majorHAnsi"/>
          <w:color w:val="000000"/>
        </w:rPr>
        <w:fldChar w:fldCharType="end"/>
      </w:r>
      <w:r w:rsidRPr="001A7416">
        <w:rPr>
          <w:rFonts w:asciiTheme="majorHAnsi" w:hAnsiTheme="majorHAnsi" w:cstheme="majorHAnsi"/>
          <w:color w:val="000000"/>
        </w:rPr>
        <w:t xml:space="preserve">.  The opinions of the CPO were contained in a classified document and thus not made available to the applicant or to his lawyer. The allegations against the applicant </w:t>
      </w:r>
      <w:r w:rsidRPr="001A7416">
        <w:t>were of an undisclosed nature, making it impossible for him to challenge the CPO</w:t>
      </w:r>
      <w:r w:rsidRPr="001A7416" w:rsidR="001A7416">
        <w:t>’</w:t>
      </w:r>
      <w:r w:rsidRPr="001A7416">
        <w:t>s assertions before the NDGAP by providing exonerating evidence or an explanation.</w:t>
      </w:r>
    </w:p>
    <w:p w:rsidRPr="001A7416" w:rsidR="007E19C9" w:rsidP="001A7416" w14:paraId="78D07243" w14:textId="12315E1B">
      <w:pPr>
        <w:pStyle w:val="JuPara"/>
      </w:pPr>
      <w:r>
        <w:fldChar w:fldCharType="begin"/>
      </w:r>
      <w:r>
        <w:instrText xml:space="preserve"> SEQ level0 \*arabic \* MERGEFORMAT </w:instrText>
      </w:r>
      <w:r>
        <w:fldChar w:fldCharType="separate"/>
      </w:r>
      <w:r w:rsidRPr="001A7416" w:rsidR="001A7416">
        <w:rPr>
          <w:noProof/>
        </w:rPr>
        <w:t>17</w:t>
      </w:r>
      <w:r w:rsidRPr="001A7416" w:rsidR="001A7416">
        <w:rPr>
          <w:noProof/>
        </w:rPr>
        <w:fldChar w:fldCharType="end"/>
      </w:r>
      <w:r w:rsidRPr="001A7416">
        <w:t>.  The foregoing resulted in a significant limitation of the applicant</w:t>
      </w:r>
      <w:r w:rsidRPr="001A7416" w:rsidR="001A7416">
        <w:t>’</w:t>
      </w:r>
      <w:r w:rsidRPr="001A7416">
        <w:t>s procedural rights, which had to be mitigated by appropriate counterbalancing safeguards.</w:t>
      </w:r>
    </w:p>
    <w:p w:rsidRPr="001A7416" w:rsidR="007E19C9" w:rsidP="001A7416" w14:paraId="6FBC66C1" w14:textId="36D4A6B2">
      <w:pPr>
        <w:pStyle w:val="JuPara"/>
      </w:pPr>
      <w:r>
        <w:fldChar w:fldCharType="begin"/>
      </w:r>
      <w:r>
        <w:instrText xml:space="preserve"> SEQ level0 \*arabic \* MERGEFORMAT </w:instrText>
      </w:r>
      <w:r>
        <w:fldChar w:fldCharType="separate"/>
      </w:r>
      <w:r w:rsidRPr="001A7416" w:rsidR="001A7416">
        <w:rPr>
          <w:noProof/>
        </w:rPr>
        <w:t>18</w:t>
      </w:r>
      <w:r w:rsidRPr="001A7416" w:rsidR="001A7416">
        <w:rPr>
          <w:noProof/>
        </w:rPr>
        <w:fldChar w:fldCharType="end"/>
      </w:r>
      <w:r w:rsidRPr="001A7416">
        <w:t xml:space="preserve">.  Following a request for a judicial review by the applicant, the impugned decisions of the NDGAP were reviewed in judicial proceedings held before the Budapest High Court and the </w:t>
      </w:r>
      <w:r w:rsidRPr="001A7416">
        <w:rPr>
          <w:i/>
          <w:iCs/>
        </w:rPr>
        <w:t xml:space="preserve">Kúria. </w:t>
      </w:r>
      <w:r w:rsidRPr="001A7416">
        <w:t>Nonetheless, the applicant</w:t>
      </w:r>
      <w:r w:rsidRPr="001A7416">
        <w:rPr>
          <w:rFonts w:asciiTheme="majorHAnsi" w:hAnsiTheme="majorHAnsi" w:cstheme="majorHAnsi"/>
          <w:color w:val="000000"/>
        </w:rPr>
        <w:t xml:space="preserve"> lacked even an outline of the facts which served as a basis for the conclusion of the NDGAP that his presence in Hungary constituted a threat to or a breach of national security. It is thus doubtful whether he was able to present his case adequately in the subsequent judicial review proceedings.</w:t>
      </w:r>
    </w:p>
    <w:p w:rsidRPr="001A7416" w:rsidR="007E19C9" w:rsidP="001A7416" w14:paraId="29BEE20A" w14:textId="6F523021">
      <w:pPr>
        <w:pStyle w:val="JuPara"/>
      </w:pPr>
      <w:r>
        <w:fldChar w:fldCharType="begin"/>
      </w:r>
      <w:r>
        <w:instrText xml:space="preserve"> SEQ level0 \*arabic \* MERGEFORMAT </w:instrText>
      </w:r>
      <w:r>
        <w:fldChar w:fldCharType="separate"/>
      </w:r>
      <w:r w:rsidRPr="001A7416" w:rsidR="001A7416">
        <w:rPr>
          <w:noProof/>
        </w:rPr>
        <w:t>19</w:t>
      </w:r>
      <w:r w:rsidRPr="001A7416" w:rsidR="001A7416">
        <w:rPr>
          <w:noProof/>
        </w:rPr>
        <w:fldChar w:fldCharType="end"/>
      </w:r>
      <w:r w:rsidRPr="001A7416">
        <w:t>.  The Budapest High Court ruled from the outset that the NDGAP was bound by the CPO</w:t>
      </w:r>
      <w:r w:rsidRPr="001A7416" w:rsidR="001A7416">
        <w:t>’</w:t>
      </w:r>
      <w:r w:rsidRPr="001A7416">
        <w:t>s opinion, leaving the authorities no latitude as regards the question whether the applicant was a threat to national security or as regards the necessity of his expulsion. It also held that since the NDGAP</w:t>
      </w:r>
      <w:r w:rsidRPr="001A7416" w:rsidR="001A7416">
        <w:t>’</w:t>
      </w:r>
      <w:r w:rsidRPr="001A7416">
        <w:t>s decision had been based on confidential information, the administrative authority had not been in a position to reveal that information in its decision.</w:t>
      </w:r>
    </w:p>
    <w:p w:rsidRPr="001A7416" w:rsidR="007E19C9" w:rsidP="001A7416" w14:paraId="1AF27114" w14:textId="768FD59F">
      <w:pPr>
        <w:pStyle w:val="JuPara"/>
      </w:pPr>
      <w:r>
        <w:fldChar w:fldCharType="begin"/>
      </w:r>
      <w:r>
        <w:instrText xml:space="preserve"> SEQ level0 \*arabic \* MERGEFORMAT </w:instrText>
      </w:r>
      <w:r>
        <w:fldChar w:fldCharType="separate"/>
      </w:r>
      <w:r w:rsidRPr="001A7416" w:rsidR="001A7416">
        <w:rPr>
          <w:noProof/>
        </w:rPr>
        <w:t>20</w:t>
      </w:r>
      <w:r w:rsidRPr="001A7416" w:rsidR="001A7416">
        <w:rPr>
          <w:noProof/>
        </w:rPr>
        <w:fldChar w:fldCharType="end"/>
      </w:r>
      <w:r w:rsidRPr="001A7416">
        <w:t>.  The High Court only briefly stated that it had reviewed the documents produced by the CPO, from which it was clear to it that the applicant</w:t>
      </w:r>
      <w:r w:rsidRPr="001A7416" w:rsidR="001A7416">
        <w:t>’</w:t>
      </w:r>
      <w:r w:rsidRPr="001A7416">
        <w:t>s presence in Hungary constituted a threat to national security. The court</w:t>
      </w:r>
      <w:r w:rsidRPr="001A7416" w:rsidR="001A7416">
        <w:t>’</w:t>
      </w:r>
      <w:r w:rsidRPr="001A7416">
        <w:t>s access to the classified information on which the administrative authorities</w:t>
      </w:r>
      <w:r w:rsidRPr="001A7416" w:rsidR="001A7416">
        <w:t>’</w:t>
      </w:r>
      <w:r w:rsidRPr="001A7416">
        <w:t xml:space="preserve"> decisions were based was an important safeguard counterbalancing the restrictions on the applicant</w:t>
      </w:r>
      <w:r w:rsidRPr="001A7416" w:rsidR="001A7416">
        <w:t>’</w:t>
      </w:r>
      <w:r w:rsidRPr="001A7416">
        <w:t xml:space="preserve">s procedural rights. However, the Budapest High Court did not make any reference to the evidential basis for its finding about </w:t>
      </w:r>
      <w:r w:rsidRPr="001A7416">
        <w:t xml:space="preserve">the conclusiveness of the confidential information. Nor did it provide an explanation as to whether and how the CPO was able to demonstrate the existence of the specific facts serving as a basis for its opinion. In the absence of any factual elements in the court judgment, the applicant was not given so much as an outline of the national security case or any other allegations against him (compare and contrast </w:t>
      </w:r>
      <w:r w:rsidRPr="001A7416">
        <w:rPr>
          <w:i/>
          <w:iCs/>
        </w:rPr>
        <w:t xml:space="preserve">Mirzoyan, </w:t>
      </w:r>
      <w:r w:rsidRPr="001A7416">
        <w:t>cited above, § 94).</w:t>
      </w:r>
    </w:p>
    <w:p w:rsidRPr="001A7416" w:rsidR="007E19C9" w:rsidP="001A7416" w14:paraId="61E8BEC4" w14:textId="17A3418E">
      <w:pPr>
        <w:pStyle w:val="JuPara"/>
      </w:pPr>
      <w:r>
        <w:fldChar w:fldCharType="begin"/>
      </w:r>
      <w:r>
        <w:instrText xml:space="preserve"> SEQ level0 \*arabic \* MERGEFORMAT </w:instrText>
      </w:r>
      <w:r>
        <w:fldChar w:fldCharType="separate"/>
      </w:r>
      <w:r w:rsidRPr="001A7416" w:rsidR="001A7416">
        <w:rPr>
          <w:noProof/>
        </w:rPr>
        <w:t>21</w:t>
      </w:r>
      <w:r w:rsidRPr="001A7416" w:rsidR="001A7416">
        <w:rPr>
          <w:noProof/>
        </w:rPr>
        <w:fldChar w:fldCharType="end"/>
      </w:r>
      <w:r w:rsidRPr="001A7416">
        <w:t>.  While it is true that the applicant was represented by a lawyer of his own choosing, the legal representative also had no access to the classified information or to the content of the CPO</w:t>
      </w:r>
      <w:r w:rsidRPr="001A7416" w:rsidR="001A7416">
        <w:t>’</w:t>
      </w:r>
      <w:r w:rsidRPr="001A7416">
        <w:t>s opinion. It cannot therefore be said that the applicant</w:t>
      </w:r>
      <w:r w:rsidRPr="001A7416" w:rsidR="001A7416">
        <w:t>’</w:t>
      </w:r>
      <w:r w:rsidRPr="001A7416">
        <w:t>s legal representation was sufficiently effective to be able to counterbalance, in a significant manner, the limitations affecting him in the exercise of his procedural rights in the present case.</w:t>
      </w:r>
    </w:p>
    <w:p w:rsidRPr="001A7416" w:rsidR="007E19C9" w:rsidP="001A7416" w14:paraId="38EB4F61" w14:textId="3498E82E">
      <w:pPr>
        <w:pStyle w:val="JuPara"/>
      </w:pPr>
      <w:r w:rsidRPr="001A7416">
        <w:rPr>
          <w:rFonts w:cstheme="minorHAnsi"/>
        </w:rPr>
        <w:fldChar w:fldCharType="begin"/>
      </w:r>
      <w:r w:rsidRPr="001A7416">
        <w:rPr>
          <w:rFonts w:cstheme="minorHAnsi"/>
        </w:rPr>
        <w:instrText xml:space="preserve"> SEQ level0 \*arabic \* MERGEFORMAT </w:instrText>
      </w:r>
      <w:r w:rsidRPr="001A7416">
        <w:rPr>
          <w:rFonts w:cstheme="minorHAnsi"/>
        </w:rPr>
        <w:fldChar w:fldCharType="separate"/>
      </w:r>
      <w:r w:rsidRPr="001A7416" w:rsidR="001A7416">
        <w:rPr>
          <w:rFonts w:cstheme="minorHAnsi"/>
          <w:noProof/>
        </w:rPr>
        <w:t>22</w:t>
      </w:r>
      <w:r w:rsidRPr="001A7416">
        <w:rPr>
          <w:rFonts w:cstheme="minorHAnsi"/>
        </w:rPr>
        <w:fldChar w:fldCharType="end"/>
      </w:r>
      <w:r w:rsidRPr="001A7416">
        <w:rPr>
          <w:rFonts w:cstheme="minorHAnsi"/>
        </w:rPr>
        <w:t>.  In conclusion</w:t>
      </w:r>
      <w:r w:rsidRPr="001A7416">
        <w:t xml:space="preserve"> the applicant, despite having the formal possibility of seeking judicial review of the expulsion order, was not able to challenge, in an effective manner, the allegation that he represented a risk to national security, nor did he enjoy the requisite degree of protection against arbitrariness on the part of the authorities. The domestic proceedings were not attended by appropriate and sufficient procedural guarantees.</w:t>
      </w:r>
    </w:p>
    <w:p w:rsidRPr="001A7416" w:rsidR="007E19C9" w:rsidP="001A7416" w14:paraId="3650FE7A" w14:textId="5495D5F0">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1A7416" w:rsidR="001A7416">
        <w:rPr>
          <w:noProof/>
        </w:rPr>
        <w:t>23</w:t>
      </w:r>
      <w:r w:rsidRPr="001A7416" w:rsidR="001A7416">
        <w:rPr>
          <w:noProof/>
        </w:rPr>
        <w:fldChar w:fldCharType="end"/>
      </w:r>
      <w:r w:rsidRPr="001A7416">
        <w:t>.  As to the question whether the applicant</w:t>
      </w:r>
      <w:r w:rsidRPr="001A7416" w:rsidR="001A7416">
        <w:t>’</w:t>
      </w:r>
      <w:r w:rsidRPr="001A7416">
        <w:t xml:space="preserve">s ties in Hungary were given sufficient consideration, the Court refers to the judgment of the Budapest High Court, according to which his personal circumstances </w:t>
      </w:r>
      <w:r w:rsidRPr="001A7416">
        <w:rPr>
          <w:rFonts w:asciiTheme="majorHAnsi" w:hAnsiTheme="majorHAnsi" w:cstheme="majorHAnsi"/>
        </w:rPr>
        <w:t>were irrelevant as they were outweighed by the public interest in national security (see paragraph </w:t>
      </w:r>
      <w:r w:rsidRPr="001A7416">
        <w:rPr>
          <w:rFonts w:asciiTheme="majorHAnsi" w:hAnsiTheme="majorHAnsi" w:cstheme="majorHAnsi"/>
        </w:rPr>
        <w:fldChar w:fldCharType="begin"/>
      </w:r>
      <w:r w:rsidRPr="001A7416">
        <w:rPr>
          <w:rFonts w:asciiTheme="majorHAnsi" w:hAnsiTheme="majorHAnsi" w:cstheme="majorHAnsi"/>
        </w:rPr>
        <w:instrText xml:space="preserve"> REF budapesthighcourtjudg \h  \* MERGEFORMAT </w:instrText>
      </w:r>
      <w:r w:rsidRPr="001A7416">
        <w:rPr>
          <w:rFonts w:asciiTheme="majorHAnsi" w:hAnsiTheme="majorHAnsi" w:cstheme="majorHAnsi"/>
        </w:rPr>
        <w:fldChar w:fldCharType="separate"/>
      </w:r>
      <w:r w:rsidRPr="001A7416" w:rsidR="001A7416">
        <w:rPr>
          <w:rFonts w:asciiTheme="majorHAnsi" w:hAnsiTheme="majorHAnsi" w:cstheme="majorHAnsi"/>
          <w:b/>
          <w:bCs/>
        </w:rPr>
        <w:t>7</w:t>
      </w:r>
      <w:r w:rsidRPr="001A7416">
        <w:rPr>
          <w:rFonts w:asciiTheme="majorHAnsi" w:hAnsiTheme="majorHAnsi" w:cstheme="majorHAnsi"/>
        </w:rPr>
        <w:fldChar w:fldCharType="end"/>
      </w:r>
      <w:r w:rsidRPr="001A7416">
        <w:rPr>
          <w:rFonts w:asciiTheme="majorHAnsi" w:hAnsiTheme="majorHAnsi" w:cstheme="majorHAnsi"/>
        </w:rPr>
        <w:t xml:space="preserve"> above). </w:t>
      </w:r>
      <w:r w:rsidRPr="001A7416">
        <w:rPr>
          <w:rFonts w:asciiTheme="majorHAnsi" w:hAnsiTheme="majorHAnsi" w:cstheme="majorHAnsi"/>
          <w:color w:val="000000"/>
        </w:rPr>
        <w:t>In that sense, any reference to the applicant</w:t>
      </w:r>
      <w:r w:rsidRPr="001A7416" w:rsidR="001A7416">
        <w:rPr>
          <w:rFonts w:asciiTheme="majorHAnsi" w:hAnsiTheme="majorHAnsi" w:cstheme="majorHAnsi"/>
          <w:color w:val="000000"/>
        </w:rPr>
        <w:t>’</w:t>
      </w:r>
      <w:r w:rsidRPr="001A7416">
        <w:rPr>
          <w:rFonts w:asciiTheme="majorHAnsi" w:hAnsiTheme="majorHAnsi" w:cstheme="majorHAnsi"/>
          <w:color w:val="000000"/>
        </w:rPr>
        <w:t>s circumstances was reduced to a mere formality.</w:t>
      </w:r>
    </w:p>
    <w:p w:rsidRPr="001A7416" w:rsidR="007E19C9" w:rsidP="001A7416" w14:paraId="5C3F57AC" w14:textId="31D118E2">
      <w:pPr>
        <w:pStyle w:val="JuPara"/>
      </w:pPr>
      <w:r>
        <w:fldChar w:fldCharType="begin"/>
      </w:r>
      <w:r>
        <w:instrText xml:space="preserve"> SEQ level0 \*arabic \* MERGEFORMAT </w:instrText>
      </w:r>
      <w:r>
        <w:fldChar w:fldCharType="separate"/>
      </w:r>
      <w:r w:rsidRPr="001A7416" w:rsidR="001A7416">
        <w:rPr>
          <w:noProof/>
        </w:rPr>
        <w:t>24</w:t>
      </w:r>
      <w:r w:rsidRPr="001A7416" w:rsidR="001A7416">
        <w:rPr>
          <w:noProof/>
        </w:rPr>
        <w:fldChar w:fldCharType="end"/>
      </w:r>
      <w:r w:rsidRPr="001A7416">
        <w:t>.  In view of the procedural deficiencies, the Court concludes that the interference with the applicant</w:t>
      </w:r>
      <w:r w:rsidRPr="001A7416" w:rsidR="001A7416">
        <w:t>’</w:t>
      </w:r>
      <w:r w:rsidRPr="001A7416">
        <w:t>s right to respect for his private life has not been shown to have been necessary in a democratic society.</w:t>
      </w:r>
    </w:p>
    <w:p w:rsidRPr="001A7416" w:rsidR="007E19C9" w:rsidP="001A7416" w14:paraId="05135B06" w14:textId="7035DA52">
      <w:pPr>
        <w:pStyle w:val="JuPara"/>
      </w:pPr>
      <w:r>
        <w:fldChar w:fldCharType="begin"/>
      </w:r>
      <w:r>
        <w:instrText xml:space="preserve"> SEQ level0 \*arabic \* MERGEFORMAT </w:instrText>
      </w:r>
      <w:r>
        <w:fldChar w:fldCharType="separate"/>
      </w:r>
      <w:r w:rsidRPr="001A7416" w:rsidR="001A7416">
        <w:rPr>
          <w:noProof/>
        </w:rPr>
        <w:t>25</w:t>
      </w:r>
      <w:r w:rsidRPr="001A7416" w:rsidR="001A7416">
        <w:rPr>
          <w:noProof/>
        </w:rPr>
        <w:fldChar w:fldCharType="end"/>
      </w:r>
      <w:r w:rsidRPr="001A7416">
        <w:t>.  There has accordingly been a violation of Article 8 of the Convention</w:t>
      </w:r>
      <w:bookmarkEnd w:id="3"/>
      <w:r w:rsidRPr="001A7416">
        <w:t>.</w:t>
      </w:r>
    </w:p>
    <w:p w:rsidRPr="001A7416" w:rsidR="007E19C9" w:rsidP="001A7416" w14:paraId="52979A1E" w14:textId="77777777">
      <w:pPr>
        <w:pStyle w:val="JuHIRoman"/>
      </w:pPr>
      <w:r w:rsidRPr="001A7416">
        <w:t>OTHER COMPLAINTS</w:t>
      </w:r>
    </w:p>
    <w:p w:rsidRPr="001A7416" w:rsidR="007E19C9" w:rsidP="001A7416" w14:paraId="1D005FCB" w14:textId="4906E3BE">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1A7416" w:rsidR="001A7416">
        <w:rPr>
          <w:noProof/>
        </w:rPr>
        <w:t>26</w:t>
      </w:r>
      <w:r w:rsidRPr="001A7416" w:rsidR="001A7416">
        <w:rPr>
          <w:noProof/>
        </w:rPr>
        <w:fldChar w:fldCharType="end"/>
      </w:r>
      <w:r w:rsidRPr="001A7416">
        <w:t>.  </w:t>
      </w:r>
      <w:r w:rsidRPr="001A7416">
        <w:rPr>
          <w:rFonts w:asciiTheme="majorHAnsi" w:hAnsiTheme="majorHAnsi" w:cstheme="majorHAnsi"/>
          <w:color w:val="000000"/>
        </w:rPr>
        <w:t>The applicant asserted that, contrary to Article 1</w:t>
      </w:r>
      <w:r w:rsidRPr="001A7416" w:rsidR="0069132F">
        <w:rPr>
          <w:rFonts w:asciiTheme="majorHAnsi" w:hAnsiTheme="majorHAnsi" w:cstheme="majorHAnsi"/>
          <w:color w:val="000000"/>
        </w:rPr>
        <w:t xml:space="preserve"> </w:t>
      </w:r>
      <w:r w:rsidRPr="001A7416">
        <w:rPr>
          <w:rFonts w:asciiTheme="majorHAnsi" w:hAnsiTheme="majorHAnsi" w:cstheme="majorHAnsi"/>
          <w:color w:val="000000"/>
        </w:rPr>
        <w:t>§ 1 (a) of Protocol No. 7, he had not been informed of the reasons underlying his expulsion.</w:t>
      </w:r>
    </w:p>
    <w:p w:rsidRPr="001A7416" w:rsidR="007E19C9" w:rsidP="001A7416" w14:paraId="3267C1FE" w14:textId="43811763">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27</w:t>
      </w:r>
      <w:r w:rsidRPr="001A7416">
        <w:rPr>
          <w:rFonts w:asciiTheme="majorHAnsi" w:hAnsiTheme="majorHAnsi" w:cstheme="majorHAnsi"/>
          <w:color w:val="000000"/>
        </w:rPr>
        <w:fldChar w:fldCharType="end"/>
      </w:r>
      <w:r w:rsidRPr="001A7416">
        <w:rPr>
          <w:rFonts w:asciiTheme="majorHAnsi" w:hAnsiTheme="majorHAnsi" w:cstheme="majorHAnsi"/>
          <w:color w:val="000000"/>
        </w:rPr>
        <w:t>.  The Court reiterates that the scope of application of Article 1 of Protocol No. 7 extends to aliens “lawfully resident” in the territory of the State in question.</w:t>
      </w:r>
    </w:p>
    <w:p w:rsidRPr="001A7416" w:rsidR="007E19C9" w:rsidP="001A7416" w14:paraId="5189FF8B" w14:textId="4EC05376">
      <w:pPr>
        <w:pStyle w:val="JuPara"/>
      </w:pPr>
      <w:r w:rsidRPr="001A7416">
        <w:rPr>
          <w:rFonts w:asciiTheme="majorHAnsi" w:hAnsiTheme="majorHAnsi" w:cstheme="majorHAnsi"/>
        </w:rPr>
        <w:fldChar w:fldCharType="begin"/>
      </w:r>
      <w:r w:rsidRPr="001A7416">
        <w:rPr>
          <w:rFonts w:asciiTheme="majorHAnsi" w:hAnsiTheme="majorHAnsi" w:cstheme="majorHAnsi"/>
        </w:rPr>
        <w:instrText xml:space="preserve"> SEQ level0 \*arabic \* MERGEFORMAT </w:instrText>
      </w:r>
      <w:r w:rsidRPr="001A7416">
        <w:rPr>
          <w:rFonts w:asciiTheme="majorHAnsi" w:hAnsiTheme="majorHAnsi" w:cstheme="majorHAnsi"/>
        </w:rPr>
        <w:fldChar w:fldCharType="separate"/>
      </w:r>
      <w:r w:rsidRPr="001A7416" w:rsidR="001A7416">
        <w:rPr>
          <w:rFonts w:asciiTheme="majorHAnsi" w:hAnsiTheme="majorHAnsi" w:cstheme="majorHAnsi"/>
          <w:noProof/>
        </w:rPr>
        <w:t>28</w:t>
      </w:r>
      <w:r w:rsidRPr="001A7416">
        <w:rPr>
          <w:rFonts w:asciiTheme="majorHAnsi" w:hAnsiTheme="majorHAnsi" w:cstheme="majorHAnsi"/>
        </w:rPr>
        <w:fldChar w:fldCharType="end"/>
      </w:r>
      <w:r w:rsidRPr="001A7416">
        <w:rPr>
          <w:rFonts w:asciiTheme="majorHAnsi" w:hAnsiTheme="majorHAnsi" w:cstheme="majorHAnsi"/>
        </w:rPr>
        <w:t>.  </w:t>
      </w:r>
      <w:r w:rsidRPr="001A7416">
        <w:rPr>
          <w:rFonts w:asciiTheme="majorHAnsi" w:hAnsiTheme="majorHAnsi" w:cstheme="majorHAnsi"/>
          <w:color w:val="000000"/>
        </w:rPr>
        <w:t>The applicant</w:t>
      </w:r>
      <w:r w:rsidRPr="001A7416" w:rsidR="001A7416">
        <w:rPr>
          <w:rFonts w:asciiTheme="majorHAnsi" w:hAnsiTheme="majorHAnsi" w:cstheme="majorHAnsi"/>
          <w:color w:val="000000"/>
        </w:rPr>
        <w:t>’</w:t>
      </w:r>
      <w:r w:rsidRPr="001A7416">
        <w:rPr>
          <w:rFonts w:asciiTheme="majorHAnsi" w:hAnsiTheme="majorHAnsi" w:cstheme="majorHAnsi"/>
          <w:color w:val="000000"/>
        </w:rPr>
        <w:t>s request for a national settlement permit was not granted and his residence card was revoked on 6 October 2021, prior to the expulsion order. The applicant has not submitted any information as regards the legal basis for his stay in Hungary following the revocation of his residence card. Thus, it appears from the case file that he was not lawfully residing in Hungary at the time of his expulsion.</w:t>
      </w:r>
    </w:p>
    <w:p w:rsidRPr="001A7416" w:rsidR="007E19C9" w:rsidP="001A7416" w14:paraId="361D6245" w14:textId="130E30D1">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29</w:t>
      </w:r>
      <w:r w:rsidRPr="001A7416">
        <w:rPr>
          <w:rFonts w:asciiTheme="majorHAnsi" w:hAnsiTheme="majorHAnsi" w:cstheme="majorHAnsi"/>
          <w:color w:val="000000"/>
        </w:rPr>
        <w:fldChar w:fldCharType="end"/>
      </w:r>
      <w:r w:rsidRPr="001A7416">
        <w:rPr>
          <w:rFonts w:asciiTheme="majorHAnsi" w:hAnsiTheme="majorHAnsi" w:cstheme="majorHAnsi"/>
          <w:color w:val="000000"/>
        </w:rPr>
        <w:t xml:space="preserve">.  Consequently, that provision is not applicable in the instant case and the complaint must be rejected for being incompatible </w:t>
      </w:r>
      <w:r w:rsidRPr="001A7416">
        <w:rPr>
          <w:rFonts w:asciiTheme="majorHAnsi" w:hAnsiTheme="majorHAnsi" w:cstheme="majorHAnsi"/>
          <w:i/>
          <w:iCs/>
          <w:color w:val="000000"/>
        </w:rPr>
        <w:t>ratione materiae</w:t>
      </w:r>
      <w:r w:rsidRPr="001A7416">
        <w:rPr>
          <w:rFonts w:asciiTheme="majorHAnsi" w:hAnsiTheme="majorHAnsi" w:cstheme="majorHAnsi"/>
          <w:color w:val="000000"/>
        </w:rPr>
        <w:t xml:space="preserve"> in accordance with Article 35 §§ 3 and 4 of the Convention.</w:t>
      </w:r>
    </w:p>
    <w:p w:rsidRPr="001A7416" w:rsidR="007E19C9" w:rsidP="001A7416" w14:paraId="204FC4B0" w14:textId="77F56803">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30</w:t>
      </w:r>
      <w:r w:rsidRPr="001A7416">
        <w:rPr>
          <w:rFonts w:asciiTheme="majorHAnsi" w:hAnsiTheme="majorHAnsi" w:cstheme="majorHAnsi"/>
          <w:color w:val="000000"/>
        </w:rPr>
        <w:fldChar w:fldCharType="end"/>
      </w:r>
      <w:r w:rsidRPr="001A7416">
        <w:rPr>
          <w:rFonts w:asciiTheme="majorHAnsi" w:hAnsiTheme="majorHAnsi" w:cstheme="majorHAnsi"/>
          <w:color w:val="000000"/>
        </w:rPr>
        <w:t>.  Relying on Article 13 of the Convention, the applicant also complained that he had been denied an effective remedy. However, he did not pursue that complaint further.</w:t>
      </w:r>
    </w:p>
    <w:p w:rsidRPr="001A7416" w:rsidR="007E19C9" w:rsidP="001A7416" w14:paraId="2F3962B0" w14:textId="139487EA">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31</w:t>
      </w:r>
      <w:r w:rsidRPr="001A7416">
        <w:rPr>
          <w:rFonts w:asciiTheme="majorHAnsi" w:hAnsiTheme="majorHAnsi" w:cstheme="majorHAnsi"/>
          <w:color w:val="000000"/>
        </w:rPr>
        <w:fldChar w:fldCharType="end"/>
      </w:r>
      <w:r w:rsidRPr="001A7416">
        <w:rPr>
          <w:rFonts w:asciiTheme="majorHAnsi" w:hAnsiTheme="majorHAnsi" w:cstheme="majorHAnsi"/>
          <w:color w:val="000000"/>
        </w:rPr>
        <w:t xml:space="preserve">.  The Court considers that the applicant may not be regarded as wishing to pursue this complaint, within the meaning of Article 37 § 1 (a) of the Convention. In accordance with Article 37 § 1 </w:t>
      </w:r>
      <w:r w:rsidRPr="001A7416">
        <w:rPr>
          <w:rFonts w:asciiTheme="majorHAnsi" w:hAnsiTheme="majorHAnsi" w:cstheme="majorHAnsi"/>
          <w:i/>
          <w:iCs/>
          <w:color w:val="000000"/>
        </w:rPr>
        <w:t>in fine</w:t>
      </w:r>
      <w:r w:rsidRPr="001A7416">
        <w:rPr>
          <w:rFonts w:asciiTheme="majorHAnsi" w:hAnsiTheme="majorHAnsi" w:cstheme="majorHAnsi"/>
          <w:color w:val="000000"/>
        </w:rPr>
        <w:t xml:space="preserve">, the Court finds no special circumstances regarding respect for human rights as defined in the Convention and its Protocols which require the continued consideration of the complaint. It is </w:t>
      </w:r>
      <w:r w:rsidRPr="001A7416">
        <w:t>no longer justified to continue</w:t>
      </w:r>
      <w:r w:rsidRPr="001A7416">
        <w:rPr>
          <w:rFonts w:asciiTheme="majorHAnsi" w:hAnsiTheme="majorHAnsi" w:cstheme="majorHAnsi"/>
          <w:color w:val="000000"/>
        </w:rPr>
        <w:t xml:space="preserve"> the examination of this part of the application and, accordingly, it should be struck out of its list of cases (see </w:t>
      </w:r>
      <w:bookmarkStart w:name="_cl30793" w:id="4"/>
      <w:r w:rsidRPr="001A7416">
        <w:rPr>
          <w:i/>
          <w:iCs/>
        </w:rPr>
        <w:t>M. v. Ukraine</w:t>
      </w:r>
      <w:bookmarkEnd w:id="4"/>
      <w:r w:rsidRPr="001A7416">
        <w:t>, no.</w:t>
      </w:r>
      <w:r w:rsidRPr="001A7416" w:rsidR="00A32489">
        <w:t xml:space="preserve"> </w:t>
      </w:r>
      <w:r w:rsidRPr="001A7416">
        <w:t>2452/04, §</w:t>
      </w:r>
      <w:r w:rsidRPr="001A7416" w:rsidR="00A32489">
        <w:t xml:space="preserve"> </w:t>
      </w:r>
      <w:r w:rsidRPr="001A7416">
        <w:t>93, 19</w:t>
      </w:r>
      <w:r w:rsidRPr="001A7416" w:rsidR="00A32489">
        <w:t xml:space="preserve"> </w:t>
      </w:r>
      <w:r w:rsidRPr="001A7416">
        <w:t>April 2012)</w:t>
      </w:r>
      <w:r w:rsidRPr="001A7416">
        <w:rPr>
          <w:rFonts w:asciiTheme="majorHAnsi" w:hAnsiTheme="majorHAnsi" w:cstheme="majorHAnsi"/>
        </w:rPr>
        <w:t>.</w:t>
      </w:r>
    </w:p>
    <w:p w:rsidRPr="001A7416" w:rsidR="007E19C9" w:rsidP="001A7416" w14:paraId="478BD01B" w14:textId="77777777">
      <w:pPr>
        <w:pStyle w:val="JuHHead"/>
      </w:pPr>
      <w:r w:rsidRPr="001A7416">
        <w:rPr>
          <w:caps w:val="0"/>
        </w:rPr>
        <w:t>APPLICATION OF ARTICLE 41 OF THE CONVENTION</w:t>
      </w:r>
    </w:p>
    <w:p w:rsidRPr="001A7416" w:rsidR="007E19C9" w:rsidP="001A7416" w14:paraId="59BB714D" w14:textId="4FD98D72">
      <w:pPr>
        <w:pStyle w:val="JuPara"/>
        <w:rPr>
          <w:rFonts w:asciiTheme="majorHAnsi" w:hAnsiTheme="majorHAnsi" w:cstheme="majorHAnsi"/>
        </w:rPr>
      </w:pPr>
      <w:r>
        <w:fldChar w:fldCharType="begin"/>
      </w:r>
      <w:r>
        <w:instrText xml:space="preserve"> SEQ level0 \*arabic \* MERGEFORMAT </w:instrText>
      </w:r>
      <w:r>
        <w:fldChar w:fldCharType="separate"/>
      </w:r>
      <w:r w:rsidRPr="001A7416" w:rsidR="001A7416">
        <w:rPr>
          <w:noProof/>
        </w:rPr>
        <w:t>32</w:t>
      </w:r>
      <w:r w:rsidRPr="001A7416" w:rsidR="001A7416">
        <w:rPr>
          <w:noProof/>
        </w:rPr>
        <w:fldChar w:fldCharType="end"/>
      </w:r>
      <w:r w:rsidRPr="001A7416">
        <w:t xml:space="preserve">.  The applicant claimed </w:t>
      </w:r>
      <w:r w:rsidRPr="001A7416">
        <w:rPr>
          <w:rFonts w:asciiTheme="majorHAnsi" w:hAnsiTheme="majorHAnsi" w:cstheme="majorHAnsi"/>
          <w:color w:val="000000"/>
        </w:rPr>
        <w:t>1,400 euros (EUR) in respect of pecuniary damage corresponding to the cost of medical treatment he had received following his expulsion. In his observations, he indicated that he maintained his claims in respect of non-pecuniary damage, without specifying the amount.</w:t>
      </w:r>
      <w:r w:rsidRPr="001A7416">
        <w:rPr>
          <w:rFonts w:ascii="Arial" w:hAnsi="Arial" w:cs="Arial"/>
          <w:color w:val="000000"/>
        </w:rPr>
        <w:t xml:space="preserve"> </w:t>
      </w:r>
      <w:r w:rsidRPr="001A7416">
        <w:rPr>
          <w:rFonts w:asciiTheme="majorHAnsi" w:hAnsiTheme="majorHAnsi" w:cstheme="majorHAnsi"/>
          <w:color w:val="000000"/>
        </w:rPr>
        <w:t xml:space="preserve">He also claimed 300,000 Hungarian forints (HUF – approximately EUR 730), plus value-added tax (VAT), for the costs and expenses incurred before the domestic courts, </w:t>
      </w:r>
      <w:r w:rsidRPr="001A7416">
        <w:rPr>
          <w:rFonts w:asciiTheme="majorHAnsi" w:hAnsiTheme="majorHAnsi" w:cstheme="majorHAnsi"/>
        </w:rPr>
        <w:t>and EUR 4,800 and HUF 500,000 (approximately EUR 1,200), plus VAT, for those incurred before the Court.</w:t>
      </w:r>
    </w:p>
    <w:p w:rsidRPr="001A7416" w:rsidR="007E19C9" w:rsidP="001A7416" w14:paraId="06F67A7B" w14:textId="1D7A990A">
      <w:pPr>
        <w:pStyle w:val="JuPara"/>
        <w:rPr>
          <w:rFonts w:asciiTheme="majorHAnsi" w:hAnsiTheme="majorHAnsi" w:cstheme="majorHAnsi"/>
        </w:rPr>
      </w:pPr>
      <w:r w:rsidRPr="001A7416">
        <w:rPr>
          <w:rFonts w:asciiTheme="majorHAnsi" w:hAnsiTheme="majorHAnsi" w:cstheme="majorHAnsi"/>
        </w:rPr>
        <w:fldChar w:fldCharType="begin"/>
      </w:r>
      <w:r w:rsidRPr="001A7416">
        <w:rPr>
          <w:rFonts w:asciiTheme="majorHAnsi" w:hAnsiTheme="majorHAnsi" w:cstheme="majorHAnsi"/>
        </w:rPr>
        <w:instrText xml:space="preserve"> SEQ level0 \*arabic \* MERGEFORMAT </w:instrText>
      </w:r>
      <w:r w:rsidRPr="001A7416">
        <w:rPr>
          <w:rFonts w:asciiTheme="majorHAnsi" w:hAnsiTheme="majorHAnsi" w:cstheme="majorHAnsi"/>
        </w:rPr>
        <w:fldChar w:fldCharType="separate"/>
      </w:r>
      <w:r w:rsidRPr="001A7416" w:rsidR="001A7416">
        <w:rPr>
          <w:rFonts w:asciiTheme="majorHAnsi" w:hAnsiTheme="majorHAnsi" w:cstheme="majorHAnsi"/>
          <w:noProof/>
        </w:rPr>
        <w:t>33</w:t>
      </w:r>
      <w:r w:rsidRPr="001A7416">
        <w:rPr>
          <w:rFonts w:asciiTheme="majorHAnsi" w:hAnsiTheme="majorHAnsi" w:cstheme="majorHAnsi"/>
        </w:rPr>
        <w:fldChar w:fldCharType="end"/>
      </w:r>
      <w:r w:rsidRPr="001A7416">
        <w:rPr>
          <w:rFonts w:asciiTheme="majorHAnsi" w:hAnsiTheme="majorHAnsi" w:cstheme="majorHAnsi"/>
        </w:rPr>
        <w:t>.  The Government contested those claims.</w:t>
      </w:r>
    </w:p>
    <w:p w:rsidRPr="001A7416" w:rsidR="007E19C9" w:rsidP="001A7416" w14:paraId="38C57C8D" w14:textId="3D302821">
      <w:pPr>
        <w:pStyle w:val="JuPara"/>
        <w:rPr>
          <w:rFonts w:asciiTheme="majorHAnsi" w:hAnsiTheme="majorHAnsi" w:cstheme="majorHAnsi"/>
          <w:color w:val="000000"/>
        </w:rPr>
      </w:pPr>
      <w:r w:rsidRPr="001A7416">
        <w:rPr>
          <w:rFonts w:asciiTheme="majorHAnsi" w:hAnsiTheme="majorHAnsi" w:cstheme="majorHAnsi"/>
        </w:rPr>
        <w:fldChar w:fldCharType="begin"/>
      </w:r>
      <w:r w:rsidRPr="001A7416">
        <w:rPr>
          <w:rFonts w:asciiTheme="majorHAnsi" w:hAnsiTheme="majorHAnsi" w:cstheme="majorHAnsi"/>
        </w:rPr>
        <w:instrText xml:space="preserve"> SEQ level0 \*arabic \* MERGEFORMAT </w:instrText>
      </w:r>
      <w:r w:rsidRPr="001A7416">
        <w:rPr>
          <w:rFonts w:asciiTheme="majorHAnsi" w:hAnsiTheme="majorHAnsi" w:cstheme="majorHAnsi"/>
        </w:rPr>
        <w:fldChar w:fldCharType="separate"/>
      </w:r>
      <w:r w:rsidRPr="001A7416" w:rsidR="001A7416">
        <w:rPr>
          <w:rFonts w:asciiTheme="majorHAnsi" w:hAnsiTheme="majorHAnsi" w:cstheme="majorHAnsi"/>
          <w:noProof/>
        </w:rPr>
        <w:t>34</w:t>
      </w:r>
      <w:r w:rsidRPr="001A7416">
        <w:rPr>
          <w:rFonts w:asciiTheme="majorHAnsi" w:hAnsiTheme="majorHAnsi" w:cstheme="majorHAnsi"/>
        </w:rPr>
        <w:fldChar w:fldCharType="end"/>
      </w:r>
      <w:r w:rsidRPr="001A7416">
        <w:rPr>
          <w:rFonts w:asciiTheme="majorHAnsi" w:hAnsiTheme="majorHAnsi" w:cstheme="majorHAnsi"/>
        </w:rPr>
        <w:t>.  </w:t>
      </w:r>
      <w:r w:rsidRPr="001A7416">
        <w:rPr>
          <w:rFonts w:asciiTheme="majorHAnsi" w:hAnsiTheme="majorHAnsi" w:cstheme="majorHAnsi"/>
          <w:color w:val="000000"/>
        </w:rPr>
        <w:t>The Court reiterates that the general principles and established practice on the existence of a “claim” for just satisfaction are summarised in the case of</w:t>
      </w:r>
      <w:r w:rsidRPr="001A7416" w:rsidR="005A5904">
        <w:rPr>
          <w:rFonts w:asciiTheme="majorHAnsi" w:hAnsiTheme="majorHAnsi" w:cstheme="majorHAnsi"/>
          <w:color w:val="000000"/>
        </w:rPr>
        <w:t xml:space="preserve"> </w:t>
      </w:r>
      <w:r w:rsidRPr="001A7416">
        <w:rPr>
          <w:rFonts w:asciiTheme="majorHAnsi" w:hAnsiTheme="majorHAnsi" w:cstheme="majorHAnsi"/>
          <w:i/>
          <w:iCs/>
          <w:color w:val="000000"/>
        </w:rPr>
        <w:t>Nagmetov v. Russia</w:t>
      </w:r>
      <w:r w:rsidRPr="001A7416" w:rsidR="005A5904">
        <w:rPr>
          <w:rFonts w:asciiTheme="majorHAnsi" w:hAnsiTheme="majorHAnsi" w:cstheme="majorHAnsi"/>
          <w:color w:val="000000"/>
        </w:rPr>
        <w:t xml:space="preserve"> </w:t>
      </w:r>
      <w:r w:rsidRPr="001A7416">
        <w:rPr>
          <w:rFonts w:asciiTheme="majorHAnsi" w:hAnsiTheme="majorHAnsi" w:cstheme="majorHAnsi"/>
          <w:color w:val="000000"/>
        </w:rPr>
        <w:t>([GC], no.</w:t>
      </w:r>
      <w:r w:rsidRPr="001A7416" w:rsidR="005A5904">
        <w:rPr>
          <w:rFonts w:asciiTheme="majorHAnsi" w:hAnsiTheme="majorHAnsi" w:cstheme="majorHAnsi"/>
          <w:color w:val="000000"/>
        </w:rPr>
        <w:t xml:space="preserve"> </w:t>
      </w:r>
      <w:r w:rsidRPr="001A7416">
        <w:rPr>
          <w:rFonts w:asciiTheme="majorHAnsi" w:hAnsiTheme="majorHAnsi" w:cstheme="majorHAnsi"/>
          <w:color w:val="000000"/>
        </w:rPr>
        <w:t>35589/08, §§</w:t>
      </w:r>
      <w:r w:rsidRPr="001A7416" w:rsidR="005A5904">
        <w:rPr>
          <w:rFonts w:asciiTheme="majorHAnsi" w:hAnsiTheme="majorHAnsi" w:cstheme="majorHAnsi"/>
          <w:color w:val="000000"/>
        </w:rPr>
        <w:t xml:space="preserve"> </w:t>
      </w:r>
      <w:r w:rsidRPr="001A7416">
        <w:rPr>
          <w:rFonts w:asciiTheme="majorHAnsi" w:hAnsiTheme="majorHAnsi" w:cstheme="majorHAnsi"/>
          <w:color w:val="000000"/>
        </w:rPr>
        <w:t>57-59, 30</w:t>
      </w:r>
      <w:r w:rsidRPr="001A7416" w:rsidR="005A5904">
        <w:rPr>
          <w:rFonts w:asciiTheme="majorHAnsi" w:hAnsiTheme="majorHAnsi" w:cstheme="majorHAnsi"/>
          <w:color w:val="000000"/>
        </w:rPr>
        <w:t xml:space="preserve"> </w:t>
      </w:r>
      <w:r w:rsidRPr="001A7416">
        <w:rPr>
          <w:rFonts w:asciiTheme="majorHAnsi" w:hAnsiTheme="majorHAnsi" w:cstheme="majorHAnsi"/>
          <w:color w:val="000000"/>
        </w:rPr>
        <w:t>March 2017).</w:t>
      </w:r>
    </w:p>
    <w:p w:rsidRPr="001A7416" w:rsidR="007E19C9" w:rsidP="001A7416" w14:paraId="0B480C16" w14:textId="60E29CEF">
      <w:pPr>
        <w:pStyle w:val="JuPara"/>
        <w:rPr>
          <w:rFonts w:asciiTheme="majorHAnsi" w:hAnsiTheme="majorHAnsi" w:cstheme="majorHAnsi"/>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35</w:t>
      </w:r>
      <w:r w:rsidRPr="001A7416">
        <w:rPr>
          <w:rFonts w:asciiTheme="majorHAnsi" w:hAnsiTheme="majorHAnsi" w:cstheme="majorHAnsi"/>
          <w:color w:val="000000"/>
        </w:rPr>
        <w:fldChar w:fldCharType="end"/>
      </w:r>
      <w:r w:rsidRPr="001A7416">
        <w:rPr>
          <w:rFonts w:asciiTheme="majorHAnsi" w:hAnsiTheme="majorHAnsi" w:cstheme="majorHAnsi"/>
          <w:color w:val="000000"/>
        </w:rPr>
        <w:t>.</w:t>
      </w:r>
      <w:r w:rsidRPr="001A7416">
        <w:rPr>
          <w:rFonts w:ascii="Arial" w:hAnsi="Arial" w:cs="Arial"/>
          <w:color w:val="000000"/>
        </w:rPr>
        <w:t>  </w:t>
      </w:r>
      <w:r w:rsidRPr="001A7416">
        <w:rPr>
          <w:rFonts w:asciiTheme="majorHAnsi" w:hAnsiTheme="majorHAnsi" w:cstheme="majorHAnsi"/>
          <w:color w:val="000000"/>
        </w:rPr>
        <w:t>It is true that the applicant did not claim a specific amount in respect of non-pecuniary damage. However, in his observations submitted before the requisite deadline, when expressly invited to formulate his just satisfaction claims, he clearly asked the Court to make an award to him in respect of non-pecuniary damage. It cannot therefore be said that he failed to submit any claims for non-pecuniary damage within the requisite deadline in line with Rule 60 of the Rules of Court, it being reiterated that non-pecuniary damage does not lend itself to precise calculation and that any such claim need not always be quantified by the applicant. The Court thus accepts that the applicant must have suffered some non-pecuniary damage. Ruling on an equitable basis, the Court awards him EUR 5,200 in respect of non-pecuniary damage, plus any tax that may be chargeable.</w:t>
      </w:r>
    </w:p>
    <w:p w:rsidRPr="001A7416" w:rsidR="007E19C9" w:rsidP="001A7416" w14:paraId="660459D1" w14:textId="3BFCACD5">
      <w:pPr>
        <w:pStyle w:val="JuPara"/>
        <w:rPr>
          <w:rFonts w:asciiTheme="majorHAnsi" w:hAnsiTheme="majorHAnsi" w:cstheme="majorHAnsi"/>
          <w:color w:val="000000"/>
        </w:rPr>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36</w:t>
      </w:r>
      <w:r w:rsidRPr="001A7416">
        <w:rPr>
          <w:rFonts w:asciiTheme="majorHAnsi" w:hAnsiTheme="majorHAnsi" w:cstheme="majorHAnsi"/>
          <w:color w:val="000000"/>
        </w:rPr>
        <w:fldChar w:fldCharType="end"/>
      </w:r>
      <w:r w:rsidRPr="001A7416">
        <w:rPr>
          <w:rFonts w:asciiTheme="majorHAnsi" w:hAnsiTheme="majorHAnsi" w:cstheme="majorHAnsi"/>
          <w:color w:val="000000"/>
        </w:rPr>
        <w:t>.  As regards the applicant</w:t>
      </w:r>
      <w:r w:rsidRPr="001A7416" w:rsidR="001A7416">
        <w:rPr>
          <w:rFonts w:asciiTheme="majorHAnsi" w:hAnsiTheme="majorHAnsi" w:cstheme="majorHAnsi"/>
          <w:color w:val="000000"/>
        </w:rPr>
        <w:t>’</w:t>
      </w:r>
      <w:r w:rsidRPr="001A7416">
        <w:rPr>
          <w:rFonts w:asciiTheme="majorHAnsi" w:hAnsiTheme="majorHAnsi" w:cstheme="majorHAnsi"/>
          <w:color w:val="000000"/>
        </w:rPr>
        <w:t>s claim for pecuniary damage, the Court does not discern any causal link between the violation found and the pecuniary damage alleged by him; it therefore rejects that claim.</w:t>
      </w:r>
    </w:p>
    <w:p w:rsidRPr="001A7416" w:rsidR="007E19C9" w:rsidP="001A7416" w14:paraId="4FF69F1C" w14:textId="3559F09C">
      <w:pPr>
        <w:pStyle w:val="JuPara"/>
      </w:pPr>
      <w:r w:rsidRPr="001A7416">
        <w:rPr>
          <w:rFonts w:asciiTheme="majorHAnsi" w:hAnsiTheme="majorHAnsi" w:cstheme="majorHAnsi"/>
          <w:color w:val="000000"/>
        </w:rPr>
        <w:fldChar w:fldCharType="begin"/>
      </w:r>
      <w:r w:rsidRPr="001A7416">
        <w:rPr>
          <w:rFonts w:asciiTheme="majorHAnsi" w:hAnsiTheme="majorHAnsi" w:cstheme="majorHAnsi"/>
          <w:color w:val="000000"/>
        </w:rPr>
        <w:instrText xml:space="preserve"> SEQ level0 \*arabic \* MERGEFORMAT </w:instrText>
      </w:r>
      <w:r w:rsidRPr="001A7416">
        <w:rPr>
          <w:rFonts w:asciiTheme="majorHAnsi" w:hAnsiTheme="majorHAnsi" w:cstheme="majorHAnsi"/>
          <w:color w:val="000000"/>
        </w:rPr>
        <w:fldChar w:fldCharType="separate"/>
      </w:r>
      <w:r w:rsidRPr="001A7416" w:rsidR="001A7416">
        <w:rPr>
          <w:rFonts w:asciiTheme="majorHAnsi" w:hAnsiTheme="majorHAnsi" w:cstheme="majorHAnsi"/>
          <w:noProof/>
          <w:color w:val="000000"/>
        </w:rPr>
        <w:t>37</w:t>
      </w:r>
      <w:r w:rsidRPr="001A7416">
        <w:rPr>
          <w:rFonts w:asciiTheme="majorHAnsi" w:hAnsiTheme="majorHAnsi" w:cstheme="majorHAnsi"/>
          <w:color w:val="000000"/>
        </w:rPr>
        <w:fldChar w:fldCharType="end"/>
      </w:r>
      <w:r w:rsidRPr="001A7416">
        <w:rPr>
          <w:rFonts w:asciiTheme="majorHAnsi" w:hAnsiTheme="majorHAnsi" w:cstheme="majorHAnsi"/>
          <w:color w:val="000000"/>
        </w:rPr>
        <w:t>.  As regards costs and expenses, the Court considers it reasonable to award the sum of EUR 4,000 covering costs under all heads, plus any tax that may be chargeable to the applicant.</w:t>
      </w:r>
    </w:p>
    <w:p w:rsidRPr="001A7416" w:rsidR="007E19C9" w:rsidP="001A7416" w14:paraId="4342DC80" w14:textId="0B940AA0">
      <w:pPr>
        <w:pStyle w:val="JuHHead"/>
      </w:pPr>
      <w:r w:rsidRPr="001A7416">
        <w:t>FOR THESE REASONS, THE COURT, UNANIMOUSLY,</w:t>
      </w:r>
    </w:p>
    <w:p w:rsidRPr="001A7416" w:rsidR="007E19C9" w:rsidP="001A7416" w14:paraId="7711E07B" w14:textId="17CAB4F5">
      <w:pPr>
        <w:pStyle w:val="JuList"/>
      </w:pPr>
      <w:r w:rsidRPr="001A7416">
        <w:rPr>
          <w:i/>
          <w:iCs/>
        </w:rPr>
        <w:t xml:space="preserve">Decides </w:t>
      </w:r>
      <w:r w:rsidRPr="001A7416">
        <w:t>to strike the applicant</w:t>
      </w:r>
      <w:r w:rsidRPr="001A7416" w:rsidR="001A7416">
        <w:t>’</w:t>
      </w:r>
      <w:r w:rsidRPr="001A7416">
        <w:t>s complaint under Article 13 of the Convention out of its list of cases;</w:t>
      </w:r>
    </w:p>
    <w:p w:rsidRPr="001A7416" w:rsidR="007E19C9" w:rsidP="001A7416" w14:paraId="03DDC18D" w14:textId="0223FCE4">
      <w:pPr>
        <w:pStyle w:val="JuList"/>
      </w:pPr>
      <w:r w:rsidRPr="001A7416">
        <w:rPr>
          <w:i/>
        </w:rPr>
        <w:t>Declares</w:t>
      </w:r>
      <w:r w:rsidRPr="001A7416">
        <w:t xml:space="preserve"> the complaint concerning </w:t>
      </w:r>
      <w:r w:rsidRPr="001A7416" w:rsidR="00650BB5">
        <w:t xml:space="preserve">Article </w:t>
      </w:r>
      <w:r w:rsidRPr="001A7416">
        <w:t xml:space="preserve">8 </w:t>
      </w:r>
      <w:r w:rsidRPr="001A7416" w:rsidR="00650BB5">
        <w:t xml:space="preserve">of the Convention </w:t>
      </w:r>
      <w:r w:rsidRPr="001A7416">
        <w:t>admissible and the remainder of the application inadmissible;</w:t>
      </w:r>
    </w:p>
    <w:p w:rsidRPr="001A7416" w:rsidR="007E19C9" w:rsidP="001A7416" w14:paraId="6D57033B" w14:textId="77777777">
      <w:pPr>
        <w:pStyle w:val="JuList"/>
      </w:pPr>
      <w:r w:rsidRPr="001A7416">
        <w:rPr>
          <w:i/>
        </w:rPr>
        <w:t>Holds</w:t>
      </w:r>
      <w:r w:rsidRPr="001A7416">
        <w:t xml:space="preserve"> that there has been a violation of Article 8 of the Convention;</w:t>
      </w:r>
    </w:p>
    <w:p w:rsidRPr="001A7416" w:rsidR="007E19C9" w:rsidP="001A7416" w14:paraId="3E23D370" w14:textId="77777777">
      <w:pPr>
        <w:pStyle w:val="JuList"/>
      </w:pPr>
      <w:r w:rsidRPr="001A7416">
        <w:rPr>
          <w:i/>
          <w:iCs/>
        </w:rPr>
        <w:t>Holds</w:t>
      </w:r>
    </w:p>
    <w:p w:rsidRPr="001A7416" w:rsidR="007E19C9" w:rsidP="001A7416" w14:paraId="7F7343D4" w14:textId="77777777">
      <w:pPr>
        <w:pStyle w:val="JuLista"/>
      </w:pPr>
      <w:r w:rsidRPr="001A7416">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1A7416" w:rsidR="007E19C9" w:rsidP="001A7416" w14:paraId="03FE1B8C" w14:textId="77777777">
      <w:pPr>
        <w:pStyle w:val="JuListi"/>
      </w:pPr>
      <w:r w:rsidRPr="001A7416">
        <w:t>EUR 5,200 (five thousand two hundred euros), plus any tax that may be chargeable, in respect of non-pecuniary damage;</w:t>
      </w:r>
    </w:p>
    <w:p w:rsidRPr="001A7416" w:rsidR="007E19C9" w:rsidP="001A7416" w14:paraId="46738354" w14:textId="77777777">
      <w:pPr>
        <w:pStyle w:val="JuListi"/>
      </w:pPr>
      <w:r w:rsidRPr="001A7416">
        <w:t>EUR 4,000 (four thousand euros), plus any tax that may be chargeable to the applicant, in respect of costs and expenses;</w:t>
      </w:r>
    </w:p>
    <w:p w:rsidRPr="001A7416" w:rsidR="007E19C9" w:rsidP="001A7416" w14:paraId="58821391" w14:textId="77777777">
      <w:pPr>
        <w:pStyle w:val="JuLista"/>
      </w:pPr>
      <w:r w:rsidRPr="001A741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A7416" w:rsidR="007B79D3" w:rsidP="001A7416" w14:paraId="11358AA7" w14:textId="764C8EA6">
      <w:pPr>
        <w:pStyle w:val="JuList"/>
      </w:pPr>
      <w:r w:rsidRPr="001A7416">
        <w:rPr>
          <w:i/>
        </w:rPr>
        <w:t xml:space="preserve">Dismisses </w:t>
      </w:r>
      <w:r w:rsidRPr="001A7416">
        <w:t>the remainder of the applicant</w:t>
      </w:r>
      <w:r w:rsidRPr="001A7416" w:rsidR="001A7416">
        <w:t>’</w:t>
      </w:r>
      <w:r w:rsidRPr="001A7416">
        <w:t>s claim for just satisfaction.</w:t>
      </w:r>
    </w:p>
    <w:p w:rsidRPr="001A7416" w:rsidR="007B79D3" w:rsidP="001A7416" w14:paraId="19D5FDD6" w14:textId="77777777">
      <w:r w:rsidRPr="001A7416">
        <w:br w:type="page"/>
      </w:r>
    </w:p>
    <w:p w:rsidRPr="001A7416" w:rsidR="008E3A08" w:rsidP="001A7416" w14:paraId="4E14EE80" w14:textId="0EC146F6">
      <w:pPr>
        <w:pStyle w:val="JuParaLast"/>
      </w:pPr>
      <w:r w:rsidRPr="001A7416">
        <w:t xml:space="preserve">Done in English, and notified in writing on </w:t>
      </w:r>
      <w:r w:rsidRPr="001A7416" w:rsidR="007E19C9">
        <w:rPr>
          <w:rFonts w:ascii="Times New Roman" w:hAnsi="Times New Roman" w:cs="Times New Roman"/>
        </w:rPr>
        <w:t>9 April 2026</w:t>
      </w:r>
      <w:r w:rsidRPr="001A7416">
        <w:t>, pursuant to Rule 77 §§ 2 and 3 of the Rules of Court.</w:t>
      </w:r>
    </w:p>
    <w:p w:rsidRPr="001A7416" w:rsidR="007E79A4" w:rsidP="001A7416" w14:paraId="140E896E" w14:textId="0FF57063">
      <w:pPr>
        <w:pStyle w:val="ECHRPlaceholder"/>
        <w:rPr>
          <w:szCs w:val="22"/>
        </w:rPr>
      </w:pPr>
      <w:r w:rsidRPr="001A7416">
        <w:tab/>
      </w:r>
    </w:p>
    <w:p w:rsidRPr="001A7416" w:rsidR="00182EBA" w:rsidP="001A7416" w14:paraId="0716259B" w14:textId="44BED0B2">
      <w:pPr>
        <w:pStyle w:val="JuSigned"/>
      </w:pPr>
      <w:r w:rsidRPr="001A7416">
        <w:tab/>
      </w:r>
      <w:r w:rsidRPr="001A7416" w:rsidR="007E19C9">
        <w:rPr>
          <w:noProof/>
        </w:rPr>
        <w:t>Sophie Piquet</w:t>
      </w:r>
      <w:r w:rsidRPr="001A7416">
        <w:tab/>
      </w:r>
      <w:r w:rsidRPr="001A7416" w:rsidR="007E19C9">
        <w:rPr>
          <w:noProof/>
        </w:rPr>
        <w:t>María Elósegui</w:t>
      </w:r>
      <w:r w:rsidRPr="001A7416">
        <w:br/>
      </w:r>
      <w:r w:rsidRPr="001A7416">
        <w:tab/>
      </w:r>
      <w:r w:rsidRPr="001A7416" w:rsidR="007E19C9">
        <w:rPr>
          <w:noProof/>
        </w:rPr>
        <w:t>Acting Deputy Registrar</w:t>
      </w:r>
      <w:r w:rsidRPr="001A7416">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416" w14:paraId="0F06F929"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9C9" w:rsidRPr="00150BFA" w:rsidP="0020718E" w14:paraId="3851B2DF" w14:textId="409ECBAB">
    <w:pPr>
      <w:jc w:val="center"/>
    </w:pPr>
    <w:r>
      <w:rPr>
        <w:noProof/>
        <w:lang w:val="en-US"/>
      </w:rPr>
      <w:drawing>
        <wp:inline distT="0" distB="0" distL="0" distR="0">
          <wp:extent cx="771525" cy="619125"/>
          <wp:effectExtent l="0" t="0" r="9525" b="9525"/>
          <wp:docPr id="1082526478" name="Picture 10825264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2647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7E19C9" w:rsidP="00AF12C5" w14:paraId="6906A49B" w14:textId="7341DBE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9C9" w:rsidRPr="00150BFA" w:rsidP="0020718E" w14:paraId="711412EC" w14:textId="71CDBE42">
    <w:pPr>
      <w:jc w:val="center"/>
    </w:pPr>
    <w:r>
      <w:rPr>
        <w:noProof/>
        <w:lang w:val="en-US"/>
      </w:rPr>
      <w:drawing>
        <wp:inline distT="0" distB="0" distL="0" distR="0">
          <wp:extent cx="771525" cy="619125"/>
          <wp:effectExtent l="0" t="0" r="9525" b="9525"/>
          <wp:docPr id="1721827496" name="Picture 172182749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2749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7E19C9" w:rsidP="009E7A6F" w14:paraId="2DEC2766" w14:textId="2429C74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C8E5E8D" w14:textId="63EEB606">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32ECCB0" w14:textId="04310492">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416" w14:paraId="03AFD5B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9C9" w:rsidRPr="00A45145" w:rsidP="00A45145" w14:paraId="2468E604" w14:textId="2271B66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E19C9" w:rsidP="00B14793" w14:paraId="25E326B9" w14:textId="06C3D93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9C9" w:rsidRPr="00A45145" w:rsidP="00A45145" w14:paraId="11B254C3" w14:textId="5E2FF1E0">
    <w:pPr>
      <w:jc w:val="center"/>
    </w:pPr>
    <w:r>
      <w:rPr>
        <w:noProof/>
        <w:lang w:val="en-US"/>
      </w:rPr>
      <w:drawing>
        <wp:inline distT="0" distB="0" distL="0" distR="0">
          <wp:extent cx="2962275" cy="1219200"/>
          <wp:effectExtent l="0" t="0" r="9525" b="0"/>
          <wp:docPr id="526557802" name="Picture 52655780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5780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E19C9" w14:paraId="67547A3C" w14:textId="208D0C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1CFBCF3" w14:textId="29154E6C">
    <w:pPr>
      <w:pStyle w:val="JuHeader"/>
    </w:pPr>
    <w:r>
      <w:t>L.P. v. HUNGARY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CC1605E" w14:textId="64EB21A7">
    <w:pPr>
      <w:pStyle w:val="JuHeader"/>
    </w:pPr>
    <w:r>
      <w:t>L.P.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864176680">
    <w:abstractNumId w:val="14"/>
  </w:num>
  <w:num w:numId="22" w16cid:durableId="567695133">
    <w:abstractNumId w:val="12"/>
  </w:num>
  <w:num w:numId="23" w16cid:durableId="744499924">
    <w:abstractNumId w:val="11"/>
  </w:num>
  <w:num w:numId="24" w16cid:durableId="955983645">
    <w:abstractNumId w:val="17"/>
  </w:num>
  <w:num w:numId="25" w16cid:durableId="1330401041">
    <w:abstractNumId w:val="7"/>
  </w:num>
  <w:num w:numId="26" w16cid:durableId="172765257">
    <w:abstractNumId w:val="6"/>
  </w:num>
  <w:num w:numId="27" w16cid:durableId="367487771">
    <w:abstractNumId w:val="5"/>
  </w:num>
  <w:num w:numId="28" w16cid:durableId="1084450320">
    <w:abstractNumId w:val="4"/>
  </w:num>
  <w:num w:numId="29" w16cid:durableId="1276214142">
    <w:abstractNumId w:val="8"/>
  </w:num>
  <w:num w:numId="30" w16cid:durableId="1579365384">
    <w:abstractNumId w:val="3"/>
  </w:num>
  <w:num w:numId="31" w16cid:durableId="1685402109">
    <w:abstractNumId w:val="2"/>
  </w:num>
  <w:num w:numId="32" w16cid:durableId="1980842398">
    <w:abstractNumId w:val="1"/>
  </w:num>
  <w:num w:numId="33" w16cid:durableId="131217507">
    <w:abstractNumId w:val="0"/>
  </w:num>
  <w:num w:numId="34" w16cid:durableId="2131127296">
    <w:abstractNumId w:val="15"/>
  </w:num>
  <w:num w:numId="35" w16cid:durableId="292832015">
    <w:abstractNumId w:val="13"/>
  </w:num>
  <w:num w:numId="36" w16cid:durableId="1241252671">
    <w:abstractNumId w:val="16"/>
  </w:num>
  <w:num w:numId="37" w16cid:durableId="763305395">
    <w:abstractNumId w:val="15"/>
  </w:num>
  <w:num w:numId="38" w16cid:durableId="567693008">
    <w:abstractNumId w:val="15"/>
  </w:num>
  <w:num w:numId="39" w16cid:durableId="1093014407">
    <w:abstractNumId w:val="15"/>
  </w:num>
  <w:num w:numId="40" w16cid:durableId="1670906621">
    <w:abstractNumId w:val="15"/>
  </w:num>
  <w:num w:numId="41" w16cid:durableId="1426994757">
    <w:abstractNumId w:val="10"/>
  </w:num>
  <w:num w:numId="42" w16cid:durableId="844827249">
    <w:abstractNumId w:val="16"/>
  </w:num>
  <w:num w:numId="43" w16cid:durableId="800540593">
    <w:abstractNumId w:val="16"/>
  </w:num>
  <w:num w:numId="44" w16cid:durableId="417096468">
    <w:abstractNumId w:val="16"/>
  </w:num>
  <w:num w:numId="45" w16cid:durableId="1199586593">
    <w:abstractNumId w:val="10"/>
  </w:num>
  <w:num w:numId="46" w16cid:durableId="1634552637">
    <w:abstractNumId w:val="10"/>
  </w:num>
  <w:num w:numId="47" w16cid:durableId="630598167">
    <w:abstractNumId w:val="10"/>
  </w:num>
  <w:num w:numId="48" w16cid:durableId="2043746195">
    <w:abstractNumId w:val="10"/>
  </w:num>
  <w:num w:numId="49" w16cid:durableId="565605679">
    <w:abstractNumId w:val="10"/>
  </w:num>
  <w:num w:numId="50" w16cid:durableId="1550141321">
    <w:abstractNumId w:val="10"/>
  </w:num>
  <w:num w:numId="51" w16cid:durableId="418714590">
    <w:abstractNumId w:val="10"/>
  </w:num>
  <w:num w:numId="52" w16cid:durableId="1430731998">
    <w:abstractNumId w:val="10"/>
  </w:num>
  <w:num w:numId="53" w16cid:durableId="1387948418">
    <w:abstractNumId w:val="9"/>
  </w:num>
  <w:num w:numId="54" w16cid:durableId="1901211520">
    <w:abstractNumId w:val="9"/>
  </w:num>
  <w:num w:numId="55" w16cid:durableId="253780820">
    <w:abstractNumId w:val="9"/>
  </w:num>
  <w:num w:numId="56" w16cid:durableId="131101906">
    <w:abstractNumId w:val="14"/>
  </w:num>
  <w:num w:numId="57" w16cid:durableId="1803380031">
    <w:abstractNumId w:val="12"/>
  </w:num>
  <w:num w:numId="58" w16cid:durableId="1618097038">
    <w:abstractNumId w:val="11"/>
  </w:num>
  <w:num w:numId="59" w16cid:durableId="420612219">
    <w:abstractNumId w:val="17"/>
  </w:num>
  <w:num w:numId="60" w16cid:durableId="16126280">
    <w:abstractNumId w:val="7"/>
  </w:num>
  <w:num w:numId="61" w16cid:durableId="668682653">
    <w:abstractNumId w:val="6"/>
  </w:num>
  <w:num w:numId="62" w16cid:durableId="1101099287">
    <w:abstractNumId w:val="5"/>
  </w:num>
  <w:num w:numId="63" w16cid:durableId="1043283766">
    <w:abstractNumId w:val="4"/>
  </w:num>
  <w:num w:numId="64" w16cid:durableId="919098523">
    <w:abstractNumId w:val="8"/>
  </w:num>
  <w:num w:numId="65" w16cid:durableId="256139544">
    <w:abstractNumId w:val="3"/>
  </w:num>
  <w:num w:numId="66" w16cid:durableId="843281280">
    <w:abstractNumId w:val="2"/>
  </w:num>
  <w:num w:numId="67" w16cid:durableId="969940570">
    <w:abstractNumId w:val="1"/>
  </w:num>
  <w:num w:numId="68" w16cid:durableId="757797840">
    <w:abstractNumId w:val="0"/>
  </w:num>
  <w:num w:numId="69" w16cid:durableId="1137721451">
    <w:abstractNumId w:val="15"/>
  </w:num>
  <w:num w:numId="70" w16cid:durableId="2056390320">
    <w:abstractNumId w:val="13"/>
  </w:num>
  <w:num w:numId="71" w16cid:durableId="1247886477">
    <w:abstractNumId w:val="16"/>
  </w:num>
  <w:num w:numId="72" w16cid:durableId="855390497">
    <w:abstractNumId w:val="15"/>
  </w:num>
  <w:num w:numId="73" w16cid:durableId="1684896589">
    <w:abstractNumId w:val="15"/>
  </w:num>
  <w:num w:numId="74" w16cid:durableId="206378580">
    <w:abstractNumId w:val="15"/>
  </w:num>
  <w:num w:numId="75" w16cid:durableId="952519154">
    <w:abstractNumId w:val="15"/>
  </w:num>
  <w:num w:numId="76" w16cid:durableId="2084986830">
    <w:abstractNumId w:val="10"/>
  </w:num>
  <w:num w:numId="77" w16cid:durableId="559092494">
    <w:abstractNumId w:val="16"/>
  </w:num>
  <w:num w:numId="78" w16cid:durableId="802966519">
    <w:abstractNumId w:val="16"/>
  </w:num>
  <w:num w:numId="79" w16cid:durableId="2054958802">
    <w:abstractNumId w:val="16"/>
  </w:num>
  <w:num w:numId="80" w16cid:durableId="1865633923">
    <w:abstractNumId w:val="10"/>
  </w:num>
  <w:num w:numId="81" w16cid:durableId="1916280521">
    <w:abstractNumId w:val="10"/>
  </w:num>
  <w:num w:numId="82" w16cid:durableId="1268929951">
    <w:abstractNumId w:val="10"/>
  </w:num>
  <w:num w:numId="83" w16cid:durableId="119031584">
    <w:abstractNumId w:val="10"/>
  </w:num>
  <w:num w:numId="84" w16cid:durableId="1606383461">
    <w:abstractNumId w:val="10"/>
  </w:num>
  <w:num w:numId="85" w16cid:durableId="918518082">
    <w:abstractNumId w:val="10"/>
  </w:num>
  <w:num w:numId="86" w16cid:durableId="547423121">
    <w:abstractNumId w:val="10"/>
  </w:num>
  <w:num w:numId="87" w16cid:durableId="1999386040">
    <w:abstractNumId w:val="10"/>
  </w:num>
  <w:num w:numId="88" w16cid:durableId="164322210">
    <w:abstractNumId w:val="9"/>
  </w:num>
  <w:num w:numId="89" w16cid:durableId="355888470">
    <w:abstractNumId w:val="9"/>
  </w:num>
  <w:num w:numId="90" w16cid:durableId="1247617917">
    <w:abstractNumId w:val="9"/>
  </w:num>
  <w:num w:numId="91" w16cid:durableId="1148745858">
    <w:abstractNumId w:val="14"/>
  </w:num>
  <w:num w:numId="92" w16cid:durableId="1782649941">
    <w:abstractNumId w:val="12"/>
  </w:num>
  <w:num w:numId="93" w16cid:durableId="604919462">
    <w:abstractNumId w:val="11"/>
  </w:num>
  <w:num w:numId="94" w16cid:durableId="1936940578">
    <w:abstractNumId w:val="17"/>
  </w:num>
  <w:num w:numId="95" w16cid:durableId="55402056">
    <w:abstractNumId w:val="7"/>
  </w:num>
  <w:num w:numId="96" w16cid:durableId="861044034">
    <w:abstractNumId w:val="6"/>
  </w:num>
  <w:num w:numId="97" w16cid:durableId="513616970">
    <w:abstractNumId w:val="5"/>
  </w:num>
  <w:num w:numId="98" w16cid:durableId="1125268744">
    <w:abstractNumId w:val="4"/>
  </w:num>
  <w:num w:numId="99" w16cid:durableId="670377846">
    <w:abstractNumId w:val="8"/>
  </w:num>
  <w:num w:numId="100" w16cid:durableId="261114127">
    <w:abstractNumId w:val="3"/>
  </w:num>
  <w:num w:numId="101" w16cid:durableId="408969190">
    <w:abstractNumId w:val="2"/>
  </w:num>
  <w:num w:numId="102" w16cid:durableId="1396976900">
    <w:abstractNumId w:val="1"/>
  </w:num>
  <w:num w:numId="103" w16cid:durableId="1050543467">
    <w:abstractNumId w:val="0"/>
  </w:num>
  <w:num w:numId="104" w16cid:durableId="2010283851">
    <w:abstractNumId w:val="15"/>
  </w:num>
  <w:num w:numId="105" w16cid:durableId="787818817">
    <w:abstractNumId w:val="13"/>
  </w:num>
  <w:num w:numId="106" w16cid:durableId="1730419598">
    <w:abstractNumId w:val="16"/>
  </w:num>
  <w:num w:numId="107" w16cid:durableId="1599094118">
    <w:abstractNumId w:val="15"/>
  </w:num>
  <w:num w:numId="108" w16cid:durableId="948391586">
    <w:abstractNumId w:val="15"/>
  </w:num>
  <w:num w:numId="109" w16cid:durableId="1491217936">
    <w:abstractNumId w:val="15"/>
  </w:num>
  <w:num w:numId="110" w16cid:durableId="1511797329">
    <w:abstractNumId w:val="15"/>
  </w:num>
  <w:num w:numId="111" w16cid:durableId="270356353">
    <w:abstractNumId w:val="10"/>
  </w:num>
  <w:num w:numId="112" w16cid:durableId="1568493080">
    <w:abstractNumId w:val="16"/>
  </w:num>
  <w:num w:numId="113" w16cid:durableId="865365629">
    <w:abstractNumId w:val="16"/>
  </w:num>
  <w:num w:numId="114" w16cid:durableId="119955405">
    <w:abstractNumId w:val="16"/>
  </w:num>
  <w:num w:numId="115" w16cid:durableId="125777716">
    <w:abstractNumId w:val="10"/>
  </w:num>
  <w:num w:numId="116" w16cid:durableId="1966735621">
    <w:abstractNumId w:val="10"/>
  </w:num>
  <w:num w:numId="117" w16cid:durableId="975376311">
    <w:abstractNumId w:val="10"/>
  </w:num>
  <w:num w:numId="118" w16cid:durableId="353725283">
    <w:abstractNumId w:val="10"/>
  </w:num>
  <w:num w:numId="119" w16cid:durableId="295992005">
    <w:abstractNumId w:val="10"/>
  </w:num>
  <w:num w:numId="120" w16cid:durableId="654184748">
    <w:abstractNumId w:val="10"/>
  </w:num>
  <w:num w:numId="121" w16cid:durableId="120341456">
    <w:abstractNumId w:val="10"/>
  </w:num>
  <w:num w:numId="122" w16cid:durableId="967125701">
    <w:abstractNumId w:val="10"/>
  </w:num>
  <w:num w:numId="123" w16cid:durableId="324821561">
    <w:abstractNumId w:val="9"/>
  </w:num>
  <w:num w:numId="124" w16cid:durableId="1870676890">
    <w:abstractNumId w:val="9"/>
  </w:num>
  <w:num w:numId="125" w16cid:durableId="81888052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C9"/>
    <w:rsid w:val="000041F8"/>
    <w:rsid w:val="000042A8"/>
    <w:rsid w:val="00004308"/>
    <w:rsid w:val="0000547E"/>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0DE5"/>
    <w:rsid w:val="00061AD9"/>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3E61"/>
    <w:rsid w:val="00120D6C"/>
    <w:rsid w:val="00123B14"/>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A7416"/>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6867"/>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358C"/>
    <w:rsid w:val="002C4433"/>
    <w:rsid w:val="002C5ADD"/>
    <w:rsid w:val="002C7826"/>
    <w:rsid w:val="002D022D"/>
    <w:rsid w:val="002D24BB"/>
    <w:rsid w:val="002D2FA7"/>
    <w:rsid w:val="002D37C9"/>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5EAA"/>
    <w:rsid w:val="003710C8"/>
    <w:rsid w:val="003750BE"/>
    <w:rsid w:val="00377DC9"/>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3031"/>
    <w:rsid w:val="003D3048"/>
    <w:rsid w:val="003E6D80"/>
    <w:rsid w:val="003E7BCC"/>
    <w:rsid w:val="003F05FA"/>
    <w:rsid w:val="003F244A"/>
    <w:rsid w:val="003F2517"/>
    <w:rsid w:val="003F30B8"/>
    <w:rsid w:val="003F4C45"/>
    <w:rsid w:val="003F5F7B"/>
    <w:rsid w:val="003F7D64"/>
    <w:rsid w:val="0040433A"/>
    <w:rsid w:val="004141A9"/>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8A0"/>
    <w:rsid w:val="00477E3A"/>
    <w:rsid w:val="00483E5F"/>
    <w:rsid w:val="00484D46"/>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0694"/>
    <w:rsid w:val="005A1B9B"/>
    <w:rsid w:val="005A2221"/>
    <w:rsid w:val="005A2E79"/>
    <w:rsid w:val="005A5904"/>
    <w:rsid w:val="005A6751"/>
    <w:rsid w:val="005B092E"/>
    <w:rsid w:val="005B152C"/>
    <w:rsid w:val="005B1EE0"/>
    <w:rsid w:val="005B2B24"/>
    <w:rsid w:val="005B4425"/>
    <w:rsid w:val="005B4B94"/>
    <w:rsid w:val="005C0DFB"/>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24B1"/>
    <w:rsid w:val="00643524"/>
    <w:rsid w:val="0064393B"/>
    <w:rsid w:val="00645CF2"/>
    <w:rsid w:val="00650BB5"/>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132F"/>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91D"/>
    <w:rsid w:val="00715E8E"/>
    <w:rsid w:val="00723580"/>
    <w:rsid w:val="00723755"/>
    <w:rsid w:val="0073136C"/>
    <w:rsid w:val="00731F0F"/>
    <w:rsid w:val="00733250"/>
    <w:rsid w:val="0073639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79D3"/>
    <w:rsid w:val="007C0695"/>
    <w:rsid w:val="007C419A"/>
    <w:rsid w:val="007C4CC8"/>
    <w:rsid w:val="007C5426"/>
    <w:rsid w:val="007C5798"/>
    <w:rsid w:val="007D1ECD"/>
    <w:rsid w:val="007D3701"/>
    <w:rsid w:val="007D4832"/>
    <w:rsid w:val="007E19C9"/>
    <w:rsid w:val="007E21B2"/>
    <w:rsid w:val="007E2C4E"/>
    <w:rsid w:val="007E2C8C"/>
    <w:rsid w:val="007E51BA"/>
    <w:rsid w:val="007E73D7"/>
    <w:rsid w:val="007E79A4"/>
    <w:rsid w:val="007F1905"/>
    <w:rsid w:val="007F1E4C"/>
    <w:rsid w:val="007F27E4"/>
    <w:rsid w:val="007F3437"/>
    <w:rsid w:val="00802C64"/>
    <w:rsid w:val="00805E52"/>
    <w:rsid w:val="008061D0"/>
    <w:rsid w:val="00807023"/>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0F4"/>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009B"/>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D6399"/>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2489"/>
    <w:rsid w:val="00A33E32"/>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45BF"/>
    <w:rsid w:val="00AF12C5"/>
    <w:rsid w:val="00AF4B07"/>
    <w:rsid w:val="00AF6186"/>
    <w:rsid w:val="00AF6F3D"/>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0F"/>
    <w:rsid w:val="00C71424"/>
    <w:rsid w:val="00C74810"/>
    <w:rsid w:val="00C76DAC"/>
    <w:rsid w:val="00C90D68"/>
    <w:rsid w:val="00C939FE"/>
    <w:rsid w:val="00CA1ACB"/>
    <w:rsid w:val="00CA4BDA"/>
    <w:rsid w:val="00CB13E3"/>
    <w:rsid w:val="00CB1F66"/>
    <w:rsid w:val="00CB232C"/>
    <w:rsid w:val="00CB2951"/>
    <w:rsid w:val="00CB4277"/>
    <w:rsid w:val="00CC5067"/>
    <w:rsid w:val="00CC57B2"/>
    <w:rsid w:val="00CD11D3"/>
    <w:rsid w:val="00CD14F5"/>
    <w:rsid w:val="00CD282B"/>
    <w:rsid w:val="00CD447B"/>
    <w:rsid w:val="00CD4C35"/>
    <w:rsid w:val="00CD7369"/>
    <w:rsid w:val="00CE0B0E"/>
    <w:rsid w:val="00CE3831"/>
    <w:rsid w:val="00CE477E"/>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12B8"/>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1C7B"/>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10D0"/>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DCF4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A7416"/>
    <w:rPr>
      <w:sz w:val="24"/>
      <w:szCs w:val="24"/>
      <w:lang w:val="en-GB"/>
    </w:rPr>
  </w:style>
  <w:style w:type="paragraph" w:styleId="Heading1">
    <w:name w:val="heading 1"/>
    <w:basedOn w:val="Normal"/>
    <w:next w:val="Normal"/>
    <w:link w:val="Heading1Char"/>
    <w:uiPriority w:val="98"/>
    <w:semiHidden/>
    <w:rsid w:val="001A741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A741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A741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A741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A741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A741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A741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A741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A741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1A7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416"/>
  </w:style>
  <w:style w:type="paragraph" w:styleId="BalloonText">
    <w:name w:val="Balloon Text"/>
    <w:basedOn w:val="Normal"/>
    <w:link w:val="BalloonTextChar"/>
    <w:uiPriority w:val="98"/>
    <w:semiHidden/>
    <w:rsid w:val="001A7416"/>
    <w:rPr>
      <w:rFonts w:ascii="Tahoma" w:hAnsi="Tahoma" w:cs="Tahoma"/>
      <w:sz w:val="16"/>
      <w:szCs w:val="16"/>
    </w:rPr>
  </w:style>
  <w:style w:type="character" w:customStyle="1" w:styleId="BalloonTextChar">
    <w:name w:val="Balloon Text Char"/>
    <w:basedOn w:val="DefaultParagraphFont"/>
    <w:link w:val="BalloonText"/>
    <w:uiPriority w:val="98"/>
    <w:semiHidden/>
    <w:rsid w:val="001A7416"/>
    <w:rPr>
      <w:rFonts w:ascii="Tahoma" w:hAnsi="Tahoma" w:cs="Tahoma"/>
      <w:sz w:val="16"/>
      <w:szCs w:val="16"/>
      <w:lang w:val="en-GB"/>
    </w:rPr>
  </w:style>
  <w:style w:type="character" w:styleId="BookTitle">
    <w:name w:val="Book Title"/>
    <w:uiPriority w:val="98"/>
    <w:semiHidden/>
    <w:qFormat/>
    <w:rsid w:val="001A7416"/>
    <w:rPr>
      <w:i/>
      <w:iCs/>
      <w:smallCaps/>
      <w:spacing w:val="5"/>
    </w:rPr>
  </w:style>
  <w:style w:type="paragraph" w:customStyle="1" w:styleId="JuHeader">
    <w:name w:val="Ju_Header"/>
    <w:aliases w:val="_Header"/>
    <w:basedOn w:val="Header0"/>
    <w:uiPriority w:val="29"/>
    <w:qFormat/>
    <w:rsid w:val="001A7416"/>
    <w:pPr>
      <w:tabs>
        <w:tab w:val="clear" w:pos="4536"/>
        <w:tab w:val="clear" w:pos="9072"/>
      </w:tabs>
      <w:jc w:val="center"/>
    </w:pPr>
    <w:rPr>
      <w:sz w:val="18"/>
    </w:rPr>
  </w:style>
  <w:style w:type="paragraph" w:customStyle="1" w:styleId="NormalJustified">
    <w:name w:val="Normal_Justified"/>
    <w:basedOn w:val="Normal"/>
    <w:semiHidden/>
    <w:rsid w:val="001A7416"/>
    <w:pPr>
      <w:jc w:val="both"/>
    </w:pPr>
  </w:style>
  <w:style w:type="character" w:styleId="Strong">
    <w:name w:val="Strong"/>
    <w:uiPriority w:val="98"/>
    <w:semiHidden/>
    <w:qFormat/>
    <w:rsid w:val="001A7416"/>
    <w:rPr>
      <w:b/>
      <w:bCs/>
    </w:rPr>
  </w:style>
  <w:style w:type="paragraph" w:styleId="NoSpacing">
    <w:name w:val="No Spacing"/>
    <w:basedOn w:val="Normal"/>
    <w:link w:val="NoSpacingChar"/>
    <w:uiPriority w:val="98"/>
    <w:semiHidden/>
    <w:qFormat/>
    <w:rsid w:val="001A7416"/>
  </w:style>
  <w:style w:type="character" w:customStyle="1" w:styleId="NoSpacingChar">
    <w:name w:val="No Spacing Char"/>
    <w:basedOn w:val="DefaultParagraphFont"/>
    <w:link w:val="NoSpacing"/>
    <w:uiPriority w:val="98"/>
    <w:semiHidden/>
    <w:rsid w:val="001A7416"/>
    <w:rPr>
      <w:sz w:val="24"/>
      <w:szCs w:val="24"/>
      <w:lang w:val="en-GB"/>
    </w:rPr>
  </w:style>
  <w:style w:type="paragraph" w:customStyle="1" w:styleId="JuQuot">
    <w:name w:val="Ju_Quot"/>
    <w:aliases w:val="_Quote"/>
    <w:basedOn w:val="NormalJustified"/>
    <w:uiPriority w:val="20"/>
    <w:qFormat/>
    <w:rsid w:val="001A7416"/>
    <w:pPr>
      <w:spacing w:before="120" w:after="120"/>
      <w:ind w:left="425" w:firstLine="142"/>
    </w:pPr>
    <w:rPr>
      <w:sz w:val="20"/>
    </w:rPr>
  </w:style>
  <w:style w:type="paragraph" w:customStyle="1" w:styleId="DummyStyle">
    <w:name w:val="Dummy_Style"/>
    <w:aliases w:val="_Dummy"/>
    <w:basedOn w:val="Normal"/>
    <w:semiHidden/>
    <w:qFormat/>
    <w:rsid w:val="001A7416"/>
    <w:rPr>
      <w:color w:val="00B050"/>
      <w:sz w:val="22"/>
    </w:rPr>
  </w:style>
  <w:style w:type="paragraph" w:customStyle="1" w:styleId="JuList">
    <w:name w:val="Ju_List"/>
    <w:aliases w:val="_List_1"/>
    <w:basedOn w:val="NormalJustified"/>
    <w:uiPriority w:val="23"/>
    <w:qFormat/>
    <w:rsid w:val="001A7416"/>
    <w:pPr>
      <w:numPr>
        <w:numId w:val="125"/>
      </w:numPr>
      <w:spacing w:before="280" w:after="60"/>
    </w:pPr>
  </w:style>
  <w:style w:type="paragraph" w:customStyle="1" w:styleId="JuLista">
    <w:name w:val="Ju_List_a"/>
    <w:aliases w:val="_List_2"/>
    <w:basedOn w:val="NormalJustified"/>
    <w:uiPriority w:val="23"/>
    <w:rsid w:val="001A7416"/>
    <w:pPr>
      <w:numPr>
        <w:ilvl w:val="1"/>
        <w:numId w:val="125"/>
      </w:numPr>
    </w:pPr>
  </w:style>
  <w:style w:type="paragraph" w:customStyle="1" w:styleId="JuListi">
    <w:name w:val="Ju_List_i"/>
    <w:aliases w:val="_List_3"/>
    <w:basedOn w:val="NormalJustified"/>
    <w:uiPriority w:val="23"/>
    <w:rsid w:val="001A7416"/>
    <w:pPr>
      <w:numPr>
        <w:ilvl w:val="2"/>
        <w:numId w:val="125"/>
      </w:numPr>
    </w:pPr>
  </w:style>
  <w:style w:type="paragraph" w:customStyle="1" w:styleId="JuHArticle">
    <w:name w:val="Ju_H_Article"/>
    <w:aliases w:val="_Title_Quote"/>
    <w:basedOn w:val="Normal"/>
    <w:next w:val="JuQuot"/>
    <w:uiPriority w:val="19"/>
    <w:qFormat/>
    <w:rsid w:val="001A741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A741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A741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A7416"/>
    <w:pPr>
      <w:keepNext/>
      <w:keepLines/>
      <w:numPr>
        <w:numId w:val="1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A7416"/>
    <w:pPr>
      <w:numPr>
        <w:numId w:val="104"/>
      </w:numPr>
    </w:pPr>
  </w:style>
  <w:style w:type="paragraph" w:customStyle="1" w:styleId="JuSigned">
    <w:name w:val="Ju_Signed"/>
    <w:aliases w:val="_Signature"/>
    <w:basedOn w:val="Normal"/>
    <w:next w:val="JuPara"/>
    <w:uiPriority w:val="31"/>
    <w:qFormat/>
    <w:rsid w:val="001A7416"/>
    <w:pPr>
      <w:tabs>
        <w:tab w:val="center" w:pos="1418"/>
        <w:tab w:val="center" w:pos="5954"/>
      </w:tabs>
      <w:spacing w:before="720"/>
    </w:pPr>
  </w:style>
  <w:style w:type="paragraph" w:styleId="Title">
    <w:name w:val="Title"/>
    <w:basedOn w:val="Normal"/>
    <w:next w:val="Normal"/>
    <w:link w:val="TitleChar"/>
    <w:uiPriority w:val="98"/>
    <w:semiHidden/>
    <w:qFormat/>
    <w:rsid w:val="001A741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A741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A7416"/>
    <w:pPr>
      <w:numPr>
        <w:numId w:val="105"/>
      </w:numPr>
    </w:pPr>
  </w:style>
  <w:style w:type="numbering" w:customStyle="1" w:styleId="ECHRA1StyleNumberedList">
    <w:name w:val="ECHR_A1_Style_Numbered_List"/>
    <w:basedOn w:val="NoList"/>
    <w:rsid w:val="001A7416"/>
    <w:pPr>
      <w:numPr>
        <w:numId w:val="106"/>
      </w:numPr>
    </w:pPr>
  </w:style>
  <w:style w:type="table" w:customStyle="1" w:styleId="ECHRTable2019">
    <w:name w:val="ECHR_Table_2019"/>
    <w:basedOn w:val="TableNormal"/>
    <w:uiPriority w:val="99"/>
    <w:rsid w:val="001A74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A741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A7416"/>
    <w:pPr>
      <w:keepNext/>
      <w:keepLines/>
      <w:numPr>
        <w:ilvl w:val="1"/>
        <w:numId w:val="1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A7416"/>
    <w:pPr>
      <w:keepNext/>
      <w:keepLines/>
      <w:numPr>
        <w:ilvl w:val="2"/>
        <w:numId w:val="1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A7416"/>
    <w:pPr>
      <w:keepNext/>
      <w:keepLines/>
      <w:numPr>
        <w:ilvl w:val="3"/>
        <w:numId w:val="122"/>
      </w:numPr>
      <w:spacing w:before="100" w:beforeAutospacing="1" w:after="120"/>
      <w:jc w:val="both"/>
    </w:pPr>
    <w:rPr>
      <w:b w:val="0"/>
      <w:color w:val="auto"/>
      <w:sz w:val="24"/>
    </w:rPr>
  </w:style>
  <w:style w:type="paragraph" w:styleId="Header0">
    <w:name w:val="header"/>
    <w:basedOn w:val="Normal"/>
    <w:link w:val="HeaderChar"/>
    <w:uiPriority w:val="98"/>
    <w:semiHidden/>
    <w:rsid w:val="001A7416"/>
    <w:pPr>
      <w:tabs>
        <w:tab w:val="center" w:pos="4536"/>
        <w:tab w:val="right" w:pos="9072"/>
      </w:tabs>
    </w:pPr>
  </w:style>
  <w:style w:type="character" w:customStyle="1" w:styleId="HeaderChar">
    <w:name w:val="Header Char"/>
    <w:basedOn w:val="DefaultParagraphFont"/>
    <w:link w:val="Header0"/>
    <w:uiPriority w:val="98"/>
    <w:semiHidden/>
    <w:rsid w:val="001A7416"/>
    <w:rPr>
      <w:sz w:val="24"/>
      <w:szCs w:val="24"/>
      <w:lang w:val="en-GB"/>
    </w:rPr>
  </w:style>
  <w:style w:type="character" w:customStyle="1" w:styleId="Heading1Char">
    <w:name w:val="Heading 1 Char"/>
    <w:basedOn w:val="DefaultParagraphFont"/>
    <w:link w:val="Heading1"/>
    <w:uiPriority w:val="98"/>
    <w:semiHidden/>
    <w:rsid w:val="001A741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A7416"/>
    <w:pPr>
      <w:keepNext/>
      <w:keepLines/>
      <w:numPr>
        <w:ilvl w:val="4"/>
        <w:numId w:val="122"/>
      </w:numPr>
      <w:spacing w:before="100" w:beforeAutospacing="1" w:after="120"/>
      <w:jc w:val="both"/>
    </w:pPr>
    <w:rPr>
      <w:color w:val="auto"/>
      <w:sz w:val="20"/>
    </w:rPr>
  </w:style>
  <w:style w:type="paragraph" w:customStyle="1" w:styleId="JuHi">
    <w:name w:val="Ju_H_i"/>
    <w:aliases w:val="_Head_6"/>
    <w:basedOn w:val="Heading6"/>
    <w:next w:val="JuPara"/>
    <w:uiPriority w:val="17"/>
    <w:rsid w:val="001A7416"/>
    <w:pPr>
      <w:keepNext/>
      <w:keepLines/>
      <w:numPr>
        <w:ilvl w:val="5"/>
        <w:numId w:val="1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A741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A7416"/>
    <w:pPr>
      <w:keepNext/>
      <w:keepLines/>
      <w:numPr>
        <w:ilvl w:val="6"/>
        <w:numId w:val="1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A7416"/>
    <w:pPr>
      <w:keepNext/>
      <w:keepLines/>
      <w:numPr>
        <w:ilvl w:val="7"/>
        <w:numId w:val="122"/>
      </w:numPr>
      <w:spacing w:before="100" w:beforeAutospacing="1" w:after="120"/>
      <w:jc w:val="both"/>
    </w:pPr>
    <w:rPr>
      <w:i/>
    </w:rPr>
  </w:style>
  <w:style w:type="character" w:customStyle="1" w:styleId="Heading3Char">
    <w:name w:val="Heading 3 Char"/>
    <w:basedOn w:val="DefaultParagraphFont"/>
    <w:link w:val="Heading3"/>
    <w:uiPriority w:val="98"/>
    <w:semiHidden/>
    <w:rsid w:val="001A741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A7416"/>
    <w:pPr>
      <w:keepNext/>
      <w:keepLines/>
      <w:spacing w:before="240" w:after="240"/>
      <w:ind w:firstLine="284"/>
    </w:pPr>
  </w:style>
  <w:style w:type="paragraph" w:customStyle="1" w:styleId="JuJudges">
    <w:name w:val="Ju_Judges"/>
    <w:aliases w:val="_Judges"/>
    <w:basedOn w:val="Normal"/>
    <w:uiPriority w:val="32"/>
    <w:qFormat/>
    <w:rsid w:val="001A7416"/>
    <w:pPr>
      <w:tabs>
        <w:tab w:val="left" w:pos="567"/>
        <w:tab w:val="left" w:pos="1134"/>
      </w:tabs>
    </w:pPr>
  </w:style>
  <w:style w:type="character" w:customStyle="1" w:styleId="Heading4Char">
    <w:name w:val="Heading 4 Char"/>
    <w:basedOn w:val="DefaultParagraphFont"/>
    <w:link w:val="Heading4"/>
    <w:uiPriority w:val="98"/>
    <w:semiHidden/>
    <w:rsid w:val="001A741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A7416"/>
    <w:pPr>
      <w:tabs>
        <w:tab w:val="center" w:pos="6407"/>
      </w:tabs>
      <w:spacing w:before="720"/>
      <w:jc w:val="right"/>
    </w:pPr>
  </w:style>
  <w:style w:type="character" w:customStyle="1" w:styleId="Heading5Char">
    <w:name w:val="Heading 5 Char"/>
    <w:basedOn w:val="DefaultParagraphFont"/>
    <w:link w:val="Heading5"/>
    <w:uiPriority w:val="98"/>
    <w:semiHidden/>
    <w:rsid w:val="001A741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A741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A7416"/>
    <w:rPr>
      <w:caps w:val="0"/>
      <w:smallCaps/>
    </w:rPr>
  </w:style>
  <w:style w:type="character" w:styleId="SubtleEmphasis">
    <w:name w:val="Subtle Emphasis"/>
    <w:uiPriority w:val="98"/>
    <w:semiHidden/>
    <w:qFormat/>
    <w:rsid w:val="001A7416"/>
    <w:rPr>
      <w:i/>
      <w:iCs/>
    </w:rPr>
  </w:style>
  <w:style w:type="table" w:customStyle="1" w:styleId="ECHRTable">
    <w:name w:val="ECHR_Table"/>
    <w:basedOn w:val="TableNormal"/>
    <w:rsid w:val="001A741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741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A7416"/>
    <w:rPr>
      <w:b/>
      <w:bCs/>
      <w:i/>
      <w:iCs/>
      <w:spacing w:val="10"/>
      <w:bdr w:val="none" w:sz="0" w:space="0" w:color="auto"/>
      <w:shd w:val="clear" w:color="auto" w:fill="auto"/>
    </w:rPr>
  </w:style>
  <w:style w:type="paragraph" w:styleId="Footer1">
    <w:name w:val="footer"/>
    <w:basedOn w:val="Normal"/>
    <w:link w:val="FooterChar"/>
    <w:uiPriority w:val="98"/>
    <w:semiHidden/>
    <w:rsid w:val="001A7416"/>
    <w:pPr>
      <w:tabs>
        <w:tab w:val="center" w:pos="3686"/>
        <w:tab w:val="right" w:pos="7371"/>
      </w:tabs>
    </w:pPr>
  </w:style>
  <w:style w:type="character" w:customStyle="1" w:styleId="FooterChar">
    <w:name w:val="Footer Char"/>
    <w:basedOn w:val="DefaultParagraphFont"/>
    <w:link w:val="Footer1"/>
    <w:uiPriority w:val="98"/>
    <w:semiHidden/>
    <w:rsid w:val="001A7416"/>
    <w:rPr>
      <w:sz w:val="24"/>
      <w:szCs w:val="24"/>
      <w:lang w:val="en-GB"/>
    </w:rPr>
  </w:style>
  <w:style w:type="character" w:styleId="FootnoteReference">
    <w:name w:val="footnote reference"/>
    <w:basedOn w:val="DefaultParagraphFont"/>
    <w:uiPriority w:val="98"/>
    <w:semiHidden/>
    <w:rsid w:val="001A7416"/>
    <w:rPr>
      <w:vertAlign w:val="superscript"/>
    </w:rPr>
  </w:style>
  <w:style w:type="paragraph" w:styleId="FootnoteText">
    <w:name w:val="footnote text"/>
    <w:basedOn w:val="NormalJustified"/>
    <w:link w:val="FootnoteTextChar"/>
    <w:uiPriority w:val="98"/>
    <w:semiHidden/>
    <w:rsid w:val="001A7416"/>
    <w:rPr>
      <w:sz w:val="20"/>
      <w:szCs w:val="20"/>
    </w:rPr>
  </w:style>
  <w:style w:type="character" w:customStyle="1" w:styleId="FootnoteTextChar">
    <w:name w:val="Footnote Text Char"/>
    <w:basedOn w:val="DefaultParagraphFont"/>
    <w:link w:val="FootnoteText"/>
    <w:uiPriority w:val="98"/>
    <w:semiHidden/>
    <w:rsid w:val="001A7416"/>
    <w:rPr>
      <w:sz w:val="20"/>
      <w:szCs w:val="20"/>
      <w:lang w:val="en-GB"/>
    </w:rPr>
  </w:style>
  <w:style w:type="character" w:customStyle="1" w:styleId="Heading6Char">
    <w:name w:val="Heading 6 Char"/>
    <w:basedOn w:val="DefaultParagraphFont"/>
    <w:link w:val="Heading6"/>
    <w:uiPriority w:val="98"/>
    <w:semiHidden/>
    <w:rsid w:val="001A741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A741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A741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A741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A7416"/>
    <w:rPr>
      <w:color w:val="0072BC" w:themeColor="hyperlink"/>
      <w:u w:val="single"/>
    </w:rPr>
  </w:style>
  <w:style w:type="character" w:styleId="IntenseEmphasis">
    <w:name w:val="Intense Emphasis"/>
    <w:uiPriority w:val="98"/>
    <w:semiHidden/>
    <w:qFormat/>
    <w:rsid w:val="001A7416"/>
    <w:rPr>
      <w:b/>
      <w:bCs/>
    </w:rPr>
  </w:style>
  <w:style w:type="paragraph" w:styleId="IntenseQuote">
    <w:name w:val="Intense Quote"/>
    <w:basedOn w:val="Normal"/>
    <w:next w:val="Normal"/>
    <w:link w:val="IntenseQuoteChar"/>
    <w:uiPriority w:val="98"/>
    <w:semiHidden/>
    <w:qFormat/>
    <w:rsid w:val="001A741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A7416"/>
    <w:rPr>
      <w:b/>
      <w:bCs/>
      <w:i/>
      <w:iCs/>
      <w:sz w:val="24"/>
      <w:szCs w:val="24"/>
      <w:lang w:val="en-GB" w:bidi="en-US"/>
    </w:rPr>
  </w:style>
  <w:style w:type="character" w:styleId="IntenseReference">
    <w:name w:val="Intense Reference"/>
    <w:uiPriority w:val="98"/>
    <w:semiHidden/>
    <w:qFormat/>
    <w:rsid w:val="001A7416"/>
    <w:rPr>
      <w:smallCaps/>
      <w:spacing w:val="5"/>
      <w:u w:val="single"/>
    </w:rPr>
  </w:style>
  <w:style w:type="paragraph" w:styleId="ListParagraph">
    <w:name w:val="List Paragraph"/>
    <w:basedOn w:val="Normal"/>
    <w:uiPriority w:val="98"/>
    <w:semiHidden/>
    <w:qFormat/>
    <w:rsid w:val="001A7416"/>
    <w:pPr>
      <w:ind w:left="720"/>
      <w:contextualSpacing/>
    </w:pPr>
  </w:style>
  <w:style w:type="table" w:customStyle="1" w:styleId="LtrTableAddress">
    <w:name w:val="Ltr_Table_Address"/>
    <w:aliases w:val="ECHR_Ltr_Table_Address"/>
    <w:basedOn w:val="TableNormal"/>
    <w:uiPriority w:val="99"/>
    <w:rsid w:val="001A7416"/>
    <w:rPr>
      <w:sz w:val="24"/>
      <w:szCs w:val="24"/>
    </w:rPr>
    <w:tblPr>
      <w:tblInd w:w="5103" w:type="dxa"/>
    </w:tblPr>
  </w:style>
  <w:style w:type="paragraph" w:styleId="Quote0">
    <w:name w:val="Quote"/>
    <w:basedOn w:val="Normal"/>
    <w:next w:val="Normal"/>
    <w:link w:val="QuoteChar"/>
    <w:uiPriority w:val="98"/>
    <w:semiHidden/>
    <w:qFormat/>
    <w:rsid w:val="001A7416"/>
    <w:pPr>
      <w:spacing w:before="200"/>
      <w:ind w:left="360" w:right="360"/>
    </w:pPr>
    <w:rPr>
      <w:i/>
      <w:iCs/>
      <w:lang w:bidi="en-US"/>
    </w:rPr>
  </w:style>
  <w:style w:type="character" w:customStyle="1" w:styleId="QuoteChar">
    <w:name w:val="Quote Char"/>
    <w:basedOn w:val="DefaultParagraphFont"/>
    <w:link w:val="Quote0"/>
    <w:uiPriority w:val="98"/>
    <w:semiHidden/>
    <w:rsid w:val="001A7416"/>
    <w:rPr>
      <w:i/>
      <w:iCs/>
      <w:sz w:val="24"/>
      <w:szCs w:val="24"/>
      <w:lang w:val="en-GB" w:bidi="en-US"/>
    </w:rPr>
  </w:style>
  <w:style w:type="character" w:styleId="SubtleReference">
    <w:name w:val="Subtle Reference"/>
    <w:uiPriority w:val="98"/>
    <w:semiHidden/>
    <w:qFormat/>
    <w:rsid w:val="001A7416"/>
    <w:rPr>
      <w:smallCaps/>
    </w:rPr>
  </w:style>
  <w:style w:type="table" w:styleId="TableGrid">
    <w:name w:val="Table Grid"/>
    <w:basedOn w:val="TableNormal"/>
    <w:uiPriority w:val="59"/>
    <w:semiHidden/>
    <w:rsid w:val="001A741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A741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A741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A741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A741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A741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A741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A741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A741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A741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A741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A741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A741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A741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A741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A741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A7416"/>
    <w:pPr>
      <w:numPr>
        <w:numId w:val="91"/>
      </w:numPr>
    </w:pPr>
  </w:style>
  <w:style w:type="paragraph" w:customStyle="1" w:styleId="JuPara">
    <w:name w:val="Ju_Para"/>
    <w:aliases w:val="_Para"/>
    <w:basedOn w:val="NormalJustified"/>
    <w:link w:val="JuParaChar"/>
    <w:uiPriority w:val="4"/>
    <w:qFormat/>
    <w:rsid w:val="001A7416"/>
    <w:pPr>
      <w:ind w:firstLine="284"/>
    </w:pPr>
  </w:style>
  <w:style w:type="numbering" w:styleId="1ai">
    <w:name w:val="Outline List 1"/>
    <w:basedOn w:val="NoList"/>
    <w:uiPriority w:val="99"/>
    <w:semiHidden/>
    <w:unhideWhenUsed/>
    <w:rsid w:val="001A7416"/>
    <w:pPr>
      <w:numPr>
        <w:numId w:val="92"/>
      </w:numPr>
    </w:pPr>
  </w:style>
  <w:style w:type="table" w:customStyle="1" w:styleId="ECHRTableSimpleBox">
    <w:name w:val="ECHR_Table_Simple_Box"/>
    <w:basedOn w:val="TableNormal"/>
    <w:uiPriority w:val="99"/>
    <w:rsid w:val="001A741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A741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A7416"/>
    <w:pPr>
      <w:numPr>
        <w:numId w:val="93"/>
      </w:numPr>
    </w:pPr>
  </w:style>
  <w:style w:type="table" w:customStyle="1" w:styleId="ECHRTableForInternalUse">
    <w:name w:val="ECHR_Table_For_Internal_Use"/>
    <w:basedOn w:val="TableNormal"/>
    <w:uiPriority w:val="99"/>
    <w:rsid w:val="001A741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A741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A7416"/>
  </w:style>
  <w:style w:type="paragraph" w:styleId="BlockText">
    <w:name w:val="Block Text"/>
    <w:basedOn w:val="Normal"/>
    <w:uiPriority w:val="98"/>
    <w:semiHidden/>
    <w:rsid w:val="001A741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A741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A7416"/>
    <w:pPr>
      <w:spacing w:after="120"/>
    </w:pPr>
  </w:style>
  <w:style w:type="character" w:customStyle="1" w:styleId="BodyTextChar">
    <w:name w:val="Body Text Char"/>
    <w:basedOn w:val="DefaultParagraphFont"/>
    <w:link w:val="BodyText"/>
    <w:uiPriority w:val="98"/>
    <w:semiHidden/>
    <w:rsid w:val="001A7416"/>
    <w:rPr>
      <w:sz w:val="24"/>
      <w:szCs w:val="24"/>
      <w:lang w:val="en-GB"/>
    </w:rPr>
  </w:style>
  <w:style w:type="table" w:customStyle="1" w:styleId="ECHRTableOddBanded">
    <w:name w:val="ECHR_Table_Odd_Banded"/>
    <w:basedOn w:val="TableNormal"/>
    <w:uiPriority w:val="99"/>
    <w:rsid w:val="001A741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A7416"/>
    <w:pPr>
      <w:spacing w:after="120" w:line="480" w:lineRule="auto"/>
    </w:pPr>
  </w:style>
  <w:style w:type="table" w:customStyle="1" w:styleId="ECHRHeaderTableReduced">
    <w:name w:val="ECHR_Header_Table_Reduced"/>
    <w:basedOn w:val="TableNormal"/>
    <w:uiPriority w:val="99"/>
    <w:rsid w:val="001A741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A7416"/>
    <w:pPr>
      <w:ind w:firstLine="284"/>
    </w:pPr>
    <w:rPr>
      <w:b/>
    </w:rPr>
  </w:style>
  <w:style w:type="character" w:styleId="PageNumber">
    <w:name w:val="page number"/>
    <w:uiPriority w:val="98"/>
    <w:semiHidden/>
    <w:rsid w:val="001A7416"/>
    <w:rPr>
      <w:sz w:val="18"/>
    </w:rPr>
  </w:style>
  <w:style w:type="paragraph" w:styleId="ListBullet">
    <w:name w:val="List Bullet"/>
    <w:basedOn w:val="Normal"/>
    <w:uiPriority w:val="98"/>
    <w:semiHidden/>
    <w:rsid w:val="001A7416"/>
    <w:pPr>
      <w:numPr>
        <w:numId w:val="94"/>
      </w:numPr>
    </w:pPr>
  </w:style>
  <w:style w:type="paragraph" w:styleId="ListBullet3">
    <w:name w:val="List Bullet 3"/>
    <w:basedOn w:val="Normal"/>
    <w:uiPriority w:val="98"/>
    <w:semiHidden/>
    <w:rsid w:val="001A7416"/>
    <w:pPr>
      <w:numPr>
        <w:numId w:val="96"/>
      </w:numPr>
      <w:contextualSpacing/>
    </w:pPr>
  </w:style>
  <w:style w:type="character" w:customStyle="1" w:styleId="BodyText2Char">
    <w:name w:val="Body Text 2 Char"/>
    <w:basedOn w:val="DefaultParagraphFont"/>
    <w:link w:val="BodyText2"/>
    <w:uiPriority w:val="98"/>
    <w:semiHidden/>
    <w:rsid w:val="001A7416"/>
    <w:rPr>
      <w:sz w:val="24"/>
      <w:szCs w:val="24"/>
      <w:lang w:val="en-GB"/>
    </w:rPr>
  </w:style>
  <w:style w:type="paragraph" w:styleId="BodyText3">
    <w:name w:val="Body Text 3"/>
    <w:basedOn w:val="Normal"/>
    <w:link w:val="BodyText3Char"/>
    <w:uiPriority w:val="98"/>
    <w:semiHidden/>
    <w:rsid w:val="001A7416"/>
    <w:pPr>
      <w:spacing w:after="120"/>
    </w:pPr>
    <w:rPr>
      <w:sz w:val="16"/>
      <w:szCs w:val="16"/>
    </w:rPr>
  </w:style>
  <w:style w:type="character" w:customStyle="1" w:styleId="BodyText3Char">
    <w:name w:val="Body Text 3 Char"/>
    <w:basedOn w:val="DefaultParagraphFont"/>
    <w:link w:val="BodyText3"/>
    <w:uiPriority w:val="98"/>
    <w:semiHidden/>
    <w:rsid w:val="001A7416"/>
    <w:rPr>
      <w:sz w:val="16"/>
      <w:szCs w:val="16"/>
      <w:lang w:val="en-GB"/>
    </w:rPr>
  </w:style>
  <w:style w:type="paragraph" w:styleId="BodyTextFirstIndent">
    <w:name w:val="Body Text First Indent"/>
    <w:basedOn w:val="BodyText"/>
    <w:link w:val="BodyTextFirstIndentChar"/>
    <w:uiPriority w:val="98"/>
    <w:semiHidden/>
    <w:rsid w:val="001A7416"/>
    <w:pPr>
      <w:spacing w:after="0"/>
      <w:ind w:firstLine="360"/>
    </w:pPr>
  </w:style>
  <w:style w:type="character" w:customStyle="1" w:styleId="BodyTextFirstIndentChar">
    <w:name w:val="Body Text First Indent Char"/>
    <w:basedOn w:val="BodyTextChar"/>
    <w:link w:val="BodyTextFirstIndent"/>
    <w:uiPriority w:val="98"/>
    <w:semiHidden/>
    <w:rsid w:val="001A7416"/>
    <w:rPr>
      <w:sz w:val="24"/>
      <w:szCs w:val="24"/>
      <w:lang w:val="en-GB"/>
    </w:rPr>
  </w:style>
  <w:style w:type="paragraph" w:styleId="BodyTextIndent">
    <w:name w:val="Body Text Indent"/>
    <w:basedOn w:val="Normal"/>
    <w:link w:val="BodyTextIndentChar"/>
    <w:uiPriority w:val="98"/>
    <w:semiHidden/>
    <w:rsid w:val="001A7416"/>
    <w:pPr>
      <w:spacing w:after="120"/>
      <w:ind w:left="283"/>
    </w:pPr>
  </w:style>
  <w:style w:type="character" w:customStyle="1" w:styleId="BodyTextIndentChar">
    <w:name w:val="Body Text Indent Char"/>
    <w:basedOn w:val="DefaultParagraphFont"/>
    <w:link w:val="BodyTextIndent"/>
    <w:uiPriority w:val="98"/>
    <w:semiHidden/>
    <w:rsid w:val="001A7416"/>
    <w:rPr>
      <w:sz w:val="24"/>
      <w:szCs w:val="24"/>
      <w:lang w:val="en-GB"/>
    </w:rPr>
  </w:style>
  <w:style w:type="paragraph" w:styleId="BodyTextFirstIndent2">
    <w:name w:val="Body Text First Indent 2"/>
    <w:basedOn w:val="BodyTextIndent"/>
    <w:link w:val="BodyTextFirstIndent2Char"/>
    <w:uiPriority w:val="98"/>
    <w:semiHidden/>
    <w:rsid w:val="001A7416"/>
    <w:pPr>
      <w:spacing w:after="0"/>
      <w:ind w:left="360" w:firstLine="360"/>
    </w:pPr>
  </w:style>
  <w:style w:type="character" w:customStyle="1" w:styleId="BodyTextFirstIndent2Char">
    <w:name w:val="Body Text First Indent 2 Char"/>
    <w:basedOn w:val="BodyTextIndentChar"/>
    <w:link w:val="BodyTextFirstIndent2"/>
    <w:uiPriority w:val="98"/>
    <w:semiHidden/>
    <w:rsid w:val="001A7416"/>
    <w:rPr>
      <w:sz w:val="24"/>
      <w:szCs w:val="24"/>
      <w:lang w:val="en-GB"/>
    </w:rPr>
  </w:style>
  <w:style w:type="paragraph" w:styleId="BodyTextIndent2">
    <w:name w:val="Body Text Indent 2"/>
    <w:basedOn w:val="Normal"/>
    <w:link w:val="BodyTextIndent2Char"/>
    <w:uiPriority w:val="98"/>
    <w:semiHidden/>
    <w:rsid w:val="001A7416"/>
    <w:pPr>
      <w:spacing w:after="120" w:line="480" w:lineRule="auto"/>
      <w:ind w:left="283"/>
    </w:pPr>
  </w:style>
  <w:style w:type="character" w:customStyle="1" w:styleId="BodyTextIndent2Char">
    <w:name w:val="Body Text Indent 2 Char"/>
    <w:basedOn w:val="DefaultParagraphFont"/>
    <w:link w:val="BodyTextIndent2"/>
    <w:uiPriority w:val="98"/>
    <w:semiHidden/>
    <w:rsid w:val="001A7416"/>
    <w:rPr>
      <w:sz w:val="24"/>
      <w:szCs w:val="24"/>
      <w:lang w:val="en-GB"/>
    </w:rPr>
  </w:style>
  <w:style w:type="paragraph" w:styleId="BodyTextIndent3">
    <w:name w:val="Body Text Indent 3"/>
    <w:basedOn w:val="Normal"/>
    <w:link w:val="BodyTextIndent3Char"/>
    <w:uiPriority w:val="98"/>
    <w:semiHidden/>
    <w:rsid w:val="001A741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A7416"/>
    <w:rPr>
      <w:sz w:val="16"/>
      <w:szCs w:val="16"/>
      <w:lang w:val="en-GB"/>
    </w:rPr>
  </w:style>
  <w:style w:type="paragraph" w:styleId="Caption">
    <w:name w:val="caption"/>
    <w:basedOn w:val="Normal"/>
    <w:next w:val="Normal"/>
    <w:uiPriority w:val="98"/>
    <w:semiHidden/>
    <w:qFormat/>
    <w:rsid w:val="001A7416"/>
    <w:pPr>
      <w:spacing w:after="200"/>
    </w:pPr>
    <w:rPr>
      <w:b/>
      <w:bCs/>
      <w:color w:val="0072BC" w:themeColor="accent1"/>
      <w:sz w:val="18"/>
      <w:szCs w:val="18"/>
    </w:rPr>
  </w:style>
  <w:style w:type="paragraph" w:styleId="Closing">
    <w:name w:val="Closing"/>
    <w:basedOn w:val="Normal"/>
    <w:link w:val="ClosingChar"/>
    <w:uiPriority w:val="98"/>
    <w:semiHidden/>
    <w:rsid w:val="001A7416"/>
    <w:pPr>
      <w:ind w:left="4252"/>
    </w:pPr>
  </w:style>
  <w:style w:type="character" w:customStyle="1" w:styleId="ClosingChar">
    <w:name w:val="Closing Char"/>
    <w:basedOn w:val="DefaultParagraphFont"/>
    <w:link w:val="Closing"/>
    <w:uiPriority w:val="98"/>
    <w:semiHidden/>
    <w:rsid w:val="001A7416"/>
    <w:rPr>
      <w:sz w:val="24"/>
      <w:szCs w:val="24"/>
      <w:lang w:val="en-GB"/>
    </w:rPr>
  </w:style>
  <w:style w:type="table" w:styleId="ColorfulGrid">
    <w:name w:val="Colorful Grid"/>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A741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A741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A741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A741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A741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A741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A741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A741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A741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A741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A741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A741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A741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A741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A741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A7416"/>
    <w:rPr>
      <w:sz w:val="16"/>
      <w:szCs w:val="16"/>
    </w:rPr>
  </w:style>
  <w:style w:type="paragraph" w:styleId="CommentText">
    <w:name w:val="annotation text"/>
    <w:basedOn w:val="Normal"/>
    <w:link w:val="CommentTextChar"/>
    <w:uiPriority w:val="98"/>
    <w:semiHidden/>
    <w:rsid w:val="001A7416"/>
    <w:rPr>
      <w:sz w:val="20"/>
      <w:szCs w:val="20"/>
    </w:rPr>
  </w:style>
  <w:style w:type="character" w:customStyle="1" w:styleId="CommentTextChar">
    <w:name w:val="Comment Text Char"/>
    <w:basedOn w:val="DefaultParagraphFont"/>
    <w:link w:val="CommentText"/>
    <w:uiPriority w:val="98"/>
    <w:semiHidden/>
    <w:rsid w:val="001A7416"/>
    <w:rPr>
      <w:sz w:val="20"/>
      <w:szCs w:val="20"/>
      <w:lang w:val="en-GB"/>
    </w:rPr>
  </w:style>
  <w:style w:type="paragraph" w:styleId="CommentSubject">
    <w:name w:val="annotation subject"/>
    <w:basedOn w:val="CommentText"/>
    <w:next w:val="CommentText"/>
    <w:link w:val="CommentSubjectChar"/>
    <w:uiPriority w:val="98"/>
    <w:semiHidden/>
    <w:rsid w:val="001A7416"/>
    <w:rPr>
      <w:b/>
      <w:bCs/>
    </w:rPr>
  </w:style>
  <w:style w:type="character" w:customStyle="1" w:styleId="CommentSubjectChar">
    <w:name w:val="Comment Subject Char"/>
    <w:basedOn w:val="CommentTextChar"/>
    <w:link w:val="CommentSubject"/>
    <w:uiPriority w:val="98"/>
    <w:semiHidden/>
    <w:rsid w:val="001A7416"/>
    <w:rPr>
      <w:b/>
      <w:bCs/>
      <w:sz w:val="20"/>
      <w:szCs w:val="20"/>
      <w:lang w:val="en-GB"/>
    </w:rPr>
  </w:style>
  <w:style w:type="table" w:styleId="DarkList">
    <w:name w:val="Dark List"/>
    <w:basedOn w:val="TableNormal"/>
    <w:uiPriority w:val="70"/>
    <w:semiHidden/>
    <w:rsid w:val="001A741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A741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A741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A741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A741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A741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A741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A7416"/>
  </w:style>
  <w:style w:type="character" w:customStyle="1" w:styleId="DateChar">
    <w:name w:val="Date Char"/>
    <w:basedOn w:val="DefaultParagraphFont"/>
    <w:link w:val="Date"/>
    <w:uiPriority w:val="98"/>
    <w:semiHidden/>
    <w:rsid w:val="001A7416"/>
    <w:rPr>
      <w:sz w:val="24"/>
      <w:szCs w:val="24"/>
      <w:lang w:val="en-GB"/>
    </w:rPr>
  </w:style>
  <w:style w:type="paragraph" w:styleId="DocumentMap">
    <w:name w:val="Document Map"/>
    <w:basedOn w:val="Normal"/>
    <w:link w:val="DocumentMapChar"/>
    <w:uiPriority w:val="98"/>
    <w:semiHidden/>
    <w:rsid w:val="001A7416"/>
    <w:rPr>
      <w:rFonts w:ascii="Tahoma" w:hAnsi="Tahoma" w:cs="Tahoma"/>
      <w:sz w:val="16"/>
      <w:szCs w:val="16"/>
    </w:rPr>
  </w:style>
  <w:style w:type="character" w:customStyle="1" w:styleId="DocumentMapChar">
    <w:name w:val="Document Map Char"/>
    <w:basedOn w:val="DefaultParagraphFont"/>
    <w:link w:val="DocumentMap"/>
    <w:uiPriority w:val="98"/>
    <w:semiHidden/>
    <w:rsid w:val="001A7416"/>
    <w:rPr>
      <w:rFonts w:ascii="Tahoma" w:hAnsi="Tahoma" w:cs="Tahoma"/>
      <w:sz w:val="16"/>
      <w:szCs w:val="16"/>
      <w:lang w:val="en-GB"/>
    </w:rPr>
  </w:style>
  <w:style w:type="paragraph" w:styleId="E-mailSignature">
    <w:name w:val="E-mail Signature"/>
    <w:basedOn w:val="Normal"/>
    <w:link w:val="E-mailSignatureChar"/>
    <w:uiPriority w:val="98"/>
    <w:semiHidden/>
    <w:rsid w:val="001A7416"/>
  </w:style>
  <w:style w:type="character" w:customStyle="1" w:styleId="E-mailSignatureChar">
    <w:name w:val="E-mail Signature Char"/>
    <w:basedOn w:val="DefaultParagraphFont"/>
    <w:link w:val="E-mailSignature"/>
    <w:uiPriority w:val="98"/>
    <w:semiHidden/>
    <w:rsid w:val="001A7416"/>
    <w:rPr>
      <w:sz w:val="24"/>
      <w:szCs w:val="24"/>
      <w:lang w:val="en-GB"/>
    </w:rPr>
  </w:style>
  <w:style w:type="character" w:styleId="EndnoteReference">
    <w:name w:val="endnote reference"/>
    <w:basedOn w:val="DefaultParagraphFont"/>
    <w:uiPriority w:val="98"/>
    <w:semiHidden/>
    <w:rsid w:val="001A7416"/>
    <w:rPr>
      <w:vertAlign w:val="superscript"/>
    </w:rPr>
  </w:style>
  <w:style w:type="paragraph" w:styleId="EndnoteText">
    <w:name w:val="endnote text"/>
    <w:basedOn w:val="Normal"/>
    <w:link w:val="EndnoteTextChar"/>
    <w:uiPriority w:val="98"/>
    <w:semiHidden/>
    <w:rsid w:val="001A7416"/>
    <w:rPr>
      <w:sz w:val="20"/>
      <w:szCs w:val="20"/>
    </w:rPr>
  </w:style>
  <w:style w:type="character" w:customStyle="1" w:styleId="EndnoteTextChar">
    <w:name w:val="Endnote Text Char"/>
    <w:basedOn w:val="DefaultParagraphFont"/>
    <w:link w:val="EndnoteText"/>
    <w:uiPriority w:val="98"/>
    <w:semiHidden/>
    <w:rsid w:val="001A7416"/>
    <w:rPr>
      <w:sz w:val="20"/>
      <w:szCs w:val="20"/>
      <w:lang w:val="en-GB"/>
    </w:rPr>
  </w:style>
  <w:style w:type="paragraph" w:styleId="EnvelopeAddress">
    <w:name w:val="envelope address"/>
    <w:basedOn w:val="Normal"/>
    <w:uiPriority w:val="98"/>
    <w:semiHidden/>
    <w:rsid w:val="001A741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A741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A7416"/>
    <w:rPr>
      <w:color w:val="7030A0" w:themeColor="followedHyperlink"/>
      <w:u w:val="single"/>
    </w:rPr>
  </w:style>
  <w:style w:type="character" w:styleId="HTMLAcronym">
    <w:name w:val="HTML Acronym"/>
    <w:basedOn w:val="DefaultParagraphFont"/>
    <w:uiPriority w:val="98"/>
    <w:semiHidden/>
    <w:rsid w:val="001A7416"/>
  </w:style>
  <w:style w:type="paragraph" w:styleId="HTMLAddress">
    <w:name w:val="HTML Address"/>
    <w:basedOn w:val="Normal"/>
    <w:link w:val="HTMLAddressChar"/>
    <w:uiPriority w:val="98"/>
    <w:semiHidden/>
    <w:rsid w:val="001A7416"/>
    <w:rPr>
      <w:i/>
      <w:iCs/>
    </w:rPr>
  </w:style>
  <w:style w:type="character" w:customStyle="1" w:styleId="HTMLAddressChar">
    <w:name w:val="HTML Address Char"/>
    <w:basedOn w:val="DefaultParagraphFont"/>
    <w:link w:val="HTMLAddress"/>
    <w:uiPriority w:val="98"/>
    <w:semiHidden/>
    <w:rsid w:val="001A7416"/>
    <w:rPr>
      <w:i/>
      <w:iCs/>
      <w:sz w:val="24"/>
      <w:szCs w:val="24"/>
      <w:lang w:val="en-GB"/>
    </w:rPr>
  </w:style>
  <w:style w:type="character" w:styleId="HTMLCite">
    <w:name w:val="HTML Cite"/>
    <w:basedOn w:val="DefaultParagraphFont"/>
    <w:uiPriority w:val="98"/>
    <w:semiHidden/>
    <w:rsid w:val="001A7416"/>
    <w:rPr>
      <w:i/>
      <w:iCs/>
    </w:rPr>
  </w:style>
  <w:style w:type="character" w:styleId="HTMLCode">
    <w:name w:val="HTML Code"/>
    <w:basedOn w:val="DefaultParagraphFont"/>
    <w:uiPriority w:val="98"/>
    <w:semiHidden/>
    <w:rsid w:val="001A7416"/>
    <w:rPr>
      <w:rFonts w:ascii="Consolas" w:hAnsi="Consolas" w:cs="Consolas"/>
      <w:sz w:val="20"/>
      <w:szCs w:val="20"/>
    </w:rPr>
  </w:style>
  <w:style w:type="character" w:styleId="HTMLDefinition">
    <w:name w:val="HTML Definition"/>
    <w:basedOn w:val="DefaultParagraphFont"/>
    <w:uiPriority w:val="98"/>
    <w:semiHidden/>
    <w:rsid w:val="001A7416"/>
    <w:rPr>
      <w:i/>
      <w:iCs/>
    </w:rPr>
  </w:style>
  <w:style w:type="character" w:styleId="HTMLKeyboard">
    <w:name w:val="HTML Keyboard"/>
    <w:basedOn w:val="DefaultParagraphFont"/>
    <w:uiPriority w:val="98"/>
    <w:semiHidden/>
    <w:rsid w:val="001A7416"/>
    <w:rPr>
      <w:rFonts w:ascii="Consolas" w:hAnsi="Consolas" w:cs="Consolas"/>
      <w:sz w:val="20"/>
      <w:szCs w:val="20"/>
    </w:rPr>
  </w:style>
  <w:style w:type="paragraph" w:styleId="HTMLPreformatted">
    <w:name w:val="HTML Preformatted"/>
    <w:basedOn w:val="Normal"/>
    <w:link w:val="HTMLPreformattedChar"/>
    <w:uiPriority w:val="98"/>
    <w:semiHidden/>
    <w:rsid w:val="001A741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A7416"/>
    <w:rPr>
      <w:rFonts w:ascii="Consolas" w:hAnsi="Consolas" w:cs="Consolas"/>
      <w:sz w:val="20"/>
      <w:szCs w:val="20"/>
      <w:lang w:val="en-GB"/>
    </w:rPr>
  </w:style>
  <w:style w:type="character" w:styleId="HTMLSample">
    <w:name w:val="HTML Sample"/>
    <w:basedOn w:val="DefaultParagraphFont"/>
    <w:uiPriority w:val="98"/>
    <w:semiHidden/>
    <w:rsid w:val="001A7416"/>
    <w:rPr>
      <w:rFonts w:ascii="Consolas" w:hAnsi="Consolas" w:cs="Consolas"/>
      <w:sz w:val="24"/>
      <w:szCs w:val="24"/>
    </w:rPr>
  </w:style>
  <w:style w:type="character" w:styleId="HTMLTypewriter">
    <w:name w:val="HTML Typewriter"/>
    <w:basedOn w:val="DefaultParagraphFont"/>
    <w:uiPriority w:val="98"/>
    <w:semiHidden/>
    <w:rsid w:val="001A7416"/>
    <w:rPr>
      <w:rFonts w:ascii="Consolas" w:hAnsi="Consolas" w:cs="Consolas"/>
      <w:sz w:val="20"/>
      <w:szCs w:val="20"/>
    </w:rPr>
  </w:style>
  <w:style w:type="character" w:styleId="HTMLVariable">
    <w:name w:val="HTML Variable"/>
    <w:basedOn w:val="DefaultParagraphFont"/>
    <w:uiPriority w:val="98"/>
    <w:semiHidden/>
    <w:rsid w:val="001A7416"/>
    <w:rPr>
      <w:i/>
      <w:iCs/>
    </w:rPr>
  </w:style>
  <w:style w:type="paragraph" w:styleId="Index1">
    <w:name w:val="index 1"/>
    <w:basedOn w:val="Normal"/>
    <w:next w:val="Normal"/>
    <w:autoRedefine/>
    <w:uiPriority w:val="98"/>
    <w:semiHidden/>
    <w:rsid w:val="001A7416"/>
    <w:pPr>
      <w:ind w:left="240" w:hanging="240"/>
    </w:pPr>
  </w:style>
  <w:style w:type="paragraph" w:styleId="Index2">
    <w:name w:val="index 2"/>
    <w:basedOn w:val="Normal"/>
    <w:next w:val="Normal"/>
    <w:autoRedefine/>
    <w:uiPriority w:val="98"/>
    <w:semiHidden/>
    <w:rsid w:val="001A7416"/>
    <w:pPr>
      <w:ind w:left="480" w:hanging="240"/>
    </w:pPr>
  </w:style>
  <w:style w:type="paragraph" w:styleId="Index3">
    <w:name w:val="index 3"/>
    <w:basedOn w:val="Normal"/>
    <w:next w:val="Normal"/>
    <w:autoRedefine/>
    <w:uiPriority w:val="98"/>
    <w:semiHidden/>
    <w:rsid w:val="001A7416"/>
    <w:pPr>
      <w:ind w:left="720" w:hanging="240"/>
    </w:pPr>
  </w:style>
  <w:style w:type="paragraph" w:styleId="Index4">
    <w:name w:val="index 4"/>
    <w:basedOn w:val="Normal"/>
    <w:next w:val="Normal"/>
    <w:autoRedefine/>
    <w:uiPriority w:val="98"/>
    <w:semiHidden/>
    <w:rsid w:val="001A7416"/>
    <w:pPr>
      <w:ind w:left="960" w:hanging="240"/>
    </w:pPr>
  </w:style>
  <w:style w:type="paragraph" w:styleId="Index5">
    <w:name w:val="index 5"/>
    <w:basedOn w:val="Normal"/>
    <w:next w:val="Normal"/>
    <w:autoRedefine/>
    <w:uiPriority w:val="98"/>
    <w:semiHidden/>
    <w:rsid w:val="001A7416"/>
    <w:pPr>
      <w:ind w:left="1200" w:hanging="240"/>
    </w:pPr>
  </w:style>
  <w:style w:type="paragraph" w:styleId="Index6">
    <w:name w:val="index 6"/>
    <w:basedOn w:val="Normal"/>
    <w:next w:val="Normal"/>
    <w:autoRedefine/>
    <w:uiPriority w:val="98"/>
    <w:semiHidden/>
    <w:rsid w:val="001A7416"/>
    <w:pPr>
      <w:ind w:left="1440" w:hanging="240"/>
    </w:pPr>
  </w:style>
  <w:style w:type="paragraph" w:styleId="Index7">
    <w:name w:val="index 7"/>
    <w:basedOn w:val="Normal"/>
    <w:next w:val="Normal"/>
    <w:autoRedefine/>
    <w:uiPriority w:val="98"/>
    <w:semiHidden/>
    <w:rsid w:val="001A7416"/>
    <w:pPr>
      <w:ind w:left="1680" w:hanging="240"/>
    </w:pPr>
  </w:style>
  <w:style w:type="paragraph" w:styleId="Index8">
    <w:name w:val="index 8"/>
    <w:basedOn w:val="Normal"/>
    <w:next w:val="Normal"/>
    <w:autoRedefine/>
    <w:uiPriority w:val="98"/>
    <w:semiHidden/>
    <w:rsid w:val="001A7416"/>
    <w:pPr>
      <w:ind w:left="1920" w:hanging="240"/>
    </w:pPr>
  </w:style>
  <w:style w:type="paragraph" w:styleId="Index9">
    <w:name w:val="index 9"/>
    <w:basedOn w:val="Normal"/>
    <w:next w:val="Normal"/>
    <w:autoRedefine/>
    <w:uiPriority w:val="98"/>
    <w:semiHidden/>
    <w:rsid w:val="001A7416"/>
    <w:pPr>
      <w:ind w:left="2160" w:hanging="240"/>
    </w:pPr>
  </w:style>
  <w:style w:type="paragraph" w:styleId="IndexHeading">
    <w:name w:val="index heading"/>
    <w:basedOn w:val="Normal"/>
    <w:next w:val="Index1"/>
    <w:uiPriority w:val="98"/>
    <w:semiHidden/>
    <w:rsid w:val="001A7416"/>
    <w:rPr>
      <w:rFonts w:asciiTheme="majorHAnsi" w:eastAsiaTheme="majorEastAsia" w:hAnsiTheme="majorHAnsi" w:cstheme="majorBidi"/>
      <w:b/>
      <w:bCs/>
    </w:rPr>
  </w:style>
  <w:style w:type="table" w:styleId="LightGrid">
    <w:name w:val="Light Grid"/>
    <w:basedOn w:val="TableNormal"/>
    <w:uiPriority w:val="62"/>
    <w:semiHidden/>
    <w:rsid w:val="001A74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A74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A74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A74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A74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A74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A74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A74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A74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A74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A74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A74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A74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A74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A741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A741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A741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A741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A741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A741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A741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A7416"/>
  </w:style>
  <w:style w:type="paragraph" w:styleId="List">
    <w:name w:val="List"/>
    <w:basedOn w:val="Normal"/>
    <w:uiPriority w:val="98"/>
    <w:semiHidden/>
    <w:rsid w:val="001A7416"/>
    <w:pPr>
      <w:ind w:left="283" w:hanging="283"/>
      <w:contextualSpacing/>
    </w:pPr>
  </w:style>
  <w:style w:type="paragraph" w:styleId="List20">
    <w:name w:val="List 2"/>
    <w:basedOn w:val="Normal"/>
    <w:uiPriority w:val="98"/>
    <w:semiHidden/>
    <w:rsid w:val="001A7416"/>
    <w:pPr>
      <w:ind w:left="566" w:hanging="283"/>
      <w:contextualSpacing/>
    </w:pPr>
  </w:style>
  <w:style w:type="paragraph" w:styleId="List30">
    <w:name w:val="List 3"/>
    <w:basedOn w:val="Normal"/>
    <w:uiPriority w:val="98"/>
    <w:semiHidden/>
    <w:rsid w:val="001A7416"/>
    <w:pPr>
      <w:ind w:left="849" w:hanging="283"/>
      <w:contextualSpacing/>
    </w:pPr>
  </w:style>
  <w:style w:type="paragraph" w:styleId="List4">
    <w:name w:val="List 4"/>
    <w:basedOn w:val="Normal"/>
    <w:uiPriority w:val="98"/>
    <w:semiHidden/>
    <w:rsid w:val="001A7416"/>
    <w:pPr>
      <w:ind w:left="1132" w:hanging="283"/>
      <w:contextualSpacing/>
    </w:pPr>
  </w:style>
  <w:style w:type="paragraph" w:styleId="List5">
    <w:name w:val="List 5"/>
    <w:basedOn w:val="Normal"/>
    <w:uiPriority w:val="98"/>
    <w:semiHidden/>
    <w:rsid w:val="001A7416"/>
    <w:pPr>
      <w:ind w:left="1415" w:hanging="283"/>
      <w:contextualSpacing/>
    </w:pPr>
  </w:style>
  <w:style w:type="paragraph" w:styleId="ListBullet2">
    <w:name w:val="List Bullet 2"/>
    <w:basedOn w:val="Normal"/>
    <w:uiPriority w:val="98"/>
    <w:semiHidden/>
    <w:rsid w:val="001A7416"/>
    <w:pPr>
      <w:numPr>
        <w:numId w:val="95"/>
      </w:numPr>
      <w:contextualSpacing/>
    </w:pPr>
  </w:style>
  <w:style w:type="paragraph" w:styleId="ListBullet4">
    <w:name w:val="List Bullet 4"/>
    <w:basedOn w:val="Normal"/>
    <w:uiPriority w:val="98"/>
    <w:semiHidden/>
    <w:rsid w:val="001A7416"/>
    <w:pPr>
      <w:numPr>
        <w:numId w:val="97"/>
      </w:numPr>
      <w:contextualSpacing/>
    </w:pPr>
  </w:style>
  <w:style w:type="paragraph" w:styleId="ListBullet5">
    <w:name w:val="List Bullet 5"/>
    <w:basedOn w:val="Normal"/>
    <w:uiPriority w:val="98"/>
    <w:semiHidden/>
    <w:rsid w:val="001A7416"/>
    <w:pPr>
      <w:numPr>
        <w:numId w:val="98"/>
      </w:numPr>
      <w:contextualSpacing/>
    </w:pPr>
  </w:style>
  <w:style w:type="paragraph" w:styleId="ListContinue">
    <w:name w:val="List Continue"/>
    <w:basedOn w:val="Normal"/>
    <w:uiPriority w:val="98"/>
    <w:semiHidden/>
    <w:rsid w:val="001A7416"/>
    <w:pPr>
      <w:spacing w:after="120"/>
      <w:ind w:left="283"/>
      <w:contextualSpacing/>
    </w:pPr>
  </w:style>
  <w:style w:type="paragraph" w:styleId="ListContinue2">
    <w:name w:val="List Continue 2"/>
    <w:basedOn w:val="Normal"/>
    <w:uiPriority w:val="98"/>
    <w:semiHidden/>
    <w:rsid w:val="001A7416"/>
    <w:pPr>
      <w:spacing w:after="120"/>
      <w:ind w:left="566"/>
      <w:contextualSpacing/>
    </w:pPr>
  </w:style>
  <w:style w:type="paragraph" w:styleId="ListContinue3">
    <w:name w:val="List Continue 3"/>
    <w:basedOn w:val="Normal"/>
    <w:uiPriority w:val="98"/>
    <w:semiHidden/>
    <w:rsid w:val="001A7416"/>
    <w:pPr>
      <w:spacing w:after="120"/>
      <w:ind w:left="849"/>
      <w:contextualSpacing/>
    </w:pPr>
  </w:style>
  <w:style w:type="paragraph" w:styleId="ListContinue4">
    <w:name w:val="List Continue 4"/>
    <w:basedOn w:val="Normal"/>
    <w:uiPriority w:val="98"/>
    <w:semiHidden/>
    <w:rsid w:val="001A7416"/>
    <w:pPr>
      <w:spacing w:after="120"/>
      <w:ind w:left="1132"/>
      <w:contextualSpacing/>
    </w:pPr>
  </w:style>
  <w:style w:type="paragraph" w:styleId="ListContinue5">
    <w:name w:val="List Continue 5"/>
    <w:basedOn w:val="Normal"/>
    <w:uiPriority w:val="98"/>
    <w:semiHidden/>
    <w:rsid w:val="001A7416"/>
    <w:pPr>
      <w:spacing w:after="120"/>
      <w:ind w:left="1415"/>
      <w:contextualSpacing/>
    </w:pPr>
  </w:style>
  <w:style w:type="paragraph" w:styleId="ListNumber">
    <w:name w:val="List Number"/>
    <w:basedOn w:val="Normal"/>
    <w:uiPriority w:val="98"/>
    <w:semiHidden/>
    <w:rsid w:val="001A7416"/>
    <w:pPr>
      <w:numPr>
        <w:numId w:val="99"/>
      </w:numPr>
      <w:contextualSpacing/>
    </w:pPr>
  </w:style>
  <w:style w:type="paragraph" w:styleId="ListNumber2">
    <w:name w:val="List Number 2"/>
    <w:basedOn w:val="Normal"/>
    <w:uiPriority w:val="98"/>
    <w:semiHidden/>
    <w:rsid w:val="001A7416"/>
    <w:pPr>
      <w:numPr>
        <w:numId w:val="100"/>
      </w:numPr>
      <w:contextualSpacing/>
    </w:pPr>
  </w:style>
  <w:style w:type="paragraph" w:styleId="ListNumber3">
    <w:name w:val="List Number 3"/>
    <w:basedOn w:val="Normal"/>
    <w:uiPriority w:val="98"/>
    <w:semiHidden/>
    <w:rsid w:val="001A7416"/>
    <w:pPr>
      <w:numPr>
        <w:numId w:val="101"/>
      </w:numPr>
      <w:contextualSpacing/>
    </w:pPr>
  </w:style>
  <w:style w:type="paragraph" w:styleId="ListNumber4">
    <w:name w:val="List Number 4"/>
    <w:basedOn w:val="Normal"/>
    <w:uiPriority w:val="98"/>
    <w:semiHidden/>
    <w:rsid w:val="001A7416"/>
    <w:pPr>
      <w:numPr>
        <w:numId w:val="102"/>
      </w:numPr>
      <w:contextualSpacing/>
    </w:pPr>
  </w:style>
  <w:style w:type="paragraph" w:styleId="ListNumber5">
    <w:name w:val="List Number 5"/>
    <w:basedOn w:val="Normal"/>
    <w:uiPriority w:val="98"/>
    <w:semiHidden/>
    <w:rsid w:val="001A7416"/>
    <w:pPr>
      <w:numPr>
        <w:numId w:val="103"/>
      </w:numPr>
      <w:contextualSpacing/>
    </w:pPr>
  </w:style>
  <w:style w:type="paragraph" w:styleId="Macro">
    <w:name w:val="macro"/>
    <w:link w:val="MacroTextChar"/>
    <w:uiPriority w:val="98"/>
    <w:semiHidden/>
    <w:rsid w:val="001A741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A7416"/>
    <w:rPr>
      <w:rFonts w:ascii="Consolas" w:hAnsi="Consolas" w:eastAsiaTheme="minorEastAsia" w:cs="Consolas"/>
      <w:sz w:val="20"/>
      <w:szCs w:val="20"/>
    </w:rPr>
  </w:style>
  <w:style w:type="table" w:styleId="MediumGrid1">
    <w:name w:val="Medium Grid 1"/>
    <w:basedOn w:val="TableNormal"/>
    <w:uiPriority w:val="67"/>
    <w:semiHidden/>
    <w:rsid w:val="001A74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A74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A74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A74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A74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A74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A74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A74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A741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A741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A741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A741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A741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A741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A741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A74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A74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A74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A74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A74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A74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A74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A74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A74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A74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A741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A7416"/>
    <w:rPr>
      <w:rFonts w:ascii="Times New Roman" w:hAnsi="Times New Roman" w:cs="Times New Roman"/>
    </w:rPr>
  </w:style>
  <w:style w:type="paragraph" w:styleId="NormalIndent">
    <w:name w:val="Normal Indent"/>
    <w:basedOn w:val="Normal"/>
    <w:uiPriority w:val="98"/>
    <w:semiHidden/>
    <w:rsid w:val="001A7416"/>
    <w:pPr>
      <w:ind w:left="720"/>
    </w:pPr>
  </w:style>
  <w:style w:type="paragraph" w:styleId="NoteHeading">
    <w:name w:val="Note Heading"/>
    <w:basedOn w:val="Normal"/>
    <w:next w:val="Normal"/>
    <w:link w:val="NoteHeadingChar"/>
    <w:uiPriority w:val="98"/>
    <w:semiHidden/>
    <w:rsid w:val="001A7416"/>
  </w:style>
  <w:style w:type="character" w:customStyle="1" w:styleId="NoteHeadingChar">
    <w:name w:val="Note Heading Char"/>
    <w:basedOn w:val="DefaultParagraphFont"/>
    <w:link w:val="NoteHeading"/>
    <w:uiPriority w:val="98"/>
    <w:semiHidden/>
    <w:rsid w:val="001A7416"/>
    <w:rPr>
      <w:sz w:val="24"/>
      <w:szCs w:val="24"/>
      <w:lang w:val="en-GB"/>
    </w:rPr>
  </w:style>
  <w:style w:type="character" w:styleId="PlaceholderText">
    <w:name w:val="Placeholder Text"/>
    <w:basedOn w:val="DefaultParagraphFont"/>
    <w:uiPriority w:val="98"/>
    <w:semiHidden/>
    <w:rsid w:val="001A741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A7416"/>
    <w:rPr>
      <w:rFonts w:ascii="Consolas" w:hAnsi="Consolas" w:cs="Consolas"/>
      <w:sz w:val="21"/>
      <w:szCs w:val="21"/>
    </w:rPr>
  </w:style>
  <w:style w:type="character" w:customStyle="1" w:styleId="PlainTextChar">
    <w:name w:val="Plain Text Char"/>
    <w:basedOn w:val="DefaultParagraphFont"/>
    <w:link w:val="PlainText"/>
    <w:uiPriority w:val="98"/>
    <w:semiHidden/>
    <w:rsid w:val="001A7416"/>
    <w:rPr>
      <w:rFonts w:ascii="Consolas" w:hAnsi="Consolas" w:cs="Consolas"/>
      <w:sz w:val="21"/>
      <w:szCs w:val="21"/>
      <w:lang w:val="en-GB"/>
    </w:rPr>
  </w:style>
  <w:style w:type="paragraph" w:styleId="Salutation">
    <w:name w:val="Salutation"/>
    <w:basedOn w:val="Normal"/>
    <w:next w:val="Normal"/>
    <w:link w:val="SalutationChar"/>
    <w:uiPriority w:val="98"/>
    <w:semiHidden/>
    <w:rsid w:val="001A7416"/>
  </w:style>
  <w:style w:type="character" w:customStyle="1" w:styleId="SalutationChar">
    <w:name w:val="Salutation Char"/>
    <w:basedOn w:val="DefaultParagraphFont"/>
    <w:link w:val="Salutation"/>
    <w:uiPriority w:val="98"/>
    <w:semiHidden/>
    <w:rsid w:val="001A7416"/>
    <w:rPr>
      <w:sz w:val="24"/>
      <w:szCs w:val="24"/>
      <w:lang w:val="en-GB"/>
    </w:rPr>
  </w:style>
  <w:style w:type="paragraph" w:styleId="Signature0">
    <w:name w:val="Signature"/>
    <w:basedOn w:val="Normal"/>
    <w:link w:val="SignatureChar"/>
    <w:uiPriority w:val="98"/>
    <w:semiHidden/>
    <w:rsid w:val="001A7416"/>
    <w:pPr>
      <w:ind w:left="4252"/>
    </w:pPr>
  </w:style>
  <w:style w:type="character" w:customStyle="1" w:styleId="SignatureChar">
    <w:name w:val="Signature Char"/>
    <w:basedOn w:val="DefaultParagraphFont"/>
    <w:link w:val="Signature0"/>
    <w:uiPriority w:val="98"/>
    <w:semiHidden/>
    <w:rsid w:val="001A7416"/>
    <w:rPr>
      <w:sz w:val="24"/>
      <w:szCs w:val="24"/>
      <w:lang w:val="en-GB"/>
    </w:rPr>
  </w:style>
  <w:style w:type="table" w:styleId="Table3Deffects1">
    <w:name w:val="Table 3D effects 1"/>
    <w:basedOn w:val="TableNormal"/>
    <w:uiPriority w:val="99"/>
    <w:semiHidden/>
    <w:unhideWhenUsed/>
    <w:rsid w:val="001A741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A741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A741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A741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A741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A741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A741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A741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A741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A741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A741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A741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A741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A741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A741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A741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A741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A74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A741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A741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A741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A74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A741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A741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A741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A741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A741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A741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A74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A74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A74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A741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A74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A7416"/>
    <w:pPr>
      <w:ind w:left="240" w:hanging="240"/>
    </w:pPr>
  </w:style>
  <w:style w:type="paragraph" w:styleId="TableofFigures">
    <w:name w:val="table of figures"/>
    <w:basedOn w:val="Normal"/>
    <w:next w:val="Normal"/>
    <w:uiPriority w:val="98"/>
    <w:semiHidden/>
    <w:rsid w:val="001A7416"/>
  </w:style>
  <w:style w:type="table" w:styleId="TableProfessional">
    <w:name w:val="Table Professional"/>
    <w:basedOn w:val="TableNormal"/>
    <w:uiPriority w:val="99"/>
    <w:semiHidden/>
    <w:unhideWhenUsed/>
    <w:rsid w:val="001A74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A741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A741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A741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A741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A741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A741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A741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A741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A741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A741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A741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A7416"/>
    <w:pPr>
      <w:spacing w:after="100"/>
      <w:ind w:left="1680"/>
    </w:pPr>
  </w:style>
  <w:style w:type="paragraph" w:styleId="TOC9">
    <w:name w:val="toc 9"/>
    <w:basedOn w:val="Normal"/>
    <w:next w:val="Normal"/>
    <w:autoRedefine/>
    <w:uiPriority w:val="98"/>
    <w:semiHidden/>
    <w:rsid w:val="001A741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A741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A741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A741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A741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A7416"/>
    <w:pPr>
      <w:numPr>
        <w:numId w:val="110"/>
      </w:numPr>
      <w:spacing w:before="60" w:after="60"/>
    </w:pPr>
  </w:style>
  <w:style w:type="paragraph" w:customStyle="1" w:styleId="ECHRBullet2">
    <w:name w:val="ECHR_Bullet_2"/>
    <w:aliases w:val="_Bul_2"/>
    <w:basedOn w:val="ECHRBullet1"/>
    <w:uiPriority w:val="23"/>
    <w:semiHidden/>
    <w:rsid w:val="001A7416"/>
    <w:pPr>
      <w:numPr>
        <w:ilvl w:val="1"/>
      </w:numPr>
    </w:pPr>
  </w:style>
  <w:style w:type="paragraph" w:customStyle="1" w:styleId="ECHRBullet3">
    <w:name w:val="ECHR_Bullet_3"/>
    <w:aliases w:val="_Bul_3"/>
    <w:basedOn w:val="ECHRBullet2"/>
    <w:uiPriority w:val="23"/>
    <w:semiHidden/>
    <w:rsid w:val="001A7416"/>
    <w:pPr>
      <w:numPr>
        <w:ilvl w:val="2"/>
      </w:numPr>
    </w:pPr>
  </w:style>
  <w:style w:type="paragraph" w:customStyle="1" w:styleId="ECHRBullet4">
    <w:name w:val="ECHR_Bullet_4"/>
    <w:aliases w:val="_Bul_4"/>
    <w:basedOn w:val="ECHRBullet3"/>
    <w:uiPriority w:val="23"/>
    <w:semiHidden/>
    <w:rsid w:val="001A7416"/>
    <w:pPr>
      <w:numPr>
        <w:ilvl w:val="3"/>
      </w:numPr>
    </w:pPr>
  </w:style>
  <w:style w:type="paragraph" w:customStyle="1" w:styleId="ECHRConfidential">
    <w:name w:val="ECHR_Confidential"/>
    <w:aliases w:val="_Confidential"/>
    <w:basedOn w:val="Normal"/>
    <w:next w:val="Normal"/>
    <w:uiPriority w:val="42"/>
    <w:semiHidden/>
    <w:qFormat/>
    <w:rsid w:val="001A7416"/>
    <w:pPr>
      <w:jc w:val="right"/>
    </w:pPr>
    <w:rPr>
      <w:color w:val="C00000"/>
      <w:sz w:val="20"/>
    </w:rPr>
  </w:style>
  <w:style w:type="paragraph" w:customStyle="1" w:styleId="ECHRDecisionBody">
    <w:name w:val="ECHR_Decision_Body"/>
    <w:aliases w:val="_Decision_Body"/>
    <w:basedOn w:val="NormalJustified"/>
    <w:uiPriority w:val="54"/>
    <w:semiHidden/>
    <w:rsid w:val="001A741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A741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A741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A741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A7416"/>
    <w:pPr>
      <w:jc w:val="right"/>
    </w:pPr>
    <w:rPr>
      <w:sz w:val="20"/>
    </w:rPr>
  </w:style>
  <w:style w:type="paragraph" w:customStyle="1" w:styleId="ECHRHeaderRefIt">
    <w:name w:val="ECHR_Header_Ref_It"/>
    <w:aliases w:val="_Ref_Ital"/>
    <w:basedOn w:val="Normal"/>
    <w:next w:val="ECHRHeaderDate"/>
    <w:uiPriority w:val="43"/>
    <w:semiHidden/>
    <w:qFormat/>
    <w:rsid w:val="001A7416"/>
    <w:pPr>
      <w:jc w:val="right"/>
    </w:pPr>
    <w:rPr>
      <w:i/>
      <w:sz w:val="20"/>
    </w:rPr>
  </w:style>
  <w:style w:type="paragraph" w:customStyle="1" w:styleId="ECHRHeading9">
    <w:name w:val="ECHR_Heading_9"/>
    <w:aliases w:val="_Head_9"/>
    <w:basedOn w:val="Heading9"/>
    <w:uiPriority w:val="17"/>
    <w:semiHidden/>
    <w:rsid w:val="001A7416"/>
    <w:pPr>
      <w:keepNext/>
      <w:keepLines/>
      <w:numPr>
        <w:ilvl w:val="8"/>
        <w:numId w:val="1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A741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A7416"/>
    <w:pPr>
      <w:numPr>
        <w:numId w:val="114"/>
      </w:numPr>
      <w:spacing w:before="60" w:after="60"/>
    </w:pPr>
  </w:style>
  <w:style w:type="paragraph" w:customStyle="1" w:styleId="ECHRNumberedList2">
    <w:name w:val="ECHR_Numbered_List_2"/>
    <w:aliases w:val="_Num_2"/>
    <w:basedOn w:val="ECHRNumberedList1"/>
    <w:uiPriority w:val="23"/>
    <w:semiHidden/>
    <w:rsid w:val="001A7416"/>
    <w:pPr>
      <w:numPr>
        <w:ilvl w:val="1"/>
      </w:numPr>
    </w:pPr>
  </w:style>
  <w:style w:type="paragraph" w:customStyle="1" w:styleId="ECHRNumberedList3">
    <w:name w:val="ECHR_Numbered_List_3"/>
    <w:aliases w:val="_Num_3"/>
    <w:basedOn w:val="ECHRNumberedList2"/>
    <w:uiPriority w:val="23"/>
    <w:semiHidden/>
    <w:rsid w:val="001A7416"/>
    <w:pPr>
      <w:numPr>
        <w:ilvl w:val="2"/>
      </w:numPr>
    </w:pPr>
  </w:style>
  <w:style w:type="paragraph" w:customStyle="1" w:styleId="ECHRParaHanging">
    <w:name w:val="ECHR_Para_Hanging"/>
    <w:aliases w:val="_Hanging"/>
    <w:basedOn w:val="NormalJustified"/>
    <w:uiPriority w:val="8"/>
    <w:semiHidden/>
    <w:qFormat/>
    <w:rsid w:val="001A7416"/>
    <w:pPr>
      <w:ind w:left="567" w:hanging="567"/>
    </w:pPr>
  </w:style>
  <w:style w:type="paragraph" w:customStyle="1" w:styleId="ECHRParaIndent">
    <w:name w:val="ECHR_Para_Indent"/>
    <w:aliases w:val="_Indent"/>
    <w:basedOn w:val="NormalJustified"/>
    <w:uiPriority w:val="7"/>
    <w:semiHidden/>
    <w:qFormat/>
    <w:rsid w:val="001A7416"/>
    <w:pPr>
      <w:spacing w:before="120" w:after="120"/>
      <w:ind w:left="284"/>
    </w:pPr>
  </w:style>
  <w:style w:type="character" w:customStyle="1" w:styleId="ECHRRed">
    <w:name w:val="ECHR_Red"/>
    <w:aliases w:val="_Red"/>
    <w:basedOn w:val="DefaultParagraphFont"/>
    <w:uiPriority w:val="15"/>
    <w:semiHidden/>
    <w:qFormat/>
    <w:rsid w:val="001A7416"/>
    <w:rPr>
      <w:color w:val="C00000" w:themeColor="accent2"/>
    </w:rPr>
  </w:style>
  <w:style w:type="paragraph" w:customStyle="1" w:styleId="DecList">
    <w:name w:val="Dec_List"/>
    <w:aliases w:val="_List"/>
    <w:basedOn w:val="JuList"/>
    <w:uiPriority w:val="22"/>
    <w:rsid w:val="001A7416"/>
    <w:pPr>
      <w:numPr>
        <w:numId w:val="0"/>
      </w:numPr>
      <w:ind w:left="284"/>
    </w:pPr>
  </w:style>
  <w:style w:type="table" w:customStyle="1" w:styleId="ECHRTable2">
    <w:name w:val="ECHR_Table_2"/>
    <w:basedOn w:val="TableNormal"/>
    <w:uiPriority w:val="99"/>
    <w:rsid w:val="001A741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A74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A741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A741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A741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A741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A741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A741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A7416"/>
    <w:pPr>
      <w:outlineLvl w:val="0"/>
    </w:pPr>
  </w:style>
  <w:style w:type="paragraph" w:customStyle="1" w:styleId="ECHRTitleTOC1">
    <w:name w:val="ECHR_Title_TOC_1"/>
    <w:aliases w:val="_Title_L_TOC"/>
    <w:basedOn w:val="ECHRTitle1"/>
    <w:next w:val="Normal"/>
    <w:uiPriority w:val="27"/>
    <w:semiHidden/>
    <w:qFormat/>
    <w:rsid w:val="001A7416"/>
    <w:pPr>
      <w:outlineLvl w:val="0"/>
    </w:pPr>
  </w:style>
  <w:style w:type="paragraph" w:customStyle="1" w:styleId="ECHRPlaceholder">
    <w:name w:val="ECHR_Placeholder"/>
    <w:aliases w:val="_Placeholder"/>
    <w:basedOn w:val="JuSigned"/>
    <w:uiPriority w:val="31"/>
    <w:rsid w:val="001A7416"/>
    <w:rPr>
      <w:color w:val="FFFFFF"/>
    </w:rPr>
  </w:style>
  <w:style w:type="paragraph" w:customStyle="1" w:styleId="ECHRSpacer">
    <w:name w:val="ECHR_Spacer"/>
    <w:aliases w:val="_Spacer"/>
    <w:basedOn w:val="Normal"/>
    <w:uiPriority w:val="45"/>
    <w:semiHidden/>
    <w:rsid w:val="001A7416"/>
    <w:rPr>
      <w:sz w:val="4"/>
    </w:rPr>
  </w:style>
  <w:style w:type="table" w:customStyle="1" w:styleId="ECHRTableGrey">
    <w:name w:val="ECHR_Table_Grey"/>
    <w:basedOn w:val="TableNormal"/>
    <w:uiPriority w:val="99"/>
    <w:rsid w:val="001A741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A7416"/>
    <w:rPr>
      <w:color w:val="605E5C"/>
      <w:shd w:val="clear" w:color="auto" w:fill="E1DFDD"/>
    </w:rPr>
  </w:style>
  <w:style w:type="character" w:customStyle="1" w:styleId="JuParaChar">
    <w:name w:val="Ju_Para Char"/>
    <w:aliases w:val="_Para Char"/>
    <w:link w:val="JuPara"/>
    <w:uiPriority w:val="4"/>
    <w:rsid w:val="007E19C9"/>
    <w:rPr>
      <w:sz w:val="24"/>
      <w:szCs w:val="24"/>
      <w:lang w:val="en-GB"/>
    </w:rPr>
  </w:style>
  <w:style w:type="table" w:styleId="GridTable1Light">
    <w:name w:val="Grid Table 1 Light"/>
    <w:basedOn w:val="TableNormal"/>
    <w:uiPriority w:val="46"/>
    <w:semiHidden/>
    <w:rsid w:val="001A741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A741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A741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A741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A741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A741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A741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A741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A741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A741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A741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A741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A741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A741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A74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A74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A74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A74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A74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A74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A74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A74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A74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A74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A74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A74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A74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A74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A741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A74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A74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A74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A741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A74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A74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A74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A741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A741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A741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A741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A741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A741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A741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A7416"/>
    <w:rPr>
      <w:color w:val="2B579A"/>
      <w:shd w:val="clear" w:color="auto" w:fill="E1DFDD"/>
    </w:rPr>
  </w:style>
  <w:style w:type="table" w:styleId="ListTable1Light">
    <w:name w:val="List Table 1 Light"/>
    <w:basedOn w:val="TableNormal"/>
    <w:uiPriority w:val="46"/>
    <w:semiHidden/>
    <w:rsid w:val="001A741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A741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A741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A741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A741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A741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A741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A741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A741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A741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A741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A741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A741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A741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A741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A741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A741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A741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A741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A741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A741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A74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A741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A741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A741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A741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A741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A741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A741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A741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A741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A741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A741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A741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A741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A741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A741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A741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A741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A741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A741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A741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A741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A741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A741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A741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A741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A741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A741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A7416"/>
    <w:rPr>
      <w:color w:val="2B579A"/>
      <w:shd w:val="clear" w:color="auto" w:fill="E1DFDD"/>
    </w:rPr>
  </w:style>
  <w:style w:type="table" w:styleId="PlainTable1">
    <w:name w:val="Plain Table 1"/>
    <w:basedOn w:val="TableNormal"/>
    <w:uiPriority w:val="41"/>
    <w:semiHidden/>
    <w:rsid w:val="001A74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A741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A74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A74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A74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A7416"/>
    <w:rPr>
      <w:u w:val="dotted"/>
    </w:rPr>
  </w:style>
  <w:style w:type="character" w:styleId="SmartLink">
    <w:name w:val="Smart Link"/>
    <w:basedOn w:val="DefaultParagraphFont"/>
    <w:uiPriority w:val="99"/>
    <w:semiHidden/>
    <w:unhideWhenUsed/>
    <w:rsid w:val="001A7416"/>
    <w:rPr>
      <w:color w:val="0000FF"/>
      <w:u w:val="single"/>
      <w:shd w:val="clear" w:color="auto" w:fill="F3F2F1"/>
    </w:rPr>
  </w:style>
  <w:style w:type="table" w:styleId="GridTableLight">
    <w:name w:val="Grid Table Light"/>
    <w:basedOn w:val="TableNormal"/>
    <w:uiPriority w:val="40"/>
    <w:semiHidden/>
    <w:rsid w:val="001A74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2771</Words>
  <Characters>14133</Characters>
  <Application>Microsoft Office Word</Application>
  <DocSecurity>0</DocSecurity>
  <Lines>282</Lines>
  <Paragraphs>94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2026-04-08T13:25:00Z</dcterms:created>
  <dcterms:modified xsi:type="dcterms:W3CDTF">2026-04-08T13:28:00Z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1858641</vt:lpwstr>
  </property>
  <property fmtid="{D5CDD505-2E9C-101B-9397-08002B2CF9AE}" pid="3" name="cstLanguage">
    <vt:i4>2057</vt:i4>
  </property>
  <property fmtid="{D5CDD505-2E9C-101B-9397-08002B2CF9AE}" pid="4" name="RegisteredNo">
    <vt:lpwstr>19376/23</vt:lpwstr>
  </property>
</Properties>
</file>