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072A20" w:rsidR="00290837" w:rsidP="00072A20" w14:paraId="22CB3569" w14:textId="77777777">
      <w:pPr>
        <w:jc w:val="center"/>
        <w:rPr>
          <w:rFonts w:ascii="Times New Roman" w:hAnsi="Times New Roman" w:cs="Times New Roman"/>
          <w:noProof/>
        </w:rPr>
      </w:pPr>
    </w:p>
    <w:p w:rsidRPr="00072A20" w:rsidR="0098410D" w:rsidP="00072A20" w14:paraId="68CCBE2E" w14:textId="77777777">
      <w:pPr>
        <w:jc w:val="center"/>
      </w:pPr>
    </w:p>
    <w:p w:rsidRPr="00072A20" w:rsidR="0098410D" w:rsidP="00072A20" w14:paraId="11A8DE07" w14:textId="77777777">
      <w:pPr>
        <w:pStyle w:val="DecHTitle"/>
      </w:pPr>
      <w:r w:rsidRPr="00072A20">
        <w:t>FIFTH SECTION</w:t>
      </w:r>
    </w:p>
    <w:p w:rsidRPr="00072A20" w:rsidR="008E6217" w:rsidP="00072A20" w14:paraId="165A7AED" w14:textId="77777777">
      <w:pPr>
        <w:pStyle w:val="JuTitle"/>
      </w:pPr>
      <w:r w:rsidRPr="00072A20">
        <w:rPr>
          <w:color w:val="000000" w:themeColor="text1"/>
        </w:rPr>
        <w:t xml:space="preserve">CASE OF </w:t>
      </w:r>
      <w:r w:rsidRPr="00072A20" w:rsidR="00290837">
        <w:t>SHABRATSKYY AND SHABRATSKA v. UKRAINE</w:t>
      </w:r>
    </w:p>
    <w:p w:rsidRPr="00072A20" w:rsidR="00D74888" w:rsidP="00072A20" w14:paraId="282A9B68" w14:textId="77777777">
      <w:pPr>
        <w:pStyle w:val="ECHRCoverTitle4"/>
      </w:pPr>
      <w:r w:rsidRPr="00072A20">
        <w:t>(</w:t>
      </w:r>
      <w:r w:rsidRPr="00072A20" w:rsidR="00290837">
        <w:rPr>
          <w:noProof/>
        </w:rPr>
        <w:t>Application no.</w:t>
      </w:r>
      <w:r w:rsidRPr="00072A20">
        <w:t xml:space="preserve"> </w:t>
      </w:r>
      <w:r w:rsidRPr="00072A20" w:rsidR="00290837">
        <w:t>19234/18</w:t>
      </w:r>
      <w:r w:rsidRPr="00072A20">
        <w:t>)</w:t>
      </w:r>
    </w:p>
    <w:p w:rsidRPr="00072A20" w:rsidR="0098410D" w:rsidP="00072A20" w14:paraId="0598BF4C" w14:textId="77777777">
      <w:pPr>
        <w:pStyle w:val="DecHCase"/>
      </w:pPr>
    </w:p>
    <w:p w:rsidRPr="00072A20" w:rsidR="0054716E" w:rsidP="00072A20" w14:paraId="4FEF8A45" w14:textId="77777777">
      <w:pPr>
        <w:pStyle w:val="DecHCase"/>
      </w:pPr>
    </w:p>
    <w:p w:rsidRPr="00072A20" w:rsidR="0054716E" w:rsidP="00072A20" w14:paraId="339853BB" w14:textId="77777777">
      <w:pPr>
        <w:pStyle w:val="DecHCase"/>
      </w:pPr>
    </w:p>
    <w:p w:rsidRPr="00072A20" w:rsidR="0098410D" w:rsidP="00072A20" w14:paraId="75D0FE87" w14:textId="77777777">
      <w:pPr>
        <w:pStyle w:val="DecHCase"/>
      </w:pPr>
    </w:p>
    <w:p w:rsidRPr="00072A20" w:rsidR="00AC4CD4" w:rsidP="00072A20" w14:paraId="6DC179D3" w14:textId="77777777">
      <w:pPr>
        <w:pStyle w:val="DecHCase"/>
      </w:pPr>
    </w:p>
    <w:p w:rsidRPr="00072A20" w:rsidR="0098410D" w:rsidP="00072A20" w14:paraId="326B8C5D" w14:textId="77777777">
      <w:pPr>
        <w:pStyle w:val="DecHCase"/>
      </w:pPr>
    </w:p>
    <w:p w:rsidRPr="00072A20" w:rsidR="0098410D" w:rsidP="00072A20" w14:paraId="62F4973C" w14:textId="77777777">
      <w:pPr>
        <w:pStyle w:val="DecHCase"/>
      </w:pPr>
      <w:r w:rsidRPr="00072A20">
        <w:t>JUDGMENT</w:t>
      </w:r>
      <w:r w:rsidRPr="00072A20" w:rsidR="00AC4CD4">
        <w:br/>
      </w:r>
    </w:p>
    <w:p w:rsidRPr="00072A20" w:rsidR="0098410D" w:rsidP="00072A20" w14:paraId="5C5AD5A0" w14:textId="77777777">
      <w:pPr>
        <w:pStyle w:val="DecHCase"/>
      </w:pPr>
      <w:r w:rsidRPr="00072A20">
        <w:t>STRASBOURG</w:t>
      </w:r>
    </w:p>
    <w:p w:rsidRPr="00072A20" w:rsidR="0098410D" w:rsidP="00072A20" w14:paraId="23C24C7E" w14:textId="77777777">
      <w:pPr>
        <w:pStyle w:val="DecHCase"/>
      </w:pPr>
      <w:r w:rsidRPr="00072A20">
        <w:rPr>
          <w:rFonts w:ascii="Times New Roman" w:hAnsi="Times New Roman" w:cs="Times New Roman"/>
        </w:rPr>
        <w:t>26 March 2026</w:t>
      </w:r>
    </w:p>
    <w:p w:rsidRPr="00072A20" w:rsidR="00AC4CD4" w:rsidP="00072A20" w14:paraId="6FFD50CB" w14:textId="77777777">
      <w:pPr>
        <w:pStyle w:val="JuPara"/>
      </w:pPr>
    </w:p>
    <w:p w:rsidRPr="00072A20" w:rsidR="002422B6" w:rsidP="00072A20" w14:paraId="64115F79" w14:textId="77777777">
      <w:pPr>
        <w:rPr>
          <w:i/>
          <w:sz w:val="22"/>
        </w:rPr>
      </w:pPr>
      <w:r w:rsidRPr="00072A20">
        <w:rPr>
          <w:i/>
          <w:sz w:val="22"/>
        </w:rPr>
        <w:t xml:space="preserve">This judgment </w:t>
      </w:r>
      <w:r w:rsidRPr="00072A20" w:rsidR="00290837">
        <w:rPr>
          <w:i/>
          <w:noProof/>
          <w:sz w:val="22"/>
        </w:rPr>
        <w:t>is final but it</w:t>
      </w:r>
      <w:r w:rsidRPr="00072A20">
        <w:rPr>
          <w:i/>
          <w:sz w:val="22"/>
        </w:rPr>
        <w:t xml:space="preserve"> may be subject to editorial revision.</w:t>
      </w:r>
    </w:p>
    <w:p w:rsidRPr="00072A20" w:rsidR="0098410D" w:rsidP="00072A20" w14:paraId="09889C2C" w14:textId="77777777">
      <w:pPr>
        <w:sectPr w:rsidSect="00D6647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072A20" w:rsidR="0098410D" w:rsidP="00072A20" w14:paraId="58DBF716" w14:textId="77777777">
      <w:pPr>
        <w:pStyle w:val="JuCase"/>
      </w:pPr>
      <w:r w:rsidRPr="00072A20">
        <w:t xml:space="preserve">In the case of </w:t>
      </w:r>
      <w:r w:rsidRPr="00072A20" w:rsidR="00290837">
        <w:t>Shabratskyy and Shabratska v. Ukraine</w:t>
      </w:r>
      <w:r w:rsidRPr="00072A20">
        <w:t>,</w:t>
      </w:r>
    </w:p>
    <w:p w:rsidRPr="00072A20" w:rsidR="009F4C8F" w:rsidP="00072A20" w14:paraId="09A2DC30" w14:textId="0347C7B7">
      <w:pPr>
        <w:pStyle w:val="JuPara"/>
      </w:pPr>
      <w:r w:rsidRPr="00072A20">
        <w:t>The European Court of Human Rights (</w:t>
      </w:r>
      <w:r w:rsidRPr="00072A20" w:rsidR="00290837">
        <w:t>Fifth Section</w:t>
      </w:r>
      <w:r w:rsidRPr="00072A20">
        <w:t>), sitting as a</w:t>
      </w:r>
      <w:r w:rsidRPr="00072A20" w:rsidR="00766761">
        <w:t> </w:t>
      </w:r>
      <w:r w:rsidRPr="00072A20" w:rsidR="00290837">
        <w:rPr>
          <w:noProof/>
        </w:rPr>
        <w:t>Committee</w:t>
      </w:r>
      <w:r w:rsidRPr="00072A20">
        <w:t xml:space="preserve"> composed of:</w:t>
      </w:r>
    </w:p>
    <w:p w:rsidRPr="00072A20" w:rsidR="00A92625" w:rsidP="00072A20" w14:paraId="47E5E512" w14:textId="55AA8657">
      <w:pPr>
        <w:pStyle w:val="JuJudges"/>
      </w:pPr>
      <w:r w:rsidRPr="00072A20">
        <w:tab/>
        <w:t>María Elósegui</w:t>
      </w:r>
      <w:r w:rsidRPr="00072A20">
        <w:rPr>
          <w:i/>
        </w:rPr>
        <w:t>, President</w:t>
      </w:r>
      <w:r w:rsidRPr="00072A20">
        <w:t>,</w:t>
      </w:r>
      <w:r w:rsidRPr="00072A20">
        <w:br/>
      </w:r>
      <w:r w:rsidRPr="00072A20">
        <w:tab/>
        <w:t>Andreas Zünd,</w:t>
      </w:r>
      <w:r w:rsidRPr="00072A20">
        <w:br/>
      </w:r>
      <w:r w:rsidRPr="00072A20">
        <w:tab/>
        <w:t>Mykola Gnatovskyy</w:t>
      </w:r>
      <w:r w:rsidRPr="00072A20">
        <w:rPr>
          <w:i/>
        </w:rPr>
        <w:t>, judges</w:t>
      </w:r>
      <w:r w:rsidRPr="00072A20">
        <w:t>,</w:t>
      </w:r>
      <w:r w:rsidRPr="00072A20" w:rsidR="009F4C8F">
        <w:br/>
        <w:t>and</w:t>
      </w:r>
      <w:r w:rsidRPr="00072A20" w:rsidR="005C2C62">
        <w:t xml:space="preserve"> </w:t>
      </w:r>
      <w:r w:rsidRPr="00072A20" w:rsidR="00290837">
        <w:rPr>
          <w:rFonts w:eastAsia="PMingLiU"/>
          <w:noProof/>
        </w:rPr>
        <w:t>Martina Keller</w:t>
      </w:r>
      <w:r w:rsidRPr="00072A20">
        <w:t xml:space="preserve">, </w:t>
      </w:r>
      <w:r w:rsidRPr="00072A20" w:rsidR="00290837">
        <w:rPr>
          <w:i/>
          <w:iCs/>
          <w:noProof/>
        </w:rPr>
        <w:t xml:space="preserve">Deputy </w:t>
      </w:r>
      <w:r w:rsidRPr="00072A20" w:rsidR="00E744E0">
        <w:rPr>
          <w:i/>
        </w:rPr>
        <w:t xml:space="preserve">Section </w:t>
      </w:r>
      <w:r w:rsidRPr="00072A20" w:rsidR="00E744E0">
        <w:rPr>
          <w:i/>
          <w:iCs/>
        </w:rPr>
        <w:t>Registrar</w:t>
      </w:r>
      <w:r w:rsidRPr="00072A20" w:rsidR="008F2465">
        <w:rPr>
          <w:i/>
        </w:rPr>
        <w:t>,</w:t>
      </w:r>
    </w:p>
    <w:p w:rsidRPr="00072A20" w:rsidR="00290837" w:rsidP="00072A20" w14:paraId="5991AFE4" w14:textId="77777777">
      <w:pPr>
        <w:pStyle w:val="JuPara"/>
      </w:pPr>
      <w:r w:rsidRPr="00072A20">
        <w:t>Having regard to:</w:t>
      </w:r>
    </w:p>
    <w:p w:rsidRPr="00072A20" w:rsidR="00290837" w:rsidP="00072A20" w14:paraId="45159B30" w14:textId="51786416">
      <w:pPr>
        <w:pStyle w:val="JuPara"/>
      </w:pPr>
      <w:r w:rsidRPr="00072A20">
        <w:t>the application (no. 19234/18) against Ukraine lodged with the Court under Article 34 of the Convention for the Protection of Human Rights and Fundamental Freedoms (“the Convention”) on 3 April 2018 by two Ukrainian nationals, Mr Sergiy Grygorovych Shabratskyy (“the first applicant”), who was born in 1965 and died in 2024, and Ms Lyudmyla Ana</w:t>
      </w:r>
      <w:r w:rsidRPr="00072A20" w:rsidR="00CD6423">
        <w:t>niy</w:t>
      </w:r>
      <w:r w:rsidRPr="00072A20">
        <w:t>ivna Shabratska (“the second applicant”), who was born in 196</w:t>
      </w:r>
      <w:r w:rsidRPr="00072A20" w:rsidR="00CD6423">
        <w:t>5</w:t>
      </w:r>
      <w:r w:rsidRPr="00072A20">
        <w:t xml:space="preserve"> and, at the time of the introduction of the application, lived in Pryvillia; the applicants were represented by Ms Y. Zakrevska and Ms O. Mykhalevych, lawyers practising in Kyiv;</w:t>
      </w:r>
    </w:p>
    <w:p w:rsidRPr="00072A20" w:rsidR="00290837" w:rsidP="00072A20" w14:paraId="68EF66B6" w14:textId="77777777">
      <w:pPr>
        <w:pStyle w:val="JuPara"/>
      </w:pPr>
      <w:r w:rsidRPr="00072A20">
        <w:t>the decision to give notice of the application to the Ukrainian Government (“the Government”), represented by their Agent, Ms M. Sokorenko;</w:t>
      </w:r>
    </w:p>
    <w:p w:rsidRPr="00072A20" w:rsidR="00290837" w:rsidP="00072A20" w14:paraId="434451FF" w14:textId="0914AEA2">
      <w:pPr>
        <w:pStyle w:val="JuPara"/>
      </w:pPr>
      <w:r w:rsidRPr="00072A20">
        <w:t>the parties</w:t>
      </w:r>
      <w:r w:rsidRPr="00072A20" w:rsidR="00072A20">
        <w:t>’</w:t>
      </w:r>
      <w:r w:rsidRPr="00072A20">
        <w:t xml:space="preserve"> observations;</w:t>
      </w:r>
    </w:p>
    <w:p w:rsidRPr="00072A20" w:rsidR="00290837" w:rsidP="00072A20" w14:paraId="2F0A8379" w14:textId="77777777">
      <w:pPr>
        <w:pStyle w:val="JuPara"/>
      </w:pPr>
    </w:p>
    <w:p w:rsidRPr="00072A20" w:rsidR="009F4C8F" w:rsidP="00072A20" w14:paraId="416278A5" w14:textId="77777777">
      <w:pPr>
        <w:pStyle w:val="JuPara"/>
      </w:pPr>
      <w:r w:rsidRPr="00072A20">
        <w:t xml:space="preserve">Having deliberated in private on </w:t>
      </w:r>
      <w:r w:rsidRPr="00072A20" w:rsidR="00290837">
        <w:t>5 March 2026</w:t>
      </w:r>
      <w:r w:rsidRPr="00072A20">
        <w:t>,</w:t>
      </w:r>
    </w:p>
    <w:p w:rsidRPr="00072A20" w:rsidR="009F4C8F" w:rsidP="00072A20" w14:paraId="79BB3AEA" w14:textId="77777777">
      <w:pPr>
        <w:pStyle w:val="JuPara"/>
      </w:pPr>
      <w:r w:rsidRPr="00072A20">
        <w:t>Delivers the following judgment, which was adopted on that date:</w:t>
      </w:r>
    </w:p>
    <w:p w:rsidRPr="00072A20" w:rsidR="00290837" w:rsidP="00072A20" w14:paraId="1ED00F35" w14:textId="77777777">
      <w:pPr>
        <w:pStyle w:val="JuHHead"/>
        <w:numPr>
          <w:ilvl w:val="0"/>
          <w:numId w:val="0"/>
        </w:numPr>
      </w:pPr>
      <w:r w:rsidRPr="00072A20">
        <w:t>SUBJECT MATTER OF THE CASE</w:t>
      </w:r>
    </w:p>
    <w:p w:rsidRPr="00072A20" w:rsidR="00290837" w:rsidP="00072A20" w14:paraId="2EE422D2" w14:textId="2F3F56B2">
      <w:pPr>
        <w:pStyle w:val="JuPara"/>
      </w:pPr>
      <w:r>
        <w:fldChar w:fldCharType="begin"/>
      </w:r>
      <w:r>
        <w:instrText xml:space="preserve"> SEQ level0 \*arabic \* MERGEFORMAT </w:instrText>
      </w:r>
      <w:r>
        <w:fldChar w:fldCharType="separate"/>
      </w:r>
      <w:r w:rsidRPr="00072A20" w:rsidR="00072A20">
        <w:rPr>
          <w:noProof/>
        </w:rPr>
        <w:t>1</w:t>
      </w:r>
      <w:r w:rsidRPr="00072A20" w:rsidR="00072A20">
        <w:rPr>
          <w:noProof/>
        </w:rPr>
        <w:fldChar w:fldCharType="end"/>
      </w:r>
      <w:r w:rsidRPr="00072A20">
        <w:t>.  The case concerns the death of the applicants</w:t>
      </w:r>
      <w:r w:rsidRPr="00072A20" w:rsidR="00072A20">
        <w:t>’</w:t>
      </w:r>
      <w:r w:rsidRPr="00072A20">
        <w:t xml:space="preserve"> son in the army, reportedly by suicide, and the related domestic investigation. It raises issues under Article 2 of the Convention.</w:t>
      </w:r>
    </w:p>
    <w:p w:rsidRPr="00072A20" w:rsidR="00290837" w:rsidP="00072A20" w14:paraId="01189F78" w14:textId="56CFD1A0">
      <w:pPr>
        <w:pStyle w:val="JuPara"/>
      </w:pPr>
      <w:r>
        <w:fldChar w:fldCharType="begin"/>
      </w:r>
      <w:r>
        <w:instrText xml:space="preserve"> SEQ level0 \*arabic \* MERGEFORMAT </w:instrText>
      </w:r>
      <w:r>
        <w:fldChar w:fldCharType="separate"/>
      </w:r>
      <w:r w:rsidRPr="00072A20" w:rsidR="00072A20">
        <w:rPr>
          <w:noProof/>
        </w:rPr>
        <w:t>2</w:t>
      </w:r>
      <w:r w:rsidRPr="00072A20" w:rsidR="00072A20">
        <w:rPr>
          <w:noProof/>
        </w:rPr>
        <w:fldChar w:fldCharType="end"/>
      </w:r>
      <w:r w:rsidRPr="00072A20">
        <w:t>.  At the time of the events the applicants</w:t>
      </w:r>
      <w:r w:rsidRPr="00072A20" w:rsidR="00072A20">
        <w:t>’</w:t>
      </w:r>
      <w:r w:rsidRPr="00072A20">
        <w:t xml:space="preserve"> son, D.Sh., was the commander of a reconnaissance and sabotage squad within the Aidar military unit based in Lysychansk and fighting in Eastern Ukraine under the command of the</w:t>
      </w:r>
      <w:r w:rsidRPr="00072A20" w:rsidR="00766761">
        <w:t> </w:t>
      </w:r>
      <w:r w:rsidRPr="00072A20">
        <w:t>Ministry of Defence of Ukraine.</w:t>
      </w:r>
    </w:p>
    <w:p w:rsidRPr="00072A20" w:rsidR="00290837" w:rsidP="00072A20" w14:paraId="28AA7585" w14:textId="03799CA0">
      <w:pPr>
        <w:pStyle w:val="JuPara"/>
      </w:pPr>
      <w:r>
        <w:fldChar w:fldCharType="begin"/>
      </w:r>
      <w:r>
        <w:instrText xml:space="preserve"> SEQ level0 \*arabic \* MERGEFORMAT </w:instrText>
      </w:r>
      <w:r>
        <w:fldChar w:fldCharType="separate"/>
      </w:r>
      <w:r w:rsidRPr="00072A20" w:rsidR="00072A20">
        <w:rPr>
          <w:noProof/>
        </w:rPr>
        <w:t>3</w:t>
      </w:r>
      <w:r w:rsidRPr="00072A20" w:rsidR="00072A20">
        <w:rPr>
          <w:noProof/>
        </w:rPr>
        <w:fldChar w:fldCharType="end"/>
      </w:r>
      <w:r w:rsidRPr="00072A20">
        <w:t>.  The applicants stated that D.Sh. had accused his superiors, I.R. and A.Y., the commanders of the company and the platoon to which his squad belonged, of various unlawful activities.</w:t>
      </w:r>
    </w:p>
    <w:p w:rsidRPr="00072A20" w:rsidR="00290837" w:rsidP="00072A20" w14:paraId="2E6B2844" w14:textId="42623E1D">
      <w:pPr>
        <w:pStyle w:val="JuPara"/>
      </w:pPr>
      <w:r>
        <w:fldChar w:fldCharType="begin"/>
      </w:r>
      <w:r>
        <w:instrText xml:space="preserve"> SEQ level0 \*arabic \* MERGEFORMAT </w:instrText>
      </w:r>
      <w:r>
        <w:fldChar w:fldCharType="separate"/>
      </w:r>
      <w:r w:rsidRPr="00072A20" w:rsidR="00072A20">
        <w:rPr>
          <w:noProof/>
        </w:rPr>
        <w:t>4</w:t>
      </w:r>
      <w:r w:rsidRPr="00072A20" w:rsidR="00072A20">
        <w:rPr>
          <w:noProof/>
        </w:rPr>
        <w:fldChar w:fldCharType="end"/>
      </w:r>
      <w:r w:rsidRPr="00072A20">
        <w:t>.  In early March 2015 D.Sh. allegedly told his parents that he might be killed by or at the instruction of I.R. and A.Y. On the evening of 25</w:t>
      </w:r>
      <w:r w:rsidRPr="00072A20" w:rsidR="00766761">
        <w:t> </w:t>
      </w:r>
      <w:r w:rsidRPr="00072A20">
        <w:t>March</w:t>
      </w:r>
      <w:r w:rsidRPr="00072A20" w:rsidR="00766761">
        <w:t> </w:t>
      </w:r>
      <w:r w:rsidRPr="00072A20">
        <w:t>2015 he telephoned them and shared his plan to pay them a brief visit. He also mentioned that he had been suffering from a severe headache.</w:t>
      </w:r>
    </w:p>
    <w:bookmarkStart w:name="Doctor" w:id="0"/>
    <w:p w:rsidRPr="00072A20" w:rsidR="00290837" w:rsidP="00072A20" w14:paraId="5FF4797A" w14:textId="78AC63BD">
      <w:pPr>
        <w:pStyle w:val="JuPara"/>
      </w:pPr>
      <w:r w:rsidRPr="00072A20">
        <w:fldChar w:fldCharType="begin"/>
      </w:r>
      <w:r w:rsidRPr="00072A20">
        <w:instrText xml:space="preserve"> SEQ level0 \*arabic \* MERGEFORMAT </w:instrText>
      </w:r>
      <w:r w:rsidRPr="00072A20">
        <w:fldChar w:fldCharType="separate"/>
      </w:r>
      <w:r w:rsidRPr="00072A20" w:rsidR="00072A20">
        <w:rPr>
          <w:noProof/>
        </w:rPr>
        <w:t>5</w:t>
      </w:r>
      <w:r w:rsidRPr="00072A20">
        <w:fldChar w:fldCharType="end"/>
      </w:r>
      <w:bookmarkEnd w:id="0"/>
      <w:r w:rsidRPr="00072A20">
        <w:t>.  The military unit</w:t>
      </w:r>
      <w:r w:rsidRPr="00072A20" w:rsidR="00072A20">
        <w:t>’</w:t>
      </w:r>
      <w:r w:rsidRPr="00072A20">
        <w:t>s doctor made statements to the effect that, on the</w:t>
      </w:r>
      <w:r w:rsidRPr="00072A20" w:rsidR="00766761">
        <w:t> </w:t>
      </w:r>
      <w:r w:rsidRPr="00072A20">
        <w:t>evening of 25 March 2015 he had heard D.Sh. talk by telephone with his girlfriend “in raised tones”, after which D.Sh. had asked him for some sedatives.</w:t>
      </w:r>
    </w:p>
    <w:p w:rsidRPr="00072A20" w:rsidR="00290837" w:rsidP="00072A20" w14:paraId="40E52B6D" w14:textId="361E5B35">
      <w:pPr>
        <w:pStyle w:val="JuPara"/>
      </w:pPr>
      <w:r>
        <w:fldChar w:fldCharType="begin"/>
      </w:r>
      <w:r>
        <w:instrText xml:space="preserve"> SEQ level0 \*arabic \* MERGEFORMAT </w:instrText>
      </w:r>
      <w:r>
        <w:fldChar w:fldCharType="separate"/>
      </w:r>
      <w:r w:rsidRPr="00072A20" w:rsidR="00072A20">
        <w:rPr>
          <w:noProof/>
        </w:rPr>
        <w:t>6</w:t>
      </w:r>
      <w:r w:rsidRPr="00072A20" w:rsidR="00072A20">
        <w:rPr>
          <w:noProof/>
        </w:rPr>
        <w:fldChar w:fldCharType="end"/>
      </w:r>
      <w:r w:rsidRPr="00072A20">
        <w:t>.  According to statements by V.T., an acquaintance of D.Sh. who was also serving in Aidar but in a different location, D.Sh. had told him that he had possessed some confidential, incriminating information about his superiors, I.R. and A.Y., and that he had been threatened by them. Furthermore, on the evening of 25 March 2015 D.Sh. had allegedly told V.T. by telephone that he was afraid for his life and had asked him to take him out of Lysychansk.</w:t>
      </w:r>
    </w:p>
    <w:p w:rsidRPr="00072A20" w:rsidR="00290837" w:rsidP="00072A20" w14:paraId="32BFDE8C" w14:textId="3454531F">
      <w:pPr>
        <w:pStyle w:val="JuPara"/>
      </w:pPr>
      <w:r>
        <w:fldChar w:fldCharType="begin"/>
      </w:r>
      <w:r>
        <w:instrText xml:space="preserve"> SEQ level0 \*arabic \* MERGEFORMAT </w:instrText>
      </w:r>
      <w:r>
        <w:fldChar w:fldCharType="separate"/>
      </w:r>
      <w:r w:rsidRPr="00072A20" w:rsidR="00072A20">
        <w:rPr>
          <w:noProof/>
        </w:rPr>
        <w:t>7</w:t>
      </w:r>
      <w:r w:rsidRPr="00072A20" w:rsidR="00072A20">
        <w:rPr>
          <w:noProof/>
        </w:rPr>
        <w:fldChar w:fldCharType="end"/>
      </w:r>
      <w:r w:rsidRPr="00072A20">
        <w:t>.  On 26 March 2015 at about 10.50 a.m. D.Sh. died on the premises occupied by his military unit under the following circumstances.</w:t>
      </w:r>
    </w:p>
    <w:bookmarkStart w:name="Room_mates" w:id="1"/>
    <w:p w:rsidRPr="00072A20" w:rsidR="00290837" w:rsidP="00072A20" w14:paraId="05C9748F" w14:textId="5B7A9FEE">
      <w:pPr>
        <w:pStyle w:val="JuPara"/>
      </w:pPr>
      <w:r w:rsidRPr="00072A20">
        <w:fldChar w:fldCharType="begin"/>
      </w:r>
      <w:r w:rsidRPr="00072A20">
        <w:instrText xml:space="preserve"> SEQ level0 \*arabic \* MERGEFORMAT </w:instrText>
      </w:r>
      <w:r w:rsidRPr="00072A20">
        <w:fldChar w:fldCharType="separate"/>
      </w:r>
      <w:r w:rsidRPr="00072A20" w:rsidR="00072A20">
        <w:rPr>
          <w:noProof/>
        </w:rPr>
        <w:t>8</w:t>
      </w:r>
      <w:r w:rsidRPr="00072A20">
        <w:fldChar w:fldCharType="end"/>
      </w:r>
      <w:bookmarkEnd w:id="1"/>
      <w:r w:rsidRPr="00072A20">
        <w:t>.  Fellow soldiers (K.M. and D.S.) with whom he had shared his room stated that that morning D.Sh. had woken them up by firing shots into the</w:t>
      </w:r>
      <w:r w:rsidRPr="00072A20" w:rsidR="00766761">
        <w:t> </w:t>
      </w:r>
      <w:r w:rsidRPr="00072A20">
        <w:t>wall. He had then allegedly told them to stand against the wall and directed his gun towards them. K.M. stated that, when he had asked D.Sh. what was going on, the latter had hit him in the face with his left hand, in which he had been holding a grenade. K.M. and D.S. had managed to leave the room.</w:t>
      </w:r>
    </w:p>
    <w:bookmarkStart w:name="Contradictory_witness_statements" w:id="2"/>
    <w:p w:rsidRPr="00072A20" w:rsidR="00290837" w:rsidP="00072A20" w14:paraId="1C89414E" w14:textId="7B52061A">
      <w:pPr>
        <w:pStyle w:val="JuPara"/>
      </w:pPr>
      <w:r w:rsidRPr="00072A20">
        <w:fldChar w:fldCharType="begin"/>
      </w:r>
      <w:r w:rsidRPr="00072A20">
        <w:instrText xml:space="preserve"> SEQ level0 \*arabic \* MERGEFORMAT </w:instrText>
      </w:r>
      <w:r w:rsidRPr="00072A20">
        <w:fldChar w:fldCharType="separate"/>
      </w:r>
      <w:r w:rsidRPr="00072A20" w:rsidR="00072A20">
        <w:rPr>
          <w:noProof/>
        </w:rPr>
        <w:t>9</w:t>
      </w:r>
      <w:r w:rsidRPr="00072A20">
        <w:fldChar w:fldCharType="end"/>
      </w:r>
      <w:bookmarkEnd w:id="2"/>
      <w:r w:rsidRPr="00072A20">
        <w:t>.  Some time later a series of gunshots and a grenade explosion were heard. The witnesses</w:t>
      </w:r>
      <w:r w:rsidRPr="00072A20" w:rsidR="00072A20">
        <w:t>’</w:t>
      </w:r>
      <w:r w:rsidRPr="00072A20">
        <w:t xml:space="preserve"> statements were contradictory as to the number of gunshots, their sequence with respect to the grenade explosion and the time between those events.</w:t>
      </w:r>
    </w:p>
    <w:p w:rsidRPr="00072A20" w:rsidR="00290837" w:rsidP="00072A20" w14:paraId="589B1F62" w14:textId="5F1FCB56">
      <w:pPr>
        <w:pStyle w:val="JuPara"/>
      </w:pPr>
      <w:r>
        <w:fldChar w:fldCharType="begin"/>
      </w:r>
      <w:r>
        <w:instrText xml:space="preserve"> SEQ level0 \*arabic \* MERGEFORMAT </w:instrText>
      </w:r>
      <w:r>
        <w:fldChar w:fldCharType="separate"/>
      </w:r>
      <w:r w:rsidRPr="00072A20" w:rsidR="00072A20">
        <w:rPr>
          <w:noProof/>
        </w:rPr>
        <w:t>10</w:t>
      </w:r>
      <w:r w:rsidRPr="00072A20" w:rsidR="00072A20">
        <w:rPr>
          <w:noProof/>
        </w:rPr>
        <w:fldChar w:fldCharType="end"/>
      </w:r>
      <w:r w:rsidRPr="00072A20">
        <w:t>.  D.Sh. was found dead inside the room. He had a perforating gunshot wound in the head and multiple injuries from a grenade explosion, including his left hand which had been torn off.</w:t>
      </w:r>
    </w:p>
    <w:p w:rsidRPr="00072A20" w:rsidR="00290837" w:rsidP="00072A20" w14:paraId="520FC878" w14:textId="531989A2">
      <w:pPr>
        <w:pStyle w:val="JuPara"/>
      </w:pPr>
      <w:r>
        <w:fldChar w:fldCharType="begin"/>
      </w:r>
      <w:r>
        <w:instrText xml:space="preserve"> SEQ level0 \*arabic \* MERGEFORMAT </w:instrText>
      </w:r>
      <w:r>
        <w:fldChar w:fldCharType="separate"/>
      </w:r>
      <w:r w:rsidRPr="00072A20" w:rsidR="00072A20">
        <w:rPr>
          <w:noProof/>
        </w:rPr>
        <w:t>11</w:t>
      </w:r>
      <w:r w:rsidRPr="00072A20" w:rsidR="00072A20">
        <w:rPr>
          <w:noProof/>
        </w:rPr>
        <w:fldChar w:fldCharType="end"/>
      </w:r>
      <w:r w:rsidRPr="00072A20">
        <w:t>.  On the same date, 26 March 2015, the Lysychansk city police, under the procedural management of the Luhansk garrison military prosecutor, launched a criminal investigation in respect of the incident. While the relevant entry in the Unified State Register of Pre-trial Investigations referred to a</w:t>
      </w:r>
      <w:r w:rsidRPr="00072A20" w:rsidR="00766761">
        <w:t> </w:t>
      </w:r>
      <w:r w:rsidRPr="00072A20">
        <w:t>murder charge, it also contained a note on the possibility that his death had been a suicide.</w:t>
      </w:r>
    </w:p>
    <w:bookmarkStart w:name="Witnesses_scene_inspection" w:id="3"/>
    <w:p w:rsidRPr="00072A20" w:rsidR="00290837" w:rsidP="00072A20" w14:paraId="428A8394" w14:textId="0D1B2D8B">
      <w:pPr>
        <w:pStyle w:val="JuPara"/>
      </w:pPr>
      <w:r w:rsidRPr="00072A20">
        <w:fldChar w:fldCharType="begin"/>
      </w:r>
      <w:r w:rsidRPr="00072A20">
        <w:instrText xml:space="preserve"> SEQ level0 \*arabic \* MERGEFORMAT </w:instrText>
      </w:r>
      <w:r w:rsidRPr="00072A20">
        <w:fldChar w:fldCharType="separate"/>
      </w:r>
      <w:r w:rsidRPr="00072A20" w:rsidR="00072A20">
        <w:rPr>
          <w:noProof/>
        </w:rPr>
        <w:t>12</w:t>
      </w:r>
      <w:r w:rsidRPr="00072A20">
        <w:fldChar w:fldCharType="end"/>
      </w:r>
      <w:bookmarkEnd w:id="3"/>
      <w:r w:rsidRPr="00072A20">
        <w:t xml:space="preserve">.  Also on 26 March 2015 the police inspected the scene and seized the gun, its magazine with bullets and several bullet shells and grenade fragments. Furthermore, the military staff present in or near the premises at the time of the incident were questioned (see paragraph </w:t>
      </w:r>
      <w:r w:rsidRPr="00072A20">
        <w:fldChar w:fldCharType="begin"/>
      </w:r>
      <w:r w:rsidRPr="00072A20">
        <w:instrText xml:space="preserve"> REF Contradictory_witness_statements \h </w:instrText>
      </w:r>
      <w:r w:rsidRPr="00072A20">
        <w:fldChar w:fldCharType="separate"/>
      </w:r>
      <w:r w:rsidRPr="00072A20" w:rsidR="00072A20">
        <w:rPr>
          <w:noProof/>
        </w:rPr>
        <w:t>9</w:t>
      </w:r>
      <w:r w:rsidRPr="00072A20">
        <w:fldChar w:fldCharType="end"/>
      </w:r>
      <w:r w:rsidRPr="00072A20">
        <w:t xml:space="preserve"> above).</w:t>
      </w:r>
    </w:p>
    <w:p w:rsidRPr="00072A20" w:rsidR="00290837" w:rsidP="00072A20" w14:paraId="56E69264" w14:textId="108ABA07">
      <w:pPr>
        <w:pStyle w:val="JuPara"/>
      </w:pPr>
      <w:r>
        <w:fldChar w:fldCharType="begin"/>
      </w:r>
      <w:r>
        <w:instrText xml:space="preserve"> SEQ level0 \*arabic \* MERGEFORMAT </w:instrText>
      </w:r>
      <w:r>
        <w:fldChar w:fldCharType="separate"/>
      </w:r>
      <w:r w:rsidRPr="00072A20" w:rsidR="00072A20">
        <w:rPr>
          <w:noProof/>
        </w:rPr>
        <w:t>13</w:t>
      </w:r>
      <w:r w:rsidRPr="00072A20" w:rsidR="00072A20">
        <w:rPr>
          <w:noProof/>
        </w:rPr>
        <w:fldChar w:fldCharType="end"/>
      </w:r>
      <w:r w:rsidRPr="00072A20">
        <w:t>.  A forensic medical expert examination report, which was issued on 30 Ma</w:t>
      </w:r>
      <w:r w:rsidR="00A543A0">
        <w:t>y</w:t>
      </w:r>
      <w:r w:rsidRPr="00072A20">
        <w:t xml:space="preserve"> 2015, stated that D.Sh. had died of combined gunshot and grenade blast injuries. In the expert</w:t>
      </w:r>
      <w:r w:rsidRPr="00072A20" w:rsidR="00072A20">
        <w:t>’</w:t>
      </w:r>
      <w:r w:rsidRPr="00072A20">
        <w:t>s view, it could not be excluded that D.Sh. had inflicted all those injuries on himself. No injuries indicative of a struggle or self-defence had been recorded.</w:t>
      </w:r>
    </w:p>
    <w:p w:rsidRPr="00072A20" w:rsidR="00290837" w:rsidP="00072A20" w14:paraId="668AE70F" w14:textId="471DD52F">
      <w:pPr>
        <w:pStyle w:val="JuPara"/>
      </w:pPr>
      <w:r>
        <w:fldChar w:fldCharType="begin"/>
      </w:r>
      <w:r>
        <w:instrText xml:space="preserve"> SEQ level0 \*arabic \* MERGEFORMAT </w:instrText>
      </w:r>
      <w:r>
        <w:fldChar w:fldCharType="separate"/>
      </w:r>
      <w:r w:rsidRPr="00072A20" w:rsidR="00072A20">
        <w:rPr>
          <w:noProof/>
        </w:rPr>
        <w:t>14</w:t>
      </w:r>
      <w:r w:rsidRPr="00072A20" w:rsidR="00072A20">
        <w:rPr>
          <w:noProof/>
        </w:rPr>
        <w:fldChar w:fldCharType="end"/>
      </w:r>
      <w:r w:rsidRPr="00072A20">
        <w:t>.  On 11 and 12 June 2015 the applicants were questioned as witnesses. They stated, in particular, that their son had had conflicts with I.R., whose allegedly unlawful activities he had denounced before the State Security Service.</w:t>
      </w:r>
    </w:p>
    <w:p w:rsidRPr="00072A20" w:rsidR="00290837" w:rsidP="00072A20" w14:paraId="79CF1764" w14:textId="54699A97">
      <w:pPr>
        <w:pStyle w:val="JuPara"/>
      </w:pPr>
      <w:r>
        <w:fldChar w:fldCharType="begin"/>
      </w:r>
      <w:r>
        <w:instrText xml:space="preserve"> SEQ level0 \*arabic \* MERGEFORMAT </w:instrText>
      </w:r>
      <w:r>
        <w:fldChar w:fldCharType="separate"/>
      </w:r>
      <w:r w:rsidRPr="00072A20" w:rsidR="00072A20">
        <w:rPr>
          <w:noProof/>
        </w:rPr>
        <w:t>15</w:t>
      </w:r>
      <w:r w:rsidRPr="00072A20" w:rsidR="00072A20">
        <w:rPr>
          <w:noProof/>
        </w:rPr>
        <w:fldChar w:fldCharType="end"/>
      </w:r>
      <w:r w:rsidRPr="00072A20">
        <w:t xml:space="preserve">.  On 12 June 2015 an investigative experiment report was drawn up. It stated, in general terms, that it would have technically been possible for D.Sh. </w:t>
      </w:r>
      <w:r w:rsidRPr="00072A20">
        <w:t>to have first pulled the pin on the grenade and to have then shot himself in the</w:t>
      </w:r>
      <w:r w:rsidRPr="00072A20" w:rsidR="00766761">
        <w:t> </w:t>
      </w:r>
      <w:r w:rsidRPr="00072A20">
        <w:t>head. A forensic medical expert examination report of 16 June 2015 confirmed that finding.</w:t>
      </w:r>
    </w:p>
    <w:p w:rsidRPr="00072A20" w:rsidR="00290837" w:rsidP="00072A20" w14:paraId="18C15B94" w14:textId="3F99B494">
      <w:pPr>
        <w:pStyle w:val="JuPara"/>
      </w:pPr>
      <w:r>
        <w:fldChar w:fldCharType="begin"/>
      </w:r>
      <w:r>
        <w:instrText xml:space="preserve"> SEQ level0 \*arabic \* MERGEFORMAT </w:instrText>
      </w:r>
      <w:r>
        <w:fldChar w:fldCharType="separate"/>
      </w:r>
      <w:r w:rsidRPr="00072A20" w:rsidR="00072A20">
        <w:rPr>
          <w:noProof/>
        </w:rPr>
        <w:t>16</w:t>
      </w:r>
      <w:r w:rsidRPr="00072A20" w:rsidR="00072A20">
        <w:rPr>
          <w:noProof/>
        </w:rPr>
        <w:fldChar w:fldCharType="end"/>
      </w:r>
      <w:r w:rsidRPr="00072A20">
        <w:t>.  On 28 June 2015 D.Sh.</w:t>
      </w:r>
      <w:r w:rsidRPr="00072A20" w:rsidR="00072A20">
        <w:t>’</w:t>
      </w:r>
      <w:r w:rsidRPr="00072A20">
        <w:t>s girlfriend, A.S., gave the investigator written statements as a witness. She submitted that at about 9.45 a.m. on 26 March</w:t>
      </w:r>
      <w:r w:rsidRPr="00072A20" w:rsidR="00766761">
        <w:t> </w:t>
      </w:r>
      <w:r w:rsidRPr="00072A20">
        <w:t xml:space="preserve">2015 a fellow soldier of her boyfriend, D.S. (see paragraph </w:t>
      </w:r>
      <w:r w:rsidRPr="00072A20">
        <w:fldChar w:fldCharType="begin"/>
      </w:r>
      <w:r w:rsidRPr="00072A20">
        <w:instrText xml:space="preserve"> REF Room_mates \h </w:instrText>
      </w:r>
      <w:r w:rsidRPr="00072A20">
        <w:fldChar w:fldCharType="separate"/>
      </w:r>
      <w:r w:rsidRPr="00072A20" w:rsidR="00072A20">
        <w:rPr>
          <w:noProof/>
        </w:rPr>
        <w:t>8</w:t>
      </w:r>
      <w:r w:rsidRPr="00072A20">
        <w:fldChar w:fldCharType="end"/>
      </w:r>
      <w:r w:rsidRPr="00072A20">
        <w:t xml:space="preserve"> above for the previous reference to this person) had telephoned her and had told her to urgently come to the military unit, without further explanations. D.Sh., to whom he had passed the telephone, had told A.S. in a hoarse voice that he loved her. When she had asked him whether everything was fine, he had answered in the negative. After she had arrived at the military base at about noon on 26 March 2015, she had found out that D.Sh. had died. She stated that D.Sh. had not trusted his fellow soldiers K.M. and D.S. during the</w:t>
      </w:r>
      <w:r w:rsidRPr="00072A20" w:rsidR="00766761">
        <w:t> </w:t>
      </w:r>
      <w:r w:rsidRPr="00072A20">
        <w:t>preceding several months. Although A.S.</w:t>
      </w:r>
      <w:r w:rsidRPr="00072A20" w:rsidR="00072A20">
        <w:t>’</w:t>
      </w:r>
      <w:r w:rsidRPr="00072A20">
        <w:t>s questioning was subsequently ordered on several occasions, it appears that she was never questioned on account of reported difficulties in establishing her whereabouts.</w:t>
      </w:r>
    </w:p>
    <w:p w:rsidRPr="00072A20" w:rsidR="00290837" w:rsidP="00072A20" w14:paraId="4CE3072B" w14:textId="0636EE41">
      <w:pPr>
        <w:pStyle w:val="JuPara"/>
      </w:pPr>
      <w:r>
        <w:fldChar w:fldCharType="begin"/>
      </w:r>
      <w:r>
        <w:instrText xml:space="preserve"> SEQ level0 \*arabic \* MERGEFORMAT </w:instrText>
      </w:r>
      <w:r>
        <w:fldChar w:fldCharType="separate"/>
      </w:r>
      <w:r w:rsidRPr="00072A20" w:rsidR="00072A20">
        <w:rPr>
          <w:noProof/>
        </w:rPr>
        <w:t>17</w:t>
      </w:r>
      <w:r w:rsidRPr="00072A20" w:rsidR="00072A20">
        <w:rPr>
          <w:noProof/>
        </w:rPr>
        <w:fldChar w:fldCharType="end"/>
      </w:r>
      <w:r w:rsidRPr="00072A20">
        <w:t>.  On 21 November 2015 the applicants were granted the procedural status of victims at their request and were provided access to the case file.</w:t>
      </w:r>
    </w:p>
    <w:p w:rsidRPr="00072A20" w:rsidR="00290837" w:rsidP="00072A20" w14:paraId="3C96E49F" w14:textId="76FED500">
      <w:pPr>
        <w:pStyle w:val="JuPara"/>
      </w:pPr>
      <w:r>
        <w:fldChar w:fldCharType="begin"/>
      </w:r>
      <w:r>
        <w:instrText xml:space="preserve"> SEQ level0 \*arabic \* MERGEFORMAT </w:instrText>
      </w:r>
      <w:r>
        <w:fldChar w:fldCharType="separate"/>
      </w:r>
      <w:r w:rsidRPr="00072A20" w:rsidR="00072A20">
        <w:rPr>
          <w:noProof/>
        </w:rPr>
        <w:t>18</w:t>
      </w:r>
      <w:r w:rsidRPr="00072A20" w:rsidR="00072A20">
        <w:rPr>
          <w:noProof/>
        </w:rPr>
        <w:fldChar w:fldCharType="end"/>
      </w:r>
      <w:r w:rsidRPr="00072A20">
        <w:t>.  On 10 February 2016 the Luhansk Regional Department of the State Security Service wrote to the investigator, in reply to his enquiry, that it had not received any complaints from D.Sh.</w:t>
      </w:r>
    </w:p>
    <w:p w:rsidRPr="00072A20" w:rsidR="00290837" w:rsidP="00072A20" w14:paraId="03CD861A" w14:textId="5E9F74CF">
      <w:pPr>
        <w:pStyle w:val="JuPara"/>
      </w:pPr>
      <w:r>
        <w:fldChar w:fldCharType="begin"/>
      </w:r>
      <w:r>
        <w:instrText xml:space="preserve"> SEQ level0 \*arabic \* MERGEFORMAT </w:instrText>
      </w:r>
      <w:r>
        <w:fldChar w:fldCharType="separate"/>
      </w:r>
      <w:r w:rsidRPr="00072A20" w:rsidR="00072A20">
        <w:rPr>
          <w:noProof/>
        </w:rPr>
        <w:t>19</w:t>
      </w:r>
      <w:r w:rsidRPr="00072A20" w:rsidR="00072A20">
        <w:rPr>
          <w:noProof/>
        </w:rPr>
        <w:fldChar w:fldCharType="end"/>
      </w:r>
      <w:r w:rsidRPr="00072A20">
        <w:t>.  On 30 March 2016 the investigation was discontinued for lack of evidence of a criminal offence. It was concluded that D.Sh. had taken his own life without anybody else</w:t>
      </w:r>
      <w:r w:rsidRPr="00072A20" w:rsidR="00072A20">
        <w:t>’</w:t>
      </w:r>
      <w:r w:rsidRPr="00072A20">
        <w:t>s responsibility engaged.</w:t>
      </w:r>
    </w:p>
    <w:p w:rsidRPr="00072A20" w:rsidR="00290837" w:rsidP="00072A20" w14:paraId="7E9E3ADB" w14:textId="430A599E">
      <w:pPr>
        <w:pStyle w:val="JuPara"/>
      </w:pPr>
      <w:r>
        <w:fldChar w:fldCharType="begin"/>
      </w:r>
      <w:r>
        <w:instrText xml:space="preserve"> SEQ level0 \*arabic \* MERGEFORMAT </w:instrText>
      </w:r>
      <w:r>
        <w:fldChar w:fldCharType="separate"/>
      </w:r>
      <w:r w:rsidRPr="00072A20" w:rsidR="00072A20">
        <w:rPr>
          <w:noProof/>
        </w:rPr>
        <w:t>20</w:t>
      </w:r>
      <w:r w:rsidRPr="00072A20" w:rsidR="00072A20">
        <w:rPr>
          <w:noProof/>
        </w:rPr>
        <w:fldChar w:fldCharType="end"/>
      </w:r>
      <w:r w:rsidRPr="00072A20">
        <w:t>.  On 6 June 2016 the Lysychansk Town Court (“the Lysychansk Court”), allowing a complaint by the applicants, overturned the above</w:t>
      </w:r>
      <w:r w:rsidRPr="00072A20" w:rsidR="00072A20">
        <w:noBreakHyphen/>
      </w:r>
      <w:r w:rsidRPr="00072A20">
        <w:t>mentioned ruling and ordered that the investigation be resumed.</w:t>
      </w:r>
    </w:p>
    <w:p w:rsidRPr="00072A20" w:rsidR="00290837" w:rsidP="00072A20" w14:paraId="1744D23B" w14:textId="24ED364A">
      <w:pPr>
        <w:pStyle w:val="JuPara"/>
      </w:pPr>
      <w:r>
        <w:fldChar w:fldCharType="begin"/>
      </w:r>
      <w:r>
        <w:instrText xml:space="preserve"> SEQ level0 \*arabic \* MERGEFORMAT </w:instrText>
      </w:r>
      <w:r>
        <w:fldChar w:fldCharType="separate"/>
      </w:r>
      <w:r w:rsidRPr="00072A20" w:rsidR="00072A20">
        <w:rPr>
          <w:noProof/>
        </w:rPr>
        <w:t>21</w:t>
      </w:r>
      <w:r w:rsidRPr="00072A20" w:rsidR="00072A20">
        <w:rPr>
          <w:noProof/>
        </w:rPr>
        <w:fldChar w:fldCharType="end"/>
      </w:r>
      <w:r w:rsidRPr="00072A20">
        <w:t>.  As was known from reports in the mass media, in early July 2016 I.R. was arrested on suspicion, in particular, of banditism and kidnapping. Several days later he was released under the assurances of some members of parliament. The case file before the Court does not contain any material in that regard. It is not known whether the charges against I.R. concerned the</w:t>
      </w:r>
      <w:r w:rsidRPr="00072A20" w:rsidR="00766761">
        <w:t> </w:t>
      </w:r>
      <w:r w:rsidRPr="00072A20">
        <w:t>death of the applicant</w:t>
      </w:r>
      <w:r w:rsidRPr="00072A20" w:rsidR="00A543A0">
        <w:t>s</w:t>
      </w:r>
      <w:r w:rsidRPr="00072A20" w:rsidR="00072A20">
        <w:t>’</w:t>
      </w:r>
      <w:r w:rsidRPr="00072A20">
        <w:t xml:space="preserve"> son, nor is there any information about the</w:t>
      </w:r>
      <w:r w:rsidRPr="00072A20" w:rsidR="00766761">
        <w:t> </w:t>
      </w:r>
      <w:r w:rsidRPr="00072A20">
        <w:t>outcome of the related proceedings.</w:t>
      </w:r>
    </w:p>
    <w:p w:rsidRPr="00072A20" w:rsidR="00290837" w:rsidP="00072A20" w14:paraId="4641DFD9" w14:textId="5659F526">
      <w:pPr>
        <w:pStyle w:val="JuPara"/>
      </w:pPr>
      <w:r>
        <w:fldChar w:fldCharType="begin"/>
      </w:r>
      <w:r>
        <w:instrText xml:space="preserve"> SEQ level0 \*arabic \* MERGEFORMAT </w:instrText>
      </w:r>
      <w:r>
        <w:fldChar w:fldCharType="separate"/>
      </w:r>
      <w:r w:rsidRPr="00072A20" w:rsidR="00072A20">
        <w:rPr>
          <w:noProof/>
        </w:rPr>
        <w:t>22</w:t>
      </w:r>
      <w:r w:rsidRPr="00072A20" w:rsidR="00072A20">
        <w:rPr>
          <w:noProof/>
        </w:rPr>
        <w:fldChar w:fldCharType="end"/>
      </w:r>
      <w:r w:rsidRPr="00072A20">
        <w:t>.  On 15 August 2017 I.R. was questioned as a witness. He submitted, in particular, that, shortly before his death, D.Sh. had had a traumatising experience of being surrounded by enemies in the combat zone.</w:t>
      </w:r>
    </w:p>
    <w:bookmarkStart w:name="Criticism_20AP2018" w:id="4"/>
    <w:p w:rsidRPr="00072A20" w:rsidR="00290837" w:rsidP="00072A20" w14:paraId="68356D6F" w14:textId="5AA08A9C">
      <w:pPr>
        <w:pStyle w:val="JuPara"/>
      </w:pPr>
      <w:r w:rsidRPr="00072A20">
        <w:fldChar w:fldCharType="begin"/>
      </w:r>
      <w:r w:rsidRPr="00072A20">
        <w:instrText xml:space="preserve"> SEQ level0 \*arabic \* MERGEFORMAT </w:instrText>
      </w:r>
      <w:r w:rsidRPr="00072A20">
        <w:fldChar w:fldCharType="separate"/>
      </w:r>
      <w:r w:rsidRPr="00072A20" w:rsidR="00072A20">
        <w:rPr>
          <w:noProof/>
        </w:rPr>
        <w:t>23</w:t>
      </w:r>
      <w:r w:rsidRPr="00072A20">
        <w:fldChar w:fldCharType="end"/>
      </w:r>
      <w:bookmarkEnd w:id="4"/>
      <w:r w:rsidRPr="00072A20">
        <w:t>.  On 20 April 2018 the deputy head of the Luhansk regional police wrote a letter to the Lysychansk police criticising the ongoing investigation into D.Sh.</w:t>
      </w:r>
      <w:r w:rsidRPr="00072A20" w:rsidR="00072A20">
        <w:t>’</w:t>
      </w:r>
      <w:r w:rsidRPr="00072A20">
        <w:t>s death as virtually stagnated. He also gave various instructions, which included the following:</w:t>
      </w:r>
    </w:p>
    <w:p w:rsidRPr="00072A20" w:rsidR="00290837" w:rsidP="00072A20" w14:paraId="64B420DA" w14:textId="77777777">
      <w:pPr>
        <w:pStyle w:val="JuPara"/>
        <w:numPr>
          <w:ilvl w:val="0"/>
          <w:numId w:val="25"/>
        </w:numPr>
      </w:pPr>
      <w:r w:rsidRPr="00072A20">
        <w:t>to change the investigator in charge of the case;</w:t>
      </w:r>
    </w:p>
    <w:p w:rsidRPr="00072A20" w:rsidR="00290837" w:rsidP="00072A20" w14:paraId="6D5D29C1" w14:textId="7E8B7FF6">
      <w:pPr>
        <w:pStyle w:val="JuPara"/>
        <w:numPr>
          <w:ilvl w:val="0"/>
          <w:numId w:val="25"/>
        </w:numPr>
      </w:pPr>
      <w:r w:rsidRPr="00072A20">
        <w:t>to carry out, without delay, a forensic ballistics expert examination with a view to verifying whether the bullets and shells withheld from the incident scene had been shot from D.Sh.</w:t>
      </w:r>
      <w:r w:rsidRPr="00072A20" w:rsidR="00072A20">
        <w:t>’</w:t>
      </w:r>
      <w:r w:rsidRPr="00072A20">
        <w:t>s gun;</w:t>
      </w:r>
    </w:p>
    <w:p w:rsidRPr="00072A20" w:rsidR="00290837" w:rsidP="00072A20" w14:paraId="2A17B3CC" w14:textId="7C4C334D">
      <w:pPr>
        <w:pStyle w:val="JuPara"/>
        <w:numPr>
          <w:ilvl w:val="0"/>
          <w:numId w:val="25"/>
        </w:numPr>
      </w:pPr>
      <w:r w:rsidRPr="00072A20">
        <w:t>to locate and ensure additional questioning of all the servicemen who had been present inside and near the military base at the time of D.Sh.</w:t>
      </w:r>
      <w:r w:rsidRPr="00072A20" w:rsidR="00072A20">
        <w:t>’</w:t>
      </w:r>
      <w:r w:rsidRPr="00072A20">
        <w:t>s death, in order to, in particular, clearly establish the number of shots and their sequence with respect to the grenade explosion;</w:t>
      </w:r>
    </w:p>
    <w:p w:rsidRPr="00072A20" w:rsidR="00290837" w:rsidP="00072A20" w14:paraId="6A595520" w14:textId="77777777">
      <w:pPr>
        <w:pStyle w:val="JuPara"/>
        <w:numPr>
          <w:ilvl w:val="0"/>
          <w:numId w:val="25"/>
        </w:numPr>
      </w:pPr>
      <w:r w:rsidRPr="00072A20">
        <w:t>to conduct simultaneous questioning of the witnesses in the event that there were persistent contradictions in their statements;</w:t>
      </w:r>
    </w:p>
    <w:p w:rsidRPr="00072A20" w:rsidR="00290837" w:rsidP="00072A20" w14:paraId="0023996D" w14:textId="77777777">
      <w:pPr>
        <w:pStyle w:val="JuPara"/>
        <w:numPr>
          <w:ilvl w:val="0"/>
          <w:numId w:val="25"/>
        </w:numPr>
      </w:pPr>
      <w:r w:rsidRPr="00072A20">
        <w:t>to carry out a posthumous forensic psychiatric expert examination in respect of D.Sh.; and</w:t>
      </w:r>
    </w:p>
    <w:p w:rsidRPr="00072A20" w:rsidR="00290837" w:rsidP="00072A20" w14:paraId="70C1942E" w14:textId="77777777">
      <w:pPr>
        <w:pStyle w:val="JuPara"/>
        <w:numPr>
          <w:ilvl w:val="0"/>
          <w:numId w:val="25"/>
        </w:numPr>
      </w:pPr>
      <w:r w:rsidRPr="00072A20">
        <w:t>to comply with the previous instructions of the Luhansk garrison military prosecutor.</w:t>
      </w:r>
    </w:p>
    <w:p w:rsidRPr="00072A20" w:rsidR="00290837" w:rsidP="00072A20" w14:paraId="4D5EA1A5" w14:textId="6EC5C60C">
      <w:pPr>
        <w:pStyle w:val="JuPara"/>
      </w:pPr>
      <w:r>
        <w:fldChar w:fldCharType="begin"/>
      </w:r>
      <w:r>
        <w:instrText xml:space="preserve"> SEQ level0 \*arabic \* MERGEFORMAT </w:instrText>
      </w:r>
      <w:r>
        <w:fldChar w:fldCharType="separate"/>
      </w:r>
      <w:r w:rsidRPr="00072A20" w:rsidR="00072A20">
        <w:rPr>
          <w:noProof/>
        </w:rPr>
        <w:t>24</w:t>
      </w:r>
      <w:r w:rsidRPr="00072A20" w:rsidR="00072A20">
        <w:rPr>
          <w:noProof/>
        </w:rPr>
        <w:fldChar w:fldCharType="end"/>
      </w:r>
      <w:r w:rsidRPr="00072A20">
        <w:t>.  On 22 December 2018 a forensic ballistics expert report was issued. It concluded that all the bullet shells retrieved from the incident scene had been shot from the same gun. As was confirmed by the weapon assignment register, the gun had belonged to D.Sh..</w:t>
      </w:r>
    </w:p>
    <w:bookmarkStart w:name="Criticism_26DEC2018" w:id="5"/>
    <w:p w:rsidRPr="00072A20" w:rsidR="00290837" w:rsidP="00072A20" w14:paraId="426C259C" w14:textId="7BA777AE">
      <w:pPr>
        <w:pStyle w:val="JuPara"/>
      </w:pPr>
      <w:r w:rsidRPr="00072A20">
        <w:fldChar w:fldCharType="begin"/>
      </w:r>
      <w:r w:rsidRPr="00072A20">
        <w:instrText xml:space="preserve"> SEQ level0 \*arabic \* MERGEFORMAT </w:instrText>
      </w:r>
      <w:r w:rsidRPr="00072A20">
        <w:fldChar w:fldCharType="separate"/>
      </w:r>
      <w:r w:rsidRPr="00072A20" w:rsidR="00072A20">
        <w:rPr>
          <w:noProof/>
        </w:rPr>
        <w:t>25</w:t>
      </w:r>
      <w:r w:rsidRPr="00072A20">
        <w:fldChar w:fldCharType="end"/>
      </w:r>
      <w:bookmarkEnd w:id="5"/>
      <w:r w:rsidRPr="00072A20">
        <w:t>.  On 26 December 2018 the Joint Forces Military Prosecutor</w:t>
      </w:r>
      <w:r w:rsidRPr="00072A20" w:rsidR="00072A20">
        <w:t>’</w:t>
      </w:r>
      <w:r w:rsidRPr="00072A20">
        <w:t>s Office</w:t>
      </w:r>
      <w:r>
        <w:rPr>
          <w:rStyle w:val="FootnoteReference"/>
        </w:rPr>
        <w:footnoteReference w:id="2"/>
      </w:r>
      <w:r w:rsidRPr="00072A20">
        <w:t xml:space="preserve"> decided to entrust the investigation to the Luhansk regional police instead of the Lysychansk police. Its decision contained the following criticisms of the</w:t>
      </w:r>
      <w:r w:rsidRPr="00072A20" w:rsidR="00766761">
        <w:t> </w:t>
      </w:r>
      <w:r w:rsidRPr="00072A20">
        <w:t>investigation up to that point:</w:t>
      </w:r>
    </w:p>
    <w:p w:rsidRPr="00072A20" w:rsidR="00290837" w:rsidP="00072A20" w14:paraId="49EBB660" w14:textId="77777777">
      <w:pPr>
        <w:pStyle w:val="JuPara"/>
        <w:numPr>
          <w:ilvl w:val="0"/>
          <w:numId w:val="25"/>
        </w:numPr>
      </w:pPr>
      <w:r w:rsidRPr="00072A20">
        <w:t>failure to ensure an expedient, complete and objective investigation over more than three years;</w:t>
      </w:r>
    </w:p>
    <w:p w:rsidRPr="00072A20" w:rsidR="00290837" w:rsidP="00072A20" w14:paraId="72C05F82" w14:textId="77777777">
      <w:pPr>
        <w:pStyle w:val="JuPara"/>
        <w:numPr>
          <w:ilvl w:val="0"/>
          <w:numId w:val="25"/>
        </w:numPr>
      </w:pPr>
      <w:r w:rsidRPr="00072A20">
        <w:t>lack of effectiveness and consistency in the investigative efforts;</w:t>
      </w:r>
    </w:p>
    <w:p w:rsidRPr="00072A20" w:rsidR="00290837" w:rsidP="00072A20" w14:paraId="591CE7E0" w14:textId="77777777">
      <w:pPr>
        <w:pStyle w:val="JuPara"/>
        <w:numPr>
          <w:ilvl w:val="0"/>
          <w:numId w:val="25"/>
        </w:numPr>
      </w:pPr>
      <w:r w:rsidRPr="00072A20">
        <w:t>failure to identify and question all the witnesses; and</w:t>
      </w:r>
    </w:p>
    <w:p w:rsidRPr="00072A20" w:rsidR="00290837" w:rsidP="00072A20" w14:paraId="44F85AB6" w14:textId="43DD53D8">
      <w:pPr>
        <w:pStyle w:val="JuPara"/>
        <w:numPr>
          <w:ilvl w:val="0"/>
          <w:numId w:val="25"/>
        </w:numPr>
      </w:pPr>
      <w:r w:rsidRPr="00072A20">
        <w:t>persistent failure to comply with the supervising prosecutor</w:t>
      </w:r>
      <w:r w:rsidRPr="00072A20" w:rsidR="00072A20">
        <w:t>’</w:t>
      </w:r>
      <w:r w:rsidRPr="00072A20">
        <w:t>s instructions, which had been ignored seven times.</w:t>
      </w:r>
    </w:p>
    <w:bookmarkStart w:name="Swabs" w:id="6"/>
    <w:p w:rsidRPr="00072A20" w:rsidR="00290837" w:rsidP="00072A20" w14:paraId="06BCC5E6" w14:textId="4BEED65D">
      <w:pPr>
        <w:pStyle w:val="JuPara"/>
      </w:pPr>
      <w:r w:rsidRPr="00072A20">
        <w:fldChar w:fldCharType="begin"/>
      </w:r>
      <w:r w:rsidRPr="00072A20">
        <w:instrText xml:space="preserve"> SEQ level0 \*arabic \* MERGEFORMAT </w:instrText>
      </w:r>
      <w:r w:rsidRPr="00072A20">
        <w:fldChar w:fldCharType="separate"/>
      </w:r>
      <w:r w:rsidRPr="00072A20" w:rsidR="00072A20">
        <w:rPr>
          <w:noProof/>
        </w:rPr>
        <w:t>26</w:t>
      </w:r>
      <w:r w:rsidRPr="00072A20">
        <w:fldChar w:fldCharType="end"/>
      </w:r>
      <w:bookmarkEnd w:id="6"/>
      <w:r w:rsidRPr="00072A20">
        <w:t>.  On 8 January 2019 a forensic expert examination report was issued in respect of swabs taken from D.Sh.</w:t>
      </w:r>
      <w:r w:rsidRPr="00072A20" w:rsidR="00072A20">
        <w:t>’</w:t>
      </w:r>
      <w:r w:rsidRPr="00072A20">
        <w:t>s right hand. It was concluded that they did not contain any explosion or gunshot residues.</w:t>
      </w:r>
    </w:p>
    <w:p w:rsidRPr="00072A20" w:rsidR="00290837" w:rsidP="00072A20" w14:paraId="1300AA80" w14:textId="0AE92EE9">
      <w:pPr>
        <w:pStyle w:val="JuPara"/>
      </w:pPr>
      <w:r>
        <w:fldChar w:fldCharType="begin"/>
      </w:r>
      <w:r>
        <w:instrText xml:space="preserve"> SEQ level0 \*arabic \* MERGEFORMAT </w:instrText>
      </w:r>
      <w:r>
        <w:fldChar w:fldCharType="separate"/>
      </w:r>
      <w:r w:rsidRPr="00072A20" w:rsidR="00072A20">
        <w:rPr>
          <w:noProof/>
        </w:rPr>
        <w:t>27</w:t>
      </w:r>
      <w:r w:rsidRPr="00072A20" w:rsidR="00072A20">
        <w:rPr>
          <w:noProof/>
        </w:rPr>
        <w:fldChar w:fldCharType="end"/>
      </w:r>
      <w:r w:rsidRPr="00072A20">
        <w:t>.  On 26 January 2019 another forensic medical expert report found that it would have been impossible for D.Sh. to have shot himself in the head after having exploded the grenade. It was noted that, as indicated by the direction of the gunshot wound, it had been inflicted by the left hand, whereas D.Sh.</w:t>
      </w:r>
      <w:r w:rsidRPr="00072A20" w:rsidR="00072A20">
        <w:t>’</w:t>
      </w:r>
      <w:r w:rsidRPr="00072A20">
        <w:t>s left hand had been torn off by the grenade explosion.</w:t>
      </w:r>
    </w:p>
    <w:p w:rsidRPr="00072A20" w:rsidR="00290837" w:rsidP="00072A20" w14:paraId="1B99AED8" w14:textId="21834488">
      <w:pPr>
        <w:pStyle w:val="JuPara"/>
      </w:pPr>
      <w:r>
        <w:fldChar w:fldCharType="begin"/>
      </w:r>
      <w:r>
        <w:instrText xml:space="preserve"> SEQ level0 \*arabic \* MERGEFORMAT </w:instrText>
      </w:r>
      <w:r>
        <w:fldChar w:fldCharType="separate"/>
      </w:r>
      <w:r w:rsidRPr="00072A20" w:rsidR="00072A20">
        <w:rPr>
          <w:noProof/>
        </w:rPr>
        <w:t>28</w:t>
      </w:r>
      <w:r w:rsidRPr="00072A20" w:rsidR="00072A20">
        <w:rPr>
          <w:noProof/>
        </w:rPr>
        <w:fldChar w:fldCharType="end"/>
      </w:r>
      <w:r w:rsidRPr="00072A20">
        <w:t>.  On 17 September 2019 a posthumous forensic psychiatric expert examination in respect of D.Sh. was completed. While it was considered established that D.Sh. had been in considerable emotional distress on the eve of his death, the experts noted that they did not have sufficient material at their disposal to answer the question whether D.Sh. had been suffering from any mental disorders which could have triggered his taking of his own life.</w:t>
      </w:r>
    </w:p>
    <w:bookmarkStart w:name="Witnesses_2018_2020" w:id="7"/>
    <w:p w:rsidRPr="00072A20" w:rsidR="00290837" w:rsidP="00072A20" w14:paraId="71D54CBD" w14:textId="0D0E3B69">
      <w:pPr>
        <w:pStyle w:val="JuPara"/>
      </w:pPr>
      <w:r w:rsidRPr="00072A20">
        <w:fldChar w:fldCharType="begin"/>
      </w:r>
      <w:r w:rsidRPr="00072A20">
        <w:instrText xml:space="preserve"> SEQ level0 \*arabic \* MERGEFORMAT </w:instrText>
      </w:r>
      <w:r w:rsidRPr="00072A20">
        <w:fldChar w:fldCharType="separate"/>
      </w:r>
      <w:r w:rsidRPr="00072A20" w:rsidR="00072A20">
        <w:rPr>
          <w:noProof/>
        </w:rPr>
        <w:t>29</w:t>
      </w:r>
      <w:r w:rsidRPr="00072A20">
        <w:fldChar w:fldCharType="end"/>
      </w:r>
      <w:bookmarkEnd w:id="7"/>
      <w:r w:rsidRPr="00072A20">
        <w:t>.  In 2018-20 the investigator further questioned some of the witnesses, whose statements were largely similar to those given before (see</w:t>
      </w:r>
      <w:r w:rsidRPr="00072A20" w:rsidR="00CD6423">
        <w:t> </w:t>
      </w:r>
      <w:r w:rsidRPr="00072A20">
        <w:t>paragraphs</w:t>
      </w:r>
      <w:r w:rsidRPr="00072A20" w:rsidR="00CD6423">
        <w:t> </w:t>
      </w:r>
      <w:r w:rsidRPr="00072A20">
        <w:fldChar w:fldCharType="begin"/>
      </w:r>
      <w:r w:rsidRPr="00072A20">
        <w:instrText xml:space="preserve"> REF Doctor \h </w:instrText>
      </w:r>
      <w:r w:rsidRPr="00072A20">
        <w:fldChar w:fldCharType="separate"/>
      </w:r>
      <w:r w:rsidRPr="00072A20" w:rsidR="00072A20">
        <w:rPr>
          <w:noProof/>
        </w:rPr>
        <w:t>5</w:t>
      </w:r>
      <w:r w:rsidRPr="00072A20">
        <w:fldChar w:fldCharType="end"/>
      </w:r>
      <w:r w:rsidRPr="00072A20">
        <w:t xml:space="preserve">, </w:t>
      </w:r>
      <w:r w:rsidRPr="00072A20">
        <w:fldChar w:fldCharType="begin"/>
      </w:r>
      <w:r w:rsidRPr="00072A20">
        <w:instrText xml:space="preserve"> REF Contradictory_witness_statements \h </w:instrText>
      </w:r>
      <w:r w:rsidRPr="00072A20">
        <w:fldChar w:fldCharType="separate"/>
      </w:r>
      <w:r w:rsidRPr="00072A20" w:rsidR="00072A20">
        <w:rPr>
          <w:noProof/>
        </w:rPr>
        <w:t>9</w:t>
      </w:r>
      <w:r w:rsidRPr="00072A20">
        <w:fldChar w:fldCharType="end"/>
      </w:r>
      <w:r w:rsidRPr="00072A20">
        <w:t xml:space="preserve"> and </w:t>
      </w:r>
      <w:r w:rsidRPr="00072A20">
        <w:fldChar w:fldCharType="begin"/>
      </w:r>
      <w:r w:rsidRPr="00072A20">
        <w:instrText xml:space="preserve"> REF Witnesses_scene_inspection \h </w:instrText>
      </w:r>
      <w:r w:rsidRPr="00072A20">
        <w:fldChar w:fldCharType="separate"/>
      </w:r>
      <w:r w:rsidRPr="00072A20" w:rsidR="00072A20">
        <w:rPr>
          <w:noProof/>
        </w:rPr>
        <w:t>12</w:t>
      </w:r>
      <w:r w:rsidRPr="00072A20">
        <w:fldChar w:fldCharType="end"/>
      </w:r>
      <w:r w:rsidRPr="00072A20">
        <w:t xml:space="preserve"> above). As regards some other witnesses, it was found impossible to question them either because their whereabouts were unknown or for other reasons.</w:t>
      </w:r>
    </w:p>
    <w:bookmarkStart w:name="Experiment_06JUL2021_begin" w:id="8"/>
    <w:p w:rsidRPr="00072A20" w:rsidR="00290837" w:rsidP="00072A20" w14:paraId="1EEDD850" w14:textId="609DCDB3">
      <w:pPr>
        <w:pStyle w:val="JuPara"/>
      </w:pPr>
      <w:r w:rsidRPr="00072A20">
        <w:fldChar w:fldCharType="begin"/>
      </w:r>
      <w:r w:rsidRPr="00072A20">
        <w:instrText xml:space="preserve"> SEQ level0 \*arabic \* MERGEFORMAT </w:instrText>
      </w:r>
      <w:r w:rsidRPr="00072A20">
        <w:fldChar w:fldCharType="separate"/>
      </w:r>
      <w:r w:rsidRPr="00072A20" w:rsidR="00072A20">
        <w:rPr>
          <w:noProof/>
        </w:rPr>
        <w:t>30</w:t>
      </w:r>
      <w:r w:rsidRPr="00072A20">
        <w:fldChar w:fldCharType="end"/>
      </w:r>
      <w:bookmarkEnd w:id="8"/>
      <w:r w:rsidRPr="00072A20">
        <w:t>.  On 6 July 2021 another investigative experiment was carried out, this time in the presence of the first applicant and his lawyer. A technical participant of the same stature as D.Sh. played the latter</w:t>
      </w:r>
      <w:r w:rsidRPr="00072A20" w:rsidR="00072A20">
        <w:t>’</w:t>
      </w:r>
      <w:r w:rsidRPr="00072A20">
        <w:t>s role using a dummy grenade and an assault rifle. It was confirmed that, as indicated by D.Sh.</w:t>
      </w:r>
      <w:r w:rsidRPr="00072A20" w:rsidR="00072A20">
        <w:t>’</w:t>
      </w:r>
      <w:r w:rsidRPr="00072A20">
        <w:t>s injuries, the grenade had exploded while he had been holding it in his left hand. Also, the direction of the gunshot wound showed that D.Sh. could not have inflicted it with his right hand. The technical participant reproduced various versions as to possible actions by D.Sh. He found it difficult to use the rifle with only one hand. Accordingly, he was holding it with his right hand and imitated pressing on the trigger with the left thumb while holding the dummy grenade in the left hand, first sitting on the coat rack bench, then sitting on the floor with his back against the coat rack bench and, lastly, standing inside the room near the entrance door. An explosives expert, who was present during the experiment, noted that, regard being had to the damage and traces on the walls caused by the explosion, D.Sh. had been standing when the grenade had exploded in his left hand. The expert ruled out the</w:t>
      </w:r>
      <w:r w:rsidRPr="00072A20" w:rsidR="00766761">
        <w:t> </w:t>
      </w:r>
      <w:r w:rsidRPr="00072A20">
        <w:t>scenario that somebody might have thrown the grenade inside the room and that D.Sh. might have attempted to throw it back out. He stated that D.Sh.</w:t>
      </w:r>
      <w:r w:rsidRPr="00072A20" w:rsidR="00072A20">
        <w:t>’</w:t>
      </w:r>
      <w:r w:rsidRPr="00072A20">
        <w:t>s injuries would have been different in that scenario. At the same time, a forensic medical expert, also present at the experiment, submitted that, as indicated by the gunshot injury, the rifle had been pressed against D.Sh.</w:t>
      </w:r>
      <w:r w:rsidRPr="00072A20" w:rsidR="00072A20">
        <w:t>’</w:t>
      </w:r>
      <w:r w:rsidRPr="00072A20">
        <w:t>s chin at the moment of the shot. In the expert</w:t>
      </w:r>
      <w:r w:rsidRPr="00072A20" w:rsidR="00072A20">
        <w:t>’</w:t>
      </w:r>
      <w:r w:rsidRPr="00072A20">
        <w:t>s view, D.Sh. had likely been in a seated position.</w:t>
      </w:r>
    </w:p>
    <w:p w:rsidRPr="00072A20" w:rsidR="00290837" w:rsidP="00072A20" w14:paraId="25902D09" w14:textId="0CC6E705">
      <w:pPr>
        <w:pStyle w:val="JuPara"/>
      </w:pPr>
      <w:r>
        <w:fldChar w:fldCharType="begin"/>
      </w:r>
      <w:r>
        <w:instrText xml:space="preserve"> SEQ level0 \*arabic \* MERGEFORMAT </w:instrText>
      </w:r>
      <w:r>
        <w:fldChar w:fldCharType="separate"/>
      </w:r>
      <w:r w:rsidRPr="00072A20" w:rsidR="00072A20">
        <w:rPr>
          <w:noProof/>
        </w:rPr>
        <w:t>31</w:t>
      </w:r>
      <w:r w:rsidRPr="00072A20" w:rsidR="00072A20">
        <w:rPr>
          <w:noProof/>
        </w:rPr>
        <w:fldChar w:fldCharType="end"/>
      </w:r>
      <w:r w:rsidRPr="00072A20">
        <w:t>.  The first applicant pointed out during the experiment that his son had been right-handed. He therefore found it difficult to accept the version that D.Sh. had both pulled the pin of the grenade and had pressed on the trigger of the rifle with only his left hand.</w:t>
      </w:r>
    </w:p>
    <w:bookmarkStart w:name="Experiment_06JUL2021_end" w:id="9"/>
    <w:p w:rsidRPr="00072A20" w:rsidR="00290837" w:rsidP="00072A20" w14:paraId="271C800C" w14:textId="2C1C3EC9">
      <w:pPr>
        <w:pStyle w:val="JuPara"/>
      </w:pPr>
      <w:r w:rsidRPr="00072A20">
        <w:fldChar w:fldCharType="begin"/>
      </w:r>
      <w:r w:rsidRPr="00072A20">
        <w:instrText xml:space="preserve"> SEQ level0 \*arabic \* MERGEFORMAT </w:instrText>
      </w:r>
      <w:r w:rsidRPr="00072A20">
        <w:fldChar w:fldCharType="separate"/>
      </w:r>
      <w:r w:rsidRPr="00072A20" w:rsidR="00072A20">
        <w:rPr>
          <w:noProof/>
        </w:rPr>
        <w:t>32</w:t>
      </w:r>
      <w:r w:rsidRPr="00072A20">
        <w:fldChar w:fldCharType="end"/>
      </w:r>
      <w:bookmarkEnd w:id="9"/>
      <w:r w:rsidRPr="00072A20">
        <w:t>.  Furthermore, the experiment sought to verify whether, regard being had to the victim</w:t>
      </w:r>
      <w:r w:rsidRPr="00072A20" w:rsidR="00072A20">
        <w:t>’</w:t>
      </w:r>
      <w:r w:rsidRPr="00072A20">
        <w:t>s position, somebody else could have shot him after the</w:t>
      </w:r>
      <w:r w:rsidRPr="00072A20" w:rsidR="00766761">
        <w:t> </w:t>
      </w:r>
      <w:r w:rsidRPr="00072A20">
        <w:t>grenade explosion. It was shown that, albeit with difficulty, a left-handed person might have succeeded in shooting D.Sh.</w:t>
      </w:r>
    </w:p>
    <w:bookmarkStart w:name="Explosives_expertise_order_2021" w:id="10"/>
    <w:p w:rsidRPr="00072A20" w:rsidR="00290837" w:rsidP="00072A20" w14:paraId="0B6914AB" w14:textId="27D49AFE">
      <w:pPr>
        <w:pStyle w:val="JuPara"/>
      </w:pPr>
      <w:r w:rsidRPr="00072A20">
        <w:fldChar w:fldCharType="begin"/>
      </w:r>
      <w:r w:rsidRPr="00072A20">
        <w:instrText xml:space="preserve"> SEQ level0 \*arabic \* MERGEFORMAT </w:instrText>
      </w:r>
      <w:r w:rsidRPr="00072A20">
        <w:fldChar w:fldCharType="separate"/>
      </w:r>
      <w:r w:rsidRPr="00072A20" w:rsidR="00072A20">
        <w:rPr>
          <w:noProof/>
        </w:rPr>
        <w:t>33</w:t>
      </w:r>
      <w:r w:rsidRPr="00072A20">
        <w:fldChar w:fldCharType="end"/>
      </w:r>
      <w:bookmarkEnd w:id="10"/>
      <w:r w:rsidRPr="00072A20">
        <w:t>.  On 20 August 2021 the investigator ordered a forensic technical explosives expert examination with a view to establishing at what distance from the floor the grenade had exploded. The expert was also called to assess the probability of each of the following three scenarios:</w:t>
      </w:r>
    </w:p>
    <w:p w:rsidRPr="00072A20" w:rsidR="00290837" w:rsidP="00072A20" w14:paraId="594AA276" w14:textId="77777777">
      <w:pPr>
        <w:pStyle w:val="JuPara"/>
        <w:numPr>
          <w:ilvl w:val="0"/>
          <w:numId w:val="28"/>
        </w:numPr>
      </w:pPr>
      <w:r w:rsidRPr="00072A20">
        <w:t xml:space="preserve">during the grenade explosion D.Sh. had been sitting on the coat rack bench inside the room near the entrance holding the rifle in his right hand while having set the butt of the rifle on the floor and having </w:t>
      </w:r>
      <w:r w:rsidRPr="00072A20">
        <w:t>pressed its barrel against his chin while also holding the grenade in his left hand, with the left thumb being placed on the rifle trigger;</w:t>
      </w:r>
    </w:p>
    <w:p w:rsidRPr="00072A20" w:rsidR="00290837" w:rsidP="00072A20" w14:paraId="1F476781" w14:textId="77777777">
      <w:pPr>
        <w:pStyle w:val="JuPara"/>
        <w:numPr>
          <w:ilvl w:val="0"/>
          <w:numId w:val="28"/>
        </w:numPr>
      </w:pPr>
      <w:r w:rsidRPr="00072A20">
        <w:t>the same scenario as above, but assuming that D.Sh. had been sitting on the floor, with his back against the coat rack bench; and</w:t>
      </w:r>
    </w:p>
    <w:p w:rsidRPr="00072A20" w:rsidR="00290837" w:rsidP="00072A20" w14:paraId="115A8327" w14:textId="77777777">
      <w:pPr>
        <w:pStyle w:val="JuPara"/>
        <w:numPr>
          <w:ilvl w:val="0"/>
          <w:numId w:val="28"/>
        </w:numPr>
      </w:pPr>
      <w:r w:rsidRPr="00072A20">
        <w:t>at the moment of the grenade explosion, D.Sh. had been standing inside the room near the entrance and holding the grenade in the left hand hanging down along his body.</w:t>
      </w:r>
    </w:p>
    <w:bookmarkStart w:name="Explosives_expertise_15NOV2021" w:id="11"/>
    <w:p w:rsidRPr="00072A20" w:rsidR="00290837" w:rsidP="00072A20" w14:paraId="586626FD" w14:textId="1F00FB9F">
      <w:pPr>
        <w:pStyle w:val="JuPara"/>
      </w:pPr>
      <w:r w:rsidRPr="00072A20">
        <w:fldChar w:fldCharType="begin"/>
      </w:r>
      <w:r w:rsidRPr="00072A20">
        <w:instrText xml:space="preserve"> SEQ level0 \*arabic \* MERGEFORMAT </w:instrText>
      </w:r>
      <w:r w:rsidRPr="00072A20">
        <w:fldChar w:fldCharType="separate"/>
      </w:r>
      <w:r w:rsidRPr="00072A20" w:rsidR="00072A20">
        <w:rPr>
          <w:noProof/>
        </w:rPr>
        <w:t>34</w:t>
      </w:r>
      <w:r w:rsidRPr="00072A20">
        <w:fldChar w:fldCharType="end"/>
      </w:r>
      <w:bookmarkEnd w:id="11"/>
      <w:r w:rsidRPr="00072A20">
        <w:t>.  On 15 November 2021 a forensic technical explosives expert examination report was issued. It concluded that the grenade had exploded at a height of 64-75 cm from the floor. Given that the distance from the rifle butt to the trigger was 34 cm and that the trigger had not been in the epicentre of the explosion, the expert ruled out the possibility of the first two above-mentioned scenarios. As regards the third scenario, the expert found it plausible.</w:t>
      </w:r>
    </w:p>
    <w:p w:rsidRPr="00072A20" w:rsidR="00290837" w:rsidP="00072A20" w14:paraId="61F29E1C" w14:textId="78E180B8">
      <w:pPr>
        <w:pStyle w:val="JuPara"/>
      </w:pPr>
      <w:r>
        <w:fldChar w:fldCharType="begin"/>
      </w:r>
      <w:r>
        <w:instrText xml:space="preserve"> SEQ level0 \*arabic \* MERGEFORMAT </w:instrText>
      </w:r>
      <w:r>
        <w:fldChar w:fldCharType="separate"/>
      </w:r>
      <w:r w:rsidRPr="00072A20" w:rsidR="00072A20">
        <w:rPr>
          <w:noProof/>
        </w:rPr>
        <w:t>35</w:t>
      </w:r>
      <w:r w:rsidRPr="00072A20" w:rsidR="00072A20">
        <w:rPr>
          <w:noProof/>
        </w:rPr>
        <w:fldChar w:fldCharType="end"/>
      </w:r>
      <w:r w:rsidRPr="00072A20">
        <w:t>.  In 2022 the investigation file was evacuated from the Luhansk region to Dnipro, regard being had to the Russian military occupation of the relevant area.</w:t>
      </w:r>
    </w:p>
    <w:bookmarkStart w:name="Criticism_29AP2024" w:id="12"/>
    <w:p w:rsidRPr="00072A20" w:rsidR="00290837" w:rsidP="00072A20" w14:paraId="33A88F16" w14:textId="17F71652">
      <w:pPr>
        <w:pStyle w:val="JuPara"/>
      </w:pPr>
      <w:r w:rsidRPr="00072A20">
        <w:fldChar w:fldCharType="begin"/>
      </w:r>
      <w:r w:rsidRPr="00072A20">
        <w:instrText xml:space="preserve"> SEQ level0 \*arabic \* MERGEFORMAT </w:instrText>
      </w:r>
      <w:r w:rsidRPr="00072A20">
        <w:fldChar w:fldCharType="separate"/>
      </w:r>
      <w:r w:rsidRPr="00072A20" w:rsidR="00072A20">
        <w:rPr>
          <w:noProof/>
        </w:rPr>
        <w:t>36</w:t>
      </w:r>
      <w:r w:rsidRPr="00072A20">
        <w:fldChar w:fldCharType="end"/>
      </w:r>
      <w:bookmarkEnd w:id="12"/>
      <w:r w:rsidRPr="00072A20">
        <w:t>.  On 29 April 2024 the Luhansk Bureau of the Eastern Region Defence Specialised Prosecutor</w:t>
      </w:r>
      <w:r w:rsidRPr="00072A20" w:rsidR="00072A20">
        <w:t>’</w:t>
      </w:r>
      <w:r w:rsidRPr="00072A20">
        <w:t>s Office, which had taken over the procedural management of the investigation at some point, issued numerous instructions to the investigator in charge of the case. It was noted that some of the</w:t>
      </w:r>
      <w:r w:rsidRPr="00072A20" w:rsidR="00766761">
        <w:t> </w:t>
      </w:r>
      <w:r w:rsidRPr="00072A20">
        <w:t>investigative measures, which yet remained to be carried out (in particular the additional questioning of witnesses), had been requested by the applicants back in 2016.</w:t>
      </w:r>
    </w:p>
    <w:bookmarkStart w:name="Witnesses_2024" w:id="13"/>
    <w:p w:rsidRPr="00072A20" w:rsidR="00290837" w:rsidP="00072A20" w14:paraId="6485FC95" w14:textId="2AEC073F">
      <w:pPr>
        <w:pStyle w:val="JuPara"/>
      </w:pPr>
      <w:r w:rsidRPr="00072A20">
        <w:fldChar w:fldCharType="begin"/>
      </w:r>
      <w:r w:rsidRPr="00072A20">
        <w:instrText xml:space="preserve"> SEQ level0 \*arabic \* MERGEFORMAT </w:instrText>
      </w:r>
      <w:r w:rsidRPr="00072A20">
        <w:fldChar w:fldCharType="separate"/>
      </w:r>
      <w:r w:rsidRPr="00072A20" w:rsidR="00072A20">
        <w:rPr>
          <w:noProof/>
        </w:rPr>
        <w:t>37</w:t>
      </w:r>
      <w:r w:rsidRPr="00072A20">
        <w:fldChar w:fldCharType="end"/>
      </w:r>
      <w:bookmarkEnd w:id="13"/>
      <w:r w:rsidRPr="00072A20">
        <w:t>.  In the period from May to October 2024 the investigator made several attempts to establish the whereabouts of some former Aidar servicemen with a view to their additional questioning as witnesses. It appeared impossible to locate some of them, whereas some others were either living abroad or were serving in the combat zone.</w:t>
      </w:r>
    </w:p>
    <w:p w:rsidRPr="00072A20" w:rsidR="00290837" w:rsidP="00072A20" w14:paraId="0337C5D0" w14:textId="72FBCBF4">
      <w:pPr>
        <w:pStyle w:val="JuPara"/>
      </w:pPr>
      <w:r>
        <w:fldChar w:fldCharType="begin"/>
      </w:r>
      <w:r>
        <w:instrText xml:space="preserve"> SEQ level0 \*arabic \* MERGEFORMAT </w:instrText>
      </w:r>
      <w:r>
        <w:fldChar w:fldCharType="separate"/>
      </w:r>
      <w:r w:rsidRPr="00072A20" w:rsidR="00072A20">
        <w:rPr>
          <w:noProof/>
        </w:rPr>
        <w:t>38</w:t>
      </w:r>
      <w:r w:rsidRPr="00072A20" w:rsidR="00072A20">
        <w:rPr>
          <w:noProof/>
        </w:rPr>
        <w:fldChar w:fldCharType="end"/>
      </w:r>
      <w:r w:rsidRPr="00072A20">
        <w:t>.  The investigation remains pending.</w:t>
      </w:r>
    </w:p>
    <w:p w:rsidRPr="00072A20" w:rsidR="00290837" w:rsidP="00072A20" w14:paraId="0DAC5C56" w14:textId="52444B5A">
      <w:pPr>
        <w:pStyle w:val="JuHHead"/>
      </w:pPr>
      <w:r w:rsidRPr="00072A20">
        <w:t>THE COURT</w:t>
      </w:r>
      <w:r w:rsidRPr="00072A20" w:rsidR="00072A20">
        <w:t>’</w:t>
      </w:r>
      <w:r w:rsidRPr="00072A20">
        <w:t>S ASSESSMENT</w:t>
      </w:r>
    </w:p>
    <w:p w:rsidRPr="00072A20" w:rsidR="00290837" w:rsidP="00072A20" w14:paraId="285F0352" w14:textId="77777777">
      <w:pPr>
        <w:pStyle w:val="JuHIRoman"/>
        <w:ind w:left="397" w:hanging="397"/>
      </w:pPr>
      <w:r w:rsidRPr="00072A20">
        <w:t>Preliminary matter</w:t>
      </w:r>
    </w:p>
    <w:p w:rsidRPr="00072A20" w:rsidR="00290837" w:rsidP="00072A20" w14:paraId="600F347B" w14:textId="00D40E8D">
      <w:pPr>
        <w:pStyle w:val="JuPara"/>
      </w:pPr>
      <w:r>
        <w:fldChar w:fldCharType="begin"/>
      </w:r>
      <w:r>
        <w:instrText xml:space="preserve"> SEQ level0 \*arabic \* MERGEFORMAT </w:instrText>
      </w:r>
      <w:r>
        <w:fldChar w:fldCharType="separate"/>
      </w:r>
      <w:r w:rsidRPr="00072A20" w:rsidR="00072A20">
        <w:rPr>
          <w:noProof/>
        </w:rPr>
        <w:t>39</w:t>
      </w:r>
      <w:r w:rsidRPr="00072A20" w:rsidR="00072A20">
        <w:rPr>
          <w:noProof/>
        </w:rPr>
        <w:fldChar w:fldCharType="end"/>
      </w:r>
      <w:r w:rsidRPr="00072A20">
        <w:t>.  The first applicant died while the proceedings before the Court were ongoing. The second applicant expressed her wish to pursue the application both on her own and on behalf of her late husband.</w:t>
      </w:r>
    </w:p>
    <w:p w:rsidRPr="00072A20" w:rsidR="00290837" w:rsidP="00072A20" w14:paraId="425D4EC4" w14:textId="7569B075">
      <w:pPr>
        <w:pStyle w:val="JuPara"/>
      </w:pPr>
      <w:r>
        <w:fldChar w:fldCharType="begin"/>
      </w:r>
      <w:r>
        <w:instrText xml:space="preserve"> SEQ level0 \*arabic \* MERGEFORMAT </w:instrText>
      </w:r>
      <w:r>
        <w:fldChar w:fldCharType="separate"/>
      </w:r>
      <w:r w:rsidRPr="00072A20" w:rsidR="00072A20">
        <w:rPr>
          <w:noProof/>
        </w:rPr>
        <w:t>40</w:t>
      </w:r>
      <w:r w:rsidRPr="00072A20" w:rsidR="00072A20">
        <w:rPr>
          <w:noProof/>
        </w:rPr>
        <w:fldChar w:fldCharType="end"/>
      </w:r>
      <w:r w:rsidRPr="00072A20">
        <w:t xml:space="preserve">.  Regard being had to its relevant case-law (see, for example, </w:t>
      </w:r>
      <w:bookmarkStart w:name="_cl44525THECOURTSASSESSMENT" w:id="14"/>
      <w:r w:rsidRPr="00072A20">
        <w:rPr>
          <w:i/>
          <w:iCs/>
        </w:rPr>
        <w:t>Taganova and Others v. Georgia and Russia</w:t>
      </w:r>
      <w:bookmarkEnd w:id="14"/>
      <w:r w:rsidRPr="00072A20">
        <w:t>, nos. 18102/04 and 4 others, §§ 168-75, 17 December 2024), the Court accepts that the second applicant, who is the</w:t>
      </w:r>
      <w:r w:rsidRPr="00072A20" w:rsidR="00766761">
        <w:t> </w:t>
      </w:r>
      <w:r w:rsidRPr="00072A20">
        <w:t>widow of the deceased first applicant, has standing to pursue the</w:t>
      </w:r>
      <w:r w:rsidRPr="00072A20" w:rsidR="00766761">
        <w:t> </w:t>
      </w:r>
      <w:r w:rsidRPr="00072A20">
        <w:t>application on behalf of the latter. However, for reasons of convenience, the text of this judgment will mainly refer to both applicants.</w:t>
      </w:r>
    </w:p>
    <w:p w:rsidRPr="00072A20" w:rsidR="00290837" w:rsidP="00072A20" w14:paraId="10A38741" w14:textId="77777777">
      <w:pPr>
        <w:pStyle w:val="JuHIRoman"/>
        <w:ind w:left="397" w:hanging="397"/>
      </w:pPr>
      <w:r w:rsidRPr="00072A20">
        <w:t>ALLEGED VIOLATION OF ARTICLE 2 OF THE CONVENTION</w:t>
      </w:r>
    </w:p>
    <w:p w:rsidRPr="00072A20" w:rsidR="00290837" w:rsidP="00072A20" w14:paraId="6C88781E" w14:textId="2BCC184F">
      <w:pPr>
        <w:pStyle w:val="JuPara"/>
      </w:pPr>
      <w:r>
        <w:fldChar w:fldCharType="begin"/>
      </w:r>
      <w:r>
        <w:instrText xml:space="preserve"> SEQ level0 \*arabic \* MERGEFORMAT </w:instrText>
      </w:r>
      <w:r>
        <w:fldChar w:fldCharType="separate"/>
      </w:r>
      <w:r w:rsidRPr="00072A20" w:rsidR="00072A20">
        <w:rPr>
          <w:noProof/>
        </w:rPr>
        <w:t>41</w:t>
      </w:r>
      <w:r w:rsidRPr="00072A20" w:rsidR="00072A20">
        <w:rPr>
          <w:noProof/>
        </w:rPr>
        <w:fldChar w:fldCharType="end"/>
      </w:r>
      <w:r w:rsidRPr="00072A20">
        <w:t>.  The applicants complained that the State had failed to comply with its obligations under both the substantive and the procedural limbs of Article 2 of the Convention.</w:t>
      </w:r>
    </w:p>
    <w:p w:rsidRPr="00072A20" w:rsidR="00290837" w:rsidP="00072A20" w14:paraId="4A74F6E2" w14:textId="77777777">
      <w:pPr>
        <w:pStyle w:val="JuHA"/>
      </w:pPr>
      <w:r w:rsidRPr="00072A20">
        <w:t>Admissibility</w:t>
      </w:r>
    </w:p>
    <w:p w:rsidRPr="00072A20" w:rsidR="00290837" w:rsidP="00072A20" w14:paraId="043009CE" w14:textId="77777777">
      <w:pPr>
        <w:pStyle w:val="JuH1"/>
      </w:pPr>
      <w:r w:rsidRPr="00072A20">
        <w:t>Compatibility ratione materiae with the provisions of the Convention</w:t>
      </w:r>
    </w:p>
    <w:p w:rsidRPr="00072A20" w:rsidR="00290837" w:rsidP="00072A20" w14:paraId="41F4E52C" w14:textId="56CA5F8A">
      <w:pPr>
        <w:pStyle w:val="JuPara"/>
      </w:pPr>
      <w:r>
        <w:fldChar w:fldCharType="begin"/>
      </w:r>
      <w:r>
        <w:instrText xml:space="preserve"> SEQ level0 \*arabic \* MERGEFORMAT </w:instrText>
      </w:r>
      <w:r>
        <w:fldChar w:fldCharType="separate"/>
      </w:r>
      <w:r w:rsidRPr="00072A20" w:rsidR="00072A20">
        <w:rPr>
          <w:noProof/>
        </w:rPr>
        <w:t>42</w:t>
      </w:r>
      <w:r w:rsidRPr="00072A20" w:rsidR="00072A20">
        <w:rPr>
          <w:noProof/>
        </w:rPr>
        <w:fldChar w:fldCharType="end"/>
      </w:r>
      <w:r w:rsidRPr="00072A20">
        <w:t>.  The Government argued that no State responsibility had been engaged in the suicide of the applicants</w:t>
      </w:r>
      <w:r w:rsidRPr="00072A20" w:rsidR="00072A20">
        <w:t>’</w:t>
      </w:r>
      <w:r w:rsidRPr="00072A20">
        <w:t xml:space="preserve"> son and that therefore their complaint under the substantive limb of Article 2 was to be rejected as being incompatible </w:t>
      </w:r>
      <w:r w:rsidRPr="00072A20">
        <w:rPr>
          <w:i/>
          <w:iCs/>
        </w:rPr>
        <w:t>ratione materiae</w:t>
      </w:r>
      <w:r w:rsidRPr="00072A20">
        <w:t xml:space="preserve"> with the provisions of the Convention.</w:t>
      </w:r>
    </w:p>
    <w:p w:rsidRPr="00072A20" w:rsidR="00290837" w:rsidP="00072A20" w14:paraId="6B08B1CF" w14:textId="6ACE4E82">
      <w:pPr>
        <w:pStyle w:val="JuPara"/>
      </w:pPr>
      <w:r>
        <w:fldChar w:fldCharType="begin"/>
      </w:r>
      <w:r>
        <w:instrText xml:space="preserve"> SEQ level0 \*arabic \* MERGEFORMAT </w:instrText>
      </w:r>
      <w:r>
        <w:fldChar w:fldCharType="separate"/>
      </w:r>
      <w:r w:rsidRPr="00072A20" w:rsidR="00072A20">
        <w:rPr>
          <w:noProof/>
        </w:rPr>
        <w:t>43</w:t>
      </w:r>
      <w:r w:rsidRPr="00072A20" w:rsidR="00072A20">
        <w:rPr>
          <w:noProof/>
        </w:rPr>
        <w:fldChar w:fldCharType="end"/>
      </w:r>
      <w:r w:rsidRPr="00072A20">
        <w:t>.  The applicants contested that argument.</w:t>
      </w:r>
    </w:p>
    <w:p w:rsidRPr="00072A20" w:rsidR="00290837" w:rsidP="00072A20" w14:paraId="479A3075" w14:textId="25240755">
      <w:pPr>
        <w:pStyle w:val="JuPara"/>
      </w:pPr>
      <w:r>
        <w:fldChar w:fldCharType="begin"/>
      </w:r>
      <w:r>
        <w:instrText xml:space="preserve"> SEQ level0 \*arabic \* MERGEFORMAT </w:instrText>
      </w:r>
      <w:r>
        <w:fldChar w:fldCharType="separate"/>
      </w:r>
      <w:r w:rsidRPr="00072A20" w:rsidR="00072A20">
        <w:rPr>
          <w:noProof/>
        </w:rPr>
        <w:t>44</w:t>
      </w:r>
      <w:r w:rsidRPr="00072A20" w:rsidR="00072A20">
        <w:rPr>
          <w:noProof/>
        </w:rPr>
        <w:fldChar w:fldCharType="end"/>
      </w:r>
      <w:r w:rsidRPr="00072A20">
        <w:t xml:space="preserve">.  The Court has already examined and rejected a similar objection of the Government in comparable cases (see, for example, </w:t>
      </w:r>
      <w:bookmarkStart w:name="_cl32298THECOURTSASSESSMENT" w:id="15"/>
      <w:r w:rsidRPr="00072A20">
        <w:rPr>
          <w:i/>
          <w:iCs/>
        </w:rPr>
        <w:t>Mosendz v. Ukraine</w:t>
      </w:r>
      <w:bookmarkEnd w:id="15"/>
      <w:r w:rsidRPr="00072A20">
        <w:t>, no. 52013/08, §§ 77-81, 17 January 2013). It does not see any reasons for reaching a different finding in the present case.</w:t>
      </w:r>
    </w:p>
    <w:p w:rsidRPr="00072A20" w:rsidR="00290837" w:rsidP="00072A20" w14:paraId="0141E5D4" w14:textId="5213A39A">
      <w:pPr>
        <w:pStyle w:val="JuPara"/>
      </w:pPr>
      <w:r>
        <w:fldChar w:fldCharType="begin"/>
      </w:r>
      <w:r>
        <w:instrText xml:space="preserve"> SEQ level0 \*arabic \* MERGEFORMAT </w:instrText>
      </w:r>
      <w:r>
        <w:fldChar w:fldCharType="separate"/>
      </w:r>
      <w:r w:rsidRPr="00072A20" w:rsidR="00072A20">
        <w:rPr>
          <w:noProof/>
        </w:rPr>
        <w:t>45</w:t>
      </w:r>
      <w:r w:rsidRPr="00072A20" w:rsidR="00072A20">
        <w:rPr>
          <w:noProof/>
        </w:rPr>
        <w:fldChar w:fldCharType="end"/>
      </w:r>
      <w:r w:rsidRPr="00072A20">
        <w:t>.  The Court therefore rejects this objection of the Government.</w:t>
      </w:r>
    </w:p>
    <w:p w:rsidRPr="00072A20" w:rsidR="00290837" w:rsidP="00072A20" w14:paraId="581AAA04" w14:textId="77777777">
      <w:pPr>
        <w:pStyle w:val="JuH1"/>
      </w:pPr>
      <w:r w:rsidRPr="00072A20">
        <w:t>Non-exhaustion of domestic remedies</w:t>
      </w:r>
    </w:p>
    <w:p w:rsidRPr="00072A20" w:rsidR="00290837" w:rsidP="00072A20" w14:paraId="11F9378B" w14:textId="31E08BC9">
      <w:pPr>
        <w:pStyle w:val="JuPara"/>
      </w:pPr>
      <w:r>
        <w:fldChar w:fldCharType="begin"/>
      </w:r>
      <w:r>
        <w:instrText xml:space="preserve"> SEQ level0 \*arabic \* MERGEFORMAT </w:instrText>
      </w:r>
      <w:r>
        <w:fldChar w:fldCharType="separate"/>
      </w:r>
      <w:r w:rsidRPr="00072A20" w:rsidR="00072A20">
        <w:rPr>
          <w:noProof/>
        </w:rPr>
        <w:t>46</w:t>
      </w:r>
      <w:r w:rsidRPr="00072A20" w:rsidR="00072A20">
        <w:rPr>
          <w:noProof/>
        </w:rPr>
        <w:fldChar w:fldCharType="end"/>
      </w:r>
      <w:r w:rsidRPr="00072A20">
        <w:t>.  The Government also argued that the applicants could not be regarded as having exhausted the available domestic remedies, given that they had neither complained of any shortcomings or omissions in the investigation nor lodged any claims for compensation in respect of non-pecuniary damage.</w:t>
      </w:r>
    </w:p>
    <w:p w:rsidRPr="00072A20" w:rsidR="00290837" w:rsidP="00072A20" w14:paraId="20D49781" w14:textId="6337FCAA">
      <w:pPr>
        <w:pStyle w:val="JuPara"/>
      </w:pPr>
      <w:r>
        <w:fldChar w:fldCharType="begin"/>
      </w:r>
      <w:r>
        <w:instrText xml:space="preserve"> SEQ level0 \*arabic \* MERGEFORMAT </w:instrText>
      </w:r>
      <w:r>
        <w:fldChar w:fldCharType="separate"/>
      </w:r>
      <w:r w:rsidRPr="00072A20" w:rsidR="00072A20">
        <w:rPr>
          <w:noProof/>
        </w:rPr>
        <w:t>47</w:t>
      </w:r>
      <w:r w:rsidRPr="00072A20" w:rsidR="00072A20">
        <w:rPr>
          <w:noProof/>
        </w:rPr>
        <w:fldChar w:fldCharType="end"/>
      </w:r>
      <w:r w:rsidRPr="00072A20">
        <w:t>.  The Government further submitted that the domestic investigation was still ongoing. They asserted that, therefore, the application was premature.</w:t>
      </w:r>
    </w:p>
    <w:p w:rsidRPr="00072A20" w:rsidR="00290837" w:rsidP="00072A20" w14:paraId="16C4F8B2" w14:textId="70F8804C">
      <w:pPr>
        <w:pStyle w:val="JuPara"/>
      </w:pPr>
      <w:r>
        <w:fldChar w:fldCharType="begin"/>
      </w:r>
      <w:r>
        <w:instrText xml:space="preserve"> SEQ level0 \*arabic \* MERGEFORMAT </w:instrText>
      </w:r>
      <w:r>
        <w:fldChar w:fldCharType="separate"/>
      </w:r>
      <w:r w:rsidRPr="00072A20" w:rsidR="00072A20">
        <w:rPr>
          <w:noProof/>
        </w:rPr>
        <w:t>48</w:t>
      </w:r>
      <w:r w:rsidRPr="00072A20" w:rsidR="00072A20">
        <w:rPr>
          <w:noProof/>
        </w:rPr>
        <w:fldChar w:fldCharType="end"/>
      </w:r>
      <w:r w:rsidRPr="00072A20">
        <w:t>.  The applicants submitted that they had consistently complained at the</w:t>
      </w:r>
      <w:r w:rsidRPr="00072A20" w:rsidR="00766761">
        <w:t> </w:t>
      </w:r>
      <w:r w:rsidRPr="00072A20">
        <w:t>domestic level of various omissions and deficiencies in the investigation, which had been ongoing for about ten years without any tangible progress. They emphasised that the exact circumstances of the death of their son had not been elucidated and that they therefore considered it pointless to lodge a</w:t>
      </w:r>
      <w:r w:rsidRPr="00072A20" w:rsidR="00766761">
        <w:t> </w:t>
      </w:r>
      <w:r w:rsidRPr="00072A20">
        <w:t>civil claim for damages.</w:t>
      </w:r>
    </w:p>
    <w:p w:rsidRPr="00072A20" w:rsidR="00290837" w:rsidP="00072A20" w14:paraId="1D858D6C" w14:textId="20D90CEF">
      <w:pPr>
        <w:pStyle w:val="JuPara"/>
      </w:pPr>
      <w:r>
        <w:fldChar w:fldCharType="begin"/>
      </w:r>
      <w:r>
        <w:instrText xml:space="preserve"> SEQ level0 \*arabic \* MERGEFORMAT </w:instrText>
      </w:r>
      <w:r>
        <w:fldChar w:fldCharType="separate"/>
      </w:r>
      <w:r w:rsidRPr="00072A20" w:rsidR="00072A20">
        <w:rPr>
          <w:noProof/>
        </w:rPr>
        <w:t>49</w:t>
      </w:r>
      <w:r w:rsidRPr="00072A20" w:rsidR="00072A20">
        <w:rPr>
          <w:noProof/>
        </w:rPr>
        <w:fldChar w:fldCharType="end"/>
      </w:r>
      <w:r w:rsidRPr="00072A20">
        <w:t>.  The relevant general principles as regards the exhaustion of domestic remedies are set out in </w:t>
      </w:r>
      <w:bookmarkStart w:name="_cl39121" w:id="16"/>
      <w:r w:rsidRPr="00072A20">
        <w:rPr>
          <w:i/>
          <w:iCs/>
        </w:rPr>
        <w:t>Vučković and Others v. Serbia</w:t>
      </w:r>
      <w:bookmarkEnd w:id="16"/>
      <w:r w:rsidRPr="00072A20">
        <w:t> ((preliminary objection) [GC], nos. 17153/11 and 29 others, §§ 69-77, 25 March 2014).</w:t>
      </w:r>
    </w:p>
    <w:p w:rsidRPr="00072A20" w:rsidR="00290837" w:rsidP="00072A20" w14:paraId="278F2A06" w14:textId="361A5D61">
      <w:pPr>
        <w:pStyle w:val="JuPara"/>
      </w:pPr>
      <w:r>
        <w:fldChar w:fldCharType="begin"/>
      </w:r>
      <w:r>
        <w:instrText xml:space="preserve"> SEQ level0 \*arabic \* MERGEFORMAT </w:instrText>
      </w:r>
      <w:r>
        <w:fldChar w:fldCharType="separate"/>
      </w:r>
      <w:r w:rsidRPr="00072A20" w:rsidR="00072A20">
        <w:rPr>
          <w:noProof/>
        </w:rPr>
        <w:t>50</w:t>
      </w:r>
      <w:r w:rsidRPr="00072A20" w:rsidR="00072A20">
        <w:rPr>
          <w:noProof/>
        </w:rPr>
        <w:fldChar w:fldCharType="end"/>
      </w:r>
      <w:r w:rsidRPr="00072A20">
        <w:t>.  The procedural obligation of the State under Article 2 of the</w:t>
      </w:r>
      <w:r w:rsidRPr="00072A20" w:rsidR="00766761">
        <w:t> </w:t>
      </w:r>
      <w:r w:rsidRPr="00072A20">
        <w:t>Convention, which, in the case of a suspicious death, requires an</w:t>
      </w:r>
      <w:r w:rsidRPr="00072A20" w:rsidR="00766761">
        <w:t> </w:t>
      </w:r>
      <w:r w:rsidRPr="00072A20">
        <w:t xml:space="preserve">official investigation capable of leading to the establishment of the facts and, where appropriate, the identification and punishment of those responsible, cannot be satisfied merely by awarding damages (see </w:t>
      </w:r>
      <w:r w:rsidRPr="00072A20">
        <w:rPr>
          <w:i/>
          <w:iCs/>
        </w:rPr>
        <w:t>Al-Skeini and Others v. the United Kingdom</w:t>
      </w:r>
      <w:r w:rsidRPr="00072A20">
        <w:t xml:space="preserve"> [GC], no. 55721/07, § 165, ECHR 2011, </w:t>
      </w:r>
      <w:r w:rsidRPr="00072A20">
        <w:t xml:space="preserve">and </w:t>
      </w:r>
      <w:r w:rsidRPr="00072A20">
        <w:rPr>
          <w:i/>
          <w:iCs/>
        </w:rPr>
        <w:t>Mustafa Tunç and Fecire Tunç</w:t>
      </w:r>
      <w:r w:rsidRPr="00072A20">
        <w:t> </w:t>
      </w:r>
      <w:r w:rsidRPr="00072A20">
        <w:rPr>
          <w:i/>
          <w:iCs/>
        </w:rPr>
        <w:t>v. Turkey </w:t>
      </w:r>
      <w:r w:rsidRPr="00072A20">
        <w:t>[GC], no. 24014/05, §§ 130, 134, 171 and 172, 14 April 2015). Accordingly, the Court rejects the</w:t>
      </w:r>
      <w:r w:rsidRPr="00072A20" w:rsidR="00766761">
        <w:t> </w:t>
      </w:r>
      <w:r w:rsidRPr="00072A20">
        <w:t>Government</w:t>
      </w:r>
      <w:r w:rsidRPr="00072A20" w:rsidR="00072A20">
        <w:t>’</w:t>
      </w:r>
      <w:r w:rsidRPr="00072A20">
        <w:t>s objection based on non-exhaustion in so far as it concerns the applicants</w:t>
      </w:r>
      <w:r w:rsidRPr="00072A20" w:rsidR="00072A20">
        <w:t>’</w:t>
      </w:r>
      <w:r w:rsidRPr="00072A20">
        <w:t xml:space="preserve"> failure to lodge a claim for damages.</w:t>
      </w:r>
    </w:p>
    <w:bookmarkStart w:name="G_objection_joined_to_merits" w:id="17"/>
    <w:p w:rsidRPr="00072A20" w:rsidR="00290837" w:rsidP="00072A20" w14:paraId="3A4BEE17" w14:textId="554AF864">
      <w:pPr>
        <w:pStyle w:val="JuPara"/>
      </w:pPr>
      <w:r w:rsidRPr="00072A20">
        <w:fldChar w:fldCharType="begin"/>
      </w:r>
      <w:r w:rsidRPr="00072A20">
        <w:instrText xml:space="preserve"> SEQ level0 \*arabic \* MERGEFORMAT </w:instrText>
      </w:r>
      <w:r w:rsidRPr="00072A20">
        <w:fldChar w:fldCharType="separate"/>
      </w:r>
      <w:r w:rsidRPr="00072A20" w:rsidR="00072A20">
        <w:rPr>
          <w:noProof/>
        </w:rPr>
        <w:t>51</w:t>
      </w:r>
      <w:r w:rsidRPr="00072A20">
        <w:fldChar w:fldCharType="end"/>
      </w:r>
      <w:bookmarkEnd w:id="17"/>
      <w:r w:rsidRPr="00072A20">
        <w:t>.  In so far as the remaining part of the Government</w:t>
      </w:r>
      <w:r w:rsidRPr="00072A20" w:rsidR="00072A20">
        <w:t>’</w:t>
      </w:r>
      <w:r w:rsidRPr="00072A20">
        <w:t xml:space="preserve">s objection is concerned, the Court notes that it raises issues concerning the effectiveness of the investigation and therefore should be addressed in the framework of its assessment under the procedural limb of Article 2 (compare </w:t>
      </w:r>
      <w:r w:rsidRPr="00072A20">
        <w:rPr>
          <w:i/>
          <w:iCs/>
        </w:rPr>
        <w:t>Nana Muradyan v. Armenia</w:t>
      </w:r>
      <w:r w:rsidRPr="00072A20">
        <w:t xml:space="preserve">, no. 69517/11, § 106, 5 April 2022, and </w:t>
      </w:r>
      <w:bookmarkStart w:name="_cl42438THECOURTSASSESSMENT" w:id="18"/>
      <w:r w:rsidRPr="00072A20">
        <w:rPr>
          <w:i/>
          <w:iCs/>
        </w:rPr>
        <w:t>Ohanjanyan v. Armenia</w:t>
      </w:r>
      <w:bookmarkEnd w:id="18"/>
      <w:r w:rsidRPr="00072A20">
        <w:t>, no. 70665/11, § 124, 25 April 2023).</w:t>
      </w:r>
    </w:p>
    <w:p w:rsidRPr="00072A20" w:rsidR="00290837" w:rsidP="00072A20" w14:paraId="0DF9ADE4" w14:textId="77777777">
      <w:pPr>
        <w:pStyle w:val="JuH1"/>
      </w:pPr>
      <w:r w:rsidRPr="00072A20">
        <w:t>Otherwise as to admissibility</w:t>
      </w:r>
    </w:p>
    <w:p w:rsidRPr="00072A20" w:rsidR="00290837" w:rsidP="00072A20" w14:paraId="3E90CCE2" w14:textId="14384D32">
      <w:pPr>
        <w:pStyle w:val="JuPara"/>
      </w:pPr>
      <w:r>
        <w:fldChar w:fldCharType="begin"/>
      </w:r>
      <w:r>
        <w:instrText xml:space="preserve"> SEQ level0 \*arabic \* MERGEFORMAT </w:instrText>
      </w:r>
      <w:r>
        <w:fldChar w:fldCharType="separate"/>
      </w:r>
      <w:r w:rsidRPr="00072A20" w:rsidR="00072A20">
        <w:rPr>
          <w:noProof/>
        </w:rPr>
        <w:t>52</w:t>
      </w:r>
      <w:r w:rsidRPr="00072A20" w:rsidR="00072A20">
        <w:rPr>
          <w:noProof/>
        </w:rPr>
        <w:fldChar w:fldCharType="end"/>
      </w:r>
      <w:r w:rsidRPr="00072A20">
        <w:t>.  The Court further notes that the application is not manifestly ill</w:t>
      </w:r>
      <w:r w:rsidRPr="00072A20" w:rsidR="00072A20">
        <w:noBreakHyphen/>
      </w:r>
      <w:r w:rsidRPr="00072A20">
        <w:t>founded within the meaning of Article 35 § 3 (a) of the Convention or inadmissible on any other grounds. It must therefore be declared admissible.</w:t>
      </w:r>
    </w:p>
    <w:p w:rsidRPr="00072A20" w:rsidR="00290837" w:rsidP="00072A20" w14:paraId="5410D7C3" w14:textId="77777777">
      <w:pPr>
        <w:pStyle w:val="JuHA"/>
      </w:pPr>
      <w:r w:rsidRPr="00072A20">
        <w:t>Merits</w:t>
      </w:r>
    </w:p>
    <w:p w:rsidRPr="00072A20" w:rsidR="00290837" w:rsidP="00072A20" w14:paraId="25322FA1" w14:textId="6F6173DC">
      <w:pPr>
        <w:pStyle w:val="JuH1"/>
      </w:pPr>
      <w:r w:rsidRPr="00072A20">
        <w:t>The parties</w:t>
      </w:r>
      <w:r w:rsidRPr="00072A20" w:rsidR="00072A20">
        <w:t>’</w:t>
      </w:r>
      <w:r w:rsidRPr="00072A20">
        <w:t xml:space="preserve"> submissions</w:t>
      </w:r>
    </w:p>
    <w:p w:rsidRPr="00072A20" w:rsidR="00290837" w:rsidP="00072A20" w14:paraId="1159FA86" w14:textId="478DCD23">
      <w:pPr>
        <w:pStyle w:val="JuPara"/>
      </w:pPr>
      <w:r>
        <w:fldChar w:fldCharType="begin"/>
      </w:r>
      <w:r>
        <w:instrText xml:space="preserve"> SEQ level0 \*arabic \* MERGEFORMAT </w:instrText>
      </w:r>
      <w:r>
        <w:fldChar w:fldCharType="separate"/>
      </w:r>
      <w:r w:rsidRPr="00072A20" w:rsidR="00072A20">
        <w:rPr>
          <w:noProof/>
        </w:rPr>
        <w:t>53</w:t>
      </w:r>
      <w:r w:rsidRPr="00072A20" w:rsidR="00072A20">
        <w:rPr>
          <w:noProof/>
        </w:rPr>
        <w:fldChar w:fldCharType="end"/>
      </w:r>
      <w:r w:rsidRPr="00072A20">
        <w:t>.  The applicants submitted that their son had been murdered while under the control of the State and that there had been no genuine efforts to elucidate the circumstances of his death let alone bring the perpetrators to liability.</w:t>
      </w:r>
    </w:p>
    <w:p w:rsidRPr="00072A20" w:rsidR="00290837" w:rsidP="00072A20" w14:paraId="43ECA1A6" w14:textId="48826AED">
      <w:pPr>
        <w:pStyle w:val="JuPara"/>
      </w:pPr>
      <w:r>
        <w:fldChar w:fldCharType="begin"/>
      </w:r>
      <w:r>
        <w:instrText xml:space="preserve"> SEQ level0 \*arabic \* MERGEFORMAT </w:instrText>
      </w:r>
      <w:r>
        <w:fldChar w:fldCharType="separate"/>
      </w:r>
      <w:r w:rsidRPr="00072A20" w:rsidR="00072A20">
        <w:rPr>
          <w:noProof/>
        </w:rPr>
        <w:t>54</w:t>
      </w:r>
      <w:r w:rsidRPr="00072A20" w:rsidR="00072A20">
        <w:rPr>
          <w:noProof/>
        </w:rPr>
        <w:fldChar w:fldCharType="end"/>
      </w:r>
      <w:r w:rsidRPr="00072A20">
        <w:t>.  In the applicants</w:t>
      </w:r>
      <w:r w:rsidRPr="00072A20" w:rsidR="00072A20">
        <w:t>’</w:t>
      </w:r>
      <w:r w:rsidRPr="00072A20">
        <w:t xml:space="preserve"> view, the authorities had accepted the suicide version of D.Sh.</w:t>
      </w:r>
      <w:r w:rsidRPr="00072A20" w:rsidR="00072A20">
        <w:t>’</w:t>
      </w:r>
      <w:r w:rsidRPr="00072A20">
        <w:t>s death too readily from the outset and had been pursuing it throughout the investigation, without seriously considering any alternatives.</w:t>
      </w:r>
    </w:p>
    <w:p w:rsidRPr="00072A20" w:rsidR="00290837" w:rsidP="00072A20" w14:paraId="68023545" w14:textId="762FAD0F">
      <w:pPr>
        <w:pStyle w:val="JuPara"/>
      </w:pPr>
      <w:r>
        <w:fldChar w:fldCharType="begin"/>
      </w:r>
      <w:r>
        <w:instrText xml:space="preserve"> SEQ level0 \*arabic \* MERGEFORMAT </w:instrText>
      </w:r>
      <w:r>
        <w:fldChar w:fldCharType="separate"/>
      </w:r>
      <w:r w:rsidRPr="00072A20" w:rsidR="00072A20">
        <w:rPr>
          <w:noProof/>
        </w:rPr>
        <w:t>55</w:t>
      </w:r>
      <w:r w:rsidRPr="00072A20" w:rsidR="00072A20">
        <w:rPr>
          <w:noProof/>
        </w:rPr>
        <w:fldChar w:fldCharType="end"/>
      </w:r>
      <w:r w:rsidRPr="00072A20">
        <w:t>.  The applicants further argued that the investigation, which had been pending for about ten years, had been undermined by various omissions and delays.</w:t>
      </w:r>
    </w:p>
    <w:p w:rsidRPr="00072A20" w:rsidR="00290837" w:rsidP="00072A20" w14:paraId="37C27B59" w14:textId="73F61CDB">
      <w:pPr>
        <w:pStyle w:val="JuPara"/>
      </w:pPr>
      <w:r>
        <w:fldChar w:fldCharType="begin"/>
      </w:r>
      <w:r>
        <w:instrText xml:space="preserve"> SEQ level0 \*arabic \* MERGEFORMAT </w:instrText>
      </w:r>
      <w:r>
        <w:fldChar w:fldCharType="separate"/>
      </w:r>
      <w:r w:rsidRPr="00072A20" w:rsidR="00072A20">
        <w:rPr>
          <w:noProof/>
        </w:rPr>
        <w:t>56</w:t>
      </w:r>
      <w:r w:rsidRPr="00072A20" w:rsidR="00072A20">
        <w:rPr>
          <w:noProof/>
        </w:rPr>
        <w:fldChar w:fldCharType="end"/>
      </w:r>
      <w:r w:rsidRPr="00072A20">
        <w:t>.  The Government submitted that, even though the investigation was still ongoing, everything had pointed to D.Sh.</w:t>
      </w:r>
      <w:r w:rsidRPr="00072A20" w:rsidR="00072A20">
        <w:t>’</w:t>
      </w:r>
      <w:r w:rsidRPr="00072A20">
        <w:t>s taking of his own life. Referring to the existing suicide prevention mechanisms in the army and pointing out the absence of any indication that D.Sh. had been a victim of hazing or that he had been otherwise driven to take his own life, the</w:t>
      </w:r>
      <w:r w:rsidRPr="00072A20" w:rsidR="00766761">
        <w:t> </w:t>
      </w:r>
      <w:r w:rsidRPr="00072A20">
        <w:t>Government denied any State responsibility engaged in respect of his death.</w:t>
      </w:r>
    </w:p>
    <w:p w:rsidRPr="00072A20" w:rsidR="00290837" w:rsidP="00072A20" w14:paraId="3B02D2A9" w14:textId="7CF9AE2B">
      <w:pPr>
        <w:pStyle w:val="JuPara"/>
      </w:pPr>
      <w:r>
        <w:fldChar w:fldCharType="begin"/>
      </w:r>
      <w:r>
        <w:instrText xml:space="preserve"> SEQ level0 \*arabic \* MERGEFORMAT </w:instrText>
      </w:r>
      <w:r>
        <w:fldChar w:fldCharType="separate"/>
      </w:r>
      <w:r w:rsidRPr="00072A20" w:rsidR="00072A20">
        <w:rPr>
          <w:noProof/>
        </w:rPr>
        <w:t>57</w:t>
      </w:r>
      <w:r w:rsidRPr="00072A20" w:rsidR="00072A20">
        <w:rPr>
          <w:noProof/>
        </w:rPr>
        <w:fldChar w:fldCharType="end"/>
      </w:r>
      <w:r w:rsidRPr="00072A20">
        <w:t>.  The Government further argued that the State had done everything possible to give a plausible explanation for D.Sh.</w:t>
      </w:r>
      <w:r w:rsidRPr="00072A20" w:rsidR="00072A20">
        <w:t>’</w:t>
      </w:r>
      <w:r w:rsidRPr="00072A20">
        <w:t>s death. To illustrate that, they listed various investigative measures which had been carried out. The</w:t>
      </w:r>
      <w:r w:rsidRPr="00072A20" w:rsidR="00766761">
        <w:t> </w:t>
      </w:r>
      <w:r w:rsidRPr="00072A20">
        <w:t xml:space="preserve">Government also asserted that the investigation had been launched immediately after the incident and that its considerable duration could be explained by numerous objective difficulties which had had to be overcome. </w:t>
      </w:r>
      <w:r w:rsidRPr="00072A20">
        <w:t>In particular, they drew the Court</w:t>
      </w:r>
      <w:r w:rsidRPr="00072A20" w:rsidR="00072A20">
        <w:t>’</w:t>
      </w:r>
      <w:r w:rsidRPr="00072A20">
        <w:t>s attention to the challenges in the</w:t>
      </w:r>
      <w:r w:rsidRPr="00072A20" w:rsidR="00122AD7">
        <w:t> </w:t>
      </w:r>
      <w:r w:rsidRPr="00072A20">
        <w:t>investigation stemming from the ongoing armed conflict in Ukraine.</w:t>
      </w:r>
    </w:p>
    <w:p w:rsidRPr="00072A20" w:rsidR="00290837" w:rsidP="00072A20" w14:paraId="76586240" w14:textId="188E1D57">
      <w:pPr>
        <w:pStyle w:val="JuH1"/>
      </w:pPr>
      <w:r w:rsidRPr="00072A20">
        <w:t>The Court</w:t>
      </w:r>
      <w:r w:rsidRPr="00072A20" w:rsidR="00072A20">
        <w:t>’</w:t>
      </w:r>
      <w:r w:rsidRPr="00072A20">
        <w:t>s assessment</w:t>
      </w:r>
    </w:p>
    <w:p w:rsidRPr="00072A20" w:rsidR="00290837" w:rsidP="00072A20" w14:paraId="37BE2EAE" w14:textId="3D108AF3">
      <w:pPr>
        <w:pStyle w:val="JuPara"/>
      </w:pPr>
      <w:r>
        <w:fldChar w:fldCharType="begin"/>
      </w:r>
      <w:r>
        <w:instrText xml:space="preserve"> SEQ level0 \*arabic \* MERGEFORMAT </w:instrText>
      </w:r>
      <w:r>
        <w:fldChar w:fldCharType="separate"/>
      </w:r>
      <w:r w:rsidRPr="00072A20" w:rsidR="00072A20">
        <w:rPr>
          <w:noProof/>
        </w:rPr>
        <w:t>58</w:t>
      </w:r>
      <w:r w:rsidRPr="00072A20" w:rsidR="00072A20">
        <w:rPr>
          <w:noProof/>
        </w:rPr>
        <w:fldChar w:fldCharType="end"/>
      </w:r>
      <w:r w:rsidRPr="00072A20">
        <w:t>.  The Court considers it appropriate to start its examination on the</w:t>
      </w:r>
      <w:r w:rsidRPr="00072A20" w:rsidR="00122AD7">
        <w:t> </w:t>
      </w:r>
      <w:r w:rsidRPr="00072A20">
        <w:t>merits by first addressing the procedural limb of the applicants</w:t>
      </w:r>
      <w:r w:rsidRPr="00072A20" w:rsidR="00072A20">
        <w:t>’</w:t>
      </w:r>
      <w:r w:rsidRPr="00072A20">
        <w:t xml:space="preserve"> complaint under Article 2 of the Convention, namely whether or not the criminal investigation into the circumstances of D.Sh.</w:t>
      </w:r>
      <w:r w:rsidRPr="00072A20" w:rsidR="00072A20">
        <w:t>’</w:t>
      </w:r>
      <w:r w:rsidRPr="00072A20">
        <w:t xml:space="preserve">s death was effective, and then turning to the substantive limb, namely the question of whether the State can be held responsible for the death (see </w:t>
      </w:r>
      <w:bookmarkStart w:name="_cl44481THECOURTSASSESSMENT" w:id="19"/>
      <w:r w:rsidRPr="00072A20">
        <w:rPr>
          <w:i/>
          <w:iCs/>
        </w:rPr>
        <w:t>A.P. v. Austria</w:t>
      </w:r>
      <w:bookmarkEnd w:id="19"/>
      <w:r w:rsidRPr="00072A20">
        <w:t xml:space="preserve">, no. 1718/21, § 136, 26 November 2024, and </w:t>
      </w:r>
      <w:bookmarkStart w:name="_cl44553THECOURTSASSESSMENT" w:id="20"/>
      <w:r w:rsidRPr="00072A20">
        <w:rPr>
          <w:i/>
          <w:iCs/>
        </w:rPr>
        <w:t>Petrosyan v. Armenia</w:t>
      </w:r>
      <w:bookmarkEnd w:id="20"/>
      <w:r w:rsidRPr="00072A20">
        <w:t>, no. 51448/15, § 120, 9 January 2025).</w:t>
      </w:r>
    </w:p>
    <w:p w:rsidRPr="00072A20" w:rsidR="00290837" w:rsidP="00072A20" w14:paraId="1611A5C0" w14:textId="77777777">
      <w:pPr>
        <w:pStyle w:val="JuHa0"/>
      </w:pPr>
      <w:r w:rsidRPr="00072A20">
        <w:t>Procedural limb</w:t>
      </w:r>
    </w:p>
    <w:p w:rsidRPr="00072A20" w:rsidR="00290837" w:rsidP="00072A20" w14:paraId="3E1076BD" w14:textId="3BFC00C6">
      <w:pPr>
        <w:pStyle w:val="JuPara"/>
      </w:pPr>
      <w:r>
        <w:fldChar w:fldCharType="begin"/>
      </w:r>
      <w:r>
        <w:instrText xml:space="preserve"> SEQ level0 \*arabic \* MERGEFORMAT </w:instrText>
      </w:r>
      <w:r>
        <w:fldChar w:fldCharType="separate"/>
      </w:r>
      <w:r w:rsidRPr="00072A20" w:rsidR="00072A20">
        <w:rPr>
          <w:noProof/>
        </w:rPr>
        <w:t>59</w:t>
      </w:r>
      <w:r w:rsidRPr="00072A20" w:rsidR="00072A20">
        <w:rPr>
          <w:noProof/>
        </w:rPr>
        <w:fldChar w:fldCharType="end"/>
      </w:r>
      <w:r w:rsidRPr="00072A20">
        <w:t xml:space="preserve">.  The relevant general principles have been set out, in particular, in </w:t>
      </w:r>
      <w:r w:rsidRPr="00072A20">
        <w:rPr>
          <w:i/>
          <w:iCs/>
        </w:rPr>
        <w:t xml:space="preserve">Mustafa Tunç and Fecire Tunç </w:t>
      </w:r>
      <w:r w:rsidRPr="00072A20">
        <w:t>(cited above, §§ 169</w:t>
      </w:r>
      <w:r w:rsidRPr="00072A20">
        <w:noBreakHyphen/>
        <w:t>82).</w:t>
      </w:r>
    </w:p>
    <w:p w:rsidRPr="00072A20" w:rsidR="00290837" w:rsidP="00072A20" w14:paraId="18A80F26" w14:textId="6FB3F033">
      <w:pPr>
        <w:pStyle w:val="JuPara"/>
      </w:pPr>
      <w:r>
        <w:fldChar w:fldCharType="begin"/>
      </w:r>
      <w:r>
        <w:instrText xml:space="preserve"> SEQ level0 \*arabic \* MERGEFORMAT </w:instrText>
      </w:r>
      <w:r>
        <w:fldChar w:fldCharType="separate"/>
      </w:r>
      <w:r w:rsidRPr="00072A20" w:rsidR="00072A20">
        <w:rPr>
          <w:noProof/>
        </w:rPr>
        <w:t>60</w:t>
      </w:r>
      <w:r w:rsidRPr="00072A20" w:rsidR="00072A20">
        <w:rPr>
          <w:noProof/>
        </w:rPr>
        <w:fldChar w:fldCharType="end"/>
      </w:r>
      <w:r w:rsidRPr="00072A20">
        <w:t>.  In the present case the investigation into the violent death of the</w:t>
      </w:r>
      <w:r w:rsidRPr="00072A20" w:rsidR="00122AD7">
        <w:t> </w:t>
      </w:r>
      <w:r w:rsidRPr="00072A20">
        <w:t>applicants</w:t>
      </w:r>
      <w:r w:rsidRPr="00072A20" w:rsidR="00072A20">
        <w:t>’</w:t>
      </w:r>
      <w:r w:rsidRPr="00072A20">
        <w:t xml:space="preserve"> son has lasted for more than ten years and, as is apparent in the material in the Court</w:t>
      </w:r>
      <w:r w:rsidRPr="00072A20" w:rsidR="00072A20">
        <w:t>’</w:t>
      </w:r>
      <w:r w:rsidRPr="00072A20">
        <w:t>s possession, is still pending before the investigating authorities. The Court reiterates that the excessive length of proceedings is a</w:t>
      </w:r>
      <w:r w:rsidRPr="00072A20" w:rsidR="00122AD7">
        <w:t> </w:t>
      </w:r>
      <w:r w:rsidRPr="00072A20">
        <w:t>strong indication that the proceedings are defective to the point of constituting a violation of the respondent State</w:t>
      </w:r>
      <w:r w:rsidRPr="00072A20" w:rsidR="00072A20">
        <w:t>’</w:t>
      </w:r>
      <w:r w:rsidRPr="00072A20">
        <w:t xml:space="preserve">s positive obligations under the Convention, unless the State has provided highly convincing and plausible reasons to justify the length of the proceedings (see </w:t>
      </w:r>
      <w:bookmarkStart w:name="_cl31545THECOURTSASSESSMENT" w:id="21"/>
      <w:r w:rsidRPr="00072A20">
        <w:rPr>
          <w:i/>
          <w:iCs/>
        </w:rPr>
        <w:t>Mazepa and Others v. Russia</w:t>
      </w:r>
      <w:bookmarkEnd w:id="21"/>
      <w:r w:rsidRPr="00072A20">
        <w:t xml:space="preserve">, no. 15086/07, § 80, 17 July 2018, and </w:t>
      </w:r>
      <w:bookmarkStart w:name="_cl44736THECOURTSASSESSMENT" w:id="22"/>
      <w:r w:rsidRPr="00072A20">
        <w:rPr>
          <w:i/>
          <w:iCs/>
        </w:rPr>
        <w:t>Vyacheslavova and Others v. Ukraine</w:t>
      </w:r>
      <w:bookmarkEnd w:id="22"/>
      <w:r w:rsidRPr="00072A20">
        <w:t>, nos. 39553/16 and 6 others, § 400, 13 March 2025).</w:t>
      </w:r>
    </w:p>
    <w:p w:rsidRPr="00072A20" w:rsidR="00290837" w:rsidP="00072A20" w14:paraId="0259DA28" w14:textId="74AE6FAF">
      <w:pPr>
        <w:pStyle w:val="JuPara"/>
      </w:pPr>
      <w:r>
        <w:fldChar w:fldCharType="begin"/>
      </w:r>
      <w:r>
        <w:instrText xml:space="preserve"> SEQ level0 \*arabic \* MERGEFORMAT </w:instrText>
      </w:r>
      <w:r>
        <w:fldChar w:fldCharType="separate"/>
      </w:r>
      <w:r w:rsidRPr="00072A20" w:rsidR="00072A20">
        <w:rPr>
          <w:noProof/>
        </w:rPr>
        <w:t>61</w:t>
      </w:r>
      <w:r w:rsidRPr="00072A20" w:rsidR="00072A20">
        <w:rPr>
          <w:noProof/>
        </w:rPr>
        <w:fldChar w:fldCharType="end"/>
      </w:r>
      <w:r w:rsidRPr="00072A20">
        <w:t>.  The Court considers that no such justification has been provided by the Government in the present case.</w:t>
      </w:r>
    </w:p>
    <w:p w:rsidRPr="00072A20" w:rsidR="00290837" w:rsidP="00072A20" w14:paraId="4C12F098" w14:textId="14ED28EF">
      <w:pPr>
        <w:pStyle w:val="JuPara"/>
      </w:pPr>
      <w:r>
        <w:fldChar w:fldCharType="begin"/>
      </w:r>
      <w:r>
        <w:instrText xml:space="preserve"> SEQ level0 \*arabic \* MERGEFORMAT </w:instrText>
      </w:r>
      <w:r>
        <w:fldChar w:fldCharType="separate"/>
      </w:r>
      <w:r w:rsidRPr="00072A20" w:rsidR="00072A20">
        <w:rPr>
          <w:noProof/>
        </w:rPr>
        <w:t>62</w:t>
      </w:r>
      <w:r w:rsidRPr="00072A20" w:rsidR="00072A20">
        <w:rPr>
          <w:noProof/>
        </w:rPr>
        <w:fldChar w:fldCharType="end"/>
      </w:r>
      <w:r w:rsidRPr="00072A20">
        <w:t>.  It observes, in particular, that, as acknowledged by the domestic authorities themselves, the investigation virtually stagnated during the initial three years and the investigator disregarded the higher prosecutor</w:t>
      </w:r>
      <w:r w:rsidRPr="00072A20" w:rsidR="00072A20">
        <w:t>’</w:t>
      </w:r>
      <w:r w:rsidRPr="00072A20">
        <w:t>s instructions, even after those had been reiterated seven times (see</w:t>
      </w:r>
      <w:r w:rsidRPr="00072A20" w:rsidR="00CD6423">
        <w:t> </w:t>
      </w:r>
      <w:r w:rsidRPr="00072A20">
        <w:t>paragraphs</w:t>
      </w:r>
      <w:r w:rsidRPr="00072A20" w:rsidR="00CD6423">
        <w:t> </w:t>
      </w:r>
      <w:r w:rsidRPr="00072A20">
        <w:fldChar w:fldCharType="begin"/>
      </w:r>
      <w:r w:rsidRPr="00072A20">
        <w:instrText xml:space="preserve"> REF Criticism_20AP2018 \h </w:instrText>
      </w:r>
      <w:r w:rsidRPr="00072A20">
        <w:fldChar w:fldCharType="separate"/>
      </w:r>
      <w:r w:rsidRPr="00072A20" w:rsidR="00072A20">
        <w:rPr>
          <w:noProof/>
        </w:rPr>
        <w:t>23</w:t>
      </w:r>
      <w:r w:rsidRPr="00072A20">
        <w:fldChar w:fldCharType="end"/>
      </w:r>
      <w:r w:rsidRPr="00072A20">
        <w:t xml:space="preserve"> and </w:t>
      </w:r>
      <w:r w:rsidRPr="00072A20">
        <w:fldChar w:fldCharType="begin"/>
      </w:r>
      <w:r w:rsidRPr="00072A20">
        <w:instrText xml:space="preserve"> REF Criticism_26DEC2018 \h </w:instrText>
      </w:r>
      <w:r w:rsidRPr="00072A20">
        <w:fldChar w:fldCharType="separate"/>
      </w:r>
      <w:r w:rsidRPr="00072A20" w:rsidR="00072A20">
        <w:rPr>
          <w:noProof/>
        </w:rPr>
        <w:t>25</w:t>
      </w:r>
      <w:r w:rsidRPr="00072A20">
        <w:fldChar w:fldCharType="end"/>
      </w:r>
      <w:r w:rsidRPr="00072A20">
        <w:t xml:space="preserve"> above). Such persistent reluctance of the investigator to comply with the supervising authority</w:t>
      </w:r>
      <w:r w:rsidRPr="00072A20" w:rsidR="00072A20">
        <w:t>’</w:t>
      </w:r>
      <w:r w:rsidRPr="00072A20">
        <w:t xml:space="preserve">s instructions points to serious defects in the investigation as a whole (see, </w:t>
      </w:r>
      <w:r w:rsidRPr="00072A20">
        <w:rPr>
          <w:i/>
          <w:iCs/>
        </w:rPr>
        <w:t>mutatis mutandis</w:t>
      </w:r>
      <w:r w:rsidRPr="00072A20">
        <w:t>,</w:t>
      </w:r>
      <w:r w:rsidRPr="00072A20">
        <w:rPr>
          <w:i/>
          <w:iCs/>
        </w:rPr>
        <w:t xml:space="preserve"> Vyacheslavova and Others</w:t>
      </w:r>
      <w:r w:rsidRPr="00072A20">
        <w:t>, cited above, § 389).</w:t>
      </w:r>
    </w:p>
    <w:p w:rsidRPr="00072A20" w:rsidR="00290837" w:rsidP="00072A20" w14:paraId="0DA4DCAD" w14:textId="0FD58311">
      <w:pPr>
        <w:pStyle w:val="JuPara"/>
      </w:pPr>
      <w:r>
        <w:fldChar w:fldCharType="begin"/>
      </w:r>
      <w:r>
        <w:instrText xml:space="preserve"> SEQ level0 \*arabic \* MERGEFORMAT </w:instrText>
      </w:r>
      <w:r>
        <w:fldChar w:fldCharType="separate"/>
      </w:r>
      <w:r w:rsidRPr="00072A20" w:rsidR="00072A20">
        <w:rPr>
          <w:noProof/>
        </w:rPr>
        <w:t>63</w:t>
      </w:r>
      <w:r w:rsidRPr="00072A20" w:rsidR="00072A20">
        <w:rPr>
          <w:noProof/>
        </w:rPr>
        <w:fldChar w:fldCharType="end"/>
      </w:r>
      <w:r w:rsidRPr="00072A20">
        <w:t>.  As also acknowledged by the domestic authorities, the applicants</w:t>
      </w:r>
      <w:r w:rsidRPr="00072A20" w:rsidR="00072A20">
        <w:t>’</w:t>
      </w:r>
      <w:r w:rsidRPr="00072A20">
        <w:t xml:space="preserve"> requests for certain pertinent investigative measures, which they submitted in 2016, remained without any follow-up until April 2024 (see paragraph </w:t>
      </w:r>
      <w:r w:rsidRPr="00072A20">
        <w:fldChar w:fldCharType="begin"/>
      </w:r>
      <w:r w:rsidRPr="00072A20">
        <w:instrText xml:space="preserve"> REF Criticism_29AP2024 \h </w:instrText>
      </w:r>
      <w:r w:rsidRPr="00072A20">
        <w:fldChar w:fldCharType="separate"/>
      </w:r>
      <w:r w:rsidRPr="00072A20" w:rsidR="00072A20">
        <w:rPr>
          <w:noProof/>
        </w:rPr>
        <w:t>36</w:t>
      </w:r>
      <w:r w:rsidRPr="00072A20">
        <w:fldChar w:fldCharType="end"/>
      </w:r>
      <w:r w:rsidRPr="00072A20">
        <w:t xml:space="preserve"> above). The adverse impact of such a prohibitive delay on the effectiveness of the investigation is obvious.</w:t>
      </w:r>
    </w:p>
    <w:p w:rsidRPr="00072A20" w:rsidR="00290837" w:rsidP="00072A20" w14:paraId="08B2A115" w14:textId="038F31E0">
      <w:pPr>
        <w:pStyle w:val="JuPara"/>
      </w:pPr>
      <w:r>
        <w:fldChar w:fldCharType="begin"/>
      </w:r>
      <w:r>
        <w:instrText xml:space="preserve"> SEQ level0 \*arabic \* MERGEFORMAT </w:instrText>
      </w:r>
      <w:r>
        <w:fldChar w:fldCharType="separate"/>
      </w:r>
      <w:r w:rsidRPr="00072A20" w:rsidR="00072A20">
        <w:rPr>
          <w:noProof/>
        </w:rPr>
        <w:t>64</w:t>
      </w:r>
      <w:r w:rsidRPr="00072A20" w:rsidR="00072A20">
        <w:rPr>
          <w:noProof/>
        </w:rPr>
        <w:fldChar w:fldCharType="end"/>
      </w:r>
      <w:r w:rsidRPr="00072A20">
        <w:t xml:space="preserve">.  In so far as the Government referred to the numerous investigative measures carried out, the Court reiterates that the effectiveness of </w:t>
      </w:r>
      <w:r w:rsidRPr="00072A20">
        <w:t>an</w:t>
      </w:r>
      <w:r w:rsidRPr="00072A20" w:rsidR="00122AD7">
        <w:t> </w:t>
      </w:r>
      <w:r w:rsidRPr="00072A20">
        <w:t>investigation cannot be gauged simply on the basis of the number of reports made, witnesses questioned or other investigative measures taken. The investigation</w:t>
      </w:r>
      <w:r w:rsidRPr="00072A20" w:rsidR="00072A20">
        <w:t>’</w:t>
      </w:r>
      <w:r w:rsidRPr="00072A20">
        <w:t xml:space="preserve">s conclusions must be based on a thorough, objective and impartial analysis of all the relevant elements (see </w:t>
      </w:r>
      <w:r w:rsidRPr="00072A20">
        <w:rPr>
          <w:i/>
          <w:iCs/>
        </w:rPr>
        <w:t>Varyan v. Armenia</w:t>
      </w:r>
      <w:r w:rsidRPr="00072A20">
        <w:t>, no. 48998/14, § 127, 4 June 2024).</w:t>
      </w:r>
    </w:p>
    <w:bookmarkStart w:name="Discrepancies_analysis" w:id="23"/>
    <w:p w:rsidRPr="00072A20" w:rsidR="00290837" w:rsidP="00072A20" w14:paraId="47DA5A00" w14:textId="0CD38A4A">
      <w:pPr>
        <w:pStyle w:val="JuPara"/>
      </w:pPr>
      <w:r w:rsidRPr="00072A20">
        <w:fldChar w:fldCharType="begin"/>
      </w:r>
      <w:r w:rsidRPr="00072A20">
        <w:instrText xml:space="preserve"> SEQ level0 \*arabic \* MERGEFORMAT </w:instrText>
      </w:r>
      <w:r w:rsidRPr="00072A20">
        <w:fldChar w:fldCharType="separate"/>
      </w:r>
      <w:r w:rsidRPr="00072A20" w:rsidR="00072A20">
        <w:rPr>
          <w:noProof/>
        </w:rPr>
        <w:t>65</w:t>
      </w:r>
      <w:r w:rsidRPr="00072A20">
        <w:fldChar w:fldCharType="end"/>
      </w:r>
      <w:bookmarkEnd w:id="23"/>
      <w:r w:rsidRPr="00072A20">
        <w:t>.  The Court notes that in the present case the investigation failed to elucidate a number of important circumstances surrounding D.Sh.</w:t>
      </w:r>
      <w:r w:rsidRPr="00072A20" w:rsidR="00072A20">
        <w:t>’</w:t>
      </w:r>
      <w:r w:rsidRPr="00072A20">
        <w:t>s death. First and foremost, it was not established in a convincing manner whether D.Sh. had been physically able to kill himself. The relevant findings of the</w:t>
      </w:r>
      <w:r w:rsidRPr="00072A20" w:rsidR="00122AD7">
        <w:t> </w:t>
      </w:r>
      <w:r w:rsidRPr="00072A20">
        <w:t>investigative experiment and the forensic explosives expert examination, which were carried out in 2021, appear contradictory. When commenting on D.Sh.</w:t>
      </w:r>
      <w:r w:rsidRPr="00072A20" w:rsidR="00072A20">
        <w:t>’</w:t>
      </w:r>
      <w:r w:rsidRPr="00072A20">
        <w:t>s gunshot wound, the forensic medical expert expressed a view that the</w:t>
      </w:r>
      <w:r w:rsidRPr="00072A20" w:rsidR="00122AD7">
        <w:t> </w:t>
      </w:r>
      <w:r w:rsidRPr="00072A20">
        <w:t>victim could have inflicted it on himself while in a seated position. It was ruled out that D.Sh. could have used his right hand to shoot himself. At the</w:t>
      </w:r>
      <w:r w:rsidRPr="00072A20" w:rsidR="00122AD7">
        <w:t> </w:t>
      </w:r>
      <w:r w:rsidRPr="00072A20">
        <w:t xml:space="preserve">same time, his left hand had been torn off by the grenade explosion, while at that exact moment, according to the explosives expert, D.Sh. had been standing (see paragraphs </w:t>
      </w:r>
      <w:r w:rsidRPr="00072A20">
        <w:fldChar w:fldCharType="begin"/>
      </w:r>
      <w:r w:rsidRPr="00072A20">
        <w:instrText xml:space="preserve"> REF Experiment_06JUL2021_begin \h  \* MERGEFORMAT </w:instrText>
      </w:r>
      <w:r w:rsidRPr="00072A20">
        <w:fldChar w:fldCharType="separate"/>
      </w:r>
      <w:r w:rsidRPr="00072A20" w:rsidR="00072A20">
        <w:t>30</w:t>
      </w:r>
      <w:r w:rsidRPr="00072A20">
        <w:fldChar w:fldCharType="end"/>
      </w:r>
      <w:r w:rsidRPr="00072A20">
        <w:t>-</w:t>
      </w:r>
      <w:r w:rsidRPr="00072A20">
        <w:fldChar w:fldCharType="begin"/>
      </w:r>
      <w:r w:rsidRPr="00072A20">
        <w:instrText xml:space="preserve"> REF Explosives_expertise_15NOV2021 \h  \* MERGEFORMAT </w:instrText>
      </w:r>
      <w:r w:rsidRPr="00072A20">
        <w:fldChar w:fldCharType="separate"/>
      </w:r>
      <w:r w:rsidRPr="00072A20" w:rsidR="00072A20">
        <w:t>34</w:t>
      </w:r>
      <w:r w:rsidRPr="00072A20">
        <w:fldChar w:fldCharType="end"/>
      </w:r>
      <w:r w:rsidRPr="00072A20">
        <w:t xml:space="preserve"> above). Furthermore, although the victim would have needed to hold the rifle with his right hand, even assuming that he had pressed on the trigger with his left hand, no traces of explosives or gunshot residue were detected on the swabs from D.Sh.</w:t>
      </w:r>
      <w:r w:rsidRPr="00072A20" w:rsidR="00072A20">
        <w:t>’</w:t>
      </w:r>
      <w:r w:rsidRPr="00072A20">
        <w:t>s right hand (see</w:t>
      </w:r>
      <w:r w:rsidRPr="00072A20" w:rsidR="00122AD7">
        <w:t> </w:t>
      </w:r>
      <w:r w:rsidRPr="00072A20">
        <w:t xml:space="preserve">paragraphs </w:t>
      </w:r>
      <w:r w:rsidRPr="00072A20">
        <w:fldChar w:fldCharType="begin"/>
      </w:r>
      <w:r w:rsidRPr="00072A20">
        <w:instrText xml:space="preserve"> REF Swabs \h  \* MERGEFORMAT </w:instrText>
      </w:r>
      <w:r w:rsidRPr="00072A20">
        <w:fldChar w:fldCharType="separate"/>
      </w:r>
      <w:r w:rsidRPr="00072A20" w:rsidR="00072A20">
        <w:t>26</w:t>
      </w:r>
      <w:r w:rsidRPr="00072A20">
        <w:fldChar w:fldCharType="end"/>
      </w:r>
      <w:r w:rsidRPr="00072A20">
        <w:t xml:space="preserve"> and </w:t>
      </w:r>
      <w:r w:rsidRPr="00072A20">
        <w:fldChar w:fldCharType="begin"/>
      </w:r>
      <w:r w:rsidRPr="00072A20">
        <w:instrText xml:space="preserve"> REF Experiment_06JUL2021_begin \h  \* MERGEFORMAT </w:instrText>
      </w:r>
      <w:r w:rsidRPr="00072A20">
        <w:fldChar w:fldCharType="separate"/>
      </w:r>
      <w:r w:rsidRPr="00072A20" w:rsidR="00072A20">
        <w:t>30</w:t>
      </w:r>
      <w:r w:rsidRPr="00072A20">
        <w:fldChar w:fldCharType="end"/>
      </w:r>
      <w:r w:rsidRPr="00072A20">
        <w:t xml:space="preserve"> above). It is also hard to reconcile the assumption that D.Sh. had pressed on the rifle trigger with his left hand while holding the</w:t>
      </w:r>
      <w:r w:rsidRPr="00072A20" w:rsidR="00122AD7">
        <w:t> </w:t>
      </w:r>
      <w:r w:rsidRPr="00072A20">
        <w:t>grenade in the same hand immediately after pulling its pin and before the</w:t>
      </w:r>
      <w:r w:rsidRPr="00072A20" w:rsidR="00122AD7">
        <w:t> </w:t>
      </w:r>
      <w:r w:rsidRPr="00072A20">
        <w:t>ensuing explosion with the finding that the trigger had not been in the</w:t>
      </w:r>
      <w:r w:rsidRPr="00072A20" w:rsidR="00122AD7">
        <w:t> </w:t>
      </w:r>
      <w:r w:rsidRPr="00072A20">
        <w:t xml:space="preserve">epicentre of the explosion (see, in particular, paragraphs </w:t>
      </w:r>
      <w:r w:rsidRPr="00072A20">
        <w:fldChar w:fldCharType="begin"/>
      </w:r>
      <w:r w:rsidRPr="00072A20">
        <w:instrText xml:space="preserve"> REF Experiment_06JUL2021_begin \h  \* MERGEFORMAT </w:instrText>
      </w:r>
      <w:r w:rsidRPr="00072A20">
        <w:fldChar w:fldCharType="separate"/>
      </w:r>
      <w:r w:rsidRPr="00072A20" w:rsidR="00072A20">
        <w:t>30</w:t>
      </w:r>
      <w:r w:rsidRPr="00072A20">
        <w:fldChar w:fldCharType="end"/>
      </w:r>
      <w:r w:rsidRPr="00072A20">
        <w:t xml:space="preserve"> and </w:t>
      </w:r>
      <w:r w:rsidRPr="00072A20">
        <w:fldChar w:fldCharType="begin"/>
      </w:r>
      <w:r w:rsidRPr="00072A20">
        <w:instrText xml:space="preserve"> REF Explosives_expertise_15NOV2021 \h  \* MERGEFORMAT </w:instrText>
      </w:r>
      <w:r w:rsidRPr="00072A20">
        <w:fldChar w:fldCharType="separate"/>
      </w:r>
      <w:r w:rsidRPr="00072A20" w:rsidR="00072A20">
        <w:t>34</w:t>
      </w:r>
      <w:r w:rsidRPr="00072A20">
        <w:fldChar w:fldCharType="end"/>
      </w:r>
      <w:r w:rsidRPr="00072A20">
        <w:t xml:space="preserve"> above). Lastly, it is relevant to note in this connection that the contradictions in the witness evidence as regards the number of gunshots heard, their sequence with respect to the grenade explosion and the intervals between those events have never been elucidated (see paragraphs </w:t>
      </w:r>
      <w:r w:rsidRPr="00072A20">
        <w:fldChar w:fldCharType="begin"/>
      </w:r>
      <w:r w:rsidRPr="00072A20">
        <w:instrText xml:space="preserve"> REF Contradictory_witness_statements \h  \* MERGEFORMAT </w:instrText>
      </w:r>
      <w:r w:rsidRPr="00072A20">
        <w:fldChar w:fldCharType="separate"/>
      </w:r>
      <w:r w:rsidRPr="00072A20" w:rsidR="00072A20">
        <w:t>9</w:t>
      </w:r>
      <w:r w:rsidRPr="00072A20">
        <w:fldChar w:fldCharType="end"/>
      </w:r>
      <w:r w:rsidRPr="00072A20">
        <w:t xml:space="preserve">, </w:t>
      </w:r>
      <w:r w:rsidRPr="00072A20">
        <w:fldChar w:fldCharType="begin"/>
      </w:r>
      <w:r w:rsidRPr="00072A20">
        <w:instrText xml:space="preserve"> REF Witnesses_scene_inspection \h  \* MERGEFORMAT </w:instrText>
      </w:r>
      <w:r w:rsidRPr="00072A20">
        <w:fldChar w:fldCharType="separate"/>
      </w:r>
      <w:r w:rsidRPr="00072A20" w:rsidR="00072A20">
        <w:t>12</w:t>
      </w:r>
      <w:r w:rsidRPr="00072A20">
        <w:fldChar w:fldCharType="end"/>
      </w:r>
      <w:r w:rsidRPr="00072A20">
        <w:t xml:space="preserve">, </w:t>
      </w:r>
      <w:r w:rsidRPr="00072A20">
        <w:fldChar w:fldCharType="begin"/>
      </w:r>
      <w:r w:rsidRPr="00072A20">
        <w:instrText xml:space="preserve"> REF Witnesses_2018_2020 \h  \* MERGEFORMAT </w:instrText>
      </w:r>
      <w:r w:rsidRPr="00072A20">
        <w:fldChar w:fldCharType="separate"/>
      </w:r>
      <w:r w:rsidRPr="00072A20" w:rsidR="00072A20">
        <w:t>29</w:t>
      </w:r>
      <w:r w:rsidRPr="00072A20">
        <w:fldChar w:fldCharType="end"/>
      </w:r>
      <w:r w:rsidRPr="00072A20">
        <w:t xml:space="preserve"> and </w:t>
      </w:r>
      <w:r w:rsidRPr="00072A20">
        <w:fldChar w:fldCharType="begin"/>
      </w:r>
      <w:r w:rsidRPr="00072A20">
        <w:instrText xml:space="preserve"> REF Witnesses_2024 \h  \* MERGEFORMAT </w:instrText>
      </w:r>
      <w:r w:rsidRPr="00072A20">
        <w:fldChar w:fldCharType="separate"/>
      </w:r>
      <w:r w:rsidRPr="00072A20" w:rsidR="00072A20">
        <w:t>37</w:t>
      </w:r>
      <w:r w:rsidRPr="00072A20">
        <w:fldChar w:fldCharType="end"/>
      </w:r>
      <w:r w:rsidRPr="00072A20">
        <w:t xml:space="preserve"> above). In the Court</w:t>
      </w:r>
      <w:r w:rsidRPr="00072A20" w:rsidR="00072A20">
        <w:t>’</w:t>
      </w:r>
      <w:r w:rsidRPr="00072A20">
        <w:t xml:space="preserve">s view, leaving such important questions unanswered amounts in itself to a flaw serious enough to render the investigation ineffective (compare </w:t>
      </w:r>
      <w:r w:rsidRPr="00072A20">
        <w:rPr>
          <w:i/>
        </w:rPr>
        <w:t>Manukyan v. Armenia</w:t>
      </w:r>
      <w:r w:rsidRPr="00072A20">
        <w:t xml:space="preserve"> [Committee], no. 2303/12, §§ 14-15, 21 June 2022).</w:t>
      </w:r>
    </w:p>
    <w:p w:rsidRPr="00072A20" w:rsidR="00290837" w:rsidP="00072A20" w14:paraId="1EBB94C2" w14:textId="115CACFB">
      <w:pPr>
        <w:pStyle w:val="JuPara"/>
      </w:pPr>
      <w:r>
        <w:fldChar w:fldCharType="begin"/>
      </w:r>
      <w:r>
        <w:instrText xml:space="preserve"> SEQ level0 \*arabic \* MERGEFORMAT </w:instrText>
      </w:r>
      <w:r>
        <w:fldChar w:fldCharType="separate"/>
      </w:r>
      <w:r w:rsidRPr="00072A20" w:rsidR="00072A20">
        <w:rPr>
          <w:noProof/>
        </w:rPr>
        <w:t>66</w:t>
      </w:r>
      <w:r w:rsidRPr="00072A20" w:rsidR="00072A20">
        <w:rPr>
          <w:noProof/>
        </w:rPr>
        <w:fldChar w:fldCharType="end"/>
      </w:r>
      <w:r w:rsidRPr="00072A20">
        <w:t xml:space="preserve">.  Although the investigation remains pending, the Court has serious doubts as to its chances of success, regard being had to the considerable time which has elapsed (see </w:t>
      </w:r>
      <w:r w:rsidRPr="00072A20">
        <w:rPr>
          <w:i/>
          <w:iCs/>
        </w:rPr>
        <w:t>Nicolaou v. Cyprus</w:t>
      </w:r>
      <w:r w:rsidRPr="00072A20">
        <w:t>, no. 29068/10, § 150, 28 January 2020).</w:t>
      </w:r>
    </w:p>
    <w:bookmarkStart w:name="Investigation_ineffective" w:id="24"/>
    <w:p w:rsidRPr="00072A20" w:rsidR="00290837" w:rsidP="00072A20" w14:paraId="1D469964" w14:textId="3AAB376A">
      <w:pPr>
        <w:pStyle w:val="JuPara"/>
      </w:pPr>
      <w:r w:rsidRPr="00072A20">
        <w:fldChar w:fldCharType="begin"/>
      </w:r>
      <w:r w:rsidRPr="00072A20">
        <w:instrText xml:space="preserve"> SEQ level0 \*arabic \* MERGEFORMAT </w:instrText>
      </w:r>
      <w:r w:rsidRPr="00072A20">
        <w:fldChar w:fldCharType="separate"/>
      </w:r>
      <w:r w:rsidRPr="00072A20" w:rsidR="00072A20">
        <w:rPr>
          <w:noProof/>
        </w:rPr>
        <w:t>67</w:t>
      </w:r>
      <w:r w:rsidRPr="00072A20">
        <w:fldChar w:fldCharType="end"/>
      </w:r>
      <w:bookmarkEnd w:id="24"/>
      <w:r w:rsidRPr="00072A20">
        <w:t>.  The considerations above – in particular the Court</w:t>
      </w:r>
      <w:r w:rsidRPr="00072A20" w:rsidR="00072A20">
        <w:t>’</w:t>
      </w:r>
      <w:r w:rsidRPr="00072A20">
        <w:t>s findings that the</w:t>
      </w:r>
      <w:r w:rsidRPr="00072A20" w:rsidR="00122AD7">
        <w:t> </w:t>
      </w:r>
      <w:r w:rsidRPr="00072A20">
        <w:t>investigation was excessively lengthy and was undermined by prohibitive delays caused by the authorities, the investigator</w:t>
      </w:r>
      <w:r w:rsidRPr="00072A20" w:rsidR="00072A20">
        <w:t>’</w:t>
      </w:r>
      <w:r w:rsidRPr="00072A20">
        <w:t>s reluctance to comply with the higher prosecutor</w:t>
      </w:r>
      <w:r w:rsidRPr="00072A20" w:rsidR="00072A20">
        <w:t>’</w:t>
      </w:r>
      <w:r w:rsidRPr="00072A20">
        <w:t>s instructions and the failure to elucidate important matters – are sufficient for the Court to conclude that the authorities failed to carry out an effective investigation into the death of the applicants</w:t>
      </w:r>
      <w:r w:rsidRPr="00072A20" w:rsidR="00072A20">
        <w:t>’</w:t>
      </w:r>
      <w:r w:rsidRPr="00072A20">
        <w:t xml:space="preserve"> son.</w:t>
      </w:r>
    </w:p>
    <w:bookmarkStart w:name="Investigation_ineffective_violation" w:id="25"/>
    <w:p w:rsidRPr="00072A20" w:rsidR="00290837" w:rsidP="00072A20" w14:paraId="38774CAC" w14:textId="55D2B4BF">
      <w:pPr>
        <w:pStyle w:val="JuPara"/>
      </w:pPr>
      <w:r w:rsidRPr="00072A20">
        <w:fldChar w:fldCharType="begin"/>
      </w:r>
      <w:r w:rsidRPr="00072A20">
        <w:instrText xml:space="preserve"> SEQ level0 \*arabic \* MERGEFORMAT </w:instrText>
      </w:r>
      <w:r w:rsidRPr="00072A20">
        <w:fldChar w:fldCharType="separate"/>
      </w:r>
      <w:r w:rsidRPr="00072A20" w:rsidR="00072A20">
        <w:rPr>
          <w:noProof/>
        </w:rPr>
        <w:t>68</w:t>
      </w:r>
      <w:r w:rsidRPr="00072A20">
        <w:fldChar w:fldCharType="end"/>
      </w:r>
      <w:bookmarkEnd w:id="25"/>
      <w:r w:rsidRPr="00072A20">
        <w:t>.  Accordingly, the Court holds that there has been a violation of Article 2 of the Convention.</w:t>
      </w:r>
    </w:p>
    <w:p w:rsidRPr="00072A20" w:rsidR="00290837" w:rsidP="00072A20" w14:paraId="53C536ED" w14:textId="77777777">
      <w:pPr>
        <w:pStyle w:val="JuHa0"/>
      </w:pPr>
      <w:r w:rsidRPr="00072A20">
        <w:t>Substantive limb</w:t>
      </w:r>
    </w:p>
    <w:p w:rsidRPr="00072A20" w:rsidR="00290837" w:rsidP="00072A20" w14:paraId="4FD91723" w14:textId="33DE1135">
      <w:pPr>
        <w:pStyle w:val="JuPara"/>
      </w:pPr>
      <w:r>
        <w:fldChar w:fldCharType="begin"/>
      </w:r>
      <w:r>
        <w:instrText xml:space="preserve"> SEQ level0 \*arabic \* MERGEFORMAT </w:instrText>
      </w:r>
      <w:r>
        <w:fldChar w:fldCharType="separate"/>
      </w:r>
      <w:r w:rsidRPr="00072A20" w:rsidR="00072A20">
        <w:rPr>
          <w:noProof/>
        </w:rPr>
        <w:t>69</w:t>
      </w:r>
      <w:r w:rsidRPr="00072A20" w:rsidR="00072A20">
        <w:rPr>
          <w:noProof/>
        </w:rPr>
        <w:fldChar w:fldCharType="end"/>
      </w:r>
      <w:r w:rsidRPr="00072A20">
        <w:t>.  The Court notes that, although the domestic investigation has not yet reached a final conclusion as to the explanation for D.Sh.</w:t>
      </w:r>
      <w:r w:rsidRPr="00072A20" w:rsidR="00072A20">
        <w:t>’</w:t>
      </w:r>
      <w:r w:rsidRPr="00072A20">
        <w:t>s death, its line of investigation has mainly been limited to the suicide version. This has no bearing on the Court</w:t>
      </w:r>
      <w:r w:rsidRPr="00072A20" w:rsidR="00072A20">
        <w:t>’</w:t>
      </w:r>
      <w:r w:rsidRPr="00072A20">
        <w:t>s assessment of the applicants</w:t>
      </w:r>
      <w:r w:rsidRPr="00072A20" w:rsidR="00072A20">
        <w:t>’</w:t>
      </w:r>
      <w:r w:rsidRPr="00072A20">
        <w:t xml:space="preserve"> complaint under the</w:t>
      </w:r>
      <w:r w:rsidRPr="00072A20" w:rsidR="00122AD7">
        <w:t> </w:t>
      </w:r>
      <w:r w:rsidRPr="00072A20">
        <w:t>substantive limb of Article 2, since, in any event, having concluded that the investigation carried out by the authorities was ineffective (see</w:t>
      </w:r>
      <w:r w:rsidRPr="00072A20" w:rsidR="00CD6423">
        <w:t> </w:t>
      </w:r>
      <w:r w:rsidRPr="00072A20">
        <w:t>paragraphs</w:t>
      </w:r>
      <w:r w:rsidRPr="00072A20" w:rsidR="00CD6423">
        <w:t> </w:t>
      </w:r>
      <w:r w:rsidRPr="00072A20">
        <w:fldChar w:fldCharType="begin"/>
      </w:r>
      <w:r w:rsidRPr="00072A20">
        <w:instrText xml:space="preserve"> REF Investigation_ineffective \h </w:instrText>
      </w:r>
      <w:r w:rsidRPr="00072A20">
        <w:fldChar w:fldCharType="separate"/>
      </w:r>
      <w:r w:rsidRPr="00072A20" w:rsidR="00072A20">
        <w:rPr>
          <w:noProof/>
        </w:rPr>
        <w:t>67</w:t>
      </w:r>
      <w:r w:rsidRPr="00072A20">
        <w:fldChar w:fldCharType="end"/>
      </w:r>
      <w:r w:rsidRPr="00072A20">
        <w:t>-</w:t>
      </w:r>
      <w:r w:rsidRPr="00072A20">
        <w:fldChar w:fldCharType="begin"/>
      </w:r>
      <w:r w:rsidRPr="00072A20">
        <w:instrText xml:space="preserve"> REF Investigation_ineffective_violation \h </w:instrText>
      </w:r>
      <w:r w:rsidRPr="00072A20">
        <w:fldChar w:fldCharType="separate"/>
      </w:r>
      <w:r w:rsidRPr="00072A20" w:rsidR="00072A20">
        <w:rPr>
          <w:noProof/>
        </w:rPr>
        <w:t>68</w:t>
      </w:r>
      <w:r w:rsidRPr="00072A20">
        <w:fldChar w:fldCharType="end"/>
      </w:r>
      <w:r w:rsidRPr="00072A20">
        <w:t xml:space="preserve"> above), the Court cannot consider those findings to be reliable or the</w:t>
      </w:r>
      <w:r w:rsidRPr="00072A20" w:rsidR="00915C8B">
        <w:t> </w:t>
      </w:r>
      <w:r w:rsidRPr="00072A20">
        <w:t>explanation for D.Sh.</w:t>
      </w:r>
      <w:r w:rsidRPr="00072A20" w:rsidR="00072A20">
        <w:t>’</w:t>
      </w:r>
      <w:r w:rsidRPr="00072A20">
        <w:t>s death to be convincing and satisfactory.</w:t>
      </w:r>
    </w:p>
    <w:p w:rsidRPr="00072A20" w:rsidR="00290837" w:rsidP="00072A20" w14:paraId="565968EA" w14:textId="37666D77">
      <w:pPr>
        <w:pStyle w:val="JuPara"/>
      </w:pPr>
      <w:r>
        <w:fldChar w:fldCharType="begin"/>
      </w:r>
      <w:r>
        <w:instrText xml:space="preserve"> SEQ level0 \*arabic \* MERGEFORMAT </w:instrText>
      </w:r>
      <w:r>
        <w:fldChar w:fldCharType="separate"/>
      </w:r>
      <w:r w:rsidRPr="00072A20" w:rsidR="00072A20">
        <w:rPr>
          <w:noProof/>
        </w:rPr>
        <w:t>70</w:t>
      </w:r>
      <w:r w:rsidRPr="00072A20" w:rsidR="00072A20">
        <w:rPr>
          <w:noProof/>
        </w:rPr>
        <w:fldChar w:fldCharType="end"/>
      </w:r>
      <w:r w:rsidRPr="00072A20">
        <w:t>.  Moreover, in view of the flaws in the investigation, notably the lack of satisfactory explanation for a number of serious discrepancies in the</w:t>
      </w:r>
      <w:r w:rsidRPr="00072A20" w:rsidR="00915C8B">
        <w:t> </w:t>
      </w:r>
      <w:r w:rsidRPr="00072A20">
        <w:t xml:space="preserve">witness and expert evidence (see, in particular, paragraph </w:t>
      </w:r>
      <w:r w:rsidRPr="00072A20">
        <w:fldChar w:fldCharType="begin"/>
      </w:r>
      <w:r w:rsidRPr="00072A20">
        <w:instrText xml:space="preserve"> REF Discrepancies_analysis \h </w:instrText>
      </w:r>
      <w:r w:rsidRPr="00072A20">
        <w:fldChar w:fldCharType="separate"/>
      </w:r>
      <w:r w:rsidRPr="00072A20" w:rsidR="00072A20">
        <w:rPr>
          <w:noProof/>
        </w:rPr>
        <w:t>65</w:t>
      </w:r>
      <w:r w:rsidRPr="00072A20">
        <w:fldChar w:fldCharType="end"/>
      </w:r>
      <w:r w:rsidRPr="00072A20">
        <w:t xml:space="preserve"> above), the</w:t>
      </w:r>
      <w:r w:rsidRPr="00072A20" w:rsidR="00915C8B">
        <w:t> </w:t>
      </w:r>
      <w:r w:rsidRPr="00072A20">
        <w:t xml:space="preserve">applicants can be forgiven for seriously questioning the suicide version and thinking that the investigation may be covering up a more sinister explanation, such as murder (compare </w:t>
      </w:r>
      <w:r w:rsidRPr="00072A20">
        <w:rPr>
          <w:i/>
          <w:iCs/>
        </w:rPr>
        <w:t>Ohanjanyan</w:t>
      </w:r>
      <w:r w:rsidRPr="00072A20">
        <w:t>, cited above, § 159).</w:t>
      </w:r>
    </w:p>
    <w:p w:rsidRPr="00072A20" w:rsidR="00290837" w:rsidP="00072A20" w14:paraId="3F1AB29F" w14:textId="60837B17">
      <w:pPr>
        <w:pStyle w:val="JuPara"/>
      </w:pPr>
      <w:r>
        <w:fldChar w:fldCharType="begin"/>
      </w:r>
      <w:r>
        <w:instrText xml:space="preserve"> SEQ level0 \*arabic \* MERGEFORMAT </w:instrText>
      </w:r>
      <w:r>
        <w:fldChar w:fldCharType="separate"/>
      </w:r>
      <w:r w:rsidRPr="00072A20" w:rsidR="00072A20">
        <w:rPr>
          <w:noProof/>
        </w:rPr>
        <w:t>71</w:t>
      </w:r>
      <w:r w:rsidRPr="00072A20" w:rsidR="00072A20">
        <w:rPr>
          <w:noProof/>
        </w:rPr>
        <w:fldChar w:fldCharType="end"/>
      </w:r>
      <w:r w:rsidRPr="00072A20">
        <w:t>.  That being so, the Court considers that the authorities cannot be regarded as having discharged their obligation to provide a satisfactory and convincing explanation for the death of the applicants</w:t>
      </w:r>
      <w:r w:rsidRPr="00072A20" w:rsidR="00072A20">
        <w:t>’</w:t>
      </w:r>
      <w:r w:rsidRPr="00072A20">
        <w:t xml:space="preserve"> son, which occurred while he was in their care (see </w:t>
      </w:r>
      <w:bookmarkStart w:name="_cl32420" w:id="26"/>
      <w:r w:rsidRPr="00072A20">
        <w:rPr>
          <w:i/>
          <w:iCs/>
        </w:rPr>
        <w:t>Muradyan v. Armenia</w:t>
      </w:r>
      <w:bookmarkEnd w:id="26"/>
      <w:r w:rsidRPr="00072A20">
        <w:t xml:space="preserve">, no. 11275/07, § 155, 24 November 2016, and </w:t>
      </w:r>
      <w:r w:rsidRPr="00072A20">
        <w:rPr>
          <w:i/>
          <w:iCs/>
        </w:rPr>
        <w:t>Ohanjanyan</w:t>
      </w:r>
      <w:r w:rsidRPr="00072A20">
        <w:t>, cited above, § 160).</w:t>
      </w:r>
    </w:p>
    <w:bookmarkStart w:name="_cl32420THECOURTSASSESSMENT" w:id="27"/>
    <w:p w:rsidRPr="00072A20" w:rsidR="00290837" w:rsidP="00072A20" w14:paraId="7E4360E3" w14:textId="516CFE91">
      <w:pPr>
        <w:pStyle w:val="JuPara"/>
      </w:pPr>
      <w:r w:rsidRPr="00072A20">
        <w:fldChar w:fldCharType="begin"/>
      </w:r>
      <w:r w:rsidRPr="00072A20">
        <w:instrText xml:space="preserve"> SEQ level0 \*arabic \* MERGEFORMAT </w:instrText>
      </w:r>
      <w:r w:rsidRPr="00072A20">
        <w:fldChar w:fldCharType="separate"/>
      </w:r>
      <w:r w:rsidRPr="00072A20" w:rsidR="00072A20">
        <w:rPr>
          <w:noProof/>
        </w:rPr>
        <w:t>72</w:t>
      </w:r>
      <w:r w:rsidRPr="00072A20">
        <w:fldChar w:fldCharType="end"/>
      </w:r>
      <w:bookmarkEnd w:id="27"/>
      <w:r w:rsidRPr="00072A20">
        <w:t>.  There has therefore been a violation of Article 2 of the Convention under its substantive limb.</w:t>
      </w:r>
    </w:p>
    <w:p w:rsidRPr="00072A20" w:rsidR="00290837" w:rsidP="00072A20" w14:paraId="79E8F094" w14:textId="77777777">
      <w:pPr>
        <w:pStyle w:val="JuHHead"/>
      </w:pPr>
      <w:r w:rsidRPr="00072A20">
        <w:rPr>
          <w:caps w:val="0"/>
        </w:rPr>
        <w:t>APPLICATION OF ARTICLE 41 OF THE CONVENTION</w:t>
      </w:r>
    </w:p>
    <w:p w:rsidRPr="00072A20" w:rsidR="00290837" w:rsidP="00072A20" w14:paraId="78625160" w14:textId="10D54960">
      <w:pPr>
        <w:pStyle w:val="JuPara"/>
      </w:pPr>
      <w:r>
        <w:fldChar w:fldCharType="begin"/>
      </w:r>
      <w:r>
        <w:instrText xml:space="preserve"> SEQ level0 \*arabic \* MERGEFORMAT </w:instrText>
      </w:r>
      <w:r>
        <w:fldChar w:fldCharType="separate"/>
      </w:r>
      <w:r w:rsidRPr="00072A20" w:rsidR="00072A20">
        <w:rPr>
          <w:noProof/>
        </w:rPr>
        <w:t>73</w:t>
      </w:r>
      <w:r w:rsidRPr="00072A20" w:rsidR="00072A20">
        <w:rPr>
          <w:noProof/>
        </w:rPr>
        <w:fldChar w:fldCharType="end"/>
      </w:r>
      <w:r w:rsidRPr="00072A20">
        <w:t>.  The second applicant claimed 50,000 euros (EUR) in respect of non-pecuniary damage and EUR 7,000 for costs and expenses incurred in the</w:t>
      </w:r>
      <w:r w:rsidRPr="00072A20" w:rsidR="00915C8B">
        <w:t> </w:t>
      </w:r>
      <w:r w:rsidRPr="00072A20">
        <w:t>domestic proceedings and before the Court.</w:t>
      </w:r>
    </w:p>
    <w:p w:rsidRPr="00072A20" w:rsidR="00290837" w:rsidP="00072A20" w14:paraId="6ED8DA91" w14:textId="2513911E">
      <w:pPr>
        <w:pStyle w:val="JuPara"/>
      </w:pPr>
      <w:r>
        <w:fldChar w:fldCharType="begin"/>
      </w:r>
      <w:r>
        <w:instrText xml:space="preserve"> SEQ level0 \*arabic \* MERGEFORMAT </w:instrText>
      </w:r>
      <w:r>
        <w:fldChar w:fldCharType="separate"/>
      </w:r>
      <w:r w:rsidRPr="00072A20" w:rsidR="00072A20">
        <w:rPr>
          <w:noProof/>
        </w:rPr>
        <w:t>74</w:t>
      </w:r>
      <w:r w:rsidRPr="00072A20" w:rsidR="00072A20">
        <w:rPr>
          <w:noProof/>
        </w:rPr>
        <w:fldChar w:fldCharType="end"/>
      </w:r>
      <w:r w:rsidRPr="00072A20">
        <w:t>.  The Government contested those claims.</w:t>
      </w:r>
    </w:p>
    <w:p w:rsidRPr="00072A20" w:rsidR="00290837" w:rsidP="00072A20" w14:paraId="1045CEE9" w14:textId="41D4A2C3">
      <w:pPr>
        <w:pStyle w:val="JuPara"/>
      </w:pPr>
      <w:r>
        <w:fldChar w:fldCharType="begin"/>
      </w:r>
      <w:r>
        <w:instrText xml:space="preserve"> SEQ level0 \*arabic \* MERGEFORMAT </w:instrText>
      </w:r>
      <w:r>
        <w:fldChar w:fldCharType="separate"/>
      </w:r>
      <w:r w:rsidRPr="00072A20" w:rsidR="00072A20">
        <w:rPr>
          <w:noProof/>
        </w:rPr>
        <w:t>75</w:t>
      </w:r>
      <w:r w:rsidRPr="00072A20" w:rsidR="00072A20">
        <w:rPr>
          <w:noProof/>
        </w:rPr>
        <w:fldChar w:fldCharType="end"/>
      </w:r>
      <w:r w:rsidRPr="00072A20">
        <w:t>.  The Court considers it appropriate to award the second applicant EUR 20,000 in respect of non-pecuniary damage, plus any tax that may be chargeable.</w:t>
      </w:r>
    </w:p>
    <w:p w:rsidRPr="00072A20" w:rsidR="00290837" w:rsidP="00072A20" w14:paraId="611F7937" w14:textId="7D86C617">
      <w:pPr>
        <w:pStyle w:val="JuPara"/>
      </w:pPr>
      <w:r>
        <w:fldChar w:fldCharType="begin"/>
      </w:r>
      <w:r>
        <w:instrText xml:space="preserve"> SEQ level0 \*arabic \* MERGEFORMAT </w:instrText>
      </w:r>
      <w:r>
        <w:fldChar w:fldCharType="separate"/>
      </w:r>
      <w:r w:rsidRPr="00072A20" w:rsidR="00072A20">
        <w:rPr>
          <w:noProof/>
        </w:rPr>
        <w:t>76</w:t>
      </w:r>
      <w:r w:rsidRPr="00072A20" w:rsidR="00072A20">
        <w:rPr>
          <w:noProof/>
        </w:rPr>
        <w:fldChar w:fldCharType="end"/>
      </w:r>
      <w:r w:rsidRPr="00072A20">
        <w:t>.  Furthermore, having regard to the documents in its possession and to its case</w:t>
      </w:r>
      <w:r w:rsidRPr="00072A20">
        <w:noBreakHyphen/>
        <w:t>law, the Court considers it reasonable to award the second applicant EUR 5,000, plus any tax that may be chargeable to her, for costs and expenses.</w:t>
      </w:r>
    </w:p>
    <w:p w:rsidRPr="00072A20" w:rsidR="00290837" w:rsidP="00072A20" w14:paraId="0F7A1225" w14:textId="77B2C390">
      <w:pPr>
        <w:pStyle w:val="JuPara"/>
      </w:pPr>
      <w:r>
        <w:fldChar w:fldCharType="begin"/>
      </w:r>
      <w:r>
        <w:instrText xml:space="preserve"> SEQ level0 \*arabic \* MERGEFORMAT </w:instrText>
      </w:r>
      <w:r>
        <w:fldChar w:fldCharType="separate"/>
      </w:r>
      <w:r w:rsidRPr="00072A20" w:rsidR="00072A20">
        <w:rPr>
          <w:noProof/>
        </w:rPr>
        <w:t>77</w:t>
      </w:r>
      <w:r w:rsidRPr="00072A20" w:rsidR="00072A20">
        <w:rPr>
          <w:noProof/>
        </w:rPr>
        <w:fldChar w:fldCharType="end"/>
      </w:r>
      <w:r w:rsidRPr="00072A20">
        <w:t>.  The Court further considers it appropriate that the default interest rate should be based on the marginal lending rate of the European Central Bank, to which should be added three percentage points.</w:t>
      </w:r>
    </w:p>
    <w:p w:rsidRPr="00072A20" w:rsidR="00290837" w:rsidP="00072A20" w14:paraId="5916BCC7" w14:textId="77777777">
      <w:pPr>
        <w:pStyle w:val="JuHHead"/>
      </w:pPr>
      <w:r w:rsidRPr="00072A20">
        <w:t>FOR THESE REASONS, THE COURT, UNANIMOUSLY,</w:t>
      </w:r>
    </w:p>
    <w:p w:rsidRPr="00072A20" w:rsidR="00290837" w:rsidP="00072A20" w14:paraId="585505FE" w14:textId="7C3AFD56">
      <w:pPr>
        <w:pStyle w:val="JuList"/>
      </w:pPr>
      <w:r w:rsidRPr="00072A20">
        <w:rPr>
          <w:i/>
          <w:iCs/>
        </w:rPr>
        <w:t>Holds</w:t>
      </w:r>
      <w:r w:rsidRPr="00072A20">
        <w:t xml:space="preserve"> that the second applicant has standing to pursue the application in the first applicant</w:t>
      </w:r>
      <w:r w:rsidRPr="00072A20" w:rsidR="00072A20">
        <w:t>’</w:t>
      </w:r>
      <w:r w:rsidRPr="00072A20">
        <w:t>s stead;</w:t>
      </w:r>
    </w:p>
    <w:p w:rsidRPr="00072A20" w:rsidR="00290837" w:rsidP="00072A20" w14:paraId="50D3CA19" w14:textId="77777777">
      <w:pPr>
        <w:pStyle w:val="JuList"/>
      </w:pPr>
      <w:r w:rsidRPr="00072A20">
        <w:rPr>
          <w:i/>
        </w:rPr>
        <w:t>Declares</w:t>
      </w:r>
      <w:r w:rsidRPr="00072A20">
        <w:t xml:space="preserve"> the application admissible;</w:t>
      </w:r>
    </w:p>
    <w:p w:rsidRPr="00072A20" w:rsidR="00290837" w:rsidP="00072A20" w14:paraId="67FCFF57" w14:textId="77777777">
      <w:pPr>
        <w:pStyle w:val="JuList"/>
      </w:pPr>
      <w:r w:rsidRPr="00072A20">
        <w:rPr>
          <w:i/>
        </w:rPr>
        <w:t>Holds</w:t>
      </w:r>
      <w:r w:rsidRPr="00072A20">
        <w:t xml:space="preserve"> that there has been a violation of Article 2 of the Convention under its procedural limb;</w:t>
      </w:r>
    </w:p>
    <w:p w:rsidRPr="00072A20" w:rsidR="00290837" w:rsidP="00072A20" w14:paraId="6FDC99C6" w14:textId="77777777">
      <w:pPr>
        <w:pStyle w:val="JuList"/>
      </w:pPr>
      <w:r w:rsidRPr="00072A20">
        <w:rPr>
          <w:i/>
        </w:rPr>
        <w:t>Holds</w:t>
      </w:r>
      <w:r w:rsidRPr="00072A20">
        <w:t xml:space="preserve"> that there has been a violation of Article 2 of the Convention under its substantive limb;</w:t>
      </w:r>
    </w:p>
    <w:p w:rsidRPr="00072A20" w:rsidR="00290837" w:rsidP="00072A20" w14:paraId="7D0433B7" w14:textId="77777777">
      <w:pPr>
        <w:pStyle w:val="JuList"/>
        <w:keepNext/>
        <w:keepLines/>
      </w:pPr>
      <w:r w:rsidRPr="00072A20">
        <w:rPr>
          <w:i/>
          <w:iCs/>
        </w:rPr>
        <w:t>Holds</w:t>
      </w:r>
    </w:p>
    <w:p w:rsidRPr="00072A20" w:rsidR="00290837" w:rsidP="00072A20" w14:paraId="2540FE2D" w14:textId="77777777">
      <w:pPr>
        <w:pStyle w:val="JuLista"/>
        <w:keepNext/>
        <w:keepLines/>
        <w:numPr>
          <w:ilvl w:val="1"/>
          <w:numId w:val="5"/>
        </w:numPr>
      </w:pPr>
      <w:r w:rsidRPr="00072A20">
        <w:t xml:space="preserve">that the respondent State is to pay the second applicant, within three months, the following amounts, to be converted into </w:t>
      </w:r>
      <w:r w:rsidRPr="00072A20">
        <w:rPr>
          <w:color w:val="000000"/>
        </w:rPr>
        <w:t xml:space="preserve">the currency of the respondent State </w:t>
      </w:r>
      <w:r w:rsidRPr="00072A20">
        <w:t>at the rate applicable at the date of settlement:</w:t>
      </w:r>
    </w:p>
    <w:p w:rsidRPr="00072A20" w:rsidR="00290837" w:rsidP="00072A20" w14:paraId="4963C037" w14:textId="77777777">
      <w:pPr>
        <w:pStyle w:val="JuListi"/>
        <w:keepNext/>
        <w:keepLines/>
        <w:numPr>
          <w:ilvl w:val="2"/>
          <w:numId w:val="5"/>
        </w:numPr>
      </w:pPr>
      <w:r w:rsidRPr="00072A20">
        <w:t>EUR 20,000 (twenty thousand euros), plus any tax that may be chargeable, in respect of non-pecuniary damage;</w:t>
      </w:r>
    </w:p>
    <w:p w:rsidRPr="00072A20" w:rsidR="00290837" w:rsidP="00072A20" w14:paraId="12D1DCD8" w14:textId="77777777">
      <w:pPr>
        <w:pStyle w:val="JuListi"/>
        <w:numPr>
          <w:ilvl w:val="2"/>
          <w:numId w:val="5"/>
        </w:numPr>
      </w:pPr>
      <w:r w:rsidRPr="00072A20">
        <w:t>EUR 5,000 (five thousand euros), plus any tax that may be chargeable to the second applicant, for costs and expenses;</w:t>
      </w:r>
    </w:p>
    <w:p w:rsidRPr="00072A20" w:rsidR="00290837" w:rsidP="00072A20" w14:paraId="1811FC4D" w14:textId="5C960450">
      <w:pPr>
        <w:pStyle w:val="JuLista"/>
        <w:numPr>
          <w:ilvl w:val="1"/>
          <w:numId w:val="5"/>
        </w:numPr>
      </w:pPr>
      <w:r w:rsidRPr="00072A20">
        <w:t>that from the expiry of the above-mentioned three months until settlement simple interest shall be payable on the above amounts at a</w:t>
      </w:r>
      <w:r w:rsidRPr="00072A20" w:rsidR="00915C8B">
        <w:t> </w:t>
      </w:r>
      <w:r w:rsidRPr="00072A20">
        <w:t>rate equal to the marginal lending rate of the European Central Bank during the default period plus three percentage points;</w:t>
      </w:r>
    </w:p>
    <w:p w:rsidRPr="00072A20" w:rsidR="004D0EC7" w:rsidP="00072A20" w14:paraId="0508C16F" w14:textId="26455818">
      <w:pPr>
        <w:pStyle w:val="JuList"/>
      </w:pPr>
      <w:r w:rsidRPr="00072A20">
        <w:rPr>
          <w:i/>
        </w:rPr>
        <w:t xml:space="preserve">Dismisses </w:t>
      </w:r>
      <w:r w:rsidRPr="00072A20">
        <w:t>the remainder of the second applicant</w:t>
      </w:r>
      <w:r w:rsidRPr="00072A20" w:rsidR="00072A20">
        <w:t>’</w:t>
      </w:r>
      <w:r w:rsidRPr="00072A20">
        <w:t>s claim for just satisfaction.</w:t>
      </w:r>
    </w:p>
    <w:p w:rsidRPr="00072A20" w:rsidR="008E3A08" w:rsidP="00072A20" w14:paraId="3BF1804A" w14:textId="77777777">
      <w:pPr>
        <w:pStyle w:val="JuParaLast"/>
      </w:pPr>
      <w:r w:rsidRPr="00072A20">
        <w:t xml:space="preserve">Done in English, and notified in writing on </w:t>
      </w:r>
      <w:r w:rsidRPr="00072A20" w:rsidR="00290837">
        <w:rPr>
          <w:rFonts w:ascii="Times New Roman" w:hAnsi="Times New Roman" w:cs="Times New Roman"/>
        </w:rPr>
        <w:t>26 March 2026</w:t>
      </w:r>
      <w:r w:rsidRPr="00072A20">
        <w:t>, pursuant to Rule 77 §§ 2 and 3 of the Rules of Court.</w:t>
      </w:r>
    </w:p>
    <w:p w:rsidRPr="00072A20" w:rsidR="007E79A4" w:rsidP="00072A20" w14:paraId="3AD35CDE" w14:textId="104063FF">
      <w:pPr>
        <w:pStyle w:val="ECHRPlaceholder"/>
        <w:rPr>
          <w:szCs w:val="22"/>
        </w:rPr>
      </w:pPr>
      <w:r w:rsidRPr="00072A20">
        <w:tab/>
      </w:r>
    </w:p>
    <w:p w:rsidRPr="00072A20" w:rsidR="007E79A4" w:rsidP="00072A20" w14:paraId="599E7D26" w14:textId="77777777">
      <w:pPr>
        <w:pStyle w:val="JuSigned"/>
      </w:pPr>
      <w:r w:rsidRPr="00072A20">
        <w:tab/>
      </w:r>
      <w:r w:rsidRPr="00072A20" w:rsidR="00290837">
        <w:rPr>
          <w:noProof/>
        </w:rPr>
        <w:t>Martina Keller</w:t>
      </w:r>
      <w:r w:rsidRPr="00072A20">
        <w:tab/>
      </w:r>
      <w:r w:rsidRPr="00072A20" w:rsidR="00290837">
        <w:rPr>
          <w:noProof/>
        </w:rPr>
        <w:t>María Elósegui</w:t>
      </w:r>
      <w:r w:rsidRPr="00072A20">
        <w:br/>
      </w:r>
      <w:r w:rsidRPr="00072A20">
        <w:tab/>
      </w:r>
      <w:r w:rsidRPr="00072A20" w:rsidR="00290837">
        <w:rPr>
          <w:noProof/>
        </w:rPr>
        <w:t>Deputy Registrar</w:t>
      </w:r>
      <w:r w:rsidRPr="00072A20">
        <w:tab/>
        <w:t>President</w:t>
      </w:r>
    </w:p>
    <w:p w:rsidRPr="00072A20" w:rsidR="00675AF2" w:rsidP="00072A20" w14:paraId="3034061A" w14:textId="77777777">
      <w:pPr>
        <w:pStyle w:val="JuPara"/>
      </w:pPr>
    </w:p>
    <w:p w:rsidRPr="00072A20" w:rsidR="00182EBA" w:rsidP="00072A20" w14:paraId="56DAF17B" w14:textId="77777777"/>
    <w:sectPr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90837" w14:paraId="512B80C8"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90837" w:rsidRPr="00150BFA" w:rsidP="0020718E" w14:paraId="2FFA075C" w14:textId="7777777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290837" w:rsidP="00AF12C5" w14:paraId="25F91589"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90837" w:rsidRPr="00150BFA" w:rsidP="0020718E" w14:paraId="23BCBDE9" w14:textId="77777777">
    <w:pPr>
      <w:jc w:val="center"/>
    </w:pPr>
    <w:r>
      <w:rPr>
        <w:noProof/>
        <w:lang w:val="en-US"/>
      </w:rPr>
      <w:drawing>
        <wp:inline distT="0" distB="0" distL="0" distR="0">
          <wp:extent cx="771525" cy="619125"/>
          <wp:effectExtent l="0" t="0" r="9525" b="9525"/>
          <wp:docPr id="510672793" name="Picture 51067279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67279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290837" w:rsidP="009E7A6F" w14:paraId="1ACE49D2" w14:textId="77777777">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5D138009" w14:textId="77777777">
    <w:pPr>
      <w:pStyle w:val="JuHeader"/>
    </w:pPr>
    <w:r>
      <w:fldChar w:fldCharType="begin"/>
    </w:r>
    <w:r>
      <w:instrText xml:space="preserve"> PAGE  \* MERGEFORMAT </w:instrText>
    </w:r>
    <w:r>
      <w:fldChar w:fldCharType="separate"/>
    </w:r>
    <w:r>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060AFA4B" w14:textId="77777777">
    <w:pPr>
      <w:pStyle w:val="JuHead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90837" w:rsidRPr="00290837" w:rsidP="0098410D" w14:paraId="3DD0D3CD" w14:textId="77777777">
      <w:r w:rsidRPr="00290837">
        <w:separator/>
      </w:r>
    </w:p>
  </w:footnote>
  <w:footnote w:type="continuationSeparator" w:id="1">
    <w:p w:rsidR="00290837" w:rsidRPr="00290837" w:rsidP="0098410D" w14:paraId="0FE02B92" w14:textId="77777777">
      <w:r w:rsidRPr="00290837">
        <w:continuationSeparator/>
      </w:r>
    </w:p>
  </w:footnote>
  <w:footnote w:id="2">
    <w:p w:rsidR="00290837" w:rsidRPr="00290837" w:rsidP="00290837" w14:paraId="213A2AE7" w14:textId="77777777">
      <w:pPr>
        <w:pStyle w:val="FootnoteText"/>
      </w:pPr>
      <w:r w:rsidRPr="00290837">
        <w:rPr>
          <w:rStyle w:val="FootnoteReference"/>
        </w:rPr>
        <w:footnoteRef/>
      </w:r>
      <w:r w:rsidRPr="00290837">
        <w:rPr>
          <w:rStyle w:val="FootnoteReference"/>
        </w:rPr>
        <w:t xml:space="preserve"> </w:t>
      </w:r>
      <w:r w:rsidRPr="00290837">
        <w:t>An authority superior to the Luhansk garrison military prosecutor.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90837" w14:paraId="1D2A84BB"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90837" w:rsidRPr="00A45145" w:rsidP="00A45145" w14:paraId="4B7B1813" w14:textId="77777777">
    <w:pPr>
      <w:jc w:val="center"/>
    </w:pPr>
    <w:r>
      <w:rPr>
        <w:noProof/>
        <w:lang w:val="en-US"/>
      </w:rPr>
      <w:drawing>
        <wp:inline distT="0" distB="0" distL="0" distR="0">
          <wp:extent cx="2962275" cy="1219200"/>
          <wp:effectExtent l="0" t="0" r="9525" b="0"/>
          <wp:docPr id="42330647" name="Picture 4233064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3064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290837" w:rsidP="00B14793" w14:paraId="4C5760DA"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90837" w:rsidRPr="00A45145" w:rsidP="00A45145" w14:paraId="49D9D68F" w14:textId="77777777">
    <w:pPr>
      <w:jc w:val="center"/>
    </w:pPr>
    <w:r>
      <w:rPr>
        <w:noProof/>
        <w:lang w:val="en-US"/>
      </w:rPr>
      <w:drawing>
        <wp:inline distT="0" distB="0" distL="0" distR="0">
          <wp:extent cx="2962275" cy="1219200"/>
          <wp:effectExtent l="0" t="0" r="9525" b="0"/>
          <wp:docPr id="1396329844" name="Picture 139632984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32984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290837" w14:paraId="450917FF"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59542B47" w14:textId="77777777">
    <w:pPr>
      <w:pStyle w:val="JuHeader"/>
    </w:pPr>
    <w:r>
      <w:t>SHABRATSKYY AND SHABRATSKA v. UKRAINE</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4B5B0129" w14:textId="77777777">
    <w:pPr>
      <w:pStyle w:val="JuHeader"/>
    </w:pPr>
    <w:r>
      <w:t>SHABRATSKYY AND SHABRATSKA v. UKRAINE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56E7F87"/>
    <w:multiLevelType w:val="multilevel"/>
    <w:tmpl w:val="5AEEF3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5A44A29"/>
    <w:multiLevelType w:val="hybridMultilevel"/>
    <w:tmpl w:val="9D4E5FC6"/>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5">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BD072D0"/>
    <w:multiLevelType w:val="hybridMultilevel"/>
    <w:tmpl w:val="209C4A56"/>
    <w:lvl w:ilvl="0">
      <w:start w:val="0"/>
      <w:numFmt w:val="bullet"/>
      <w:lvlText w:val="-"/>
      <w:lvlJc w:val="left"/>
      <w:pPr>
        <w:ind w:left="644" w:hanging="360"/>
      </w:pPr>
      <w:rPr>
        <w:rFonts w:ascii="Times New Roman" w:hAnsi="Times New Roman" w:eastAsiaTheme="minorHAnsi" w:cs="Times New Roman" w:hint="default"/>
      </w:rPr>
    </w:lvl>
    <w:lvl w:ilvl="1" w:tentative="1">
      <w:start w:val="1"/>
      <w:numFmt w:val="bullet"/>
      <w:lvlText w:val="o"/>
      <w:lvlJc w:val="left"/>
      <w:pPr>
        <w:ind w:left="1364" w:hanging="360"/>
      </w:pPr>
      <w:rPr>
        <w:rFonts w:ascii="Courier New" w:hAnsi="Courier New" w:cs="Courier New" w:hint="default"/>
      </w:rPr>
    </w:lvl>
    <w:lvl w:ilvl="2" w:tentative="1">
      <w:start w:val="1"/>
      <w:numFmt w:val="bullet"/>
      <w:lvlText w:val=""/>
      <w:lvlJc w:val="left"/>
      <w:pPr>
        <w:ind w:left="2084" w:hanging="360"/>
      </w:pPr>
      <w:rPr>
        <w:rFonts w:ascii="Wingdings" w:hAnsi="Wingdings" w:hint="default"/>
      </w:rPr>
    </w:lvl>
    <w:lvl w:ilvl="3" w:tentative="1">
      <w:start w:val="1"/>
      <w:numFmt w:val="bullet"/>
      <w:lvlText w:val=""/>
      <w:lvlJc w:val="left"/>
      <w:pPr>
        <w:ind w:left="2804" w:hanging="360"/>
      </w:pPr>
      <w:rPr>
        <w:rFonts w:ascii="Symbol" w:hAnsi="Symbol" w:hint="default"/>
      </w:rPr>
    </w:lvl>
    <w:lvl w:ilvl="4" w:tentative="1">
      <w:start w:val="1"/>
      <w:numFmt w:val="bullet"/>
      <w:lvlText w:val="o"/>
      <w:lvlJc w:val="left"/>
      <w:pPr>
        <w:ind w:left="3524" w:hanging="360"/>
      </w:pPr>
      <w:rPr>
        <w:rFonts w:ascii="Courier New" w:hAnsi="Courier New" w:cs="Courier New" w:hint="default"/>
      </w:rPr>
    </w:lvl>
    <w:lvl w:ilvl="5" w:tentative="1">
      <w:start w:val="1"/>
      <w:numFmt w:val="bullet"/>
      <w:lvlText w:val=""/>
      <w:lvlJc w:val="left"/>
      <w:pPr>
        <w:ind w:left="4244" w:hanging="360"/>
      </w:pPr>
      <w:rPr>
        <w:rFonts w:ascii="Wingdings" w:hAnsi="Wingdings" w:hint="default"/>
      </w:rPr>
    </w:lvl>
    <w:lvl w:ilvl="6" w:tentative="1">
      <w:start w:val="1"/>
      <w:numFmt w:val="bullet"/>
      <w:lvlText w:val=""/>
      <w:lvlJc w:val="left"/>
      <w:pPr>
        <w:ind w:left="4964" w:hanging="360"/>
      </w:pPr>
      <w:rPr>
        <w:rFonts w:ascii="Symbol" w:hAnsi="Symbol" w:hint="default"/>
      </w:rPr>
    </w:lvl>
    <w:lvl w:ilvl="7" w:tentative="1">
      <w:start w:val="1"/>
      <w:numFmt w:val="bullet"/>
      <w:lvlText w:val="o"/>
      <w:lvlJc w:val="left"/>
      <w:pPr>
        <w:ind w:left="5684" w:hanging="360"/>
      </w:pPr>
      <w:rPr>
        <w:rFonts w:ascii="Courier New" w:hAnsi="Courier New" w:cs="Courier New" w:hint="default"/>
      </w:rPr>
    </w:lvl>
    <w:lvl w:ilvl="8" w:tentative="1">
      <w:start w:val="1"/>
      <w:numFmt w:val="bullet"/>
      <w:lvlText w:val=""/>
      <w:lvlJc w:val="left"/>
      <w:pPr>
        <w:ind w:left="6404" w:hanging="360"/>
      </w:pPr>
      <w:rPr>
        <w:rFonts w:ascii="Wingdings" w:hAnsi="Wingdings" w:hint="default"/>
      </w:rPr>
    </w:lvl>
  </w:abstractNum>
  <w:abstractNum w:abstractNumId="2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1">
    <w:nsid w:val="68247C24"/>
    <w:multiLevelType w:val="hybridMultilevel"/>
    <w:tmpl w:val="A4B8AF72"/>
    <w:lvl w:ilvl="0">
      <w:start w:val="1"/>
      <w:numFmt w:val="bullet"/>
      <w:lvlText w:val=""/>
      <w:lvlJc w:val="left"/>
      <w:pPr>
        <w:ind w:left="1004" w:hanging="360"/>
      </w:pPr>
      <w:rPr>
        <w:rFonts w:ascii="Symbol" w:hAnsi="Symbol"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22">
    <w:nsid w:val="78855319"/>
    <w:multiLevelType w:val="hybridMultilevel"/>
    <w:tmpl w:val="5364810C"/>
    <w:lvl w:ilvl="0">
      <w:start w:val="0"/>
      <w:numFmt w:val="bullet"/>
      <w:lvlText w:val="-"/>
      <w:lvlJc w:val="left"/>
      <w:pPr>
        <w:ind w:left="928" w:hanging="360"/>
      </w:pPr>
      <w:rPr>
        <w:rFonts w:ascii="Times New Roman" w:hAnsi="Times New Roman" w:eastAsiaTheme="minorHAnsi" w:cs="Times New Roman"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23">
    <w:nsid w:val="790A57AC"/>
    <w:multiLevelType w:val="hybridMultilevel"/>
    <w:tmpl w:val="C7B281C4"/>
    <w:lvl w:ilvl="0">
      <w:start w:val="1"/>
      <w:numFmt w:val="decimal"/>
      <w:lvlText w:val="(%1)"/>
      <w:lvlJc w:val="left"/>
      <w:pPr>
        <w:ind w:left="644" w:hanging="360"/>
      </w:pPr>
      <w:rPr>
        <w:rFonts w:hint="default"/>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num w:numId="1" w16cid:durableId="1878196408">
    <w:abstractNumId w:val="16"/>
  </w:num>
  <w:num w:numId="2" w16cid:durableId="754978352">
    <w:abstractNumId w:val="13"/>
  </w:num>
  <w:num w:numId="3" w16cid:durableId="1794904661">
    <w:abstractNumId w:val="12"/>
  </w:num>
  <w:num w:numId="4" w16cid:durableId="196163834">
    <w:abstractNumId w:val="17"/>
  </w:num>
  <w:num w:numId="5" w16cid:durableId="1751272099">
    <w:abstractNumId w:val="15"/>
  </w:num>
  <w:num w:numId="6" w16cid:durableId="1642692146">
    <w:abstractNumId w:val="18"/>
  </w:num>
  <w:num w:numId="7" w16cid:durableId="434135136">
    <w:abstractNumId w:val="17"/>
  </w:num>
  <w:num w:numId="8" w16cid:durableId="578097284">
    <w:abstractNumId w:val="18"/>
  </w:num>
  <w:num w:numId="9" w16cid:durableId="1183782018">
    <w:abstractNumId w:val="11"/>
  </w:num>
  <w:num w:numId="10" w16cid:durableId="1201867154">
    <w:abstractNumId w:val="9"/>
  </w:num>
  <w:num w:numId="11" w16cid:durableId="468593734">
    <w:abstractNumId w:val="20"/>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12003161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265187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342493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40936070">
    <w:abstractNumId w:val="21"/>
  </w:num>
  <w:num w:numId="25" w16cid:durableId="361133534">
    <w:abstractNumId w:val="19"/>
  </w:num>
  <w:num w:numId="26" w16cid:durableId="769203491">
    <w:abstractNumId w:val="22"/>
  </w:num>
  <w:num w:numId="27" w16cid:durableId="617950234">
    <w:abstractNumId w:val="14"/>
  </w:num>
  <w:num w:numId="28" w16cid:durableId="831067422">
    <w:abstractNumId w:val="23"/>
  </w:num>
  <w:num w:numId="29" w16cid:durableId="2054571111">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837"/>
    <w:rsid w:val="00000952"/>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3A16"/>
    <w:rsid w:val="000644EE"/>
    <w:rsid w:val="000712E3"/>
    <w:rsid w:val="00072A20"/>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2AD7"/>
    <w:rsid w:val="001257EC"/>
    <w:rsid w:val="00133D33"/>
    <w:rsid w:val="00134B6A"/>
    <w:rsid w:val="00134D64"/>
    <w:rsid w:val="00135A30"/>
    <w:rsid w:val="0013612C"/>
    <w:rsid w:val="00137FF6"/>
    <w:rsid w:val="00140181"/>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0837"/>
    <w:rsid w:val="002934D0"/>
    <w:rsid w:val="00293676"/>
    <w:rsid w:val="00293993"/>
    <w:rsid w:val="00293BD9"/>
    <w:rsid w:val="002948AD"/>
    <w:rsid w:val="002A01CC"/>
    <w:rsid w:val="002A2D84"/>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5FF1"/>
    <w:rsid w:val="003C6B9F"/>
    <w:rsid w:val="003C6E2A"/>
    <w:rsid w:val="003D0299"/>
    <w:rsid w:val="003E6D80"/>
    <w:rsid w:val="003E7BCC"/>
    <w:rsid w:val="003F05FA"/>
    <w:rsid w:val="003F244A"/>
    <w:rsid w:val="003F2517"/>
    <w:rsid w:val="003F30B8"/>
    <w:rsid w:val="003F4C45"/>
    <w:rsid w:val="003F5A96"/>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486D"/>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66761"/>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15E"/>
    <w:rsid w:val="007D1ECD"/>
    <w:rsid w:val="007D3701"/>
    <w:rsid w:val="007D4832"/>
    <w:rsid w:val="007E21B2"/>
    <w:rsid w:val="007E2C4E"/>
    <w:rsid w:val="007E2C8C"/>
    <w:rsid w:val="007E51BA"/>
    <w:rsid w:val="007E73D7"/>
    <w:rsid w:val="007E79A4"/>
    <w:rsid w:val="007F1905"/>
    <w:rsid w:val="007F27E4"/>
    <w:rsid w:val="007F3437"/>
    <w:rsid w:val="007F482B"/>
    <w:rsid w:val="00802C64"/>
    <w:rsid w:val="00805E52"/>
    <w:rsid w:val="008061D0"/>
    <w:rsid w:val="0080672F"/>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15C8B"/>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67008"/>
    <w:rsid w:val="00972B55"/>
    <w:rsid w:val="009743B7"/>
    <w:rsid w:val="0098228B"/>
    <w:rsid w:val="009828DA"/>
    <w:rsid w:val="0098410D"/>
    <w:rsid w:val="00985BAB"/>
    <w:rsid w:val="00986B3C"/>
    <w:rsid w:val="00994786"/>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43A0"/>
    <w:rsid w:val="00A57147"/>
    <w:rsid w:val="00A6035E"/>
    <w:rsid w:val="00A6144C"/>
    <w:rsid w:val="00A66617"/>
    <w:rsid w:val="00A671F8"/>
    <w:rsid w:val="00A673A4"/>
    <w:rsid w:val="00A724AE"/>
    <w:rsid w:val="00A73329"/>
    <w:rsid w:val="00A82359"/>
    <w:rsid w:val="00A865D2"/>
    <w:rsid w:val="00A879A1"/>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35F"/>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6423"/>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1"/>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2BCC2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qFormat/>
    <w:rsid w:val="002B5B43"/>
    <w:rPr>
      <w:b/>
      <w:bCs/>
    </w:rPr>
  </w:style>
  <w:style w:type="paragraph" w:styleId="NoSpacing">
    <w:name w:val="No Spacing"/>
    <w:basedOn w:val="Normal"/>
    <w:link w:val="NoSpacingChar"/>
    <w:uiPriority w:val="98"/>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9"/>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ECHR_Heading_1"/>
    <w:basedOn w:val="Heading2"/>
    <w:next w:val="JuPara"/>
    <w:uiPriority w:val="19"/>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ECHR_Heading_2"/>
    <w:basedOn w:val="Heading3"/>
    <w:next w:val="JuPara"/>
    <w:uiPriority w:val="20"/>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ECHR_Heading_3"/>
    <w:basedOn w:val="Heading4"/>
    <w:next w:val="JuPara"/>
    <w:uiPriority w:val="21"/>
    <w:qFormat/>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ECHR_Heading_4"/>
    <w:basedOn w:val="Heading5"/>
    <w:next w:val="JuPara"/>
    <w:uiPriority w:val="22"/>
    <w:qFormat/>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ECHR_Heading_5"/>
    <w:basedOn w:val="Heading6"/>
    <w:next w:val="JuPara"/>
    <w:uiPriority w:val="22"/>
    <w:qFormat/>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ECHR_Heading_6"/>
    <w:basedOn w:val="Heading7"/>
    <w:next w:val="JuPara"/>
    <w:uiPriority w:val="24"/>
    <w:qFormat/>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9"/>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ECHR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rsid w:val="002B5B43"/>
    <w:rPr>
      <w:color w:val="0072BC" w:themeColor="hyperlink"/>
      <w:u w:val="single"/>
    </w:rPr>
  </w:style>
  <w:style w:type="character" w:styleId="IntenseEmphasis">
    <w:name w:val="Intense Emphasis"/>
    <w:uiPriority w:val="98"/>
    <w:qFormat/>
    <w:rsid w:val="002B5B43"/>
    <w:rPr>
      <w:b/>
      <w:bCs/>
    </w:rPr>
  </w:style>
  <w:style w:type="paragraph" w:styleId="IntenseQuote">
    <w:name w:val="Intense Quote"/>
    <w:basedOn w:val="Normal"/>
    <w:next w:val="Normal"/>
    <w:link w:val="IntenseQuoteChar"/>
    <w:uiPriority w:val="98"/>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qFormat/>
    <w:rsid w:val="002B5B43"/>
    <w:rPr>
      <w:smallCaps/>
      <w:spacing w:val="5"/>
      <w:u w:val="single"/>
    </w:rPr>
  </w:style>
  <w:style w:type="paragraph" w:styleId="ListParagraph">
    <w:name w:val="List Paragraph"/>
    <w:basedOn w:val="Normal"/>
    <w:uiPriority w:val="98"/>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qFormat/>
    <w:rsid w:val="002B5B43"/>
    <w:rPr>
      <w:smallCaps/>
    </w:rPr>
  </w:style>
  <w:style w:type="table" w:styleId="TableGrid">
    <w:name w:val="Table Grid"/>
    <w:basedOn w:val="TableNormal"/>
    <w:uiPriority w:val="59"/>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290837"/>
    <w:rPr>
      <w:sz w:val="24"/>
      <w:szCs w:val="24"/>
      <w:lang w:val="en-GB"/>
    </w:rPr>
  </w:style>
  <w:style w:type="table" w:styleId="GridTable1Light">
    <w:name w:val="Grid Table 1 Light"/>
    <w:basedOn w:val="TableNormal"/>
    <w:uiPriority w:val="46"/>
    <w:rsid w:val="0029083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1">
    <w:name w:val="Ju_Names"/>
    <w:rsid w:val="00290837"/>
    <w:rPr>
      <w:smallCaps/>
    </w:rPr>
  </w:style>
  <w:style w:type="paragraph" w:customStyle="1" w:styleId="JuList4">
    <w:name w:val="Ju_List_4"/>
    <w:aliases w:val="N_Bul_4"/>
    <w:basedOn w:val="JuListi"/>
    <w:uiPriority w:val="19"/>
    <w:rsid w:val="00290837"/>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29083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9083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90837"/>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9083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9083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9083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9083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9083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29083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290837"/>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29083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29083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29083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29083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9083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29083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29083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29083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29083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29083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29083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9083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29083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29083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29083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29083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29083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29083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9083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29083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29083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29083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29083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29083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29083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9083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29083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29083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29083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29083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29083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29083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9083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29083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29083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29083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29083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29083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290837"/>
    <w:rPr>
      <w:color w:val="2B579A"/>
      <w:shd w:val="clear" w:color="auto" w:fill="E1DFDD"/>
    </w:rPr>
  </w:style>
  <w:style w:type="table" w:styleId="ListTable1Light">
    <w:name w:val="List Table 1 Light"/>
    <w:basedOn w:val="TableNormal"/>
    <w:uiPriority w:val="46"/>
    <w:rsid w:val="0029083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9083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29083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290837"/>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29083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29083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29083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29083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9083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29083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290837"/>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29083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29083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29083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29083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9083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29083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290837"/>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29083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29083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29083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29083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9083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29083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29083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29083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29083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29083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290837"/>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90837"/>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90837"/>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90837"/>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90837"/>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90837"/>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90837"/>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9083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9083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29083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290837"/>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29083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29083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29083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29083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9083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9083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90837"/>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9083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9083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9083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290837"/>
    <w:rPr>
      <w:color w:val="2B579A"/>
      <w:shd w:val="clear" w:color="auto" w:fill="E1DFDD"/>
    </w:rPr>
  </w:style>
  <w:style w:type="table" w:styleId="PlainTable1">
    <w:name w:val="Plain Table 1"/>
    <w:basedOn w:val="TableNormal"/>
    <w:uiPriority w:val="41"/>
    <w:rsid w:val="00290837"/>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29083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9083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9083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29083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290837"/>
    <w:rPr>
      <w:u w:val="dotted"/>
    </w:rPr>
  </w:style>
  <w:style w:type="character" w:styleId="SmartLink">
    <w:name w:val="Smart Link"/>
    <w:basedOn w:val="DefaultParagraphFont"/>
    <w:uiPriority w:val="99"/>
    <w:semiHidden/>
    <w:unhideWhenUsed/>
    <w:rsid w:val="00290837"/>
    <w:rPr>
      <w:color w:val="0000FF"/>
      <w:u w:val="single"/>
      <w:shd w:val="clear" w:color="auto" w:fill="F3F2F1"/>
    </w:rPr>
  </w:style>
  <w:style w:type="table" w:styleId="GridTableLight">
    <w:name w:val="Grid Table Light"/>
    <w:basedOn w:val="TableNormal"/>
    <w:uiPriority w:val="40"/>
    <w:rsid w:val="00290837"/>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290837"/>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5304</Words>
  <Characters>29548</Characters>
  <Application>Microsoft Office Word</Application>
  <DocSecurity>0</DocSecurity>
  <Lines>1738</Lines>
  <Paragraphs>1124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2026-04-08T09:09:00Z</dcterms:created>
  <dcterms:modified xsi:type="dcterms:W3CDTF">2026-04-08T09:42:00Z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1377270</vt:lpwstr>
  </property>
  <property fmtid="{D5CDD505-2E9C-101B-9397-08002B2CF9AE}" pid="3" name="cstLanguage">
    <vt:i4>2057</vt:i4>
  </property>
  <property fmtid="{D5CDD505-2E9C-101B-9397-08002B2CF9AE}" pid="4" name="RegisteredNo">
    <vt:lpwstr>19234/18</vt:lpwstr>
  </property>
</Properties>
</file>