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956F11" w:rsidR="008D51B6" w:rsidP="00956F11" w14:paraId="26E47903" w14:textId="77777777">
      <w:pPr>
        <w:jc w:val="center"/>
      </w:pPr>
    </w:p>
    <w:p w:rsidRPr="00956F11" w:rsidR="000C5149" w:rsidP="00956F11" w14:paraId="260320AA" w14:textId="77777777">
      <w:pPr>
        <w:jc w:val="center"/>
      </w:pPr>
    </w:p>
    <w:p w:rsidRPr="00956F11" w:rsidR="00606600" w:rsidP="00956F11" w14:paraId="6108D28D" w14:textId="39B05539">
      <w:pPr>
        <w:pStyle w:val="DecHTitle"/>
      </w:pPr>
      <w:r w:rsidRPr="00956F11">
        <w:t>FIFTH SECTION</w:t>
      </w:r>
    </w:p>
    <w:p w:rsidRPr="00956F11" w:rsidR="006D324D" w:rsidP="00956F11" w14:paraId="2A825F4A" w14:textId="03FEC946">
      <w:pPr>
        <w:pStyle w:val="JuTitle"/>
      </w:pPr>
      <w:bookmarkStart w:name="To" w:id="0"/>
      <w:r w:rsidRPr="00956F11">
        <w:rPr>
          <w:color w:val="000000" w:themeColor="text1"/>
        </w:rPr>
        <w:t xml:space="preserve">CASE OF </w:t>
      </w:r>
      <w:bookmarkEnd w:id="0"/>
      <w:r w:rsidRPr="00956F11" w:rsidR="001A5FF8">
        <w:t>STROGUSH</w:t>
      </w:r>
      <w:r w:rsidRPr="00956F11" w:rsidR="00FD77F9">
        <w:t xml:space="preserve"> AND KROPACHEV</w:t>
      </w:r>
      <w:r w:rsidRPr="00956F11" w:rsidR="001A5FF8">
        <w:t xml:space="preserve"> v. UKRAINE</w:t>
      </w:r>
    </w:p>
    <w:p w:rsidRPr="00956F11" w:rsidR="006D324D" w:rsidP="00956F11" w14:paraId="7E4E5C2A" w14:textId="198D44D4">
      <w:pPr>
        <w:pStyle w:val="ECHRCoverTitle4"/>
      </w:pPr>
      <w:r w:rsidRPr="00956F11">
        <w:t>(</w:t>
      </w:r>
      <w:r w:rsidRPr="00956F11" w:rsidR="001A5FF8">
        <w:t xml:space="preserve">Applications nos. 9673/25 and </w:t>
      </w:r>
      <w:r w:rsidRPr="00956F11" w:rsidR="00FD77F9">
        <w:t>11144/25</w:t>
      </w:r>
      <w:r w:rsidRPr="00956F11">
        <w:t>)</w:t>
      </w:r>
    </w:p>
    <w:p w:rsidRPr="00956F11" w:rsidR="006D324D" w:rsidP="00956F11" w14:paraId="1F32BBE2" w14:textId="77777777">
      <w:pPr>
        <w:pStyle w:val="DecHCase"/>
      </w:pPr>
    </w:p>
    <w:p w:rsidRPr="00956F11" w:rsidR="006D324D" w:rsidP="00956F11" w14:paraId="785E940E" w14:textId="77777777">
      <w:pPr>
        <w:pStyle w:val="DecHCase"/>
      </w:pPr>
    </w:p>
    <w:p w:rsidRPr="00956F11" w:rsidR="00606600" w:rsidP="00956F11" w14:paraId="5F62DDD0" w14:textId="77777777">
      <w:pPr>
        <w:pStyle w:val="DecHCase"/>
      </w:pPr>
    </w:p>
    <w:p w:rsidRPr="00956F11" w:rsidR="00606600" w:rsidP="00956F11" w14:paraId="6EE450CC" w14:textId="77777777">
      <w:pPr>
        <w:pStyle w:val="DecHCase"/>
      </w:pPr>
    </w:p>
    <w:p w:rsidRPr="00956F11" w:rsidR="00606600" w:rsidP="00956F11" w14:paraId="47FC92F4" w14:textId="77777777">
      <w:pPr>
        <w:pStyle w:val="DecHCase"/>
      </w:pPr>
    </w:p>
    <w:p w:rsidRPr="00956F11" w:rsidR="00606600" w:rsidP="00956F11" w14:paraId="3F9E6365" w14:textId="77777777">
      <w:pPr>
        <w:pStyle w:val="DecHCase"/>
      </w:pPr>
    </w:p>
    <w:p w:rsidRPr="00956F11" w:rsidR="00606600" w:rsidP="00956F11" w14:paraId="3A5801D8" w14:textId="77777777">
      <w:pPr>
        <w:pStyle w:val="DecHCase"/>
      </w:pPr>
      <w:r w:rsidRPr="00956F11">
        <w:t>JUDGMENT</w:t>
      </w:r>
    </w:p>
    <w:p w:rsidRPr="00956F11" w:rsidR="00606600" w:rsidP="00956F11" w14:paraId="5D4B8160" w14:textId="77777777">
      <w:pPr>
        <w:jc w:val="center"/>
        <w:rPr>
          <w:i/>
        </w:rPr>
      </w:pPr>
    </w:p>
    <w:p w:rsidRPr="00956F11" w:rsidR="00606600" w:rsidP="00956F11" w14:paraId="34AF2BC6" w14:textId="77777777">
      <w:pPr>
        <w:pStyle w:val="DecHCase"/>
      </w:pPr>
      <w:r w:rsidRPr="00956F11">
        <w:t>STRASBOURG</w:t>
      </w:r>
    </w:p>
    <w:p w:rsidRPr="00956F11" w:rsidR="00606600" w:rsidP="00956F11" w14:paraId="3F2F13FC" w14:textId="02912C05">
      <w:pPr>
        <w:pStyle w:val="DecHCase"/>
      </w:pPr>
      <w:r w:rsidRPr="00956F11">
        <w:t>26 February 2026</w:t>
      </w:r>
    </w:p>
    <w:p w:rsidRPr="00956F11" w:rsidR="00525414" w:rsidP="00956F11" w14:paraId="0C1E8836" w14:textId="77777777">
      <w:pPr>
        <w:pStyle w:val="JuPara"/>
      </w:pPr>
    </w:p>
    <w:p w:rsidRPr="00956F11" w:rsidR="00606600" w:rsidP="00956F11" w14:paraId="0A5C350B" w14:textId="77777777">
      <w:pPr>
        <w:jc w:val="center"/>
      </w:pPr>
    </w:p>
    <w:p w:rsidRPr="00956F11" w:rsidR="00606600" w:rsidP="00956F11" w14:paraId="0E6BAE08" w14:textId="77777777">
      <w:pPr>
        <w:rPr>
          <w:sz w:val="22"/>
          <w:szCs w:val="22"/>
        </w:rPr>
      </w:pPr>
      <w:r w:rsidRPr="00956F11">
        <w:rPr>
          <w:i/>
          <w:sz w:val="22"/>
          <w:szCs w:val="22"/>
        </w:rPr>
        <w:t>This judgment is final but it may be subject to editorial revision.</w:t>
      </w:r>
    </w:p>
    <w:p w:rsidRPr="00956F11" w:rsidR="00606600" w:rsidP="00956F11" w14:paraId="540023E0"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956F11" w:rsidR="00606600" w:rsidP="00956F11" w14:paraId="246D2058" w14:textId="56B4BE25">
      <w:pPr>
        <w:pStyle w:val="JuCase"/>
        <w:rPr>
          <w:bCs/>
        </w:rPr>
      </w:pPr>
      <w:r w:rsidRPr="00956F11">
        <w:t xml:space="preserve">In the case of </w:t>
      </w:r>
      <w:r w:rsidRPr="00956F11" w:rsidR="001A5FF8">
        <w:t>Strogush</w:t>
      </w:r>
      <w:r w:rsidRPr="00956F11" w:rsidR="00367D13">
        <w:t xml:space="preserve"> and Kropachev </w:t>
      </w:r>
      <w:r w:rsidRPr="00956F11" w:rsidR="001A5FF8">
        <w:t>v. Ukraine</w:t>
      </w:r>
      <w:r w:rsidRPr="00956F11">
        <w:t>,</w:t>
      </w:r>
    </w:p>
    <w:p w:rsidRPr="00956F11" w:rsidR="00606600" w:rsidP="00956F11" w14:paraId="097E8CE4" w14:textId="74C21A7E">
      <w:pPr>
        <w:pStyle w:val="JuPara"/>
      </w:pPr>
      <w:r w:rsidRPr="00956F11">
        <w:t>The European Court of Human Rights (</w:t>
      </w:r>
      <w:r w:rsidRPr="00956F11" w:rsidR="001A5FF8">
        <w:t>Fifth Section</w:t>
      </w:r>
      <w:r w:rsidRPr="00956F11">
        <w:t>), sitting as a</w:t>
      </w:r>
      <w:r w:rsidRPr="00956F11" w:rsidR="00367D13">
        <w:t> </w:t>
      </w:r>
      <w:r w:rsidRPr="00956F11">
        <w:t>Committee composed of:</w:t>
      </w:r>
    </w:p>
    <w:p w:rsidRPr="00956F11" w:rsidR="002C5B23" w:rsidP="00956F11" w14:paraId="56EFADCA" w14:textId="216852F7">
      <w:pPr>
        <w:pStyle w:val="JuJudges"/>
      </w:pPr>
      <w:r w:rsidRPr="00956F11">
        <w:tab/>
        <w:t>Andreas Zünd</w:t>
      </w:r>
      <w:r w:rsidRPr="00956F11">
        <w:rPr>
          <w:i/>
        </w:rPr>
        <w:t>, President</w:t>
      </w:r>
      <w:r w:rsidRPr="00956F11">
        <w:t>,</w:t>
      </w:r>
      <w:r w:rsidRPr="00956F11">
        <w:br/>
      </w:r>
      <w:r w:rsidRPr="00956F11">
        <w:tab/>
        <w:t>Diana Sârcu,</w:t>
      </w:r>
      <w:r w:rsidRPr="00956F11">
        <w:br/>
      </w:r>
      <w:r w:rsidRPr="00956F11">
        <w:tab/>
        <w:t>Mykola Gnatovskyy</w:t>
      </w:r>
      <w:r w:rsidRPr="00956F11">
        <w:rPr>
          <w:i/>
        </w:rPr>
        <w:t>, judges</w:t>
      </w:r>
      <w:r w:rsidRPr="00956F11">
        <w:t>,</w:t>
      </w:r>
    </w:p>
    <w:p w:rsidRPr="00956F11" w:rsidR="00606600" w:rsidP="00956F11" w14:paraId="43EB099B" w14:textId="7B61E702">
      <w:pPr>
        <w:pStyle w:val="JuJudges"/>
      </w:pPr>
      <w:r w:rsidRPr="00956F11">
        <w:t xml:space="preserve">and </w:t>
      </w:r>
      <w:r w:rsidRPr="00956F11" w:rsidR="001A5FF8">
        <w:t>Viktoriya</w:t>
      </w:r>
      <w:r w:rsidRPr="00956F11">
        <w:t xml:space="preserve"> </w:t>
      </w:r>
      <w:r w:rsidRPr="00956F11" w:rsidR="001A5FF8">
        <w:t>Maradudina</w:t>
      </w:r>
      <w:r w:rsidRPr="00956F11" w:rsidR="00555A1D">
        <w:t>,</w:t>
      </w:r>
      <w:r w:rsidRPr="00956F11">
        <w:t xml:space="preserve"> </w:t>
      </w:r>
      <w:r w:rsidRPr="00956F11">
        <w:rPr>
          <w:i/>
        </w:rPr>
        <w:t>Acting</w:t>
      </w:r>
      <w:r w:rsidRPr="00956F11">
        <w:t xml:space="preserve"> </w:t>
      </w:r>
      <w:r w:rsidRPr="00956F11">
        <w:rPr>
          <w:rFonts w:cstheme="minorHAnsi"/>
          <w:i/>
        </w:rPr>
        <w:t>Deputy Section Registrar</w:t>
      </w:r>
      <w:r w:rsidRPr="00956F11">
        <w:rPr>
          <w:i/>
        </w:rPr>
        <w:t>,</w:t>
      </w:r>
    </w:p>
    <w:p w:rsidRPr="00956F11" w:rsidR="00606600" w:rsidP="00956F11" w14:paraId="2ADC5660" w14:textId="3CA39C5A">
      <w:pPr>
        <w:pStyle w:val="JuPara"/>
      </w:pPr>
      <w:r w:rsidRPr="00956F11">
        <w:t xml:space="preserve">Having deliberated in private on </w:t>
      </w:r>
      <w:r w:rsidRPr="00956F11" w:rsidR="00FD77F9">
        <w:t>5 February 2026</w:t>
      </w:r>
      <w:r w:rsidRPr="00956F11">
        <w:t>,</w:t>
      </w:r>
    </w:p>
    <w:p w:rsidRPr="00956F11" w:rsidR="00606600" w:rsidP="00956F11" w14:paraId="61EA7D43" w14:textId="77777777">
      <w:pPr>
        <w:pStyle w:val="JuPara"/>
      </w:pPr>
      <w:r w:rsidRPr="00956F11">
        <w:t>Delivers the following judgment, which was adopted on that date:</w:t>
      </w:r>
    </w:p>
    <w:p w:rsidRPr="00956F11" w:rsidR="001A5FF8" w:rsidP="00956F11" w14:paraId="7BD44BC0" w14:textId="77777777">
      <w:pPr>
        <w:pStyle w:val="JuHHead"/>
      </w:pPr>
      <w:bookmarkStart w:name="ITMARKStartJudgment" w:id="1"/>
      <w:bookmarkEnd w:id="1"/>
      <w:r w:rsidRPr="00956F11">
        <w:t>PROCEDURE</w:t>
      </w:r>
    </w:p>
    <w:p w:rsidRPr="00956F11" w:rsidR="001A5FF8" w:rsidP="00956F11" w14:paraId="1A6B11D8" w14:textId="7F691589">
      <w:pPr>
        <w:pStyle w:val="JuPara"/>
      </w:pPr>
      <w:r>
        <w:fldChar w:fldCharType="begin"/>
      </w:r>
      <w:r>
        <w:instrText xml:space="preserve"> SEQ level0 \*arabic \* MERGEFORMAT </w:instrText>
      </w:r>
      <w:r>
        <w:fldChar w:fldCharType="separate"/>
      </w:r>
      <w:r w:rsidRPr="00956F11" w:rsidR="00956F11">
        <w:rPr>
          <w:noProof/>
        </w:rPr>
        <w:t>1</w:t>
      </w:r>
      <w:r w:rsidRPr="00956F11" w:rsidR="00956F11">
        <w:rPr>
          <w:noProof/>
        </w:rPr>
        <w:fldChar w:fldCharType="end"/>
      </w:r>
      <w:r w:rsidRPr="00956F11">
        <w:t>.  The case originated in applications against Ukraine lodged with the</w:t>
      </w:r>
      <w:r w:rsidRPr="00956F11" w:rsidR="002F3980">
        <w:t> </w:t>
      </w:r>
      <w:r w:rsidRPr="00956F11">
        <w:t xml:space="preserve">Court under Article 34 of the Convention for the Protection of Human Rights and Fundamental Freedoms (“the Convention”) on </w:t>
      </w:r>
      <w:r w:rsidRPr="00956F11">
        <w:rPr>
          <w:rFonts w:eastAsia="PMingLiU"/>
        </w:rPr>
        <w:t>the various dates indicated in the appended table</w:t>
      </w:r>
      <w:r w:rsidRPr="00956F11">
        <w:t>.</w:t>
      </w:r>
    </w:p>
    <w:p w:rsidRPr="00956F11" w:rsidR="001A5FF8" w:rsidP="00956F11" w14:paraId="18984025" w14:textId="5C851109">
      <w:pPr>
        <w:pStyle w:val="JuPara"/>
      </w:pPr>
      <w:r>
        <w:fldChar w:fldCharType="begin"/>
      </w:r>
      <w:r>
        <w:instrText xml:space="preserve"> SEQ level0 \*arabic \* MERGEFORMAT </w:instrText>
      </w:r>
      <w:r>
        <w:fldChar w:fldCharType="separate"/>
      </w:r>
      <w:r w:rsidRPr="00956F11" w:rsidR="00956F11">
        <w:rPr>
          <w:noProof/>
        </w:rPr>
        <w:t>2</w:t>
      </w:r>
      <w:r w:rsidRPr="00956F11" w:rsidR="00956F11">
        <w:rPr>
          <w:noProof/>
        </w:rPr>
        <w:fldChar w:fldCharType="end"/>
      </w:r>
      <w:r w:rsidRPr="00956F11">
        <w:t>.  The Ukrainian Government (“the Government”) were given notice of the applications.</w:t>
      </w:r>
    </w:p>
    <w:p w:rsidRPr="00956F11" w:rsidR="001A5FF8" w:rsidP="00956F11" w14:paraId="23E19985" w14:textId="77777777">
      <w:pPr>
        <w:pStyle w:val="JuHHead"/>
      </w:pPr>
      <w:r w:rsidRPr="00956F11">
        <w:t>THE FACTS</w:t>
      </w:r>
    </w:p>
    <w:p w:rsidRPr="00956F11" w:rsidR="001A5FF8" w:rsidP="00956F11" w14:paraId="20CB4122" w14:textId="66EC4859">
      <w:pPr>
        <w:pStyle w:val="JuPara"/>
      </w:pPr>
      <w:r>
        <w:fldChar w:fldCharType="begin"/>
      </w:r>
      <w:r>
        <w:instrText xml:space="preserve"> SEQ level0 \*arabic \* MERGEFORMAT </w:instrText>
      </w:r>
      <w:r>
        <w:fldChar w:fldCharType="separate"/>
      </w:r>
      <w:r w:rsidRPr="00956F11" w:rsidR="00956F11">
        <w:rPr>
          <w:noProof/>
        </w:rPr>
        <w:t>3</w:t>
      </w:r>
      <w:r w:rsidRPr="00956F11" w:rsidR="00956F11">
        <w:rPr>
          <w:noProof/>
        </w:rPr>
        <w:fldChar w:fldCharType="end"/>
      </w:r>
      <w:r w:rsidRPr="00956F11">
        <w:t>.  </w:t>
      </w:r>
      <w:r w:rsidRPr="00956F11">
        <w:rPr>
          <w:rFonts w:eastAsia="PMingLiU"/>
        </w:rPr>
        <w:t>The list of applicant</w:t>
      </w:r>
      <w:r w:rsidRPr="00956F11">
        <w:t>s and the relevant details of the applications are set out in the appended table.</w:t>
      </w:r>
    </w:p>
    <w:p w:rsidRPr="00956F11" w:rsidR="001A5FF8" w:rsidP="00956F11" w14:paraId="308E8992" w14:textId="4ED99558">
      <w:pPr>
        <w:pStyle w:val="JuPara"/>
        <w:rPr>
          <w:bCs/>
        </w:rPr>
      </w:pPr>
      <w:r>
        <w:fldChar w:fldCharType="begin"/>
      </w:r>
      <w:r>
        <w:instrText xml:space="preserve"> SEQ level0 \*arabic \* MERGEFORMAT </w:instrText>
      </w:r>
      <w:r>
        <w:fldChar w:fldCharType="separate"/>
      </w:r>
      <w:r w:rsidRPr="00956F11" w:rsidR="00956F11">
        <w:rPr>
          <w:noProof/>
        </w:rPr>
        <w:t>4</w:t>
      </w:r>
      <w:r w:rsidRPr="00956F11" w:rsidR="00956F11">
        <w:rPr>
          <w:noProof/>
        </w:rPr>
        <w:fldChar w:fldCharType="end"/>
      </w:r>
      <w:r w:rsidRPr="00956F11">
        <w:t>.  </w:t>
      </w:r>
      <w:r w:rsidRPr="00956F11">
        <w:rPr>
          <w:bCs/>
        </w:rPr>
        <w:t>The applicant</w:t>
      </w:r>
      <w:r w:rsidRPr="00956F11">
        <w:rPr>
          <w:rFonts w:eastAsia="PMingLiU"/>
        </w:rPr>
        <w:t>s</w:t>
      </w:r>
      <w:r w:rsidRPr="00956F11">
        <w:rPr>
          <w:bCs/>
        </w:rPr>
        <w:t xml:space="preserve"> complained of the excessive length of </w:t>
      </w:r>
      <w:r w:rsidRPr="00956F11">
        <w:rPr>
          <w:rFonts w:eastAsia="PMingLiU"/>
        </w:rPr>
        <w:t>their</w:t>
      </w:r>
      <w:r w:rsidRPr="00956F11">
        <w:rPr>
          <w:bCs/>
        </w:rPr>
        <w:t xml:space="preserve"> pre-trial detention</w:t>
      </w:r>
      <w:r w:rsidRPr="00956F11">
        <w:rPr>
          <w:rFonts w:cstheme="minorHAnsi"/>
          <w:bCs/>
          <w:color w:val="000000"/>
        </w:rPr>
        <w:t>.</w:t>
      </w:r>
      <w:r w:rsidRPr="00956F11">
        <w:rPr>
          <w:rFonts w:cstheme="minorHAnsi"/>
        </w:rPr>
        <w:t xml:space="preserve"> </w:t>
      </w:r>
      <w:r w:rsidRPr="00956F11">
        <w:t>In application no. 9673/25, the applicant also raised other complaints under the provisions of the Convention.</w:t>
      </w:r>
    </w:p>
    <w:p w:rsidRPr="00956F11" w:rsidR="001A5FF8" w:rsidP="00956F11" w14:paraId="6740862C" w14:textId="77777777">
      <w:pPr>
        <w:pStyle w:val="JuHHead"/>
      </w:pPr>
      <w:r w:rsidRPr="00956F11">
        <w:t>THE LAW</w:t>
      </w:r>
    </w:p>
    <w:p w:rsidRPr="00956F11" w:rsidR="001A5FF8" w:rsidP="00956F11" w14:paraId="3168218C" w14:textId="77777777">
      <w:pPr>
        <w:pStyle w:val="JuHIRoman"/>
      </w:pPr>
      <w:r w:rsidRPr="00956F11">
        <w:t>JOINDER OF THE APPLICATIONS</w:t>
      </w:r>
    </w:p>
    <w:p w:rsidRPr="00956F11" w:rsidR="001A5FF8" w:rsidP="00956F11" w14:paraId="02DBD05B" w14:textId="3CE52469">
      <w:pPr>
        <w:pStyle w:val="JuPara"/>
      </w:pPr>
      <w:r>
        <w:fldChar w:fldCharType="begin"/>
      </w:r>
      <w:r>
        <w:instrText xml:space="preserve"> SEQ level0 \*arabic \* MERGEFORMAT </w:instrText>
      </w:r>
      <w:r>
        <w:fldChar w:fldCharType="separate"/>
      </w:r>
      <w:r w:rsidRPr="00956F11" w:rsidR="00956F11">
        <w:rPr>
          <w:noProof/>
        </w:rPr>
        <w:t>5</w:t>
      </w:r>
      <w:r w:rsidRPr="00956F11" w:rsidR="00956F11">
        <w:rPr>
          <w:noProof/>
        </w:rPr>
        <w:fldChar w:fldCharType="end"/>
      </w:r>
      <w:r w:rsidRPr="00956F11">
        <w:t>.  Having regard to the similar subject matter of the applications, the</w:t>
      </w:r>
      <w:r w:rsidRPr="00956F11" w:rsidR="002F3980">
        <w:t> </w:t>
      </w:r>
      <w:r w:rsidRPr="00956F11">
        <w:t>Court finds it appropriate to examine them jointly in a single judgment.</w:t>
      </w:r>
    </w:p>
    <w:p w:rsidRPr="00956F11" w:rsidR="001A5FF8" w:rsidP="00956F11" w14:paraId="45D4D407" w14:textId="77777777">
      <w:pPr>
        <w:pStyle w:val="JuHIRoman"/>
        <w:rPr>
          <w:rFonts w:eastAsia="PMingLiU"/>
        </w:rPr>
      </w:pPr>
      <w:r w:rsidRPr="00956F11">
        <w:t>ALLEGED VIOLATION OF ARTICLE</w:t>
      </w:r>
      <w:r w:rsidRPr="00956F11">
        <w:rPr>
          <w:rFonts w:eastAsia="PMingLiU"/>
        </w:rPr>
        <w:t xml:space="preserve"> 5 § 3 OF THE CONVENTION</w:t>
      </w:r>
    </w:p>
    <w:p w:rsidRPr="00956F11" w:rsidR="001A5FF8" w:rsidP="00956F11" w14:paraId="23197D39" w14:textId="583DBB3C">
      <w:pPr>
        <w:pStyle w:val="JuPara"/>
      </w:pPr>
      <w:r>
        <w:fldChar w:fldCharType="begin"/>
      </w:r>
      <w:r>
        <w:instrText xml:space="preserve"> SEQ level0 \*arabic \* MERGEFORMAT </w:instrText>
      </w:r>
      <w:r>
        <w:fldChar w:fldCharType="separate"/>
      </w:r>
      <w:r w:rsidRPr="00956F11" w:rsidR="00956F11">
        <w:rPr>
          <w:noProof/>
        </w:rPr>
        <w:t>6</w:t>
      </w:r>
      <w:r w:rsidRPr="00956F11" w:rsidR="00956F11">
        <w:rPr>
          <w:noProof/>
        </w:rPr>
        <w:fldChar w:fldCharType="end"/>
      </w:r>
      <w:r w:rsidRPr="00956F11">
        <w:t>.  The applicant</w:t>
      </w:r>
      <w:r w:rsidRPr="00956F11">
        <w:rPr>
          <w:rFonts w:eastAsia="PMingLiU"/>
        </w:rPr>
        <w:t>s</w:t>
      </w:r>
      <w:r w:rsidRPr="00956F11">
        <w:t xml:space="preserve"> complained</w:t>
      </w:r>
      <w:r w:rsidRPr="00956F11">
        <w:rPr>
          <w:rFonts w:cstheme="minorHAnsi"/>
          <w:bCs/>
        </w:rPr>
        <w:t xml:space="preserve"> principally</w:t>
      </w:r>
      <w:r w:rsidRPr="00956F11">
        <w:rPr>
          <w:bCs/>
        </w:rPr>
        <w:t xml:space="preserve"> that </w:t>
      </w:r>
      <w:r w:rsidRPr="00956F11">
        <w:rPr>
          <w:rFonts w:eastAsia="PMingLiU"/>
        </w:rPr>
        <w:t>their</w:t>
      </w:r>
      <w:r w:rsidRPr="00956F11">
        <w:rPr>
          <w:bCs/>
        </w:rPr>
        <w:t xml:space="preserve"> pre-trial detention had been unreasonably long</w:t>
      </w:r>
      <w:r w:rsidRPr="00956F11">
        <w:t>. They relied on Article</w:t>
      </w:r>
      <w:r w:rsidRPr="00956F11">
        <w:rPr>
          <w:rFonts w:eastAsia="PMingLiU"/>
        </w:rPr>
        <w:t> 5 § 3</w:t>
      </w:r>
      <w:r w:rsidRPr="00956F11">
        <w:t xml:space="preserve"> of the Convention.</w:t>
      </w:r>
    </w:p>
    <w:p w:rsidRPr="00956F11" w:rsidR="001A5FF8" w:rsidP="00956F11" w14:paraId="1F779F74" w14:textId="2EDD5E26">
      <w:pPr>
        <w:pStyle w:val="JuPara"/>
      </w:pPr>
      <w:r>
        <w:fldChar w:fldCharType="begin"/>
      </w:r>
      <w:r>
        <w:instrText xml:space="preserve"> SEQ level0 \*arabic \* MERGEFORMAT </w:instrText>
      </w:r>
      <w:r>
        <w:fldChar w:fldCharType="separate"/>
      </w:r>
      <w:r w:rsidRPr="00956F11" w:rsidR="00956F11">
        <w:rPr>
          <w:noProof/>
        </w:rPr>
        <w:t>7</w:t>
      </w:r>
      <w:r w:rsidRPr="00956F11" w:rsidR="00956F11">
        <w:rPr>
          <w:noProof/>
        </w:rPr>
        <w:fldChar w:fldCharType="end"/>
      </w:r>
      <w:r w:rsidRPr="00956F11">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r w:rsidRPr="00956F11">
        <w:rPr>
          <w:i/>
        </w:rPr>
        <w:t xml:space="preserve">Kudła v. Poland </w:t>
      </w:r>
      <w:r w:rsidRPr="00956F11">
        <w:t>[GC], no. 30210/96, § 110, ECHR 2000</w:t>
      </w:r>
      <w:r w:rsidRPr="00956F11">
        <w:noBreakHyphen/>
        <w:t xml:space="preserve">XI, and </w:t>
      </w:r>
      <w:r w:rsidRPr="00956F11">
        <w:rPr>
          <w:i/>
        </w:rPr>
        <w:t xml:space="preserve">McKay v. the United Kingdom </w:t>
      </w:r>
      <w:r w:rsidRPr="00956F11">
        <w:t>[GC], no. 543/03, §§ 41-44, ECHR 2006</w:t>
      </w:r>
      <w:r w:rsidRPr="00956F11">
        <w:noBreakHyphen/>
        <w:t>X, with further references).</w:t>
      </w:r>
    </w:p>
    <w:p w:rsidRPr="00956F11" w:rsidR="001A5FF8" w:rsidP="00956F11" w14:paraId="4B2CDA7D" w14:textId="24E451D5">
      <w:pPr>
        <w:pStyle w:val="JuPara"/>
      </w:pPr>
      <w:r>
        <w:fldChar w:fldCharType="begin"/>
      </w:r>
      <w:r>
        <w:instrText xml:space="preserve"> SEQ level0 \*arabic \* MERGEFORMAT </w:instrText>
      </w:r>
      <w:r>
        <w:fldChar w:fldCharType="separate"/>
      </w:r>
      <w:r w:rsidRPr="00956F11" w:rsidR="00956F11">
        <w:rPr>
          <w:noProof/>
        </w:rPr>
        <w:t>8</w:t>
      </w:r>
      <w:r w:rsidRPr="00956F11" w:rsidR="00956F11">
        <w:rPr>
          <w:noProof/>
        </w:rPr>
        <w:fldChar w:fldCharType="end"/>
      </w:r>
      <w:r w:rsidRPr="00956F11">
        <w:t xml:space="preserve">.  In the leading cases of </w:t>
      </w:r>
      <w:r w:rsidRPr="00956F11">
        <w:rPr>
          <w:i/>
        </w:rPr>
        <w:t xml:space="preserve">Kharchenko v. Ukraine </w:t>
      </w:r>
      <w:r w:rsidRPr="00956F11">
        <w:rPr>
          <w:iCs/>
        </w:rPr>
        <w:t>(</w:t>
      </w:r>
      <w:r w:rsidRPr="00956F11">
        <w:t xml:space="preserve">no. 40107/02, 10 February 2011) and </w:t>
      </w:r>
      <w:r w:rsidRPr="00956F11">
        <w:rPr>
          <w:i/>
        </w:rPr>
        <w:t xml:space="preserve">Ignatov v. Ukraine </w:t>
      </w:r>
      <w:r w:rsidRPr="00956F11">
        <w:rPr>
          <w:iCs/>
        </w:rPr>
        <w:t>(</w:t>
      </w:r>
      <w:r w:rsidRPr="00956F11">
        <w:t>no. 40583/15, 15 December 2016), the Court already found a violation in respect of issues similar to those in the present case.</w:t>
      </w:r>
    </w:p>
    <w:p w:rsidRPr="00956F11" w:rsidR="001A5FF8" w:rsidP="00956F11" w14:paraId="12C6D3D7" w14:textId="0985B0FD">
      <w:pPr>
        <w:pStyle w:val="JuPara"/>
      </w:pPr>
      <w:r>
        <w:fldChar w:fldCharType="begin"/>
      </w:r>
      <w:r>
        <w:instrText xml:space="preserve"> SEQ level0 \*arabic \* MERGEFORMAT </w:instrText>
      </w:r>
      <w:r>
        <w:fldChar w:fldCharType="separate"/>
      </w:r>
      <w:r w:rsidRPr="00956F11" w:rsidR="00956F11">
        <w:rPr>
          <w:noProof/>
        </w:rPr>
        <w:t>9</w:t>
      </w:r>
      <w:r w:rsidRPr="00956F11" w:rsidR="00956F11">
        <w:rPr>
          <w:noProof/>
        </w:rPr>
        <w:fldChar w:fldCharType="end"/>
      </w:r>
      <w:r w:rsidRPr="00956F11">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w:t>
      </w:r>
      <w:r w:rsidRPr="00956F11" w:rsidR="002F3980">
        <w:t> </w:t>
      </w:r>
      <w:r w:rsidRPr="00956F11">
        <w:t>length of the applicant</w:t>
      </w:r>
      <w:r w:rsidRPr="00956F11">
        <w:rPr>
          <w:rFonts w:eastAsia="PMingLiU"/>
        </w:rPr>
        <w:t>s</w:t>
      </w:r>
      <w:r w:rsidRPr="00956F11" w:rsidR="00956F11">
        <w:t>’</w:t>
      </w:r>
      <w:r w:rsidRPr="00956F11">
        <w:t xml:space="preserve"> pre-trial detention was excessive.</w:t>
      </w:r>
    </w:p>
    <w:p w:rsidRPr="00956F11" w:rsidR="001A5FF8" w:rsidP="00956F11" w14:paraId="70B99E31" w14:textId="052B32D1">
      <w:pPr>
        <w:pStyle w:val="JuPara"/>
      </w:pPr>
      <w:r>
        <w:fldChar w:fldCharType="begin"/>
      </w:r>
      <w:r>
        <w:instrText xml:space="preserve"> SEQ level0 \*arabic \* MERGEFORMAT </w:instrText>
      </w:r>
      <w:r>
        <w:fldChar w:fldCharType="separate"/>
      </w:r>
      <w:r w:rsidRPr="00956F11" w:rsidR="00956F11">
        <w:rPr>
          <w:noProof/>
        </w:rPr>
        <w:t>10</w:t>
      </w:r>
      <w:r w:rsidRPr="00956F11" w:rsidR="00956F11">
        <w:rPr>
          <w:noProof/>
        </w:rPr>
        <w:fldChar w:fldCharType="end"/>
      </w:r>
      <w:r w:rsidRPr="00956F11">
        <w:t>.  These complaints are therefore admissible and disclose a breach of Article</w:t>
      </w:r>
      <w:r w:rsidRPr="00956F11">
        <w:rPr>
          <w:rFonts w:eastAsia="PMingLiU"/>
        </w:rPr>
        <w:t> 5 § 3</w:t>
      </w:r>
      <w:r w:rsidRPr="00956F11">
        <w:t xml:space="preserve"> of the Convention.</w:t>
      </w:r>
    </w:p>
    <w:p w:rsidRPr="00956F11" w:rsidR="001A5FF8" w:rsidP="00956F11" w14:paraId="1BF6BBC2" w14:textId="77777777">
      <w:pPr>
        <w:pStyle w:val="JuHIRoman"/>
        <w:rPr>
          <w:rFonts w:eastAsia="PMingLiU"/>
          <w:lang w:eastAsia="en-GB"/>
        </w:rPr>
      </w:pPr>
      <w:r w:rsidRPr="00956F11">
        <w:t>OTHER ALLEGED VIOLATIONS UNDER WELL-ESTABLISHED CASE-LAW</w:t>
      </w:r>
    </w:p>
    <w:p w:rsidRPr="00956F11" w:rsidR="001A5FF8" w:rsidP="00956F11" w14:paraId="638DC1FD" w14:textId="42B8B73F">
      <w:pPr>
        <w:pStyle w:val="JuPara"/>
        <w:rPr>
          <w:snapToGrid w:val="0"/>
        </w:rPr>
      </w:pPr>
      <w:r>
        <w:fldChar w:fldCharType="begin"/>
      </w:r>
      <w:r>
        <w:instrText xml:space="preserve"> SEQ level0 \*arabic \* MERGEFORMAT </w:instrText>
      </w:r>
      <w:r>
        <w:fldChar w:fldCharType="separate"/>
      </w:r>
      <w:r w:rsidRPr="00956F11" w:rsidR="00956F11">
        <w:rPr>
          <w:noProof/>
        </w:rPr>
        <w:t>11</w:t>
      </w:r>
      <w:r w:rsidRPr="00956F11" w:rsidR="00956F11">
        <w:rPr>
          <w:noProof/>
        </w:rPr>
        <w:fldChar w:fldCharType="end"/>
      </w:r>
      <w:r w:rsidRPr="00956F11">
        <w:t>.  In application no. 9673/25, the applicant submitted other complaints which also raised issues under the Convention, given the relevant well-established case-law of the Court (see appended table). These complaints are not manifestly ill-founded within the meaning of Article 35 § 3 (a) of the</w:t>
      </w:r>
      <w:r w:rsidRPr="00956F11" w:rsidR="002F3980">
        <w:t> </w:t>
      </w:r>
      <w:r w:rsidRPr="00956F11">
        <w:t>Convention, nor are they inadmissible on any other ground. Accordingly, they must be declared admissible. Having examined all the material before it, the Court concludes that they also disclose violations of the Convention in the light of its findings in the cases set out in the appended table</w:t>
      </w:r>
      <w:r w:rsidRPr="00956F11">
        <w:rPr>
          <w:snapToGrid w:val="0"/>
        </w:rPr>
        <w:t>.</w:t>
      </w:r>
    </w:p>
    <w:p w:rsidRPr="00956F11" w:rsidR="001A5FF8" w:rsidP="00956F11" w14:paraId="5057EFCF" w14:textId="77777777">
      <w:pPr>
        <w:pStyle w:val="JuHIRoman"/>
      </w:pPr>
      <w:r w:rsidRPr="00956F11">
        <w:t>APPLICATION OF ARTICLE 41 OF THE CONVENTION</w:t>
      </w:r>
    </w:p>
    <w:p w:rsidRPr="00956F11" w:rsidR="001A5FF8" w:rsidP="00956F11" w14:paraId="5897BD6D" w14:textId="20940D8B">
      <w:pPr>
        <w:pStyle w:val="JuPara"/>
      </w:pPr>
      <w:r>
        <w:fldChar w:fldCharType="begin"/>
      </w:r>
      <w:r>
        <w:instrText xml:space="preserve"> SEQ level0 \*arabic \* MERGEFORMAT </w:instrText>
      </w:r>
      <w:r>
        <w:fldChar w:fldCharType="separate"/>
      </w:r>
      <w:r w:rsidRPr="00956F11" w:rsidR="00956F11">
        <w:rPr>
          <w:noProof/>
        </w:rPr>
        <w:t>12</w:t>
      </w:r>
      <w:r w:rsidRPr="00956F11" w:rsidR="00956F11">
        <w:rPr>
          <w:noProof/>
        </w:rPr>
        <w:fldChar w:fldCharType="end"/>
      </w:r>
      <w:r w:rsidRPr="00956F11">
        <w:t>.  Regard being had to the documents in its possession and to its case</w:t>
      </w:r>
      <w:r w:rsidRPr="00956F11">
        <w:noBreakHyphen/>
        <w:t xml:space="preserve">law (see, in particular, </w:t>
      </w:r>
      <w:r w:rsidRPr="00956F11">
        <w:rPr>
          <w:i/>
        </w:rPr>
        <w:t>Ignatov</w:t>
      </w:r>
      <w:r w:rsidRPr="00956F11">
        <w:t>, cited above), the Court considers it reasonable to award the sums indicated in the appended table.</w:t>
      </w:r>
    </w:p>
    <w:p w:rsidRPr="00956F11" w:rsidR="001A5FF8" w:rsidP="00956F11" w14:paraId="504AE7A5" w14:textId="77777777">
      <w:pPr>
        <w:pStyle w:val="JuHHead"/>
      </w:pPr>
      <w:r w:rsidRPr="00956F11">
        <w:t>FOR THESE REASONS, THE COURT</w:t>
      </w:r>
      <w:r w:rsidRPr="00956F11">
        <w:rPr>
          <w:color w:val="000000"/>
        </w:rPr>
        <w:t>,</w:t>
      </w:r>
      <w:r w:rsidRPr="00956F11">
        <w:t xml:space="preserve"> UNANIMOUSLY,</w:t>
      </w:r>
    </w:p>
    <w:p w:rsidRPr="00956F11" w:rsidR="001A5FF8" w:rsidP="00956F11" w14:paraId="64A5981B" w14:textId="77777777">
      <w:pPr>
        <w:pStyle w:val="JuList"/>
      </w:pPr>
      <w:r w:rsidRPr="00956F11">
        <w:rPr>
          <w:i/>
        </w:rPr>
        <w:t xml:space="preserve">Decides </w:t>
      </w:r>
      <w:r w:rsidRPr="00956F11">
        <w:t>to join the applications;</w:t>
      </w:r>
    </w:p>
    <w:p w:rsidRPr="00956F11" w:rsidR="001A5FF8" w:rsidP="00956F11" w14:paraId="3FC9249E" w14:textId="77777777">
      <w:pPr>
        <w:pStyle w:val="JuList"/>
      </w:pPr>
      <w:r w:rsidRPr="00956F11">
        <w:rPr>
          <w:i/>
        </w:rPr>
        <w:t xml:space="preserve">Declares </w:t>
      </w:r>
      <w:r w:rsidRPr="00956F11">
        <w:t>the applications admissible;</w:t>
      </w:r>
    </w:p>
    <w:p w:rsidRPr="00956F11" w:rsidR="001A5FF8" w:rsidP="00956F11" w14:paraId="228E8EF4" w14:textId="1188E6C7">
      <w:pPr>
        <w:pStyle w:val="JuList"/>
      </w:pPr>
      <w:r w:rsidRPr="00956F11">
        <w:rPr>
          <w:i/>
        </w:rPr>
        <w:t xml:space="preserve">Holds </w:t>
      </w:r>
      <w:r w:rsidRPr="00956F11">
        <w:t xml:space="preserve">that </w:t>
      </w:r>
      <w:r w:rsidRPr="00956F11">
        <w:rPr>
          <w:rFonts w:eastAsia="PMingLiU"/>
        </w:rPr>
        <w:t xml:space="preserve">these applications </w:t>
      </w:r>
      <w:r w:rsidRPr="00956F11">
        <w:t>disclose a breach of Article</w:t>
      </w:r>
      <w:r w:rsidRPr="00956F11">
        <w:rPr>
          <w:rFonts w:eastAsia="PMingLiU"/>
        </w:rPr>
        <w:t xml:space="preserve"> 5 § 3 </w:t>
      </w:r>
      <w:r w:rsidRPr="00956F11">
        <w:t>of the</w:t>
      </w:r>
      <w:r w:rsidRPr="00956F11" w:rsidR="00367D13">
        <w:t> </w:t>
      </w:r>
      <w:r w:rsidRPr="00956F11">
        <w:t>Convention concerning the excessive length of pre-trial detention</w:t>
      </w:r>
      <w:r w:rsidRPr="00956F11">
        <w:rPr>
          <w:rFonts w:eastAsia="PMingLiU"/>
        </w:rPr>
        <w:t>;</w:t>
      </w:r>
    </w:p>
    <w:p w:rsidRPr="00956F11" w:rsidR="001A5FF8" w:rsidP="00956F11" w14:paraId="520EDA0A" w14:textId="03DA9A96">
      <w:pPr>
        <w:pStyle w:val="JuList"/>
      </w:pPr>
      <w:r w:rsidRPr="00956F11">
        <w:rPr>
          <w:i/>
        </w:rPr>
        <w:t xml:space="preserve">Holds </w:t>
      </w:r>
      <w:r w:rsidRPr="00956F11">
        <w:t>that there has been a violation of the Convention as regards the</w:t>
      </w:r>
      <w:r w:rsidRPr="00956F11" w:rsidR="00367D13">
        <w:t> </w:t>
      </w:r>
      <w:r w:rsidRPr="00956F11">
        <w:t>other complaints raised under the well-established case-law of the</w:t>
      </w:r>
      <w:r w:rsidRPr="00956F11" w:rsidR="002F3980">
        <w:t> </w:t>
      </w:r>
      <w:r w:rsidRPr="00956F11">
        <w:t>Court (see appended table);</w:t>
      </w:r>
    </w:p>
    <w:p w:rsidRPr="00956F11" w:rsidR="001A5FF8" w:rsidP="00956F11" w14:paraId="1ECFA2B4" w14:textId="77777777">
      <w:pPr>
        <w:pStyle w:val="JuList"/>
        <w:keepNext/>
        <w:keepLines/>
      </w:pPr>
      <w:r w:rsidRPr="00956F11">
        <w:rPr>
          <w:i/>
        </w:rPr>
        <w:t>Holds</w:t>
      </w:r>
    </w:p>
    <w:p w:rsidRPr="00956F11" w:rsidR="001A5FF8" w:rsidP="00956F11" w14:paraId="1EA18A8A" w14:textId="7D1C5FDF">
      <w:pPr>
        <w:pStyle w:val="JuLista"/>
        <w:keepNext/>
        <w:keepLines/>
      </w:pPr>
      <w:r w:rsidRPr="00956F11">
        <w:t>that the respondent State is to pay the applicant</w:t>
      </w:r>
      <w:r w:rsidRPr="00956F11">
        <w:rPr>
          <w:rFonts w:eastAsia="PMingLiU"/>
        </w:rPr>
        <w:t>s</w:t>
      </w:r>
      <w:r w:rsidRPr="00956F11">
        <w:t>, within three months, the amounts indicated in the appended table, to be converted into the</w:t>
      </w:r>
      <w:r w:rsidRPr="00956F11" w:rsidR="002F3980">
        <w:t> </w:t>
      </w:r>
      <w:r w:rsidRPr="00956F11">
        <w:t>currency of the respondent State at the rate applicable at the date of settlement;</w:t>
      </w:r>
    </w:p>
    <w:p w:rsidRPr="00956F11" w:rsidR="00956F11" w:rsidP="00956F11" w14:paraId="34F7C99E" w14:textId="77777777">
      <w:pPr>
        <w:pStyle w:val="JuLista"/>
      </w:pPr>
      <w:r w:rsidRPr="00956F11">
        <w:t>that from the expiry of the above-mentioned three months until settlement simple interest shall be payable on the above amounts at a</w:t>
      </w:r>
      <w:r w:rsidRPr="00956F11" w:rsidR="002F3980">
        <w:t> </w:t>
      </w:r>
      <w:r w:rsidRPr="00956F11">
        <w:t>rate equal to the marginal lending rate of the European Central Bank during the default period plus three percentage points.</w:t>
      </w:r>
    </w:p>
    <w:p w:rsidRPr="00956F11" w:rsidR="00606600" w:rsidP="00956F11" w14:paraId="34559BD2" w14:textId="00D6368F">
      <w:pPr>
        <w:pStyle w:val="JuParaLast"/>
      </w:pPr>
      <w:r w:rsidRPr="00956F11">
        <w:t xml:space="preserve">Done in English, and notified in writing on </w:t>
      </w:r>
      <w:r w:rsidRPr="00956F11" w:rsidR="001A5FF8">
        <w:t>26 February 2026</w:t>
      </w:r>
      <w:r w:rsidRPr="00956F11">
        <w:t>, pursuant to Rule 77 §§ 2 and 3 of the Rules of Court.</w:t>
      </w:r>
    </w:p>
    <w:p w:rsidRPr="00956F11" w:rsidR="00656431" w:rsidP="00956F11" w14:paraId="5347A7DF" w14:textId="5D689F16">
      <w:pPr>
        <w:pStyle w:val="ECHRPlaceholder"/>
        <w:rPr>
          <w:szCs w:val="22"/>
        </w:rPr>
      </w:pPr>
      <w:r w:rsidRPr="00956F11">
        <w:rPr>
          <w:rFonts w:eastAsia="PMingLiU"/>
        </w:rPr>
        <w:tab/>
      </w:r>
    </w:p>
    <w:p w:rsidRPr="00956F11" w:rsidR="00B91668" w:rsidP="00956F11" w14:paraId="3C67A6F2" w14:textId="6F4D8576">
      <w:pPr>
        <w:pStyle w:val="JuSigned"/>
        <w:rPr>
          <w:rFonts w:eastAsia="PMingLiU"/>
        </w:rPr>
      </w:pPr>
      <w:r w:rsidRPr="00956F11">
        <w:rPr>
          <w:rFonts w:eastAsia="PMingLiU"/>
        </w:rPr>
        <w:tab/>
      </w:r>
      <w:r w:rsidRPr="00956F11" w:rsidR="001A5FF8">
        <w:rPr>
          <w:rFonts w:eastAsia="PMingLiU"/>
        </w:rPr>
        <w:t>Viktoriya</w:t>
      </w:r>
      <w:r w:rsidRPr="00956F11" w:rsidR="0048584C">
        <w:rPr>
          <w:rFonts w:eastAsia="PMingLiU"/>
        </w:rPr>
        <w:t xml:space="preserve"> </w:t>
      </w:r>
      <w:r w:rsidRPr="00956F11" w:rsidR="001A5FF8">
        <w:rPr>
          <w:rFonts w:eastAsia="PMingLiU"/>
        </w:rPr>
        <w:t>Maradudina</w:t>
      </w:r>
      <w:r w:rsidRPr="00956F11" w:rsidR="0048584C">
        <w:rPr>
          <w:rFonts w:eastAsia="PMingLiU"/>
        </w:rPr>
        <w:tab/>
      </w:r>
      <w:r w:rsidRPr="00956F11" w:rsidR="001A5FF8">
        <w:rPr>
          <w:rFonts w:eastAsia="PMingLiU"/>
        </w:rPr>
        <w:t>Andreas Zünd</w:t>
      </w:r>
      <w:r w:rsidRPr="00956F11" w:rsidR="00956F11">
        <w:rPr>
          <w:rFonts w:eastAsia="PMingLiU"/>
        </w:rPr>
        <w:br/>
      </w:r>
      <w:r w:rsidRPr="00956F11" w:rsidR="0048584C">
        <w:rPr>
          <w:rFonts w:eastAsia="PMingLiU"/>
        </w:rPr>
        <w:tab/>
        <w:t>Acting Deputy Registrar</w:t>
      </w:r>
      <w:r w:rsidRPr="00956F11" w:rsidR="0048584C">
        <w:rPr>
          <w:rFonts w:eastAsia="PMingLiU"/>
        </w:rPr>
        <w:tab/>
        <w:t>President</w:t>
      </w:r>
    </w:p>
    <w:p w:rsidRPr="00956F11" w:rsidR="00956F11" w:rsidP="00956F11" w14:paraId="25976C08" w14:textId="77777777">
      <w:pPr>
        <w:pStyle w:val="JuPara"/>
      </w:pPr>
    </w:p>
    <w:p w:rsidRPr="00956F11" w:rsidR="00956F11" w:rsidP="00956F11" w14:paraId="5CF5A798" w14:textId="77777777">
      <w:pPr>
        <w:pStyle w:val="JuPara"/>
      </w:pPr>
    </w:p>
    <w:p w:rsidRPr="00956F11" w:rsidR="00606600" w:rsidP="00956F11" w14:paraId="4B7F3250"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956F11" w:rsidR="00606600" w:rsidP="00956F11" w14:paraId="69BA0A57" w14:textId="77777777">
      <w:pPr>
        <w:pStyle w:val="DecHTitle"/>
      </w:pPr>
      <w:r w:rsidRPr="00956F11">
        <w:t>APPENDIX</w:t>
      </w:r>
    </w:p>
    <w:p w:rsidRPr="00956F11" w:rsidR="00606600" w:rsidP="00956F11" w14:paraId="212B9F4C" w14:textId="560DA818">
      <w:pPr>
        <w:pStyle w:val="DecHCase"/>
        <w:contextualSpacing/>
        <w:rPr>
          <w:b/>
          <w:i/>
          <w:color w:val="3E3E3E" w:themeColor="background2" w:themeShade="40"/>
        </w:rPr>
      </w:pPr>
      <w:r w:rsidRPr="00956F11">
        <w:rPr>
          <w:color w:val="3E3E3E" w:themeColor="background2" w:themeShade="40"/>
        </w:rPr>
        <w:t>List of applications</w:t>
      </w:r>
      <w:r w:rsidRPr="00956F11" w:rsidR="0048584C">
        <w:rPr>
          <w:color w:val="3E3E3E" w:themeColor="background2" w:themeShade="40"/>
        </w:rPr>
        <w:t xml:space="preserve"> raising complaints under Article</w:t>
      </w:r>
      <w:r w:rsidRPr="00956F11">
        <w:rPr>
          <w:color w:val="3E3E3E" w:themeColor="background2" w:themeShade="40"/>
        </w:rPr>
        <w:t xml:space="preserve"> 5 § 3 of the Convention</w:t>
      </w:r>
    </w:p>
    <w:p w:rsidRPr="00956F11" w:rsidR="00606600" w:rsidP="00956F11" w14:paraId="218AEB78" w14:textId="50F6B22C">
      <w:pPr>
        <w:pStyle w:val="DecHCase"/>
        <w:contextualSpacing/>
        <w:rPr>
          <w:b/>
          <w:i/>
        </w:rPr>
      </w:pPr>
      <w:r w:rsidRPr="00956F11">
        <w:rPr>
          <w:color w:val="3E3E3E" w:themeColor="background2" w:themeShade="40"/>
        </w:rPr>
        <w:t>(</w:t>
      </w:r>
      <w:r w:rsidRPr="00956F11" w:rsidR="001A5FF8">
        <w:rPr>
          <w:color w:val="3E3E3E" w:themeColor="background2" w:themeShade="40"/>
        </w:rPr>
        <w:t>excessive length of pre-trial detention</w:t>
      </w:r>
      <w:r w:rsidRPr="00956F11">
        <w:rPr>
          <w:color w:val="3E3E3E" w:themeColor="background2" w:themeShade="40"/>
        </w:rPr>
        <w:t>)</w:t>
      </w:r>
    </w:p>
    <w:tbl>
      <w:tblPr>
        <w:tblStyle w:val="ECHRListTable"/>
        <w:tblW w:w="12753" w:type="dxa"/>
        <w:jc w:val="center"/>
        <w:tblLayout w:type="fixed"/>
        <w:tblLook w:val="0420"/>
      </w:tblPr>
      <w:tblGrid>
        <w:gridCol w:w="452"/>
        <w:gridCol w:w="1070"/>
        <w:gridCol w:w="1407"/>
        <w:gridCol w:w="1354"/>
        <w:gridCol w:w="945"/>
        <w:gridCol w:w="1004"/>
        <w:gridCol w:w="1134"/>
        <w:gridCol w:w="993"/>
        <w:gridCol w:w="2268"/>
        <w:gridCol w:w="1134"/>
        <w:gridCol w:w="992"/>
      </w:tblGrid>
      <w:tr w:rsidTr="00367D13" w14:paraId="3037CFC7" w14:textId="77777777">
        <w:tblPrEx>
          <w:tblW w:w="12753" w:type="dxa"/>
          <w:tblLayout w:type="fixed"/>
          <w:tblLook w:val="0420"/>
        </w:tblPrEx>
        <w:tc>
          <w:tcPr>
            <w:tcW w:w="452" w:type="dxa"/>
          </w:tcPr>
          <w:p w:rsidRPr="00956F11" w:rsidR="00367D13" w:rsidP="00956F11" w14:paraId="7938F673" w14:textId="77777777">
            <w:pPr>
              <w:jc w:val="center"/>
              <w:rPr>
                <w:sz w:val="16"/>
              </w:rPr>
            </w:pPr>
            <w:bookmarkStart w:name="WECLListStart" w:id="2"/>
            <w:bookmarkEnd w:id="2"/>
            <w:r w:rsidRPr="00956F11">
              <w:rPr>
                <w:sz w:val="16"/>
              </w:rPr>
              <w:t>No.</w:t>
            </w:r>
          </w:p>
        </w:tc>
        <w:tc>
          <w:tcPr>
            <w:tcW w:w="1070" w:type="dxa"/>
          </w:tcPr>
          <w:p w:rsidRPr="00956F11" w:rsidR="00367D13" w:rsidP="00956F11" w14:paraId="1953927D" w14:textId="77777777">
            <w:pPr>
              <w:jc w:val="center"/>
              <w:rPr>
                <w:sz w:val="16"/>
              </w:rPr>
            </w:pPr>
            <w:r w:rsidRPr="00956F11">
              <w:rPr>
                <w:sz w:val="16"/>
              </w:rPr>
              <w:t>Application no.</w:t>
            </w:r>
          </w:p>
          <w:p w:rsidRPr="00956F11" w:rsidR="00367D13" w:rsidP="00956F11" w14:paraId="362790DD" w14:textId="77777777">
            <w:pPr>
              <w:jc w:val="center"/>
              <w:rPr>
                <w:sz w:val="16"/>
              </w:rPr>
            </w:pPr>
            <w:r w:rsidRPr="00956F11">
              <w:rPr>
                <w:sz w:val="16"/>
              </w:rPr>
              <w:t>Date of introduction</w:t>
            </w:r>
          </w:p>
        </w:tc>
        <w:tc>
          <w:tcPr>
            <w:tcW w:w="1407" w:type="dxa"/>
          </w:tcPr>
          <w:p w:rsidRPr="00956F11" w:rsidR="00367D13" w:rsidP="00956F11" w14:paraId="26ED44C1" w14:textId="03F20CFD">
            <w:pPr>
              <w:jc w:val="center"/>
              <w:rPr>
                <w:sz w:val="16"/>
              </w:rPr>
            </w:pPr>
            <w:r w:rsidRPr="00956F11">
              <w:rPr>
                <w:sz w:val="16"/>
              </w:rPr>
              <w:t>Applicant</w:t>
            </w:r>
            <w:r w:rsidRPr="00956F11" w:rsidR="00956F11">
              <w:rPr>
                <w:sz w:val="16"/>
              </w:rPr>
              <w:t>’</w:t>
            </w:r>
            <w:r w:rsidRPr="00956F11">
              <w:rPr>
                <w:sz w:val="16"/>
              </w:rPr>
              <w:t>s name</w:t>
            </w:r>
          </w:p>
          <w:p w:rsidRPr="00956F11" w:rsidR="00367D13" w:rsidP="00956F11" w14:paraId="77736B1D" w14:textId="77777777">
            <w:pPr>
              <w:jc w:val="center"/>
              <w:rPr>
                <w:sz w:val="16"/>
              </w:rPr>
            </w:pPr>
            <w:r w:rsidRPr="00956F11">
              <w:rPr>
                <w:sz w:val="16"/>
              </w:rPr>
              <w:t>Year of birth</w:t>
            </w:r>
          </w:p>
          <w:p w:rsidRPr="00956F11" w:rsidR="00367D13" w:rsidP="00956F11" w14:paraId="21E130EC" w14:textId="77777777">
            <w:pPr>
              <w:jc w:val="center"/>
              <w:rPr>
                <w:sz w:val="16"/>
              </w:rPr>
            </w:pPr>
          </w:p>
        </w:tc>
        <w:tc>
          <w:tcPr>
            <w:tcW w:w="1354" w:type="dxa"/>
          </w:tcPr>
          <w:p w:rsidRPr="00956F11" w:rsidR="00367D13" w:rsidP="00956F11" w14:paraId="571E8B19" w14:textId="3D2A79DD">
            <w:pPr>
              <w:jc w:val="center"/>
              <w:rPr>
                <w:sz w:val="16"/>
              </w:rPr>
            </w:pPr>
            <w:r w:rsidRPr="00956F11">
              <w:rPr>
                <w:sz w:val="16"/>
              </w:rPr>
              <w:t>Representative</w:t>
            </w:r>
            <w:r w:rsidRPr="00956F11" w:rsidR="00956F11">
              <w:rPr>
                <w:sz w:val="16"/>
              </w:rPr>
              <w:t>’</w:t>
            </w:r>
            <w:r w:rsidRPr="00956F11">
              <w:rPr>
                <w:sz w:val="16"/>
              </w:rPr>
              <w:t>s name and location</w:t>
            </w:r>
          </w:p>
        </w:tc>
        <w:tc>
          <w:tcPr>
            <w:tcW w:w="945" w:type="dxa"/>
          </w:tcPr>
          <w:p w:rsidRPr="00956F11" w:rsidR="00367D13" w:rsidP="00956F11" w14:paraId="49CB3538" w14:textId="77777777">
            <w:pPr>
              <w:jc w:val="center"/>
              <w:rPr>
                <w:sz w:val="16"/>
              </w:rPr>
            </w:pPr>
            <w:r w:rsidRPr="00956F11">
              <w:rPr>
                <w:sz w:val="16"/>
              </w:rPr>
              <w:t>Period of detention</w:t>
            </w:r>
          </w:p>
        </w:tc>
        <w:tc>
          <w:tcPr>
            <w:tcW w:w="1004" w:type="dxa"/>
          </w:tcPr>
          <w:p w:rsidRPr="00956F11" w:rsidR="00367D13" w:rsidP="00956F11" w14:paraId="13C577D8" w14:textId="77777777">
            <w:pPr>
              <w:jc w:val="center"/>
              <w:rPr>
                <w:sz w:val="16"/>
              </w:rPr>
            </w:pPr>
            <w:r w:rsidRPr="00956F11">
              <w:rPr>
                <w:sz w:val="16"/>
              </w:rPr>
              <w:t>Length of detention</w:t>
            </w:r>
          </w:p>
        </w:tc>
        <w:tc>
          <w:tcPr>
            <w:tcW w:w="1134" w:type="dxa"/>
          </w:tcPr>
          <w:p w:rsidRPr="00956F11" w:rsidR="00367D13" w:rsidP="00956F11" w14:paraId="19934C6C" w14:textId="77777777">
            <w:pPr>
              <w:jc w:val="center"/>
              <w:rPr>
                <w:sz w:val="16"/>
              </w:rPr>
            </w:pPr>
            <w:r w:rsidRPr="00956F11">
              <w:rPr>
                <w:sz w:val="16"/>
              </w:rPr>
              <w:t>Specific defects</w:t>
            </w:r>
          </w:p>
        </w:tc>
        <w:tc>
          <w:tcPr>
            <w:tcW w:w="993" w:type="dxa"/>
          </w:tcPr>
          <w:p w:rsidRPr="00956F11" w:rsidR="00367D13" w:rsidP="00956F11" w14:paraId="42E7927E" w14:textId="77777777">
            <w:pPr>
              <w:jc w:val="center"/>
              <w:rPr>
                <w:sz w:val="16"/>
              </w:rPr>
            </w:pPr>
            <w:r w:rsidRPr="00956F11">
              <w:rPr>
                <w:sz w:val="16"/>
              </w:rPr>
              <w:t>House arrest</w:t>
            </w:r>
          </w:p>
        </w:tc>
        <w:tc>
          <w:tcPr>
            <w:tcW w:w="2268" w:type="dxa"/>
          </w:tcPr>
          <w:p w:rsidRPr="00956F11" w:rsidR="00367D13" w:rsidP="00956F11" w14:paraId="48EBBBA6" w14:textId="77777777">
            <w:pPr>
              <w:jc w:val="center"/>
              <w:rPr>
                <w:sz w:val="16"/>
              </w:rPr>
            </w:pPr>
            <w:r w:rsidRPr="00956F11">
              <w:rPr>
                <w:sz w:val="16"/>
              </w:rPr>
              <w:t>Other complaints under well-established case-law</w:t>
            </w:r>
          </w:p>
        </w:tc>
        <w:tc>
          <w:tcPr>
            <w:tcW w:w="1134" w:type="dxa"/>
          </w:tcPr>
          <w:p w:rsidRPr="00956F11" w:rsidR="00367D13" w:rsidP="00956F11" w14:paraId="168A9AE9" w14:textId="77777777">
            <w:pPr>
              <w:jc w:val="center"/>
              <w:rPr>
                <w:sz w:val="16"/>
              </w:rPr>
            </w:pPr>
            <w:r w:rsidRPr="00956F11">
              <w:rPr>
                <w:sz w:val="16"/>
              </w:rPr>
              <w:t>Amount awarded for pecuniary and non-pecuniary damage per applicant (in euros)</w:t>
            </w:r>
            <w:r>
              <w:rPr>
                <w:rStyle w:val="EndnoteReference"/>
                <w:sz w:val="16"/>
              </w:rPr>
              <w:endnoteReference w:id="2"/>
            </w:r>
          </w:p>
        </w:tc>
        <w:tc>
          <w:tcPr>
            <w:tcW w:w="992" w:type="dxa"/>
          </w:tcPr>
          <w:p w:rsidRPr="00956F11" w:rsidR="00367D13" w:rsidP="00956F11" w14:paraId="5E659AAF" w14:textId="77777777">
            <w:pPr>
              <w:jc w:val="center"/>
              <w:rPr>
                <w:sz w:val="16"/>
              </w:rPr>
            </w:pPr>
            <w:r w:rsidRPr="00956F11">
              <w:rPr>
                <w:sz w:val="16"/>
              </w:rPr>
              <w:t>Amount awarded for costs and expenses per application</w:t>
            </w:r>
          </w:p>
          <w:p w:rsidRPr="00956F11" w:rsidR="00367D13" w:rsidP="00956F11" w14:paraId="7AEC14B2" w14:textId="77777777">
            <w:pPr>
              <w:jc w:val="center"/>
              <w:rPr>
                <w:sz w:val="16"/>
              </w:rPr>
            </w:pPr>
            <w:r w:rsidRPr="00956F11">
              <w:rPr>
                <w:sz w:val="16"/>
              </w:rPr>
              <w:t>(in euros)</w:t>
            </w:r>
            <w:r>
              <w:rPr>
                <w:rStyle w:val="EndnoteReference"/>
                <w:sz w:val="16"/>
              </w:rPr>
              <w:endnoteReference w:id="3"/>
            </w:r>
          </w:p>
        </w:tc>
      </w:tr>
      <w:tr w:rsidTr="00367D13" w14:paraId="41584C52" w14:textId="77777777">
        <w:tblPrEx>
          <w:tblW w:w="12753" w:type="dxa"/>
          <w:tblLayout w:type="fixed"/>
          <w:tblLook w:val="0420"/>
        </w:tblPrEx>
        <w:tc>
          <w:tcPr>
            <w:tcW w:w="452" w:type="dxa"/>
          </w:tcPr>
          <w:p w:rsidRPr="00956F11" w:rsidR="00367D13" w:rsidP="00956F11" w14:paraId="682AD34B"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956F11" w:rsidR="00367D13" w:rsidP="00956F11" w14:paraId="4DF8C175" w14:textId="77777777">
            <w:pPr>
              <w:jc w:val="center"/>
              <w:rPr>
                <w:sz w:val="16"/>
              </w:rPr>
            </w:pPr>
            <w:r w:rsidRPr="00956F11">
              <w:rPr>
                <w:sz w:val="16"/>
              </w:rPr>
              <w:t>9673/25</w:t>
            </w:r>
          </w:p>
          <w:p w:rsidRPr="00956F11" w:rsidR="00367D13" w:rsidP="00956F11" w14:paraId="5B227DD8" w14:textId="77777777">
            <w:pPr>
              <w:jc w:val="center"/>
              <w:rPr>
                <w:sz w:val="16"/>
              </w:rPr>
            </w:pPr>
            <w:r w:rsidRPr="00956F11">
              <w:rPr>
                <w:sz w:val="16"/>
              </w:rPr>
              <w:t>19/03/2025</w:t>
            </w:r>
          </w:p>
        </w:tc>
        <w:tc>
          <w:tcPr>
            <w:tcW w:w="1407" w:type="dxa"/>
          </w:tcPr>
          <w:p w:rsidRPr="00956F11" w:rsidR="00367D13" w:rsidP="00956F11" w14:paraId="5542A73A" w14:textId="77777777">
            <w:pPr>
              <w:jc w:val="center"/>
              <w:rPr>
                <w:sz w:val="16"/>
              </w:rPr>
            </w:pPr>
            <w:r w:rsidRPr="00956F11">
              <w:rPr>
                <w:b/>
                <w:sz w:val="16"/>
              </w:rPr>
              <w:t>Roman Ivanovych STROGUSH</w:t>
            </w:r>
          </w:p>
          <w:p w:rsidRPr="00956F11" w:rsidR="00367D13" w:rsidP="00956F11" w14:paraId="0EDAB863" w14:textId="77777777">
            <w:pPr>
              <w:jc w:val="center"/>
              <w:rPr>
                <w:sz w:val="16"/>
              </w:rPr>
            </w:pPr>
            <w:r w:rsidRPr="00956F11">
              <w:rPr>
                <w:sz w:val="16"/>
              </w:rPr>
              <w:t>1986</w:t>
            </w:r>
          </w:p>
          <w:p w:rsidRPr="00956F11" w:rsidR="00367D13" w:rsidP="00956F11" w14:paraId="64E83443" w14:textId="08ED336E">
            <w:pPr>
              <w:jc w:val="center"/>
              <w:rPr>
                <w:sz w:val="16"/>
              </w:rPr>
            </w:pPr>
          </w:p>
        </w:tc>
        <w:tc>
          <w:tcPr>
            <w:tcW w:w="1354" w:type="dxa"/>
          </w:tcPr>
          <w:p w:rsidRPr="00956F11" w:rsidR="00367D13" w:rsidP="00956F11" w14:paraId="3B29DA2A" w14:textId="77777777">
            <w:pPr>
              <w:jc w:val="center"/>
              <w:rPr>
                <w:sz w:val="16"/>
              </w:rPr>
            </w:pPr>
            <w:r w:rsidRPr="00956F11">
              <w:rPr>
                <w:sz w:val="16"/>
              </w:rPr>
              <w:t>Golubenko Andrey Yevgenyevich</w:t>
            </w:r>
          </w:p>
          <w:p w:rsidRPr="00956F11" w:rsidR="00367D13" w:rsidP="00956F11" w14:paraId="4FA33F58" w14:textId="77777777">
            <w:pPr>
              <w:jc w:val="center"/>
              <w:rPr>
                <w:sz w:val="16"/>
              </w:rPr>
            </w:pPr>
            <w:r w:rsidRPr="00956F11">
              <w:rPr>
                <w:sz w:val="16"/>
              </w:rPr>
              <w:t>Nea Skiony</w:t>
            </w:r>
          </w:p>
        </w:tc>
        <w:tc>
          <w:tcPr>
            <w:tcW w:w="945" w:type="dxa"/>
          </w:tcPr>
          <w:p w:rsidRPr="00956F11" w:rsidR="00367D13" w:rsidP="00956F11" w14:paraId="44C1F4C0" w14:textId="77777777">
            <w:pPr>
              <w:jc w:val="center"/>
              <w:rPr>
                <w:sz w:val="16"/>
              </w:rPr>
            </w:pPr>
            <w:r w:rsidRPr="00956F11">
              <w:rPr>
                <w:sz w:val="16"/>
              </w:rPr>
              <w:t>02/03/2023</w:t>
            </w:r>
          </w:p>
          <w:p w:rsidRPr="00956F11" w:rsidR="00367D13" w:rsidP="00956F11" w14:paraId="5FD74529" w14:textId="77777777">
            <w:pPr>
              <w:jc w:val="center"/>
              <w:rPr>
                <w:sz w:val="16"/>
              </w:rPr>
            </w:pPr>
            <w:r w:rsidRPr="00956F11">
              <w:rPr>
                <w:sz w:val="16"/>
              </w:rPr>
              <w:t>pending</w:t>
            </w:r>
          </w:p>
        </w:tc>
        <w:tc>
          <w:tcPr>
            <w:tcW w:w="1004" w:type="dxa"/>
          </w:tcPr>
          <w:p w:rsidRPr="00956F11" w:rsidR="00367D13" w:rsidP="00956F11" w14:paraId="608526CF" w14:textId="77777777">
            <w:pPr>
              <w:jc w:val="center"/>
              <w:rPr>
                <w:sz w:val="16"/>
              </w:rPr>
            </w:pPr>
            <w:r w:rsidRPr="00956F11">
              <w:rPr>
                <w:sz w:val="16"/>
              </w:rPr>
              <w:t>More than 2 year(s) and 10 month(s) and 20 day(s)</w:t>
            </w:r>
          </w:p>
          <w:p w:rsidRPr="00956F11" w:rsidR="00367D13" w:rsidP="00956F11" w14:paraId="6F2EC922" w14:textId="77777777">
            <w:pPr>
              <w:jc w:val="center"/>
              <w:rPr>
                <w:sz w:val="16"/>
              </w:rPr>
            </w:pPr>
          </w:p>
        </w:tc>
        <w:tc>
          <w:tcPr>
            <w:tcW w:w="1134" w:type="dxa"/>
          </w:tcPr>
          <w:p w:rsidRPr="00956F11" w:rsidR="00367D13" w:rsidP="00956F11" w14:paraId="70E719CE" w14:textId="77777777">
            <w:pPr>
              <w:jc w:val="center"/>
              <w:rPr>
                <w:sz w:val="16"/>
              </w:rPr>
            </w:pPr>
            <w:r w:rsidRPr="00956F11">
              <w:rPr>
                <w:sz w:val="16"/>
              </w:rPr>
              <w:t>fragility of the reasons employed by the courts</w:t>
            </w:r>
          </w:p>
          <w:p w:rsidRPr="00956F11" w:rsidR="00367D13" w:rsidP="00956F11" w14:paraId="6CD5E8CC" w14:textId="77777777">
            <w:pPr>
              <w:jc w:val="center"/>
              <w:rPr>
                <w:sz w:val="16"/>
              </w:rPr>
            </w:pPr>
          </w:p>
          <w:p w:rsidRPr="00956F11" w:rsidR="00367D13" w:rsidP="00956F11" w14:paraId="6550C8C7" w14:textId="77777777">
            <w:pPr>
              <w:jc w:val="center"/>
              <w:rPr>
                <w:sz w:val="16"/>
              </w:rPr>
            </w:pPr>
            <w:r w:rsidRPr="00956F11">
              <w:rPr>
                <w:sz w:val="16"/>
              </w:rPr>
              <w:t>use of assumptions, in the absence of any evidentiary basis, of the risks of absconding or obstructing justice</w:t>
            </w:r>
          </w:p>
        </w:tc>
        <w:tc>
          <w:tcPr>
            <w:tcW w:w="993" w:type="dxa"/>
          </w:tcPr>
          <w:p w:rsidRPr="00956F11" w:rsidR="00367D13" w:rsidP="00956F11" w14:paraId="67335F12" w14:textId="77777777">
            <w:pPr>
              <w:jc w:val="center"/>
              <w:rPr>
                <w:sz w:val="16"/>
              </w:rPr>
            </w:pPr>
            <w:r w:rsidRPr="00956F11">
              <w:rPr>
                <w:sz w:val="16"/>
              </w:rPr>
              <w:t>starting from 27/05/2025 - 24-hour house arrest</w:t>
            </w:r>
          </w:p>
        </w:tc>
        <w:tc>
          <w:tcPr>
            <w:tcW w:w="2268" w:type="dxa"/>
          </w:tcPr>
          <w:p w:rsidRPr="00956F11" w:rsidR="00367D13" w:rsidP="00956F11" w14:paraId="38D31B25" w14:textId="261EC777">
            <w:pPr>
              <w:jc w:val="center"/>
              <w:rPr>
                <w:sz w:val="16"/>
              </w:rPr>
            </w:pPr>
            <w:r w:rsidRPr="00956F11">
              <w:rPr>
                <w:sz w:val="16"/>
              </w:rPr>
              <w:t>Art. 5 (4) - deficiencies in proceedings for review of the lawfulness of detention - lack of speediness of review of detention: the applicant</w:t>
            </w:r>
            <w:r w:rsidRPr="00956F11" w:rsidR="00956F11">
              <w:rPr>
                <w:sz w:val="16"/>
              </w:rPr>
              <w:t>’</w:t>
            </w:r>
            <w:r w:rsidRPr="00956F11">
              <w:rPr>
                <w:sz w:val="16"/>
              </w:rPr>
              <w:t>s requests for an alternative preventive measure were examined with significant delays:</w:t>
            </w:r>
          </w:p>
          <w:p w:rsidRPr="00956F11" w:rsidR="00367D13" w:rsidP="00956F11" w14:paraId="15C5199C" w14:textId="77777777">
            <w:pPr>
              <w:jc w:val="center"/>
              <w:rPr>
                <w:sz w:val="16"/>
              </w:rPr>
            </w:pPr>
          </w:p>
          <w:p w:rsidRPr="00956F11" w:rsidR="00367D13" w:rsidP="00956F11" w14:paraId="45742DDE" w14:textId="1F0B86D7">
            <w:pPr>
              <w:jc w:val="center"/>
              <w:rPr>
                <w:sz w:val="16"/>
              </w:rPr>
            </w:pPr>
            <w:r w:rsidRPr="00956F11">
              <w:rPr>
                <w:sz w:val="16"/>
              </w:rPr>
              <w:t>- the applicant</w:t>
            </w:r>
            <w:r w:rsidRPr="00956F11" w:rsidR="00956F11">
              <w:rPr>
                <w:sz w:val="16"/>
              </w:rPr>
              <w:t>’</w:t>
            </w:r>
            <w:r w:rsidRPr="00956F11">
              <w:rPr>
                <w:sz w:val="16"/>
              </w:rPr>
              <w:t>s appeal against the decision of 03/03/2023 lodged on 06/03/2023 was examined on 11/04/2023 (39 days);</w:t>
            </w:r>
          </w:p>
          <w:p w:rsidRPr="00956F11" w:rsidR="00367D13" w:rsidP="00956F11" w14:paraId="15108055" w14:textId="037E61B7">
            <w:pPr>
              <w:jc w:val="center"/>
              <w:rPr>
                <w:sz w:val="16"/>
              </w:rPr>
            </w:pPr>
            <w:r w:rsidRPr="00956F11">
              <w:rPr>
                <w:sz w:val="16"/>
              </w:rPr>
              <w:t>- the applicant</w:t>
            </w:r>
            <w:r w:rsidRPr="00956F11" w:rsidR="00956F11">
              <w:rPr>
                <w:sz w:val="16"/>
              </w:rPr>
              <w:t>’</w:t>
            </w:r>
            <w:r w:rsidRPr="00956F11">
              <w:rPr>
                <w:sz w:val="16"/>
              </w:rPr>
              <w:t>s appeal against the decision of 26/04/2023 lodged on 01/05/2023 was examined on 29/05/2023 (28</w:t>
            </w:r>
            <w:r w:rsidRPr="00956F11" w:rsidR="002F3980">
              <w:rPr>
                <w:sz w:val="16"/>
              </w:rPr>
              <w:t> </w:t>
            </w:r>
            <w:r w:rsidRPr="00956F11">
              <w:rPr>
                <w:sz w:val="16"/>
              </w:rPr>
              <w:t>days);</w:t>
            </w:r>
          </w:p>
          <w:p w:rsidRPr="00956F11" w:rsidR="00367D13" w:rsidP="00956F11" w14:paraId="3517F8D3" w14:textId="59106AD9">
            <w:pPr>
              <w:jc w:val="center"/>
              <w:rPr>
                <w:sz w:val="16"/>
              </w:rPr>
            </w:pPr>
            <w:r w:rsidRPr="00956F11">
              <w:rPr>
                <w:sz w:val="16"/>
              </w:rPr>
              <w:t>- the applicant</w:t>
            </w:r>
            <w:r w:rsidRPr="00956F11" w:rsidR="00956F11">
              <w:rPr>
                <w:sz w:val="16"/>
              </w:rPr>
              <w:t>’</w:t>
            </w:r>
            <w:r w:rsidRPr="00956F11">
              <w:rPr>
                <w:sz w:val="16"/>
              </w:rPr>
              <w:t xml:space="preserve">s appeal against the decision of 30/05/2023 lodged on 01/06/2023 was </w:t>
            </w:r>
            <w:r w:rsidRPr="00956F11">
              <w:rPr>
                <w:sz w:val="16"/>
              </w:rPr>
              <w:t>examined on 22/06/2023 (23</w:t>
            </w:r>
            <w:r w:rsidRPr="00956F11" w:rsidR="002F3980">
              <w:rPr>
                <w:sz w:val="16"/>
              </w:rPr>
              <w:t> </w:t>
            </w:r>
            <w:r w:rsidRPr="00956F11">
              <w:rPr>
                <w:sz w:val="16"/>
              </w:rPr>
              <w:t>days);</w:t>
            </w:r>
          </w:p>
          <w:p w:rsidRPr="00956F11" w:rsidR="00367D13" w:rsidP="00956F11" w14:paraId="73B1761D" w14:textId="57B843CB">
            <w:pPr>
              <w:jc w:val="center"/>
              <w:rPr>
                <w:sz w:val="16"/>
              </w:rPr>
            </w:pPr>
            <w:r w:rsidRPr="00956F11">
              <w:rPr>
                <w:sz w:val="16"/>
              </w:rPr>
              <w:t>- the applicant</w:t>
            </w:r>
            <w:r w:rsidRPr="00956F11" w:rsidR="00956F11">
              <w:rPr>
                <w:sz w:val="16"/>
              </w:rPr>
              <w:t>’</w:t>
            </w:r>
            <w:r w:rsidRPr="00956F11">
              <w:rPr>
                <w:sz w:val="16"/>
              </w:rPr>
              <w:t>s appeal against the decision of 22/09/2023 lodged on 22/09/2023 was examined on 19/10/2023 (30 days);</w:t>
            </w:r>
          </w:p>
          <w:p w:rsidRPr="00956F11" w:rsidR="00367D13" w:rsidP="00956F11" w14:paraId="7A0D30F7" w14:textId="5002CCB6">
            <w:pPr>
              <w:jc w:val="center"/>
              <w:rPr>
                <w:sz w:val="16"/>
              </w:rPr>
            </w:pPr>
            <w:r w:rsidRPr="00956F11">
              <w:rPr>
                <w:sz w:val="16"/>
              </w:rPr>
              <w:t>- the applicant</w:t>
            </w:r>
            <w:r w:rsidRPr="00956F11" w:rsidR="00956F11">
              <w:rPr>
                <w:sz w:val="16"/>
              </w:rPr>
              <w:t>’</w:t>
            </w:r>
            <w:r w:rsidRPr="00956F11">
              <w:rPr>
                <w:sz w:val="16"/>
              </w:rPr>
              <w:t>s appeal against the decision of 31/10/2023 lodged on 02/11/2023 was examined on 27/11/2023 (25 days);</w:t>
            </w:r>
          </w:p>
          <w:p w:rsidRPr="00956F11" w:rsidR="00367D13" w:rsidP="00956F11" w14:paraId="671C6C70" w14:textId="365CCBFA">
            <w:pPr>
              <w:jc w:val="center"/>
              <w:rPr>
                <w:sz w:val="16"/>
              </w:rPr>
            </w:pPr>
            <w:r w:rsidRPr="00956F11">
              <w:rPr>
                <w:sz w:val="16"/>
              </w:rPr>
              <w:t>- the applicant</w:t>
            </w:r>
            <w:r w:rsidRPr="00956F11" w:rsidR="00956F11">
              <w:rPr>
                <w:sz w:val="16"/>
              </w:rPr>
              <w:t>’</w:t>
            </w:r>
            <w:r w:rsidRPr="00956F11">
              <w:rPr>
                <w:sz w:val="16"/>
              </w:rPr>
              <w:t>s appeal against the decision of 29/11/2023 lodged on 01/12/2023 was examined on 08/01/202</w:t>
            </w:r>
            <w:r w:rsidR="00534F8C">
              <w:rPr>
                <w:sz w:val="16"/>
              </w:rPr>
              <w:t>4</w:t>
            </w:r>
            <w:r w:rsidRPr="00956F11">
              <w:rPr>
                <w:sz w:val="16"/>
              </w:rPr>
              <w:t xml:space="preserve"> (40 days);</w:t>
            </w:r>
          </w:p>
          <w:p w:rsidRPr="00956F11" w:rsidR="00367D13" w:rsidP="00956F11" w14:paraId="4878F681" w14:textId="722B39A7">
            <w:pPr>
              <w:jc w:val="center"/>
              <w:rPr>
                <w:sz w:val="16"/>
              </w:rPr>
            </w:pPr>
            <w:r w:rsidRPr="00956F11">
              <w:rPr>
                <w:sz w:val="16"/>
              </w:rPr>
              <w:t>- the applicant</w:t>
            </w:r>
            <w:r w:rsidRPr="00956F11" w:rsidR="00956F11">
              <w:rPr>
                <w:sz w:val="16"/>
              </w:rPr>
              <w:t>’</w:t>
            </w:r>
            <w:r w:rsidRPr="00956F11">
              <w:rPr>
                <w:sz w:val="16"/>
              </w:rPr>
              <w:t>s appeal against the decision of 23/01/2024 lodged on 25/01/2024 was examined on 20/03/2024 (upon the applicant</w:t>
            </w:r>
            <w:r w:rsidRPr="00956F11" w:rsidR="00956F11">
              <w:rPr>
                <w:sz w:val="16"/>
              </w:rPr>
              <w:t>’</w:t>
            </w:r>
            <w:r w:rsidRPr="00956F11">
              <w:rPr>
                <w:sz w:val="16"/>
              </w:rPr>
              <w:t>s defendant</w:t>
            </w:r>
            <w:r w:rsidRPr="00956F11" w:rsidR="00956F11">
              <w:rPr>
                <w:sz w:val="16"/>
              </w:rPr>
              <w:t>’</w:t>
            </w:r>
            <w:r w:rsidRPr="00956F11">
              <w:rPr>
                <w:sz w:val="16"/>
              </w:rPr>
              <w:t>s request to withdraw an appeal) (55 days);</w:t>
            </w:r>
          </w:p>
          <w:p w:rsidRPr="00956F11" w:rsidR="00367D13" w:rsidP="00956F11" w14:paraId="63958954" w14:textId="2043C855">
            <w:pPr>
              <w:jc w:val="center"/>
              <w:rPr>
                <w:sz w:val="16"/>
              </w:rPr>
            </w:pPr>
            <w:r w:rsidRPr="00956F11">
              <w:rPr>
                <w:sz w:val="16"/>
              </w:rPr>
              <w:t>- the applicant</w:t>
            </w:r>
            <w:r w:rsidRPr="00956F11" w:rsidR="00956F11">
              <w:rPr>
                <w:sz w:val="16"/>
              </w:rPr>
              <w:t>’</w:t>
            </w:r>
            <w:r w:rsidRPr="00956F11">
              <w:rPr>
                <w:sz w:val="16"/>
              </w:rPr>
              <w:t>s appeal against the decision of 20/02/2024 lodged on 22/02/2024 was examined on 18/03/2024 (upon the applicant</w:t>
            </w:r>
            <w:r w:rsidRPr="00956F11" w:rsidR="00956F11">
              <w:rPr>
                <w:sz w:val="16"/>
              </w:rPr>
              <w:t>’</w:t>
            </w:r>
            <w:r w:rsidRPr="00956F11">
              <w:rPr>
                <w:sz w:val="16"/>
              </w:rPr>
              <w:t>s defendant</w:t>
            </w:r>
            <w:r w:rsidRPr="00956F11" w:rsidR="00956F11">
              <w:rPr>
                <w:sz w:val="16"/>
              </w:rPr>
              <w:t>’</w:t>
            </w:r>
            <w:r w:rsidRPr="00956F11">
              <w:rPr>
                <w:sz w:val="16"/>
              </w:rPr>
              <w:t xml:space="preserve">s request to leave the appeal </w:t>
            </w:r>
            <w:r w:rsidRPr="00956F11">
              <w:rPr>
                <w:sz w:val="16"/>
              </w:rPr>
              <w:t>without consideration) (27 days);</w:t>
            </w:r>
          </w:p>
          <w:p w:rsidRPr="00956F11" w:rsidR="00367D13" w:rsidP="00956F11" w14:paraId="7AC24CE1" w14:textId="539E584C">
            <w:pPr>
              <w:jc w:val="center"/>
              <w:rPr>
                <w:sz w:val="16"/>
              </w:rPr>
            </w:pPr>
            <w:r w:rsidRPr="00956F11">
              <w:rPr>
                <w:sz w:val="16"/>
              </w:rPr>
              <w:t>- the applicant</w:t>
            </w:r>
            <w:r w:rsidRPr="00956F11" w:rsidR="00956F11">
              <w:rPr>
                <w:sz w:val="16"/>
              </w:rPr>
              <w:t>’</w:t>
            </w:r>
            <w:r w:rsidRPr="00956F11">
              <w:rPr>
                <w:sz w:val="16"/>
              </w:rPr>
              <w:t>s appeal against the decision of 29/02/2024 lodged on 01/03/2024 was examined on 04/04/2024 (35 days);</w:t>
            </w:r>
          </w:p>
          <w:p w:rsidRPr="00956F11" w:rsidR="00367D13" w:rsidP="00956F11" w14:paraId="0B0C4D20" w14:textId="425C4D6A">
            <w:pPr>
              <w:jc w:val="center"/>
              <w:rPr>
                <w:sz w:val="16"/>
              </w:rPr>
            </w:pPr>
            <w:r w:rsidRPr="00956F11">
              <w:rPr>
                <w:sz w:val="16"/>
              </w:rPr>
              <w:t>- the applicant</w:t>
            </w:r>
            <w:r w:rsidRPr="00956F11" w:rsidR="00956F11">
              <w:rPr>
                <w:sz w:val="16"/>
              </w:rPr>
              <w:t>’</w:t>
            </w:r>
            <w:r w:rsidRPr="00956F11">
              <w:rPr>
                <w:sz w:val="16"/>
              </w:rPr>
              <w:t>s appeals against the decisions of 02/05/2024 lodged on 07/05/2024 examined on 12/06/2024 and 13/11/2024 respectively (36 days and 191 days);</w:t>
            </w:r>
          </w:p>
          <w:p w:rsidRPr="00956F11" w:rsidR="00367D13" w:rsidP="00956F11" w14:paraId="71F781FD" w14:textId="6B876035">
            <w:pPr>
              <w:jc w:val="center"/>
              <w:rPr>
                <w:sz w:val="16"/>
              </w:rPr>
            </w:pPr>
            <w:r w:rsidRPr="00956F11">
              <w:rPr>
                <w:sz w:val="16"/>
              </w:rPr>
              <w:t>- the applicant</w:t>
            </w:r>
            <w:r w:rsidRPr="00956F11" w:rsidR="00956F11">
              <w:rPr>
                <w:sz w:val="16"/>
              </w:rPr>
              <w:t>’</w:t>
            </w:r>
            <w:r w:rsidRPr="00956F11">
              <w:rPr>
                <w:sz w:val="16"/>
              </w:rPr>
              <w:t>s appeal against the decision of 24/06/2024 lodged on 26/06/2024 was examined on 07/10/2025 (1</w:t>
            </w:r>
            <w:r w:rsidRPr="00956F11" w:rsidR="002F3980">
              <w:rPr>
                <w:sz w:val="16"/>
              </w:rPr>
              <w:t> </w:t>
            </w:r>
            <w:r w:rsidRPr="00956F11">
              <w:rPr>
                <w:sz w:val="16"/>
              </w:rPr>
              <w:t>year, 5 months, 12 days);</w:t>
            </w:r>
          </w:p>
          <w:p w:rsidRPr="00956F11" w:rsidR="00367D13" w:rsidP="00956F11" w14:paraId="3F42BE0C" w14:textId="0AD89C34">
            <w:pPr>
              <w:jc w:val="center"/>
              <w:rPr>
                <w:sz w:val="16"/>
              </w:rPr>
            </w:pPr>
            <w:r w:rsidRPr="00956F11">
              <w:rPr>
                <w:sz w:val="16"/>
              </w:rPr>
              <w:t>- the applicant</w:t>
            </w:r>
            <w:r w:rsidRPr="00956F11" w:rsidR="00956F11">
              <w:rPr>
                <w:sz w:val="16"/>
              </w:rPr>
              <w:t>’</w:t>
            </w:r>
            <w:r w:rsidRPr="00956F11">
              <w:rPr>
                <w:sz w:val="16"/>
              </w:rPr>
              <w:t>s appeal against the decision of 25/06/2024 lodged on 26/06/2024 was examined on 24/07/2024 (28 days);</w:t>
            </w:r>
          </w:p>
          <w:p w:rsidRPr="00956F11" w:rsidR="00367D13" w:rsidP="00956F11" w14:paraId="7E81A500" w14:textId="52C963ED">
            <w:pPr>
              <w:jc w:val="center"/>
              <w:rPr>
                <w:sz w:val="16"/>
              </w:rPr>
            </w:pPr>
            <w:r w:rsidRPr="00956F11">
              <w:rPr>
                <w:sz w:val="16"/>
              </w:rPr>
              <w:t>- the applicant</w:t>
            </w:r>
            <w:r w:rsidRPr="00956F11" w:rsidR="00956F11">
              <w:rPr>
                <w:sz w:val="16"/>
              </w:rPr>
              <w:t>’</w:t>
            </w:r>
            <w:r w:rsidRPr="00956F11">
              <w:rPr>
                <w:sz w:val="16"/>
              </w:rPr>
              <w:t>s appeal against the decision of 05/11/2024 lodged on 06/11/2024 was examined on 26/12/2024 (51 days);</w:t>
            </w:r>
          </w:p>
          <w:p w:rsidRPr="00956F11" w:rsidR="00367D13" w:rsidP="00956F11" w14:paraId="4EA3FE9D" w14:textId="37BA4AD9">
            <w:pPr>
              <w:jc w:val="center"/>
              <w:rPr>
                <w:sz w:val="16"/>
              </w:rPr>
            </w:pPr>
            <w:r w:rsidRPr="00956F11">
              <w:rPr>
                <w:sz w:val="16"/>
              </w:rPr>
              <w:t>- the applicant</w:t>
            </w:r>
            <w:r w:rsidRPr="00956F11" w:rsidR="00956F11">
              <w:rPr>
                <w:sz w:val="16"/>
              </w:rPr>
              <w:t>’</w:t>
            </w:r>
            <w:r w:rsidRPr="00956F11">
              <w:rPr>
                <w:sz w:val="16"/>
              </w:rPr>
              <w:t xml:space="preserve">s appeal against the decision of 03/02/2025 lodged on 04/02/2025 was </w:t>
            </w:r>
            <w:r w:rsidRPr="00956F11">
              <w:rPr>
                <w:sz w:val="16"/>
              </w:rPr>
              <w:t>examined on 19/03/2025 (43 days)</w:t>
            </w:r>
          </w:p>
          <w:p w:rsidRPr="00956F11" w:rsidR="00367D13" w:rsidP="00956F11" w14:paraId="046BB291" w14:textId="4659BD75">
            <w:pPr>
              <w:jc w:val="center"/>
              <w:rPr>
                <w:sz w:val="16"/>
              </w:rPr>
            </w:pPr>
            <w:r w:rsidRPr="00956F11">
              <w:rPr>
                <w:sz w:val="16"/>
              </w:rPr>
              <w:t xml:space="preserve">(see </w:t>
            </w:r>
            <w:r w:rsidRPr="00956F11">
              <w:rPr>
                <w:i/>
                <w:iCs/>
                <w:sz w:val="16"/>
              </w:rPr>
              <w:t>Kharchenko v. Ukraine</w:t>
            </w:r>
            <w:r w:rsidRPr="00956F11">
              <w:rPr>
                <w:sz w:val="16"/>
              </w:rPr>
              <w:t>, no. 40107/02, §§ 84-87, 10</w:t>
            </w:r>
            <w:r w:rsidRPr="00956F11" w:rsidR="002F3980">
              <w:rPr>
                <w:sz w:val="16"/>
              </w:rPr>
              <w:t> </w:t>
            </w:r>
            <w:r w:rsidRPr="00956F11">
              <w:rPr>
                <w:sz w:val="16"/>
              </w:rPr>
              <w:t>February 2011),</w:t>
            </w:r>
          </w:p>
          <w:p w:rsidRPr="00956F11" w:rsidR="00367D13" w:rsidP="00956F11" w14:paraId="32AE1CE0" w14:textId="77777777">
            <w:pPr>
              <w:jc w:val="center"/>
              <w:rPr>
                <w:sz w:val="16"/>
              </w:rPr>
            </w:pPr>
          </w:p>
          <w:p w:rsidRPr="00956F11" w:rsidR="00367D13" w:rsidP="00956F11" w14:paraId="5C9679B1" w14:textId="7CBAACD5">
            <w:pPr>
              <w:jc w:val="center"/>
              <w:rPr>
                <w:sz w:val="16"/>
              </w:rPr>
            </w:pPr>
            <w:r w:rsidRPr="00956F11">
              <w:rPr>
                <w:sz w:val="16"/>
              </w:rPr>
              <w:t>Art. 5 (5) - lack of, or inadequate compensation, for the violation of Article 5 § 3 of the Convention - no effective right to compensation in domestic legal system for the</w:t>
            </w:r>
            <w:r w:rsidRPr="00956F11" w:rsidR="002F3980">
              <w:rPr>
                <w:sz w:val="16"/>
              </w:rPr>
              <w:t> </w:t>
            </w:r>
            <w:r w:rsidRPr="00956F11">
              <w:rPr>
                <w:sz w:val="16"/>
              </w:rPr>
              <w:t>violations of Art 5 § 3 (see</w:t>
            </w:r>
            <w:r w:rsidRPr="00956F11" w:rsidR="002F3980">
              <w:rPr>
                <w:sz w:val="16"/>
              </w:rPr>
              <w:t> </w:t>
            </w:r>
            <w:r w:rsidRPr="00956F11">
              <w:rPr>
                <w:i/>
                <w:iCs/>
                <w:sz w:val="16"/>
              </w:rPr>
              <w:t>Tymoshenko v. Ukraine</w:t>
            </w:r>
            <w:r w:rsidRPr="00956F11">
              <w:rPr>
                <w:sz w:val="16"/>
              </w:rPr>
              <w:t xml:space="preserve">, no. 49872/11, §§ 286-87, 30 April 2013 and </w:t>
            </w:r>
            <w:r w:rsidRPr="00956F11">
              <w:rPr>
                <w:i/>
                <w:iCs/>
                <w:sz w:val="16"/>
              </w:rPr>
              <w:t>Kotiy</w:t>
            </w:r>
            <w:r w:rsidRPr="00956F11">
              <w:rPr>
                <w:sz w:val="16"/>
              </w:rPr>
              <w:t xml:space="preserve"> </w:t>
            </w:r>
            <w:r w:rsidRPr="00956F11">
              <w:rPr>
                <w:i/>
                <w:iCs/>
                <w:sz w:val="16"/>
              </w:rPr>
              <w:t>v. Ukraine</w:t>
            </w:r>
            <w:r w:rsidRPr="00956F11">
              <w:rPr>
                <w:sz w:val="16"/>
              </w:rPr>
              <w:t>, no. 28718/09, § 55, 5 March 2015)</w:t>
            </w:r>
          </w:p>
        </w:tc>
        <w:tc>
          <w:tcPr>
            <w:tcW w:w="1134" w:type="dxa"/>
          </w:tcPr>
          <w:p w:rsidRPr="00956F11" w:rsidR="00367D13" w:rsidP="00956F11" w14:paraId="13C75D9C" w14:textId="77777777">
            <w:pPr>
              <w:jc w:val="center"/>
              <w:rPr>
                <w:sz w:val="16"/>
              </w:rPr>
            </w:pPr>
            <w:r w:rsidRPr="00956F11">
              <w:rPr>
                <w:sz w:val="16"/>
              </w:rPr>
              <w:t>2,400</w:t>
            </w:r>
          </w:p>
        </w:tc>
        <w:tc>
          <w:tcPr>
            <w:tcW w:w="992" w:type="dxa"/>
          </w:tcPr>
          <w:p w:rsidRPr="00956F11" w:rsidR="00367D13" w:rsidP="00956F11" w14:paraId="625EE922" w14:textId="77777777">
            <w:pPr>
              <w:jc w:val="center"/>
              <w:rPr>
                <w:sz w:val="16"/>
              </w:rPr>
            </w:pPr>
            <w:r w:rsidRPr="00956F11">
              <w:rPr>
                <w:sz w:val="16"/>
              </w:rPr>
              <w:t>250</w:t>
            </w:r>
          </w:p>
        </w:tc>
      </w:tr>
      <w:tr w:rsidTr="00367D13" w14:paraId="6D932B39" w14:textId="77777777">
        <w:tblPrEx>
          <w:tblW w:w="12753" w:type="dxa"/>
          <w:tblLayout w:type="fixed"/>
          <w:tblLook w:val="0420"/>
        </w:tblPrEx>
        <w:tc>
          <w:tcPr>
            <w:tcW w:w="452" w:type="dxa"/>
          </w:tcPr>
          <w:p w:rsidRPr="00956F11" w:rsidR="00367D13" w:rsidP="00956F11" w14:paraId="7374C937"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956F11" w:rsidR="00367D13" w:rsidP="00956F11" w14:paraId="6258449B" w14:textId="77777777">
            <w:pPr>
              <w:jc w:val="center"/>
              <w:rPr>
                <w:sz w:val="16"/>
              </w:rPr>
            </w:pPr>
            <w:r w:rsidRPr="00956F11">
              <w:rPr>
                <w:sz w:val="16"/>
              </w:rPr>
              <w:t>11144/25</w:t>
            </w:r>
          </w:p>
          <w:p w:rsidRPr="00956F11" w:rsidR="00367D13" w:rsidP="00956F11" w14:paraId="6F4CD170" w14:textId="77777777">
            <w:pPr>
              <w:jc w:val="center"/>
              <w:rPr>
                <w:sz w:val="16"/>
              </w:rPr>
            </w:pPr>
            <w:r w:rsidRPr="00956F11">
              <w:rPr>
                <w:sz w:val="16"/>
              </w:rPr>
              <w:t>04/04/2025</w:t>
            </w:r>
          </w:p>
        </w:tc>
        <w:tc>
          <w:tcPr>
            <w:tcW w:w="1407" w:type="dxa"/>
          </w:tcPr>
          <w:p w:rsidRPr="00956F11" w:rsidR="00367D13" w:rsidP="00956F11" w14:paraId="710B9B70" w14:textId="77777777">
            <w:pPr>
              <w:jc w:val="center"/>
              <w:rPr>
                <w:sz w:val="16"/>
              </w:rPr>
            </w:pPr>
            <w:r w:rsidRPr="00956F11">
              <w:rPr>
                <w:b/>
                <w:sz w:val="16"/>
              </w:rPr>
              <w:t>Vitaliy Valeriyovych KROPACHEV</w:t>
            </w:r>
          </w:p>
          <w:p w:rsidRPr="00956F11" w:rsidR="00367D13" w:rsidP="00956F11" w14:paraId="78F53BF7" w14:textId="77777777">
            <w:pPr>
              <w:jc w:val="center"/>
              <w:rPr>
                <w:sz w:val="16"/>
              </w:rPr>
            </w:pPr>
            <w:r w:rsidRPr="00956F11">
              <w:rPr>
                <w:sz w:val="16"/>
              </w:rPr>
              <w:t>1973</w:t>
            </w:r>
          </w:p>
          <w:p w:rsidRPr="00956F11" w:rsidR="00367D13" w:rsidP="00956F11" w14:paraId="57596D4D" w14:textId="77E074FE">
            <w:pPr>
              <w:jc w:val="center"/>
              <w:rPr>
                <w:sz w:val="16"/>
              </w:rPr>
            </w:pPr>
          </w:p>
        </w:tc>
        <w:tc>
          <w:tcPr>
            <w:tcW w:w="1354" w:type="dxa"/>
          </w:tcPr>
          <w:p w:rsidRPr="00956F11" w:rsidR="00367D13" w:rsidP="00956F11" w14:paraId="1CC30522" w14:textId="77777777">
            <w:pPr>
              <w:jc w:val="center"/>
              <w:rPr>
                <w:sz w:val="16"/>
              </w:rPr>
            </w:pPr>
            <w:r w:rsidRPr="00956F11">
              <w:rPr>
                <w:sz w:val="16"/>
              </w:rPr>
              <w:t>Popkov Pavlo Oleksandrovych</w:t>
            </w:r>
          </w:p>
          <w:p w:rsidRPr="00956F11" w:rsidR="00367D13" w:rsidP="00956F11" w14:paraId="00A89AE2" w14:textId="77777777">
            <w:pPr>
              <w:jc w:val="center"/>
              <w:rPr>
                <w:sz w:val="16"/>
              </w:rPr>
            </w:pPr>
            <w:r w:rsidRPr="00956F11">
              <w:rPr>
                <w:sz w:val="16"/>
              </w:rPr>
              <w:t>Kyiv</w:t>
            </w:r>
          </w:p>
        </w:tc>
        <w:tc>
          <w:tcPr>
            <w:tcW w:w="945" w:type="dxa"/>
          </w:tcPr>
          <w:p w:rsidRPr="00956F11" w:rsidR="00367D13" w:rsidP="00956F11" w14:paraId="5F4A860C" w14:textId="77777777">
            <w:pPr>
              <w:jc w:val="center"/>
              <w:rPr>
                <w:sz w:val="16"/>
              </w:rPr>
            </w:pPr>
            <w:r w:rsidRPr="00956F11">
              <w:rPr>
                <w:sz w:val="16"/>
              </w:rPr>
              <w:t>17/05/2024 to</w:t>
            </w:r>
          </w:p>
          <w:p w:rsidRPr="00956F11" w:rsidR="00367D13" w:rsidP="00956F11" w14:paraId="4905722C" w14:textId="77777777">
            <w:pPr>
              <w:jc w:val="center"/>
              <w:rPr>
                <w:sz w:val="16"/>
              </w:rPr>
            </w:pPr>
            <w:r w:rsidRPr="00956F11">
              <w:rPr>
                <w:sz w:val="16"/>
              </w:rPr>
              <w:t>20/11/2025</w:t>
            </w:r>
          </w:p>
        </w:tc>
        <w:tc>
          <w:tcPr>
            <w:tcW w:w="1004" w:type="dxa"/>
          </w:tcPr>
          <w:p w:rsidRPr="00956F11" w:rsidR="00367D13" w:rsidP="00956F11" w14:paraId="70F9D1EE" w14:textId="77777777">
            <w:pPr>
              <w:jc w:val="center"/>
              <w:rPr>
                <w:sz w:val="16"/>
              </w:rPr>
            </w:pPr>
            <w:r w:rsidRPr="00956F11">
              <w:rPr>
                <w:sz w:val="16"/>
              </w:rPr>
              <w:t>1 year(s) and 6 month(s) and 4 day(s)</w:t>
            </w:r>
          </w:p>
          <w:p w:rsidRPr="00956F11" w:rsidR="00367D13" w:rsidP="00956F11" w14:paraId="3AF79065" w14:textId="77777777">
            <w:pPr>
              <w:jc w:val="center"/>
              <w:rPr>
                <w:sz w:val="16"/>
              </w:rPr>
            </w:pPr>
          </w:p>
        </w:tc>
        <w:tc>
          <w:tcPr>
            <w:tcW w:w="1134" w:type="dxa"/>
          </w:tcPr>
          <w:p w:rsidRPr="00956F11" w:rsidR="00367D13" w:rsidP="00956F11" w14:paraId="466B5320" w14:textId="77777777">
            <w:pPr>
              <w:jc w:val="center"/>
              <w:rPr>
                <w:sz w:val="16"/>
              </w:rPr>
            </w:pPr>
            <w:r w:rsidRPr="00956F11">
              <w:rPr>
                <w:sz w:val="16"/>
              </w:rPr>
              <w:t>fragility of the reasons employed by the courts</w:t>
            </w:r>
          </w:p>
          <w:p w:rsidRPr="00956F11" w:rsidR="00367D13" w:rsidP="00956F11" w14:paraId="1E60C3B3" w14:textId="77777777">
            <w:pPr>
              <w:jc w:val="center"/>
              <w:rPr>
                <w:sz w:val="16"/>
              </w:rPr>
            </w:pPr>
          </w:p>
          <w:p w:rsidRPr="00956F11" w:rsidR="00367D13" w:rsidP="00956F11" w14:paraId="0140720A" w14:textId="77777777">
            <w:pPr>
              <w:jc w:val="center"/>
              <w:rPr>
                <w:sz w:val="16"/>
              </w:rPr>
            </w:pPr>
          </w:p>
        </w:tc>
        <w:tc>
          <w:tcPr>
            <w:tcW w:w="993" w:type="dxa"/>
          </w:tcPr>
          <w:p w:rsidRPr="00956F11" w:rsidR="00367D13" w:rsidP="00956F11" w14:paraId="20638C1A" w14:textId="77777777">
            <w:pPr>
              <w:jc w:val="center"/>
              <w:rPr>
                <w:sz w:val="16"/>
              </w:rPr>
            </w:pPr>
          </w:p>
        </w:tc>
        <w:tc>
          <w:tcPr>
            <w:tcW w:w="2268" w:type="dxa"/>
          </w:tcPr>
          <w:p w:rsidRPr="00956F11" w:rsidR="00367D13" w:rsidP="00956F11" w14:paraId="26028A34" w14:textId="77777777">
            <w:pPr>
              <w:jc w:val="center"/>
              <w:rPr>
                <w:sz w:val="16"/>
              </w:rPr>
            </w:pPr>
          </w:p>
        </w:tc>
        <w:tc>
          <w:tcPr>
            <w:tcW w:w="1134" w:type="dxa"/>
          </w:tcPr>
          <w:p w:rsidRPr="00956F11" w:rsidR="00367D13" w:rsidP="00956F11" w14:paraId="4A7CBA2E" w14:textId="77777777">
            <w:pPr>
              <w:jc w:val="center"/>
              <w:rPr>
                <w:sz w:val="16"/>
              </w:rPr>
            </w:pPr>
            <w:r w:rsidRPr="00956F11">
              <w:rPr>
                <w:sz w:val="16"/>
              </w:rPr>
              <w:t>1,000</w:t>
            </w:r>
          </w:p>
        </w:tc>
        <w:tc>
          <w:tcPr>
            <w:tcW w:w="992" w:type="dxa"/>
          </w:tcPr>
          <w:p w:rsidRPr="00956F11" w:rsidR="00367D13" w:rsidP="00956F11" w14:paraId="2DFF4B45" w14:textId="77777777">
            <w:pPr>
              <w:jc w:val="center"/>
              <w:rPr>
                <w:sz w:val="16"/>
              </w:rPr>
            </w:pPr>
            <w:r w:rsidRPr="00956F11">
              <w:rPr>
                <w:sz w:val="16"/>
              </w:rPr>
              <w:t>250</w:t>
            </w:r>
          </w:p>
        </w:tc>
      </w:tr>
    </w:tbl>
    <w:p w:rsidRPr="00956F11" w:rsidR="00606600" w:rsidP="00956F11" w14:paraId="697831A9" w14:textId="77777777"/>
    <w:p w:rsidRPr="00956F11" w:rsidR="00606600" w:rsidP="00956F11" w14:paraId="4315FCC8"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1A5FF8" w:rsidRPr="005E62B9" w14:paraId="468BFA52" w14:textId="77777777">
      <w:r w:rsidRPr="005E62B9">
        <w:separator/>
      </w:r>
    </w:p>
  </w:endnote>
  <w:endnote w:type="continuationSeparator" w:id="1">
    <w:p w:rsidR="001A5FF8" w:rsidRPr="005E62B9" w14:paraId="6D798F9C" w14:textId="77777777">
      <w:r w:rsidRPr="005E62B9">
        <w:continuationSeparator/>
      </w:r>
    </w:p>
  </w:endnote>
  <w:endnote w:id="2">
    <w:p w:rsidR="00367D13" w:rsidRPr="00811235" w:rsidP="001A5FF8" w14:paraId="41EE1501" w14:textId="77777777">
      <w:pPr>
        <w:pStyle w:val="EndnoteText"/>
        <w:rPr>
          <w:sz w:val="16"/>
          <w:szCs w:val="16"/>
        </w:rPr>
      </w:pPr>
      <w:r w:rsidRPr="004835C9">
        <w:rPr>
          <w:rStyle w:val="EndnoteReference"/>
        </w:rPr>
        <w:endnoteRef/>
      </w:r>
      <w:r w:rsidRPr="004835C9">
        <w:t xml:space="preserve"> </w:t>
      </w:r>
      <w:r w:rsidRPr="00811235">
        <w:rPr>
          <w:sz w:val="16"/>
          <w:szCs w:val="16"/>
        </w:rPr>
        <w:t>Plus any tax that may be chargeable to the applicants.</w:t>
      </w:r>
    </w:p>
  </w:endnote>
  <w:endnote w:id="3">
    <w:p w:rsidR="00367D13" w:rsidRPr="004835C9" w:rsidP="001A5FF8" w14:paraId="65A8A565" w14:textId="77777777">
      <w:pPr>
        <w:pStyle w:val="EndnoteText"/>
      </w:pPr>
      <w:r w:rsidRPr="00811235">
        <w:rPr>
          <w:rStyle w:val="EndnoteReference"/>
          <w:sz w:val="16"/>
          <w:szCs w:val="16"/>
        </w:rPr>
        <w:endnoteRef/>
      </w:r>
      <w:r w:rsidRPr="00811235">
        <w:rPr>
          <w:sz w:val="16"/>
          <w:szCs w:val="16"/>
        </w:rPr>
        <w:t xml:space="preserve"> 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D554D" w:rsidRPr="005E62B9" w:rsidP="00BD554D" w14:paraId="462CFE04" w14:textId="4D446629">
    <w:pPr>
      <w:pStyle w:val="JuHeader"/>
    </w:pPr>
    <w:r>
      <w:fldChar w:fldCharType="begin"/>
    </w:r>
    <w:r>
      <w:instrText xml:space="preserve"> PAGE  \* MERGEFORMAT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D554D" w:rsidRPr="005E62B9" w:rsidP="00BD554D" w14:paraId="3F53D606" w14:textId="75E03CC9">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D7723" w:rsidRPr="005E62B9" w:rsidP="0020718E" w14:paraId="3B27F466" w14:textId="77777777">
    <w:pPr>
      <w:jc w:val="center"/>
    </w:pPr>
    <w:r w:rsidRPr="005E62B9">
      <w:rPr>
        <w:noProof/>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5E62B9" w:rsidP="0029309A" w14:paraId="06D7C8C5"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D7723" w:rsidRPr="005E62B9" w:rsidP="00A45145" w14:paraId="3F7BFA24" w14:textId="77777777">
    <w:pPr>
      <w:jc w:val="center"/>
    </w:pPr>
    <w:r w:rsidRPr="005E62B9">
      <w:rPr>
        <w:noProof/>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5E62B9" w:rsidP="000318F7" w14:paraId="12380156" w14:textId="77777777">
    <w:pPr>
      <w:jc w:val="center"/>
      <w:rPr>
        <w:sz w:val="4"/>
        <w:szCs w:val="4"/>
      </w:rPr>
    </w:pPr>
  </w:p>
  <w:p w:rsidR="00606600" w:rsidRPr="005E62B9" w14:paraId="0997F3F2"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A5FF8" w:rsidRPr="00A45145" w:rsidP="00A45145" w14:paraId="3AB05FEA" w14:textId="246852DA">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5E62B9" w:rsidP="008D51B6" w14:paraId="3CCBFA45" w14:textId="0E350E0A">
    <w:pPr>
      <w:pStyle w:val="Header0"/>
    </w:pPr>
  </w:p>
  <w:p w:rsidR="00606600" w:rsidRPr="005E62B9" w:rsidP="00B64153" w14:paraId="784CFC89"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6600" w:rsidRPr="005C3A15" w:rsidP="006372F5" w14:paraId="25D21EF1" w14:textId="5CEF2DE6">
    <w:pPr>
      <w:pStyle w:val="JuHeader"/>
    </w:pPr>
    <w:r>
      <w:t>STROGUSH</w:t>
    </w:r>
    <w:r w:rsidRPr="00367D13" w:rsidR="00367D13">
      <w:t xml:space="preserve"> </w:t>
    </w:r>
    <w:r w:rsidRPr="00C55576" w:rsidR="00367D13">
      <w:t>AND KROPACHEV</w:t>
    </w:r>
    <w:r>
      <w:t xml:space="preserve"> v. UKRAINE</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6600" w:rsidRPr="00DE7D3F" w:rsidP="00BD554D" w14:paraId="7458DAE0" w14:textId="41420F1C">
    <w:pPr>
      <w:pStyle w:val="JuHeader"/>
    </w:pPr>
    <w:r>
      <w:t>STROGUSH</w:t>
    </w:r>
    <w:r w:rsidR="00367D13">
      <w:t xml:space="preserve"> </w:t>
    </w:r>
    <w:r w:rsidRPr="00C55576" w:rsidR="00367D13">
      <w:t>AND KROPACHEV</w:t>
    </w:r>
    <w:r>
      <w:t xml:space="preserve"> v. UKRAINE</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6600" w:rsidRPr="005C3A15" w:rsidP="00E026EC" w14:paraId="7E7F488B" w14:textId="5676ED99">
    <w:pPr>
      <w:pStyle w:val="JuHeader"/>
    </w:pPr>
    <w:r>
      <w:t>STROGUSH</w:t>
    </w:r>
    <w:r w:rsidRPr="00367D13" w:rsidR="00367D13">
      <w:t xml:space="preserve"> </w:t>
    </w:r>
    <w:r w:rsidRPr="00C55576" w:rsidR="00367D13">
      <w:t>AND KROPACHEV</w:t>
    </w:r>
    <w:r>
      <w:t xml:space="preserve"> v. UKRAINE</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6600" w:rsidRPr="00DE7D3F" w:rsidP="00E026EC" w14:paraId="7B85ED6D" w14:textId="49A877FF">
    <w:pPr>
      <w:pStyle w:val="JuHeader"/>
    </w:pPr>
    <w:r>
      <w:t>STROGUSH</w:t>
    </w:r>
    <w:r w:rsidRPr="00367D13" w:rsidR="00367D13">
      <w:t xml:space="preserve"> </w:t>
    </w:r>
    <w:r w:rsidRPr="00C55576" w:rsidR="00367D13">
      <w:t>AND KROPACHEV</w:t>
    </w:r>
    <w:r>
      <w:t xml:space="preserve"> v. UKRAINE</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8F470F7"/>
    <w:multiLevelType w:val="hybridMultilevel"/>
    <w:tmpl w:val="1196056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74346712">
    <w:abstractNumId w:val="14"/>
  </w:num>
  <w:num w:numId="2" w16cid:durableId="624501454">
    <w:abstractNumId w:val="12"/>
  </w:num>
  <w:num w:numId="3" w16cid:durableId="522213196">
    <w:abstractNumId w:val="11"/>
  </w:num>
  <w:num w:numId="4" w16cid:durableId="2034069393">
    <w:abstractNumId w:val="16"/>
  </w:num>
  <w:num w:numId="5" w16cid:durableId="1303654916">
    <w:abstractNumId w:val="13"/>
  </w:num>
  <w:num w:numId="6" w16cid:durableId="299268812">
    <w:abstractNumId w:val="17"/>
  </w:num>
  <w:num w:numId="7" w16cid:durableId="2053268741">
    <w:abstractNumId w:val="16"/>
  </w:num>
  <w:num w:numId="8" w16cid:durableId="1868324233">
    <w:abstractNumId w:val="17"/>
  </w:num>
  <w:num w:numId="9" w16cid:durableId="395083387">
    <w:abstractNumId w:val="10"/>
  </w:num>
  <w:num w:numId="10" w16cid:durableId="275647440">
    <w:abstractNumId w:val="9"/>
  </w:num>
  <w:num w:numId="11" w16cid:durableId="833910525">
    <w:abstractNumId w:val="18"/>
  </w:num>
  <w:num w:numId="12" w16cid:durableId="1054424265">
    <w:abstractNumId w:val="7"/>
  </w:num>
  <w:num w:numId="13" w16cid:durableId="249850929">
    <w:abstractNumId w:val="6"/>
  </w:num>
  <w:num w:numId="14" w16cid:durableId="1223718294">
    <w:abstractNumId w:val="5"/>
  </w:num>
  <w:num w:numId="15" w16cid:durableId="627469077">
    <w:abstractNumId w:val="4"/>
  </w:num>
  <w:num w:numId="16" w16cid:durableId="1116214109">
    <w:abstractNumId w:val="8"/>
  </w:num>
  <w:num w:numId="17" w16cid:durableId="269826179">
    <w:abstractNumId w:val="3"/>
  </w:num>
  <w:num w:numId="18" w16cid:durableId="117336965">
    <w:abstractNumId w:val="2"/>
  </w:num>
  <w:num w:numId="19" w16cid:durableId="86851226">
    <w:abstractNumId w:val="1"/>
  </w:num>
  <w:num w:numId="20" w16cid:durableId="1944723019">
    <w:abstractNumId w:val="0"/>
  </w:num>
  <w:num w:numId="21" w16cid:durableId="335546736">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FF8"/>
    <w:rsid w:val="000318F7"/>
    <w:rsid w:val="000447B5"/>
    <w:rsid w:val="00044AD5"/>
    <w:rsid w:val="00056B9C"/>
    <w:rsid w:val="00094EBF"/>
    <w:rsid w:val="000C5149"/>
    <w:rsid w:val="00135384"/>
    <w:rsid w:val="0016534E"/>
    <w:rsid w:val="00173A91"/>
    <w:rsid w:val="00177329"/>
    <w:rsid w:val="001963DD"/>
    <w:rsid w:val="001A15B6"/>
    <w:rsid w:val="001A3C4A"/>
    <w:rsid w:val="001A5FF8"/>
    <w:rsid w:val="001D7CD3"/>
    <w:rsid w:val="001F3812"/>
    <w:rsid w:val="00202F97"/>
    <w:rsid w:val="002056B7"/>
    <w:rsid w:val="0020718E"/>
    <w:rsid w:val="0023364D"/>
    <w:rsid w:val="0029309A"/>
    <w:rsid w:val="002C5B23"/>
    <w:rsid w:val="002F3980"/>
    <w:rsid w:val="00337785"/>
    <w:rsid w:val="00367D13"/>
    <w:rsid w:val="0037589C"/>
    <w:rsid w:val="003B3ECB"/>
    <w:rsid w:val="00403FBB"/>
    <w:rsid w:val="00464A0F"/>
    <w:rsid w:val="00473C7A"/>
    <w:rsid w:val="004835C9"/>
    <w:rsid w:val="0048584C"/>
    <w:rsid w:val="00497FF8"/>
    <w:rsid w:val="004B0B4E"/>
    <w:rsid w:val="004D042B"/>
    <w:rsid w:val="004D0EC7"/>
    <w:rsid w:val="00525414"/>
    <w:rsid w:val="00534F8C"/>
    <w:rsid w:val="00555A1D"/>
    <w:rsid w:val="00573202"/>
    <w:rsid w:val="005B102C"/>
    <w:rsid w:val="005B16C1"/>
    <w:rsid w:val="005C3A15"/>
    <w:rsid w:val="005C5C54"/>
    <w:rsid w:val="005E62B9"/>
    <w:rsid w:val="005E6AD7"/>
    <w:rsid w:val="005F60F9"/>
    <w:rsid w:val="00606600"/>
    <w:rsid w:val="00611E1D"/>
    <w:rsid w:val="0062400A"/>
    <w:rsid w:val="006372F5"/>
    <w:rsid w:val="00656431"/>
    <w:rsid w:val="006C5A70"/>
    <w:rsid w:val="006D324D"/>
    <w:rsid w:val="00722689"/>
    <w:rsid w:val="00743B2A"/>
    <w:rsid w:val="007A72B4"/>
    <w:rsid w:val="007B7348"/>
    <w:rsid w:val="007C674A"/>
    <w:rsid w:val="007D4F48"/>
    <w:rsid w:val="007F018A"/>
    <w:rsid w:val="00811235"/>
    <w:rsid w:val="008522DD"/>
    <w:rsid w:val="00860732"/>
    <w:rsid w:val="008A0E2E"/>
    <w:rsid w:val="008B187F"/>
    <w:rsid w:val="008D51B6"/>
    <w:rsid w:val="009522DD"/>
    <w:rsid w:val="00956F11"/>
    <w:rsid w:val="00984368"/>
    <w:rsid w:val="00993A05"/>
    <w:rsid w:val="009F1914"/>
    <w:rsid w:val="00A329E0"/>
    <w:rsid w:val="00A34A54"/>
    <w:rsid w:val="00A44415"/>
    <w:rsid w:val="00A45145"/>
    <w:rsid w:val="00A6104A"/>
    <w:rsid w:val="00A94CA7"/>
    <w:rsid w:val="00AC03BB"/>
    <w:rsid w:val="00AF3E5A"/>
    <w:rsid w:val="00AF4730"/>
    <w:rsid w:val="00B216C1"/>
    <w:rsid w:val="00B54B18"/>
    <w:rsid w:val="00B64153"/>
    <w:rsid w:val="00B6492A"/>
    <w:rsid w:val="00B76B3C"/>
    <w:rsid w:val="00B772F5"/>
    <w:rsid w:val="00B91668"/>
    <w:rsid w:val="00BD554D"/>
    <w:rsid w:val="00BE2415"/>
    <w:rsid w:val="00C20CC3"/>
    <w:rsid w:val="00C55576"/>
    <w:rsid w:val="00C875AF"/>
    <w:rsid w:val="00C877A3"/>
    <w:rsid w:val="00D81261"/>
    <w:rsid w:val="00D849A9"/>
    <w:rsid w:val="00DE7D3F"/>
    <w:rsid w:val="00E026EC"/>
    <w:rsid w:val="00E45537"/>
    <w:rsid w:val="00E6230A"/>
    <w:rsid w:val="00ED7723"/>
    <w:rsid w:val="00F73C5F"/>
    <w:rsid w:val="00F90F88"/>
    <w:rsid w:val="00FB16F8"/>
    <w:rsid w:val="00FD54CA"/>
    <w:rsid w:val="00FD77F9"/>
    <w:rsid w:val="00FF174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1340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1359</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2026-03-20T08:32:00Z</dcterms:created>
  <dcterms:modified xsi:type="dcterms:W3CDTF">2026-03-20T09:44:00Z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2079968</vt:lpwstr>
  </property>
  <property fmtid="{D5CDD505-2E9C-101B-9397-08002B2CF9AE}" pid="3" name="cstLanguage">
    <vt:i4>2057</vt:i4>
  </property>
  <property fmtid="{D5CDD505-2E9C-101B-9397-08002B2CF9AE}" pid="4" name="RegisteredNo">
    <vt:lpwstr>9673/25</vt:lpwstr>
  </property>
</Properties>
</file>