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BD3A6B" w:rsidR="0098410D" w:rsidP="00BD3A6B" w14:paraId="67F5D545" w14:textId="77777777">
      <w:pPr>
        <w:jc w:val="center"/>
      </w:pPr>
    </w:p>
    <w:p w:rsidRPr="00BD3A6B" w:rsidR="0098410D" w:rsidP="00BD3A6B" w14:paraId="5D039A85" w14:textId="2B1D394B">
      <w:pPr>
        <w:pStyle w:val="DecHTitle"/>
      </w:pPr>
      <w:r w:rsidRPr="00BD3A6B">
        <w:t>FIFTH SECTION</w:t>
      </w:r>
    </w:p>
    <w:p w:rsidRPr="00BD3A6B" w:rsidR="008E6217" w:rsidP="00BD3A6B" w14:paraId="6E4BD414" w14:textId="589F3F8D">
      <w:pPr>
        <w:pStyle w:val="JuTitle"/>
      </w:pPr>
      <w:r w:rsidRPr="00BD3A6B">
        <w:rPr>
          <w:color w:val="000000" w:themeColor="text1"/>
        </w:rPr>
        <w:t xml:space="preserve">CASE OF </w:t>
      </w:r>
      <w:r w:rsidRPr="00BD3A6B" w:rsidR="00CA1E7E">
        <w:t>PETKANYCH AND OTHERS v. UKRAINE</w:t>
      </w:r>
    </w:p>
    <w:p w:rsidRPr="00BD3A6B" w:rsidR="00CA1E7E" w:rsidP="00BD3A6B" w14:paraId="295490C8" w14:textId="07E3E32C">
      <w:pPr>
        <w:pStyle w:val="ECHRCoverTitle4"/>
        <w:rPr>
          <w:noProof/>
        </w:rPr>
      </w:pPr>
      <w:r w:rsidRPr="00BD3A6B">
        <w:t>(</w:t>
      </w:r>
      <w:r w:rsidRPr="00BD3A6B">
        <w:rPr>
          <w:noProof/>
        </w:rPr>
        <w:t>Applications nos.</w:t>
      </w:r>
      <w:r w:rsidRPr="00BD3A6B">
        <w:t xml:space="preserve"> </w:t>
      </w:r>
      <w:r w:rsidRPr="00BD3A6B">
        <w:t>55046/16</w:t>
      </w:r>
      <w:r w:rsidRPr="00BD3A6B">
        <w:rPr>
          <w:noProof/>
        </w:rPr>
        <w:t xml:space="preserve"> and </w:t>
      </w:r>
      <w:r w:rsidRPr="00BD3A6B" w:rsidR="008A716C">
        <w:rPr>
          <w:noProof/>
        </w:rPr>
        <w:t>3</w:t>
      </w:r>
      <w:r w:rsidRPr="00BD3A6B">
        <w:rPr>
          <w:noProof/>
        </w:rPr>
        <w:t xml:space="preserve"> others –</w:t>
      </w:r>
    </w:p>
    <w:p w:rsidRPr="00BD3A6B" w:rsidR="00D74888" w:rsidP="00BD3A6B" w14:paraId="0EBC5C74" w14:textId="4C8EB0ED">
      <w:pPr>
        <w:pStyle w:val="ECHRCoverTitle4"/>
      </w:pPr>
      <w:r w:rsidRPr="00BD3A6B">
        <w:rPr>
          <w:iCs/>
          <w:noProof/>
        </w:rPr>
        <w:t>see appended list</w:t>
      </w:r>
      <w:r w:rsidRPr="00BD3A6B" w:rsidR="008E6217">
        <w:t>)</w:t>
      </w:r>
    </w:p>
    <w:p w:rsidRPr="00BD3A6B" w:rsidR="0098410D" w:rsidP="00BD3A6B" w14:paraId="6B33849C" w14:textId="77777777">
      <w:pPr>
        <w:pStyle w:val="DecHCase"/>
      </w:pPr>
    </w:p>
    <w:p w:rsidRPr="00BD3A6B" w:rsidR="0054716E" w:rsidP="00BD3A6B" w14:paraId="327356E6" w14:textId="77777777">
      <w:pPr>
        <w:pStyle w:val="DecHCase"/>
      </w:pPr>
    </w:p>
    <w:p w:rsidRPr="00BD3A6B" w:rsidR="0054716E" w:rsidP="00BD3A6B" w14:paraId="0DD983B5" w14:textId="77777777">
      <w:pPr>
        <w:pStyle w:val="DecHCase"/>
      </w:pPr>
    </w:p>
    <w:p w:rsidRPr="00BD3A6B" w:rsidR="0098410D" w:rsidP="00BD3A6B" w14:paraId="6C9E7B89" w14:textId="77777777">
      <w:pPr>
        <w:pStyle w:val="DecHCase"/>
      </w:pPr>
    </w:p>
    <w:p w:rsidRPr="00BD3A6B" w:rsidR="00AC4CD4" w:rsidP="00BD3A6B" w14:paraId="16F62D3C" w14:textId="77777777">
      <w:pPr>
        <w:pStyle w:val="DecHCase"/>
      </w:pPr>
    </w:p>
    <w:p w:rsidRPr="00BD3A6B" w:rsidR="0098410D" w:rsidP="00BD3A6B" w14:paraId="7D321103" w14:textId="77777777">
      <w:pPr>
        <w:pStyle w:val="DecHCase"/>
      </w:pPr>
    </w:p>
    <w:p w:rsidRPr="00BD3A6B" w:rsidR="0098410D" w:rsidP="00BD3A6B" w14:paraId="04C3A577" w14:textId="7F7F3C54">
      <w:pPr>
        <w:pStyle w:val="DecHCase"/>
      </w:pPr>
      <w:r w:rsidRPr="00BD3A6B">
        <w:t>JUDGMENT</w:t>
      </w:r>
      <w:r w:rsidRPr="00BD3A6B" w:rsidR="00AC4CD4">
        <w:br/>
      </w:r>
    </w:p>
    <w:p w:rsidRPr="00BD3A6B" w:rsidR="0098410D" w:rsidP="00BD3A6B" w14:paraId="60AF85FE" w14:textId="77777777">
      <w:pPr>
        <w:pStyle w:val="DecHCase"/>
      </w:pPr>
      <w:r w:rsidRPr="00BD3A6B">
        <w:t>STRASBOURG</w:t>
      </w:r>
    </w:p>
    <w:p w:rsidRPr="00BD3A6B" w:rsidR="0098410D" w:rsidP="00BD3A6B" w14:paraId="48B45137" w14:textId="11556BEE">
      <w:pPr>
        <w:pStyle w:val="DecHCase"/>
      </w:pPr>
      <w:r w:rsidRPr="00BD3A6B">
        <w:rPr>
          <w:rFonts w:ascii="Times New Roman" w:hAnsi="Times New Roman" w:cs="Times New Roman"/>
        </w:rPr>
        <w:t>12 February 2026</w:t>
      </w:r>
    </w:p>
    <w:p w:rsidRPr="00BD3A6B" w:rsidR="00AC4CD4" w:rsidP="00BD3A6B" w14:paraId="489C930E" w14:textId="77777777">
      <w:pPr>
        <w:pStyle w:val="JuPara"/>
      </w:pPr>
    </w:p>
    <w:p w:rsidRPr="00BD3A6B" w:rsidR="002422B6" w:rsidP="00BD3A6B" w14:paraId="39C26564" w14:textId="6A355B01">
      <w:pPr>
        <w:rPr>
          <w:i/>
          <w:sz w:val="22"/>
        </w:rPr>
      </w:pPr>
      <w:r w:rsidRPr="00BD3A6B">
        <w:rPr>
          <w:i/>
          <w:sz w:val="22"/>
        </w:rPr>
        <w:t xml:space="preserve">This judgment </w:t>
      </w:r>
      <w:r w:rsidRPr="00BD3A6B" w:rsidR="00CA1E7E">
        <w:rPr>
          <w:i/>
          <w:noProof/>
          <w:sz w:val="22"/>
        </w:rPr>
        <w:t>is final but it</w:t>
      </w:r>
      <w:r w:rsidRPr="00BD3A6B">
        <w:rPr>
          <w:i/>
          <w:sz w:val="22"/>
        </w:rPr>
        <w:t xml:space="preserve"> may be subject to editorial revision.</w:t>
      </w:r>
    </w:p>
    <w:p w:rsidRPr="00BD3A6B" w:rsidR="0098410D" w:rsidP="00BD3A6B" w14:paraId="71B876FB"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BD3A6B" w:rsidR="0098410D" w:rsidP="00BD3A6B" w14:paraId="4CB96A3A" w14:textId="76A09FE7">
      <w:pPr>
        <w:pStyle w:val="JuCase"/>
      </w:pPr>
      <w:r w:rsidRPr="00BD3A6B">
        <w:t xml:space="preserve">In the case of </w:t>
      </w:r>
      <w:r w:rsidRPr="00BD3A6B" w:rsidR="00CA1E7E">
        <w:t>Petkanych and Others v. Ukraine</w:t>
      </w:r>
      <w:r w:rsidRPr="00BD3A6B">
        <w:t>,</w:t>
      </w:r>
    </w:p>
    <w:p w:rsidRPr="00BD3A6B" w:rsidR="009F4C8F" w:rsidP="00BD3A6B" w14:paraId="002D1468" w14:textId="30BB16F6">
      <w:pPr>
        <w:pStyle w:val="JuPara"/>
      </w:pPr>
      <w:r w:rsidRPr="00BD3A6B">
        <w:t>The European Court of Human Rights (</w:t>
      </w:r>
      <w:r w:rsidRPr="00BD3A6B" w:rsidR="00CA1E7E">
        <w:t>Fifth Section</w:t>
      </w:r>
      <w:r w:rsidRPr="00BD3A6B">
        <w:t xml:space="preserve">), sitting as a </w:t>
      </w:r>
      <w:r w:rsidRPr="00BD3A6B" w:rsidR="00CA1E7E">
        <w:rPr>
          <w:noProof/>
        </w:rPr>
        <w:t>Committee</w:t>
      </w:r>
      <w:r w:rsidRPr="00BD3A6B">
        <w:t xml:space="preserve"> composed of:</w:t>
      </w:r>
    </w:p>
    <w:p w:rsidRPr="00BD3A6B" w:rsidR="00A92625" w:rsidP="00BD3A6B" w14:paraId="5C748B62" w14:textId="11798BF3">
      <w:pPr>
        <w:pStyle w:val="JuJudges"/>
      </w:pPr>
      <w:r w:rsidRPr="00BD3A6B">
        <w:tab/>
        <w:t>Gilberto Felici</w:t>
      </w:r>
      <w:r w:rsidRPr="00BD3A6B">
        <w:rPr>
          <w:i/>
        </w:rPr>
        <w:t>, President</w:t>
      </w:r>
      <w:r w:rsidRPr="00BD3A6B">
        <w:t>,</w:t>
      </w:r>
      <w:r w:rsidRPr="00BD3A6B">
        <w:br/>
      </w:r>
      <w:r w:rsidRPr="00BD3A6B">
        <w:tab/>
        <w:t>Mykola Gnatovskyy,</w:t>
      </w:r>
      <w:r w:rsidRPr="00BD3A6B">
        <w:br/>
      </w:r>
      <w:r w:rsidRPr="00BD3A6B">
        <w:tab/>
        <w:t>Vahe Grigoryan</w:t>
      </w:r>
      <w:r w:rsidRPr="00BD3A6B">
        <w:rPr>
          <w:i/>
        </w:rPr>
        <w:t>, judges</w:t>
      </w:r>
      <w:r w:rsidRPr="00BD3A6B">
        <w:t>,</w:t>
      </w:r>
      <w:r w:rsidRPr="00BD3A6B" w:rsidR="009F4C8F">
        <w:br/>
        <w:t>and</w:t>
      </w:r>
      <w:r w:rsidRPr="00BD3A6B" w:rsidR="005C2C62">
        <w:t xml:space="preserve"> </w:t>
      </w:r>
      <w:r w:rsidRPr="00BD3A6B" w:rsidR="00CA1E7E">
        <w:rPr>
          <w:rFonts w:eastAsia="PMingLiU"/>
          <w:noProof/>
        </w:rPr>
        <w:t>Martina Keller</w:t>
      </w:r>
      <w:r w:rsidRPr="00BD3A6B">
        <w:t xml:space="preserve">, </w:t>
      </w:r>
      <w:r w:rsidRPr="00BD3A6B" w:rsidR="00CA1E7E">
        <w:rPr>
          <w:i/>
          <w:iCs/>
          <w:noProof/>
        </w:rPr>
        <w:t xml:space="preserve">Deputy </w:t>
      </w:r>
      <w:r w:rsidRPr="00BD3A6B" w:rsidR="00E744E0">
        <w:rPr>
          <w:i/>
        </w:rPr>
        <w:t xml:space="preserve">Section </w:t>
      </w:r>
      <w:r w:rsidRPr="00BD3A6B" w:rsidR="00E744E0">
        <w:rPr>
          <w:i/>
          <w:iCs/>
        </w:rPr>
        <w:t>Registrar</w:t>
      </w:r>
      <w:r w:rsidRPr="00BD3A6B" w:rsidR="008F2465">
        <w:rPr>
          <w:i/>
        </w:rPr>
        <w:t>,</w:t>
      </w:r>
    </w:p>
    <w:p w:rsidRPr="00BD3A6B" w:rsidR="00CA1E7E" w:rsidP="00BD3A6B" w14:paraId="7E1411E1" w14:textId="77777777">
      <w:pPr>
        <w:pStyle w:val="JuPara"/>
      </w:pPr>
      <w:r w:rsidRPr="00BD3A6B">
        <w:t>Having regard to:</w:t>
      </w:r>
    </w:p>
    <w:p w:rsidRPr="00BD3A6B" w:rsidR="00CA1E7E" w:rsidP="00BD3A6B" w14:paraId="62FEE6D0" w14:textId="77777777">
      <w:pPr>
        <w:pStyle w:val="JuPara"/>
      </w:pPr>
      <w:r w:rsidRPr="00BD3A6B">
        <w:t xml:space="preserve">the applications against Ukraine lodged with the Court under Article 34 of the Convention for the Protection of Human Rights and Fundamental Freedoms (“the Convention”) by the applicants listed in the appended table, (“the applicants”), on the </w:t>
      </w:r>
      <w:r w:rsidRPr="00BD3A6B">
        <w:rPr>
          <w:rFonts w:eastAsia="PMingLiU"/>
        </w:rPr>
        <w:t xml:space="preserve">various dates indicated </w:t>
      </w:r>
      <w:r w:rsidRPr="00BD3A6B">
        <w:rPr>
          <w:rFonts w:eastAsia="PMingLiU"/>
        </w:rPr>
        <w:t>therein</w:t>
      </w:r>
      <w:r w:rsidRPr="00BD3A6B">
        <w:t>;</w:t>
      </w:r>
    </w:p>
    <w:p w:rsidRPr="00BD3A6B" w:rsidR="00CA1E7E" w:rsidP="00BD3A6B" w14:paraId="67E99FFD" w14:textId="77777777">
      <w:pPr>
        <w:pStyle w:val="JuPara"/>
      </w:pPr>
      <w:r w:rsidRPr="00BD3A6B">
        <w:t>the decision to give notice of the applications to the Ukrainian Government (“the Government”</w:t>
      </w:r>
      <w:r w:rsidRPr="00BD3A6B">
        <w:t>);</w:t>
      </w:r>
    </w:p>
    <w:p w:rsidRPr="00BD3A6B" w:rsidR="00CA1E7E" w:rsidP="00BD3A6B" w14:paraId="08AB925E" w14:textId="58119438">
      <w:pPr>
        <w:pStyle w:val="JuPara"/>
      </w:pPr>
      <w:r w:rsidRPr="00BD3A6B">
        <w:t>the parties</w:t>
      </w:r>
      <w:r w:rsidRPr="00BD3A6B" w:rsidR="00BD3A6B">
        <w:t>’</w:t>
      </w:r>
      <w:r w:rsidRPr="00BD3A6B">
        <w:t xml:space="preserve"> </w:t>
      </w:r>
      <w:r w:rsidRPr="00BD3A6B">
        <w:t>observations;</w:t>
      </w:r>
    </w:p>
    <w:p w:rsidRPr="00BD3A6B" w:rsidR="009F4C8F" w:rsidP="00BD3A6B" w14:paraId="391AD161" w14:textId="3596AA89">
      <w:pPr>
        <w:pStyle w:val="JuPara"/>
      </w:pPr>
      <w:r w:rsidRPr="00BD3A6B">
        <w:t xml:space="preserve">Having deliberated in private on </w:t>
      </w:r>
      <w:r w:rsidRPr="00BD3A6B" w:rsidR="00CA1E7E">
        <w:t>22 January 2026</w:t>
      </w:r>
      <w:r w:rsidRPr="00BD3A6B">
        <w:t>,</w:t>
      </w:r>
    </w:p>
    <w:p w:rsidRPr="00BD3A6B" w:rsidR="009F4C8F" w:rsidP="00BD3A6B" w14:paraId="54DF36AD" w14:textId="77777777">
      <w:pPr>
        <w:pStyle w:val="JuPara"/>
      </w:pPr>
      <w:r w:rsidRPr="00BD3A6B">
        <w:t>Delivers the following judgment, which was adopted on that date:</w:t>
      </w:r>
    </w:p>
    <w:p w:rsidRPr="00BD3A6B" w:rsidR="00CA1E7E" w:rsidP="00BD3A6B" w14:paraId="12416CC8" w14:textId="55EE6342">
      <w:pPr>
        <w:pStyle w:val="JuHHead"/>
        <w:numPr>
          <w:ilvl w:val="0"/>
          <w:numId w:val="0"/>
        </w:numPr>
      </w:pPr>
      <w:r w:rsidRPr="00BD3A6B">
        <w:t>SUBJECT MATTER OF THE CASE</w:t>
      </w:r>
    </w:p>
    <w:p w:rsidRPr="00BD3A6B" w:rsidR="00CA1E7E" w:rsidP="00BD3A6B" w14:paraId="72F6F7A4" w14:textId="26D6C250">
      <w:pPr>
        <w:pStyle w:val="JuPara"/>
      </w:pPr>
      <w:r w:rsidRPr="00BD3A6B">
        <w:fldChar w:fldCharType="begin"/>
      </w:r>
      <w:r w:rsidRPr="00BD3A6B">
        <w:instrText xml:space="preserve"> SEQ level0 \*arabic \* MERGEFORMAT </w:instrText>
      </w:r>
      <w:r w:rsidRPr="00BD3A6B">
        <w:fldChar w:fldCharType="separate"/>
      </w:r>
      <w:r w:rsidRPr="00BD3A6B">
        <w:rPr>
          <w:noProof/>
        </w:rPr>
        <w:t>1</w:t>
      </w:r>
      <w:r w:rsidRPr="00BD3A6B">
        <w:rPr>
          <w:noProof/>
        </w:rPr>
        <w:fldChar w:fldCharType="end"/>
      </w:r>
      <w:r w:rsidRPr="00BD3A6B">
        <w:t>.  The present case concerns the allegedly ineffective domestic investigations into medical negligence which had resulted in the deaths of the applicants</w:t>
      </w:r>
      <w:r w:rsidRPr="00BD3A6B">
        <w:t>’</w:t>
      </w:r>
      <w:r w:rsidRPr="00BD3A6B">
        <w:t xml:space="preserve"> next of kin.</w:t>
      </w:r>
    </w:p>
    <w:p w:rsidRPr="00BD3A6B" w:rsidR="00CA1E7E" w:rsidP="00BD3A6B" w14:paraId="07873742" w14:textId="4F551896">
      <w:pPr>
        <w:pStyle w:val="JuPara"/>
      </w:pPr>
      <w:r w:rsidRPr="00BD3A6B">
        <w:fldChar w:fldCharType="begin"/>
      </w:r>
      <w:r w:rsidRPr="00BD3A6B">
        <w:instrText xml:space="preserve"> SEQ level0 \*arabic \* MERGEFORMAT </w:instrText>
      </w:r>
      <w:r w:rsidRPr="00BD3A6B">
        <w:fldChar w:fldCharType="separate"/>
      </w:r>
      <w:r w:rsidRPr="00BD3A6B">
        <w:rPr>
          <w:noProof/>
        </w:rPr>
        <w:t>2</w:t>
      </w:r>
      <w:r w:rsidRPr="00BD3A6B">
        <w:rPr>
          <w:noProof/>
        </w:rPr>
        <w:fldChar w:fldCharType="end"/>
      </w:r>
      <w:r w:rsidRPr="00BD3A6B">
        <w:t>.  The relevant details of the applications are set out in the appended table.</w:t>
      </w:r>
    </w:p>
    <w:p w:rsidRPr="00BD3A6B" w:rsidR="00CA1E7E" w:rsidP="00BD3A6B" w14:paraId="695F8902" w14:textId="6CE87E8E">
      <w:pPr>
        <w:pStyle w:val="JuHHead"/>
      </w:pPr>
      <w:r w:rsidRPr="00BD3A6B">
        <w:t>THE COURT</w:t>
      </w:r>
      <w:r w:rsidRPr="00BD3A6B" w:rsidR="00BD3A6B">
        <w:t>’</w:t>
      </w:r>
      <w:r w:rsidRPr="00BD3A6B">
        <w:t>S ASSESSMENT</w:t>
      </w:r>
    </w:p>
    <w:p w:rsidRPr="00BD3A6B" w:rsidR="00CA1E7E" w:rsidP="00BD3A6B" w14:paraId="11180E1C" w14:textId="77777777">
      <w:pPr>
        <w:pStyle w:val="JuHIRoman"/>
      </w:pPr>
      <w:r w:rsidRPr="00BD3A6B">
        <w:t>JOINDER OF THE APPLICATIONS</w:t>
      </w:r>
    </w:p>
    <w:p w:rsidRPr="00BD3A6B" w:rsidR="00CA1E7E" w:rsidP="00BD3A6B" w14:paraId="62E20FBA" w14:textId="04C159FC">
      <w:pPr>
        <w:pStyle w:val="JuPara"/>
      </w:pPr>
      <w:r w:rsidRPr="00BD3A6B">
        <w:fldChar w:fldCharType="begin"/>
      </w:r>
      <w:r w:rsidRPr="00BD3A6B">
        <w:instrText xml:space="preserve"> SEQ level0 \*arabic \* MERGEFORMAT </w:instrText>
      </w:r>
      <w:r w:rsidRPr="00BD3A6B">
        <w:fldChar w:fldCharType="separate"/>
      </w:r>
      <w:r w:rsidRPr="00BD3A6B">
        <w:rPr>
          <w:noProof/>
        </w:rPr>
        <w:t>3</w:t>
      </w:r>
      <w:r w:rsidRPr="00BD3A6B">
        <w:rPr>
          <w:noProof/>
        </w:rPr>
        <w:fldChar w:fldCharType="end"/>
      </w:r>
      <w:r w:rsidRPr="00BD3A6B">
        <w:t>.  Having regard to the similar subject matter of the applications, the Court finds it appropriate to examine them jointly in a single judgment.</w:t>
      </w:r>
    </w:p>
    <w:p w:rsidRPr="00BD3A6B" w:rsidR="00CA1E7E" w:rsidP="00BD3A6B" w14:paraId="15823E52" w14:textId="77777777">
      <w:pPr>
        <w:pStyle w:val="JuHIRoman"/>
        <w:ind w:left="3488" w:hanging="3346"/>
      </w:pPr>
      <w:r w:rsidRPr="00BD3A6B">
        <w:t>PRELIMINARY ISSUES</w:t>
      </w:r>
    </w:p>
    <w:p w:rsidRPr="00BD3A6B" w:rsidR="00CA1E7E" w:rsidP="00BD3A6B" w14:paraId="409D8AE8" w14:textId="2D400001">
      <w:pPr>
        <w:pStyle w:val="JuPara"/>
      </w:pPr>
      <w:r w:rsidRPr="00BD3A6B">
        <w:fldChar w:fldCharType="begin"/>
      </w:r>
      <w:r w:rsidRPr="00BD3A6B">
        <w:instrText xml:space="preserve"> SEQ level0 \*arabic \* MERGEFORMAT </w:instrText>
      </w:r>
      <w:r w:rsidRPr="00BD3A6B">
        <w:fldChar w:fldCharType="separate"/>
      </w:r>
      <w:r w:rsidRPr="00BD3A6B">
        <w:rPr>
          <w:noProof/>
        </w:rPr>
        <w:t>4</w:t>
      </w:r>
      <w:r w:rsidRPr="00BD3A6B">
        <w:rPr>
          <w:noProof/>
        </w:rPr>
        <w:fldChar w:fldCharType="end"/>
      </w:r>
      <w:r w:rsidRPr="00BD3A6B">
        <w:t>. In application no. 32999/17, one of the applicants, Mr</w:t>
      </w:r>
      <w:r w:rsidRPr="00BD3A6B" w:rsidR="008A716C">
        <w:t> </w:t>
      </w:r>
      <w:r w:rsidRPr="00BD3A6B">
        <w:t>Viktor Vasylyovych Gorbatyy, died on 28 March 2018. His daughter, Ms</w:t>
      </w:r>
      <w:r w:rsidRPr="00BD3A6B" w:rsidR="008A716C">
        <w:t> </w:t>
      </w:r>
      <w:r w:rsidRPr="00BD3A6B">
        <w:t>Tetyana Viktorivna Ignasheva, expressed her wish to pursue the application on her late father</w:t>
      </w:r>
      <w:r w:rsidRPr="00BD3A6B">
        <w:t>’</w:t>
      </w:r>
      <w:r w:rsidRPr="00BD3A6B">
        <w:t xml:space="preserve">s behalf. The Court notes that in various cases, where applicants died </w:t>
      </w:r>
      <w:r w:rsidRPr="00BD3A6B">
        <w:t>in the course of</w:t>
      </w:r>
      <w:r w:rsidRPr="00BD3A6B">
        <w:t xml:space="preserve"> the proceedings, it took into account the wishes of their heirs or close members of their families to pursue the proceedings before the Court (see </w:t>
      </w:r>
      <w:r w:rsidRPr="00BD3A6B">
        <w:rPr>
          <w:i/>
          <w:iCs/>
        </w:rPr>
        <w:t>Jama v. Slovenia</w:t>
      </w:r>
      <w:r w:rsidRPr="00BD3A6B">
        <w:t xml:space="preserve">, no. 48163/08, § 28, 19 July 2012; </w:t>
      </w:r>
      <w:bookmarkStart w:name="_cl34570THECOURTSASSESSMENT" w:id="0"/>
      <w:r w:rsidRPr="00BD3A6B">
        <w:rPr>
          <w:i/>
          <w:iCs/>
        </w:rPr>
        <w:t>Prynda v.</w:t>
      </w:r>
      <w:r w:rsidRPr="00BD3A6B" w:rsidR="008A716C">
        <w:rPr>
          <w:i/>
          <w:iCs/>
        </w:rPr>
        <w:t> </w:t>
      </w:r>
      <w:r w:rsidRPr="00BD3A6B">
        <w:rPr>
          <w:i/>
          <w:iCs/>
        </w:rPr>
        <w:t>Ukraine</w:t>
      </w:r>
      <w:bookmarkEnd w:id="0"/>
      <w:r w:rsidRPr="00BD3A6B">
        <w:t xml:space="preserve">, no. 10904/05, § 44, 31 July 2012). It sees no reason to reach a different conclusion in the present case. Therefore, the Court accepts that </w:t>
      </w:r>
      <w:r w:rsidRPr="00BD3A6B">
        <w:t>Ms</w:t>
      </w:r>
      <w:r w:rsidRPr="00BD3A6B" w:rsidR="008A716C">
        <w:t> </w:t>
      </w:r>
      <w:r w:rsidRPr="00BD3A6B">
        <w:t>Tetyana Viktorivna Ignasheva can pursue the application in the late applicant</w:t>
      </w:r>
      <w:r w:rsidRPr="00BD3A6B">
        <w:t>’</w:t>
      </w:r>
      <w:r w:rsidRPr="00BD3A6B">
        <w:t>s stead.</w:t>
      </w:r>
    </w:p>
    <w:p w:rsidRPr="00BD3A6B" w:rsidR="00CA1E7E" w:rsidP="00BD3A6B" w14:paraId="76E6CC2E" w14:textId="4273ECFB">
      <w:pPr>
        <w:pStyle w:val="JuPara"/>
      </w:pPr>
      <w:r w:rsidRPr="00BD3A6B">
        <w:fldChar w:fldCharType="begin"/>
      </w:r>
      <w:r w:rsidRPr="00BD3A6B">
        <w:instrText xml:space="preserve"> SEQ level0 \*arabic \* MERGEFORMAT </w:instrText>
      </w:r>
      <w:r w:rsidRPr="00BD3A6B">
        <w:fldChar w:fldCharType="separate"/>
      </w:r>
      <w:r w:rsidRPr="00BD3A6B">
        <w:rPr>
          <w:noProof/>
        </w:rPr>
        <w:t>5</w:t>
      </w:r>
      <w:r w:rsidRPr="00BD3A6B">
        <w:rPr>
          <w:noProof/>
        </w:rPr>
        <w:fldChar w:fldCharType="end"/>
      </w:r>
      <w:r w:rsidRPr="00BD3A6B">
        <w:t>.  In application no. 32999/17, in their observations on the admissibility and merits submitted to the Court, the applicants complained that the medical personnel of the public hospital were responsible for the death of their daughter. This complaint, in terms of a State</w:t>
      </w:r>
      <w:r w:rsidRPr="00BD3A6B">
        <w:t>’</w:t>
      </w:r>
      <w:r w:rsidRPr="00BD3A6B">
        <w:t>s substantive positive obligation under Article 2 of the Convention, was raised by the applicants for the first time in reply to the Government</w:t>
      </w:r>
      <w:r w:rsidRPr="00BD3A6B">
        <w:t>’</w:t>
      </w:r>
      <w:r w:rsidRPr="00BD3A6B">
        <w:t>s observations. It thus constitutes a new complaint relating to the distinct matter under the provision relied upon and not an elaboration or elucidation of the applicants</w:t>
      </w:r>
      <w:r w:rsidRPr="00BD3A6B">
        <w:t>’</w:t>
      </w:r>
      <w:r w:rsidRPr="00BD3A6B">
        <w:t xml:space="preserve"> original complaint on which the parties have commented. The Court considers, therefore, that it is not appropriate to take it up in the context of the present case (see </w:t>
      </w:r>
      <w:r w:rsidRPr="00BD3A6B">
        <w:rPr>
          <w:i/>
          <w:iCs/>
        </w:rPr>
        <w:t>Bilyavska v.</w:t>
      </w:r>
      <w:r w:rsidRPr="00BD3A6B" w:rsidR="008A716C">
        <w:rPr>
          <w:i/>
          <w:iCs/>
        </w:rPr>
        <w:t> </w:t>
      </w:r>
      <w:r w:rsidRPr="00BD3A6B">
        <w:rPr>
          <w:i/>
          <w:iCs/>
        </w:rPr>
        <w:t>Ukraine</w:t>
      </w:r>
      <w:r w:rsidRPr="00BD3A6B">
        <w:t>, no. 84568/17, § 26, 27 March 2025).</w:t>
      </w:r>
    </w:p>
    <w:p w:rsidRPr="00BD3A6B" w:rsidR="00CA1E7E" w:rsidP="00BD3A6B" w14:paraId="0F34021E" w14:textId="77777777">
      <w:pPr>
        <w:pStyle w:val="JuHIRoman"/>
      </w:pPr>
      <w:r w:rsidRPr="00BD3A6B">
        <w:t>ALLEGED VIOLATION OF ARTICLE 2 OF THE CONVENTION</w:t>
      </w:r>
    </w:p>
    <w:p w:rsidRPr="00BD3A6B" w:rsidR="00CA1E7E" w:rsidP="00BD3A6B" w14:paraId="5941E0AF" w14:textId="4F5609F9">
      <w:pPr>
        <w:pStyle w:val="JuPara"/>
      </w:pPr>
      <w:r w:rsidRPr="00BD3A6B">
        <w:fldChar w:fldCharType="begin"/>
      </w:r>
      <w:r w:rsidRPr="00BD3A6B">
        <w:instrText xml:space="preserve"> SEQ level0 \*arabic \* MERGEFORMAT </w:instrText>
      </w:r>
      <w:r w:rsidRPr="00BD3A6B">
        <w:fldChar w:fldCharType="separate"/>
      </w:r>
      <w:r w:rsidRPr="00BD3A6B">
        <w:rPr>
          <w:noProof/>
        </w:rPr>
        <w:t>6</w:t>
      </w:r>
      <w:r w:rsidRPr="00BD3A6B">
        <w:rPr>
          <w:noProof/>
        </w:rPr>
        <w:fldChar w:fldCharType="end"/>
      </w:r>
      <w:r w:rsidRPr="00BD3A6B">
        <w:t xml:space="preserve">.  The applicants complained of ineffective domestic investigations into medical negligence which had resulted in the deaths of their next of kin. In all applications the applicants relied on Article 2 of the Convention. In applications nos. 55046/16 and 19581/18, the applicants additionally relied on Article 6 </w:t>
      </w:r>
      <w:r w:rsidRPr="00BD3A6B">
        <w:rPr>
          <w:rFonts w:ascii="Times New Roman" w:hAnsi="Times New Roman" w:eastAsia="Times New Roman" w:cs="Times New Roman"/>
          <w:szCs w:val="22"/>
        </w:rPr>
        <w:t>§ 1</w:t>
      </w:r>
      <w:r w:rsidRPr="00BD3A6B">
        <w:t xml:space="preserve"> and Article 13 of the Convention and in application no. 55046/16 also on Article 3 of the Convention. Being the master of the characterisation to be given in law to the facts of the case, the Court finds it appropriate to examine the applicants</w:t>
      </w:r>
      <w:r w:rsidRPr="00BD3A6B">
        <w:t>’</w:t>
      </w:r>
      <w:r w:rsidRPr="00BD3A6B">
        <w:t xml:space="preserve"> allegations under the procedural limb of Article 2 of the Convention (see </w:t>
      </w:r>
      <w:r w:rsidRPr="00BD3A6B">
        <w:rPr>
          <w:i/>
        </w:rPr>
        <w:t>Igor Shevchenko v.</w:t>
      </w:r>
      <w:r w:rsidRPr="00BD3A6B" w:rsidR="008A716C">
        <w:rPr>
          <w:i/>
        </w:rPr>
        <w:t> </w:t>
      </w:r>
      <w:r w:rsidRPr="00BD3A6B">
        <w:rPr>
          <w:i/>
        </w:rPr>
        <w:t>Ukraine</w:t>
      </w:r>
      <w:r w:rsidRPr="00BD3A6B">
        <w:t>, no. 22737/04, § 38, 12 January 2012).</w:t>
      </w:r>
    </w:p>
    <w:p w:rsidRPr="00BD3A6B" w:rsidR="00CA1E7E" w:rsidP="00BD3A6B" w14:paraId="4F5584B9" w14:textId="77777777">
      <w:pPr>
        <w:pStyle w:val="JuHA"/>
      </w:pPr>
      <w:r w:rsidRPr="00BD3A6B">
        <w:t>Admissibility</w:t>
      </w:r>
    </w:p>
    <w:p w:rsidRPr="00BD3A6B" w:rsidR="00CA1E7E" w:rsidP="00BD3A6B" w14:paraId="1ED17D4F" w14:textId="760CF947">
      <w:pPr>
        <w:pStyle w:val="JuPara"/>
      </w:pPr>
      <w:r w:rsidRPr="00BD3A6B">
        <w:fldChar w:fldCharType="begin"/>
      </w:r>
      <w:r w:rsidRPr="00BD3A6B">
        <w:instrText xml:space="preserve"> SEQ level0 \*arabic \* MERGEFORMAT </w:instrText>
      </w:r>
      <w:r w:rsidRPr="00BD3A6B">
        <w:fldChar w:fldCharType="separate"/>
      </w:r>
      <w:r w:rsidRPr="00BD3A6B">
        <w:rPr>
          <w:noProof/>
        </w:rPr>
        <w:t>7</w:t>
      </w:r>
      <w:r w:rsidRPr="00BD3A6B">
        <w:rPr>
          <w:noProof/>
        </w:rPr>
        <w:fldChar w:fldCharType="end"/>
      </w:r>
      <w:r w:rsidRPr="00BD3A6B">
        <w:t>.  Application no. 55046/16 was lodged by numerous relatives of the late P., including her father, husband, daughter, mother-in-law (the fourth applicant) and her husband</w:t>
      </w:r>
      <w:r w:rsidRPr="00BD3A6B">
        <w:t>’</w:t>
      </w:r>
      <w:r w:rsidRPr="00BD3A6B">
        <w:t>s brother (the fifth applicant). The Government submitted that the fourth and fifth applicants were not close relatives of the deceased P., so they could not be considered victims of a violation of Article 2 of the Convention.</w:t>
      </w:r>
    </w:p>
    <w:p w:rsidRPr="00BD3A6B" w:rsidR="00CA1E7E" w:rsidP="00BD3A6B" w14:paraId="65C0F9D7" w14:textId="0386889D">
      <w:pPr>
        <w:pStyle w:val="JuPara"/>
      </w:pPr>
      <w:r w:rsidRPr="00BD3A6B">
        <w:fldChar w:fldCharType="begin"/>
      </w:r>
      <w:r w:rsidRPr="00BD3A6B">
        <w:instrText xml:space="preserve"> SEQ level0 \*arabic \* MERGEFORMAT </w:instrText>
      </w:r>
      <w:r w:rsidRPr="00BD3A6B">
        <w:fldChar w:fldCharType="separate"/>
      </w:r>
      <w:r w:rsidRPr="00BD3A6B">
        <w:rPr>
          <w:noProof/>
        </w:rPr>
        <w:t>8</w:t>
      </w:r>
      <w:r w:rsidRPr="00BD3A6B">
        <w:rPr>
          <w:noProof/>
        </w:rPr>
        <w:fldChar w:fldCharType="end"/>
      </w:r>
      <w:r w:rsidRPr="00BD3A6B">
        <w:t>.  The applicants disagreed, stating that the fourth and the fifth applicants had shared the same household with P. and the fourth applicant had taken care of a minor child of P.</w:t>
      </w:r>
    </w:p>
    <w:p w:rsidRPr="00BD3A6B" w:rsidR="00CA1E7E" w:rsidP="00BD3A6B" w14:paraId="373DAB83" w14:textId="264CB25B">
      <w:pPr>
        <w:pStyle w:val="JuPara"/>
      </w:pPr>
      <w:r w:rsidRPr="00BD3A6B">
        <w:fldChar w:fldCharType="begin"/>
      </w:r>
      <w:r w:rsidRPr="00BD3A6B">
        <w:instrText xml:space="preserve"> SEQ level0 \*arabic \* MERGEFORMAT </w:instrText>
      </w:r>
      <w:r w:rsidRPr="00BD3A6B">
        <w:fldChar w:fldCharType="separate"/>
      </w:r>
      <w:r w:rsidRPr="00BD3A6B">
        <w:rPr>
          <w:noProof/>
        </w:rPr>
        <w:t>9</w:t>
      </w:r>
      <w:r w:rsidRPr="00BD3A6B">
        <w:rPr>
          <w:noProof/>
        </w:rPr>
        <w:fldChar w:fldCharType="end"/>
      </w:r>
      <w:r w:rsidRPr="00BD3A6B">
        <w:t xml:space="preserve">.  The Court notes that, where a violation of the right to life is alleged, the Convention institutions have accepted applications from close relatives of the deceased (see </w:t>
      </w:r>
      <w:r w:rsidRPr="00BD3A6B">
        <w:rPr>
          <w:i/>
          <w:iCs/>
        </w:rPr>
        <w:t>Kats and Others v. Ukraine</w:t>
      </w:r>
      <w:r w:rsidRPr="00BD3A6B">
        <w:t>, no. 29971/04, § 94, 18</w:t>
      </w:r>
      <w:r w:rsidRPr="00BD3A6B" w:rsidR="008A716C">
        <w:t> </w:t>
      </w:r>
      <w:r w:rsidRPr="00BD3A6B">
        <w:t xml:space="preserve">December 2008, with further references), including from parents-in-law (see </w:t>
      </w:r>
      <w:r w:rsidRPr="00BD3A6B">
        <w:rPr>
          <w:i/>
          <w:iCs/>
        </w:rPr>
        <w:t xml:space="preserve">Avsanova and Others v. Russia </w:t>
      </w:r>
      <w:r w:rsidRPr="00BD3A6B">
        <w:t>[Committee], no. 62380/12, §§ 31-35, 11</w:t>
      </w:r>
      <w:r w:rsidRPr="00BD3A6B" w:rsidR="008A716C">
        <w:t> </w:t>
      </w:r>
      <w:r w:rsidRPr="00BD3A6B">
        <w:t>January 2022). Therefore, the relationship of the fourth applicant with P. was sufficient to qualify for victim status under Article 2 of the Convention.</w:t>
      </w:r>
    </w:p>
    <w:p w:rsidRPr="00BD3A6B" w:rsidR="00CA1E7E" w:rsidP="00BD3A6B" w14:paraId="53E98479" w14:textId="66D2A374">
      <w:pPr>
        <w:pStyle w:val="JuPara"/>
      </w:pPr>
      <w:r w:rsidRPr="00BD3A6B">
        <w:fldChar w:fldCharType="begin"/>
      </w:r>
      <w:r w:rsidRPr="00BD3A6B">
        <w:instrText xml:space="preserve"> SEQ level0 \*arabic \* MERGEFORMAT </w:instrText>
      </w:r>
      <w:r w:rsidRPr="00BD3A6B">
        <w:fldChar w:fldCharType="separate"/>
      </w:r>
      <w:r w:rsidRPr="00BD3A6B">
        <w:rPr>
          <w:noProof/>
        </w:rPr>
        <w:t>10</w:t>
      </w:r>
      <w:r w:rsidRPr="00BD3A6B">
        <w:rPr>
          <w:noProof/>
        </w:rPr>
        <w:fldChar w:fldCharType="end"/>
      </w:r>
      <w:r w:rsidRPr="00BD3A6B">
        <w:t xml:space="preserve">.  As concerns the fifth applicant, Mr Yaroslav Fedorovych Petkanych, who is a brother of the husband of late P., the Court finds that the link between P. and the fifth applicant at the time of her death was not sufficient for the latter to be considered a victim of a violation of Article 2 of the Convention (see </w:t>
      </w:r>
      <w:r w:rsidRPr="00BD3A6B">
        <w:rPr>
          <w:i/>
          <w:iCs/>
        </w:rPr>
        <w:t>Belkıza Kaya and Others v. Turkey</w:t>
      </w:r>
      <w:r w:rsidRPr="00BD3A6B">
        <w:t>, nos. 33420/96 and 36206/97, §§</w:t>
      </w:r>
      <w:r w:rsidRPr="00BD3A6B" w:rsidR="008A716C">
        <w:t> </w:t>
      </w:r>
      <w:r w:rsidRPr="00BD3A6B">
        <w:t>45</w:t>
      </w:r>
      <w:r w:rsidRPr="00BD3A6B" w:rsidR="008A716C">
        <w:noBreakHyphen/>
      </w:r>
      <w:r w:rsidRPr="00BD3A6B">
        <w:t xml:space="preserve">48, 22 November 2005; </w:t>
      </w:r>
      <w:bookmarkStart w:name="_cl42099THECOURTSASSESSMENT" w:id="1"/>
      <w:r w:rsidRPr="00BD3A6B">
        <w:rPr>
          <w:i/>
          <w:iCs/>
        </w:rPr>
        <w:t>Vardanyan and Khalafyan v.</w:t>
      </w:r>
      <w:r w:rsidRPr="00BD3A6B" w:rsidR="008A716C">
        <w:rPr>
          <w:i/>
          <w:iCs/>
        </w:rPr>
        <w:t> </w:t>
      </w:r>
      <w:r w:rsidRPr="00BD3A6B">
        <w:rPr>
          <w:i/>
          <w:iCs/>
        </w:rPr>
        <w:t>Armenia</w:t>
      </w:r>
      <w:bookmarkEnd w:id="1"/>
      <w:r w:rsidRPr="00BD3A6B">
        <w:t>, no.</w:t>
      </w:r>
      <w:r w:rsidRPr="00BD3A6B" w:rsidR="008A716C">
        <w:t> </w:t>
      </w:r>
      <w:r w:rsidRPr="00BD3A6B">
        <w:t>2265/12, §§ 68-72, 8 November 2022).</w:t>
      </w:r>
    </w:p>
    <w:p w:rsidRPr="00BD3A6B" w:rsidR="00CA1E7E" w:rsidP="00BD3A6B" w14:paraId="408C0587" w14:textId="7D481FAD">
      <w:pPr>
        <w:pStyle w:val="JuPara"/>
      </w:pPr>
      <w:r w:rsidRPr="00BD3A6B">
        <w:fldChar w:fldCharType="begin"/>
      </w:r>
      <w:r w:rsidRPr="00BD3A6B">
        <w:instrText xml:space="preserve"> SEQ level0 \*arabic \* MERGEFORMAT </w:instrText>
      </w:r>
      <w:r w:rsidRPr="00BD3A6B">
        <w:fldChar w:fldCharType="separate"/>
      </w:r>
      <w:r w:rsidRPr="00BD3A6B">
        <w:rPr>
          <w:noProof/>
        </w:rPr>
        <w:t>11</w:t>
      </w:r>
      <w:r w:rsidRPr="00BD3A6B">
        <w:rPr>
          <w:noProof/>
        </w:rPr>
        <w:fldChar w:fldCharType="end"/>
      </w:r>
      <w:r w:rsidRPr="00BD3A6B">
        <w:t>.  The Government also argued that the fourth applicant had not exhausted available domestic remedies since she had been recognised as a victim in the criminal proceedings only more than nine years after the incident had occurred. The applicants disagreed, stating that the fourth applicant had duly pursued the criminal proceedings, which were pending. The Court notes that the Government recognised that the fourth applicant had joined the pending criminal proceedings at the national level. Therefore, the Court rejects the Government</w:t>
      </w:r>
      <w:r w:rsidRPr="00BD3A6B">
        <w:t>’</w:t>
      </w:r>
      <w:r w:rsidRPr="00BD3A6B">
        <w:t>s objection.</w:t>
      </w:r>
    </w:p>
    <w:p w:rsidRPr="00BD3A6B" w:rsidR="00CA1E7E" w:rsidP="00BD3A6B" w14:paraId="56BCD147" w14:textId="235247B9">
      <w:pPr>
        <w:pStyle w:val="JuPara"/>
      </w:pPr>
      <w:r w:rsidRPr="00BD3A6B">
        <w:fldChar w:fldCharType="begin"/>
      </w:r>
      <w:r w:rsidRPr="00BD3A6B">
        <w:instrText xml:space="preserve"> SEQ level0 \*arabic \* MERGEFORMAT </w:instrText>
      </w:r>
      <w:r w:rsidRPr="00BD3A6B">
        <w:fldChar w:fldCharType="separate"/>
      </w:r>
      <w:r w:rsidRPr="00BD3A6B">
        <w:rPr>
          <w:noProof/>
        </w:rPr>
        <w:t>12</w:t>
      </w:r>
      <w:r w:rsidRPr="00BD3A6B">
        <w:rPr>
          <w:noProof/>
        </w:rPr>
        <w:fldChar w:fldCharType="end"/>
      </w:r>
      <w:r w:rsidRPr="00BD3A6B">
        <w:t xml:space="preserve">.  The Court concludes that the complaints raised by the fifth applicant in application no. 55046/16 are incompatible </w:t>
      </w:r>
      <w:r w:rsidRPr="00BD3A6B">
        <w:rPr>
          <w:i/>
          <w:iCs/>
        </w:rPr>
        <w:t>ratione personae</w:t>
      </w:r>
      <w:r w:rsidRPr="00BD3A6B">
        <w:t xml:space="preserve"> within the meaning of Article 35 § 3 (a) of the Convention and must be rejected, pursuant to Article 35 § 4 of the Convention. It further considers that the remainder of the complaints under Article 2 of the Convention are not manifestly ill-founded within the meaning of Article 35 § 3 (a) of the Convention or inadmissible on any other grounds. They must therefore be declared admissible.</w:t>
      </w:r>
    </w:p>
    <w:p w:rsidRPr="00BD3A6B" w:rsidR="00CA1E7E" w:rsidP="00BD3A6B" w14:paraId="24B56457" w14:textId="77777777">
      <w:pPr>
        <w:pStyle w:val="JuHA"/>
      </w:pPr>
      <w:r w:rsidRPr="00BD3A6B">
        <w:t>Merits</w:t>
      </w:r>
    </w:p>
    <w:p w:rsidRPr="00BD3A6B" w:rsidR="00CA1E7E" w:rsidP="00BD3A6B" w14:paraId="5DD72563" w14:textId="7DD88966">
      <w:pPr>
        <w:pStyle w:val="JuH1"/>
      </w:pPr>
      <w:r w:rsidRPr="00BD3A6B">
        <w:t>The parties</w:t>
      </w:r>
      <w:r w:rsidRPr="00BD3A6B" w:rsidR="00BD3A6B">
        <w:t>’</w:t>
      </w:r>
      <w:r w:rsidRPr="00BD3A6B">
        <w:t xml:space="preserve"> submissions</w:t>
      </w:r>
    </w:p>
    <w:p w:rsidRPr="00BD3A6B" w:rsidR="00CA1E7E" w:rsidP="00BD3A6B" w14:paraId="21C22141" w14:textId="590FE7BD">
      <w:pPr>
        <w:pStyle w:val="JuPara"/>
      </w:pPr>
      <w:r w:rsidRPr="00BD3A6B">
        <w:fldChar w:fldCharType="begin"/>
      </w:r>
      <w:r w:rsidRPr="00BD3A6B">
        <w:instrText xml:space="preserve"> SEQ level0 \*arabic \* MERGEFORMAT </w:instrText>
      </w:r>
      <w:r w:rsidRPr="00BD3A6B">
        <w:fldChar w:fldCharType="separate"/>
      </w:r>
      <w:r w:rsidRPr="00BD3A6B">
        <w:rPr>
          <w:noProof/>
        </w:rPr>
        <w:t>13</w:t>
      </w:r>
      <w:r w:rsidRPr="00BD3A6B">
        <w:rPr>
          <w:noProof/>
        </w:rPr>
        <w:fldChar w:fldCharType="end"/>
      </w:r>
      <w:r w:rsidRPr="00BD3A6B">
        <w:t>. The Government submitted that there had been no violation of Article 2 of the Convention. More specifically, they asserted that the investigating authorities had launched criminal investigations into the applicants</w:t>
      </w:r>
      <w:r w:rsidRPr="00BD3A6B">
        <w:t>’</w:t>
      </w:r>
      <w:r w:rsidRPr="00BD3A6B">
        <w:t xml:space="preserve"> relatives</w:t>
      </w:r>
      <w:r w:rsidRPr="00BD3A6B">
        <w:t>’</w:t>
      </w:r>
      <w:r w:rsidRPr="00BD3A6B">
        <w:t xml:space="preserve"> deaths in a timely manner; they had acted diligently and promptly; the investigating authorities had done everything possible to investigate the circumstances of the cases; the length of the investigations had been objectively justified by the necessity to carry out a significant number of investigative actions; the applicants had been involved in the proceedings; and the independence of the investigation had not been called into question by the applicants.</w:t>
      </w:r>
    </w:p>
    <w:p w:rsidRPr="00BD3A6B" w:rsidR="00CA1E7E" w:rsidP="00BD3A6B" w14:paraId="2F828FBC" w14:textId="1B0E8AE1">
      <w:pPr>
        <w:pStyle w:val="JuPara"/>
      </w:pPr>
      <w:r w:rsidRPr="00BD3A6B">
        <w:fldChar w:fldCharType="begin"/>
      </w:r>
      <w:r w:rsidRPr="00BD3A6B">
        <w:instrText xml:space="preserve"> SEQ level0 \*arabic \* MERGEFORMAT </w:instrText>
      </w:r>
      <w:r w:rsidRPr="00BD3A6B">
        <w:fldChar w:fldCharType="separate"/>
      </w:r>
      <w:r w:rsidRPr="00BD3A6B">
        <w:rPr>
          <w:noProof/>
        </w:rPr>
        <w:t>14</w:t>
      </w:r>
      <w:r w:rsidRPr="00BD3A6B">
        <w:rPr>
          <w:noProof/>
        </w:rPr>
        <w:fldChar w:fldCharType="end"/>
      </w:r>
      <w:r w:rsidRPr="00BD3A6B">
        <w:t>.  The applicants did not accept the Government</w:t>
      </w:r>
      <w:r w:rsidRPr="00BD3A6B">
        <w:t>’</w:t>
      </w:r>
      <w:r w:rsidRPr="00BD3A6B">
        <w:t>s assertions and maintained their complaints under Article 2 of the Convention. They contended that the investigating authorities had not conducted effective investigations into the deaths of their relatives.</w:t>
      </w:r>
    </w:p>
    <w:p w:rsidRPr="00BD3A6B" w:rsidR="00CA1E7E" w:rsidP="00BD3A6B" w14:paraId="3ED0DFF6" w14:textId="51BB2AA6">
      <w:pPr>
        <w:pStyle w:val="JuH1"/>
      </w:pPr>
      <w:r w:rsidRPr="00BD3A6B">
        <w:t>The Court</w:t>
      </w:r>
      <w:r w:rsidRPr="00BD3A6B" w:rsidR="00BD3A6B">
        <w:t>’</w:t>
      </w:r>
      <w:r w:rsidRPr="00BD3A6B">
        <w:t>s assessment</w:t>
      </w:r>
    </w:p>
    <w:p w:rsidRPr="00BD3A6B" w:rsidR="00CA1E7E" w:rsidP="00BD3A6B" w14:paraId="6E2CB0D6" w14:textId="41BAA4B7">
      <w:pPr>
        <w:pStyle w:val="JuPara"/>
      </w:pPr>
      <w:r w:rsidRPr="00BD3A6B">
        <w:fldChar w:fldCharType="begin"/>
      </w:r>
      <w:r w:rsidRPr="00BD3A6B">
        <w:instrText xml:space="preserve"> SEQ level0 \*arabic \* MERGEFORMAT </w:instrText>
      </w:r>
      <w:r w:rsidRPr="00BD3A6B">
        <w:fldChar w:fldCharType="separate"/>
      </w:r>
      <w:r w:rsidRPr="00BD3A6B">
        <w:rPr>
          <w:noProof/>
        </w:rPr>
        <w:t>15</w:t>
      </w:r>
      <w:r w:rsidRPr="00BD3A6B">
        <w:rPr>
          <w:noProof/>
        </w:rPr>
        <w:fldChar w:fldCharType="end"/>
      </w:r>
      <w:r w:rsidRPr="00BD3A6B">
        <w:t>. The Court notes at the outset that the present case falls to be examined from the perspective of the State</w:t>
      </w:r>
      <w:r w:rsidRPr="00BD3A6B">
        <w:t>’</w:t>
      </w:r>
      <w:r w:rsidRPr="00BD3A6B">
        <w:t xml:space="preserve">s procedural obligations under Article 2 of the Convention in the context of healthcare. The relevant general principles were summarised in </w:t>
      </w:r>
      <w:r w:rsidRPr="00BD3A6B">
        <w:rPr>
          <w:i/>
          <w:iCs/>
        </w:rPr>
        <w:t>Lopes de Sousa Fernandes v. Portugal</w:t>
      </w:r>
      <w:r w:rsidRPr="00BD3A6B">
        <w:t xml:space="preserve"> ([GC], no. 56080/13, §§ 214-21, 19 December 2017).</w:t>
      </w:r>
    </w:p>
    <w:p w:rsidRPr="00BD3A6B" w:rsidR="00CA1E7E" w:rsidP="00BD3A6B" w14:paraId="43890517" w14:textId="37ABB738">
      <w:pPr>
        <w:pStyle w:val="JuPara"/>
      </w:pPr>
      <w:r w:rsidRPr="00BD3A6B">
        <w:fldChar w:fldCharType="begin"/>
      </w:r>
      <w:r w:rsidRPr="00BD3A6B">
        <w:instrText xml:space="preserve"> SEQ level0 \*arabic \* MERGEFORMAT </w:instrText>
      </w:r>
      <w:r w:rsidRPr="00BD3A6B">
        <w:fldChar w:fldCharType="separate"/>
      </w:r>
      <w:r w:rsidRPr="00BD3A6B">
        <w:rPr>
          <w:noProof/>
        </w:rPr>
        <w:t>16</w:t>
      </w:r>
      <w:r w:rsidRPr="00BD3A6B">
        <w:rPr>
          <w:noProof/>
        </w:rPr>
        <w:fldChar w:fldCharType="end"/>
      </w:r>
      <w:r w:rsidRPr="00BD3A6B">
        <w:t>. Reviewing the facts of the present case in the light of those principles, the Court considers that the domestic proceedings were marked by various shortcomings which undermined the ability of the authorities to establish the circumstances surrounding the deaths of the applicants</w:t>
      </w:r>
      <w:r w:rsidRPr="00BD3A6B">
        <w:t>’</w:t>
      </w:r>
      <w:r w:rsidRPr="00BD3A6B">
        <w:t xml:space="preserve"> next of kin and to identify who, if anyone, was responsible. The specific shortcomings are indicated in the appended table.</w:t>
      </w:r>
    </w:p>
    <w:p w:rsidRPr="00BD3A6B" w:rsidR="00CA1E7E" w:rsidP="00BD3A6B" w14:paraId="7A952D3A" w14:textId="454A6ECA">
      <w:pPr>
        <w:pStyle w:val="JuPara"/>
      </w:pPr>
      <w:r w:rsidRPr="00BD3A6B">
        <w:fldChar w:fldCharType="begin"/>
      </w:r>
      <w:r w:rsidRPr="00BD3A6B">
        <w:instrText xml:space="preserve"> SEQ level0 \*arabic \* MERGEFORMAT </w:instrText>
      </w:r>
      <w:r w:rsidRPr="00BD3A6B">
        <w:fldChar w:fldCharType="separate"/>
      </w:r>
      <w:r w:rsidRPr="00BD3A6B">
        <w:rPr>
          <w:noProof/>
        </w:rPr>
        <w:t>17</w:t>
      </w:r>
      <w:r w:rsidRPr="00BD3A6B">
        <w:rPr>
          <w:noProof/>
        </w:rPr>
        <w:fldChar w:fldCharType="end"/>
      </w:r>
      <w:r w:rsidRPr="00BD3A6B">
        <w:t xml:space="preserve">.  In the leading cases of </w:t>
      </w:r>
      <w:r w:rsidRPr="00BD3A6B">
        <w:rPr>
          <w:i/>
          <w:iCs/>
        </w:rPr>
        <w:t>Arskaya v. Ukraine</w:t>
      </w:r>
      <w:r w:rsidRPr="00BD3A6B">
        <w:t xml:space="preserve"> (no. 45076/05, 5</w:t>
      </w:r>
      <w:r w:rsidRPr="00BD3A6B" w:rsidR="00723FAA">
        <w:t> </w:t>
      </w:r>
      <w:r w:rsidRPr="00BD3A6B">
        <w:t xml:space="preserve">December 2013) and </w:t>
      </w:r>
      <w:r w:rsidRPr="00BD3A6B">
        <w:rPr>
          <w:i/>
          <w:iCs/>
        </w:rPr>
        <w:t>Valeriy Fuklev v. Ukraine</w:t>
      </w:r>
      <w:r w:rsidRPr="00BD3A6B">
        <w:t xml:space="preserve"> (no. 6318/03, 16 January 2014), the Court already found violations in respect of issues </w:t>
      </w:r>
      <w:r w:rsidRPr="00BD3A6B">
        <w:t>similar to</w:t>
      </w:r>
      <w:r w:rsidRPr="00BD3A6B">
        <w:t xml:space="preserve"> those in the present case.</w:t>
      </w:r>
    </w:p>
    <w:p w:rsidRPr="00BD3A6B" w:rsidR="00CA1E7E" w:rsidP="00BD3A6B" w14:paraId="47F4FD29" w14:textId="01B8A25D">
      <w:pPr>
        <w:pStyle w:val="JuPara"/>
      </w:pPr>
      <w:r w:rsidRPr="00BD3A6B">
        <w:fldChar w:fldCharType="begin"/>
      </w:r>
      <w:r w:rsidRPr="00BD3A6B">
        <w:instrText xml:space="preserve"> SEQ level0 \*arabic \* MERGEFORMAT </w:instrText>
      </w:r>
      <w:r w:rsidRPr="00BD3A6B">
        <w:fldChar w:fldCharType="separate"/>
      </w:r>
      <w:r w:rsidRPr="00BD3A6B">
        <w:rPr>
          <w:noProof/>
        </w:rPr>
        <w:t>18</w:t>
      </w:r>
      <w:r w:rsidRPr="00BD3A6B">
        <w:rPr>
          <w:noProof/>
        </w:rPr>
        <w:fldChar w:fldCharType="end"/>
      </w:r>
      <w:r w:rsidRPr="00BD3A6B">
        <w:t xml:space="preserve">.  Having examined all the material submitted to it, the Court has not found any fact or argument capable of persuading it to reach a different conclusion on the merits of these complaints. Having regard to its case-law on the subject (see, for illustrative purposes, </w:t>
      </w:r>
      <w:r w:rsidRPr="00BD3A6B">
        <w:rPr>
          <w:i/>
          <w:iCs/>
        </w:rPr>
        <w:t>Marchuk v.</w:t>
      </w:r>
      <w:r w:rsidRPr="00BD3A6B" w:rsidR="00723FAA">
        <w:rPr>
          <w:i/>
          <w:iCs/>
        </w:rPr>
        <w:t> </w:t>
      </w:r>
      <w:r w:rsidRPr="00BD3A6B">
        <w:rPr>
          <w:i/>
          <w:iCs/>
        </w:rPr>
        <w:t xml:space="preserve">Ukraine </w:t>
      </w:r>
      <w:r w:rsidRPr="00BD3A6B">
        <w:rPr>
          <w:bCs/>
        </w:rPr>
        <w:t>[Committee] (</w:t>
      </w:r>
      <w:r w:rsidRPr="00BD3A6B">
        <w:t xml:space="preserve">no. 65663/12, 28 July 2016) and </w:t>
      </w:r>
      <w:r w:rsidRPr="00BD3A6B">
        <w:rPr>
          <w:i/>
          <w:iCs/>
        </w:rPr>
        <w:t>Tretyakova v. Ukraine</w:t>
      </w:r>
      <w:r w:rsidRPr="00BD3A6B">
        <w:t xml:space="preserve"> </w:t>
      </w:r>
      <w:r w:rsidRPr="00BD3A6B">
        <w:rPr>
          <w:iCs/>
        </w:rPr>
        <w:t>[Committee] (</w:t>
      </w:r>
      <w:r w:rsidRPr="00BD3A6B">
        <w:t>no. 63126/13, 4 November 2021), the Court considers that in the instant case the domestic proceedings failed to meet the criteria of effectiveness.</w:t>
      </w:r>
    </w:p>
    <w:p w:rsidRPr="00BD3A6B" w:rsidR="00CA1E7E" w:rsidP="00BD3A6B" w14:paraId="1CA0E7BC" w14:textId="574026AF">
      <w:pPr>
        <w:pStyle w:val="JuPara"/>
      </w:pPr>
      <w:r w:rsidRPr="00BD3A6B">
        <w:fldChar w:fldCharType="begin"/>
      </w:r>
      <w:r w:rsidRPr="00BD3A6B">
        <w:instrText xml:space="preserve"> SEQ level0 \*arabic \* MERGEFORMAT </w:instrText>
      </w:r>
      <w:r w:rsidRPr="00BD3A6B">
        <w:fldChar w:fldCharType="separate"/>
      </w:r>
      <w:r w:rsidRPr="00BD3A6B">
        <w:rPr>
          <w:noProof/>
        </w:rPr>
        <w:t>19</w:t>
      </w:r>
      <w:r w:rsidRPr="00BD3A6B">
        <w:rPr>
          <w:noProof/>
        </w:rPr>
        <w:fldChar w:fldCharType="end"/>
      </w:r>
      <w:r w:rsidRPr="00BD3A6B">
        <w:t>.  There has therefore been a violation of Article 2 of the Convention under its procedural limb.</w:t>
      </w:r>
    </w:p>
    <w:p w:rsidRPr="00BD3A6B" w:rsidR="00CA1E7E" w:rsidP="00BD3A6B" w14:paraId="63E6E8F8" w14:textId="77777777">
      <w:pPr>
        <w:pStyle w:val="JuHIRoman"/>
        <w:tabs>
          <w:tab w:val="left" w:pos="567"/>
          <w:tab w:val="left" w:pos="680"/>
        </w:tabs>
        <w:ind w:left="397" w:hanging="397"/>
      </w:pPr>
      <w:r w:rsidRPr="00BD3A6B">
        <w:t>OTHER COMPLAINTS</w:t>
      </w:r>
    </w:p>
    <w:p w:rsidRPr="00BD3A6B" w:rsidR="00CA1E7E" w:rsidP="00BD3A6B" w14:paraId="2C844B7C" w14:textId="2757021A">
      <w:pPr>
        <w:pStyle w:val="JuPara"/>
      </w:pPr>
      <w:r w:rsidRPr="00BD3A6B">
        <w:fldChar w:fldCharType="begin"/>
      </w:r>
      <w:r w:rsidRPr="00BD3A6B">
        <w:instrText xml:space="preserve"> SEQ level0 \*arabic \* MERGEFORMAT </w:instrText>
      </w:r>
      <w:r w:rsidRPr="00BD3A6B">
        <w:fldChar w:fldCharType="separate"/>
      </w:r>
      <w:r w:rsidRPr="00BD3A6B">
        <w:rPr>
          <w:noProof/>
        </w:rPr>
        <w:t>20</w:t>
      </w:r>
      <w:r w:rsidRPr="00BD3A6B">
        <w:rPr>
          <w:noProof/>
        </w:rPr>
        <w:fldChar w:fldCharType="end"/>
      </w:r>
      <w:r w:rsidRPr="00BD3A6B">
        <w:t>.  The applicants in application no. 55046/16 also complained under Article</w:t>
      </w:r>
      <w:r w:rsidRPr="00BD3A6B" w:rsidR="00723FAA">
        <w:t> </w:t>
      </w:r>
      <w:r w:rsidRPr="00BD3A6B">
        <w:t>3 of the Convention that the omissions in the medical treatment of P. amounted to inhuman treatment.</w:t>
      </w:r>
    </w:p>
    <w:p w:rsidRPr="00BD3A6B" w:rsidR="00CA1E7E" w:rsidP="00BD3A6B" w14:paraId="6A50A245" w14:textId="7D546462">
      <w:pPr>
        <w:pStyle w:val="JuPara"/>
        <w:rPr>
          <w:strike/>
        </w:rPr>
      </w:pPr>
      <w:r w:rsidRPr="00BD3A6B">
        <w:fldChar w:fldCharType="begin"/>
      </w:r>
      <w:r w:rsidRPr="00BD3A6B">
        <w:instrText xml:space="preserve"> SEQ level0 \*arabic \* MERGEFORMAT </w:instrText>
      </w:r>
      <w:r w:rsidRPr="00BD3A6B">
        <w:fldChar w:fldCharType="separate"/>
      </w:r>
      <w:r w:rsidRPr="00BD3A6B">
        <w:rPr>
          <w:noProof/>
        </w:rPr>
        <w:t>21</w:t>
      </w:r>
      <w:r w:rsidRPr="00BD3A6B">
        <w:rPr>
          <w:noProof/>
        </w:rPr>
        <w:fldChar w:fldCharType="end"/>
      </w:r>
      <w:r w:rsidRPr="00BD3A6B">
        <w:t xml:space="preserve">.  Having regard to the facts of the case, the submissions of the parties, and its findings above, the Court considers that it has dealt with the main legal questions raised by the case and that there is no need to examine the admissibility and merits of the remaining complaint (see </w:t>
      </w:r>
      <w:r w:rsidRPr="00BD3A6B">
        <w:rPr>
          <w:i/>
          <w:iCs/>
        </w:rPr>
        <w:t>Centre for Legal Resources on behalf of Valentin Câmpeanu v. Romania</w:t>
      </w:r>
      <w:r w:rsidRPr="00BD3A6B">
        <w:t xml:space="preserve"> [GC], no.</w:t>
      </w:r>
      <w:r w:rsidRPr="00BD3A6B" w:rsidR="00723FAA">
        <w:t> </w:t>
      </w:r>
      <w:r w:rsidRPr="00BD3A6B">
        <w:t>47848/08, §</w:t>
      </w:r>
      <w:r w:rsidRPr="00BD3A6B" w:rsidR="00723FAA">
        <w:t> </w:t>
      </w:r>
      <w:r w:rsidRPr="00BD3A6B">
        <w:t>156, ECHR 2014).</w:t>
      </w:r>
    </w:p>
    <w:p w:rsidRPr="00BD3A6B" w:rsidR="00CA1E7E" w:rsidP="00BD3A6B" w14:paraId="326E232F" w14:textId="77777777">
      <w:pPr>
        <w:pStyle w:val="JuHHead"/>
        <w:keepNext w:val="0"/>
        <w:keepLines w:val="0"/>
      </w:pPr>
      <w:r w:rsidRPr="00BD3A6B">
        <w:t>APPLICATION OF ARTICLE 41 OF THE CONVENTION</w:t>
      </w:r>
    </w:p>
    <w:p w:rsidRPr="00BD3A6B" w:rsidR="00CA1E7E" w:rsidP="00BD3A6B" w14:paraId="46488E0D" w14:textId="37E8B8AA">
      <w:pPr>
        <w:pStyle w:val="JuPara"/>
      </w:pPr>
      <w:r w:rsidRPr="00BD3A6B">
        <w:fldChar w:fldCharType="begin"/>
      </w:r>
      <w:r w:rsidRPr="00BD3A6B">
        <w:instrText xml:space="preserve"> SEQ level0 \*arabic \* MERGEFORMAT </w:instrText>
      </w:r>
      <w:r w:rsidRPr="00BD3A6B">
        <w:fldChar w:fldCharType="separate"/>
      </w:r>
      <w:r w:rsidRPr="00BD3A6B">
        <w:rPr>
          <w:noProof/>
        </w:rPr>
        <w:t>22</w:t>
      </w:r>
      <w:r w:rsidRPr="00BD3A6B">
        <w:rPr>
          <w:noProof/>
        </w:rPr>
        <w:fldChar w:fldCharType="end"/>
      </w:r>
      <w:r w:rsidRPr="00BD3A6B">
        <w:t>.  The applicant in application no. 19581/18 did not submit any claim for just satisfaction. Accordingly, the Court considers that there is no call to award her any sum on that account.</w:t>
      </w:r>
    </w:p>
    <w:p w:rsidRPr="00BD3A6B" w:rsidR="00CA1E7E" w:rsidP="00BD3A6B" w14:paraId="687E699A" w14:textId="168D457B">
      <w:pPr>
        <w:pStyle w:val="JuPara"/>
      </w:pPr>
      <w:r w:rsidRPr="00BD3A6B">
        <w:fldChar w:fldCharType="begin"/>
      </w:r>
      <w:r w:rsidRPr="00BD3A6B">
        <w:instrText xml:space="preserve"> SEQ level0 \*arabic \* MERGEFORMAT </w:instrText>
      </w:r>
      <w:r w:rsidRPr="00BD3A6B">
        <w:fldChar w:fldCharType="separate"/>
      </w:r>
      <w:r w:rsidRPr="00BD3A6B">
        <w:rPr>
          <w:noProof/>
        </w:rPr>
        <w:t>23</w:t>
      </w:r>
      <w:r w:rsidRPr="00BD3A6B">
        <w:rPr>
          <w:noProof/>
        </w:rPr>
        <w:fldChar w:fldCharType="end"/>
      </w:r>
      <w:r w:rsidRPr="00BD3A6B">
        <w:t xml:space="preserve">.  The applicants in applications nos. 55046/16, 32999/17 and 15510/19 claimed various amounts as indicated in the appended table. The Government argued that those claims were </w:t>
      </w:r>
      <w:r w:rsidRPr="00BD3A6B">
        <w:rPr>
          <w:bCs/>
        </w:rPr>
        <w:t>exorbitant and unsubstantiated.</w:t>
      </w:r>
    </w:p>
    <w:p w:rsidRPr="00BD3A6B" w:rsidR="00CA1E7E" w:rsidP="00BD3A6B" w14:paraId="54A633D4" w14:textId="1B1E7215">
      <w:pPr>
        <w:pStyle w:val="JuPara"/>
      </w:pPr>
      <w:r w:rsidRPr="00BD3A6B">
        <w:fldChar w:fldCharType="begin"/>
      </w:r>
      <w:r w:rsidRPr="00BD3A6B">
        <w:instrText xml:space="preserve"> SEQ level0 \*arabic \* MERGEFORMAT </w:instrText>
      </w:r>
      <w:r w:rsidRPr="00BD3A6B">
        <w:fldChar w:fldCharType="separate"/>
      </w:r>
      <w:r w:rsidRPr="00BD3A6B">
        <w:rPr>
          <w:noProof/>
        </w:rPr>
        <w:t>24</w:t>
      </w:r>
      <w:r w:rsidRPr="00BD3A6B">
        <w:rPr>
          <w:noProof/>
        </w:rPr>
        <w:fldChar w:fldCharType="end"/>
      </w:r>
      <w:r w:rsidRPr="00BD3A6B">
        <w:t>. Regard being had to the documents in its possession and to its case</w:t>
      </w:r>
      <w:r w:rsidRPr="00BD3A6B">
        <w:noBreakHyphen/>
        <w:t>law (see</w:t>
      </w:r>
      <w:r w:rsidRPr="00BD3A6B">
        <w:t xml:space="preserve">, in particular, </w:t>
      </w:r>
      <w:r w:rsidRPr="00BD3A6B">
        <w:rPr>
          <w:i/>
        </w:rPr>
        <w:t>Valeriy Fuklev</w:t>
      </w:r>
      <w:r w:rsidRPr="00BD3A6B">
        <w:rPr>
          <w:iCs/>
        </w:rPr>
        <w:t>, cited above,</w:t>
      </w:r>
      <w:r w:rsidRPr="00BD3A6B">
        <w:t xml:space="preserve"> </w:t>
      </w:r>
      <w:r w:rsidRPr="00BD3A6B">
        <w:rPr>
          <w:iCs/>
        </w:rPr>
        <w:t xml:space="preserve">§ 104, and </w:t>
      </w:r>
      <w:r w:rsidRPr="00BD3A6B">
        <w:rPr>
          <w:i/>
        </w:rPr>
        <w:t>Tretyakova</w:t>
      </w:r>
      <w:r w:rsidRPr="00BD3A6B">
        <w:rPr>
          <w:iCs/>
        </w:rPr>
        <w:t xml:space="preserve">, cited above, § 43), </w:t>
      </w:r>
      <w:r w:rsidRPr="00BD3A6B">
        <w:t>the Court considers it reasonable to award the sums indicated in the appended table. It dismisses the remainder of the applicants</w:t>
      </w:r>
      <w:r w:rsidRPr="00BD3A6B">
        <w:t>’</w:t>
      </w:r>
      <w:r w:rsidRPr="00BD3A6B">
        <w:t xml:space="preserve"> claims for just satisfaction.</w:t>
      </w:r>
    </w:p>
    <w:p w:rsidRPr="00BD3A6B" w:rsidR="00CA1E7E" w:rsidP="00BD3A6B" w14:paraId="071F21AA" w14:textId="4A458E28">
      <w:pPr>
        <w:pStyle w:val="JuPara"/>
      </w:pPr>
      <w:r w:rsidRPr="00BD3A6B">
        <w:fldChar w:fldCharType="begin"/>
      </w:r>
      <w:r w:rsidRPr="00BD3A6B">
        <w:instrText xml:space="preserve"> SEQ level0 \*arabic \* MERGEFORMAT </w:instrText>
      </w:r>
      <w:r w:rsidRPr="00BD3A6B">
        <w:fldChar w:fldCharType="separate"/>
      </w:r>
      <w:r w:rsidRPr="00BD3A6B">
        <w:rPr>
          <w:noProof/>
        </w:rPr>
        <w:t>25</w:t>
      </w:r>
      <w:r w:rsidRPr="00BD3A6B">
        <w:rPr>
          <w:noProof/>
        </w:rPr>
        <w:fldChar w:fldCharType="end"/>
      </w:r>
      <w:r w:rsidRPr="00BD3A6B">
        <w:t>. The Court considers it appropriate that the default interest rate should be based on the marginal lending rate of the European Central Bank, to which should be added three percentage points.</w:t>
      </w:r>
    </w:p>
    <w:p w:rsidRPr="00BD3A6B" w:rsidR="00CA1E7E" w:rsidP="00BD3A6B" w14:paraId="505B1B79" w14:textId="221926D8">
      <w:pPr>
        <w:pStyle w:val="JuHHead"/>
      </w:pPr>
      <w:r w:rsidRPr="00BD3A6B">
        <w:t>FOR THESE REASONS, THE COURT, UNANIMOUSLY,</w:t>
      </w:r>
    </w:p>
    <w:p w:rsidRPr="00BD3A6B" w:rsidR="00CA1E7E" w:rsidP="00BD3A6B" w14:paraId="5239CAF2" w14:textId="77777777">
      <w:pPr>
        <w:pStyle w:val="JuList"/>
      </w:pPr>
      <w:r w:rsidRPr="00BD3A6B">
        <w:rPr>
          <w:i/>
          <w:iCs/>
        </w:rPr>
        <w:t>Decides</w:t>
      </w:r>
      <w:r w:rsidRPr="00BD3A6B">
        <w:rPr>
          <w:i/>
        </w:rPr>
        <w:t xml:space="preserve"> </w:t>
      </w:r>
      <w:r w:rsidRPr="00BD3A6B">
        <w:t xml:space="preserve">to join the </w:t>
      </w:r>
      <w:r w:rsidRPr="00BD3A6B">
        <w:t>applications;</w:t>
      </w:r>
    </w:p>
    <w:p w:rsidRPr="00BD3A6B" w:rsidR="00CA1E7E" w:rsidP="00BD3A6B" w14:paraId="0E2B8587" w14:textId="1C343ED4">
      <w:pPr>
        <w:pStyle w:val="JuList"/>
      </w:pPr>
      <w:r w:rsidRPr="00BD3A6B">
        <w:rPr>
          <w:i/>
          <w:iCs/>
        </w:rPr>
        <w:t xml:space="preserve">Declares </w:t>
      </w:r>
      <w:r w:rsidRPr="00BD3A6B">
        <w:t>that Ms Tetyana Viktorivna Ignasheva, the daughter of the applicant in application no. 32999/17, Mr Viktor Vasylyovych Gorbatyy, has standing to pursue the proceedings before the Court in her late father</w:t>
      </w:r>
      <w:r w:rsidRPr="00BD3A6B" w:rsidR="00BD3A6B">
        <w:t>’</w:t>
      </w:r>
      <w:r w:rsidRPr="00BD3A6B">
        <w:t xml:space="preserve">s </w:t>
      </w:r>
      <w:r w:rsidRPr="00BD3A6B">
        <w:t>stead;</w:t>
      </w:r>
    </w:p>
    <w:p w:rsidRPr="00BD3A6B" w:rsidR="00CA1E7E" w:rsidP="00BD3A6B" w14:paraId="36AE36D4" w14:textId="77777777">
      <w:pPr>
        <w:pStyle w:val="JuList"/>
      </w:pPr>
      <w:r w:rsidRPr="00BD3A6B">
        <w:rPr>
          <w:i/>
        </w:rPr>
        <w:t>Declares</w:t>
      </w:r>
      <w:r w:rsidRPr="00BD3A6B">
        <w:t xml:space="preserve"> the complaints under Article 2 of the Convention raised by the fifth applicant in application no. 55046/16, Mr Yaroslav Fedorovych Petkanych, inadmissible and the remainder of the complaints under Article 2 of the Convention </w:t>
      </w:r>
      <w:r w:rsidRPr="00BD3A6B">
        <w:t>admissible;</w:t>
      </w:r>
    </w:p>
    <w:p w:rsidRPr="00BD3A6B" w:rsidR="00CA1E7E" w:rsidP="00BD3A6B" w14:paraId="547A31FD" w14:textId="77777777">
      <w:pPr>
        <w:pStyle w:val="JuList"/>
        <w:rPr>
          <w:rFonts w:cstheme="minorHAnsi"/>
          <w:bCs/>
        </w:rPr>
      </w:pPr>
      <w:r w:rsidRPr="00BD3A6B">
        <w:rPr>
          <w:i/>
        </w:rPr>
        <w:t xml:space="preserve">Holds </w:t>
      </w:r>
      <w:r w:rsidRPr="00BD3A6B">
        <w:t xml:space="preserve">that </w:t>
      </w:r>
      <w:r w:rsidRPr="00BD3A6B">
        <w:rPr>
          <w:rFonts w:eastAsia="PMingLiU"/>
        </w:rPr>
        <w:t xml:space="preserve">these complaints </w:t>
      </w:r>
      <w:r w:rsidRPr="00BD3A6B">
        <w:t xml:space="preserve">disclose a violation of Article 2 </w:t>
      </w:r>
      <w:r w:rsidRPr="00BD3A6B">
        <w:rPr>
          <w:rFonts w:ascii="Times New Roman" w:hAnsi="Times New Roman" w:eastAsia="PMingLiU" w:cs="Times New Roman"/>
        </w:rPr>
        <w:t xml:space="preserve">of the Convention under its procedural </w:t>
      </w:r>
      <w:r w:rsidRPr="00BD3A6B">
        <w:rPr>
          <w:rFonts w:ascii="Times New Roman" w:hAnsi="Times New Roman" w:eastAsia="PMingLiU" w:cs="Times New Roman"/>
        </w:rPr>
        <w:t>limb</w:t>
      </w:r>
      <w:r w:rsidRPr="00BD3A6B">
        <w:rPr>
          <w:rFonts w:eastAsia="PMingLiU"/>
        </w:rPr>
        <w:t>;</w:t>
      </w:r>
    </w:p>
    <w:p w:rsidRPr="00BD3A6B" w:rsidR="00CA1E7E" w:rsidP="00BD3A6B" w14:paraId="6EDCA1FB" w14:textId="77777777">
      <w:pPr>
        <w:pStyle w:val="JuList"/>
        <w:rPr>
          <w:rFonts w:cstheme="minorHAnsi"/>
          <w:bCs/>
        </w:rPr>
      </w:pPr>
      <w:r w:rsidRPr="00BD3A6B">
        <w:rPr>
          <w:rFonts w:cstheme="minorHAnsi"/>
          <w:bCs/>
          <w:i/>
          <w:iCs/>
        </w:rPr>
        <w:t>Holds</w:t>
      </w:r>
      <w:r w:rsidRPr="00BD3A6B">
        <w:rPr>
          <w:rFonts w:cstheme="minorHAnsi"/>
          <w:bCs/>
        </w:rPr>
        <w:t xml:space="preserve"> that there is no need to examine the admissibility and merits of the remaining complaint under Article 3 of the Convention raised by the applicants in application no. </w:t>
      </w:r>
      <w:r w:rsidRPr="00BD3A6B">
        <w:rPr>
          <w:rFonts w:cstheme="minorHAnsi"/>
          <w:bCs/>
        </w:rPr>
        <w:t>55046/16;</w:t>
      </w:r>
    </w:p>
    <w:p w:rsidRPr="00BD3A6B" w:rsidR="00CA1E7E" w:rsidP="00BD3A6B" w14:paraId="213F09AE" w14:textId="77777777">
      <w:pPr>
        <w:pStyle w:val="JuList"/>
        <w:ind w:left="0" w:firstLine="0"/>
        <w:rPr>
          <w:rFonts w:cstheme="minorHAnsi"/>
          <w:bCs/>
        </w:rPr>
      </w:pPr>
      <w:r w:rsidRPr="00BD3A6B">
        <w:rPr>
          <w:i/>
        </w:rPr>
        <w:t>Holds</w:t>
      </w:r>
    </w:p>
    <w:p w:rsidRPr="00BD3A6B" w:rsidR="00CA1E7E" w:rsidP="00BD3A6B" w14:paraId="0A63167B" w14:textId="77777777">
      <w:pPr>
        <w:pStyle w:val="JuLista"/>
      </w:pPr>
      <w:r w:rsidRPr="00BD3A6B">
        <w:t xml:space="preserve">that the respondent State is to pay the applicants, within three months, the amounts indicated in the appended table, to be converted into </w:t>
      </w:r>
      <w:r w:rsidRPr="00BD3A6B">
        <w:rPr>
          <w:color w:val="000000"/>
        </w:rPr>
        <w:t xml:space="preserve">the currency of the respondent State </w:t>
      </w:r>
      <w:r w:rsidRPr="00BD3A6B">
        <w:t xml:space="preserve">at the rate applicable at the date of </w:t>
      </w:r>
      <w:r w:rsidRPr="00BD3A6B">
        <w:t>settlement;</w:t>
      </w:r>
    </w:p>
    <w:p w:rsidRPr="00BD3A6B" w:rsidR="004D0EC7" w:rsidP="00BD3A6B" w14:paraId="16621DFD" w14:textId="77777777">
      <w:pPr>
        <w:pStyle w:val="JuLista"/>
      </w:pPr>
      <w:r w:rsidRPr="00BD3A6B">
        <w:t>that from the expiry of the above-mentioned three months until settlement simple interest shall be payable on those amounts at a rate equal to the marginal lending rate of the European Central Bank during the default period plus three percentage points</w:t>
      </w:r>
      <w:r w:rsidRPr="00BD3A6B">
        <w:rPr>
          <w:spacing w:val="-2"/>
        </w:rPr>
        <w:t>.</w:t>
      </w:r>
    </w:p>
    <w:p w:rsidRPr="00BD3A6B" w:rsidR="008E3A08" w:rsidP="00BD3A6B" w14:paraId="4D253A51" w14:textId="20CF9450">
      <w:pPr>
        <w:pStyle w:val="JuParaLast"/>
      </w:pPr>
      <w:r w:rsidRPr="00BD3A6B">
        <w:t xml:space="preserve">Done in English, and notified in writing on </w:t>
      </w:r>
      <w:r w:rsidRPr="00BD3A6B" w:rsidR="00CA1E7E">
        <w:rPr>
          <w:rFonts w:ascii="Times New Roman" w:hAnsi="Times New Roman" w:cs="Times New Roman"/>
        </w:rPr>
        <w:t>12 February 2026</w:t>
      </w:r>
      <w:r w:rsidRPr="00BD3A6B">
        <w:t>, pursuant to Rule 77 §§ 2 and 3 of the Rules of Court.</w:t>
      </w:r>
    </w:p>
    <w:p w:rsidRPr="00BD3A6B" w:rsidR="007E79A4" w:rsidP="00BD3A6B" w14:paraId="7D5DCE84" w14:textId="568C39F8">
      <w:pPr>
        <w:pStyle w:val="JuSigned"/>
        <w:rPr>
          <w:lang w:val="it-IT"/>
        </w:rPr>
      </w:pPr>
      <w:r w:rsidRPr="00BD3A6B">
        <w:tab/>
      </w:r>
      <w:r w:rsidRPr="00BD3A6B" w:rsidR="00CA1E7E">
        <w:rPr>
          <w:noProof/>
          <w:lang w:val="it-IT"/>
        </w:rPr>
        <w:t>Martina Keller</w:t>
      </w:r>
      <w:r w:rsidRPr="00BD3A6B">
        <w:rPr>
          <w:lang w:val="it-IT"/>
        </w:rPr>
        <w:tab/>
      </w:r>
      <w:r w:rsidRPr="00BD3A6B" w:rsidR="00CA1E7E">
        <w:rPr>
          <w:noProof/>
          <w:lang w:val="it-IT"/>
        </w:rPr>
        <w:t>Gilberto Felici</w:t>
      </w:r>
      <w:r w:rsidRPr="00BD3A6B">
        <w:rPr>
          <w:lang w:val="it-IT"/>
        </w:rPr>
        <w:br/>
      </w:r>
      <w:r w:rsidRPr="00BD3A6B">
        <w:rPr>
          <w:lang w:val="it-IT"/>
        </w:rPr>
        <w:tab/>
      </w:r>
      <w:r w:rsidRPr="00BD3A6B" w:rsidR="00CA1E7E">
        <w:rPr>
          <w:noProof/>
          <w:lang w:val="it-IT"/>
        </w:rPr>
        <w:t>Deputy Registrar</w:t>
      </w:r>
      <w:r w:rsidRPr="00BD3A6B">
        <w:rPr>
          <w:lang w:val="it-IT"/>
        </w:rPr>
        <w:tab/>
        <w:t>President</w:t>
      </w:r>
    </w:p>
    <w:p w:rsidRPr="00BD3A6B" w:rsidR="00675AF2" w:rsidP="00BD3A6B" w14:paraId="12C8A979" w14:textId="77777777">
      <w:pPr>
        <w:pStyle w:val="JuPara"/>
        <w:rPr>
          <w:lang w:val="it-IT"/>
        </w:rPr>
      </w:pPr>
    </w:p>
    <w:p w:rsidRPr="00BD3A6B" w:rsidR="00CA1E7E" w:rsidP="00BD3A6B" w14:paraId="67661CA1" w14:textId="3E2ECA13">
      <w:pPr>
        <w:rPr>
          <w:noProof/>
          <w:color w:val="000000"/>
          <w:lang w:val="it-IT"/>
        </w:rPr>
      </w:pPr>
    </w:p>
    <w:p w:rsidRPr="00BD3A6B" w:rsidR="00CA1E7E" w:rsidP="00BD3A6B" w14:paraId="53652A5F" w14:textId="77777777">
      <w:pPr>
        <w:rPr>
          <w:noProof/>
          <w:color w:val="000000"/>
          <w:lang w:val="it-IT"/>
        </w:rPr>
        <w:sectPr w:rsidSect="00CA1E7E">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BD3A6B" w:rsidR="00CA1E7E" w:rsidP="00BD3A6B" w14:paraId="6B176F34" w14:textId="77777777">
      <w:pPr>
        <w:pStyle w:val="DecHTitle"/>
        <w:rPr>
          <w:noProof/>
        </w:rPr>
      </w:pPr>
      <w:r w:rsidRPr="00BD3A6B">
        <w:rPr>
          <w:noProof/>
        </w:rPr>
        <w:t>APPENDIX</w:t>
      </w:r>
    </w:p>
    <w:p w:rsidRPr="00BD3A6B" w:rsidR="00CA1E7E" w:rsidP="00BD3A6B" w14:paraId="062A9C49" w14:textId="77777777">
      <w:pPr>
        <w:pStyle w:val="DecHCase"/>
        <w:contextualSpacing/>
        <w:rPr>
          <w:b/>
          <w:i/>
          <w:color w:val="3E3E3E" w:themeColor="background2" w:themeShade="40"/>
        </w:rPr>
      </w:pPr>
      <w:r w:rsidRPr="00BD3A6B">
        <w:rPr>
          <w:color w:val="3E3E3E" w:themeColor="background2" w:themeShade="40"/>
        </w:rPr>
        <w:t>List of applications raising complaints under Article 2 of the Convention</w:t>
      </w:r>
    </w:p>
    <w:p w:rsidRPr="00BD3A6B" w:rsidR="00CA1E7E" w:rsidP="00BD3A6B" w14:paraId="2BBA5EAF" w14:textId="77777777">
      <w:pPr>
        <w:pStyle w:val="DecHCase"/>
        <w:keepNext w:val="0"/>
        <w:keepLines w:val="0"/>
        <w:rPr>
          <w:rFonts w:ascii="Times New Roman" w:hAnsi="Times New Roman" w:cs="Times New Roman"/>
          <w:sz w:val="20"/>
          <w:szCs w:val="20"/>
        </w:rPr>
      </w:pPr>
      <w:r w:rsidRPr="00BD3A6B">
        <w:rPr>
          <w:color w:val="3E3E3E" w:themeColor="background2" w:themeShade="40"/>
        </w:rPr>
        <w:t>(ineffective domestic proceedings in respect of deaths in the context of healthcare)</w:t>
      </w:r>
    </w:p>
    <w:tbl>
      <w:tblPr>
        <w:tblStyle w:val="ECHRListTable"/>
        <w:tblW w:w="13178" w:type="dxa"/>
        <w:jc w:val="center"/>
        <w:tblLook w:val="0420"/>
      </w:tblPr>
      <w:tblGrid>
        <w:gridCol w:w="549"/>
        <w:gridCol w:w="1070"/>
        <w:gridCol w:w="1328"/>
        <w:gridCol w:w="1458"/>
        <w:gridCol w:w="2184"/>
        <w:gridCol w:w="4321"/>
        <w:gridCol w:w="2268"/>
      </w:tblGrid>
      <w:tr w:rsidTr="00F80977" w14:paraId="71B54CC7" w14:textId="77777777">
        <w:tblPrEx>
          <w:tblW w:w="13178" w:type="dxa"/>
          <w:tblLook w:val="0420"/>
        </w:tblPrEx>
        <w:trPr>
          <w:trHeight w:val="425"/>
        </w:trPr>
        <w:tc>
          <w:tcPr>
            <w:tcW w:w="549" w:type="dxa"/>
            <w:vMerge w:val="restart"/>
          </w:tcPr>
          <w:p w:rsidRPr="00BD3A6B" w:rsidR="00CA1E7E" w:rsidP="00BD3A6B" w14:paraId="27CF21F6" w14:textId="77777777">
            <w:pPr>
              <w:jc w:val="center"/>
              <w:rPr>
                <w:sz w:val="16"/>
              </w:rPr>
            </w:pPr>
            <w:r w:rsidRPr="00BD3A6B">
              <w:rPr>
                <w:sz w:val="16"/>
              </w:rPr>
              <w:t>No.</w:t>
            </w:r>
          </w:p>
        </w:tc>
        <w:tc>
          <w:tcPr>
            <w:tcW w:w="1070" w:type="dxa"/>
            <w:vMerge w:val="restart"/>
          </w:tcPr>
          <w:p w:rsidRPr="00BD3A6B" w:rsidR="00CA1E7E" w:rsidP="00BD3A6B" w14:paraId="5056B1A8" w14:textId="77777777">
            <w:pPr>
              <w:jc w:val="center"/>
              <w:rPr>
                <w:sz w:val="16"/>
              </w:rPr>
            </w:pPr>
            <w:r w:rsidRPr="00BD3A6B">
              <w:rPr>
                <w:sz w:val="16"/>
              </w:rPr>
              <w:t>Application no.</w:t>
            </w:r>
          </w:p>
          <w:p w:rsidRPr="00BD3A6B" w:rsidR="00CA1E7E" w:rsidP="00BD3A6B" w14:paraId="28EA6B53" w14:textId="77777777">
            <w:pPr>
              <w:jc w:val="center"/>
              <w:rPr>
                <w:sz w:val="16"/>
              </w:rPr>
            </w:pPr>
            <w:r w:rsidRPr="00BD3A6B">
              <w:rPr>
                <w:sz w:val="16"/>
              </w:rPr>
              <w:t>Date of introduction</w:t>
            </w:r>
          </w:p>
        </w:tc>
        <w:tc>
          <w:tcPr>
            <w:tcW w:w="1328" w:type="dxa"/>
            <w:vMerge w:val="restart"/>
          </w:tcPr>
          <w:p w:rsidRPr="00BD3A6B" w:rsidR="00CA1E7E" w:rsidP="00BD3A6B" w14:paraId="44241B34" w14:textId="0EAF7B01">
            <w:pPr>
              <w:jc w:val="center"/>
              <w:rPr>
                <w:sz w:val="16"/>
              </w:rPr>
            </w:pPr>
            <w:r w:rsidRPr="00BD3A6B">
              <w:rPr>
                <w:sz w:val="16"/>
              </w:rPr>
              <w:t>Applicant</w:t>
            </w:r>
            <w:r w:rsidRPr="00BD3A6B" w:rsidR="00BD3A6B">
              <w:rPr>
                <w:sz w:val="16"/>
              </w:rPr>
              <w:t>’</w:t>
            </w:r>
            <w:r w:rsidRPr="00BD3A6B">
              <w:rPr>
                <w:sz w:val="16"/>
              </w:rPr>
              <w:t>s name</w:t>
            </w:r>
          </w:p>
          <w:p w:rsidRPr="00BD3A6B" w:rsidR="00CA1E7E" w:rsidP="00BD3A6B" w14:paraId="5162266C" w14:textId="1B94BADD">
            <w:pPr>
              <w:jc w:val="center"/>
              <w:rPr>
                <w:sz w:val="16"/>
              </w:rPr>
            </w:pPr>
            <w:r w:rsidRPr="00BD3A6B">
              <w:rPr>
                <w:sz w:val="16"/>
              </w:rPr>
              <w:t>Year of birth</w:t>
            </w:r>
          </w:p>
        </w:tc>
        <w:tc>
          <w:tcPr>
            <w:tcW w:w="1458" w:type="dxa"/>
            <w:vMerge w:val="restart"/>
          </w:tcPr>
          <w:p w:rsidRPr="00BD3A6B" w:rsidR="00CA1E7E" w:rsidP="00BD3A6B" w14:paraId="3D68D341" w14:textId="353F2844">
            <w:pPr>
              <w:jc w:val="center"/>
              <w:rPr>
                <w:sz w:val="16"/>
              </w:rPr>
            </w:pPr>
            <w:r w:rsidRPr="00BD3A6B">
              <w:rPr>
                <w:sz w:val="16"/>
              </w:rPr>
              <w:t>Representative</w:t>
            </w:r>
            <w:r w:rsidRPr="00BD3A6B" w:rsidR="00BD3A6B">
              <w:rPr>
                <w:sz w:val="16"/>
              </w:rPr>
              <w:t>’</w:t>
            </w:r>
            <w:r w:rsidRPr="00BD3A6B">
              <w:rPr>
                <w:sz w:val="16"/>
              </w:rPr>
              <w:t>s name and location</w:t>
            </w:r>
          </w:p>
        </w:tc>
        <w:tc>
          <w:tcPr>
            <w:tcW w:w="6505" w:type="dxa"/>
            <w:gridSpan w:val="2"/>
            <w:vMerge w:val="restart"/>
          </w:tcPr>
          <w:p w:rsidRPr="00BD3A6B" w:rsidR="00CA1E7E" w:rsidP="00BD3A6B" w14:paraId="797D2C2B" w14:textId="77777777">
            <w:pPr>
              <w:jc w:val="center"/>
              <w:rPr>
                <w:sz w:val="16"/>
              </w:rPr>
            </w:pPr>
            <w:r w:rsidRPr="00BD3A6B">
              <w:rPr>
                <w:sz w:val="16"/>
              </w:rPr>
              <w:t>Background to the case and domestic proceedings</w:t>
            </w:r>
          </w:p>
        </w:tc>
        <w:tc>
          <w:tcPr>
            <w:tcW w:w="2268" w:type="dxa"/>
            <w:vMerge w:val="restart"/>
          </w:tcPr>
          <w:p w:rsidRPr="00BD3A6B" w:rsidR="00CA1E7E" w:rsidP="00BD3A6B" w14:paraId="5214595E" w14:textId="77777777">
            <w:pPr>
              <w:jc w:val="center"/>
              <w:rPr>
                <w:sz w:val="16"/>
              </w:rPr>
            </w:pPr>
            <w:r w:rsidRPr="00BD3A6B">
              <w:rPr>
                <w:sz w:val="16"/>
              </w:rPr>
              <w:t>Key issues</w:t>
            </w:r>
          </w:p>
        </w:tc>
      </w:tr>
      <w:tr w:rsidTr="00F80977" w14:paraId="30C3AEFA" w14:textId="77777777">
        <w:tblPrEx>
          <w:tblW w:w="13178" w:type="dxa"/>
          <w:tblLook w:val="0420"/>
        </w:tblPrEx>
        <w:trPr>
          <w:trHeight w:val="424"/>
        </w:trPr>
        <w:tc>
          <w:tcPr>
            <w:tcW w:w="549" w:type="dxa"/>
            <w:vMerge/>
          </w:tcPr>
          <w:p w:rsidRPr="00BD3A6B" w:rsidR="00CA1E7E" w:rsidP="00BD3A6B" w14:paraId="534F6222" w14:textId="77777777">
            <w:pPr>
              <w:jc w:val="center"/>
              <w:rPr>
                <w:sz w:val="16"/>
              </w:rPr>
            </w:pPr>
          </w:p>
        </w:tc>
        <w:tc>
          <w:tcPr>
            <w:tcW w:w="1070" w:type="dxa"/>
            <w:vMerge/>
          </w:tcPr>
          <w:p w:rsidRPr="00BD3A6B" w:rsidR="00CA1E7E" w:rsidP="00BD3A6B" w14:paraId="2774854D" w14:textId="77777777">
            <w:pPr>
              <w:jc w:val="center"/>
              <w:rPr>
                <w:sz w:val="16"/>
              </w:rPr>
            </w:pPr>
          </w:p>
        </w:tc>
        <w:tc>
          <w:tcPr>
            <w:tcW w:w="1328" w:type="dxa"/>
            <w:vMerge/>
          </w:tcPr>
          <w:p w:rsidRPr="00BD3A6B" w:rsidR="00CA1E7E" w:rsidP="00BD3A6B" w14:paraId="3C2A915F" w14:textId="77777777">
            <w:pPr>
              <w:jc w:val="center"/>
              <w:rPr>
                <w:sz w:val="16"/>
              </w:rPr>
            </w:pPr>
          </w:p>
        </w:tc>
        <w:tc>
          <w:tcPr>
            <w:tcW w:w="1458" w:type="dxa"/>
            <w:vMerge/>
          </w:tcPr>
          <w:p w:rsidRPr="00BD3A6B" w:rsidR="00CA1E7E" w:rsidP="00BD3A6B" w14:paraId="4817BE68" w14:textId="77777777">
            <w:pPr>
              <w:jc w:val="center"/>
              <w:rPr>
                <w:sz w:val="16"/>
              </w:rPr>
            </w:pPr>
          </w:p>
        </w:tc>
        <w:tc>
          <w:tcPr>
            <w:tcW w:w="6505" w:type="dxa"/>
            <w:gridSpan w:val="2"/>
            <w:vMerge/>
          </w:tcPr>
          <w:p w:rsidRPr="00BD3A6B" w:rsidR="00CA1E7E" w:rsidP="00BD3A6B" w14:paraId="51F06DE7" w14:textId="77777777">
            <w:pPr>
              <w:jc w:val="center"/>
              <w:rPr>
                <w:sz w:val="16"/>
              </w:rPr>
            </w:pPr>
          </w:p>
        </w:tc>
        <w:tc>
          <w:tcPr>
            <w:tcW w:w="2268" w:type="dxa"/>
            <w:vMerge/>
          </w:tcPr>
          <w:p w:rsidRPr="00BD3A6B" w:rsidR="00CA1E7E" w:rsidP="00BD3A6B" w14:paraId="0FB513C2" w14:textId="77777777">
            <w:pPr>
              <w:jc w:val="center"/>
              <w:rPr>
                <w:sz w:val="16"/>
              </w:rPr>
            </w:pPr>
          </w:p>
        </w:tc>
      </w:tr>
      <w:tr w:rsidTr="00F80977" w14:paraId="15075C82" w14:textId="77777777">
        <w:tblPrEx>
          <w:tblW w:w="13178" w:type="dxa"/>
          <w:tblLook w:val="0420"/>
        </w:tblPrEx>
        <w:tc>
          <w:tcPr>
            <w:tcW w:w="549" w:type="dxa"/>
          </w:tcPr>
          <w:p w:rsidRPr="00BD3A6B" w:rsidR="00CA1E7E" w:rsidP="00BD3A6B" w14:paraId="5E1C7AD2" w14:textId="77777777">
            <w:pPr>
              <w:pStyle w:val="ListParagraph"/>
              <w:numPr>
                <w:ilvl w:val="0"/>
                <w:numId w:val="21"/>
              </w:numPr>
              <w:tabs>
                <w:tab w:val="num" w:pos="283"/>
              </w:tabs>
              <w:spacing w:before="120"/>
              <w:ind w:left="0" w:firstLine="0"/>
              <w:jc w:val="center"/>
              <w:rPr>
                <w:rFonts w:eastAsiaTheme="minorEastAsia"/>
                <w:sz w:val="16"/>
              </w:rPr>
            </w:pPr>
          </w:p>
        </w:tc>
        <w:tc>
          <w:tcPr>
            <w:tcW w:w="1070" w:type="dxa"/>
          </w:tcPr>
          <w:p w:rsidRPr="00BD3A6B" w:rsidR="00CA1E7E" w:rsidP="00BD3A6B" w14:paraId="05A0A781" w14:textId="77777777">
            <w:pPr>
              <w:jc w:val="center"/>
              <w:rPr>
                <w:sz w:val="16"/>
              </w:rPr>
            </w:pPr>
            <w:r w:rsidRPr="00BD3A6B">
              <w:rPr>
                <w:sz w:val="16"/>
              </w:rPr>
              <w:t>55046/16</w:t>
            </w:r>
          </w:p>
          <w:p w:rsidRPr="00BD3A6B" w:rsidR="00CA1E7E" w:rsidP="00BD3A6B" w14:paraId="562164DD" w14:textId="646897CF">
            <w:pPr>
              <w:jc w:val="center"/>
              <w:rPr>
                <w:sz w:val="16"/>
              </w:rPr>
            </w:pPr>
            <w:r w:rsidRPr="00BD3A6B">
              <w:rPr>
                <w:sz w:val="16"/>
              </w:rPr>
              <w:t>07/09/2016</w:t>
            </w:r>
          </w:p>
        </w:tc>
        <w:tc>
          <w:tcPr>
            <w:tcW w:w="1328" w:type="dxa"/>
          </w:tcPr>
          <w:p w:rsidRPr="00BD3A6B" w:rsidR="00CA1E7E" w:rsidP="00BD3A6B" w14:paraId="5A275185" w14:textId="77777777">
            <w:pPr>
              <w:jc w:val="center"/>
              <w:rPr>
                <w:b/>
                <w:bCs/>
                <w:sz w:val="16"/>
              </w:rPr>
            </w:pPr>
            <w:r w:rsidRPr="00BD3A6B">
              <w:rPr>
                <w:b/>
                <w:bCs/>
                <w:sz w:val="16"/>
              </w:rPr>
              <w:t>Fedir Fedorovych PETKANYCH</w:t>
            </w:r>
          </w:p>
          <w:p w:rsidRPr="00BD3A6B" w:rsidR="00CA1E7E" w:rsidP="00BD3A6B" w14:paraId="316F2FFD" w14:textId="77777777">
            <w:pPr>
              <w:jc w:val="center"/>
              <w:rPr>
                <w:sz w:val="16"/>
              </w:rPr>
            </w:pPr>
            <w:r w:rsidRPr="00BD3A6B">
              <w:rPr>
                <w:sz w:val="16"/>
              </w:rPr>
              <w:t>1980</w:t>
            </w:r>
          </w:p>
          <w:p w:rsidRPr="00BD3A6B" w:rsidR="00CA1E7E" w:rsidP="00BD3A6B" w14:paraId="1190BA21" w14:textId="77777777">
            <w:pPr>
              <w:jc w:val="center"/>
              <w:rPr>
                <w:sz w:val="16"/>
              </w:rPr>
            </w:pPr>
          </w:p>
          <w:p w:rsidRPr="00BD3A6B" w:rsidR="00CA1E7E" w:rsidP="00BD3A6B" w14:paraId="784146D2" w14:textId="77777777">
            <w:pPr>
              <w:jc w:val="center"/>
              <w:rPr>
                <w:b/>
                <w:bCs/>
                <w:sz w:val="16"/>
              </w:rPr>
            </w:pPr>
            <w:r w:rsidRPr="00BD3A6B">
              <w:rPr>
                <w:b/>
                <w:bCs/>
                <w:sz w:val="16"/>
              </w:rPr>
              <w:t>Mykhaylo Mykhaylovych LAVRIV</w:t>
            </w:r>
          </w:p>
          <w:p w:rsidRPr="00BD3A6B" w:rsidR="00CA1E7E" w:rsidP="00BD3A6B" w14:paraId="7B46E763" w14:textId="77777777">
            <w:pPr>
              <w:jc w:val="center"/>
              <w:rPr>
                <w:sz w:val="16"/>
              </w:rPr>
            </w:pPr>
            <w:r w:rsidRPr="00BD3A6B">
              <w:rPr>
                <w:sz w:val="16"/>
              </w:rPr>
              <w:t>1952</w:t>
            </w:r>
          </w:p>
          <w:p w:rsidRPr="00BD3A6B" w:rsidR="00CA1E7E" w:rsidP="00BD3A6B" w14:paraId="6A27BFF7" w14:textId="77777777">
            <w:pPr>
              <w:jc w:val="center"/>
              <w:rPr>
                <w:sz w:val="16"/>
              </w:rPr>
            </w:pPr>
          </w:p>
          <w:p w:rsidRPr="00BD3A6B" w:rsidR="00CA1E7E" w:rsidP="00BD3A6B" w14:paraId="11FC6271" w14:textId="77777777">
            <w:pPr>
              <w:jc w:val="center"/>
              <w:rPr>
                <w:b/>
                <w:bCs/>
                <w:sz w:val="16"/>
              </w:rPr>
            </w:pPr>
            <w:r w:rsidRPr="00BD3A6B">
              <w:rPr>
                <w:b/>
                <w:bCs/>
                <w:sz w:val="16"/>
              </w:rPr>
              <w:t>Zhanna Fedorivna PETKANYCH</w:t>
            </w:r>
          </w:p>
          <w:p w:rsidRPr="00BD3A6B" w:rsidR="00CA1E7E" w:rsidP="00BD3A6B" w14:paraId="1A593842" w14:textId="77777777">
            <w:pPr>
              <w:jc w:val="center"/>
              <w:rPr>
                <w:sz w:val="16"/>
              </w:rPr>
            </w:pPr>
            <w:r w:rsidRPr="00BD3A6B">
              <w:rPr>
                <w:sz w:val="16"/>
              </w:rPr>
              <w:t>2005</w:t>
            </w:r>
          </w:p>
          <w:p w:rsidRPr="00BD3A6B" w:rsidR="00CA1E7E" w:rsidP="00BD3A6B" w14:paraId="6BD00016" w14:textId="77777777">
            <w:pPr>
              <w:jc w:val="center"/>
              <w:rPr>
                <w:sz w:val="16"/>
              </w:rPr>
            </w:pPr>
          </w:p>
          <w:p w:rsidRPr="00BD3A6B" w:rsidR="00CA1E7E" w:rsidP="00BD3A6B" w14:paraId="25A02A1B" w14:textId="77777777">
            <w:pPr>
              <w:jc w:val="center"/>
              <w:rPr>
                <w:b/>
                <w:bCs/>
                <w:sz w:val="16"/>
              </w:rPr>
            </w:pPr>
            <w:r w:rsidRPr="00BD3A6B">
              <w:rPr>
                <w:b/>
                <w:bCs/>
                <w:sz w:val="16"/>
              </w:rPr>
              <w:t>Mariya Vasylivna PETKANYCH</w:t>
            </w:r>
          </w:p>
          <w:p w:rsidRPr="00BD3A6B" w:rsidR="00CA1E7E" w:rsidP="00BD3A6B" w14:paraId="0C7C06AF" w14:textId="77777777">
            <w:pPr>
              <w:jc w:val="center"/>
              <w:rPr>
                <w:sz w:val="16"/>
              </w:rPr>
            </w:pPr>
            <w:r w:rsidRPr="00BD3A6B">
              <w:rPr>
                <w:sz w:val="16"/>
              </w:rPr>
              <w:t>1959</w:t>
            </w:r>
          </w:p>
          <w:p w:rsidRPr="00BD3A6B" w:rsidR="00CA1E7E" w:rsidP="00BD3A6B" w14:paraId="0D1915E2" w14:textId="77777777">
            <w:pPr>
              <w:jc w:val="center"/>
              <w:rPr>
                <w:sz w:val="16"/>
              </w:rPr>
            </w:pPr>
          </w:p>
          <w:p w:rsidRPr="00BD3A6B" w:rsidR="00CA1E7E" w:rsidP="00BD3A6B" w14:paraId="16693C52" w14:textId="77777777">
            <w:pPr>
              <w:jc w:val="center"/>
              <w:rPr>
                <w:b/>
                <w:bCs/>
                <w:sz w:val="16"/>
              </w:rPr>
            </w:pPr>
            <w:r w:rsidRPr="00BD3A6B">
              <w:rPr>
                <w:b/>
                <w:bCs/>
                <w:sz w:val="16"/>
              </w:rPr>
              <w:t>Yaroslav Fedorovych PETKANYCH</w:t>
            </w:r>
          </w:p>
          <w:p w:rsidRPr="00BD3A6B" w:rsidR="00CA1E7E" w:rsidP="00BD3A6B" w14:paraId="5E3BD8A0" w14:textId="77777777">
            <w:pPr>
              <w:jc w:val="center"/>
              <w:rPr>
                <w:sz w:val="16"/>
              </w:rPr>
            </w:pPr>
            <w:r w:rsidRPr="00BD3A6B">
              <w:rPr>
                <w:sz w:val="16"/>
              </w:rPr>
              <w:t>1981</w:t>
            </w:r>
          </w:p>
          <w:p w:rsidRPr="00BD3A6B" w:rsidR="00CA1E7E" w:rsidP="00BD3A6B" w14:paraId="38F24CDD" w14:textId="77777777">
            <w:pPr>
              <w:jc w:val="center"/>
              <w:rPr>
                <w:sz w:val="16"/>
              </w:rPr>
            </w:pPr>
          </w:p>
          <w:p w:rsidRPr="00BD3A6B" w:rsidR="00CA1E7E" w:rsidP="00BD3A6B" w14:paraId="427B92DA" w14:textId="77777777">
            <w:pPr>
              <w:jc w:val="center"/>
              <w:rPr>
                <w:sz w:val="16"/>
              </w:rPr>
            </w:pPr>
          </w:p>
        </w:tc>
        <w:tc>
          <w:tcPr>
            <w:tcW w:w="1458" w:type="dxa"/>
          </w:tcPr>
          <w:p w:rsidRPr="00BD3A6B" w:rsidR="00CA1E7E" w:rsidP="00BD3A6B" w14:paraId="166A71DC" w14:textId="33D181E2">
            <w:pPr>
              <w:spacing w:before="120"/>
              <w:jc w:val="center"/>
              <w:rPr>
                <w:sz w:val="16"/>
              </w:rPr>
            </w:pPr>
            <w:r w:rsidRPr="00BD3A6B">
              <w:rPr>
                <w:sz w:val="16"/>
              </w:rPr>
              <w:t>self-representation by Fedir Fedorovych PETKANYCH</w:t>
            </w:r>
          </w:p>
        </w:tc>
        <w:tc>
          <w:tcPr>
            <w:tcW w:w="6505" w:type="dxa"/>
            <w:gridSpan w:val="2"/>
          </w:tcPr>
          <w:p w:rsidRPr="00BD3A6B" w:rsidR="00CA1E7E" w:rsidP="00BD3A6B" w14:paraId="0BE6537F" w14:textId="224650C3">
            <w:pPr>
              <w:rPr>
                <w:sz w:val="16"/>
              </w:rPr>
            </w:pPr>
            <w:r w:rsidRPr="00BD3A6B">
              <w:rPr>
                <w:sz w:val="16"/>
              </w:rPr>
              <w:t>The application was lodged by the late P.</w:t>
            </w:r>
            <w:r w:rsidRPr="00BD3A6B" w:rsidR="00BD3A6B">
              <w:rPr>
                <w:sz w:val="16"/>
              </w:rPr>
              <w:t>’</w:t>
            </w:r>
            <w:r w:rsidRPr="00BD3A6B">
              <w:rPr>
                <w:sz w:val="16"/>
              </w:rPr>
              <w:t>s father, husband, daughter and mother-in-law.</w:t>
            </w:r>
          </w:p>
          <w:p w:rsidRPr="00BD3A6B" w:rsidR="00CA1E7E" w:rsidP="00BD3A6B" w14:paraId="1E1DF92B" w14:textId="77777777">
            <w:pPr>
              <w:rPr>
                <w:sz w:val="16"/>
              </w:rPr>
            </w:pPr>
          </w:p>
          <w:p w:rsidRPr="00BD3A6B" w:rsidR="00CA1E7E" w:rsidP="00BD3A6B" w14:paraId="29812539" w14:textId="77777777">
            <w:pPr>
              <w:rPr>
                <w:b/>
                <w:bCs/>
                <w:sz w:val="16"/>
              </w:rPr>
            </w:pPr>
            <w:r w:rsidRPr="00BD3A6B">
              <w:rPr>
                <w:b/>
                <w:bCs/>
                <w:sz w:val="16"/>
              </w:rPr>
              <w:t>Circumstances of the incident</w:t>
            </w:r>
          </w:p>
          <w:p w:rsidRPr="00BD3A6B" w:rsidR="00CA1E7E" w:rsidP="00BD3A6B" w14:paraId="5A7DBCBE" w14:textId="77777777">
            <w:pPr>
              <w:rPr>
                <w:b/>
                <w:bCs/>
                <w:sz w:val="16"/>
              </w:rPr>
            </w:pPr>
          </w:p>
          <w:p w:rsidRPr="00BD3A6B" w:rsidR="00CA1E7E" w:rsidP="00BD3A6B" w14:paraId="24BEB857" w14:textId="34F6BD38">
            <w:pPr>
              <w:jc w:val="both"/>
              <w:rPr>
                <w:sz w:val="16"/>
              </w:rPr>
            </w:pPr>
            <w:r w:rsidRPr="00BD3A6B">
              <w:rPr>
                <w:sz w:val="16"/>
              </w:rPr>
              <w:t>On 19 July 2005 P., a member of the applicants</w:t>
            </w:r>
            <w:r w:rsidRPr="00BD3A6B" w:rsidR="00BD3A6B">
              <w:rPr>
                <w:sz w:val="16"/>
              </w:rPr>
              <w:t>’</w:t>
            </w:r>
            <w:r w:rsidRPr="00BD3A6B">
              <w:rPr>
                <w:sz w:val="16"/>
              </w:rPr>
              <w:t xml:space="preserve"> family, was admitted to an infectious </w:t>
            </w:r>
            <w:r w:rsidRPr="00BD3A6B">
              <w:rPr>
                <w:sz w:val="16"/>
              </w:rPr>
              <w:t>diseases</w:t>
            </w:r>
            <w:r w:rsidRPr="00BD3A6B">
              <w:rPr>
                <w:sz w:val="16"/>
              </w:rPr>
              <w:t xml:space="preserve"> hospital in Zakarpattya Region with symptoms of acute respiratory viral infection and intoxication syndrome. She was diagnosed with a combined disorder of pleurisy and pneumonia and received treatment for that illness. As the treatment had proved ineffective, on 26 July 2005 she was transferred to the Uzhhorod City Hospital, where the doctors suspected that she was in fact suffering from another illness, namely meningitis, and adjusted the medical treatment accordingly. On 10 August 2005 P. developed severe haemorrhagic meningoencephalitis, which resulted in a coma and, subsequently, her death.</w:t>
            </w:r>
          </w:p>
          <w:p w:rsidRPr="00BD3A6B" w:rsidR="00CA1E7E" w:rsidP="00BD3A6B" w14:paraId="43B2A9FC" w14:textId="77777777">
            <w:pPr>
              <w:jc w:val="both"/>
              <w:rPr>
                <w:sz w:val="16"/>
              </w:rPr>
            </w:pPr>
          </w:p>
          <w:p w:rsidRPr="00BD3A6B" w:rsidR="00CA1E7E" w:rsidP="00BD3A6B" w14:paraId="38301438" w14:textId="77777777">
            <w:pPr>
              <w:rPr>
                <w:b/>
                <w:bCs/>
                <w:sz w:val="16"/>
              </w:rPr>
            </w:pPr>
            <w:r w:rsidRPr="00BD3A6B">
              <w:rPr>
                <w:b/>
                <w:bCs/>
                <w:sz w:val="16"/>
              </w:rPr>
              <w:t>Criminal investigation</w:t>
            </w:r>
          </w:p>
          <w:p w:rsidRPr="00BD3A6B" w:rsidR="00CA1E7E" w:rsidP="00BD3A6B" w14:paraId="278482DC" w14:textId="77777777">
            <w:pPr>
              <w:rPr>
                <w:b/>
                <w:bCs/>
                <w:sz w:val="16"/>
              </w:rPr>
            </w:pPr>
          </w:p>
          <w:p w:rsidRPr="00BD3A6B" w:rsidR="00CA1E7E" w:rsidP="00BD3A6B" w14:paraId="219CF596" w14:textId="619ECDAF">
            <w:pPr>
              <w:jc w:val="both"/>
              <w:rPr>
                <w:sz w:val="16"/>
              </w:rPr>
            </w:pPr>
            <w:r w:rsidRPr="00BD3A6B">
              <w:rPr>
                <w:sz w:val="16"/>
              </w:rPr>
              <w:t xml:space="preserve">On 15 August 2005 the applicants lodged a criminal complaint against the doctors who had provided medical treatment to P. On 19 September 2005 a criminal investigation was opened. On 3 February 2006 forensic medical experts from </w:t>
            </w:r>
            <w:r w:rsidRPr="00BD3A6B" w:rsidR="000C0047">
              <w:rPr>
                <w:sz w:val="16"/>
              </w:rPr>
              <w:t xml:space="preserve">the Zakarpattya </w:t>
            </w:r>
            <w:r w:rsidRPr="00BD3A6B">
              <w:rPr>
                <w:sz w:val="16"/>
              </w:rPr>
              <w:t>forensic expert institution identified serious shortcomings in the medical assessment and treatment of P. In an additional opinion of 2 August 2007, the medical experts noted that P. had been examined by numerous medical practitioners, which made it impossible to identify one specific doctor responsible for the alleged mistakes.</w:t>
            </w:r>
          </w:p>
          <w:p w:rsidRPr="00BD3A6B" w:rsidR="00CA1E7E" w:rsidP="00BD3A6B" w14:paraId="1D862FCB" w14:textId="77777777">
            <w:pPr>
              <w:jc w:val="both"/>
              <w:rPr>
                <w:sz w:val="16"/>
              </w:rPr>
            </w:pPr>
            <w:r w:rsidRPr="00BD3A6B">
              <w:rPr>
                <w:sz w:val="16"/>
              </w:rPr>
              <w:t>On 2 April 2008 only T. (the coordinating doctor) was charged with the offence of medical negligence.</w:t>
            </w:r>
          </w:p>
          <w:p w:rsidRPr="00BD3A6B" w:rsidR="00CA1E7E" w:rsidP="00BD3A6B" w14:paraId="3FE45058" w14:textId="59E9D744">
            <w:pPr>
              <w:jc w:val="both"/>
              <w:rPr>
                <w:sz w:val="16"/>
              </w:rPr>
            </w:pPr>
            <w:r w:rsidRPr="00BD3A6B">
              <w:rPr>
                <w:sz w:val="16"/>
              </w:rPr>
              <w:t>On 22 January 2009 a court ordered an additional forensic medical examination by the Main Bureau of Forensic Medical Examinations at the Ministry of Health. On 1 September 2009 the medical experts concluded that there had been no negligence in P.</w:t>
            </w:r>
            <w:r w:rsidRPr="00BD3A6B" w:rsidR="00BD3A6B">
              <w:rPr>
                <w:sz w:val="16"/>
              </w:rPr>
              <w:t>’</w:t>
            </w:r>
            <w:r w:rsidRPr="00BD3A6B">
              <w:rPr>
                <w:sz w:val="16"/>
              </w:rPr>
              <w:t>s medical treatment and no causal link between the treatment and her death.</w:t>
            </w:r>
          </w:p>
          <w:p w:rsidRPr="00BD3A6B" w:rsidR="00CA1E7E" w:rsidP="00BD3A6B" w14:paraId="34EB1264" w14:textId="02A49EEE">
            <w:pPr>
              <w:jc w:val="both"/>
              <w:rPr>
                <w:sz w:val="16"/>
              </w:rPr>
            </w:pPr>
            <w:r w:rsidRPr="00BD3A6B">
              <w:rPr>
                <w:sz w:val="16"/>
              </w:rPr>
              <w:t>On 12 March 2010 T. died. Her relatives requested that the trial be continued. On 16 July 2010 the Uzhhorod City Court acquitted T. On 14 December 2010 that judgment was quashed on appeal on the grounds that the evidence (witnesses</w:t>
            </w:r>
            <w:r w:rsidRPr="00BD3A6B" w:rsidR="00BD3A6B">
              <w:rPr>
                <w:sz w:val="16"/>
              </w:rPr>
              <w:t>’</w:t>
            </w:r>
            <w:r w:rsidRPr="00BD3A6B">
              <w:rPr>
                <w:sz w:val="16"/>
              </w:rPr>
              <w:t xml:space="preserve"> statements) had not been properly examined. On 3 December 2012 the Uzhhorod City Court again acquitted T. On 9 October 2013 that judgment was quashed on appeal and the case was remitted for fresh examination by the first-instance court.</w:t>
            </w:r>
          </w:p>
          <w:p w:rsidRPr="00BD3A6B" w:rsidR="00CA1E7E" w:rsidP="00BD3A6B" w14:paraId="392D58AD" w14:textId="77777777">
            <w:pPr>
              <w:jc w:val="both"/>
              <w:rPr>
                <w:sz w:val="16"/>
              </w:rPr>
            </w:pPr>
            <w:r w:rsidRPr="00BD3A6B">
              <w:rPr>
                <w:sz w:val="16"/>
              </w:rPr>
              <w:t>On 19 June 2015 the trial court ordered another forensic medical examination by the Main Bureau of Forensic Medical Examinations at the Ministry of Health and the proceedings were suspended. On 22 December 2017 the trial court received the results of that examination.</w:t>
            </w:r>
          </w:p>
          <w:p w:rsidRPr="00BD3A6B" w:rsidR="00CA1E7E" w:rsidP="00BD3A6B" w14:paraId="1BAFB03A" w14:textId="77777777">
            <w:pPr>
              <w:jc w:val="both"/>
              <w:rPr>
                <w:sz w:val="16"/>
              </w:rPr>
            </w:pPr>
            <w:r w:rsidRPr="00BD3A6B">
              <w:rPr>
                <w:sz w:val="16"/>
              </w:rPr>
              <w:t>As of 3 May 2019, the case was still pending before the first-instance court.</w:t>
            </w:r>
          </w:p>
          <w:p w:rsidRPr="00BD3A6B" w:rsidR="00CA1E7E" w:rsidP="00BD3A6B" w14:paraId="3E087092" w14:textId="77777777">
            <w:pPr>
              <w:jc w:val="both"/>
              <w:rPr>
                <w:sz w:val="16"/>
              </w:rPr>
            </w:pPr>
          </w:p>
          <w:p w:rsidRPr="00BD3A6B" w:rsidR="00CA1E7E" w:rsidP="00BD3A6B" w14:paraId="64D36029" w14:textId="77777777">
            <w:pPr>
              <w:rPr>
                <w:b/>
                <w:bCs/>
                <w:sz w:val="16"/>
              </w:rPr>
            </w:pPr>
            <w:r w:rsidRPr="00BD3A6B">
              <w:rPr>
                <w:b/>
                <w:bCs/>
                <w:sz w:val="16"/>
              </w:rPr>
              <w:t>Civil claims</w:t>
            </w:r>
          </w:p>
          <w:p w:rsidRPr="00BD3A6B" w:rsidR="00CA1E7E" w:rsidP="00BD3A6B" w14:paraId="1C1CFDE8" w14:textId="77777777">
            <w:pPr>
              <w:rPr>
                <w:b/>
                <w:bCs/>
                <w:sz w:val="16"/>
              </w:rPr>
            </w:pPr>
          </w:p>
          <w:p w:rsidRPr="00BD3A6B" w:rsidR="00CA1E7E" w:rsidP="00BD3A6B" w14:paraId="1F456E2C" w14:textId="77777777">
            <w:pPr>
              <w:jc w:val="both"/>
              <w:rPr>
                <w:sz w:val="16"/>
              </w:rPr>
            </w:pPr>
            <w:r w:rsidRPr="00BD3A6B">
              <w:rPr>
                <w:sz w:val="16"/>
              </w:rPr>
              <w:t>In 2008 the first and second applicants lodged civil claims within the criminal proceedings, seeking compensation for pecuniary and non-pecuniary damage from the hospital, which was involved as a civil respondent. On 26 February 2014 the third and fourth applicants joined the proceedings as victims.</w:t>
            </w:r>
          </w:p>
          <w:p w:rsidRPr="00BD3A6B" w:rsidR="00CA1E7E" w:rsidP="00BD3A6B" w14:paraId="45A04D00" w14:textId="77777777">
            <w:pPr>
              <w:jc w:val="both"/>
              <w:rPr>
                <w:sz w:val="16"/>
              </w:rPr>
            </w:pPr>
          </w:p>
          <w:p w:rsidRPr="00BD3A6B" w:rsidR="00CA1E7E" w:rsidP="00BD3A6B" w14:paraId="31B6C9A0" w14:textId="77777777">
            <w:pPr>
              <w:rPr>
                <w:b/>
                <w:bCs/>
                <w:sz w:val="16"/>
              </w:rPr>
            </w:pPr>
            <w:r w:rsidRPr="00BD3A6B">
              <w:rPr>
                <w:b/>
                <w:bCs/>
                <w:sz w:val="16"/>
              </w:rPr>
              <w:t>Other proceedings</w:t>
            </w:r>
          </w:p>
          <w:p w:rsidRPr="00BD3A6B" w:rsidR="00CA1E7E" w:rsidP="00BD3A6B" w14:paraId="4C61C3AF" w14:textId="77777777">
            <w:pPr>
              <w:rPr>
                <w:b/>
                <w:bCs/>
                <w:sz w:val="16"/>
              </w:rPr>
            </w:pPr>
          </w:p>
          <w:p w:rsidRPr="00BD3A6B" w:rsidR="00CA1E7E" w:rsidP="00BD3A6B" w14:paraId="6901C8DB" w14:textId="29FA82E5">
            <w:pPr>
              <w:jc w:val="both"/>
              <w:rPr>
                <w:sz w:val="16"/>
              </w:rPr>
            </w:pPr>
            <w:r w:rsidRPr="00BD3A6B">
              <w:rPr>
                <w:sz w:val="16"/>
              </w:rPr>
              <w:t>On 23 August 2005 an expert commission of doctors from Zakarpattya Region was appointed to investigate the applicants</w:t>
            </w:r>
            <w:r w:rsidRPr="00BD3A6B" w:rsidR="00BD3A6B">
              <w:rPr>
                <w:sz w:val="16"/>
              </w:rPr>
              <w:t>’</w:t>
            </w:r>
            <w:r w:rsidRPr="00BD3A6B">
              <w:rPr>
                <w:sz w:val="16"/>
              </w:rPr>
              <w:t xml:space="preserve"> complaint concerning the medical treatment of P. which had led to her death. The commission concluded that P. had received proper medical treatment.</w:t>
            </w:r>
          </w:p>
          <w:p w:rsidRPr="00BD3A6B" w:rsidR="00CA1E7E" w:rsidP="00BD3A6B" w14:paraId="048376D8" w14:textId="77777777">
            <w:pPr>
              <w:jc w:val="both"/>
              <w:rPr>
                <w:sz w:val="16"/>
              </w:rPr>
            </w:pPr>
          </w:p>
        </w:tc>
        <w:tc>
          <w:tcPr>
            <w:tcW w:w="2268" w:type="dxa"/>
          </w:tcPr>
          <w:p w:rsidRPr="00BD3A6B" w:rsidR="00CA1E7E" w:rsidP="00BD3A6B" w14:paraId="4272E48E" w14:textId="2545A3C2">
            <w:pPr>
              <w:spacing w:before="120"/>
              <w:jc w:val="center"/>
              <w:rPr>
                <w:sz w:val="16"/>
              </w:rPr>
            </w:pPr>
            <w:r w:rsidRPr="00BD3A6B">
              <w:rPr>
                <w:sz w:val="16"/>
              </w:rPr>
              <w:t xml:space="preserve">Excessive delay and lack of diligence (see </w:t>
            </w:r>
            <w:r w:rsidRPr="00BD3A6B">
              <w:rPr>
                <w:i/>
                <w:iCs/>
                <w:sz w:val="16"/>
              </w:rPr>
              <w:t>Arskaya v. Ukraine</w:t>
            </w:r>
            <w:r w:rsidRPr="00BD3A6B">
              <w:rPr>
                <w:sz w:val="16"/>
              </w:rPr>
              <w:t>, no. 45076/05, §</w:t>
            </w:r>
            <w:r w:rsidRPr="00BD3A6B" w:rsidR="00723FAA">
              <w:rPr>
                <w:sz w:val="16"/>
              </w:rPr>
              <w:t> </w:t>
            </w:r>
            <w:r w:rsidRPr="00BD3A6B">
              <w:rPr>
                <w:sz w:val="16"/>
              </w:rPr>
              <w:t>72, 5</w:t>
            </w:r>
            <w:r w:rsidRPr="00BD3A6B" w:rsidR="00723FAA">
              <w:rPr>
                <w:sz w:val="16"/>
              </w:rPr>
              <w:t> </w:t>
            </w:r>
            <w:r w:rsidRPr="00BD3A6B">
              <w:rPr>
                <w:sz w:val="16"/>
              </w:rPr>
              <w:t xml:space="preserve">December 2013; </w:t>
            </w:r>
            <w:r w:rsidRPr="00BD3A6B">
              <w:rPr>
                <w:i/>
                <w:iCs/>
                <w:sz w:val="16"/>
              </w:rPr>
              <w:t>Valeriy Fuklev v. Ukraine</w:t>
            </w:r>
            <w:r w:rsidRPr="00BD3A6B">
              <w:rPr>
                <w:sz w:val="16"/>
              </w:rPr>
              <w:t>, no.</w:t>
            </w:r>
            <w:r w:rsidRPr="00BD3A6B" w:rsidR="00723FAA">
              <w:rPr>
                <w:sz w:val="16"/>
              </w:rPr>
              <w:t> </w:t>
            </w:r>
            <w:r w:rsidRPr="00BD3A6B">
              <w:rPr>
                <w:sz w:val="16"/>
              </w:rPr>
              <w:t xml:space="preserve">6318/03, §§ 75-76, 16 January 2014; </w:t>
            </w:r>
            <w:r w:rsidRPr="00BD3A6B">
              <w:rPr>
                <w:i/>
                <w:iCs/>
                <w:sz w:val="16"/>
              </w:rPr>
              <w:t>Marchuk v. Ukraine</w:t>
            </w:r>
            <w:r w:rsidRPr="00BD3A6B">
              <w:rPr>
                <w:sz w:val="16"/>
              </w:rPr>
              <w:t xml:space="preserve"> </w:t>
            </w:r>
            <w:r w:rsidRPr="00BD3A6B">
              <w:rPr>
                <w:bCs/>
                <w:sz w:val="16"/>
              </w:rPr>
              <w:t>[Committee]</w:t>
            </w:r>
            <w:r w:rsidRPr="00BD3A6B">
              <w:rPr>
                <w:sz w:val="16"/>
              </w:rPr>
              <w:t xml:space="preserve">, no. 65663/12, </w:t>
            </w:r>
            <w:r w:rsidRPr="00BD3A6B">
              <w:rPr>
                <w:rFonts w:cstheme="minorHAnsi"/>
                <w:sz w:val="16"/>
              </w:rPr>
              <w:t>§§</w:t>
            </w:r>
            <w:r w:rsidRPr="00BD3A6B" w:rsidR="00723FAA">
              <w:rPr>
                <w:rFonts w:cstheme="minorHAnsi"/>
                <w:sz w:val="16"/>
              </w:rPr>
              <w:t> </w:t>
            </w:r>
            <w:r w:rsidRPr="00BD3A6B">
              <w:rPr>
                <w:sz w:val="16"/>
              </w:rPr>
              <w:t xml:space="preserve">35 and 37, 28 July 2016; and </w:t>
            </w:r>
            <w:r w:rsidRPr="00BD3A6B">
              <w:rPr>
                <w:i/>
                <w:iCs/>
                <w:sz w:val="16"/>
              </w:rPr>
              <w:t>Tretyakova v. Ukraine</w:t>
            </w:r>
            <w:r w:rsidRPr="00BD3A6B">
              <w:rPr>
                <w:sz w:val="16"/>
              </w:rPr>
              <w:t xml:space="preserve"> [Committee], no. 63126/13, </w:t>
            </w:r>
            <w:r w:rsidRPr="00BD3A6B">
              <w:rPr>
                <w:rFonts w:cstheme="minorHAnsi"/>
                <w:sz w:val="16"/>
              </w:rPr>
              <w:t>§§</w:t>
            </w:r>
            <w:r w:rsidRPr="00BD3A6B" w:rsidR="00723FAA">
              <w:rPr>
                <w:rFonts w:cstheme="minorHAnsi"/>
                <w:sz w:val="16"/>
              </w:rPr>
              <w:t> </w:t>
            </w:r>
            <w:r w:rsidRPr="00BD3A6B">
              <w:rPr>
                <w:rFonts w:cstheme="minorHAnsi"/>
                <w:sz w:val="16"/>
              </w:rPr>
              <w:t>31-</w:t>
            </w:r>
            <w:r w:rsidRPr="00BD3A6B">
              <w:rPr>
                <w:sz w:val="16"/>
              </w:rPr>
              <w:t>33, 4 November 2021</w:t>
            </w:r>
            <w:r w:rsidRPr="00BD3A6B">
              <w:rPr>
                <w:sz w:val="16"/>
              </w:rPr>
              <w:t>);</w:t>
            </w:r>
          </w:p>
          <w:p w:rsidRPr="00BD3A6B" w:rsidR="00CA1E7E" w:rsidP="00BD3A6B" w14:paraId="5886E43B" w14:textId="77777777">
            <w:pPr>
              <w:spacing w:before="120"/>
              <w:jc w:val="center"/>
              <w:rPr>
                <w:sz w:val="16"/>
              </w:rPr>
            </w:pPr>
            <w:r w:rsidRPr="00BD3A6B">
              <w:rPr>
                <w:sz w:val="16"/>
              </w:rPr>
              <w:t xml:space="preserve">Remittals of the case in the light of the shortcomings in the investigation (see </w:t>
            </w:r>
            <w:r w:rsidRPr="00BD3A6B">
              <w:rPr>
                <w:i/>
                <w:iCs/>
                <w:sz w:val="16"/>
              </w:rPr>
              <w:t>Arskaya</w:t>
            </w:r>
            <w:r w:rsidRPr="00BD3A6B">
              <w:rPr>
                <w:sz w:val="16"/>
              </w:rPr>
              <w:t xml:space="preserve">, cited above, </w:t>
            </w:r>
            <w:r w:rsidRPr="00BD3A6B">
              <w:rPr>
                <w:rFonts w:cstheme="minorHAnsi"/>
                <w:sz w:val="16"/>
              </w:rPr>
              <w:t>§</w:t>
            </w:r>
            <w:r w:rsidRPr="00BD3A6B">
              <w:rPr>
                <w:sz w:val="16"/>
              </w:rPr>
              <w:t xml:space="preserve"> 72, and </w:t>
            </w:r>
            <w:r w:rsidRPr="00BD3A6B">
              <w:rPr>
                <w:i/>
                <w:iCs/>
                <w:sz w:val="16"/>
              </w:rPr>
              <w:t>Valeriy Fuklev</w:t>
            </w:r>
            <w:r w:rsidRPr="00BD3A6B">
              <w:rPr>
                <w:sz w:val="16"/>
              </w:rPr>
              <w:t xml:space="preserve">, cited above, </w:t>
            </w:r>
            <w:r w:rsidRPr="00BD3A6B">
              <w:rPr>
                <w:rFonts w:cstheme="minorHAnsi"/>
                <w:sz w:val="16"/>
              </w:rPr>
              <w:t>§</w:t>
            </w:r>
            <w:r w:rsidRPr="00BD3A6B">
              <w:rPr>
                <w:rFonts w:asciiTheme="minorBidi" w:hAnsiTheme="minorBidi"/>
                <w:sz w:val="16"/>
              </w:rPr>
              <w:t>§</w:t>
            </w:r>
            <w:r w:rsidRPr="00BD3A6B">
              <w:rPr>
                <w:sz w:val="16"/>
              </w:rPr>
              <w:t xml:space="preserve"> 74-75</w:t>
            </w:r>
            <w:r w:rsidRPr="00BD3A6B">
              <w:rPr>
                <w:sz w:val="16"/>
              </w:rPr>
              <w:t>);</w:t>
            </w:r>
          </w:p>
          <w:p w:rsidRPr="00BD3A6B" w:rsidR="00CA1E7E" w:rsidP="00BD3A6B" w14:paraId="22F7BC81" w14:textId="4E9557E3">
            <w:pPr>
              <w:spacing w:before="120"/>
              <w:jc w:val="center"/>
              <w:rPr>
                <w:sz w:val="16"/>
              </w:rPr>
            </w:pPr>
            <w:r w:rsidRPr="00BD3A6B">
              <w:rPr>
                <w:sz w:val="16"/>
              </w:rPr>
              <w:t xml:space="preserve">Failure to establish the essential facts of the case and possible errors committed </w:t>
            </w:r>
            <w:r w:rsidRPr="00BD3A6B">
              <w:rPr>
                <w:sz w:val="16"/>
              </w:rPr>
              <w:t>in the course of</w:t>
            </w:r>
            <w:r w:rsidRPr="00BD3A6B">
              <w:rPr>
                <w:sz w:val="16"/>
              </w:rPr>
              <w:t xml:space="preserve"> medical care (see </w:t>
            </w:r>
            <w:r w:rsidRPr="00BD3A6B">
              <w:rPr>
                <w:i/>
                <w:iCs/>
                <w:sz w:val="16"/>
              </w:rPr>
              <w:t>Ioniță v.</w:t>
            </w:r>
            <w:r w:rsidRPr="00BD3A6B" w:rsidR="00723FAA">
              <w:rPr>
                <w:i/>
                <w:iCs/>
                <w:sz w:val="16"/>
              </w:rPr>
              <w:t> </w:t>
            </w:r>
            <w:r w:rsidRPr="00BD3A6B">
              <w:rPr>
                <w:i/>
                <w:iCs/>
                <w:sz w:val="16"/>
              </w:rPr>
              <w:t>Romania</w:t>
            </w:r>
            <w:r w:rsidRPr="00BD3A6B">
              <w:rPr>
                <w:sz w:val="16"/>
              </w:rPr>
              <w:t xml:space="preserve">, no. 81270/12, </w:t>
            </w:r>
            <w:r w:rsidRPr="00BD3A6B">
              <w:rPr>
                <w:rFonts w:cstheme="minorHAnsi"/>
                <w:sz w:val="16"/>
              </w:rPr>
              <w:t>§</w:t>
            </w:r>
            <w:r w:rsidRPr="00BD3A6B" w:rsidR="00723FAA">
              <w:rPr>
                <w:rFonts w:cstheme="minorHAnsi"/>
                <w:sz w:val="16"/>
              </w:rPr>
              <w:t> </w:t>
            </w:r>
            <w:r w:rsidRPr="00BD3A6B">
              <w:rPr>
                <w:sz w:val="16"/>
              </w:rPr>
              <w:t xml:space="preserve">83, 10 January 2017; </w:t>
            </w:r>
            <w:r w:rsidRPr="00BD3A6B">
              <w:rPr>
                <w:i/>
                <w:iCs/>
                <w:sz w:val="16"/>
              </w:rPr>
              <w:t>Nina Kutsenko v. Ukraine</w:t>
            </w:r>
            <w:r w:rsidRPr="00BD3A6B">
              <w:rPr>
                <w:sz w:val="16"/>
              </w:rPr>
              <w:t xml:space="preserve">, no. 25114/11, </w:t>
            </w:r>
            <w:r w:rsidRPr="00BD3A6B">
              <w:rPr>
                <w:rFonts w:cstheme="minorHAnsi"/>
                <w:sz w:val="16"/>
              </w:rPr>
              <w:t>§</w:t>
            </w:r>
            <w:r w:rsidRPr="00BD3A6B">
              <w:rPr>
                <w:sz w:val="16"/>
              </w:rPr>
              <w:t xml:space="preserve"> 159, 18</w:t>
            </w:r>
            <w:r w:rsidRPr="00BD3A6B" w:rsidR="00D46672">
              <w:rPr>
                <w:sz w:val="16"/>
              </w:rPr>
              <w:t> </w:t>
            </w:r>
            <w:r w:rsidRPr="00BD3A6B">
              <w:rPr>
                <w:sz w:val="16"/>
              </w:rPr>
              <w:t xml:space="preserve">July 2017; and </w:t>
            </w:r>
            <w:r w:rsidRPr="00BD3A6B">
              <w:rPr>
                <w:i/>
                <w:iCs/>
                <w:sz w:val="16"/>
              </w:rPr>
              <w:t>Lukashenko v.</w:t>
            </w:r>
            <w:r w:rsidRPr="00BD3A6B" w:rsidR="00723FAA">
              <w:rPr>
                <w:i/>
                <w:iCs/>
                <w:sz w:val="16"/>
              </w:rPr>
              <w:t> </w:t>
            </w:r>
            <w:r w:rsidRPr="00BD3A6B">
              <w:rPr>
                <w:i/>
                <w:iCs/>
                <w:sz w:val="16"/>
              </w:rPr>
              <w:t xml:space="preserve">Ukraine </w:t>
            </w:r>
            <w:r w:rsidRPr="00BD3A6B">
              <w:rPr>
                <w:sz w:val="16"/>
              </w:rPr>
              <w:t>[Committee], no.</w:t>
            </w:r>
            <w:r w:rsidRPr="00BD3A6B" w:rsidR="00723FAA">
              <w:rPr>
                <w:sz w:val="16"/>
              </w:rPr>
              <w:t> </w:t>
            </w:r>
            <w:r w:rsidRPr="00BD3A6B">
              <w:rPr>
                <w:sz w:val="16"/>
              </w:rPr>
              <w:t>33944/13, § 30, 11</w:t>
            </w:r>
            <w:r w:rsidRPr="00BD3A6B" w:rsidR="00D46672">
              <w:rPr>
                <w:sz w:val="16"/>
              </w:rPr>
              <w:t> </w:t>
            </w:r>
            <w:r w:rsidRPr="00BD3A6B">
              <w:rPr>
                <w:sz w:val="16"/>
              </w:rPr>
              <w:t>September 2025).</w:t>
            </w:r>
          </w:p>
        </w:tc>
      </w:tr>
      <w:tr w:rsidTr="00F80977" w14:paraId="55BE1644" w14:textId="77777777">
        <w:tblPrEx>
          <w:tblW w:w="13178" w:type="dxa"/>
          <w:tblLook w:val="0420"/>
        </w:tblPrEx>
        <w:tc>
          <w:tcPr>
            <w:tcW w:w="13178" w:type="dxa"/>
            <w:gridSpan w:val="7"/>
            <w:shd w:val="clear" w:color="auto" w:fill="DFDFDF" w:themeFill="background2" w:themeFillShade="E6"/>
          </w:tcPr>
          <w:p w:rsidRPr="00BD3A6B" w:rsidR="00CA1E7E" w:rsidP="00BD3A6B" w14:paraId="5674B12E" w14:textId="77777777">
            <w:pPr>
              <w:jc w:val="center"/>
              <w:rPr>
                <w:b/>
                <w:bCs/>
                <w:sz w:val="16"/>
              </w:rPr>
            </w:pPr>
            <w:r w:rsidRPr="00BD3A6B">
              <w:rPr>
                <w:b/>
                <w:bCs/>
                <w:sz w:val="16"/>
              </w:rPr>
              <w:t>Just satisfaction</w:t>
            </w:r>
          </w:p>
        </w:tc>
      </w:tr>
      <w:tr w:rsidTr="00F80977" w14:paraId="74C16A59" w14:textId="77777777">
        <w:tblPrEx>
          <w:tblW w:w="13178" w:type="dxa"/>
          <w:tblLook w:val="0420"/>
        </w:tblPrEx>
        <w:tc>
          <w:tcPr>
            <w:tcW w:w="6589" w:type="dxa"/>
            <w:gridSpan w:val="5"/>
            <w:shd w:val="clear" w:color="auto" w:fill="DFDFDF" w:themeFill="background2" w:themeFillShade="E6"/>
          </w:tcPr>
          <w:p w:rsidRPr="00BD3A6B" w:rsidR="00CA1E7E" w:rsidP="00BD3A6B" w14:paraId="7868FF66" w14:textId="5E81FB7F">
            <w:pPr>
              <w:jc w:val="center"/>
              <w:rPr>
                <w:b/>
                <w:bCs/>
                <w:sz w:val="16"/>
              </w:rPr>
            </w:pPr>
            <w:r w:rsidRPr="00BD3A6B">
              <w:rPr>
                <w:b/>
                <w:bCs/>
                <w:sz w:val="16"/>
              </w:rPr>
              <w:t>Applicants</w:t>
            </w:r>
            <w:r w:rsidRPr="00BD3A6B" w:rsidR="00BD3A6B">
              <w:rPr>
                <w:b/>
                <w:bCs/>
                <w:sz w:val="16"/>
              </w:rPr>
              <w:t>’</w:t>
            </w:r>
            <w:r w:rsidRPr="00BD3A6B">
              <w:rPr>
                <w:b/>
                <w:bCs/>
                <w:sz w:val="16"/>
              </w:rPr>
              <w:t xml:space="preserve"> claims for just satisfaction</w:t>
            </w:r>
          </w:p>
        </w:tc>
        <w:tc>
          <w:tcPr>
            <w:tcW w:w="6589" w:type="dxa"/>
            <w:gridSpan w:val="2"/>
            <w:shd w:val="clear" w:color="auto" w:fill="DFDFDF" w:themeFill="background2" w:themeFillShade="E6"/>
          </w:tcPr>
          <w:p w:rsidRPr="00BD3A6B" w:rsidR="00CA1E7E" w:rsidP="00BD3A6B" w14:paraId="6F1ADDF1" w14:textId="2196DC71">
            <w:pPr>
              <w:jc w:val="center"/>
              <w:rPr>
                <w:b/>
                <w:bCs/>
                <w:sz w:val="16"/>
              </w:rPr>
            </w:pPr>
            <w:r w:rsidRPr="00BD3A6B">
              <w:rPr>
                <w:b/>
                <w:bCs/>
                <w:sz w:val="16"/>
              </w:rPr>
              <w:t>Court</w:t>
            </w:r>
            <w:r w:rsidRPr="00BD3A6B" w:rsidR="00BD3A6B">
              <w:rPr>
                <w:b/>
                <w:bCs/>
                <w:sz w:val="16"/>
              </w:rPr>
              <w:t>’</w:t>
            </w:r>
            <w:r w:rsidRPr="00BD3A6B">
              <w:rPr>
                <w:b/>
                <w:bCs/>
                <w:sz w:val="16"/>
              </w:rPr>
              <w:t>s award</w:t>
            </w:r>
          </w:p>
        </w:tc>
      </w:tr>
      <w:tr w:rsidTr="00F80977" w14:paraId="3969E948" w14:textId="77777777">
        <w:tblPrEx>
          <w:tblW w:w="13178" w:type="dxa"/>
          <w:tblLook w:val="0420"/>
        </w:tblPrEx>
        <w:tc>
          <w:tcPr>
            <w:tcW w:w="6589" w:type="dxa"/>
            <w:gridSpan w:val="5"/>
          </w:tcPr>
          <w:p w:rsidRPr="00BD3A6B" w:rsidR="00CA1E7E" w:rsidP="00BD3A6B" w14:paraId="3B19C5A7" w14:textId="77777777">
            <w:pPr>
              <w:jc w:val="both"/>
              <w:rPr>
                <w:b/>
                <w:sz w:val="16"/>
              </w:rPr>
            </w:pPr>
            <w:r w:rsidRPr="00BD3A6B">
              <w:rPr>
                <w:b/>
                <w:sz w:val="16"/>
              </w:rPr>
              <w:t>Non-pecuniary damage:</w:t>
            </w:r>
          </w:p>
          <w:p w:rsidRPr="00BD3A6B" w:rsidR="00CA1E7E" w:rsidP="00BD3A6B" w14:paraId="66C0721B" w14:textId="77777777">
            <w:pPr>
              <w:pStyle w:val="ListParagraph"/>
              <w:numPr>
                <w:ilvl w:val="0"/>
                <w:numId w:val="22"/>
              </w:numPr>
              <w:jc w:val="both"/>
              <w:rPr>
                <w:bCs/>
                <w:sz w:val="16"/>
              </w:rPr>
            </w:pPr>
            <w:r w:rsidRPr="00BD3A6B">
              <w:rPr>
                <w:bCs/>
                <w:sz w:val="16"/>
              </w:rPr>
              <w:t>the first applicant claimed 37,132 euros (EUR</w:t>
            </w:r>
            <w:r w:rsidRPr="00BD3A6B">
              <w:rPr>
                <w:bCs/>
                <w:sz w:val="16"/>
              </w:rPr>
              <w:t>);</w:t>
            </w:r>
          </w:p>
          <w:p w:rsidRPr="00BD3A6B" w:rsidR="00CA1E7E" w:rsidP="00BD3A6B" w14:paraId="7FE658DC" w14:textId="77777777">
            <w:pPr>
              <w:pStyle w:val="ListParagraph"/>
              <w:numPr>
                <w:ilvl w:val="0"/>
                <w:numId w:val="22"/>
              </w:numPr>
              <w:jc w:val="both"/>
              <w:rPr>
                <w:bCs/>
                <w:sz w:val="16"/>
              </w:rPr>
            </w:pPr>
            <w:r w:rsidRPr="00BD3A6B">
              <w:rPr>
                <w:bCs/>
                <w:sz w:val="16"/>
              </w:rPr>
              <w:t xml:space="preserve">the second applicant claimed EUR </w:t>
            </w:r>
            <w:r w:rsidRPr="00BD3A6B">
              <w:rPr>
                <w:bCs/>
                <w:sz w:val="16"/>
              </w:rPr>
              <w:t>37,948;</w:t>
            </w:r>
          </w:p>
          <w:p w:rsidRPr="00BD3A6B" w:rsidR="00CA1E7E" w:rsidP="00BD3A6B" w14:paraId="42EBF512" w14:textId="77777777">
            <w:pPr>
              <w:pStyle w:val="ListParagraph"/>
              <w:numPr>
                <w:ilvl w:val="0"/>
                <w:numId w:val="22"/>
              </w:numPr>
              <w:jc w:val="both"/>
              <w:rPr>
                <w:bCs/>
                <w:sz w:val="16"/>
              </w:rPr>
            </w:pPr>
            <w:r w:rsidRPr="00BD3A6B">
              <w:rPr>
                <w:bCs/>
                <w:sz w:val="16"/>
              </w:rPr>
              <w:t xml:space="preserve">the third applicant claimed EUR </w:t>
            </w:r>
            <w:r w:rsidRPr="00BD3A6B">
              <w:rPr>
                <w:bCs/>
                <w:sz w:val="16"/>
              </w:rPr>
              <w:t>50,000;</w:t>
            </w:r>
          </w:p>
          <w:p w:rsidRPr="00BD3A6B" w:rsidR="00CA1E7E" w:rsidP="00BD3A6B" w14:paraId="712584D5" w14:textId="77777777">
            <w:pPr>
              <w:pStyle w:val="ListParagraph"/>
              <w:numPr>
                <w:ilvl w:val="0"/>
                <w:numId w:val="22"/>
              </w:numPr>
              <w:jc w:val="both"/>
              <w:rPr>
                <w:bCs/>
                <w:sz w:val="16"/>
              </w:rPr>
            </w:pPr>
            <w:r w:rsidRPr="00BD3A6B">
              <w:rPr>
                <w:bCs/>
                <w:sz w:val="16"/>
              </w:rPr>
              <w:t>the fourth applicant claimed EUR 3,856.</w:t>
            </w:r>
          </w:p>
          <w:p w:rsidRPr="00BD3A6B" w:rsidR="00CA1E7E" w:rsidP="00BD3A6B" w14:paraId="4765E2A7" w14:textId="77777777">
            <w:pPr>
              <w:jc w:val="both"/>
              <w:rPr>
                <w:bCs/>
                <w:sz w:val="16"/>
              </w:rPr>
            </w:pPr>
          </w:p>
          <w:p w:rsidRPr="00BD3A6B" w:rsidR="00CA1E7E" w:rsidP="00BD3A6B" w14:paraId="2AB50380" w14:textId="77777777">
            <w:pPr>
              <w:jc w:val="both"/>
              <w:rPr>
                <w:b/>
                <w:sz w:val="16"/>
              </w:rPr>
            </w:pPr>
            <w:r w:rsidRPr="00BD3A6B">
              <w:rPr>
                <w:b/>
                <w:sz w:val="16"/>
              </w:rPr>
              <w:t>Pecuniary damage:</w:t>
            </w:r>
          </w:p>
          <w:p w:rsidRPr="00BD3A6B" w:rsidR="00CA1E7E" w:rsidP="00BD3A6B" w14:paraId="7D540F60" w14:textId="77777777">
            <w:pPr>
              <w:pStyle w:val="ListParagraph"/>
              <w:numPr>
                <w:ilvl w:val="0"/>
                <w:numId w:val="23"/>
              </w:numPr>
              <w:jc w:val="both"/>
              <w:rPr>
                <w:bCs/>
                <w:sz w:val="16"/>
              </w:rPr>
            </w:pPr>
            <w:r w:rsidRPr="00BD3A6B">
              <w:rPr>
                <w:bCs/>
                <w:sz w:val="16"/>
              </w:rPr>
              <w:t xml:space="preserve">the first applicant claimed EUR 2,907 and EUR 110 per month for treatment for </w:t>
            </w:r>
            <w:r w:rsidRPr="00BD3A6B">
              <w:rPr>
                <w:bCs/>
                <w:sz w:val="16"/>
              </w:rPr>
              <w:t>diabetes;</w:t>
            </w:r>
          </w:p>
          <w:p w:rsidRPr="00BD3A6B" w:rsidR="00CA1E7E" w:rsidP="00BD3A6B" w14:paraId="1CDED9D4" w14:textId="77777777">
            <w:pPr>
              <w:pStyle w:val="ListParagraph"/>
              <w:numPr>
                <w:ilvl w:val="0"/>
                <w:numId w:val="23"/>
              </w:numPr>
              <w:jc w:val="both"/>
              <w:rPr>
                <w:bCs/>
                <w:sz w:val="16"/>
              </w:rPr>
            </w:pPr>
            <w:r w:rsidRPr="00BD3A6B">
              <w:rPr>
                <w:bCs/>
                <w:sz w:val="16"/>
              </w:rPr>
              <w:t xml:space="preserve">the second applicant claimed EUR 2,156 and EUR 20 per month for treatment for </w:t>
            </w:r>
            <w:r w:rsidRPr="00BD3A6B">
              <w:rPr>
                <w:bCs/>
                <w:sz w:val="16"/>
              </w:rPr>
              <w:t>hypertension;</w:t>
            </w:r>
          </w:p>
          <w:p w:rsidRPr="00BD3A6B" w:rsidR="00CA1E7E" w:rsidP="00BD3A6B" w14:paraId="2C57488C" w14:textId="77777777">
            <w:pPr>
              <w:pStyle w:val="ListParagraph"/>
              <w:numPr>
                <w:ilvl w:val="0"/>
                <w:numId w:val="23"/>
              </w:numPr>
              <w:jc w:val="both"/>
              <w:rPr>
                <w:bCs/>
                <w:sz w:val="16"/>
              </w:rPr>
            </w:pPr>
            <w:r w:rsidRPr="00BD3A6B">
              <w:rPr>
                <w:bCs/>
                <w:sz w:val="16"/>
              </w:rPr>
              <w:t xml:space="preserve">the third applicant claimed EUR </w:t>
            </w:r>
            <w:r w:rsidRPr="00BD3A6B">
              <w:rPr>
                <w:bCs/>
                <w:sz w:val="16"/>
              </w:rPr>
              <w:t>55,568;</w:t>
            </w:r>
          </w:p>
          <w:p w:rsidRPr="00BD3A6B" w:rsidR="00CA1E7E" w:rsidP="00BD3A6B" w14:paraId="2B86F4FB" w14:textId="77777777">
            <w:pPr>
              <w:pStyle w:val="ListParagraph"/>
              <w:numPr>
                <w:ilvl w:val="0"/>
                <w:numId w:val="23"/>
              </w:numPr>
              <w:jc w:val="both"/>
              <w:rPr>
                <w:bCs/>
                <w:sz w:val="16"/>
              </w:rPr>
            </w:pPr>
            <w:r w:rsidRPr="00BD3A6B">
              <w:rPr>
                <w:bCs/>
                <w:sz w:val="16"/>
              </w:rPr>
              <w:t>the fourth applicant claimed EUR 4,936.</w:t>
            </w:r>
          </w:p>
          <w:p w:rsidRPr="00BD3A6B" w:rsidR="00CA1E7E" w:rsidP="00BD3A6B" w14:paraId="73711E04" w14:textId="77777777">
            <w:pPr>
              <w:jc w:val="both"/>
              <w:rPr>
                <w:bCs/>
                <w:sz w:val="16"/>
              </w:rPr>
            </w:pPr>
          </w:p>
          <w:p w:rsidRPr="00BD3A6B" w:rsidR="00CA1E7E" w:rsidP="00BD3A6B" w14:paraId="559981AD" w14:textId="77777777">
            <w:pPr>
              <w:jc w:val="both"/>
              <w:rPr>
                <w:b/>
                <w:sz w:val="16"/>
              </w:rPr>
            </w:pPr>
            <w:r w:rsidRPr="00BD3A6B">
              <w:rPr>
                <w:b/>
                <w:sz w:val="16"/>
              </w:rPr>
              <w:t>Costs and expenses:</w:t>
            </w:r>
          </w:p>
          <w:p w:rsidRPr="00BD3A6B" w:rsidR="00CA1E7E" w:rsidP="00BD3A6B" w14:paraId="7D10BE5C" w14:textId="77777777">
            <w:pPr>
              <w:pStyle w:val="ListParagraph"/>
              <w:numPr>
                <w:ilvl w:val="0"/>
                <w:numId w:val="24"/>
              </w:numPr>
              <w:jc w:val="both"/>
              <w:rPr>
                <w:bCs/>
                <w:sz w:val="16"/>
              </w:rPr>
            </w:pPr>
            <w:r w:rsidRPr="00BD3A6B">
              <w:rPr>
                <w:bCs/>
                <w:sz w:val="16"/>
              </w:rPr>
              <w:t xml:space="preserve">the first applicant claimed a reasonable amount for representing all the applicants before the domestic courts and before the Court and EUR 15 for postal </w:t>
            </w:r>
            <w:r w:rsidRPr="00BD3A6B">
              <w:rPr>
                <w:bCs/>
                <w:sz w:val="16"/>
              </w:rPr>
              <w:t>expenses;</w:t>
            </w:r>
          </w:p>
          <w:p w:rsidRPr="00BD3A6B" w:rsidR="00CA1E7E" w:rsidP="00BD3A6B" w14:paraId="0663BA93" w14:textId="77777777">
            <w:pPr>
              <w:pStyle w:val="ListParagraph"/>
              <w:numPr>
                <w:ilvl w:val="0"/>
                <w:numId w:val="30"/>
              </w:numPr>
              <w:jc w:val="both"/>
              <w:rPr>
                <w:bCs/>
                <w:sz w:val="16"/>
              </w:rPr>
            </w:pPr>
            <w:r w:rsidRPr="00BD3A6B">
              <w:rPr>
                <w:bCs/>
                <w:sz w:val="16"/>
              </w:rPr>
              <w:t>the second applicant claimed EUR 494 for legal expenses at the domestic level.</w:t>
            </w:r>
          </w:p>
          <w:p w:rsidRPr="00BD3A6B" w:rsidR="00CA1E7E" w:rsidP="00BD3A6B" w14:paraId="3AF9434A" w14:textId="77777777">
            <w:pPr>
              <w:jc w:val="both"/>
              <w:rPr>
                <w:b/>
                <w:bCs/>
                <w:sz w:val="16"/>
              </w:rPr>
            </w:pPr>
          </w:p>
        </w:tc>
        <w:tc>
          <w:tcPr>
            <w:tcW w:w="6589" w:type="dxa"/>
            <w:gridSpan w:val="2"/>
          </w:tcPr>
          <w:p w:rsidRPr="00BD3A6B" w:rsidR="00CA1E7E" w:rsidP="00BD3A6B" w14:paraId="079735F8" w14:textId="77777777">
            <w:pPr>
              <w:jc w:val="both"/>
              <w:rPr>
                <w:b/>
                <w:bCs/>
                <w:sz w:val="16"/>
              </w:rPr>
            </w:pPr>
            <w:r w:rsidRPr="00BD3A6B">
              <w:rPr>
                <w:b/>
                <w:bCs/>
                <w:sz w:val="16"/>
              </w:rPr>
              <w:t>Non-pecuniary damage:</w:t>
            </w:r>
          </w:p>
          <w:p w:rsidRPr="00BD3A6B" w:rsidR="00CA1E7E" w:rsidP="00BD3A6B" w14:paraId="4EFE1487" w14:textId="77777777">
            <w:pPr>
              <w:jc w:val="both"/>
              <w:rPr>
                <w:sz w:val="16"/>
              </w:rPr>
            </w:pPr>
            <w:r w:rsidRPr="00BD3A6B">
              <w:rPr>
                <w:sz w:val="16"/>
              </w:rPr>
              <w:t>EUR 6,000 jointly</w:t>
            </w:r>
          </w:p>
          <w:p w:rsidRPr="00BD3A6B" w:rsidR="00CA1E7E" w:rsidP="00BD3A6B" w14:paraId="04666A0B" w14:textId="77777777">
            <w:pPr>
              <w:jc w:val="both"/>
              <w:rPr>
                <w:sz w:val="16"/>
              </w:rPr>
            </w:pPr>
          </w:p>
          <w:p w:rsidRPr="00BD3A6B" w:rsidR="00CA1E7E" w:rsidP="00BD3A6B" w14:paraId="67FEEA28" w14:textId="77777777">
            <w:pPr>
              <w:jc w:val="both"/>
              <w:rPr>
                <w:b/>
                <w:bCs/>
                <w:sz w:val="16"/>
              </w:rPr>
            </w:pPr>
            <w:r w:rsidRPr="00BD3A6B">
              <w:rPr>
                <w:sz w:val="16"/>
              </w:rPr>
              <w:t>plus</w:t>
            </w:r>
            <w:r w:rsidRPr="00BD3A6B">
              <w:rPr>
                <w:sz w:val="16"/>
              </w:rPr>
              <w:t xml:space="preserve"> any tax chargeable to the applicants on the above amounts.</w:t>
            </w:r>
          </w:p>
        </w:tc>
      </w:tr>
      <w:tr w:rsidTr="00F80977" w14:paraId="57EB6067" w14:textId="77777777">
        <w:tblPrEx>
          <w:tblW w:w="13178" w:type="dxa"/>
          <w:tblLook w:val="0420"/>
        </w:tblPrEx>
        <w:tc>
          <w:tcPr>
            <w:tcW w:w="549" w:type="dxa"/>
          </w:tcPr>
          <w:p w:rsidRPr="00BD3A6B" w:rsidR="00CA1E7E" w:rsidP="00BD3A6B" w14:paraId="2F274673"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BD3A6B" w:rsidR="00CA1E7E" w:rsidP="00BD3A6B" w14:paraId="10C674B5" w14:textId="77777777">
            <w:pPr>
              <w:jc w:val="center"/>
              <w:rPr>
                <w:sz w:val="16"/>
              </w:rPr>
            </w:pPr>
            <w:r w:rsidRPr="00BD3A6B">
              <w:rPr>
                <w:sz w:val="16"/>
              </w:rPr>
              <w:t>32999/17</w:t>
            </w:r>
          </w:p>
          <w:p w:rsidRPr="00BD3A6B" w:rsidR="00CA1E7E" w:rsidP="00BD3A6B" w14:paraId="28780FCF" w14:textId="77777777">
            <w:pPr>
              <w:jc w:val="center"/>
              <w:rPr>
                <w:sz w:val="16"/>
              </w:rPr>
            </w:pPr>
            <w:r w:rsidRPr="00BD3A6B">
              <w:rPr>
                <w:sz w:val="16"/>
              </w:rPr>
              <w:t>27/04/2017</w:t>
            </w:r>
          </w:p>
        </w:tc>
        <w:tc>
          <w:tcPr>
            <w:tcW w:w="1328" w:type="dxa"/>
          </w:tcPr>
          <w:p w:rsidRPr="00BD3A6B" w:rsidR="00CA1E7E" w:rsidP="00BD3A6B" w14:paraId="210339B0" w14:textId="77777777">
            <w:pPr>
              <w:jc w:val="center"/>
              <w:rPr>
                <w:b/>
                <w:sz w:val="16"/>
              </w:rPr>
            </w:pPr>
            <w:r w:rsidRPr="00BD3A6B">
              <w:rPr>
                <w:b/>
                <w:sz w:val="16"/>
              </w:rPr>
              <w:t>Nina Pavlivna GORBATA</w:t>
            </w:r>
          </w:p>
          <w:p w:rsidRPr="00BD3A6B" w:rsidR="00CA1E7E" w:rsidP="00BD3A6B" w14:paraId="13C8E557" w14:textId="77777777">
            <w:pPr>
              <w:jc w:val="center"/>
              <w:rPr>
                <w:bCs/>
                <w:sz w:val="16"/>
              </w:rPr>
            </w:pPr>
            <w:r w:rsidRPr="00BD3A6B">
              <w:rPr>
                <w:bCs/>
                <w:sz w:val="16"/>
              </w:rPr>
              <w:t>1961</w:t>
            </w:r>
          </w:p>
          <w:p w:rsidRPr="00BD3A6B" w:rsidR="00CA1E7E" w:rsidP="00BD3A6B" w14:paraId="1D12EA43" w14:textId="77777777">
            <w:pPr>
              <w:jc w:val="center"/>
              <w:rPr>
                <w:b/>
                <w:sz w:val="16"/>
              </w:rPr>
            </w:pPr>
          </w:p>
          <w:p w:rsidRPr="00BD3A6B" w:rsidR="00CA1E7E" w:rsidP="00BD3A6B" w14:paraId="79B1D3E5" w14:textId="77777777">
            <w:pPr>
              <w:jc w:val="center"/>
              <w:rPr>
                <w:b/>
                <w:sz w:val="16"/>
              </w:rPr>
            </w:pPr>
            <w:r w:rsidRPr="00BD3A6B">
              <w:rPr>
                <w:b/>
                <w:sz w:val="16"/>
              </w:rPr>
              <w:t>Viktor Vasylyovych GORBATYY</w:t>
            </w:r>
          </w:p>
          <w:p w:rsidRPr="00BD3A6B" w:rsidR="00CA1E7E" w:rsidP="00BD3A6B" w14:paraId="361AE3F0" w14:textId="77777777">
            <w:pPr>
              <w:jc w:val="center"/>
              <w:rPr>
                <w:bCs/>
                <w:sz w:val="16"/>
              </w:rPr>
            </w:pPr>
            <w:r w:rsidRPr="00BD3A6B">
              <w:rPr>
                <w:bCs/>
                <w:sz w:val="16"/>
              </w:rPr>
              <w:t>1957</w:t>
            </w:r>
          </w:p>
          <w:p w:rsidRPr="00BD3A6B" w:rsidR="00CA1E7E" w:rsidP="00BD3A6B" w14:paraId="40A74FD2" w14:textId="77777777">
            <w:pPr>
              <w:jc w:val="center"/>
              <w:rPr>
                <w:bCs/>
                <w:sz w:val="16"/>
              </w:rPr>
            </w:pPr>
          </w:p>
          <w:p w:rsidRPr="00BD3A6B" w:rsidR="00CA1E7E" w:rsidP="00BD3A6B" w14:paraId="6DADF8C3" w14:textId="77777777">
            <w:pPr>
              <w:jc w:val="center"/>
              <w:rPr>
                <w:bCs/>
                <w:sz w:val="16"/>
              </w:rPr>
            </w:pPr>
            <w:r w:rsidRPr="00BD3A6B">
              <w:rPr>
                <w:bCs/>
                <w:sz w:val="16"/>
              </w:rPr>
              <w:t>The latter died on 28 March 2018, but</w:t>
            </w:r>
          </w:p>
          <w:p w:rsidRPr="00BD3A6B" w:rsidR="00CA1E7E" w:rsidP="00BD3A6B" w14:paraId="462D4A00" w14:textId="3F036063">
            <w:pPr>
              <w:jc w:val="center"/>
              <w:rPr>
                <w:sz w:val="16"/>
              </w:rPr>
            </w:pPr>
            <w:r w:rsidRPr="00BD3A6B">
              <w:rPr>
                <w:bCs/>
                <w:sz w:val="16"/>
              </w:rPr>
              <w:t xml:space="preserve">his daughter, </w:t>
            </w:r>
            <w:r w:rsidRPr="00BD3A6B">
              <w:rPr>
                <w:b/>
                <w:sz w:val="16"/>
              </w:rPr>
              <w:t>Tetyana Viktorivna</w:t>
            </w:r>
            <w:r w:rsidRPr="00BD3A6B">
              <w:rPr>
                <w:bCs/>
                <w:sz w:val="16"/>
              </w:rPr>
              <w:t xml:space="preserve"> </w:t>
            </w:r>
            <w:r w:rsidRPr="00BD3A6B">
              <w:rPr>
                <w:b/>
                <w:caps/>
                <w:sz w:val="16"/>
              </w:rPr>
              <w:t>Ignasheva</w:t>
            </w:r>
            <w:r w:rsidRPr="00BD3A6B">
              <w:rPr>
                <w:bCs/>
                <w:sz w:val="16"/>
              </w:rPr>
              <w:t>, 1981, pursues the application in her late father</w:t>
            </w:r>
            <w:r w:rsidRPr="00BD3A6B" w:rsidR="00BD3A6B">
              <w:rPr>
                <w:bCs/>
                <w:sz w:val="16"/>
              </w:rPr>
              <w:t>’</w:t>
            </w:r>
            <w:r w:rsidRPr="00BD3A6B">
              <w:rPr>
                <w:bCs/>
                <w:sz w:val="16"/>
              </w:rPr>
              <w:t>s stead</w:t>
            </w:r>
          </w:p>
        </w:tc>
        <w:tc>
          <w:tcPr>
            <w:tcW w:w="1458" w:type="dxa"/>
          </w:tcPr>
          <w:p w:rsidRPr="00BD3A6B" w:rsidR="00CA1E7E" w:rsidP="00BD3A6B" w14:paraId="527CB0E6" w14:textId="77777777">
            <w:pPr>
              <w:jc w:val="center"/>
              <w:rPr>
                <w:sz w:val="16"/>
              </w:rPr>
            </w:pPr>
            <w:r w:rsidRPr="00BD3A6B">
              <w:rPr>
                <w:sz w:val="16"/>
              </w:rPr>
              <w:t>Bogdan Vasylyovych FOKIY</w:t>
            </w:r>
          </w:p>
          <w:p w:rsidRPr="00BD3A6B" w:rsidR="00CA1E7E" w:rsidP="00BD3A6B" w14:paraId="24B25FA6" w14:textId="036586E0">
            <w:pPr>
              <w:jc w:val="center"/>
              <w:rPr>
                <w:sz w:val="16"/>
              </w:rPr>
            </w:pPr>
            <w:r w:rsidRPr="00BD3A6B">
              <w:rPr>
                <w:sz w:val="16"/>
              </w:rPr>
              <w:t>Chernivtsi</w:t>
            </w:r>
          </w:p>
        </w:tc>
        <w:tc>
          <w:tcPr>
            <w:tcW w:w="6505" w:type="dxa"/>
            <w:gridSpan w:val="2"/>
          </w:tcPr>
          <w:p w:rsidRPr="00BD3A6B" w:rsidR="00CA1E7E" w:rsidP="00BD3A6B" w14:paraId="6A0C2131" w14:textId="77777777">
            <w:pPr>
              <w:jc w:val="both"/>
              <w:rPr>
                <w:b/>
                <w:bCs/>
                <w:sz w:val="16"/>
              </w:rPr>
            </w:pPr>
            <w:r w:rsidRPr="00BD3A6B">
              <w:rPr>
                <w:b/>
                <w:bCs/>
                <w:sz w:val="16"/>
              </w:rPr>
              <w:t>Circumstances of the incident</w:t>
            </w:r>
          </w:p>
          <w:p w:rsidRPr="00BD3A6B" w:rsidR="00CA1E7E" w:rsidP="00BD3A6B" w14:paraId="6E625659" w14:textId="280B1FE3">
            <w:pPr>
              <w:jc w:val="both"/>
              <w:rPr>
                <w:sz w:val="16"/>
              </w:rPr>
            </w:pPr>
            <w:r w:rsidRPr="00BD3A6B">
              <w:rPr>
                <w:sz w:val="16"/>
              </w:rPr>
              <w:br/>
              <w:t>At about 11.15 p.m. on 1 August 2010 the applicants</w:t>
            </w:r>
            <w:r w:rsidRPr="00BD3A6B" w:rsidR="00BD3A6B">
              <w:rPr>
                <w:sz w:val="16"/>
              </w:rPr>
              <w:t>’</w:t>
            </w:r>
            <w:r w:rsidRPr="00BD3A6B">
              <w:rPr>
                <w:sz w:val="16"/>
              </w:rPr>
              <w:t xml:space="preserve"> daughter, O., was examined at home by an ambulance doctor, who transported her to the emergency hospital. The duty doctor refused to admit O. on the grounds that the hospital did not cover the area of her residence. O. was then taken to City Hospital no. 3. Shortly after her arrival (at about 12.05 a.m. on 2 August 2010), her condition seriously deteriorated; she lost consciousness and subsequently died despite resuscitation attempts. According to the medical report of 2 August 2010, O. died of acute myocardial infarction (heart attack, cardiogenic shock).</w:t>
            </w:r>
          </w:p>
          <w:p w:rsidRPr="00BD3A6B" w:rsidR="00CA1E7E" w:rsidP="00BD3A6B" w14:paraId="4D9796B5" w14:textId="77777777">
            <w:pPr>
              <w:jc w:val="both"/>
              <w:rPr>
                <w:sz w:val="16"/>
              </w:rPr>
            </w:pPr>
          </w:p>
          <w:p w:rsidRPr="00BD3A6B" w:rsidR="00CA1E7E" w:rsidP="00BD3A6B" w14:paraId="4B7D79B1" w14:textId="77777777">
            <w:pPr>
              <w:jc w:val="both"/>
              <w:rPr>
                <w:b/>
                <w:bCs/>
                <w:sz w:val="16"/>
              </w:rPr>
            </w:pPr>
            <w:r w:rsidRPr="00BD3A6B">
              <w:rPr>
                <w:b/>
                <w:bCs/>
                <w:sz w:val="16"/>
              </w:rPr>
              <w:t>Disciplinary proceedings</w:t>
            </w:r>
          </w:p>
          <w:p w:rsidRPr="00BD3A6B" w:rsidR="00CA1E7E" w:rsidP="00BD3A6B" w14:paraId="27B25045" w14:textId="379A800B">
            <w:pPr>
              <w:jc w:val="both"/>
              <w:rPr>
                <w:sz w:val="16"/>
              </w:rPr>
            </w:pPr>
            <w:r w:rsidRPr="00BD3A6B">
              <w:rPr>
                <w:sz w:val="16"/>
              </w:rPr>
              <w:br/>
              <w:t>In August 2010 the medical department of the Chernivtsi State Administration conducted an internal inquiry. The internal medical commission reprimanded the emergency doctors for inadequate organisation of O.</w:t>
            </w:r>
            <w:r w:rsidRPr="00BD3A6B" w:rsidR="00BD3A6B">
              <w:rPr>
                <w:sz w:val="16"/>
              </w:rPr>
              <w:t>’</w:t>
            </w:r>
            <w:r w:rsidRPr="00BD3A6B">
              <w:rPr>
                <w:sz w:val="16"/>
              </w:rPr>
              <w:t>s admission to hospital but did not identify any defects in the diagnosis or treatment that had caused her death.</w:t>
            </w:r>
          </w:p>
          <w:p w:rsidRPr="00BD3A6B" w:rsidR="00CA1E7E" w:rsidP="00BD3A6B" w14:paraId="7EBE4027" w14:textId="77777777">
            <w:pPr>
              <w:jc w:val="both"/>
              <w:rPr>
                <w:sz w:val="16"/>
              </w:rPr>
            </w:pPr>
          </w:p>
          <w:p w:rsidRPr="00BD3A6B" w:rsidR="00CA1E7E" w:rsidP="00BD3A6B" w14:paraId="63B0173F" w14:textId="77777777">
            <w:pPr>
              <w:jc w:val="both"/>
              <w:rPr>
                <w:b/>
                <w:bCs/>
                <w:sz w:val="16"/>
              </w:rPr>
            </w:pPr>
            <w:r w:rsidRPr="00BD3A6B">
              <w:rPr>
                <w:b/>
                <w:bCs/>
                <w:sz w:val="16"/>
              </w:rPr>
              <w:t>Criminal investigation</w:t>
            </w:r>
          </w:p>
          <w:p w:rsidRPr="00BD3A6B" w:rsidR="00CA1E7E" w:rsidP="00BD3A6B" w14:paraId="7578A81F" w14:textId="4E395080">
            <w:pPr>
              <w:jc w:val="both"/>
              <w:rPr>
                <w:sz w:val="16"/>
              </w:rPr>
            </w:pPr>
            <w:r w:rsidRPr="00BD3A6B">
              <w:rPr>
                <w:sz w:val="16"/>
              </w:rPr>
              <w:br/>
              <w:t>In August 2010 a pre-investigation inquiry was conducted, during which the applicants and medical staff were questioned. On 19 August 2010 the local prosecutor</w:t>
            </w:r>
            <w:r w:rsidRPr="00BD3A6B" w:rsidR="00BD3A6B">
              <w:rPr>
                <w:sz w:val="16"/>
              </w:rPr>
              <w:t>’</w:t>
            </w:r>
            <w:r w:rsidRPr="00BD3A6B">
              <w:rPr>
                <w:sz w:val="16"/>
              </w:rPr>
              <w:t>s office refused to launch a criminal investigation. That decision was quashed on 26 August 2010 as unfounded.</w:t>
            </w:r>
            <w:r w:rsidRPr="00BD3A6B">
              <w:rPr>
                <w:sz w:val="16"/>
              </w:rPr>
              <w:br/>
              <w:t>On 25 August 2010 a medical examination of the body confirmed that O. had died from a heart attack. It also recorded injuries and bruises attributable to resuscitation attempts.</w:t>
            </w:r>
          </w:p>
          <w:p w:rsidRPr="00BD3A6B" w:rsidR="00CA1E7E" w:rsidP="00BD3A6B" w14:paraId="30D69E1B" w14:textId="2418FAF7">
            <w:pPr>
              <w:jc w:val="both"/>
              <w:rPr>
                <w:sz w:val="16"/>
              </w:rPr>
            </w:pPr>
            <w:r w:rsidRPr="00BD3A6B">
              <w:rPr>
                <w:sz w:val="16"/>
              </w:rPr>
              <w:t>On 14 September 2010 the regional police initiated criminal proceedings concerning the alleged failure of the medical staff to provide adequate medical aid. Between 12 November 2010 and 3 June 2011, a forensic medical examination was conducted. The experts concluded that O.</w:t>
            </w:r>
            <w:r w:rsidRPr="00BD3A6B" w:rsidR="00BD3A6B">
              <w:rPr>
                <w:sz w:val="16"/>
              </w:rPr>
              <w:t>’</w:t>
            </w:r>
            <w:r w:rsidRPr="00BD3A6B">
              <w:rPr>
                <w:sz w:val="16"/>
              </w:rPr>
              <w:t>s death could have been prevented if she had sought adequate medical treatment and undergone the appropriate diagnostic measures sooner, and it had not been caused by the treatment administered on 1-2 August 2010.</w:t>
            </w:r>
          </w:p>
          <w:p w:rsidRPr="00BD3A6B" w:rsidR="00CA1E7E" w:rsidP="00BD3A6B" w14:paraId="347C3A91" w14:textId="77777777">
            <w:pPr>
              <w:jc w:val="both"/>
              <w:rPr>
                <w:sz w:val="16"/>
              </w:rPr>
            </w:pPr>
            <w:r w:rsidRPr="00BD3A6B">
              <w:rPr>
                <w:sz w:val="16"/>
              </w:rPr>
              <w:t>On 28 February 2011 the local prosecutor acknowledged delays in the investigation. On 30 November 2011 and on 20 July 2012 the proceedings were terminated for lack of evidence of a crime. Both decisions were quashed. On 28 March 2013 the Chernivtsi Regional Court of Appeal noted diagnostic errors, criticised the repeated termination of the proceedings as unfounded and pointed out that instructions from the supervising prosecutor had been ignored.</w:t>
            </w:r>
          </w:p>
          <w:p w:rsidRPr="00BD3A6B" w:rsidR="00CA1E7E" w:rsidP="00BD3A6B" w14:paraId="1CDF8E77" w14:textId="300B936C">
            <w:pPr>
              <w:jc w:val="both"/>
              <w:rPr>
                <w:sz w:val="16"/>
              </w:rPr>
            </w:pPr>
            <w:r w:rsidRPr="00BD3A6B">
              <w:rPr>
                <w:sz w:val="16"/>
              </w:rPr>
              <w:t>On 10 April 2013 the case was registered in the Unified Register of Pre-Trial Investigations. In the autumn of 2013 cross-questioning of the applicants and doctors was carried out and the second applicant (the father) was granted victim status. In November 2013 an expert report, commissioned at the applicants</w:t>
            </w:r>
            <w:r w:rsidRPr="00BD3A6B" w:rsidR="00BD3A6B">
              <w:rPr>
                <w:sz w:val="16"/>
              </w:rPr>
              <w:t>’</w:t>
            </w:r>
            <w:r w:rsidRPr="00BD3A6B">
              <w:rPr>
                <w:sz w:val="16"/>
              </w:rPr>
              <w:t xml:space="preserve"> request, established that O. had not been administered any drugs before her death.</w:t>
            </w:r>
          </w:p>
          <w:p w:rsidRPr="00BD3A6B" w:rsidR="00CA1E7E" w:rsidP="00BD3A6B" w14:paraId="47693123" w14:textId="31F783F6">
            <w:pPr>
              <w:jc w:val="both"/>
              <w:rPr>
                <w:sz w:val="16"/>
              </w:rPr>
            </w:pPr>
            <w:r w:rsidRPr="00BD3A6B">
              <w:rPr>
                <w:sz w:val="16"/>
              </w:rPr>
              <w:t>In 2014 the investigating authorities attempted to obtain O.</w:t>
            </w:r>
            <w:r w:rsidRPr="00BD3A6B" w:rsidR="00BD3A6B">
              <w:rPr>
                <w:sz w:val="16"/>
              </w:rPr>
              <w:t>’</w:t>
            </w:r>
            <w:r w:rsidRPr="00BD3A6B">
              <w:rPr>
                <w:sz w:val="16"/>
              </w:rPr>
              <w:t>s medical documentation from the hospitals, but it had apparently been lost, preventing further forensic assessment. No investigative actions were recorded between 2015 and 2019. On 6 September 2016 and on 19 April 2017 the applicants were informed that the investigation was ongoing. On 13 November 2019 the supervising authority again ordered the investigators to conduct an effective investigation.</w:t>
            </w:r>
          </w:p>
          <w:p w:rsidRPr="00BD3A6B" w:rsidR="00CA1E7E" w:rsidP="00BD3A6B" w14:paraId="298EF79D" w14:textId="0DB20317">
            <w:pPr>
              <w:jc w:val="both"/>
              <w:rPr>
                <w:sz w:val="16"/>
              </w:rPr>
            </w:pPr>
            <w:r w:rsidRPr="00BD3A6B">
              <w:rPr>
                <w:sz w:val="16"/>
              </w:rPr>
              <w:t>On 7 April 2020 the criminal proceedings were terminated for lack of evidence. On 19 June 2020 the Shevchenkivskyi District Court of Chernivtsi quashed that decision and remitted the case for further investigation, criticising the repeated refusals to investigate and the authorities</w:t>
            </w:r>
            <w:r w:rsidRPr="00BD3A6B" w:rsidR="00BD3A6B">
              <w:rPr>
                <w:sz w:val="16"/>
              </w:rPr>
              <w:t>’</w:t>
            </w:r>
            <w:r w:rsidRPr="00BD3A6B">
              <w:rPr>
                <w:sz w:val="16"/>
              </w:rPr>
              <w:t xml:space="preserve"> failure to comply with previous instructions (issued in 2012 and 2013). On 26 June 2020 the supervising authority again instructed the investigators to carry out an effective investigation.</w:t>
            </w:r>
          </w:p>
          <w:p w:rsidRPr="00BD3A6B" w:rsidR="00CA1E7E" w:rsidP="00BD3A6B" w14:paraId="6CBE0B16" w14:textId="77777777">
            <w:pPr>
              <w:jc w:val="both"/>
              <w:rPr>
                <w:sz w:val="16"/>
              </w:rPr>
            </w:pPr>
          </w:p>
        </w:tc>
        <w:tc>
          <w:tcPr>
            <w:tcW w:w="2268" w:type="dxa"/>
          </w:tcPr>
          <w:p w:rsidRPr="00BD3A6B" w:rsidR="00CA1E7E" w:rsidP="00BD3A6B" w14:paraId="51BC4F04" w14:textId="4FA684C4">
            <w:pPr>
              <w:spacing w:before="120"/>
              <w:jc w:val="center"/>
              <w:rPr>
                <w:sz w:val="16"/>
              </w:rPr>
            </w:pPr>
            <w:r w:rsidRPr="00BD3A6B">
              <w:rPr>
                <w:sz w:val="16"/>
              </w:rPr>
              <w:t xml:space="preserve">Excessive delay and lack of diligence (see </w:t>
            </w:r>
            <w:r w:rsidRPr="00BD3A6B">
              <w:rPr>
                <w:i/>
                <w:iCs/>
                <w:sz w:val="16"/>
              </w:rPr>
              <w:t>Arskaya v.</w:t>
            </w:r>
            <w:r w:rsidRPr="00BD3A6B" w:rsidR="00D46672">
              <w:rPr>
                <w:i/>
                <w:iCs/>
                <w:sz w:val="16"/>
              </w:rPr>
              <w:t> </w:t>
            </w:r>
            <w:r w:rsidRPr="00BD3A6B">
              <w:rPr>
                <w:i/>
                <w:iCs/>
                <w:sz w:val="16"/>
              </w:rPr>
              <w:t>Ukraine</w:t>
            </w:r>
            <w:r w:rsidRPr="00BD3A6B">
              <w:rPr>
                <w:sz w:val="16"/>
              </w:rPr>
              <w:t>, no. 45076/05, §</w:t>
            </w:r>
            <w:r w:rsidRPr="00BD3A6B" w:rsidR="00D46672">
              <w:rPr>
                <w:sz w:val="16"/>
              </w:rPr>
              <w:t> </w:t>
            </w:r>
            <w:r w:rsidRPr="00BD3A6B">
              <w:rPr>
                <w:sz w:val="16"/>
              </w:rPr>
              <w:t>72, 5</w:t>
            </w:r>
            <w:r w:rsidRPr="00BD3A6B" w:rsidR="00D46672">
              <w:rPr>
                <w:sz w:val="16"/>
              </w:rPr>
              <w:t> </w:t>
            </w:r>
            <w:r w:rsidRPr="00BD3A6B">
              <w:rPr>
                <w:sz w:val="16"/>
              </w:rPr>
              <w:t xml:space="preserve">December 2013; </w:t>
            </w:r>
            <w:r w:rsidRPr="00BD3A6B">
              <w:rPr>
                <w:i/>
                <w:iCs/>
                <w:sz w:val="16"/>
              </w:rPr>
              <w:t>Valeriy Fuklev v. Ukraine</w:t>
            </w:r>
            <w:r w:rsidRPr="00BD3A6B">
              <w:rPr>
                <w:sz w:val="16"/>
              </w:rPr>
              <w:t>, no.</w:t>
            </w:r>
            <w:r w:rsidRPr="00BD3A6B" w:rsidR="00D46672">
              <w:rPr>
                <w:sz w:val="16"/>
              </w:rPr>
              <w:t> </w:t>
            </w:r>
            <w:r w:rsidRPr="00BD3A6B">
              <w:rPr>
                <w:sz w:val="16"/>
              </w:rPr>
              <w:t>6318/03, §§</w:t>
            </w:r>
            <w:r w:rsidRPr="00BD3A6B" w:rsidR="00D46672">
              <w:rPr>
                <w:sz w:val="16"/>
              </w:rPr>
              <w:t> </w:t>
            </w:r>
            <w:r w:rsidRPr="00BD3A6B">
              <w:rPr>
                <w:sz w:val="16"/>
              </w:rPr>
              <w:t xml:space="preserve">75-76, 16 January 2014; </w:t>
            </w:r>
            <w:r w:rsidRPr="00BD3A6B">
              <w:rPr>
                <w:i/>
                <w:iCs/>
                <w:sz w:val="16"/>
              </w:rPr>
              <w:t>Marchuk v. Ukraine</w:t>
            </w:r>
            <w:r w:rsidRPr="00BD3A6B">
              <w:rPr>
                <w:sz w:val="16"/>
              </w:rPr>
              <w:t xml:space="preserve"> </w:t>
            </w:r>
            <w:r w:rsidRPr="00BD3A6B">
              <w:rPr>
                <w:bCs/>
                <w:sz w:val="16"/>
              </w:rPr>
              <w:t>[Committee]</w:t>
            </w:r>
            <w:r w:rsidRPr="00BD3A6B">
              <w:rPr>
                <w:sz w:val="16"/>
              </w:rPr>
              <w:t>, no.</w:t>
            </w:r>
            <w:r w:rsidRPr="00BD3A6B" w:rsidR="00D46672">
              <w:rPr>
                <w:sz w:val="16"/>
              </w:rPr>
              <w:t> </w:t>
            </w:r>
            <w:r w:rsidRPr="00BD3A6B">
              <w:rPr>
                <w:sz w:val="16"/>
              </w:rPr>
              <w:t xml:space="preserve">65663/12, </w:t>
            </w:r>
            <w:r w:rsidRPr="00BD3A6B">
              <w:rPr>
                <w:rFonts w:cstheme="minorHAnsi"/>
                <w:sz w:val="16"/>
              </w:rPr>
              <w:t>§§</w:t>
            </w:r>
            <w:r w:rsidRPr="00BD3A6B" w:rsidR="00D46672">
              <w:rPr>
                <w:rFonts w:cstheme="minorHAnsi"/>
                <w:sz w:val="16"/>
              </w:rPr>
              <w:t> </w:t>
            </w:r>
            <w:r w:rsidRPr="00BD3A6B">
              <w:rPr>
                <w:sz w:val="16"/>
              </w:rPr>
              <w:t xml:space="preserve">35 and 37, 28 July 2016; and </w:t>
            </w:r>
            <w:r w:rsidRPr="00BD3A6B">
              <w:rPr>
                <w:i/>
                <w:iCs/>
                <w:sz w:val="16"/>
              </w:rPr>
              <w:t>Tretyakova v. Ukraine</w:t>
            </w:r>
            <w:r w:rsidRPr="00BD3A6B">
              <w:rPr>
                <w:sz w:val="16"/>
              </w:rPr>
              <w:t xml:space="preserve"> [Committee], no. 63126/13, </w:t>
            </w:r>
            <w:r w:rsidRPr="00BD3A6B">
              <w:rPr>
                <w:rFonts w:cstheme="minorHAnsi"/>
                <w:sz w:val="16"/>
              </w:rPr>
              <w:t>§§</w:t>
            </w:r>
            <w:r w:rsidRPr="00BD3A6B" w:rsidR="00D46672">
              <w:rPr>
                <w:rFonts w:cstheme="minorHAnsi"/>
                <w:sz w:val="16"/>
              </w:rPr>
              <w:t> </w:t>
            </w:r>
            <w:r w:rsidRPr="00BD3A6B">
              <w:rPr>
                <w:rFonts w:cstheme="minorHAnsi"/>
                <w:sz w:val="16"/>
              </w:rPr>
              <w:t>31-</w:t>
            </w:r>
            <w:r w:rsidRPr="00BD3A6B">
              <w:rPr>
                <w:sz w:val="16"/>
              </w:rPr>
              <w:t>33, 4 November 2021</w:t>
            </w:r>
            <w:r w:rsidRPr="00BD3A6B">
              <w:rPr>
                <w:sz w:val="16"/>
              </w:rPr>
              <w:t>);</w:t>
            </w:r>
          </w:p>
          <w:p w:rsidRPr="00BD3A6B" w:rsidR="00CA1E7E" w:rsidP="00BD3A6B" w14:paraId="40302864" w14:textId="77777777">
            <w:pPr>
              <w:jc w:val="center"/>
              <w:rPr>
                <w:sz w:val="16"/>
              </w:rPr>
            </w:pPr>
          </w:p>
          <w:p w:rsidRPr="00BD3A6B" w:rsidR="00CA1E7E" w:rsidP="00BD3A6B" w14:paraId="128A594D" w14:textId="77777777">
            <w:pPr>
              <w:jc w:val="center"/>
              <w:rPr>
                <w:sz w:val="16"/>
              </w:rPr>
            </w:pPr>
            <w:r w:rsidRPr="00BD3A6B">
              <w:rPr>
                <w:sz w:val="16"/>
              </w:rPr>
              <w:t xml:space="preserve">Remittals of the case in the light of the shortcomings in the investigation (see </w:t>
            </w:r>
            <w:r w:rsidRPr="00BD3A6B">
              <w:rPr>
                <w:i/>
                <w:iCs/>
                <w:sz w:val="16"/>
              </w:rPr>
              <w:t>Arskaya</w:t>
            </w:r>
            <w:r w:rsidRPr="00BD3A6B">
              <w:rPr>
                <w:sz w:val="16"/>
              </w:rPr>
              <w:t xml:space="preserve">, cited above, § 72, and </w:t>
            </w:r>
            <w:r w:rsidRPr="00BD3A6B">
              <w:rPr>
                <w:i/>
                <w:iCs/>
                <w:sz w:val="16"/>
              </w:rPr>
              <w:t>Valeriy Fuklev</w:t>
            </w:r>
            <w:r w:rsidRPr="00BD3A6B">
              <w:rPr>
                <w:sz w:val="16"/>
              </w:rPr>
              <w:t>, cited above, §§ 74-75</w:t>
            </w:r>
            <w:r w:rsidRPr="00BD3A6B">
              <w:rPr>
                <w:sz w:val="16"/>
              </w:rPr>
              <w:t>);</w:t>
            </w:r>
          </w:p>
          <w:p w:rsidRPr="00BD3A6B" w:rsidR="00CA1E7E" w:rsidP="00BD3A6B" w14:paraId="609091B3" w14:textId="77777777">
            <w:pPr>
              <w:jc w:val="center"/>
              <w:rPr>
                <w:sz w:val="16"/>
              </w:rPr>
            </w:pPr>
          </w:p>
          <w:p w:rsidRPr="00BD3A6B" w:rsidR="00CA1E7E" w:rsidP="00BD3A6B" w14:paraId="2EDFB9E5" w14:textId="42C073F2">
            <w:pPr>
              <w:jc w:val="center"/>
              <w:rPr>
                <w:sz w:val="16"/>
              </w:rPr>
            </w:pPr>
            <w:r w:rsidRPr="00BD3A6B">
              <w:rPr>
                <w:sz w:val="16"/>
              </w:rPr>
              <w:t xml:space="preserve">Loss of medical documentation or other omissions undermining the principle of a thorough examination of the case (see </w:t>
            </w:r>
            <w:r w:rsidRPr="00BD3A6B">
              <w:rPr>
                <w:i/>
                <w:iCs/>
                <w:sz w:val="16"/>
              </w:rPr>
              <w:t>Arskaya</w:t>
            </w:r>
            <w:r w:rsidRPr="00BD3A6B">
              <w:rPr>
                <w:sz w:val="16"/>
              </w:rPr>
              <w:t>, cited above, §</w:t>
            </w:r>
            <w:r w:rsidRPr="00BD3A6B" w:rsidR="00D46672">
              <w:rPr>
                <w:sz w:val="16"/>
              </w:rPr>
              <w:t> </w:t>
            </w:r>
            <w:r w:rsidRPr="00BD3A6B">
              <w:rPr>
                <w:sz w:val="16"/>
              </w:rPr>
              <w:t>72;</w:t>
            </w:r>
            <w:r w:rsidRPr="00BD3A6B">
              <w:t xml:space="preserve"> </w:t>
            </w:r>
            <w:r w:rsidRPr="00BD3A6B">
              <w:rPr>
                <w:i/>
                <w:iCs/>
                <w:sz w:val="16"/>
              </w:rPr>
              <w:t>Nina Kutsenko v. Ukraine</w:t>
            </w:r>
            <w:r w:rsidRPr="00BD3A6B">
              <w:rPr>
                <w:sz w:val="16"/>
              </w:rPr>
              <w:t>, no.</w:t>
            </w:r>
            <w:r w:rsidRPr="00BD3A6B" w:rsidR="00D46672">
              <w:rPr>
                <w:sz w:val="16"/>
              </w:rPr>
              <w:t> </w:t>
            </w:r>
            <w:r w:rsidRPr="00BD3A6B">
              <w:rPr>
                <w:sz w:val="16"/>
              </w:rPr>
              <w:t>25114/11, § 162, 18</w:t>
            </w:r>
            <w:r w:rsidRPr="00BD3A6B" w:rsidR="00D46672">
              <w:rPr>
                <w:sz w:val="16"/>
              </w:rPr>
              <w:t> </w:t>
            </w:r>
            <w:r w:rsidRPr="00BD3A6B">
              <w:rPr>
                <w:sz w:val="16"/>
              </w:rPr>
              <w:t xml:space="preserve">July 2017; and </w:t>
            </w:r>
            <w:r w:rsidRPr="00BD3A6B">
              <w:rPr>
                <w:i/>
                <w:iCs/>
                <w:sz w:val="16"/>
              </w:rPr>
              <w:t>Tretyakova</w:t>
            </w:r>
            <w:r w:rsidRPr="00BD3A6B">
              <w:rPr>
                <w:sz w:val="16"/>
              </w:rPr>
              <w:t>, cited above, § 32).</w:t>
            </w:r>
          </w:p>
        </w:tc>
      </w:tr>
      <w:tr w:rsidTr="00F80977" w14:paraId="18E0EC9C" w14:textId="77777777">
        <w:tblPrEx>
          <w:tblW w:w="13178" w:type="dxa"/>
          <w:tblLook w:val="0420"/>
        </w:tblPrEx>
        <w:tc>
          <w:tcPr>
            <w:tcW w:w="13178" w:type="dxa"/>
            <w:gridSpan w:val="7"/>
            <w:shd w:val="clear" w:color="auto" w:fill="DFDFDF" w:themeFill="background2" w:themeFillShade="E6"/>
          </w:tcPr>
          <w:p w:rsidRPr="00BD3A6B" w:rsidR="00CA1E7E" w:rsidP="00BD3A6B" w14:paraId="7BDE43EE" w14:textId="77777777">
            <w:pPr>
              <w:jc w:val="center"/>
              <w:rPr>
                <w:b/>
                <w:bCs/>
                <w:sz w:val="16"/>
              </w:rPr>
            </w:pPr>
            <w:r w:rsidRPr="00BD3A6B">
              <w:rPr>
                <w:b/>
                <w:bCs/>
                <w:sz w:val="16"/>
              </w:rPr>
              <w:t>Just satisfaction</w:t>
            </w:r>
          </w:p>
        </w:tc>
      </w:tr>
      <w:tr w:rsidTr="00F80977" w14:paraId="30C5DEBA" w14:textId="77777777">
        <w:tblPrEx>
          <w:tblW w:w="13178" w:type="dxa"/>
          <w:tblLook w:val="0420"/>
        </w:tblPrEx>
        <w:tc>
          <w:tcPr>
            <w:tcW w:w="6589" w:type="dxa"/>
            <w:gridSpan w:val="5"/>
            <w:shd w:val="clear" w:color="auto" w:fill="DFDFDF" w:themeFill="background2" w:themeFillShade="E6"/>
          </w:tcPr>
          <w:p w:rsidRPr="00BD3A6B" w:rsidR="00CA1E7E" w:rsidP="00BD3A6B" w14:paraId="07E1ECEC" w14:textId="3F8F0889">
            <w:pPr>
              <w:jc w:val="center"/>
              <w:rPr>
                <w:b/>
                <w:bCs/>
                <w:sz w:val="16"/>
              </w:rPr>
            </w:pPr>
            <w:r w:rsidRPr="00BD3A6B">
              <w:rPr>
                <w:b/>
                <w:bCs/>
                <w:sz w:val="16"/>
              </w:rPr>
              <w:t>Applicants</w:t>
            </w:r>
            <w:r w:rsidRPr="00BD3A6B" w:rsidR="00BD3A6B">
              <w:rPr>
                <w:b/>
                <w:bCs/>
                <w:sz w:val="16"/>
              </w:rPr>
              <w:t>’</w:t>
            </w:r>
            <w:r w:rsidRPr="00BD3A6B">
              <w:rPr>
                <w:b/>
                <w:bCs/>
                <w:sz w:val="16"/>
              </w:rPr>
              <w:t xml:space="preserve"> claims for just satisfaction</w:t>
            </w:r>
          </w:p>
        </w:tc>
        <w:tc>
          <w:tcPr>
            <w:tcW w:w="6589" w:type="dxa"/>
            <w:gridSpan w:val="2"/>
            <w:shd w:val="clear" w:color="auto" w:fill="DFDFDF" w:themeFill="background2" w:themeFillShade="E6"/>
          </w:tcPr>
          <w:p w:rsidRPr="00BD3A6B" w:rsidR="00CA1E7E" w:rsidP="00BD3A6B" w14:paraId="014AE1D2" w14:textId="60562009">
            <w:pPr>
              <w:jc w:val="center"/>
              <w:rPr>
                <w:b/>
                <w:bCs/>
                <w:sz w:val="16"/>
              </w:rPr>
            </w:pPr>
            <w:r w:rsidRPr="00BD3A6B">
              <w:rPr>
                <w:b/>
                <w:bCs/>
                <w:sz w:val="16"/>
              </w:rPr>
              <w:t>Court</w:t>
            </w:r>
            <w:r w:rsidRPr="00BD3A6B" w:rsidR="00BD3A6B">
              <w:rPr>
                <w:b/>
                <w:bCs/>
                <w:sz w:val="16"/>
              </w:rPr>
              <w:t>’</w:t>
            </w:r>
            <w:r w:rsidRPr="00BD3A6B">
              <w:rPr>
                <w:b/>
                <w:bCs/>
                <w:sz w:val="16"/>
              </w:rPr>
              <w:t>s award</w:t>
            </w:r>
          </w:p>
        </w:tc>
      </w:tr>
      <w:tr w:rsidTr="00F80977" w14:paraId="4F39033E" w14:textId="77777777">
        <w:tblPrEx>
          <w:tblW w:w="13178" w:type="dxa"/>
          <w:tblLook w:val="0420"/>
        </w:tblPrEx>
        <w:tc>
          <w:tcPr>
            <w:tcW w:w="6589" w:type="dxa"/>
            <w:gridSpan w:val="5"/>
          </w:tcPr>
          <w:p w:rsidRPr="00BD3A6B" w:rsidR="00CA1E7E" w:rsidP="00BD3A6B" w14:paraId="622A75AE" w14:textId="77777777">
            <w:pPr>
              <w:jc w:val="both"/>
              <w:rPr>
                <w:b/>
                <w:sz w:val="16"/>
              </w:rPr>
            </w:pPr>
            <w:r w:rsidRPr="00BD3A6B">
              <w:rPr>
                <w:b/>
                <w:sz w:val="16"/>
              </w:rPr>
              <w:t>Non-pecuniary damage:</w:t>
            </w:r>
          </w:p>
          <w:p w:rsidRPr="00BD3A6B" w:rsidR="00CA1E7E" w:rsidP="00BD3A6B" w14:paraId="0371A0EC" w14:textId="49EE9DD9">
            <w:pPr>
              <w:pStyle w:val="ListParagraph"/>
              <w:numPr>
                <w:ilvl w:val="0"/>
                <w:numId w:val="29"/>
              </w:numPr>
              <w:jc w:val="both"/>
              <w:rPr>
                <w:bCs/>
                <w:sz w:val="16"/>
              </w:rPr>
            </w:pPr>
            <w:r w:rsidRPr="00BD3A6B">
              <w:rPr>
                <w:bCs/>
                <w:sz w:val="16"/>
              </w:rPr>
              <w:t>100,000 euros (EUR) to each of the applicants.</w:t>
            </w:r>
          </w:p>
          <w:p w:rsidRPr="00BD3A6B" w:rsidR="00CA1E7E" w:rsidP="00BD3A6B" w14:paraId="39372868" w14:textId="77777777">
            <w:pPr>
              <w:jc w:val="both"/>
              <w:rPr>
                <w:b/>
                <w:sz w:val="16"/>
              </w:rPr>
            </w:pPr>
          </w:p>
          <w:p w:rsidRPr="00BD3A6B" w:rsidR="00CA1E7E" w:rsidP="00BD3A6B" w14:paraId="1415F57D" w14:textId="77777777">
            <w:pPr>
              <w:jc w:val="both"/>
              <w:rPr>
                <w:b/>
                <w:sz w:val="16"/>
              </w:rPr>
            </w:pPr>
            <w:r w:rsidRPr="00BD3A6B">
              <w:rPr>
                <w:b/>
                <w:sz w:val="16"/>
              </w:rPr>
              <w:t>Costs and expenses:</w:t>
            </w:r>
          </w:p>
          <w:p w:rsidRPr="00BD3A6B" w:rsidR="00CA1E7E" w:rsidP="00BD3A6B" w14:paraId="29777429" w14:textId="77777777">
            <w:pPr>
              <w:pStyle w:val="ListParagraph"/>
              <w:numPr>
                <w:ilvl w:val="0"/>
                <w:numId w:val="25"/>
              </w:numPr>
              <w:jc w:val="both"/>
              <w:rPr>
                <w:bCs/>
                <w:sz w:val="16"/>
              </w:rPr>
            </w:pPr>
            <w:r w:rsidRPr="00BD3A6B">
              <w:rPr>
                <w:bCs/>
                <w:sz w:val="16"/>
              </w:rPr>
              <w:t xml:space="preserve">EUR 105 for postal and translation </w:t>
            </w:r>
            <w:r w:rsidRPr="00BD3A6B">
              <w:rPr>
                <w:bCs/>
                <w:sz w:val="16"/>
              </w:rPr>
              <w:t>expenses;</w:t>
            </w:r>
          </w:p>
          <w:p w:rsidRPr="00BD3A6B" w:rsidR="00CA1E7E" w:rsidP="00BD3A6B" w14:paraId="66B001C3" w14:textId="2460E6F7">
            <w:pPr>
              <w:pStyle w:val="ListParagraph"/>
              <w:numPr>
                <w:ilvl w:val="0"/>
                <w:numId w:val="25"/>
              </w:numPr>
              <w:jc w:val="both"/>
              <w:rPr>
                <w:bCs/>
                <w:sz w:val="16"/>
              </w:rPr>
            </w:pPr>
            <w:r w:rsidRPr="00BD3A6B">
              <w:rPr>
                <w:bCs/>
                <w:sz w:val="16"/>
              </w:rPr>
              <w:t>EUR 3,963 for legal costs before the domestic courts and before the Court, to be paid directly into the bank account of the applicants</w:t>
            </w:r>
            <w:r w:rsidRPr="00BD3A6B" w:rsidR="00BD3A6B">
              <w:rPr>
                <w:bCs/>
                <w:sz w:val="16"/>
              </w:rPr>
              <w:t>’</w:t>
            </w:r>
            <w:r w:rsidRPr="00BD3A6B">
              <w:rPr>
                <w:bCs/>
                <w:sz w:val="16"/>
              </w:rPr>
              <w:t xml:space="preserve"> representative.</w:t>
            </w:r>
          </w:p>
          <w:p w:rsidRPr="00BD3A6B" w:rsidR="00CA1E7E" w:rsidP="00BD3A6B" w14:paraId="094090E0" w14:textId="77777777">
            <w:pPr>
              <w:pStyle w:val="ListParagraph"/>
              <w:ind w:left="116"/>
              <w:jc w:val="both"/>
              <w:rPr>
                <w:bCs/>
                <w:sz w:val="16"/>
              </w:rPr>
            </w:pPr>
          </w:p>
          <w:p w:rsidRPr="00BD3A6B" w:rsidR="00CA1E7E" w:rsidP="00BD3A6B" w14:paraId="0D029E98" w14:textId="77777777">
            <w:pPr>
              <w:jc w:val="both"/>
              <w:rPr>
                <w:b/>
                <w:bCs/>
                <w:sz w:val="16"/>
              </w:rPr>
            </w:pPr>
          </w:p>
        </w:tc>
        <w:tc>
          <w:tcPr>
            <w:tcW w:w="6589" w:type="dxa"/>
            <w:gridSpan w:val="2"/>
          </w:tcPr>
          <w:p w:rsidRPr="00BD3A6B" w:rsidR="00CA1E7E" w:rsidP="00BD3A6B" w14:paraId="388AF00E" w14:textId="77777777">
            <w:pPr>
              <w:jc w:val="both"/>
              <w:rPr>
                <w:b/>
                <w:bCs/>
                <w:sz w:val="16"/>
              </w:rPr>
            </w:pPr>
            <w:r w:rsidRPr="00BD3A6B">
              <w:rPr>
                <w:b/>
                <w:bCs/>
                <w:sz w:val="16"/>
              </w:rPr>
              <w:t>Non-pecuniary damage:</w:t>
            </w:r>
          </w:p>
          <w:p w:rsidRPr="00BD3A6B" w:rsidR="00CA1E7E" w:rsidP="00BD3A6B" w14:paraId="452823D3" w14:textId="77777777">
            <w:pPr>
              <w:jc w:val="both"/>
              <w:rPr>
                <w:sz w:val="16"/>
              </w:rPr>
            </w:pPr>
            <w:r w:rsidRPr="00BD3A6B">
              <w:rPr>
                <w:sz w:val="16"/>
              </w:rPr>
              <w:t>EUR 6,000 jointly</w:t>
            </w:r>
          </w:p>
          <w:p w:rsidRPr="00BD3A6B" w:rsidR="00CA1E7E" w:rsidP="00BD3A6B" w14:paraId="2FF32E38" w14:textId="77777777">
            <w:pPr>
              <w:jc w:val="both"/>
              <w:rPr>
                <w:sz w:val="16"/>
              </w:rPr>
            </w:pPr>
          </w:p>
          <w:p w:rsidRPr="00BD3A6B" w:rsidR="00CA1E7E" w:rsidP="00BD3A6B" w14:paraId="1F40E8A5" w14:textId="77777777">
            <w:pPr>
              <w:jc w:val="both"/>
              <w:rPr>
                <w:b/>
                <w:bCs/>
                <w:sz w:val="16"/>
              </w:rPr>
            </w:pPr>
            <w:r w:rsidRPr="00BD3A6B">
              <w:rPr>
                <w:b/>
                <w:bCs/>
                <w:sz w:val="16"/>
              </w:rPr>
              <w:t>Costs and expenses:</w:t>
            </w:r>
          </w:p>
          <w:p w:rsidRPr="00BD3A6B" w:rsidR="00CA1E7E" w:rsidP="00BD3A6B" w14:paraId="1829D4AA" w14:textId="77777777">
            <w:pPr>
              <w:jc w:val="both"/>
              <w:rPr>
                <w:sz w:val="16"/>
              </w:rPr>
            </w:pPr>
            <w:r w:rsidRPr="00BD3A6B">
              <w:rPr>
                <w:sz w:val="16"/>
              </w:rPr>
              <w:t xml:space="preserve">EUR 250 to be paid directly into the bank account of Mr Bogdan Vasylyovych Fokiy (see, for example, </w:t>
            </w:r>
            <w:r w:rsidRPr="00BD3A6B">
              <w:rPr>
                <w:i/>
                <w:iCs/>
                <w:sz w:val="16"/>
              </w:rPr>
              <w:t>Khlaifia and Others v. Italy</w:t>
            </w:r>
            <w:r w:rsidRPr="00BD3A6B">
              <w:rPr>
                <w:sz w:val="16"/>
              </w:rPr>
              <w:t xml:space="preserve"> [GC], no. 16483/12, § 288, 15 December 2016)</w:t>
            </w:r>
          </w:p>
          <w:p w:rsidRPr="00BD3A6B" w:rsidR="00CA1E7E" w:rsidP="00BD3A6B" w14:paraId="17D0459E" w14:textId="77777777">
            <w:pPr>
              <w:jc w:val="both"/>
              <w:rPr>
                <w:sz w:val="16"/>
              </w:rPr>
            </w:pPr>
          </w:p>
          <w:p w:rsidRPr="00BD3A6B" w:rsidR="00CA1E7E" w:rsidP="00BD3A6B" w14:paraId="2C0B794B" w14:textId="77777777">
            <w:pPr>
              <w:jc w:val="both"/>
              <w:rPr>
                <w:b/>
                <w:bCs/>
                <w:sz w:val="16"/>
              </w:rPr>
            </w:pPr>
            <w:r w:rsidRPr="00BD3A6B">
              <w:rPr>
                <w:sz w:val="16"/>
              </w:rPr>
              <w:t>plus</w:t>
            </w:r>
            <w:r w:rsidRPr="00BD3A6B">
              <w:rPr>
                <w:sz w:val="16"/>
              </w:rPr>
              <w:t xml:space="preserve"> any tax chargeable to the applicants on the above amounts.</w:t>
            </w:r>
          </w:p>
        </w:tc>
      </w:tr>
      <w:tr w:rsidTr="00F80977" w14:paraId="5D88E833" w14:textId="77777777">
        <w:tblPrEx>
          <w:tblW w:w="13178" w:type="dxa"/>
          <w:tblLook w:val="0420"/>
        </w:tblPrEx>
        <w:tc>
          <w:tcPr>
            <w:tcW w:w="549" w:type="dxa"/>
          </w:tcPr>
          <w:p w:rsidRPr="00BD3A6B" w:rsidR="00CA1E7E" w:rsidP="00BD3A6B" w14:paraId="593E48EC"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BD3A6B" w:rsidR="00CA1E7E" w:rsidP="00BD3A6B" w14:paraId="4580790D" w14:textId="77777777">
            <w:pPr>
              <w:jc w:val="center"/>
              <w:rPr>
                <w:sz w:val="16"/>
              </w:rPr>
            </w:pPr>
            <w:r w:rsidRPr="00BD3A6B">
              <w:rPr>
                <w:sz w:val="16"/>
              </w:rPr>
              <w:t>19581/18</w:t>
            </w:r>
          </w:p>
          <w:p w:rsidRPr="00BD3A6B" w:rsidR="00CA1E7E" w:rsidP="00BD3A6B" w14:paraId="5160C11E" w14:textId="44632B89">
            <w:pPr>
              <w:jc w:val="center"/>
              <w:rPr>
                <w:sz w:val="16"/>
              </w:rPr>
            </w:pPr>
            <w:r w:rsidRPr="00BD3A6B">
              <w:rPr>
                <w:sz w:val="16"/>
              </w:rPr>
              <w:t>13/04/2018</w:t>
            </w:r>
          </w:p>
        </w:tc>
        <w:tc>
          <w:tcPr>
            <w:tcW w:w="1328" w:type="dxa"/>
          </w:tcPr>
          <w:p w:rsidRPr="00BD3A6B" w:rsidR="00CA1E7E" w:rsidP="00BD3A6B" w14:paraId="07DD767E" w14:textId="77777777">
            <w:pPr>
              <w:jc w:val="center"/>
              <w:rPr>
                <w:b/>
                <w:sz w:val="16"/>
              </w:rPr>
            </w:pPr>
            <w:r w:rsidRPr="00BD3A6B">
              <w:rPr>
                <w:b/>
                <w:sz w:val="16"/>
              </w:rPr>
              <w:t>Tetyana Volodymyrivna</w:t>
            </w:r>
          </w:p>
          <w:p w:rsidRPr="00BD3A6B" w:rsidR="00CA1E7E" w:rsidP="00BD3A6B" w14:paraId="5617640A" w14:textId="77777777">
            <w:pPr>
              <w:jc w:val="center"/>
              <w:rPr>
                <w:b/>
                <w:sz w:val="16"/>
              </w:rPr>
            </w:pPr>
            <w:r w:rsidRPr="00BD3A6B">
              <w:rPr>
                <w:b/>
                <w:sz w:val="16"/>
              </w:rPr>
              <w:t>KRAVETS</w:t>
            </w:r>
          </w:p>
          <w:p w:rsidRPr="00BD3A6B" w:rsidR="00CA1E7E" w:rsidP="00BD3A6B" w14:paraId="5A65AA2C" w14:textId="77777777">
            <w:pPr>
              <w:jc w:val="center"/>
              <w:rPr>
                <w:b/>
                <w:sz w:val="16"/>
              </w:rPr>
            </w:pPr>
            <w:r w:rsidRPr="00BD3A6B">
              <w:rPr>
                <w:b/>
                <w:sz w:val="16"/>
              </w:rPr>
              <w:t>1962</w:t>
            </w:r>
          </w:p>
        </w:tc>
        <w:tc>
          <w:tcPr>
            <w:tcW w:w="1458" w:type="dxa"/>
          </w:tcPr>
          <w:p w:rsidRPr="00BD3A6B" w:rsidR="00CA1E7E" w:rsidP="00BD3A6B" w14:paraId="093E5253" w14:textId="77777777">
            <w:pPr>
              <w:jc w:val="center"/>
              <w:rPr>
                <w:sz w:val="16"/>
              </w:rPr>
            </w:pPr>
            <w:r w:rsidRPr="00BD3A6B">
              <w:rPr>
                <w:sz w:val="16"/>
              </w:rPr>
              <w:t>Mykhaylo Yosypovych BORDYUK</w:t>
            </w:r>
          </w:p>
          <w:p w:rsidRPr="00BD3A6B" w:rsidR="00CA1E7E" w:rsidP="00BD3A6B" w14:paraId="36E8E2B0" w14:textId="77777777">
            <w:pPr>
              <w:jc w:val="center"/>
              <w:rPr>
                <w:sz w:val="16"/>
              </w:rPr>
            </w:pPr>
            <w:r w:rsidRPr="00BD3A6B">
              <w:rPr>
                <w:sz w:val="16"/>
              </w:rPr>
              <w:t>Chervonograd</w:t>
            </w:r>
          </w:p>
        </w:tc>
        <w:tc>
          <w:tcPr>
            <w:tcW w:w="6505" w:type="dxa"/>
            <w:gridSpan w:val="2"/>
          </w:tcPr>
          <w:p w:rsidRPr="00BD3A6B" w:rsidR="00CA1E7E" w:rsidP="00BD3A6B" w14:paraId="1F4D5E0B" w14:textId="77777777">
            <w:pPr>
              <w:jc w:val="both"/>
              <w:rPr>
                <w:b/>
                <w:bCs/>
                <w:sz w:val="16"/>
              </w:rPr>
            </w:pPr>
            <w:r w:rsidRPr="00BD3A6B">
              <w:rPr>
                <w:b/>
                <w:bCs/>
                <w:sz w:val="16"/>
              </w:rPr>
              <w:t>Circumstances of the incident</w:t>
            </w:r>
          </w:p>
          <w:p w:rsidRPr="00BD3A6B" w:rsidR="00CA1E7E" w:rsidP="00BD3A6B" w14:paraId="761D993F" w14:textId="77777777">
            <w:pPr>
              <w:jc w:val="both"/>
              <w:rPr>
                <w:b/>
                <w:bCs/>
                <w:sz w:val="16"/>
              </w:rPr>
            </w:pPr>
          </w:p>
          <w:p w:rsidRPr="00BD3A6B" w:rsidR="00CA1E7E" w:rsidP="00BD3A6B" w14:paraId="688CEA23" w14:textId="1597A13C">
            <w:pPr>
              <w:jc w:val="both"/>
              <w:rPr>
                <w:sz w:val="16"/>
              </w:rPr>
            </w:pPr>
            <w:r w:rsidRPr="00BD3A6B">
              <w:rPr>
                <w:sz w:val="16"/>
              </w:rPr>
              <w:t>On 9 October 2013 the applicant</w:t>
            </w:r>
            <w:r w:rsidRPr="00BD3A6B" w:rsidR="00BD3A6B">
              <w:rPr>
                <w:sz w:val="16"/>
              </w:rPr>
              <w:t>’</w:t>
            </w:r>
            <w:r w:rsidRPr="00BD3A6B">
              <w:rPr>
                <w:sz w:val="16"/>
              </w:rPr>
              <w:t>s husband, M., died at the Chervonograd local hospital from acute gastrointestinal bleeding caused by advanced chronic duodenal ulcer. Although he had received numerous inpatient treatments at the local hospital since 2010 and undergone two cancer-related surgeries at the regional oncology centre, the chronic ulcer was not diagnosed until late August 2013. His last consultation with treating doctor K. had occurred just days before his emergency hospitalisation and death.</w:t>
            </w:r>
          </w:p>
          <w:p w:rsidRPr="00BD3A6B" w:rsidR="00CA1E7E" w:rsidP="00BD3A6B" w14:paraId="00FF426B" w14:textId="77777777">
            <w:pPr>
              <w:jc w:val="both"/>
              <w:rPr>
                <w:sz w:val="16"/>
              </w:rPr>
            </w:pPr>
          </w:p>
          <w:p w:rsidRPr="00BD3A6B" w:rsidR="00CA1E7E" w:rsidP="00BD3A6B" w14:paraId="5BA3C674" w14:textId="77777777">
            <w:pPr>
              <w:jc w:val="both"/>
              <w:rPr>
                <w:b/>
                <w:bCs/>
                <w:sz w:val="16"/>
              </w:rPr>
            </w:pPr>
            <w:r w:rsidRPr="00BD3A6B">
              <w:rPr>
                <w:b/>
                <w:bCs/>
                <w:sz w:val="16"/>
              </w:rPr>
              <w:t>Investigation by the healthcare authorities</w:t>
            </w:r>
          </w:p>
          <w:p w:rsidRPr="00BD3A6B" w:rsidR="00CA1E7E" w:rsidP="00BD3A6B" w14:paraId="35014A33" w14:textId="77777777">
            <w:pPr>
              <w:jc w:val="both"/>
              <w:rPr>
                <w:b/>
                <w:bCs/>
                <w:sz w:val="16"/>
              </w:rPr>
            </w:pPr>
          </w:p>
          <w:p w:rsidRPr="00BD3A6B" w:rsidR="00CA1E7E" w:rsidP="00BD3A6B" w14:paraId="0D8867B6" w14:textId="2AE06666">
            <w:pPr>
              <w:jc w:val="both"/>
              <w:rPr>
                <w:sz w:val="16"/>
              </w:rPr>
            </w:pPr>
            <w:r w:rsidRPr="00BD3A6B">
              <w:rPr>
                <w:sz w:val="16"/>
              </w:rPr>
              <w:t>In March 2014 two internal inquiries were conducted by commissions at the Ministry of Health and the regional health authorities. Both investigations identified multiple shortcomings in M.</w:t>
            </w:r>
            <w:r w:rsidRPr="00BD3A6B" w:rsidR="00BD3A6B">
              <w:rPr>
                <w:sz w:val="16"/>
              </w:rPr>
              <w:t>’</w:t>
            </w:r>
            <w:r w:rsidRPr="00BD3A6B">
              <w:rPr>
                <w:sz w:val="16"/>
              </w:rPr>
              <w:t>s treatment at both the local hospital and the oncology centre, most notably the failure to conduct ulcer diagnostics despite clear indications. Deficiencies in emergency procedures and record-keeping were also noted. Both inquiries led to the conclusion that M.</w:t>
            </w:r>
            <w:r w:rsidRPr="00BD3A6B" w:rsidR="00BD3A6B">
              <w:rPr>
                <w:sz w:val="16"/>
              </w:rPr>
              <w:t>’</w:t>
            </w:r>
            <w:r w:rsidRPr="00BD3A6B">
              <w:rPr>
                <w:sz w:val="16"/>
              </w:rPr>
              <w:t>s death could have been prevented with proper diagnosis and treatment.</w:t>
            </w:r>
          </w:p>
          <w:p w:rsidRPr="00BD3A6B" w:rsidR="00CA1E7E" w:rsidP="00BD3A6B" w14:paraId="44FF7B25" w14:textId="77777777">
            <w:pPr>
              <w:jc w:val="both"/>
              <w:rPr>
                <w:sz w:val="16"/>
              </w:rPr>
            </w:pPr>
          </w:p>
          <w:p w:rsidRPr="00BD3A6B" w:rsidR="00CA1E7E" w:rsidP="00BD3A6B" w14:paraId="182425F7" w14:textId="77777777">
            <w:pPr>
              <w:jc w:val="both"/>
              <w:rPr>
                <w:b/>
                <w:bCs/>
                <w:sz w:val="16"/>
              </w:rPr>
            </w:pPr>
            <w:r w:rsidRPr="00BD3A6B">
              <w:rPr>
                <w:b/>
                <w:bCs/>
                <w:sz w:val="16"/>
              </w:rPr>
              <w:t>Criminal investigation</w:t>
            </w:r>
          </w:p>
          <w:p w:rsidRPr="00BD3A6B" w:rsidR="00CA1E7E" w:rsidP="00BD3A6B" w14:paraId="3DD1414F" w14:textId="77777777">
            <w:pPr>
              <w:jc w:val="both"/>
              <w:rPr>
                <w:b/>
                <w:bCs/>
                <w:sz w:val="16"/>
              </w:rPr>
            </w:pPr>
          </w:p>
          <w:p w:rsidRPr="00BD3A6B" w:rsidR="00CA1E7E" w:rsidP="00BD3A6B" w14:paraId="1FC33F9B" w14:textId="77777777">
            <w:pPr>
              <w:jc w:val="both"/>
              <w:rPr>
                <w:sz w:val="16"/>
              </w:rPr>
            </w:pPr>
            <w:r w:rsidRPr="00BD3A6B">
              <w:rPr>
                <w:sz w:val="16"/>
              </w:rPr>
              <w:t>On 1 November 2013 and on 14 February 2014 criminal investigations were launched into alleged medical negligence at the oncology centre and the local hospital respectively and were merged on 3 March 2014.</w:t>
            </w:r>
          </w:p>
          <w:p w:rsidRPr="00BD3A6B" w:rsidR="00CA1E7E" w:rsidP="00BD3A6B" w14:paraId="206BD0DD" w14:textId="6CD4B1EA">
            <w:pPr>
              <w:jc w:val="both"/>
              <w:rPr>
                <w:sz w:val="16"/>
              </w:rPr>
            </w:pPr>
            <w:r w:rsidRPr="00BD3A6B">
              <w:rPr>
                <w:sz w:val="16"/>
              </w:rPr>
              <w:t>In November 2014 the principal investigative office acknowledged, on the applicant</w:t>
            </w:r>
            <w:r w:rsidRPr="00BD3A6B" w:rsidR="00BD3A6B">
              <w:rPr>
                <w:sz w:val="16"/>
              </w:rPr>
              <w:t>’</w:t>
            </w:r>
            <w:r w:rsidRPr="00BD3A6B">
              <w:rPr>
                <w:sz w:val="16"/>
              </w:rPr>
              <w:t xml:space="preserve">s complaints, that the investigation had not been thorough. Two investigators were </w:t>
            </w:r>
            <w:r w:rsidRPr="00BD3A6B">
              <w:rPr>
                <w:sz w:val="16"/>
              </w:rPr>
              <w:t>reprimanded</w:t>
            </w:r>
            <w:r w:rsidRPr="00BD3A6B">
              <w:rPr>
                <w:sz w:val="16"/>
              </w:rPr>
              <w:t xml:space="preserve"> and the proceedings were ordered to be expedited. Nonetheless, the first forensic medical examination was not commissioned until June 2015 and did not begin until November 2015 on account of delays in securing payment and necessary documents. The report, completed on 4 October 2016, confirmed shortcomings in the treatment but could not determine the ulcer</w:t>
            </w:r>
            <w:r w:rsidRPr="00BD3A6B" w:rsidR="00BD3A6B">
              <w:rPr>
                <w:sz w:val="16"/>
              </w:rPr>
              <w:t>’</w:t>
            </w:r>
            <w:r w:rsidRPr="00BD3A6B">
              <w:rPr>
                <w:sz w:val="16"/>
              </w:rPr>
              <w:t>s progression.</w:t>
            </w:r>
          </w:p>
          <w:p w:rsidRPr="00BD3A6B" w:rsidR="00CA1E7E" w:rsidP="00BD3A6B" w14:paraId="6338608F" w14:textId="6103CD78">
            <w:pPr>
              <w:jc w:val="both"/>
              <w:rPr>
                <w:sz w:val="16"/>
              </w:rPr>
            </w:pPr>
            <w:r w:rsidRPr="00BD3A6B">
              <w:rPr>
                <w:sz w:val="16"/>
              </w:rPr>
              <w:t xml:space="preserve">Three further expert examinations prolonged the investigation. An expert report of </w:t>
            </w:r>
            <w:r w:rsidRPr="00BD3A6B" w:rsidR="00180222">
              <w:rPr>
                <w:sz w:val="16"/>
              </w:rPr>
              <w:t>7 May</w:t>
            </w:r>
            <w:r w:rsidRPr="00BD3A6B">
              <w:rPr>
                <w:sz w:val="16"/>
              </w:rPr>
              <w:t xml:space="preserve"> 2018, delivered after a seven-month delay, was inconclusive. The final expert report of 22 March 2019 noted serious breaches of medical protocols at the local hospital, including the failure to admit M. for urgent hospitalisation after his previous consultation and the failure to transfer him to intensive care. According to the report, his death had likely been preventable with appropriate treatment. It held the treating doctor, K., and the deputy head of surgery responsible.</w:t>
            </w:r>
          </w:p>
          <w:p w:rsidRPr="00BD3A6B" w:rsidR="00CA1E7E" w:rsidP="00BD3A6B" w14:paraId="385CA7BB" w14:textId="2341F775">
            <w:pPr>
              <w:jc w:val="both"/>
              <w:rPr>
                <w:sz w:val="16"/>
              </w:rPr>
            </w:pPr>
            <w:r w:rsidRPr="00BD3A6B">
              <w:rPr>
                <w:sz w:val="16"/>
              </w:rPr>
              <w:t>On 6 August 2019 K. was charged with medical negligence. The investigation in respect of other medical staff was discontinued on 23 July 2020 but resumed on 30 September 2020 after the applicant successfully challenged the relevant decision in the courts. On 12 May 2021 K. was convicted as charged but released from criminal responsibility since the case had become time barred. No other charges were brought. The investigation remains pending with the prosecutor</w:t>
            </w:r>
            <w:r w:rsidRPr="00BD3A6B" w:rsidR="00BD3A6B">
              <w:rPr>
                <w:sz w:val="16"/>
              </w:rPr>
              <w:t>’</w:t>
            </w:r>
            <w:r w:rsidRPr="00BD3A6B">
              <w:rPr>
                <w:sz w:val="16"/>
              </w:rPr>
              <w:t>s office.</w:t>
            </w:r>
          </w:p>
        </w:tc>
        <w:tc>
          <w:tcPr>
            <w:tcW w:w="2268" w:type="dxa"/>
          </w:tcPr>
          <w:p w:rsidRPr="00BD3A6B" w:rsidR="00CA1E7E" w:rsidP="00BD3A6B" w14:paraId="559B792A" w14:textId="487CD9E5">
            <w:pPr>
              <w:spacing w:before="120"/>
              <w:jc w:val="center"/>
              <w:rPr>
                <w:sz w:val="16"/>
              </w:rPr>
            </w:pPr>
            <w:r w:rsidRPr="00BD3A6B">
              <w:rPr>
                <w:sz w:val="16"/>
              </w:rPr>
              <w:t xml:space="preserve">Excessive delay and lack of diligence (see </w:t>
            </w:r>
            <w:r w:rsidRPr="00BD3A6B">
              <w:rPr>
                <w:i/>
                <w:iCs/>
                <w:sz w:val="16"/>
              </w:rPr>
              <w:t>Arskaya v.</w:t>
            </w:r>
            <w:r w:rsidRPr="00BD3A6B" w:rsidR="00D46672">
              <w:rPr>
                <w:i/>
                <w:iCs/>
                <w:sz w:val="16"/>
              </w:rPr>
              <w:t> </w:t>
            </w:r>
            <w:r w:rsidRPr="00BD3A6B">
              <w:rPr>
                <w:i/>
                <w:iCs/>
                <w:sz w:val="16"/>
              </w:rPr>
              <w:t>Ukraine</w:t>
            </w:r>
            <w:r w:rsidRPr="00BD3A6B">
              <w:rPr>
                <w:sz w:val="16"/>
              </w:rPr>
              <w:t>, no. 45076/05, §</w:t>
            </w:r>
            <w:r w:rsidRPr="00BD3A6B" w:rsidR="00D46672">
              <w:rPr>
                <w:sz w:val="16"/>
              </w:rPr>
              <w:t> </w:t>
            </w:r>
            <w:r w:rsidRPr="00BD3A6B">
              <w:rPr>
                <w:sz w:val="16"/>
              </w:rPr>
              <w:t xml:space="preserve">72, 5 December 2013; </w:t>
            </w:r>
            <w:r w:rsidRPr="00BD3A6B">
              <w:rPr>
                <w:i/>
                <w:iCs/>
                <w:sz w:val="16"/>
              </w:rPr>
              <w:t>Valeriy Fuklev v. Ukraine</w:t>
            </w:r>
            <w:r w:rsidRPr="00BD3A6B">
              <w:rPr>
                <w:sz w:val="16"/>
              </w:rPr>
              <w:t xml:space="preserve">, no. 6318/03, §§ 75-76, 16 January 2014; </w:t>
            </w:r>
            <w:r w:rsidRPr="00BD3A6B">
              <w:rPr>
                <w:i/>
                <w:iCs/>
                <w:sz w:val="16"/>
              </w:rPr>
              <w:t>Marchuk v. Ukraine</w:t>
            </w:r>
            <w:r w:rsidRPr="00BD3A6B">
              <w:rPr>
                <w:sz w:val="16"/>
              </w:rPr>
              <w:t xml:space="preserve"> </w:t>
            </w:r>
            <w:r w:rsidRPr="00BD3A6B">
              <w:rPr>
                <w:bCs/>
                <w:sz w:val="16"/>
              </w:rPr>
              <w:t>[Committee]</w:t>
            </w:r>
            <w:r w:rsidRPr="00BD3A6B">
              <w:rPr>
                <w:sz w:val="16"/>
              </w:rPr>
              <w:t xml:space="preserve">, no. 65663/12, </w:t>
            </w:r>
            <w:r w:rsidRPr="00BD3A6B">
              <w:rPr>
                <w:rFonts w:cstheme="minorHAnsi"/>
                <w:sz w:val="16"/>
              </w:rPr>
              <w:t>§§</w:t>
            </w:r>
            <w:r w:rsidRPr="00BD3A6B" w:rsidR="00D46672">
              <w:rPr>
                <w:rFonts w:cstheme="minorHAnsi"/>
                <w:sz w:val="16"/>
              </w:rPr>
              <w:t> </w:t>
            </w:r>
            <w:r w:rsidRPr="00BD3A6B">
              <w:rPr>
                <w:sz w:val="16"/>
              </w:rPr>
              <w:t xml:space="preserve">35 and 37, 28 July 2016; </w:t>
            </w:r>
            <w:r w:rsidRPr="00BD3A6B">
              <w:rPr>
                <w:i/>
                <w:iCs/>
                <w:sz w:val="16"/>
              </w:rPr>
              <w:t>Tretyakova v. Ukraine</w:t>
            </w:r>
            <w:r w:rsidRPr="00BD3A6B">
              <w:rPr>
                <w:sz w:val="16"/>
              </w:rPr>
              <w:t xml:space="preserve"> [Committee], no. 63126/13, </w:t>
            </w:r>
            <w:r w:rsidRPr="00BD3A6B">
              <w:rPr>
                <w:rFonts w:cstheme="minorHAnsi"/>
                <w:sz w:val="16"/>
              </w:rPr>
              <w:t>§§</w:t>
            </w:r>
            <w:r w:rsidRPr="00BD3A6B" w:rsidR="00D46672">
              <w:rPr>
                <w:rFonts w:cstheme="minorHAnsi"/>
                <w:sz w:val="16"/>
              </w:rPr>
              <w:t> </w:t>
            </w:r>
            <w:r w:rsidRPr="00BD3A6B">
              <w:rPr>
                <w:rFonts w:cstheme="minorHAnsi"/>
                <w:sz w:val="16"/>
              </w:rPr>
              <w:t>31-</w:t>
            </w:r>
            <w:r w:rsidRPr="00BD3A6B">
              <w:rPr>
                <w:sz w:val="16"/>
              </w:rPr>
              <w:t>33, 4 November 2021</w:t>
            </w:r>
            <w:r w:rsidRPr="00BD3A6B">
              <w:rPr>
                <w:sz w:val="16"/>
              </w:rPr>
              <w:t>);</w:t>
            </w:r>
          </w:p>
          <w:p w:rsidRPr="00BD3A6B" w:rsidR="00CA1E7E" w:rsidP="00BD3A6B" w14:paraId="48841DFE" w14:textId="77777777">
            <w:pPr>
              <w:spacing w:before="120"/>
              <w:jc w:val="center"/>
              <w:rPr>
                <w:b/>
                <w:bCs/>
                <w:sz w:val="16"/>
                <w:lang w:val="uk-UA"/>
              </w:rPr>
            </w:pPr>
          </w:p>
          <w:p w:rsidRPr="00BD3A6B" w:rsidR="00CA1E7E" w:rsidP="00BD3A6B" w14:paraId="0F7F7C08" w14:textId="77777777">
            <w:pPr>
              <w:spacing w:before="120"/>
              <w:jc w:val="center"/>
              <w:rPr>
                <w:b/>
                <w:bCs/>
                <w:sz w:val="16"/>
              </w:rPr>
            </w:pPr>
            <w:r w:rsidRPr="00BD3A6B">
              <w:rPr>
                <w:bCs/>
                <w:sz w:val="16"/>
              </w:rPr>
              <w:t xml:space="preserve">Remittals of the case in the light of the shortcomings in the investigation (see </w:t>
            </w:r>
            <w:r w:rsidRPr="00BD3A6B">
              <w:rPr>
                <w:bCs/>
                <w:i/>
                <w:iCs/>
                <w:sz w:val="16"/>
              </w:rPr>
              <w:t>Arskaya</w:t>
            </w:r>
            <w:r w:rsidRPr="00BD3A6B">
              <w:rPr>
                <w:bCs/>
                <w:sz w:val="16"/>
              </w:rPr>
              <w:t xml:space="preserve">, cited above, </w:t>
            </w:r>
            <w:r w:rsidRPr="00BD3A6B">
              <w:rPr>
                <w:rFonts w:cstheme="minorHAnsi"/>
                <w:bCs/>
                <w:sz w:val="16"/>
              </w:rPr>
              <w:t>§</w:t>
            </w:r>
            <w:r w:rsidRPr="00BD3A6B">
              <w:rPr>
                <w:bCs/>
                <w:sz w:val="16"/>
              </w:rPr>
              <w:t xml:space="preserve"> 72, and </w:t>
            </w:r>
            <w:r w:rsidRPr="00BD3A6B">
              <w:rPr>
                <w:bCs/>
                <w:i/>
                <w:iCs/>
                <w:sz w:val="16"/>
              </w:rPr>
              <w:t>Valeriy Fuklev</w:t>
            </w:r>
            <w:r w:rsidRPr="00BD3A6B">
              <w:rPr>
                <w:bCs/>
                <w:sz w:val="16"/>
              </w:rPr>
              <w:t xml:space="preserve">, cited above, </w:t>
            </w:r>
            <w:r w:rsidRPr="00BD3A6B">
              <w:rPr>
                <w:rFonts w:cstheme="minorHAnsi"/>
                <w:bCs/>
                <w:sz w:val="16"/>
              </w:rPr>
              <w:t>§</w:t>
            </w:r>
            <w:r w:rsidRPr="00BD3A6B">
              <w:rPr>
                <w:rFonts w:asciiTheme="minorBidi" w:hAnsiTheme="minorBidi"/>
                <w:bCs/>
                <w:sz w:val="16"/>
              </w:rPr>
              <w:t>§</w:t>
            </w:r>
            <w:r w:rsidRPr="00BD3A6B">
              <w:rPr>
                <w:bCs/>
                <w:sz w:val="16"/>
              </w:rPr>
              <w:t xml:space="preserve"> 74-75</w:t>
            </w:r>
            <w:r w:rsidRPr="00BD3A6B">
              <w:rPr>
                <w:bCs/>
                <w:sz w:val="16"/>
              </w:rPr>
              <w:t>);</w:t>
            </w:r>
          </w:p>
          <w:p w:rsidRPr="00BD3A6B" w:rsidR="00CA1E7E" w:rsidP="00BD3A6B" w14:paraId="28C601D2" w14:textId="31598244">
            <w:pPr>
              <w:spacing w:before="120"/>
              <w:jc w:val="center"/>
              <w:rPr>
                <w:b/>
                <w:bCs/>
                <w:sz w:val="16"/>
              </w:rPr>
            </w:pPr>
            <w:r w:rsidRPr="00BD3A6B">
              <w:rPr>
                <w:bCs/>
                <w:sz w:val="16"/>
              </w:rPr>
              <w:t xml:space="preserve">Failure to establish the essential facts of the case and possible errors committed in the course of medical care (see </w:t>
            </w:r>
            <w:r w:rsidRPr="00BD3A6B">
              <w:rPr>
                <w:bCs/>
                <w:i/>
                <w:iCs/>
                <w:sz w:val="16"/>
              </w:rPr>
              <w:t>Arskaya</w:t>
            </w:r>
            <w:r w:rsidRPr="00BD3A6B">
              <w:rPr>
                <w:bCs/>
                <w:sz w:val="16"/>
              </w:rPr>
              <w:t xml:space="preserve">, cited above, </w:t>
            </w:r>
            <w:r w:rsidRPr="00BD3A6B">
              <w:rPr>
                <w:rFonts w:cstheme="minorHAnsi"/>
                <w:bCs/>
                <w:sz w:val="16"/>
              </w:rPr>
              <w:t>§§</w:t>
            </w:r>
            <w:r w:rsidRPr="00BD3A6B">
              <w:rPr>
                <w:bCs/>
                <w:sz w:val="16"/>
              </w:rPr>
              <w:t xml:space="preserve"> 69-70 and 73, and </w:t>
            </w:r>
            <w:r w:rsidRPr="00BD3A6B">
              <w:rPr>
                <w:bCs/>
                <w:i/>
                <w:iCs/>
                <w:sz w:val="16"/>
              </w:rPr>
              <w:t>Ioniță v. Romania</w:t>
            </w:r>
            <w:r w:rsidRPr="00BD3A6B">
              <w:rPr>
                <w:bCs/>
                <w:sz w:val="16"/>
              </w:rPr>
              <w:t xml:space="preserve">, no. 81270/12, </w:t>
            </w:r>
            <w:r w:rsidRPr="00BD3A6B">
              <w:rPr>
                <w:rFonts w:cstheme="minorHAnsi"/>
                <w:bCs/>
                <w:sz w:val="16"/>
              </w:rPr>
              <w:t>§</w:t>
            </w:r>
            <w:r w:rsidRPr="00BD3A6B">
              <w:rPr>
                <w:bCs/>
                <w:sz w:val="16"/>
              </w:rPr>
              <w:t xml:space="preserve"> 83, 10</w:t>
            </w:r>
            <w:r w:rsidRPr="00BD3A6B" w:rsidR="00853556">
              <w:rPr>
                <w:bCs/>
                <w:sz w:val="16"/>
              </w:rPr>
              <w:t> </w:t>
            </w:r>
            <w:r w:rsidRPr="00BD3A6B">
              <w:rPr>
                <w:bCs/>
                <w:sz w:val="16"/>
              </w:rPr>
              <w:t xml:space="preserve">January 2017; and </w:t>
            </w:r>
            <w:r w:rsidRPr="00BD3A6B">
              <w:rPr>
                <w:bCs/>
                <w:i/>
                <w:iCs/>
                <w:sz w:val="16"/>
              </w:rPr>
              <w:t>Lukashenko v.</w:t>
            </w:r>
            <w:r w:rsidRPr="00BD3A6B" w:rsidR="00853556">
              <w:rPr>
                <w:bCs/>
                <w:i/>
                <w:iCs/>
                <w:sz w:val="16"/>
              </w:rPr>
              <w:t> </w:t>
            </w:r>
            <w:r w:rsidRPr="00BD3A6B">
              <w:rPr>
                <w:bCs/>
                <w:i/>
                <w:iCs/>
                <w:sz w:val="16"/>
              </w:rPr>
              <w:t xml:space="preserve">Ukraine </w:t>
            </w:r>
            <w:r w:rsidRPr="00BD3A6B">
              <w:rPr>
                <w:bCs/>
                <w:sz w:val="16"/>
              </w:rPr>
              <w:t>[Committee], no.</w:t>
            </w:r>
            <w:r w:rsidRPr="00BD3A6B" w:rsidR="00853556">
              <w:rPr>
                <w:bCs/>
                <w:sz w:val="16"/>
              </w:rPr>
              <w:t> </w:t>
            </w:r>
            <w:r w:rsidRPr="00BD3A6B">
              <w:rPr>
                <w:bCs/>
                <w:sz w:val="16"/>
              </w:rPr>
              <w:t>33944/13, §</w:t>
            </w:r>
            <w:r w:rsidRPr="00BD3A6B" w:rsidR="00853556">
              <w:rPr>
                <w:bCs/>
                <w:sz w:val="16"/>
              </w:rPr>
              <w:t> </w:t>
            </w:r>
            <w:r w:rsidRPr="00BD3A6B">
              <w:rPr>
                <w:bCs/>
                <w:sz w:val="16"/>
              </w:rPr>
              <w:t>30, 11</w:t>
            </w:r>
            <w:r w:rsidRPr="00BD3A6B" w:rsidR="00853556">
              <w:rPr>
                <w:bCs/>
                <w:sz w:val="16"/>
              </w:rPr>
              <w:t> </w:t>
            </w:r>
            <w:r w:rsidRPr="00BD3A6B">
              <w:rPr>
                <w:bCs/>
                <w:sz w:val="16"/>
              </w:rPr>
              <w:t>September 2025</w:t>
            </w:r>
            <w:r w:rsidRPr="00BD3A6B">
              <w:rPr>
                <w:bCs/>
                <w:sz w:val="16"/>
              </w:rPr>
              <w:t>);</w:t>
            </w:r>
          </w:p>
          <w:p w:rsidRPr="00BD3A6B" w:rsidR="00CA1E7E" w:rsidP="00BD3A6B" w14:paraId="4F4090A2" w14:textId="77777777">
            <w:pPr>
              <w:spacing w:before="120"/>
              <w:jc w:val="center"/>
              <w:rPr>
                <w:b/>
                <w:bCs/>
                <w:sz w:val="16"/>
              </w:rPr>
            </w:pPr>
          </w:p>
          <w:p w:rsidRPr="00BD3A6B" w:rsidR="00CA1E7E" w:rsidP="00BD3A6B" w14:paraId="7AF96B4B" w14:textId="59747F02">
            <w:pPr>
              <w:jc w:val="center"/>
              <w:rPr>
                <w:b/>
                <w:bCs/>
                <w:sz w:val="16"/>
              </w:rPr>
            </w:pPr>
            <w:r w:rsidRPr="00BD3A6B">
              <w:rPr>
                <w:bCs/>
                <w:sz w:val="16"/>
              </w:rPr>
              <w:t xml:space="preserve">Investigation criticised by the national authorities themselves for lack of efficiency (see </w:t>
            </w:r>
            <w:r w:rsidRPr="00BD3A6B">
              <w:rPr>
                <w:bCs/>
                <w:i/>
                <w:iCs/>
                <w:sz w:val="16"/>
              </w:rPr>
              <w:t>Marchuk</w:t>
            </w:r>
            <w:r w:rsidRPr="00BD3A6B">
              <w:rPr>
                <w:bCs/>
                <w:sz w:val="16"/>
              </w:rPr>
              <w:t xml:space="preserve">, cited above, </w:t>
            </w:r>
            <w:r w:rsidRPr="00BD3A6B">
              <w:rPr>
                <w:rFonts w:cstheme="minorHAnsi"/>
                <w:bCs/>
                <w:sz w:val="16"/>
              </w:rPr>
              <w:t>§</w:t>
            </w:r>
            <w:r w:rsidRPr="00BD3A6B" w:rsidR="00853556">
              <w:rPr>
                <w:rFonts w:cstheme="minorHAnsi"/>
                <w:bCs/>
                <w:sz w:val="16"/>
              </w:rPr>
              <w:t> </w:t>
            </w:r>
            <w:r w:rsidRPr="00BD3A6B">
              <w:rPr>
                <w:bCs/>
                <w:sz w:val="16"/>
              </w:rPr>
              <w:t>35</w:t>
            </w:r>
            <w:r w:rsidRPr="00BD3A6B">
              <w:rPr>
                <w:bCs/>
                <w:sz w:val="16"/>
              </w:rPr>
              <w:t>);</w:t>
            </w:r>
          </w:p>
          <w:p w:rsidRPr="00BD3A6B" w:rsidR="00CA1E7E" w:rsidP="00BD3A6B" w14:paraId="4D961149" w14:textId="77777777">
            <w:pPr>
              <w:jc w:val="center"/>
              <w:rPr>
                <w:sz w:val="16"/>
              </w:rPr>
            </w:pPr>
          </w:p>
          <w:p w:rsidRPr="00BD3A6B" w:rsidR="00CA1E7E" w:rsidP="00BD3A6B" w14:paraId="1121ECDF" w14:textId="77777777">
            <w:pPr>
              <w:jc w:val="center"/>
              <w:rPr>
                <w:sz w:val="16"/>
              </w:rPr>
            </w:pPr>
            <w:r w:rsidRPr="00BD3A6B">
              <w:rPr>
                <w:sz w:val="16"/>
              </w:rPr>
              <w:t xml:space="preserve">Impact of delay on accountability (sanctions avoided – </w:t>
            </w:r>
            <w:r w:rsidRPr="00BD3A6B">
              <w:rPr>
                <w:bCs/>
                <w:sz w:val="16"/>
              </w:rPr>
              <w:t xml:space="preserve">see </w:t>
            </w:r>
            <w:r w:rsidRPr="00BD3A6B">
              <w:rPr>
                <w:bCs/>
                <w:i/>
                <w:iCs/>
                <w:sz w:val="16"/>
              </w:rPr>
              <w:t>Marchuk</w:t>
            </w:r>
            <w:r w:rsidRPr="00BD3A6B">
              <w:rPr>
                <w:bCs/>
                <w:sz w:val="16"/>
              </w:rPr>
              <w:t xml:space="preserve">, cited above, </w:t>
            </w:r>
            <w:r w:rsidRPr="00BD3A6B">
              <w:rPr>
                <w:rFonts w:cstheme="minorHAnsi"/>
                <w:bCs/>
                <w:sz w:val="16"/>
              </w:rPr>
              <w:t>§</w:t>
            </w:r>
            <w:r w:rsidRPr="00BD3A6B">
              <w:rPr>
                <w:bCs/>
                <w:sz w:val="16"/>
              </w:rPr>
              <w:t xml:space="preserve"> 37, and </w:t>
            </w:r>
            <w:r w:rsidRPr="00BD3A6B">
              <w:rPr>
                <w:bCs/>
                <w:i/>
                <w:iCs/>
                <w:sz w:val="16"/>
              </w:rPr>
              <w:t>Zhukov and Zhukova v. Ukraine</w:t>
            </w:r>
            <w:r w:rsidRPr="00BD3A6B">
              <w:rPr>
                <w:bCs/>
                <w:sz w:val="16"/>
              </w:rPr>
              <w:t xml:space="preserve"> [Committee], nos. 60191/16 and foll., § 22, 3 July 2025).</w:t>
            </w:r>
          </w:p>
        </w:tc>
      </w:tr>
      <w:tr w:rsidTr="00F80977" w14:paraId="49203EE4" w14:textId="77777777">
        <w:tblPrEx>
          <w:tblW w:w="13178" w:type="dxa"/>
          <w:tblLook w:val="0420"/>
        </w:tblPrEx>
        <w:tc>
          <w:tcPr>
            <w:tcW w:w="549" w:type="dxa"/>
          </w:tcPr>
          <w:p w:rsidRPr="00BD3A6B" w:rsidR="00CA1E7E" w:rsidP="00BD3A6B" w14:paraId="6840C76A"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BD3A6B" w:rsidR="00CA1E7E" w:rsidP="00BD3A6B" w14:paraId="182F1403" w14:textId="77777777">
            <w:pPr>
              <w:jc w:val="center"/>
              <w:rPr>
                <w:sz w:val="16"/>
              </w:rPr>
            </w:pPr>
            <w:r w:rsidRPr="00BD3A6B">
              <w:rPr>
                <w:sz w:val="16"/>
              </w:rPr>
              <w:t>15510/19</w:t>
            </w:r>
          </w:p>
          <w:p w:rsidRPr="00BD3A6B" w:rsidR="00CA1E7E" w:rsidP="00BD3A6B" w14:paraId="611F7D25" w14:textId="77777777">
            <w:pPr>
              <w:jc w:val="center"/>
              <w:rPr>
                <w:sz w:val="16"/>
              </w:rPr>
            </w:pPr>
            <w:r w:rsidRPr="00BD3A6B">
              <w:rPr>
                <w:sz w:val="16"/>
              </w:rPr>
              <w:t>11/03/2019</w:t>
            </w:r>
          </w:p>
        </w:tc>
        <w:tc>
          <w:tcPr>
            <w:tcW w:w="1328" w:type="dxa"/>
          </w:tcPr>
          <w:p w:rsidRPr="00BD3A6B" w:rsidR="00CA1E7E" w:rsidP="00BD3A6B" w14:paraId="1010EE47" w14:textId="77777777">
            <w:pPr>
              <w:jc w:val="center"/>
              <w:rPr>
                <w:b/>
                <w:sz w:val="16"/>
              </w:rPr>
            </w:pPr>
            <w:r w:rsidRPr="00BD3A6B">
              <w:rPr>
                <w:b/>
                <w:sz w:val="16"/>
              </w:rPr>
              <w:t>Andriy Igorovych ANDRIYENKO</w:t>
            </w:r>
          </w:p>
          <w:p w:rsidRPr="00BD3A6B" w:rsidR="00CA1E7E" w:rsidP="00BD3A6B" w14:paraId="1A7C4AB9" w14:textId="65395BFF">
            <w:pPr>
              <w:jc w:val="center"/>
              <w:rPr>
                <w:b/>
                <w:sz w:val="16"/>
              </w:rPr>
            </w:pPr>
            <w:r w:rsidRPr="00BD3A6B">
              <w:rPr>
                <w:bCs/>
                <w:sz w:val="16"/>
              </w:rPr>
              <w:t>1966</w:t>
            </w:r>
          </w:p>
        </w:tc>
        <w:tc>
          <w:tcPr>
            <w:tcW w:w="1458" w:type="dxa"/>
          </w:tcPr>
          <w:p w:rsidRPr="00BD3A6B" w:rsidR="00CA1E7E" w:rsidP="00BD3A6B" w14:paraId="2D4B4997" w14:textId="77777777">
            <w:pPr>
              <w:jc w:val="center"/>
              <w:rPr>
                <w:sz w:val="16"/>
              </w:rPr>
            </w:pPr>
            <w:r w:rsidRPr="00BD3A6B">
              <w:rPr>
                <w:sz w:val="16"/>
              </w:rPr>
              <w:t>Sergiy Valentynovych KOZHARIN</w:t>
            </w:r>
          </w:p>
          <w:p w:rsidRPr="00BD3A6B" w:rsidR="00CA1E7E" w:rsidP="00BD3A6B" w14:paraId="3C52EA0A" w14:textId="77777777">
            <w:pPr>
              <w:jc w:val="center"/>
              <w:rPr>
                <w:sz w:val="16"/>
              </w:rPr>
            </w:pPr>
            <w:r w:rsidRPr="00BD3A6B">
              <w:rPr>
                <w:sz w:val="16"/>
              </w:rPr>
              <w:t>Kremenchyk</w:t>
            </w:r>
          </w:p>
        </w:tc>
        <w:tc>
          <w:tcPr>
            <w:tcW w:w="6505" w:type="dxa"/>
            <w:gridSpan w:val="2"/>
          </w:tcPr>
          <w:p w:rsidRPr="00BD3A6B" w:rsidR="00CA1E7E" w:rsidP="00BD3A6B" w14:paraId="53E966B6" w14:textId="77777777">
            <w:pPr>
              <w:jc w:val="both"/>
              <w:rPr>
                <w:b/>
                <w:bCs/>
                <w:sz w:val="16"/>
              </w:rPr>
            </w:pPr>
            <w:r w:rsidRPr="00BD3A6B">
              <w:rPr>
                <w:b/>
                <w:bCs/>
                <w:sz w:val="16"/>
              </w:rPr>
              <w:t>Circumstances of the incident</w:t>
            </w:r>
          </w:p>
          <w:p w:rsidRPr="00BD3A6B" w:rsidR="00CA1E7E" w:rsidP="00BD3A6B" w14:paraId="3C162F3B" w14:textId="77777777">
            <w:pPr>
              <w:jc w:val="both"/>
              <w:rPr>
                <w:b/>
                <w:bCs/>
                <w:sz w:val="16"/>
              </w:rPr>
            </w:pPr>
          </w:p>
          <w:p w:rsidRPr="00BD3A6B" w:rsidR="00CA1E7E" w:rsidP="00BD3A6B" w14:paraId="3A1EBF7A" w14:textId="1FCA8DB1">
            <w:pPr>
              <w:jc w:val="both"/>
              <w:rPr>
                <w:sz w:val="16"/>
              </w:rPr>
            </w:pPr>
            <w:r w:rsidRPr="00BD3A6B">
              <w:rPr>
                <w:sz w:val="16"/>
              </w:rPr>
              <w:t>On 2 September 2016 the applicant</w:t>
            </w:r>
            <w:r w:rsidRPr="00BD3A6B" w:rsidR="00BD3A6B">
              <w:rPr>
                <w:sz w:val="16"/>
              </w:rPr>
              <w:t>’</w:t>
            </w:r>
            <w:r w:rsidRPr="00BD3A6B">
              <w:rPr>
                <w:sz w:val="16"/>
              </w:rPr>
              <w:t>s wife died in the Kremenchuk municipal hospital while undergoing inpatient treatment for a cerebrovascular accident. An autopsy was carried out on the next day.</w:t>
            </w:r>
          </w:p>
          <w:p w:rsidRPr="00BD3A6B" w:rsidR="00CA1E7E" w:rsidP="00BD3A6B" w14:paraId="48A48B61" w14:textId="77777777">
            <w:pPr>
              <w:jc w:val="both"/>
              <w:rPr>
                <w:sz w:val="16"/>
              </w:rPr>
            </w:pPr>
          </w:p>
          <w:p w:rsidRPr="00BD3A6B" w:rsidR="00CA1E7E" w:rsidP="00BD3A6B" w14:paraId="6B83DCD4" w14:textId="77777777">
            <w:pPr>
              <w:jc w:val="both"/>
              <w:rPr>
                <w:b/>
                <w:bCs/>
                <w:sz w:val="16"/>
              </w:rPr>
            </w:pPr>
            <w:r w:rsidRPr="00BD3A6B">
              <w:rPr>
                <w:b/>
                <w:bCs/>
                <w:sz w:val="16"/>
              </w:rPr>
              <w:t>Criminal investigation</w:t>
            </w:r>
          </w:p>
          <w:p w:rsidRPr="00BD3A6B" w:rsidR="00CA1E7E" w:rsidP="00BD3A6B" w14:paraId="3CBBB3FE" w14:textId="77777777">
            <w:pPr>
              <w:jc w:val="both"/>
              <w:rPr>
                <w:b/>
                <w:bCs/>
                <w:sz w:val="16"/>
              </w:rPr>
            </w:pPr>
          </w:p>
          <w:p w:rsidRPr="00BD3A6B" w:rsidR="00CA1E7E" w:rsidP="00BD3A6B" w14:paraId="07F4DE3C" w14:textId="3165EBD4">
            <w:pPr>
              <w:jc w:val="both"/>
              <w:rPr>
                <w:sz w:val="16"/>
              </w:rPr>
            </w:pPr>
            <w:r w:rsidRPr="00BD3A6B">
              <w:rPr>
                <w:sz w:val="16"/>
              </w:rPr>
              <w:t>On 14 September 2016 the police launched an investigation into the failure to provide medical aid which had resulted in the applicant</w:t>
            </w:r>
            <w:r w:rsidRPr="00BD3A6B" w:rsidR="00BD3A6B">
              <w:rPr>
                <w:sz w:val="16"/>
              </w:rPr>
              <w:t>’</w:t>
            </w:r>
            <w:r w:rsidRPr="00BD3A6B">
              <w:rPr>
                <w:sz w:val="16"/>
              </w:rPr>
              <w:t>s wife</w:t>
            </w:r>
            <w:r w:rsidRPr="00BD3A6B" w:rsidR="00BD3A6B">
              <w:rPr>
                <w:sz w:val="16"/>
              </w:rPr>
              <w:t>’</w:t>
            </w:r>
            <w:r w:rsidRPr="00BD3A6B">
              <w:rPr>
                <w:sz w:val="16"/>
              </w:rPr>
              <w:t>s death.</w:t>
            </w:r>
          </w:p>
          <w:p w:rsidRPr="00BD3A6B" w:rsidR="00CA1E7E" w:rsidP="00BD3A6B" w14:paraId="57FE57CC" w14:textId="77777777">
            <w:pPr>
              <w:jc w:val="both"/>
              <w:rPr>
                <w:sz w:val="16"/>
              </w:rPr>
            </w:pPr>
            <w:r w:rsidRPr="00BD3A6B">
              <w:rPr>
                <w:sz w:val="16"/>
              </w:rPr>
              <w:t>A forensic medical examination was ordered on 13 December 2016. In March 2017, however, the Poltava Regional Forensic Bureau returned the file as incomplete for the purposes of the expert assessment.</w:t>
            </w:r>
          </w:p>
          <w:p w:rsidRPr="00BD3A6B" w:rsidR="00CA1E7E" w:rsidP="00BD3A6B" w14:paraId="537B0932" w14:textId="7613AF76">
            <w:pPr>
              <w:jc w:val="both"/>
              <w:rPr>
                <w:sz w:val="16"/>
              </w:rPr>
            </w:pPr>
            <w:r w:rsidRPr="00BD3A6B">
              <w:rPr>
                <w:sz w:val="16"/>
              </w:rPr>
              <w:t>Throughout 2017 the applicant repeatedly applied to the prosecution authorities, requesting the institution of investigative measures and complaining about the police investigator</w:t>
            </w:r>
            <w:r w:rsidRPr="00BD3A6B" w:rsidR="00BD3A6B">
              <w:rPr>
                <w:sz w:val="16"/>
              </w:rPr>
              <w:t>’</w:t>
            </w:r>
            <w:r w:rsidRPr="00BD3A6B">
              <w:rPr>
                <w:sz w:val="16"/>
              </w:rPr>
              <w:t>s inaction. He was regularly informed that the investigation was ongoing, that measures were being taken and that supervising authorities had issued instructions to the police investigator.</w:t>
            </w:r>
          </w:p>
          <w:p w:rsidRPr="00BD3A6B" w:rsidR="00CA1E7E" w:rsidP="00BD3A6B" w14:paraId="321CA612" w14:textId="051823F7">
            <w:pPr>
              <w:jc w:val="both"/>
              <w:rPr>
                <w:sz w:val="16"/>
              </w:rPr>
            </w:pPr>
            <w:r w:rsidRPr="00BD3A6B">
              <w:rPr>
                <w:sz w:val="16"/>
              </w:rPr>
              <w:t>In 2017 the police investigator attempted to collect the relevant medical documents and staff duty instructions required for the forensic examination. In summer 2017 the police investigator requested the Poltava Regional Health Department to carry out an internal inquiry into the medical staff</w:t>
            </w:r>
            <w:r w:rsidRPr="00BD3A6B" w:rsidR="00BD3A6B">
              <w:rPr>
                <w:sz w:val="16"/>
              </w:rPr>
              <w:t>’</w:t>
            </w:r>
            <w:r w:rsidRPr="00BD3A6B">
              <w:rPr>
                <w:sz w:val="16"/>
              </w:rPr>
              <w:t>s actions. That inquiry, completed in autumn 2017, found no breaches in the treatment provided to the applicant</w:t>
            </w:r>
            <w:r w:rsidRPr="00BD3A6B" w:rsidR="00BD3A6B">
              <w:rPr>
                <w:sz w:val="16"/>
              </w:rPr>
              <w:t>’</w:t>
            </w:r>
            <w:r w:rsidRPr="00BD3A6B">
              <w:rPr>
                <w:sz w:val="16"/>
              </w:rPr>
              <w:t>s wife.</w:t>
            </w:r>
          </w:p>
          <w:p w:rsidRPr="00BD3A6B" w:rsidR="00CA1E7E" w:rsidP="00BD3A6B" w14:paraId="101BD164" w14:textId="77777777">
            <w:pPr>
              <w:jc w:val="both"/>
              <w:rPr>
                <w:sz w:val="16"/>
              </w:rPr>
            </w:pPr>
            <w:r w:rsidRPr="00BD3A6B">
              <w:rPr>
                <w:sz w:val="16"/>
              </w:rPr>
              <w:t>On 26 October 2017 criminal proceedings were opened against the police investigator for dereliction of duty. After several remittals, those proceedings were discontinued on 30 November 2020 for lack of constituent elements of a crime.</w:t>
            </w:r>
          </w:p>
          <w:p w:rsidRPr="00BD3A6B" w:rsidR="00CA1E7E" w:rsidP="00BD3A6B" w14:paraId="163C9C6F" w14:textId="4B44027F">
            <w:pPr>
              <w:jc w:val="both"/>
              <w:rPr>
                <w:sz w:val="16"/>
              </w:rPr>
            </w:pPr>
            <w:r w:rsidRPr="00BD3A6B">
              <w:rPr>
                <w:sz w:val="16"/>
              </w:rPr>
              <w:t>On 22 November 2017 a forensic medical examination was ordered again and assigned to the Poltava Regional Forensic Bureau. On 22 January 2018 the examination was completed and the Poltava Regional Forensic Bureau concluded that there had been no breaches in hospitalisation or treatment and that the applicant</w:t>
            </w:r>
            <w:r w:rsidRPr="00BD3A6B" w:rsidR="00BD3A6B">
              <w:rPr>
                <w:sz w:val="16"/>
              </w:rPr>
              <w:t>’</w:t>
            </w:r>
            <w:r w:rsidRPr="00BD3A6B">
              <w:rPr>
                <w:sz w:val="16"/>
              </w:rPr>
              <w:t>s wife had died from an advanced, irreversible blood disease, which had been diagnosed in 2006.</w:t>
            </w:r>
          </w:p>
          <w:p w:rsidRPr="00BD3A6B" w:rsidR="00CA1E7E" w:rsidP="00BD3A6B" w14:paraId="2E49FD28" w14:textId="7CB09BA1">
            <w:pPr>
              <w:jc w:val="both"/>
              <w:rPr>
                <w:sz w:val="16"/>
              </w:rPr>
            </w:pPr>
            <w:r w:rsidRPr="00BD3A6B">
              <w:rPr>
                <w:sz w:val="16"/>
              </w:rPr>
              <w:t>On 16 May 2018, on the applicant</w:t>
            </w:r>
            <w:r w:rsidRPr="00BD3A6B" w:rsidR="00BD3A6B">
              <w:rPr>
                <w:sz w:val="16"/>
              </w:rPr>
              <w:t>’</w:t>
            </w:r>
            <w:r w:rsidRPr="00BD3A6B">
              <w:rPr>
                <w:sz w:val="16"/>
              </w:rPr>
              <w:t xml:space="preserve">s request, another forensic medical examination was ordered from the Main Bureau of Forensic Medical Examinations at the Ministry of Health. </w:t>
            </w:r>
            <w:r w:rsidRPr="00BD3A6B">
              <w:rPr>
                <w:sz w:val="16"/>
              </w:rPr>
              <w:t>On account of</w:t>
            </w:r>
            <w:r w:rsidRPr="00BD3A6B">
              <w:rPr>
                <w:sz w:val="16"/>
              </w:rPr>
              <w:t xml:space="preserve"> a heavy workload, it was scheduled to be finalised in 2020. However, as of December 2020 both the forensic examination and the criminal investigation were still pending.</w:t>
            </w:r>
          </w:p>
          <w:p w:rsidRPr="00BD3A6B" w:rsidR="00CA1E7E" w:rsidP="00BD3A6B" w14:paraId="6781AF29" w14:textId="77777777">
            <w:pPr>
              <w:jc w:val="both"/>
              <w:rPr>
                <w:sz w:val="16"/>
                <w:lang w:val="fr-FR"/>
              </w:rPr>
            </w:pPr>
            <w:r>
              <w:rPr>
                <w:rFonts w:eastAsiaTheme="minorEastAsia"/>
                <w:kern w:val="2"/>
                <w:sz w:val="16"/>
                <w:lang w:val="fr-FR" w:eastAsia="fr-FR"/>
                <w14:ligatures w14:val="standardContextual"/>
              </w:rPr>
              <w:pict>
                <v:rect id="_x0000_i1025" style="width:0;height:1.5pt" o:hr="t" o:hrstd="t" o:hralign="center" fillcolor="#a0a0a0" stroked="f"/>
              </w:pict>
            </w:r>
          </w:p>
          <w:p w:rsidRPr="00BD3A6B" w:rsidR="00CA1E7E" w:rsidP="00BD3A6B" w14:paraId="7529AA9B" w14:textId="77777777">
            <w:pPr>
              <w:jc w:val="both"/>
              <w:rPr>
                <w:sz w:val="16"/>
              </w:rPr>
            </w:pPr>
          </w:p>
        </w:tc>
        <w:tc>
          <w:tcPr>
            <w:tcW w:w="2268" w:type="dxa"/>
          </w:tcPr>
          <w:p w:rsidRPr="00BD3A6B" w:rsidR="00CA1E7E" w:rsidP="00BD3A6B" w14:paraId="5A830008" w14:textId="2476AD67">
            <w:pPr>
              <w:spacing w:before="120"/>
              <w:jc w:val="center"/>
              <w:rPr>
                <w:sz w:val="16"/>
              </w:rPr>
            </w:pPr>
            <w:r w:rsidRPr="00BD3A6B">
              <w:rPr>
                <w:sz w:val="16"/>
              </w:rPr>
              <w:t xml:space="preserve">Excessive delay and lack of diligence (see </w:t>
            </w:r>
            <w:r w:rsidRPr="00BD3A6B">
              <w:rPr>
                <w:i/>
                <w:iCs/>
                <w:sz w:val="16"/>
              </w:rPr>
              <w:t>Arskaya v.</w:t>
            </w:r>
            <w:r w:rsidRPr="00BD3A6B" w:rsidR="00853556">
              <w:rPr>
                <w:i/>
                <w:iCs/>
                <w:sz w:val="16"/>
              </w:rPr>
              <w:t> </w:t>
            </w:r>
            <w:r w:rsidRPr="00BD3A6B">
              <w:rPr>
                <w:i/>
                <w:iCs/>
                <w:sz w:val="16"/>
              </w:rPr>
              <w:t>Ukraine</w:t>
            </w:r>
            <w:r w:rsidRPr="00BD3A6B">
              <w:rPr>
                <w:sz w:val="16"/>
              </w:rPr>
              <w:t xml:space="preserve">, no. 45076/05, § 72, 5 December 2013; </w:t>
            </w:r>
            <w:r w:rsidRPr="00BD3A6B">
              <w:rPr>
                <w:i/>
                <w:iCs/>
                <w:sz w:val="16"/>
              </w:rPr>
              <w:t>Valeriy Fuklev v. Ukraine</w:t>
            </w:r>
            <w:r w:rsidRPr="00BD3A6B">
              <w:rPr>
                <w:sz w:val="16"/>
              </w:rPr>
              <w:t xml:space="preserve">, no. 6318/03, §§ 75-76, 16 January 2014; </w:t>
            </w:r>
            <w:r w:rsidRPr="00BD3A6B">
              <w:rPr>
                <w:i/>
                <w:iCs/>
                <w:sz w:val="16"/>
              </w:rPr>
              <w:t>Marchuk v. Ukraine</w:t>
            </w:r>
            <w:r w:rsidRPr="00BD3A6B">
              <w:rPr>
                <w:sz w:val="16"/>
              </w:rPr>
              <w:t xml:space="preserve"> </w:t>
            </w:r>
            <w:r w:rsidRPr="00BD3A6B">
              <w:rPr>
                <w:bCs/>
                <w:sz w:val="16"/>
              </w:rPr>
              <w:t>[Committee]</w:t>
            </w:r>
            <w:r w:rsidRPr="00BD3A6B">
              <w:rPr>
                <w:sz w:val="16"/>
              </w:rPr>
              <w:t xml:space="preserve">, no. 65663/12, </w:t>
            </w:r>
            <w:r w:rsidRPr="00BD3A6B">
              <w:rPr>
                <w:rFonts w:cstheme="minorHAnsi"/>
                <w:sz w:val="16"/>
              </w:rPr>
              <w:t>§§</w:t>
            </w:r>
            <w:r w:rsidRPr="00BD3A6B" w:rsidR="00853556">
              <w:rPr>
                <w:rFonts w:cstheme="minorHAnsi"/>
                <w:sz w:val="16"/>
              </w:rPr>
              <w:t> </w:t>
            </w:r>
            <w:r w:rsidRPr="00BD3A6B">
              <w:rPr>
                <w:sz w:val="16"/>
              </w:rPr>
              <w:t xml:space="preserve">35 and 37, 28 July 2016; and </w:t>
            </w:r>
            <w:r w:rsidRPr="00BD3A6B">
              <w:rPr>
                <w:i/>
                <w:iCs/>
                <w:sz w:val="16"/>
              </w:rPr>
              <w:t>Tretyakova v. Ukraine</w:t>
            </w:r>
            <w:r w:rsidRPr="00BD3A6B">
              <w:rPr>
                <w:sz w:val="16"/>
              </w:rPr>
              <w:t xml:space="preserve"> [Committee], no. 63126/13, </w:t>
            </w:r>
            <w:r w:rsidRPr="00BD3A6B">
              <w:rPr>
                <w:rFonts w:cstheme="minorHAnsi"/>
                <w:sz w:val="16"/>
              </w:rPr>
              <w:t>§§</w:t>
            </w:r>
            <w:r w:rsidRPr="00BD3A6B" w:rsidR="00853556">
              <w:rPr>
                <w:rFonts w:cstheme="minorHAnsi"/>
                <w:sz w:val="16"/>
              </w:rPr>
              <w:t> </w:t>
            </w:r>
            <w:r w:rsidRPr="00BD3A6B">
              <w:rPr>
                <w:rFonts w:cstheme="minorHAnsi"/>
                <w:sz w:val="16"/>
              </w:rPr>
              <w:t>31-</w:t>
            </w:r>
            <w:r w:rsidRPr="00BD3A6B">
              <w:rPr>
                <w:sz w:val="16"/>
              </w:rPr>
              <w:t>33, 4 November 2021</w:t>
            </w:r>
            <w:r w:rsidRPr="00BD3A6B">
              <w:rPr>
                <w:sz w:val="16"/>
              </w:rPr>
              <w:t>);</w:t>
            </w:r>
          </w:p>
          <w:p w:rsidRPr="00BD3A6B" w:rsidR="00CA1E7E" w:rsidP="00BD3A6B" w14:paraId="6EA51955" w14:textId="77777777">
            <w:pPr>
              <w:jc w:val="center"/>
              <w:rPr>
                <w:sz w:val="16"/>
              </w:rPr>
            </w:pPr>
          </w:p>
          <w:p w:rsidRPr="00BD3A6B" w:rsidR="00CA1E7E" w:rsidP="00BD3A6B" w14:paraId="4EC9B755" w14:textId="77777777">
            <w:pPr>
              <w:jc w:val="center"/>
              <w:rPr>
                <w:sz w:val="16"/>
              </w:rPr>
            </w:pPr>
            <w:r w:rsidRPr="00BD3A6B">
              <w:rPr>
                <w:sz w:val="16"/>
              </w:rPr>
              <w:t xml:space="preserve">Remittals of the case in the light of the shortcomings in the investigation (see </w:t>
            </w:r>
            <w:r w:rsidRPr="00BD3A6B">
              <w:rPr>
                <w:i/>
                <w:iCs/>
                <w:sz w:val="16"/>
              </w:rPr>
              <w:t>Arskaya</w:t>
            </w:r>
            <w:r w:rsidRPr="00BD3A6B">
              <w:rPr>
                <w:sz w:val="16"/>
              </w:rPr>
              <w:t xml:space="preserve">, cited above, § 72, and </w:t>
            </w:r>
            <w:r w:rsidRPr="00BD3A6B">
              <w:rPr>
                <w:i/>
                <w:iCs/>
                <w:sz w:val="16"/>
              </w:rPr>
              <w:t>Valeriy Fuklev</w:t>
            </w:r>
            <w:r w:rsidRPr="00BD3A6B">
              <w:rPr>
                <w:sz w:val="16"/>
              </w:rPr>
              <w:t>, cited above, §§ 74-75</w:t>
            </w:r>
            <w:r w:rsidRPr="00BD3A6B">
              <w:rPr>
                <w:sz w:val="16"/>
              </w:rPr>
              <w:t>);</w:t>
            </w:r>
          </w:p>
          <w:p w:rsidRPr="00BD3A6B" w:rsidR="00CA1E7E" w:rsidP="00BD3A6B" w14:paraId="2B8B0F9F" w14:textId="77777777">
            <w:pPr>
              <w:rPr>
                <w:sz w:val="16"/>
              </w:rPr>
            </w:pPr>
          </w:p>
          <w:p w:rsidRPr="00BD3A6B" w:rsidR="00CA1E7E" w:rsidP="00BD3A6B" w14:paraId="10E31524" w14:textId="3655ADC0">
            <w:pPr>
              <w:jc w:val="center"/>
              <w:rPr>
                <w:sz w:val="16"/>
              </w:rPr>
            </w:pPr>
            <w:r w:rsidRPr="00BD3A6B">
              <w:rPr>
                <w:sz w:val="16"/>
              </w:rPr>
              <w:t xml:space="preserve">Loss of medical documentation or other omissions undermining the principle of a thorough examination of the case (see </w:t>
            </w:r>
            <w:r w:rsidRPr="00BD3A6B">
              <w:rPr>
                <w:i/>
                <w:iCs/>
                <w:sz w:val="16"/>
              </w:rPr>
              <w:t>Arskaya</w:t>
            </w:r>
            <w:r w:rsidRPr="00BD3A6B">
              <w:rPr>
                <w:sz w:val="16"/>
              </w:rPr>
              <w:t>, cited above, §</w:t>
            </w:r>
            <w:r w:rsidRPr="00BD3A6B" w:rsidR="00955456">
              <w:rPr>
                <w:sz w:val="16"/>
              </w:rPr>
              <w:t> </w:t>
            </w:r>
            <w:r w:rsidRPr="00BD3A6B">
              <w:rPr>
                <w:sz w:val="16"/>
              </w:rPr>
              <w:t xml:space="preserve">72; </w:t>
            </w:r>
            <w:r w:rsidRPr="00BD3A6B">
              <w:rPr>
                <w:i/>
                <w:iCs/>
                <w:sz w:val="16"/>
              </w:rPr>
              <w:t>Nina Kutsenko v. Ukraine</w:t>
            </w:r>
            <w:r w:rsidRPr="00BD3A6B">
              <w:rPr>
                <w:sz w:val="16"/>
              </w:rPr>
              <w:t>, no. 25114/11, § 162, 18</w:t>
            </w:r>
            <w:r w:rsidRPr="00BD3A6B" w:rsidR="00955456">
              <w:rPr>
                <w:sz w:val="16"/>
              </w:rPr>
              <w:t> </w:t>
            </w:r>
            <w:r w:rsidRPr="00BD3A6B">
              <w:rPr>
                <w:sz w:val="16"/>
              </w:rPr>
              <w:t xml:space="preserve">July 2017; and </w:t>
            </w:r>
            <w:r w:rsidRPr="00BD3A6B">
              <w:rPr>
                <w:i/>
                <w:iCs/>
                <w:sz w:val="16"/>
              </w:rPr>
              <w:t>Tretyakova</w:t>
            </w:r>
            <w:r w:rsidRPr="00BD3A6B">
              <w:rPr>
                <w:sz w:val="16"/>
              </w:rPr>
              <w:t>, cited above, § 32</w:t>
            </w:r>
            <w:r w:rsidRPr="00BD3A6B">
              <w:rPr>
                <w:sz w:val="16"/>
              </w:rPr>
              <w:t>);</w:t>
            </w:r>
          </w:p>
          <w:p w:rsidRPr="00BD3A6B" w:rsidR="00CA1E7E" w:rsidP="00BD3A6B" w14:paraId="72AEB967" w14:textId="77777777">
            <w:pPr>
              <w:jc w:val="center"/>
              <w:rPr>
                <w:sz w:val="16"/>
              </w:rPr>
            </w:pPr>
          </w:p>
          <w:p w:rsidRPr="00BD3A6B" w:rsidR="00CA1E7E" w:rsidP="00BD3A6B" w14:paraId="340B8E84" w14:textId="23C30B90">
            <w:pPr>
              <w:jc w:val="center"/>
              <w:rPr>
                <w:b/>
                <w:bCs/>
                <w:sz w:val="16"/>
              </w:rPr>
            </w:pPr>
            <w:r w:rsidRPr="00BD3A6B">
              <w:rPr>
                <w:sz w:val="16"/>
              </w:rPr>
              <w:t xml:space="preserve">Investigation criticised by the national authorities themselves for lack of efficiency (see </w:t>
            </w:r>
            <w:r w:rsidRPr="00BD3A6B">
              <w:rPr>
                <w:i/>
                <w:iCs/>
                <w:sz w:val="16"/>
              </w:rPr>
              <w:t>Marchuk</w:t>
            </w:r>
            <w:r w:rsidRPr="00BD3A6B">
              <w:rPr>
                <w:sz w:val="16"/>
              </w:rPr>
              <w:t xml:space="preserve">, cited above, </w:t>
            </w:r>
            <w:r w:rsidRPr="00BD3A6B">
              <w:rPr>
                <w:rFonts w:cstheme="minorHAnsi"/>
                <w:sz w:val="16"/>
              </w:rPr>
              <w:t>§</w:t>
            </w:r>
            <w:r w:rsidRPr="00BD3A6B" w:rsidR="00955456">
              <w:rPr>
                <w:rFonts w:cstheme="minorHAnsi"/>
                <w:sz w:val="16"/>
              </w:rPr>
              <w:t> </w:t>
            </w:r>
            <w:r w:rsidRPr="00BD3A6B">
              <w:rPr>
                <w:sz w:val="16"/>
              </w:rPr>
              <w:t>35).</w:t>
            </w:r>
          </w:p>
          <w:p w:rsidRPr="00BD3A6B" w:rsidR="00CA1E7E" w:rsidP="00BD3A6B" w14:paraId="25FF2AF8" w14:textId="77777777">
            <w:pPr>
              <w:jc w:val="center"/>
              <w:rPr>
                <w:sz w:val="16"/>
              </w:rPr>
            </w:pPr>
          </w:p>
        </w:tc>
      </w:tr>
      <w:tr w:rsidTr="00F80977" w14:paraId="6E4306CD" w14:textId="77777777">
        <w:tblPrEx>
          <w:tblW w:w="13178" w:type="dxa"/>
          <w:tblLook w:val="0420"/>
        </w:tblPrEx>
        <w:tc>
          <w:tcPr>
            <w:tcW w:w="13178" w:type="dxa"/>
            <w:gridSpan w:val="7"/>
            <w:shd w:val="clear" w:color="auto" w:fill="DFDFDF" w:themeFill="background2" w:themeFillShade="E6"/>
          </w:tcPr>
          <w:p w:rsidRPr="00BD3A6B" w:rsidR="00CA1E7E" w:rsidP="00BD3A6B" w14:paraId="75197FA6" w14:textId="77777777">
            <w:pPr>
              <w:jc w:val="center"/>
              <w:rPr>
                <w:b/>
                <w:bCs/>
                <w:sz w:val="16"/>
              </w:rPr>
            </w:pPr>
            <w:r w:rsidRPr="00BD3A6B">
              <w:rPr>
                <w:b/>
                <w:bCs/>
                <w:sz w:val="16"/>
              </w:rPr>
              <w:t>Just satisfaction</w:t>
            </w:r>
          </w:p>
        </w:tc>
      </w:tr>
      <w:tr w:rsidTr="00F80977" w14:paraId="53C6EFD2" w14:textId="77777777">
        <w:tblPrEx>
          <w:tblW w:w="13178" w:type="dxa"/>
          <w:tblLook w:val="0420"/>
        </w:tblPrEx>
        <w:tc>
          <w:tcPr>
            <w:tcW w:w="6589" w:type="dxa"/>
            <w:gridSpan w:val="5"/>
            <w:shd w:val="clear" w:color="auto" w:fill="DFDFDF" w:themeFill="background2" w:themeFillShade="E6"/>
          </w:tcPr>
          <w:p w:rsidRPr="00BD3A6B" w:rsidR="00CA1E7E" w:rsidP="00BD3A6B" w14:paraId="1C68DE49" w14:textId="652F9111">
            <w:pPr>
              <w:jc w:val="center"/>
              <w:rPr>
                <w:b/>
                <w:bCs/>
                <w:sz w:val="16"/>
              </w:rPr>
            </w:pPr>
            <w:r w:rsidRPr="00BD3A6B">
              <w:rPr>
                <w:b/>
                <w:bCs/>
                <w:sz w:val="16"/>
              </w:rPr>
              <w:t>Applicant</w:t>
            </w:r>
            <w:r w:rsidRPr="00BD3A6B" w:rsidR="00BD3A6B">
              <w:rPr>
                <w:b/>
                <w:bCs/>
                <w:sz w:val="16"/>
              </w:rPr>
              <w:t>’</w:t>
            </w:r>
            <w:r w:rsidRPr="00BD3A6B">
              <w:rPr>
                <w:b/>
                <w:bCs/>
                <w:sz w:val="16"/>
              </w:rPr>
              <w:t>s claims for just satisfaction</w:t>
            </w:r>
          </w:p>
        </w:tc>
        <w:tc>
          <w:tcPr>
            <w:tcW w:w="6589" w:type="dxa"/>
            <w:gridSpan w:val="2"/>
            <w:shd w:val="clear" w:color="auto" w:fill="DFDFDF" w:themeFill="background2" w:themeFillShade="E6"/>
          </w:tcPr>
          <w:p w:rsidRPr="00BD3A6B" w:rsidR="00CA1E7E" w:rsidP="00BD3A6B" w14:paraId="7E245B13" w14:textId="7C820055">
            <w:pPr>
              <w:jc w:val="center"/>
              <w:rPr>
                <w:b/>
                <w:bCs/>
                <w:sz w:val="16"/>
              </w:rPr>
            </w:pPr>
            <w:r w:rsidRPr="00BD3A6B">
              <w:rPr>
                <w:b/>
                <w:bCs/>
                <w:sz w:val="16"/>
              </w:rPr>
              <w:t>Court</w:t>
            </w:r>
            <w:r w:rsidRPr="00BD3A6B" w:rsidR="00BD3A6B">
              <w:rPr>
                <w:b/>
                <w:bCs/>
                <w:sz w:val="16"/>
              </w:rPr>
              <w:t>’</w:t>
            </w:r>
            <w:r w:rsidRPr="00BD3A6B">
              <w:rPr>
                <w:b/>
                <w:bCs/>
                <w:sz w:val="16"/>
              </w:rPr>
              <w:t>s award</w:t>
            </w:r>
          </w:p>
        </w:tc>
      </w:tr>
      <w:tr w:rsidTr="00F80977" w14:paraId="31AE4DF5" w14:textId="77777777">
        <w:tblPrEx>
          <w:tblW w:w="13178" w:type="dxa"/>
          <w:tblLook w:val="0420"/>
        </w:tblPrEx>
        <w:tc>
          <w:tcPr>
            <w:tcW w:w="6589" w:type="dxa"/>
            <w:gridSpan w:val="5"/>
          </w:tcPr>
          <w:p w:rsidRPr="00BD3A6B" w:rsidR="00CA1E7E" w:rsidP="00BD3A6B" w14:paraId="11EB3850" w14:textId="77777777">
            <w:pPr>
              <w:jc w:val="both"/>
              <w:rPr>
                <w:b/>
                <w:sz w:val="16"/>
              </w:rPr>
            </w:pPr>
            <w:r w:rsidRPr="00BD3A6B">
              <w:rPr>
                <w:b/>
                <w:sz w:val="16"/>
              </w:rPr>
              <w:t>Non-pecuniary damage:</w:t>
            </w:r>
          </w:p>
          <w:p w:rsidRPr="00BD3A6B" w:rsidR="00CA1E7E" w:rsidP="00BD3A6B" w14:paraId="07DC138E" w14:textId="77777777">
            <w:pPr>
              <w:pStyle w:val="ListParagraph"/>
              <w:numPr>
                <w:ilvl w:val="0"/>
                <w:numId w:val="28"/>
              </w:numPr>
              <w:jc w:val="both"/>
              <w:rPr>
                <w:bCs/>
                <w:sz w:val="16"/>
              </w:rPr>
            </w:pPr>
            <w:r w:rsidRPr="00BD3A6B">
              <w:rPr>
                <w:bCs/>
                <w:sz w:val="16"/>
              </w:rPr>
              <w:t>5,000 euros (EUR).</w:t>
            </w:r>
          </w:p>
          <w:p w:rsidRPr="00BD3A6B" w:rsidR="00CA1E7E" w:rsidP="00BD3A6B" w14:paraId="20E6F4CC" w14:textId="77777777">
            <w:pPr>
              <w:pStyle w:val="ListParagraph"/>
              <w:ind w:left="116"/>
              <w:jc w:val="both"/>
              <w:rPr>
                <w:bCs/>
                <w:sz w:val="16"/>
              </w:rPr>
            </w:pPr>
          </w:p>
          <w:p w:rsidRPr="00BD3A6B" w:rsidR="00CA1E7E" w:rsidP="00BD3A6B" w14:paraId="5749F127" w14:textId="77777777">
            <w:pPr>
              <w:jc w:val="both"/>
              <w:rPr>
                <w:b/>
                <w:sz w:val="16"/>
              </w:rPr>
            </w:pPr>
            <w:r w:rsidRPr="00BD3A6B">
              <w:rPr>
                <w:b/>
                <w:sz w:val="16"/>
              </w:rPr>
              <w:t>Costs and expenses:</w:t>
            </w:r>
          </w:p>
          <w:p w:rsidRPr="00BD3A6B" w:rsidR="00CA1E7E" w:rsidP="00BD3A6B" w14:paraId="4AB5441A" w14:textId="77777777">
            <w:pPr>
              <w:pStyle w:val="ListParagraph"/>
              <w:numPr>
                <w:ilvl w:val="0"/>
                <w:numId w:val="26"/>
              </w:numPr>
              <w:jc w:val="both"/>
              <w:rPr>
                <w:bCs/>
                <w:sz w:val="16"/>
              </w:rPr>
            </w:pPr>
            <w:r w:rsidRPr="00BD3A6B">
              <w:rPr>
                <w:bCs/>
                <w:sz w:val="16"/>
              </w:rPr>
              <w:t xml:space="preserve">EUR 25 for postal and translation </w:t>
            </w:r>
            <w:r w:rsidRPr="00BD3A6B">
              <w:rPr>
                <w:bCs/>
                <w:sz w:val="16"/>
              </w:rPr>
              <w:t>expenses;</w:t>
            </w:r>
          </w:p>
          <w:p w:rsidRPr="00BD3A6B" w:rsidR="00CA1E7E" w:rsidP="00BD3A6B" w14:paraId="2702789B" w14:textId="77777777">
            <w:pPr>
              <w:pStyle w:val="ListParagraph"/>
              <w:numPr>
                <w:ilvl w:val="0"/>
                <w:numId w:val="27"/>
              </w:numPr>
              <w:jc w:val="both"/>
              <w:rPr>
                <w:bCs/>
                <w:sz w:val="16"/>
              </w:rPr>
            </w:pPr>
            <w:r w:rsidRPr="00BD3A6B">
              <w:rPr>
                <w:bCs/>
                <w:sz w:val="16"/>
              </w:rPr>
              <w:t>EUR 598 for legal costs.</w:t>
            </w:r>
          </w:p>
          <w:p w:rsidRPr="00BD3A6B" w:rsidR="00CA1E7E" w:rsidP="00BD3A6B" w14:paraId="4BDC546D" w14:textId="77777777">
            <w:pPr>
              <w:jc w:val="both"/>
              <w:rPr>
                <w:b/>
                <w:bCs/>
                <w:sz w:val="16"/>
              </w:rPr>
            </w:pPr>
          </w:p>
        </w:tc>
        <w:tc>
          <w:tcPr>
            <w:tcW w:w="6589" w:type="dxa"/>
            <w:gridSpan w:val="2"/>
          </w:tcPr>
          <w:p w:rsidRPr="00BD3A6B" w:rsidR="00CA1E7E" w:rsidP="00BD3A6B" w14:paraId="5E9FC26C" w14:textId="77777777">
            <w:pPr>
              <w:jc w:val="both"/>
              <w:rPr>
                <w:b/>
                <w:bCs/>
                <w:sz w:val="16"/>
              </w:rPr>
            </w:pPr>
            <w:r w:rsidRPr="00BD3A6B">
              <w:rPr>
                <w:b/>
                <w:bCs/>
                <w:sz w:val="16"/>
              </w:rPr>
              <w:t>Non-pecuniary damage:</w:t>
            </w:r>
          </w:p>
          <w:p w:rsidRPr="00BD3A6B" w:rsidR="00CA1E7E" w:rsidP="00BD3A6B" w14:paraId="7A6D4879" w14:textId="77777777">
            <w:pPr>
              <w:jc w:val="both"/>
              <w:rPr>
                <w:sz w:val="16"/>
              </w:rPr>
            </w:pPr>
            <w:r w:rsidRPr="00BD3A6B">
              <w:rPr>
                <w:sz w:val="16"/>
              </w:rPr>
              <w:t>EUR 5,000</w:t>
            </w:r>
          </w:p>
          <w:p w:rsidRPr="00BD3A6B" w:rsidR="00CA1E7E" w:rsidP="00BD3A6B" w14:paraId="4044D9F2" w14:textId="11F18AFA">
            <w:pPr>
              <w:jc w:val="both"/>
              <w:rPr>
                <w:sz w:val="16"/>
              </w:rPr>
            </w:pPr>
          </w:p>
          <w:p w:rsidRPr="00BD3A6B" w:rsidR="00CA1E7E" w:rsidP="00BD3A6B" w14:paraId="2C69E558" w14:textId="77777777">
            <w:pPr>
              <w:jc w:val="both"/>
              <w:rPr>
                <w:b/>
                <w:bCs/>
                <w:sz w:val="16"/>
              </w:rPr>
            </w:pPr>
            <w:r w:rsidRPr="00BD3A6B">
              <w:rPr>
                <w:b/>
                <w:bCs/>
                <w:sz w:val="16"/>
              </w:rPr>
              <w:t>Costs and expenses:</w:t>
            </w:r>
          </w:p>
          <w:p w:rsidRPr="00BD3A6B" w:rsidR="00CA1E7E" w:rsidP="00BD3A6B" w14:paraId="75901EEE" w14:textId="77777777">
            <w:pPr>
              <w:jc w:val="both"/>
              <w:rPr>
                <w:sz w:val="16"/>
              </w:rPr>
            </w:pPr>
            <w:r w:rsidRPr="00BD3A6B">
              <w:rPr>
                <w:sz w:val="16"/>
              </w:rPr>
              <w:t>EUR 250</w:t>
            </w:r>
          </w:p>
          <w:p w:rsidRPr="00BD3A6B" w:rsidR="00CA1E7E" w:rsidP="00BD3A6B" w14:paraId="34FF98FB" w14:textId="77777777">
            <w:pPr>
              <w:jc w:val="both"/>
              <w:rPr>
                <w:sz w:val="16"/>
              </w:rPr>
            </w:pPr>
          </w:p>
          <w:p w:rsidRPr="00BD3A6B" w:rsidR="00CA1E7E" w:rsidP="00BD3A6B" w14:paraId="4C9CAD39" w14:textId="77777777">
            <w:pPr>
              <w:jc w:val="both"/>
              <w:rPr>
                <w:b/>
                <w:bCs/>
                <w:sz w:val="16"/>
              </w:rPr>
            </w:pPr>
            <w:r w:rsidRPr="00BD3A6B">
              <w:rPr>
                <w:sz w:val="16"/>
              </w:rPr>
              <w:t>plus</w:t>
            </w:r>
            <w:r w:rsidRPr="00BD3A6B">
              <w:rPr>
                <w:sz w:val="16"/>
              </w:rPr>
              <w:t xml:space="preserve"> any tax chargeable to the applicant on the above amounts.</w:t>
            </w:r>
          </w:p>
        </w:tc>
      </w:tr>
    </w:tbl>
    <w:p w:rsidRPr="00BD3A6B" w:rsidR="00182EBA" w:rsidP="00BD3A6B" w14:paraId="36372E7B" w14:textId="15822E16"/>
    <w:sectPr w:rsidSect="008D5CF3">
      <w:headerReference w:type="even" r:id="rId13"/>
      <w:headerReference w:type="default" r:id="rId14"/>
      <w:footerReference w:type="even" r:id="rId15"/>
      <w:footerReference w:type="default" r:id="rId16"/>
      <w:footnotePr>
        <w:numRestart w:val="eachSect"/>
      </w:footnotePr>
      <w:pgSz w:w="16838" w:h="11906" w:orient="landscape"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A1E7E" w:rsidRPr="00150BFA" w:rsidP="0020718E" w14:paraId="34335C38" w14:textId="4E969FD9">
    <w:pPr>
      <w:jc w:val="center"/>
    </w:pPr>
    <w:r>
      <w:rPr>
        <w:noProof/>
        <w:lang w:val="en-US"/>
      </w:rPr>
      <w:drawing>
        <wp:inline distT="0" distB="0" distL="0" distR="0">
          <wp:extent cx="771525" cy="619125"/>
          <wp:effectExtent l="0" t="0" r="9525" b="9525"/>
          <wp:docPr id="1848530357" name="Picture 184853035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530357"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CA1E7E" w:rsidP="00AF12C5" w14:paraId="3562649E" w14:textId="2E31FBD3">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A1E7E" w:rsidRPr="00150BFA" w:rsidP="0020718E" w14:paraId="64F817D1" w14:textId="407C0752">
    <w:pPr>
      <w:jc w:val="center"/>
    </w:pPr>
    <w:r>
      <w:rPr>
        <w:noProof/>
        <w:lang w:val="en-US"/>
      </w:rPr>
      <w:drawing>
        <wp:inline distT="0" distB="0" distL="0" distR="0">
          <wp:extent cx="771525" cy="619125"/>
          <wp:effectExtent l="0" t="0" r="9525" b="9525"/>
          <wp:docPr id="1420422898" name="Picture 142042289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422898"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CA1E7E" w:rsidP="009E7A6F" w14:paraId="4BDE614D" w14:textId="033FC52D">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A1E7E" w:rsidP="009A115C" w14:paraId="654BDFCA" w14:textId="5DCD4D88">
    <w:pPr>
      <w:pStyle w:val="JuHeader"/>
    </w:pPr>
    <w:r>
      <w:fldChar w:fldCharType="begin"/>
    </w:r>
    <w:r>
      <w:instrText xml:space="preserve"> PAGE  \* MERGEFORMAT </w:instrText>
    </w:r>
    <w:r>
      <w:fldChar w:fldCharType="separate"/>
    </w:r>
    <w:r>
      <w:rPr>
        <w:noProof/>
      </w:rPr>
      <w:t>2</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A1E7E" w:rsidRPr="000B7195" w:rsidP="007D3701" w14:paraId="4FFE7A51" w14:textId="13828A58">
    <w:pPr>
      <w:pStyle w:val="JuHeader"/>
    </w:pPr>
    <w:r>
      <w:fldChar w:fldCharType="begin"/>
    </w:r>
    <w:r>
      <w:instrText xml:space="preserve"> PAGE  \* MERGEFORMAT </w:instrText>
    </w:r>
    <w:r>
      <w:fldChar w:fldCharType="separate"/>
    </w:r>
    <w:r>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1253B82F" w14:textId="4F5CE4B6">
    <w:pPr>
      <w:pStyle w:val="JuHeader"/>
    </w:pPr>
    <w:r>
      <w:fldChar w:fldCharType="begin"/>
    </w:r>
    <w:r>
      <w:instrText xml:space="preserve"> PAGE  \* MERGEFORMAT </w:instrText>
    </w:r>
    <w:r>
      <w:fldChar w:fldCharType="separate"/>
    </w:r>
    <w:r>
      <w:rPr>
        <w:noProof/>
      </w:rPr>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5E1A8298" w14:textId="6D58682D">
    <w:pPr>
      <w:pStyle w:val="JuHeader"/>
    </w:pPr>
    <w:r>
      <w:fldChar w:fldCharType="begin"/>
    </w:r>
    <w:r>
      <w:instrText xml:space="preserve"> PAGE  \* MERGEFORMAT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A1E7E" w:rsidRPr="00A45145" w:rsidP="00A45145" w14:paraId="412E27AC" w14:textId="185E946F">
    <w:pPr>
      <w:jc w:val="center"/>
    </w:pPr>
    <w:r>
      <w:rPr>
        <w:noProof/>
        <w:lang w:val="en-US"/>
      </w:rPr>
      <w:drawing>
        <wp:inline distT="0" distB="0" distL="0" distR="0">
          <wp:extent cx="2962275" cy="1219200"/>
          <wp:effectExtent l="0" t="0" r="9525" b="0"/>
          <wp:docPr id="507790305" name="Picture 50779030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79030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CA1E7E" w:rsidP="00B14793" w14:paraId="4505085F" w14:textId="0442F932">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A1E7E" w:rsidRPr="00A45145" w:rsidP="00A45145" w14:paraId="5775028C" w14:textId="5ADA92F9">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CA1E7E" w14:paraId="6C88900F" w14:textId="2E71B28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A1E7E" w:rsidRPr="004D0EC7" w:rsidP="004D0EC7" w14:paraId="366D8644" w14:textId="513DAC57">
    <w:pPr>
      <w:pStyle w:val="JuHeader"/>
    </w:pPr>
    <w:r>
      <w:t>PETKANYCH AND OTHERS v. UKRAINE</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A1E7E" w:rsidRPr="00882CD5" w:rsidP="007D3701" w14:paraId="6F19877A" w14:textId="07213197">
    <w:pPr>
      <w:pStyle w:val="JuHeader"/>
    </w:pPr>
    <w:r>
      <w:t>PETKANYCH AND OTHERS v. UKRAINE</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6E9CAD8E" w14:textId="539398FC">
    <w:pPr>
      <w:pStyle w:val="JuHeader"/>
    </w:pPr>
    <w:r>
      <w:t>PETKANYCH AND OTHERS v. UKRAINE</w:t>
    </w:r>
    <w:r w:rsidRPr="004D0EC7">
      <w:t xml:space="preserve"> </w:t>
    </w:r>
    <w:r>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230E4C57" w14:textId="7A938E2E">
    <w:pPr>
      <w:pStyle w:val="JuHeader"/>
    </w:pPr>
    <w:r>
      <w:t>PETKANYCH AND OTHERS v. UKRAINE</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658211D"/>
    <w:multiLevelType w:val="hybridMultilevel"/>
    <w:tmpl w:val="1A22CD66"/>
    <w:lvl w:ilvl="0">
      <w:start w:val="1"/>
      <w:numFmt w:val="bullet"/>
      <w:lvlText w:val=""/>
      <w:lvlJc w:val="left"/>
      <w:pPr>
        <w:ind w:left="284" w:hanging="114"/>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07417BF0"/>
    <w:multiLevelType w:val="hybridMultilevel"/>
    <w:tmpl w:val="569869F0"/>
    <w:lvl w:ilvl="0">
      <w:start w:val="1"/>
      <w:numFmt w:val="bullet"/>
      <w:lvlText w:val=""/>
      <w:lvlJc w:val="left"/>
      <w:pPr>
        <w:ind w:left="284" w:hanging="114"/>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0A4F1F22"/>
    <w:multiLevelType w:val="hybridMultilevel"/>
    <w:tmpl w:val="9EC0C0B0"/>
    <w:lvl w:ilvl="0">
      <w:start w:val="1"/>
      <w:numFmt w:val="bullet"/>
      <w:lvlText w:val=""/>
      <w:lvlJc w:val="left"/>
      <w:pPr>
        <w:ind w:left="284" w:hanging="114"/>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4">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31210582"/>
    <w:multiLevelType w:val="hybridMultilevel"/>
    <w:tmpl w:val="DDFCBEB6"/>
    <w:lvl w:ilvl="0">
      <w:start w:val="1"/>
      <w:numFmt w:val="bullet"/>
      <w:lvlText w:val=""/>
      <w:lvlJc w:val="left"/>
      <w:pPr>
        <w:ind w:left="284" w:hanging="114"/>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31344741"/>
    <w:multiLevelType w:val="hybridMultilevel"/>
    <w:tmpl w:val="CA582DE4"/>
    <w:lvl w:ilvl="0">
      <w:start w:val="1"/>
      <w:numFmt w:val="bullet"/>
      <w:lvlText w:val=""/>
      <w:lvlJc w:val="left"/>
      <w:pPr>
        <w:ind w:left="284" w:hanging="114"/>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38846304"/>
    <w:multiLevelType w:val="hybridMultilevel"/>
    <w:tmpl w:val="A98A832A"/>
    <w:lvl w:ilvl="0">
      <w:start w:val="1"/>
      <w:numFmt w:val="decimal"/>
      <w:lvlText w:val="%1."/>
      <w:lvlJc w:val="left"/>
      <w:pPr>
        <w:ind w:left="644" w:hanging="360"/>
      </w:pPr>
      <w:rPr>
        <w:b w:val="0"/>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3E917FC2"/>
    <w:multiLevelType w:val="hybridMultilevel"/>
    <w:tmpl w:val="CCAEEDD0"/>
    <w:lvl w:ilvl="0">
      <w:start w:val="1"/>
      <w:numFmt w:val="bullet"/>
      <w:lvlText w:val=""/>
      <w:lvlJc w:val="left"/>
      <w:pPr>
        <w:ind w:left="284" w:hanging="114"/>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427D6ECF"/>
    <w:multiLevelType w:val="hybridMultilevel"/>
    <w:tmpl w:val="B3F40A80"/>
    <w:lvl w:ilvl="0">
      <w:start w:val="1"/>
      <w:numFmt w:val="bullet"/>
      <w:lvlText w:val=""/>
      <w:lvlJc w:val="left"/>
      <w:pPr>
        <w:ind w:left="284" w:hanging="114"/>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4">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5">
    <w:nsid w:val="5B13208F"/>
    <w:multiLevelType w:val="hybridMultilevel"/>
    <w:tmpl w:val="31FE2680"/>
    <w:lvl w:ilvl="0">
      <w:start w:val="1"/>
      <w:numFmt w:val="bullet"/>
      <w:lvlText w:val=""/>
      <w:lvlJc w:val="left"/>
      <w:pPr>
        <w:ind w:left="284" w:hanging="114"/>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7">
    <w:nsid w:val="77F83754"/>
    <w:multiLevelType w:val="hybridMultilevel"/>
    <w:tmpl w:val="2DE875C0"/>
    <w:lvl w:ilvl="0">
      <w:start w:val="1"/>
      <w:numFmt w:val="bullet"/>
      <w:lvlText w:val=""/>
      <w:lvlJc w:val="left"/>
      <w:pPr>
        <w:ind w:left="284" w:hanging="114"/>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878196408">
    <w:abstractNumId w:val="21"/>
  </w:num>
  <w:num w:numId="2" w16cid:durableId="754978352">
    <w:abstractNumId w:val="15"/>
  </w:num>
  <w:num w:numId="3" w16cid:durableId="1794904661">
    <w:abstractNumId w:val="14"/>
  </w:num>
  <w:num w:numId="4" w16cid:durableId="196163834">
    <w:abstractNumId w:val="23"/>
  </w:num>
  <w:num w:numId="5" w16cid:durableId="1751272099">
    <w:abstractNumId w:val="16"/>
  </w:num>
  <w:num w:numId="6" w16cid:durableId="1642692146">
    <w:abstractNumId w:val="24"/>
  </w:num>
  <w:num w:numId="7" w16cid:durableId="434135136">
    <w:abstractNumId w:val="23"/>
  </w:num>
  <w:num w:numId="8" w16cid:durableId="578097284">
    <w:abstractNumId w:val="24"/>
  </w:num>
  <w:num w:numId="9" w16cid:durableId="1183782018">
    <w:abstractNumId w:val="13"/>
  </w:num>
  <w:num w:numId="10" w16cid:durableId="1201867154">
    <w:abstractNumId w:val="9"/>
  </w:num>
  <w:num w:numId="11" w16cid:durableId="468593734">
    <w:abstractNumId w:val="26"/>
  </w:num>
  <w:num w:numId="12" w16cid:durableId="1467626488">
    <w:abstractNumId w:val="7"/>
  </w:num>
  <w:num w:numId="13" w16cid:durableId="736516085">
    <w:abstractNumId w:val="6"/>
  </w:num>
  <w:num w:numId="14" w16cid:durableId="1900626135">
    <w:abstractNumId w:val="5"/>
  </w:num>
  <w:num w:numId="15" w16cid:durableId="180165164">
    <w:abstractNumId w:val="4"/>
  </w:num>
  <w:num w:numId="16" w16cid:durableId="287588751">
    <w:abstractNumId w:val="8"/>
  </w:num>
  <w:num w:numId="17" w16cid:durableId="1293171956">
    <w:abstractNumId w:val="3"/>
  </w:num>
  <w:num w:numId="18" w16cid:durableId="1010371988">
    <w:abstractNumId w:val="2"/>
  </w:num>
  <w:num w:numId="19" w16cid:durableId="2002387366">
    <w:abstractNumId w:val="1"/>
  </w:num>
  <w:num w:numId="20" w16cid:durableId="324631445">
    <w:abstractNumId w:val="0"/>
  </w:num>
  <w:num w:numId="21" w16cid:durableId="1469014062">
    <w:abstractNumId w:val="19"/>
  </w:num>
  <w:num w:numId="22" w16cid:durableId="909147081">
    <w:abstractNumId w:val="25"/>
  </w:num>
  <w:num w:numId="23" w16cid:durableId="72627280">
    <w:abstractNumId w:val="11"/>
  </w:num>
  <w:num w:numId="24" w16cid:durableId="2049455099">
    <w:abstractNumId w:val="17"/>
  </w:num>
  <w:num w:numId="25" w16cid:durableId="1011252531">
    <w:abstractNumId w:val="22"/>
  </w:num>
  <w:num w:numId="26" w16cid:durableId="1440029697">
    <w:abstractNumId w:val="27"/>
  </w:num>
  <w:num w:numId="27" w16cid:durableId="1514566879">
    <w:abstractNumId w:val="18"/>
  </w:num>
  <w:num w:numId="28" w16cid:durableId="2094275058">
    <w:abstractNumId w:val="10"/>
  </w:num>
  <w:num w:numId="29" w16cid:durableId="536968168">
    <w:abstractNumId w:val="12"/>
  </w:num>
  <w:num w:numId="30" w16cid:durableId="285236088">
    <w:abstractNumId w:val="2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E7E"/>
    <w:rsid w:val="000041F8"/>
    <w:rsid w:val="000042A8"/>
    <w:rsid w:val="00004308"/>
    <w:rsid w:val="00005BF0"/>
    <w:rsid w:val="0000617D"/>
    <w:rsid w:val="00007154"/>
    <w:rsid w:val="000103AE"/>
    <w:rsid w:val="00011D69"/>
    <w:rsid w:val="00012575"/>
    <w:rsid w:val="00012AD3"/>
    <w:rsid w:val="00015C2D"/>
    <w:rsid w:val="00015F00"/>
    <w:rsid w:val="0001768D"/>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0047"/>
    <w:rsid w:val="000C232E"/>
    <w:rsid w:val="000C5F3C"/>
    <w:rsid w:val="000C6DCC"/>
    <w:rsid w:val="000C6F16"/>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0222"/>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A5093"/>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1FF8"/>
    <w:rsid w:val="005B2B24"/>
    <w:rsid w:val="005B4425"/>
    <w:rsid w:val="005B4B94"/>
    <w:rsid w:val="005C2C62"/>
    <w:rsid w:val="005C3EE8"/>
    <w:rsid w:val="005D2F2A"/>
    <w:rsid w:val="005D34F9"/>
    <w:rsid w:val="005D4190"/>
    <w:rsid w:val="005D67A3"/>
    <w:rsid w:val="005E2396"/>
    <w:rsid w:val="005E2988"/>
    <w:rsid w:val="005E3085"/>
    <w:rsid w:val="005F0EB3"/>
    <w:rsid w:val="005F51E1"/>
    <w:rsid w:val="005F5A1C"/>
    <w:rsid w:val="00611C80"/>
    <w:rsid w:val="00620692"/>
    <w:rsid w:val="00623885"/>
    <w:rsid w:val="006242CA"/>
    <w:rsid w:val="00627507"/>
    <w:rsid w:val="00633717"/>
    <w:rsid w:val="006344E1"/>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B478F"/>
    <w:rsid w:val="006C23D4"/>
    <w:rsid w:val="006C7BB0"/>
    <w:rsid w:val="006D3237"/>
    <w:rsid w:val="006E2E37"/>
    <w:rsid w:val="006E3CF1"/>
    <w:rsid w:val="006E41D7"/>
    <w:rsid w:val="006E68A3"/>
    <w:rsid w:val="006E7E80"/>
    <w:rsid w:val="006F1C2D"/>
    <w:rsid w:val="006F48CA"/>
    <w:rsid w:val="006F64DD"/>
    <w:rsid w:val="006F712D"/>
    <w:rsid w:val="00715127"/>
    <w:rsid w:val="00715E8E"/>
    <w:rsid w:val="00723580"/>
    <w:rsid w:val="00723755"/>
    <w:rsid w:val="00723FAA"/>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3556"/>
    <w:rsid w:val="008577FD"/>
    <w:rsid w:val="00860B03"/>
    <w:rsid w:val="0086255F"/>
    <w:rsid w:val="0086497A"/>
    <w:rsid w:val="0086538E"/>
    <w:rsid w:val="00867066"/>
    <w:rsid w:val="008713A1"/>
    <w:rsid w:val="00872584"/>
    <w:rsid w:val="008754AB"/>
    <w:rsid w:val="0088060C"/>
    <w:rsid w:val="00882CD5"/>
    <w:rsid w:val="00883151"/>
    <w:rsid w:val="008864A8"/>
    <w:rsid w:val="00893576"/>
    <w:rsid w:val="00893E73"/>
    <w:rsid w:val="008A716C"/>
    <w:rsid w:val="008B02DC"/>
    <w:rsid w:val="008B092C"/>
    <w:rsid w:val="008B57CE"/>
    <w:rsid w:val="008C26DE"/>
    <w:rsid w:val="008D1668"/>
    <w:rsid w:val="008D2225"/>
    <w:rsid w:val="008D4752"/>
    <w:rsid w:val="008D5A13"/>
    <w:rsid w:val="008D5CF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5456"/>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4F4F"/>
    <w:rsid w:val="00B861B4"/>
    <w:rsid w:val="00B86DFE"/>
    <w:rsid w:val="00B90990"/>
    <w:rsid w:val="00B922FF"/>
    <w:rsid w:val="00B9281E"/>
    <w:rsid w:val="00B93925"/>
    <w:rsid w:val="00B95187"/>
    <w:rsid w:val="00B97518"/>
    <w:rsid w:val="00BA2D55"/>
    <w:rsid w:val="00BA3684"/>
    <w:rsid w:val="00BA71B1"/>
    <w:rsid w:val="00BB0637"/>
    <w:rsid w:val="00BB0AB0"/>
    <w:rsid w:val="00BB345F"/>
    <w:rsid w:val="00BB68EA"/>
    <w:rsid w:val="00BC0B99"/>
    <w:rsid w:val="00BC1C27"/>
    <w:rsid w:val="00BC56A7"/>
    <w:rsid w:val="00BC6BBF"/>
    <w:rsid w:val="00BD1572"/>
    <w:rsid w:val="00BD3A6B"/>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1E7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0206"/>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46672"/>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2ECA"/>
    <w:rsid w:val="00F07C1E"/>
    <w:rsid w:val="00F105DB"/>
    <w:rsid w:val="00F132BC"/>
    <w:rsid w:val="00F13D80"/>
    <w:rsid w:val="00F15B4D"/>
    <w:rsid w:val="00F16A7C"/>
    <w:rsid w:val="00F16AAA"/>
    <w:rsid w:val="00F1709C"/>
    <w:rsid w:val="00F20B07"/>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3"/>
    <w:docVar w:name="AppNatAutre" w:val="0"/>
    <w:docVar w:name="DocVarPREMATURE" w:val="0"/>
    <w:docVar w:name="EMM" w:val="0"/>
    <w:docVar w:name="ETRANSMISSION" w:val="BY E-TRANSMISSION ONLY"/>
    <w:docVar w:name="L4_1Annex" w:val="0"/>
    <w:docVar w:name="L4_1Anonymity" w:val="0"/>
    <w:docVar w:name="NBApplication" w:val="0"/>
    <w:docVar w:name="NBEMMDOC" w:val="0"/>
    <w:docVar w:name="Plural" w:val="3"/>
    <w:docVar w:name="SignForeName" w:val="0"/>
    <w:docVar w:name="SndCaseNumber" w:val="Error!Nodocumentvariablesupplied."/>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1881F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2B5B43"/>
    <w:rPr>
      <w:sz w:val="24"/>
      <w:szCs w:val="24"/>
      <w:lang w:val="en-GB"/>
    </w:rPr>
  </w:style>
  <w:style w:type="paragraph" w:styleId="Heading1">
    <w:name w:val="heading 1"/>
    <w:basedOn w:val="Normal"/>
    <w:next w:val="Normal"/>
    <w:link w:val="Heading1Char"/>
    <w:uiPriority w:val="98"/>
    <w:semiHidden/>
    <w:rsid w:val="002B5B4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B5B4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B5B4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B5B4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B5B4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B5B4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B5B4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B5B4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B5B4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B5B43"/>
    <w:rPr>
      <w:rFonts w:ascii="Tahoma" w:hAnsi="Tahoma" w:cs="Tahoma"/>
      <w:sz w:val="16"/>
      <w:szCs w:val="16"/>
    </w:rPr>
  </w:style>
  <w:style w:type="character" w:customStyle="1" w:styleId="BalloonTextChar">
    <w:name w:val="Balloon Text Char"/>
    <w:basedOn w:val="DefaultParagraphFont"/>
    <w:link w:val="BalloonText"/>
    <w:uiPriority w:val="98"/>
    <w:semiHidden/>
    <w:rsid w:val="002B5B43"/>
    <w:rPr>
      <w:rFonts w:ascii="Tahoma" w:hAnsi="Tahoma" w:cs="Tahoma"/>
      <w:sz w:val="16"/>
      <w:szCs w:val="16"/>
      <w:lang w:val="en-GB"/>
    </w:rPr>
  </w:style>
  <w:style w:type="character" w:styleId="BookTitle">
    <w:name w:val="Book Title"/>
    <w:uiPriority w:val="98"/>
    <w:semiHidden/>
    <w:qFormat/>
    <w:rsid w:val="002B5B43"/>
    <w:rPr>
      <w:i/>
      <w:iCs/>
      <w:smallCaps/>
      <w:spacing w:val="5"/>
    </w:rPr>
  </w:style>
  <w:style w:type="paragraph" w:customStyle="1" w:styleId="JuHeader">
    <w:name w:val="Ju_Header"/>
    <w:aliases w:val="_Header"/>
    <w:basedOn w:val="Header0"/>
    <w:uiPriority w:val="29"/>
    <w:qFormat/>
    <w:rsid w:val="002B5B43"/>
    <w:pPr>
      <w:tabs>
        <w:tab w:val="clear" w:pos="4536"/>
        <w:tab w:val="clear" w:pos="9072"/>
      </w:tabs>
      <w:jc w:val="center"/>
    </w:pPr>
    <w:rPr>
      <w:sz w:val="18"/>
    </w:rPr>
  </w:style>
  <w:style w:type="paragraph" w:customStyle="1" w:styleId="NormalJustified">
    <w:name w:val="Normal_Justified"/>
    <w:basedOn w:val="Normal"/>
    <w:semiHidden/>
    <w:rsid w:val="002B5B43"/>
    <w:pPr>
      <w:jc w:val="both"/>
    </w:pPr>
  </w:style>
  <w:style w:type="character" w:styleId="Strong">
    <w:name w:val="Strong"/>
    <w:uiPriority w:val="98"/>
    <w:semiHidden/>
    <w:qFormat/>
    <w:rsid w:val="002B5B43"/>
    <w:rPr>
      <w:b/>
      <w:bCs/>
    </w:rPr>
  </w:style>
  <w:style w:type="paragraph" w:styleId="NoSpacing">
    <w:name w:val="No Spacing"/>
    <w:basedOn w:val="Normal"/>
    <w:link w:val="NoSpacingChar"/>
    <w:uiPriority w:val="98"/>
    <w:semiHidden/>
    <w:qFormat/>
    <w:rsid w:val="002B5B43"/>
  </w:style>
  <w:style w:type="character" w:customStyle="1" w:styleId="NoSpacingChar">
    <w:name w:val="No Spacing Char"/>
    <w:basedOn w:val="DefaultParagraphFont"/>
    <w:link w:val="NoSpacing"/>
    <w:uiPriority w:val="98"/>
    <w:semiHidden/>
    <w:rsid w:val="002B5B43"/>
    <w:rPr>
      <w:sz w:val="24"/>
      <w:szCs w:val="24"/>
      <w:lang w:val="en-GB"/>
    </w:rPr>
  </w:style>
  <w:style w:type="paragraph" w:customStyle="1" w:styleId="JuQuot">
    <w:name w:val="Ju_Quot"/>
    <w:aliases w:val="_Quote"/>
    <w:basedOn w:val="NormalJustified"/>
    <w:uiPriority w:val="20"/>
    <w:qFormat/>
    <w:rsid w:val="002B5B43"/>
    <w:pPr>
      <w:spacing w:before="120" w:after="120"/>
      <w:ind w:left="425" w:firstLine="142"/>
    </w:pPr>
    <w:rPr>
      <w:sz w:val="20"/>
    </w:rPr>
  </w:style>
  <w:style w:type="paragraph" w:customStyle="1" w:styleId="DummyStyle">
    <w:name w:val="Dummy_Style"/>
    <w:aliases w:val="_Dummy"/>
    <w:basedOn w:val="Normal"/>
    <w:semiHidden/>
    <w:qFormat/>
    <w:rsid w:val="002B5B43"/>
    <w:rPr>
      <w:color w:val="00B050"/>
      <w:sz w:val="22"/>
    </w:rPr>
  </w:style>
  <w:style w:type="paragraph" w:customStyle="1" w:styleId="JuList">
    <w:name w:val="Ju_List"/>
    <w:aliases w:val="_List_1"/>
    <w:basedOn w:val="NormalJustified"/>
    <w:link w:val="JuListChar"/>
    <w:uiPriority w:val="23"/>
    <w:qFormat/>
    <w:rsid w:val="002B5B43"/>
    <w:pPr>
      <w:numPr>
        <w:numId w:val="10"/>
      </w:numPr>
      <w:spacing w:before="280" w:after="60"/>
    </w:pPr>
  </w:style>
  <w:style w:type="paragraph" w:customStyle="1" w:styleId="JuLista">
    <w:name w:val="Ju_List_a"/>
    <w:aliases w:val="_List_2"/>
    <w:basedOn w:val="NormalJustified"/>
    <w:uiPriority w:val="23"/>
    <w:rsid w:val="002B5B43"/>
    <w:pPr>
      <w:numPr>
        <w:ilvl w:val="1"/>
        <w:numId w:val="10"/>
      </w:numPr>
    </w:pPr>
  </w:style>
  <w:style w:type="paragraph" w:customStyle="1" w:styleId="JuListi">
    <w:name w:val="Ju_List_i"/>
    <w:aliases w:val="_List_3"/>
    <w:basedOn w:val="NormalJustified"/>
    <w:uiPriority w:val="23"/>
    <w:rsid w:val="002B5B43"/>
    <w:pPr>
      <w:numPr>
        <w:ilvl w:val="2"/>
        <w:numId w:val="10"/>
      </w:numPr>
    </w:pPr>
  </w:style>
  <w:style w:type="paragraph" w:customStyle="1" w:styleId="JuHArticle">
    <w:name w:val="Ju_H_Article"/>
    <w:aliases w:val="_Title_Quote"/>
    <w:basedOn w:val="Normal"/>
    <w:next w:val="JuQuot"/>
    <w:uiPriority w:val="19"/>
    <w:qFormat/>
    <w:rsid w:val="002B5B4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B5B4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B5B43"/>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B5B43"/>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B5B43"/>
    <w:pPr>
      <w:numPr>
        <w:numId w:val="4"/>
      </w:numPr>
    </w:pPr>
  </w:style>
  <w:style w:type="paragraph" w:customStyle="1" w:styleId="JuSigned">
    <w:name w:val="Ju_Signed"/>
    <w:aliases w:val="_Signature"/>
    <w:basedOn w:val="Normal"/>
    <w:next w:val="JuPara"/>
    <w:uiPriority w:val="31"/>
    <w:qFormat/>
    <w:rsid w:val="002B5B43"/>
    <w:pPr>
      <w:tabs>
        <w:tab w:val="center" w:pos="1418"/>
        <w:tab w:val="center" w:pos="5954"/>
      </w:tabs>
      <w:spacing w:before="720"/>
    </w:pPr>
  </w:style>
  <w:style w:type="paragraph" w:styleId="Title">
    <w:name w:val="Title"/>
    <w:basedOn w:val="Normal"/>
    <w:next w:val="Normal"/>
    <w:link w:val="TitleChar"/>
    <w:uiPriority w:val="98"/>
    <w:semiHidden/>
    <w:qFormat/>
    <w:rsid w:val="002B5B4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2B5B4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B5B43"/>
    <w:pPr>
      <w:numPr>
        <w:numId w:val="5"/>
      </w:numPr>
    </w:pPr>
  </w:style>
  <w:style w:type="numbering" w:customStyle="1" w:styleId="ECHRA1StyleNumberedList">
    <w:name w:val="ECHR_A1_Style_Numbered_List"/>
    <w:basedOn w:val="NoList"/>
    <w:rsid w:val="002B5B43"/>
    <w:pPr>
      <w:numPr>
        <w:numId w:val="6"/>
      </w:numPr>
    </w:pPr>
  </w:style>
  <w:style w:type="table" w:customStyle="1" w:styleId="ECHRTable2019">
    <w:name w:val="ECHR_Table_2019"/>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B5B43"/>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B5B43"/>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B5B43"/>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B5B43"/>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B5B43"/>
    <w:pPr>
      <w:tabs>
        <w:tab w:val="center" w:pos="4536"/>
        <w:tab w:val="right" w:pos="9072"/>
      </w:tabs>
    </w:pPr>
  </w:style>
  <w:style w:type="character" w:customStyle="1" w:styleId="HeaderChar">
    <w:name w:val="Header Char"/>
    <w:basedOn w:val="DefaultParagraphFont"/>
    <w:link w:val="Header0"/>
    <w:uiPriority w:val="98"/>
    <w:semiHidden/>
    <w:rsid w:val="002B5B43"/>
    <w:rPr>
      <w:sz w:val="24"/>
      <w:szCs w:val="24"/>
      <w:lang w:val="en-GB"/>
    </w:rPr>
  </w:style>
  <w:style w:type="character" w:customStyle="1" w:styleId="Heading1Char">
    <w:name w:val="Heading 1 Char"/>
    <w:basedOn w:val="DefaultParagraphFont"/>
    <w:link w:val="Heading1"/>
    <w:uiPriority w:val="98"/>
    <w:semiHidden/>
    <w:rsid w:val="002B5B43"/>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B5B43"/>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2B5B43"/>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B5B43"/>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B5B43"/>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B5B43"/>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B5B43"/>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B5B43"/>
    <w:pPr>
      <w:keepNext/>
      <w:keepLines/>
      <w:spacing w:before="240" w:after="240"/>
      <w:ind w:firstLine="284"/>
    </w:pPr>
  </w:style>
  <w:style w:type="paragraph" w:customStyle="1" w:styleId="JuJudges">
    <w:name w:val="Ju_Judges"/>
    <w:aliases w:val="_Judges"/>
    <w:basedOn w:val="Normal"/>
    <w:uiPriority w:val="32"/>
    <w:qFormat/>
    <w:rsid w:val="002B5B43"/>
    <w:pPr>
      <w:tabs>
        <w:tab w:val="left" w:pos="567"/>
        <w:tab w:val="left" w:pos="1134"/>
      </w:tabs>
    </w:pPr>
  </w:style>
  <w:style w:type="character" w:customStyle="1" w:styleId="Heading4Char">
    <w:name w:val="Heading 4 Char"/>
    <w:basedOn w:val="DefaultParagraphFont"/>
    <w:link w:val="Heading4"/>
    <w:uiPriority w:val="98"/>
    <w:semiHidden/>
    <w:rsid w:val="002B5B4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B5B43"/>
    <w:pPr>
      <w:tabs>
        <w:tab w:val="center" w:pos="6407"/>
      </w:tabs>
      <w:spacing w:before="720"/>
      <w:jc w:val="right"/>
    </w:pPr>
  </w:style>
  <w:style w:type="character" w:customStyle="1" w:styleId="Heading5Char">
    <w:name w:val="Heading 5 Char"/>
    <w:basedOn w:val="DefaultParagraphFont"/>
    <w:link w:val="Heading5"/>
    <w:uiPriority w:val="98"/>
    <w:semiHidden/>
    <w:rsid w:val="002B5B4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B5B43"/>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B5B43"/>
    <w:rPr>
      <w:caps w:val="0"/>
      <w:smallCaps/>
    </w:rPr>
  </w:style>
  <w:style w:type="character" w:styleId="SubtleEmphasis">
    <w:name w:val="Subtle Emphasis"/>
    <w:uiPriority w:val="98"/>
    <w:semiHidden/>
    <w:qFormat/>
    <w:rsid w:val="002B5B43"/>
    <w:rPr>
      <w:i/>
      <w:iCs/>
    </w:rPr>
  </w:style>
  <w:style w:type="table" w:customStyle="1" w:styleId="ECHRTable">
    <w:name w:val="ECHR_Table"/>
    <w:basedOn w:val="TableNormal"/>
    <w:rsid w:val="002B5B4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B5B4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2B5B43"/>
    <w:rPr>
      <w:b/>
      <w:bCs/>
      <w:i/>
      <w:iCs/>
      <w:spacing w:val="10"/>
      <w:bdr w:val="none" w:sz="0" w:space="0" w:color="auto"/>
      <w:shd w:val="clear" w:color="auto" w:fill="auto"/>
    </w:rPr>
  </w:style>
  <w:style w:type="paragraph" w:styleId="Footer1">
    <w:name w:val="footer"/>
    <w:basedOn w:val="Normal"/>
    <w:link w:val="FooterChar"/>
    <w:uiPriority w:val="98"/>
    <w:semiHidden/>
    <w:rsid w:val="002B5B43"/>
    <w:pPr>
      <w:tabs>
        <w:tab w:val="center" w:pos="3686"/>
        <w:tab w:val="right" w:pos="7371"/>
      </w:tabs>
    </w:pPr>
  </w:style>
  <w:style w:type="character" w:customStyle="1" w:styleId="FooterChar">
    <w:name w:val="Footer Char"/>
    <w:basedOn w:val="DefaultParagraphFont"/>
    <w:link w:val="Footer1"/>
    <w:uiPriority w:val="98"/>
    <w:semiHidden/>
    <w:rsid w:val="002B5B43"/>
    <w:rPr>
      <w:sz w:val="24"/>
      <w:szCs w:val="24"/>
      <w:lang w:val="en-GB"/>
    </w:rPr>
  </w:style>
  <w:style w:type="character" w:styleId="FootnoteReference">
    <w:name w:val="footnote reference"/>
    <w:basedOn w:val="DefaultParagraphFont"/>
    <w:uiPriority w:val="98"/>
    <w:semiHidden/>
    <w:rsid w:val="002B5B43"/>
    <w:rPr>
      <w:vertAlign w:val="superscript"/>
    </w:rPr>
  </w:style>
  <w:style w:type="paragraph" w:styleId="FootnoteText">
    <w:name w:val="footnote text"/>
    <w:basedOn w:val="NormalJustified"/>
    <w:link w:val="FootnoteTextChar"/>
    <w:uiPriority w:val="98"/>
    <w:semiHidden/>
    <w:rsid w:val="002B5B43"/>
    <w:rPr>
      <w:sz w:val="20"/>
      <w:szCs w:val="20"/>
    </w:rPr>
  </w:style>
  <w:style w:type="character" w:customStyle="1" w:styleId="FootnoteTextChar">
    <w:name w:val="Footnote Text Char"/>
    <w:basedOn w:val="DefaultParagraphFont"/>
    <w:link w:val="FootnoteText"/>
    <w:uiPriority w:val="98"/>
    <w:semiHidden/>
    <w:rsid w:val="002B5B43"/>
    <w:rPr>
      <w:sz w:val="20"/>
      <w:szCs w:val="20"/>
      <w:lang w:val="en-GB"/>
    </w:rPr>
  </w:style>
  <w:style w:type="character" w:customStyle="1" w:styleId="Heading6Char">
    <w:name w:val="Heading 6 Char"/>
    <w:basedOn w:val="DefaultParagraphFont"/>
    <w:link w:val="Heading6"/>
    <w:uiPriority w:val="98"/>
    <w:semiHidden/>
    <w:rsid w:val="002B5B4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B5B4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B5B4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B5B4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2B5B43"/>
    <w:rPr>
      <w:color w:val="0072BC" w:themeColor="hyperlink"/>
      <w:u w:val="single"/>
    </w:rPr>
  </w:style>
  <w:style w:type="character" w:styleId="IntenseEmphasis">
    <w:name w:val="Intense Emphasis"/>
    <w:uiPriority w:val="98"/>
    <w:semiHidden/>
    <w:qFormat/>
    <w:rsid w:val="002B5B43"/>
    <w:rPr>
      <w:b/>
      <w:bCs/>
    </w:rPr>
  </w:style>
  <w:style w:type="paragraph" w:styleId="IntenseQuote">
    <w:name w:val="Intense Quote"/>
    <w:basedOn w:val="Normal"/>
    <w:next w:val="Normal"/>
    <w:link w:val="IntenseQuoteChar"/>
    <w:uiPriority w:val="98"/>
    <w:semiHidden/>
    <w:qFormat/>
    <w:rsid w:val="002B5B4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2B5B43"/>
    <w:rPr>
      <w:b/>
      <w:bCs/>
      <w:i/>
      <w:iCs/>
      <w:sz w:val="24"/>
      <w:szCs w:val="24"/>
      <w:lang w:val="en-GB" w:bidi="en-US"/>
    </w:rPr>
  </w:style>
  <w:style w:type="character" w:styleId="IntenseReference">
    <w:name w:val="Intense Reference"/>
    <w:uiPriority w:val="98"/>
    <w:semiHidden/>
    <w:qFormat/>
    <w:rsid w:val="002B5B43"/>
    <w:rPr>
      <w:smallCaps/>
      <w:spacing w:val="5"/>
      <w:u w:val="single"/>
    </w:rPr>
  </w:style>
  <w:style w:type="paragraph" w:styleId="ListParagraph">
    <w:name w:val="List Paragraph"/>
    <w:basedOn w:val="Normal"/>
    <w:uiPriority w:val="98"/>
    <w:qFormat/>
    <w:rsid w:val="002B5B43"/>
    <w:pPr>
      <w:ind w:left="720"/>
      <w:contextualSpacing/>
    </w:pPr>
  </w:style>
  <w:style w:type="table" w:customStyle="1" w:styleId="LtrTableAddress">
    <w:name w:val="Ltr_Table_Address"/>
    <w:aliases w:val="ECHR_Ltr_Table_Address"/>
    <w:basedOn w:val="TableNormal"/>
    <w:uiPriority w:val="99"/>
    <w:rsid w:val="002B5B43"/>
    <w:rPr>
      <w:sz w:val="24"/>
      <w:szCs w:val="24"/>
    </w:rPr>
    <w:tblPr>
      <w:tblInd w:w="5103" w:type="dxa"/>
    </w:tblPr>
  </w:style>
  <w:style w:type="paragraph" w:styleId="Quote0">
    <w:name w:val="Quote"/>
    <w:basedOn w:val="Normal"/>
    <w:next w:val="Normal"/>
    <w:link w:val="QuoteChar"/>
    <w:uiPriority w:val="98"/>
    <w:semiHidden/>
    <w:qFormat/>
    <w:rsid w:val="002B5B43"/>
    <w:pPr>
      <w:spacing w:before="200"/>
      <w:ind w:left="360" w:right="360"/>
    </w:pPr>
    <w:rPr>
      <w:i/>
      <w:iCs/>
      <w:lang w:bidi="en-US"/>
    </w:rPr>
  </w:style>
  <w:style w:type="character" w:customStyle="1" w:styleId="QuoteChar">
    <w:name w:val="Quote Char"/>
    <w:basedOn w:val="DefaultParagraphFont"/>
    <w:link w:val="Quote0"/>
    <w:uiPriority w:val="98"/>
    <w:semiHidden/>
    <w:rsid w:val="002B5B43"/>
    <w:rPr>
      <w:i/>
      <w:iCs/>
      <w:sz w:val="24"/>
      <w:szCs w:val="24"/>
      <w:lang w:val="en-GB" w:bidi="en-US"/>
    </w:rPr>
  </w:style>
  <w:style w:type="character" w:styleId="SubtleReference">
    <w:name w:val="Subtle Reference"/>
    <w:uiPriority w:val="98"/>
    <w:semiHidden/>
    <w:qFormat/>
    <w:rsid w:val="002B5B43"/>
    <w:rPr>
      <w:smallCaps/>
    </w:rPr>
  </w:style>
  <w:style w:type="table" w:styleId="TableGrid">
    <w:name w:val="Table Grid"/>
    <w:basedOn w:val="TableNormal"/>
    <w:uiPriority w:val="59"/>
    <w:semiHidden/>
    <w:rsid w:val="002B5B4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B5B4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B5B4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B5B4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B5B4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B5B4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B5B43"/>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B5B4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B5B4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B5B43"/>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B5B43"/>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B5B4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B5B43"/>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B5B43"/>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2B5B4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2B5B4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B5B43"/>
    <w:pPr>
      <w:numPr>
        <w:numId w:val="1"/>
      </w:numPr>
    </w:pPr>
  </w:style>
  <w:style w:type="paragraph" w:customStyle="1" w:styleId="JuPara">
    <w:name w:val="Ju_Para"/>
    <w:aliases w:val="_Para"/>
    <w:basedOn w:val="NormalJustified"/>
    <w:link w:val="JuParaChar"/>
    <w:uiPriority w:val="4"/>
    <w:qFormat/>
    <w:rsid w:val="002B5B43"/>
    <w:pPr>
      <w:ind w:firstLine="284"/>
    </w:pPr>
  </w:style>
  <w:style w:type="numbering" w:styleId="1ai">
    <w:name w:val="Outline List 1"/>
    <w:basedOn w:val="NoList"/>
    <w:uiPriority w:val="99"/>
    <w:semiHidden/>
    <w:unhideWhenUsed/>
    <w:rsid w:val="002B5B43"/>
    <w:pPr>
      <w:numPr>
        <w:numId w:val="2"/>
      </w:numPr>
    </w:pPr>
  </w:style>
  <w:style w:type="table" w:customStyle="1" w:styleId="ECHRTableSimpleBox">
    <w:name w:val="ECHR_Table_Simple_Box"/>
    <w:basedOn w:val="TableNormal"/>
    <w:uiPriority w:val="99"/>
    <w:rsid w:val="002B5B43"/>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B5B43"/>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B5B43"/>
    <w:pPr>
      <w:numPr>
        <w:numId w:val="3"/>
      </w:numPr>
    </w:pPr>
  </w:style>
  <w:style w:type="table" w:customStyle="1" w:styleId="ECHRTableForInternalUse">
    <w:name w:val="ECHR_Table_For_Internal_Use"/>
    <w:basedOn w:val="TableNormal"/>
    <w:uiPriority w:val="99"/>
    <w:rsid w:val="002B5B43"/>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B5B43"/>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B5B43"/>
  </w:style>
  <w:style w:type="paragraph" w:styleId="BlockText">
    <w:name w:val="Block Text"/>
    <w:basedOn w:val="Normal"/>
    <w:uiPriority w:val="98"/>
    <w:semiHidden/>
    <w:rsid w:val="002B5B4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B5B43"/>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B5B43"/>
    <w:pPr>
      <w:spacing w:after="120"/>
    </w:pPr>
  </w:style>
  <w:style w:type="character" w:customStyle="1" w:styleId="BodyTextChar">
    <w:name w:val="Body Text Char"/>
    <w:basedOn w:val="DefaultParagraphFont"/>
    <w:link w:val="BodyText"/>
    <w:uiPriority w:val="98"/>
    <w:semiHidden/>
    <w:rsid w:val="002B5B43"/>
    <w:rPr>
      <w:sz w:val="24"/>
      <w:szCs w:val="24"/>
      <w:lang w:val="en-GB"/>
    </w:rPr>
  </w:style>
  <w:style w:type="table" w:customStyle="1" w:styleId="ECHRTableOddBanded">
    <w:name w:val="ECHR_Table_Odd_Banded"/>
    <w:basedOn w:val="TableNormal"/>
    <w:uiPriority w:val="99"/>
    <w:rsid w:val="002B5B4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B5B43"/>
    <w:pPr>
      <w:spacing w:after="120" w:line="480" w:lineRule="auto"/>
    </w:pPr>
  </w:style>
  <w:style w:type="table" w:customStyle="1" w:styleId="ECHRHeaderTableReduced">
    <w:name w:val="ECHR_Header_Table_Reduced"/>
    <w:basedOn w:val="TableNormal"/>
    <w:uiPriority w:val="99"/>
    <w:rsid w:val="002B5B4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B5B43"/>
    <w:pPr>
      <w:ind w:firstLine="284"/>
    </w:pPr>
    <w:rPr>
      <w:b/>
    </w:rPr>
  </w:style>
  <w:style w:type="character" w:styleId="PageNumber">
    <w:name w:val="page number"/>
    <w:uiPriority w:val="98"/>
    <w:semiHidden/>
    <w:rsid w:val="002B5B43"/>
    <w:rPr>
      <w:sz w:val="18"/>
    </w:rPr>
  </w:style>
  <w:style w:type="paragraph" w:styleId="ListBullet">
    <w:name w:val="List Bullet"/>
    <w:basedOn w:val="Normal"/>
    <w:uiPriority w:val="98"/>
    <w:semiHidden/>
    <w:rsid w:val="002B5B43"/>
    <w:pPr>
      <w:numPr>
        <w:numId w:val="11"/>
      </w:numPr>
    </w:pPr>
  </w:style>
  <w:style w:type="paragraph" w:styleId="ListBullet3">
    <w:name w:val="List Bullet 3"/>
    <w:basedOn w:val="Normal"/>
    <w:uiPriority w:val="98"/>
    <w:semiHidden/>
    <w:rsid w:val="002B5B43"/>
    <w:pPr>
      <w:numPr>
        <w:numId w:val="13"/>
      </w:numPr>
      <w:contextualSpacing/>
    </w:pPr>
  </w:style>
  <w:style w:type="character" w:customStyle="1" w:styleId="BodyText2Char">
    <w:name w:val="Body Text 2 Char"/>
    <w:basedOn w:val="DefaultParagraphFont"/>
    <w:link w:val="BodyText2"/>
    <w:uiPriority w:val="98"/>
    <w:semiHidden/>
    <w:rsid w:val="002B5B43"/>
    <w:rPr>
      <w:sz w:val="24"/>
      <w:szCs w:val="24"/>
      <w:lang w:val="en-GB"/>
    </w:rPr>
  </w:style>
  <w:style w:type="paragraph" w:styleId="BodyText3">
    <w:name w:val="Body Text 3"/>
    <w:basedOn w:val="Normal"/>
    <w:link w:val="BodyText3Char"/>
    <w:uiPriority w:val="98"/>
    <w:semiHidden/>
    <w:rsid w:val="002B5B43"/>
    <w:pPr>
      <w:spacing w:after="120"/>
    </w:pPr>
    <w:rPr>
      <w:sz w:val="16"/>
      <w:szCs w:val="16"/>
    </w:rPr>
  </w:style>
  <w:style w:type="character" w:customStyle="1" w:styleId="BodyText3Char">
    <w:name w:val="Body Text 3 Char"/>
    <w:basedOn w:val="DefaultParagraphFont"/>
    <w:link w:val="BodyText3"/>
    <w:uiPriority w:val="98"/>
    <w:semiHidden/>
    <w:rsid w:val="002B5B43"/>
    <w:rPr>
      <w:sz w:val="16"/>
      <w:szCs w:val="16"/>
      <w:lang w:val="en-GB"/>
    </w:rPr>
  </w:style>
  <w:style w:type="paragraph" w:styleId="BodyTextFirstIndent">
    <w:name w:val="Body Text First Indent"/>
    <w:basedOn w:val="BodyText"/>
    <w:link w:val="BodyTextFirstIndentChar"/>
    <w:uiPriority w:val="98"/>
    <w:semiHidden/>
    <w:rsid w:val="002B5B43"/>
    <w:pPr>
      <w:spacing w:after="0"/>
      <w:ind w:firstLine="360"/>
    </w:pPr>
  </w:style>
  <w:style w:type="character" w:customStyle="1" w:styleId="BodyTextFirstIndentChar">
    <w:name w:val="Body Text First Indent Char"/>
    <w:basedOn w:val="BodyTextChar"/>
    <w:link w:val="BodyTextFirstIndent"/>
    <w:uiPriority w:val="98"/>
    <w:semiHidden/>
    <w:rsid w:val="002B5B43"/>
    <w:rPr>
      <w:sz w:val="24"/>
      <w:szCs w:val="24"/>
      <w:lang w:val="en-GB"/>
    </w:rPr>
  </w:style>
  <w:style w:type="paragraph" w:styleId="BodyTextIndent">
    <w:name w:val="Body Text Indent"/>
    <w:basedOn w:val="Normal"/>
    <w:link w:val="BodyTextIndentChar"/>
    <w:uiPriority w:val="98"/>
    <w:semiHidden/>
    <w:rsid w:val="002B5B43"/>
    <w:pPr>
      <w:spacing w:after="120"/>
      <w:ind w:left="283"/>
    </w:pPr>
  </w:style>
  <w:style w:type="character" w:customStyle="1" w:styleId="BodyTextIndentChar">
    <w:name w:val="Body Text Indent Char"/>
    <w:basedOn w:val="DefaultParagraphFont"/>
    <w:link w:val="BodyTextIndent"/>
    <w:uiPriority w:val="98"/>
    <w:semiHidden/>
    <w:rsid w:val="002B5B43"/>
    <w:rPr>
      <w:sz w:val="24"/>
      <w:szCs w:val="24"/>
      <w:lang w:val="en-GB"/>
    </w:rPr>
  </w:style>
  <w:style w:type="paragraph" w:styleId="BodyTextFirstIndent2">
    <w:name w:val="Body Text First Indent 2"/>
    <w:basedOn w:val="BodyTextIndent"/>
    <w:link w:val="BodyTextFirstIndent2Char"/>
    <w:uiPriority w:val="98"/>
    <w:semiHidden/>
    <w:rsid w:val="002B5B43"/>
    <w:pPr>
      <w:spacing w:after="0"/>
      <w:ind w:left="360" w:firstLine="360"/>
    </w:pPr>
  </w:style>
  <w:style w:type="character" w:customStyle="1" w:styleId="BodyTextFirstIndent2Char">
    <w:name w:val="Body Text First Indent 2 Char"/>
    <w:basedOn w:val="BodyTextIndentChar"/>
    <w:link w:val="BodyTextFirstIndent2"/>
    <w:uiPriority w:val="98"/>
    <w:semiHidden/>
    <w:rsid w:val="002B5B43"/>
    <w:rPr>
      <w:sz w:val="24"/>
      <w:szCs w:val="24"/>
      <w:lang w:val="en-GB"/>
    </w:rPr>
  </w:style>
  <w:style w:type="paragraph" w:styleId="BodyTextIndent2">
    <w:name w:val="Body Text Indent 2"/>
    <w:basedOn w:val="Normal"/>
    <w:link w:val="BodyTextIndent2Char"/>
    <w:uiPriority w:val="98"/>
    <w:semiHidden/>
    <w:rsid w:val="002B5B43"/>
    <w:pPr>
      <w:spacing w:after="120" w:line="480" w:lineRule="auto"/>
      <w:ind w:left="283"/>
    </w:pPr>
  </w:style>
  <w:style w:type="character" w:customStyle="1" w:styleId="BodyTextIndent2Char">
    <w:name w:val="Body Text Indent 2 Char"/>
    <w:basedOn w:val="DefaultParagraphFont"/>
    <w:link w:val="BodyTextIndent2"/>
    <w:uiPriority w:val="98"/>
    <w:semiHidden/>
    <w:rsid w:val="002B5B43"/>
    <w:rPr>
      <w:sz w:val="24"/>
      <w:szCs w:val="24"/>
      <w:lang w:val="en-GB"/>
    </w:rPr>
  </w:style>
  <w:style w:type="paragraph" w:styleId="BodyTextIndent3">
    <w:name w:val="Body Text Indent 3"/>
    <w:basedOn w:val="Normal"/>
    <w:link w:val="BodyTextIndent3Char"/>
    <w:uiPriority w:val="98"/>
    <w:semiHidden/>
    <w:rsid w:val="002B5B4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B5B43"/>
    <w:rPr>
      <w:sz w:val="16"/>
      <w:szCs w:val="16"/>
      <w:lang w:val="en-GB"/>
    </w:rPr>
  </w:style>
  <w:style w:type="paragraph" w:styleId="Caption">
    <w:name w:val="caption"/>
    <w:basedOn w:val="Normal"/>
    <w:next w:val="Normal"/>
    <w:uiPriority w:val="98"/>
    <w:semiHidden/>
    <w:qFormat/>
    <w:rsid w:val="002B5B43"/>
    <w:pPr>
      <w:spacing w:after="200"/>
    </w:pPr>
    <w:rPr>
      <w:b/>
      <w:bCs/>
      <w:color w:val="0072BC" w:themeColor="accent1"/>
      <w:sz w:val="18"/>
      <w:szCs w:val="18"/>
    </w:rPr>
  </w:style>
  <w:style w:type="paragraph" w:styleId="Closing">
    <w:name w:val="Closing"/>
    <w:basedOn w:val="Normal"/>
    <w:link w:val="ClosingChar"/>
    <w:uiPriority w:val="98"/>
    <w:semiHidden/>
    <w:rsid w:val="002B5B43"/>
    <w:pPr>
      <w:ind w:left="4252"/>
    </w:pPr>
  </w:style>
  <w:style w:type="character" w:customStyle="1" w:styleId="ClosingChar">
    <w:name w:val="Closing Char"/>
    <w:basedOn w:val="DefaultParagraphFont"/>
    <w:link w:val="Closing"/>
    <w:uiPriority w:val="98"/>
    <w:semiHidden/>
    <w:rsid w:val="002B5B43"/>
    <w:rPr>
      <w:sz w:val="24"/>
      <w:szCs w:val="24"/>
      <w:lang w:val="en-GB"/>
    </w:rPr>
  </w:style>
  <w:style w:type="table" w:styleId="ColorfulGrid">
    <w:name w:val="Colorful Grid"/>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B5B43"/>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B5B43"/>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B5B43"/>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B5B43"/>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B5B43"/>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B5B43"/>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B5B43"/>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B5B43"/>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B5B43"/>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B5B4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B5B4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B5B43"/>
    <w:rPr>
      <w:sz w:val="16"/>
      <w:szCs w:val="16"/>
    </w:rPr>
  </w:style>
  <w:style w:type="paragraph" w:styleId="CommentText">
    <w:name w:val="annotation text"/>
    <w:basedOn w:val="Normal"/>
    <w:link w:val="CommentTextChar"/>
    <w:uiPriority w:val="98"/>
    <w:semiHidden/>
    <w:rsid w:val="002B5B43"/>
    <w:rPr>
      <w:sz w:val="20"/>
      <w:szCs w:val="20"/>
    </w:rPr>
  </w:style>
  <w:style w:type="character" w:customStyle="1" w:styleId="CommentTextChar">
    <w:name w:val="Comment Text Char"/>
    <w:basedOn w:val="DefaultParagraphFont"/>
    <w:link w:val="CommentText"/>
    <w:uiPriority w:val="98"/>
    <w:semiHidden/>
    <w:rsid w:val="002B5B43"/>
    <w:rPr>
      <w:sz w:val="20"/>
      <w:szCs w:val="20"/>
      <w:lang w:val="en-GB"/>
    </w:rPr>
  </w:style>
  <w:style w:type="paragraph" w:styleId="CommentSubject">
    <w:name w:val="annotation subject"/>
    <w:basedOn w:val="CommentText"/>
    <w:next w:val="CommentText"/>
    <w:link w:val="CommentSubjectChar"/>
    <w:uiPriority w:val="98"/>
    <w:semiHidden/>
    <w:rsid w:val="002B5B43"/>
    <w:rPr>
      <w:b/>
      <w:bCs/>
    </w:rPr>
  </w:style>
  <w:style w:type="character" w:customStyle="1" w:styleId="CommentSubjectChar">
    <w:name w:val="Comment Subject Char"/>
    <w:basedOn w:val="CommentTextChar"/>
    <w:link w:val="CommentSubject"/>
    <w:uiPriority w:val="98"/>
    <w:semiHidden/>
    <w:rsid w:val="002B5B43"/>
    <w:rPr>
      <w:b/>
      <w:bCs/>
      <w:sz w:val="20"/>
      <w:szCs w:val="20"/>
      <w:lang w:val="en-GB"/>
    </w:rPr>
  </w:style>
  <w:style w:type="table" w:styleId="DarkList">
    <w:name w:val="Dark List"/>
    <w:basedOn w:val="TableNormal"/>
    <w:uiPriority w:val="70"/>
    <w:semiHidden/>
    <w:rsid w:val="002B5B43"/>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B5B43"/>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B5B43"/>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B5B43"/>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B5B43"/>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B5B43"/>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B5B43"/>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B5B43"/>
  </w:style>
  <w:style w:type="character" w:customStyle="1" w:styleId="DateChar">
    <w:name w:val="Date Char"/>
    <w:basedOn w:val="DefaultParagraphFont"/>
    <w:link w:val="Date"/>
    <w:uiPriority w:val="98"/>
    <w:semiHidden/>
    <w:rsid w:val="002B5B43"/>
    <w:rPr>
      <w:sz w:val="24"/>
      <w:szCs w:val="24"/>
      <w:lang w:val="en-GB"/>
    </w:rPr>
  </w:style>
  <w:style w:type="paragraph" w:styleId="DocumentMap">
    <w:name w:val="Document Map"/>
    <w:basedOn w:val="Normal"/>
    <w:link w:val="DocumentMapChar"/>
    <w:uiPriority w:val="98"/>
    <w:semiHidden/>
    <w:rsid w:val="002B5B43"/>
    <w:rPr>
      <w:rFonts w:ascii="Tahoma" w:hAnsi="Tahoma" w:cs="Tahoma"/>
      <w:sz w:val="16"/>
      <w:szCs w:val="16"/>
    </w:rPr>
  </w:style>
  <w:style w:type="character" w:customStyle="1" w:styleId="DocumentMapChar">
    <w:name w:val="Document Map Char"/>
    <w:basedOn w:val="DefaultParagraphFont"/>
    <w:link w:val="DocumentMap"/>
    <w:uiPriority w:val="98"/>
    <w:semiHidden/>
    <w:rsid w:val="002B5B43"/>
    <w:rPr>
      <w:rFonts w:ascii="Tahoma" w:hAnsi="Tahoma" w:cs="Tahoma"/>
      <w:sz w:val="16"/>
      <w:szCs w:val="16"/>
      <w:lang w:val="en-GB"/>
    </w:rPr>
  </w:style>
  <w:style w:type="paragraph" w:styleId="E-mailSignature">
    <w:name w:val="E-mail Signature"/>
    <w:basedOn w:val="Normal"/>
    <w:link w:val="E-mailSignatureChar"/>
    <w:uiPriority w:val="98"/>
    <w:semiHidden/>
    <w:rsid w:val="002B5B43"/>
  </w:style>
  <w:style w:type="character" w:customStyle="1" w:styleId="E-mailSignatureChar">
    <w:name w:val="E-mail Signature Char"/>
    <w:basedOn w:val="DefaultParagraphFont"/>
    <w:link w:val="E-mailSignature"/>
    <w:uiPriority w:val="98"/>
    <w:semiHidden/>
    <w:rsid w:val="002B5B43"/>
    <w:rPr>
      <w:sz w:val="24"/>
      <w:szCs w:val="24"/>
      <w:lang w:val="en-GB"/>
    </w:rPr>
  </w:style>
  <w:style w:type="character" w:styleId="EndnoteReference">
    <w:name w:val="endnote reference"/>
    <w:basedOn w:val="DefaultParagraphFont"/>
    <w:uiPriority w:val="98"/>
    <w:semiHidden/>
    <w:rsid w:val="002B5B43"/>
    <w:rPr>
      <w:vertAlign w:val="superscript"/>
    </w:rPr>
  </w:style>
  <w:style w:type="paragraph" w:styleId="EndnoteText">
    <w:name w:val="endnote text"/>
    <w:basedOn w:val="Normal"/>
    <w:link w:val="EndnoteTextChar"/>
    <w:uiPriority w:val="98"/>
    <w:semiHidden/>
    <w:rsid w:val="002B5B43"/>
    <w:rPr>
      <w:sz w:val="20"/>
      <w:szCs w:val="20"/>
    </w:rPr>
  </w:style>
  <w:style w:type="character" w:customStyle="1" w:styleId="EndnoteTextChar">
    <w:name w:val="Endnote Text Char"/>
    <w:basedOn w:val="DefaultParagraphFont"/>
    <w:link w:val="EndnoteText"/>
    <w:uiPriority w:val="98"/>
    <w:semiHidden/>
    <w:rsid w:val="002B5B43"/>
    <w:rPr>
      <w:sz w:val="20"/>
      <w:szCs w:val="20"/>
      <w:lang w:val="en-GB"/>
    </w:rPr>
  </w:style>
  <w:style w:type="paragraph" w:styleId="EnvelopeAddress">
    <w:name w:val="envelope address"/>
    <w:basedOn w:val="Normal"/>
    <w:uiPriority w:val="98"/>
    <w:semiHidden/>
    <w:rsid w:val="002B5B4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B5B4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B5B43"/>
    <w:rPr>
      <w:color w:val="7030A0" w:themeColor="followedHyperlink"/>
      <w:u w:val="single"/>
    </w:rPr>
  </w:style>
  <w:style w:type="character" w:styleId="HTMLAcronym">
    <w:name w:val="HTML Acronym"/>
    <w:basedOn w:val="DefaultParagraphFont"/>
    <w:uiPriority w:val="98"/>
    <w:semiHidden/>
    <w:rsid w:val="002B5B43"/>
  </w:style>
  <w:style w:type="paragraph" w:styleId="HTMLAddress">
    <w:name w:val="HTML Address"/>
    <w:basedOn w:val="Normal"/>
    <w:link w:val="HTMLAddressChar"/>
    <w:uiPriority w:val="98"/>
    <w:semiHidden/>
    <w:rsid w:val="002B5B43"/>
    <w:rPr>
      <w:i/>
      <w:iCs/>
    </w:rPr>
  </w:style>
  <w:style w:type="character" w:customStyle="1" w:styleId="HTMLAddressChar">
    <w:name w:val="HTML Address Char"/>
    <w:basedOn w:val="DefaultParagraphFont"/>
    <w:link w:val="HTMLAddress"/>
    <w:uiPriority w:val="98"/>
    <w:semiHidden/>
    <w:rsid w:val="002B5B43"/>
    <w:rPr>
      <w:i/>
      <w:iCs/>
      <w:sz w:val="24"/>
      <w:szCs w:val="24"/>
      <w:lang w:val="en-GB"/>
    </w:rPr>
  </w:style>
  <w:style w:type="character" w:styleId="HTMLCite">
    <w:name w:val="HTML Cite"/>
    <w:basedOn w:val="DefaultParagraphFont"/>
    <w:uiPriority w:val="98"/>
    <w:semiHidden/>
    <w:rsid w:val="002B5B43"/>
    <w:rPr>
      <w:i/>
      <w:iCs/>
    </w:rPr>
  </w:style>
  <w:style w:type="character" w:styleId="HTMLCode">
    <w:name w:val="HTML Code"/>
    <w:basedOn w:val="DefaultParagraphFont"/>
    <w:uiPriority w:val="98"/>
    <w:semiHidden/>
    <w:rsid w:val="002B5B43"/>
    <w:rPr>
      <w:rFonts w:ascii="Consolas" w:hAnsi="Consolas" w:cs="Consolas"/>
      <w:sz w:val="20"/>
      <w:szCs w:val="20"/>
    </w:rPr>
  </w:style>
  <w:style w:type="character" w:styleId="HTMLDefinition">
    <w:name w:val="HTML Definition"/>
    <w:basedOn w:val="DefaultParagraphFont"/>
    <w:uiPriority w:val="98"/>
    <w:semiHidden/>
    <w:rsid w:val="002B5B43"/>
    <w:rPr>
      <w:i/>
      <w:iCs/>
    </w:rPr>
  </w:style>
  <w:style w:type="character" w:styleId="HTMLKeyboard">
    <w:name w:val="HTML Keyboard"/>
    <w:basedOn w:val="DefaultParagraphFont"/>
    <w:uiPriority w:val="98"/>
    <w:semiHidden/>
    <w:rsid w:val="002B5B43"/>
    <w:rPr>
      <w:rFonts w:ascii="Consolas" w:hAnsi="Consolas" w:cs="Consolas"/>
      <w:sz w:val="20"/>
      <w:szCs w:val="20"/>
    </w:rPr>
  </w:style>
  <w:style w:type="paragraph" w:styleId="HTMLPreformatted">
    <w:name w:val="HTML Preformatted"/>
    <w:basedOn w:val="Normal"/>
    <w:link w:val="HTMLPreformattedChar"/>
    <w:uiPriority w:val="98"/>
    <w:semiHidden/>
    <w:rsid w:val="002B5B4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B5B43"/>
    <w:rPr>
      <w:rFonts w:ascii="Consolas" w:hAnsi="Consolas" w:cs="Consolas"/>
      <w:sz w:val="20"/>
      <w:szCs w:val="20"/>
      <w:lang w:val="en-GB"/>
    </w:rPr>
  </w:style>
  <w:style w:type="character" w:styleId="HTMLSample">
    <w:name w:val="HTML Sample"/>
    <w:basedOn w:val="DefaultParagraphFont"/>
    <w:uiPriority w:val="98"/>
    <w:semiHidden/>
    <w:rsid w:val="002B5B43"/>
    <w:rPr>
      <w:rFonts w:ascii="Consolas" w:hAnsi="Consolas" w:cs="Consolas"/>
      <w:sz w:val="24"/>
      <w:szCs w:val="24"/>
    </w:rPr>
  </w:style>
  <w:style w:type="character" w:styleId="HTMLTypewriter">
    <w:name w:val="HTML Typewriter"/>
    <w:basedOn w:val="DefaultParagraphFont"/>
    <w:uiPriority w:val="98"/>
    <w:semiHidden/>
    <w:rsid w:val="002B5B43"/>
    <w:rPr>
      <w:rFonts w:ascii="Consolas" w:hAnsi="Consolas" w:cs="Consolas"/>
      <w:sz w:val="20"/>
      <w:szCs w:val="20"/>
    </w:rPr>
  </w:style>
  <w:style w:type="character" w:styleId="HTMLVariable">
    <w:name w:val="HTML Variable"/>
    <w:basedOn w:val="DefaultParagraphFont"/>
    <w:uiPriority w:val="98"/>
    <w:semiHidden/>
    <w:rsid w:val="002B5B43"/>
    <w:rPr>
      <w:i/>
      <w:iCs/>
    </w:rPr>
  </w:style>
  <w:style w:type="paragraph" w:styleId="Index1">
    <w:name w:val="index 1"/>
    <w:basedOn w:val="Normal"/>
    <w:next w:val="Normal"/>
    <w:autoRedefine/>
    <w:uiPriority w:val="98"/>
    <w:semiHidden/>
    <w:rsid w:val="002B5B43"/>
    <w:pPr>
      <w:ind w:left="240" w:hanging="240"/>
    </w:pPr>
  </w:style>
  <w:style w:type="paragraph" w:styleId="Index2">
    <w:name w:val="index 2"/>
    <w:basedOn w:val="Normal"/>
    <w:next w:val="Normal"/>
    <w:autoRedefine/>
    <w:uiPriority w:val="98"/>
    <w:semiHidden/>
    <w:rsid w:val="002B5B43"/>
    <w:pPr>
      <w:ind w:left="480" w:hanging="240"/>
    </w:pPr>
  </w:style>
  <w:style w:type="paragraph" w:styleId="Index3">
    <w:name w:val="index 3"/>
    <w:basedOn w:val="Normal"/>
    <w:next w:val="Normal"/>
    <w:autoRedefine/>
    <w:uiPriority w:val="98"/>
    <w:semiHidden/>
    <w:rsid w:val="002B5B43"/>
    <w:pPr>
      <w:ind w:left="720" w:hanging="240"/>
    </w:pPr>
  </w:style>
  <w:style w:type="paragraph" w:styleId="Index4">
    <w:name w:val="index 4"/>
    <w:basedOn w:val="Normal"/>
    <w:next w:val="Normal"/>
    <w:autoRedefine/>
    <w:uiPriority w:val="98"/>
    <w:semiHidden/>
    <w:rsid w:val="002B5B43"/>
    <w:pPr>
      <w:ind w:left="960" w:hanging="240"/>
    </w:pPr>
  </w:style>
  <w:style w:type="paragraph" w:styleId="Index5">
    <w:name w:val="index 5"/>
    <w:basedOn w:val="Normal"/>
    <w:next w:val="Normal"/>
    <w:autoRedefine/>
    <w:uiPriority w:val="98"/>
    <w:semiHidden/>
    <w:rsid w:val="002B5B43"/>
    <w:pPr>
      <w:ind w:left="1200" w:hanging="240"/>
    </w:pPr>
  </w:style>
  <w:style w:type="paragraph" w:styleId="Index6">
    <w:name w:val="index 6"/>
    <w:basedOn w:val="Normal"/>
    <w:next w:val="Normal"/>
    <w:autoRedefine/>
    <w:uiPriority w:val="98"/>
    <w:semiHidden/>
    <w:rsid w:val="002B5B43"/>
    <w:pPr>
      <w:ind w:left="1440" w:hanging="240"/>
    </w:pPr>
  </w:style>
  <w:style w:type="paragraph" w:styleId="Index7">
    <w:name w:val="index 7"/>
    <w:basedOn w:val="Normal"/>
    <w:next w:val="Normal"/>
    <w:autoRedefine/>
    <w:uiPriority w:val="98"/>
    <w:semiHidden/>
    <w:rsid w:val="002B5B43"/>
    <w:pPr>
      <w:ind w:left="1680" w:hanging="240"/>
    </w:pPr>
  </w:style>
  <w:style w:type="paragraph" w:styleId="Index8">
    <w:name w:val="index 8"/>
    <w:basedOn w:val="Normal"/>
    <w:next w:val="Normal"/>
    <w:autoRedefine/>
    <w:uiPriority w:val="98"/>
    <w:semiHidden/>
    <w:rsid w:val="002B5B43"/>
    <w:pPr>
      <w:ind w:left="1920" w:hanging="240"/>
    </w:pPr>
  </w:style>
  <w:style w:type="paragraph" w:styleId="Index9">
    <w:name w:val="index 9"/>
    <w:basedOn w:val="Normal"/>
    <w:next w:val="Normal"/>
    <w:autoRedefine/>
    <w:uiPriority w:val="98"/>
    <w:semiHidden/>
    <w:rsid w:val="002B5B43"/>
    <w:pPr>
      <w:ind w:left="2160" w:hanging="240"/>
    </w:pPr>
  </w:style>
  <w:style w:type="paragraph" w:styleId="IndexHeading">
    <w:name w:val="index heading"/>
    <w:basedOn w:val="Normal"/>
    <w:next w:val="Index1"/>
    <w:uiPriority w:val="98"/>
    <w:semiHidden/>
    <w:rsid w:val="002B5B43"/>
    <w:rPr>
      <w:rFonts w:asciiTheme="majorHAnsi" w:eastAsiaTheme="majorEastAsia" w:hAnsiTheme="majorHAnsi" w:cstheme="majorBidi"/>
      <w:b/>
      <w:bCs/>
    </w:rPr>
  </w:style>
  <w:style w:type="table" w:styleId="LightGrid">
    <w:name w:val="Light Grid"/>
    <w:basedOn w:val="TableNormal"/>
    <w:uiPriority w:val="62"/>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B5B4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B5B4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B5B4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B5B43"/>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B5B4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B5B4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B5B4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B5B43"/>
  </w:style>
  <w:style w:type="paragraph" w:styleId="List">
    <w:name w:val="List"/>
    <w:basedOn w:val="Normal"/>
    <w:uiPriority w:val="98"/>
    <w:semiHidden/>
    <w:rsid w:val="002B5B43"/>
    <w:pPr>
      <w:ind w:left="283" w:hanging="283"/>
      <w:contextualSpacing/>
    </w:pPr>
  </w:style>
  <w:style w:type="paragraph" w:styleId="List20">
    <w:name w:val="List 2"/>
    <w:basedOn w:val="Normal"/>
    <w:uiPriority w:val="98"/>
    <w:semiHidden/>
    <w:rsid w:val="002B5B43"/>
    <w:pPr>
      <w:ind w:left="566" w:hanging="283"/>
      <w:contextualSpacing/>
    </w:pPr>
  </w:style>
  <w:style w:type="paragraph" w:styleId="List30">
    <w:name w:val="List 3"/>
    <w:basedOn w:val="Normal"/>
    <w:uiPriority w:val="98"/>
    <w:semiHidden/>
    <w:rsid w:val="002B5B43"/>
    <w:pPr>
      <w:ind w:left="849" w:hanging="283"/>
      <w:contextualSpacing/>
    </w:pPr>
  </w:style>
  <w:style w:type="paragraph" w:styleId="List4">
    <w:name w:val="List 4"/>
    <w:basedOn w:val="Normal"/>
    <w:uiPriority w:val="98"/>
    <w:semiHidden/>
    <w:rsid w:val="002B5B43"/>
    <w:pPr>
      <w:ind w:left="1132" w:hanging="283"/>
      <w:contextualSpacing/>
    </w:pPr>
  </w:style>
  <w:style w:type="paragraph" w:styleId="List5">
    <w:name w:val="List 5"/>
    <w:basedOn w:val="Normal"/>
    <w:uiPriority w:val="98"/>
    <w:semiHidden/>
    <w:rsid w:val="002B5B43"/>
    <w:pPr>
      <w:ind w:left="1415" w:hanging="283"/>
      <w:contextualSpacing/>
    </w:pPr>
  </w:style>
  <w:style w:type="paragraph" w:styleId="ListBullet2">
    <w:name w:val="List Bullet 2"/>
    <w:basedOn w:val="Normal"/>
    <w:uiPriority w:val="98"/>
    <w:semiHidden/>
    <w:rsid w:val="002B5B43"/>
    <w:pPr>
      <w:numPr>
        <w:numId w:val="12"/>
      </w:numPr>
      <w:contextualSpacing/>
    </w:pPr>
  </w:style>
  <w:style w:type="paragraph" w:styleId="ListBullet4">
    <w:name w:val="List Bullet 4"/>
    <w:basedOn w:val="Normal"/>
    <w:uiPriority w:val="98"/>
    <w:semiHidden/>
    <w:rsid w:val="002B5B43"/>
    <w:pPr>
      <w:numPr>
        <w:numId w:val="14"/>
      </w:numPr>
      <w:contextualSpacing/>
    </w:pPr>
  </w:style>
  <w:style w:type="paragraph" w:styleId="ListBullet5">
    <w:name w:val="List Bullet 5"/>
    <w:basedOn w:val="Normal"/>
    <w:uiPriority w:val="98"/>
    <w:semiHidden/>
    <w:rsid w:val="002B5B43"/>
    <w:pPr>
      <w:numPr>
        <w:numId w:val="15"/>
      </w:numPr>
      <w:contextualSpacing/>
    </w:pPr>
  </w:style>
  <w:style w:type="paragraph" w:styleId="ListContinue">
    <w:name w:val="List Continue"/>
    <w:basedOn w:val="Normal"/>
    <w:uiPriority w:val="98"/>
    <w:semiHidden/>
    <w:rsid w:val="002B5B43"/>
    <w:pPr>
      <w:spacing w:after="120"/>
      <w:ind w:left="283"/>
      <w:contextualSpacing/>
    </w:pPr>
  </w:style>
  <w:style w:type="paragraph" w:styleId="ListContinue2">
    <w:name w:val="List Continue 2"/>
    <w:basedOn w:val="Normal"/>
    <w:uiPriority w:val="98"/>
    <w:semiHidden/>
    <w:rsid w:val="002B5B43"/>
    <w:pPr>
      <w:spacing w:after="120"/>
      <w:ind w:left="566"/>
      <w:contextualSpacing/>
    </w:pPr>
  </w:style>
  <w:style w:type="paragraph" w:styleId="ListContinue3">
    <w:name w:val="List Continue 3"/>
    <w:basedOn w:val="Normal"/>
    <w:uiPriority w:val="98"/>
    <w:semiHidden/>
    <w:rsid w:val="002B5B43"/>
    <w:pPr>
      <w:spacing w:after="120"/>
      <w:ind w:left="849"/>
      <w:contextualSpacing/>
    </w:pPr>
  </w:style>
  <w:style w:type="paragraph" w:styleId="ListContinue4">
    <w:name w:val="List Continue 4"/>
    <w:basedOn w:val="Normal"/>
    <w:uiPriority w:val="98"/>
    <w:semiHidden/>
    <w:rsid w:val="002B5B43"/>
    <w:pPr>
      <w:spacing w:after="120"/>
      <w:ind w:left="1132"/>
      <w:contextualSpacing/>
    </w:pPr>
  </w:style>
  <w:style w:type="paragraph" w:styleId="ListContinue5">
    <w:name w:val="List Continue 5"/>
    <w:basedOn w:val="Normal"/>
    <w:uiPriority w:val="98"/>
    <w:semiHidden/>
    <w:rsid w:val="002B5B43"/>
    <w:pPr>
      <w:spacing w:after="120"/>
      <w:ind w:left="1415"/>
      <w:contextualSpacing/>
    </w:pPr>
  </w:style>
  <w:style w:type="paragraph" w:styleId="ListNumber">
    <w:name w:val="List Number"/>
    <w:basedOn w:val="Normal"/>
    <w:uiPriority w:val="98"/>
    <w:semiHidden/>
    <w:rsid w:val="002B5B43"/>
    <w:pPr>
      <w:numPr>
        <w:numId w:val="16"/>
      </w:numPr>
      <w:contextualSpacing/>
    </w:pPr>
  </w:style>
  <w:style w:type="paragraph" w:styleId="ListNumber2">
    <w:name w:val="List Number 2"/>
    <w:basedOn w:val="Normal"/>
    <w:uiPriority w:val="98"/>
    <w:semiHidden/>
    <w:rsid w:val="002B5B43"/>
    <w:pPr>
      <w:numPr>
        <w:numId w:val="17"/>
      </w:numPr>
      <w:contextualSpacing/>
    </w:pPr>
  </w:style>
  <w:style w:type="paragraph" w:styleId="ListNumber3">
    <w:name w:val="List Number 3"/>
    <w:basedOn w:val="Normal"/>
    <w:uiPriority w:val="98"/>
    <w:semiHidden/>
    <w:rsid w:val="002B5B43"/>
    <w:pPr>
      <w:numPr>
        <w:numId w:val="18"/>
      </w:numPr>
      <w:contextualSpacing/>
    </w:pPr>
  </w:style>
  <w:style w:type="paragraph" w:styleId="ListNumber4">
    <w:name w:val="List Number 4"/>
    <w:basedOn w:val="Normal"/>
    <w:uiPriority w:val="98"/>
    <w:semiHidden/>
    <w:rsid w:val="002B5B43"/>
    <w:pPr>
      <w:numPr>
        <w:numId w:val="19"/>
      </w:numPr>
      <w:contextualSpacing/>
    </w:pPr>
  </w:style>
  <w:style w:type="paragraph" w:styleId="ListNumber5">
    <w:name w:val="List Number 5"/>
    <w:basedOn w:val="Normal"/>
    <w:uiPriority w:val="98"/>
    <w:semiHidden/>
    <w:rsid w:val="002B5B43"/>
    <w:pPr>
      <w:numPr>
        <w:numId w:val="20"/>
      </w:numPr>
      <w:contextualSpacing/>
    </w:pPr>
  </w:style>
  <w:style w:type="paragraph" w:styleId="Macro">
    <w:name w:val="macro"/>
    <w:link w:val="MacroTextChar"/>
    <w:uiPriority w:val="98"/>
    <w:semiHidden/>
    <w:rsid w:val="002B5B4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B5B43"/>
    <w:rPr>
      <w:rFonts w:ascii="Consolas" w:hAnsi="Consolas" w:eastAsiaTheme="minorEastAsia" w:cs="Consolas"/>
      <w:sz w:val="20"/>
      <w:szCs w:val="20"/>
    </w:rPr>
  </w:style>
  <w:style w:type="table" w:styleId="MediumGrid1">
    <w:name w:val="Medium Grid 1"/>
    <w:basedOn w:val="TableNormal"/>
    <w:uiPriority w:val="67"/>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B5B4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B5B4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B5B4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B5B43"/>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B5B4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B5B4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B5B4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B5B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B5B4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B5B43"/>
    <w:rPr>
      <w:rFonts w:ascii="Times New Roman" w:hAnsi="Times New Roman" w:cs="Times New Roman"/>
    </w:rPr>
  </w:style>
  <w:style w:type="paragraph" w:styleId="NormalIndent">
    <w:name w:val="Normal Indent"/>
    <w:basedOn w:val="Normal"/>
    <w:uiPriority w:val="98"/>
    <w:semiHidden/>
    <w:rsid w:val="002B5B43"/>
    <w:pPr>
      <w:ind w:left="720"/>
    </w:pPr>
  </w:style>
  <w:style w:type="paragraph" w:styleId="NoteHeading">
    <w:name w:val="Note Heading"/>
    <w:basedOn w:val="Normal"/>
    <w:next w:val="Normal"/>
    <w:link w:val="NoteHeadingChar"/>
    <w:uiPriority w:val="98"/>
    <w:semiHidden/>
    <w:rsid w:val="002B5B43"/>
  </w:style>
  <w:style w:type="character" w:customStyle="1" w:styleId="NoteHeadingChar">
    <w:name w:val="Note Heading Char"/>
    <w:basedOn w:val="DefaultParagraphFont"/>
    <w:link w:val="NoteHeading"/>
    <w:uiPriority w:val="98"/>
    <w:semiHidden/>
    <w:rsid w:val="002B5B43"/>
    <w:rPr>
      <w:sz w:val="24"/>
      <w:szCs w:val="24"/>
      <w:lang w:val="en-GB"/>
    </w:rPr>
  </w:style>
  <w:style w:type="character" w:styleId="PlaceholderText">
    <w:name w:val="Placeholder Text"/>
    <w:basedOn w:val="DefaultParagraphFont"/>
    <w:uiPriority w:val="98"/>
    <w:semiHidden/>
    <w:rsid w:val="002B5B4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B5B43"/>
    <w:rPr>
      <w:rFonts w:ascii="Consolas" w:hAnsi="Consolas" w:cs="Consolas"/>
      <w:sz w:val="21"/>
      <w:szCs w:val="21"/>
    </w:rPr>
  </w:style>
  <w:style w:type="character" w:customStyle="1" w:styleId="PlainTextChar">
    <w:name w:val="Plain Text Char"/>
    <w:basedOn w:val="DefaultParagraphFont"/>
    <w:link w:val="PlainText"/>
    <w:uiPriority w:val="98"/>
    <w:semiHidden/>
    <w:rsid w:val="002B5B43"/>
    <w:rPr>
      <w:rFonts w:ascii="Consolas" w:hAnsi="Consolas" w:cs="Consolas"/>
      <w:sz w:val="21"/>
      <w:szCs w:val="21"/>
      <w:lang w:val="en-GB"/>
    </w:rPr>
  </w:style>
  <w:style w:type="paragraph" w:styleId="Salutation">
    <w:name w:val="Salutation"/>
    <w:basedOn w:val="Normal"/>
    <w:next w:val="Normal"/>
    <w:link w:val="SalutationChar"/>
    <w:uiPriority w:val="98"/>
    <w:semiHidden/>
    <w:rsid w:val="002B5B43"/>
  </w:style>
  <w:style w:type="character" w:customStyle="1" w:styleId="SalutationChar">
    <w:name w:val="Salutation Char"/>
    <w:basedOn w:val="DefaultParagraphFont"/>
    <w:link w:val="Salutation"/>
    <w:uiPriority w:val="98"/>
    <w:semiHidden/>
    <w:rsid w:val="002B5B43"/>
    <w:rPr>
      <w:sz w:val="24"/>
      <w:szCs w:val="24"/>
      <w:lang w:val="en-GB"/>
    </w:rPr>
  </w:style>
  <w:style w:type="paragraph" w:styleId="Signature0">
    <w:name w:val="Signature"/>
    <w:basedOn w:val="Normal"/>
    <w:link w:val="SignatureChar"/>
    <w:uiPriority w:val="98"/>
    <w:semiHidden/>
    <w:rsid w:val="002B5B43"/>
    <w:pPr>
      <w:ind w:left="4252"/>
    </w:pPr>
  </w:style>
  <w:style w:type="character" w:customStyle="1" w:styleId="SignatureChar">
    <w:name w:val="Signature Char"/>
    <w:basedOn w:val="DefaultParagraphFont"/>
    <w:link w:val="Signature0"/>
    <w:uiPriority w:val="98"/>
    <w:semiHidden/>
    <w:rsid w:val="002B5B43"/>
    <w:rPr>
      <w:sz w:val="24"/>
      <w:szCs w:val="24"/>
      <w:lang w:val="en-GB"/>
    </w:rPr>
  </w:style>
  <w:style w:type="table" w:styleId="Table3Deffects1">
    <w:name w:val="Table 3D effects 1"/>
    <w:basedOn w:val="TableNormal"/>
    <w:uiPriority w:val="99"/>
    <w:semiHidden/>
    <w:unhideWhenUsed/>
    <w:rsid w:val="002B5B4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5B4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5B4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5B4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5B4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5B4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5B4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5B4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5B4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5B4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5B4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5B4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5B4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5B4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5B4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5B4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5B4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5B4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5B4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5B4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B5B4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5B4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5B4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5B4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B5B43"/>
    <w:pPr>
      <w:ind w:left="240" w:hanging="240"/>
    </w:pPr>
  </w:style>
  <w:style w:type="paragraph" w:styleId="TableofFigures">
    <w:name w:val="table of figures"/>
    <w:basedOn w:val="Normal"/>
    <w:next w:val="Normal"/>
    <w:uiPriority w:val="98"/>
    <w:semiHidden/>
    <w:rsid w:val="002B5B43"/>
  </w:style>
  <w:style w:type="table" w:styleId="TableProfessional">
    <w:name w:val="Table Professional"/>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5B4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5B4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5B4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5B4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5B4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5B4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5B4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5B4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B5B4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B5B4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B5B43"/>
    <w:pPr>
      <w:spacing w:after="100"/>
      <w:ind w:left="1680"/>
    </w:pPr>
  </w:style>
  <w:style w:type="paragraph" w:styleId="TOC9">
    <w:name w:val="toc 9"/>
    <w:basedOn w:val="Normal"/>
    <w:next w:val="Normal"/>
    <w:autoRedefine/>
    <w:uiPriority w:val="98"/>
    <w:semiHidden/>
    <w:rsid w:val="002B5B43"/>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B5B4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B5B4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B5B4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2B5B4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B5B43"/>
    <w:pPr>
      <w:numPr>
        <w:numId w:val="7"/>
      </w:numPr>
      <w:spacing w:before="60" w:after="60"/>
    </w:pPr>
  </w:style>
  <w:style w:type="paragraph" w:customStyle="1" w:styleId="ECHRBullet2">
    <w:name w:val="ECHR_Bullet_2"/>
    <w:aliases w:val="_Bul_2"/>
    <w:basedOn w:val="ECHRBullet1"/>
    <w:uiPriority w:val="23"/>
    <w:semiHidden/>
    <w:rsid w:val="002B5B43"/>
    <w:pPr>
      <w:numPr>
        <w:ilvl w:val="1"/>
      </w:numPr>
    </w:pPr>
  </w:style>
  <w:style w:type="paragraph" w:customStyle="1" w:styleId="ECHRBullet3">
    <w:name w:val="ECHR_Bullet_3"/>
    <w:aliases w:val="_Bul_3"/>
    <w:basedOn w:val="ECHRBullet2"/>
    <w:uiPriority w:val="23"/>
    <w:semiHidden/>
    <w:rsid w:val="002B5B43"/>
    <w:pPr>
      <w:numPr>
        <w:ilvl w:val="2"/>
      </w:numPr>
    </w:pPr>
  </w:style>
  <w:style w:type="paragraph" w:customStyle="1" w:styleId="ECHRBullet4">
    <w:name w:val="ECHR_Bullet_4"/>
    <w:aliases w:val="_Bul_4"/>
    <w:basedOn w:val="ECHRBullet3"/>
    <w:uiPriority w:val="23"/>
    <w:semiHidden/>
    <w:rsid w:val="002B5B43"/>
    <w:pPr>
      <w:numPr>
        <w:ilvl w:val="3"/>
      </w:numPr>
    </w:pPr>
  </w:style>
  <w:style w:type="paragraph" w:customStyle="1" w:styleId="ECHRConfidential">
    <w:name w:val="ECHR_Confidential"/>
    <w:aliases w:val="_Confidential"/>
    <w:basedOn w:val="Normal"/>
    <w:next w:val="Normal"/>
    <w:uiPriority w:val="42"/>
    <w:semiHidden/>
    <w:qFormat/>
    <w:rsid w:val="002B5B43"/>
    <w:pPr>
      <w:jc w:val="right"/>
    </w:pPr>
    <w:rPr>
      <w:color w:val="C00000"/>
      <w:sz w:val="20"/>
    </w:rPr>
  </w:style>
  <w:style w:type="paragraph" w:customStyle="1" w:styleId="ECHRDecisionBody">
    <w:name w:val="ECHR_Decision_Body"/>
    <w:aliases w:val="_Decision_Body"/>
    <w:basedOn w:val="NormalJustified"/>
    <w:uiPriority w:val="54"/>
    <w:semiHidden/>
    <w:rsid w:val="002B5B4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B5B4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B5B4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B5B43"/>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B5B43"/>
    <w:pPr>
      <w:jc w:val="right"/>
    </w:pPr>
    <w:rPr>
      <w:sz w:val="20"/>
    </w:rPr>
  </w:style>
  <w:style w:type="paragraph" w:customStyle="1" w:styleId="ECHRHeaderRefIt">
    <w:name w:val="ECHR_Header_Ref_It"/>
    <w:aliases w:val="_Ref_Ital"/>
    <w:basedOn w:val="Normal"/>
    <w:next w:val="ECHRHeaderDate"/>
    <w:uiPriority w:val="43"/>
    <w:semiHidden/>
    <w:qFormat/>
    <w:rsid w:val="002B5B43"/>
    <w:pPr>
      <w:jc w:val="right"/>
    </w:pPr>
    <w:rPr>
      <w:i/>
      <w:sz w:val="20"/>
    </w:rPr>
  </w:style>
  <w:style w:type="paragraph" w:customStyle="1" w:styleId="ECHRHeading9">
    <w:name w:val="ECHR_Heading_9"/>
    <w:aliases w:val="_Head_9"/>
    <w:basedOn w:val="Heading9"/>
    <w:uiPriority w:val="17"/>
    <w:semiHidden/>
    <w:rsid w:val="002B5B43"/>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B5B43"/>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B5B43"/>
    <w:pPr>
      <w:numPr>
        <w:numId w:val="8"/>
      </w:numPr>
      <w:spacing w:before="60" w:after="60"/>
    </w:pPr>
  </w:style>
  <w:style w:type="paragraph" w:customStyle="1" w:styleId="ECHRNumberedList2">
    <w:name w:val="ECHR_Numbered_List_2"/>
    <w:aliases w:val="_Num_2"/>
    <w:basedOn w:val="ECHRNumberedList1"/>
    <w:uiPriority w:val="23"/>
    <w:semiHidden/>
    <w:rsid w:val="002B5B43"/>
    <w:pPr>
      <w:numPr>
        <w:ilvl w:val="1"/>
      </w:numPr>
    </w:pPr>
  </w:style>
  <w:style w:type="paragraph" w:customStyle="1" w:styleId="ECHRNumberedList3">
    <w:name w:val="ECHR_Numbered_List_3"/>
    <w:aliases w:val="_Num_3"/>
    <w:basedOn w:val="ECHRNumberedList2"/>
    <w:uiPriority w:val="23"/>
    <w:semiHidden/>
    <w:rsid w:val="002B5B43"/>
    <w:pPr>
      <w:numPr>
        <w:ilvl w:val="2"/>
      </w:numPr>
    </w:pPr>
  </w:style>
  <w:style w:type="paragraph" w:customStyle="1" w:styleId="ECHRParaHanging">
    <w:name w:val="ECHR_Para_Hanging"/>
    <w:aliases w:val="_Hanging"/>
    <w:basedOn w:val="NormalJustified"/>
    <w:uiPriority w:val="8"/>
    <w:semiHidden/>
    <w:qFormat/>
    <w:rsid w:val="002B5B43"/>
    <w:pPr>
      <w:ind w:left="567" w:hanging="567"/>
    </w:pPr>
  </w:style>
  <w:style w:type="paragraph" w:customStyle="1" w:styleId="ECHRParaIndent">
    <w:name w:val="ECHR_Para_Indent"/>
    <w:aliases w:val="_Indent"/>
    <w:basedOn w:val="NormalJustified"/>
    <w:uiPriority w:val="7"/>
    <w:semiHidden/>
    <w:qFormat/>
    <w:rsid w:val="002B5B43"/>
    <w:pPr>
      <w:spacing w:before="120" w:after="120"/>
      <w:ind w:left="284"/>
    </w:pPr>
  </w:style>
  <w:style w:type="character" w:customStyle="1" w:styleId="ECHRRed">
    <w:name w:val="ECHR_Red"/>
    <w:aliases w:val="_Red"/>
    <w:basedOn w:val="DefaultParagraphFont"/>
    <w:uiPriority w:val="15"/>
    <w:semiHidden/>
    <w:qFormat/>
    <w:rsid w:val="002B5B43"/>
    <w:rPr>
      <w:color w:val="C00000" w:themeColor="accent2"/>
    </w:rPr>
  </w:style>
  <w:style w:type="paragraph" w:customStyle="1" w:styleId="DecList">
    <w:name w:val="Dec_List"/>
    <w:aliases w:val="_List"/>
    <w:basedOn w:val="JuList"/>
    <w:uiPriority w:val="22"/>
    <w:rsid w:val="002B5B43"/>
    <w:pPr>
      <w:numPr>
        <w:numId w:val="0"/>
      </w:numPr>
      <w:ind w:left="284"/>
    </w:pPr>
  </w:style>
  <w:style w:type="table" w:customStyle="1" w:styleId="ECHRTable2">
    <w:name w:val="ECHR_Table_2"/>
    <w:basedOn w:val="TableNormal"/>
    <w:uiPriority w:val="99"/>
    <w:rsid w:val="002B5B4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B5B43"/>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B5B43"/>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B5B43"/>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B5B43"/>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B5B43"/>
    <w:pPr>
      <w:outlineLvl w:val="0"/>
    </w:pPr>
  </w:style>
  <w:style w:type="paragraph" w:customStyle="1" w:styleId="ECHRTitleTOC1">
    <w:name w:val="ECHR_Title_TOC_1"/>
    <w:aliases w:val="_Title_L_TOC"/>
    <w:basedOn w:val="ECHRTitle1"/>
    <w:next w:val="Normal"/>
    <w:uiPriority w:val="27"/>
    <w:semiHidden/>
    <w:qFormat/>
    <w:rsid w:val="002B5B43"/>
    <w:pPr>
      <w:outlineLvl w:val="0"/>
    </w:pPr>
  </w:style>
  <w:style w:type="paragraph" w:customStyle="1" w:styleId="ECHRPlaceholder">
    <w:name w:val="ECHR_Placeholder"/>
    <w:aliases w:val="_Placeholder"/>
    <w:basedOn w:val="JuSigned"/>
    <w:uiPriority w:val="31"/>
    <w:rsid w:val="002B5B43"/>
    <w:rPr>
      <w:color w:val="FFFFFF"/>
    </w:rPr>
  </w:style>
  <w:style w:type="paragraph" w:customStyle="1" w:styleId="ECHRSpacer">
    <w:name w:val="ECHR_Spacer"/>
    <w:aliases w:val="_Spacer"/>
    <w:basedOn w:val="Normal"/>
    <w:uiPriority w:val="45"/>
    <w:semiHidden/>
    <w:rsid w:val="002B5B43"/>
    <w:rPr>
      <w:sz w:val="4"/>
    </w:rPr>
  </w:style>
  <w:style w:type="table" w:customStyle="1" w:styleId="ECHRTableGrey">
    <w:name w:val="ECHR_Table_Grey"/>
    <w:basedOn w:val="TableNormal"/>
    <w:uiPriority w:val="99"/>
    <w:rsid w:val="002B5B43"/>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2B5B43"/>
    <w:rPr>
      <w:color w:val="605E5C"/>
      <w:shd w:val="clear" w:color="auto" w:fill="E1DFDD"/>
    </w:rPr>
  </w:style>
  <w:style w:type="character" w:customStyle="1" w:styleId="JuParaChar">
    <w:name w:val="Ju_Para Char"/>
    <w:aliases w:val="_Para Char"/>
    <w:link w:val="JuPara"/>
    <w:uiPriority w:val="4"/>
    <w:rsid w:val="00CA1E7E"/>
    <w:rPr>
      <w:sz w:val="24"/>
      <w:szCs w:val="24"/>
      <w:lang w:val="en-GB"/>
    </w:rPr>
  </w:style>
  <w:style w:type="character" w:customStyle="1" w:styleId="JuListChar">
    <w:name w:val="Ju_List Char"/>
    <w:basedOn w:val="DefaultParagraphFont"/>
    <w:link w:val="JuList"/>
    <w:uiPriority w:val="23"/>
    <w:locked/>
    <w:rsid w:val="00CA1E7E"/>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footer" Target="footer5.xml" /><Relationship Id="rId16" Type="http://schemas.openxmlformats.org/officeDocument/2006/relationships/footer" Target="footer6.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4979</Words>
  <Characters>26892</Characters>
  <Application>Microsoft Office Word</Application>
  <DocSecurity>0</DocSecurity>
  <Lines>726</Lines>
  <Paragraphs>267</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31604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2026-02-24T08:43:00Z</dcterms:created>
  <dcterms:modified xsi:type="dcterms:W3CDTF">2026-03-04T10:57:00Z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1248537</vt:lpwstr>
  </property>
  <property fmtid="{D5CDD505-2E9C-101B-9397-08002B2CF9AE}" pid="3" name="cstLanguage">
    <vt:i4>2057</vt:i4>
  </property>
  <property fmtid="{D5CDD505-2E9C-101B-9397-08002B2CF9AE}" pid="4" name="RegisteredNo">
    <vt:lpwstr>55046/16</vt:lpwstr>
  </property>
</Properties>
</file>