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563EB4" w:rsidR="00B32591" w:rsidP="00563EB4" w14:paraId="7461D459" w14:textId="210078E0">
      <w:pPr>
        <w:jc w:val="center"/>
      </w:pPr>
    </w:p>
    <w:p w:rsidRPr="00563EB4" w:rsidR="00B32591" w:rsidP="00563EB4" w14:paraId="681C5BBB" w14:textId="491E6D53">
      <w:pPr>
        <w:jc w:val="center"/>
        <w:rPr>
          <w:sz w:val="4"/>
          <w:szCs w:val="4"/>
        </w:rPr>
      </w:pPr>
    </w:p>
    <w:p w:rsidRPr="00563EB4" w:rsidR="00B32591" w:rsidP="00563EB4" w14:paraId="22F80973" w14:textId="6832E952">
      <w:pPr>
        <w:pStyle w:val="DecHTitle"/>
      </w:pPr>
      <w:r w:rsidRPr="00563EB4">
        <w:t>FIFTH SECTION</w:t>
      </w:r>
    </w:p>
    <w:p w:rsidRPr="00563EB4" w:rsidR="00B32591" w:rsidP="00563EB4" w14:paraId="208F4590" w14:textId="77777777">
      <w:pPr>
        <w:pStyle w:val="DecHTitle"/>
      </w:pPr>
      <w:r w:rsidRPr="00563EB4">
        <w:t>DECISION</w:t>
      </w:r>
    </w:p>
    <w:p w:rsidRPr="00563EB4" w:rsidR="00B32591" w:rsidP="00563EB4" w14:paraId="336C7569" w14:textId="7B9DF79C">
      <w:pPr>
        <w:pStyle w:val="DecHCase"/>
        <w:rPr>
          <w:i/>
        </w:rPr>
      </w:pPr>
      <w:r w:rsidRPr="00563EB4">
        <w:t>Application no.</w:t>
      </w:r>
      <w:r w:rsidRPr="00563EB4" w:rsidR="006267D3">
        <w:t xml:space="preserve"> </w:t>
      </w:r>
      <w:r w:rsidRPr="00563EB4">
        <w:t>45396/13</w:t>
      </w:r>
      <w:r w:rsidRPr="00563EB4" w:rsidR="006267D3">
        <w:br/>
      </w:r>
      <w:r w:rsidRPr="00563EB4">
        <w:t>Alexandru VERLAN</w:t>
      </w:r>
      <w:r w:rsidRPr="00563EB4">
        <w:br/>
      </w:r>
      <w:r w:rsidRPr="00563EB4" w:rsidR="006267D3">
        <w:t xml:space="preserve">against </w:t>
      </w:r>
      <w:r w:rsidRPr="00563EB4">
        <w:t>the Republic of Moldova</w:t>
      </w:r>
    </w:p>
    <w:p w:rsidRPr="00563EB4" w:rsidR="00B32591" w:rsidP="00563EB4" w14:paraId="62E11DA6" w14:textId="27D50005">
      <w:pPr>
        <w:rPr>
          <w:sz w:val="2"/>
          <w:szCs w:val="2"/>
        </w:rPr>
      </w:pPr>
    </w:p>
    <w:p w:rsidRPr="00563EB4" w:rsidR="005C61A5" w:rsidP="00563EB4" w14:paraId="713B67B5" w14:textId="4A5B6D47">
      <w:pPr>
        <w:pStyle w:val="JuPara"/>
      </w:pPr>
      <w:r w:rsidRPr="00563EB4">
        <w:t xml:space="preserve">The European Court of Human Rights (Fifth Section), sitting on </w:t>
      </w:r>
      <w:r w:rsidRPr="00563EB4" w:rsidR="00E92D1D">
        <w:t>4 December 2025</w:t>
      </w:r>
      <w:r w:rsidRPr="00563EB4">
        <w:t xml:space="preserve"> as a Chamber composed of:</w:t>
      </w:r>
    </w:p>
    <w:p w:rsidRPr="00563EB4" w:rsidR="005C61A5" w:rsidP="00563EB4" w14:paraId="0F067501" w14:textId="701B4C30">
      <w:pPr>
        <w:pStyle w:val="JuJudges"/>
      </w:pPr>
      <w:r w:rsidRPr="00563EB4">
        <w:tab/>
        <w:t xml:space="preserve">Georgios A. </w:t>
      </w:r>
      <w:r w:rsidRPr="00563EB4">
        <w:t>Serghides</w:t>
      </w:r>
      <w:r w:rsidRPr="00563EB4">
        <w:rPr>
          <w:i/>
        </w:rPr>
        <w:t>, President</w:t>
      </w:r>
      <w:r w:rsidRPr="00563EB4">
        <w:t>,</w:t>
      </w:r>
      <w:r w:rsidRPr="00563EB4">
        <w:br/>
      </w:r>
      <w:r w:rsidRPr="00563EB4">
        <w:tab/>
        <w:t xml:space="preserve">Gilberto </w:t>
      </w:r>
      <w:r w:rsidRPr="00563EB4">
        <w:t>Felici</w:t>
      </w:r>
      <w:r w:rsidRPr="00563EB4">
        <w:t>,</w:t>
      </w:r>
      <w:r w:rsidRPr="00563EB4">
        <w:br/>
      </w:r>
      <w:r w:rsidRPr="00563EB4">
        <w:tab/>
        <w:t xml:space="preserve">Diana </w:t>
      </w:r>
      <w:r w:rsidRPr="00563EB4">
        <w:t>Sârcu</w:t>
      </w:r>
      <w:r w:rsidRPr="00563EB4">
        <w:rPr>
          <w:i/>
        </w:rPr>
        <w:t>, judges</w:t>
      </w:r>
      <w:r w:rsidRPr="00563EB4">
        <w:t>,</w:t>
      </w:r>
      <w:r w:rsidRPr="00563EB4">
        <w:br/>
        <w:t xml:space="preserve">and Martina Keller, </w:t>
      </w:r>
      <w:r w:rsidRPr="00563EB4">
        <w:rPr>
          <w:i/>
        </w:rPr>
        <w:t xml:space="preserve">Deputy </w:t>
      </w:r>
      <w:r w:rsidRPr="00563EB4">
        <w:rPr>
          <w:i/>
          <w:iCs/>
        </w:rPr>
        <w:t>Section Registrar</w:t>
      </w:r>
      <w:r w:rsidRPr="00563EB4">
        <w:rPr>
          <w:i/>
        </w:rPr>
        <w:t>,</w:t>
      </w:r>
    </w:p>
    <w:p w:rsidRPr="00563EB4" w:rsidR="005C61A5" w:rsidP="00563EB4" w14:paraId="05C370B9" w14:textId="77777777">
      <w:pPr>
        <w:pStyle w:val="JuPara"/>
      </w:pPr>
      <w:r w:rsidRPr="00563EB4">
        <w:t>Having regard to the above application lodged on 19 June 2013,</w:t>
      </w:r>
    </w:p>
    <w:p w:rsidRPr="00563EB4" w:rsidR="005C61A5" w:rsidP="00563EB4" w14:paraId="35C81604" w14:textId="77777777">
      <w:pPr>
        <w:pStyle w:val="JuPara"/>
      </w:pPr>
      <w:r w:rsidRPr="00563EB4">
        <w:t>Having regard to the observations submitted by the respondent Government and the observations in reply submitted by the applicant,</w:t>
      </w:r>
    </w:p>
    <w:p w:rsidRPr="00563EB4" w:rsidR="005C61A5" w:rsidP="00563EB4" w14:paraId="580162C1" w14:textId="77777777">
      <w:pPr>
        <w:pStyle w:val="JuPara"/>
      </w:pPr>
      <w:r w:rsidRPr="00563EB4">
        <w:t>Having deliberated, decides as follows:</w:t>
      </w:r>
    </w:p>
    <w:p w:rsidRPr="00563EB4" w:rsidR="005C61A5" w:rsidP="00563EB4" w14:paraId="48367502" w14:textId="77777777">
      <w:pPr>
        <w:pStyle w:val="JuHHead"/>
      </w:pPr>
      <w:r w:rsidRPr="00563EB4">
        <w:t>THE FACTS</w:t>
      </w:r>
    </w:p>
    <w:p w:rsidRPr="00563EB4" w:rsidR="005C61A5" w:rsidP="00563EB4" w14:paraId="6C33A0F8" w14:textId="16031F60">
      <w:pPr>
        <w:pStyle w:val="JuPara"/>
      </w:pPr>
      <w:r>
        <w:fldChar w:fldCharType="begin"/>
      </w:r>
      <w:r>
        <w:instrText xml:space="preserve"> SEQ level0 \*arabic \* MERGEFORMAT </w:instrText>
      </w:r>
      <w:r>
        <w:fldChar w:fldCharType="separate"/>
      </w:r>
      <w:r w:rsidRPr="00563EB4" w:rsidR="00563EB4">
        <w:rPr>
          <w:noProof/>
        </w:rPr>
        <w:t>1</w:t>
      </w:r>
      <w:r w:rsidRPr="00563EB4" w:rsidR="00563EB4">
        <w:rPr>
          <w:noProof/>
        </w:rPr>
        <w:fldChar w:fldCharType="end"/>
      </w:r>
      <w:r w:rsidRPr="00563EB4">
        <w:t xml:space="preserve">.  The applicant, Mr Alexandru Verlan, is a Moldovan national, who was born in 1978 and lives in </w:t>
      </w:r>
      <w:r w:rsidRPr="00563EB4">
        <w:t>Pîrîta</w:t>
      </w:r>
      <w:r w:rsidRPr="00563EB4">
        <w:t xml:space="preserve">. He was represented before the Court by Mr M. </w:t>
      </w:r>
      <w:r w:rsidRPr="00563EB4">
        <w:t>Postu</w:t>
      </w:r>
      <w:r w:rsidRPr="00563EB4">
        <w:t xml:space="preserve"> and Mr A. </w:t>
      </w:r>
      <w:r w:rsidRPr="00563EB4">
        <w:t>Cojocaru</w:t>
      </w:r>
      <w:r w:rsidRPr="00563EB4">
        <w:t>, lawyers practising in Chișinău.</w:t>
      </w:r>
    </w:p>
    <w:p w:rsidRPr="00563EB4" w:rsidR="005C61A5" w:rsidP="00563EB4" w14:paraId="13B342BB" w14:textId="204B678F">
      <w:pPr>
        <w:pStyle w:val="JuPara"/>
      </w:pPr>
      <w:r>
        <w:fldChar w:fldCharType="begin"/>
      </w:r>
      <w:r>
        <w:instrText xml:space="preserve"> SEQ level0 \*arabic \* MERGEFORMAT </w:instrText>
      </w:r>
      <w:r>
        <w:fldChar w:fldCharType="separate"/>
      </w:r>
      <w:r w:rsidRPr="00563EB4" w:rsidR="00563EB4">
        <w:rPr>
          <w:noProof/>
        </w:rPr>
        <w:t>2</w:t>
      </w:r>
      <w:r w:rsidRPr="00563EB4" w:rsidR="00563EB4">
        <w:rPr>
          <w:noProof/>
        </w:rPr>
        <w:fldChar w:fldCharType="end"/>
      </w:r>
      <w:r w:rsidRPr="00563EB4">
        <w:t xml:space="preserve">.  The Moldovan Government (“the Government”) were represented by their acting Agent, Mr D. </w:t>
      </w:r>
      <w:r w:rsidRPr="00563EB4">
        <w:t>Măimescu</w:t>
      </w:r>
      <w:r w:rsidRPr="00563EB4">
        <w:t>.</w:t>
      </w:r>
    </w:p>
    <w:p w:rsidRPr="00563EB4" w:rsidR="005C61A5" w:rsidP="00563EB4" w14:paraId="5F13C47E" w14:textId="77777777">
      <w:pPr>
        <w:pStyle w:val="JuHA"/>
      </w:pPr>
      <w:r w:rsidRPr="00563EB4">
        <w:t>The circumstances of the case</w:t>
      </w:r>
    </w:p>
    <w:p w:rsidRPr="00563EB4" w:rsidR="005C61A5" w:rsidP="00563EB4" w14:paraId="1465F755" w14:textId="7FFE8CB6">
      <w:pPr>
        <w:pStyle w:val="JuPara"/>
      </w:pPr>
      <w:r>
        <w:fldChar w:fldCharType="begin"/>
      </w:r>
      <w:r>
        <w:instrText xml:space="preserve"> SEQ level0 \*arabic \* MERGEFORMAT </w:instrText>
      </w:r>
      <w:r>
        <w:fldChar w:fldCharType="separate"/>
      </w:r>
      <w:r w:rsidRPr="00563EB4" w:rsidR="00563EB4">
        <w:rPr>
          <w:noProof/>
        </w:rPr>
        <w:t>3</w:t>
      </w:r>
      <w:r w:rsidRPr="00563EB4" w:rsidR="00563EB4">
        <w:rPr>
          <w:noProof/>
        </w:rPr>
        <w:fldChar w:fldCharType="end"/>
      </w:r>
      <w:r w:rsidRPr="00563EB4">
        <w:t>.  The facts of the case, as submitted by the parties, may be summarised as follows.</w:t>
      </w:r>
    </w:p>
    <w:p w:rsidRPr="00563EB4" w:rsidR="005C61A5" w:rsidP="00563EB4" w14:paraId="26CE3E63" w14:textId="0150A750">
      <w:pPr>
        <w:pStyle w:val="JuPara"/>
      </w:pPr>
      <w:r>
        <w:fldChar w:fldCharType="begin"/>
      </w:r>
      <w:r>
        <w:instrText xml:space="preserve"> SEQ level0 \*arabic \* MERGEFORMAT </w:instrText>
      </w:r>
      <w:r>
        <w:fldChar w:fldCharType="separate"/>
      </w:r>
      <w:r w:rsidRPr="00563EB4" w:rsidR="00563EB4">
        <w:rPr>
          <w:noProof/>
        </w:rPr>
        <w:t>4</w:t>
      </w:r>
      <w:r w:rsidRPr="00563EB4" w:rsidR="00563EB4">
        <w:rPr>
          <w:noProof/>
        </w:rPr>
        <w:fldChar w:fldCharType="end"/>
      </w:r>
      <w:r w:rsidRPr="00563EB4">
        <w:t xml:space="preserve">.  On 9 November 1994 V. obtained, through donation, a house and a separate plot of land useable as a garden (“the disputed land”) in the village of </w:t>
      </w:r>
      <w:r w:rsidRPr="00563EB4">
        <w:t>Pîrîta</w:t>
      </w:r>
      <w:r w:rsidRPr="00563EB4">
        <w:t xml:space="preserve"> in the Republic of Moldova. On 27 May 2003 the </w:t>
      </w:r>
      <w:r w:rsidRPr="00563EB4">
        <w:t>Pîrîta</w:t>
      </w:r>
      <w:r w:rsidRPr="00563EB4">
        <w:t xml:space="preserve"> mayor</w:t>
      </w:r>
      <w:r w:rsidRPr="00563EB4" w:rsidR="00563EB4">
        <w:t>’</w:t>
      </w:r>
      <w:r w:rsidRPr="00563EB4">
        <w:t>s office (hereinafter “the local authority”) issued V. title deeds confirming his property rights over the two pieces of real estate. On 28 May 2003 they were registered in V.</w:t>
      </w:r>
      <w:r w:rsidRPr="00563EB4" w:rsidR="00563EB4">
        <w:t>’</w:t>
      </w:r>
      <w:r w:rsidRPr="00563EB4">
        <w:t xml:space="preserve">s name with the </w:t>
      </w:r>
      <w:r w:rsidRPr="00563EB4">
        <w:t>Strășeni</w:t>
      </w:r>
      <w:r w:rsidRPr="00563EB4">
        <w:t xml:space="preserve"> Territorial Cadastral Office (“the </w:t>
      </w:r>
      <w:r w:rsidRPr="00563EB4">
        <w:t>TCO”) under a provisional number. On 29 May 2003 the TCO issued a document confirming V.</w:t>
      </w:r>
      <w:r w:rsidRPr="00563EB4" w:rsidR="00563EB4">
        <w:t>’</w:t>
      </w:r>
      <w:r w:rsidRPr="00563EB4">
        <w:t>s property rights over the house as well as the plot of land, indicating their cadastral numbers and surface area.</w:t>
      </w:r>
    </w:p>
    <w:p w:rsidRPr="00563EB4" w:rsidR="005C61A5" w:rsidP="00563EB4" w14:paraId="513C32E2" w14:textId="069F7D86">
      <w:pPr>
        <w:pStyle w:val="JuPara"/>
      </w:pPr>
      <w:r>
        <w:fldChar w:fldCharType="begin"/>
      </w:r>
      <w:r>
        <w:instrText xml:space="preserve"> SEQ level0 \*arabic \* MERGEFORMAT </w:instrText>
      </w:r>
      <w:r>
        <w:fldChar w:fldCharType="separate"/>
      </w:r>
      <w:r w:rsidRPr="00563EB4" w:rsidR="00563EB4">
        <w:rPr>
          <w:noProof/>
        </w:rPr>
        <w:t>5</w:t>
      </w:r>
      <w:r w:rsidRPr="00563EB4" w:rsidR="00563EB4">
        <w:rPr>
          <w:noProof/>
        </w:rPr>
        <w:fldChar w:fldCharType="end"/>
      </w:r>
      <w:r w:rsidRPr="00563EB4">
        <w:t>.  On 29 May 2003 V. sold the two pieces of real estate to the applicant, who registered his property rights over them with the TCO on 2 June 2003.</w:t>
      </w:r>
    </w:p>
    <w:p w:rsidRPr="00563EB4" w:rsidR="005C61A5" w:rsidP="00563EB4" w14:paraId="0D78D68E" w14:textId="35750C21">
      <w:pPr>
        <w:pStyle w:val="JuPara"/>
      </w:pPr>
      <w:r>
        <w:fldChar w:fldCharType="begin"/>
      </w:r>
      <w:r>
        <w:instrText xml:space="preserve"> SEQ level0 \*arabic \* MERGEFORMAT </w:instrText>
      </w:r>
      <w:r>
        <w:fldChar w:fldCharType="separate"/>
      </w:r>
      <w:r w:rsidRPr="00563EB4" w:rsidR="00563EB4">
        <w:rPr>
          <w:noProof/>
        </w:rPr>
        <w:t>6</w:t>
      </w:r>
      <w:r w:rsidRPr="00563EB4" w:rsidR="00563EB4">
        <w:rPr>
          <w:noProof/>
        </w:rPr>
        <w:fldChar w:fldCharType="end"/>
      </w:r>
      <w:r w:rsidRPr="00563EB4">
        <w:t>.  In December 2005 the TCO issued S. a title deed over a plot of land with a different provisional cadastral number. According to the applicant, that plot included the disputed land.</w:t>
      </w:r>
    </w:p>
    <w:p w:rsidRPr="00563EB4" w:rsidR="005C61A5" w:rsidP="00563EB4" w14:paraId="6FCBBFE1" w14:textId="31AC3531">
      <w:pPr>
        <w:pStyle w:val="JuPara"/>
      </w:pPr>
      <w:r>
        <w:fldChar w:fldCharType="begin"/>
      </w:r>
      <w:r>
        <w:instrText xml:space="preserve"> SEQ level0 \*arabic \* MERGEFORMAT </w:instrText>
      </w:r>
      <w:r>
        <w:fldChar w:fldCharType="separate"/>
      </w:r>
      <w:r w:rsidRPr="00563EB4" w:rsidR="00563EB4">
        <w:rPr>
          <w:noProof/>
        </w:rPr>
        <w:t>7</w:t>
      </w:r>
      <w:r w:rsidRPr="00563EB4" w:rsidR="00563EB4">
        <w:rPr>
          <w:noProof/>
        </w:rPr>
        <w:fldChar w:fldCharType="end"/>
      </w:r>
      <w:r w:rsidRPr="00563EB4">
        <w:t>.  In 2007 a large-scale registration of land took place in the village. As a result, S.</w:t>
      </w:r>
      <w:r w:rsidRPr="00563EB4" w:rsidR="00563EB4">
        <w:t>’</w:t>
      </w:r>
      <w:r w:rsidRPr="00563EB4">
        <w:t>s land was issued a definitive number and a description in the TCO geographic database. The disputed land was not identified in that database and was not issued a definitive number. According to a letter dated 21</w:t>
      </w:r>
      <w:r w:rsidRPr="00563EB4" w:rsidR="006612FD">
        <w:t> </w:t>
      </w:r>
      <w:r w:rsidRPr="00563EB4">
        <w:t>January</w:t>
      </w:r>
      <w:r w:rsidRPr="00563EB4" w:rsidR="006612FD">
        <w:t> </w:t>
      </w:r>
      <w:r w:rsidRPr="00563EB4">
        <w:t>2011 the local authority informed the applicant that the disputed land had mistakenly been included in the plot of land registered as the property of S. It reaffirmed its position that a mistake had been committed during the large-scale land registration between 2006 and 2007. The applicant</w:t>
      </w:r>
      <w:r w:rsidRPr="00563EB4" w:rsidR="00563EB4">
        <w:t>’</w:t>
      </w:r>
      <w:r w:rsidRPr="00563EB4">
        <w:t>s plot of land was not in the TCO geographic database (describing the limits of each plot of land with reference to neighbouring plots of land and other fixed objects) and as a result had been included in the plot of land registered in S.</w:t>
      </w:r>
      <w:r w:rsidRPr="00563EB4" w:rsidR="00563EB4">
        <w:t>’</w:t>
      </w:r>
      <w:r w:rsidRPr="00563EB4">
        <w:t>s name.</w:t>
      </w:r>
    </w:p>
    <w:p w:rsidRPr="00563EB4" w:rsidR="005C61A5" w:rsidP="00563EB4" w14:paraId="18B03BA7" w14:textId="0E3347B3">
      <w:pPr>
        <w:pStyle w:val="JuPara"/>
      </w:pPr>
      <w:r>
        <w:fldChar w:fldCharType="begin"/>
      </w:r>
      <w:r>
        <w:instrText xml:space="preserve"> SEQ level0 \*arabic \* MERGEFORMAT </w:instrText>
      </w:r>
      <w:r>
        <w:fldChar w:fldCharType="separate"/>
      </w:r>
      <w:r w:rsidRPr="00563EB4" w:rsidR="00563EB4">
        <w:rPr>
          <w:noProof/>
        </w:rPr>
        <w:t>8</w:t>
      </w:r>
      <w:r w:rsidRPr="00563EB4" w:rsidR="00563EB4">
        <w:rPr>
          <w:noProof/>
        </w:rPr>
        <w:fldChar w:fldCharType="end"/>
      </w:r>
      <w:r w:rsidRPr="00563EB4">
        <w:t xml:space="preserve">.  On 15 March 2010 the </w:t>
      </w:r>
      <w:r w:rsidRPr="00563EB4">
        <w:t>applicant initiated</w:t>
      </w:r>
      <w:r w:rsidRPr="00563EB4">
        <w:t xml:space="preserve"> court proceedings against S., asking her to refrain from hindering his use of his land. He also identified the local authority and the TCO as intervening parties on the side of the defendant and asked for his property rights over the disputed land to be registered by the TCO. The applicant amended his court action on 25 January 2011, indicating T.P. (the person who in the meantime had bought S.</w:t>
      </w:r>
      <w:r w:rsidRPr="00563EB4" w:rsidR="00563EB4">
        <w:t>’</w:t>
      </w:r>
      <w:r w:rsidRPr="00563EB4">
        <w:t xml:space="preserve">s land) as the defendant and the TCO as an intervener. He asked the court to order T.P. not to impede his use of his land, as well as to order the TCO to properly register his property rights over the relevant plot of land. During the proceedings the applicant asked the TCO to carry out an expert evaluation </w:t>
      </w:r>
      <w:r w:rsidRPr="00563EB4">
        <w:t>in order to</w:t>
      </w:r>
      <w:r w:rsidRPr="00563EB4">
        <w:t xml:space="preserve"> determine whether the two plots of land overlapped and whether his land could be registered in the TCO geographic database. On 16 June 2011 the TCO replied that since the applicant</w:t>
      </w:r>
      <w:r w:rsidRPr="00563EB4" w:rsidR="00563EB4">
        <w:t>’</w:t>
      </w:r>
      <w:r w:rsidRPr="00563EB4">
        <w:t>s land was not included in the geographic database, it could not determine whether the two plots of land overlapped.</w:t>
      </w:r>
    </w:p>
    <w:p w:rsidRPr="00563EB4" w:rsidR="005C61A5" w:rsidP="00563EB4" w14:paraId="1838951C" w14:textId="1270FF9F">
      <w:pPr>
        <w:pStyle w:val="JuPara"/>
      </w:pPr>
      <w:r>
        <w:fldChar w:fldCharType="begin"/>
      </w:r>
      <w:r>
        <w:instrText xml:space="preserve"> SEQ level0 \*arabic \* MERGEFORMAT </w:instrText>
      </w:r>
      <w:r>
        <w:fldChar w:fldCharType="separate"/>
      </w:r>
      <w:r w:rsidRPr="00563EB4" w:rsidR="00563EB4">
        <w:rPr>
          <w:noProof/>
        </w:rPr>
        <w:t>9</w:t>
      </w:r>
      <w:r w:rsidRPr="00563EB4" w:rsidR="00563EB4">
        <w:rPr>
          <w:noProof/>
        </w:rPr>
        <w:fldChar w:fldCharType="end"/>
      </w:r>
      <w:r w:rsidRPr="00563EB4">
        <w:t xml:space="preserve">.  On 29 June 2011 the court ordered an expert report </w:t>
      </w:r>
      <w:r w:rsidRPr="00563EB4">
        <w:t>in order to</w:t>
      </w:r>
      <w:r w:rsidRPr="00563EB4">
        <w:t xml:space="preserve"> determine whether the two plots of land overlapped and if so to what extent, and whether the applicant</w:t>
      </w:r>
      <w:r w:rsidRPr="00563EB4" w:rsidR="00563EB4">
        <w:t>’</w:t>
      </w:r>
      <w:r w:rsidRPr="00563EB4">
        <w:t>s land could be included into the TCO geographic database. The court ordered the TCO to carry out that assessment. On 23 November 2011 the TCO replied that the TCO geographic database did not include information about the applicant</w:t>
      </w:r>
      <w:r w:rsidRPr="00563EB4" w:rsidR="00563EB4">
        <w:t>’</w:t>
      </w:r>
      <w:r w:rsidRPr="00563EB4">
        <w:t>s plot of land, which made it impossible to determine whether it overlapped with the land belonging to T.P.</w:t>
      </w:r>
    </w:p>
    <w:p w:rsidRPr="00563EB4" w:rsidR="005C61A5" w:rsidP="00563EB4" w14:paraId="220FBB50" w14:textId="278B7E3D">
      <w:pPr>
        <w:pStyle w:val="JuPara"/>
      </w:pPr>
      <w:r>
        <w:fldChar w:fldCharType="begin"/>
      </w:r>
      <w:r>
        <w:instrText xml:space="preserve"> SEQ level0 \*arabic \* MERGEFORMAT </w:instrText>
      </w:r>
      <w:r>
        <w:fldChar w:fldCharType="separate"/>
      </w:r>
      <w:r w:rsidRPr="00563EB4" w:rsidR="00563EB4">
        <w:rPr>
          <w:noProof/>
        </w:rPr>
        <w:t>10</w:t>
      </w:r>
      <w:r w:rsidRPr="00563EB4" w:rsidR="00563EB4">
        <w:rPr>
          <w:noProof/>
        </w:rPr>
        <w:fldChar w:fldCharType="end"/>
      </w:r>
      <w:r w:rsidRPr="00563EB4">
        <w:t xml:space="preserve">.  In a judgment dated 6 March 2012 the </w:t>
      </w:r>
      <w:r w:rsidRPr="00563EB4">
        <w:t>Dubăsari</w:t>
      </w:r>
      <w:r w:rsidRPr="00563EB4">
        <w:t xml:space="preserve"> District Court rejected the applicant</w:t>
      </w:r>
      <w:r w:rsidRPr="00563EB4" w:rsidR="00563EB4">
        <w:t>’</w:t>
      </w:r>
      <w:r w:rsidRPr="00563EB4">
        <w:t>s claims as unfounded. It found</w:t>
      </w:r>
      <w:r w:rsidRPr="00563EB4">
        <w:t>, in particular, that</w:t>
      </w:r>
      <w:r w:rsidRPr="00563EB4">
        <w:t xml:space="preserve"> since the applicant had not proven that T.P.</w:t>
      </w:r>
      <w:r w:rsidRPr="00563EB4" w:rsidR="00563EB4">
        <w:t>’</w:t>
      </w:r>
      <w:r w:rsidRPr="00563EB4">
        <w:t xml:space="preserve">s properly registered land overlapped with </w:t>
      </w:r>
      <w:r w:rsidRPr="00563EB4">
        <w:t xml:space="preserve">his own, she could not be ordered to stop impeding his access to his land. </w:t>
      </w:r>
      <w:r w:rsidRPr="00563EB4">
        <w:t>With regard to</w:t>
      </w:r>
      <w:r w:rsidRPr="00563EB4">
        <w:t xml:space="preserve"> the applicant</w:t>
      </w:r>
      <w:r w:rsidRPr="00563EB4" w:rsidR="00563EB4">
        <w:t>’</w:t>
      </w:r>
      <w:r w:rsidRPr="00563EB4">
        <w:t>s second claim, namely for the TCO to register his property rights, the court found that no one had challenged his property rights, which had not been deleted from the TCO register and thus did not require being re-registered there. The court concluded that neither V. nor the applicant had ever finalised the registration of the property rights as required by law by asking and paying for the boundaries of the plot of land to be established, with the resulting introduction of those data in the geographic database. Thus, while his property rights had not been contested, the physical placement of his plot of land had not yet been determined.</w:t>
      </w:r>
    </w:p>
    <w:p w:rsidRPr="00563EB4" w:rsidR="005C61A5" w:rsidP="00563EB4" w14:paraId="6B2FF7E2" w14:textId="10135B95">
      <w:pPr>
        <w:pStyle w:val="JuPara"/>
      </w:pPr>
      <w:r>
        <w:fldChar w:fldCharType="begin"/>
      </w:r>
      <w:r>
        <w:instrText xml:space="preserve"> SEQ level0 \*arabic \* MERGEFORMAT </w:instrText>
      </w:r>
      <w:r>
        <w:fldChar w:fldCharType="separate"/>
      </w:r>
      <w:r w:rsidRPr="00563EB4" w:rsidR="00563EB4">
        <w:rPr>
          <w:noProof/>
        </w:rPr>
        <w:t>11</w:t>
      </w:r>
      <w:r w:rsidRPr="00563EB4" w:rsidR="00563EB4">
        <w:rPr>
          <w:noProof/>
        </w:rPr>
        <w:fldChar w:fldCharType="end"/>
      </w:r>
      <w:r w:rsidRPr="00563EB4">
        <w:t>.  That judgment was upheld by the Chișinău Court of Appeal on 1 November 2012 and the Supreme Court of Justice on 17 April 2013.</w:t>
      </w:r>
    </w:p>
    <w:p w:rsidRPr="00563EB4" w:rsidR="005C61A5" w:rsidP="00563EB4" w14:paraId="7FAA8B65" w14:textId="4DBD1DE0">
      <w:pPr>
        <w:pStyle w:val="JuHHead"/>
      </w:pPr>
      <w:r w:rsidRPr="00563EB4">
        <w:t>COMPLAINT</w:t>
      </w:r>
    </w:p>
    <w:p w:rsidRPr="00563EB4" w:rsidR="005C61A5" w:rsidP="00563EB4" w14:paraId="4CB2906F" w14:textId="3FD14B1B">
      <w:pPr>
        <w:pStyle w:val="JuPara"/>
      </w:pPr>
      <w:r>
        <w:fldChar w:fldCharType="begin"/>
      </w:r>
      <w:r>
        <w:instrText xml:space="preserve"> SEQ level0 \*arabic \* MERGEFORMAT </w:instrText>
      </w:r>
      <w:r>
        <w:fldChar w:fldCharType="separate"/>
      </w:r>
      <w:r w:rsidRPr="00563EB4" w:rsidR="00563EB4">
        <w:rPr>
          <w:noProof/>
        </w:rPr>
        <w:t>12</w:t>
      </w:r>
      <w:r w:rsidRPr="00563EB4" w:rsidR="00563EB4">
        <w:rPr>
          <w:noProof/>
        </w:rPr>
        <w:fldChar w:fldCharType="end"/>
      </w:r>
      <w:r w:rsidRPr="00563EB4">
        <w:t>.  The applicant complained under Article 1 of Protocol No. 1 to the Convention that the domestic courts had refused to protect his property rights by favouring the registration of another person</w:t>
      </w:r>
      <w:r w:rsidRPr="00563EB4" w:rsidR="00563EB4">
        <w:t>’</w:t>
      </w:r>
      <w:r w:rsidRPr="00563EB4">
        <w:t>s rights over the disputed land.</w:t>
      </w:r>
    </w:p>
    <w:p w:rsidRPr="00563EB4" w:rsidR="005C61A5" w:rsidP="00563EB4" w14:paraId="795BDE25" w14:textId="77777777">
      <w:pPr>
        <w:pStyle w:val="JuHHead"/>
      </w:pPr>
      <w:r w:rsidRPr="00563EB4">
        <w:t>THE LAW</w:t>
      </w:r>
    </w:p>
    <w:p w:rsidRPr="00563EB4" w:rsidR="005C61A5" w:rsidP="00563EB4" w14:paraId="546619E4" w14:textId="03786EF0">
      <w:pPr>
        <w:pStyle w:val="JuPara"/>
      </w:pPr>
      <w:r>
        <w:fldChar w:fldCharType="begin"/>
      </w:r>
      <w:r>
        <w:instrText xml:space="preserve"> SEQ level0 \*arabic \* MERGEFORMAT </w:instrText>
      </w:r>
      <w:r>
        <w:fldChar w:fldCharType="separate"/>
      </w:r>
      <w:r w:rsidRPr="00563EB4" w:rsidR="00563EB4">
        <w:rPr>
          <w:noProof/>
        </w:rPr>
        <w:t>13</w:t>
      </w:r>
      <w:r w:rsidRPr="00563EB4" w:rsidR="00563EB4">
        <w:rPr>
          <w:noProof/>
        </w:rPr>
        <w:fldChar w:fldCharType="end"/>
      </w:r>
      <w:r w:rsidRPr="00563EB4">
        <w:t>.  The applicant</w:t>
      </w:r>
      <w:r w:rsidRPr="00563EB4" w:rsidR="00563EB4">
        <w:t>’</w:t>
      </w:r>
      <w:r w:rsidRPr="00563EB4">
        <w:t>s complaint concerns the alleged erroneous registration by the authorities of two individuals</w:t>
      </w:r>
      <w:r w:rsidRPr="00563EB4" w:rsidR="00563EB4">
        <w:t>’</w:t>
      </w:r>
      <w:r w:rsidRPr="00563EB4">
        <w:t xml:space="preserve"> title to the same plot of land and the failure to protect his rights guaranteed under Article 1 of Protocol No. 1 to the Convention.</w:t>
      </w:r>
    </w:p>
    <w:p w:rsidRPr="00563EB4" w:rsidR="005C61A5" w:rsidP="00563EB4" w14:paraId="6BFC21C2" w14:textId="6F6C7CB5">
      <w:pPr>
        <w:pStyle w:val="JuPara"/>
      </w:pPr>
      <w:r>
        <w:fldChar w:fldCharType="begin"/>
      </w:r>
      <w:r>
        <w:instrText xml:space="preserve"> SEQ level0 \*arabic \* MERGEFORMAT </w:instrText>
      </w:r>
      <w:r>
        <w:fldChar w:fldCharType="separate"/>
      </w:r>
      <w:r w:rsidRPr="00563EB4" w:rsidR="00563EB4">
        <w:rPr>
          <w:noProof/>
        </w:rPr>
        <w:t>14</w:t>
      </w:r>
      <w:r w:rsidRPr="00563EB4" w:rsidR="00563EB4">
        <w:rPr>
          <w:noProof/>
        </w:rPr>
        <w:fldChar w:fldCharType="end"/>
      </w:r>
      <w:r w:rsidRPr="00563EB4">
        <w:t xml:space="preserve">.  The Government argued that the applicant had failed to lodge a separate court action against the TCO </w:t>
      </w:r>
      <w:r w:rsidRPr="00563EB4">
        <w:t>in order to</w:t>
      </w:r>
      <w:r w:rsidRPr="00563EB4">
        <w:t xml:space="preserve"> obtain the rectification of the relevant records in the real estate register. They submitted a copy of a domestic decision whereby such a court action had corrected the problem. Moreover, his complaint about the errors in the geographic representation of the disputed land had not been the subject of examination at the domestic level. While both the applicant and S. had obtained provisional registration numbers for their respective plots of land, only S. had applied for a permanent number after 2007, while the applicant had failed to do so. The applicant</w:t>
      </w:r>
      <w:r w:rsidRPr="00563EB4" w:rsidR="00563EB4">
        <w:t>’</w:t>
      </w:r>
      <w:r w:rsidRPr="00563EB4">
        <w:t>s land lacked geographic information, a cadastral plan and a delimitation of its boundaries, elements which could be determined after cadastral work for which he had not asked. This would make it possible to determine whether the applicant</w:t>
      </w:r>
      <w:r w:rsidRPr="00563EB4" w:rsidR="00563EB4">
        <w:t>’</w:t>
      </w:r>
      <w:r w:rsidRPr="00563EB4">
        <w:t>s land overlapped with that registered by T.P. Moreover, the local authority had expressed its willingness to issue him land from the reserve fund, but he did not pursue that option. The applicant thus did not take any action to have his rights registered after 2007.</w:t>
      </w:r>
    </w:p>
    <w:p w:rsidRPr="00563EB4" w:rsidR="005C61A5" w:rsidP="00563EB4" w14:paraId="42A7F8D3" w14:textId="71E34F07">
      <w:pPr>
        <w:pStyle w:val="JuPara"/>
        <w:keepNext/>
        <w:keepLines/>
      </w:pPr>
      <w:r>
        <w:fldChar w:fldCharType="begin"/>
      </w:r>
      <w:r>
        <w:instrText xml:space="preserve"> SEQ level0 \*arabic \* MERGEFORMAT </w:instrText>
      </w:r>
      <w:r>
        <w:fldChar w:fldCharType="separate"/>
      </w:r>
      <w:r w:rsidRPr="00563EB4" w:rsidR="00563EB4">
        <w:rPr>
          <w:noProof/>
        </w:rPr>
        <w:t>15</w:t>
      </w:r>
      <w:r w:rsidRPr="00563EB4" w:rsidR="00563EB4">
        <w:rPr>
          <w:noProof/>
        </w:rPr>
        <w:fldChar w:fldCharType="end"/>
      </w:r>
      <w:r w:rsidRPr="00563EB4">
        <w:t>.  The applicant submitted that he had complied with the legal requirements at the time of the purchase and registered the disputed land with the TCO. Since it was not disputed that he had obtained the property rights over the land in question, any further court action against the TCO would have been unsuccessful.</w:t>
      </w:r>
    </w:p>
    <w:p w:rsidRPr="00563EB4" w:rsidR="005C61A5" w:rsidP="00563EB4" w14:paraId="41019F7A" w14:textId="10962A04">
      <w:pPr>
        <w:pStyle w:val="JuPara"/>
        <w:keepNext/>
        <w:keepLines/>
      </w:pPr>
      <w:r>
        <w:fldChar w:fldCharType="begin"/>
      </w:r>
      <w:r>
        <w:instrText xml:space="preserve"> SEQ level0 \*arabic \* MERGEFORMAT </w:instrText>
      </w:r>
      <w:r>
        <w:fldChar w:fldCharType="separate"/>
      </w:r>
      <w:r w:rsidRPr="00563EB4" w:rsidR="00563EB4">
        <w:rPr>
          <w:noProof/>
        </w:rPr>
        <w:t>16</w:t>
      </w:r>
      <w:r w:rsidRPr="00563EB4" w:rsidR="00563EB4">
        <w:rPr>
          <w:noProof/>
        </w:rPr>
        <w:fldChar w:fldCharType="end"/>
      </w:r>
      <w:r w:rsidRPr="00563EB4">
        <w:t>.  The Court notes that the domestic courts and the Government did not deny the applicant</w:t>
      </w:r>
      <w:r w:rsidRPr="00563EB4" w:rsidR="00563EB4">
        <w:t>’</w:t>
      </w:r>
      <w:r w:rsidRPr="00563EB4">
        <w:t>s property rights over a plot of land in the relevant village. The applicant argued that his rights referred to a specific plot of land, which had been properly registered, but it had subsequently been included in the land registered in T.P.</w:t>
      </w:r>
      <w:r w:rsidRPr="00563EB4" w:rsidR="00563EB4">
        <w:t>’</w:t>
      </w:r>
      <w:r w:rsidRPr="00563EB4">
        <w:t>s name. However, as determined by the courts, he did not provide any evidence that this was indeed the case, since his land lacked a detailed description in the TCO geographic database.</w:t>
      </w:r>
    </w:p>
    <w:p w:rsidRPr="00563EB4" w:rsidR="005C61A5" w:rsidP="00563EB4" w14:paraId="764FE994" w14:textId="07E88B39">
      <w:pPr>
        <w:pStyle w:val="JuPara"/>
      </w:pPr>
      <w:r>
        <w:fldChar w:fldCharType="begin"/>
      </w:r>
      <w:r>
        <w:instrText xml:space="preserve"> SEQ level0 \*arabic \* MERGEFORMAT </w:instrText>
      </w:r>
      <w:r>
        <w:fldChar w:fldCharType="separate"/>
      </w:r>
      <w:r w:rsidRPr="00563EB4" w:rsidR="00563EB4">
        <w:rPr>
          <w:noProof/>
        </w:rPr>
        <w:t>17</w:t>
      </w:r>
      <w:r w:rsidRPr="00563EB4" w:rsidR="00563EB4">
        <w:rPr>
          <w:noProof/>
        </w:rPr>
        <w:fldChar w:fldCharType="end"/>
      </w:r>
      <w:r w:rsidRPr="00563EB4">
        <w:t>.  The Court finds, in line with the domestic courts</w:t>
      </w:r>
      <w:r w:rsidRPr="00563EB4" w:rsidR="00563EB4">
        <w:t>’</w:t>
      </w:r>
      <w:r w:rsidRPr="00563EB4">
        <w:t xml:space="preserve"> assessment, that determining whether the authorities had erred by including his land in that of T.P.</w:t>
      </w:r>
      <w:r w:rsidRPr="00563EB4" w:rsidR="00563EB4">
        <w:t>’</w:t>
      </w:r>
      <w:r w:rsidRPr="00563EB4">
        <w:t xml:space="preserve">s necessitated specific measurements and delimitation of the physical borders of both plots of land. The first-instance court explained to the applicant that it was his responsibility to ask for those measurements and to pay for them. The Court considers that only if, </w:t>
      </w:r>
      <w:r w:rsidRPr="00563EB4">
        <w:t>as a result of</w:t>
      </w:r>
      <w:r w:rsidRPr="00563EB4">
        <w:t xml:space="preserve"> those measurements, it became clear that the two plots of land overlapped – and if so to what extent – would the domestic courts have a legal basis for deciding which of the owners</w:t>
      </w:r>
      <w:r w:rsidRPr="00563EB4" w:rsidR="00563EB4">
        <w:t>’</w:t>
      </w:r>
      <w:r w:rsidRPr="00563EB4">
        <w:t xml:space="preserve"> rights needed to continue being registered. While the applicant did enquire with the TCO about the possibility of including the disputed land in its geographic database, and even obtained a court order to obtain an expert report about that possibility, the TCO clearly informed him and the court that it was unable to provide any conclusion in the absence of the relevant delimitation work carried out on site. Thus, even assuming that the TCO could be considered as a co-defendant despite only being designated as an intervening party, the court action as formulated by the applicant – of registering his right – had no real object, as his right had already been registered. By contrast, he has not taken the necessary steps to confirm the alleged overlapping of the two plots of land, which would allow the courts to solve the issue.</w:t>
      </w:r>
    </w:p>
    <w:p w:rsidRPr="00563EB4" w:rsidR="005C61A5" w:rsidP="00563EB4" w14:paraId="494B2BC6" w14:textId="0084D94D">
      <w:pPr>
        <w:pStyle w:val="JuPara"/>
      </w:pPr>
      <w:r w:rsidRPr="00563EB4">
        <w:t>In the light of the foregoing, the Court considers that, insofar as there may have been an interference by a State authority with the applicant</w:t>
      </w:r>
      <w:r w:rsidRPr="00563EB4" w:rsidR="00563EB4">
        <w:t>’</w:t>
      </w:r>
      <w:r w:rsidRPr="00563EB4">
        <w:t>s rights under Article 1 of Protocol no. 1 to the Convention or an issue regarding the State</w:t>
      </w:r>
      <w:r w:rsidRPr="00563EB4" w:rsidR="00563EB4">
        <w:t>’</w:t>
      </w:r>
      <w:r w:rsidRPr="00563EB4">
        <w:t>s positive obligations under that provision, the application must be dismissed on the ground that domestic remedies have not been exhausted, pursuant to Article 35 §§ 1 and 4 of the Convention.</w:t>
      </w:r>
    </w:p>
    <w:p w:rsidRPr="00563EB4" w:rsidR="005C61A5" w:rsidP="00563EB4" w14:paraId="679026B0" w14:textId="2A458D51">
      <w:pPr>
        <w:pStyle w:val="JuParaLast"/>
      </w:pPr>
      <w:r w:rsidRPr="00563EB4">
        <w:t>For these reasons, the Court, unanimously,</w:t>
      </w:r>
    </w:p>
    <w:p w:rsidRPr="00563EB4" w:rsidR="005C61A5" w:rsidP="00563EB4" w14:paraId="20291950" w14:textId="77777777">
      <w:pPr>
        <w:pStyle w:val="DecList"/>
        <w:keepNext/>
        <w:keepLines/>
      </w:pPr>
      <w:r w:rsidRPr="00563EB4">
        <w:rPr>
          <w:i/>
        </w:rPr>
        <w:t>Declares</w:t>
      </w:r>
      <w:r w:rsidRPr="00563EB4">
        <w:t xml:space="preserve"> the application inadmissible.</w:t>
      </w:r>
    </w:p>
    <w:p w:rsidRPr="00563EB4" w:rsidR="00BD1692" w:rsidP="00563EB4" w14:paraId="63BCD0B3" w14:textId="64FF306D">
      <w:pPr>
        <w:pStyle w:val="JuParaLast"/>
        <w:rPr>
          <w:sz w:val="14"/>
        </w:rPr>
      </w:pPr>
      <w:r w:rsidRPr="00563EB4">
        <w:t xml:space="preserve">Done in English and notified in writing on </w:t>
      </w:r>
      <w:r w:rsidRPr="00563EB4" w:rsidR="005C61A5">
        <w:t>15 January 2026</w:t>
      </w:r>
      <w:r w:rsidRPr="00563EB4">
        <w:t>.</w:t>
      </w:r>
    </w:p>
    <w:p w:rsidRPr="00563EB4" w:rsidR="00BD1692" w:rsidP="00563EB4" w14:paraId="5D9F5D89" w14:textId="057672EF">
      <w:pPr>
        <w:pStyle w:val="ECHRPlaceholder"/>
        <w:keepNext/>
        <w:keepLines/>
      </w:pPr>
      <w:r w:rsidRPr="00563EB4">
        <w:tab/>
      </w:r>
    </w:p>
    <w:p w:rsidRPr="00563EB4" w:rsidR="00B32591" w:rsidP="00563EB4" w14:paraId="42C97458" w14:textId="5F19EF0D">
      <w:pPr>
        <w:pStyle w:val="JuSigned"/>
        <w:keepNext/>
        <w:keepLines/>
      </w:pPr>
      <w:r w:rsidRPr="00563EB4">
        <w:tab/>
      </w:r>
      <w:r w:rsidRPr="00563EB4" w:rsidR="005C61A5">
        <w:rPr>
          <w:rFonts w:eastAsia="PMingLiU"/>
        </w:rPr>
        <w:t>Martina Keller</w:t>
      </w:r>
      <w:r w:rsidRPr="00563EB4" w:rsidR="001D1233">
        <w:tab/>
      </w:r>
      <w:r w:rsidRPr="00563EB4" w:rsidR="005C61A5">
        <w:t xml:space="preserve">Georgios A. </w:t>
      </w:r>
      <w:r w:rsidRPr="00563EB4" w:rsidR="005C61A5">
        <w:t>Serghides</w:t>
      </w:r>
      <w:r w:rsidRPr="00563EB4" w:rsidR="001D1233">
        <w:br/>
      </w:r>
      <w:r w:rsidRPr="00563EB4" w:rsidR="001D1233">
        <w:tab/>
      </w:r>
      <w:r w:rsidRPr="00563EB4" w:rsidR="005C61A5">
        <w:t>Deputy Registrar</w:t>
      </w:r>
      <w:r w:rsidRPr="00563EB4" w:rsidR="006267D3">
        <w:tab/>
        <w:t>President</w:t>
      </w:r>
    </w:p>
    <w:p w:rsidRPr="00563EB4" w:rsidR="00CB3BD9" w:rsidP="00563EB4" w14:paraId="45811ED2" w14:textId="77777777">
      <w:pPr>
        <w:keepNext/>
        <w:keepLines/>
        <w:jc w:val="center"/>
      </w:pP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5C61A5" w:rsidP="000D61E7" w14:paraId="02BC1D16" w14:textId="761014C7">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5C61A5" w:rsidP="000D61E7" w14:paraId="7A403120" w14:textId="6414B92F">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1A5" w:rsidRPr="00150BFA" w:rsidP="0020718E" w14:paraId="177D0EC1" w14:textId="76E25CAE">
    <w:pPr>
      <w:jc w:val="center"/>
    </w:pPr>
    <w:r w:rsidRPr="005C61A5">
      <w:rPr>
        <w:noProof/>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5C61A5" w:rsidP="002E2C77" w14:paraId="722FB68C" w14:textId="71341A50">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5C61A5" w:rsidP="0076040F" w14:paraId="07BEE903" w14:textId="7594AD74">
    <w:pPr>
      <w:pStyle w:val="JuHeader"/>
    </w:pPr>
    <w:r>
      <w:t>VERLAN v. THE REPUBLIC OF MOLDOVA</w:t>
    </w:r>
    <w:r w:rsidRPr="005C61A5"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5C61A5" w:rsidP="000D61E7" w14:paraId="431ACCF5" w14:textId="57842E7C">
    <w:pPr>
      <w:pStyle w:val="JuHeader"/>
    </w:pPr>
    <w:r>
      <w:t>VERLAN v. THE REPUBLIC OF MOLDOVA</w:t>
    </w:r>
    <w:r w:rsidRPr="005C61A5"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C61A5" w:rsidRPr="00A45145" w:rsidP="00A45145" w14:paraId="7B730358" w14:textId="585E8D6A">
    <w:pPr>
      <w:jc w:val="center"/>
    </w:pPr>
    <w:r>
      <w:rPr>
        <w:noProof/>
        <w:lang w:val="en-US"/>
      </w:rPr>
      <w:drawing>
        <wp:inline distT="0" distB="0" distL="0" distR="0">
          <wp:extent cx="2962275" cy="1219200"/>
          <wp:effectExtent l="0" t="0" r="9525" b="0"/>
          <wp:docPr id="615494924" name="Picture 6154949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9492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5C61A5" w:rsidP="00EA1004" w14:paraId="7B67C775" w14:textId="63DE0B2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03942361">
    <w:abstractNumId w:val="14"/>
  </w:num>
  <w:num w:numId="2" w16cid:durableId="2059862927">
    <w:abstractNumId w:val="12"/>
  </w:num>
  <w:num w:numId="3" w16cid:durableId="1844079290">
    <w:abstractNumId w:val="11"/>
  </w:num>
  <w:num w:numId="4" w16cid:durableId="180752241">
    <w:abstractNumId w:val="15"/>
  </w:num>
  <w:num w:numId="5" w16cid:durableId="1480733613">
    <w:abstractNumId w:val="13"/>
  </w:num>
  <w:num w:numId="6" w16cid:durableId="1707215420">
    <w:abstractNumId w:val="16"/>
  </w:num>
  <w:num w:numId="7" w16cid:durableId="1078097660">
    <w:abstractNumId w:val="15"/>
  </w:num>
  <w:num w:numId="8" w16cid:durableId="1336759074">
    <w:abstractNumId w:val="16"/>
  </w:num>
  <w:num w:numId="9" w16cid:durableId="462693332">
    <w:abstractNumId w:val="10"/>
  </w:num>
  <w:num w:numId="10" w16cid:durableId="844319453">
    <w:abstractNumId w:val="9"/>
  </w:num>
  <w:num w:numId="11" w16cid:durableId="622346873">
    <w:abstractNumId w:val="17"/>
  </w:num>
  <w:num w:numId="12" w16cid:durableId="1709060402">
    <w:abstractNumId w:val="7"/>
  </w:num>
  <w:num w:numId="13" w16cid:durableId="804355579">
    <w:abstractNumId w:val="6"/>
  </w:num>
  <w:num w:numId="14" w16cid:durableId="95634939">
    <w:abstractNumId w:val="5"/>
  </w:num>
  <w:num w:numId="15" w16cid:durableId="946619809">
    <w:abstractNumId w:val="4"/>
  </w:num>
  <w:num w:numId="16" w16cid:durableId="1313292002">
    <w:abstractNumId w:val="8"/>
  </w:num>
  <w:num w:numId="17" w16cid:durableId="1790969470">
    <w:abstractNumId w:val="3"/>
  </w:num>
  <w:num w:numId="18" w16cid:durableId="1807816631">
    <w:abstractNumId w:val="2"/>
  </w:num>
  <w:num w:numId="19" w16cid:durableId="1367177158">
    <w:abstractNumId w:val="1"/>
  </w:num>
  <w:num w:numId="20" w16cid:durableId="363411353">
    <w:abstractNumId w:val="0"/>
  </w:num>
  <w:num w:numId="21" w16cid:durableId="519003638">
    <w:abstractNumId w:val="14"/>
  </w:num>
  <w:num w:numId="22" w16cid:durableId="1610308893">
    <w:abstractNumId w:val="12"/>
  </w:num>
  <w:num w:numId="23" w16cid:durableId="1596399969">
    <w:abstractNumId w:val="11"/>
  </w:num>
  <w:num w:numId="24" w16cid:durableId="1258975284">
    <w:abstractNumId w:val="17"/>
  </w:num>
  <w:num w:numId="25" w16cid:durableId="1437409975">
    <w:abstractNumId w:val="7"/>
  </w:num>
  <w:num w:numId="26" w16cid:durableId="82380226">
    <w:abstractNumId w:val="6"/>
  </w:num>
  <w:num w:numId="27" w16cid:durableId="43255041">
    <w:abstractNumId w:val="5"/>
  </w:num>
  <w:num w:numId="28" w16cid:durableId="812333203">
    <w:abstractNumId w:val="4"/>
  </w:num>
  <w:num w:numId="29" w16cid:durableId="266430547">
    <w:abstractNumId w:val="8"/>
  </w:num>
  <w:num w:numId="30" w16cid:durableId="318073160">
    <w:abstractNumId w:val="3"/>
  </w:num>
  <w:num w:numId="31" w16cid:durableId="1006636662">
    <w:abstractNumId w:val="2"/>
  </w:num>
  <w:num w:numId="32" w16cid:durableId="1980768026">
    <w:abstractNumId w:val="1"/>
  </w:num>
  <w:num w:numId="33" w16cid:durableId="1650555869">
    <w:abstractNumId w:val="0"/>
  </w:num>
  <w:num w:numId="34" w16cid:durableId="647787222">
    <w:abstractNumId w:val="15"/>
  </w:num>
  <w:num w:numId="35" w16cid:durableId="1152064801">
    <w:abstractNumId w:val="13"/>
  </w:num>
  <w:num w:numId="36" w16cid:durableId="904611574">
    <w:abstractNumId w:val="16"/>
  </w:num>
  <w:num w:numId="37" w16cid:durableId="2085906319">
    <w:abstractNumId w:val="15"/>
  </w:num>
  <w:num w:numId="38" w16cid:durableId="758060489">
    <w:abstractNumId w:val="15"/>
  </w:num>
  <w:num w:numId="39" w16cid:durableId="1687436270">
    <w:abstractNumId w:val="15"/>
  </w:num>
  <w:num w:numId="40" w16cid:durableId="1775710993">
    <w:abstractNumId w:val="15"/>
  </w:num>
  <w:num w:numId="41" w16cid:durableId="1209493698">
    <w:abstractNumId w:val="10"/>
  </w:num>
  <w:num w:numId="42" w16cid:durableId="620651144">
    <w:abstractNumId w:val="16"/>
  </w:num>
  <w:num w:numId="43" w16cid:durableId="994409323">
    <w:abstractNumId w:val="16"/>
  </w:num>
  <w:num w:numId="44" w16cid:durableId="466170526">
    <w:abstractNumId w:val="16"/>
  </w:num>
  <w:num w:numId="45" w16cid:durableId="257442528">
    <w:abstractNumId w:val="10"/>
  </w:num>
  <w:num w:numId="46" w16cid:durableId="1501848625">
    <w:abstractNumId w:val="10"/>
  </w:num>
  <w:num w:numId="47" w16cid:durableId="1965455085">
    <w:abstractNumId w:val="10"/>
  </w:num>
  <w:num w:numId="48" w16cid:durableId="1170678774">
    <w:abstractNumId w:val="10"/>
  </w:num>
  <w:num w:numId="49" w16cid:durableId="1271620253">
    <w:abstractNumId w:val="10"/>
  </w:num>
  <w:num w:numId="50" w16cid:durableId="1691031732">
    <w:abstractNumId w:val="10"/>
  </w:num>
  <w:num w:numId="51" w16cid:durableId="1511145439">
    <w:abstractNumId w:val="10"/>
  </w:num>
  <w:num w:numId="52" w16cid:durableId="88190">
    <w:abstractNumId w:val="10"/>
  </w:num>
  <w:num w:numId="53" w16cid:durableId="732119743">
    <w:abstractNumId w:val="9"/>
  </w:num>
  <w:num w:numId="54" w16cid:durableId="1291134946">
    <w:abstractNumId w:val="9"/>
  </w:num>
  <w:num w:numId="55" w16cid:durableId="888691915">
    <w:abstractNumId w:val="9"/>
  </w:num>
  <w:num w:numId="56" w16cid:durableId="1661348063">
    <w:abstractNumId w:val="14"/>
  </w:num>
  <w:num w:numId="57" w16cid:durableId="579558317">
    <w:abstractNumId w:val="12"/>
  </w:num>
  <w:num w:numId="58" w16cid:durableId="1287471652">
    <w:abstractNumId w:val="11"/>
  </w:num>
  <w:num w:numId="59" w16cid:durableId="822085218">
    <w:abstractNumId w:val="17"/>
  </w:num>
  <w:num w:numId="60" w16cid:durableId="322045825">
    <w:abstractNumId w:val="7"/>
  </w:num>
  <w:num w:numId="61" w16cid:durableId="170023188">
    <w:abstractNumId w:val="6"/>
  </w:num>
  <w:num w:numId="62" w16cid:durableId="344133655">
    <w:abstractNumId w:val="5"/>
  </w:num>
  <w:num w:numId="63" w16cid:durableId="2043510317">
    <w:abstractNumId w:val="4"/>
  </w:num>
  <w:num w:numId="64" w16cid:durableId="1452817275">
    <w:abstractNumId w:val="8"/>
  </w:num>
  <w:num w:numId="65" w16cid:durableId="569927555">
    <w:abstractNumId w:val="3"/>
  </w:num>
  <w:num w:numId="66" w16cid:durableId="1598176039">
    <w:abstractNumId w:val="2"/>
  </w:num>
  <w:num w:numId="67" w16cid:durableId="270283764">
    <w:abstractNumId w:val="1"/>
  </w:num>
  <w:num w:numId="68" w16cid:durableId="1636914032">
    <w:abstractNumId w:val="0"/>
  </w:num>
  <w:num w:numId="69" w16cid:durableId="909004900">
    <w:abstractNumId w:val="15"/>
  </w:num>
  <w:num w:numId="70" w16cid:durableId="1089276131">
    <w:abstractNumId w:val="13"/>
  </w:num>
  <w:num w:numId="71" w16cid:durableId="512644293">
    <w:abstractNumId w:val="16"/>
  </w:num>
  <w:num w:numId="72" w16cid:durableId="1110857337">
    <w:abstractNumId w:val="15"/>
  </w:num>
  <w:num w:numId="73" w16cid:durableId="538204839">
    <w:abstractNumId w:val="15"/>
  </w:num>
  <w:num w:numId="74" w16cid:durableId="278681737">
    <w:abstractNumId w:val="15"/>
  </w:num>
  <w:num w:numId="75" w16cid:durableId="1155494379">
    <w:abstractNumId w:val="15"/>
  </w:num>
  <w:num w:numId="76" w16cid:durableId="344869801">
    <w:abstractNumId w:val="10"/>
  </w:num>
  <w:num w:numId="77" w16cid:durableId="1620792601">
    <w:abstractNumId w:val="16"/>
  </w:num>
  <w:num w:numId="78" w16cid:durableId="1602881079">
    <w:abstractNumId w:val="16"/>
  </w:num>
  <w:num w:numId="79" w16cid:durableId="504445663">
    <w:abstractNumId w:val="16"/>
  </w:num>
  <w:num w:numId="80" w16cid:durableId="1040671557">
    <w:abstractNumId w:val="10"/>
  </w:num>
  <w:num w:numId="81" w16cid:durableId="661465931">
    <w:abstractNumId w:val="10"/>
  </w:num>
  <w:num w:numId="82" w16cid:durableId="293298153">
    <w:abstractNumId w:val="10"/>
  </w:num>
  <w:num w:numId="83" w16cid:durableId="975180407">
    <w:abstractNumId w:val="10"/>
  </w:num>
  <w:num w:numId="84" w16cid:durableId="118231000">
    <w:abstractNumId w:val="10"/>
  </w:num>
  <w:num w:numId="85" w16cid:durableId="388040585">
    <w:abstractNumId w:val="10"/>
  </w:num>
  <w:num w:numId="86" w16cid:durableId="874196123">
    <w:abstractNumId w:val="10"/>
  </w:num>
  <w:num w:numId="87" w16cid:durableId="1907492348">
    <w:abstractNumId w:val="10"/>
  </w:num>
  <w:num w:numId="88" w16cid:durableId="947813009">
    <w:abstractNumId w:val="9"/>
  </w:num>
  <w:num w:numId="89" w16cid:durableId="1357269913">
    <w:abstractNumId w:val="9"/>
  </w:num>
  <w:num w:numId="90" w16cid:durableId="1702586318">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A5"/>
    <w:rsid w:val="000757D3"/>
    <w:rsid w:val="00095FD8"/>
    <w:rsid w:val="000B1FA9"/>
    <w:rsid w:val="000D61E7"/>
    <w:rsid w:val="000E3A89"/>
    <w:rsid w:val="00132029"/>
    <w:rsid w:val="00144EBC"/>
    <w:rsid w:val="00150BFA"/>
    <w:rsid w:val="00170D0F"/>
    <w:rsid w:val="001D1233"/>
    <w:rsid w:val="0020718E"/>
    <w:rsid w:val="00223591"/>
    <w:rsid w:val="002A7443"/>
    <w:rsid w:val="002E2C77"/>
    <w:rsid w:val="00307231"/>
    <w:rsid w:val="003B50D7"/>
    <w:rsid w:val="003E3C60"/>
    <w:rsid w:val="00452087"/>
    <w:rsid w:val="00464268"/>
    <w:rsid w:val="004A4C71"/>
    <w:rsid w:val="004B4E73"/>
    <w:rsid w:val="00563EB4"/>
    <w:rsid w:val="005C61A5"/>
    <w:rsid w:val="005E56C2"/>
    <w:rsid w:val="005F11CB"/>
    <w:rsid w:val="006262FA"/>
    <w:rsid w:val="006267D3"/>
    <w:rsid w:val="006300E9"/>
    <w:rsid w:val="00653EF4"/>
    <w:rsid w:val="00656B81"/>
    <w:rsid w:val="006612FD"/>
    <w:rsid w:val="006D4D63"/>
    <w:rsid w:val="006E123B"/>
    <w:rsid w:val="006E197A"/>
    <w:rsid w:val="0076040F"/>
    <w:rsid w:val="007907C0"/>
    <w:rsid w:val="007A74FC"/>
    <w:rsid w:val="007B2364"/>
    <w:rsid w:val="00812D10"/>
    <w:rsid w:val="00831ADC"/>
    <w:rsid w:val="00895E24"/>
    <w:rsid w:val="008D10E4"/>
    <w:rsid w:val="008F0A92"/>
    <w:rsid w:val="008F7189"/>
    <w:rsid w:val="00956B2A"/>
    <w:rsid w:val="0096293E"/>
    <w:rsid w:val="009656DE"/>
    <w:rsid w:val="0099076C"/>
    <w:rsid w:val="00992979"/>
    <w:rsid w:val="009B6F49"/>
    <w:rsid w:val="009C21E8"/>
    <w:rsid w:val="009E01FB"/>
    <w:rsid w:val="00A339F8"/>
    <w:rsid w:val="00A45145"/>
    <w:rsid w:val="00AA5AEE"/>
    <w:rsid w:val="00AC58E5"/>
    <w:rsid w:val="00B140D3"/>
    <w:rsid w:val="00B32591"/>
    <w:rsid w:val="00BD1692"/>
    <w:rsid w:val="00C42C12"/>
    <w:rsid w:val="00C8038F"/>
    <w:rsid w:val="00C839AD"/>
    <w:rsid w:val="00CB3BD9"/>
    <w:rsid w:val="00D415D6"/>
    <w:rsid w:val="00DB6354"/>
    <w:rsid w:val="00E5464B"/>
    <w:rsid w:val="00E92D1D"/>
    <w:rsid w:val="00EA1004"/>
    <w:rsid w:val="00EE38CA"/>
    <w:rsid w:val="00EF5322"/>
    <w:rsid w:val="00F0534F"/>
    <w:rsid w:val="00F24AB9"/>
    <w:rsid w:val="00FC2655"/>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39DF4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563EB4"/>
    <w:rPr>
      <w:sz w:val="24"/>
      <w:szCs w:val="24"/>
      <w:lang w:val="en-GB"/>
    </w:rPr>
  </w:style>
  <w:style w:type="paragraph" w:styleId="Heading1">
    <w:name w:val="heading 1"/>
    <w:basedOn w:val="Normal"/>
    <w:next w:val="Normal"/>
    <w:link w:val="Heading1Char"/>
    <w:uiPriority w:val="98"/>
    <w:semiHidden/>
    <w:rsid w:val="00563EB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63EB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63EB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63EB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63EB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63EB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63EB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63EB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63EB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563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EB4"/>
  </w:style>
  <w:style w:type="paragraph" w:customStyle="1" w:styleId="JuSigned">
    <w:name w:val="Ju_Signed"/>
    <w:aliases w:val="_Signature"/>
    <w:basedOn w:val="Normal"/>
    <w:next w:val="JuPara"/>
    <w:uiPriority w:val="31"/>
    <w:qFormat/>
    <w:rsid w:val="00563EB4"/>
    <w:pPr>
      <w:tabs>
        <w:tab w:val="center" w:pos="1418"/>
        <w:tab w:val="center" w:pos="5954"/>
      </w:tabs>
      <w:spacing w:before="720"/>
    </w:pPr>
  </w:style>
  <w:style w:type="paragraph" w:customStyle="1" w:styleId="JuPara">
    <w:name w:val="Ju_Para"/>
    <w:aliases w:val="_Para"/>
    <w:basedOn w:val="NormalJustified"/>
    <w:link w:val="JuParaChar"/>
    <w:uiPriority w:val="4"/>
    <w:qFormat/>
    <w:rsid w:val="00563EB4"/>
    <w:pPr>
      <w:ind w:firstLine="284"/>
    </w:pPr>
  </w:style>
  <w:style w:type="character" w:styleId="PageNumber">
    <w:name w:val="page number"/>
    <w:uiPriority w:val="98"/>
    <w:semiHidden/>
    <w:rsid w:val="00563EB4"/>
    <w:rPr>
      <w:sz w:val="18"/>
    </w:rPr>
  </w:style>
  <w:style w:type="character" w:styleId="CommentReference">
    <w:name w:val="annotation reference"/>
    <w:basedOn w:val="DefaultParagraphFont"/>
    <w:uiPriority w:val="98"/>
    <w:semiHidden/>
    <w:rsid w:val="00563EB4"/>
    <w:rPr>
      <w:sz w:val="16"/>
      <w:szCs w:val="16"/>
    </w:rPr>
  </w:style>
  <w:style w:type="paragraph" w:styleId="CommentText">
    <w:name w:val="annotation text"/>
    <w:basedOn w:val="Normal"/>
    <w:link w:val="CommentTextChar"/>
    <w:uiPriority w:val="98"/>
    <w:semiHidden/>
    <w:rsid w:val="00563EB4"/>
    <w:rPr>
      <w:sz w:val="20"/>
      <w:szCs w:val="20"/>
    </w:rPr>
  </w:style>
  <w:style w:type="character" w:customStyle="1" w:styleId="CommentTextChar">
    <w:name w:val="Comment Text Char"/>
    <w:basedOn w:val="DefaultParagraphFont"/>
    <w:link w:val="CommentText"/>
    <w:uiPriority w:val="98"/>
    <w:semiHidden/>
    <w:rsid w:val="00563EB4"/>
    <w:rPr>
      <w:sz w:val="20"/>
      <w:szCs w:val="20"/>
      <w:lang w:val="en-GB"/>
    </w:rPr>
  </w:style>
  <w:style w:type="paragraph" w:customStyle="1" w:styleId="DecHTitle">
    <w:name w:val="Dec_H_Title"/>
    <w:aliases w:val="_Title_1"/>
    <w:basedOn w:val="JuPara"/>
    <w:next w:val="JuPara"/>
    <w:uiPriority w:val="38"/>
    <w:qFormat/>
    <w:rsid w:val="00563EB4"/>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563EB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63EB4"/>
    <w:pPr>
      <w:keepNext/>
      <w:keepLines/>
      <w:spacing w:before="1320" w:after="280"/>
      <w:contextualSpacing/>
      <w:jc w:val="center"/>
    </w:pPr>
    <w:rPr>
      <w:b/>
    </w:rPr>
  </w:style>
  <w:style w:type="paragraph" w:customStyle="1" w:styleId="JuHeader">
    <w:name w:val="Ju_Header"/>
    <w:aliases w:val="_Header"/>
    <w:basedOn w:val="Header0"/>
    <w:uiPriority w:val="29"/>
    <w:qFormat/>
    <w:rsid w:val="00563EB4"/>
    <w:pPr>
      <w:tabs>
        <w:tab w:val="clear" w:pos="4536"/>
        <w:tab w:val="clear" w:pos="9072"/>
      </w:tabs>
      <w:jc w:val="center"/>
    </w:pPr>
    <w:rPr>
      <w:sz w:val="18"/>
    </w:rPr>
  </w:style>
  <w:style w:type="paragraph" w:styleId="Header0">
    <w:name w:val="header"/>
    <w:basedOn w:val="Normal"/>
    <w:link w:val="HeaderChar"/>
    <w:uiPriority w:val="98"/>
    <w:semiHidden/>
    <w:rsid w:val="00563EB4"/>
    <w:pPr>
      <w:tabs>
        <w:tab w:val="center" w:pos="4536"/>
        <w:tab w:val="right" w:pos="9072"/>
      </w:tabs>
    </w:pPr>
  </w:style>
  <w:style w:type="character" w:customStyle="1" w:styleId="HeaderChar">
    <w:name w:val="Header Char"/>
    <w:basedOn w:val="DefaultParagraphFont"/>
    <w:link w:val="Header0"/>
    <w:uiPriority w:val="98"/>
    <w:semiHidden/>
    <w:rsid w:val="00563EB4"/>
    <w:rPr>
      <w:sz w:val="24"/>
      <w:szCs w:val="24"/>
      <w:lang w:val="en-GB"/>
    </w:rPr>
  </w:style>
  <w:style w:type="paragraph" w:styleId="BalloonText">
    <w:name w:val="Balloon Text"/>
    <w:basedOn w:val="Normal"/>
    <w:link w:val="BalloonTextChar"/>
    <w:uiPriority w:val="98"/>
    <w:semiHidden/>
    <w:rsid w:val="00563EB4"/>
    <w:rPr>
      <w:rFonts w:ascii="Tahoma" w:hAnsi="Tahoma" w:cs="Tahoma"/>
      <w:sz w:val="16"/>
      <w:szCs w:val="16"/>
    </w:rPr>
  </w:style>
  <w:style w:type="character" w:customStyle="1" w:styleId="BalloonTextChar">
    <w:name w:val="Balloon Text Char"/>
    <w:basedOn w:val="DefaultParagraphFont"/>
    <w:link w:val="BalloonText"/>
    <w:uiPriority w:val="98"/>
    <w:semiHidden/>
    <w:rsid w:val="00563EB4"/>
    <w:rPr>
      <w:rFonts w:ascii="Tahoma" w:hAnsi="Tahoma" w:cs="Tahoma"/>
      <w:sz w:val="16"/>
      <w:szCs w:val="16"/>
      <w:lang w:val="en-GB"/>
    </w:rPr>
  </w:style>
  <w:style w:type="paragraph" w:customStyle="1" w:styleId="DummyStyle">
    <w:name w:val="Dummy_Style"/>
    <w:aliases w:val="_Dummy"/>
    <w:basedOn w:val="Normal"/>
    <w:semiHidden/>
    <w:qFormat/>
    <w:rsid w:val="00563EB4"/>
    <w:rPr>
      <w:color w:val="00B050"/>
      <w:sz w:val="22"/>
    </w:rPr>
  </w:style>
  <w:style w:type="paragraph" w:customStyle="1" w:styleId="NormalJustified">
    <w:name w:val="Normal_Justified"/>
    <w:basedOn w:val="Normal"/>
    <w:semiHidden/>
    <w:rsid w:val="00563EB4"/>
    <w:pPr>
      <w:jc w:val="both"/>
    </w:pPr>
  </w:style>
  <w:style w:type="paragraph" w:customStyle="1" w:styleId="JuQuot">
    <w:name w:val="Ju_Quot"/>
    <w:aliases w:val="_Quote"/>
    <w:basedOn w:val="NormalJustified"/>
    <w:uiPriority w:val="20"/>
    <w:qFormat/>
    <w:rsid w:val="00563EB4"/>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563EB4"/>
    <w:pPr>
      <w:keepNext/>
      <w:keepLines/>
      <w:tabs>
        <w:tab w:val="right" w:pos="7938"/>
      </w:tabs>
      <w:ind w:firstLine="0"/>
      <w:jc w:val="center"/>
    </w:pPr>
    <w:rPr>
      <w:i/>
    </w:rPr>
  </w:style>
  <w:style w:type="table" w:customStyle="1" w:styleId="ECHRDNTable">
    <w:name w:val="ECHR_DN_Table"/>
    <w:basedOn w:val="TableNormal"/>
    <w:uiPriority w:val="99"/>
    <w:rsid w:val="00563EB4"/>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563EB4"/>
    <w:pPr>
      <w:numPr>
        <w:numId w:val="69"/>
      </w:numPr>
    </w:pPr>
  </w:style>
  <w:style w:type="numbering" w:customStyle="1" w:styleId="ECHRA1StyleList">
    <w:name w:val="ECHR_A1_Style_List"/>
    <w:basedOn w:val="NoList"/>
    <w:uiPriority w:val="99"/>
    <w:rsid w:val="00563EB4"/>
    <w:pPr>
      <w:numPr>
        <w:numId w:val="70"/>
      </w:numPr>
    </w:pPr>
  </w:style>
  <w:style w:type="paragraph" w:customStyle="1" w:styleId="JuHArticle">
    <w:name w:val="Ju_H_Article"/>
    <w:aliases w:val="_Title_Quote"/>
    <w:basedOn w:val="Normal"/>
    <w:next w:val="JuQuot"/>
    <w:uiPriority w:val="19"/>
    <w:qFormat/>
    <w:rsid w:val="00563EB4"/>
    <w:pPr>
      <w:keepNext/>
      <w:spacing w:before="100" w:beforeAutospacing="1" w:after="120"/>
      <w:contextualSpacing/>
      <w:jc w:val="center"/>
    </w:pPr>
    <w:rPr>
      <w:b/>
      <w:sz w:val="20"/>
    </w:rPr>
  </w:style>
  <w:style w:type="numbering" w:customStyle="1" w:styleId="ECHRA1StyleNumberedList">
    <w:name w:val="ECHR_A1_Style_Numbered_List"/>
    <w:basedOn w:val="NoList"/>
    <w:rsid w:val="00563EB4"/>
    <w:pPr>
      <w:numPr>
        <w:numId w:val="71"/>
      </w:numPr>
    </w:pPr>
  </w:style>
  <w:style w:type="table" w:customStyle="1" w:styleId="ECHRHeaderTable">
    <w:name w:val="ECHR_Header_Table"/>
    <w:basedOn w:val="TableNormal"/>
    <w:uiPriority w:val="99"/>
    <w:rsid w:val="00563EB4"/>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563EB4"/>
    <w:pPr>
      <w:keepNext/>
      <w:keepLines/>
      <w:numPr>
        <w:numId w:val="87"/>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563EB4"/>
    <w:pPr>
      <w:tabs>
        <w:tab w:val="center" w:pos="6407"/>
      </w:tabs>
      <w:spacing w:before="720"/>
      <w:jc w:val="right"/>
    </w:pPr>
  </w:style>
  <w:style w:type="table" w:customStyle="1" w:styleId="ECHRHeaderTableReduced">
    <w:name w:val="ECHR_Header_Table_Reduced"/>
    <w:basedOn w:val="TableNormal"/>
    <w:uiPriority w:val="99"/>
    <w:rsid w:val="00563EB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563EB4"/>
    <w:rPr>
      <w:caps w:val="0"/>
      <w:smallCaps/>
    </w:rPr>
  </w:style>
  <w:style w:type="character" w:customStyle="1" w:styleId="JuITMark">
    <w:name w:val="Ju_ITMark"/>
    <w:aliases w:val="_ITMark"/>
    <w:basedOn w:val="DefaultParagraphFont"/>
    <w:uiPriority w:val="54"/>
    <w:qFormat/>
    <w:rsid w:val="00563EB4"/>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563EB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563EB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63EB4"/>
    <w:pPr>
      <w:keepNext/>
      <w:keepLines/>
      <w:numPr>
        <w:ilvl w:val="1"/>
        <w:numId w:val="87"/>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563EB4"/>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563EB4"/>
    <w:pPr>
      <w:keepNext/>
      <w:keepLines/>
      <w:numPr>
        <w:ilvl w:val="2"/>
        <w:numId w:val="87"/>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563EB4"/>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563EB4"/>
    <w:pPr>
      <w:keepNext/>
      <w:keepLines/>
      <w:numPr>
        <w:ilvl w:val="3"/>
        <w:numId w:val="87"/>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563EB4"/>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563EB4"/>
    <w:pPr>
      <w:keepNext/>
      <w:keepLines/>
      <w:numPr>
        <w:ilvl w:val="4"/>
        <w:numId w:val="87"/>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563EB4"/>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563EB4"/>
    <w:pPr>
      <w:keepNext/>
      <w:keepLines/>
      <w:numPr>
        <w:ilvl w:val="5"/>
        <w:numId w:val="87"/>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563EB4"/>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563EB4"/>
    <w:pPr>
      <w:keepNext/>
      <w:keepLines/>
      <w:numPr>
        <w:ilvl w:val="6"/>
        <w:numId w:val="87"/>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563EB4"/>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563EB4"/>
    <w:pPr>
      <w:keepNext/>
      <w:keepLines/>
      <w:numPr>
        <w:ilvl w:val="7"/>
        <w:numId w:val="87"/>
      </w:numPr>
      <w:spacing w:before="100" w:beforeAutospacing="1" w:after="120"/>
      <w:jc w:val="both"/>
    </w:pPr>
    <w:rPr>
      <w:i/>
    </w:rPr>
  </w:style>
  <w:style w:type="character" w:customStyle="1" w:styleId="Heading7Char">
    <w:name w:val="Heading 7 Char"/>
    <w:basedOn w:val="DefaultParagraphFont"/>
    <w:link w:val="Heading7"/>
    <w:uiPriority w:val="98"/>
    <w:semiHidden/>
    <w:rsid w:val="00563EB4"/>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563EB4"/>
    <w:pPr>
      <w:keepNext/>
      <w:keepLines/>
      <w:spacing w:before="240" w:after="240"/>
      <w:ind w:firstLine="284"/>
    </w:pPr>
  </w:style>
  <w:style w:type="table" w:customStyle="1" w:styleId="ECHRTableBoxHeader">
    <w:name w:val="ECHR_Table_Box_Header"/>
    <w:basedOn w:val="TableNormal"/>
    <w:rsid w:val="00563EB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563EB4"/>
    <w:pPr>
      <w:tabs>
        <w:tab w:val="left" w:pos="567"/>
        <w:tab w:val="left" w:pos="1134"/>
      </w:tabs>
    </w:pPr>
  </w:style>
  <w:style w:type="paragraph" w:customStyle="1" w:styleId="JuList">
    <w:name w:val="Ju_List"/>
    <w:aliases w:val="_List_1"/>
    <w:basedOn w:val="NormalJustified"/>
    <w:uiPriority w:val="23"/>
    <w:qFormat/>
    <w:rsid w:val="00563EB4"/>
    <w:pPr>
      <w:numPr>
        <w:numId w:val="90"/>
      </w:numPr>
      <w:spacing w:before="280" w:after="60"/>
    </w:pPr>
  </w:style>
  <w:style w:type="paragraph" w:customStyle="1" w:styleId="JuLista">
    <w:name w:val="Ju_List_a"/>
    <w:aliases w:val="_List_2"/>
    <w:basedOn w:val="NormalJustified"/>
    <w:uiPriority w:val="23"/>
    <w:rsid w:val="00563EB4"/>
    <w:pPr>
      <w:numPr>
        <w:ilvl w:val="1"/>
        <w:numId w:val="90"/>
      </w:numPr>
    </w:pPr>
  </w:style>
  <w:style w:type="paragraph" w:customStyle="1" w:styleId="JuListi">
    <w:name w:val="Ju_List_i"/>
    <w:aliases w:val="_List_3"/>
    <w:basedOn w:val="NormalJustified"/>
    <w:uiPriority w:val="23"/>
    <w:rsid w:val="00563EB4"/>
    <w:pPr>
      <w:numPr>
        <w:ilvl w:val="2"/>
        <w:numId w:val="90"/>
      </w:numPr>
    </w:pPr>
  </w:style>
  <w:style w:type="table" w:customStyle="1" w:styleId="ECHRTableFax">
    <w:name w:val="ECHR_Table_Fax"/>
    <w:basedOn w:val="TableNormal"/>
    <w:uiPriority w:val="99"/>
    <w:rsid w:val="00563EB4"/>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563EB4"/>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563EB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563EB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63EB4"/>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563EB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63EB4"/>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563EB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63EB4"/>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563EB4"/>
    <w:rPr>
      <w:b/>
      <w:bCs/>
    </w:rPr>
  </w:style>
  <w:style w:type="character" w:styleId="Emphasis">
    <w:name w:val="Emphasis"/>
    <w:uiPriority w:val="98"/>
    <w:semiHidden/>
    <w:qFormat/>
    <w:rsid w:val="00563EB4"/>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563EB4"/>
  </w:style>
  <w:style w:type="character" w:customStyle="1" w:styleId="NoSpacingChar">
    <w:name w:val="No Spacing Char"/>
    <w:basedOn w:val="DefaultParagraphFont"/>
    <w:link w:val="NoSpacing"/>
    <w:uiPriority w:val="98"/>
    <w:semiHidden/>
    <w:rsid w:val="00563EB4"/>
    <w:rPr>
      <w:sz w:val="24"/>
      <w:szCs w:val="24"/>
      <w:lang w:val="en-GB"/>
    </w:rPr>
  </w:style>
  <w:style w:type="paragraph" w:styleId="ListParagraph">
    <w:name w:val="List Paragraph"/>
    <w:basedOn w:val="Normal"/>
    <w:uiPriority w:val="98"/>
    <w:semiHidden/>
    <w:qFormat/>
    <w:rsid w:val="00563EB4"/>
    <w:pPr>
      <w:ind w:left="720"/>
      <w:contextualSpacing/>
    </w:pPr>
  </w:style>
  <w:style w:type="paragraph" w:styleId="Quote0">
    <w:name w:val="Quote"/>
    <w:basedOn w:val="Normal"/>
    <w:next w:val="Normal"/>
    <w:link w:val="QuoteChar"/>
    <w:uiPriority w:val="98"/>
    <w:semiHidden/>
    <w:qFormat/>
    <w:rsid w:val="00563EB4"/>
    <w:pPr>
      <w:spacing w:before="200"/>
      <w:ind w:left="360" w:right="360"/>
    </w:pPr>
    <w:rPr>
      <w:i/>
      <w:iCs/>
      <w:lang w:bidi="en-US"/>
    </w:rPr>
  </w:style>
  <w:style w:type="character" w:customStyle="1" w:styleId="QuoteChar">
    <w:name w:val="Quote Char"/>
    <w:basedOn w:val="DefaultParagraphFont"/>
    <w:link w:val="Quote0"/>
    <w:uiPriority w:val="98"/>
    <w:semiHidden/>
    <w:rsid w:val="00563EB4"/>
    <w:rPr>
      <w:i/>
      <w:iCs/>
      <w:sz w:val="24"/>
      <w:szCs w:val="24"/>
      <w:lang w:val="en-GB" w:bidi="en-US"/>
    </w:rPr>
  </w:style>
  <w:style w:type="paragraph" w:styleId="IntenseQuote">
    <w:name w:val="Intense Quote"/>
    <w:basedOn w:val="Normal"/>
    <w:next w:val="Normal"/>
    <w:link w:val="IntenseQuoteChar"/>
    <w:uiPriority w:val="98"/>
    <w:semiHidden/>
    <w:qFormat/>
    <w:rsid w:val="00563EB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63EB4"/>
    <w:rPr>
      <w:b/>
      <w:bCs/>
      <w:i/>
      <w:iCs/>
      <w:sz w:val="24"/>
      <w:szCs w:val="24"/>
      <w:lang w:val="en-GB" w:bidi="en-US"/>
    </w:rPr>
  </w:style>
  <w:style w:type="character" w:styleId="SubtleEmphasis">
    <w:name w:val="Subtle Emphasis"/>
    <w:uiPriority w:val="98"/>
    <w:semiHidden/>
    <w:qFormat/>
    <w:rsid w:val="00563EB4"/>
    <w:rPr>
      <w:i/>
      <w:iCs/>
    </w:rPr>
  </w:style>
  <w:style w:type="character" w:styleId="IntenseEmphasis">
    <w:name w:val="Intense Emphasis"/>
    <w:uiPriority w:val="98"/>
    <w:semiHidden/>
    <w:qFormat/>
    <w:rsid w:val="00563EB4"/>
    <w:rPr>
      <w:b/>
      <w:bCs/>
    </w:rPr>
  </w:style>
  <w:style w:type="character" w:styleId="SubtleReference">
    <w:name w:val="Subtle Reference"/>
    <w:uiPriority w:val="98"/>
    <w:semiHidden/>
    <w:qFormat/>
    <w:rsid w:val="00563EB4"/>
    <w:rPr>
      <w:smallCaps/>
    </w:rPr>
  </w:style>
  <w:style w:type="character" w:styleId="IntenseReference">
    <w:name w:val="Intense Reference"/>
    <w:uiPriority w:val="98"/>
    <w:semiHidden/>
    <w:qFormat/>
    <w:rsid w:val="00563EB4"/>
    <w:rPr>
      <w:smallCaps/>
      <w:spacing w:val="5"/>
      <w:u w:val="single"/>
    </w:rPr>
  </w:style>
  <w:style w:type="character" w:styleId="BookTitle">
    <w:name w:val="Book Title"/>
    <w:uiPriority w:val="98"/>
    <w:semiHidden/>
    <w:qFormat/>
    <w:rsid w:val="00563EB4"/>
    <w:rPr>
      <w:i/>
      <w:iCs/>
      <w:smallCaps/>
      <w:spacing w:val="5"/>
    </w:rPr>
  </w:style>
  <w:style w:type="paragraph" w:styleId="TOCHeading">
    <w:name w:val="TOC Heading"/>
    <w:basedOn w:val="Normal"/>
    <w:next w:val="Normal"/>
    <w:uiPriority w:val="98"/>
    <w:semiHidden/>
    <w:qFormat/>
    <w:rsid w:val="00563EB4"/>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563EB4"/>
    <w:pPr>
      <w:numPr>
        <w:numId w:val="56"/>
      </w:numPr>
    </w:pPr>
  </w:style>
  <w:style w:type="numbering" w:styleId="1ai">
    <w:name w:val="Outline List 1"/>
    <w:basedOn w:val="NoList"/>
    <w:uiPriority w:val="99"/>
    <w:semiHidden/>
    <w:unhideWhenUsed/>
    <w:rsid w:val="00563EB4"/>
    <w:pPr>
      <w:numPr>
        <w:numId w:val="57"/>
      </w:numPr>
    </w:pPr>
  </w:style>
  <w:style w:type="numbering" w:styleId="ArticleSection">
    <w:name w:val="Outline List 3"/>
    <w:basedOn w:val="NoList"/>
    <w:uiPriority w:val="99"/>
    <w:semiHidden/>
    <w:unhideWhenUsed/>
    <w:rsid w:val="00563EB4"/>
    <w:pPr>
      <w:numPr>
        <w:numId w:val="58"/>
      </w:numPr>
    </w:pPr>
  </w:style>
  <w:style w:type="paragraph" w:styleId="Bibliography">
    <w:name w:val="Bibliography"/>
    <w:basedOn w:val="Normal"/>
    <w:next w:val="Normal"/>
    <w:uiPriority w:val="98"/>
    <w:semiHidden/>
    <w:rsid w:val="00563EB4"/>
  </w:style>
  <w:style w:type="paragraph" w:styleId="BlockText">
    <w:name w:val="Block Text"/>
    <w:basedOn w:val="Normal"/>
    <w:uiPriority w:val="98"/>
    <w:semiHidden/>
    <w:rsid w:val="00563EB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563EB4"/>
    <w:pPr>
      <w:spacing w:after="120"/>
    </w:pPr>
  </w:style>
  <w:style w:type="character" w:customStyle="1" w:styleId="BodyTextChar">
    <w:name w:val="Body Text Char"/>
    <w:basedOn w:val="DefaultParagraphFont"/>
    <w:link w:val="BodyText"/>
    <w:uiPriority w:val="98"/>
    <w:semiHidden/>
    <w:rsid w:val="00563EB4"/>
    <w:rPr>
      <w:sz w:val="24"/>
      <w:szCs w:val="24"/>
      <w:lang w:val="en-GB"/>
    </w:rPr>
  </w:style>
  <w:style w:type="paragraph" w:styleId="BodyText2">
    <w:name w:val="Body Text 2"/>
    <w:basedOn w:val="Normal"/>
    <w:link w:val="BodyText2Char"/>
    <w:uiPriority w:val="98"/>
    <w:semiHidden/>
    <w:rsid w:val="00563EB4"/>
    <w:pPr>
      <w:spacing w:after="120" w:line="480" w:lineRule="auto"/>
    </w:pPr>
  </w:style>
  <w:style w:type="character" w:customStyle="1" w:styleId="BodyText2Char">
    <w:name w:val="Body Text 2 Char"/>
    <w:basedOn w:val="DefaultParagraphFont"/>
    <w:link w:val="BodyText2"/>
    <w:uiPriority w:val="98"/>
    <w:semiHidden/>
    <w:rsid w:val="00563EB4"/>
    <w:rPr>
      <w:sz w:val="24"/>
      <w:szCs w:val="24"/>
      <w:lang w:val="en-GB"/>
    </w:rPr>
  </w:style>
  <w:style w:type="paragraph" w:styleId="BodyText3">
    <w:name w:val="Body Text 3"/>
    <w:basedOn w:val="Normal"/>
    <w:link w:val="BodyText3Char"/>
    <w:uiPriority w:val="98"/>
    <w:semiHidden/>
    <w:rsid w:val="00563EB4"/>
    <w:pPr>
      <w:spacing w:after="120"/>
    </w:pPr>
    <w:rPr>
      <w:sz w:val="16"/>
      <w:szCs w:val="16"/>
    </w:rPr>
  </w:style>
  <w:style w:type="character" w:customStyle="1" w:styleId="BodyText3Char">
    <w:name w:val="Body Text 3 Char"/>
    <w:basedOn w:val="DefaultParagraphFont"/>
    <w:link w:val="BodyText3"/>
    <w:uiPriority w:val="98"/>
    <w:semiHidden/>
    <w:rsid w:val="00563EB4"/>
    <w:rPr>
      <w:sz w:val="16"/>
      <w:szCs w:val="16"/>
      <w:lang w:val="en-GB"/>
    </w:rPr>
  </w:style>
  <w:style w:type="paragraph" w:styleId="BodyTextFirstIndent">
    <w:name w:val="Body Text First Indent"/>
    <w:basedOn w:val="BodyText"/>
    <w:link w:val="BodyTextFirstIndentChar"/>
    <w:uiPriority w:val="98"/>
    <w:semiHidden/>
    <w:rsid w:val="00563EB4"/>
    <w:pPr>
      <w:spacing w:after="0"/>
      <w:ind w:firstLine="360"/>
    </w:pPr>
  </w:style>
  <w:style w:type="character" w:customStyle="1" w:styleId="BodyTextFirstIndentChar">
    <w:name w:val="Body Text First Indent Char"/>
    <w:basedOn w:val="BodyTextChar"/>
    <w:link w:val="BodyTextFirstIndent"/>
    <w:uiPriority w:val="98"/>
    <w:semiHidden/>
    <w:rsid w:val="00563EB4"/>
    <w:rPr>
      <w:sz w:val="24"/>
      <w:szCs w:val="24"/>
      <w:lang w:val="en-GB"/>
    </w:rPr>
  </w:style>
  <w:style w:type="paragraph" w:styleId="BodyTextIndent">
    <w:name w:val="Body Text Indent"/>
    <w:basedOn w:val="Normal"/>
    <w:link w:val="BodyTextIndentChar"/>
    <w:uiPriority w:val="98"/>
    <w:semiHidden/>
    <w:rsid w:val="00563EB4"/>
    <w:pPr>
      <w:spacing w:after="120"/>
      <w:ind w:left="283"/>
    </w:pPr>
  </w:style>
  <w:style w:type="character" w:customStyle="1" w:styleId="BodyTextIndentChar">
    <w:name w:val="Body Text Indent Char"/>
    <w:basedOn w:val="DefaultParagraphFont"/>
    <w:link w:val="BodyTextIndent"/>
    <w:uiPriority w:val="98"/>
    <w:semiHidden/>
    <w:rsid w:val="00563EB4"/>
    <w:rPr>
      <w:sz w:val="24"/>
      <w:szCs w:val="24"/>
      <w:lang w:val="en-GB"/>
    </w:rPr>
  </w:style>
  <w:style w:type="paragraph" w:styleId="BodyTextFirstIndent2">
    <w:name w:val="Body Text First Indent 2"/>
    <w:basedOn w:val="BodyTextIndent"/>
    <w:link w:val="BodyTextFirstIndent2Char"/>
    <w:uiPriority w:val="98"/>
    <w:semiHidden/>
    <w:rsid w:val="00563EB4"/>
    <w:pPr>
      <w:spacing w:after="0"/>
      <w:ind w:left="360" w:firstLine="360"/>
    </w:pPr>
  </w:style>
  <w:style w:type="character" w:customStyle="1" w:styleId="BodyTextFirstIndent2Char">
    <w:name w:val="Body Text First Indent 2 Char"/>
    <w:basedOn w:val="BodyTextIndentChar"/>
    <w:link w:val="BodyTextFirstIndent2"/>
    <w:uiPriority w:val="98"/>
    <w:semiHidden/>
    <w:rsid w:val="00563EB4"/>
    <w:rPr>
      <w:sz w:val="24"/>
      <w:szCs w:val="24"/>
      <w:lang w:val="en-GB"/>
    </w:rPr>
  </w:style>
  <w:style w:type="paragraph" w:styleId="BodyTextIndent2">
    <w:name w:val="Body Text Indent 2"/>
    <w:basedOn w:val="Normal"/>
    <w:link w:val="BodyTextIndent2Char"/>
    <w:uiPriority w:val="98"/>
    <w:semiHidden/>
    <w:rsid w:val="00563EB4"/>
    <w:pPr>
      <w:spacing w:after="120" w:line="480" w:lineRule="auto"/>
      <w:ind w:left="283"/>
    </w:pPr>
  </w:style>
  <w:style w:type="character" w:customStyle="1" w:styleId="BodyTextIndent2Char">
    <w:name w:val="Body Text Indent 2 Char"/>
    <w:basedOn w:val="DefaultParagraphFont"/>
    <w:link w:val="BodyTextIndent2"/>
    <w:uiPriority w:val="98"/>
    <w:semiHidden/>
    <w:rsid w:val="00563EB4"/>
    <w:rPr>
      <w:sz w:val="24"/>
      <w:szCs w:val="24"/>
      <w:lang w:val="en-GB"/>
    </w:rPr>
  </w:style>
  <w:style w:type="paragraph" w:styleId="BodyTextIndent3">
    <w:name w:val="Body Text Indent 3"/>
    <w:basedOn w:val="Normal"/>
    <w:link w:val="BodyTextIndent3Char"/>
    <w:uiPriority w:val="98"/>
    <w:semiHidden/>
    <w:rsid w:val="00563EB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63EB4"/>
    <w:rPr>
      <w:sz w:val="16"/>
      <w:szCs w:val="16"/>
      <w:lang w:val="en-GB"/>
    </w:rPr>
  </w:style>
  <w:style w:type="paragraph" w:styleId="Caption">
    <w:name w:val="caption"/>
    <w:basedOn w:val="Normal"/>
    <w:next w:val="Normal"/>
    <w:uiPriority w:val="98"/>
    <w:semiHidden/>
    <w:qFormat/>
    <w:rsid w:val="00563EB4"/>
    <w:pPr>
      <w:spacing w:after="200"/>
    </w:pPr>
    <w:rPr>
      <w:b/>
      <w:bCs/>
      <w:color w:val="0072BC" w:themeColor="accent1"/>
      <w:sz w:val="18"/>
      <w:szCs w:val="18"/>
    </w:rPr>
  </w:style>
  <w:style w:type="paragraph" w:styleId="Closing">
    <w:name w:val="Closing"/>
    <w:basedOn w:val="Normal"/>
    <w:link w:val="ClosingChar"/>
    <w:uiPriority w:val="98"/>
    <w:semiHidden/>
    <w:rsid w:val="00563EB4"/>
    <w:pPr>
      <w:ind w:left="4252"/>
    </w:pPr>
  </w:style>
  <w:style w:type="character" w:customStyle="1" w:styleId="ClosingChar">
    <w:name w:val="Closing Char"/>
    <w:basedOn w:val="DefaultParagraphFont"/>
    <w:link w:val="Closing"/>
    <w:uiPriority w:val="98"/>
    <w:semiHidden/>
    <w:rsid w:val="00563EB4"/>
    <w:rPr>
      <w:sz w:val="24"/>
      <w:szCs w:val="24"/>
      <w:lang w:val="en-GB"/>
    </w:rPr>
  </w:style>
  <w:style w:type="table" w:styleId="ColorfulGrid">
    <w:name w:val="Colorful Grid"/>
    <w:basedOn w:val="TableNormal"/>
    <w:uiPriority w:val="73"/>
    <w:semiHidden/>
    <w:rsid w:val="00563EB4"/>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63EB4"/>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63EB4"/>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63EB4"/>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563EB4"/>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63EB4"/>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63EB4"/>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63EB4"/>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63EB4"/>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63EB4"/>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63EB4"/>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563EB4"/>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63EB4"/>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63EB4"/>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63EB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63EB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63EB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63EB4"/>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563EB4"/>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63EB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63EB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563EB4"/>
    <w:rPr>
      <w:b/>
      <w:bCs/>
    </w:rPr>
  </w:style>
  <w:style w:type="character" w:customStyle="1" w:styleId="CommentSubjectChar">
    <w:name w:val="Comment Subject Char"/>
    <w:basedOn w:val="CommentTextChar"/>
    <w:link w:val="CommentSubject"/>
    <w:uiPriority w:val="98"/>
    <w:semiHidden/>
    <w:rsid w:val="00563EB4"/>
    <w:rPr>
      <w:b/>
      <w:bCs/>
      <w:sz w:val="20"/>
      <w:szCs w:val="20"/>
      <w:lang w:val="en-GB"/>
    </w:rPr>
  </w:style>
  <w:style w:type="table" w:styleId="DarkList">
    <w:name w:val="Dark List"/>
    <w:basedOn w:val="TableNormal"/>
    <w:uiPriority w:val="70"/>
    <w:semiHidden/>
    <w:rsid w:val="00563EB4"/>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63EB4"/>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63EB4"/>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63EB4"/>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563EB4"/>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63EB4"/>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63EB4"/>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63EB4"/>
  </w:style>
  <w:style w:type="character" w:customStyle="1" w:styleId="DateChar">
    <w:name w:val="Date Char"/>
    <w:basedOn w:val="DefaultParagraphFont"/>
    <w:link w:val="Date"/>
    <w:uiPriority w:val="98"/>
    <w:semiHidden/>
    <w:rsid w:val="00563EB4"/>
    <w:rPr>
      <w:sz w:val="24"/>
      <w:szCs w:val="24"/>
      <w:lang w:val="en-GB"/>
    </w:rPr>
  </w:style>
  <w:style w:type="paragraph" w:styleId="DocumentMap">
    <w:name w:val="Document Map"/>
    <w:basedOn w:val="Normal"/>
    <w:link w:val="DocumentMapChar"/>
    <w:uiPriority w:val="98"/>
    <w:semiHidden/>
    <w:rsid w:val="00563EB4"/>
    <w:rPr>
      <w:rFonts w:ascii="Tahoma" w:hAnsi="Tahoma" w:cs="Tahoma"/>
      <w:sz w:val="16"/>
      <w:szCs w:val="16"/>
    </w:rPr>
  </w:style>
  <w:style w:type="character" w:customStyle="1" w:styleId="DocumentMapChar">
    <w:name w:val="Document Map Char"/>
    <w:basedOn w:val="DefaultParagraphFont"/>
    <w:link w:val="DocumentMap"/>
    <w:uiPriority w:val="98"/>
    <w:semiHidden/>
    <w:rsid w:val="00563EB4"/>
    <w:rPr>
      <w:rFonts w:ascii="Tahoma" w:hAnsi="Tahoma" w:cs="Tahoma"/>
      <w:sz w:val="16"/>
      <w:szCs w:val="16"/>
      <w:lang w:val="en-GB"/>
    </w:rPr>
  </w:style>
  <w:style w:type="paragraph" w:styleId="E-mailSignature">
    <w:name w:val="E-mail Signature"/>
    <w:basedOn w:val="Normal"/>
    <w:link w:val="E-mailSignatureChar"/>
    <w:uiPriority w:val="98"/>
    <w:semiHidden/>
    <w:rsid w:val="00563EB4"/>
  </w:style>
  <w:style w:type="character" w:customStyle="1" w:styleId="E-mailSignatureChar">
    <w:name w:val="E-mail Signature Char"/>
    <w:basedOn w:val="DefaultParagraphFont"/>
    <w:link w:val="E-mailSignature"/>
    <w:uiPriority w:val="98"/>
    <w:semiHidden/>
    <w:rsid w:val="00563EB4"/>
    <w:rPr>
      <w:sz w:val="24"/>
      <w:szCs w:val="24"/>
      <w:lang w:val="en-GB"/>
    </w:rPr>
  </w:style>
  <w:style w:type="character" w:styleId="EndnoteReference">
    <w:name w:val="endnote reference"/>
    <w:basedOn w:val="DefaultParagraphFont"/>
    <w:uiPriority w:val="98"/>
    <w:semiHidden/>
    <w:rsid w:val="00563EB4"/>
    <w:rPr>
      <w:vertAlign w:val="superscript"/>
    </w:rPr>
  </w:style>
  <w:style w:type="paragraph" w:styleId="EndnoteText">
    <w:name w:val="endnote text"/>
    <w:basedOn w:val="Normal"/>
    <w:link w:val="EndnoteTextChar"/>
    <w:uiPriority w:val="98"/>
    <w:semiHidden/>
    <w:rsid w:val="00563EB4"/>
    <w:rPr>
      <w:sz w:val="20"/>
      <w:szCs w:val="20"/>
    </w:rPr>
  </w:style>
  <w:style w:type="character" w:customStyle="1" w:styleId="EndnoteTextChar">
    <w:name w:val="Endnote Text Char"/>
    <w:basedOn w:val="DefaultParagraphFont"/>
    <w:link w:val="EndnoteText"/>
    <w:uiPriority w:val="98"/>
    <w:semiHidden/>
    <w:rsid w:val="00563EB4"/>
    <w:rPr>
      <w:sz w:val="20"/>
      <w:szCs w:val="20"/>
      <w:lang w:val="en-GB"/>
    </w:rPr>
  </w:style>
  <w:style w:type="paragraph" w:styleId="EnvelopeAddress">
    <w:name w:val="envelope address"/>
    <w:basedOn w:val="Normal"/>
    <w:uiPriority w:val="98"/>
    <w:semiHidden/>
    <w:rsid w:val="00563EB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63EB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63EB4"/>
    <w:rPr>
      <w:color w:val="7030A0" w:themeColor="followedHyperlink"/>
      <w:u w:val="single"/>
    </w:rPr>
  </w:style>
  <w:style w:type="character" w:styleId="FootnoteReference">
    <w:name w:val="footnote reference"/>
    <w:basedOn w:val="DefaultParagraphFont"/>
    <w:uiPriority w:val="98"/>
    <w:semiHidden/>
    <w:rsid w:val="00563EB4"/>
    <w:rPr>
      <w:vertAlign w:val="superscript"/>
    </w:rPr>
  </w:style>
  <w:style w:type="paragraph" w:styleId="FootnoteText">
    <w:name w:val="footnote text"/>
    <w:basedOn w:val="NormalJustified"/>
    <w:link w:val="FootnoteTextChar"/>
    <w:uiPriority w:val="98"/>
    <w:semiHidden/>
    <w:rsid w:val="00563EB4"/>
    <w:rPr>
      <w:sz w:val="20"/>
      <w:szCs w:val="20"/>
    </w:rPr>
  </w:style>
  <w:style w:type="character" w:customStyle="1" w:styleId="FootnoteTextChar">
    <w:name w:val="Footnote Text Char"/>
    <w:basedOn w:val="DefaultParagraphFont"/>
    <w:link w:val="FootnoteText"/>
    <w:uiPriority w:val="98"/>
    <w:semiHidden/>
    <w:rsid w:val="00563EB4"/>
    <w:rPr>
      <w:sz w:val="20"/>
      <w:szCs w:val="20"/>
      <w:lang w:val="en-GB"/>
    </w:rPr>
  </w:style>
  <w:style w:type="character" w:styleId="HTMLAcronym">
    <w:name w:val="HTML Acronym"/>
    <w:basedOn w:val="DefaultParagraphFont"/>
    <w:uiPriority w:val="98"/>
    <w:semiHidden/>
    <w:rsid w:val="00563EB4"/>
  </w:style>
  <w:style w:type="paragraph" w:styleId="HTMLAddress">
    <w:name w:val="HTML Address"/>
    <w:basedOn w:val="Normal"/>
    <w:link w:val="HTMLAddressChar"/>
    <w:uiPriority w:val="98"/>
    <w:semiHidden/>
    <w:rsid w:val="00563EB4"/>
    <w:rPr>
      <w:i/>
      <w:iCs/>
    </w:rPr>
  </w:style>
  <w:style w:type="character" w:customStyle="1" w:styleId="HTMLAddressChar">
    <w:name w:val="HTML Address Char"/>
    <w:basedOn w:val="DefaultParagraphFont"/>
    <w:link w:val="HTMLAddress"/>
    <w:uiPriority w:val="98"/>
    <w:semiHidden/>
    <w:rsid w:val="00563EB4"/>
    <w:rPr>
      <w:i/>
      <w:iCs/>
      <w:sz w:val="24"/>
      <w:szCs w:val="24"/>
      <w:lang w:val="en-GB"/>
    </w:rPr>
  </w:style>
  <w:style w:type="character" w:styleId="HTMLCite">
    <w:name w:val="HTML Cite"/>
    <w:basedOn w:val="DefaultParagraphFont"/>
    <w:uiPriority w:val="98"/>
    <w:semiHidden/>
    <w:rsid w:val="00563EB4"/>
    <w:rPr>
      <w:i/>
      <w:iCs/>
    </w:rPr>
  </w:style>
  <w:style w:type="character" w:styleId="HTMLCode">
    <w:name w:val="HTML Code"/>
    <w:basedOn w:val="DefaultParagraphFont"/>
    <w:uiPriority w:val="98"/>
    <w:semiHidden/>
    <w:rsid w:val="00563EB4"/>
    <w:rPr>
      <w:rFonts w:ascii="Consolas" w:hAnsi="Consolas" w:cs="Consolas"/>
      <w:sz w:val="20"/>
      <w:szCs w:val="20"/>
    </w:rPr>
  </w:style>
  <w:style w:type="character" w:styleId="HTMLDefinition">
    <w:name w:val="HTML Definition"/>
    <w:basedOn w:val="DefaultParagraphFont"/>
    <w:uiPriority w:val="98"/>
    <w:semiHidden/>
    <w:rsid w:val="00563EB4"/>
    <w:rPr>
      <w:i/>
      <w:iCs/>
    </w:rPr>
  </w:style>
  <w:style w:type="character" w:styleId="HTMLKeyboard">
    <w:name w:val="HTML Keyboard"/>
    <w:basedOn w:val="DefaultParagraphFont"/>
    <w:uiPriority w:val="98"/>
    <w:semiHidden/>
    <w:rsid w:val="00563EB4"/>
    <w:rPr>
      <w:rFonts w:ascii="Consolas" w:hAnsi="Consolas" w:cs="Consolas"/>
      <w:sz w:val="20"/>
      <w:szCs w:val="20"/>
    </w:rPr>
  </w:style>
  <w:style w:type="paragraph" w:styleId="HTMLPreformatted">
    <w:name w:val="HTML Preformatted"/>
    <w:basedOn w:val="Normal"/>
    <w:link w:val="HTMLPreformattedChar"/>
    <w:uiPriority w:val="98"/>
    <w:semiHidden/>
    <w:rsid w:val="00563EB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63EB4"/>
    <w:rPr>
      <w:rFonts w:ascii="Consolas" w:hAnsi="Consolas" w:cs="Consolas"/>
      <w:sz w:val="20"/>
      <w:szCs w:val="20"/>
      <w:lang w:val="en-GB"/>
    </w:rPr>
  </w:style>
  <w:style w:type="character" w:styleId="HTMLSample">
    <w:name w:val="HTML Sample"/>
    <w:basedOn w:val="DefaultParagraphFont"/>
    <w:uiPriority w:val="98"/>
    <w:semiHidden/>
    <w:rsid w:val="00563EB4"/>
    <w:rPr>
      <w:rFonts w:ascii="Consolas" w:hAnsi="Consolas" w:cs="Consolas"/>
      <w:sz w:val="24"/>
      <w:szCs w:val="24"/>
    </w:rPr>
  </w:style>
  <w:style w:type="character" w:styleId="HTMLTypewriter">
    <w:name w:val="HTML Typewriter"/>
    <w:basedOn w:val="DefaultParagraphFont"/>
    <w:uiPriority w:val="98"/>
    <w:semiHidden/>
    <w:rsid w:val="00563EB4"/>
    <w:rPr>
      <w:rFonts w:ascii="Consolas" w:hAnsi="Consolas" w:cs="Consolas"/>
      <w:sz w:val="20"/>
      <w:szCs w:val="20"/>
    </w:rPr>
  </w:style>
  <w:style w:type="character" w:styleId="HTMLVariable">
    <w:name w:val="HTML Variable"/>
    <w:basedOn w:val="DefaultParagraphFont"/>
    <w:uiPriority w:val="98"/>
    <w:semiHidden/>
    <w:rsid w:val="00563EB4"/>
    <w:rPr>
      <w:i/>
      <w:iCs/>
    </w:rPr>
  </w:style>
  <w:style w:type="character" w:styleId="Hyperlink">
    <w:name w:val="Hyperlink"/>
    <w:basedOn w:val="DefaultParagraphFont"/>
    <w:uiPriority w:val="98"/>
    <w:semiHidden/>
    <w:rsid w:val="00563EB4"/>
    <w:rPr>
      <w:color w:val="0072BC" w:themeColor="hyperlink"/>
      <w:u w:val="single"/>
    </w:rPr>
  </w:style>
  <w:style w:type="paragraph" w:styleId="Index1">
    <w:name w:val="index 1"/>
    <w:basedOn w:val="Normal"/>
    <w:next w:val="Normal"/>
    <w:autoRedefine/>
    <w:uiPriority w:val="98"/>
    <w:semiHidden/>
    <w:rsid w:val="00563EB4"/>
    <w:pPr>
      <w:ind w:left="240" w:hanging="240"/>
    </w:pPr>
  </w:style>
  <w:style w:type="paragraph" w:styleId="Index2">
    <w:name w:val="index 2"/>
    <w:basedOn w:val="Normal"/>
    <w:next w:val="Normal"/>
    <w:autoRedefine/>
    <w:uiPriority w:val="98"/>
    <w:semiHidden/>
    <w:rsid w:val="00563EB4"/>
    <w:pPr>
      <w:ind w:left="480" w:hanging="240"/>
    </w:pPr>
  </w:style>
  <w:style w:type="paragraph" w:styleId="Index3">
    <w:name w:val="index 3"/>
    <w:basedOn w:val="Normal"/>
    <w:next w:val="Normal"/>
    <w:autoRedefine/>
    <w:uiPriority w:val="98"/>
    <w:semiHidden/>
    <w:rsid w:val="00563EB4"/>
    <w:pPr>
      <w:ind w:left="720" w:hanging="240"/>
    </w:pPr>
  </w:style>
  <w:style w:type="paragraph" w:styleId="Index4">
    <w:name w:val="index 4"/>
    <w:basedOn w:val="Normal"/>
    <w:next w:val="Normal"/>
    <w:autoRedefine/>
    <w:uiPriority w:val="98"/>
    <w:semiHidden/>
    <w:rsid w:val="00563EB4"/>
    <w:pPr>
      <w:ind w:left="960" w:hanging="240"/>
    </w:pPr>
  </w:style>
  <w:style w:type="paragraph" w:styleId="Index5">
    <w:name w:val="index 5"/>
    <w:basedOn w:val="Normal"/>
    <w:next w:val="Normal"/>
    <w:autoRedefine/>
    <w:uiPriority w:val="98"/>
    <w:semiHidden/>
    <w:rsid w:val="00563EB4"/>
    <w:pPr>
      <w:ind w:left="1200" w:hanging="240"/>
    </w:pPr>
  </w:style>
  <w:style w:type="paragraph" w:styleId="Index6">
    <w:name w:val="index 6"/>
    <w:basedOn w:val="Normal"/>
    <w:next w:val="Normal"/>
    <w:autoRedefine/>
    <w:uiPriority w:val="98"/>
    <w:semiHidden/>
    <w:rsid w:val="00563EB4"/>
    <w:pPr>
      <w:ind w:left="1440" w:hanging="240"/>
    </w:pPr>
  </w:style>
  <w:style w:type="paragraph" w:styleId="Index7">
    <w:name w:val="index 7"/>
    <w:basedOn w:val="Normal"/>
    <w:next w:val="Normal"/>
    <w:autoRedefine/>
    <w:uiPriority w:val="98"/>
    <w:semiHidden/>
    <w:rsid w:val="00563EB4"/>
    <w:pPr>
      <w:ind w:left="1680" w:hanging="240"/>
    </w:pPr>
  </w:style>
  <w:style w:type="paragraph" w:styleId="Index8">
    <w:name w:val="index 8"/>
    <w:basedOn w:val="Normal"/>
    <w:next w:val="Normal"/>
    <w:autoRedefine/>
    <w:uiPriority w:val="98"/>
    <w:semiHidden/>
    <w:rsid w:val="00563EB4"/>
    <w:pPr>
      <w:ind w:left="1920" w:hanging="240"/>
    </w:pPr>
  </w:style>
  <w:style w:type="paragraph" w:styleId="Index9">
    <w:name w:val="index 9"/>
    <w:basedOn w:val="Normal"/>
    <w:next w:val="Normal"/>
    <w:autoRedefine/>
    <w:uiPriority w:val="98"/>
    <w:semiHidden/>
    <w:rsid w:val="00563EB4"/>
    <w:pPr>
      <w:ind w:left="2160" w:hanging="240"/>
    </w:pPr>
  </w:style>
  <w:style w:type="paragraph" w:styleId="IndexHeading">
    <w:name w:val="index heading"/>
    <w:basedOn w:val="Normal"/>
    <w:next w:val="Index1"/>
    <w:uiPriority w:val="98"/>
    <w:semiHidden/>
    <w:rsid w:val="00563EB4"/>
    <w:rPr>
      <w:rFonts w:asciiTheme="majorHAnsi" w:eastAsiaTheme="majorEastAsia" w:hAnsiTheme="majorHAnsi" w:cstheme="majorBidi"/>
      <w:b/>
      <w:bCs/>
    </w:rPr>
  </w:style>
  <w:style w:type="table" w:styleId="LightGrid">
    <w:name w:val="Light Grid"/>
    <w:basedOn w:val="TableNormal"/>
    <w:uiPriority w:val="62"/>
    <w:semiHidden/>
    <w:rsid w:val="00563E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63E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63E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63EB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563E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63E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63E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63EB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63EB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63EB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63EB4"/>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563EB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63EB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63EB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63EB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63EB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63EB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63EB4"/>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563EB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63EB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63EB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63EB4"/>
  </w:style>
  <w:style w:type="paragraph" w:styleId="List">
    <w:name w:val="List"/>
    <w:basedOn w:val="Normal"/>
    <w:uiPriority w:val="98"/>
    <w:semiHidden/>
    <w:rsid w:val="00563EB4"/>
    <w:pPr>
      <w:ind w:left="283" w:hanging="283"/>
      <w:contextualSpacing/>
    </w:pPr>
  </w:style>
  <w:style w:type="paragraph" w:styleId="List20">
    <w:name w:val="List 2"/>
    <w:basedOn w:val="Normal"/>
    <w:uiPriority w:val="98"/>
    <w:semiHidden/>
    <w:rsid w:val="00563EB4"/>
    <w:pPr>
      <w:ind w:left="566" w:hanging="283"/>
      <w:contextualSpacing/>
    </w:pPr>
  </w:style>
  <w:style w:type="paragraph" w:styleId="List30">
    <w:name w:val="List 3"/>
    <w:basedOn w:val="Normal"/>
    <w:uiPriority w:val="98"/>
    <w:semiHidden/>
    <w:rsid w:val="00563EB4"/>
    <w:pPr>
      <w:ind w:left="849" w:hanging="283"/>
      <w:contextualSpacing/>
    </w:pPr>
  </w:style>
  <w:style w:type="paragraph" w:styleId="List4">
    <w:name w:val="List 4"/>
    <w:basedOn w:val="Normal"/>
    <w:uiPriority w:val="98"/>
    <w:semiHidden/>
    <w:rsid w:val="00563EB4"/>
    <w:pPr>
      <w:ind w:left="1132" w:hanging="283"/>
      <w:contextualSpacing/>
    </w:pPr>
  </w:style>
  <w:style w:type="paragraph" w:styleId="List5">
    <w:name w:val="List 5"/>
    <w:basedOn w:val="Normal"/>
    <w:uiPriority w:val="98"/>
    <w:semiHidden/>
    <w:rsid w:val="00563EB4"/>
    <w:pPr>
      <w:ind w:left="1415" w:hanging="283"/>
      <w:contextualSpacing/>
    </w:pPr>
  </w:style>
  <w:style w:type="paragraph" w:styleId="ListBullet">
    <w:name w:val="List Bullet"/>
    <w:basedOn w:val="Normal"/>
    <w:uiPriority w:val="98"/>
    <w:semiHidden/>
    <w:rsid w:val="00563EB4"/>
    <w:pPr>
      <w:numPr>
        <w:numId w:val="59"/>
      </w:numPr>
    </w:pPr>
  </w:style>
  <w:style w:type="paragraph" w:styleId="ListBullet2">
    <w:name w:val="List Bullet 2"/>
    <w:basedOn w:val="Normal"/>
    <w:uiPriority w:val="98"/>
    <w:semiHidden/>
    <w:rsid w:val="00563EB4"/>
    <w:pPr>
      <w:numPr>
        <w:numId w:val="60"/>
      </w:numPr>
      <w:contextualSpacing/>
    </w:pPr>
  </w:style>
  <w:style w:type="paragraph" w:styleId="ListBullet3">
    <w:name w:val="List Bullet 3"/>
    <w:basedOn w:val="Normal"/>
    <w:uiPriority w:val="98"/>
    <w:semiHidden/>
    <w:rsid w:val="00563EB4"/>
    <w:pPr>
      <w:numPr>
        <w:numId w:val="61"/>
      </w:numPr>
      <w:contextualSpacing/>
    </w:pPr>
  </w:style>
  <w:style w:type="paragraph" w:styleId="ListBullet4">
    <w:name w:val="List Bullet 4"/>
    <w:basedOn w:val="Normal"/>
    <w:uiPriority w:val="98"/>
    <w:semiHidden/>
    <w:rsid w:val="00563EB4"/>
    <w:pPr>
      <w:numPr>
        <w:numId w:val="62"/>
      </w:numPr>
      <w:contextualSpacing/>
    </w:pPr>
  </w:style>
  <w:style w:type="paragraph" w:styleId="ListBullet5">
    <w:name w:val="List Bullet 5"/>
    <w:basedOn w:val="Normal"/>
    <w:uiPriority w:val="98"/>
    <w:semiHidden/>
    <w:rsid w:val="00563EB4"/>
    <w:pPr>
      <w:numPr>
        <w:numId w:val="63"/>
      </w:numPr>
      <w:contextualSpacing/>
    </w:pPr>
  </w:style>
  <w:style w:type="paragraph" w:styleId="ListContinue">
    <w:name w:val="List Continue"/>
    <w:basedOn w:val="Normal"/>
    <w:uiPriority w:val="98"/>
    <w:semiHidden/>
    <w:rsid w:val="00563EB4"/>
    <w:pPr>
      <w:spacing w:after="120"/>
      <w:ind w:left="283"/>
      <w:contextualSpacing/>
    </w:pPr>
  </w:style>
  <w:style w:type="paragraph" w:styleId="ListContinue2">
    <w:name w:val="List Continue 2"/>
    <w:basedOn w:val="Normal"/>
    <w:uiPriority w:val="98"/>
    <w:semiHidden/>
    <w:rsid w:val="00563EB4"/>
    <w:pPr>
      <w:spacing w:after="120"/>
      <w:ind w:left="566"/>
      <w:contextualSpacing/>
    </w:pPr>
  </w:style>
  <w:style w:type="paragraph" w:styleId="ListContinue3">
    <w:name w:val="List Continue 3"/>
    <w:basedOn w:val="Normal"/>
    <w:uiPriority w:val="98"/>
    <w:semiHidden/>
    <w:rsid w:val="00563EB4"/>
    <w:pPr>
      <w:spacing w:after="120"/>
      <w:ind w:left="849"/>
      <w:contextualSpacing/>
    </w:pPr>
  </w:style>
  <w:style w:type="paragraph" w:styleId="ListContinue4">
    <w:name w:val="List Continue 4"/>
    <w:basedOn w:val="Normal"/>
    <w:uiPriority w:val="98"/>
    <w:semiHidden/>
    <w:rsid w:val="00563EB4"/>
    <w:pPr>
      <w:spacing w:after="120"/>
      <w:ind w:left="1132"/>
      <w:contextualSpacing/>
    </w:pPr>
  </w:style>
  <w:style w:type="paragraph" w:styleId="ListContinue5">
    <w:name w:val="List Continue 5"/>
    <w:basedOn w:val="Normal"/>
    <w:uiPriority w:val="98"/>
    <w:semiHidden/>
    <w:rsid w:val="00563EB4"/>
    <w:pPr>
      <w:spacing w:after="120"/>
      <w:ind w:left="1415"/>
      <w:contextualSpacing/>
    </w:pPr>
  </w:style>
  <w:style w:type="paragraph" w:styleId="ListNumber">
    <w:name w:val="List Number"/>
    <w:basedOn w:val="Normal"/>
    <w:uiPriority w:val="98"/>
    <w:semiHidden/>
    <w:rsid w:val="00563EB4"/>
    <w:pPr>
      <w:numPr>
        <w:numId w:val="64"/>
      </w:numPr>
      <w:contextualSpacing/>
    </w:pPr>
  </w:style>
  <w:style w:type="paragraph" w:styleId="ListNumber2">
    <w:name w:val="List Number 2"/>
    <w:basedOn w:val="Normal"/>
    <w:uiPriority w:val="98"/>
    <w:semiHidden/>
    <w:rsid w:val="00563EB4"/>
    <w:pPr>
      <w:numPr>
        <w:numId w:val="65"/>
      </w:numPr>
      <w:contextualSpacing/>
    </w:pPr>
  </w:style>
  <w:style w:type="paragraph" w:styleId="ListNumber3">
    <w:name w:val="List Number 3"/>
    <w:basedOn w:val="Normal"/>
    <w:uiPriority w:val="98"/>
    <w:semiHidden/>
    <w:rsid w:val="00563EB4"/>
    <w:pPr>
      <w:numPr>
        <w:numId w:val="66"/>
      </w:numPr>
      <w:contextualSpacing/>
    </w:pPr>
  </w:style>
  <w:style w:type="paragraph" w:styleId="ListNumber4">
    <w:name w:val="List Number 4"/>
    <w:basedOn w:val="Normal"/>
    <w:uiPriority w:val="98"/>
    <w:semiHidden/>
    <w:rsid w:val="00563EB4"/>
    <w:pPr>
      <w:numPr>
        <w:numId w:val="67"/>
      </w:numPr>
      <w:contextualSpacing/>
    </w:pPr>
  </w:style>
  <w:style w:type="paragraph" w:styleId="ListNumber5">
    <w:name w:val="List Number 5"/>
    <w:basedOn w:val="Normal"/>
    <w:uiPriority w:val="98"/>
    <w:semiHidden/>
    <w:rsid w:val="00563EB4"/>
    <w:pPr>
      <w:numPr>
        <w:numId w:val="68"/>
      </w:numPr>
      <w:contextualSpacing/>
    </w:pPr>
  </w:style>
  <w:style w:type="paragraph" w:styleId="Macro">
    <w:name w:val="macro"/>
    <w:link w:val="MacroTextChar"/>
    <w:uiPriority w:val="98"/>
    <w:semiHidden/>
    <w:rsid w:val="00563EB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63EB4"/>
    <w:rPr>
      <w:rFonts w:ascii="Consolas" w:hAnsi="Consolas" w:eastAsiaTheme="minorEastAsia" w:cs="Consolas"/>
      <w:sz w:val="20"/>
      <w:szCs w:val="20"/>
    </w:rPr>
  </w:style>
  <w:style w:type="table" w:styleId="MediumGrid1">
    <w:name w:val="Medium Grid 1"/>
    <w:basedOn w:val="TableNormal"/>
    <w:uiPriority w:val="67"/>
    <w:semiHidden/>
    <w:rsid w:val="00563E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63E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63E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63EB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563E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63E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63E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63E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63E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63E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63E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563E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63E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63EB4"/>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563EB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63EB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63EB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63EB4"/>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563EB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63EB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63EB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63EB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63EB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63EB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63EB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63EB4"/>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63EB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63EB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63EB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63E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63E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63E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63E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63E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63E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63EB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63EB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63EB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63EB4"/>
    <w:rPr>
      <w:rFonts w:ascii="Times New Roman" w:hAnsi="Times New Roman" w:cs="Times New Roman"/>
    </w:rPr>
  </w:style>
  <w:style w:type="paragraph" w:styleId="NormalIndent">
    <w:name w:val="Normal Indent"/>
    <w:basedOn w:val="Normal"/>
    <w:uiPriority w:val="98"/>
    <w:semiHidden/>
    <w:rsid w:val="00563EB4"/>
    <w:pPr>
      <w:ind w:left="720"/>
    </w:pPr>
  </w:style>
  <w:style w:type="table" w:customStyle="1" w:styleId="ECHRTableNoLines">
    <w:name w:val="ECHR_Table_No_Lines"/>
    <w:basedOn w:val="TableNormal"/>
    <w:uiPriority w:val="99"/>
    <w:rsid w:val="00563EB4"/>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563EB4"/>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563EB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63EB4"/>
    <w:rPr>
      <w:rFonts w:ascii="Consolas" w:hAnsi="Consolas" w:cs="Consolas"/>
      <w:sz w:val="21"/>
      <w:szCs w:val="21"/>
    </w:rPr>
  </w:style>
  <w:style w:type="character" w:customStyle="1" w:styleId="PlainTextChar">
    <w:name w:val="Plain Text Char"/>
    <w:basedOn w:val="DefaultParagraphFont"/>
    <w:link w:val="PlainText"/>
    <w:uiPriority w:val="98"/>
    <w:semiHidden/>
    <w:rsid w:val="00563EB4"/>
    <w:rPr>
      <w:rFonts w:ascii="Consolas" w:hAnsi="Consolas" w:cs="Consolas"/>
      <w:sz w:val="21"/>
      <w:szCs w:val="21"/>
      <w:lang w:val="en-GB"/>
    </w:rPr>
  </w:style>
  <w:style w:type="paragraph" w:styleId="Salutation">
    <w:name w:val="Salutation"/>
    <w:basedOn w:val="Normal"/>
    <w:next w:val="Normal"/>
    <w:link w:val="SalutationChar"/>
    <w:uiPriority w:val="98"/>
    <w:semiHidden/>
    <w:rsid w:val="00563EB4"/>
  </w:style>
  <w:style w:type="character" w:customStyle="1" w:styleId="SalutationChar">
    <w:name w:val="Salutation Char"/>
    <w:basedOn w:val="DefaultParagraphFont"/>
    <w:link w:val="Salutation"/>
    <w:uiPriority w:val="98"/>
    <w:semiHidden/>
    <w:rsid w:val="00563EB4"/>
    <w:rPr>
      <w:sz w:val="24"/>
      <w:szCs w:val="24"/>
      <w:lang w:val="en-GB"/>
    </w:rPr>
  </w:style>
  <w:style w:type="paragraph" w:styleId="Signature0">
    <w:name w:val="Signature"/>
    <w:basedOn w:val="Normal"/>
    <w:link w:val="SignatureChar"/>
    <w:uiPriority w:val="98"/>
    <w:semiHidden/>
    <w:rsid w:val="00563EB4"/>
    <w:pPr>
      <w:ind w:left="4252"/>
    </w:pPr>
  </w:style>
  <w:style w:type="character" w:customStyle="1" w:styleId="SignatureChar">
    <w:name w:val="Signature Char"/>
    <w:basedOn w:val="DefaultParagraphFont"/>
    <w:link w:val="Signature0"/>
    <w:uiPriority w:val="98"/>
    <w:semiHidden/>
    <w:rsid w:val="00563EB4"/>
    <w:rPr>
      <w:sz w:val="24"/>
      <w:szCs w:val="24"/>
      <w:lang w:val="en-GB"/>
    </w:rPr>
  </w:style>
  <w:style w:type="table" w:styleId="Table3Deffects1">
    <w:name w:val="Table 3D effects 1"/>
    <w:basedOn w:val="TableNormal"/>
    <w:uiPriority w:val="99"/>
    <w:semiHidden/>
    <w:unhideWhenUsed/>
    <w:rsid w:val="00563EB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63EB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63EB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63EB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63EB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63EB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63EB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63EB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63EB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63EB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63EB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63EB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63EB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63EB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63EB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63EB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63EB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563EB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563E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63EB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63EB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63EB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63E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63EB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63EB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63EB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63EB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63EB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63EB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63EB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63E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63E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63EB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63EB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63EB4"/>
    <w:pPr>
      <w:ind w:left="240" w:hanging="240"/>
    </w:pPr>
  </w:style>
  <w:style w:type="paragraph" w:styleId="TableofFigures">
    <w:name w:val="table of figures"/>
    <w:basedOn w:val="Normal"/>
    <w:next w:val="Normal"/>
    <w:uiPriority w:val="98"/>
    <w:semiHidden/>
    <w:rsid w:val="00563EB4"/>
  </w:style>
  <w:style w:type="table" w:styleId="TableProfessional">
    <w:name w:val="Table Professional"/>
    <w:basedOn w:val="TableNormal"/>
    <w:uiPriority w:val="99"/>
    <w:semiHidden/>
    <w:unhideWhenUsed/>
    <w:rsid w:val="00563EB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63EB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63EB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63EB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63EB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63EB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63EB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63EB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63EB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63EB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563EB4"/>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563EB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63EB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63EB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63EB4"/>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63EB4"/>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563EB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63EB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63EB4"/>
    <w:pPr>
      <w:spacing w:after="100"/>
      <w:ind w:left="1680"/>
    </w:pPr>
  </w:style>
  <w:style w:type="paragraph" w:styleId="TOC9">
    <w:name w:val="toc 9"/>
    <w:basedOn w:val="Normal"/>
    <w:next w:val="Normal"/>
    <w:autoRedefine/>
    <w:uiPriority w:val="98"/>
    <w:semiHidden/>
    <w:rsid w:val="00563EB4"/>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563EB4"/>
    <w:pPr>
      <w:tabs>
        <w:tab w:val="center" w:pos="3686"/>
        <w:tab w:val="right" w:pos="7371"/>
      </w:tabs>
    </w:pPr>
  </w:style>
  <w:style w:type="character" w:customStyle="1" w:styleId="FooterChar">
    <w:name w:val="Footer Char"/>
    <w:basedOn w:val="DefaultParagraphFont"/>
    <w:link w:val="Footer1"/>
    <w:uiPriority w:val="98"/>
    <w:semiHidden/>
    <w:rsid w:val="00563EB4"/>
    <w:rPr>
      <w:sz w:val="24"/>
      <w:szCs w:val="24"/>
      <w:lang w:val="en-GB"/>
    </w:rPr>
  </w:style>
  <w:style w:type="paragraph" w:customStyle="1" w:styleId="ECHRFooterLine">
    <w:name w:val="ECHR_Footer_Line"/>
    <w:aliases w:val="_Footer_Line"/>
    <w:basedOn w:val="Normal"/>
    <w:next w:val="Normal"/>
    <w:uiPriority w:val="30"/>
    <w:semiHidden/>
    <w:rsid w:val="00563EB4"/>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563EB4"/>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563EB4"/>
    <w:pPr>
      <w:ind w:firstLine="284"/>
    </w:pPr>
    <w:rPr>
      <w:b/>
    </w:rPr>
  </w:style>
  <w:style w:type="paragraph" w:styleId="NoteHeading">
    <w:name w:val="Note Heading"/>
    <w:basedOn w:val="Normal"/>
    <w:next w:val="Normal"/>
    <w:link w:val="NoteHeadingChar"/>
    <w:uiPriority w:val="98"/>
    <w:semiHidden/>
    <w:rsid w:val="00563EB4"/>
  </w:style>
  <w:style w:type="character" w:customStyle="1" w:styleId="NoteHeadingChar">
    <w:name w:val="Note Heading Char"/>
    <w:basedOn w:val="DefaultParagraphFont"/>
    <w:link w:val="NoteHeading"/>
    <w:uiPriority w:val="98"/>
    <w:semiHidden/>
    <w:rsid w:val="00563EB4"/>
    <w:rPr>
      <w:sz w:val="24"/>
      <w:szCs w:val="24"/>
      <w:lang w:val="en-GB"/>
    </w:rPr>
  </w:style>
  <w:style w:type="paragraph" w:customStyle="1" w:styleId="ECHRHeaderLandscape">
    <w:name w:val="ECHR_Header_Landscape"/>
    <w:aliases w:val="_Header_Landscape"/>
    <w:basedOn w:val="JuHeader"/>
    <w:uiPriority w:val="29"/>
    <w:semiHidden/>
    <w:rsid w:val="00563EB4"/>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63EB4"/>
    <w:pPr>
      <w:numPr>
        <w:numId w:val="75"/>
      </w:numPr>
      <w:spacing w:before="60" w:after="60"/>
    </w:pPr>
  </w:style>
  <w:style w:type="paragraph" w:customStyle="1" w:styleId="ECHRBullet2">
    <w:name w:val="ECHR_Bullet_2"/>
    <w:aliases w:val="_Bul_2"/>
    <w:basedOn w:val="ECHRBullet1"/>
    <w:uiPriority w:val="23"/>
    <w:semiHidden/>
    <w:rsid w:val="00563EB4"/>
    <w:pPr>
      <w:numPr>
        <w:ilvl w:val="1"/>
      </w:numPr>
    </w:pPr>
  </w:style>
  <w:style w:type="paragraph" w:customStyle="1" w:styleId="ECHRBullet3">
    <w:name w:val="ECHR_Bullet_3"/>
    <w:aliases w:val="_Bul_3"/>
    <w:basedOn w:val="ECHRBullet2"/>
    <w:uiPriority w:val="23"/>
    <w:semiHidden/>
    <w:rsid w:val="00563EB4"/>
    <w:pPr>
      <w:numPr>
        <w:ilvl w:val="2"/>
      </w:numPr>
    </w:pPr>
  </w:style>
  <w:style w:type="paragraph" w:customStyle="1" w:styleId="ECHRBullet4">
    <w:name w:val="ECHR_Bullet_4"/>
    <w:aliases w:val="_Bul_4"/>
    <w:basedOn w:val="ECHRBullet3"/>
    <w:uiPriority w:val="23"/>
    <w:semiHidden/>
    <w:rsid w:val="00563EB4"/>
    <w:pPr>
      <w:numPr>
        <w:ilvl w:val="3"/>
      </w:numPr>
    </w:pPr>
  </w:style>
  <w:style w:type="paragraph" w:customStyle="1" w:styleId="ECHRConfidential">
    <w:name w:val="ECHR_Confidential"/>
    <w:aliases w:val="_Confidential"/>
    <w:basedOn w:val="Normal"/>
    <w:next w:val="Normal"/>
    <w:uiPriority w:val="42"/>
    <w:semiHidden/>
    <w:qFormat/>
    <w:rsid w:val="00563EB4"/>
    <w:pPr>
      <w:jc w:val="right"/>
    </w:pPr>
    <w:rPr>
      <w:color w:val="C00000"/>
      <w:sz w:val="20"/>
    </w:rPr>
  </w:style>
  <w:style w:type="paragraph" w:customStyle="1" w:styleId="ECHRDecisionBody">
    <w:name w:val="ECHR_Decision_Body"/>
    <w:aliases w:val="_Decision_Body"/>
    <w:basedOn w:val="NormalJustified"/>
    <w:uiPriority w:val="54"/>
    <w:semiHidden/>
    <w:rsid w:val="00563EB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63EB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63EB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63EB4"/>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563EB4"/>
    <w:pPr>
      <w:jc w:val="right"/>
    </w:pPr>
    <w:rPr>
      <w:sz w:val="20"/>
    </w:rPr>
  </w:style>
  <w:style w:type="paragraph" w:customStyle="1" w:styleId="ECHRHeaderRefIt">
    <w:name w:val="ECHR_Header_Ref_It"/>
    <w:aliases w:val="_Ref_Ital"/>
    <w:basedOn w:val="Normal"/>
    <w:next w:val="ECHRHeaderDate"/>
    <w:uiPriority w:val="43"/>
    <w:semiHidden/>
    <w:qFormat/>
    <w:rsid w:val="00563EB4"/>
    <w:pPr>
      <w:jc w:val="right"/>
    </w:pPr>
    <w:rPr>
      <w:i/>
      <w:sz w:val="20"/>
    </w:rPr>
  </w:style>
  <w:style w:type="paragraph" w:customStyle="1" w:styleId="ECHRHeading9">
    <w:name w:val="ECHR_Heading_9"/>
    <w:aliases w:val="_Head_9"/>
    <w:basedOn w:val="Heading9"/>
    <w:uiPriority w:val="17"/>
    <w:semiHidden/>
    <w:rsid w:val="00563EB4"/>
    <w:pPr>
      <w:keepNext/>
      <w:keepLines/>
      <w:numPr>
        <w:ilvl w:val="8"/>
        <w:numId w:val="87"/>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63EB4"/>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63EB4"/>
    <w:pPr>
      <w:numPr>
        <w:numId w:val="79"/>
      </w:numPr>
      <w:spacing w:before="60" w:after="60"/>
    </w:pPr>
  </w:style>
  <w:style w:type="paragraph" w:customStyle="1" w:styleId="ECHRNumberedList2">
    <w:name w:val="ECHR_Numbered_List_2"/>
    <w:aliases w:val="_Num_2"/>
    <w:basedOn w:val="ECHRNumberedList1"/>
    <w:uiPriority w:val="23"/>
    <w:semiHidden/>
    <w:rsid w:val="00563EB4"/>
    <w:pPr>
      <w:numPr>
        <w:ilvl w:val="1"/>
      </w:numPr>
    </w:pPr>
  </w:style>
  <w:style w:type="paragraph" w:customStyle="1" w:styleId="ECHRNumberedList3">
    <w:name w:val="ECHR_Numbered_List_3"/>
    <w:aliases w:val="_Num_3"/>
    <w:basedOn w:val="ECHRNumberedList2"/>
    <w:uiPriority w:val="23"/>
    <w:semiHidden/>
    <w:rsid w:val="00563EB4"/>
    <w:pPr>
      <w:numPr>
        <w:ilvl w:val="2"/>
      </w:numPr>
    </w:pPr>
  </w:style>
  <w:style w:type="paragraph" w:customStyle="1" w:styleId="ECHRParaHanging">
    <w:name w:val="ECHR_Para_Hanging"/>
    <w:aliases w:val="_Hanging"/>
    <w:basedOn w:val="NormalJustified"/>
    <w:uiPriority w:val="8"/>
    <w:semiHidden/>
    <w:qFormat/>
    <w:rsid w:val="00563EB4"/>
    <w:pPr>
      <w:ind w:left="567" w:hanging="567"/>
    </w:pPr>
  </w:style>
  <w:style w:type="paragraph" w:customStyle="1" w:styleId="ECHRParaIndent">
    <w:name w:val="ECHR_Para_Indent"/>
    <w:aliases w:val="_Indent"/>
    <w:basedOn w:val="NormalJustified"/>
    <w:uiPriority w:val="7"/>
    <w:semiHidden/>
    <w:qFormat/>
    <w:rsid w:val="00563EB4"/>
    <w:pPr>
      <w:spacing w:before="120" w:after="120"/>
      <w:ind w:left="284"/>
    </w:pPr>
  </w:style>
  <w:style w:type="character" w:customStyle="1" w:styleId="ECHRRed">
    <w:name w:val="ECHR_Red"/>
    <w:aliases w:val="_Red"/>
    <w:basedOn w:val="DefaultParagraphFont"/>
    <w:uiPriority w:val="15"/>
    <w:semiHidden/>
    <w:qFormat/>
    <w:rsid w:val="00563EB4"/>
    <w:rPr>
      <w:color w:val="C00000" w:themeColor="accent2"/>
    </w:rPr>
  </w:style>
  <w:style w:type="paragraph" w:customStyle="1" w:styleId="DecList">
    <w:name w:val="Dec_List"/>
    <w:aliases w:val="_List"/>
    <w:basedOn w:val="JuList"/>
    <w:uiPriority w:val="22"/>
    <w:rsid w:val="00563EB4"/>
    <w:pPr>
      <w:numPr>
        <w:numId w:val="0"/>
      </w:numPr>
      <w:ind w:left="284"/>
    </w:pPr>
  </w:style>
  <w:style w:type="table" w:customStyle="1" w:styleId="ECHRTable">
    <w:name w:val="ECHR_Table"/>
    <w:basedOn w:val="TableNormal"/>
    <w:rsid w:val="00563EB4"/>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563EB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63EB4"/>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563EB4"/>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563EB4"/>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563EB4"/>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563EB4"/>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563EB4"/>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563EB4"/>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563EB4"/>
    <w:pPr>
      <w:outlineLvl w:val="0"/>
    </w:pPr>
  </w:style>
  <w:style w:type="paragraph" w:customStyle="1" w:styleId="ECHRTitleTOC1">
    <w:name w:val="ECHR_Title_TOC_1"/>
    <w:aliases w:val="_Title_L_TOC"/>
    <w:basedOn w:val="ECHRTitle1"/>
    <w:next w:val="Normal"/>
    <w:uiPriority w:val="27"/>
    <w:semiHidden/>
    <w:qFormat/>
    <w:rsid w:val="00563EB4"/>
    <w:pPr>
      <w:outlineLvl w:val="0"/>
    </w:pPr>
  </w:style>
  <w:style w:type="table" w:customStyle="1" w:styleId="LtrTableAddress">
    <w:name w:val="Ltr_Table_Address"/>
    <w:aliases w:val="ECHR_Ltr_Table_Address"/>
    <w:basedOn w:val="TableNormal"/>
    <w:uiPriority w:val="99"/>
    <w:rsid w:val="00563EB4"/>
    <w:rPr>
      <w:sz w:val="24"/>
      <w:szCs w:val="24"/>
    </w:rPr>
    <w:tblPr>
      <w:tblInd w:w="5103" w:type="dxa"/>
    </w:tblPr>
  </w:style>
  <w:style w:type="table" w:customStyle="1" w:styleId="PCFTableStyle">
    <w:name w:val="PCF_Table_Style"/>
    <w:aliases w:val="ECHR_PCF_Table_Style"/>
    <w:basedOn w:val="TableNormal"/>
    <w:uiPriority w:val="99"/>
    <w:rsid w:val="00563EB4"/>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563EB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63EB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563EB4"/>
    <w:rPr>
      <w:color w:val="FFFFFF"/>
    </w:rPr>
  </w:style>
  <w:style w:type="paragraph" w:customStyle="1" w:styleId="ECHRSpacer">
    <w:name w:val="ECHR_Spacer"/>
    <w:aliases w:val="_Spacer"/>
    <w:basedOn w:val="Normal"/>
    <w:uiPriority w:val="45"/>
    <w:semiHidden/>
    <w:rsid w:val="00563EB4"/>
    <w:rPr>
      <w:sz w:val="4"/>
    </w:rPr>
  </w:style>
  <w:style w:type="table" w:customStyle="1" w:styleId="ECHRTableGrey">
    <w:name w:val="ECHR_Table_Grey"/>
    <w:basedOn w:val="TableNormal"/>
    <w:uiPriority w:val="99"/>
    <w:rsid w:val="00563EB4"/>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563EB4"/>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563EB4"/>
    <w:rPr>
      <w:color w:val="605E5C"/>
      <w:shd w:val="clear" w:color="auto" w:fill="E1DFDD"/>
    </w:rPr>
  </w:style>
  <w:style w:type="character" w:customStyle="1" w:styleId="JuParaChar">
    <w:name w:val="Ju_Para Char"/>
    <w:aliases w:val="_Para Char"/>
    <w:link w:val="JuPara"/>
    <w:uiPriority w:val="4"/>
    <w:rsid w:val="005C61A5"/>
    <w:rPr>
      <w:sz w:val="24"/>
      <w:szCs w:val="24"/>
      <w:lang w:val="en-GB"/>
    </w:rPr>
  </w:style>
  <w:style w:type="table" w:styleId="GridTable1Light">
    <w:name w:val="Grid Table 1 Light"/>
    <w:basedOn w:val="TableNormal"/>
    <w:uiPriority w:val="46"/>
    <w:semiHidden/>
    <w:rsid w:val="00563EB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63EB4"/>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63EB4"/>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63EB4"/>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63EB4"/>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63EB4"/>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63EB4"/>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63EB4"/>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63EB4"/>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63EB4"/>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63EB4"/>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63EB4"/>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63EB4"/>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63EB4"/>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63E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63E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63E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63EB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63E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63E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63E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63E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63E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63E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63EB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63E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63E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63E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63E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63E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63E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63E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63E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63E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63EB4"/>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63E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63E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63E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63EB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63E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63E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63E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63EB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63EB4"/>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63EB4"/>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63EB4"/>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63EB4"/>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63EB4"/>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63EB4"/>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63EB4"/>
    <w:rPr>
      <w:color w:val="2B579A"/>
      <w:shd w:val="clear" w:color="auto" w:fill="E1DFDD"/>
    </w:rPr>
  </w:style>
  <w:style w:type="table" w:styleId="ListTable1Light">
    <w:name w:val="List Table 1 Light"/>
    <w:basedOn w:val="TableNormal"/>
    <w:uiPriority w:val="46"/>
    <w:semiHidden/>
    <w:rsid w:val="00563EB4"/>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63EB4"/>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63EB4"/>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63EB4"/>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63EB4"/>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63EB4"/>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63EB4"/>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63EB4"/>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63EB4"/>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63EB4"/>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63EB4"/>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63EB4"/>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63EB4"/>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63EB4"/>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63EB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63EB4"/>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63EB4"/>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63EB4"/>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63EB4"/>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63EB4"/>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63EB4"/>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63EB4"/>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63EB4"/>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63EB4"/>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63EB4"/>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63EB4"/>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63EB4"/>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63EB4"/>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63EB4"/>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63EB4"/>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63EB4"/>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63EB4"/>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63EB4"/>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63EB4"/>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63EB4"/>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63EB4"/>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63EB4"/>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63EB4"/>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63EB4"/>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63EB4"/>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63EB4"/>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63EB4"/>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63EB4"/>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63EB4"/>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63EB4"/>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63EB4"/>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63EB4"/>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63EB4"/>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63EB4"/>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63EB4"/>
    <w:rPr>
      <w:color w:val="2B579A"/>
      <w:shd w:val="clear" w:color="auto" w:fill="E1DFDD"/>
    </w:rPr>
  </w:style>
  <w:style w:type="table" w:styleId="PlainTable1">
    <w:name w:val="Plain Table 1"/>
    <w:basedOn w:val="TableNormal"/>
    <w:uiPriority w:val="41"/>
    <w:semiHidden/>
    <w:rsid w:val="00563E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63E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63E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63EB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63EB4"/>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63EB4"/>
    <w:rPr>
      <w:u w:val="dotted"/>
    </w:rPr>
  </w:style>
  <w:style w:type="character" w:styleId="SmartLink">
    <w:name w:val="Smart Link"/>
    <w:basedOn w:val="DefaultParagraphFont"/>
    <w:uiPriority w:val="99"/>
    <w:semiHidden/>
    <w:unhideWhenUsed/>
    <w:rsid w:val="00563EB4"/>
    <w:rPr>
      <w:color w:val="0000FF"/>
      <w:u w:val="single"/>
      <w:shd w:val="clear" w:color="auto" w:fill="F3F2F1"/>
    </w:rPr>
  </w:style>
  <w:style w:type="table" w:styleId="GridTableLight">
    <w:name w:val="Grid Table Light"/>
    <w:basedOn w:val="TableNormal"/>
    <w:uiPriority w:val="40"/>
    <w:semiHidden/>
    <w:rsid w:val="00563E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1825</Words>
  <Characters>8982</Characters>
  <Application>Microsoft Office Word</Application>
  <DocSecurity>0</DocSecurity>
  <Lines>169</Lines>
  <Paragraphs>43</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2026-01-14T12:20:00Z</dcterms:created>
  <dcterms:modified xsi:type="dcterms:W3CDTF">2026-01-14T12:26:00Z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896057</vt:lpwstr>
  </property>
  <property fmtid="{D5CDD505-2E9C-101B-9397-08002B2CF9AE}" pid="3" name="cstLanguage">
    <vt:i4>2057</vt:i4>
  </property>
  <property fmtid="{D5CDD505-2E9C-101B-9397-08002B2CF9AE}" pid="4" name="RegisteredNo">
    <vt:lpwstr>45396/13</vt:lpwstr>
  </property>
</Properties>
</file>