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125E71" w:rsidR="00B32591" w:rsidP="00881D4C" w14:paraId="30F27282" w14:textId="71BE4924">
      <w:pPr>
        <w:jc w:val="center"/>
      </w:pPr>
    </w:p>
    <w:p w:rsidRPr="00125E71" w:rsidR="00B32591" w:rsidP="00881D4C" w14:paraId="601FAEBB" w14:textId="60ADE4F3">
      <w:pPr>
        <w:jc w:val="center"/>
        <w:rPr>
          <w:sz w:val="4"/>
          <w:szCs w:val="4"/>
        </w:rPr>
      </w:pPr>
    </w:p>
    <w:p w:rsidRPr="00125E71" w:rsidR="00B32591" w:rsidP="00881D4C" w14:paraId="3A7F1D0B" w14:textId="4894FF2A">
      <w:pPr>
        <w:pStyle w:val="DecHTitle"/>
      </w:pPr>
      <w:r>
        <w:t>FOURTH SECTION</w:t>
      </w:r>
    </w:p>
    <w:p w:rsidRPr="00125E71" w:rsidR="00B32591" w:rsidP="00881D4C" w14:paraId="3989F20F" w14:textId="77777777">
      <w:pPr>
        <w:pStyle w:val="DecHTitle"/>
      </w:pPr>
      <w:r w:rsidRPr="00125E71">
        <w:t>DECISION</w:t>
      </w:r>
    </w:p>
    <w:p w:rsidRPr="00125E71" w:rsidR="00B32591" w:rsidP="00C75D1C" w14:paraId="7C17F2BA" w14:textId="4BD756F0">
      <w:pPr>
        <w:pStyle w:val="DecHCase"/>
        <w:rPr>
          <w:i/>
        </w:rPr>
      </w:pPr>
      <w:r w:rsidRPr="00125E71">
        <w:rPr>
          <w:noProof/>
        </w:rPr>
        <w:t>Application no.</w:t>
      </w:r>
      <w:r w:rsidRPr="00125E71" w:rsidR="006267D3">
        <w:t xml:space="preserve"> </w:t>
      </w:r>
      <w:r>
        <w:t>12075/22</w:t>
      </w:r>
      <w:r w:rsidRPr="00125E71" w:rsidR="006267D3">
        <w:br/>
      </w:r>
      <w:r>
        <w:rPr>
          <w:noProof/>
        </w:rPr>
        <w:t>Ketevan</w:t>
      </w:r>
      <w:r w:rsidRPr="00125E71">
        <w:rPr>
          <w:noProof/>
        </w:rPr>
        <w:t xml:space="preserve"> </w:t>
      </w:r>
      <w:r>
        <w:rPr>
          <w:noProof/>
        </w:rPr>
        <w:t>JASHI</w:t>
      </w:r>
      <w:r w:rsidRPr="00125E71">
        <w:rPr>
          <w:noProof/>
        </w:rPr>
        <w:br/>
      </w:r>
      <w:r w:rsidRPr="00125E71" w:rsidR="006267D3">
        <w:t xml:space="preserve">against </w:t>
      </w:r>
      <w:r>
        <w:t>Georgia</w:t>
      </w:r>
    </w:p>
    <w:p w:rsidRPr="00125E71" w:rsidR="00B32591" w:rsidP="000E3A89" w14:paraId="3DC7BC23" w14:textId="098B1A49">
      <w:pPr>
        <w:rPr>
          <w:sz w:val="2"/>
          <w:szCs w:val="2"/>
        </w:rPr>
      </w:pPr>
    </w:p>
    <w:p w:rsidRPr="00125E71" w:rsidR="00125E71" w:rsidP="00125E71" w14:paraId="32895A37" w14:textId="4897203F">
      <w:pPr>
        <w:pStyle w:val="JuPara"/>
      </w:pPr>
      <w:r w:rsidRPr="00125E71">
        <w:t xml:space="preserve">The European Court of Human Rights (Fourth Section), sitting on </w:t>
      </w:r>
      <w:r w:rsidR="00904A9D">
        <w:t>2 December 2025</w:t>
      </w:r>
      <w:r w:rsidRPr="00125E71">
        <w:t xml:space="preserve"> as a Committee composed of:</w:t>
      </w:r>
    </w:p>
    <w:p w:rsidRPr="00125E71" w:rsidR="00125E71" w:rsidP="00904A9D" w14:paraId="5A56BF1A" w14:textId="47919E33">
      <w:pPr>
        <w:pStyle w:val="JuJudges"/>
        <w:rPr>
          <w:iCs/>
        </w:rPr>
      </w:pPr>
      <w:r>
        <w:tab/>
        <w:t>Anja Seibert-</w:t>
      </w:r>
      <w:r>
        <w:t>Fohr</w:t>
      </w:r>
      <w:r>
        <w:rPr>
          <w:i/>
        </w:rPr>
        <w:t>, President</w:t>
      </w:r>
      <w:r>
        <w:t>,</w:t>
      </w:r>
      <w:r>
        <w:br/>
      </w:r>
      <w:r>
        <w:tab/>
        <w:t>Ana Maria Guerra Martins,</w:t>
      </w:r>
      <w:r>
        <w:br/>
      </w:r>
      <w:r>
        <w:tab/>
        <w:t xml:space="preserve">András </w:t>
      </w:r>
      <w:r>
        <w:t>Jakab</w:t>
      </w:r>
      <w:r>
        <w:rPr>
          <w:i/>
        </w:rPr>
        <w:t>, judges</w:t>
      </w:r>
      <w:r>
        <w:t>,</w:t>
      </w:r>
      <w:r w:rsidRPr="00125E71">
        <w:br/>
        <w:t xml:space="preserve">and Giorgi Badashvili, </w:t>
      </w:r>
      <w:r w:rsidRPr="00125E71">
        <w:rPr>
          <w:i/>
          <w:iCs/>
        </w:rPr>
        <w:t xml:space="preserve">Acting </w:t>
      </w:r>
      <w:r w:rsidRPr="00125E71">
        <w:rPr>
          <w:i/>
        </w:rPr>
        <w:t>Deputy</w:t>
      </w:r>
      <w:r w:rsidRPr="00125E71">
        <w:t xml:space="preserve"> </w:t>
      </w:r>
      <w:r w:rsidRPr="00125E71">
        <w:rPr>
          <w:i/>
          <w:iCs/>
        </w:rPr>
        <w:t>Section Registrar</w:t>
      </w:r>
      <w:r w:rsidRPr="00125E71">
        <w:rPr>
          <w:i/>
        </w:rPr>
        <w:t>,</w:t>
      </w:r>
    </w:p>
    <w:p w:rsidRPr="00125E71" w:rsidR="00125E71" w:rsidP="00125E71" w14:paraId="4CEE4174" w14:textId="77777777">
      <w:pPr>
        <w:pStyle w:val="JuPara"/>
      </w:pPr>
      <w:r w:rsidRPr="00125E71">
        <w:t>Having regard to:</w:t>
      </w:r>
    </w:p>
    <w:p w:rsidRPr="00125E71" w:rsidR="00125E71" w:rsidP="00125E71" w14:paraId="6B51E664" w14:textId="583EF06C">
      <w:pPr>
        <w:pStyle w:val="JuPara"/>
      </w:pPr>
      <w:r w:rsidRPr="00125E71">
        <w:t xml:space="preserve">the application (no. 12075/22) against Georgia lodged with the Court under Article 34 of the Convention for the Protection of Human Rights and Fundamental Freedoms (“the Convention”) on 22 February 2022 by a Georgian national, Ms </w:t>
      </w:r>
      <w:r w:rsidRPr="00125E71">
        <w:t>Ketevan</w:t>
      </w:r>
      <w:r w:rsidRPr="00125E71">
        <w:t xml:space="preserve"> </w:t>
      </w:r>
      <w:r w:rsidRPr="00125E71">
        <w:t>Jashi</w:t>
      </w:r>
      <w:r w:rsidRPr="00125E71">
        <w:t xml:space="preserve"> (“the applicant”), who was born in</w:t>
      </w:r>
      <w:r w:rsidR="002A4128">
        <w:t> </w:t>
      </w:r>
      <w:r w:rsidRPr="00125E71">
        <w:t xml:space="preserve">1965, lives in Tbilisi and was represented by Ms N. </w:t>
      </w:r>
      <w:r w:rsidRPr="00125E71">
        <w:t>Samadashvili</w:t>
      </w:r>
      <w:r w:rsidRPr="00125E71">
        <w:t xml:space="preserve">, a lawyer practising in </w:t>
      </w:r>
      <w:r w:rsidRPr="00125E71">
        <w:t>Tbilisi;</w:t>
      </w:r>
    </w:p>
    <w:p w:rsidRPr="00125E71" w:rsidR="00125E71" w:rsidP="00125E71" w14:paraId="40006FB5" w14:textId="77777777">
      <w:pPr>
        <w:pStyle w:val="JuPara"/>
      </w:pPr>
      <w:r w:rsidRPr="00125E71">
        <w:t xml:space="preserve">the decision to give notice of the complaints under Article 6 § 1 and Article 8 of the Convention to the Georgian Government (“the Government”), represented by their Agent, Mr B. </w:t>
      </w:r>
      <w:r w:rsidRPr="00125E71">
        <w:t>Dzamashvili</w:t>
      </w:r>
      <w:r w:rsidRPr="00125E71">
        <w:t xml:space="preserve">, of the Ministry of Justice, and to declare inadmissible the remainder of the </w:t>
      </w:r>
      <w:r w:rsidRPr="00125E71">
        <w:t>application;</w:t>
      </w:r>
    </w:p>
    <w:p w:rsidRPr="00125E71" w:rsidR="00125E71" w:rsidP="00125E71" w14:paraId="6BCA4373" w14:textId="6158A724">
      <w:pPr>
        <w:pStyle w:val="JuPara"/>
      </w:pPr>
      <w:r w:rsidRPr="00125E71">
        <w:t>the parties</w:t>
      </w:r>
      <w:r>
        <w:t>’</w:t>
      </w:r>
      <w:r w:rsidRPr="00125E71">
        <w:t xml:space="preserve"> </w:t>
      </w:r>
      <w:r w:rsidRPr="00125E71">
        <w:t>observations;</w:t>
      </w:r>
    </w:p>
    <w:p w:rsidRPr="00125E71" w:rsidR="00125E71" w:rsidP="00125E71" w14:paraId="498A84AB" w14:textId="77777777">
      <w:pPr>
        <w:pStyle w:val="JuPara"/>
      </w:pPr>
      <w:r w:rsidRPr="00125E71">
        <w:t>Having deliberated, decides as follows:</w:t>
      </w:r>
    </w:p>
    <w:p w:rsidRPr="00125E71" w:rsidR="00125E71" w:rsidP="00125E71" w14:paraId="6210718E" w14:textId="415A8E17">
      <w:pPr>
        <w:pStyle w:val="JuHHead"/>
        <w:numPr>
          <w:ilvl w:val="0"/>
          <w:numId w:val="0"/>
        </w:numPr>
      </w:pPr>
      <w:r w:rsidRPr="00125E71">
        <w:t>SUBJECT MATTER OF THE CASE</w:t>
      </w:r>
    </w:p>
    <w:p w:rsidRPr="00125E71" w:rsidR="00125E71" w:rsidP="00125E71" w14:paraId="2BE141D5" w14:textId="209C0A3A">
      <w:pPr>
        <w:pStyle w:val="JuPara"/>
      </w:pPr>
      <w:r>
        <w:fldChar w:fldCharType="begin"/>
      </w:r>
      <w:r>
        <w:instrText xml:space="preserve"> SEQ level0 \*arabic \* MERGEFORMAT </w:instrText>
      </w:r>
      <w:r>
        <w:fldChar w:fldCharType="separate"/>
      </w:r>
      <w:r>
        <w:rPr>
          <w:noProof/>
        </w:rPr>
        <w:t>1</w:t>
      </w:r>
      <w:r>
        <w:rPr>
          <w:noProof/>
        </w:rPr>
        <w:fldChar w:fldCharType="end"/>
      </w:r>
      <w:r w:rsidRPr="00125E71">
        <w:t>.  The case concerns the applicant</w:t>
      </w:r>
      <w:r>
        <w:t>’</w:t>
      </w:r>
      <w:r w:rsidRPr="00125E71">
        <w:t>s complaint that a final judgment in her favour, issued against a private entity, was not fully enforced at the domestic level. She relied on Article 6 § 1 and Article 8 of the Convention.</w:t>
      </w:r>
    </w:p>
    <w:p w:rsidR="00125E71" w:rsidP="00125E71" w14:paraId="26AD0C45" w14:textId="3DA21110">
      <w:pPr>
        <w:pStyle w:val="JuPara"/>
        <w:rPr>
          <w:rFonts w:cstheme="minorHAnsi"/>
        </w:rPr>
      </w:pPr>
      <w:r>
        <w:fldChar w:fldCharType="begin"/>
      </w:r>
      <w:r>
        <w:instrText xml:space="preserve"> SEQ level0 \*arabic \* MERGEFORMAT </w:instrText>
      </w:r>
      <w:r>
        <w:fldChar w:fldCharType="separate"/>
      </w:r>
      <w:bookmarkStart w:name="paragraph00002" w:id="0"/>
      <w:r>
        <w:rPr>
          <w:noProof/>
        </w:rPr>
        <w:t>2</w:t>
      </w:r>
      <w:bookmarkEnd w:id="0"/>
      <w:r>
        <w:rPr>
          <w:noProof/>
        </w:rPr>
        <w:fldChar w:fldCharType="end"/>
      </w:r>
      <w:r w:rsidRPr="00125E71">
        <w:t>.  </w:t>
      </w:r>
      <w:r w:rsidRPr="00125E71">
        <w:rPr>
          <w:rFonts w:asciiTheme="majorHAnsi" w:hAnsiTheme="majorHAnsi" w:cstheme="majorHAnsi"/>
        </w:rPr>
        <w:t xml:space="preserve">On 8 July 2013 the applicant was appointed, following a competition, as a full professor at Ilia State University (“the University”). She was offered a fixed-term contract effective from 12 July 2013 to 1 May 2018. According </w:t>
      </w:r>
      <w:r w:rsidRPr="00125E71">
        <w:rPr>
          <w:rFonts w:asciiTheme="majorHAnsi" w:hAnsiTheme="majorHAnsi" w:cstheme="majorHAnsi"/>
        </w:rPr>
        <w:t xml:space="preserve">to the contract, as amended in 2014, her salary was 3,000 Georgian </w:t>
      </w:r>
      <w:r w:rsidRPr="00125E71">
        <w:rPr>
          <w:rFonts w:asciiTheme="majorHAnsi" w:hAnsiTheme="majorHAnsi" w:cstheme="majorHAnsi"/>
        </w:rPr>
        <w:t>laris</w:t>
      </w:r>
      <w:r w:rsidRPr="00125E71">
        <w:rPr>
          <w:rFonts w:asciiTheme="majorHAnsi" w:hAnsiTheme="majorHAnsi" w:cstheme="majorHAnsi"/>
        </w:rPr>
        <w:t xml:space="preserve"> (GEL, approximately 1,021 </w:t>
      </w:r>
      <w:r w:rsidRPr="00125E71">
        <w:rPr>
          <w:rFonts w:cstheme="minorHAnsi"/>
        </w:rPr>
        <w:t>euros (EUR)).</w:t>
      </w:r>
    </w:p>
    <w:p w:rsidR="00125E71" w:rsidP="00125E71" w14:paraId="75EF838A" w14:textId="43C56B45">
      <w:pPr>
        <w:pStyle w:val="JuPara"/>
        <w:rPr>
          <w:rFonts w:cstheme="minorHAnsi"/>
        </w:rPr>
      </w:pPr>
      <w:r w:rsidRPr="00125E71">
        <w:rPr>
          <w:rFonts w:cstheme="minorHAnsi"/>
        </w:rPr>
        <w:fldChar w:fldCharType="begin"/>
      </w:r>
      <w:r w:rsidRPr="00125E71">
        <w:rPr>
          <w:rFonts w:cstheme="minorHAnsi"/>
        </w:rPr>
        <w:instrText xml:space="preserve"> SEQ level0 \*arabic \* MERGEFORMAT </w:instrText>
      </w:r>
      <w:r w:rsidRPr="00125E71">
        <w:rPr>
          <w:rFonts w:cstheme="minorHAnsi"/>
        </w:rPr>
        <w:fldChar w:fldCharType="separate"/>
      </w:r>
      <w:bookmarkStart w:name="paragraph00003" w:id="1"/>
      <w:r w:rsidR="002A4128">
        <w:rPr>
          <w:rFonts w:cstheme="minorHAnsi"/>
          <w:noProof/>
        </w:rPr>
        <w:t>3</w:t>
      </w:r>
      <w:bookmarkEnd w:id="1"/>
      <w:r w:rsidRPr="00125E71">
        <w:rPr>
          <w:rFonts w:cstheme="minorHAnsi"/>
        </w:rPr>
        <w:fldChar w:fldCharType="end"/>
      </w:r>
      <w:r w:rsidRPr="00125E71">
        <w:rPr>
          <w:rFonts w:cstheme="minorHAnsi"/>
        </w:rPr>
        <w:t>.  Whilst this was not the applicant</w:t>
      </w:r>
      <w:r>
        <w:rPr>
          <w:rFonts w:cstheme="minorHAnsi"/>
        </w:rPr>
        <w:t>’</w:t>
      </w:r>
      <w:r w:rsidRPr="00125E71">
        <w:rPr>
          <w:rFonts w:cstheme="minorHAnsi"/>
        </w:rPr>
        <w:t>s particular situation, as her contract was of a fixed-term nature, the University Statute permitted at the time the Academic Council to award, based on the University</w:t>
      </w:r>
      <w:r>
        <w:rPr>
          <w:rFonts w:cstheme="minorHAnsi"/>
        </w:rPr>
        <w:t>’</w:t>
      </w:r>
      <w:r w:rsidRPr="00125E71">
        <w:rPr>
          <w:rFonts w:cstheme="minorHAnsi"/>
        </w:rPr>
        <w:t>s internal regulations and procedure, an open-ended (</w:t>
      </w:r>
      <w:r w:rsidRPr="00125E71">
        <w:rPr>
          <w:rFonts w:ascii="Sylfaen" w:hAnsi="Sylfaen" w:cs="Sylfaen"/>
        </w:rPr>
        <w:t>უვადო</w:t>
      </w:r>
      <w:r w:rsidRPr="00125E71">
        <w:rPr>
          <w:rFonts w:cstheme="minorHAnsi"/>
        </w:rPr>
        <w:t>) contract to professors with exceptional service and notable research achievements.</w:t>
      </w:r>
      <w:r>
        <w:rPr>
          <w:rFonts w:cstheme="minorHAnsi"/>
        </w:rPr>
        <w:t xml:space="preserve"> </w:t>
      </w:r>
    </w:p>
    <w:p w:rsidRPr="00125E71" w:rsidR="00125E71" w:rsidP="00125E71" w14:paraId="53E4703F" w14:textId="7993863E">
      <w:pPr>
        <w:pStyle w:val="JuPara"/>
        <w:rPr>
          <w:rFonts w:asciiTheme="majorHAnsi" w:hAnsiTheme="majorHAnsi" w:cstheme="majorHAnsi"/>
        </w:rPr>
      </w:pPr>
      <w:r w:rsidRPr="00125E71">
        <w:rPr>
          <w:rFonts w:asciiTheme="majorHAnsi" w:hAnsiTheme="majorHAnsi" w:cstheme="majorHAnsi"/>
        </w:rPr>
        <w:fldChar w:fldCharType="begin"/>
      </w:r>
      <w:r w:rsidRPr="00125E71">
        <w:rPr>
          <w:rFonts w:asciiTheme="majorHAnsi" w:hAnsiTheme="majorHAnsi" w:cstheme="majorHAnsi"/>
        </w:rPr>
        <w:instrText xml:space="preserve"> SEQ level0 \*arabic \* MERGEFORMAT </w:instrText>
      </w:r>
      <w:r w:rsidRPr="00125E71">
        <w:rPr>
          <w:rFonts w:asciiTheme="majorHAnsi" w:hAnsiTheme="majorHAnsi" w:cstheme="majorHAnsi"/>
        </w:rPr>
        <w:fldChar w:fldCharType="separate"/>
      </w:r>
      <w:r w:rsidR="002A4128">
        <w:rPr>
          <w:rFonts w:asciiTheme="majorHAnsi" w:hAnsiTheme="majorHAnsi" w:cstheme="majorHAnsi"/>
          <w:noProof/>
        </w:rPr>
        <w:t>4</w:t>
      </w:r>
      <w:r w:rsidRPr="00125E71">
        <w:rPr>
          <w:rFonts w:asciiTheme="majorHAnsi" w:hAnsiTheme="majorHAnsi" w:cstheme="majorHAnsi"/>
        </w:rPr>
        <w:fldChar w:fldCharType="end"/>
      </w:r>
      <w:r w:rsidRPr="00125E71">
        <w:rPr>
          <w:rFonts w:asciiTheme="majorHAnsi" w:hAnsiTheme="majorHAnsi" w:cstheme="majorHAnsi"/>
        </w:rPr>
        <w:t>.  On 9 March 2016, following a disciplinary inquiry, the University terminated the applicant</w:t>
      </w:r>
      <w:r>
        <w:rPr>
          <w:rFonts w:asciiTheme="majorHAnsi" w:hAnsiTheme="majorHAnsi" w:cstheme="majorHAnsi"/>
        </w:rPr>
        <w:t>’</w:t>
      </w:r>
      <w:r w:rsidRPr="00125E71">
        <w:rPr>
          <w:rFonts w:asciiTheme="majorHAnsi" w:hAnsiTheme="majorHAnsi" w:cstheme="majorHAnsi"/>
        </w:rPr>
        <w:t>s contract and dismissed her.</w:t>
      </w:r>
    </w:p>
    <w:p w:rsidRPr="00125E71" w:rsidR="00125E71" w:rsidP="00125E71" w14:paraId="7DB2F541" w14:textId="7C30DB27">
      <w:pPr>
        <w:pStyle w:val="JuPara"/>
      </w:pPr>
      <w:r>
        <w:fldChar w:fldCharType="begin"/>
      </w:r>
      <w:r>
        <w:instrText xml:space="preserve"> SEQ level0 \*arabic \* MERGEFORMAT </w:instrText>
      </w:r>
      <w:r>
        <w:fldChar w:fldCharType="separate"/>
      </w:r>
      <w:bookmarkStart w:name="paragraph00004" w:id="2"/>
      <w:r>
        <w:rPr>
          <w:noProof/>
        </w:rPr>
        <w:t>5</w:t>
      </w:r>
      <w:bookmarkEnd w:id="2"/>
      <w:r>
        <w:rPr>
          <w:noProof/>
        </w:rPr>
        <w:fldChar w:fldCharType="end"/>
      </w:r>
      <w:r w:rsidRPr="00125E71">
        <w:t>.  The applicant instituted proceedings against the University requesting annulment of her dismissal as full professor, reinstatement, and compensation for lost earnings covering the period from her dismissal to the end of her contract. The application did not cite Article 6(3) § 1 of the Labour Code (see paragraph </w:t>
      </w:r>
      <w:r w:rsidRPr="00125E71">
        <w:fldChar w:fldCharType="begin"/>
      </w:r>
      <w:r w:rsidRPr="00125E71">
        <w:instrText xml:space="preserve"> REF paragraph00016 \h  \* CharFormat </w:instrText>
      </w:r>
      <w:r w:rsidRPr="00125E71">
        <w:fldChar w:fldCharType="separate"/>
      </w:r>
      <w:r w:rsidRPr="002A4128">
        <w:t>16</w:t>
      </w:r>
      <w:r w:rsidRPr="00125E71">
        <w:fldChar w:fldCharType="end"/>
      </w:r>
      <w:r w:rsidRPr="00125E71">
        <w:t xml:space="preserve"> below), the Higher Education Act</w:t>
      </w:r>
      <w:r w:rsidRPr="00125E71">
        <w:t xml:space="preserve"> </w:t>
      </w:r>
      <w:r w:rsidRPr="00125E71">
        <w:t>(see paragraphs </w:t>
      </w:r>
      <w:r w:rsidRPr="00125E71">
        <w:fldChar w:fldCharType="begin"/>
      </w:r>
      <w:r w:rsidRPr="00125E71">
        <w:instrText xml:space="preserve"> REF paragraph00023 \h  \* CharFormat </w:instrText>
      </w:r>
      <w:r w:rsidRPr="00125E71">
        <w:fldChar w:fldCharType="separate"/>
      </w:r>
      <w:r>
        <w:t>17</w:t>
      </w:r>
      <w:r w:rsidRPr="00125E71">
        <w:fldChar w:fldCharType="end"/>
      </w:r>
      <w:r w:rsidRPr="00125E71">
        <w:t>-</w:t>
      </w:r>
      <w:r w:rsidRPr="00125E71">
        <w:fldChar w:fldCharType="begin"/>
      </w:r>
      <w:r w:rsidRPr="00125E71">
        <w:instrText xml:space="preserve"> REF paragraph00024 \h  \* CharFormat </w:instrText>
      </w:r>
      <w:r w:rsidRPr="00125E71">
        <w:fldChar w:fldCharType="separate"/>
      </w:r>
      <w:r>
        <w:t>18</w:t>
      </w:r>
      <w:r w:rsidRPr="00125E71">
        <w:fldChar w:fldCharType="end"/>
      </w:r>
      <w:r w:rsidRPr="00125E71">
        <w:t xml:space="preserve"> below), or the University Statute (see paragraph </w:t>
      </w:r>
      <w:r w:rsidRPr="00125E71">
        <w:fldChar w:fldCharType="begin"/>
      </w:r>
      <w:r w:rsidRPr="00125E71">
        <w:instrText xml:space="preserve"> REF paragraph00003 \h  \* CharFormat </w:instrText>
      </w:r>
      <w:r w:rsidRPr="00125E71">
        <w:fldChar w:fldCharType="separate"/>
      </w:r>
      <w:r w:rsidRPr="002A4128">
        <w:t>3</w:t>
      </w:r>
      <w:r w:rsidRPr="00125E71">
        <w:fldChar w:fldCharType="end"/>
      </w:r>
      <w:r w:rsidRPr="00125E71">
        <w:t xml:space="preserve"> above). The University</w:t>
      </w:r>
      <w:r>
        <w:t>’</w:t>
      </w:r>
      <w:r w:rsidRPr="00125E71">
        <w:t>s late response was not allowed, and the Tbilisi City Court adopted a default judgment on 16 June 2016. Namely, owing to the lack of the respondent</w:t>
      </w:r>
      <w:r>
        <w:t>’</w:t>
      </w:r>
      <w:r w:rsidRPr="00125E71">
        <w:t>s response, the court accepted as proven, without an oral hearing on the merits, all the factual claims made by the applicant, granting the application in full. Additionally, citing Article 6(3) § 1 of the Labour Code (see paragraph </w:t>
      </w:r>
      <w:r w:rsidRPr="00125E71">
        <w:fldChar w:fldCharType="begin"/>
      </w:r>
      <w:r w:rsidRPr="00125E71">
        <w:instrText xml:space="preserve"> REF paragraph00016 \h  \* CharFormat </w:instrText>
      </w:r>
      <w:r w:rsidRPr="00125E71">
        <w:fldChar w:fldCharType="separate"/>
      </w:r>
      <w:r w:rsidRPr="002A4128">
        <w:t>16</w:t>
      </w:r>
      <w:r w:rsidRPr="00125E71">
        <w:fldChar w:fldCharType="end"/>
      </w:r>
      <w:r w:rsidRPr="00125E71">
        <w:t xml:space="preserve"> below), it noted that a continuous employment exceeding thirty months had effectively created an open-ended labour relationship between the applicant and the University.</w:t>
      </w:r>
    </w:p>
    <w:p w:rsidR="00125E71" w:rsidP="00125E71" w14:paraId="1D9EA0A2" w14:textId="49F3E42C">
      <w:pPr>
        <w:pStyle w:val="JuPara"/>
      </w:pPr>
      <w:r>
        <w:fldChar w:fldCharType="begin"/>
      </w:r>
      <w:r>
        <w:instrText xml:space="preserve"> SEQ level0 \*arabic \* MERGEFORMAT </w:instrText>
      </w:r>
      <w:r>
        <w:fldChar w:fldCharType="separate"/>
      </w:r>
      <w:r>
        <w:rPr>
          <w:noProof/>
        </w:rPr>
        <w:t>6</w:t>
      </w:r>
      <w:r>
        <w:rPr>
          <w:noProof/>
        </w:rPr>
        <w:fldChar w:fldCharType="end"/>
      </w:r>
      <w:r w:rsidRPr="00125E71">
        <w:t>.  The judgment became final on 18 June 2018, and the applicant submitted a writ of execution to the Tbilisi Enforcement Bureau (“the Bureau”).</w:t>
      </w:r>
    </w:p>
    <w:p w:rsidR="00125E71" w:rsidP="00125E71" w14:paraId="3407B1E7" w14:textId="4D4E6B60">
      <w:pPr>
        <w:pStyle w:val="JuPara"/>
      </w:pPr>
      <w:r>
        <w:fldChar w:fldCharType="begin"/>
      </w:r>
      <w:r>
        <w:instrText xml:space="preserve"> SEQ level0 \*arabic \* MERGEFORMAT </w:instrText>
      </w:r>
      <w:r>
        <w:fldChar w:fldCharType="separate"/>
      </w:r>
      <w:bookmarkStart w:name="paragraph00006" w:id="3"/>
      <w:r>
        <w:rPr>
          <w:noProof/>
        </w:rPr>
        <w:t>7</w:t>
      </w:r>
      <w:bookmarkEnd w:id="3"/>
      <w:r>
        <w:rPr>
          <w:noProof/>
        </w:rPr>
        <w:fldChar w:fldCharType="end"/>
      </w:r>
      <w:r w:rsidRPr="00125E71">
        <w:t>.  In July 2018 the University paid the applicant GEL 61,942.86 (approximately EUR 22,000) in lost earnings. Subsequently the Rector of the University ordered her reinstatement, but she was unable to assume the position as her contract had expired on 1 May 2018 (see paragraph </w:t>
      </w:r>
      <w:r w:rsidRPr="00125E71">
        <w:fldChar w:fldCharType="begin"/>
      </w:r>
      <w:r w:rsidRPr="00125E71">
        <w:instrText xml:space="preserve"> REF paragraph00002 \h  \* CharFormat </w:instrText>
      </w:r>
      <w:r w:rsidRPr="00125E71">
        <w:fldChar w:fldCharType="separate"/>
      </w:r>
      <w:r>
        <w:t>2</w:t>
      </w:r>
      <w:r w:rsidRPr="00125E71">
        <w:fldChar w:fldCharType="end"/>
      </w:r>
      <w:r w:rsidRPr="00125E71">
        <w:t xml:space="preserve"> above). The University then explained that reinstating her beyond the scope of the initial contract was objectively impossible: it would violate the Higher Education Act as permanent appointment of a professor, under an open-ended contract, had only been possible through a competitive elective procedure, subject to special conditions set out in the law (see paragraphs </w:t>
      </w:r>
      <w:r w:rsidRPr="00125E71">
        <w:fldChar w:fldCharType="begin"/>
      </w:r>
      <w:r w:rsidRPr="00125E71">
        <w:instrText xml:space="preserve"> REF paragraph00023 \h  \* CharFormat </w:instrText>
      </w:r>
      <w:r w:rsidRPr="00125E71">
        <w:fldChar w:fldCharType="separate"/>
      </w:r>
      <w:r>
        <w:t>17</w:t>
      </w:r>
      <w:r w:rsidRPr="00125E71">
        <w:fldChar w:fldCharType="end"/>
      </w:r>
      <w:r w:rsidRPr="00125E71">
        <w:t>-</w:t>
      </w:r>
      <w:r w:rsidRPr="00125E71">
        <w:fldChar w:fldCharType="begin"/>
      </w:r>
      <w:r w:rsidRPr="00125E71">
        <w:instrText xml:space="preserve"> REF paragraph00024 \h  \* CharFormat </w:instrText>
      </w:r>
      <w:r w:rsidRPr="00125E71">
        <w:fldChar w:fldCharType="separate"/>
      </w:r>
      <w:r>
        <w:t>18</w:t>
      </w:r>
      <w:r w:rsidRPr="00125E71">
        <w:fldChar w:fldCharType="end"/>
      </w:r>
      <w:r w:rsidRPr="00125E71">
        <w:t xml:space="preserve"> below).</w:t>
      </w:r>
    </w:p>
    <w:bookmarkStart w:name="para12" w:id="4"/>
    <w:p w:rsidR="00125E71" w:rsidP="00125E71" w14:paraId="38E33BE8" w14:textId="5A9CC73A">
      <w:pPr>
        <w:pStyle w:val="JuPara"/>
      </w:pPr>
      <w:r w:rsidRPr="00125E71">
        <w:fldChar w:fldCharType="begin"/>
      </w:r>
      <w:r w:rsidRPr="00125E71">
        <w:instrText xml:space="preserve"> SEQ level0 \*arabic \* MERGEFORMAT </w:instrText>
      </w:r>
      <w:r w:rsidRPr="00125E71">
        <w:fldChar w:fldCharType="separate"/>
      </w:r>
      <w:r w:rsidR="002A4128">
        <w:rPr>
          <w:noProof/>
        </w:rPr>
        <w:t>8</w:t>
      </w:r>
      <w:r w:rsidRPr="00125E71">
        <w:fldChar w:fldCharType="end"/>
      </w:r>
      <w:bookmarkEnd w:id="4"/>
      <w:r w:rsidRPr="00125E71">
        <w:t>.  On 25 September 2018 the Bureau requested the Tbilisi City Court to clarify the default judgment. The court, without referring to any special rules on academic appointments and limiting itself to the terms of the original default judgment, ruled that that the judgment in question had required the University to “reinstate [the applicant] to the position of full professor under an open-ended (</w:t>
      </w:r>
      <w:r w:rsidRPr="00125E71">
        <w:rPr>
          <w:rFonts w:ascii="Sylfaen" w:hAnsi="Sylfaen"/>
        </w:rPr>
        <w:t>უვადო</w:t>
      </w:r>
      <w:r w:rsidRPr="00125E71">
        <w:t>) labour agreement.”</w:t>
      </w:r>
    </w:p>
    <w:p w:rsidRPr="00125E71" w:rsidR="00125E71" w:rsidP="00125E71" w14:paraId="70FCD680" w14:textId="02477C90">
      <w:pPr>
        <w:pStyle w:val="JuPara"/>
        <w:rPr>
          <w:rFonts w:asciiTheme="majorHAnsi" w:hAnsiTheme="majorHAnsi" w:cstheme="majorHAnsi"/>
        </w:rPr>
      </w:pPr>
      <w:r w:rsidRPr="00125E71">
        <w:rPr>
          <w:rFonts w:asciiTheme="majorHAnsi" w:hAnsiTheme="majorHAnsi" w:cstheme="majorHAnsi"/>
        </w:rPr>
        <w:fldChar w:fldCharType="begin"/>
      </w:r>
      <w:r w:rsidRPr="00125E71">
        <w:rPr>
          <w:rFonts w:asciiTheme="majorHAnsi" w:hAnsiTheme="majorHAnsi" w:cstheme="majorHAnsi"/>
        </w:rPr>
        <w:instrText xml:space="preserve"> SEQ level0 \*arabic \* MERGEFORMAT </w:instrText>
      </w:r>
      <w:r w:rsidRPr="00125E71">
        <w:rPr>
          <w:rFonts w:asciiTheme="majorHAnsi" w:hAnsiTheme="majorHAnsi" w:cstheme="majorHAnsi"/>
        </w:rPr>
        <w:fldChar w:fldCharType="separate"/>
      </w:r>
      <w:bookmarkStart w:name="paragraph00013" w:id="5"/>
      <w:r w:rsidR="002A4128">
        <w:rPr>
          <w:rFonts w:asciiTheme="majorHAnsi" w:hAnsiTheme="majorHAnsi" w:cstheme="majorHAnsi"/>
          <w:noProof/>
        </w:rPr>
        <w:t>9</w:t>
      </w:r>
      <w:bookmarkEnd w:id="5"/>
      <w:r w:rsidRPr="00125E71">
        <w:rPr>
          <w:rFonts w:asciiTheme="majorHAnsi" w:hAnsiTheme="majorHAnsi" w:cstheme="majorHAnsi"/>
        </w:rPr>
        <w:fldChar w:fldCharType="end"/>
      </w:r>
      <w:r w:rsidRPr="00125E71">
        <w:rPr>
          <w:rFonts w:asciiTheme="majorHAnsi" w:hAnsiTheme="majorHAnsi" w:cstheme="majorHAnsi"/>
        </w:rPr>
        <w:t>.  On 9 October 2018 the applicant instituted proceedings against the Bureau. She requested that the Bureau take all necessary measures to ensure her reinstatement.</w:t>
      </w:r>
    </w:p>
    <w:bookmarkStart w:name="paragraph00011" w:id="6"/>
    <w:p w:rsidRPr="00125E71" w:rsidR="00125E71" w:rsidP="00125E71" w14:paraId="2EBDE73C" w14:textId="29DD355A">
      <w:pPr>
        <w:pStyle w:val="JuPara"/>
      </w:pPr>
      <w:r w:rsidRPr="00125E71">
        <w:fldChar w:fldCharType="begin"/>
      </w:r>
      <w:r w:rsidRPr="00125E71">
        <w:instrText xml:space="preserve"> SEQ level0 \*arabic \* MERGEFORMAT </w:instrText>
      </w:r>
      <w:r w:rsidRPr="00125E71">
        <w:fldChar w:fldCharType="separate"/>
      </w:r>
      <w:r w:rsidR="002A4128">
        <w:rPr>
          <w:noProof/>
        </w:rPr>
        <w:t>10</w:t>
      </w:r>
      <w:r w:rsidRPr="00125E71">
        <w:fldChar w:fldCharType="end"/>
      </w:r>
      <w:bookmarkEnd w:id="6"/>
      <w:r w:rsidRPr="00125E71">
        <w:t>.  In May 2019 the University reiterated its submissions (see paragraph </w:t>
      </w:r>
      <w:r w:rsidRPr="00125E71">
        <w:fldChar w:fldCharType="begin"/>
      </w:r>
      <w:r w:rsidRPr="00125E71">
        <w:instrText xml:space="preserve"> REF paragraph00006 \h  \* CharFormat </w:instrText>
      </w:r>
      <w:r w:rsidRPr="00125E71">
        <w:fldChar w:fldCharType="separate"/>
      </w:r>
      <w:r w:rsidR="002A4128">
        <w:t>7</w:t>
      </w:r>
      <w:r w:rsidRPr="00125E71">
        <w:fldChar w:fldCharType="end"/>
      </w:r>
      <w:r w:rsidRPr="00125E71">
        <w:t xml:space="preserve"> above) but offered the applicant a contract for the position of a lecturer with a monthly salary of GEL 3,000, together with salary arrears from 1 May 2018 until the date of appointment, in order to mirror the conditions of her original fixed-term contract (see paragraph </w:t>
      </w:r>
      <w:r w:rsidRPr="00125E71">
        <w:fldChar w:fldCharType="begin"/>
      </w:r>
      <w:r w:rsidRPr="00125E71">
        <w:instrText xml:space="preserve"> REF paragraph00002 \h  \* CharFormat </w:instrText>
      </w:r>
      <w:r w:rsidRPr="00125E71">
        <w:fldChar w:fldCharType="separate"/>
      </w:r>
      <w:r w:rsidR="002A4128">
        <w:t>2</w:t>
      </w:r>
      <w:r w:rsidRPr="00125E71">
        <w:fldChar w:fldCharType="end"/>
      </w:r>
      <w:r w:rsidRPr="00125E71">
        <w:t xml:space="preserve"> above). The applicant rejected the offer.</w:t>
      </w:r>
    </w:p>
    <w:bookmarkStart w:name="para11" w:id="7"/>
    <w:p w:rsidR="00125E71" w:rsidP="00125E71" w14:paraId="7B211A17" w14:textId="1FBD7586">
      <w:pPr>
        <w:pStyle w:val="JuPara"/>
      </w:pPr>
      <w:r w:rsidRPr="00125E71">
        <w:fldChar w:fldCharType="begin"/>
      </w:r>
      <w:r w:rsidRPr="00125E71">
        <w:instrText xml:space="preserve"> SEQ level0 \*arabic \* MERGEFORMAT </w:instrText>
      </w:r>
      <w:r w:rsidRPr="00125E71">
        <w:fldChar w:fldCharType="separate"/>
      </w:r>
      <w:r w:rsidR="002A4128">
        <w:rPr>
          <w:noProof/>
        </w:rPr>
        <w:t>11</w:t>
      </w:r>
      <w:r w:rsidRPr="00125E71">
        <w:fldChar w:fldCharType="end"/>
      </w:r>
      <w:bookmarkEnd w:id="7"/>
      <w:r w:rsidRPr="00125E71">
        <w:t>.  On 20 February 2020 of the Tbilisi City Court granted the applicant</w:t>
      </w:r>
      <w:r>
        <w:t>’</w:t>
      </w:r>
      <w:r w:rsidRPr="00125E71">
        <w:t>s application lodged against the Bureau (see paragraph </w:t>
      </w:r>
      <w:r w:rsidRPr="00125E71">
        <w:fldChar w:fldCharType="begin"/>
      </w:r>
      <w:r w:rsidRPr="00125E71">
        <w:instrText xml:space="preserve"> REF paragraph00013 \h  \* CharFormat  \* MERGEFORMAT </w:instrText>
      </w:r>
      <w:r w:rsidRPr="00125E71">
        <w:fldChar w:fldCharType="separate"/>
      </w:r>
      <w:r w:rsidRPr="002A4128" w:rsidR="002A4128">
        <w:t>9</w:t>
      </w:r>
      <w:r w:rsidRPr="00125E71">
        <w:fldChar w:fldCharType="end"/>
      </w:r>
      <w:r w:rsidRPr="00125E71">
        <w:t xml:space="preserve"> above). However, it was overturned on 11 March 2021 by the Tbilisi Court of Appeal. The appellate court concluded that the impossibility of fully enforcing the default judgment had not been attributable to any omission on the part of the Bureau. To the contrary, the latter had taken all measures it had been empowered to take under domestic legislation to have the default judgment enforced, including by sending the enforcement material to the Ministry of Internal Affairs to assess whether any criminal liability arose as regards the applicant</w:t>
      </w:r>
      <w:r>
        <w:t>’</w:t>
      </w:r>
      <w:r w:rsidRPr="00125E71">
        <w:t>s complaint that the default judgment had not been fully enforced. It had been unclear what additional measures the Bureau could take to ensure her reinstatement.</w:t>
      </w:r>
    </w:p>
    <w:bookmarkStart w:name="para34_rbeach_lex_specialis" w:id="8"/>
    <w:p w:rsidRPr="00125E71" w:rsidR="00125E71" w:rsidP="00125E71" w14:paraId="6CF1D7EC" w14:textId="0FAE1B2B">
      <w:pPr>
        <w:pStyle w:val="JuPara"/>
      </w:pPr>
      <w:r w:rsidRPr="00125E71">
        <w:fldChar w:fldCharType="begin"/>
      </w:r>
      <w:r w:rsidRPr="00125E71">
        <w:instrText xml:space="preserve"> SEQ level0 \*arabic \* MERGEFORMAT </w:instrText>
      </w:r>
      <w:r w:rsidRPr="00125E71">
        <w:fldChar w:fldCharType="separate"/>
      </w:r>
      <w:r w:rsidR="002A4128">
        <w:rPr>
          <w:noProof/>
        </w:rPr>
        <w:t>12</w:t>
      </w:r>
      <w:r w:rsidRPr="00125E71">
        <w:fldChar w:fldCharType="end"/>
      </w:r>
      <w:bookmarkEnd w:id="8"/>
      <w:r w:rsidRPr="00125E71">
        <w:t>.  The Tbilisi Court of Appeal additionally stated that the Higher Education Act (see paragraphs </w:t>
      </w:r>
      <w:r w:rsidRPr="00125E71">
        <w:fldChar w:fldCharType="begin"/>
      </w:r>
      <w:r w:rsidRPr="00125E71">
        <w:instrText xml:space="preserve"> REF paragraph00023 \h  \* CharFormat </w:instrText>
      </w:r>
      <w:r w:rsidRPr="00125E71">
        <w:fldChar w:fldCharType="separate"/>
      </w:r>
      <w:r w:rsidR="002A4128">
        <w:t>17</w:t>
      </w:r>
      <w:r w:rsidRPr="00125E71">
        <w:fldChar w:fldCharType="end"/>
      </w:r>
      <w:r w:rsidRPr="00125E71">
        <w:t>-</w:t>
      </w:r>
      <w:r w:rsidRPr="00125E71">
        <w:fldChar w:fldCharType="begin"/>
      </w:r>
      <w:r w:rsidRPr="00125E71">
        <w:instrText xml:space="preserve"> REF paragraph00024 \h  \* CharFormat </w:instrText>
      </w:r>
      <w:r w:rsidRPr="00125E71">
        <w:fldChar w:fldCharType="separate"/>
      </w:r>
      <w:r w:rsidR="002A4128">
        <w:t>18</w:t>
      </w:r>
      <w:r w:rsidRPr="00125E71">
        <w:fldChar w:fldCharType="end"/>
      </w:r>
      <w:r w:rsidRPr="00125E71">
        <w:t xml:space="preserve"> below) and the relevant higher education institution</w:t>
      </w:r>
      <w:r>
        <w:t>’</w:t>
      </w:r>
      <w:r w:rsidRPr="00125E71">
        <w:t xml:space="preserve">s statute constituted </w:t>
      </w:r>
      <w:r w:rsidRPr="00125E71">
        <w:rPr>
          <w:i/>
          <w:iCs/>
        </w:rPr>
        <w:t xml:space="preserve">lex </w:t>
      </w:r>
      <w:r w:rsidRPr="00125E71">
        <w:rPr>
          <w:i/>
          <w:iCs/>
        </w:rPr>
        <w:t>specialis</w:t>
      </w:r>
      <w:r w:rsidRPr="00125E71">
        <w:t xml:space="preserve"> setting out the specific criteria and procedure for academic appointments, including the election procedure and the duration of contracts offered to academic personnel. The appellate court then noted the University</w:t>
      </w:r>
      <w:r>
        <w:t>’</w:t>
      </w:r>
      <w:r w:rsidRPr="00125E71">
        <w:t>s submissions regarding the impossibility of reinstating the applicant, who had been employed under a fixed-term contract, to an open-ended professorial position which could only be filled through a competitive elective procedure, subject to the special conditions set out in the law (see paragraph </w:t>
      </w:r>
      <w:r w:rsidRPr="00125E71">
        <w:fldChar w:fldCharType="begin"/>
      </w:r>
      <w:r w:rsidRPr="00125E71">
        <w:instrText xml:space="preserve"> REF paragraph00006 \h  \* CharFormat </w:instrText>
      </w:r>
      <w:r w:rsidRPr="00125E71">
        <w:fldChar w:fldCharType="separate"/>
      </w:r>
      <w:r w:rsidR="002A4128">
        <w:t>7</w:t>
      </w:r>
      <w:r w:rsidRPr="00125E71">
        <w:fldChar w:fldCharType="end"/>
      </w:r>
      <w:r w:rsidRPr="00125E71">
        <w:t xml:space="preserve"> above). The court emphasised in this regard that during the proceedings before it the applicant had been offered an open-ended contractual position of lecturer, with identical remuneration. However, the applicant had refused this alternative.</w:t>
      </w:r>
    </w:p>
    <w:p w:rsidRPr="00125E71" w:rsidR="00125E71" w:rsidP="00125E71" w14:paraId="14F57019" w14:textId="5E0DC194">
      <w:pPr>
        <w:pStyle w:val="JuPara"/>
      </w:pPr>
      <w:r>
        <w:fldChar w:fldCharType="begin"/>
      </w:r>
      <w:r>
        <w:instrText xml:space="preserve"> SEQ level0 \*arabic \* MERGEFORMAT </w:instrText>
      </w:r>
      <w:r>
        <w:fldChar w:fldCharType="separate"/>
      </w:r>
      <w:bookmarkStart w:name="paragraph00036" w:id="9"/>
      <w:r>
        <w:rPr>
          <w:noProof/>
        </w:rPr>
        <w:t>13</w:t>
      </w:r>
      <w:bookmarkEnd w:id="9"/>
      <w:r>
        <w:rPr>
          <w:noProof/>
        </w:rPr>
        <w:fldChar w:fldCharType="end"/>
      </w:r>
      <w:r w:rsidRPr="00125E71">
        <w:t>.  On 26 October 2021 the Supreme Court upheld the lower court</w:t>
      </w:r>
      <w:r>
        <w:t>’</w:t>
      </w:r>
      <w:r w:rsidRPr="00125E71">
        <w:t>s reasoning and declared the applicant</w:t>
      </w:r>
      <w:r>
        <w:t>’</w:t>
      </w:r>
      <w:r w:rsidRPr="00125E71">
        <w:t>s appeal on points of law inadmissible.</w:t>
      </w:r>
    </w:p>
    <w:p w:rsidRPr="00125E71" w:rsidR="00125E71" w:rsidP="00125E71" w14:paraId="26DA3032" w14:textId="77777777">
      <w:pPr>
        <w:pStyle w:val="JuHHead"/>
      </w:pPr>
      <w:r w:rsidRPr="00125E71">
        <w:t>RELEVANT LEGAL FRAMEWORK</w:t>
      </w:r>
    </w:p>
    <w:p w:rsidR="00125E71" w:rsidP="00125E71" w14:paraId="6AAE5D6C" w14:textId="22EFEFFF">
      <w:pPr>
        <w:pStyle w:val="JuPara"/>
      </w:pPr>
      <w:r>
        <w:fldChar w:fldCharType="begin"/>
      </w:r>
      <w:r>
        <w:instrText xml:space="preserve"> SEQ level0 \*arabic \* MERGEFORMAT </w:instrText>
      </w:r>
      <w:r>
        <w:fldChar w:fldCharType="separate"/>
      </w:r>
      <w:bookmarkStart w:name="paragraph00014" w:id="10"/>
      <w:r>
        <w:rPr>
          <w:noProof/>
        </w:rPr>
        <w:t>14</w:t>
      </w:r>
      <w:bookmarkEnd w:id="10"/>
      <w:r>
        <w:rPr>
          <w:noProof/>
        </w:rPr>
        <w:fldChar w:fldCharType="end"/>
      </w:r>
      <w:r w:rsidRPr="00125E71">
        <w:t>.  Pursuant to Article 248 of the Code of Civil Procedure, “a court shall not, in its judgment, award a party what it has not requested, or more than what it has requested.”</w:t>
      </w:r>
    </w:p>
    <w:p w:rsidR="00125E71" w:rsidP="00125E71" w14:paraId="270E7738" w14:textId="4EEE63E5">
      <w:pPr>
        <w:pStyle w:val="JuPara"/>
        <w:rPr>
          <w:rFonts w:eastAsia="Times New Roman" w:asciiTheme="majorHAnsi" w:hAnsiTheme="majorHAnsi" w:cstheme="majorHAnsi"/>
        </w:rPr>
      </w:pPr>
      <w:r>
        <w:fldChar w:fldCharType="begin"/>
      </w:r>
      <w:r>
        <w:instrText xml:space="preserve"> SEQ level0 \*arabic \* MERGEFORMAT </w:instrText>
      </w:r>
      <w:r>
        <w:fldChar w:fldCharType="separate"/>
      </w:r>
      <w:bookmarkStart w:name="paragraph00015" w:id="11"/>
      <w:r>
        <w:rPr>
          <w:noProof/>
        </w:rPr>
        <w:t>15</w:t>
      </w:r>
      <w:bookmarkEnd w:id="11"/>
      <w:r>
        <w:rPr>
          <w:noProof/>
        </w:rPr>
        <w:fldChar w:fldCharType="end"/>
      </w:r>
      <w:r w:rsidRPr="00125E71">
        <w:t xml:space="preserve">.  Under </w:t>
      </w:r>
      <w:r w:rsidRPr="00125E71">
        <w:rPr>
          <w:rFonts w:eastAsia="Times New Roman" w:asciiTheme="majorHAnsi" w:hAnsiTheme="majorHAnsi" w:cstheme="majorHAnsi"/>
        </w:rPr>
        <w:t>Article 1 § 1 of the Labour Code, the Code “regulates labour and related relations within the territory of Georgia unless they are regulated differently by a special law or by international treaties [binding on] Georgia.”</w:t>
      </w:r>
    </w:p>
    <w:p w:rsidR="00125E71" w:rsidP="00125E71" w14:paraId="37EE4C00" w14:textId="003D9811">
      <w:pPr>
        <w:pStyle w:val="JuPara"/>
        <w:rPr>
          <w:rFonts w:ascii="Times New Roman" w:hAnsi="Times New Roman" w:eastAsia="Times New Roman" w:cs="Times New Roman"/>
        </w:rPr>
      </w:pPr>
      <w:r w:rsidRPr="00125E71">
        <w:rPr>
          <w:rFonts w:asciiTheme="majorHAnsi" w:hAnsiTheme="majorHAnsi" w:cstheme="majorHAnsi"/>
        </w:rPr>
        <w:fldChar w:fldCharType="begin"/>
      </w:r>
      <w:r w:rsidRPr="00125E71">
        <w:rPr>
          <w:rFonts w:asciiTheme="majorHAnsi" w:hAnsiTheme="majorHAnsi" w:cstheme="majorHAnsi"/>
        </w:rPr>
        <w:instrText xml:space="preserve"> SEQ level0 \*arabic \* MERGEFORMAT </w:instrText>
      </w:r>
      <w:r w:rsidRPr="00125E71">
        <w:rPr>
          <w:rFonts w:asciiTheme="majorHAnsi" w:hAnsiTheme="majorHAnsi" w:cstheme="majorHAnsi"/>
        </w:rPr>
        <w:fldChar w:fldCharType="separate"/>
      </w:r>
      <w:bookmarkStart w:name="paragraph00016" w:id="12"/>
      <w:r w:rsidR="002A4128">
        <w:rPr>
          <w:rFonts w:asciiTheme="majorHAnsi" w:hAnsiTheme="majorHAnsi" w:cstheme="majorHAnsi"/>
          <w:noProof/>
        </w:rPr>
        <w:t>16</w:t>
      </w:r>
      <w:bookmarkEnd w:id="12"/>
      <w:r w:rsidRPr="00125E71">
        <w:rPr>
          <w:rFonts w:asciiTheme="majorHAnsi" w:hAnsiTheme="majorHAnsi" w:cstheme="majorHAnsi"/>
        </w:rPr>
        <w:fldChar w:fldCharType="end"/>
      </w:r>
      <w:r w:rsidRPr="00125E71">
        <w:rPr>
          <w:rFonts w:asciiTheme="majorHAnsi" w:hAnsiTheme="majorHAnsi" w:cstheme="majorHAnsi"/>
        </w:rPr>
        <w:t>.  </w:t>
      </w:r>
      <w:r w:rsidRPr="00125E71">
        <w:rPr>
          <w:rFonts w:eastAsia="Times New Roman" w:asciiTheme="majorHAnsi" w:hAnsiTheme="majorHAnsi" w:cstheme="majorHAnsi"/>
        </w:rPr>
        <w:t>Article </w:t>
      </w:r>
      <w:r w:rsidRPr="00125E71">
        <w:rPr>
          <w:rFonts w:ascii="Times New Roman" w:hAnsi="Times New Roman" w:eastAsia="Times New Roman" w:cs="Times New Roman"/>
        </w:rPr>
        <w:t xml:space="preserve">6(3) § 1 (on the adopting of labour agreements) of the Labour </w:t>
      </w:r>
      <w:r w:rsidRPr="00125E71">
        <w:rPr>
          <w:rFonts w:eastAsia="Times New Roman" w:cstheme="minorHAnsi"/>
        </w:rPr>
        <w:t>Code, as it stood at the material time, read as follows</w:t>
      </w:r>
      <w:r w:rsidRPr="00125E71">
        <w:rPr>
          <w:rFonts w:ascii="Times New Roman" w:hAnsi="Times New Roman" w:eastAsia="Times New Roman" w:cs="Times New Roman"/>
        </w:rPr>
        <w:t>:</w:t>
      </w:r>
    </w:p>
    <w:p w:rsidRPr="00125E71" w:rsidR="00125E71" w:rsidP="001203F5" w14:paraId="540B2B9A" w14:textId="710069F8">
      <w:pPr>
        <w:pStyle w:val="JuQuot"/>
        <w:rPr>
          <w:rFonts w:eastAsia="Times New Roman"/>
        </w:rPr>
      </w:pPr>
      <w:r w:rsidRPr="00125E71">
        <w:rPr>
          <w:rFonts w:eastAsia="Times New Roman"/>
        </w:rPr>
        <w:t>“If a labour agreement has been in force for more than thirty months or if labour relations have continued on the basis of adopting fixed-term labour agreements two or more consecutive times and the duration of the above-mentioned labour relations exceeds thirty months, an open-ended labour agreement shall be deemed to have been adopted.”</w:t>
      </w:r>
    </w:p>
    <w:p w:rsidRPr="00125E71" w:rsidR="00125E71" w:rsidP="00125E71" w14:paraId="4B94885D" w14:textId="1EC502DC">
      <w:pPr>
        <w:pStyle w:val="JuPara"/>
      </w:pPr>
      <w:r>
        <w:fldChar w:fldCharType="begin"/>
      </w:r>
      <w:r>
        <w:instrText xml:space="preserve"> SEQ level0 \*arabic \* MERGEFORMAT </w:instrText>
      </w:r>
      <w:r>
        <w:fldChar w:fldCharType="separate"/>
      </w:r>
      <w:bookmarkStart w:name="paragraph00023" w:id="13"/>
      <w:r>
        <w:rPr>
          <w:noProof/>
        </w:rPr>
        <w:t>17</w:t>
      </w:r>
      <w:bookmarkEnd w:id="13"/>
      <w:r>
        <w:rPr>
          <w:noProof/>
        </w:rPr>
        <w:fldChar w:fldCharType="end"/>
      </w:r>
      <w:r w:rsidRPr="00125E71">
        <w:t>.  Section 35(1) of the Higher Education Act, as in force before 27 November 2015, provided as follows:</w:t>
      </w:r>
    </w:p>
    <w:p w:rsidRPr="00125E71" w:rsidR="00125E71" w:rsidP="00125E71" w14:paraId="1C403453" w14:textId="77777777">
      <w:pPr>
        <w:pStyle w:val="JuQuot"/>
      </w:pPr>
      <w:r w:rsidRPr="00125E71">
        <w:t>“A person with a doctorate degree, who has at least six years of scientific-pedagogical work experience, may be elected as a full professor. Additional conditions are determined by the statute of the higher education institution.”</w:t>
      </w:r>
    </w:p>
    <w:p w:rsidRPr="00125E71" w:rsidR="00125E71" w:rsidP="00125E71" w14:paraId="66241424" w14:textId="6AF18095">
      <w:pPr>
        <w:pStyle w:val="JuPara"/>
      </w:pPr>
      <w:r>
        <w:fldChar w:fldCharType="begin"/>
      </w:r>
      <w:r>
        <w:instrText xml:space="preserve"> SEQ level0 \*arabic \* MERGEFORMAT </w:instrText>
      </w:r>
      <w:r>
        <w:fldChar w:fldCharType="separate"/>
      </w:r>
      <w:bookmarkStart w:name="paragraph00024" w:id="14"/>
      <w:r>
        <w:rPr>
          <w:noProof/>
        </w:rPr>
        <w:t>18</w:t>
      </w:r>
      <w:bookmarkEnd w:id="14"/>
      <w:r>
        <w:rPr>
          <w:noProof/>
        </w:rPr>
        <w:fldChar w:fldCharType="end"/>
      </w:r>
      <w:r w:rsidRPr="00125E71">
        <w:t>.  Legislative amendments enacted on 27 November 2015 established the position of professor as a permanent appointment. Section 35(1) of the Higher Education Act was formulated as follows:</w:t>
      </w:r>
    </w:p>
    <w:p w:rsidRPr="00125E71" w:rsidR="00125E71" w:rsidP="001203F5" w14:paraId="11258791" w14:textId="77777777">
      <w:pPr>
        <w:pStyle w:val="JuQuot"/>
        <w:rPr>
          <w:rFonts w:eastAsia="Times New Roman"/>
        </w:rPr>
      </w:pPr>
      <w:r w:rsidRPr="00125E71">
        <w:rPr>
          <w:rFonts w:eastAsia="Times New Roman"/>
        </w:rPr>
        <w:t>“A person holding a doctoral or equivalent academic degree, possessing at least six years of scientific and pedagogical experience, distinguished professional and/or scientific achievements, and meeting the requirements established by the statute of the higher education institution, may be elected to the position of professor. Election to a professorial position is of a permanent nature. ...”</w:t>
      </w:r>
    </w:p>
    <w:p w:rsidR="00125E71" w:rsidP="00125E71" w14:paraId="6218983A" w14:textId="44F392AC">
      <w:pPr>
        <w:pStyle w:val="JuPara"/>
      </w:pPr>
      <w:r>
        <w:fldChar w:fldCharType="begin"/>
      </w:r>
      <w:r>
        <w:instrText xml:space="preserve"> SEQ level0 \*arabic \* MERGEFORMAT </w:instrText>
      </w:r>
      <w:r>
        <w:fldChar w:fldCharType="separate"/>
      </w:r>
      <w:r>
        <w:rPr>
          <w:noProof/>
        </w:rPr>
        <w:t>19</w:t>
      </w:r>
      <w:r>
        <w:rPr>
          <w:noProof/>
        </w:rPr>
        <w:fldChar w:fldCharType="end"/>
      </w:r>
      <w:r w:rsidRPr="00125E71">
        <w:t>.  On 15 March 2019 the Supreme Court clarified</w:t>
      </w:r>
      <w:r w:rsidRPr="00125E71">
        <w:rPr>
          <w:rFonts w:asciiTheme="majorHAnsi" w:hAnsiTheme="majorHAnsi" w:cstheme="majorHAnsi"/>
        </w:rPr>
        <w:t>, in another case involving the applicant</w:t>
      </w:r>
      <w:r>
        <w:rPr>
          <w:rFonts w:asciiTheme="majorHAnsi" w:hAnsiTheme="majorHAnsi" w:cstheme="majorHAnsi"/>
        </w:rPr>
        <w:t>’</w:t>
      </w:r>
      <w:r w:rsidRPr="00125E71">
        <w:rPr>
          <w:rFonts w:asciiTheme="majorHAnsi" w:hAnsiTheme="majorHAnsi" w:cstheme="majorHAnsi"/>
        </w:rPr>
        <w:t>s employer, that</w:t>
      </w:r>
      <w:r w:rsidRPr="00125E71">
        <w:t xml:space="preserve"> reinstatement of an individual to a previous position was not possible if the term of the original contract had expired</w:t>
      </w:r>
      <w:r w:rsidRPr="00125E71">
        <w:rPr>
          <w:rFonts w:ascii="Times New Roman" w:hAnsi="Times New Roman" w:eastAsia="Times New Roman" w:cs="Times New Roman"/>
          <w:sz w:val="20"/>
        </w:rPr>
        <w:t>.  </w:t>
      </w:r>
    </w:p>
    <w:p w:rsidRPr="00125E71" w:rsidR="00125E71" w:rsidP="00125E71" w14:paraId="77527B9B" w14:textId="4BE66E0C">
      <w:pPr>
        <w:pStyle w:val="JuHHead"/>
        <w:keepNext w:val="0"/>
        <w:keepLines w:val="0"/>
        <w:numPr>
          <w:ilvl w:val="0"/>
          <w:numId w:val="21"/>
        </w:numPr>
        <w:ind w:left="360" w:hanging="360"/>
      </w:pPr>
      <w:bookmarkStart w:name="_Hlk54255809" w:id="15"/>
      <w:r w:rsidRPr="00125E71">
        <w:t>THE COURT</w:t>
      </w:r>
      <w:r>
        <w:t>’</w:t>
      </w:r>
      <w:r w:rsidRPr="00125E71">
        <w:t>S ASSESSMENT</w:t>
      </w:r>
      <w:bookmarkEnd w:id="15"/>
    </w:p>
    <w:p w:rsidRPr="00125E71" w:rsidR="00125E71" w:rsidP="00125E71" w14:paraId="325CCEC3" w14:textId="05D9C5FD">
      <w:pPr>
        <w:pStyle w:val="JuPara"/>
      </w:pPr>
      <w:r>
        <w:fldChar w:fldCharType="begin"/>
      </w:r>
      <w:r>
        <w:instrText xml:space="preserve"> SEQ level0 \*arabic \* MERGEFORMAT </w:instrText>
      </w:r>
      <w:r>
        <w:fldChar w:fldCharType="separate"/>
      </w:r>
      <w:r>
        <w:rPr>
          <w:noProof/>
        </w:rPr>
        <w:t>20</w:t>
      </w:r>
      <w:r>
        <w:rPr>
          <w:noProof/>
        </w:rPr>
        <w:fldChar w:fldCharType="end"/>
      </w:r>
      <w:r w:rsidRPr="00125E71">
        <w:t>.  Relying on Article 6 § 1 and Article 8 of the Convention the applicant complained about her inability to have the final default judgment of 16</w:t>
      </w:r>
      <w:r w:rsidR="001203F5">
        <w:t> </w:t>
      </w:r>
      <w:r w:rsidRPr="00125E71">
        <w:t>June 2016 in respect of her labour dispute with the University fully enforced at domestic level.</w:t>
      </w:r>
    </w:p>
    <w:p w:rsidRPr="00125E71" w:rsidR="00125E71" w:rsidP="00125E71" w14:paraId="2D74E695" w14:textId="2A3F58C1">
      <w:pPr>
        <w:pStyle w:val="JuPara"/>
      </w:pPr>
      <w:r>
        <w:fldChar w:fldCharType="begin"/>
      </w:r>
      <w:r>
        <w:instrText xml:space="preserve"> SEQ level0 \*arabic \* MERGEFORMAT </w:instrText>
      </w:r>
      <w:r>
        <w:fldChar w:fldCharType="separate"/>
      </w:r>
      <w:r>
        <w:rPr>
          <w:noProof/>
        </w:rPr>
        <w:t>21</w:t>
      </w:r>
      <w:r>
        <w:rPr>
          <w:noProof/>
        </w:rPr>
        <w:fldChar w:fldCharType="end"/>
      </w:r>
      <w:r w:rsidRPr="00125E71">
        <w:t xml:space="preserve">.  The Government argued, </w:t>
      </w:r>
      <w:r w:rsidRPr="00125E71">
        <w:rPr>
          <w:i/>
          <w:iCs/>
        </w:rPr>
        <w:t>inter alia</w:t>
      </w:r>
      <w:r w:rsidRPr="00125E71">
        <w:t>, that the enforcement authorities had taken all reasonable steps to enforce the default judgment against the applicant</w:t>
      </w:r>
      <w:r>
        <w:t>’</w:t>
      </w:r>
      <w:r w:rsidRPr="00125E71">
        <w:t>s employer.</w:t>
      </w:r>
    </w:p>
    <w:p w:rsidRPr="00125E71" w:rsidR="00125E71" w:rsidP="00125E71" w14:paraId="78BEB080" w14:textId="0BFD2A62">
      <w:pPr>
        <w:pStyle w:val="JuPara"/>
      </w:pPr>
      <w:r>
        <w:fldChar w:fldCharType="begin"/>
      </w:r>
      <w:r>
        <w:instrText xml:space="preserve"> SEQ level0 \*arabic \* MERGEFORMAT </w:instrText>
      </w:r>
      <w:r>
        <w:fldChar w:fldCharType="separate"/>
      </w:r>
      <w:r>
        <w:rPr>
          <w:noProof/>
        </w:rPr>
        <w:t>22</w:t>
      </w:r>
      <w:r>
        <w:rPr>
          <w:noProof/>
        </w:rPr>
        <w:fldChar w:fldCharType="end"/>
      </w:r>
      <w:r w:rsidRPr="00125E71">
        <w:t>.  The applicant disagreed.</w:t>
      </w:r>
    </w:p>
    <w:p w:rsidRPr="00125E71" w:rsidR="00125E71" w:rsidP="00125E71" w14:paraId="46861E8D" w14:textId="09ED759F">
      <w:pPr>
        <w:pStyle w:val="JuPara"/>
      </w:pPr>
      <w:r>
        <w:fldChar w:fldCharType="begin"/>
      </w:r>
      <w:r>
        <w:instrText xml:space="preserve"> SEQ level0 \*arabic \* MERGEFORMAT </w:instrText>
      </w:r>
      <w:r>
        <w:fldChar w:fldCharType="separate"/>
      </w:r>
      <w:bookmarkStart w:name="paragraph00046" w:id="16"/>
      <w:r>
        <w:rPr>
          <w:noProof/>
        </w:rPr>
        <w:t>23</w:t>
      </w:r>
      <w:bookmarkEnd w:id="16"/>
      <w:r>
        <w:rPr>
          <w:noProof/>
        </w:rPr>
        <w:fldChar w:fldCharType="end"/>
      </w:r>
      <w:r w:rsidRPr="00125E71">
        <w:t>.  The Court reiterates that the execution of a judgment given by any court must be regarded as an integral part of the “trial” for the purposes of Article</w:t>
      </w:r>
      <w:r w:rsidR="001203F5">
        <w:t> </w:t>
      </w:r>
      <w:r w:rsidRPr="00125E71">
        <w:t xml:space="preserve">6 (see </w:t>
      </w:r>
      <w:r w:rsidRPr="00125E71">
        <w:rPr>
          <w:i/>
          <w:iCs/>
        </w:rPr>
        <w:t>Sharxhi</w:t>
      </w:r>
      <w:r w:rsidRPr="00125E71">
        <w:rPr>
          <w:i/>
          <w:iCs/>
        </w:rPr>
        <w:t xml:space="preserve"> and Others v. Albania</w:t>
      </w:r>
      <w:r w:rsidRPr="00125E71">
        <w:t>, no. 10613/16, § 92, 11</w:t>
      </w:r>
      <w:r w:rsidR="001203F5">
        <w:t> </w:t>
      </w:r>
      <w:r w:rsidRPr="00125E71">
        <w:t xml:space="preserve">January 2018). However, the right of “access to court” does not impose an obligation on a State to execute every judgment of a civil character without having regard to the </w:t>
      </w:r>
      <w:r w:rsidRPr="00125E71">
        <w:t>particular circumstances</w:t>
      </w:r>
      <w:r w:rsidRPr="00125E71">
        <w:t xml:space="preserve"> of the case (see </w:t>
      </w:r>
      <w:r w:rsidRPr="00125E71">
        <w:rPr>
          <w:i/>
          <w:iCs/>
        </w:rPr>
        <w:t>Sanglier</w:t>
      </w:r>
      <w:r w:rsidRPr="00125E71">
        <w:rPr>
          <w:i/>
          <w:iCs/>
        </w:rPr>
        <w:t xml:space="preserve"> v.</w:t>
      </w:r>
      <w:r w:rsidR="001203F5">
        <w:rPr>
          <w:i/>
          <w:iCs/>
        </w:rPr>
        <w:t> </w:t>
      </w:r>
      <w:r w:rsidRPr="00125E71">
        <w:rPr>
          <w:i/>
          <w:iCs/>
        </w:rPr>
        <w:t>France</w:t>
      </w:r>
      <w:r w:rsidRPr="00125E71">
        <w:t>, no. 50342/99, § 39, 27 May 2003).</w:t>
      </w:r>
      <w:r w:rsidRPr="00125E71">
        <w:t xml:space="preserve"> </w:t>
      </w:r>
      <w:r w:rsidRPr="00125E71">
        <w:t xml:space="preserve">In the present case, the dispute was between private parties (see </w:t>
      </w:r>
      <w:r w:rsidRPr="00125E71">
        <w:rPr>
          <w:i/>
          <w:iCs/>
        </w:rPr>
        <w:t>Kotov v. Russia</w:t>
      </w:r>
      <w:r w:rsidRPr="00125E71">
        <w:t xml:space="preserve"> [GC], no. 54522/00, §§ 92-95, 3 April 2012). Consequently, the Court</w:t>
      </w:r>
      <w:r>
        <w:t>’</w:t>
      </w:r>
      <w:r w:rsidRPr="00125E71">
        <w:t xml:space="preserve">s task is to determine whether the measures taken by the authorities were adequate and sufficient, and whether the State, as the holder of public authority, acted with due diligence in </w:t>
      </w:r>
      <w:r w:rsidRPr="00125E71">
        <w:t xml:space="preserve">assisting the creditor in the execution of the judgment (see </w:t>
      </w:r>
      <w:r w:rsidRPr="00125E71">
        <w:rPr>
          <w:i/>
          <w:iCs/>
        </w:rPr>
        <w:t>Sekul</w:t>
      </w:r>
      <w:r w:rsidRPr="00125E71">
        <w:rPr>
          <w:i/>
          <w:iCs/>
        </w:rPr>
        <w:t xml:space="preserve"> v. Croatia</w:t>
      </w:r>
      <w:r w:rsidRPr="00125E71">
        <w:t xml:space="preserve"> (dec.), no. 43569/13, § 55, 30 June 2015, with further references).</w:t>
      </w:r>
    </w:p>
    <w:p w:rsidR="00125E71" w:rsidP="00125E71" w14:paraId="61582A54" w14:textId="3D2E70B3">
      <w:pPr>
        <w:pStyle w:val="JuPara"/>
      </w:pPr>
      <w:r>
        <w:fldChar w:fldCharType="begin"/>
      </w:r>
      <w:r>
        <w:instrText xml:space="preserve"> SEQ level0 \*arabic \* MERGEFORMAT </w:instrText>
      </w:r>
      <w:r>
        <w:fldChar w:fldCharType="separate"/>
      </w:r>
      <w:r>
        <w:rPr>
          <w:noProof/>
        </w:rPr>
        <w:t>24</w:t>
      </w:r>
      <w:r>
        <w:rPr>
          <w:noProof/>
        </w:rPr>
        <w:fldChar w:fldCharType="end"/>
      </w:r>
      <w:r w:rsidRPr="00125E71">
        <w:t xml:space="preserve">.  Turning to the circumstances of the present case, the applicant insisted that the execution of the judgment in her favour could only be </w:t>
      </w:r>
      <w:r w:rsidRPr="00125E71">
        <w:t>effected</w:t>
      </w:r>
      <w:r w:rsidRPr="00125E71">
        <w:t xml:space="preserve"> by ordering her reinstatement to a permanent academic position.</w:t>
      </w:r>
    </w:p>
    <w:p w:rsidRPr="00125E71" w:rsidR="00125E71" w:rsidP="00125E71" w14:paraId="498F984B" w14:textId="2AB4622E">
      <w:pPr>
        <w:pStyle w:val="JuPara"/>
      </w:pPr>
      <w:r>
        <w:fldChar w:fldCharType="begin"/>
      </w:r>
      <w:r>
        <w:instrText xml:space="preserve"> SEQ level0 \*arabic \* MERGEFORMAT </w:instrText>
      </w:r>
      <w:r>
        <w:fldChar w:fldCharType="separate"/>
      </w:r>
      <w:r>
        <w:rPr>
          <w:noProof/>
        </w:rPr>
        <w:t>25</w:t>
      </w:r>
      <w:r>
        <w:rPr>
          <w:noProof/>
        </w:rPr>
        <w:fldChar w:fldCharType="end"/>
      </w:r>
      <w:r w:rsidRPr="00125E71">
        <w:t>.  However, the enforcement proceedings revealed that the judgment in the applicant</w:t>
      </w:r>
      <w:r>
        <w:t>’</w:t>
      </w:r>
      <w:r w:rsidRPr="00125E71">
        <w:t>s favour could not be executed exactly as outlined in the original ruling and the decision interpreting it. Specifically, it appears that the simplified default judgment procedure (see paragraph </w:t>
      </w:r>
      <w:r w:rsidRPr="00125E71">
        <w:fldChar w:fldCharType="begin"/>
      </w:r>
      <w:r w:rsidRPr="00125E71">
        <w:instrText xml:space="preserve"> REF paragraph00004 \h  \* CharFormat  \* MERGEFORMAT </w:instrText>
      </w:r>
      <w:r w:rsidRPr="00125E71">
        <w:fldChar w:fldCharType="separate"/>
      </w:r>
      <w:r>
        <w:t>5</w:t>
      </w:r>
      <w:r w:rsidRPr="00125E71">
        <w:fldChar w:fldCharType="end"/>
      </w:r>
      <w:r w:rsidRPr="00125E71">
        <w:t xml:space="preserve"> above) failed to consider the specific regulations governing employment in the higher education sphere which did not allow an automatic conversion of a fixed-term contract into an open-ended one. As a result, the judgment may be understood as having extended the applicant</w:t>
      </w:r>
      <w:r>
        <w:t>’</w:t>
      </w:r>
      <w:r w:rsidRPr="00125E71">
        <w:t>s claim beyond the scope permitted under domestic law and beyond what the applicant herself had sought in her claim against the University, as she had never, even remotely, requested the conversion of her initial fixed-term contract into an open-ended one (see paragraphs </w:t>
      </w:r>
      <w:r w:rsidRPr="00125E71">
        <w:fldChar w:fldCharType="begin"/>
      </w:r>
      <w:r w:rsidRPr="00125E71">
        <w:instrText xml:space="preserve"> REF paragraph00002 \h  \* CharFormat </w:instrText>
      </w:r>
      <w:r w:rsidRPr="00125E71">
        <w:fldChar w:fldCharType="separate"/>
      </w:r>
      <w:r>
        <w:t>2</w:t>
      </w:r>
      <w:r w:rsidRPr="00125E71">
        <w:fldChar w:fldCharType="end"/>
      </w:r>
      <w:r w:rsidRPr="00125E71">
        <w:t>-</w:t>
      </w:r>
      <w:r w:rsidRPr="00125E71">
        <w:fldChar w:fldCharType="begin"/>
      </w:r>
      <w:r w:rsidRPr="00125E71">
        <w:instrText xml:space="preserve"> REF paragraph00003 \h  \* CharFormat </w:instrText>
      </w:r>
      <w:r w:rsidRPr="00125E71">
        <w:fldChar w:fldCharType="separate"/>
      </w:r>
      <w:r w:rsidRPr="002A4128">
        <w:t>3</w:t>
      </w:r>
      <w:r w:rsidRPr="00125E71">
        <w:fldChar w:fldCharType="end"/>
      </w:r>
      <w:r w:rsidRPr="00125E71">
        <w:t xml:space="preserve">, </w:t>
      </w:r>
      <w:r w:rsidRPr="00125E71">
        <w:fldChar w:fldCharType="begin"/>
      </w:r>
      <w:r w:rsidRPr="00125E71">
        <w:instrText xml:space="preserve"> REF paragraph00004 \h  \* CharFormat </w:instrText>
      </w:r>
      <w:r w:rsidRPr="00125E71">
        <w:fldChar w:fldCharType="separate"/>
      </w:r>
      <w:r>
        <w:t>5</w:t>
      </w:r>
      <w:r w:rsidRPr="00125E71">
        <w:fldChar w:fldCharType="end"/>
      </w:r>
      <w:r w:rsidRPr="00125E71">
        <w:t xml:space="preserve">, </w:t>
      </w:r>
      <w:r w:rsidRPr="00125E71">
        <w:fldChar w:fldCharType="begin"/>
      </w:r>
      <w:r w:rsidRPr="00125E71">
        <w:instrText xml:space="preserve"> REF para34_rbeach_lex_specialis \h  \* CharFormat </w:instrText>
      </w:r>
      <w:r w:rsidRPr="00125E71">
        <w:fldChar w:fldCharType="separate"/>
      </w:r>
      <w:r>
        <w:t>12</w:t>
      </w:r>
      <w:r w:rsidRPr="00125E71">
        <w:fldChar w:fldCharType="end"/>
      </w:r>
      <w:r w:rsidRPr="00125E71">
        <w:t xml:space="preserve">, </w:t>
      </w:r>
      <w:r w:rsidRPr="00125E71">
        <w:fldChar w:fldCharType="begin"/>
      </w:r>
      <w:r w:rsidRPr="00125E71">
        <w:instrText xml:space="preserve"> REF paragraph00014 \h  \* CharFormat </w:instrText>
      </w:r>
      <w:r w:rsidRPr="00125E71">
        <w:fldChar w:fldCharType="separate"/>
      </w:r>
      <w:r>
        <w:t>14</w:t>
      </w:r>
      <w:r w:rsidRPr="00125E71">
        <w:fldChar w:fldCharType="end"/>
      </w:r>
      <w:r w:rsidRPr="00125E71">
        <w:t>-</w:t>
      </w:r>
      <w:r w:rsidRPr="00125E71">
        <w:fldChar w:fldCharType="begin"/>
      </w:r>
      <w:r w:rsidRPr="00125E71">
        <w:instrText xml:space="preserve"> REF paragraph00015 \h  \* CharFormat </w:instrText>
      </w:r>
      <w:r w:rsidRPr="00125E71">
        <w:fldChar w:fldCharType="separate"/>
      </w:r>
      <w:r>
        <w:t>15</w:t>
      </w:r>
      <w:r w:rsidRPr="00125E71">
        <w:fldChar w:fldCharType="end"/>
      </w:r>
      <w:r w:rsidRPr="00125E71">
        <w:t xml:space="preserve"> and </w:t>
      </w:r>
      <w:r w:rsidRPr="00125E71">
        <w:fldChar w:fldCharType="begin"/>
      </w:r>
      <w:r w:rsidRPr="00125E71">
        <w:instrText xml:space="preserve"> REF paragraph00023 \h  \* CharFormat </w:instrText>
      </w:r>
      <w:r w:rsidRPr="00125E71">
        <w:fldChar w:fldCharType="separate"/>
      </w:r>
      <w:r>
        <w:t>17</w:t>
      </w:r>
      <w:r w:rsidRPr="00125E71">
        <w:fldChar w:fldCharType="end"/>
      </w:r>
      <w:r w:rsidRPr="00125E71">
        <w:t>-</w:t>
      </w:r>
      <w:r w:rsidRPr="00125E71">
        <w:fldChar w:fldCharType="begin"/>
      </w:r>
      <w:r w:rsidRPr="00125E71">
        <w:instrText xml:space="preserve"> REF paragraph00024 \h  \* CharFormat </w:instrText>
      </w:r>
      <w:r w:rsidRPr="00125E71">
        <w:fldChar w:fldCharType="separate"/>
      </w:r>
      <w:r>
        <w:t>18</w:t>
      </w:r>
      <w:r w:rsidRPr="00125E71">
        <w:fldChar w:fldCharType="end"/>
      </w:r>
      <w:r w:rsidRPr="00125E71">
        <w:t xml:space="preserve"> above; see also, </w:t>
      </w:r>
      <w:r w:rsidRPr="00125E71">
        <w:rPr>
          <w:i/>
          <w:iCs/>
        </w:rPr>
        <w:t>mutatis mutandis</w:t>
      </w:r>
      <w:r w:rsidRPr="00125E71">
        <w:t xml:space="preserve">, </w:t>
      </w:r>
      <w:r w:rsidRPr="00125E71">
        <w:rPr>
          <w:i/>
          <w:iCs/>
        </w:rPr>
        <w:t>Peikrishvili</w:t>
      </w:r>
      <w:r w:rsidRPr="00125E71">
        <w:rPr>
          <w:i/>
          <w:iCs/>
        </w:rPr>
        <w:t xml:space="preserve"> and </w:t>
      </w:r>
      <w:r w:rsidRPr="00125E71">
        <w:rPr>
          <w:i/>
          <w:iCs/>
        </w:rPr>
        <w:t>Basiladze</w:t>
      </w:r>
      <w:r w:rsidRPr="00125E71">
        <w:rPr>
          <w:i/>
          <w:iCs/>
        </w:rPr>
        <w:t xml:space="preserve"> v. Georgia </w:t>
      </w:r>
      <w:r w:rsidRPr="00125E71">
        <w:t>(dec.), no. 53191/10, §§ 36-37, 5 February 2019). In this respect, the Court cannot overlook the fact that during the enforcement proceedings a reasonable alternative solution was made available to the applicant. This solution sought to find a balance between the various interests at stake, but the applicant rejected it (see paragraphs </w:t>
      </w:r>
      <w:r w:rsidRPr="00125E71">
        <w:fldChar w:fldCharType="begin"/>
      </w:r>
      <w:r w:rsidRPr="00125E71">
        <w:instrText xml:space="preserve"> REF paragraph00011 \h  \* CharFormat  \* MERGEFORMAT </w:instrText>
      </w:r>
      <w:r w:rsidRPr="00125E71">
        <w:fldChar w:fldCharType="separate"/>
      </w:r>
      <w:r>
        <w:t>10</w:t>
      </w:r>
      <w:r w:rsidRPr="00125E71">
        <w:fldChar w:fldCharType="end"/>
      </w:r>
      <w:r w:rsidRPr="00125E71">
        <w:t xml:space="preserve"> and </w:t>
      </w:r>
      <w:r w:rsidRPr="00125E71">
        <w:fldChar w:fldCharType="begin"/>
      </w:r>
      <w:r w:rsidRPr="00125E71">
        <w:instrText xml:space="preserve"> REF para34_rbeach_lex_specialis \h  \* MERGEFORMAT </w:instrText>
      </w:r>
      <w:r w:rsidRPr="00125E71">
        <w:fldChar w:fldCharType="separate"/>
      </w:r>
      <w:r w:rsidRPr="002A4128">
        <w:rPr>
          <w:rFonts w:asciiTheme="majorHAnsi" w:hAnsiTheme="majorHAnsi" w:cstheme="majorHAnsi"/>
        </w:rPr>
        <w:t>12</w:t>
      </w:r>
      <w:r w:rsidRPr="00125E71">
        <w:fldChar w:fldCharType="end"/>
      </w:r>
      <w:r w:rsidRPr="00125E71">
        <w:t xml:space="preserve"> above, and compare, </w:t>
      </w:r>
      <w:r w:rsidRPr="00125E71">
        <w:rPr>
          <w:i/>
          <w:iCs/>
        </w:rPr>
        <w:t>mutatis mutandis</w:t>
      </w:r>
      <w:r w:rsidRPr="00125E71">
        <w:t xml:space="preserve">, </w:t>
      </w:r>
      <w:bookmarkStart w:name="_cl23583THECOURTSASSESSMENT" w:id="17"/>
      <w:r w:rsidRPr="00125E71">
        <w:rPr>
          <w:i/>
          <w:iCs/>
        </w:rPr>
        <w:t>Cıngıllı</w:t>
      </w:r>
      <w:r w:rsidRPr="00125E71">
        <w:rPr>
          <w:i/>
          <w:iCs/>
        </w:rPr>
        <w:t xml:space="preserve"> Holding A.Ş. and </w:t>
      </w:r>
      <w:r w:rsidRPr="00125E71">
        <w:rPr>
          <w:i/>
          <w:iCs/>
        </w:rPr>
        <w:t>Cıngıllıoğlu</w:t>
      </w:r>
      <w:r w:rsidRPr="00125E71">
        <w:rPr>
          <w:i/>
          <w:iCs/>
        </w:rPr>
        <w:t xml:space="preserve"> v. Turkey</w:t>
      </w:r>
      <w:bookmarkEnd w:id="17"/>
      <w:r w:rsidRPr="00125E71">
        <w:t>, nos. 31833/06 and 37538/06, §</w:t>
      </w:r>
      <w:r w:rsidR="001203F5">
        <w:t> </w:t>
      </w:r>
      <w:r w:rsidRPr="00125E71">
        <w:t>41, 21</w:t>
      </w:r>
      <w:r w:rsidR="001203F5">
        <w:t> </w:t>
      </w:r>
      <w:r w:rsidRPr="00125E71">
        <w:t>July 2015). Additionally, the applicant did not seek damages as regards the impact of the default judgment on her pecuniary interests but only contested the diligence of the Enforcement Bureau in the enforcement procedure.</w:t>
      </w:r>
    </w:p>
    <w:p w:rsidR="00125E71" w:rsidP="00125E71" w14:paraId="14F6C173" w14:textId="3218925E">
      <w:pPr>
        <w:pStyle w:val="JuPara"/>
      </w:pPr>
      <w:r>
        <w:fldChar w:fldCharType="begin"/>
      </w:r>
      <w:r>
        <w:instrText xml:space="preserve"> SEQ level0 \*arabic \* MERGEFORMAT </w:instrText>
      </w:r>
      <w:r>
        <w:fldChar w:fldCharType="separate"/>
      </w:r>
      <w:r>
        <w:rPr>
          <w:noProof/>
        </w:rPr>
        <w:t>26</w:t>
      </w:r>
      <w:r>
        <w:rPr>
          <w:noProof/>
        </w:rPr>
        <w:fldChar w:fldCharType="end"/>
      </w:r>
      <w:r w:rsidRPr="00125E71">
        <w:t>.  Against this background, and as regards the conduct of the Enforcement Bureau, the domestic courts assessed all the facts of the case, the legal basis for enforcement, and the applicable law, concluding that the efforts of the Enforcement Bureau were beyond reproach. The Court sees no reason to disagree with their reasoning (see paragraphs </w:t>
      </w:r>
      <w:r w:rsidRPr="00125E71">
        <w:fldChar w:fldCharType="begin"/>
      </w:r>
      <w:r w:rsidRPr="00125E71">
        <w:instrText xml:space="preserve"> REF para11 \h </w:instrText>
      </w:r>
      <w:r w:rsidRPr="00125E71">
        <w:fldChar w:fldCharType="separate"/>
      </w:r>
      <w:r>
        <w:rPr>
          <w:noProof/>
        </w:rPr>
        <w:t>11</w:t>
      </w:r>
      <w:r w:rsidRPr="00125E71">
        <w:fldChar w:fldCharType="end"/>
      </w:r>
      <w:r w:rsidRPr="00125E71">
        <w:t>-</w:t>
      </w:r>
      <w:r w:rsidRPr="00125E71">
        <w:fldChar w:fldCharType="begin"/>
      </w:r>
      <w:r w:rsidRPr="00125E71">
        <w:instrText xml:space="preserve"> REF para34_rbeach_lex_specialis \h  \* CharFormat  \* MERGEFORMAT </w:instrText>
      </w:r>
      <w:r w:rsidRPr="00125E71">
        <w:fldChar w:fldCharType="separate"/>
      </w:r>
      <w:r>
        <w:t>12</w:t>
      </w:r>
      <w:r w:rsidRPr="00125E71">
        <w:fldChar w:fldCharType="end"/>
      </w:r>
      <w:r w:rsidRPr="00125E71">
        <w:t xml:space="preserve"> above; see also </w:t>
      </w:r>
      <w:r w:rsidRPr="00125E71">
        <w:rPr>
          <w:i/>
          <w:iCs/>
        </w:rPr>
        <w:t>Kandyba</w:t>
      </w:r>
      <w:r w:rsidRPr="00125E71">
        <w:rPr>
          <w:i/>
          <w:iCs/>
        </w:rPr>
        <w:t xml:space="preserve"> v. Ukraine </w:t>
      </w:r>
      <w:r w:rsidRPr="00125E71">
        <w:t>(dec.), no. 33137/16, § 56, 13 October 2020).</w:t>
      </w:r>
    </w:p>
    <w:p w:rsidR="00125E71" w:rsidP="00125E71" w14:paraId="09123B20" w14:textId="2FF2BE8A">
      <w:pPr>
        <w:pStyle w:val="JuPara"/>
      </w:pPr>
      <w:r>
        <w:fldChar w:fldCharType="begin"/>
      </w:r>
      <w:r>
        <w:instrText xml:space="preserve"> SEQ level0 \*arabic \* MERGEFORMAT </w:instrText>
      </w:r>
      <w:r>
        <w:fldChar w:fldCharType="separate"/>
      </w:r>
      <w:r>
        <w:rPr>
          <w:noProof/>
        </w:rPr>
        <w:t>27</w:t>
      </w:r>
      <w:r>
        <w:rPr>
          <w:noProof/>
        </w:rPr>
        <w:fldChar w:fldCharType="end"/>
      </w:r>
      <w:r w:rsidRPr="00125E71">
        <w:t>.  In the light of the foregoing, the Court cannot find that the national authorities</w:t>
      </w:r>
      <w:r>
        <w:t>’</w:t>
      </w:r>
      <w:r w:rsidRPr="00125E71">
        <w:t xml:space="preserve"> approach to their duty to enforce the judgment in the applicant</w:t>
      </w:r>
      <w:r>
        <w:t>’</w:t>
      </w:r>
      <w:r w:rsidRPr="00125E71">
        <w:t>s case was arbitrary or unreasonable, given that the judgment was not enforceable in the specific manner she asserted, owing to circumstances of a substantial and compelling nature</w:t>
      </w:r>
      <w:r w:rsidRPr="00125E71">
        <w:t xml:space="preserve"> </w:t>
      </w:r>
      <w:r w:rsidRPr="00125E71">
        <w:t xml:space="preserve">(see, for instance, </w:t>
      </w:r>
      <w:r w:rsidRPr="00125E71">
        <w:rPr>
          <w:i/>
          <w:iCs/>
        </w:rPr>
        <w:t>Martynyuk</w:t>
      </w:r>
      <w:r w:rsidRPr="00125E71">
        <w:rPr>
          <w:i/>
          <w:iCs/>
        </w:rPr>
        <w:t xml:space="preserve"> v.</w:t>
      </w:r>
      <w:r w:rsidR="001203F5">
        <w:rPr>
          <w:i/>
          <w:iCs/>
        </w:rPr>
        <w:t> </w:t>
      </w:r>
      <w:r w:rsidRPr="00125E71">
        <w:rPr>
          <w:i/>
          <w:iCs/>
        </w:rPr>
        <w:t>Ukraine</w:t>
      </w:r>
      <w:r w:rsidRPr="00125E71">
        <w:t xml:space="preserve"> (dec.), no. 82673/17, § 36, 8 July 2025, and </w:t>
      </w:r>
      <w:r w:rsidRPr="00125E71">
        <w:rPr>
          <w:i/>
          <w:iCs/>
        </w:rPr>
        <w:t>Peikrishvili</w:t>
      </w:r>
      <w:r w:rsidRPr="00125E71">
        <w:rPr>
          <w:i/>
          <w:iCs/>
        </w:rPr>
        <w:t xml:space="preserve"> and </w:t>
      </w:r>
      <w:r w:rsidRPr="00125E71">
        <w:rPr>
          <w:i/>
          <w:iCs/>
        </w:rPr>
        <w:t>Basiladze</w:t>
      </w:r>
      <w:r w:rsidRPr="00125E71">
        <w:t xml:space="preserve">, cited above, </w:t>
      </w:r>
      <w:r w:rsidRPr="00125E71">
        <w:rPr>
          <w:rFonts w:cstheme="minorHAnsi"/>
        </w:rPr>
        <w:t>§</w:t>
      </w:r>
      <w:r w:rsidRPr="00125E71">
        <w:t xml:space="preserve"> 37).</w:t>
      </w:r>
    </w:p>
    <w:p w:rsidRPr="00125E71" w:rsidR="00125E71" w:rsidP="00125E71" w14:paraId="2E3EE334" w14:textId="5F806A9B">
      <w:pPr>
        <w:pStyle w:val="JuPara"/>
      </w:pPr>
      <w:r>
        <w:fldChar w:fldCharType="begin"/>
      </w:r>
      <w:r>
        <w:instrText xml:space="preserve"> SEQ level0 \*arabic \* MERGEFORMAT </w:instrText>
      </w:r>
      <w:r>
        <w:fldChar w:fldCharType="separate"/>
      </w:r>
      <w:r>
        <w:rPr>
          <w:noProof/>
        </w:rPr>
        <w:t>28</w:t>
      </w:r>
      <w:r>
        <w:rPr>
          <w:noProof/>
        </w:rPr>
        <w:fldChar w:fldCharType="end"/>
      </w:r>
      <w:r w:rsidRPr="00125E71">
        <w:t>.  Accordingly, the Court finds that the application is manifestly ill</w:t>
      </w:r>
      <w:r w:rsidR="00904A9D">
        <w:noBreakHyphen/>
      </w:r>
      <w:r w:rsidRPr="00125E71">
        <w:t>founded and must be rejected in accordance with Article 35 §§ 3 and 4 of the Convention.</w:t>
      </w:r>
    </w:p>
    <w:p w:rsidRPr="00125E71" w:rsidR="00125E71" w:rsidP="00125E71" w14:paraId="3D9F0A6C" w14:textId="14465018">
      <w:pPr>
        <w:pStyle w:val="JuParaLast"/>
      </w:pPr>
      <w:r w:rsidRPr="00125E71">
        <w:t>For these reasons, the Court, unanimously,</w:t>
      </w:r>
    </w:p>
    <w:p w:rsidRPr="00125E71" w:rsidR="00125E71" w:rsidP="00125E71" w14:paraId="195FA47B" w14:textId="77777777">
      <w:pPr>
        <w:pStyle w:val="DecList"/>
      </w:pPr>
      <w:r w:rsidRPr="00125E71">
        <w:rPr>
          <w:i/>
        </w:rPr>
        <w:t>Declares</w:t>
      </w:r>
      <w:r w:rsidRPr="00125E71">
        <w:t xml:space="preserve"> the application inadmissible.</w:t>
      </w:r>
    </w:p>
    <w:p w:rsidRPr="00125E71" w:rsidR="00BD1692" w:rsidP="00BD1692" w14:paraId="0535D4F5" w14:textId="4B0AD5B3">
      <w:pPr>
        <w:pStyle w:val="JuParaLast"/>
        <w:rPr>
          <w:sz w:val="14"/>
          <w:shd w:val="clear" w:color="auto" w:fill="BEE5FF" w:themeFill="background1" w:themeFillTint="33"/>
        </w:rPr>
      </w:pPr>
      <w:r w:rsidRPr="00125E71">
        <w:t xml:space="preserve">Done in English and notified in writing on </w:t>
      </w:r>
      <w:r w:rsidR="00125E71">
        <w:rPr>
          <w:noProof/>
        </w:rPr>
        <w:t>15 January 2026</w:t>
      </w:r>
      <w:r w:rsidRPr="00125E71">
        <w:t>.</w:t>
      </w:r>
    </w:p>
    <w:p w:rsidRPr="00125E71" w:rsidR="00BD1692" w:rsidP="00C8038F" w14:paraId="7D377F69" w14:textId="77777777">
      <w:pPr>
        <w:pStyle w:val="ECHRPlaceholder"/>
      </w:pPr>
      <w:r w:rsidRPr="00125E71">
        <w:tab/>
      </w:r>
      <w:r w:rsidRPr="00125E71">
        <w:t xml:space="preserve">{signature_p_1} </w:t>
      </w:r>
      <w:r w:rsidRPr="00125E71">
        <w:tab/>
        <w:t>{signature_p_2}</w:t>
      </w:r>
    </w:p>
    <w:p w:rsidRPr="00904A9D" w:rsidR="00CB3BD9" w:rsidP="00904A9D" w14:paraId="16E71F83" w14:textId="1EC5C4A7">
      <w:pPr>
        <w:pStyle w:val="JuSigned"/>
      </w:pPr>
      <w:r w:rsidRPr="00125E71">
        <w:tab/>
      </w:r>
      <w:r w:rsidRPr="00904A9D" w:rsidR="00904A9D">
        <w:t>Giorgi Badashv</w:t>
      </w:r>
      <w:r w:rsidR="00904A9D">
        <w:t>ili</w:t>
      </w:r>
      <w:r w:rsidRPr="00904A9D" w:rsidR="001D1233">
        <w:tab/>
      </w:r>
      <w:r w:rsidRPr="00904A9D" w:rsidR="00125E71">
        <w:rPr>
          <w:noProof/>
        </w:rPr>
        <w:t>Anja Seibert-Fohr</w:t>
      </w:r>
      <w:r w:rsidRPr="00904A9D" w:rsidR="001D1233">
        <w:br/>
      </w:r>
      <w:r w:rsidRPr="00904A9D" w:rsidR="001D1233">
        <w:tab/>
      </w:r>
      <w:r w:rsidR="00904A9D">
        <w:t xml:space="preserve">Acting </w:t>
      </w:r>
      <w:r w:rsidRPr="00904A9D" w:rsidR="00904A9D">
        <w:t xml:space="preserve">Deputy </w:t>
      </w:r>
      <w:r w:rsidRPr="00904A9D" w:rsidR="00125E71">
        <w:rPr>
          <w:noProof/>
        </w:rPr>
        <w:t>Registrar</w:t>
      </w:r>
      <w:r w:rsidRPr="00904A9D" w:rsidR="006267D3">
        <w:tab/>
        <w:t>President</w:t>
      </w:r>
    </w:p>
    <w:sectPr w:rsidSect="0076040F">
      <w:headerReference w:type="even" r:id="rId5"/>
      <w:headerReference w:type="default" r:id="rId6"/>
      <w:footerReference w:type="even" r:id="rId7"/>
      <w:footerReference w:type="default" r:id="rId8"/>
      <w:headerReference w:type="first" r:id="rId9"/>
      <w:footerReference w:type="first" r:id="rId10"/>
      <w:endnotePr>
        <w:numFmt w:val="decimal"/>
      </w:endnotePr>
      <w:pgSz w:w="11906" w:h="16838" w:code="9"/>
      <w:pgMar w:top="2274" w:right="2274" w:bottom="2274" w:left="2274" w:header="1701" w:footer="720" w:gutter="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32591" w:rsidRPr="00125E71" w:rsidP="000D61E7" w14:paraId="770AB4E5" w14:textId="147F86D5">
    <w:pPr>
      <w:pStyle w:val="JuHeader"/>
    </w:pPr>
    <w:r>
      <w:fldChar w:fldCharType="begin"/>
    </w:r>
    <w:r>
      <w:instrText xml:space="preserve"> PAGE  \* MERGEFORMAT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32591" w:rsidRPr="00125E71" w:rsidP="000D61E7" w14:paraId="293F30A7" w14:textId="5D21E595">
    <w:pPr>
      <w:pStyle w:val="JuHeader"/>
    </w:pPr>
    <w:r>
      <w:fldChar w:fldCharType="begin"/>
    </w:r>
    <w:r>
      <w:instrText xml:space="preserve"> PAGE  \* MERGEFORMAT </w:instrText>
    </w:r>
    <w:r>
      <w:fldChar w:fldCharType="separate"/>
    </w:r>
    <w:r>
      <w:rPr>
        <w:noProof/>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25E71" w:rsidRPr="00150BFA" w:rsidP="0020718E" w14:paraId="54139DD5" w14:textId="306FAB72">
    <w:pPr>
      <w:jc w:val="center"/>
    </w:pPr>
    <w:r w:rsidRPr="00125E71">
      <w:rPr>
        <w:noProof/>
      </w:rPr>
      <w:drawing>
        <wp:inline distT="0" distB="0" distL="0" distR="0">
          <wp:extent cx="771525" cy="619125"/>
          <wp:effectExtent l="0" t="0" r="9525" b="9525"/>
          <wp:docPr id="669764146" name="Picture 6697641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76414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B32591" w:rsidRPr="00125E71" w:rsidP="002E2C77" w14:paraId="67650044" w14:textId="1249B349">
    <w:pPr>
      <w:jc w:val="cen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32591" w:rsidRPr="00125E71" w:rsidP="0076040F" w14:paraId="2FCB87A4" w14:textId="430853D4">
    <w:pPr>
      <w:pStyle w:val="JuHeader"/>
    </w:pPr>
    <w:r>
      <w:t>JASHI v. GEORGIA</w:t>
    </w:r>
    <w:r w:rsidRPr="00125E71" w:rsidR="006267D3">
      <w:t xml:space="preserve"> DECISION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32591" w:rsidRPr="00125E71" w:rsidP="000D61E7" w14:paraId="045380FA" w14:textId="2A47C4C2">
    <w:pPr>
      <w:pStyle w:val="JuHeader"/>
    </w:pPr>
    <w:r>
      <w:t>JASHI v. GEORGIA</w:t>
    </w:r>
    <w:r w:rsidRPr="00125E71" w:rsidR="006267D3">
      <w:t xml:space="preserve"> DECISION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25E71" w:rsidRPr="00A45145" w:rsidP="00A45145" w14:paraId="7CB0D211" w14:textId="225AE862">
    <w:pPr>
      <w:jc w:val="center"/>
    </w:pPr>
    <w:r>
      <w:rPr>
        <w:noProof/>
        <w:lang w:val="en-US"/>
      </w:rPr>
      <w:drawing>
        <wp:inline distT="0" distB="0" distL="0" distR="0">
          <wp:extent cx="2962275" cy="1219200"/>
          <wp:effectExtent l="0" t="0" r="9525" b="0"/>
          <wp:docPr id="1737406272" name="Picture 173740627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406272"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B32591" w:rsidRPr="00125E71" w:rsidP="00EA1004" w14:paraId="13A2F057" w14:textId="7A54CD75">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B7886602"/>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16cid:durableId="1703942361">
    <w:abstractNumId w:val="14"/>
  </w:num>
  <w:num w:numId="2" w16cid:durableId="2059862927">
    <w:abstractNumId w:val="12"/>
  </w:num>
  <w:num w:numId="3" w16cid:durableId="1844079290">
    <w:abstractNumId w:val="11"/>
  </w:num>
  <w:num w:numId="4" w16cid:durableId="180752241">
    <w:abstractNumId w:val="15"/>
  </w:num>
  <w:num w:numId="5" w16cid:durableId="1480733613">
    <w:abstractNumId w:val="13"/>
  </w:num>
  <w:num w:numId="6" w16cid:durableId="1707215420">
    <w:abstractNumId w:val="16"/>
  </w:num>
  <w:num w:numId="7" w16cid:durableId="1078097660">
    <w:abstractNumId w:val="15"/>
  </w:num>
  <w:num w:numId="8" w16cid:durableId="1336759074">
    <w:abstractNumId w:val="16"/>
  </w:num>
  <w:num w:numId="9" w16cid:durableId="462693332">
    <w:abstractNumId w:val="10"/>
  </w:num>
  <w:num w:numId="10" w16cid:durableId="844319453">
    <w:abstractNumId w:val="9"/>
  </w:num>
  <w:num w:numId="11" w16cid:durableId="622346873">
    <w:abstractNumId w:val="18"/>
  </w:num>
  <w:num w:numId="12" w16cid:durableId="1709060402">
    <w:abstractNumId w:val="7"/>
  </w:num>
  <w:num w:numId="13" w16cid:durableId="804355579">
    <w:abstractNumId w:val="6"/>
  </w:num>
  <w:num w:numId="14" w16cid:durableId="95634939">
    <w:abstractNumId w:val="5"/>
  </w:num>
  <w:num w:numId="15" w16cid:durableId="946619809">
    <w:abstractNumId w:val="4"/>
  </w:num>
  <w:num w:numId="16" w16cid:durableId="1313292002">
    <w:abstractNumId w:val="8"/>
  </w:num>
  <w:num w:numId="17" w16cid:durableId="1790969470">
    <w:abstractNumId w:val="3"/>
  </w:num>
  <w:num w:numId="18" w16cid:durableId="1807816631">
    <w:abstractNumId w:val="2"/>
  </w:num>
  <w:num w:numId="19" w16cid:durableId="1367177158">
    <w:abstractNumId w:val="1"/>
  </w:num>
  <w:num w:numId="20" w16cid:durableId="363411353">
    <w:abstractNumId w:val="0"/>
  </w:num>
  <w:num w:numId="21" w16cid:durableId="298729552">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grammar="clean"/>
  <w:stylePaneFormatFilter w:val="D024" w:allStyles="0" w:alternateStyleNames="1" w:clearFormatting="1" w:customStyles="0" w:directFormattingOnNumbering="0" w:directFormattingOnParagraphs="0" w:directFormattingOnRuns="0" w:directFormattingOnTables="0" w:headingStyles="1" w:latentStyles="1" w:numberingStyles="0" w:stylesInUse="0" w:tableStyles="0" w:top3HeadingStyles="0" w:visibleStyles="1"/>
  <w:defaultTabStop w:val="720"/>
  <w:hyphenationZone w:val="425"/>
  <w:evenAndOddHeaders/>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E71"/>
    <w:rsid w:val="00095FD8"/>
    <w:rsid w:val="000B1FA9"/>
    <w:rsid w:val="000D61E7"/>
    <w:rsid w:val="000E3A89"/>
    <w:rsid w:val="001203F5"/>
    <w:rsid w:val="00125E71"/>
    <w:rsid w:val="00132029"/>
    <w:rsid w:val="00144EBC"/>
    <w:rsid w:val="00150BFA"/>
    <w:rsid w:val="001D1233"/>
    <w:rsid w:val="0020718E"/>
    <w:rsid w:val="00223591"/>
    <w:rsid w:val="0023064F"/>
    <w:rsid w:val="002A4128"/>
    <w:rsid w:val="002A7443"/>
    <w:rsid w:val="002E2C77"/>
    <w:rsid w:val="00307231"/>
    <w:rsid w:val="00335EAB"/>
    <w:rsid w:val="003B50D7"/>
    <w:rsid w:val="003E1267"/>
    <w:rsid w:val="003E3C60"/>
    <w:rsid w:val="00452087"/>
    <w:rsid w:val="00464268"/>
    <w:rsid w:val="004A4C71"/>
    <w:rsid w:val="004B4E73"/>
    <w:rsid w:val="005E56C2"/>
    <w:rsid w:val="005F11CB"/>
    <w:rsid w:val="006262FA"/>
    <w:rsid w:val="006267D3"/>
    <w:rsid w:val="006300E9"/>
    <w:rsid w:val="00653EF4"/>
    <w:rsid w:val="00656B81"/>
    <w:rsid w:val="006D4D63"/>
    <w:rsid w:val="006E123B"/>
    <w:rsid w:val="0076040F"/>
    <w:rsid w:val="007907C0"/>
    <w:rsid w:val="007A74FC"/>
    <w:rsid w:val="007B2364"/>
    <w:rsid w:val="00812D10"/>
    <w:rsid w:val="00831ADC"/>
    <w:rsid w:val="00881D4C"/>
    <w:rsid w:val="008D10E4"/>
    <w:rsid w:val="008F0A92"/>
    <w:rsid w:val="008F7189"/>
    <w:rsid w:val="00904A9D"/>
    <w:rsid w:val="00956B2A"/>
    <w:rsid w:val="0096293E"/>
    <w:rsid w:val="009656DE"/>
    <w:rsid w:val="009B6F49"/>
    <w:rsid w:val="009C21E8"/>
    <w:rsid w:val="009E01FB"/>
    <w:rsid w:val="00A45145"/>
    <w:rsid w:val="00AA5AEE"/>
    <w:rsid w:val="00AC58E5"/>
    <w:rsid w:val="00B03D31"/>
    <w:rsid w:val="00B140D3"/>
    <w:rsid w:val="00B32591"/>
    <w:rsid w:val="00BC5541"/>
    <w:rsid w:val="00BD1692"/>
    <w:rsid w:val="00C42C12"/>
    <w:rsid w:val="00C75D1C"/>
    <w:rsid w:val="00C8038F"/>
    <w:rsid w:val="00CB3BD9"/>
    <w:rsid w:val="00D415D6"/>
    <w:rsid w:val="00DB6354"/>
    <w:rsid w:val="00E5464B"/>
    <w:rsid w:val="00E60AF2"/>
    <w:rsid w:val="00EA1004"/>
    <w:rsid w:val="00EE38CA"/>
    <w:rsid w:val="00F0534F"/>
    <w:rsid w:val="00F24AB9"/>
    <w:rsid w:val="00F83EFB"/>
    <w:rsid w:val="00FC2655"/>
  </w:rsids>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0"/>
    <w:docVar w:name="SignForeName" w:val="0"/>
    <w:docVar w:name="SndCaseNumber" w:val="Error!Nodocumentvariablesupplied."/>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5B7CA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144EBC"/>
    <w:rPr>
      <w:sz w:val="24"/>
      <w:szCs w:val="24"/>
      <w:lang w:val="en-GB"/>
    </w:rPr>
  </w:style>
  <w:style w:type="paragraph" w:styleId="Heading1">
    <w:name w:val="heading 1"/>
    <w:basedOn w:val="Normal"/>
    <w:next w:val="Normal"/>
    <w:link w:val="Heading1Char"/>
    <w:uiPriority w:val="98"/>
    <w:semiHidden/>
    <w:rsid w:val="00144EBC"/>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144EBC"/>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144EBC"/>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144EBC"/>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144EBC"/>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144EBC"/>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144EBC"/>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144EBC"/>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144EBC"/>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Signed">
    <w:name w:val="Ju_Signed"/>
    <w:aliases w:val="_Signature"/>
    <w:basedOn w:val="Normal"/>
    <w:next w:val="JuPara"/>
    <w:uiPriority w:val="31"/>
    <w:qFormat/>
    <w:rsid w:val="00144EBC"/>
    <w:pPr>
      <w:tabs>
        <w:tab w:val="center" w:pos="1418"/>
        <w:tab w:val="center" w:pos="5954"/>
      </w:tabs>
      <w:spacing w:before="720"/>
    </w:pPr>
  </w:style>
  <w:style w:type="paragraph" w:customStyle="1" w:styleId="JuPara">
    <w:name w:val="Ju_Para"/>
    <w:aliases w:val="_Para"/>
    <w:basedOn w:val="NormalJustified"/>
    <w:link w:val="JuParaChar"/>
    <w:uiPriority w:val="4"/>
    <w:qFormat/>
    <w:rsid w:val="00144EBC"/>
    <w:pPr>
      <w:ind w:firstLine="284"/>
    </w:pPr>
  </w:style>
  <w:style w:type="character" w:styleId="PageNumber">
    <w:name w:val="page number"/>
    <w:uiPriority w:val="98"/>
    <w:semiHidden/>
    <w:rsid w:val="00144EBC"/>
    <w:rPr>
      <w:sz w:val="18"/>
    </w:rPr>
  </w:style>
  <w:style w:type="character" w:styleId="CommentReference">
    <w:name w:val="annotation reference"/>
    <w:basedOn w:val="DefaultParagraphFont"/>
    <w:uiPriority w:val="98"/>
    <w:semiHidden/>
    <w:rsid w:val="00144EBC"/>
    <w:rPr>
      <w:sz w:val="16"/>
      <w:szCs w:val="16"/>
    </w:rPr>
  </w:style>
  <w:style w:type="paragraph" w:styleId="CommentText">
    <w:name w:val="annotation text"/>
    <w:basedOn w:val="Normal"/>
    <w:link w:val="CommentTextChar"/>
    <w:uiPriority w:val="98"/>
    <w:semiHidden/>
    <w:rsid w:val="00144EBC"/>
    <w:rPr>
      <w:sz w:val="20"/>
      <w:szCs w:val="20"/>
    </w:rPr>
  </w:style>
  <w:style w:type="character" w:customStyle="1" w:styleId="CommentTextChar">
    <w:name w:val="Comment Text Char"/>
    <w:basedOn w:val="DefaultParagraphFont"/>
    <w:link w:val="CommentText"/>
    <w:uiPriority w:val="98"/>
    <w:semiHidden/>
    <w:rsid w:val="00144EBC"/>
    <w:rPr>
      <w:sz w:val="20"/>
      <w:szCs w:val="20"/>
      <w:lang w:val="en-GB"/>
    </w:rPr>
  </w:style>
  <w:style w:type="paragraph" w:customStyle="1" w:styleId="DecHTitle">
    <w:name w:val="Dec_H_Title"/>
    <w:aliases w:val="_Title_1"/>
    <w:basedOn w:val="JuPara"/>
    <w:next w:val="JuPara"/>
    <w:uiPriority w:val="38"/>
    <w:qFormat/>
    <w:rsid w:val="00144EBC"/>
    <w:pPr>
      <w:keepNext/>
      <w:keepLines/>
      <w:spacing w:after="240"/>
      <w:ind w:firstLine="0"/>
      <w:jc w:val="center"/>
      <w:outlineLvl w:val="0"/>
    </w:pPr>
    <w:rPr>
      <w:rFonts w:asciiTheme="majorHAnsi" w:hAnsiTheme="majorHAnsi"/>
      <w:sz w:val="28"/>
    </w:rPr>
  </w:style>
  <w:style w:type="paragraph" w:customStyle="1" w:styleId="DecHCase">
    <w:name w:val="Dec_H_Case"/>
    <w:aliases w:val="_Title_3"/>
    <w:basedOn w:val="JuPara"/>
    <w:next w:val="JuPara"/>
    <w:uiPriority w:val="38"/>
    <w:qFormat/>
    <w:rsid w:val="00144EBC"/>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144EBC"/>
    <w:pPr>
      <w:keepNext/>
      <w:keepLines/>
      <w:spacing w:before="1320" w:after="280"/>
      <w:contextualSpacing/>
      <w:jc w:val="center"/>
    </w:pPr>
    <w:rPr>
      <w:b/>
    </w:rPr>
  </w:style>
  <w:style w:type="paragraph" w:customStyle="1" w:styleId="JuHeader">
    <w:name w:val="Ju_Header"/>
    <w:aliases w:val="_Header"/>
    <w:basedOn w:val="Header0"/>
    <w:uiPriority w:val="29"/>
    <w:qFormat/>
    <w:rsid w:val="00144EBC"/>
    <w:pPr>
      <w:tabs>
        <w:tab w:val="clear" w:pos="4536"/>
        <w:tab w:val="clear" w:pos="9072"/>
      </w:tabs>
      <w:jc w:val="center"/>
    </w:pPr>
    <w:rPr>
      <w:sz w:val="18"/>
    </w:rPr>
  </w:style>
  <w:style w:type="paragraph" w:styleId="Header0">
    <w:name w:val="header"/>
    <w:basedOn w:val="Normal"/>
    <w:link w:val="HeaderChar"/>
    <w:uiPriority w:val="98"/>
    <w:semiHidden/>
    <w:rsid w:val="00144EBC"/>
    <w:pPr>
      <w:tabs>
        <w:tab w:val="center" w:pos="4536"/>
        <w:tab w:val="right" w:pos="9072"/>
      </w:tabs>
    </w:pPr>
  </w:style>
  <w:style w:type="character" w:customStyle="1" w:styleId="HeaderChar">
    <w:name w:val="Header Char"/>
    <w:basedOn w:val="DefaultParagraphFont"/>
    <w:link w:val="Header0"/>
    <w:uiPriority w:val="98"/>
    <w:semiHidden/>
    <w:rsid w:val="00144EBC"/>
    <w:rPr>
      <w:sz w:val="24"/>
      <w:szCs w:val="24"/>
      <w:lang w:val="en-GB"/>
    </w:rPr>
  </w:style>
  <w:style w:type="paragraph" w:styleId="BalloonText">
    <w:name w:val="Balloon Text"/>
    <w:basedOn w:val="Normal"/>
    <w:link w:val="BalloonTextChar"/>
    <w:uiPriority w:val="98"/>
    <w:semiHidden/>
    <w:rsid w:val="00144EBC"/>
    <w:rPr>
      <w:rFonts w:ascii="Tahoma" w:hAnsi="Tahoma" w:cs="Tahoma"/>
      <w:sz w:val="16"/>
      <w:szCs w:val="16"/>
    </w:rPr>
  </w:style>
  <w:style w:type="character" w:customStyle="1" w:styleId="BalloonTextChar">
    <w:name w:val="Balloon Text Char"/>
    <w:basedOn w:val="DefaultParagraphFont"/>
    <w:link w:val="BalloonText"/>
    <w:uiPriority w:val="98"/>
    <w:semiHidden/>
    <w:rsid w:val="00144EBC"/>
    <w:rPr>
      <w:rFonts w:ascii="Tahoma" w:hAnsi="Tahoma" w:cs="Tahoma"/>
      <w:sz w:val="16"/>
      <w:szCs w:val="16"/>
      <w:lang w:val="en-GB"/>
    </w:rPr>
  </w:style>
  <w:style w:type="paragraph" w:customStyle="1" w:styleId="DummyStyle">
    <w:name w:val="Dummy_Style"/>
    <w:aliases w:val="_Dummy"/>
    <w:basedOn w:val="Normal"/>
    <w:semiHidden/>
    <w:qFormat/>
    <w:rsid w:val="00144EBC"/>
    <w:rPr>
      <w:color w:val="00B050"/>
      <w:sz w:val="22"/>
    </w:rPr>
  </w:style>
  <w:style w:type="paragraph" w:customStyle="1" w:styleId="NormalJustified">
    <w:name w:val="Normal_Justified"/>
    <w:basedOn w:val="Normal"/>
    <w:semiHidden/>
    <w:rsid w:val="00144EBC"/>
    <w:pPr>
      <w:jc w:val="both"/>
    </w:pPr>
  </w:style>
  <w:style w:type="paragraph" w:customStyle="1" w:styleId="JuQuot">
    <w:name w:val="Ju_Quot"/>
    <w:aliases w:val="_Quote"/>
    <w:basedOn w:val="NormalJustified"/>
    <w:uiPriority w:val="20"/>
    <w:qFormat/>
    <w:rsid w:val="00144EBC"/>
    <w:pPr>
      <w:spacing w:before="120" w:after="120"/>
      <w:ind w:left="425" w:firstLine="142"/>
    </w:pPr>
    <w:rPr>
      <w:sz w:val="20"/>
    </w:rPr>
  </w:style>
  <w:style w:type="paragraph" w:customStyle="1" w:styleId="ECHRCoverTitle4">
    <w:name w:val="ECHR_Cover_Title_4"/>
    <w:aliases w:val="_Title_4"/>
    <w:basedOn w:val="JuPara"/>
    <w:next w:val="JuPara"/>
    <w:uiPriority w:val="38"/>
    <w:qFormat/>
    <w:rsid w:val="00144EBC"/>
    <w:pPr>
      <w:keepNext/>
      <w:keepLines/>
      <w:tabs>
        <w:tab w:val="right" w:pos="7938"/>
      </w:tabs>
      <w:ind w:firstLine="0"/>
      <w:jc w:val="center"/>
    </w:pPr>
    <w:rPr>
      <w:i/>
    </w:rPr>
  </w:style>
  <w:style w:type="table" w:customStyle="1" w:styleId="ECHRDNTable">
    <w:name w:val="ECHR_DN_Table"/>
    <w:basedOn w:val="TableNormal"/>
    <w:uiPriority w:val="99"/>
    <w:rsid w:val="00144EBC"/>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numbering" w:customStyle="1" w:styleId="ECHRA1StyleBulletedSquare">
    <w:name w:val="ECHR_A1_Style_Bulleted_Square"/>
    <w:basedOn w:val="NoList"/>
    <w:rsid w:val="00144EBC"/>
    <w:pPr>
      <w:numPr>
        <w:numId w:val="4"/>
      </w:numPr>
    </w:pPr>
  </w:style>
  <w:style w:type="numbering" w:customStyle="1" w:styleId="ECHRA1StyleList">
    <w:name w:val="ECHR_A1_Style_List"/>
    <w:basedOn w:val="NoList"/>
    <w:uiPriority w:val="99"/>
    <w:rsid w:val="00144EBC"/>
    <w:pPr>
      <w:numPr>
        <w:numId w:val="5"/>
      </w:numPr>
    </w:pPr>
  </w:style>
  <w:style w:type="paragraph" w:customStyle="1" w:styleId="JuHArticle">
    <w:name w:val="Ju_H_Article"/>
    <w:aliases w:val="_Title_Quote"/>
    <w:basedOn w:val="Normal"/>
    <w:next w:val="JuQuot"/>
    <w:uiPriority w:val="19"/>
    <w:qFormat/>
    <w:rsid w:val="00144EBC"/>
    <w:pPr>
      <w:keepNext/>
      <w:spacing w:before="100" w:beforeAutospacing="1" w:after="120"/>
      <w:contextualSpacing/>
      <w:jc w:val="center"/>
    </w:pPr>
    <w:rPr>
      <w:b/>
      <w:sz w:val="20"/>
    </w:rPr>
  </w:style>
  <w:style w:type="numbering" w:customStyle="1" w:styleId="ECHRA1StyleNumberedList">
    <w:name w:val="ECHR_A1_Style_Numbered_List"/>
    <w:basedOn w:val="NoList"/>
    <w:rsid w:val="00144EBC"/>
    <w:pPr>
      <w:numPr>
        <w:numId w:val="6"/>
      </w:numPr>
    </w:pPr>
  </w:style>
  <w:style w:type="table" w:customStyle="1" w:styleId="ECHRHeaderTable">
    <w:name w:val="ECHR_Header_Table"/>
    <w:basedOn w:val="TableNormal"/>
    <w:uiPriority w:val="99"/>
    <w:rsid w:val="00144EBC"/>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customStyle="1" w:styleId="JuHHead">
    <w:name w:val="Ju_H_Head"/>
    <w:aliases w:val="_Head_1"/>
    <w:basedOn w:val="Heading1"/>
    <w:next w:val="JuPara"/>
    <w:uiPriority w:val="17"/>
    <w:qFormat/>
    <w:rsid w:val="00144EBC"/>
    <w:pPr>
      <w:keepNext/>
      <w:keepLines/>
      <w:numPr>
        <w:numId w:val="9"/>
      </w:numPr>
      <w:spacing w:before="100" w:beforeAutospacing="1" w:after="240"/>
      <w:contextualSpacing w:val="0"/>
      <w:jc w:val="both"/>
    </w:pPr>
    <w:rPr>
      <w:b w:val="0"/>
      <w:caps/>
      <w:color w:val="auto"/>
    </w:rPr>
  </w:style>
  <w:style w:type="paragraph" w:customStyle="1" w:styleId="JuInitialled">
    <w:name w:val="Ju_Initialled"/>
    <w:aliases w:val="_Right"/>
    <w:basedOn w:val="Normal"/>
    <w:uiPriority w:val="30"/>
    <w:qFormat/>
    <w:rsid w:val="00144EBC"/>
    <w:pPr>
      <w:tabs>
        <w:tab w:val="center" w:pos="6407"/>
      </w:tabs>
      <w:spacing w:before="720"/>
      <w:jc w:val="right"/>
    </w:pPr>
  </w:style>
  <w:style w:type="table" w:customStyle="1" w:styleId="ECHRHeaderTableReduced">
    <w:name w:val="ECHR_Header_Table_Reduced"/>
    <w:basedOn w:val="TableNormal"/>
    <w:uiPriority w:val="99"/>
    <w:rsid w:val="00144EBC"/>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NAMES">
    <w:name w:val="JU_NAMES"/>
    <w:aliases w:val="_Ju_Names"/>
    <w:uiPriority w:val="33"/>
    <w:qFormat/>
    <w:rsid w:val="00144EBC"/>
    <w:rPr>
      <w:caps w:val="0"/>
      <w:smallCaps/>
    </w:rPr>
  </w:style>
  <w:style w:type="character" w:customStyle="1" w:styleId="JuITMark">
    <w:name w:val="Ju_ITMark"/>
    <w:aliases w:val="_ITMark"/>
    <w:basedOn w:val="DefaultParagraphFont"/>
    <w:uiPriority w:val="54"/>
    <w:qFormat/>
    <w:rsid w:val="00144EBC"/>
    <w:rPr>
      <w:vanish w:val="0"/>
      <w:color w:val="auto"/>
      <w:sz w:val="14"/>
      <w:bdr w:val="none" w:sz="0" w:space="0" w:color="auto"/>
      <w:shd w:val="clear" w:color="auto" w:fill="BEE5FF" w:themeFill="background1" w:themeFillTint="33"/>
    </w:rPr>
  </w:style>
  <w:style w:type="table" w:customStyle="1" w:styleId="ECHRTable2019">
    <w:name w:val="ECHR_Table_2019"/>
    <w:basedOn w:val="TableNormal"/>
    <w:uiPriority w:val="99"/>
    <w:rsid w:val="00144EB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JuCourt">
    <w:name w:val="Ju_Court"/>
    <w:aliases w:val="_Court_Names"/>
    <w:basedOn w:val="Normal"/>
    <w:next w:val="Normal"/>
    <w:uiPriority w:val="32"/>
    <w:qFormat/>
    <w:rsid w:val="00144EBC"/>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144EBC"/>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character" w:customStyle="1" w:styleId="Heading1Char">
    <w:name w:val="Heading 1 Char"/>
    <w:basedOn w:val="DefaultParagraphFont"/>
    <w:link w:val="Heading1"/>
    <w:uiPriority w:val="98"/>
    <w:semiHidden/>
    <w:rsid w:val="00144EBC"/>
    <w:rPr>
      <w:rFonts w:asciiTheme="majorHAnsi" w:eastAsiaTheme="majorEastAsia" w:hAnsiTheme="majorHAnsi" w:cstheme="majorBidi"/>
      <w:b/>
      <w:bCs/>
      <w:color w:val="333333"/>
      <w:sz w:val="28"/>
      <w:szCs w:val="28"/>
      <w:lang w:val="en-GB"/>
    </w:rPr>
  </w:style>
  <w:style w:type="paragraph" w:customStyle="1" w:styleId="JuHA">
    <w:name w:val="Ju_H_A"/>
    <w:aliases w:val="_Head_3"/>
    <w:basedOn w:val="Heading3"/>
    <w:next w:val="JuPara"/>
    <w:uiPriority w:val="17"/>
    <w:qFormat/>
    <w:rsid w:val="00144EBC"/>
    <w:pPr>
      <w:keepNext/>
      <w:keepLines/>
      <w:numPr>
        <w:ilvl w:val="2"/>
        <w:numId w:val="9"/>
      </w:numPr>
      <w:spacing w:before="100" w:beforeAutospacing="1" w:after="240" w:line="240" w:lineRule="auto"/>
      <w:jc w:val="both"/>
    </w:pPr>
    <w:rPr>
      <w:color w:val="auto"/>
      <w:sz w:val="24"/>
    </w:rPr>
  </w:style>
  <w:style w:type="character" w:customStyle="1" w:styleId="Heading2Char">
    <w:name w:val="Heading 2 Char"/>
    <w:basedOn w:val="DefaultParagraphFont"/>
    <w:link w:val="Heading2"/>
    <w:uiPriority w:val="98"/>
    <w:semiHidden/>
    <w:rsid w:val="00144EBC"/>
    <w:rPr>
      <w:rFonts w:asciiTheme="majorHAnsi" w:eastAsiaTheme="majorEastAsia" w:hAnsiTheme="majorHAnsi" w:cstheme="majorBidi"/>
      <w:b/>
      <w:bCs/>
      <w:color w:val="4D4D4D"/>
      <w:sz w:val="26"/>
      <w:szCs w:val="26"/>
      <w:lang w:val="en-GB"/>
    </w:rPr>
  </w:style>
  <w:style w:type="paragraph" w:customStyle="1" w:styleId="JuH1">
    <w:name w:val="Ju_H_1."/>
    <w:aliases w:val="_Head_4"/>
    <w:basedOn w:val="Heading4"/>
    <w:next w:val="JuPara"/>
    <w:uiPriority w:val="17"/>
    <w:rsid w:val="00144EBC"/>
    <w:pPr>
      <w:keepNext/>
      <w:keepLines/>
      <w:numPr>
        <w:ilvl w:val="3"/>
        <w:numId w:val="9"/>
      </w:numPr>
      <w:spacing w:before="100" w:beforeAutospacing="1" w:after="120"/>
      <w:jc w:val="both"/>
    </w:pPr>
    <w:rPr>
      <w:b w:val="0"/>
      <w:color w:val="auto"/>
      <w:sz w:val="24"/>
    </w:rPr>
  </w:style>
  <w:style w:type="character" w:customStyle="1" w:styleId="Heading3Char">
    <w:name w:val="Heading 3 Char"/>
    <w:basedOn w:val="DefaultParagraphFont"/>
    <w:link w:val="Heading3"/>
    <w:uiPriority w:val="98"/>
    <w:semiHidden/>
    <w:rsid w:val="00144EBC"/>
    <w:rPr>
      <w:rFonts w:asciiTheme="majorHAnsi" w:eastAsiaTheme="majorEastAsia" w:hAnsiTheme="majorHAnsi" w:cstheme="majorBidi"/>
      <w:b/>
      <w:bCs/>
      <w:color w:val="5F5F5F"/>
      <w:lang w:val="en-GB"/>
    </w:rPr>
  </w:style>
  <w:style w:type="paragraph" w:customStyle="1" w:styleId="JuHa0">
    <w:name w:val="Ju_H_a"/>
    <w:aliases w:val="_Head_5"/>
    <w:basedOn w:val="Heading5"/>
    <w:next w:val="JuPara"/>
    <w:uiPriority w:val="17"/>
    <w:rsid w:val="00144EBC"/>
    <w:pPr>
      <w:keepNext/>
      <w:keepLines/>
      <w:numPr>
        <w:ilvl w:val="4"/>
        <w:numId w:val="9"/>
      </w:numPr>
      <w:spacing w:before="100" w:beforeAutospacing="1" w:after="120"/>
      <w:jc w:val="both"/>
    </w:pPr>
    <w:rPr>
      <w:color w:val="auto"/>
      <w:sz w:val="20"/>
    </w:rPr>
  </w:style>
  <w:style w:type="character" w:customStyle="1" w:styleId="Heading4Char">
    <w:name w:val="Heading 4 Char"/>
    <w:basedOn w:val="DefaultParagraphFont"/>
    <w:link w:val="Heading4"/>
    <w:uiPriority w:val="98"/>
    <w:semiHidden/>
    <w:rsid w:val="00144EBC"/>
    <w:rPr>
      <w:rFonts w:asciiTheme="majorHAnsi" w:eastAsiaTheme="majorEastAsia" w:hAnsiTheme="majorHAnsi" w:cstheme="majorBidi"/>
      <w:b/>
      <w:bCs/>
      <w:i/>
      <w:iCs/>
      <w:color w:val="777777"/>
      <w:lang w:val="en-GB"/>
    </w:rPr>
  </w:style>
  <w:style w:type="paragraph" w:customStyle="1" w:styleId="JuHi">
    <w:name w:val="Ju_H_i"/>
    <w:aliases w:val="_Head_6"/>
    <w:basedOn w:val="Heading6"/>
    <w:next w:val="JuPara"/>
    <w:uiPriority w:val="17"/>
    <w:rsid w:val="00144EBC"/>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5Char">
    <w:name w:val="Heading 5 Char"/>
    <w:basedOn w:val="DefaultParagraphFont"/>
    <w:link w:val="Heading5"/>
    <w:uiPriority w:val="98"/>
    <w:semiHidden/>
    <w:rsid w:val="00144EBC"/>
    <w:rPr>
      <w:rFonts w:asciiTheme="majorHAnsi" w:eastAsiaTheme="majorEastAsia" w:hAnsiTheme="majorHAnsi" w:cstheme="majorBidi"/>
      <w:b/>
      <w:bCs/>
      <w:color w:val="808080"/>
      <w:lang w:val="en-GB"/>
    </w:rPr>
  </w:style>
  <w:style w:type="paragraph" w:customStyle="1" w:styleId="JuHalpha">
    <w:name w:val="Ju_H_alpha"/>
    <w:aliases w:val="_Head_7"/>
    <w:basedOn w:val="Heading7"/>
    <w:next w:val="JuPara"/>
    <w:uiPriority w:val="17"/>
    <w:rsid w:val="00144EBC"/>
    <w:pPr>
      <w:keepNext/>
      <w:keepLines/>
      <w:numPr>
        <w:ilvl w:val="6"/>
        <w:numId w:val="9"/>
      </w:numPr>
      <w:tabs>
        <w:tab w:val="left" w:pos="1361"/>
      </w:tabs>
      <w:spacing w:before="100" w:beforeAutospacing="1" w:after="120"/>
      <w:jc w:val="both"/>
    </w:pPr>
    <w:rPr>
      <w:i w:val="0"/>
      <w:sz w:val="20"/>
    </w:rPr>
  </w:style>
  <w:style w:type="character" w:customStyle="1" w:styleId="Heading6Char">
    <w:name w:val="Heading 6 Char"/>
    <w:basedOn w:val="DefaultParagraphFont"/>
    <w:link w:val="Heading6"/>
    <w:uiPriority w:val="98"/>
    <w:semiHidden/>
    <w:rsid w:val="00144EBC"/>
    <w:rPr>
      <w:rFonts w:asciiTheme="majorHAnsi" w:eastAsiaTheme="majorEastAsia" w:hAnsiTheme="majorHAnsi" w:cstheme="majorBidi"/>
      <w:b/>
      <w:bCs/>
      <w:i/>
      <w:iCs/>
      <w:color w:val="7F7F7F" w:themeColor="text1" w:themeTint="80"/>
      <w:lang w:val="en-GB" w:bidi="en-US"/>
    </w:rPr>
  </w:style>
  <w:style w:type="paragraph" w:customStyle="1" w:styleId="JuH">
    <w:name w:val="Ju_H_–"/>
    <w:aliases w:val="_Head_8"/>
    <w:basedOn w:val="Heading8"/>
    <w:next w:val="JuPara"/>
    <w:uiPriority w:val="17"/>
    <w:rsid w:val="00144EBC"/>
    <w:pPr>
      <w:keepNext/>
      <w:keepLines/>
      <w:numPr>
        <w:ilvl w:val="7"/>
        <w:numId w:val="9"/>
      </w:numPr>
      <w:spacing w:before="100" w:beforeAutospacing="1" w:after="120"/>
      <w:jc w:val="both"/>
    </w:pPr>
    <w:rPr>
      <w:i/>
    </w:rPr>
  </w:style>
  <w:style w:type="character" w:customStyle="1" w:styleId="Heading7Char">
    <w:name w:val="Heading 7 Char"/>
    <w:basedOn w:val="DefaultParagraphFont"/>
    <w:link w:val="Heading7"/>
    <w:uiPriority w:val="98"/>
    <w:semiHidden/>
    <w:rsid w:val="00144EBC"/>
    <w:rPr>
      <w:rFonts w:asciiTheme="majorHAnsi" w:eastAsiaTheme="majorEastAsia" w:hAnsiTheme="majorHAnsi" w:cstheme="majorBidi"/>
      <w:i/>
      <w:iCs/>
      <w:lang w:val="en-GB" w:bidi="en-US"/>
    </w:rPr>
  </w:style>
  <w:style w:type="paragraph" w:customStyle="1" w:styleId="JuParaLast">
    <w:name w:val="Ju_Para_Last"/>
    <w:aliases w:val="_Para_Spaced"/>
    <w:basedOn w:val="NormalJustified"/>
    <w:uiPriority w:val="5"/>
    <w:qFormat/>
    <w:rsid w:val="00144EBC"/>
    <w:pPr>
      <w:keepNext/>
      <w:keepLines/>
      <w:spacing w:before="240" w:after="240"/>
      <w:ind w:firstLine="284"/>
    </w:pPr>
  </w:style>
  <w:style w:type="table" w:customStyle="1" w:styleId="ECHRTableBoxHeader">
    <w:name w:val="ECHR_Table_Box_Header"/>
    <w:basedOn w:val="TableNormal"/>
    <w:rsid w:val="00144EB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Judges">
    <w:name w:val="Ju_Judges"/>
    <w:aliases w:val="_Judges"/>
    <w:basedOn w:val="Normal"/>
    <w:uiPriority w:val="32"/>
    <w:qFormat/>
    <w:rsid w:val="00144EBC"/>
    <w:pPr>
      <w:tabs>
        <w:tab w:val="left" w:pos="567"/>
        <w:tab w:val="left" w:pos="1134"/>
      </w:tabs>
    </w:pPr>
  </w:style>
  <w:style w:type="paragraph" w:customStyle="1" w:styleId="JuList">
    <w:name w:val="Ju_List"/>
    <w:aliases w:val="_List_1"/>
    <w:basedOn w:val="NormalJustified"/>
    <w:uiPriority w:val="23"/>
    <w:qFormat/>
    <w:rsid w:val="00144EBC"/>
    <w:pPr>
      <w:numPr>
        <w:numId w:val="10"/>
      </w:numPr>
      <w:spacing w:before="280" w:after="60"/>
    </w:pPr>
  </w:style>
  <w:style w:type="paragraph" w:customStyle="1" w:styleId="JuLista">
    <w:name w:val="Ju_List_a"/>
    <w:aliases w:val="_List_2"/>
    <w:basedOn w:val="NormalJustified"/>
    <w:uiPriority w:val="23"/>
    <w:rsid w:val="00144EBC"/>
    <w:pPr>
      <w:numPr>
        <w:ilvl w:val="1"/>
        <w:numId w:val="10"/>
      </w:numPr>
    </w:pPr>
  </w:style>
  <w:style w:type="paragraph" w:customStyle="1" w:styleId="JuListi">
    <w:name w:val="Ju_List_i"/>
    <w:aliases w:val="_List_3"/>
    <w:basedOn w:val="NormalJustified"/>
    <w:uiPriority w:val="23"/>
    <w:rsid w:val="00144EBC"/>
    <w:pPr>
      <w:numPr>
        <w:ilvl w:val="2"/>
        <w:numId w:val="10"/>
      </w:numPr>
    </w:pPr>
  </w:style>
  <w:style w:type="table" w:customStyle="1" w:styleId="ECHRTableFax">
    <w:name w:val="ECHR_Table_Fax"/>
    <w:basedOn w:val="TableNormal"/>
    <w:uiPriority w:val="99"/>
    <w:rsid w:val="00144EBC"/>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ForInternalUse">
    <w:name w:val="ECHR_Table_For_Internal_Use"/>
    <w:basedOn w:val="TableNormal"/>
    <w:uiPriority w:val="99"/>
    <w:rsid w:val="00144EBC"/>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TableMemo">
    <w:name w:val="ECHR_Table_Memo"/>
    <w:basedOn w:val="TableNormal"/>
    <w:uiPriority w:val="99"/>
    <w:rsid w:val="00144EBC"/>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character" w:customStyle="1" w:styleId="Heading8Char">
    <w:name w:val="Heading 8 Char"/>
    <w:basedOn w:val="DefaultParagraphFont"/>
    <w:link w:val="Heading8"/>
    <w:uiPriority w:val="98"/>
    <w:semiHidden/>
    <w:rsid w:val="00144EBC"/>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144EBC"/>
    <w:rPr>
      <w:rFonts w:asciiTheme="majorHAnsi" w:eastAsiaTheme="majorEastAsia" w:hAnsiTheme="majorHAnsi" w:cstheme="majorBidi"/>
      <w:i/>
      <w:iCs/>
      <w:spacing w:val="5"/>
      <w:sz w:val="20"/>
      <w:szCs w:val="20"/>
      <w:lang w:val="en-GB" w:bidi="en-US"/>
    </w:rPr>
  </w:style>
  <w:style w:type="paragraph" w:styleId="Title">
    <w:name w:val="Title"/>
    <w:basedOn w:val="Normal"/>
    <w:next w:val="Normal"/>
    <w:link w:val="TitleChar"/>
    <w:uiPriority w:val="98"/>
    <w:semiHidden/>
    <w:qFormat/>
    <w:rsid w:val="00144EB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144EBC"/>
    <w:rPr>
      <w:rFonts w:asciiTheme="majorHAnsi" w:eastAsiaTheme="majorEastAsia" w:hAnsiTheme="majorHAnsi" w:cstheme="majorBidi"/>
      <w:spacing w:val="5"/>
      <w:sz w:val="52"/>
      <w:szCs w:val="52"/>
      <w:lang w:val="en-GB" w:bidi="en-US"/>
    </w:rPr>
  </w:style>
  <w:style w:type="paragraph" w:styleId="Subtitle">
    <w:name w:val="Subtitle"/>
    <w:basedOn w:val="Normal"/>
    <w:next w:val="Normal"/>
    <w:link w:val="SubtitleChar"/>
    <w:uiPriority w:val="98"/>
    <w:semiHidden/>
    <w:qFormat/>
    <w:rsid w:val="00144EBC"/>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144EBC"/>
    <w:rPr>
      <w:rFonts w:asciiTheme="majorHAnsi" w:eastAsiaTheme="majorEastAsia" w:hAnsiTheme="majorHAnsi" w:cstheme="majorBidi"/>
      <w:i/>
      <w:iCs/>
      <w:spacing w:val="13"/>
      <w:sz w:val="24"/>
      <w:szCs w:val="24"/>
      <w:lang w:val="en-GB" w:bidi="en-US"/>
    </w:rPr>
  </w:style>
  <w:style w:type="character" w:styleId="Strong">
    <w:name w:val="Strong"/>
    <w:uiPriority w:val="98"/>
    <w:semiHidden/>
    <w:qFormat/>
    <w:rsid w:val="00144EBC"/>
    <w:rPr>
      <w:b/>
      <w:bCs/>
    </w:rPr>
  </w:style>
  <w:style w:type="character" w:styleId="Emphasis">
    <w:name w:val="Emphasis"/>
    <w:uiPriority w:val="98"/>
    <w:semiHidden/>
    <w:qFormat/>
    <w:rsid w:val="00144EBC"/>
    <w:rPr>
      <w:b/>
      <w:bCs/>
      <w:i/>
      <w:iCs/>
      <w:spacing w:val="10"/>
      <w:bdr w:val="none" w:sz="0" w:space="0" w:color="auto"/>
      <w:shd w:val="clear" w:color="auto" w:fill="auto"/>
    </w:rPr>
  </w:style>
  <w:style w:type="paragraph" w:styleId="NoSpacing">
    <w:name w:val="No Spacing"/>
    <w:basedOn w:val="Normal"/>
    <w:link w:val="NoSpacingChar"/>
    <w:uiPriority w:val="98"/>
    <w:semiHidden/>
    <w:qFormat/>
    <w:rsid w:val="00144EBC"/>
  </w:style>
  <w:style w:type="character" w:customStyle="1" w:styleId="NoSpacingChar">
    <w:name w:val="No Spacing Char"/>
    <w:basedOn w:val="DefaultParagraphFont"/>
    <w:link w:val="NoSpacing"/>
    <w:uiPriority w:val="98"/>
    <w:semiHidden/>
    <w:rsid w:val="00144EBC"/>
    <w:rPr>
      <w:sz w:val="24"/>
      <w:szCs w:val="24"/>
      <w:lang w:val="en-GB"/>
    </w:rPr>
  </w:style>
  <w:style w:type="paragraph" w:styleId="ListParagraph">
    <w:name w:val="List Paragraph"/>
    <w:basedOn w:val="Normal"/>
    <w:uiPriority w:val="98"/>
    <w:semiHidden/>
    <w:qFormat/>
    <w:rsid w:val="00144EBC"/>
    <w:pPr>
      <w:ind w:left="720"/>
      <w:contextualSpacing/>
    </w:pPr>
  </w:style>
  <w:style w:type="paragraph" w:styleId="Quote0">
    <w:name w:val="Quote"/>
    <w:basedOn w:val="Normal"/>
    <w:next w:val="Normal"/>
    <w:link w:val="QuoteChar"/>
    <w:uiPriority w:val="98"/>
    <w:semiHidden/>
    <w:qFormat/>
    <w:rsid w:val="00144EBC"/>
    <w:pPr>
      <w:spacing w:before="200"/>
      <w:ind w:left="360" w:right="360"/>
    </w:pPr>
    <w:rPr>
      <w:i/>
      <w:iCs/>
      <w:lang w:bidi="en-US"/>
    </w:rPr>
  </w:style>
  <w:style w:type="character" w:customStyle="1" w:styleId="QuoteChar">
    <w:name w:val="Quote Char"/>
    <w:basedOn w:val="DefaultParagraphFont"/>
    <w:link w:val="Quote0"/>
    <w:uiPriority w:val="98"/>
    <w:semiHidden/>
    <w:rsid w:val="00144EBC"/>
    <w:rPr>
      <w:i/>
      <w:iCs/>
      <w:sz w:val="24"/>
      <w:szCs w:val="24"/>
      <w:lang w:val="en-GB" w:bidi="en-US"/>
    </w:rPr>
  </w:style>
  <w:style w:type="paragraph" w:styleId="IntenseQuote">
    <w:name w:val="Intense Quote"/>
    <w:basedOn w:val="Normal"/>
    <w:next w:val="Normal"/>
    <w:link w:val="IntenseQuoteChar"/>
    <w:uiPriority w:val="98"/>
    <w:semiHidden/>
    <w:qFormat/>
    <w:rsid w:val="00144EBC"/>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144EBC"/>
    <w:rPr>
      <w:b/>
      <w:bCs/>
      <w:i/>
      <w:iCs/>
      <w:sz w:val="24"/>
      <w:szCs w:val="24"/>
      <w:lang w:val="en-GB" w:bidi="en-US"/>
    </w:rPr>
  </w:style>
  <w:style w:type="character" w:styleId="SubtleEmphasis">
    <w:name w:val="Subtle Emphasis"/>
    <w:uiPriority w:val="98"/>
    <w:semiHidden/>
    <w:qFormat/>
    <w:rsid w:val="00144EBC"/>
    <w:rPr>
      <w:i/>
      <w:iCs/>
    </w:rPr>
  </w:style>
  <w:style w:type="character" w:styleId="IntenseEmphasis">
    <w:name w:val="Intense Emphasis"/>
    <w:uiPriority w:val="98"/>
    <w:semiHidden/>
    <w:qFormat/>
    <w:rsid w:val="00144EBC"/>
    <w:rPr>
      <w:b/>
      <w:bCs/>
    </w:rPr>
  </w:style>
  <w:style w:type="character" w:styleId="SubtleReference">
    <w:name w:val="Subtle Reference"/>
    <w:uiPriority w:val="98"/>
    <w:semiHidden/>
    <w:qFormat/>
    <w:rsid w:val="00144EBC"/>
    <w:rPr>
      <w:smallCaps/>
    </w:rPr>
  </w:style>
  <w:style w:type="character" w:styleId="IntenseReference">
    <w:name w:val="Intense Reference"/>
    <w:uiPriority w:val="98"/>
    <w:semiHidden/>
    <w:qFormat/>
    <w:rsid w:val="00144EBC"/>
    <w:rPr>
      <w:smallCaps/>
      <w:spacing w:val="5"/>
      <w:u w:val="single"/>
    </w:rPr>
  </w:style>
  <w:style w:type="character" w:styleId="BookTitle">
    <w:name w:val="Book Title"/>
    <w:uiPriority w:val="98"/>
    <w:semiHidden/>
    <w:qFormat/>
    <w:rsid w:val="00144EBC"/>
    <w:rPr>
      <w:i/>
      <w:iCs/>
      <w:smallCaps/>
      <w:spacing w:val="5"/>
    </w:rPr>
  </w:style>
  <w:style w:type="paragraph" w:styleId="TOCHeading">
    <w:name w:val="TOC Heading"/>
    <w:basedOn w:val="Normal"/>
    <w:next w:val="Normal"/>
    <w:uiPriority w:val="98"/>
    <w:semiHidden/>
    <w:qFormat/>
    <w:rsid w:val="00144EBC"/>
    <w:pPr>
      <w:keepNext/>
      <w:keepLines/>
      <w:spacing w:before="240"/>
      <w:contextualSpacing/>
      <w:jc w:val="center"/>
    </w:pPr>
    <w:rPr>
      <w:rFonts w:asciiTheme="majorHAnsi" w:hAnsiTheme="majorHAnsi"/>
      <w:b/>
      <w:color w:val="474747" w:themeColor="accent3" w:themeShade="BF"/>
      <w:sz w:val="28"/>
    </w:rPr>
  </w:style>
  <w:style w:type="numbering" w:styleId="111111">
    <w:name w:val="Outline List 2"/>
    <w:basedOn w:val="NoList"/>
    <w:uiPriority w:val="99"/>
    <w:semiHidden/>
    <w:unhideWhenUsed/>
    <w:rsid w:val="00144EBC"/>
    <w:pPr>
      <w:numPr>
        <w:numId w:val="1"/>
      </w:numPr>
    </w:pPr>
  </w:style>
  <w:style w:type="numbering" w:styleId="1ai">
    <w:name w:val="Outline List 1"/>
    <w:basedOn w:val="NoList"/>
    <w:uiPriority w:val="99"/>
    <w:semiHidden/>
    <w:unhideWhenUsed/>
    <w:rsid w:val="00144EBC"/>
    <w:pPr>
      <w:numPr>
        <w:numId w:val="2"/>
      </w:numPr>
    </w:pPr>
  </w:style>
  <w:style w:type="numbering" w:styleId="ArticleSection">
    <w:name w:val="Outline List 3"/>
    <w:basedOn w:val="NoList"/>
    <w:uiPriority w:val="99"/>
    <w:semiHidden/>
    <w:unhideWhenUsed/>
    <w:rsid w:val="00144EBC"/>
    <w:pPr>
      <w:numPr>
        <w:numId w:val="3"/>
      </w:numPr>
    </w:pPr>
  </w:style>
  <w:style w:type="paragraph" w:styleId="Bibliography">
    <w:name w:val="Bibliography"/>
    <w:basedOn w:val="Normal"/>
    <w:next w:val="Normal"/>
    <w:uiPriority w:val="98"/>
    <w:semiHidden/>
    <w:rsid w:val="00144EBC"/>
  </w:style>
  <w:style w:type="paragraph" w:styleId="BlockText">
    <w:name w:val="Block Text"/>
    <w:basedOn w:val="Normal"/>
    <w:uiPriority w:val="98"/>
    <w:semiHidden/>
    <w:rsid w:val="00144EB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8"/>
    <w:semiHidden/>
    <w:rsid w:val="00144EBC"/>
    <w:pPr>
      <w:spacing w:after="120"/>
    </w:pPr>
  </w:style>
  <w:style w:type="character" w:customStyle="1" w:styleId="BodyTextChar">
    <w:name w:val="Body Text Char"/>
    <w:basedOn w:val="DefaultParagraphFont"/>
    <w:link w:val="BodyText"/>
    <w:uiPriority w:val="98"/>
    <w:semiHidden/>
    <w:rsid w:val="00144EBC"/>
    <w:rPr>
      <w:sz w:val="24"/>
      <w:szCs w:val="24"/>
      <w:lang w:val="en-GB"/>
    </w:rPr>
  </w:style>
  <w:style w:type="paragraph" w:styleId="BodyText2">
    <w:name w:val="Body Text 2"/>
    <w:basedOn w:val="Normal"/>
    <w:link w:val="BodyText2Char"/>
    <w:uiPriority w:val="98"/>
    <w:semiHidden/>
    <w:rsid w:val="00144EBC"/>
    <w:pPr>
      <w:spacing w:after="120" w:line="480" w:lineRule="auto"/>
    </w:pPr>
  </w:style>
  <w:style w:type="character" w:customStyle="1" w:styleId="BodyText2Char">
    <w:name w:val="Body Text 2 Char"/>
    <w:basedOn w:val="DefaultParagraphFont"/>
    <w:link w:val="BodyText2"/>
    <w:uiPriority w:val="98"/>
    <w:semiHidden/>
    <w:rsid w:val="00144EBC"/>
    <w:rPr>
      <w:sz w:val="24"/>
      <w:szCs w:val="24"/>
      <w:lang w:val="en-GB"/>
    </w:rPr>
  </w:style>
  <w:style w:type="paragraph" w:styleId="BodyText3">
    <w:name w:val="Body Text 3"/>
    <w:basedOn w:val="Normal"/>
    <w:link w:val="BodyText3Char"/>
    <w:uiPriority w:val="98"/>
    <w:semiHidden/>
    <w:rsid w:val="00144EBC"/>
    <w:pPr>
      <w:spacing w:after="120"/>
    </w:pPr>
    <w:rPr>
      <w:sz w:val="16"/>
      <w:szCs w:val="16"/>
    </w:rPr>
  </w:style>
  <w:style w:type="character" w:customStyle="1" w:styleId="BodyText3Char">
    <w:name w:val="Body Text 3 Char"/>
    <w:basedOn w:val="DefaultParagraphFont"/>
    <w:link w:val="BodyText3"/>
    <w:uiPriority w:val="98"/>
    <w:semiHidden/>
    <w:rsid w:val="00144EBC"/>
    <w:rPr>
      <w:sz w:val="16"/>
      <w:szCs w:val="16"/>
      <w:lang w:val="en-GB"/>
    </w:rPr>
  </w:style>
  <w:style w:type="paragraph" w:styleId="BodyTextFirstIndent">
    <w:name w:val="Body Text First Indent"/>
    <w:basedOn w:val="BodyText"/>
    <w:link w:val="BodyTextFirstIndentChar"/>
    <w:uiPriority w:val="98"/>
    <w:semiHidden/>
    <w:rsid w:val="00144EBC"/>
    <w:pPr>
      <w:spacing w:after="0"/>
      <w:ind w:firstLine="360"/>
    </w:pPr>
  </w:style>
  <w:style w:type="character" w:customStyle="1" w:styleId="BodyTextFirstIndentChar">
    <w:name w:val="Body Text First Indent Char"/>
    <w:basedOn w:val="BodyTextChar"/>
    <w:link w:val="BodyTextFirstIndent"/>
    <w:uiPriority w:val="98"/>
    <w:semiHidden/>
    <w:rsid w:val="00144EBC"/>
    <w:rPr>
      <w:sz w:val="24"/>
      <w:szCs w:val="24"/>
      <w:lang w:val="en-GB"/>
    </w:rPr>
  </w:style>
  <w:style w:type="paragraph" w:styleId="BodyTextIndent">
    <w:name w:val="Body Text Indent"/>
    <w:basedOn w:val="Normal"/>
    <w:link w:val="BodyTextIndentChar"/>
    <w:uiPriority w:val="98"/>
    <w:semiHidden/>
    <w:rsid w:val="00144EBC"/>
    <w:pPr>
      <w:spacing w:after="120"/>
      <w:ind w:left="283"/>
    </w:pPr>
  </w:style>
  <w:style w:type="character" w:customStyle="1" w:styleId="BodyTextIndentChar">
    <w:name w:val="Body Text Indent Char"/>
    <w:basedOn w:val="DefaultParagraphFont"/>
    <w:link w:val="BodyTextIndent"/>
    <w:uiPriority w:val="98"/>
    <w:semiHidden/>
    <w:rsid w:val="00144EBC"/>
    <w:rPr>
      <w:sz w:val="24"/>
      <w:szCs w:val="24"/>
      <w:lang w:val="en-GB"/>
    </w:rPr>
  </w:style>
  <w:style w:type="paragraph" w:styleId="BodyTextFirstIndent2">
    <w:name w:val="Body Text First Indent 2"/>
    <w:basedOn w:val="BodyTextIndent"/>
    <w:link w:val="BodyTextFirstIndent2Char"/>
    <w:uiPriority w:val="98"/>
    <w:semiHidden/>
    <w:rsid w:val="00144EBC"/>
    <w:pPr>
      <w:spacing w:after="0"/>
      <w:ind w:left="360" w:firstLine="360"/>
    </w:pPr>
  </w:style>
  <w:style w:type="character" w:customStyle="1" w:styleId="BodyTextFirstIndent2Char">
    <w:name w:val="Body Text First Indent 2 Char"/>
    <w:basedOn w:val="BodyTextIndentChar"/>
    <w:link w:val="BodyTextFirstIndent2"/>
    <w:uiPriority w:val="98"/>
    <w:semiHidden/>
    <w:rsid w:val="00144EBC"/>
    <w:rPr>
      <w:sz w:val="24"/>
      <w:szCs w:val="24"/>
      <w:lang w:val="en-GB"/>
    </w:rPr>
  </w:style>
  <w:style w:type="paragraph" w:styleId="BodyTextIndent2">
    <w:name w:val="Body Text Indent 2"/>
    <w:basedOn w:val="Normal"/>
    <w:link w:val="BodyTextIndent2Char"/>
    <w:uiPriority w:val="98"/>
    <w:semiHidden/>
    <w:rsid w:val="00144EBC"/>
    <w:pPr>
      <w:spacing w:after="120" w:line="480" w:lineRule="auto"/>
      <w:ind w:left="283"/>
    </w:pPr>
  </w:style>
  <w:style w:type="character" w:customStyle="1" w:styleId="BodyTextIndent2Char">
    <w:name w:val="Body Text Indent 2 Char"/>
    <w:basedOn w:val="DefaultParagraphFont"/>
    <w:link w:val="BodyTextIndent2"/>
    <w:uiPriority w:val="98"/>
    <w:semiHidden/>
    <w:rsid w:val="00144EBC"/>
    <w:rPr>
      <w:sz w:val="24"/>
      <w:szCs w:val="24"/>
      <w:lang w:val="en-GB"/>
    </w:rPr>
  </w:style>
  <w:style w:type="paragraph" w:styleId="BodyTextIndent3">
    <w:name w:val="Body Text Indent 3"/>
    <w:basedOn w:val="Normal"/>
    <w:link w:val="BodyTextIndent3Char"/>
    <w:uiPriority w:val="98"/>
    <w:semiHidden/>
    <w:rsid w:val="00144EBC"/>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144EBC"/>
    <w:rPr>
      <w:sz w:val="16"/>
      <w:szCs w:val="16"/>
      <w:lang w:val="en-GB"/>
    </w:rPr>
  </w:style>
  <w:style w:type="paragraph" w:styleId="Caption">
    <w:name w:val="caption"/>
    <w:basedOn w:val="Normal"/>
    <w:next w:val="Normal"/>
    <w:uiPriority w:val="98"/>
    <w:semiHidden/>
    <w:qFormat/>
    <w:rsid w:val="00144EBC"/>
    <w:pPr>
      <w:spacing w:after="200"/>
    </w:pPr>
    <w:rPr>
      <w:b/>
      <w:bCs/>
      <w:color w:val="0072BC" w:themeColor="accent1"/>
      <w:sz w:val="18"/>
      <w:szCs w:val="18"/>
    </w:rPr>
  </w:style>
  <w:style w:type="paragraph" w:styleId="Closing">
    <w:name w:val="Closing"/>
    <w:basedOn w:val="Normal"/>
    <w:link w:val="ClosingChar"/>
    <w:uiPriority w:val="98"/>
    <w:semiHidden/>
    <w:rsid w:val="00144EBC"/>
    <w:pPr>
      <w:ind w:left="4252"/>
    </w:pPr>
  </w:style>
  <w:style w:type="character" w:customStyle="1" w:styleId="ClosingChar">
    <w:name w:val="Closing Char"/>
    <w:basedOn w:val="DefaultParagraphFont"/>
    <w:link w:val="Closing"/>
    <w:uiPriority w:val="98"/>
    <w:semiHidden/>
    <w:rsid w:val="00144EBC"/>
    <w:rPr>
      <w:sz w:val="24"/>
      <w:szCs w:val="24"/>
      <w:lang w:val="en-GB"/>
    </w:rPr>
  </w:style>
  <w:style w:type="table" w:styleId="ColorfulGrid">
    <w:name w:val="Colorful Grid"/>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144EBC"/>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144EBC"/>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144EBC"/>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144EBC"/>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144EBC"/>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144EBC"/>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144EBC"/>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144EBC"/>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144EBC"/>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144EBC"/>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144EBC"/>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144EBC"/>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144EBC"/>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144EBC"/>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144EBC"/>
    <w:rPr>
      <w:b/>
      <w:bCs/>
    </w:rPr>
  </w:style>
  <w:style w:type="character" w:customStyle="1" w:styleId="CommentSubjectChar">
    <w:name w:val="Comment Subject Char"/>
    <w:basedOn w:val="CommentTextChar"/>
    <w:link w:val="CommentSubject"/>
    <w:uiPriority w:val="98"/>
    <w:semiHidden/>
    <w:rsid w:val="00144EBC"/>
    <w:rPr>
      <w:b/>
      <w:bCs/>
      <w:sz w:val="20"/>
      <w:szCs w:val="20"/>
      <w:lang w:val="en-GB"/>
    </w:rPr>
  </w:style>
  <w:style w:type="table" w:styleId="DarkList">
    <w:name w:val="Dark List"/>
    <w:basedOn w:val="TableNormal"/>
    <w:uiPriority w:val="70"/>
    <w:semiHidden/>
    <w:rsid w:val="00144EBC"/>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144EBC"/>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144EBC"/>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144EBC"/>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144EBC"/>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144EBC"/>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144EBC"/>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144EBC"/>
  </w:style>
  <w:style w:type="character" w:customStyle="1" w:styleId="DateChar">
    <w:name w:val="Date Char"/>
    <w:basedOn w:val="DefaultParagraphFont"/>
    <w:link w:val="Date"/>
    <w:uiPriority w:val="98"/>
    <w:semiHidden/>
    <w:rsid w:val="00144EBC"/>
    <w:rPr>
      <w:sz w:val="24"/>
      <w:szCs w:val="24"/>
      <w:lang w:val="en-GB"/>
    </w:rPr>
  </w:style>
  <w:style w:type="paragraph" w:styleId="DocumentMap">
    <w:name w:val="Document Map"/>
    <w:basedOn w:val="Normal"/>
    <w:link w:val="DocumentMapChar"/>
    <w:uiPriority w:val="98"/>
    <w:semiHidden/>
    <w:rsid w:val="00144EBC"/>
    <w:rPr>
      <w:rFonts w:ascii="Tahoma" w:hAnsi="Tahoma" w:cs="Tahoma"/>
      <w:sz w:val="16"/>
      <w:szCs w:val="16"/>
    </w:rPr>
  </w:style>
  <w:style w:type="character" w:customStyle="1" w:styleId="DocumentMapChar">
    <w:name w:val="Document Map Char"/>
    <w:basedOn w:val="DefaultParagraphFont"/>
    <w:link w:val="DocumentMap"/>
    <w:uiPriority w:val="98"/>
    <w:semiHidden/>
    <w:rsid w:val="00144EBC"/>
    <w:rPr>
      <w:rFonts w:ascii="Tahoma" w:hAnsi="Tahoma" w:cs="Tahoma"/>
      <w:sz w:val="16"/>
      <w:szCs w:val="16"/>
      <w:lang w:val="en-GB"/>
    </w:rPr>
  </w:style>
  <w:style w:type="paragraph" w:styleId="E-mailSignature">
    <w:name w:val="E-mail Signature"/>
    <w:basedOn w:val="Normal"/>
    <w:link w:val="E-mailSignatureChar"/>
    <w:uiPriority w:val="98"/>
    <w:semiHidden/>
    <w:rsid w:val="00144EBC"/>
  </w:style>
  <w:style w:type="character" w:customStyle="1" w:styleId="E-mailSignatureChar">
    <w:name w:val="E-mail Signature Char"/>
    <w:basedOn w:val="DefaultParagraphFont"/>
    <w:link w:val="E-mailSignature"/>
    <w:uiPriority w:val="98"/>
    <w:semiHidden/>
    <w:rsid w:val="00144EBC"/>
    <w:rPr>
      <w:sz w:val="24"/>
      <w:szCs w:val="24"/>
      <w:lang w:val="en-GB"/>
    </w:rPr>
  </w:style>
  <w:style w:type="character" w:styleId="EndnoteReference">
    <w:name w:val="endnote reference"/>
    <w:basedOn w:val="DefaultParagraphFont"/>
    <w:uiPriority w:val="98"/>
    <w:semiHidden/>
    <w:rsid w:val="00144EBC"/>
    <w:rPr>
      <w:vertAlign w:val="superscript"/>
    </w:rPr>
  </w:style>
  <w:style w:type="paragraph" w:styleId="EndnoteText">
    <w:name w:val="endnote text"/>
    <w:basedOn w:val="Normal"/>
    <w:link w:val="EndnoteTextChar"/>
    <w:uiPriority w:val="98"/>
    <w:semiHidden/>
    <w:rsid w:val="00144EBC"/>
    <w:rPr>
      <w:sz w:val="20"/>
      <w:szCs w:val="20"/>
    </w:rPr>
  </w:style>
  <w:style w:type="character" w:customStyle="1" w:styleId="EndnoteTextChar">
    <w:name w:val="Endnote Text Char"/>
    <w:basedOn w:val="DefaultParagraphFont"/>
    <w:link w:val="EndnoteText"/>
    <w:uiPriority w:val="98"/>
    <w:semiHidden/>
    <w:rsid w:val="00144EBC"/>
    <w:rPr>
      <w:sz w:val="20"/>
      <w:szCs w:val="20"/>
      <w:lang w:val="en-GB"/>
    </w:rPr>
  </w:style>
  <w:style w:type="paragraph" w:styleId="EnvelopeAddress">
    <w:name w:val="envelope address"/>
    <w:basedOn w:val="Normal"/>
    <w:uiPriority w:val="98"/>
    <w:semiHidden/>
    <w:rsid w:val="00144EBC"/>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144EBC"/>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144EBC"/>
    <w:rPr>
      <w:color w:val="7030A0" w:themeColor="followedHyperlink"/>
      <w:u w:val="single"/>
    </w:rPr>
  </w:style>
  <w:style w:type="character" w:styleId="FootnoteReference">
    <w:name w:val="footnote reference"/>
    <w:basedOn w:val="DefaultParagraphFont"/>
    <w:uiPriority w:val="98"/>
    <w:semiHidden/>
    <w:rsid w:val="00144EBC"/>
    <w:rPr>
      <w:vertAlign w:val="superscript"/>
    </w:rPr>
  </w:style>
  <w:style w:type="paragraph" w:styleId="FootnoteText">
    <w:name w:val="footnote text"/>
    <w:basedOn w:val="Normal"/>
    <w:link w:val="FootnoteTextChar"/>
    <w:uiPriority w:val="98"/>
    <w:semiHidden/>
    <w:rsid w:val="00144EBC"/>
    <w:rPr>
      <w:sz w:val="20"/>
      <w:szCs w:val="20"/>
    </w:rPr>
  </w:style>
  <w:style w:type="character" w:customStyle="1" w:styleId="FootnoteTextChar">
    <w:name w:val="Footnote Text Char"/>
    <w:basedOn w:val="DefaultParagraphFont"/>
    <w:link w:val="FootnoteText"/>
    <w:uiPriority w:val="98"/>
    <w:semiHidden/>
    <w:rsid w:val="00144EBC"/>
    <w:rPr>
      <w:sz w:val="20"/>
      <w:szCs w:val="20"/>
      <w:lang w:val="en-GB"/>
    </w:rPr>
  </w:style>
  <w:style w:type="character" w:styleId="HTMLAcronym">
    <w:name w:val="HTML Acronym"/>
    <w:basedOn w:val="DefaultParagraphFont"/>
    <w:uiPriority w:val="98"/>
    <w:semiHidden/>
    <w:rsid w:val="00144EBC"/>
  </w:style>
  <w:style w:type="paragraph" w:styleId="HTMLAddress">
    <w:name w:val="HTML Address"/>
    <w:basedOn w:val="Normal"/>
    <w:link w:val="HTMLAddressChar"/>
    <w:uiPriority w:val="98"/>
    <w:semiHidden/>
    <w:rsid w:val="00144EBC"/>
    <w:rPr>
      <w:i/>
      <w:iCs/>
    </w:rPr>
  </w:style>
  <w:style w:type="character" w:customStyle="1" w:styleId="HTMLAddressChar">
    <w:name w:val="HTML Address Char"/>
    <w:basedOn w:val="DefaultParagraphFont"/>
    <w:link w:val="HTMLAddress"/>
    <w:uiPriority w:val="98"/>
    <w:semiHidden/>
    <w:rsid w:val="00144EBC"/>
    <w:rPr>
      <w:i/>
      <w:iCs/>
      <w:sz w:val="24"/>
      <w:szCs w:val="24"/>
      <w:lang w:val="en-GB"/>
    </w:rPr>
  </w:style>
  <w:style w:type="character" w:styleId="HTMLCite">
    <w:name w:val="HTML Cite"/>
    <w:basedOn w:val="DefaultParagraphFont"/>
    <w:uiPriority w:val="98"/>
    <w:semiHidden/>
    <w:rsid w:val="00144EBC"/>
    <w:rPr>
      <w:i/>
      <w:iCs/>
    </w:rPr>
  </w:style>
  <w:style w:type="character" w:styleId="HTMLCode">
    <w:name w:val="HTML Code"/>
    <w:basedOn w:val="DefaultParagraphFont"/>
    <w:uiPriority w:val="98"/>
    <w:semiHidden/>
    <w:rsid w:val="00144EBC"/>
    <w:rPr>
      <w:rFonts w:ascii="Consolas" w:hAnsi="Consolas" w:cs="Consolas"/>
      <w:sz w:val="20"/>
      <w:szCs w:val="20"/>
    </w:rPr>
  </w:style>
  <w:style w:type="character" w:styleId="HTMLDefinition">
    <w:name w:val="HTML Definition"/>
    <w:basedOn w:val="DefaultParagraphFont"/>
    <w:uiPriority w:val="98"/>
    <w:semiHidden/>
    <w:rsid w:val="00144EBC"/>
    <w:rPr>
      <w:i/>
      <w:iCs/>
    </w:rPr>
  </w:style>
  <w:style w:type="character" w:styleId="HTMLKeyboard">
    <w:name w:val="HTML Keyboard"/>
    <w:basedOn w:val="DefaultParagraphFont"/>
    <w:uiPriority w:val="98"/>
    <w:semiHidden/>
    <w:rsid w:val="00144EBC"/>
    <w:rPr>
      <w:rFonts w:ascii="Consolas" w:hAnsi="Consolas" w:cs="Consolas"/>
      <w:sz w:val="20"/>
      <w:szCs w:val="20"/>
    </w:rPr>
  </w:style>
  <w:style w:type="paragraph" w:styleId="HTMLPreformatted">
    <w:name w:val="HTML Preformatted"/>
    <w:basedOn w:val="Normal"/>
    <w:link w:val="HTMLPreformattedChar"/>
    <w:uiPriority w:val="98"/>
    <w:semiHidden/>
    <w:rsid w:val="00144EBC"/>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144EBC"/>
    <w:rPr>
      <w:rFonts w:ascii="Consolas" w:hAnsi="Consolas" w:cs="Consolas"/>
      <w:sz w:val="20"/>
      <w:szCs w:val="20"/>
      <w:lang w:val="en-GB"/>
    </w:rPr>
  </w:style>
  <w:style w:type="character" w:styleId="HTMLSample">
    <w:name w:val="HTML Sample"/>
    <w:basedOn w:val="DefaultParagraphFont"/>
    <w:uiPriority w:val="98"/>
    <w:semiHidden/>
    <w:rsid w:val="00144EBC"/>
    <w:rPr>
      <w:rFonts w:ascii="Consolas" w:hAnsi="Consolas" w:cs="Consolas"/>
      <w:sz w:val="24"/>
      <w:szCs w:val="24"/>
    </w:rPr>
  </w:style>
  <w:style w:type="character" w:styleId="HTMLTypewriter">
    <w:name w:val="HTML Typewriter"/>
    <w:basedOn w:val="DefaultParagraphFont"/>
    <w:uiPriority w:val="98"/>
    <w:semiHidden/>
    <w:rsid w:val="00144EBC"/>
    <w:rPr>
      <w:rFonts w:ascii="Consolas" w:hAnsi="Consolas" w:cs="Consolas"/>
      <w:sz w:val="20"/>
      <w:szCs w:val="20"/>
    </w:rPr>
  </w:style>
  <w:style w:type="character" w:styleId="HTMLVariable">
    <w:name w:val="HTML Variable"/>
    <w:basedOn w:val="DefaultParagraphFont"/>
    <w:uiPriority w:val="98"/>
    <w:semiHidden/>
    <w:rsid w:val="00144EBC"/>
    <w:rPr>
      <w:i/>
      <w:iCs/>
    </w:rPr>
  </w:style>
  <w:style w:type="character" w:styleId="Hyperlink">
    <w:name w:val="Hyperlink"/>
    <w:basedOn w:val="DefaultParagraphFont"/>
    <w:uiPriority w:val="98"/>
    <w:rsid w:val="00144EBC"/>
    <w:rPr>
      <w:color w:val="0072BC" w:themeColor="hyperlink"/>
      <w:u w:val="single"/>
    </w:rPr>
  </w:style>
  <w:style w:type="paragraph" w:styleId="Index1">
    <w:name w:val="index 1"/>
    <w:basedOn w:val="Normal"/>
    <w:next w:val="Normal"/>
    <w:autoRedefine/>
    <w:uiPriority w:val="98"/>
    <w:semiHidden/>
    <w:rsid w:val="00144EBC"/>
    <w:pPr>
      <w:ind w:left="240" w:hanging="240"/>
    </w:pPr>
  </w:style>
  <w:style w:type="paragraph" w:styleId="Index2">
    <w:name w:val="index 2"/>
    <w:basedOn w:val="Normal"/>
    <w:next w:val="Normal"/>
    <w:autoRedefine/>
    <w:uiPriority w:val="98"/>
    <w:semiHidden/>
    <w:rsid w:val="00144EBC"/>
    <w:pPr>
      <w:ind w:left="480" w:hanging="240"/>
    </w:pPr>
  </w:style>
  <w:style w:type="paragraph" w:styleId="Index3">
    <w:name w:val="index 3"/>
    <w:basedOn w:val="Normal"/>
    <w:next w:val="Normal"/>
    <w:autoRedefine/>
    <w:uiPriority w:val="98"/>
    <w:semiHidden/>
    <w:rsid w:val="00144EBC"/>
    <w:pPr>
      <w:ind w:left="720" w:hanging="240"/>
    </w:pPr>
  </w:style>
  <w:style w:type="paragraph" w:styleId="Index4">
    <w:name w:val="index 4"/>
    <w:basedOn w:val="Normal"/>
    <w:next w:val="Normal"/>
    <w:autoRedefine/>
    <w:uiPriority w:val="98"/>
    <w:semiHidden/>
    <w:rsid w:val="00144EBC"/>
    <w:pPr>
      <w:ind w:left="960" w:hanging="240"/>
    </w:pPr>
  </w:style>
  <w:style w:type="paragraph" w:styleId="Index5">
    <w:name w:val="index 5"/>
    <w:basedOn w:val="Normal"/>
    <w:next w:val="Normal"/>
    <w:autoRedefine/>
    <w:uiPriority w:val="98"/>
    <w:semiHidden/>
    <w:rsid w:val="00144EBC"/>
    <w:pPr>
      <w:ind w:left="1200" w:hanging="240"/>
    </w:pPr>
  </w:style>
  <w:style w:type="paragraph" w:styleId="Index6">
    <w:name w:val="index 6"/>
    <w:basedOn w:val="Normal"/>
    <w:next w:val="Normal"/>
    <w:autoRedefine/>
    <w:uiPriority w:val="98"/>
    <w:semiHidden/>
    <w:rsid w:val="00144EBC"/>
    <w:pPr>
      <w:ind w:left="1440" w:hanging="240"/>
    </w:pPr>
  </w:style>
  <w:style w:type="paragraph" w:styleId="Index7">
    <w:name w:val="index 7"/>
    <w:basedOn w:val="Normal"/>
    <w:next w:val="Normal"/>
    <w:autoRedefine/>
    <w:uiPriority w:val="98"/>
    <w:semiHidden/>
    <w:rsid w:val="00144EBC"/>
    <w:pPr>
      <w:ind w:left="1680" w:hanging="240"/>
    </w:pPr>
  </w:style>
  <w:style w:type="paragraph" w:styleId="Index8">
    <w:name w:val="index 8"/>
    <w:basedOn w:val="Normal"/>
    <w:next w:val="Normal"/>
    <w:autoRedefine/>
    <w:uiPriority w:val="98"/>
    <w:semiHidden/>
    <w:rsid w:val="00144EBC"/>
    <w:pPr>
      <w:ind w:left="1920" w:hanging="240"/>
    </w:pPr>
  </w:style>
  <w:style w:type="paragraph" w:styleId="Index9">
    <w:name w:val="index 9"/>
    <w:basedOn w:val="Normal"/>
    <w:next w:val="Normal"/>
    <w:autoRedefine/>
    <w:uiPriority w:val="98"/>
    <w:semiHidden/>
    <w:rsid w:val="00144EBC"/>
    <w:pPr>
      <w:ind w:left="2160" w:hanging="240"/>
    </w:pPr>
  </w:style>
  <w:style w:type="paragraph" w:styleId="IndexHeading">
    <w:name w:val="index heading"/>
    <w:basedOn w:val="Normal"/>
    <w:next w:val="Index1"/>
    <w:uiPriority w:val="98"/>
    <w:semiHidden/>
    <w:rsid w:val="00144EBC"/>
    <w:rPr>
      <w:rFonts w:asciiTheme="majorHAnsi" w:eastAsiaTheme="majorEastAsia" w:hAnsiTheme="majorHAnsi" w:cstheme="majorBidi"/>
      <w:b/>
      <w:bCs/>
    </w:rPr>
  </w:style>
  <w:style w:type="table" w:styleId="LightGrid">
    <w:name w:val="Light Grid"/>
    <w:basedOn w:val="TableNormal"/>
    <w:uiPriority w:val="62"/>
    <w:semiHidden/>
    <w:rsid w:val="00144EB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144EB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144EB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144EB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144EB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144EB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144EB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144EB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144EB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144EB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144EB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144EB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144EB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144EB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144EBC"/>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144EBC"/>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144EBC"/>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144EBC"/>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144EBC"/>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144EBC"/>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144EBC"/>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144EBC"/>
  </w:style>
  <w:style w:type="paragraph" w:styleId="List">
    <w:name w:val="List"/>
    <w:basedOn w:val="Normal"/>
    <w:uiPriority w:val="98"/>
    <w:semiHidden/>
    <w:rsid w:val="00144EBC"/>
    <w:pPr>
      <w:ind w:left="283" w:hanging="283"/>
      <w:contextualSpacing/>
    </w:pPr>
  </w:style>
  <w:style w:type="paragraph" w:styleId="List20">
    <w:name w:val="List 2"/>
    <w:basedOn w:val="Normal"/>
    <w:uiPriority w:val="98"/>
    <w:semiHidden/>
    <w:rsid w:val="00144EBC"/>
    <w:pPr>
      <w:ind w:left="566" w:hanging="283"/>
      <w:contextualSpacing/>
    </w:pPr>
  </w:style>
  <w:style w:type="paragraph" w:styleId="List30">
    <w:name w:val="List 3"/>
    <w:basedOn w:val="Normal"/>
    <w:uiPriority w:val="98"/>
    <w:semiHidden/>
    <w:rsid w:val="00144EBC"/>
    <w:pPr>
      <w:ind w:left="849" w:hanging="283"/>
      <w:contextualSpacing/>
    </w:pPr>
  </w:style>
  <w:style w:type="paragraph" w:styleId="List4">
    <w:name w:val="List 4"/>
    <w:basedOn w:val="Normal"/>
    <w:uiPriority w:val="98"/>
    <w:semiHidden/>
    <w:rsid w:val="00144EBC"/>
    <w:pPr>
      <w:ind w:left="1132" w:hanging="283"/>
      <w:contextualSpacing/>
    </w:pPr>
  </w:style>
  <w:style w:type="paragraph" w:styleId="List5">
    <w:name w:val="List 5"/>
    <w:basedOn w:val="Normal"/>
    <w:uiPriority w:val="98"/>
    <w:semiHidden/>
    <w:rsid w:val="00144EBC"/>
    <w:pPr>
      <w:ind w:left="1415" w:hanging="283"/>
      <w:contextualSpacing/>
    </w:pPr>
  </w:style>
  <w:style w:type="paragraph" w:styleId="ListBullet">
    <w:name w:val="List Bullet"/>
    <w:basedOn w:val="Normal"/>
    <w:uiPriority w:val="98"/>
    <w:semiHidden/>
    <w:rsid w:val="00144EBC"/>
    <w:pPr>
      <w:numPr>
        <w:numId w:val="11"/>
      </w:numPr>
    </w:pPr>
  </w:style>
  <w:style w:type="paragraph" w:styleId="ListBullet2">
    <w:name w:val="List Bullet 2"/>
    <w:basedOn w:val="Normal"/>
    <w:uiPriority w:val="98"/>
    <w:semiHidden/>
    <w:rsid w:val="00144EBC"/>
    <w:pPr>
      <w:numPr>
        <w:numId w:val="12"/>
      </w:numPr>
      <w:contextualSpacing/>
    </w:pPr>
  </w:style>
  <w:style w:type="paragraph" w:styleId="ListBullet3">
    <w:name w:val="List Bullet 3"/>
    <w:basedOn w:val="Normal"/>
    <w:uiPriority w:val="98"/>
    <w:semiHidden/>
    <w:rsid w:val="00144EBC"/>
    <w:pPr>
      <w:numPr>
        <w:numId w:val="13"/>
      </w:numPr>
      <w:contextualSpacing/>
    </w:pPr>
  </w:style>
  <w:style w:type="paragraph" w:styleId="ListBullet4">
    <w:name w:val="List Bullet 4"/>
    <w:basedOn w:val="Normal"/>
    <w:uiPriority w:val="98"/>
    <w:semiHidden/>
    <w:rsid w:val="00144EBC"/>
    <w:pPr>
      <w:numPr>
        <w:numId w:val="14"/>
      </w:numPr>
      <w:contextualSpacing/>
    </w:pPr>
  </w:style>
  <w:style w:type="paragraph" w:styleId="ListBullet5">
    <w:name w:val="List Bullet 5"/>
    <w:basedOn w:val="Normal"/>
    <w:uiPriority w:val="98"/>
    <w:semiHidden/>
    <w:rsid w:val="00144EBC"/>
    <w:pPr>
      <w:numPr>
        <w:numId w:val="15"/>
      </w:numPr>
      <w:contextualSpacing/>
    </w:pPr>
  </w:style>
  <w:style w:type="paragraph" w:styleId="ListContinue">
    <w:name w:val="List Continue"/>
    <w:basedOn w:val="Normal"/>
    <w:uiPriority w:val="98"/>
    <w:semiHidden/>
    <w:rsid w:val="00144EBC"/>
    <w:pPr>
      <w:spacing w:after="120"/>
      <w:ind w:left="283"/>
      <w:contextualSpacing/>
    </w:pPr>
  </w:style>
  <w:style w:type="paragraph" w:styleId="ListContinue2">
    <w:name w:val="List Continue 2"/>
    <w:basedOn w:val="Normal"/>
    <w:uiPriority w:val="98"/>
    <w:semiHidden/>
    <w:rsid w:val="00144EBC"/>
    <w:pPr>
      <w:spacing w:after="120"/>
      <w:ind w:left="566"/>
      <w:contextualSpacing/>
    </w:pPr>
  </w:style>
  <w:style w:type="paragraph" w:styleId="ListContinue3">
    <w:name w:val="List Continue 3"/>
    <w:basedOn w:val="Normal"/>
    <w:uiPriority w:val="98"/>
    <w:semiHidden/>
    <w:rsid w:val="00144EBC"/>
    <w:pPr>
      <w:spacing w:after="120"/>
      <w:ind w:left="849"/>
      <w:contextualSpacing/>
    </w:pPr>
  </w:style>
  <w:style w:type="paragraph" w:styleId="ListContinue4">
    <w:name w:val="List Continue 4"/>
    <w:basedOn w:val="Normal"/>
    <w:uiPriority w:val="98"/>
    <w:semiHidden/>
    <w:rsid w:val="00144EBC"/>
    <w:pPr>
      <w:spacing w:after="120"/>
      <w:ind w:left="1132"/>
      <w:contextualSpacing/>
    </w:pPr>
  </w:style>
  <w:style w:type="paragraph" w:styleId="ListContinue5">
    <w:name w:val="List Continue 5"/>
    <w:basedOn w:val="Normal"/>
    <w:uiPriority w:val="98"/>
    <w:semiHidden/>
    <w:rsid w:val="00144EBC"/>
    <w:pPr>
      <w:spacing w:after="120"/>
      <w:ind w:left="1415"/>
      <w:contextualSpacing/>
    </w:pPr>
  </w:style>
  <w:style w:type="paragraph" w:styleId="ListNumber">
    <w:name w:val="List Number"/>
    <w:basedOn w:val="Normal"/>
    <w:uiPriority w:val="98"/>
    <w:semiHidden/>
    <w:rsid w:val="00144EBC"/>
    <w:pPr>
      <w:numPr>
        <w:numId w:val="16"/>
      </w:numPr>
      <w:contextualSpacing/>
    </w:pPr>
  </w:style>
  <w:style w:type="paragraph" w:styleId="ListNumber2">
    <w:name w:val="List Number 2"/>
    <w:basedOn w:val="Normal"/>
    <w:uiPriority w:val="98"/>
    <w:semiHidden/>
    <w:rsid w:val="00144EBC"/>
    <w:pPr>
      <w:numPr>
        <w:numId w:val="17"/>
      </w:numPr>
      <w:contextualSpacing/>
    </w:pPr>
  </w:style>
  <w:style w:type="paragraph" w:styleId="ListNumber3">
    <w:name w:val="List Number 3"/>
    <w:basedOn w:val="Normal"/>
    <w:uiPriority w:val="98"/>
    <w:semiHidden/>
    <w:rsid w:val="00144EBC"/>
    <w:pPr>
      <w:numPr>
        <w:numId w:val="18"/>
      </w:numPr>
      <w:contextualSpacing/>
    </w:pPr>
  </w:style>
  <w:style w:type="paragraph" w:styleId="ListNumber4">
    <w:name w:val="List Number 4"/>
    <w:basedOn w:val="Normal"/>
    <w:uiPriority w:val="98"/>
    <w:semiHidden/>
    <w:rsid w:val="00144EBC"/>
    <w:pPr>
      <w:numPr>
        <w:numId w:val="19"/>
      </w:numPr>
      <w:contextualSpacing/>
    </w:pPr>
  </w:style>
  <w:style w:type="paragraph" w:styleId="ListNumber5">
    <w:name w:val="List Number 5"/>
    <w:basedOn w:val="Normal"/>
    <w:uiPriority w:val="98"/>
    <w:semiHidden/>
    <w:rsid w:val="00144EBC"/>
    <w:pPr>
      <w:numPr>
        <w:numId w:val="20"/>
      </w:numPr>
      <w:contextualSpacing/>
    </w:pPr>
  </w:style>
  <w:style w:type="paragraph" w:styleId="Macro">
    <w:name w:val="macro"/>
    <w:link w:val="MacroTextChar"/>
    <w:uiPriority w:val="98"/>
    <w:semiHidden/>
    <w:rsid w:val="00144EBC"/>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144EBC"/>
    <w:rPr>
      <w:rFonts w:ascii="Consolas" w:hAnsi="Consolas" w:eastAsiaTheme="minorEastAsia" w:cs="Consolas"/>
      <w:sz w:val="20"/>
      <w:szCs w:val="20"/>
    </w:rPr>
  </w:style>
  <w:style w:type="table" w:styleId="MediumGrid1">
    <w:name w:val="Medium Grid 1"/>
    <w:basedOn w:val="TableNormal"/>
    <w:uiPriority w:val="67"/>
    <w:semiHidden/>
    <w:rsid w:val="00144EB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144EB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144EB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144EB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144EB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144EB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144EB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144EBC"/>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144EBC"/>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144EBC"/>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144EBC"/>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144EBC"/>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144EBC"/>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144EBC"/>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144EB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144EB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144EB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144EB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144EB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144EB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144EB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144EB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144EBC"/>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144EBC"/>
    <w:rPr>
      <w:rFonts w:ascii="Times New Roman" w:hAnsi="Times New Roman" w:cs="Times New Roman"/>
    </w:rPr>
  </w:style>
  <w:style w:type="paragraph" w:styleId="NormalIndent">
    <w:name w:val="Normal Indent"/>
    <w:basedOn w:val="Normal"/>
    <w:uiPriority w:val="98"/>
    <w:semiHidden/>
    <w:rsid w:val="00144EBC"/>
    <w:pPr>
      <w:ind w:left="720"/>
    </w:pPr>
  </w:style>
  <w:style w:type="table" w:customStyle="1" w:styleId="ECHRTableNoLines">
    <w:name w:val="ECHR_Table_No_Lines"/>
    <w:basedOn w:val="TableNormal"/>
    <w:uiPriority w:val="99"/>
    <w:rsid w:val="00144EBC"/>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SimpleBox">
    <w:name w:val="ECHR_Table_Simple_Box"/>
    <w:basedOn w:val="TableNormal"/>
    <w:uiPriority w:val="99"/>
    <w:rsid w:val="00144EBC"/>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character" w:styleId="PlaceholderText">
    <w:name w:val="Placeholder Text"/>
    <w:basedOn w:val="DefaultParagraphFont"/>
    <w:uiPriority w:val="98"/>
    <w:semiHidden/>
    <w:rsid w:val="00144EBC"/>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144EBC"/>
    <w:rPr>
      <w:rFonts w:ascii="Consolas" w:hAnsi="Consolas" w:cs="Consolas"/>
      <w:sz w:val="21"/>
      <w:szCs w:val="21"/>
    </w:rPr>
  </w:style>
  <w:style w:type="character" w:customStyle="1" w:styleId="PlainTextChar">
    <w:name w:val="Plain Text Char"/>
    <w:basedOn w:val="DefaultParagraphFont"/>
    <w:link w:val="PlainText"/>
    <w:uiPriority w:val="98"/>
    <w:semiHidden/>
    <w:rsid w:val="00144EBC"/>
    <w:rPr>
      <w:rFonts w:ascii="Consolas" w:hAnsi="Consolas" w:cs="Consolas"/>
      <w:sz w:val="21"/>
      <w:szCs w:val="21"/>
      <w:lang w:val="en-GB"/>
    </w:rPr>
  </w:style>
  <w:style w:type="paragraph" w:styleId="Salutation">
    <w:name w:val="Salutation"/>
    <w:basedOn w:val="Normal"/>
    <w:next w:val="Normal"/>
    <w:link w:val="SalutationChar"/>
    <w:uiPriority w:val="98"/>
    <w:semiHidden/>
    <w:rsid w:val="00144EBC"/>
  </w:style>
  <w:style w:type="character" w:customStyle="1" w:styleId="SalutationChar">
    <w:name w:val="Salutation Char"/>
    <w:basedOn w:val="DefaultParagraphFont"/>
    <w:link w:val="Salutation"/>
    <w:uiPriority w:val="98"/>
    <w:semiHidden/>
    <w:rsid w:val="00144EBC"/>
    <w:rPr>
      <w:sz w:val="24"/>
      <w:szCs w:val="24"/>
      <w:lang w:val="en-GB"/>
    </w:rPr>
  </w:style>
  <w:style w:type="paragraph" w:styleId="Signature0">
    <w:name w:val="Signature"/>
    <w:basedOn w:val="Normal"/>
    <w:link w:val="SignatureChar"/>
    <w:uiPriority w:val="98"/>
    <w:semiHidden/>
    <w:rsid w:val="00144EBC"/>
    <w:pPr>
      <w:ind w:left="4252"/>
    </w:pPr>
  </w:style>
  <w:style w:type="character" w:customStyle="1" w:styleId="SignatureChar">
    <w:name w:val="Signature Char"/>
    <w:basedOn w:val="DefaultParagraphFont"/>
    <w:link w:val="Signature0"/>
    <w:uiPriority w:val="98"/>
    <w:semiHidden/>
    <w:rsid w:val="00144EBC"/>
    <w:rPr>
      <w:sz w:val="24"/>
      <w:szCs w:val="24"/>
      <w:lang w:val="en-GB"/>
    </w:rPr>
  </w:style>
  <w:style w:type="table" w:styleId="Table3Deffects1">
    <w:name w:val="Table 3D effects 1"/>
    <w:basedOn w:val="TableNormal"/>
    <w:uiPriority w:val="99"/>
    <w:semiHidden/>
    <w:unhideWhenUsed/>
    <w:rsid w:val="00144EBC"/>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144EBC"/>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144EBC"/>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144EBC"/>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144EBC"/>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144EBC"/>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144EBC"/>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144EBC"/>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144EBC"/>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144EBC"/>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144EBC"/>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144EBC"/>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144EBC"/>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144EBC"/>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144EBC"/>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144EBC"/>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144EBC"/>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144EBC"/>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144EB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144EBC"/>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144EBC"/>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144EBC"/>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144EBC"/>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144EBC"/>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144EBC"/>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144EBC"/>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144EBC"/>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144EB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144EB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144EBC"/>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144EB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144EBC"/>
    <w:pPr>
      <w:ind w:left="240" w:hanging="240"/>
    </w:pPr>
  </w:style>
  <w:style w:type="paragraph" w:styleId="TableofFigures">
    <w:name w:val="table of figures"/>
    <w:basedOn w:val="Normal"/>
    <w:next w:val="Normal"/>
    <w:uiPriority w:val="98"/>
    <w:semiHidden/>
    <w:rsid w:val="00144EBC"/>
  </w:style>
  <w:style w:type="table" w:styleId="TableProfessional">
    <w:name w:val="Table Professional"/>
    <w:basedOn w:val="TableNormal"/>
    <w:uiPriority w:val="99"/>
    <w:semiHidden/>
    <w:unhideWhenUsed/>
    <w:rsid w:val="00144EB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144EBC"/>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144EBC"/>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144EBC"/>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144EBC"/>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144EBC"/>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144EBC"/>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144EBC"/>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144EBC"/>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8"/>
    <w:semiHidden/>
    <w:rsid w:val="00144EBC"/>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TOC1">
    <w:name w:val="toc 1"/>
    <w:basedOn w:val="Normal"/>
    <w:next w:val="Normal"/>
    <w:autoRedefine/>
    <w:uiPriority w:val="98"/>
    <w:semiHidden/>
    <w:rsid w:val="00144EBC"/>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144EBC"/>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144EBC"/>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144EBC"/>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144EBC"/>
    <w:pPr>
      <w:tabs>
        <w:tab w:val="right" w:leader="dot" w:pos="7371"/>
      </w:tabs>
      <w:spacing w:after="60" w:line="240" w:lineRule="exact"/>
      <w:ind w:left="1701" w:right="567" w:hanging="340"/>
    </w:pPr>
    <w:rPr>
      <w:sz w:val="20"/>
    </w:rPr>
  </w:style>
  <w:style w:type="paragraph" w:styleId="TOC6">
    <w:name w:val="toc 6"/>
    <w:basedOn w:val="Normal"/>
    <w:next w:val="Normal"/>
    <w:autoRedefine/>
    <w:uiPriority w:val="98"/>
    <w:semiHidden/>
    <w:rsid w:val="00144EBC"/>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144EBC"/>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144EBC"/>
    <w:pPr>
      <w:spacing w:after="100"/>
      <w:ind w:left="1680"/>
    </w:pPr>
  </w:style>
  <w:style w:type="paragraph" w:styleId="TOC9">
    <w:name w:val="toc 9"/>
    <w:basedOn w:val="Normal"/>
    <w:next w:val="Normal"/>
    <w:autoRedefine/>
    <w:uiPriority w:val="98"/>
    <w:semiHidden/>
    <w:rsid w:val="00144EBC"/>
    <w:pPr>
      <w:spacing w:after="100"/>
      <w:ind w:left="1920"/>
    </w:pPr>
  </w:style>
  <w:style w:type="paragraph" w:customStyle="1" w:styleId="ECHRFooter">
    <w:name w:val="ECHR_Footer"/>
    <w:aliases w:val="Footer_ECHR"/>
    <w:basedOn w:val="Footer1"/>
    <w:uiPriority w:val="57"/>
    <w:semiHidden/>
    <w:rsid w:val="00987A64"/>
    <w:rPr>
      <w:sz w:val="8"/>
    </w:rPr>
  </w:style>
  <w:style w:type="paragraph" w:customStyle="1" w:styleId="Footer">
    <w:name w:val="_Footer"/>
    <w:aliases w:val="Footer_"/>
    <w:basedOn w:val="Footer1"/>
    <w:uiPriority w:val="57"/>
    <w:semiHidden/>
    <w:rsid w:val="000D61E7"/>
    <w:rPr>
      <w:sz w:val="8"/>
    </w:rPr>
  </w:style>
  <w:style w:type="paragraph" w:styleId="Footer1">
    <w:name w:val="footer"/>
    <w:basedOn w:val="Normal"/>
    <w:link w:val="FooterChar"/>
    <w:uiPriority w:val="98"/>
    <w:semiHidden/>
    <w:rsid w:val="00144EBC"/>
    <w:pPr>
      <w:tabs>
        <w:tab w:val="center" w:pos="3686"/>
        <w:tab w:val="right" w:pos="7371"/>
      </w:tabs>
    </w:pPr>
  </w:style>
  <w:style w:type="character" w:customStyle="1" w:styleId="FooterChar">
    <w:name w:val="Footer Char"/>
    <w:basedOn w:val="DefaultParagraphFont"/>
    <w:link w:val="Footer1"/>
    <w:uiPriority w:val="98"/>
    <w:semiHidden/>
    <w:rsid w:val="00144EBC"/>
    <w:rPr>
      <w:sz w:val="24"/>
      <w:szCs w:val="24"/>
      <w:lang w:val="en-GB"/>
    </w:rPr>
  </w:style>
  <w:style w:type="paragraph" w:customStyle="1" w:styleId="ECHRFooterLine">
    <w:name w:val="ECHR_Footer_Line"/>
    <w:aliases w:val="_Footer_Line"/>
    <w:basedOn w:val="Normal"/>
    <w:next w:val="Normal"/>
    <w:uiPriority w:val="30"/>
    <w:semiHidden/>
    <w:rsid w:val="00144EBC"/>
    <w:pPr>
      <w:pBdr>
        <w:top w:val="single" w:sz="6" w:space="1" w:color="5F5F5F"/>
      </w:pBdr>
      <w:tabs>
        <w:tab w:val="center" w:pos="3686"/>
        <w:tab w:val="right" w:pos="7371"/>
      </w:tabs>
      <w:ind w:left="-1474" w:right="-1474"/>
    </w:pPr>
    <w:rPr>
      <w:color w:val="5F5F5F"/>
    </w:rPr>
  </w:style>
  <w:style w:type="table" w:customStyle="1" w:styleId="ECHRListTable">
    <w:name w:val="ECHR_List_Table"/>
    <w:basedOn w:val="TableNormal"/>
    <w:uiPriority w:val="99"/>
    <w:rsid w:val="00144EBC"/>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JuCase">
    <w:name w:val="Ju_Case"/>
    <w:aliases w:val="_Case_Name"/>
    <w:basedOn w:val="Normal"/>
    <w:next w:val="JuPara"/>
    <w:uiPriority w:val="32"/>
    <w:rsid w:val="00144EBC"/>
    <w:pPr>
      <w:ind w:firstLine="284"/>
      <w:jc w:val="both"/>
    </w:pPr>
    <w:rPr>
      <w:b/>
    </w:rPr>
  </w:style>
  <w:style w:type="paragraph" w:styleId="NoteHeading">
    <w:name w:val="Note Heading"/>
    <w:basedOn w:val="Normal"/>
    <w:next w:val="Normal"/>
    <w:link w:val="NoteHeadingChar"/>
    <w:uiPriority w:val="98"/>
    <w:semiHidden/>
    <w:rsid w:val="00144EBC"/>
  </w:style>
  <w:style w:type="character" w:customStyle="1" w:styleId="NoteHeadingChar">
    <w:name w:val="Note Heading Char"/>
    <w:basedOn w:val="DefaultParagraphFont"/>
    <w:link w:val="NoteHeading"/>
    <w:uiPriority w:val="98"/>
    <w:semiHidden/>
    <w:rsid w:val="00144EBC"/>
    <w:rPr>
      <w:sz w:val="24"/>
      <w:szCs w:val="24"/>
      <w:lang w:val="en-GB"/>
    </w:rPr>
  </w:style>
  <w:style w:type="paragraph" w:customStyle="1" w:styleId="ECHRHeaderLandscape">
    <w:name w:val="ECHR_Header_Landscape"/>
    <w:aliases w:val="_Header_Landscape"/>
    <w:basedOn w:val="JuHeader"/>
    <w:uiPriority w:val="29"/>
    <w:semiHidden/>
    <w:rsid w:val="00144EBC"/>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144EBC"/>
    <w:pPr>
      <w:numPr>
        <w:numId w:val="7"/>
      </w:numPr>
      <w:spacing w:before="60" w:after="60"/>
    </w:pPr>
  </w:style>
  <w:style w:type="paragraph" w:customStyle="1" w:styleId="ECHRBullet2">
    <w:name w:val="ECHR_Bullet_2"/>
    <w:aliases w:val="_Bul_2"/>
    <w:basedOn w:val="ECHRBullet1"/>
    <w:uiPriority w:val="23"/>
    <w:semiHidden/>
    <w:rsid w:val="00144EBC"/>
    <w:pPr>
      <w:numPr>
        <w:ilvl w:val="1"/>
      </w:numPr>
    </w:pPr>
  </w:style>
  <w:style w:type="paragraph" w:customStyle="1" w:styleId="ECHRBullet3">
    <w:name w:val="ECHR_Bullet_3"/>
    <w:aliases w:val="_Bul_3"/>
    <w:basedOn w:val="ECHRBullet2"/>
    <w:uiPriority w:val="23"/>
    <w:semiHidden/>
    <w:rsid w:val="00144EBC"/>
    <w:pPr>
      <w:numPr>
        <w:ilvl w:val="2"/>
      </w:numPr>
    </w:pPr>
  </w:style>
  <w:style w:type="paragraph" w:customStyle="1" w:styleId="ECHRBullet4">
    <w:name w:val="ECHR_Bullet_4"/>
    <w:aliases w:val="_Bul_4"/>
    <w:basedOn w:val="ECHRBullet3"/>
    <w:uiPriority w:val="23"/>
    <w:semiHidden/>
    <w:rsid w:val="00144EBC"/>
    <w:pPr>
      <w:numPr>
        <w:ilvl w:val="3"/>
      </w:numPr>
    </w:pPr>
  </w:style>
  <w:style w:type="paragraph" w:customStyle="1" w:styleId="ECHRConfidential">
    <w:name w:val="ECHR_Confidential"/>
    <w:aliases w:val="_Confidential"/>
    <w:basedOn w:val="Normal"/>
    <w:next w:val="Normal"/>
    <w:uiPriority w:val="42"/>
    <w:semiHidden/>
    <w:qFormat/>
    <w:rsid w:val="00144EBC"/>
    <w:pPr>
      <w:jc w:val="right"/>
    </w:pPr>
    <w:rPr>
      <w:color w:val="C00000"/>
      <w:sz w:val="20"/>
    </w:rPr>
  </w:style>
  <w:style w:type="paragraph" w:customStyle="1" w:styleId="ECHRDecisionBody">
    <w:name w:val="ECHR_Decision_Body"/>
    <w:aliases w:val="_Decision_Body"/>
    <w:basedOn w:val="NormalJustified"/>
    <w:uiPriority w:val="54"/>
    <w:semiHidden/>
    <w:rsid w:val="00144EBC"/>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144EBC"/>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144EBC"/>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144EBC"/>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144EBC"/>
    <w:pPr>
      <w:jc w:val="right"/>
    </w:pPr>
    <w:rPr>
      <w:sz w:val="20"/>
    </w:rPr>
  </w:style>
  <w:style w:type="paragraph" w:customStyle="1" w:styleId="ECHRHeaderRefIt">
    <w:name w:val="ECHR_Header_Ref_It"/>
    <w:aliases w:val="_Ref_Ital"/>
    <w:basedOn w:val="Normal"/>
    <w:next w:val="ECHRHeaderDate"/>
    <w:uiPriority w:val="43"/>
    <w:semiHidden/>
    <w:qFormat/>
    <w:rsid w:val="00144EBC"/>
    <w:pPr>
      <w:jc w:val="right"/>
    </w:pPr>
    <w:rPr>
      <w:i/>
      <w:sz w:val="20"/>
    </w:rPr>
  </w:style>
  <w:style w:type="paragraph" w:customStyle="1" w:styleId="ECHRHeading9">
    <w:name w:val="ECHR_Heading_9"/>
    <w:aliases w:val="_Head_9"/>
    <w:basedOn w:val="Heading9"/>
    <w:uiPriority w:val="17"/>
    <w:semiHidden/>
    <w:rsid w:val="00144EBC"/>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144EBC"/>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144EBC"/>
    <w:pPr>
      <w:numPr>
        <w:numId w:val="8"/>
      </w:numPr>
      <w:spacing w:before="60" w:after="60"/>
    </w:pPr>
  </w:style>
  <w:style w:type="paragraph" w:customStyle="1" w:styleId="ECHRNumberedList2">
    <w:name w:val="ECHR_Numbered_List_2"/>
    <w:aliases w:val="_Num_2"/>
    <w:basedOn w:val="ECHRNumberedList1"/>
    <w:uiPriority w:val="23"/>
    <w:semiHidden/>
    <w:rsid w:val="00144EBC"/>
    <w:pPr>
      <w:numPr>
        <w:ilvl w:val="1"/>
      </w:numPr>
    </w:pPr>
  </w:style>
  <w:style w:type="paragraph" w:customStyle="1" w:styleId="ECHRNumberedList3">
    <w:name w:val="ECHR_Numbered_List_3"/>
    <w:aliases w:val="_Num_3"/>
    <w:basedOn w:val="ECHRNumberedList2"/>
    <w:uiPriority w:val="23"/>
    <w:semiHidden/>
    <w:rsid w:val="00144EBC"/>
    <w:pPr>
      <w:numPr>
        <w:ilvl w:val="2"/>
      </w:numPr>
    </w:pPr>
  </w:style>
  <w:style w:type="paragraph" w:customStyle="1" w:styleId="ECHRParaHanging">
    <w:name w:val="ECHR_Para_Hanging"/>
    <w:aliases w:val="_Hanging"/>
    <w:basedOn w:val="Normal"/>
    <w:uiPriority w:val="8"/>
    <w:semiHidden/>
    <w:qFormat/>
    <w:rsid w:val="00144EBC"/>
    <w:pPr>
      <w:ind w:left="567" w:hanging="567"/>
      <w:jc w:val="both"/>
    </w:pPr>
  </w:style>
  <w:style w:type="paragraph" w:customStyle="1" w:styleId="ECHRParaIndent">
    <w:name w:val="ECHR_Para_Indent"/>
    <w:aliases w:val="_Indent"/>
    <w:basedOn w:val="Normal"/>
    <w:uiPriority w:val="7"/>
    <w:semiHidden/>
    <w:qFormat/>
    <w:rsid w:val="00144EBC"/>
    <w:pPr>
      <w:spacing w:before="120" w:after="120"/>
      <w:ind w:left="284"/>
      <w:jc w:val="both"/>
    </w:pPr>
  </w:style>
  <w:style w:type="character" w:customStyle="1" w:styleId="ECHRRed">
    <w:name w:val="ECHR_Red"/>
    <w:aliases w:val="_Red"/>
    <w:basedOn w:val="DefaultParagraphFont"/>
    <w:uiPriority w:val="15"/>
    <w:semiHidden/>
    <w:qFormat/>
    <w:rsid w:val="00144EBC"/>
    <w:rPr>
      <w:color w:val="C00000" w:themeColor="accent2"/>
    </w:rPr>
  </w:style>
  <w:style w:type="paragraph" w:customStyle="1" w:styleId="DecList">
    <w:name w:val="Dec_List"/>
    <w:aliases w:val="_List"/>
    <w:basedOn w:val="JuList"/>
    <w:uiPriority w:val="22"/>
    <w:rsid w:val="00144EBC"/>
    <w:pPr>
      <w:numPr>
        <w:numId w:val="0"/>
      </w:numPr>
      <w:ind w:left="284"/>
    </w:pPr>
  </w:style>
  <w:style w:type="table" w:customStyle="1" w:styleId="ECHRTable">
    <w:name w:val="ECHR_Table"/>
    <w:basedOn w:val="TableNormal"/>
    <w:rsid w:val="00144EBC"/>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2">
    <w:name w:val="ECHR_Table_2"/>
    <w:basedOn w:val="TableNormal"/>
    <w:uiPriority w:val="99"/>
    <w:rsid w:val="00144EBC"/>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144EB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144EBC"/>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144EBC"/>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144EBC"/>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144EBC"/>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144EBC"/>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144EBC"/>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144EBC"/>
    <w:pPr>
      <w:outlineLvl w:val="0"/>
    </w:pPr>
  </w:style>
  <w:style w:type="paragraph" w:customStyle="1" w:styleId="ECHRTitleTOC1">
    <w:name w:val="ECHR_Title_TOC_1"/>
    <w:aliases w:val="_Title_L_TOC"/>
    <w:basedOn w:val="ECHRTitle1"/>
    <w:next w:val="Normal"/>
    <w:uiPriority w:val="27"/>
    <w:semiHidden/>
    <w:qFormat/>
    <w:rsid w:val="00144EBC"/>
    <w:pPr>
      <w:outlineLvl w:val="0"/>
    </w:pPr>
  </w:style>
  <w:style w:type="table" w:customStyle="1" w:styleId="LtrTableAddress">
    <w:name w:val="Ltr_Table_Address"/>
    <w:aliases w:val="ECHR_Ltr_Table_Address"/>
    <w:basedOn w:val="TableNormal"/>
    <w:uiPriority w:val="99"/>
    <w:rsid w:val="00144EBC"/>
    <w:rPr>
      <w:sz w:val="24"/>
      <w:szCs w:val="24"/>
    </w:rPr>
    <w:tblPr>
      <w:tblInd w:w="5103" w:type="dxa"/>
    </w:tblPr>
  </w:style>
  <w:style w:type="table" w:customStyle="1" w:styleId="PCFTableStyle">
    <w:name w:val="PCF_Table_Style"/>
    <w:aliases w:val="ECHR_PCF_Table_Style"/>
    <w:basedOn w:val="TableNormal"/>
    <w:uiPriority w:val="99"/>
    <w:rsid w:val="00144EBC"/>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UGTable">
    <w:name w:val="UG_Table"/>
    <w:aliases w:val="ECHR_UG_Table"/>
    <w:basedOn w:val="TableNormal"/>
    <w:uiPriority w:val="99"/>
    <w:rsid w:val="00144EBC"/>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144EBC"/>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customStyle="1" w:styleId="ECHRPlaceholder">
    <w:name w:val="ECHR_Placeholder"/>
    <w:aliases w:val="_Placeholder"/>
    <w:basedOn w:val="JuSigned"/>
    <w:uiPriority w:val="31"/>
    <w:rsid w:val="00144EBC"/>
    <w:rPr>
      <w:color w:val="FFFFFF"/>
    </w:rPr>
  </w:style>
  <w:style w:type="paragraph" w:customStyle="1" w:styleId="ECHRSpacer">
    <w:name w:val="ECHR_Spacer"/>
    <w:aliases w:val="_Spacer"/>
    <w:basedOn w:val="Normal"/>
    <w:uiPriority w:val="45"/>
    <w:semiHidden/>
    <w:rsid w:val="00144EBC"/>
    <w:rPr>
      <w:sz w:val="4"/>
    </w:rPr>
  </w:style>
  <w:style w:type="table" w:customStyle="1" w:styleId="ECHRTableGrey">
    <w:name w:val="ECHR_Table_Grey"/>
    <w:basedOn w:val="TableNormal"/>
    <w:uiPriority w:val="99"/>
    <w:rsid w:val="00144EBC"/>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table" w:customStyle="1" w:styleId="ECHRTableOddBanded">
    <w:name w:val="ECHR_Table_Odd_Banded"/>
    <w:basedOn w:val="TableNormal"/>
    <w:uiPriority w:val="99"/>
    <w:rsid w:val="00144EBC"/>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character" w:styleId="UnresolvedMention">
    <w:name w:val="Unresolved Mention"/>
    <w:basedOn w:val="DefaultParagraphFont"/>
    <w:uiPriority w:val="99"/>
    <w:semiHidden/>
    <w:unhideWhenUsed/>
    <w:rsid w:val="00CB3BD9"/>
    <w:rPr>
      <w:color w:val="605E5C"/>
      <w:shd w:val="clear" w:color="auto" w:fill="E1DFDD"/>
    </w:rPr>
  </w:style>
  <w:style w:type="character" w:customStyle="1" w:styleId="JuParaChar">
    <w:name w:val="Ju_Para Char"/>
    <w:aliases w:val="_Para Char"/>
    <w:link w:val="JuPara"/>
    <w:uiPriority w:val="4"/>
    <w:rsid w:val="00125E71"/>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9D660E-415E-4998-9B61-2168D4318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2116</Words>
  <Characters>13714</Characters>
  <Application>Microsoft Office Word</Application>
  <DocSecurity>0</DocSecurity>
  <Lines>114</Lines>
  <Paragraphs>31</Paragraphs>
  <ScaleCrop>false</ScaleCrop>
  <HeadingPairs>
    <vt:vector size="2" baseType="variant">
      <vt:variant>
        <vt:lpstr>Title</vt:lpstr>
      </vt:variant>
      <vt:variant>
        <vt:i4>1</vt:i4>
      </vt:variant>
    </vt:vector>
  </HeadingPairs>
  <TitlesOfParts>
    <vt:vector size="1" baseType="lpstr">
      <vt:lpstr>Decision</vt:lpstr>
    </vt:vector>
  </TitlesOfParts>
  <Company/>
  <LinksUpToDate>false</LinksUpToDate>
  <CharactersWithSpaces>15799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cp:revision>1</cp:revision>
  <dcterms:created xsi:type="dcterms:W3CDTF">2026-01-12T14:10:00Z</dcterms:created>
  <dcterms:modified xsi:type="dcterms:W3CDTF">2026-01-12T14:13:00Z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1703393</vt:lpwstr>
  </property>
  <property fmtid="{D5CDD505-2E9C-101B-9397-08002B2CF9AE}" pid="3" name="cstLanguage">
    <vt:i4>2057</vt:i4>
  </property>
  <property fmtid="{D5CDD505-2E9C-101B-9397-08002B2CF9AE}" pid="4" name="eDOCS AutoSave">
    <vt:lpwstr/>
  </property>
  <property fmtid="{D5CDD505-2E9C-101B-9397-08002B2CF9AE}" pid="5" name="RegisteredNo">
    <vt:lpwstr>12075/22</vt:lpwstr>
  </property>
</Properties>
</file>