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7E60A8" w:rsidR="00617CE5" w:rsidP="007E60A8" w14:paraId="46F4E6BF" w14:textId="77777777">
      <w:pPr>
        <w:jc w:val="center"/>
        <w:rPr>
          <w:rFonts w:ascii="Times New Roman" w:hAnsi="Times New Roman" w:cs="Times New Roman"/>
          <w:noProof/>
        </w:rPr>
      </w:pPr>
    </w:p>
    <w:p w:rsidRPr="007E60A8" w:rsidR="0098410D" w:rsidP="007E60A8" w14:paraId="01D99980" w14:textId="77777777">
      <w:pPr>
        <w:jc w:val="center"/>
      </w:pPr>
    </w:p>
    <w:p w:rsidRPr="007E60A8" w:rsidR="0098410D" w:rsidP="007E60A8" w14:paraId="13E266A5" w14:textId="4A634C61">
      <w:pPr>
        <w:pStyle w:val="DecHTitle"/>
      </w:pPr>
      <w:r w:rsidRPr="007E60A8">
        <w:t>FIFTH SECTION</w:t>
      </w:r>
    </w:p>
    <w:p w:rsidRPr="007E60A8" w:rsidR="008E6217" w:rsidP="007E60A8" w14:paraId="6F8882AF" w14:textId="707F6BA8">
      <w:pPr>
        <w:pStyle w:val="JuTitle"/>
      </w:pPr>
      <w:r w:rsidRPr="007E60A8">
        <w:rPr>
          <w:color w:val="000000" w:themeColor="text1"/>
        </w:rPr>
        <w:t xml:space="preserve">CASE OF </w:t>
      </w:r>
      <w:r w:rsidRPr="007E60A8" w:rsidR="00617CE5">
        <w:t>NAYYEM v. UKRAINE</w:t>
      </w:r>
    </w:p>
    <w:p w:rsidRPr="007E60A8" w:rsidR="00D74888" w:rsidP="007E60A8" w14:paraId="23110ABB" w14:textId="60AF972A">
      <w:pPr>
        <w:pStyle w:val="ECHRCoverTitle4"/>
      </w:pPr>
      <w:r w:rsidRPr="007E60A8">
        <w:t>(</w:t>
      </w:r>
      <w:r w:rsidRPr="007E60A8" w:rsidR="00617CE5">
        <w:rPr>
          <w:noProof/>
        </w:rPr>
        <w:t>Application no.</w:t>
      </w:r>
      <w:r w:rsidRPr="007E60A8">
        <w:t xml:space="preserve"> </w:t>
      </w:r>
      <w:r w:rsidRPr="007E60A8" w:rsidR="00617CE5">
        <w:t>21174/23</w:t>
      </w:r>
      <w:r w:rsidRPr="007E60A8">
        <w:t>)</w:t>
      </w:r>
    </w:p>
    <w:p w:rsidRPr="007E60A8" w:rsidR="0098410D" w:rsidP="007E60A8" w14:paraId="5FD55C88" w14:textId="77777777">
      <w:pPr>
        <w:pStyle w:val="DecHCase"/>
      </w:pPr>
    </w:p>
    <w:p w:rsidRPr="007E60A8" w:rsidR="0054716E" w:rsidP="007E60A8" w14:paraId="174BBAE1" w14:textId="77777777">
      <w:pPr>
        <w:pStyle w:val="DecHCase"/>
      </w:pPr>
    </w:p>
    <w:p w:rsidRPr="007E60A8" w:rsidR="0054716E" w:rsidP="007E60A8" w14:paraId="4F4D0BAD" w14:textId="77777777">
      <w:pPr>
        <w:pStyle w:val="DecHCase"/>
      </w:pPr>
    </w:p>
    <w:p w:rsidRPr="007E60A8" w:rsidR="0098410D" w:rsidP="007E60A8" w14:paraId="59C5BFB1" w14:textId="77777777">
      <w:pPr>
        <w:pStyle w:val="DecHCase"/>
      </w:pPr>
    </w:p>
    <w:p w:rsidRPr="007E60A8" w:rsidR="00AC4CD4" w:rsidP="007E60A8" w14:paraId="1257CCF5" w14:textId="77777777">
      <w:pPr>
        <w:pStyle w:val="DecHCase"/>
      </w:pPr>
    </w:p>
    <w:p w:rsidRPr="007E60A8" w:rsidR="0098410D" w:rsidP="007E60A8" w14:paraId="4D5E9CCF" w14:textId="77777777">
      <w:pPr>
        <w:pStyle w:val="DecHCase"/>
      </w:pPr>
    </w:p>
    <w:p w:rsidRPr="007E60A8" w:rsidR="0098410D" w:rsidP="007E60A8" w14:paraId="41B287D1" w14:textId="1933DD41">
      <w:pPr>
        <w:pStyle w:val="DecHCase"/>
      </w:pPr>
      <w:r w:rsidRPr="007E60A8">
        <w:t>JUDGMENT</w:t>
      </w:r>
      <w:r w:rsidRPr="007E60A8" w:rsidR="00AC4CD4">
        <w:br/>
      </w:r>
    </w:p>
    <w:p w:rsidRPr="007E60A8" w:rsidR="0098410D" w:rsidP="007E60A8" w14:paraId="791135DD" w14:textId="77777777">
      <w:pPr>
        <w:pStyle w:val="DecHCase"/>
      </w:pPr>
      <w:r w:rsidRPr="007E60A8">
        <w:t>STRASBOURG</w:t>
      </w:r>
    </w:p>
    <w:p w:rsidRPr="007E60A8" w:rsidR="0098410D" w:rsidP="007E60A8" w14:paraId="244C506E" w14:textId="2B6F1CC7">
      <w:pPr>
        <w:pStyle w:val="DecHCase"/>
      </w:pPr>
      <w:r w:rsidRPr="007E60A8">
        <w:rPr>
          <w:rFonts w:ascii="Times New Roman" w:hAnsi="Times New Roman" w:cs="Times New Roman"/>
        </w:rPr>
        <w:t>18 December 2025</w:t>
      </w:r>
    </w:p>
    <w:p w:rsidRPr="007E60A8" w:rsidR="00AC4CD4" w:rsidP="007E60A8" w14:paraId="1EB64A3B" w14:textId="77777777">
      <w:pPr>
        <w:pStyle w:val="JuPara"/>
      </w:pPr>
    </w:p>
    <w:p w:rsidRPr="007E60A8" w:rsidR="002422B6" w:rsidP="007E60A8" w14:paraId="524A6ABC" w14:textId="10032CA8">
      <w:pPr>
        <w:rPr>
          <w:i/>
          <w:sz w:val="22"/>
        </w:rPr>
      </w:pPr>
      <w:r w:rsidRPr="007E60A8">
        <w:rPr>
          <w:i/>
          <w:sz w:val="22"/>
        </w:rPr>
        <w:t xml:space="preserve">This judgment </w:t>
      </w:r>
      <w:r w:rsidRPr="007E60A8" w:rsidR="00617CE5">
        <w:rPr>
          <w:i/>
          <w:noProof/>
          <w:sz w:val="22"/>
        </w:rPr>
        <w:t>is final but it</w:t>
      </w:r>
      <w:r w:rsidRPr="007E60A8">
        <w:rPr>
          <w:i/>
          <w:sz w:val="22"/>
        </w:rPr>
        <w:t xml:space="preserve"> may be subject to editorial revision.</w:t>
      </w:r>
    </w:p>
    <w:p w:rsidRPr="007E60A8" w:rsidR="0098410D" w:rsidP="007E60A8" w14:paraId="0BED9C12" w14:textId="77777777">
      <w:pPr>
        <w:sectPr w:rsidSect="00D66471">
          <w:headerReference w:type="default" r:id="rId6"/>
          <w:footerReference w:type="default" r:id="rId7"/>
          <w:headerReference w:type="first" r:id="rId8"/>
          <w:footerReference w:type="first" r:id="rId9"/>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7E60A8" w:rsidR="0098410D" w:rsidP="007E60A8" w14:paraId="358915FD" w14:textId="74640614">
      <w:pPr>
        <w:pStyle w:val="JuCase"/>
      </w:pPr>
      <w:r w:rsidRPr="007E60A8">
        <w:t xml:space="preserve">In the case of </w:t>
      </w:r>
      <w:r w:rsidRPr="007E60A8" w:rsidR="00617CE5">
        <w:t>Nayyem v. Ukraine</w:t>
      </w:r>
      <w:r w:rsidRPr="007E60A8">
        <w:t>,</w:t>
      </w:r>
    </w:p>
    <w:p w:rsidRPr="007E60A8" w:rsidR="009F4C8F" w:rsidP="007E60A8" w14:paraId="671D4E45" w14:textId="502CA6BA">
      <w:pPr>
        <w:pStyle w:val="JuPara"/>
      </w:pPr>
      <w:r w:rsidRPr="007E60A8">
        <w:t>The European Court of Human Rights (</w:t>
      </w:r>
      <w:r w:rsidRPr="007E60A8" w:rsidR="00617CE5">
        <w:t>Fifth Section</w:t>
      </w:r>
      <w:r w:rsidRPr="007E60A8">
        <w:t xml:space="preserve">), sitting as a </w:t>
      </w:r>
      <w:r w:rsidRPr="007E60A8" w:rsidR="00617CE5">
        <w:rPr>
          <w:noProof/>
        </w:rPr>
        <w:t>Committee</w:t>
      </w:r>
      <w:r w:rsidRPr="007E60A8">
        <w:t xml:space="preserve"> composed of:</w:t>
      </w:r>
    </w:p>
    <w:p w:rsidRPr="007E60A8" w:rsidR="00A92625" w:rsidP="007E60A8" w14:paraId="6A509238" w14:textId="53D16AD1">
      <w:pPr>
        <w:pStyle w:val="JuJudges"/>
      </w:pPr>
      <w:r w:rsidRPr="007E60A8">
        <w:rPr>
          <w:bCs/>
        </w:rPr>
        <w:tab/>
        <w:t xml:space="preserve">Gilberto </w:t>
      </w:r>
      <w:r w:rsidRPr="007E60A8">
        <w:rPr>
          <w:bCs/>
        </w:rPr>
        <w:t>Felici</w:t>
      </w:r>
      <w:r w:rsidRPr="007E60A8">
        <w:rPr>
          <w:i/>
        </w:rPr>
        <w:t>, President</w:t>
      </w:r>
      <w:r w:rsidRPr="007E60A8">
        <w:t>,</w:t>
      </w:r>
      <w:r w:rsidRPr="007E60A8">
        <w:br/>
      </w:r>
      <w:r w:rsidRPr="007E60A8">
        <w:tab/>
        <w:t xml:space="preserve">Mykola </w:t>
      </w:r>
      <w:r w:rsidRPr="007E60A8">
        <w:t>Gnatovskyy</w:t>
      </w:r>
      <w:r w:rsidRPr="007E60A8">
        <w:t>,</w:t>
      </w:r>
      <w:r w:rsidRPr="007E60A8">
        <w:br/>
      </w:r>
      <w:r w:rsidRPr="007E60A8">
        <w:tab/>
      </w:r>
      <w:r w:rsidRPr="007E60A8">
        <w:t>Vahe</w:t>
      </w:r>
      <w:r w:rsidRPr="007E60A8">
        <w:t xml:space="preserve"> </w:t>
      </w:r>
      <w:r w:rsidRPr="007E60A8">
        <w:t>Grigoryan</w:t>
      </w:r>
      <w:r w:rsidRPr="007E60A8">
        <w:rPr>
          <w:i/>
        </w:rPr>
        <w:t>, judges</w:t>
      </w:r>
      <w:r w:rsidRPr="007E60A8">
        <w:t>,</w:t>
      </w:r>
      <w:r w:rsidRPr="007E60A8" w:rsidR="009F4C8F">
        <w:br/>
        <w:t>and</w:t>
      </w:r>
      <w:r w:rsidRPr="007E60A8" w:rsidR="005C2C62">
        <w:t xml:space="preserve"> </w:t>
      </w:r>
      <w:r w:rsidRPr="007E60A8" w:rsidR="00617CE5">
        <w:rPr>
          <w:rFonts w:eastAsia="PMingLiU"/>
          <w:noProof/>
        </w:rPr>
        <w:t>Martina Keller</w:t>
      </w:r>
      <w:r w:rsidRPr="007E60A8">
        <w:t xml:space="preserve">, </w:t>
      </w:r>
      <w:r w:rsidRPr="007E60A8" w:rsidR="00617CE5">
        <w:rPr>
          <w:i/>
          <w:iCs/>
          <w:noProof/>
        </w:rPr>
        <w:t xml:space="preserve">Deputy </w:t>
      </w:r>
      <w:r w:rsidRPr="007E60A8" w:rsidR="00E744E0">
        <w:rPr>
          <w:i/>
        </w:rPr>
        <w:t xml:space="preserve">Section </w:t>
      </w:r>
      <w:r w:rsidRPr="007E60A8" w:rsidR="00E744E0">
        <w:rPr>
          <w:i/>
          <w:iCs/>
        </w:rPr>
        <w:t>Registrar</w:t>
      </w:r>
      <w:r w:rsidRPr="007E60A8" w:rsidR="008F2465">
        <w:rPr>
          <w:i/>
        </w:rPr>
        <w:t>,</w:t>
      </w:r>
    </w:p>
    <w:p w:rsidRPr="007E60A8" w:rsidR="00617CE5" w:rsidP="007E60A8" w14:paraId="3006506D" w14:textId="77777777">
      <w:pPr>
        <w:pStyle w:val="JuPara"/>
      </w:pPr>
      <w:r w:rsidRPr="007E60A8">
        <w:t>Having regard to:</w:t>
      </w:r>
    </w:p>
    <w:p w:rsidRPr="007E60A8" w:rsidR="00617CE5" w:rsidP="007E60A8" w14:paraId="7D483684" w14:textId="682C6212">
      <w:pPr>
        <w:pStyle w:val="JuPara"/>
      </w:pPr>
      <w:r w:rsidRPr="007E60A8">
        <w:t xml:space="preserve">the application (no. 21174/23) against Ukraine lodged with the Court under Article 34 of the Convention for the Protection of Human Rights and Fundamental Freedoms (“the Convention”) on 20 July 2023 by a Ukrainian national, Mr Mustafa-Masi Nayyem (“the applicant”), who was born in 1981, lives in Kyiv and was represented by Ms Y. </w:t>
      </w:r>
      <w:r w:rsidRPr="007E60A8">
        <w:t>Naumenko</w:t>
      </w:r>
      <w:r w:rsidRPr="007E60A8">
        <w:t xml:space="preserve"> and Ms</w:t>
      </w:r>
      <w:r w:rsidRPr="007E60A8" w:rsidR="00ED7C82">
        <w:t> </w:t>
      </w:r>
      <w:r w:rsidRPr="007E60A8">
        <w:t>Y.</w:t>
      </w:r>
      <w:r w:rsidRPr="007E60A8" w:rsidR="00ED7C82">
        <w:t> </w:t>
      </w:r>
      <w:r w:rsidRPr="007E60A8">
        <w:t xml:space="preserve">Kovalenko, lawyers practising in </w:t>
      </w:r>
      <w:r w:rsidRPr="007E60A8">
        <w:t>Kyiv;</w:t>
      </w:r>
    </w:p>
    <w:p w:rsidRPr="007E60A8" w:rsidR="00617CE5" w:rsidP="007E60A8" w14:paraId="56606CC0" w14:textId="77777777">
      <w:pPr>
        <w:pStyle w:val="JuPara"/>
      </w:pPr>
      <w:r w:rsidRPr="007E60A8">
        <w:t xml:space="preserve">the decision to give notice of the application to the Ukrainian Government (“the Government”), represented by their Agent, Ms M. </w:t>
      </w:r>
      <w:r w:rsidRPr="007E60A8">
        <w:t>Sokorenko</w:t>
      </w:r>
      <w:r w:rsidRPr="007E60A8">
        <w:t>;</w:t>
      </w:r>
    </w:p>
    <w:p w:rsidRPr="007E60A8" w:rsidR="00617CE5" w:rsidP="007E60A8" w14:paraId="4C38D2E6" w14:textId="6C20399A">
      <w:pPr>
        <w:pStyle w:val="JuPara"/>
      </w:pPr>
      <w:r w:rsidRPr="007E60A8">
        <w:t>the parties</w:t>
      </w:r>
      <w:r w:rsidRPr="007E60A8" w:rsidR="007E60A8">
        <w:t>’</w:t>
      </w:r>
      <w:r w:rsidRPr="007E60A8">
        <w:t xml:space="preserve"> </w:t>
      </w:r>
      <w:r w:rsidRPr="007E60A8">
        <w:t>observations;</w:t>
      </w:r>
    </w:p>
    <w:p w:rsidRPr="007E60A8" w:rsidR="00617CE5" w:rsidP="007E60A8" w14:paraId="3AFF9088" w14:textId="77777777">
      <w:pPr>
        <w:pStyle w:val="JuPara"/>
      </w:pPr>
    </w:p>
    <w:p w:rsidRPr="007E60A8" w:rsidR="009F4C8F" w:rsidP="007E60A8" w14:paraId="7958761D" w14:textId="6ED42896">
      <w:pPr>
        <w:pStyle w:val="JuPara"/>
      </w:pPr>
      <w:r w:rsidRPr="007E60A8">
        <w:t xml:space="preserve">Having deliberated in private on </w:t>
      </w:r>
      <w:r w:rsidRPr="007E60A8" w:rsidR="00617CE5">
        <w:t>27 November 2025</w:t>
      </w:r>
      <w:r w:rsidRPr="007E60A8">
        <w:t>,</w:t>
      </w:r>
    </w:p>
    <w:p w:rsidRPr="007E60A8" w:rsidR="009F4C8F" w:rsidP="007E60A8" w14:paraId="51B82607" w14:textId="77777777">
      <w:pPr>
        <w:pStyle w:val="JuPara"/>
      </w:pPr>
      <w:r w:rsidRPr="007E60A8">
        <w:t>Delivers the following judgment, which was adopted on that date:</w:t>
      </w:r>
    </w:p>
    <w:p w:rsidRPr="007E60A8" w:rsidR="00617CE5" w:rsidP="007E60A8" w14:paraId="2097BF2D" w14:textId="797F0418">
      <w:pPr>
        <w:pStyle w:val="JuHHead"/>
        <w:numPr>
          <w:ilvl w:val="0"/>
          <w:numId w:val="0"/>
        </w:numPr>
      </w:pPr>
      <w:r w:rsidRPr="007E60A8">
        <w:t>SUBJECT MATTER OF THE CASE</w:t>
      </w:r>
    </w:p>
    <w:p w:rsidRPr="007E60A8" w:rsidR="00617CE5" w:rsidP="007E60A8" w14:paraId="788DD2A6" w14:textId="04F571AE">
      <w:pPr>
        <w:pStyle w:val="JuPara"/>
      </w:pPr>
      <w:r>
        <w:fldChar w:fldCharType="begin"/>
      </w:r>
      <w:r>
        <w:instrText xml:space="preserve"> SEQ level0 \*arabic \* MERGEFORMAT </w:instrText>
      </w:r>
      <w:r>
        <w:fldChar w:fldCharType="separate"/>
      </w:r>
      <w:r w:rsidRPr="007E60A8" w:rsidR="007E60A8">
        <w:rPr>
          <w:noProof/>
        </w:rPr>
        <w:t>1</w:t>
      </w:r>
      <w:r w:rsidRPr="007E60A8" w:rsidR="007E60A8">
        <w:rPr>
          <w:noProof/>
        </w:rPr>
        <w:fldChar w:fldCharType="end"/>
      </w:r>
      <w:r w:rsidRPr="007E60A8">
        <w:t>.  The application concerns the applicant</w:t>
      </w:r>
      <w:r w:rsidRPr="007E60A8" w:rsidR="007E60A8">
        <w:t>’</w:t>
      </w:r>
      <w:r w:rsidRPr="007E60A8">
        <w:t>s complaint under Article 3 of the Convention that there was no effective investigation into his ill-treatment by private individuals.</w:t>
      </w:r>
    </w:p>
    <w:p w:rsidRPr="007E60A8" w:rsidR="00617CE5" w:rsidP="007E60A8" w14:paraId="73D71812" w14:textId="7DDB1405">
      <w:pPr>
        <w:pStyle w:val="JuPara"/>
      </w:pPr>
      <w:r>
        <w:fldChar w:fldCharType="begin"/>
      </w:r>
      <w:r>
        <w:instrText xml:space="preserve"> SEQ level0 \*arabic \* MERGEFORMAT </w:instrText>
      </w:r>
      <w:r>
        <w:fldChar w:fldCharType="separate"/>
      </w:r>
      <w:r w:rsidRPr="007E60A8" w:rsidR="007E60A8">
        <w:rPr>
          <w:noProof/>
        </w:rPr>
        <w:t>2</w:t>
      </w:r>
      <w:r w:rsidRPr="007E60A8" w:rsidR="007E60A8">
        <w:rPr>
          <w:noProof/>
        </w:rPr>
        <w:fldChar w:fldCharType="end"/>
      </w:r>
      <w:r w:rsidRPr="007E60A8">
        <w:t>.  The applicant is a politician. At the material time he was a member of the Ukrainian Parliament.</w:t>
      </w:r>
    </w:p>
    <w:bookmarkStart w:name="paragraph00003" w:id="0"/>
    <w:p w:rsidRPr="007E60A8" w:rsidR="00617CE5" w:rsidP="007E60A8" w14:paraId="1DC36ECA" w14:textId="0E7D53F4">
      <w:pPr>
        <w:pStyle w:val="JuPara"/>
      </w:pPr>
      <w:r w:rsidRPr="007E60A8">
        <w:fldChar w:fldCharType="begin"/>
      </w:r>
      <w:r w:rsidRPr="007E60A8">
        <w:instrText xml:space="preserve"> SEQ level0 \*arabic \* MERGEFORMAT </w:instrText>
      </w:r>
      <w:r w:rsidRPr="007E60A8">
        <w:fldChar w:fldCharType="separate"/>
      </w:r>
      <w:r w:rsidRPr="007E60A8" w:rsidR="007E60A8">
        <w:rPr>
          <w:noProof/>
        </w:rPr>
        <w:t>3</w:t>
      </w:r>
      <w:r w:rsidRPr="007E60A8">
        <w:fldChar w:fldCharType="end"/>
      </w:r>
      <w:bookmarkEnd w:id="0"/>
      <w:r w:rsidRPr="007E60A8">
        <w:t>.  According to the applicant and the findings of the domestic pre-trial investigation, on 30 April 2018, during a dispute following a traffic accident, the applicant was beaten and struck several times in the head by a group of private individuals (A., M.-S., M.-A. and U.). M.-A. allegedly punched him in the jaw, while U. held his arms and A. and M.-S. surrounded them, preventing the applicant from leaving. M.-S. also allegedly punched the applicant twice in the head. Subsequently, while the applicant was chasing M.-A., U. allegedly grabbed the applicant by the neck, threw him to the ground and hit him several times. As a result, the applicant sustained a fractured jaw, a closed-head injury, a concussion, and bruises. On the same day a criminal investigation was initiated into the offences of hooliganism</w:t>
      </w:r>
      <w:r>
        <w:rPr>
          <w:rStyle w:val="FootnoteReference"/>
        </w:rPr>
        <w:footnoteReference w:id="2"/>
      </w:r>
      <w:r w:rsidRPr="007E60A8">
        <w:t xml:space="preserve"> and inflicting bodily injuries on the applicant. Subsequently, A., M.-S., and U. were charged with hooliganism, while M.-A. faced charges of hooliganism </w:t>
      </w:r>
      <w:r w:rsidRPr="007E60A8">
        <w:t>and causing bodily harm to the applicant. On 1 May 2018 the applicant underwent jaw surgery.</w:t>
      </w:r>
    </w:p>
    <w:bookmarkStart w:name="paragraph00004" w:id="1"/>
    <w:p w:rsidRPr="007E60A8" w:rsidR="00617CE5" w:rsidP="007E60A8" w14:paraId="6D7E05C9" w14:textId="2BD4AAA8">
      <w:pPr>
        <w:pStyle w:val="JuPara"/>
      </w:pPr>
      <w:r w:rsidRPr="007E60A8">
        <w:fldChar w:fldCharType="begin"/>
      </w:r>
      <w:r w:rsidRPr="007E60A8">
        <w:instrText xml:space="preserve"> SEQ level0 \*arabic \* MERGEFORMAT </w:instrText>
      </w:r>
      <w:r w:rsidRPr="007E60A8">
        <w:fldChar w:fldCharType="separate"/>
      </w:r>
      <w:r w:rsidRPr="007E60A8" w:rsidR="007E60A8">
        <w:rPr>
          <w:noProof/>
        </w:rPr>
        <w:t>4</w:t>
      </w:r>
      <w:r w:rsidRPr="007E60A8">
        <w:fldChar w:fldCharType="end"/>
      </w:r>
      <w:bookmarkEnd w:id="1"/>
      <w:r w:rsidRPr="007E60A8">
        <w:t>.  During the investigation the police questioned the applicant and witnesses, examined video</w:t>
      </w:r>
      <w:r w:rsidRPr="007E60A8">
        <w:noBreakHyphen/>
        <w:t>recordings of the events from CCTV</w:t>
      </w:r>
      <w:r>
        <w:rPr>
          <w:rStyle w:val="FootnoteReference"/>
        </w:rPr>
        <w:footnoteReference w:id="3"/>
      </w:r>
      <w:r w:rsidRPr="007E60A8">
        <w:t xml:space="preserve"> cameras and conducted a reconstruction of the incident. On 7 March 2019 a forensic medical examination established that the injuries sustained by the applicant were of moderate severity.</w:t>
      </w:r>
    </w:p>
    <w:p w:rsidRPr="007E60A8" w:rsidR="00617CE5" w:rsidP="007E60A8" w14:paraId="16B0D806" w14:textId="6CE9FC96">
      <w:pPr>
        <w:pStyle w:val="JuPara"/>
      </w:pPr>
      <w:r>
        <w:fldChar w:fldCharType="begin"/>
      </w:r>
      <w:r>
        <w:instrText xml:space="preserve"> SEQ level0 \*arabic \* MERGEFORMAT </w:instrText>
      </w:r>
      <w:r>
        <w:fldChar w:fldCharType="separate"/>
      </w:r>
      <w:r w:rsidRPr="007E60A8" w:rsidR="007E60A8">
        <w:rPr>
          <w:noProof/>
        </w:rPr>
        <w:t>5</w:t>
      </w:r>
      <w:r w:rsidRPr="007E60A8" w:rsidR="007E60A8">
        <w:rPr>
          <w:noProof/>
        </w:rPr>
        <w:fldChar w:fldCharType="end"/>
      </w:r>
      <w:r w:rsidRPr="007E60A8">
        <w:t>.  On 30 June 2020 the trial court acquitted A., M.-S. and U. of hooliganism and dismissed a civil claim which had been lodged by the applicant. The Kyiv Court of Appeal and the Supreme Court upheld the acquittal on 17 November 2021 and 20 March 2023 respectively.</w:t>
      </w:r>
    </w:p>
    <w:p w:rsidRPr="007E60A8" w:rsidR="00617CE5" w:rsidP="007E60A8" w14:paraId="195C1627" w14:textId="6768D036">
      <w:pPr>
        <w:pStyle w:val="JuPara"/>
      </w:pPr>
      <w:r>
        <w:fldChar w:fldCharType="begin"/>
      </w:r>
      <w:r>
        <w:instrText xml:space="preserve"> SEQ level0 \*arabic \* MERGEFORMAT </w:instrText>
      </w:r>
      <w:r>
        <w:fldChar w:fldCharType="separate"/>
      </w:r>
      <w:r w:rsidRPr="007E60A8" w:rsidR="007E60A8">
        <w:rPr>
          <w:noProof/>
        </w:rPr>
        <w:t>6</w:t>
      </w:r>
      <w:r w:rsidRPr="007E60A8" w:rsidR="007E60A8">
        <w:rPr>
          <w:noProof/>
        </w:rPr>
        <w:fldChar w:fldCharType="end"/>
      </w:r>
      <w:r w:rsidRPr="007E60A8">
        <w:t>.  The courts found that the prosecution had failed to provide documents proving that the investigators and prosecutors were authorised to conduct the criminal proceedings and, therefore, to disclose the pre-trial investigation evidence and bring charges against the defendants. As a result, all evidence gathered during the pre-trial stage was deemed inadmissible, and the courts held that A., M.-S., and U. should not have acquired the status of accused persons.</w:t>
      </w:r>
    </w:p>
    <w:p w:rsidRPr="007E60A8" w:rsidR="00617CE5" w:rsidP="007E60A8" w14:paraId="7CCAA3F1" w14:textId="4671D04E">
      <w:pPr>
        <w:pStyle w:val="JuPara"/>
      </w:pPr>
      <w:r>
        <w:fldChar w:fldCharType="begin"/>
      </w:r>
      <w:r>
        <w:instrText xml:space="preserve"> SEQ level0 \*arabic \* MERGEFORMAT </w:instrText>
      </w:r>
      <w:r>
        <w:fldChar w:fldCharType="separate"/>
      </w:r>
      <w:r w:rsidRPr="007E60A8" w:rsidR="007E60A8">
        <w:rPr>
          <w:noProof/>
        </w:rPr>
        <w:t>7</w:t>
      </w:r>
      <w:r w:rsidRPr="007E60A8" w:rsidR="007E60A8">
        <w:rPr>
          <w:noProof/>
        </w:rPr>
        <w:fldChar w:fldCharType="end"/>
      </w:r>
      <w:r w:rsidRPr="007E60A8">
        <w:t>.  Among the inadmissible evidence were the video-recordings from CCTV cameras, video analysis reports indicating that the injuries had been inflicted by the defendants, and the results of the forensic examination detailing the severity of the applicant</w:t>
      </w:r>
      <w:r w:rsidRPr="007E60A8" w:rsidR="007E60A8">
        <w:t>’</w:t>
      </w:r>
      <w:r w:rsidRPr="007E60A8">
        <w:t>s injuries and indicating that they could have been caused by the events captured in the recordings. Relying on the testimony of the applicant, A., M.-S., U., and certain witnesses during the trial, the courts concluded that the actions of A., M.-S., and U. had not constituted hooliganism, that it had been the applicant who had provoked and escalated the dispute, and that there had been no admissible evidence other than the applicant</w:t>
      </w:r>
      <w:r w:rsidRPr="007E60A8" w:rsidR="007E60A8">
        <w:t>’</w:t>
      </w:r>
      <w:r w:rsidRPr="007E60A8">
        <w:t>s statements that his injuries had been caused by the defendants who were on trial.</w:t>
      </w:r>
    </w:p>
    <w:p w:rsidRPr="007E60A8" w:rsidR="00617CE5" w:rsidP="007E60A8" w14:paraId="05004339" w14:textId="1E155A22">
      <w:pPr>
        <w:pStyle w:val="JuPara"/>
      </w:pPr>
      <w:r>
        <w:fldChar w:fldCharType="begin"/>
      </w:r>
      <w:r>
        <w:instrText xml:space="preserve"> SEQ level0 \*arabic \* MERGEFORMAT </w:instrText>
      </w:r>
      <w:r>
        <w:fldChar w:fldCharType="separate"/>
      </w:r>
      <w:bookmarkStart w:name="paragraph00007" w:id="2"/>
      <w:r w:rsidRPr="007E60A8" w:rsidR="007E60A8">
        <w:rPr>
          <w:noProof/>
        </w:rPr>
        <w:t>8</w:t>
      </w:r>
      <w:bookmarkEnd w:id="2"/>
      <w:r>
        <w:fldChar w:fldCharType="end"/>
      </w:r>
      <w:r w:rsidRPr="007E60A8">
        <w:t>.  M.-A., who had fled Ukraine following the incident, was declared wanted and the criminal proceedings against him on the charges of hooliganism and inflicting bodily injuries on the applicant were suspended. A request by the authorities for his extradition from Azerbaijan was rejected. In September 2019, shortly after he had returned to Ukraine and presented himself to the investigator, a preventive measure in the form of house arrest was imposed on him. On 20 April 2021 the criminal proceedings were discontinued on account of the expiry of the limitation period. However, on 11 October 2021 the Kyiv Court of Appeal, in M.-A.</w:t>
      </w:r>
      <w:r w:rsidRPr="007E60A8" w:rsidR="007E60A8">
        <w:t>’</w:t>
      </w:r>
      <w:r w:rsidRPr="007E60A8">
        <w:t>s presence, overturned that decision and remitted the case for a new trial. On 12 December 2022 he was again declared wanted for his failure to appear before the trial court. The criminal proceedings against him are currently suspended. The authorities are unaware of his whereabouts.</w:t>
      </w:r>
    </w:p>
    <w:p w:rsidRPr="007E60A8" w:rsidR="00617CE5" w:rsidP="007E60A8" w14:paraId="761FA01F" w14:textId="1F7C02DA">
      <w:pPr>
        <w:pStyle w:val="JuHHead"/>
      </w:pPr>
      <w:r w:rsidRPr="007E60A8">
        <w:t>THE COURT</w:t>
      </w:r>
      <w:r w:rsidRPr="007E60A8" w:rsidR="007E60A8">
        <w:t>’</w:t>
      </w:r>
      <w:r w:rsidRPr="007E60A8">
        <w:t>S ASSESSMENT</w:t>
      </w:r>
    </w:p>
    <w:p w:rsidRPr="007E60A8" w:rsidR="00617CE5" w:rsidP="007E60A8" w14:paraId="364EAADE" w14:textId="1407584C">
      <w:pPr>
        <w:pStyle w:val="JuPara"/>
      </w:pPr>
      <w:r>
        <w:fldChar w:fldCharType="begin"/>
      </w:r>
      <w:r>
        <w:instrText xml:space="preserve"> SEQ level0 \*arabic \* MERGEFORMAT </w:instrText>
      </w:r>
      <w:r>
        <w:fldChar w:fldCharType="separate"/>
      </w:r>
      <w:r w:rsidRPr="007E60A8" w:rsidR="007E60A8">
        <w:rPr>
          <w:noProof/>
        </w:rPr>
        <w:t>9</w:t>
      </w:r>
      <w:r w:rsidRPr="007E60A8" w:rsidR="007E60A8">
        <w:rPr>
          <w:noProof/>
        </w:rPr>
        <w:fldChar w:fldCharType="end"/>
      </w:r>
      <w:r w:rsidRPr="007E60A8">
        <w:t xml:space="preserve">.  Relying on Articles 3, 6, 8 and 13 of the Convention, the applicant complained that the investigation into his ill-treatment by private individuals had been ineffective. The Court considers that the complaint falls to be examined solely under Article 3 of the Convention (see </w:t>
      </w:r>
      <w:r w:rsidRPr="007E60A8">
        <w:rPr>
          <w:i/>
          <w:iCs/>
        </w:rPr>
        <w:t>Muta</w:t>
      </w:r>
      <w:r w:rsidRPr="007E60A8">
        <w:rPr>
          <w:i/>
          <w:iCs/>
        </w:rPr>
        <w:t xml:space="preserve"> v. Ukraine</w:t>
      </w:r>
      <w:r w:rsidRPr="007E60A8">
        <w:t>, no. 37246/06, § 51, 31 July 2012).</w:t>
      </w:r>
    </w:p>
    <w:p w:rsidRPr="007E60A8" w:rsidR="00617CE5" w:rsidP="007E60A8" w14:paraId="02FDC5D1" w14:textId="77777777">
      <w:pPr>
        <w:pStyle w:val="JuHIRoman"/>
        <w:ind w:left="397" w:hanging="397"/>
      </w:pPr>
      <w:r w:rsidRPr="007E60A8">
        <w:t>aDMISSIBILITY</w:t>
      </w:r>
    </w:p>
    <w:p w:rsidRPr="007E60A8" w:rsidR="00617CE5" w:rsidP="007E60A8" w14:paraId="5C9A9B1F" w14:textId="78EA4A59">
      <w:pPr>
        <w:pStyle w:val="JuPara"/>
      </w:pPr>
      <w:r>
        <w:fldChar w:fldCharType="begin"/>
      </w:r>
      <w:r>
        <w:instrText xml:space="preserve"> SEQ level0 \*arabic \* MERGEFORMAT </w:instrText>
      </w:r>
      <w:r>
        <w:fldChar w:fldCharType="separate"/>
      </w:r>
      <w:r w:rsidRPr="007E60A8" w:rsidR="007E60A8">
        <w:rPr>
          <w:noProof/>
        </w:rPr>
        <w:t>10</w:t>
      </w:r>
      <w:r w:rsidRPr="007E60A8" w:rsidR="007E60A8">
        <w:rPr>
          <w:noProof/>
        </w:rPr>
        <w:fldChar w:fldCharType="end"/>
      </w:r>
      <w:r w:rsidRPr="007E60A8">
        <w:t>.  The Government submitted that the applicant</w:t>
      </w:r>
      <w:r w:rsidRPr="007E60A8" w:rsidR="007E60A8">
        <w:t>’</w:t>
      </w:r>
      <w:r w:rsidRPr="007E60A8">
        <w:t>s complaint was manifestly ill-founded because the treatment in question had not attained the minimum level of severity to fall within the scope of Article 3 of the Convention. The applicant disagreed with the Government</w:t>
      </w:r>
      <w:r w:rsidRPr="007E60A8" w:rsidR="007E60A8">
        <w:t>’</w:t>
      </w:r>
      <w:r w:rsidRPr="007E60A8">
        <w:t>s assertions. More specifically, he contended that the injuries inflicted on him had been serious and had had a long-term effect on his health.</w:t>
      </w:r>
    </w:p>
    <w:p w:rsidRPr="007E60A8" w:rsidR="00617CE5" w:rsidP="007E60A8" w14:paraId="323DD6F2" w14:textId="7BE447E3">
      <w:pPr>
        <w:pStyle w:val="JuPara"/>
      </w:pPr>
      <w:r>
        <w:fldChar w:fldCharType="begin"/>
      </w:r>
      <w:r>
        <w:instrText xml:space="preserve"> SEQ level0 \*arabic \* MERGEFORMAT </w:instrText>
      </w:r>
      <w:r>
        <w:fldChar w:fldCharType="separate"/>
      </w:r>
      <w:r w:rsidRPr="007E60A8" w:rsidR="007E60A8">
        <w:rPr>
          <w:noProof/>
        </w:rPr>
        <w:t>11</w:t>
      </w:r>
      <w:r w:rsidRPr="007E60A8" w:rsidR="007E60A8">
        <w:rPr>
          <w:noProof/>
        </w:rPr>
        <w:fldChar w:fldCharType="end"/>
      </w:r>
      <w:r w:rsidRPr="007E60A8">
        <w:t>.  The Court dismisses the Government</w:t>
      </w:r>
      <w:r w:rsidRPr="007E60A8" w:rsidR="007E60A8">
        <w:t>’</w:t>
      </w:r>
      <w:r w:rsidRPr="007E60A8">
        <w:t>s objection because the applicant indeed sustained injuries (a fractured jaw, a closed</w:t>
      </w:r>
      <w:r w:rsidRPr="007E60A8">
        <w:noBreakHyphen/>
        <w:t xml:space="preserve">head injury, a concussion and bruises) and underwent surgery (see paragraph </w:t>
      </w:r>
      <w:r w:rsidRPr="007E60A8">
        <w:fldChar w:fldCharType="begin"/>
      </w:r>
      <w:r w:rsidRPr="007E60A8">
        <w:instrText xml:space="preserve"> REF paragraph00003 \h  \* CharFormat </w:instrText>
      </w:r>
      <w:r w:rsidRPr="007E60A8">
        <w:fldChar w:fldCharType="separate"/>
      </w:r>
      <w:r w:rsidRPr="007E60A8" w:rsidR="007E60A8">
        <w:t>3</w:t>
      </w:r>
      <w:r w:rsidRPr="007E60A8">
        <w:fldChar w:fldCharType="end"/>
      </w:r>
      <w:r w:rsidRPr="007E60A8">
        <w:t xml:space="preserve"> above). Accordingly, the Court notes that the treatment in question fell within the scope of Article 3 of the Convention (see </w:t>
      </w:r>
      <w:r w:rsidRPr="007E60A8">
        <w:rPr>
          <w:i/>
          <w:iCs/>
        </w:rPr>
        <w:t>İbrahim Demirtaş v. Turkey</w:t>
      </w:r>
      <w:r w:rsidRPr="007E60A8">
        <w:t>,</w:t>
      </w:r>
      <w:r w:rsidRPr="007E60A8">
        <w:rPr>
          <w:i/>
          <w:iCs/>
        </w:rPr>
        <w:t xml:space="preserve"> </w:t>
      </w:r>
      <w:r w:rsidRPr="007E60A8">
        <w:t>no. 25018/10, § 31, 28 October 2014).</w:t>
      </w:r>
    </w:p>
    <w:p w:rsidRPr="007E60A8" w:rsidR="00617CE5" w:rsidP="007E60A8" w14:paraId="096BD4DD" w14:textId="3F812BD9">
      <w:pPr>
        <w:pStyle w:val="JuPara"/>
      </w:pPr>
      <w:r>
        <w:fldChar w:fldCharType="begin"/>
      </w:r>
      <w:r>
        <w:instrText xml:space="preserve"> SEQ level0 \*arabic \* MERGEFORMAT </w:instrText>
      </w:r>
      <w:r>
        <w:fldChar w:fldCharType="separate"/>
      </w:r>
      <w:r w:rsidRPr="007E60A8" w:rsidR="007E60A8">
        <w:rPr>
          <w:noProof/>
        </w:rPr>
        <w:t>12</w:t>
      </w:r>
      <w:r w:rsidRPr="007E60A8" w:rsidR="007E60A8">
        <w:rPr>
          <w:noProof/>
        </w:rPr>
        <w:fldChar w:fldCharType="end"/>
      </w:r>
      <w:r w:rsidRPr="007E60A8">
        <w:t>.  The Court further notes that the application is not manifestly ill</w:t>
      </w:r>
      <w:r w:rsidRPr="007E60A8">
        <w:noBreakHyphen/>
        <w:t>founded within the meaning of Article 35 § 3 (a) of the Convention or inadmissible on any other grounds. It must therefore be declared admissible.</w:t>
      </w:r>
    </w:p>
    <w:p w:rsidRPr="007E60A8" w:rsidR="00617CE5" w:rsidP="007E60A8" w14:paraId="08D1D8B0" w14:textId="77777777">
      <w:pPr>
        <w:pStyle w:val="JuHIRoman"/>
      </w:pPr>
      <w:r w:rsidRPr="007E60A8">
        <w:t>MERITS</w:t>
      </w:r>
    </w:p>
    <w:p w:rsidRPr="007E60A8" w:rsidR="00617CE5" w:rsidP="007E60A8" w14:paraId="75728677" w14:textId="3F2BB16A">
      <w:pPr>
        <w:pStyle w:val="JuPara"/>
      </w:pPr>
      <w:r>
        <w:fldChar w:fldCharType="begin"/>
      </w:r>
      <w:r>
        <w:instrText xml:space="preserve"> SEQ level0 \*arabic \* MERGEFORMAT </w:instrText>
      </w:r>
      <w:r>
        <w:fldChar w:fldCharType="separate"/>
      </w:r>
      <w:r w:rsidRPr="007E60A8" w:rsidR="007E60A8">
        <w:rPr>
          <w:noProof/>
        </w:rPr>
        <w:t>13</w:t>
      </w:r>
      <w:r w:rsidRPr="007E60A8" w:rsidR="007E60A8">
        <w:rPr>
          <w:noProof/>
        </w:rPr>
        <w:fldChar w:fldCharType="end"/>
      </w:r>
      <w:r w:rsidRPr="007E60A8">
        <w:t>.  The Court reiterates that Article 3 of the Convention requires that the authorities conduct an effective official investigation into alleged ill</w:t>
      </w:r>
      <w:r w:rsidRPr="007E60A8">
        <w:noBreakHyphen/>
        <w:t xml:space="preserve">treatment, even if such treatment has been inflicted by private individuals (see </w:t>
      </w:r>
      <w:r w:rsidRPr="007E60A8">
        <w:rPr>
          <w:i/>
          <w:iCs/>
        </w:rPr>
        <w:t>Chernega</w:t>
      </w:r>
      <w:r w:rsidRPr="007E60A8">
        <w:rPr>
          <w:i/>
          <w:iCs/>
        </w:rPr>
        <w:t xml:space="preserve"> and Others v. Ukraine</w:t>
      </w:r>
      <w:r w:rsidRPr="007E60A8">
        <w:t xml:space="preserve">, no. 74768/10, § 158, 18 June 2019, and </w:t>
      </w:r>
      <w:r w:rsidRPr="007E60A8">
        <w:rPr>
          <w:i/>
          <w:iCs/>
        </w:rPr>
        <w:t>Karter v. Ukraine</w:t>
      </w:r>
      <w:r w:rsidRPr="007E60A8">
        <w:t>, no. 18179/17, § 75, 11 April 2024, with further references). The minimum standards of effectiveness laid down by the Court</w:t>
      </w:r>
      <w:r w:rsidRPr="007E60A8" w:rsidR="007E60A8">
        <w:t>’</w:t>
      </w:r>
      <w:r w:rsidRPr="007E60A8">
        <w:t xml:space="preserve">s case-law include the requirements that the investigation must be independent, impartial and subject to public scrutiny, and that the competent authorities must act with exemplary diligence and promptness (see </w:t>
      </w:r>
      <w:r w:rsidRPr="007E60A8">
        <w:rPr>
          <w:i/>
          <w:iCs/>
        </w:rPr>
        <w:t xml:space="preserve">Aleksandr </w:t>
      </w:r>
      <w:r w:rsidRPr="007E60A8">
        <w:rPr>
          <w:i/>
          <w:iCs/>
        </w:rPr>
        <w:t>Nikonenko</w:t>
      </w:r>
      <w:r w:rsidRPr="007E60A8">
        <w:rPr>
          <w:i/>
          <w:iCs/>
        </w:rPr>
        <w:t xml:space="preserve"> v. Ukraine</w:t>
      </w:r>
      <w:r w:rsidRPr="007E60A8">
        <w:t>, no. 54755/08, § 44, 14 November 2013, with further references).</w:t>
      </w:r>
    </w:p>
    <w:p w:rsidRPr="007E60A8" w:rsidR="00617CE5" w:rsidP="007E60A8" w14:paraId="459D7BB7" w14:textId="0825760F">
      <w:pPr>
        <w:pStyle w:val="JuPara"/>
      </w:pPr>
      <w:r>
        <w:fldChar w:fldCharType="begin"/>
      </w:r>
      <w:r>
        <w:instrText xml:space="preserve"> SEQ level0 \*arabic \* MERGEFORMAT </w:instrText>
      </w:r>
      <w:r>
        <w:fldChar w:fldCharType="separate"/>
      </w:r>
      <w:r w:rsidRPr="007E60A8" w:rsidR="007E60A8">
        <w:rPr>
          <w:noProof/>
        </w:rPr>
        <w:t>14</w:t>
      </w:r>
      <w:r w:rsidRPr="007E60A8" w:rsidR="007E60A8">
        <w:rPr>
          <w:noProof/>
        </w:rPr>
        <w:fldChar w:fldCharType="end"/>
      </w:r>
      <w:r w:rsidRPr="007E60A8">
        <w:t xml:space="preserve">.  The procedural requirements of Article 3 go beyond the preliminary investigation stage when the investigation leads to legal action being taken before the national courts: the </w:t>
      </w:r>
      <w:r w:rsidRPr="007E60A8">
        <w:t>proceedings as a whole, including</w:t>
      </w:r>
      <w:r w:rsidRPr="007E60A8">
        <w:t xml:space="preserve"> the trial stage, must meet the requirements of Article 3. This includes the sanctions imposed at the end of those proceedings. While there is no absolute obligation </w:t>
      </w:r>
      <w:r w:rsidRPr="007E60A8">
        <w:t xml:space="preserve">for all prosecutions to result in conviction or in a particular sentence, the national courts should not under any circumstances be prepared to allow grave attacks on physical and mental integrity to go unpunished, or for serious offences to be punished by excessively light punishments. The important point for the Court to review is, therefore, whether and to what extent the courts, in reaching their conclusion, might be deemed to have submitted the case to careful scrutiny, so that the deterrent effect of the judicial system in place, and the significance of the role it was required to play in preventing violations of the prohibition of ill-treatment, are not undermined (see </w:t>
      </w:r>
      <w:bookmarkStart w:name="_cl40304THECOURTSASSESSMENT" w:id="3"/>
      <w:r w:rsidRPr="007E60A8">
        <w:rPr>
          <w:i/>
          <w:iCs/>
        </w:rPr>
        <w:t>Sabalić</w:t>
      </w:r>
      <w:r w:rsidRPr="007E60A8">
        <w:rPr>
          <w:i/>
          <w:iCs/>
        </w:rPr>
        <w:t xml:space="preserve"> v.</w:t>
      </w:r>
      <w:r w:rsidRPr="007E60A8" w:rsidR="00862658">
        <w:rPr>
          <w:i/>
          <w:iCs/>
          <w:lang w:val="uk-UA"/>
        </w:rPr>
        <w:t> </w:t>
      </w:r>
      <w:r w:rsidRPr="007E60A8">
        <w:rPr>
          <w:i/>
          <w:iCs/>
        </w:rPr>
        <w:t>Croatia</w:t>
      </w:r>
      <w:bookmarkEnd w:id="3"/>
      <w:r w:rsidRPr="007E60A8">
        <w:t>, no. 50231/13, § 97, 14 January 2021).</w:t>
      </w:r>
    </w:p>
    <w:p w:rsidRPr="007E60A8" w:rsidR="00617CE5" w:rsidP="007E60A8" w14:paraId="459FF851" w14:textId="2330E436">
      <w:pPr>
        <w:pStyle w:val="JuPara"/>
      </w:pPr>
      <w:r>
        <w:fldChar w:fldCharType="begin"/>
      </w:r>
      <w:r>
        <w:instrText xml:space="preserve"> SEQ level0 \*arabic \* MERGEFORMAT </w:instrText>
      </w:r>
      <w:r>
        <w:fldChar w:fldCharType="separate"/>
      </w:r>
      <w:r w:rsidRPr="007E60A8" w:rsidR="007E60A8">
        <w:rPr>
          <w:noProof/>
        </w:rPr>
        <w:t>15</w:t>
      </w:r>
      <w:r w:rsidRPr="007E60A8" w:rsidR="007E60A8">
        <w:rPr>
          <w:noProof/>
        </w:rPr>
        <w:fldChar w:fldCharType="end"/>
      </w:r>
      <w:r w:rsidRPr="007E60A8">
        <w:t xml:space="preserve">.  The Court is not concerned with allegations of errors or isolated omissions but only significant shortcomings in the proceedings and the relevant decision-making process, namely those that </w:t>
      </w:r>
      <w:r w:rsidRPr="007E60A8">
        <w:t>are capable of undermining</w:t>
      </w:r>
      <w:r w:rsidRPr="007E60A8">
        <w:t xml:space="preserve"> the authorities</w:t>
      </w:r>
      <w:r w:rsidRPr="007E60A8" w:rsidR="007E60A8">
        <w:t>’</w:t>
      </w:r>
      <w:r w:rsidRPr="007E60A8">
        <w:t xml:space="preserve"> capability of establishing the circumstances of the case or the person responsible (see, </w:t>
      </w:r>
      <w:r w:rsidRPr="007E60A8">
        <w:rPr>
          <w:i/>
          <w:iCs/>
        </w:rPr>
        <w:t>mutatis mutandis</w:t>
      </w:r>
      <w:r w:rsidRPr="007E60A8">
        <w:t xml:space="preserve">, </w:t>
      </w:r>
      <w:r w:rsidRPr="007E60A8">
        <w:rPr>
          <w:i/>
          <w:iCs/>
        </w:rPr>
        <w:t>S.M. v. Croatia</w:t>
      </w:r>
      <w:r w:rsidRPr="007E60A8">
        <w:t xml:space="preserve"> [GC], no. 60561/14, </w:t>
      </w:r>
      <w:r w:rsidRPr="007E60A8">
        <w:rPr>
          <w:rFonts w:cstheme="minorHAnsi"/>
        </w:rPr>
        <w:t>§</w:t>
      </w:r>
      <w:r w:rsidRPr="007E60A8">
        <w:t xml:space="preserve"> 320, 25 June 2020).</w:t>
      </w:r>
    </w:p>
    <w:p w:rsidRPr="007E60A8" w:rsidR="00617CE5" w:rsidP="007E60A8" w14:paraId="2506174A" w14:textId="6FE7577A">
      <w:pPr>
        <w:pStyle w:val="JuPara"/>
      </w:pPr>
      <w:r>
        <w:fldChar w:fldCharType="begin"/>
      </w:r>
      <w:r>
        <w:instrText xml:space="preserve"> SEQ level0 \*arabic \* MERGEFORMAT </w:instrText>
      </w:r>
      <w:r>
        <w:fldChar w:fldCharType="separate"/>
      </w:r>
      <w:r w:rsidRPr="007E60A8" w:rsidR="007E60A8">
        <w:rPr>
          <w:noProof/>
        </w:rPr>
        <w:t>16</w:t>
      </w:r>
      <w:r w:rsidRPr="007E60A8" w:rsidR="007E60A8">
        <w:rPr>
          <w:noProof/>
        </w:rPr>
        <w:fldChar w:fldCharType="end"/>
      </w:r>
      <w:r w:rsidRPr="007E60A8">
        <w:t>.  The Government did not comment on the way in which the case against A., M.-S. and U. was brought before the courts or on the authorities</w:t>
      </w:r>
      <w:r w:rsidRPr="007E60A8" w:rsidR="007E60A8">
        <w:t>’</w:t>
      </w:r>
      <w:r w:rsidRPr="007E60A8">
        <w:t xml:space="preserve"> failure to prevent M.-A. from absconding and to find him for three years. They submitted, however, that the invalidation of the evidence, including the video-recordings from the CCTV cameras, did not undermine the integrity of the trial, because the court had examined the circumstances of the dispute based on the testimony of the applicant and the defendants. The Court is not convinced by that argument, because the video</w:t>
      </w:r>
      <w:r w:rsidRPr="007E60A8">
        <w:noBreakHyphen/>
        <w:t xml:space="preserve">recordings and the reports documenting their content contained objective information regarding the circumstances of the dispute and the </w:t>
      </w:r>
      <w:r w:rsidRPr="007E60A8">
        <w:t>manner in which</w:t>
      </w:r>
      <w:r w:rsidRPr="007E60A8">
        <w:t xml:space="preserve"> the injuries had been sustained. They were therefore crucial to the consideration of the case, given that the applicant</w:t>
      </w:r>
      <w:r w:rsidRPr="007E60A8" w:rsidR="007E60A8">
        <w:t>’</w:t>
      </w:r>
      <w:r w:rsidRPr="007E60A8">
        <w:t>s and defendants</w:t>
      </w:r>
      <w:r w:rsidRPr="007E60A8" w:rsidR="007E60A8">
        <w:t>’</w:t>
      </w:r>
      <w:r w:rsidRPr="007E60A8">
        <w:t xml:space="preserve"> testimony was fundamentally at odds.</w:t>
      </w:r>
    </w:p>
    <w:p w:rsidRPr="007E60A8" w:rsidR="00617CE5" w:rsidP="007E60A8" w14:paraId="75B83FE1" w14:textId="03A8C3C6">
      <w:pPr>
        <w:pStyle w:val="JuPara"/>
        <w:rPr>
          <w:rFonts w:cstheme="minorHAnsi"/>
        </w:rPr>
      </w:pPr>
      <w:r>
        <w:fldChar w:fldCharType="begin"/>
      </w:r>
      <w:r>
        <w:instrText xml:space="preserve"> SEQ level0 \*arabic \* MERGEFORMAT </w:instrText>
      </w:r>
      <w:r>
        <w:fldChar w:fldCharType="separate"/>
      </w:r>
      <w:r w:rsidRPr="007E60A8" w:rsidR="007E60A8">
        <w:rPr>
          <w:noProof/>
        </w:rPr>
        <w:t>17</w:t>
      </w:r>
      <w:r w:rsidRPr="007E60A8" w:rsidR="007E60A8">
        <w:rPr>
          <w:noProof/>
        </w:rPr>
        <w:fldChar w:fldCharType="end"/>
      </w:r>
      <w:r w:rsidRPr="007E60A8">
        <w:t xml:space="preserve">.  As regards the criminal proceedings against A., M.-S., and U., the Court notes that the authorities acted expeditiously from the very beginning and </w:t>
      </w:r>
      <w:r w:rsidRPr="007E60A8">
        <w:t>made an effort</w:t>
      </w:r>
      <w:r w:rsidRPr="007E60A8">
        <w:t xml:space="preserve"> to thoroughly investigate the case. However, their failure to ensure that the correct procedure for bringing charges and collecting evidence was in place and complied with undermined the effective prosecution of the alleged offences</w:t>
      </w:r>
      <w:r w:rsidRPr="007E60A8">
        <w:t xml:space="preserve"> </w:t>
      </w:r>
      <w:r w:rsidRPr="007E60A8">
        <w:rPr>
          <w:rFonts w:cstheme="minorHAnsi"/>
        </w:rPr>
        <w:t xml:space="preserve">(see, </w:t>
      </w:r>
      <w:r w:rsidRPr="007E60A8">
        <w:rPr>
          <w:rFonts w:cstheme="minorHAnsi"/>
          <w:i/>
          <w:iCs/>
        </w:rPr>
        <w:t>mutatis mutandis</w:t>
      </w:r>
      <w:r w:rsidRPr="007E60A8">
        <w:rPr>
          <w:rFonts w:cstheme="minorHAnsi"/>
        </w:rPr>
        <w:t>,</w:t>
      </w:r>
      <w:r w:rsidRPr="007E60A8">
        <w:rPr>
          <w:rFonts w:cstheme="minorHAnsi"/>
          <w:i/>
          <w:iCs/>
        </w:rPr>
        <w:t xml:space="preserve"> R.B. v. Estonia</w:t>
      </w:r>
      <w:r w:rsidRPr="007E60A8">
        <w:rPr>
          <w:rFonts w:cstheme="minorHAnsi"/>
        </w:rPr>
        <w:t>, no. 22597/16, §§ 78-104, 22 June 2021).</w:t>
      </w:r>
    </w:p>
    <w:p w:rsidRPr="007E60A8" w:rsidR="00617CE5" w:rsidP="007E60A8" w14:paraId="38779E50" w14:textId="50253BAE">
      <w:pPr>
        <w:pStyle w:val="JuPara"/>
      </w:pPr>
      <w:r>
        <w:fldChar w:fldCharType="begin"/>
      </w:r>
      <w:r>
        <w:instrText xml:space="preserve"> SEQ level0 \*arabic \* MERGEFORMAT </w:instrText>
      </w:r>
      <w:r>
        <w:fldChar w:fldCharType="separate"/>
      </w:r>
      <w:r w:rsidRPr="007E60A8" w:rsidR="007E60A8">
        <w:rPr>
          <w:noProof/>
        </w:rPr>
        <w:t>18</w:t>
      </w:r>
      <w:r w:rsidRPr="007E60A8" w:rsidR="007E60A8">
        <w:rPr>
          <w:noProof/>
        </w:rPr>
        <w:fldChar w:fldCharType="end"/>
      </w:r>
      <w:r w:rsidRPr="007E60A8">
        <w:t>.  The Court further notes that, following the remittal of M.-A.</w:t>
      </w:r>
      <w:r w:rsidRPr="007E60A8" w:rsidR="007E60A8">
        <w:t>’</w:t>
      </w:r>
      <w:r w:rsidRPr="007E60A8">
        <w:t xml:space="preserve">s case for a new trial, no preventive measures were taken, which ultimately allowed him to abscond (see paragraph </w:t>
      </w:r>
      <w:r w:rsidRPr="007E60A8">
        <w:fldChar w:fldCharType="begin"/>
      </w:r>
      <w:r w:rsidRPr="007E60A8">
        <w:instrText xml:space="preserve"> REF paragraph00007 \h  \* CharFormat </w:instrText>
      </w:r>
      <w:r w:rsidRPr="007E60A8">
        <w:fldChar w:fldCharType="separate"/>
      </w:r>
      <w:r w:rsidRPr="007E60A8" w:rsidR="007E60A8">
        <w:t>8</w:t>
      </w:r>
      <w:r w:rsidRPr="007E60A8">
        <w:fldChar w:fldCharType="end"/>
      </w:r>
      <w:r w:rsidRPr="007E60A8">
        <w:t xml:space="preserve"> above). The authorities</w:t>
      </w:r>
      <w:r w:rsidRPr="007E60A8" w:rsidR="007E60A8">
        <w:t>’</w:t>
      </w:r>
      <w:r w:rsidRPr="007E60A8">
        <w:t xml:space="preserve"> failure to act promptly created conditions conducive to that outcome (see, </w:t>
      </w:r>
      <w:r w:rsidRPr="007E60A8">
        <w:rPr>
          <w:i/>
          <w:iCs/>
        </w:rPr>
        <w:t>mutatis mutandis</w:t>
      </w:r>
      <w:r w:rsidRPr="007E60A8">
        <w:t xml:space="preserve">, </w:t>
      </w:r>
      <w:r w:rsidRPr="007E60A8">
        <w:rPr>
          <w:i/>
          <w:iCs/>
        </w:rPr>
        <w:t>Vyacheslavova</w:t>
      </w:r>
      <w:r w:rsidRPr="007E60A8">
        <w:rPr>
          <w:i/>
          <w:iCs/>
        </w:rPr>
        <w:t xml:space="preserve"> and Others v. Ukraine</w:t>
      </w:r>
      <w:r w:rsidRPr="007E60A8">
        <w:t xml:space="preserve">, nos. 39553/16 and 6 others, </w:t>
      </w:r>
      <w:r w:rsidRPr="007E60A8">
        <w:rPr>
          <w:rFonts w:cstheme="minorHAnsi"/>
        </w:rPr>
        <w:t>§§ 403</w:t>
      </w:r>
      <w:r w:rsidRPr="007E60A8">
        <w:rPr>
          <w:rFonts w:cstheme="minorHAnsi"/>
        </w:rPr>
        <w:noBreakHyphen/>
        <w:t>05, 13 March 2025</w:t>
      </w:r>
      <w:r w:rsidRPr="007E60A8">
        <w:t>).</w:t>
      </w:r>
    </w:p>
    <w:p w:rsidRPr="007E60A8" w:rsidR="00617CE5" w:rsidP="007E60A8" w14:paraId="60013B67" w14:textId="2D15AA29">
      <w:pPr>
        <w:pStyle w:val="JuPara"/>
      </w:pPr>
      <w:r>
        <w:fldChar w:fldCharType="begin"/>
      </w:r>
      <w:r>
        <w:instrText xml:space="preserve"> SEQ level0 \*arabic \* MERGEFORMAT </w:instrText>
      </w:r>
      <w:r>
        <w:fldChar w:fldCharType="separate"/>
      </w:r>
      <w:r w:rsidRPr="007E60A8" w:rsidR="007E60A8">
        <w:rPr>
          <w:noProof/>
        </w:rPr>
        <w:t>19</w:t>
      </w:r>
      <w:r w:rsidRPr="007E60A8" w:rsidR="007E60A8">
        <w:rPr>
          <w:noProof/>
        </w:rPr>
        <w:fldChar w:fldCharType="end"/>
      </w:r>
      <w:r w:rsidRPr="007E60A8">
        <w:t>.  Those considerations are sufficient for the Court to find that there were significant flaws in the domestic authorities</w:t>
      </w:r>
      <w:r w:rsidRPr="007E60A8" w:rsidR="007E60A8">
        <w:t>’</w:t>
      </w:r>
      <w:r w:rsidRPr="007E60A8">
        <w:t xml:space="preserve"> procedural response to the applicant</w:t>
      </w:r>
      <w:r w:rsidRPr="007E60A8" w:rsidR="007E60A8">
        <w:t>’</w:t>
      </w:r>
      <w:r w:rsidRPr="007E60A8">
        <w:t xml:space="preserve">s allegation of ill-treatment. Accordingly, the Court, without </w:t>
      </w:r>
      <w:r w:rsidRPr="007E60A8">
        <w:t xml:space="preserve">expressing an opinion on the guilt or innocence of the defendants, concludes that the </w:t>
      </w:r>
      <w:r w:rsidRPr="007E60A8">
        <w:t>manner in which</w:t>
      </w:r>
      <w:r w:rsidRPr="007E60A8">
        <w:t xml:space="preserve"> the criminal-law mechanisms as a whole were implemented in the present case, resulting in the dismissal of the case on procedural grounds, was defective to the point of constituting a violation of the procedural limb of Article 3 of the Convention.</w:t>
      </w:r>
    </w:p>
    <w:p w:rsidRPr="007E60A8" w:rsidR="00617CE5" w:rsidP="007E60A8" w14:paraId="2A50BE2E" w14:textId="77777777">
      <w:pPr>
        <w:pStyle w:val="JuHHead"/>
        <w:rPr>
          <w:caps w:val="0"/>
        </w:rPr>
      </w:pPr>
      <w:r w:rsidRPr="007E60A8">
        <w:rPr>
          <w:caps w:val="0"/>
        </w:rPr>
        <w:t>APPLICATION OF ARTICLE 41 OF THE CONVENTION</w:t>
      </w:r>
    </w:p>
    <w:p w:rsidRPr="007E60A8" w:rsidR="00617CE5" w:rsidP="007E60A8" w14:paraId="769CA36E" w14:textId="79B63AA7">
      <w:pPr>
        <w:pStyle w:val="JuPara"/>
      </w:pPr>
      <w:r>
        <w:fldChar w:fldCharType="begin"/>
      </w:r>
      <w:r>
        <w:instrText xml:space="preserve"> SEQ level0 \*arabic \* MERGEFORMAT </w:instrText>
      </w:r>
      <w:r>
        <w:fldChar w:fldCharType="separate"/>
      </w:r>
      <w:r w:rsidRPr="007E60A8" w:rsidR="007E60A8">
        <w:rPr>
          <w:noProof/>
        </w:rPr>
        <w:t>20</w:t>
      </w:r>
      <w:r w:rsidRPr="007E60A8" w:rsidR="007E60A8">
        <w:rPr>
          <w:noProof/>
        </w:rPr>
        <w:fldChar w:fldCharType="end"/>
      </w:r>
      <w:r w:rsidRPr="007E60A8">
        <w:t>.  The applicant claimed 7,000 euros (EUR) in respect of non-pecuniary damage.</w:t>
      </w:r>
    </w:p>
    <w:p w:rsidRPr="007E60A8" w:rsidR="00617CE5" w:rsidP="007E60A8" w14:paraId="7236A00E" w14:textId="2106361F">
      <w:pPr>
        <w:pStyle w:val="JuPara"/>
      </w:pPr>
      <w:r>
        <w:fldChar w:fldCharType="begin"/>
      </w:r>
      <w:r>
        <w:instrText xml:space="preserve"> SEQ level0 \*arabic \* MERGEFORMAT </w:instrText>
      </w:r>
      <w:r>
        <w:fldChar w:fldCharType="separate"/>
      </w:r>
      <w:r w:rsidRPr="007E60A8" w:rsidR="007E60A8">
        <w:rPr>
          <w:noProof/>
        </w:rPr>
        <w:t>21</w:t>
      </w:r>
      <w:r w:rsidRPr="007E60A8" w:rsidR="007E60A8">
        <w:rPr>
          <w:noProof/>
        </w:rPr>
        <w:fldChar w:fldCharType="end"/>
      </w:r>
      <w:r w:rsidRPr="007E60A8">
        <w:t>.  The Government contended that this claim was groundless.</w:t>
      </w:r>
    </w:p>
    <w:p w:rsidRPr="007E60A8" w:rsidR="00617CE5" w:rsidP="007E60A8" w14:paraId="34A724E9" w14:textId="2D9BF61B">
      <w:pPr>
        <w:pStyle w:val="JuPara"/>
      </w:pPr>
      <w:r>
        <w:fldChar w:fldCharType="begin"/>
      </w:r>
      <w:r>
        <w:instrText xml:space="preserve"> SEQ level0 \*arabic \* MERGEFORMAT </w:instrText>
      </w:r>
      <w:r>
        <w:fldChar w:fldCharType="separate"/>
      </w:r>
      <w:r w:rsidRPr="007E60A8" w:rsidR="007E60A8">
        <w:rPr>
          <w:noProof/>
        </w:rPr>
        <w:t>22</w:t>
      </w:r>
      <w:r w:rsidRPr="007E60A8" w:rsidR="007E60A8">
        <w:rPr>
          <w:noProof/>
        </w:rPr>
        <w:fldChar w:fldCharType="end"/>
      </w:r>
      <w:r w:rsidRPr="007E60A8">
        <w:t>.  The Court awards the applicant EUR 3,000 in respect of non</w:t>
      </w:r>
      <w:r w:rsidRPr="007E60A8">
        <w:noBreakHyphen/>
        <w:t>pecuniary damage, plus any tax that may be chargeable.</w:t>
      </w:r>
    </w:p>
    <w:p w:rsidRPr="007E60A8" w:rsidR="00617CE5" w:rsidP="007E60A8" w14:paraId="0B3FC0CF" w14:textId="28E5CBC1">
      <w:pPr>
        <w:pStyle w:val="JuHHead"/>
      </w:pPr>
      <w:r w:rsidRPr="007E60A8">
        <w:t>FOR THESE REASONS, THE COURT, UNANIMOUSLY,</w:t>
      </w:r>
    </w:p>
    <w:p w:rsidRPr="007E60A8" w:rsidR="00617CE5" w:rsidP="007E60A8" w14:paraId="27D48796" w14:textId="77777777">
      <w:pPr>
        <w:pStyle w:val="JuList"/>
      </w:pPr>
      <w:r w:rsidRPr="007E60A8">
        <w:rPr>
          <w:i/>
        </w:rPr>
        <w:t>Declares</w:t>
      </w:r>
      <w:r w:rsidRPr="007E60A8">
        <w:t xml:space="preserve"> the application </w:t>
      </w:r>
      <w:r w:rsidRPr="007E60A8">
        <w:t>admissible;</w:t>
      </w:r>
    </w:p>
    <w:p w:rsidRPr="007E60A8" w:rsidR="00617CE5" w:rsidP="007E60A8" w14:paraId="1F625CC9" w14:textId="77777777">
      <w:pPr>
        <w:pStyle w:val="JuList"/>
      </w:pPr>
      <w:r w:rsidRPr="007E60A8">
        <w:rPr>
          <w:i/>
        </w:rPr>
        <w:t>Holds</w:t>
      </w:r>
      <w:r w:rsidRPr="007E60A8">
        <w:t xml:space="preserve"> that there has been a violation of the procedural limb of Article 3 of the </w:t>
      </w:r>
      <w:r w:rsidRPr="007E60A8">
        <w:t>Convention;</w:t>
      </w:r>
    </w:p>
    <w:p w:rsidRPr="007E60A8" w:rsidR="00617CE5" w:rsidP="007E60A8" w14:paraId="1B8E55F3" w14:textId="77777777">
      <w:pPr>
        <w:pStyle w:val="JuList"/>
      </w:pPr>
      <w:r w:rsidRPr="007E60A8">
        <w:rPr>
          <w:i/>
          <w:iCs/>
        </w:rPr>
        <w:t>Holds</w:t>
      </w:r>
    </w:p>
    <w:p w:rsidRPr="007E60A8" w:rsidR="00617CE5" w:rsidP="007E60A8" w14:paraId="3E841754" w14:textId="77777777">
      <w:pPr>
        <w:pStyle w:val="JuLista"/>
        <w:numPr>
          <w:ilvl w:val="1"/>
          <w:numId w:val="5"/>
        </w:numPr>
      </w:pPr>
      <w:r w:rsidRPr="007E60A8">
        <w:t>that the respondent State is to pay the applicant, within three months, EUR</w:t>
      </w:r>
      <w:r w:rsidRPr="007E60A8">
        <w:t xml:space="preserve"> </w:t>
      </w:r>
      <w:r w:rsidRPr="007E60A8">
        <w:t>3,000 (three thousand euros), plus any tax that may be chargeable, in respect of non-pecuniary damage</w:t>
      </w:r>
      <w:r w:rsidRPr="007E60A8">
        <w:rPr>
          <w:bCs/>
        </w:rPr>
        <w:t xml:space="preserve">, to be converted into </w:t>
      </w:r>
      <w:r w:rsidRPr="007E60A8">
        <w:rPr>
          <w:bCs/>
          <w:color w:val="000000"/>
        </w:rPr>
        <w:t>the currency of the respondent State</w:t>
      </w:r>
      <w:r w:rsidRPr="007E60A8">
        <w:rPr>
          <w:b/>
        </w:rPr>
        <w:t xml:space="preserve"> </w:t>
      </w:r>
      <w:r w:rsidRPr="007E60A8">
        <w:t xml:space="preserve">at the rate applicable at the date of </w:t>
      </w:r>
      <w:r w:rsidRPr="007E60A8">
        <w:t>settlement;</w:t>
      </w:r>
    </w:p>
    <w:p w:rsidRPr="007E60A8" w:rsidR="00617CE5" w:rsidP="007E60A8" w14:paraId="6C7FD95D" w14:textId="77777777">
      <w:pPr>
        <w:pStyle w:val="JuLista"/>
        <w:numPr>
          <w:ilvl w:val="1"/>
          <w:numId w:val="5"/>
        </w:numPr>
      </w:pPr>
      <w:r w:rsidRPr="007E60A8">
        <w:t>that from the expiry of the above-mentioned three months until settlement simple interest shall be payable on the above amount at a rate equal to the marginal lending rate of the European Central Bank during the default period plus three percentage points.</w:t>
      </w:r>
    </w:p>
    <w:p w:rsidRPr="007E60A8" w:rsidR="004D0EC7" w:rsidP="007E60A8" w14:paraId="7FC2BB8B" w14:textId="7A25C20C">
      <w:pPr>
        <w:pStyle w:val="JuList"/>
        <w:keepNext/>
        <w:keepLines/>
      </w:pPr>
      <w:r w:rsidRPr="007E60A8">
        <w:rPr>
          <w:i/>
        </w:rPr>
        <w:t xml:space="preserve">Dismisses </w:t>
      </w:r>
      <w:r w:rsidRPr="007E60A8">
        <w:t>the remainder of the applicant</w:t>
      </w:r>
      <w:r w:rsidRPr="007E60A8" w:rsidR="007E60A8">
        <w:t>’</w:t>
      </w:r>
      <w:r w:rsidRPr="007E60A8">
        <w:t>s claim for just satisfaction.</w:t>
      </w:r>
    </w:p>
    <w:p w:rsidRPr="007E60A8" w:rsidR="008E3A08" w:rsidP="007E60A8" w14:paraId="6CA1BFF3" w14:textId="484C524B">
      <w:pPr>
        <w:pStyle w:val="JuParaLast"/>
      </w:pPr>
      <w:r w:rsidRPr="007E60A8">
        <w:t xml:space="preserve">Done in English, and notified in writing on </w:t>
      </w:r>
      <w:r w:rsidRPr="007E60A8" w:rsidR="00617CE5">
        <w:rPr>
          <w:rFonts w:ascii="Times New Roman" w:hAnsi="Times New Roman" w:cs="Times New Roman"/>
        </w:rPr>
        <w:t>18 December 2025</w:t>
      </w:r>
      <w:r w:rsidRPr="007E60A8">
        <w:t>, pursuant to Rule 77 §§ 2 and 3 of the Rules of Court.</w:t>
      </w:r>
    </w:p>
    <w:p w:rsidRPr="007E60A8" w:rsidR="007E79A4" w:rsidP="007E60A8" w14:paraId="144DC23E" w14:textId="56C67AA4">
      <w:pPr>
        <w:pStyle w:val="ECHRPlaceholder"/>
        <w:keepNext/>
        <w:keepLines/>
        <w:rPr>
          <w:szCs w:val="22"/>
          <w:lang w:val="it-IT"/>
        </w:rPr>
      </w:pPr>
      <w:r w:rsidRPr="007E60A8">
        <w:tab/>
      </w:r>
    </w:p>
    <w:p w:rsidRPr="007E60A8" w:rsidR="007E79A4" w:rsidP="007E60A8" w14:paraId="06218CD5" w14:textId="2518EDAE">
      <w:pPr>
        <w:pStyle w:val="JuSigned"/>
        <w:keepNext/>
        <w:keepLines/>
        <w:rPr>
          <w:lang w:val="it-IT"/>
        </w:rPr>
      </w:pPr>
      <w:r w:rsidRPr="007E60A8">
        <w:rPr>
          <w:lang w:val="it-IT"/>
        </w:rPr>
        <w:tab/>
      </w:r>
      <w:r w:rsidRPr="007E60A8" w:rsidR="00617CE5">
        <w:rPr>
          <w:noProof/>
          <w:lang w:val="it-IT"/>
        </w:rPr>
        <w:t>Martina Keller</w:t>
      </w:r>
      <w:r w:rsidRPr="007E60A8">
        <w:rPr>
          <w:lang w:val="it-IT"/>
        </w:rPr>
        <w:tab/>
      </w:r>
      <w:r w:rsidRPr="007E60A8" w:rsidR="00617CE5">
        <w:rPr>
          <w:noProof/>
          <w:lang w:val="it-IT"/>
        </w:rPr>
        <w:t>Gilberto Felici</w:t>
      </w:r>
      <w:r w:rsidRPr="007E60A8">
        <w:rPr>
          <w:lang w:val="it-IT"/>
        </w:rPr>
        <w:br/>
      </w:r>
      <w:r w:rsidRPr="007E60A8">
        <w:rPr>
          <w:lang w:val="it-IT"/>
        </w:rPr>
        <w:tab/>
      </w:r>
      <w:r w:rsidRPr="007E60A8" w:rsidR="00617CE5">
        <w:rPr>
          <w:noProof/>
          <w:lang w:val="it-IT"/>
        </w:rPr>
        <w:t>Deputy Registrar</w:t>
      </w:r>
      <w:r w:rsidRPr="007E60A8">
        <w:rPr>
          <w:lang w:val="it-IT"/>
        </w:rPr>
        <w:tab/>
      </w:r>
      <w:r w:rsidRPr="007E60A8">
        <w:rPr>
          <w:lang w:val="it-IT"/>
        </w:rPr>
        <w:t>President</w:t>
      </w:r>
    </w:p>
    <w:p w:rsidRPr="007E60A8" w:rsidR="00675AF2" w:rsidP="007E60A8" w14:paraId="502485B8" w14:textId="77777777">
      <w:pPr>
        <w:pStyle w:val="JuPara"/>
        <w:keepNext/>
        <w:keepLines/>
        <w:rPr>
          <w:lang w:val="it-IT"/>
        </w:rPr>
      </w:pPr>
    </w:p>
    <w:p w:rsidRPr="007E60A8" w:rsidR="00182EBA" w:rsidP="007E60A8" w14:paraId="4D84B4FF" w14:textId="01D07CEC">
      <w:pPr>
        <w:keepNext/>
        <w:keepLines/>
        <w:rPr>
          <w:lang w:val="it-IT"/>
        </w:rPr>
      </w:pPr>
    </w:p>
    <w:sectPr w:rsidSect="007D3701">
      <w:headerReference w:type="even" r:id="rId10"/>
      <w:headerReference w:type="default" r:id="rId11"/>
      <w:footerReference w:type="even" r:id="rId12"/>
      <w:footerReference w:type="default" r:id="rId13"/>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17CE5" w:rsidRPr="00150BFA" w:rsidP="0020718E" w14:paraId="57441607" w14:textId="7366BF09">
    <w:pPr>
      <w:jc w:val="center"/>
    </w:pPr>
    <w:r>
      <w:rPr>
        <w:noProof/>
        <w:lang w:val="en-US"/>
      </w:rPr>
      <w:drawing>
        <wp:inline distT="0" distB="0" distL="0" distR="0">
          <wp:extent cx="771525" cy="619125"/>
          <wp:effectExtent l="0" t="0" r="9525" b="9525"/>
          <wp:docPr id="59" name="Picture 5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617CE5" w:rsidP="00AF12C5" w14:paraId="515F87C4" w14:textId="73FE0730">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17CE5" w:rsidRPr="00150BFA" w:rsidP="0020718E" w14:paraId="1A7FFB94" w14:textId="2F85BD23">
    <w:pPr>
      <w:jc w:val="center"/>
    </w:pPr>
    <w:r>
      <w:rPr>
        <w:noProof/>
        <w:lang w:val="en-US"/>
      </w:rPr>
      <w:drawing>
        <wp:inline distT="0" distB="0" distL="0" distR="0">
          <wp:extent cx="771525" cy="619125"/>
          <wp:effectExtent l="0" t="0" r="9525" b="9525"/>
          <wp:docPr id="57" name="Picture 5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617CE5" w:rsidP="009E7A6F" w14:paraId="08BED839" w14:textId="3D598D12">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4A24F7D8" w14:textId="7499D7C5">
    <w:pPr>
      <w:pStyle w:val="JuHeader"/>
    </w:pPr>
    <w:r>
      <w:fldChar w:fldCharType="begin"/>
    </w:r>
    <w:r>
      <w:instrText xml:space="preserve"> PAGE  \* MERGEFORMAT </w:instrText>
    </w:r>
    <w:r>
      <w:fldChar w:fldCharType="separate"/>
    </w:r>
    <w:r>
      <w:rPr>
        <w:noProof/>
      </w:rPr>
      <w:t>2</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7C5C222D" w14:textId="677C0468">
    <w:pPr>
      <w:pStyle w:val="JuHeader"/>
    </w:pP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617CE5" w:rsidRPr="00617CE5" w:rsidP="0098410D" w14:paraId="7FB90A55" w14:textId="77777777">
      <w:r w:rsidRPr="00617CE5">
        <w:separator/>
      </w:r>
    </w:p>
  </w:footnote>
  <w:footnote w:type="continuationSeparator" w:id="1">
    <w:p w:rsidR="00617CE5" w:rsidRPr="00617CE5" w:rsidP="0098410D" w14:paraId="1F0E86CB" w14:textId="77777777">
      <w:r w:rsidRPr="00617CE5">
        <w:continuationSeparator/>
      </w:r>
    </w:p>
  </w:footnote>
  <w:footnote w:id="2">
    <w:p w:rsidR="00617CE5" w:rsidRPr="00617CE5" w:rsidP="00617CE5" w14:paraId="4AA1D9A9" w14:textId="77777777">
      <w:pPr>
        <w:pStyle w:val="FootnoteText"/>
      </w:pPr>
      <w:r w:rsidRPr="007E60A8">
        <w:rPr>
          <w:rStyle w:val="FootnoteReference"/>
        </w:rPr>
        <w:footnoteRef/>
      </w:r>
      <w:r w:rsidRPr="007E60A8">
        <w:rPr>
          <w:rStyle w:val="FootnoteReference"/>
        </w:rPr>
        <w:t xml:space="preserve"> </w:t>
      </w:r>
      <w:r w:rsidRPr="007E60A8">
        <w:t xml:space="preserve">See </w:t>
      </w:r>
      <w:r w:rsidRPr="007E60A8">
        <w:rPr>
          <w:i/>
          <w:iCs/>
        </w:rPr>
        <w:t>Zagubnya and Tabachkova v. Ukraine</w:t>
      </w:r>
      <w:r w:rsidRPr="007E60A8">
        <w:t xml:space="preserve"> ([Committee], no. 60977/14, § 34, 12 November 2020) for a definition of the offence of “hooliganism”.</w:t>
      </w:r>
    </w:p>
  </w:footnote>
  <w:footnote w:id="3">
    <w:p w:rsidR="00617CE5" w:rsidRPr="00617CE5" w:rsidP="00617CE5" w14:paraId="3E280A07" w14:textId="77777777">
      <w:pPr>
        <w:pStyle w:val="FootnoteText"/>
      </w:pPr>
      <w:r w:rsidRPr="007E60A8">
        <w:rPr>
          <w:rStyle w:val="FootnoteReference"/>
        </w:rPr>
        <w:footnoteRef/>
      </w:r>
      <w:r w:rsidRPr="007E60A8">
        <w:rPr>
          <w:rStyle w:val="FootnoteReference"/>
        </w:rPr>
        <w:t xml:space="preserve"> </w:t>
      </w:r>
      <w:r w:rsidRPr="007E60A8">
        <w:t>Closed-circuit television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17CE5" w:rsidRPr="00A45145" w:rsidP="00A45145" w14:paraId="0642199B" w14:textId="1061BC6B">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617CE5" w:rsidP="00B14793" w14:paraId="47F5D965" w14:textId="33BA6281">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17CE5" w:rsidRPr="00A45145" w:rsidP="00A45145" w14:paraId="3D7F6C52" w14:textId="7EAEF64B">
    <w:pPr>
      <w:jc w:val="center"/>
    </w:pPr>
    <w:r>
      <w:rPr>
        <w:noProof/>
        <w:lang w:val="en-US"/>
      </w:rPr>
      <w:drawing>
        <wp:inline distT="0" distB="0" distL="0" distR="0">
          <wp:extent cx="2962275" cy="1219200"/>
          <wp:effectExtent l="0" t="0" r="9525" b="0"/>
          <wp:docPr id="52" name="Picture 5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617CE5" w14:paraId="05A54705" w14:textId="566869C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004B586B" w14:textId="4E71386C">
    <w:pPr>
      <w:pStyle w:val="JuHeader"/>
    </w:pPr>
    <w:r>
      <w:t>NAYYEM v. UKRAINE</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3DC032EB" w14:textId="2688148A">
    <w:pPr>
      <w:pStyle w:val="JuHeader"/>
    </w:pPr>
    <w:r>
      <w:t>NAYYEM v. UKRAINE</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4"/>
  </w:num>
  <w:num w:numId="22">
    <w:abstractNumId w:val="12"/>
  </w:num>
  <w:num w:numId="23">
    <w:abstractNumId w:val="11"/>
  </w:num>
  <w:num w:numId="24">
    <w:abstractNumId w:val="17"/>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15"/>
  </w:num>
  <w:num w:numId="35">
    <w:abstractNumId w:val="13"/>
  </w:num>
  <w:num w:numId="36">
    <w:abstractNumId w:val="16"/>
  </w:num>
  <w:num w:numId="37">
    <w:abstractNumId w:val="15"/>
  </w:num>
  <w:num w:numId="38">
    <w:abstractNumId w:val="15"/>
  </w:num>
  <w:num w:numId="39">
    <w:abstractNumId w:val="15"/>
  </w:num>
  <w:num w:numId="40">
    <w:abstractNumId w:val="15"/>
  </w:num>
  <w:num w:numId="41">
    <w:abstractNumId w:val="10"/>
  </w:num>
  <w:num w:numId="42">
    <w:abstractNumId w:val="16"/>
  </w:num>
  <w:num w:numId="43">
    <w:abstractNumId w:val="16"/>
  </w:num>
  <w:num w:numId="44">
    <w:abstractNumId w:val="16"/>
  </w:num>
  <w:num w:numId="45">
    <w:abstractNumId w:val="10"/>
  </w:num>
  <w:num w:numId="46">
    <w:abstractNumId w:val="10"/>
  </w:num>
  <w:num w:numId="47">
    <w:abstractNumId w:val="10"/>
  </w:num>
  <w:num w:numId="48">
    <w:abstractNumId w:val="10"/>
  </w:num>
  <w:num w:numId="49">
    <w:abstractNumId w:val="10"/>
  </w:num>
  <w:num w:numId="50">
    <w:abstractNumId w:val="10"/>
  </w:num>
  <w:num w:numId="51">
    <w:abstractNumId w:val="10"/>
  </w:num>
  <w:num w:numId="52">
    <w:abstractNumId w:val="10"/>
  </w:num>
  <w:num w:numId="53">
    <w:abstractNumId w:val="9"/>
  </w:num>
  <w:num w:numId="54">
    <w:abstractNumId w:val="9"/>
  </w:num>
  <w:num w:numId="55">
    <w:abstractNumId w:val="9"/>
  </w:num>
  <w:num w:numId="56">
    <w:abstractNumId w:val="14"/>
  </w:num>
  <w:num w:numId="57">
    <w:abstractNumId w:val="12"/>
  </w:num>
  <w:num w:numId="58">
    <w:abstractNumId w:val="11"/>
  </w:num>
  <w:num w:numId="59">
    <w:abstractNumId w:val="17"/>
  </w:num>
  <w:num w:numId="60">
    <w:abstractNumId w:val="7"/>
  </w:num>
  <w:num w:numId="61">
    <w:abstractNumId w:val="6"/>
  </w:num>
  <w:num w:numId="62">
    <w:abstractNumId w:val="5"/>
  </w:num>
  <w:num w:numId="63">
    <w:abstractNumId w:val="4"/>
  </w:num>
  <w:num w:numId="64">
    <w:abstractNumId w:val="8"/>
  </w:num>
  <w:num w:numId="65">
    <w:abstractNumId w:val="3"/>
  </w:num>
  <w:num w:numId="66">
    <w:abstractNumId w:val="2"/>
  </w:num>
  <w:num w:numId="67">
    <w:abstractNumId w:val="1"/>
  </w:num>
  <w:num w:numId="68">
    <w:abstractNumId w:val="0"/>
  </w:num>
  <w:num w:numId="69">
    <w:abstractNumId w:val="15"/>
  </w:num>
  <w:num w:numId="70">
    <w:abstractNumId w:val="13"/>
  </w:num>
  <w:num w:numId="71">
    <w:abstractNumId w:val="16"/>
  </w:num>
  <w:num w:numId="72">
    <w:abstractNumId w:val="15"/>
  </w:num>
  <w:num w:numId="73">
    <w:abstractNumId w:val="15"/>
  </w:num>
  <w:num w:numId="74">
    <w:abstractNumId w:val="15"/>
  </w:num>
  <w:num w:numId="75">
    <w:abstractNumId w:val="15"/>
  </w:num>
  <w:num w:numId="76">
    <w:abstractNumId w:val="10"/>
  </w:num>
  <w:num w:numId="77">
    <w:abstractNumId w:val="16"/>
  </w:num>
  <w:num w:numId="78">
    <w:abstractNumId w:val="16"/>
  </w:num>
  <w:num w:numId="79">
    <w:abstractNumId w:val="16"/>
  </w:num>
  <w:num w:numId="80">
    <w:abstractNumId w:val="10"/>
  </w:num>
  <w:num w:numId="81">
    <w:abstractNumId w:val="10"/>
  </w:num>
  <w:num w:numId="82">
    <w:abstractNumId w:val="10"/>
  </w:num>
  <w:num w:numId="83">
    <w:abstractNumId w:val="10"/>
  </w:num>
  <w:num w:numId="84">
    <w:abstractNumId w:val="10"/>
  </w:num>
  <w:num w:numId="85">
    <w:abstractNumId w:val="10"/>
  </w:num>
  <w:num w:numId="86">
    <w:abstractNumId w:val="10"/>
  </w:num>
  <w:num w:numId="87">
    <w:abstractNumId w:val="10"/>
  </w:num>
  <w:num w:numId="88">
    <w:abstractNumId w:val="9"/>
  </w:num>
  <w:num w:numId="89">
    <w:abstractNumId w:val="9"/>
  </w:num>
  <w:num w:numId="90">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CE5"/>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4987"/>
    <w:rsid w:val="00041560"/>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6AC"/>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11C80"/>
    <w:rsid w:val="00617CE5"/>
    <w:rsid w:val="00620692"/>
    <w:rsid w:val="00623885"/>
    <w:rsid w:val="006242CA"/>
    <w:rsid w:val="00627507"/>
    <w:rsid w:val="00633717"/>
    <w:rsid w:val="006344E1"/>
    <w:rsid w:val="00643524"/>
    <w:rsid w:val="0064393B"/>
    <w:rsid w:val="00645CF2"/>
    <w:rsid w:val="00653BED"/>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60A8"/>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2658"/>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0770"/>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0FB4"/>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16F1"/>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D7C82"/>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A094A"/>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0"/>
    <w:docVar w:name="SignForeName" w:val="0"/>
    <w:docVar w:name="SndCaseNumber" w:val="Error!Nodocumentvariablesupplied."/>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1BDB4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7E60A8"/>
    <w:rPr>
      <w:sz w:val="24"/>
      <w:szCs w:val="24"/>
      <w:lang w:val="en-GB"/>
    </w:rPr>
  </w:style>
  <w:style w:type="paragraph" w:styleId="Heading1">
    <w:name w:val="heading 1"/>
    <w:basedOn w:val="Normal"/>
    <w:next w:val="Normal"/>
    <w:link w:val="Heading1Char"/>
    <w:uiPriority w:val="98"/>
    <w:semiHidden/>
    <w:rsid w:val="007E60A8"/>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E60A8"/>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E60A8"/>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E60A8"/>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E60A8"/>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E60A8"/>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E60A8"/>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E60A8"/>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E60A8"/>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rsid w:val="007E60A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E60A8"/>
  </w:style>
  <w:style w:type="paragraph" w:styleId="BalloonText">
    <w:name w:val="Balloon Text"/>
    <w:basedOn w:val="Normal"/>
    <w:link w:val="BalloonTextChar"/>
    <w:uiPriority w:val="98"/>
    <w:semiHidden/>
    <w:rsid w:val="007E60A8"/>
    <w:rPr>
      <w:rFonts w:ascii="Tahoma" w:hAnsi="Tahoma" w:cs="Tahoma"/>
      <w:sz w:val="16"/>
      <w:szCs w:val="16"/>
    </w:rPr>
  </w:style>
  <w:style w:type="character" w:customStyle="1" w:styleId="BalloonTextChar">
    <w:name w:val="Balloon Text Char"/>
    <w:basedOn w:val="DefaultParagraphFont"/>
    <w:link w:val="BalloonText"/>
    <w:uiPriority w:val="98"/>
    <w:semiHidden/>
    <w:rsid w:val="007E60A8"/>
    <w:rPr>
      <w:rFonts w:ascii="Tahoma" w:hAnsi="Tahoma" w:cs="Tahoma"/>
      <w:sz w:val="16"/>
      <w:szCs w:val="16"/>
      <w:lang w:val="en-GB"/>
    </w:rPr>
  </w:style>
  <w:style w:type="character" w:styleId="BookTitle">
    <w:name w:val="Book Title"/>
    <w:uiPriority w:val="98"/>
    <w:semiHidden/>
    <w:qFormat/>
    <w:rsid w:val="007E60A8"/>
    <w:rPr>
      <w:i/>
      <w:iCs/>
      <w:smallCaps/>
      <w:spacing w:val="5"/>
    </w:rPr>
  </w:style>
  <w:style w:type="paragraph" w:customStyle="1" w:styleId="JuHeader">
    <w:name w:val="Ju_Header"/>
    <w:aliases w:val="_Header"/>
    <w:basedOn w:val="Header0"/>
    <w:uiPriority w:val="29"/>
    <w:qFormat/>
    <w:rsid w:val="007E60A8"/>
    <w:pPr>
      <w:tabs>
        <w:tab w:val="clear" w:pos="4536"/>
        <w:tab w:val="clear" w:pos="9072"/>
      </w:tabs>
      <w:jc w:val="center"/>
    </w:pPr>
    <w:rPr>
      <w:sz w:val="18"/>
    </w:rPr>
  </w:style>
  <w:style w:type="paragraph" w:customStyle="1" w:styleId="NormalJustified">
    <w:name w:val="Normal_Justified"/>
    <w:basedOn w:val="Normal"/>
    <w:semiHidden/>
    <w:rsid w:val="007E60A8"/>
    <w:pPr>
      <w:jc w:val="both"/>
    </w:pPr>
  </w:style>
  <w:style w:type="character" w:styleId="Strong">
    <w:name w:val="Strong"/>
    <w:uiPriority w:val="98"/>
    <w:semiHidden/>
    <w:qFormat/>
    <w:rsid w:val="007E60A8"/>
    <w:rPr>
      <w:b/>
      <w:bCs/>
    </w:rPr>
  </w:style>
  <w:style w:type="paragraph" w:styleId="NoSpacing">
    <w:name w:val="No Spacing"/>
    <w:basedOn w:val="Normal"/>
    <w:link w:val="NoSpacingChar"/>
    <w:uiPriority w:val="98"/>
    <w:semiHidden/>
    <w:qFormat/>
    <w:rsid w:val="007E60A8"/>
  </w:style>
  <w:style w:type="character" w:customStyle="1" w:styleId="NoSpacingChar">
    <w:name w:val="No Spacing Char"/>
    <w:basedOn w:val="DefaultParagraphFont"/>
    <w:link w:val="NoSpacing"/>
    <w:uiPriority w:val="98"/>
    <w:semiHidden/>
    <w:rsid w:val="007E60A8"/>
    <w:rPr>
      <w:sz w:val="24"/>
      <w:szCs w:val="24"/>
      <w:lang w:val="en-GB"/>
    </w:rPr>
  </w:style>
  <w:style w:type="paragraph" w:customStyle="1" w:styleId="JuQuot">
    <w:name w:val="Ju_Quot"/>
    <w:aliases w:val="_Quote"/>
    <w:basedOn w:val="NormalJustified"/>
    <w:uiPriority w:val="20"/>
    <w:qFormat/>
    <w:rsid w:val="007E60A8"/>
    <w:pPr>
      <w:spacing w:before="120" w:after="120"/>
      <w:ind w:left="425" w:firstLine="142"/>
    </w:pPr>
    <w:rPr>
      <w:sz w:val="20"/>
    </w:rPr>
  </w:style>
  <w:style w:type="table" w:styleId="GridTable1Light">
    <w:name w:val="Grid Table 1 Light"/>
    <w:basedOn w:val="TableNormal"/>
    <w:uiPriority w:val="46"/>
    <w:semiHidden/>
    <w:rsid w:val="007E60A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
    <w:name w:val="Ju_List"/>
    <w:aliases w:val="_List_1"/>
    <w:basedOn w:val="NormalJustified"/>
    <w:uiPriority w:val="23"/>
    <w:qFormat/>
    <w:rsid w:val="007E60A8"/>
    <w:pPr>
      <w:numPr>
        <w:numId w:val="90"/>
      </w:numPr>
      <w:spacing w:before="280" w:after="60"/>
    </w:pPr>
  </w:style>
  <w:style w:type="paragraph" w:customStyle="1" w:styleId="JuLista">
    <w:name w:val="Ju_List_a"/>
    <w:aliases w:val="_List_2"/>
    <w:basedOn w:val="NormalJustified"/>
    <w:uiPriority w:val="23"/>
    <w:rsid w:val="007E60A8"/>
    <w:pPr>
      <w:numPr>
        <w:ilvl w:val="1"/>
        <w:numId w:val="90"/>
      </w:numPr>
    </w:pPr>
  </w:style>
  <w:style w:type="paragraph" w:customStyle="1" w:styleId="JuListi">
    <w:name w:val="Ju_List_i"/>
    <w:aliases w:val="_List_3"/>
    <w:basedOn w:val="NormalJustified"/>
    <w:uiPriority w:val="23"/>
    <w:rsid w:val="007E60A8"/>
    <w:pPr>
      <w:numPr>
        <w:ilvl w:val="2"/>
        <w:numId w:val="90"/>
      </w:numPr>
    </w:pPr>
  </w:style>
  <w:style w:type="paragraph" w:customStyle="1" w:styleId="JuHArticle">
    <w:name w:val="Ju_H_Article"/>
    <w:aliases w:val="_Title_Quote"/>
    <w:basedOn w:val="Normal"/>
    <w:next w:val="JuQuot"/>
    <w:uiPriority w:val="19"/>
    <w:qFormat/>
    <w:rsid w:val="007E60A8"/>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7E60A8"/>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7E60A8"/>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7E60A8"/>
    <w:pPr>
      <w:keepNext/>
      <w:keepLines/>
      <w:numPr>
        <w:numId w:val="87"/>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7E60A8"/>
    <w:pPr>
      <w:numPr>
        <w:numId w:val="69"/>
      </w:numPr>
    </w:pPr>
  </w:style>
  <w:style w:type="paragraph" w:customStyle="1" w:styleId="JuSigned">
    <w:name w:val="Ju_Signed"/>
    <w:aliases w:val="_Signature"/>
    <w:basedOn w:val="Normal"/>
    <w:next w:val="JuPara"/>
    <w:uiPriority w:val="31"/>
    <w:qFormat/>
    <w:rsid w:val="007E60A8"/>
    <w:pPr>
      <w:tabs>
        <w:tab w:val="center" w:pos="1418"/>
        <w:tab w:val="center" w:pos="5954"/>
      </w:tabs>
      <w:spacing w:before="720"/>
    </w:pPr>
  </w:style>
  <w:style w:type="paragraph" w:styleId="Title">
    <w:name w:val="Title"/>
    <w:basedOn w:val="Normal"/>
    <w:next w:val="Normal"/>
    <w:link w:val="TitleChar"/>
    <w:uiPriority w:val="98"/>
    <w:semiHidden/>
    <w:qFormat/>
    <w:rsid w:val="007E60A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E60A8"/>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7E60A8"/>
    <w:pPr>
      <w:numPr>
        <w:numId w:val="70"/>
      </w:numPr>
    </w:pPr>
  </w:style>
  <w:style w:type="numbering" w:customStyle="1" w:styleId="ECHRA1StyleNumberedList">
    <w:name w:val="ECHR_A1_Style_Numbered_List"/>
    <w:basedOn w:val="NoList"/>
    <w:rsid w:val="007E60A8"/>
    <w:pPr>
      <w:numPr>
        <w:numId w:val="71"/>
      </w:numPr>
    </w:pPr>
  </w:style>
  <w:style w:type="table" w:customStyle="1" w:styleId="ECHRTable2019">
    <w:name w:val="ECHR_Table_2019"/>
    <w:basedOn w:val="TableNormal"/>
    <w:uiPriority w:val="99"/>
    <w:rsid w:val="007E60A8"/>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7E60A8"/>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7E60A8"/>
    <w:pPr>
      <w:keepNext/>
      <w:keepLines/>
      <w:numPr>
        <w:ilvl w:val="1"/>
        <w:numId w:val="87"/>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E60A8"/>
    <w:pPr>
      <w:keepNext/>
      <w:keepLines/>
      <w:numPr>
        <w:ilvl w:val="2"/>
        <w:numId w:val="87"/>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7E60A8"/>
    <w:pPr>
      <w:keepNext/>
      <w:keepLines/>
      <w:numPr>
        <w:ilvl w:val="3"/>
        <w:numId w:val="87"/>
      </w:numPr>
      <w:spacing w:before="100" w:beforeAutospacing="1" w:after="120"/>
      <w:jc w:val="both"/>
    </w:pPr>
    <w:rPr>
      <w:b w:val="0"/>
      <w:color w:val="auto"/>
      <w:sz w:val="24"/>
    </w:rPr>
  </w:style>
  <w:style w:type="paragraph" w:styleId="Header0">
    <w:name w:val="header"/>
    <w:basedOn w:val="Normal"/>
    <w:link w:val="HeaderChar"/>
    <w:uiPriority w:val="98"/>
    <w:semiHidden/>
    <w:rsid w:val="007E60A8"/>
    <w:pPr>
      <w:tabs>
        <w:tab w:val="center" w:pos="4536"/>
        <w:tab w:val="right" w:pos="9072"/>
      </w:tabs>
    </w:pPr>
  </w:style>
  <w:style w:type="character" w:customStyle="1" w:styleId="HeaderChar">
    <w:name w:val="Header Char"/>
    <w:basedOn w:val="DefaultParagraphFont"/>
    <w:link w:val="Header0"/>
    <w:uiPriority w:val="98"/>
    <w:semiHidden/>
    <w:rsid w:val="007E60A8"/>
    <w:rPr>
      <w:sz w:val="24"/>
      <w:szCs w:val="24"/>
      <w:lang w:val="en-GB"/>
    </w:rPr>
  </w:style>
  <w:style w:type="character" w:customStyle="1" w:styleId="Heading1Char">
    <w:name w:val="Heading 1 Char"/>
    <w:basedOn w:val="DefaultParagraphFont"/>
    <w:link w:val="Heading1"/>
    <w:uiPriority w:val="98"/>
    <w:semiHidden/>
    <w:rsid w:val="007E60A8"/>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7E60A8"/>
    <w:pPr>
      <w:keepNext/>
      <w:keepLines/>
      <w:numPr>
        <w:ilvl w:val="4"/>
        <w:numId w:val="87"/>
      </w:numPr>
      <w:spacing w:before="100" w:beforeAutospacing="1" w:after="120"/>
      <w:jc w:val="both"/>
    </w:pPr>
    <w:rPr>
      <w:color w:val="auto"/>
      <w:sz w:val="20"/>
    </w:rPr>
  </w:style>
  <w:style w:type="paragraph" w:customStyle="1" w:styleId="JuHi">
    <w:name w:val="Ju_H_i"/>
    <w:aliases w:val="_Head_6"/>
    <w:basedOn w:val="Heading6"/>
    <w:next w:val="JuPara"/>
    <w:uiPriority w:val="17"/>
    <w:rsid w:val="007E60A8"/>
    <w:pPr>
      <w:keepNext/>
      <w:keepLines/>
      <w:numPr>
        <w:ilvl w:val="5"/>
        <w:numId w:val="87"/>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7E60A8"/>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7E60A8"/>
    <w:pPr>
      <w:keepNext/>
      <w:keepLines/>
      <w:numPr>
        <w:ilvl w:val="6"/>
        <w:numId w:val="87"/>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7E60A8"/>
    <w:pPr>
      <w:keepNext/>
      <w:keepLines/>
      <w:numPr>
        <w:ilvl w:val="7"/>
        <w:numId w:val="87"/>
      </w:numPr>
      <w:spacing w:before="100" w:beforeAutospacing="1" w:after="120"/>
      <w:jc w:val="both"/>
    </w:pPr>
    <w:rPr>
      <w:i/>
    </w:rPr>
  </w:style>
  <w:style w:type="character" w:customStyle="1" w:styleId="Heading3Char">
    <w:name w:val="Heading 3 Char"/>
    <w:basedOn w:val="DefaultParagraphFont"/>
    <w:link w:val="Heading3"/>
    <w:uiPriority w:val="98"/>
    <w:semiHidden/>
    <w:rsid w:val="007E60A8"/>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7E60A8"/>
    <w:pPr>
      <w:keepNext/>
      <w:keepLines/>
      <w:spacing w:before="240" w:after="240"/>
      <w:ind w:firstLine="284"/>
    </w:pPr>
  </w:style>
  <w:style w:type="paragraph" w:customStyle="1" w:styleId="JuJudges">
    <w:name w:val="Ju_Judges"/>
    <w:aliases w:val="_Judges"/>
    <w:basedOn w:val="Normal"/>
    <w:uiPriority w:val="32"/>
    <w:qFormat/>
    <w:rsid w:val="007E60A8"/>
    <w:pPr>
      <w:tabs>
        <w:tab w:val="left" w:pos="567"/>
        <w:tab w:val="left" w:pos="1134"/>
      </w:tabs>
    </w:pPr>
  </w:style>
  <w:style w:type="character" w:customStyle="1" w:styleId="Heading4Char">
    <w:name w:val="Heading 4 Char"/>
    <w:basedOn w:val="DefaultParagraphFont"/>
    <w:link w:val="Heading4"/>
    <w:uiPriority w:val="98"/>
    <w:semiHidden/>
    <w:rsid w:val="007E60A8"/>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7E60A8"/>
    <w:pPr>
      <w:tabs>
        <w:tab w:val="center" w:pos="6407"/>
      </w:tabs>
      <w:spacing w:before="720"/>
      <w:jc w:val="right"/>
    </w:pPr>
  </w:style>
  <w:style w:type="character" w:customStyle="1" w:styleId="Heading5Char">
    <w:name w:val="Heading 5 Char"/>
    <w:basedOn w:val="DefaultParagraphFont"/>
    <w:link w:val="Heading5"/>
    <w:uiPriority w:val="98"/>
    <w:semiHidden/>
    <w:rsid w:val="007E60A8"/>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7E60A8"/>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7E60A8"/>
    <w:rPr>
      <w:caps w:val="0"/>
      <w:smallCaps/>
    </w:rPr>
  </w:style>
  <w:style w:type="character" w:styleId="SubtleEmphasis">
    <w:name w:val="Subtle Emphasis"/>
    <w:uiPriority w:val="98"/>
    <w:semiHidden/>
    <w:qFormat/>
    <w:rsid w:val="007E60A8"/>
    <w:rPr>
      <w:i/>
      <w:iCs/>
    </w:rPr>
  </w:style>
  <w:style w:type="table" w:customStyle="1" w:styleId="ECHRTable">
    <w:name w:val="ECHR_Table"/>
    <w:basedOn w:val="TableNormal"/>
    <w:rsid w:val="007E60A8"/>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E60A8"/>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7E60A8"/>
    <w:rPr>
      <w:b/>
      <w:bCs/>
      <w:i/>
      <w:iCs/>
      <w:spacing w:val="10"/>
      <w:bdr w:val="none" w:sz="0" w:space="0" w:color="auto"/>
      <w:shd w:val="clear" w:color="auto" w:fill="auto"/>
    </w:rPr>
  </w:style>
  <w:style w:type="paragraph" w:styleId="Footer1">
    <w:name w:val="footer"/>
    <w:basedOn w:val="Normal"/>
    <w:link w:val="FooterChar"/>
    <w:uiPriority w:val="98"/>
    <w:semiHidden/>
    <w:rsid w:val="007E60A8"/>
    <w:pPr>
      <w:tabs>
        <w:tab w:val="center" w:pos="3686"/>
        <w:tab w:val="right" w:pos="7371"/>
      </w:tabs>
    </w:pPr>
  </w:style>
  <w:style w:type="character" w:customStyle="1" w:styleId="FooterChar">
    <w:name w:val="Footer Char"/>
    <w:basedOn w:val="DefaultParagraphFont"/>
    <w:link w:val="Footer1"/>
    <w:uiPriority w:val="98"/>
    <w:semiHidden/>
    <w:rsid w:val="007E60A8"/>
    <w:rPr>
      <w:sz w:val="24"/>
      <w:szCs w:val="24"/>
      <w:lang w:val="en-GB"/>
    </w:rPr>
  </w:style>
  <w:style w:type="character" w:styleId="FootnoteReference">
    <w:name w:val="footnote reference"/>
    <w:basedOn w:val="DefaultParagraphFont"/>
    <w:uiPriority w:val="98"/>
    <w:semiHidden/>
    <w:rsid w:val="007E60A8"/>
    <w:rPr>
      <w:vertAlign w:val="superscript"/>
    </w:rPr>
  </w:style>
  <w:style w:type="paragraph" w:styleId="FootnoteText">
    <w:name w:val="footnote text"/>
    <w:basedOn w:val="NormalJustified"/>
    <w:link w:val="FootnoteTextChar"/>
    <w:uiPriority w:val="98"/>
    <w:semiHidden/>
    <w:rsid w:val="007E60A8"/>
    <w:rPr>
      <w:sz w:val="20"/>
      <w:szCs w:val="20"/>
    </w:rPr>
  </w:style>
  <w:style w:type="character" w:customStyle="1" w:styleId="FootnoteTextChar">
    <w:name w:val="Footnote Text Char"/>
    <w:basedOn w:val="DefaultParagraphFont"/>
    <w:link w:val="FootnoteText"/>
    <w:uiPriority w:val="98"/>
    <w:semiHidden/>
    <w:rsid w:val="007E60A8"/>
    <w:rPr>
      <w:sz w:val="20"/>
      <w:szCs w:val="20"/>
      <w:lang w:val="en-GB"/>
    </w:rPr>
  </w:style>
  <w:style w:type="character" w:customStyle="1" w:styleId="Heading6Char">
    <w:name w:val="Heading 6 Char"/>
    <w:basedOn w:val="DefaultParagraphFont"/>
    <w:link w:val="Heading6"/>
    <w:uiPriority w:val="98"/>
    <w:semiHidden/>
    <w:rsid w:val="007E60A8"/>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E60A8"/>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E60A8"/>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E60A8"/>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7E60A8"/>
    <w:rPr>
      <w:color w:val="0072BC" w:themeColor="hyperlink"/>
      <w:u w:val="single"/>
    </w:rPr>
  </w:style>
  <w:style w:type="character" w:styleId="IntenseEmphasis">
    <w:name w:val="Intense Emphasis"/>
    <w:uiPriority w:val="98"/>
    <w:semiHidden/>
    <w:qFormat/>
    <w:rsid w:val="007E60A8"/>
    <w:rPr>
      <w:b/>
      <w:bCs/>
    </w:rPr>
  </w:style>
  <w:style w:type="paragraph" w:styleId="IntenseQuote">
    <w:name w:val="Intense Quote"/>
    <w:basedOn w:val="Normal"/>
    <w:next w:val="Normal"/>
    <w:link w:val="IntenseQuoteChar"/>
    <w:uiPriority w:val="98"/>
    <w:semiHidden/>
    <w:qFormat/>
    <w:rsid w:val="007E60A8"/>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E60A8"/>
    <w:rPr>
      <w:b/>
      <w:bCs/>
      <w:i/>
      <w:iCs/>
      <w:sz w:val="24"/>
      <w:szCs w:val="24"/>
      <w:lang w:val="en-GB" w:bidi="en-US"/>
    </w:rPr>
  </w:style>
  <w:style w:type="character" w:styleId="IntenseReference">
    <w:name w:val="Intense Reference"/>
    <w:uiPriority w:val="98"/>
    <w:semiHidden/>
    <w:qFormat/>
    <w:rsid w:val="007E60A8"/>
    <w:rPr>
      <w:smallCaps/>
      <w:spacing w:val="5"/>
      <w:u w:val="single"/>
    </w:rPr>
  </w:style>
  <w:style w:type="paragraph" w:styleId="ListParagraph">
    <w:name w:val="List Paragraph"/>
    <w:basedOn w:val="Normal"/>
    <w:uiPriority w:val="98"/>
    <w:semiHidden/>
    <w:qFormat/>
    <w:rsid w:val="007E60A8"/>
    <w:pPr>
      <w:ind w:left="720"/>
      <w:contextualSpacing/>
    </w:pPr>
  </w:style>
  <w:style w:type="table" w:customStyle="1" w:styleId="LtrTableAddress">
    <w:name w:val="Ltr_Table_Address"/>
    <w:aliases w:val="ECHR_Ltr_Table_Address"/>
    <w:basedOn w:val="TableNormal"/>
    <w:uiPriority w:val="99"/>
    <w:rsid w:val="007E60A8"/>
    <w:rPr>
      <w:sz w:val="24"/>
      <w:szCs w:val="24"/>
    </w:rPr>
    <w:tblPr>
      <w:tblInd w:w="5103" w:type="dxa"/>
    </w:tblPr>
  </w:style>
  <w:style w:type="paragraph" w:styleId="Quote0">
    <w:name w:val="Quote"/>
    <w:basedOn w:val="Normal"/>
    <w:next w:val="Normal"/>
    <w:link w:val="QuoteChar"/>
    <w:uiPriority w:val="98"/>
    <w:semiHidden/>
    <w:qFormat/>
    <w:rsid w:val="007E60A8"/>
    <w:pPr>
      <w:spacing w:before="200"/>
      <w:ind w:left="360" w:right="360"/>
    </w:pPr>
    <w:rPr>
      <w:i/>
      <w:iCs/>
      <w:lang w:bidi="en-US"/>
    </w:rPr>
  </w:style>
  <w:style w:type="character" w:customStyle="1" w:styleId="QuoteChar">
    <w:name w:val="Quote Char"/>
    <w:basedOn w:val="DefaultParagraphFont"/>
    <w:link w:val="Quote0"/>
    <w:uiPriority w:val="98"/>
    <w:semiHidden/>
    <w:rsid w:val="007E60A8"/>
    <w:rPr>
      <w:i/>
      <w:iCs/>
      <w:sz w:val="24"/>
      <w:szCs w:val="24"/>
      <w:lang w:val="en-GB" w:bidi="en-US"/>
    </w:rPr>
  </w:style>
  <w:style w:type="character" w:styleId="SubtleReference">
    <w:name w:val="Subtle Reference"/>
    <w:uiPriority w:val="98"/>
    <w:semiHidden/>
    <w:qFormat/>
    <w:rsid w:val="007E60A8"/>
    <w:rPr>
      <w:smallCaps/>
    </w:rPr>
  </w:style>
  <w:style w:type="table" w:styleId="TableGrid">
    <w:name w:val="Table Grid"/>
    <w:basedOn w:val="TableNormal"/>
    <w:uiPriority w:val="59"/>
    <w:semiHidden/>
    <w:rsid w:val="007E60A8"/>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E60A8"/>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E60A8"/>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E60A8"/>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E60A8"/>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E60A8"/>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E60A8"/>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7E60A8"/>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E60A8"/>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E60A8"/>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E60A8"/>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7E60A8"/>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E60A8"/>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E60A8"/>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7E60A8"/>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E60A8"/>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7E60A8"/>
    <w:pPr>
      <w:numPr>
        <w:numId w:val="56"/>
      </w:numPr>
    </w:pPr>
  </w:style>
  <w:style w:type="paragraph" w:customStyle="1" w:styleId="JuPara">
    <w:name w:val="Ju_Para"/>
    <w:aliases w:val="_Para"/>
    <w:basedOn w:val="NormalJustified"/>
    <w:link w:val="JuParaChar"/>
    <w:uiPriority w:val="4"/>
    <w:qFormat/>
    <w:rsid w:val="007E60A8"/>
    <w:pPr>
      <w:ind w:firstLine="284"/>
    </w:pPr>
  </w:style>
  <w:style w:type="numbering" w:styleId="1ai">
    <w:name w:val="Outline List 1"/>
    <w:basedOn w:val="NoList"/>
    <w:uiPriority w:val="99"/>
    <w:semiHidden/>
    <w:unhideWhenUsed/>
    <w:rsid w:val="007E60A8"/>
    <w:pPr>
      <w:numPr>
        <w:numId w:val="57"/>
      </w:numPr>
    </w:pPr>
  </w:style>
  <w:style w:type="table" w:customStyle="1" w:styleId="ECHRTableSimpleBox">
    <w:name w:val="ECHR_Table_Simple_Box"/>
    <w:basedOn w:val="TableNormal"/>
    <w:uiPriority w:val="99"/>
    <w:rsid w:val="007E60A8"/>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7E60A8"/>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7E60A8"/>
    <w:pPr>
      <w:numPr>
        <w:numId w:val="58"/>
      </w:numPr>
    </w:pPr>
  </w:style>
  <w:style w:type="table" w:customStyle="1" w:styleId="ECHRTableForInternalUse">
    <w:name w:val="ECHR_Table_For_Internal_Use"/>
    <w:basedOn w:val="TableNormal"/>
    <w:uiPriority w:val="99"/>
    <w:rsid w:val="007E60A8"/>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7E60A8"/>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7E60A8"/>
  </w:style>
  <w:style w:type="paragraph" w:styleId="BlockText">
    <w:name w:val="Block Text"/>
    <w:basedOn w:val="Normal"/>
    <w:uiPriority w:val="98"/>
    <w:semiHidden/>
    <w:rsid w:val="007E60A8"/>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7E60A8"/>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7E60A8"/>
    <w:pPr>
      <w:spacing w:after="120"/>
    </w:pPr>
  </w:style>
  <w:style w:type="character" w:customStyle="1" w:styleId="BodyTextChar">
    <w:name w:val="Body Text Char"/>
    <w:basedOn w:val="DefaultParagraphFont"/>
    <w:link w:val="BodyText"/>
    <w:uiPriority w:val="98"/>
    <w:semiHidden/>
    <w:rsid w:val="007E60A8"/>
    <w:rPr>
      <w:sz w:val="24"/>
      <w:szCs w:val="24"/>
      <w:lang w:val="en-GB"/>
    </w:rPr>
  </w:style>
  <w:style w:type="table" w:customStyle="1" w:styleId="ECHRTableOddBanded">
    <w:name w:val="ECHR_Table_Odd_Banded"/>
    <w:basedOn w:val="TableNormal"/>
    <w:uiPriority w:val="99"/>
    <w:rsid w:val="007E60A8"/>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7E60A8"/>
    <w:pPr>
      <w:spacing w:after="120" w:line="480" w:lineRule="auto"/>
    </w:pPr>
  </w:style>
  <w:style w:type="table" w:customStyle="1" w:styleId="ECHRHeaderTableReduced">
    <w:name w:val="ECHR_Header_Table_Reduced"/>
    <w:basedOn w:val="TableNormal"/>
    <w:uiPriority w:val="99"/>
    <w:rsid w:val="007E60A8"/>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7E60A8"/>
    <w:pPr>
      <w:ind w:firstLine="284"/>
    </w:pPr>
    <w:rPr>
      <w:b/>
    </w:rPr>
  </w:style>
  <w:style w:type="character" w:styleId="PageNumber">
    <w:name w:val="page number"/>
    <w:uiPriority w:val="98"/>
    <w:semiHidden/>
    <w:rsid w:val="007E60A8"/>
    <w:rPr>
      <w:sz w:val="18"/>
    </w:rPr>
  </w:style>
  <w:style w:type="paragraph" w:styleId="ListBullet">
    <w:name w:val="List Bullet"/>
    <w:basedOn w:val="Normal"/>
    <w:uiPriority w:val="98"/>
    <w:semiHidden/>
    <w:rsid w:val="007E60A8"/>
    <w:pPr>
      <w:numPr>
        <w:numId w:val="59"/>
      </w:numPr>
    </w:pPr>
  </w:style>
  <w:style w:type="paragraph" w:styleId="ListBullet3">
    <w:name w:val="List Bullet 3"/>
    <w:basedOn w:val="Normal"/>
    <w:uiPriority w:val="98"/>
    <w:semiHidden/>
    <w:rsid w:val="007E60A8"/>
    <w:pPr>
      <w:numPr>
        <w:numId w:val="61"/>
      </w:numPr>
      <w:contextualSpacing/>
    </w:pPr>
  </w:style>
  <w:style w:type="character" w:customStyle="1" w:styleId="BodyText2Char">
    <w:name w:val="Body Text 2 Char"/>
    <w:basedOn w:val="DefaultParagraphFont"/>
    <w:link w:val="BodyText2"/>
    <w:uiPriority w:val="98"/>
    <w:semiHidden/>
    <w:rsid w:val="007E60A8"/>
    <w:rPr>
      <w:sz w:val="24"/>
      <w:szCs w:val="24"/>
      <w:lang w:val="en-GB"/>
    </w:rPr>
  </w:style>
  <w:style w:type="paragraph" w:styleId="BodyText3">
    <w:name w:val="Body Text 3"/>
    <w:basedOn w:val="Normal"/>
    <w:link w:val="BodyText3Char"/>
    <w:uiPriority w:val="98"/>
    <w:semiHidden/>
    <w:rsid w:val="007E60A8"/>
    <w:pPr>
      <w:spacing w:after="120"/>
    </w:pPr>
    <w:rPr>
      <w:sz w:val="16"/>
      <w:szCs w:val="16"/>
    </w:rPr>
  </w:style>
  <w:style w:type="character" w:customStyle="1" w:styleId="BodyText3Char">
    <w:name w:val="Body Text 3 Char"/>
    <w:basedOn w:val="DefaultParagraphFont"/>
    <w:link w:val="BodyText3"/>
    <w:uiPriority w:val="98"/>
    <w:semiHidden/>
    <w:rsid w:val="007E60A8"/>
    <w:rPr>
      <w:sz w:val="16"/>
      <w:szCs w:val="16"/>
      <w:lang w:val="en-GB"/>
    </w:rPr>
  </w:style>
  <w:style w:type="paragraph" w:styleId="BodyTextFirstIndent">
    <w:name w:val="Body Text First Indent"/>
    <w:basedOn w:val="BodyText"/>
    <w:link w:val="BodyTextFirstIndentChar"/>
    <w:uiPriority w:val="98"/>
    <w:semiHidden/>
    <w:rsid w:val="007E60A8"/>
    <w:pPr>
      <w:spacing w:after="0"/>
      <w:ind w:firstLine="360"/>
    </w:pPr>
  </w:style>
  <w:style w:type="character" w:customStyle="1" w:styleId="BodyTextFirstIndentChar">
    <w:name w:val="Body Text First Indent Char"/>
    <w:basedOn w:val="BodyTextChar"/>
    <w:link w:val="BodyTextFirstIndent"/>
    <w:uiPriority w:val="98"/>
    <w:semiHidden/>
    <w:rsid w:val="007E60A8"/>
    <w:rPr>
      <w:sz w:val="24"/>
      <w:szCs w:val="24"/>
      <w:lang w:val="en-GB"/>
    </w:rPr>
  </w:style>
  <w:style w:type="paragraph" w:styleId="BodyTextIndent">
    <w:name w:val="Body Text Indent"/>
    <w:basedOn w:val="Normal"/>
    <w:link w:val="BodyTextIndentChar"/>
    <w:uiPriority w:val="98"/>
    <w:semiHidden/>
    <w:rsid w:val="007E60A8"/>
    <w:pPr>
      <w:spacing w:after="120"/>
      <w:ind w:left="283"/>
    </w:pPr>
  </w:style>
  <w:style w:type="character" w:customStyle="1" w:styleId="BodyTextIndentChar">
    <w:name w:val="Body Text Indent Char"/>
    <w:basedOn w:val="DefaultParagraphFont"/>
    <w:link w:val="BodyTextIndent"/>
    <w:uiPriority w:val="98"/>
    <w:semiHidden/>
    <w:rsid w:val="007E60A8"/>
    <w:rPr>
      <w:sz w:val="24"/>
      <w:szCs w:val="24"/>
      <w:lang w:val="en-GB"/>
    </w:rPr>
  </w:style>
  <w:style w:type="paragraph" w:styleId="BodyTextFirstIndent2">
    <w:name w:val="Body Text First Indent 2"/>
    <w:basedOn w:val="BodyTextIndent"/>
    <w:link w:val="BodyTextFirstIndent2Char"/>
    <w:uiPriority w:val="98"/>
    <w:semiHidden/>
    <w:rsid w:val="007E60A8"/>
    <w:pPr>
      <w:spacing w:after="0"/>
      <w:ind w:left="360" w:firstLine="360"/>
    </w:pPr>
  </w:style>
  <w:style w:type="character" w:customStyle="1" w:styleId="BodyTextFirstIndent2Char">
    <w:name w:val="Body Text First Indent 2 Char"/>
    <w:basedOn w:val="BodyTextIndentChar"/>
    <w:link w:val="BodyTextFirstIndent2"/>
    <w:uiPriority w:val="98"/>
    <w:semiHidden/>
    <w:rsid w:val="007E60A8"/>
    <w:rPr>
      <w:sz w:val="24"/>
      <w:szCs w:val="24"/>
      <w:lang w:val="en-GB"/>
    </w:rPr>
  </w:style>
  <w:style w:type="paragraph" w:styleId="BodyTextIndent2">
    <w:name w:val="Body Text Indent 2"/>
    <w:basedOn w:val="Normal"/>
    <w:link w:val="BodyTextIndent2Char"/>
    <w:uiPriority w:val="98"/>
    <w:semiHidden/>
    <w:rsid w:val="007E60A8"/>
    <w:pPr>
      <w:spacing w:after="120" w:line="480" w:lineRule="auto"/>
      <w:ind w:left="283"/>
    </w:pPr>
  </w:style>
  <w:style w:type="character" w:customStyle="1" w:styleId="BodyTextIndent2Char">
    <w:name w:val="Body Text Indent 2 Char"/>
    <w:basedOn w:val="DefaultParagraphFont"/>
    <w:link w:val="BodyTextIndent2"/>
    <w:uiPriority w:val="98"/>
    <w:semiHidden/>
    <w:rsid w:val="007E60A8"/>
    <w:rPr>
      <w:sz w:val="24"/>
      <w:szCs w:val="24"/>
      <w:lang w:val="en-GB"/>
    </w:rPr>
  </w:style>
  <w:style w:type="paragraph" w:styleId="BodyTextIndent3">
    <w:name w:val="Body Text Indent 3"/>
    <w:basedOn w:val="Normal"/>
    <w:link w:val="BodyTextIndent3Char"/>
    <w:uiPriority w:val="98"/>
    <w:semiHidden/>
    <w:rsid w:val="007E60A8"/>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E60A8"/>
    <w:rPr>
      <w:sz w:val="16"/>
      <w:szCs w:val="16"/>
      <w:lang w:val="en-GB"/>
    </w:rPr>
  </w:style>
  <w:style w:type="paragraph" w:styleId="Caption">
    <w:name w:val="caption"/>
    <w:basedOn w:val="Normal"/>
    <w:next w:val="Normal"/>
    <w:uiPriority w:val="98"/>
    <w:semiHidden/>
    <w:qFormat/>
    <w:rsid w:val="007E60A8"/>
    <w:pPr>
      <w:spacing w:after="200"/>
    </w:pPr>
    <w:rPr>
      <w:b/>
      <w:bCs/>
      <w:color w:val="0072BC" w:themeColor="accent1"/>
      <w:sz w:val="18"/>
      <w:szCs w:val="18"/>
    </w:rPr>
  </w:style>
  <w:style w:type="paragraph" w:styleId="Closing">
    <w:name w:val="Closing"/>
    <w:basedOn w:val="Normal"/>
    <w:link w:val="ClosingChar"/>
    <w:uiPriority w:val="98"/>
    <w:semiHidden/>
    <w:rsid w:val="007E60A8"/>
    <w:pPr>
      <w:ind w:left="4252"/>
    </w:pPr>
  </w:style>
  <w:style w:type="character" w:customStyle="1" w:styleId="ClosingChar">
    <w:name w:val="Closing Char"/>
    <w:basedOn w:val="DefaultParagraphFont"/>
    <w:link w:val="Closing"/>
    <w:uiPriority w:val="98"/>
    <w:semiHidden/>
    <w:rsid w:val="007E60A8"/>
    <w:rPr>
      <w:sz w:val="24"/>
      <w:szCs w:val="24"/>
      <w:lang w:val="en-GB"/>
    </w:rPr>
  </w:style>
  <w:style w:type="table" w:styleId="ColorfulGrid">
    <w:name w:val="Colorful Grid"/>
    <w:basedOn w:val="TableNormal"/>
    <w:uiPriority w:val="73"/>
    <w:semiHidden/>
    <w:rsid w:val="007E60A8"/>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E60A8"/>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E60A8"/>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E60A8"/>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7E60A8"/>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E60A8"/>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E60A8"/>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E60A8"/>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E60A8"/>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E60A8"/>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E60A8"/>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7E60A8"/>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E60A8"/>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E60A8"/>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E60A8"/>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E60A8"/>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E60A8"/>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E60A8"/>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7E60A8"/>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E60A8"/>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E60A8"/>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7E60A8"/>
    <w:rPr>
      <w:sz w:val="16"/>
      <w:szCs w:val="16"/>
    </w:rPr>
  </w:style>
  <w:style w:type="paragraph" w:styleId="CommentText">
    <w:name w:val="annotation text"/>
    <w:basedOn w:val="Normal"/>
    <w:link w:val="CommentTextChar"/>
    <w:uiPriority w:val="98"/>
    <w:semiHidden/>
    <w:rsid w:val="007E60A8"/>
    <w:rPr>
      <w:sz w:val="20"/>
      <w:szCs w:val="20"/>
    </w:rPr>
  </w:style>
  <w:style w:type="character" w:customStyle="1" w:styleId="CommentTextChar">
    <w:name w:val="Comment Text Char"/>
    <w:basedOn w:val="DefaultParagraphFont"/>
    <w:link w:val="CommentText"/>
    <w:uiPriority w:val="98"/>
    <w:semiHidden/>
    <w:rsid w:val="007E60A8"/>
    <w:rPr>
      <w:sz w:val="20"/>
      <w:szCs w:val="20"/>
      <w:lang w:val="en-GB"/>
    </w:rPr>
  </w:style>
  <w:style w:type="paragraph" w:styleId="CommentSubject">
    <w:name w:val="annotation subject"/>
    <w:basedOn w:val="CommentText"/>
    <w:next w:val="CommentText"/>
    <w:link w:val="CommentSubjectChar"/>
    <w:uiPriority w:val="98"/>
    <w:semiHidden/>
    <w:rsid w:val="007E60A8"/>
    <w:rPr>
      <w:b/>
      <w:bCs/>
    </w:rPr>
  </w:style>
  <w:style w:type="character" w:customStyle="1" w:styleId="CommentSubjectChar">
    <w:name w:val="Comment Subject Char"/>
    <w:basedOn w:val="CommentTextChar"/>
    <w:link w:val="CommentSubject"/>
    <w:uiPriority w:val="98"/>
    <w:semiHidden/>
    <w:rsid w:val="007E60A8"/>
    <w:rPr>
      <w:b/>
      <w:bCs/>
      <w:sz w:val="20"/>
      <w:szCs w:val="20"/>
      <w:lang w:val="en-GB"/>
    </w:rPr>
  </w:style>
  <w:style w:type="table" w:styleId="DarkList">
    <w:name w:val="Dark List"/>
    <w:basedOn w:val="TableNormal"/>
    <w:uiPriority w:val="70"/>
    <w:semiHidden/>
    <w:rsid w:val="007E60A8"/>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E60A8"/>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E60A8"/>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E60A8"/>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7E60A8"/>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E60A8"/>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E60A8"/>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E60A8"/>
  </w:style>
  <w:style w:type="character" w:customStyle="1" w:styleId="DateChar">
    <w:name w:val="Date Char"/>
    <w:basedOn w:val="DefaultParagraphFont"/>
    <w:link w:val="Date"/>
    <w:uiPriority w:val="98"/>
    <w:semiHidden/>
    <w:rsid w:val="007E60A8"/>
    <w:rPr>
      <w:sz w:val="24"/>
      <w:szCs w:val="24"/>
      <w:lang w:val="en-GB"/>
    </w:rPr>
  </w:style>
  <w:style w:type="paragraph" w:styleId="DocumentMap">
    <w:name w:val="Document Map"/>
    <w:basedOn w:val="Normal"/>
    <w:link w:val="DocumentMapChar"/>
    <w:uiPriority w:val="98"/>
    <w:semiHidden/>
    <w:rsid w:val="007E60A8"/>
    <w:rPr>
      <w:rFonts w:ascii="Tahoma" w:hAnsi="Tahoma" w:cs="Tahoma"/>
      <w:sz w:val="16"/>
      <w:szCs w:val="16"/>
    </w:rPr>
  </w:style>
  <w:style w:type="character" w:customStyle="1" w:styleId="DocumentMapChar">
    <w:name w:val="Document Map Char"/>
    <w:basedOn w:val="DefaultParagraphFont"/>
    <w:link w:val="DocumentMap"/>
    <w:uiPriority w:val="98"/>
    <w:semiHidden/>
    <w:rsid w:val="007E60A8"/>
    <w:rPr>
      <w:rFonts w:ascii="Tahoma" w:hAnsi="Tahoma" w:cs="Tahoma"/>
      <w:sz w:val="16"/>
      <w:szCs w:val="16"/>
      <w:lang w:val="en-GB"/>
    </w:rPr>
  </w:style>
  <w:style w:type="paragraph" w:styleId="E-mailSignature">
    <w:name w:val="E-mail Signature"/>
    <w:basedOn w:val="Normal"/>
    <w:link w:val="E-mailSignatureChar"/>
    <w:uiPriority w:val="98"/>
    <w:semiHidden/>
    <w:rsid w:val="007E60A8"/>
  </w:style>
  <w:style w:type="character" w:customStyle="1" w:styleId="E-mailSignatureChar">
    <w:name w:val="E-mail Signature Char"/>
    <w:basedOn w:val="DefaultParagraphFont"/>
    <w:link w:val="E-mailSignature"/>
    <w:uiPriority w:val="98"/>
    <w:semiHidden/>
    <w:rsid w:val="007E60A8"/>
    <w:rPr>
      <w:sz w:val="24"/>
      <w:szCs w:val="24"/>
      <w:lang w:val="en-GB"/>
    </w:rPr>
  </w:style>
  <w:style w:type="character" w:styleId="EndnoteReference">
    <w:name w:val="endnote reference"/>
    <w:basedOn w:val="DefaultParagraphFont"/>
    <w:uiPriority w:val="98"/>
    <w:semiHidden/>
    <w:rsid w:val="007E60A8"/>
    <w:rPr>
      <w:vertAlign w:val="superscript"/>
    </w:rPr>
  </w:style>
  <w:style w:type="paragraph" w:styleId="EndnoteText">
    <w:name w:val="endnote text"/>
    <w:basedOn w:val="Normal"/>
    <w:link w:val="EndnoteTextChar"/>
    <w:uiPriority w:val="98"/>
    <w:semiHidden/>
    <w:rsid w:val="007E60A8"/>
    <w:rPr>
      <w:sz w:val="20"/>
      <w:szCs w:val="20"/>
    </w:rPr>
  </w:style>
  <w:style w:type="character" w:customStyle="1" w:styleId="EndnoteTextChar">
    <w:name w:val="Endnote Text Char"/>
    <w:basedOn w:val="DefaultParagraphFont"/>
    <w:link w:val="EndnoteText"/>
    <w:uiPriority w:val="98"/>
    <w:semiHidden/>
    <w:rsid w:val="007E60A8"/>
    <w:rPr>
      <w:sz w:val="20"/>
      <w:szCs w:val="20"/>
      <w:lang w:val="en-GB"/>
    </w:rPr>
  </w:style>
  <w:style w:type="paragraph" w:styleId="EnvelopeAddress">
    <w:name w:val="envelope address"/>
    <w:basedOn w:val="Normal"/>
    <w:uiPriority w:val="98"/>
    <w:semiHidden/>
    <w:rsid w:val="007E60A8"/>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E60A8"/>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E60A8"/>
    <w:rPr>
      <w:color w:val="7030A0" w:themeColor="followedHyperlink"/>
      <w:u w:val="single"/>
    </w:rPr>
  </w:style>
  <w:style w:type="character" w:styleId="HTMLAcronym">
    <w:name w:val="HTML Acronym"/>
    <w:basedOn w:val="DefaultParagraphFont"/>
    <w:uiPriority w:val="98"/>
    <w:semiHidden/>
    <w:rsid w:val="007E60A8"/>
  </w:style>
  <w:style w:type="paragraph" w:styleId="HTMLAddress">
    <w:name w:val="HTML Address"/>
    <w:basedOn w:val="Normal"/>
    <w:link w:val="HTMLAddressChar"/>
    <w:uiPriority w:val="98"/>
    <w:semiHidden/>
    <w:rsid w:val="007E60A8"/>
    <w:rPr>
      <w:i/>
      <w:iCs/>
    </w:rPr>
  </w:style>
  <w:style w:type="character" w:customStyle="1" w:styleId="HTMLAddressChar">
    <w:name w:val="HTML Address Char"/>
    <w:basedOn w:val="DefaultParagraphFont"/>
    <w:link w:val="HTMLAddress"/>
    <w:uiPriority w:val="98"/>
    <w:semiHidden/>
    <w:rsid w:val="007E60A8"/>
    <w:rPr>
      <w:i/>
      <w:iCs/>
      <w:sz w:val="24"/>
      <w:szCs w:val="24"/>
      <w:lang w:val="en-GB"/>
    </w:rPr>
  </w:style>
  <w:style w:type="character" w:styleId="HTMLCite">
    <w:name w:val="HTML Cite"/>
    <w:basedOn w:val="DefaultParagraphFont"/>
    <w:uiPriority w:val="98"/>
    <w:semiHidden/>
    <w:rsid w:val="007E60A8"/>
    <w:rPr>
      <w:i/>
      <w:iCs/>
    </w:rPr>
  </w:style>
  <w:style w:type="character" w:styleId="HTMLCode">
    <w:name w:val="HTML Code"/>
    <w:basedOn w:val="DefaultParagraphFont"/>
    <w:uiPriority w:val="98"/>
    <w:semiHidden/>
    <w:rsid w:val="007E60A8"/>
    <w:rPr>
      <w:rFonts w:ascii="Consolas" w:hAnsi="Consolas" w:cs="Consolas"/>
      <w:sz w:val="20"/>
      <w:szCs w:val="20"/>
    </w:rPr>
  </w:style>
  <w:style w:type="character" w:styleId="HTMLDefinition">
    <w:name w:val="HTML Definition"/>
    <w:basedOn w:val="DefaultParagraphFont"/>
    <w:uiPriority w:val="98"/>
    <w:semiHidden/>
    <w:rsid w:val="007E60A8"/>
    <w:rPr>
      <w:i/>
      <w:iCs/>
    </w:rPr>
  </w:style>
  <w:style w:type="character" w:styleId="HTMLKeyboard">
    <w:name w:val="HTML Keyboard"/>
    <w:basedOn w:val="DefaultParagraphFont"/>
    <w:uiPriority w:val="98"/>
    <w:semiHidden/>
    <w:rsid w:val="007E60A8"/>
    <w:rPr>
      <w:rFonts w:ascii="Consolas" w:hAnsi="Consolas" w:cs="Consolas"/>
      <w:sz w:val="20"/>
      <w:szCs w:val="20"/>
    </w:rPr>
  </w:style>
  <w:style w:type="paragraph" w:styleId="HTMLPreformatted">
    <w:name w:val="HTML Preformatted"/>
    <w:basedOn w:val="Normal"/>
    <w:link w:val="HTMLPreformattedChar"/>
    <w:uiPriority w:val="98"/>
    <w:semiHidden/>
    <w:rsid w:val="007E60A8"/>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E60A8"/>
    <w:rPr>
      <w:rFonts w:ascii="Consolas" w:hAnsi="Consolas" w:cs="Consolas"/>
      <w:sz w:val="20"/>
      <w:szCs w:val="20"/>
      <w:lang w:val="en-GB"/>
    </w:rPr>
  </w:style>
  <w:style w:type="character" w:styleId="HTMLSample">
    <w:name w:val="HTML Sample"/>
    <w:basedOn w:val="DefaultParagraphFont"/>
    <w:uiPriority w:val="98"/>
    <w:semiHidden/>
    <w:rsid w:val="007E60A8"/>
    <w:rPr>
      <w:rFonts w:ascii="Consolas" w:hAnsi="Consolas" w:cs="Consolas"/>
      <w:sz w:val="24"/>
      <w:szCs w:val="24"/>
    </w:rPr>
  </w:style>
  <w:style w:type="character" w:styleId="HTMLTypewriter">
    <w:name w:val="HTML Typewriter"/>
    <w:basedOn w:val="DefaultParagraphFont"/>
    <w:uiPriority w:val="98"/>
    <w:semiHidden/>
    <w:rsid w:val="007E60A8"/>
    <w:rPr>
      <w:rFonts w:ascii="Consolas" w:hAnsi="Consolas" w:cs="Consolas"/>
      <w:sz w:val="20"/>
      <w:szCs w:val="20"/>
    </w:rPr>
  </w:style>
  <w:style w:type="character" w:styleId="HTMLVariable">
    <w:name w:val="HTML Variable"/>
    <w:basedOn w:val="DefaultParagraphFont"/>
    <w:uiPriority w:val="98"/>
    <w:semiHidden/>
    <w:rsid w:val="007E60A8"/>
    <w:rPr>
      <w:i/>
      <w:iCs/>
    </w:rPr>
  </w:style>
  <w:style w:type="paragraph" w:styleId="Index1">
    <w:name w:val="index 1"/>
    <w:basedOn w:val="Normal"/>
    <w:next w:val="Normal"/>
    <w:autoRedefine/>
    <w:uiPriority w:val="98"/>
    <w:semiHidden/>
    <w:rsid w:val="007E60A8"/>
    <w:pPr>
      <w:ind w:left="240" w:hanging="240"/>
    </w:pPr>
  </w:style>
  <w:style w:type="paragraph" w:styleId="Index2">
    <w:name w:val="index 2"/>
    <w:basedOn w:val="Normal"/>
    <w:next w:val="Normal"/>
    <w:autoRedefine/>
    <w:uiPriority w:val="98"/>
    <w:semiHidden/>
    <w:rsid w:val="007E60A8"/>
    <w:pPr>
      <w:ind w:left="480" w:hanging="240"/>
    </w:pPr>
  </w:style>
  <w:style w:type="paragraph" w:styleId="Index3">
    <w:name w:val="index 3"/>
    <w:basedOn w:val="Normal"/>
    <w:next w:val="Normal"/>
    <w:autoRedefine/>
    <w:uiPriority w:val="98"/>
    <w:semiHidden/>
    <w:rsid w:val="007E60A8"/>
    <w:pPr>
      <w:ind w:left="720" w:hanging="240"/>
    </w:pPr>
  </w:style>
  <w:style w:type="paragraph" w:styleId="Index4">
    <w:name w:val="index 4"/>
    <w:basedOn w:val="Normal"/>
    <w:next w:val="Normal"/>
    <w:autoRedefine/>
    <w:uiPriority w:val="98"/>
    <w:semiHidden/>
    <w:rsid w:val="007E60A8"/>
    <w:pPr>
      <w:ind w:left="960" w:hanging="240"/>
    </w:pPr>
  </w:style>
  <w:style w:type="paragraph" w:styleId="Index5">
    <w:name w:val="index 5"/>
    <w:basedOn w:val="Normal"/>
    <w:next w:val="Normal"/>
    <w:autoRedefine/>
    <w:uiPriority w:val="98"/>
    <w:semiHidden/>
    <w:rsid w:val="007E60A8"/>
    <w:pPr>
      <w:ind w:left="1200" w:hanging="240"/>
    </w:pPr>
  </w:style>
  <w:style w:type="paragraph" w:styleId="Index6">
    <w:name w:val="index 6"/>
    <w:basedOn w:val="Normal"/>
    <w:next w:val="Normal"/>
    <w:autoRedefine/>
    <w:uiPriority w:val="98"/>
    <w:semiHidden/>
    <w:rsid w:val="007E60A8"/>
    <w:pPr>
      <w:ind w:left="1440" w:hanging="240"/>
    </w:pPr>
  </w:style>
  <w:style w:type="paragraph" w:styleId="Index7">
    <w:name w:val="index 7"/>
    <w:basedOn w:val="Normal"/>
    <w:next w:val="Normal"/>
    <w:autoRedefine/>
    <w:uiPriority w:val="98"/>
    <w:semiHidden/>
    <w:rsid w:val="007E60A8"/>
    <w:pPr>
      <w:ind w:left="1680" w:hanging="240"/>
    </w:pPr>
  </w:style>
  <w:style w:type="paragraph" w:styleId="Index8">
    <w:name w:val="index 8"/>
    <w:basedOn w:val="Normal"/>
    <w:next w:val="Normal"/>
    <w:autoRedefine/>
    <w:uiPriority w:val="98"/>
    <w:semiHidden/>
    <w:rsid w:val="007E60A8"/>
    <w:pPr>
      <w:ind w:left="1920" w:hanging="240"/>
    </w:pPr>
  </w:style>
  <w:style w:type="paragraph" w:styleId="Index9">
    <w:name w:val="index 9"/>
    <w:basedOn w:val="Normal"/>
    <w:next w:val="Normal"/>
    <w:autoRedefine/>
    <w:uiPriority w:val="98"/>
    <w:semiHidden/>
    <w:rsid w:val="007E60A8"/>
    <w:pPr>
      <w:ind w:left="2160" w:hanging="240"/>
    </w:pPr>
  </w:style>
  <w:style w:type="paragraph" w:styleId="IndexHeading">
    <w:name w:val="index heading"/>
    <w:basedOn w:val="Normal"/>
    <w:next w:val="Index1"/>
    <w:uiPriority w:val="98"/>
    <w:semiHidden/>
    <w:rsid w:val="007E60A8"/>
    <w:rPr>
      <w:rFonts w:asciiTheme="majorHAnsi" w:eastAsiaTheme="majorEastAsia" w:hAnsiTheme="majorHAnsi" w:cstheme="majorBidi"/>
      <w:b/>
      <w:bCs/>
    </w:rPr>
  </w:style>
  <w:style w:type="table" w:styleId="LightGrid">
    <w:name w:val="Light Grid"/>
    <w:basedOn w:val="TableNormal"/>
    <w:uiPriority w:val="62"/>
    <w:semiHidden/>
    <w:rsid w:val="007E60A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E60A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E60A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E60A8"/>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7E60A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E60A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E60A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E60A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E60A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E60A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E60A8"/>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7E60A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E60A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E60A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E60A8"/>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E60A8"/>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E60A8"/>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E60A8"/>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7E60A8"/>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E60A8"/>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E60A8"/>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E60A8"/>
  </w:style>
  <w:style w:type="paragraph" w:styleId="List">
    <w:name w:val="List"/>
    <w:basedOn w:val="Normal"/>
    <w:uiPriority w:val="98"/>
    <w:semiHidden/>
    <w:rsid w:val="007E60A8"/>
    <w:pPr>
      <w:ind w:left="283" w:hanging="283"/>
      <w:contextualSpacing/>
    </w:pPr>
  </w:style>
  <w:style w:type="paragraph" w:styleId="List20">
    <w:name w:val="List 2"/>
    <w:basedOn w:val="Normal"/>
    <w:uiPriority w:val="98"/>
    <w:semiHidden/>
    <w:rsid w:val="007E60A8"/>
    <w:pPr>
      <w:ind w:left="566" w:hanging="283"/>
      <w:contextualSpacing/>
    </w:pPr>
  </w:style>
  <w:style w:type="paragraph" w:styleId="List30">
    <w:name w:val="List 3"/>
    <w:basedOn w:val="Normal"/>
    <w:uiPriority w:val="98"/>
    <w:semiHidden/>
    <w:rsid w:val="007E60A8"/>
    <w:pPr>
      <w:ind w:left="849" w:hanging="283"/>
      <w:contextualSpacing/>
    </w:pPr>
  </w:style>
  <w:style w:type="paragraph" w:styleId="List4">
    <w:name w:val="List 4"/>
    <w:basedOn w:val="Normal"/>
    <w:uiPriority w:val="98"/>
    <w:semiHidden/>
    <w:rsid w:val="007E60A8"/>
    <w:pPr>
      <w:ind w:left="1132" w:hanging="283"/>
      <w:contextualSpacing/>
    </w:pPr>
  </w:style>
  <w:style w:type="paragraph" w:styleId="List5">
    <w:name w:val="List 5"/>
    <w:basedOn w:val="Normal"/>
    <w:uiPriority w:val="98"/>
    <w:semiHidden/>
    <w:rsid w:val="007E60A8"/>
    <w:pPr>
      <w:ind w:left="1415" w:hanging="283"/>
      <w:contextualSpacing/>
    </w:pPr>
  </w:style>
  <w:style w:type="paragraph" w:styleId="ListBullet2">
    <w:name w:val="List Bullet 2"/>
    <w:basedOn w:val="Normal"/>
    <w:uiPriority w:val="98"/>
    <w:semiHidden/>
    <w:rsid w:val="007E60A8"/>
    <w:pPr>
      <w:numPr>
        <w:numId w:val="60"/>
      </w:numPr>
      <w:contextualSpacing/>
    </w:pPr>
  </w:style>
  <w:style w:type="paragraph" w:styleId="ListBullet4">
    <w:name w:val="List Bullet 4"/>
    <w:basedOn w:val="Normal"/>
    <w:uiPriority w:val="98"/>
    <w:semiHidden/>
    <w:rsid w:val="007E60A8"/>
    <w:pPr>
      <w:numPr>
        <w:numId w:val="62"/>
      </w:numPr>
      <w:contextualSpacing/>
    </w:pPr>
  </w:style>
  <w:style w:type="paragraph" w:styleId="ListBullet5">
    <w:name w:val="List Bullet 5"/>
    <w:basedOn w:val="Normal"/>
    <w:uiPriority w:val="98"/>
    <w:semiHidden/>
    <w:rsid w:val="007E60A8"/>
    <w:pPr>
      <w:numPr>
        <w:numId w:val="63"/>
      </w:numPr>
      <w:contextualSpacing/>
    </w:pPr>
  </w:style>
  <w:style w:type="paragraph" w:styleId="ListContinue">
    <w:name w:val="List Continue"/>
    <w:basedOn w:val="Normal"/>
    <w:uiPriority w:val="98"/>
    <w:semiHidden/>
    <w:rsid w:val="007E60A8"/>
    <w:pPr>
      <w:spacing w:after="120"/>
      <w:ind w:left="283"/>
      <w:contextualSpacing/>
    </w:pPr>
  </w:style>
  <w:style w:type="paragraph" w:styleId="ListContinue2">
    <w:name w:val="List Continue 2"/>
    <w:basedOn w:val="Normal"/>
    <w:uiPriority w:val="98"/>
    <w:semiHidden/>
    <w:rsid w:val="007E60A8"/>
    <w:pPr>
      <w:spacing w:after="120"/>
      <w:ind w:left="566"/>
      <w:contextualSpacing/>
    </w:pPr>
  </w:style>
  <w:style w:type="paragraph" w:styleId="ListContinue3">
    <w:name w:val="List Continue 3"/>
    <w:basedOn w:val="Normal"/>
    <w:uiPriority w:val="98"/>
    <w:semiHidden/>
    <w:rsid w:val="007E60A8"/>
    <w:pPr>
      <w:spacing w:after="120"/>
      <w:ind w:left="849"/>
      <w:contextualSpacing/>
    </w:pPr>
  </w:style>
  <w:style w:type="paragraph" w:styleId="ListContinue4">
    <w:name w:val="List Continue 4"/>
    <w:basedOn w:val="Normal"/>
    <w:uiPriority w:val="98"/>
    <w:semiHidden/>
    <w:rsid w:val="007E60A8"/>
    <w:pPr>
      <w:spacing w:after="120"/>
      <w:ind w:left="1132"/>
      <w:contextualSpacing/>
    </w:pPr>
  </w:style>
  <w:style w:type="paragraph" w:styleId="ListContinue5">
    <w:name w:val="List Continue 5"/>
    <w:basedOn w:val="Normal"/>
    <w:uiPriority w:val="98"/>
    <w:semiHidden/>
    <w:rsid w:val="007E60A8"/>
    <w:pPr>
      <w:spacing w:after="120"/>
      <w:ind w:left="1415"/>
      <w:contextualSpacing/>
    </w:pPr>
  </w:style>
  <w:style w:type="paragraph" w:styleId="ListNumber">
    <w:name w:val="List Number"/>
    <w:basedOn w:val="Normal"/>
    <w:uiPriority w:val="98"/>
    <w:semiHidden/>
    <w:rsid w:val="007E60A8"/>
    <w:pPr>
      <w:numPr>
        <w:numId w:val="64"/>
      </w:numPr>
      <w:contextualSpacing/>
    </w:pPr>
  </w:style>
  <w:style w:type="paragraph" w:styleId="ListNumber2">
    <w:name w:val="List Number 2"/>
    <w:basedOn w:val="Normal"/>
    <w:uiPriority w:val="98"/>
    <w:semiHidden/>
    <w:rsid w:val="007E60A8"/>
    <w:pPr>
      <w:numPr>
        <w:numId w:val="65"/>
      </w:numPr>
      <w:contextualSpacing/>
    </w:pPr>
  </w:style>
  <w:style w:type="paragraph" w:styleId="ListNumber3">
    <w:name w:val="List Number 3"/>
    <w:basedOn w:val="Normal"/>
    <w:uiPriority w:val="98"/>
    <w:semiHidden/>
    <w:rsid w:val="007E60A8"/>
    <w:pPr>
      <w:numPr>
        <w:numId w:val="66"/>
      </w:numPr>
      <w:contextualSpacing/>
    </w:pPr>
  </w:style>
  <w:style w:type="paragraph" w:styleId="ListNumber4">
    <w:name w:val="List Number 4"/>
    <w:basedOn w:val="Normal"/>
    <w:uiPriority w:val="98"/>
    <w:semiHidden/>
    <w:rsid w:val="007E60A8"/>
    <w:pPr>
      <w:numPr>
        <w:numId w:val="67"/>
      </w:numPr>
      <w:contextualSpacing/>
    </w:pPr>
  </w:style>
  <w:style w:type="paragraph" w:styleId="ListNumber5">
    <w:name w:val="List Number 5"/>
    <w:basedOn w:val="Normal"/>
    <w:uiPriority w:val="98"/>
    <w:semiHidden/>
    <w:rsid w:val="007E60A8"/>
    <w:pPr>
      <w:numPr>
        <w:numId w:val="68"/>
      </w:numPr>
      <w:contextualSpacing/>
    </w:pPr>
  </w:style>
  <w:style w:type="paragraph" w:styleId="Macro">
    <w:name w:val="macro"/>
    <w:link w:val="MacroTextChar"/>
    <w:uiPriority w:val="98"/>
    <w:semiHidden/>
    <w:rsid w:val="007E60A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E60A8"/>
    <w:rPr>
      <w:rFonts w:ascii="Consolas" w:hAnsi="Consolas" w:eastAsiaTheme="minorEastAsia" w:cs="Consolas"/>
      <w:sz w:val="20"/>
      <w:szCs w:val="20"/>
    </w:rPr>
  </w:style>
  <w:style w:type="table" w:styleId="MediumGrid1">
    <w:name w:val="Medium Grid 1"/>
    <w:basedOn w:val="TableNormal"/>
    <w:uiPriority w:val="67"/>
    <w:semiHidden/>
    <w:rsid w:val="007E60A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E60A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E60A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E60A8"/>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7E60A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E60A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E60A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E60A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7E60A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7E60A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7E60A8"/>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7E60A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7E60A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7E60A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7E60A8"/>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7E60A8"/>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E60A8"/>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E60A8"/>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7E60A8"/>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E60A8"/>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E60A8"/>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7E60A8"/>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E60A8"/>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E60A8"/>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E60A8"/>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7E60A8"/>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E60A8"/>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E60A8"/>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E60A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E60A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E60A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E60A8"/>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E60A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E60A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E60A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7E60A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E60A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E60A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E60A8"/>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E60A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E60A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E60A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E60A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E60A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E60A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E60A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E60A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E60A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E60A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E60A8"/>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E60A8"/>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E60A8"/>
    <w:rPr>
      <w:rFonts w:ascii="Times New Roman" w:hAnsi="Times New Roman" w:cs="Times New Roman"/>
    </w:rPr>
  </w:style>
  <w:style w:type="paragraph" w:styleId="NormalIndent">
    <w:name w:val="Normal Indent"/>
    <w:basedOn w:val="Normal"/>
    <w:uiPriority w:val="98"/>
    <w:semiHidden/>
    <w:rsid w:val="007E60A8"/>
    <w:pPr>
      <w:ind w:left="720"/>
    </w:pPr>
  </w:style>
  <w:style w:type="paragraph" w:styleId="NoteHeading">
    <w:name w:val="Note Heading"/>
    <w:basedOn w:val="Normal"/>
    <w:next w:val="Normal"/>
    <w:link w:val="NoteHeadingChar"/>
    <w:uiPriority w:val="98"/>
    <w:semiHidden/>
    <w:rsid w:val="007E60A8"/>
  </w:style>
  <w:style w:type="character" w:customStyle="1" w:styleId="NoteHeadingChar">
    <w:name w:val="Note Heading Char"/>
    <w:basedOn w:val="DefaultParagraphFont"/>
    <w:link w:val="NoteHeading"/>
    <w:uiPriority w:val="98"/>
    <w:semiHidden/>
    <w:rsid w:val="007E60A8"/>
    <w:rPr>
      <w:sz w:val="24"/>
      <w:szCs w:val="24"/>
      <w:lang w:val="en-GB"/>
    </w:rPr>
  </w:style>
  <w:style w:type="character" w:styleId="PlaceholderText">
    <w:name w:val="Placeholder Text"/>
    <w:basedOn w:val="DefaultParagraphFont"/>
    <w:uiPriority w:val="98"/>
    <w:semiHidden/>
    <w:rsid w:val="007E60A8"/>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7E60A8"/>
    <w:rPr>
      <w:rFonts w:ascii="Consolas" w:hAnsi="Consolas" w:cs="Consolas"/>
      <w:sz w:val="21"/>
      <w:szCs w:val="21"/>
    </w:rPr>
  </w:style>
  <w:style w:type="character" w:customStyle="1" w:styleId="PlainTextChar">
    <w:name w:val="Plain Text Char"/>
    <w:basedOn w:val="DefaultParagraphFont"/>
    <w:link w:val="PlainText"/>
    <w:uiPriority w:val="98"/>
    <w:semiHidden/>
    <w:rsid w:val="007E60A8"/>
    <w:rPr>
      <w:rFonts w:ascii="Consolas" w:hAnsi="Consolas" w:cs="Consolas"/>
      <w:sz w:val="21"/>
      <w:szCs w:val="21"/>
      <w:lang w:val="en-GB"/>
    </w:rPr>
  </w:style>
  <w:style w:type="paragraph" w:styleId="Salutation">
    <w:name w:val="Salutation"/>
    <w:basedOn w:val="Normal"/>
    <w:next w:val="Normal"/>
    <w:link w:val="SalutationChar"/>
    <w:uiPriority w:val="98"/>
    <w:semiHidden/>
    <w:rsid w:val="007E60A8"/>
  </w:style>
  <w:style w:type="character" w:customStyle="1" w:styleId="SalutationChar">
    <w:name w:val="Salutation Char"/>
    <w:basedOn w:val="DefaultParagraphFont"/>
    <w:link w:val="Salutation"/>
    <w:uiPriority w:val="98"/>
    <w:semiHidden/>
    <w:rsid w:val="007E60A8"/>
    <w:rPr>
      <w:sz w:val="24"/>
      <w:szCs w:val="24"/>
      <w:lang w:val="en-GB"/>
    </w:rPr>
  </w:style>
  <w:style w:type="paragraph" w:styleId="Signature0">
    <w:name w:val="Signature"/>
    <w:basedOn w:val="Normal"/>
    <w:link w:val="SignatureChar"/>
    <w:uiPriority w:val="98"/>
    <w:semiHidden/>
    <w:rsid w:val="007E60A8"/>
    <w:pPr>
      <w:ind w:left="4252"/>
    </w:pPr>
  </w:style>
  <w:style w:type="character" w:customStyle="1" w:styleId="SignatureChar">
    <w:name w:val="Signature Char"/>
    <w:basedOn w:val="DefaultParagraphFont"/>
    <w:link w:val="Signature0"/>
    <w:uiPriority w:val="98"/>
    <w:semiHidden/>
    <w:rsid w:val="007E60A8"/>
    <w:rPr>
      <w:sz w:val="24"/>
      <w:szCs w:val="24"/>
      <w:lang w:val="en-GB"/>
    </w:rPr>
  </w:style>
  <w:style w:type="table" w:styleId="Table3Deffects1">
    <w:name w:val="Table 3D effects 1"/>
    <w:basedOn w:val="TableNormal"/>
    <w:uiPriority w:val="99"/>
    <w:semiHidden/>
    <w:unhideWhenUsed/>
    <w:rsid w:val="007E60A8"/>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E60A8"/>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E60A8"/>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E60A8"/>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E60A8"/>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E60A8"/>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E60A8"/>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E60A8"/>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E60A8"/>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E60A8"/>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E60A8"/>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E60A8"/>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E60A8"/>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E60A8"/>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E60A8"/>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E60A8"/>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E60A8"/>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E60A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E60A8"/>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E60A8"/>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E60A8"/>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E60A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E60A8"/>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E60A8"/>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E60A8"/>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E60A8"/>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E60A8"/>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E60A8"/>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E60A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E60A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E60A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E60A8"/>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E60A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E60A8"/>
    <w:pPr>
      <w:ind w:left="240" w:hanging="240"/>
    </w:pPr>
  </w:style>
  <w:style w:type="paragraph" w:styleId="TableofFigures">
    <w:name w:val="table of figures"/>
    <w:basedOn w:val="Normal"/>
    <w:next w:val="Normal"/>
    <w:uiPriority w:val="98"/>
    <w:semiHidden/>
    <w:rsid w:val="007E60A8"/>
  </w:style>
  <w:style w:type="table" w:styleId="TableProfessional">
    <w:name w:val="Table Professional"/>
    <w:basedOn w:val="TableNormal"/>
    <w:uiPriority w:val="99"/>
    <w:semiHidden/>
    <w:unhideWhenUsed/>
    <w:rsid w:val="007E60A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E60A8"/>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E60A8"/>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E60A8"/>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E60A8"/>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E60A8"/>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E60A8"/>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E60A8"/>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E60A8"/>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E60A8"/>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E60A8"/>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E60A8"/>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E60A8"/>
    <w:pPr>
      <w:spacing w:after="100"/>
      <w:ind w:left="1680"/>
    </w:pPr>
  </w:style>
  <w:style w:type="paragraph" w:styleId="TOC9">
    <w:name w:val="toc 9"/>
    <w:basedOn w:val="Normal"/>
    <w:next w:val="Normal"/>
    <w:autoRedefine/>
    <w:uiPriority w:val="98"/>
    <w:semiHidden/>
    <w:rsid w:val="007E60A8"/>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7E60A8"/>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7E60A8"/>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7E60A8"/>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7E60A8"/>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7E60A8"/>
    <w:pPr>
      <w:numPr>
        <w:numId w:val="75"/>
      </w:numPr>
      <w:spacing w:before="60" w:after="60"/>
    </w:pPr>
  </w:style>
  <w:style w:type="paragraph" w:customStyle="1" w:styleId="ECHRBullet2">
    <w:name w:val="ECHR_Bullet_2"/>
    <w:aliases w:val="_Bul_2"/>
    <w:basedOn w:val="ECHRBullet1"/>
    <w:uiPriority w:val="23"/>
    <w:semiHidden/>
    <w:rsid w:val="007E60A8"/>
    <w:pPr>
      <w:numPr>
        <w:ilvl w:val="1"/>
      </w:numPr>
    </w:pPr>
  </w:style>
  <w:style w:type="paragraph" w:customStyle="1" w:styleId="ECHRBullet3">
    <w:name w:val="ECHR_Bullet_3"/>
    <w:aliases w:val="_Bul_3"/>
    <w:basedOn w:val="ECHRBullet2"/>
    <w:uiPriority w:val="23"/>
    <w:semiHidden/>
    <w:rsid w:val="007E60A8"/>
    <w:pPr>
      <w:numPr>
        <w:ilvl w:val="2"/>
      </w:numPr>
    </w:pPr>
  </w:style>
  <w:style w:type="paragraph" w:customStyle="1" w:styleId="ECHRBullet4">
    <w:name w:val="ECHR_Bullet_4"/>
    <w:aliases w:val="_Bul_4"/>
    <w:basedOn w:val="ECHRBullet3"/>
    <w:uiPriority w:val="23"/>
    <w:semiHidden/>
    <w:rsid w:val="007E60A8"/>
    <w:pPr>
      <w:numPr>
        <w:ilvl w:val="3"/>
      </w:numPr>
    </w:pPr>
  </w:style>
  <w:style w:type="paragraph" w:customStyle="1" w:styleId="ECHRConfidential">
    <w:name w:val="ECHR_Confidential"/>
    <w:aliases w:val="_Confidential"/>
    <w:basedOn w:val="Normal"/>
    <w:next w:val="Normal"/>
    <w:uiPriority w:val="42"/>
    <w:semiHidden/>
    <w:qFormat/>
    <w:rsid w:val="007E60A8"/>
    <w:pPr>
      <w:jc w:val="right"/>
    </w:pPr>
    <w:rPr>
      <w:color w:val="C00000"/>
      <w:sz w:val="20"/>
    </w:rPr>
  </w:style>
  <w:style w:type="paragraph" w:customStyle="1" w:styleId="ECHRDecisionBody">
    <w:name w:val="ECHR_Decision_Body"/>
    <w:aliases w:val="_Decision_Body"/>
    <w:basedOn w:val="NormalJustified"/>
    <w:uiPriority w:val="54"/>
    <w:semiHidden/>
    <w:rsid w:val="007E60A8"/>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E60A8"/>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E60A8"/>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E60A8"/>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7E60A8"/>
    <w:pPr>
      <w:jc w:val="right"/>
    </w:pPr>
    <w:rPr>
      <w:sz w:val="20"/>
    </w:rPr>
  </w:style>
  <w:style w:type="paragraph" w:customStyle="1" w:styleId="ECHRHeaderRefIt">
    <w:name w:val="ECHR_Header_Ref_It"/>
    <w:aliases w:val="_Ref_Ital"/>
    <w:basedOn w:val="Normal"/>
    <w:next w:val="ECHRHeaderDate"/>
    <w:uiPriority w:val="43"/>
    <w:semiHidden/>
    <w:qFormat/>
    <w:rsid w:val="007E60A8"/>
    <w:pPr>
      <w:jc w:val="right"/>
    </w:pPr>
    <w:rPr>
      <w:i/>
      <w:sz w:val="20"/>
    </w:rPr>
  </w:style>
  <w:style w:type="paragraph" w:customStyle="1" w:styleId="ECHRHeading9">
    <w:name w:val="ECHR_Heading_9"/>
    <w:aliases w:val="_Head_9"/>
    <w:basedOn w:val="Heading9"/>
    <w:uiPriority w:val="17"/>
    <w:semiHidden/>
    <w:rsid w:val="007E60A8"/>
    <w:pPr>
      <w:keepNext/>
      <w:keepLines/>
      <w:numPr>
        <w:ilvl w:val="8"/>
        <w:numId w:val="87"/>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E60A8"/>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7E60A8"/>
    <w:pPr>
      <w:numPr>
        <w:numId w:val="79"/>
      </w:numPr>
      <w:spacing w:before="60" w:after="60"/>
    </w:pPr>
  </w:style>
  <w:style w:type="paragraph" w:customStyle="1" w:styleId="ECHRNumberedList2">
    <w:name w:val="ECHR_Numbered_List_2"/>
    <w:aliases w:val="_Num_2"/>
    <w:basedOn w:val="ECHRNumberedList1"/>
    <w:uiPriority w:val="23"/>
    <w:semiHidden/>
    <w:rsid w:val="007E60A8"/>
    <w:pPr>
      <w:numPr>
        <w:ilvl w:val="1"/>
      </w:numPr>
    </w:pPr>
  </w:style>
  <w:style w:type="paragraph" w:customStyle="1" w:styleId="ECHRNumberedList3">
    <w:name w:val="ECHR_Numbered_List_3"/>
    <w:aliases w:val="_Num_3"/>
    <w:basedOn w:val="ECHRNumberedList2"/>
    <w:uiPriority w:val="23"/>
    <w:semiHidden/>
    <w:rsid w:val="007E60A8"/>
    <w:pPr>
      <w:numPr>
        <w:ilvl w:val="2"/>
      </w:numPr>
    </w:pPr>
  </w:style>
  <w:style w:type="paragraph" w:customStyle="1" w:styleId="ECHRParaHanging">
    <w:name w:val="ECHR_Para_Hanging"/>
    <w:aliases w:val="_Hanging"/>
    <w:basedOn w:val="NormalJustified"/>
    <w:uiPriority w:val="8"/>
    <w:semiHidden/>
    <w:qFormat/>
    <w:rsid w:val="007E60A8"/>
    <w:pPr>
      <w:ind w:left="567" w:hanging="567"/>
    </w:pPr>
  </w:style>
  <w:style w:type="paragraph" w:customStyle="1" w:styleId="ECHRParaIndent">
    <w:name w:val="ECHR_Para_Indent"/>
    <w:aliases w:val="_Indent"/>
    <w:basedOn w:val="NormalJustified"/>
    <w:uiPriority w:val="7"/>
    <w:semiHidden/>
    <w:qFormat/>
    <w:rsid w:val="007E60A8"/>
    <w:pPr>
      <w:spacing w:before="120" w:after="120"/>
      <w:ind w:left="284"/>
    </w:pPr>
  </w:style>
  <w:style w:type="character" w:customStyle="1" w:styleId="ECHRRed">
    <w:name w:val="ECHR_Red"/>
    <w:aliases w:val="_Red"/>
    <w:basedOn w:val="DefaultParagraphFont"/>
    <w:uiPriority w:val="15"/>
    <w:semiHidden/>
    <w:qFormat/>
    <w:rsid w:val="007E60A8"/>
    <w:rPr>
      <w:color w:val="C00000" w:themeColor="accent2"/>
    </w:rPr>
  </w:style>
  <w:style w:type="paragraph" w:customStyle="1" w:styleId="DecList">
    <w:name w:val="Dec_List"/>
    <w:aliases w:val="_List"/>
    <w:basedOn w:val="JuList"/>
    <w:uiPriority w:val="22"/>
    <w:rsid w:val="007E60A8"/>
    <w:pPr>
      <w:numPr>
        <w:numId w:val="0"/>
      </w:numPr>
      <w:ind w:left="284"/>
    </w:pPr>
  </w:style>
  <w:style w:type="table" w:customStyle="1" w:styleId="ECHRTable2">
    <w:name w:val="ECHR_Table_2"/>
    <w:basedOn w:val="TableNormal"/>
    <w:uiPriority w:val="99"/>
    <w:rsid w:val="007E60A8"/>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E60A8"/>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7E60A8"/>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7E60A8"/>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7E60A8"/>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7E60A8"/>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7E60A8"/>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7E60A8"/>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7E60A8"/>
    <w:pPr>
      <w:outlineLvl w:val="0"/>
    </w:pPr>
  </w:style>
  <w:style w:type="paragraph" w:customStyle="1" w:styleId="ECHRTitleTOC1">
    <w:name w:val="ECHR_Title_TOC_1"/>
    <w:aliases w:val="_Title_L_TOC"/>
    <w:basedOn w:val="ECHRTitle1"/>
    <w:next w:val="Normal"/>
    <w:uiPriority w:val="27"/>
    <w:semiHidden/>
    <w:qFormat/>
    <w:rsid w:val="007E60A8"/>
    <w:pPr>
      <w:outlineLvl w:val="0"/>
    </w:pPr>
  </w:style>
  <w:style w:type="paragraph" w:customStyle="1" w:styleId="ECHRPlaceholder">
    <w:name w:val="ECHR_Placeholder"/>
    <w:aliases w:val="_Placeholder"/>
    <w:basedOn w:val="JuSigned"/>
    <w:uiPriority w:val="31"/>
    <w:rsid w:val="007E60A8"/>
    <w:rPr>
      <w:color w:val="FFFFFF"/>
    </w:rPr>
  </w:style>
  <w:style w:type="paragraph" w:customStyle="1" w:styleId="ECHRSpacer">
    <w:name w:val="ECHR_Spacer"/>
    <w:aliases w:val="_Spacer"/>
    <w:basedOn w:val="Normal"/>
    <w:uiPriority w:val="45"/>
    <w:semiHidden/>
    <w:rsid w:val="007E60A8"/>
    <w:rPr>
      <w:sz w:val="4"/>
    </w:rPr>
  </w:style>
  <w:style w:type="table" w:customStyle="1" w:styleId="ECHRTableGrey">
    <w:name w:val="ECHR_Table_Grey"/>
    <w:basedOn w:val="TableNormal"/>
    <w:uiPriority w:val="99"/>
    <w:rsid w:val="007E60A8"/>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7E60A8"/>
    <w:rPr>
      <w:color w:val="605E5C"/>
      <w:shd w:val="clear" w:color="auto" w:fill="E1DFDD"/>
    </w:rPr>
  </w:style>
  <w:style w:type="character" w:customStyle="1" w:styleId="JuParaChar">
    <w:name w:val="Ju_Para Char"/>
    <w:aliases w:val="_Para Char"/>
    <w:link w:val="JuPara"/>
    <w:uiPriority w:val="4"/>
    <w:rsid w:val="00617CE5"/>
    <w:rPr>
      <w:sz w:val="24"/>
      <w:szCs w:val="24"/>
      <w:lang w:val="en-GB"/>
    </w:rPr>
  </w:style>
  <w:style w:type="table" w:styleId="GridTable1LightAccent1">
    <w:name w:val="Grid Table 1 Light Accent 1"/>
    <w:basedOn w:val="TableNormal"/>
    <w:uiPriority w:val="46"/>
    <w:semiHidden/>
    <w:rsid w:val="007E60A8"/>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7E60A8"/>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7E60A8"/>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7E60A8"/>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7E60A8"/>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7E60A8"/>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7E60A8"/>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7E60A8"/>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7E60A8"/>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7E60A8"/>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7E60A8"/>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7E60A8"/>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7E60A8"/>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7E60A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7E60A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7E60A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7E60A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7E60A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7E60A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7E60A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7E60A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7E60A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7E60A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7E60A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7E60A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7E60A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7E60A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7E60A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7E60A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7E60A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7E60A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7E60A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7E60A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7E60A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7E60A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7E60A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7E60A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7E60A8"/>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7E60A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7E60A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7E60A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7E60A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7E60A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7E60A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7E60A8"/>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7E60A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7E60A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7E60A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7E60A8"/>
    <w:rPr>
      <w:color w:val="2B579A"/>
      <w:shd w:val="clear" w:color="auto" w:fill="E1DFDD"/>
    </w:rPr>
  </w:style>
  <w:style w:type="table" w:styleId="ListTable1Light">
    <w:name w:val="List Table 1 Light"/>
    <w:basedOn w:val="TableNormal"/>
    <w:uiPriority w:val="46"/>
    <w:semiHidden/>
    <w:rsid w:val="007E60A8"/>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7E60A8"/>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7E60A8"/>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7E60A8"/>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7E60A8"/>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7E60A8"/>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7E60A8"/>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7E60A8"/>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7E60A8"/>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7E60A8"/>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7E60A8"/>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7E60A8"/>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7E60A8"/>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7E60A8"/>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7E60A8"/>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7E60A8"/>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7E60A8"/>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7E60A8"/>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7E60A8"/>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7E60A8"/>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7E60A8"/>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7E60A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7E60A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7E60A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7E60A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7E60A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7E60A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7E60A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7E60A8"/>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7E60A8"/>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7E60A8"/>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7E60A8"/>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7E60A8"/>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7E60A8"/>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7E60A8"/>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7E60A8"/>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7E60A8"/>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7E60A8"/>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7E60A8"/>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7E60A8"/>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7E60A8"/>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7E60A8"/>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7E60A8"/>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7E60A8"/>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7E60A8"/>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7E60A8"/>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7E60A8"/>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7E60A8"/>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7E60A8"/>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7E60A8"/>
    <w:rPr>
      <w:color w:val="2B579A"/>
      <w:shd w:val="clear" w:color="auto" w:fill="E1DFDD"/>
    </w:rPr>
  </w:style>
  <w:style w:type="table" w:styleId="PlainTable1">
    <w:name w:val="Plain Table 1"/>
    <w:basedOn w:val="TableNormal"/>
    <w:uiPriority w:val="41"/>
    <w:semiHidden/>
    <w:rsid w:val="007E60A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7E60A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7E60A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7E60A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7E60A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7E60A8"/>
    <w:rPr>
      <w:u w:val="dotted"/>
    </w:rPr>
  </w:style>
  <w:style w:type="character" w:styleId="SmartLink">
    <w:name w:val="Smart Link"/>
    <w:basedOn w:val="DefaultParagraphFont"/>
    <w:uiPriority w:val="99"/>
    <w:semiHidden/>
    <w:unhideWhenUsed/>
    <w:rsid w:val="007E60A8"/>
    <w:rPr>
      <w:color w:val="0000FF"/>
      <w:u w:val="single"/>
      <w:shd w:val="clear" w:color="auto" w:fill="F3F2F1"/>
    </w:rPr>
  </w:style>
  <w:style w:type="table" w:styleId="GridTableLight">
    <w:name w:val="Grid Table Light"/>
    <w:basedOn w:val="TableNormal"/>
    <w:uiPriority w:val="40"/>
    <w:semiHidden/>
    <w:rsid w:val="007E60A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ummyStyle">
    <w:name w:val="Dummy_Style"/>
    <w:aliases w:val="_Dummy"/>
    <w:basedOn w:val="Normal"/>
    <w:semiHidden/>
    <w:qFormat/>
    <w:rsid w:val="007E60A8"/>
    <w:rPr>
      <w:color w:val="00B05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1978</Words>
  <Characters>11510</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Judgment</vt:lpstr>
    </vt:vector>
  </TitlesOfParts>
  <Company/>
  <LinksUpToDate>false</LinksUpToDate>
  <CharactersWithSpaces>13422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2025-12-17T21:43:00Z</dcterms:created>
  <dcterms:modified xsi:type="dcterms:W3CDTF">2025-12-17T21:46:00Z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1860439</vt:lpwstr>
  </property>
  <property fmtid="{D5CDD505-2E9C-101B-9397-08002B2CF9AE}" pid="3" name="cstLanguage">
    <vt:i4>2057</vt:i4>
  </property>
  <property fmtid="{D5CDD505-2E9C-101B-9397-08002B2CF9AE}" pid="4" name="RegisteredNo">
    <vt:lpwstr>21174/23</vt:lpwstr>
  </property>
</Properties>
</file>