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D929F8" w:rsidR="00AA5C7E" w:rsidP="00D929F8" w14:paraId="502A0252" w14:textId="77777777">
      <w:pPr>
        <w:jc w:val="center"/>
        <w:rPr>
          <w:rFonts w:ascii="Times New Roman" w:hAnsi="Times New Roman" w:cs="Times New Roman"/>
          <w:noProof/>
        </w:rPr>
      </w:pPr>
    </w:p>
    <w:p w:rsidRPr="00D929F8" w:rsidR="0098410D" w:rsidP="00D929F8" w14:paraId="76A7EC76" w14:textId="77777777">
      <w:pPr>
        <w:jc w:val="center"/>
      </w:pPr>
    </w:p>
    <w:p w:rsidRPr="00D929F8" w:rsidR="0098410D" w:rsidP="00D929F8" w14:paraId="2327618E" w14:textId="77777777">
      <w:pPr>
        <w:pStyle w:val="DecHTitle"/>
      </w:pPr>
      <w:r w:rsidRPr="00D929F8">
        <w:t>FIFTH SECTION</w:t>
      </w:r>
    </w:p>
    <w:p w:rsidRPr="00D929F8" w:rsidR="008E6217" w:rsidP="00D929F8" w14:paraId="38D653A3" w14:textId="77777777">
      <w:pPr>
        <w:pStyle w:val="JuTitle"/>
      </w:pPr>
      <w:r w:rsidRPr="00D929F8">
        <w:rPr>
          <w:color w:val="000000" w:themeColor="text1"/>
        </w:rPr>
        <w:t xml:space="preserve">CASE OF </w:t>
      </w:r>
      <w:r w:rsidRPr="00D929F8" w:rsidR="00AA5C7E">
        <w:t>NIKOLAYEV v. UKRAINE</w:t>
      </w:r>
    </w:p>
    <w:p w:rsidRPr="00D929F8" w:rsidR="00D74888" w:rsidP="00D929F8" w14:paraId="11535FE5" w14:textId="77777777">
      <w:pPr>
        <w:pStyle w:val="ECHRCoverTitle4"/>
      </w:pPr>
      <w:r w:rsidRPr="00D929F8">
        <w:t>(</w:t>
      </w:r>
      <w:r w:rsidRPr="00D929F8" w:rsidR="00AA5C7E">
        <w:rPr>
          <w:noProof/>
        </w:rPr>
        <w:t>Application no.</w:t>
      </w:r>
      <w:r w:rsidRPr="00D929F8">
        <w:t xml:space="preserve"> </w:t>
      </w:r>
      <w:r w:rsidRPr="00D929F8" w:rsidR="00AA5C7E">
        <w:t>54309/20</w:t>
      </w:r>
      <w:r w:rsidRPr="00D929F8">
        <w:t>)</w:t>
      </w:r>
    </w:p>
    <w:p w:rsidRPr="00D929F8" w:rsidR="0098410D" w:rsidP="00D929F8" w14:paraId="46929933" w14:textId="77777777">
      <w:pPr>
        <w:pStyle w:val="DecHCase"/>
      </w:pPr>
    </w:p>
    <w:p w:rsidRPr="00D929F8" w:rsidR="0054716E" w:rsidP="00D929F8" w14:paraId="010C1E89" w14:textId="77777777">
      <w:pPr>
        <w:pStyle w:val="DecHCase"/>
      </w:pPr>
    </w:p>
    <w:p w:rsidRPr="00D929F8" w:rsidR="0054716E" w:rsidP="00D929F8" w14:paraId="48FC1B8D" w14:textId="77777777">
      <w:pPr>
        <w:pStyle w:val="DecHCase"/>
      </w:pPr>
    </w:p>
    <w:p w:rsidRPr="00D929F8" w:rsidR="0098410D" w:rsidP="00D929F8" w14:paraId="0AB9C964" w14:textId="77777777">
      <w:pPr>
        <w:pStyle w:val="DecHCase"/>
      </w:pPr>
    </w:p>
    <w:p w:rsidRPr="00D929F8" w:rsidR="00AC4CD4" w:rsidP="00D929F8" w14:paraId="146FC61E" w14:textId="77777777">
      <w:pPr>
        <w:pStyle w:val="DecHCase"/>
      </w:pPr>
    </w:p>
    <w:p w:rsidRPr="00D929F8" w:rsidR="0098410D" w:rsidP="00D929F8" w14:paraId="1F1016A3" w14:textId="77777777">
      <w:pPr>
        <w:pStyle w:val="DecHCase"/>
      </w:pPr>
    </w:p>
    <w:p w:rsidRPr="00D929F8" w:rsidR="0098410D" w:rsidP="00D929F8" w14:paraId="4741255C" w14:textId="77777777">
      <w:pPr>
        <w:pStyle w:val="DecHCase"/>
      </w:pPr>
      <w:r w:rsidRPr="00D929F8">
        <w:t>JUDGMENT</w:t>
      </w:r>
      <w:r w:rsidRPr="00D929F8" w:rsidR="00AC4CD4">
        <w:br/>
      </w:r>
    </w:p>
    <w:p w:rsidRPr="00D929F8" w:rsidR="0098410D" w:rsidP="00D929F8" w14:paraId="29431277" w14:textId="77777777">
      <w:pPr>
        <w:pStyle w:val="DecHCase"/>
      </w:pPr>
      <w:r w:rsidRPr="00D929F8">
        <w:t>STRASBOURG</w:t>
      </w:r>
    </w:p>
    <w:p w:rsidRPr="00D929F8" w:rsidR="0098410D" w:rsidP="00D929F8" w14:paraId="0D28231E" w14:textId="77777777">
      <w:pPr>
        <w:pStyle w:val="DecHCase"/>
      </w:pPr>
      <w:r w:rsidRPr="00D929F8">
        <w:rPr>
          <w:rFonts w:ascii="Times New Roman" w:hAnsi="Times New Roman" w:cs="Times New Roman"/>
        </w:rPr>
        <w:t>6 November 2025</w:t>
      </w:r>
    </w:p>
    <w:p w:rsidRPr="00D929F8" w:rsidR="00AC4CD4" w:rsidP="00D929F8" w14:paraId="57D7FF1A" w14:textId="77777777">
      <w:pPr>
        <w:pStyle w:val="JuPara"/>
      </w:pPr>
    </w:p>
    <w:p w:rsidRPr="00D929F8" w:rsidR="002422B6" w:rsidP="00D929F8" w14:paraId="1462740C" w14:textId="77777777">
      <w:pPr>
        <w:rPr>
          <w:i/>
          <w:sz w:val="22"/>
        </w:rPr>
      </w:pPr>
      <w:r w:rsidRPr="00D929F8">
        <w:rPr>
          <w:i/>
          <w:sz w:val="22"/>
        </w:rPr>
        <w:t xml:space="preserve">This judgment </w:t>
      </w:r>
      <w:r w:rsidRPr="00D929F8" w:rsidR="00AA5C7E">
        <w:rPr>
          <w:i/>
          <w:noProof/>
          <w:sz w:val="22"/>
        </w:rPr>
        <w:t>is final but it</w:t>
      </w:r>
      <w:r w:rsidRPr="00D929F8">
        <w:rPr>
          <w:i/>
          <w:sz w:val="22"/>
        </w:rPr>
        <w:t xml:space="preserve"> may be subject to editorial revision.</w:t>
      </w:r>
    </w:p>
    <w:p w:rsidRPr="00D929F8" w:rsidR="0098410D" w:rsidP="00D929F8" w14:paraId="200A9D8B" w14:textId="77777777">
      <w:pPr>
        <w:sectPr w:rsidSect="00D66471">
          <w:headerReference w:type="default" r:id="rId6"/>
          <w:footerReference w:type="default" r:id="rId7"/>
          <w:headerReference w:type="first" r:id="rId8"/>
          <w:footerReference w:type="first" r:id="rId9"/>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D929F8" w:rsidR="0098410D" w:rsidP="00D929F8" w14:paraId="524AA547" w14:textId="77777777">
      <w:pPr>
        <w:pStyle w:val="JuCase"/>
      </w:pPr>
      <w:r w:rsidRPr="00D929F8">
        <w:t xml:space="preserve">In the case of </w:t>
      </w:r>
      <w:r w:rsidRPr="00D929F8" w:rsidR="00AA5C7E">
        <w:t>Nikolayev v. Ukraine</w:t>
      </w:r>
      <w:r w:rsidRPr="00D929F8">
        <w:t>,</w:t>
      </w:r>
    </w:p>
    <w:p w:rsidRPr="00D929F8" w:rsidR="009F4C8F" w:rsidP="00D929F8" w14:paraId="14B36F16" w14:textId="0DC04F73">
      <w:pPr>
        <w:pStyle w:val="JuPara"/>
      </w:pPr>
      <w:r w:rsidRPr="00D929F8">
        <w:t>The European Court of Human Rights (</w:t>
      </w:r>
      <w:r w:rsidRPr="00D929F8" w:rsidR="00AA5C7E">
        <w:t>Fifth Section</w:t>
      </w:r>
      <w:r w:rsidRPr="00D929F8">
        <w:t>), sitting as a</w:t>
      </w:r>
      <w:r w:rsidRPr="00D929F8" w:rsidR="00DD2EDD">
        <w:t> </w:t>
      </w:r>
      <w:r w:rsidRPr="00D929F8" w:rsidR="00AA5C7E">
        <w:rPr>
          <w:noProof/>
        </w:rPr>
        <w:t>Committee</w:t>
      </w:r>
      <w:r w:rsidRPr="00D929F8">
        <w:t xml:space="preserve"> composed of:</w:t>
      </w:r>
    </w:p>
    <w:p w:rsidRPr="00D929F8" w:rsidR="00A92625" w:rsidP="00D929F8" w14:paraId="42B94DBF" w14:textId="62C55D90">
      <w:pPr>
        <w:pStyle w:val="JuJudges"/>
      </w:pPr>
      <w:r w:rsidRPr="00D929F8">
        <w:tab/>
        <w:t xml:space="preserve">Andreas </w:t>
      </w:r>
      <w:r w:rsidRPr="00D929F8">
        <w:t>Zünd</w:t>
      </w:r>
      <w:r w:rsidRPr="00D929F8">
        <w:rPr>
          <w:i/>
        </w:rPr>
        <w:t>, President</w:t>
      </w:r>
      <w:r w:rsidRPr="00D929F8">
        <w:t>,</w:t>
      </w:r>
      <w:r w:rsidRPr="00D929F8">
        <w:br/>
      </w:r>
      <w:r w:rsidRPr="00D929F8">
        <w:tab/>
        <w:t>Mykola Gnatovskyy,</w:t>
      </w:r>
      <w:r w:rsidRPr="00D929F8">
        <w:br/>
      </w:r>
      <w:r w:rsidRPr="00D929F8">
        <w:tab/>
      </w:r>
      <w:r w:rsidRPr="00D929F8">
        <w:t>Vahe</w:t>
      </w:r>
      <w:r w:rsidRPr="00D929F8">
        <w:t xml:space="preserve"> </w:t>
      </w:r>
      <w:r w:rsidRPr="00D929F8">
        <w:t>Grigoryan</w:t>
      </w:r>
      <w:r w:rsidRPr="00D929F8">
        <w:rPr>
          <w:i/>
        </w:rPr>
        <w:t>, judges</w:t>
      </w:r>
      <w:r w:rsidRPr="00D929F8">
        <w:t>,</w:t>
      </w:r>
      <w:r w:rsidRPr="00D929F8" w:rsidR="009F4C8F">
        <w:br/>
        <w:t>and</w:t>
      </w:r>
      <w:r w:rsidRPr="00D929F8" w:rsidR="005C2C62">
        <w:t xml:space="preserve"> </w:t>
      </w:r>
      <w:r w:rsidRPr="00D929F8" w:rsidR="00AA5C7E">
        <w:rPr>
          <w:rFonts w:eastAsia="PMingLiU"/>
          <w:noProof/>
        </w:rPr>
        <w:t>Martina Keller</w:t>
      </w:r>
      <w:r w:rsidRPr="00D929F8">
        <w:t xml:space="preserve">, </w:t>
      </w:r>
      <w:r w:rsidRPr="00D929F8" w:rsidR="00AA5C7E">
        <w:rPr>
          <w:i/>
          <w:iCs/>
          <w:noProof/>
        </w:rPr>
        <w:t xml:space="preserve">Deputy </w:t>
      </w:r>
      <w:r w:rsidRPr="00D929F8" w:rsidR="00E744E0">
        <w:rPr>
          <w:i/>
        </w:rPr>
        <w:t xml:space="preserve">Section </w:t>
      </w:r>
      <w:r w:rsidRPr="00D929F8" w:rsidR="00E744E0">
        <w:rPr>
          <w:i/>
          <w:iCs/>
        </w:rPr>
        <w:t>Registrar</w:t>
      </w:r>
      <w:r w:rsidRPr="00D929F8" w:rsidR="008F2465">
        <w:rPr>
          <w:i/>
        </w:rPr>
        <w:t>,</w:t>
      </w:r>
    </w:p>
    <w:p w:rsidRPr="00D929F8" w:rsidR="00AA5C7E" w:rsidP="00D929F8" w14:paraId="59E87F69" w14:textId="77777777">
      <w:pPr>
        <w:pStyle w:val="JuPara"/>
      </w:pPr>
      <w:r w:rsidRPr="00D929F8">
        <w:t>Having regard to:</w:t>
      </w:r>
    </w:p>
    <w:p w:rsidRPr="00D929F8" w:rsidR="00AA5C7E" w:rsidP="00D929F8" w14:paraId="476CD5FB" w14:textId="77777777">
      <w:pPr>
        <w:pStyle w:val="JuPara"/>
      </w:pPr>
      <w:r w:rsidRPr="00D929F8">
        <w:t xml:space="preserve">the application (no. 54309/20) against Ukraine lodged with the Court under Article 34 of the Convention for the Protection of Human Rights and Fundamental Freedoms (“the Convention”) on 8 January 2021 by a Ukrainian national, Mr </w:t>
      </w:r>
      <w:r w:rsidRPr="00D929F8">
        <w:t>Gennadiy</w:t>
      </w:r>
      <w:r w:rsidRPr="00D929F8">
        <w:t xml:space="preserve"> </w:t>
      </w:r>
      <w:r w:rsidRPr="00D929F8">
        <w:t>Vasylyovych</w:t>
      </w:r>
      <w:r w:rsidRPr="00D929F8">
        <w:t xml:space="preserve"> Nikolayev (“the applicant”), who was born in 1973 and, according to the most recent information, lives in </w:t>
      </w:r>
      <w:r w:rsidRPr="00D929F8">
        <w:t>Dobrooleksandrivka</w:t>
      </w:r>
      <w:r w:rsidRPr="00D929F8">
        <w:t xml:space="preserve">, Odesa </w:t>
      </w:r>
      <w:r w:rsidRPr="00D929F8">
        <w:t>region;</w:t>
      </w:r>
    </w:p>
    <w:p w:rsidRPr="00D929F8" w:rsidR="00AA5C7E" w:rsidP="00D929F8" w14:paraId="3559DB2C" w14:textId="4AE83598">
      <w:pPr>
        <w:pStyle w:val="JuPara"/>
      </w:pPr>
      <w:r w:rsidRPr="00D929F8">
        <w:t xml:space="preserve">the decision to give notice of the complaints set out in paragraph 1 below to the Ukrainian Government (“the Government”), represented by their then Acting Agents, Ms O. </w:t>
      </w:r>
      <w:r w:rsidRPr="00D929F8">
        <w:t>Davydchuk</w:t>
      </w:r>
      <w:r w:rsidRPr="00D929F8">
        <w:t xml:space="preserve"> and then Mr A. </w:t>
      </w:r>
      <w:r w:rsidRPr="00D929F8">
        <w:t>Luksha</w:t>
      </w:r>
      <w:r w:rsidRPr="00D929F8">
        <w:t>, and to declare the</w:t>
      </w:r>
      <w:r w:rsidRPr="00D929F8" w:rsidR="00DD2EDD">
        <w:t> </w:t>
      </w:r>
      <w:r w:rsidRPr="00D929F8">
        <w:t xml:space="preserve">remainder of the application </w:t>
      </w:r>
      <w:r w:rsidRPr="00D929F8">
        <w:t>inadmissible;</w:t>
      </w:r>
    </w:p>
    <w:p w:rsidRPr="00D929F8" w:rsidR="00AA5C7E" w:rsidP="00D929F8" w14:paraId="5339EA6B" w14:textId="77777777">
      <w:pPr>
        <w:pStyle w:val="JuPara"/>
      </w:pPr>
      <w:r w:rsidRPr="00D929F8">
        <w:t xml:space="preserve">the decision not to indicate interim measures to the Government of Ukraine under Rule 39 of the Rules of Court, taken on 21 April </w:t>
      </w:r>
      <w:r w:rsidRPr="00D929F8">
        <w:t>2021;</w:t>
      </w:r>
    </w:p>
    <w:p w:rsidRPr="00D929F8" w:rsidR="00AA5C7E" w:rsidP="00D929F8" w14:paraId="6FE2F6FD" w14:textId="37DE2EB9">
      <w:pPr>
        <w:pStyle w:val="JuPara"/>
      </w:pPr>
      <w:r w:rsidRPr="00D929F8">
        <w:t>the parties</w:t>
      </w:r>
      <w:r w:rsidRPr="00D929F8" w:rsidR="00D929F8">
        <w:t>’</w:t>
      </w:r>
      <w:r w:rsidRPr="00D929F8">
        <w:t xml:space="preserve"> </w:t>
      </w:r>
      <w:r w:rsidRPr="00D929F8">
        <w:t>observations;</w:t>
      </w:r>
    </w:p>
    <w:p w:rsidRPr="00D929F8" w:rsidR="00AA5C7E" w:rsidP="00D929F8" w14:paraId="712A4C3B" w14:textId="77777777">
      <w:pPr>
        <w:pStyle w:val="JuPara"/>
      </w:pPr>
    </w:p>
    <w:p w:rsidRPr="00D929F8" w:rsidR="009F4C8F" w:rsidP="00D929F8" w14:paraId="7EBB6B3E" w14:textId="77777777">
      <w:pPr>
        <w:pStyle w:val="JuPara"/>
      </w:pPr>
      <w:r w:rsidRPr="00D929F8">
        <w:t xml:space="preserve">Having deliberated in private on </w:t>
      </w:r>
      <w:r w:rsidRPr="00D929F8" w:rsidR="00AA5C7E">
        <w:t>9 October 2025</w:t>
      </w:r>
      <w:r w:rsidRPr="00D929F8">
        <w:t>,</w:t>
      </w:r>
    </w:p>
    <w:p w:rsidRPr="00D929F8" w:rsidR="009F4C8F" w:rsidP="00D929F8" w14:paraId="770E1471" w14:textId="77777777">
      <w:pPr>
        <w:pStyle w:val="JuPara"/>
      </w:pPr>
      <w:r w:rsidRPr="00D929F8">
        <w:t>Delivers the following judgment, which was adopted on that date:</w:t>
      </w:r>
    </w:p>
    <w:p w:rsidRPr="00D929F8" w:rsidR="00AA5C7E" w:rsidP="00D929F8" w14:paraId="72333B0B" w14:textId="77777777">
      <w:pPr>
        <w:pStyle w:val="JuHHead"/>
        <w:numPr>
          <w:ilvl w:val="0"/>
          <w:numId w:val="0"/>
        </w:numPr>
      </w:pPr>
      <w:r w:rsidRPr="00D929F8">
        <w:t>SUBJECT MATTER OF THE CASE</w:t>
      </w:r>
    </w:p>
    <w:p w:rsidRPr="00D929F8" w:rsidR="00AA5C7E" w:rsidP="00D929F8" w14:paraId="326D08E9" w14:textId="34DB307B">
      <w:pPr>
        <w:pStyle w:val="JuPara"/>
      </w:pPr>
      <w:r>
        <w:fldChar w:fldCharType="begin"/>
      </w:r>
      <w:r>
        <w:instrText xml:space="preserve"> SEQ level0 \*arabic \* MERGEFORMAT </w:instrText>
      </w:r>
      <w:r>
        <w:fldChar w:fldCharType="separate"/>
      </w:r>
      <w:r w:rsidRPr="00D929F8" w:rsidR="00D929F8">
        <w:rPr>
          <w:noProof/>
        </w:rPr>
        <w:t>1</w:t>
      </w:r>
      <w:r w:rsidRPr="00D929F8" w:rsidR="00D929F8">
        <w:rPr>
          <w:noProof/>
        </w:rPr>
        <w:fldChar w:fldCharType="end"/>
      </w:r>
      <w:r w:rsidRPr="00D929F8">
        <w:t>.  The case mainly concerns the applicant</w:t>
      </w:r>
      <w:r w:rsidRPr="00D929F8" w:rsidR="00D929F8">
        <w:t>’</w:t>
      </w:r>
      <w:r w:rsidRPr="00D929F8">
        <w:t>s complaints under Article 3 of the Convention that while in detention he had not been provided with adequate medical care in respect of retinitis pigmentosa, under Article 5 § 3 of the allegedly unreasonable length of his pre-trial detention and under Article 5 § 4 that his appeals against some detention orders had not been examined “speedily”.</w:t>
      </w:r>
    </w:p>
    <w:p w:rsidRPr="00D929F8" w:rsidR="00AA5C7E" w:rsidP="00D929F8" w14:paraId="1BFBAC7C" w14:textId="77777777">
      <w:pPr>
        <w:pStyle w:val="JuHIRoman"/>
      </w:pPr>
      <w:r w:rsidRPr="00D929F8">
        <w:t>Background</w:t>
      </w:r>
    </w:p>
    <w:p w:rsidRPr="00D929F8" w:rsidR="00AA5C7E" w:rsidP="00D929F8" w14:paraId="2114E2B9" w14:textId="190E3C09">
      <w:pPr>
        <w:pStyle w:val="JuPara"/>
      </w:pPr>
      <w:r>
        <w:fldChar w:fldCharType="begin"/>
      </w:r>
      <w:r>
        <w:instrText xml:space="preserve"> SEQ level0 \*arabic \* MERGEFORMAT </w:instrText>
      </w:r>
      <w:r>
        <w:fldChar w:fldCharType="separate"/>
      </w:r>
      <w:r w:rsidRPr="00D929F8" w:rsidR="00D929F8">
        <w:rPr>
          <w:noProof/>
        </w:rPr>
        <w:t>2</w:t>
      </w:r>
      <w:r w:rsidRPr="00D929F8" w:rsidR="00D929F8">
        <w:rPr>
          <w:noProof/>
        </w:rPr>
        <w:fldChar w:fldCharType="end"/>
      </w:r>
      <w:r w:rsidRPr="00D929F8">
        <w:t xml:space="preserve">.  The applicant suffers from retinitis pigmentosa (RP), which was diagnosed in 2006 at the latest. It is a congenital disorder of the retina which causes gradual loss of vision and generally results in blindness. There is no commonly available treatment, although it is believed that vitamin A and some food supplements may help, to some extent, to slow down vision loss </w:t>
      </w:r>
      <w:r w:rsidRPr="00D929F8">
        <w:t>from some common forms of the disease.</w:t>
      </w:r>
      <w:r>
        <w:rPr>
          <w:vertAlign w:val="superscript"/>
        </w:rPr>
        <w:footnoteReference w:id="2"/>
      </w:r>
      <w:r w:rsidRPr="00D929F8">
        <w:t xml:space="preserve"> In 2014 the applicant was diagnosed as suffering from the most serious form of the disability. He received some treatment (apparently of a preventive nature, as described above) at the Filatov Institute of Eye Diseases and Tissue Therapy (“the</w:t>
      </w:r>
      <w:r w:rsidRPr="00D929F8" w:rsidR="00DD2EDD">
        <w:t> </w:t>
      </w:r>
      <w:r w:rsidRPr="00D929F8">
        <w:t>Filatov Institute”), a premier eye disease treatment and research facility in Ukraine, in 2006, 2007, 2009 and 2014.</w:t>
      </w:r>
    </w:p>
    <w:p w:rsidRPr="00D929F8" w:rsidR="00AA5C7E" w:rsidP="00D929F8" w14:paraId="394A863C" w14:textId="3DA273BF">
      <w:pPr>
        <w:pStyle w:val="JuPara"/>
      </w:pPr>
      <w:r>
        <w:fldChar w:fldCharType="begin"/>
      </w:r>
      <w:r>
        <w:instrText xml:space="preserve"> SEQ level0 \*arabic \* MERGEFORMAT </w:instrText>
      </w:r>
      <w:r>
        <w:fldChar w:fldCharType="separate"/>
      </w:r>
      <w:r w:rsidRPr="00D929F8" w:rsidR="00D929F8">
        <w:rPr>
          <w:noProof/>
        </w:rPr>
        <w:t>3</w:t>
      </w:r>
      <w:r w:rsidRPr="00D929F8" w:rsidR="00D929F8">
        <w:rPr>
          <w:noProof/>
        </w:rPr>
        <w:fldChar w:fldCharType="end"/>
      </w:r>
      <w:r w:rsidRPr="00D929F8">
        <w:t>.  The applicant was accused of inflicting, in July 2018, grievous head and liver injuries which had resulted in the victim</w:t>
      </w:r>
      <w:r w:rsidRPr="00D929F8" w:rsidR="00D929F8">
        <w:t>’</w:t>
      </w:r>
      <w:r w:rsidRPr="00D929F8">
        <w:t>s death. He was initially detained and then in September 2018 he was released and placed under house arrest which, it appears, eventually expired.</w:t>
      </w:r>
    </w:p>
    <w:p w:rsidRPr="00D929F8" w:rsidR="00AA5C7E" w:rsidP="00D929F8" w14:paraId="7B0C7A05" w14:textId="05C847C6">
      <w:pPr>
        <w:pStyle w:val="JuPara"/>
      </w:pPr>
      <w:r>
        <w:fldChar w:fldCharType="begin"/>
      </w:r>
      <w:r>
        <w:instrText xml:space="preserve"> SEQ level0 \*arabic \* MERGEFORMAT </w:instrText>
      </w:r>
      <w:r>
        <w:fldChar w:fldCharType="separate"/>
      </w:r>
      <w:r w:rsidRPr="00D929F8" w:rsidR="00D929F8">
        <w:rPr>
          <w:noProof/>
        </w:rPr>
        <w:t>4</w:t>
      </w:r>
      <w:r w:rsidRPr="00D929F8" w:rsidR="00D929F8">
        <w:rPr>
          <w:noProof/>
        </w:rPr>
        <w:fldChar w:fldCharType="end"/>
      </w:r>
      <w:r w:rsidRPr="00D929F8">
        <w:t xml:space="preserve">.  While awaiting trial, on </w:t>
      </w:r>
      <w:r w:rsidR="00756BC5">
        <w:t>6</w:t>
      </w:r>
      <w:r w:rsidRPr="00D929F8">
        <w:t xml:space="preserve"> July 2019 the applicant inflicted injuries (a</w:t>
      </w:r>
      <w:r w:rsidRPr="00D929F8" w:rsidR="00DD2EDD">
        <w:t> </w:t>
      </w:r>
      <w:r w:rsidRPr="00D929F8">
        <w:t>hammer blow to the head) on another person, Mr B., causing a skull fracture. He was charged with an offence in that connection.</w:t>
      </w:r>
    </w:p>
    <w:bookmarkStart w:name="facts_intoxication_in_charges" w:id="0"/>
    <w:p w:rsidRPr="00D929F8" w:rsidR="00AA5C7E" w:rsidP="00D929F8" w14:paraId="28B203EF" w14:textId="29A7CCF6">
      <w:pPr>
        <w:pStyle w:val="JuPara"/>
      </w:pPr>
      <w:r w:rsidRPr="00D929F8">
        <w:fldChar w:fldCharType="begin"/>
      </w:r>
      <w:r w:rsidRPr="00D929F8">
        <w:instrText xml:space="preserve"> SEQ level0 \*arabic \* MERGEFORMAT </w:instrText>
      </w:r>
      <w:r w:rsidRPr="00D929F8">
        <w:fldChar w:fldCharType="separate"/>
      </w:r>
      <w:r w:rsidRPr="00D929F8" w:rsidR="00D929F8">
        <w:rPr>
          <w:noProof/>
        </w:rPr>
        <w:t>5</w:t>
      </w:r>
      <w:r w:rsidRPr="00D929F8">
        <w:fldChar w:fldCharType="end"/>
      </w:r>
      <w:bookmarkEnd w:id="0"/>
      <w:r w:rsidRPr="00D929F8">
        <w:t>.  It appears from the charges that both suspected offences had been committed while the applicant was in a state of alcoholic intoxication.</w:t>
      </w:r>
    </w:p>
    <w:p w:rsidRPr="00D929F8" w:rsidR="00AA5C7E" w:rsidP="00D929F8" w14:paraId="504DB3E0" w14:textId="429836D8">
      <w:pPr>
        <w:pStyle w:val="JuHIRoman"/>
      </w:pPr>
      <w:r w:rsidRPr="00D929F8">
        <w:t>The applicant</w:t>
      </w:r>
      <w:r w:rsidRPr="00D929F8" w:rsidR="00D929F8">
        <w:t>’</w:t>
      </w:r>
      <w:r w:rsidRPr="00D929F8">
        <w:t>s detention</w:t>
      </w:r>
    </w:p>
    <w:p w:rsidRPr="00D929F8" w:rsidR="00AA5C7E" w:rsidP="00D929F8" w14:paraId="4FFA803A" w14:textId="24D19F64">
      <w:pPr>
        <w:pStyle w:val="JuPara"/>
      </w:pPr>
      <w:r>
        <w:fldChar w:fldCharType="begin"/>
      </w:r>
      <w:r>
        <w:instrText xml:space="preserve"> SEQ level0 \*arabic \* MERGEFORMAT </w:instrText>
      </w:r>
      <w:r>
        <w:fldChar w:fldCharType="separate"/>
      </w:r>
      <w:bookmarkStart w:name="paragraph00006" w:id="1"/>
      <w:r w:rsidRPr="00D929F8" w:rsidR="00D929F8">
        <w:rPr>
          <w:noProof/>
        </w:rPr>
        <w:t>6</w:t>
      </w:r>
      <w:bookmarkEnd w:id="1"/>
      <w:r>
        <w:fldChar w:fldCharType="end"/>
      </w:r>
      <w:r w:rsidRPr="00D929F8">
        <w:t xml:space="preserve">.  On 8 July 2019 the </w:t>
      </w:r>
      <w:r w:rsidRPr="00D929F8">
        <w:t>Ovidiopol</w:t>
      </w:r>
      <w:r w:rsidRPr="00D929F8">
        <w:t xml:space="preserve"> District Court ordered the applicant</w:t>
      </w:r>
      <w:r w:rsidRPr="00D929F8" w:rsidR="00D929F8">
        <w:t>’</w:t>
      </w:r>
      <w:r w:rsidRPr="00D929F8">
        <w:t>s pre-trial detention in view of</w:t>
      </w:r>
      <w:r w:rsidRPr="00D929F8">
        <w:t>, in particular, the</w:t>
      </w:r>
      <w:r w:rsidRPr="00D929F8">
        <w:t xml:space="preserve"> risk that he might commit new offences (as he was being prosecuted for a new offence analogous to the one already charged), influence the victim, interfere with the investigation or abscond. The applicant was placed in the Odesa pre-trial detention centre (SIZO).</w:t>
      </w:r>
    </w:p>
    <w:bookmarkStart w:name="facts_2019_case_sent_for_trial" w:id="2"/>
    <w:p w:rsidRPr="00D929F8" w:rsidR="00AA5C7E" w:rsidP="00D929F8" w14:paraId="58160178" w14:textId="653B7066">
      <w:pPr>
        <w:pStyle w:val="JuPara"/>
      </w:pPr>
      <w:r w:rsidRPr="00D929F8">
        <w:fldChar w:fldCharType="begin"/>
      </w:r>
      <w:r w:rsidRPr="00D929F8">
        <w:instrText xml:space="preserve"> SEQ level0 \*arabic \* MERGEFORMAT </w:instrText>
      </w:r>
      <w:r w:rsidRPr="00D929F8">
        <w:fldChar w:fldCharType="separate"/>
      </w:r>
      <w:r w:rsidRPr="00D929F8" w:rsidR="00D929F8">
        <w:rPr>
          <w:noProof/>
        </w:rPr>
        <w:t>7</w:t>
      </w:r>
      <w:r w:rsidRPr="00D929F8">
        <w:fldChar w:fldCharType="end"/>
      </w:r>
      <w:bookmarkEnd w:id="2"/>
      <w:r w:rsidRPr="00D929F8">
        <w:t>.  On 30 August 2019 a second criminal case against the applicant was sent for trial and the two criminal cases were joined.</w:t>
      </w:r>
    </w:p>
    <w:bookmarkStart w:name="facts_extension_orders_and_requests" w:id="3"/>
    <w:p w:rsidRPr="00D929F8" w:rsidR="00AA5C7E" w:rsidP="00D929F8" w14:paraId="5F432E9C" w14:textId="10947D18">
      <w:pPr>
        <w:pStyle w:val="JuPara"/>
      </w:pPr>
      <w:r w:rsidRPr="00D929F8">
        <w:fldChar w:fldCharType="begin"/>
      </w:r>
      <w:r w:rsidRPr="00D929F8">
        <w:instrText xml:space="preserve"> SEQ level0 \*arabic \* MERGEFORMAT </w:instrText>
      </w:r>
      <w:r w:rsidRPr="00D929F8">
        <w:fldChar w:fldCharType="separate"/>
      </w:r>
      <w:r w:rsidRPr="00D929F8" w:rsidR="00D929F8">
        <w:rPr>
          <w:noProof/>
        </w:rPr>
        <w:t>8</w:t>
      </w:r>
      <w:r w:rsidRPr="00D929F8">
        <w:fldChar w:fldCharType="end"/>
      </w:r>
      <w:bookmarkEnd w:id="3"/>
      <w:r w:rsidRPr="00D929F8">
        <w:t>.  The prosecutor regularly requested the extension of the applicant</w:t>
      </w:r>
      <w:r w:rsidRPr="00D929F8" w:rsidR="00D929F8">
        <w:t>’</w:t>
      </w:r>
      <w:r w:rsidRPr="00D929F8">
        <w:t xml:space="preserve">s </w:t>
      </w:r>
      <w:r w:rsidRPr="00D929F8">
        <w:t>detention</w:t>
      </w:r>
      <w:r w:rsidRPr="00D929F8">
        <w:t xml:space="preserve"> and the District Court granted those requests and extended the</w:t>
      </w:r>
      <w:r w:rsidRPr="00D929F8" w:rsidR="00DD2EDD">
        <w:t> </w:t>
      </w:r>
      <w:r w:rsidRPr="00D929F8">
        <w:t>applicant</w:t>
      </w:r>
      <w:r w:rsidRPr="00D929F8" w:rsidR="00D929F8">
        <w:t>’</w:t>
      </w:r>
      <w:r w:rsidRPr="00D929F8">
        <w:t>s detention approximately every two months or less.</w:t>
      </w:r>
    </w:p>
    <w:bookmarkStart w:name="facts_prosecutors_application" w:id="4"/>
    <w:p w:rsidRPr="00D929F8" w:rsidR="00AA5C7E" w:rsidP="00D929F8" w14:paraId="2F600498" w14:textId="421E9CBC">
      <w:pPr>
        <w:pStyle w:val="JuPara"/>
      </w:pPr>
      <w:r w:rsidRPr="00D929F8">
        <w:fldChar w:fldCharType="begin"/>
      </w:r>
      <w:r w:rsidRPr="00D929F8">
        <w:instrText xml:space="preserve"> SEQ level0 \*arabic \* MERGEFORMAT </w:instrText>
      </w:r>
      <w:r w:rsidRPr="00D929F8">
        <w:fldChar w:fldCharType="separate"/>
      </w:r>
      <w:r w:rsidRPr="00D929F8" w:rsidR="00D929F8">
        <w:rPr>
          <w:noProof/>
        </w:rPr>
        <w:t>9</w:t>
      </w:r>
      <w:r w:rsidRPr="00D929F8">
        <w:fldChar w:fldCharType="end"/>
      </w:r>
      <w:bookmarkEnd w:id="4"/>
      <w:r w:rsidRPr="00D929F8">
        <w:t>.  For example, in her request for an extension of detention dated 21 May 2020 the prosecutor argued</w:t>
      </w:r>
      <w:r w:rsidRPr="00D929F8">
        <w:t>, in particular, that</w:t>
      </w:r>
      <w:r w:rsidRPr="00D929F8">
        <w:t xml:space="preserve"> detention was necessary because the applicant had no strong social connections, was abusing alcohol and had no regular employment. Moreover, he stood accused of a violent crime committed after being released on house arrest. Given that house arrest was the most severe preventive measure other than pre-trial detention provided for in domestic law and it had failed to prevent the applicant</w:t>
      </w:r>
      <w:r w:rsidRPr="00D929F8" w:rsidR="00D929F8">
        <w:t>’</w:t>
      </w:r>
      <w:r w:rsidRPr="00D929F8">
        <w:t>s reoffending, pre-trial detention was the only suitable measure.</w:t>
      </w:r>
    </w:p>
    <w:bookmarkStart w:name="facts_detention_orders_reasons" w:id="5"/>
    <w:p w:rsidRPr="00D929F8" w:rsidR="00AA5C7E" w:rsidP="00D929F8" w14:paraId="119D009B" w14:textId="0FB360FB">
      <w:pPr>
        <w:pStyle w:val="JuPara"/>
      </w:pPr>
      <w:r w:rsidRPr="00D929F8">
        <w:fldChar w:fldCharType="begin"/>
      </w:r>
      <w:r w:rsidRPr="00D929F8">
        <w:instrText xml:space="preserve"> SEQ level0 \*arabic \* MERGEFORMAT </w:instrText>
      </w:r>
      <w:r w:rsidRPr="00D929F8">
        <w:fldChar w:fldCharType="separate"/>
      </w:r>
      <w:r w:rsidRPr="00D929F8" w:rsidR="00D929F8">
        <w:rPr>
          <w:noProof/>
        </w:rPr>
        <w:t>10</w:t>
      </w:r>
      <w:r w:rsidRPr="00D929F8">
        <w:fldChar w:fldCharType="end"/>
      </w:r>
      <w:bookmarkEnd w:id="5"/>
      <w:r w:rsidRPr="00D929F8">
        <w:t>.  In the detention extension orders the District Court granted the</w:t>
      </w:r>
      <w:r w:rsidRPr="00D929F8" w:rsidR="00DD2EDD">
        <w:t> </w:t>
      </w:r>
      <w:r w:rsidRPr="00D929F8">
        <w:t>prosecutors</w:t>
      </w:r>
      <w:r w:rsidRPr="00D929F8" w:rsidR="00D929F8">
        <w:t>’</w:t>
      </w:r>
      <w:r w:rsidRPr="00D929F8">
        <w:t xml:space="preserve"> requests and stated that, despite the applicant being in detention for a considerable time, his continued detention was justified by the</w:t>
      </w:r>
      <w:r w:rsidRPr="00D929F8" w:rsidR="00DD2EDD">
        <w:t> </w:t>
      </w:r>
      <w:r w:rsidRPr="00D929F8">
        <w:t xml:space="preserve">public interest in preventing him from committing violent actions against </w:t>
      </w:r>
      <w:r w:rsidRPr="00D929F8">
        <w:t>others and absconding. They cited</w:t>
      </w:r>
      <w:r w:rsidRPr="00D929F8">
        <w:t>, in particular, the</w:t>
      </w:r>
      <w:r w:rsidRPr="00D929F8">
        <w:t xml:space="preserve"> applicant</w:t>
      </w:r>
      <w:r w:rsidRPr="00D929F8" w:rsidR="00D929F8">
        <w:t>’</w:t>
      </w:r>
      <w:r w:rsidRPr="00D929F8">
        <w:t>s lack of employment and social ties and the fact that he had previously already been charged with a grave violent offence which meant that the public interest in protecting third parties from violent acts outweighed the rule of respect for individual liberty.</w:t>
      </w:r>
    </w:p>
    <w:bookmarkStart w:name="appeals" w:id="6"/>
    <w:p w:rsidRPr="00D929F8" w:rsidR="00AA5C7E" w:rsidP="00D929F8" w14:paraId="4F2CF56D" w14:textId="03397E92">
      <w:pPr>
        <w:pStyle w:val="JuPara"/>
      </w:pPr>
      <w:r w:rsidRPr="00D929F8">
        <w:fldChar w:fldCharType="begin"/>
      </w:r>
      <w:r w:rsidRPr="00D929F8">
        <w:instrText xml:space="preserve"> SEQ level0 \*arabic \* MERGEFORMAT </w:instrText>
      </w:r>
      <w:r w:rsidRPr="00D929F8">
        <w:fldChar w:fldCharType="separate"/>
      </w:r>
      <w:r w:rsidRPr="00D929F8" w:rsidR="00D929F8">
        <w:rPr>
          <w:noProof/>
        </w:rPr>
        <w:t>11</w:t>
      </w:r>
      <w:r w:rsidRPr="00D929F8">
        <w:fldChar w:fldCharType="end"/>
      </w:r>
      <w:bookmarkEnd w:id="6"/>
      <w:r w:rsidRPr="00D929F8">
        <w:t>.  The applicant appealed against certain detention orders. His appeals were lodged and examined on the following dates:</w:t>
      </w:r>
    </w:p>
    <w:tbl>
      <w:tblPr>
        <w:tblStyle w:val="TableGrid"/>
        <w:tblW w:w="0" w:type="auto"/>
        <w:tblLook w:val="04A0"/>
      </w:tblPr>
      <w:tblGrid>
        <w:gridCol w:w="1965"/>
        <w:gridCol w:w="1937"/>
        <w:gridCol w:w="1503"/>
        <w:gridCol w:w="1943"/>
      </w:tblGrid>
      <w:tr w:rsidTr="00EE7243" w14:paraId="28F61C49" w14:textId="77777777">
        <w:tblPrEx>
          <w:tblW w:w="0" w:type="auto"/>
          <w:tblLook w:val="04A0"/>
        </w:tblPrEx>
        <w:tc>
          <w:tcPr>
            <w:tcW w:w="1965" w:type="dxa"/>
          </w:tcPr>
          <w:p w:rsidRPr="00D929F8" w:rsidR="00AA5C7E" w:rsidP="00D929F8" w14:paraId="0AD03C81" w14:textId="77777777">
            <w:pPr>
              <w:pStyle w:val="JuPara"/>
              <w:ind w:firstLine="0"/>
              <w:jc w:val="center"/>
              <w:rPr>
                <w:b/>
                <w:bCs/>
                <w:sz w:val="22"/>
                <w:szCs w:val="22"/>
              </w:rPr>
            </w:pPr>
            <w:r w:rsidRPr="00D929F8">
              <w:rPr>
                <w:b/>
                <w:bCs/>
                <w:sz w:val="22"/>
                <w:szCs w:val="22"/>
              </w:rPr>
              <w:t>Detention order</w:t>
            </w:r>
          </w:p>
        </w:tc>
        <w:tc>
          <w:tcPr>
            <w:tcW w:w="1937" w:type="dxa"/>
          </w:tcPr>
          <w:p w:rsidRPr="00D929F8" w:rsidR="00AA5C7E" w:rsidP="00D929F8" w14:paraId="71ADD589" w14:textId="77777777">
            <w:pPr>
              <w:pStyle w:val="JuPara"/>
              <w:ind w:firstLine="0"/>
              <w:jc w:val="center"/>
              <w:rPr>
                <w:b/>
                <w:bCs/>
                <w:sz w:val="22"/>
                <w:szCs w:val="22"/>
              </w:rPr>
            </w:pPr>
            <w:r w:rsidRPr="00D929F8">
              <w:rPr>
                <w:b/>
                <w:bCs/>
                <w:sz w:val="22"/>
                <w:szCs w:val="22"/>
              </w:rPr>
              <w:t>Appeal lodged</w:t>
            </w:r>
          </w:p>
        </w:tc>
        <w:tc>
          <w:tcPr>
            <w:tcW w:w="1503" w:type="dxa"/>
          </w:tcPr>
          <w:p w:rsidRPr="00D929F8" w:rsidR="00AA5C7E" w:rsidP="00D929F8" w14:paraId="34E5DD36" w14:textId="77777777">
            <w:pPr>
              <w:pStyle w:val="JuPara"/>
              <w:ind w:firstLine="0"/>
              <w:jc w:val="center"/>
              <w:rPr>
                <w:b/>
                <w:bCs/>
                <w:sz w:val="22"/>
                <w:szCs w:val="22"/>
              </w:rPr>
            </w:pPr>
            <w:r w:rsidRPr="00D929F8">
              <w:rPr>
                <w:b/>
                <w:bCs/>
                <w:sz w:val="22"/>
                <w:szCs w:val="22"/>
              </w:rPr>
              <w:t>Order expired</w:t>
            </w:r>
          </w:p>
        </w:tc>
        <w:tc>
          <w:tcPr>
            <w:tcW w:w="1943" w:type="dxa"/>
          </w:tcPr>
          <w:p w:rsidRPr="00D929F8" w:rsidR="00AA5C7E" w:rsidP="00D929F8" w14:paraId="71641E95" w14:textId="77777777">
            <w:pPr>
              <w:pStyle w:val="JuPara"/>
              <w:ind w:firstLine="0"/>
              <w:jc w:val="center"/>
              <w:rPr>
                <w:b/>
                <w:bCs/>
                <w:sz w:val="22"/>
                <w:szCs w:val="22"/>
              </w:rPr>
            </w:pPr>
            <w:r w:rsidRPr="00D929F8">
              <w:rPr>
                <w:b/>
                <w:bCs/>
                <w:sz w:val="22"/>
                <w:szCs w:val="22"/>
              </w:rPr>
              <w:t>Appeal examined</w:t>
            </w:r>
          </w:p>
        </w:tc>
      </w:tr>
      <w:tr w:rsidTr="00EE7243" w14:paraId="7BFF42F3" w14:textId="77777777">
        <w:tblPrEx>
          <w:tblW w:w="0" w:type="auto"/>
          <w:tblLook w:val="04A0"/>
        </w:tblPrEx>
        <w:tc>
          <w:tcPr>
            <w:tcW w:w="1965" w:type="dxa"/>
          </w:tcPr>
          <w:p w:rsidRPr="00D929F8" w:rsidR="00AA5C7E" w:rsidP="00D929F8" w14:paraId="04A7F490" w14:textId="77777777">
            <w:pPr>
              <w:pStyle w:val="JuPara"/>
              <w:rPr>
                <w:sz w:val="22"/>
                <w:szCs w:val="22"/>
              </w:rPr>
            </w:pPr>
            <w:r w:rsidRPr="00D929F8">
              <w:rPr>
                <w:sz w:val="22"/>
                <w:szCs w:val="22"/>
              </w:rPr>
              <w:t>17/07/2020</w:t>
            </w:r>
          </w:p>
        </w:tc>
        <w:tc>
          <w:tcPr>
            <w:tcW w:w="1937" w:type="dxa"/>
          </w:tcPr>
          <w:p w:rsidRPr="00D929F8" w:rsidR="00AA5C7E" w:rsidP="00D929F8" w14:paraId="3A5DFC33" w14:textId="77777777">
            <w:pPr>
              <w:pStyle w:val="JuPara"/>
              <w:rPr>
                <w:sz w:val="22"/>
                <w:szCs w:val="22"/>
              </w:rPr>
            </w:pPr>
            <w:r w:rsidRPr="00D929F8">
              <w:rPr>
                <w:sz w:val="22"/>
                <w:szCs w:val="22"/>
              </w:rPr>
              <w:t>22/07/2020</w:t>
            </w:r>
          </w:p>
        </w:tc>
        <w:tc>
          <w:tcPr>
            <w:tcW w:w="1503" w:type="dxa"/>
          </w:tcPr>
          <w:p w:rsidRPr="00D929F8" w:rsidR="00AA5C7E" w:rsidP="00D929F8" w14:paraId="42A0F9BC" w14:textId="77777777">
            <w:pPr>
              <w:pStyle w:val="JuPara"/>
              <w:rPr>
                <w:sz w:val="22"/>
                <w:szCs w:val="22"/>
              </w:rPr>
            </w:pPr>
            <w:r w:rsidRPr="00D929F8">
              <w:rPr>
                <w:sz w:val="22"/>
                <w:szCs w:val="22"/>
              </w:rPr>
              <w:t>07/09/2020</w:t>
            </w:r>
          </w:p>
        </w:tc>
        <w:tc>
          <w:tcPr>
            <w:tcW w:w="1943" w:type="dxa"/>
          </w:tcPr>
          <w:p w:rsidRPr="00D929F8" w:rsidR="00AA5C7E" w:rsidP="00D929F8" w14:paraId="34996688" w14:textId="77777777">
            <w:pPr>
              <w:pStyle w:val="JuPara"/>
              <w:rPr>
                <w:sz w:val="22"/>
                <w:szCs w:val="22"/>
              </w:rPr>
            </w:pPr>
            <w:r w:rsidRPr="00D929F8">
              <w:rPr>
                <w:sz w:val="22"/>
                <w:szCs w:val="22"/>
              </w:rPr>
              <w:t>10/09/2020</w:t>
            </w:r>
          </w:p>
        </w:tc>
      </w:tr>
      <w:tr w:rsidTr="00EE7243" w14:paraId="61ECB29B" w14:textId="77777777">
        <w:tblPrEx>
          <w:tblW w:w="0" w:type="auto"/>
          <w:tblLook w:val="04A0"/>
        </w:tblPrEx>
        <w:trPr>
          <w:trHeight w:val="62"/>
        </w:trPr>
        <w:tc>
          <w:tcPr>
            <w:tcW w:w="1965" w:type="dxa"/>
          </w:tcPr>
          <w:p w:rsidRPr="00D929F8" w:rsidR="00AA5C7E" w:rsidP="00D929F8" w14:paraId="0AB8526D" w14:textId="77777777">
            <w:pPr>
              <w:pStyle w:val="JuPara"/>
              <w:rPr>
                <w:sz w:val="22"/>
                <w:szCs w:val="22"/>
              </w:rPr>
            </w:pPr>
            <w:r w:rsidRPr="00D929F8">
              <w:rPr>
                <w:sz w:val="22"/>
                <w:szCs w:val="22"/>
              </w:rPr>
              <w:t>07/09/2020</w:t>
            </w:r>
          </w:p>
          <w:p w:rsidRPr="00D929F8" w:rsidR="00AA5C7E" w:rsidP="00D929F8" w14:paraId="5C3ED3AC" w14:textId="77777777">
            <w:pPr>
              <w:pStyle w:val="JuPara"/>
              <w:rPr>
                <w:sz w:val="22"/>
                <w:szCs w:val="22"/>
              </w:rPr>
            </w:pPr>
          </w:p>
        </w:tc>
        <w:tc>
          <w:tcPr>
            <w:tcW w:w="1937" w:type="dxa"/>
          </w:tcPr>
          <w:p w:rsidRPr="00D929F8" w:rsidR="00AA5C7E" w:rsidP="00D929F8" w14:paraId="714B5089" w14:textId="77777777">
            <w:pPr>
              <w:pStyle w:val="JuPara"/>
              <w:rPr>
                <w:sz w:val="22"/>
                <w:szCs w:val="22"/>
              </w:rPr>
            </w:pPr>
            <w:r w:rsidRPr="00D929F8">
              <w:rPr>
                <w:sz w:val="22"/>
                <w:szCs w:val="22"/>
              </w:rPr>
              <w:t>15/09/2020</w:t>
            </w:r>
          </w:p>
          <w:p w:rsidRPr="00D929F8" w:rsidR="00AA5C7E" w:rsidP="00D929F8" w14:paraId="715D9CEA" w14:textId="77777777">
            <w:pPr>
              <w:pStyle w:val="JuPara"/>
              <w:rPr>
                <w:sz w:val="22"/>
                <w:szCs w:val="22"/>
              </w:rPr>
            </w:pPr>
          </w:p>
        </w:tc>
        <w:tc>
          <w:tcPr>
            <w:tcW w:w="1503" w:type="dxa"/>
          </w:tcPr>
          <w:p w:rsidRPr="00D929F8" w:rsidR="00AA5C7E" w:rsidP="00D929F8" w14:paraId="2F59B4AB" w14:textId="77777777">
            <w:pPr>
              <w:pStyle w:val="JuPara"/>
              <w:rPr>
                <w:sz w:val="22"/>
                <w:szCs w:val="22"/>
              </w:rPr>
            </w:pPr>
            <w:r w:rsidRPr="00D929F8">
              <w:rPr>
                <w:sz w:val="22"/>
                <w:szCs w:val="22"/>
              </w:rPr>
              <w:t>04/11/2020</w:t>
            </w:r>
          </w:p>
        </w:tc>
        <w:tc>
          <w:tcPr>
            <w:tcW w:w="1943" w:type="dxa"/>
          </w:tcPr>
          <w:p w:rsidRPr="00D929F8" w:rsidR="00AA5C7E" w:rsidP="00D929F8" w14:paraId="1F74E11C" w14:textId="77777777">
            <w:pPr>
              <w:pStyle w:val="JuPara"/>
              <w:rPr>
                <w:sz w:val="22"/>
                <w:szCs w:val="22"/>
              </w:rPr>
            </w:pPr>
            <w:r w:rsidRPr="00D929F8">
              <w:rPr>
                <w:sz w:val="22"/>
                <w:szCs w:val="22"/>
              </w:rPr>
              <w:t>18/11/2020</w:t>
            </w:r>
          </w:p>
        </w:tc>
      </w:tr>
      <w:tr w:rsidTr="00EE7243" w14:paraId="3CCA1BC2" w14:textId="77777777">
        <w:tblPrEx>
          <w:tblW w:w="0" w:type="auto"/>
          <w:tblLook w:val="04A0"/>
        </w:tblPrEx>
        <w:tc>
          <w:tcPr>
            <w:tcW w:w="1965" w:type="dxa"/>
          </w:tcPr>
          <w:p w:rsidRPr="00D929F8" w:rsidR="00AA5C7E" w:rsidP="00D929F8" w14:paraId="508CD06E" w14:textId="77777777">
            <w:pPr>
              <w:pStyle w:val="JuPara"/>
              <w:rPr>
                <w:sz w:val="22"/>
                <w:szCs w:val="22"/>
              </w:rPr>
            </w:pPr>
            <w:r w:rsidRPr="00D929F8">
              <w:rPr>
                <w:sz w:val="22"/>
                <w:szCs w:val="22"/>
              </w:rPr>
              <w:t>27/11/2020</w:t>
            </w:r>
          </w:p>
        </w:tc>
        <w:tc>
          <w:tcPr>
            <w:tcW w:w="1937" w:type="dxa"/>
          </w:tcPr>
          <w:p w:rsidRPr="00D929F8" w:rsidR="00AA5C7E" w:rsidP="00D929F8" w14:paraId="4524E9EC" w14:textId="77777777">
            <w:pPr>
              <w:pStyle w:val="JuPara"/>
              <w:rPr>
                <w:sz w:val="22"/>
                <w:szCs w:val="22"/>
              </w:rPr>
            </w:pPr>
            <w:r w:rsidRPr="00D929F8">
              <w:rPr>
                <w:sz w:val="22"/>
                <w:szCs w:val="22"/>
              </w:rPr>
              <w:t>27/11/2020</w:t>
            </w:r>
          </w:p>
        </w:tc>
        <w:tc>
          <w:tcPr>
            <w:tcW w:w="1503" w:type="dxa"/>
          </w:tcPr>
          <w:p w:rsidRPr="00D929F8" w:rsidR="00AA5C7E" w:rsidP="00D929F8" w14:paraId="342ED408" w14:textId="77777777">
            <w:pPr>
              <w:pStyle w:val="JuPara"/>
              <w:rPr>
                <w:sz w:val="22"/>
                <w:szCs w:val="22"/>
              </w:rPr>
            </w:pPr>
            <w:r w:rsidRPr="00D929F8">
              <w:rPr>
                <w:sz w:val="22"/>
                <w:szCs w:val="22"/>
              </w:rPr>
              <w:t>14/01/2021</w:t>
            </w:r>
          </w:p>
        </w:tc>
        <w:tc>
          <w:tcPr>
            <w:tcW w:w="1943" w:type="dxa"/>
          </w:tcPr>
          <w:p w:rsidRPr="00D929F8" w:rsidR="00AA5C7E" w:rsidP="00D929F8" w14:paraId="038913D2" w14:textId="77777777">
            <w:pPr>
              <w:pStyle w:val="JuPara"/>
              <w:rPr>
                <w:sz w:val="22"/>
                <w:szCs w:val="22"/>
              </w:rPr>
            </w:pPr>
            <w:r w:rsidRPr="00D929F8">
              <w:rPr>
                <w:sz w:val="22"/>
                <w:szCs w:val="22"/>
              </w:rPr>
              <w:t>13/01/2021</w:t>
            </w:r>
          </w:p>
        </w:tc>
      </w:tr>
    </w:tbl>
    <w:bookmarkStart w:name="facts_2020_Court_of_Appeal" w:id="7"/>
    <w:p w:rsidRPr="00D929F8" w:rsidR="00AA5C7E" w:rsidP="00D929F8" w14:paraId="3097AB5B" w14:textId="3B2BB998">
      <w:pPr>
        <w:pStyle w:val="JuPara"/>
      </w:pPr>
      <w:r w:rsidRPr="00D929F8">
        <w:fldChar w:fldCharType="begin"/>
      </w:r>
      <w:r w:rsidRPr="00D929F8">
        <w:instrText xml:space="preserve"> SEQ level0 \*arabic \* MERGEFORMAT </w:instrText>
      </w:r>
      <w:r w:rsidRPr="00D929F8">
        <w:fldChar w:fldCharType="separate"/>
      </w:r>
      <w:r w:rsidRPr="00D929F8" w:rsidR="00D929F8">
        <w:rPr>
          <w:noProof/>
        </w:rPr>
        <w:t>12</w:t>
      </w:r>
      <w:r w:rsidRPr="00D929F8">
        <w:fldChar w:fldCharType="end"/>
      </w:r>
      <w:bookmarkEnd w:id="7"/>
      <w:r w:rsidRPr="00D929F8">
        <w:t xml:space="preserve">.  In upholding the detention order of </w:t>
      </w:r>
      <w:r w:rsidRPr="00D929F8">
        <w:t>7 September 2020</w:t>
      </w:r>
      <w:r w:rsidRPr="00D929F8">
        <w:t xml:space="preserve"> the Odesa Court of Appeal stated in particular that the applicant was facing a considerable prison sentence in relation to the charges, noting the prosecutor</w:t>
      </w:r>
      <w:r w:rsidRPr="00D929F8" w:rsidR="00D929F8">
        <w:t>’</w:t>
      </w:r>
      <w:r w:rsidRPr="00D929F8">
        <w:t>s argument that a less severe preventive measure would not be effective. It also noted that there was a risk that witnesses might be influenced since they had not yet been examined during the trial. The Court of Appeal acknowledged the</w:t>
      </w:r>
      <w:r w:rsidRPr="00D929F8" w:rsidR="0071191D">
        <w:t> </w:t>
      </w:r>
      <w:r w:rsidRPr="00D929F8">
        <w:t>applicant</w:t>
      </w:r>
      <w:r w:rsidRPr="00D929F8" w:rsidR="00D929F8">
        <w:t>’</w:t>
      </w:r>
      <w:r w:rsidRPr="00D929F8">
        <w:t>s disability but stated that the case-file material showed that that disability had not prevented him from using force on the victims.</w:t>
      </w:r>
    </w:p>
    <w:bookmarkStart w:name="facts_2020_Court_of_Appeal_2" w:id="8"/>
    <w:p w:rsidRPr="00D929F8" w:rsidR="00AA5C7E" w:rsidP="00D929F8" w14:paraId="45959FA5" w14:textId="53AFAD2D">
      <w:pPr>
        <w:pStyle w:val="JuPara"/>
      </w:pPr>
      <w:r w:rsidRPr="00D929F8">
        <w:fldChar w:fldCharType="begin"/>
      </w:r>
      <w:r w:rsidRPr="00D929F8">
        <w:instrText xml:space="preserve"> SEQ level0 \*arabic \* MERGEFORMAT </w:instrText>
      </w:r>
      <w:r w:rsidRPr="00D929F8">
        <w:fldChar w:fldCharType="separate"/>
      </w:r>
      <w:r w:rsidRPr="00D929F8" w:rsidR="00D929F8">
        <w:rPr>
          <w:noProof/>
        </w:rPr>
        <w:t>13</w:t>
      </w:r>
      <w:r w:rsidRPr="00D929F8">
        <w:fldChar w:fldCharType="end"/>
      </w:r>
      <w:bookmarkEnd w:id="8"/>
      <w:r w:rsidRPr="00D929F8">
        <w:t>.  In its subsequent decisions of 18 November 2020 and 13 January 2021, and also of 3 March and 22 April 2021, the Court of Appeal reiterated the same risks: the applicant had been accused of two violent crimes carrying a considerable sentence, the witnesses had not been questioned and could be influenced, the applicant</w:t>
      </w:r>
      <w:r w:rsidRPr="00D929F8" w:rsidR="00D929F8">
        <w:t>’</w:t>
      </w:r>
      <w:r w:rsidRPr="00D929F8">
        <w:t>s request to be released under house arrest was not substantiated since had proven unable to prevent reoffending. The court found unsubstantiated and rejected the applicant</w:t>
      </w:r>
      <w:r w:rsidRPr="00D929F8" w:rsidR="00D929F8">
        <w:t>’</w:t>
      </w:r>
      <w:r w:rsidRPr="00D929F8">
        <w:t>s allegations that he was caring for his minor son, that he was employed or that he could not be kept in detention because of his state of health.</w:t>
      </w:r>
    </w:p>
    <w:bookmarkStart w:name="facts_house_arrest_2021" w:id="9"/>
    <w:p w:rsidRPr="00D929F8" w:rsidR="00AA5C7E" w:rsidP="00D929F8" w14:paraId="181A51C3" w14:textId="54FCA983">
      <w:pPr>
        <w:pStyle w:val="JuPara"/>
      </w:pPr>
      <w:r w:rsidRPr="00D929F8">
        <w:fldChar w:fldCharType="begin"/>
      </w:r>
      <w:r w:rsidRPr="00D929F8">
        <w:instrText xml:space="preserve"> SEQ level0 \*arabic \* MERGEFORMAT </w:instrText>
      </w:r>
      <w:r w:rsidRPr="00D929F8">
        <w:fldChar w:fldCharType="separate"/>
      </w:r>
      <w:r w:rsidRPr="00D929F8" w:rsidR="00D929F8">
        <w:rPr>
          <w:noProof/>
        </w:rPr>
        <w:t>14</w:t>
      </w:r>
      <w:r w:rsidRPr="00D929F8">
        <w:fldChar w:fldCharType="end"/>
      </w:r>
      <w:bookmarkEnd w:id="9"/>
      <w:r w:rsidRPr="00D929F8">
        <w:t>.  On 12 August 2021 the Odesa Court of Appeal ordered the applicant</w:t>
      </w:r>
      <w:r w:rsidRPr="00D929F8" w:rsidR="00D929F8">
        <w:t>’</w:t>
      </w:r>
      <w:r w:rsidRPr="00D929F8">
        <w:t>s release and placement under twenty-four-hour house arrest.</w:t>
      </w:r>
    </w:p>
    <w:p w:rsidRPr="00D929F8" w:rsidR="00AA5C7E" w:rsidP="00D929F8" w14:paraId="44BF70FE" w14:textId="253FEBE1">
      <w:pPr>
        <w:pStyle w:val="JuHIRoman"/>
      </w:pPr>
      <w:r w:rsidRPr="00D929F8">
        <w:t>The applicant</w:t>
      </w:r>
      <w:r w:rsidRPr="00D929F8" w:rsidR="00D929F8">
        <w:t>’</w:t>
      </w:r>
      <w:r w:rsidRPr="00D929F8">
        <w:t>s health</w:t>
      </w:r>
    </w:p>
    <w:bookmarkStart w:name="facts_2018_November_ophtalmo" w:id="10"/>
    <w:p w:rsidRPr="00D929F8" w:rsidR="00AA5C7E" w:rsidP="00D929F8" w14:paraId="7F5EA13A" w14:textId="6BFB113A">
      <w:pPr>
        <w:pStyle w:val="JuPara"/>
      </w:pPr>
      <w:r w:rsidRPr="00D929F8">
        <w:fldChar w:fldCharType="begin"/>
      </w:r>
      <w:r w:rsidRPr="00D929F8">
        <w:instrText xml:space="preserve"> SEQ level0 \*arabic \* MERGEFORMAT </w:instrText>
      </w:r>
      <w:r w:rsidRPr="00D929F8">
        <w:fldChar w:fldCharType="separate"/>
      </w:r>
      <w:r w:rsidRPr="00D929F8" w:rsidR="00D929F8">
        <w:rPr>
          <w:noProof/>
        </w:rPr>
        <w:t>15</w:t>
      </w:r>
      <w:r w:rsidRPr="00D929F8">
        <w:fldChar w:fldCharType="end"/>
      </w:r>
      <w:bookmarkEnd w:id="10"/>
      <w:r w:rsidRPr="00D929F8">
        <w:t>.  The applicant had a consultation with an ophthalmologist in November 2018 (while he was not in detention). According to the records, at that time he had 30% vision in the right eye and 35% in the left eye.</w:t>
      </w:r>
    </w:p>
    <w:bookmarkStart w:name="facts_delirium" w:id="11"/>
    <w:p w:rsidRPr="00D929F8" w:rsidR="00AA5C7E" w:rsidP="00D929F8" w14:paraId="6C5C2FEB" w14:textId="63D56BAF">
      <w:pPr>
        <w:pStyle w:val="JuPara"/>
      </w:pPr>
      <w:r w:rsidRPr="00D929F8">
        <w:fldChar w:fldCharType="begin"/>
      </w:r>
      <w:r w:rsidRPr="00D929F8">
        <w:instrText xml:space="preserve"> SEQ level0 \*arabic \* MERGEFORMAT </w:instrText>
      </w:r>
      <w:r w:rsidRPr="00D929F8">
        <w:fldChar w:fldCharType="separate"/>
      </w:r>
      <w:r w:rsidRPr="00D929F8" w:rsidR="00D929F8">
        <w:rPr>
          <w:noProof/>
        </w:rPr>
        <w:t>16</w:t>
      </w:r>
      <w:r w:rsidRPr="00D929F8">
        <w:fldChar w:fldCharType="end"/>
      </w:r>
      <w:bookmarkEnd w:id="11"/>
      <w:r w:rsidRPr="00D929F8">
        <w:t xml:space="preserve">.  In July 2019 the applicant underwent </w:t>
      </w:r>
      <w:r w:rsidRPr="00D929F8">
        <w:t>a number of</w:t>
      </w:r>
      <w:r w:rsidRPr="00D929F8">
        <w:t xml:space="preserve"> psychiatric examinations in prison. He was diagnosed with a psychotic disorder caused by alcohol and alcoholic delirium.</w:t>
      </w:r>
    </w:p>
    <w:bookmarkStart w:name="facts_2020_May_ophtalmo" w:id="12"/>
    <w:p w:rsidRPr="00D929F8" w:rsidR="00AA5C7E" w:rsidP="00D929F8" w14:paraId="27A74255" w14:textId="28FD328B">
      <w:pPr>
        <w:pStyle w:val="JuPara"/>
      </w:pPr>
      <w:r w:rsidRPr="00D929F8">
        <w:fldChar w:fldCharType="begin"/>
      </w:r>
      <w:r w:rsidRPr="00D929F8">
        <w:instrText xml:space="preserve"> SEQ level0 \*arabic \* MERGEFORMAT </w:instrText>
      </w:r>
      <w:r w:rsidRPr="00D929F8">
        <w:fldChar w:fldCharType="separate"/>
      </w:r>
      <w:r w:rsidRPr="00D929F8" w:rsidR="00D929F8">
        <w:rPr>
          <w:noProof/>
        </w:rPr>
        <w:t>17</w:t>
      </w:r>
      <w:r w:rsidRPr="00D929F8">
        <w:fldChar w:fldCharType="end"/>
      </w:r>
      <w:bookmarkEnd w:id="12"/>
      <w:r w:rsidRPr="00D929F8">
        <w:t>.  On 12 May 2020 the applicant was examined by the ophthalmologist of the prison</w:t>
      </w:r>
      <w:r w:rsidRPr="00D929F8" w:rsidR="00D929F8">
        <w:t>’</w:t>
      </w:r>
      <w:r w:rsidRPr="00D929F8">
        <w:t>s medical unit, who diagnosed him with aggravation of RP. It was recommended that the applicant “undergo annual preventive treatment.”</w:t>
      </w:r>
    </w:p>
    <w:p w:rsidRPr="00D929F8" w:rsidR="00AA5C7E" w:rsidP="00D929F8" w14:paraId="56A88960" w14:textId="5E62099F">
      <w:pPr>
        <w:pStyle w:val="JuPara"/>
      </w:pPr>
      <w:r>
        <w:fldChar w:fldCharType="begin"/>
      </w:r>
      <w:r>
        <w:instrText xml:space="preserve"> SEQ level0 \*arabic \* MERGEFORMAT </w:instrText>
      </w:r>
      <w:r>
        <w:fldChar w:fldCharType="separate"/>
      </w:r>
      <w:r w:rsidRPr="00D929F8" w:rsidR="00D929F8">
        <w:rPr>
          <w:noProof/>
        </w:rPr>
        <w:t>18</w:t>
      </w:r>
      <w:r w:rsidRPr="00D929F8" w:rsidR="00D929F8">
        <w:rPr>
          <w:noProof/>
        </w:rPr>
        <w:fldChar w:fldCharType="end"/>
      </w:r>
      <w:r w:rsidRPr="00D929F8">
        <w:t>.  On 23 November 2020 the applicant was examined by the chief of the</w:t>
      </w:r>
      <w:r w:rsidRPr="00D929F8" w:rsidR="0071191D">
        <w:t> </w:t>
      </w:r>
      <w:r w:rsidRPr="00D929F8">
        <w:t>prison</w:t>
      </w:r>
      <w:r w:rsidRPr="00D929F8" w:rsidR="00D929F8">
        <w:t>’</w:t>
      </w:r>
      <w:r w:rsidRPr="00D929F8">
        <w:t>s medical unit. He complained of a sharp decrease in vision. It was recommended that the applicant be examined by an ophthalmologist.</w:t>
      </w:r>
    </w:p>
    <w:p w:rsidRPr="00D929F8" w:rsidR="00AA5C7E" w:rsidP="00D929F8" w14:paraId="1AAB0131" w14:textId="1AE3D24A">
      <w:pPr>
        <w:pStyle w:val="JuPara"/>
      </w:pPr>
      <w:r>
        <w:fldChar w:fldCharType="begin"/>
      </w:r>
      <w:r>
        <w:instrText xml:space="preserve"> SEQ level0 \*arabic \* MERGEFORMAT </w:instrText>
      </w:r>
      <w:r>
        <w:fldChar w:fldCharType="separate"/>
      </w:r>
      <w:r w:rsidRPr="00D929F8" w:rsidR="00D929F8">
        <w:rPr>
          <w:noProof/>
        </w:rPr>
        <w:t>19</w:t>
      </w:r>
      <w:r w:rsidRPr="00D929F8" w:rsidR="00D929F8">
        <w:rPr>
          <w:noProof/>
        </w:rPr>
        <w:fldChar w:fldCharType="end"/>
      </w:r>
      <w:r w:rsidRPr="00D929F8">
        <w:t>.  On 26 November 2020 the Filatov Institute, in reply to a request submitted by the prison, stated that it stood ready to examine the applicant at any time.</w:t>
      </w:r>
    </w:p>
    <w:p w:rsidRPr="00D929F8" w:rsidR="00AA5C7E" w:rsidP="00D929F8" w14:paraId="2D597C0F" w14:textId="20911845">
      <w:pPr>
        <w:pStyle w:val="JuPara"/>
      </w:pPr>
      <w:r>
        <w:fldChar w:fldCharType="begin"/>
      </w:r>
      <w:r>
        <w:instrText xml:space="preserve"> SEQ level0 \*arabic \* MERGEFORMAT </w:instrText>
      </w:r>
      <w:r>
        <w:fldChar w:fldCharType="separate"/>
      </w:r>
      <w:r w:rsidRPr="00D929F8" w:rsidR="00D929F8">
        <w:rPr>
          <w:noProof/>
        </w:rPr>
        <w:t>20</w:t>
      </w:r>
      <w:r w:rsidRPr="00D929F8" w:rsidR="00D929F8">
        <w:rPr>
          <w:noProof/>
        </w:rPr>
        <w:fldChar w:fldCharType="end"/>
      </w:r>
      <w:r w:rsidRPr="00D929F8">
        <w:t>.  On 8 January 2021 the applicant submitted a request for interim measures under Rule 39. The Court, after requesting from the Government information on the applicant</w:t>
      </w:r>
      <w:r w:rsidRPr="00D929F8" w:rsidR="00D929F8">
        <w:t>’</w:t>
      </w:r>
      <w:r w:rsidRPr="00D929F8">
        <w:t>s health and the medical care he was receiving, on 21 April 2021 decided not to indicate interim measures.</w:t>
      </w:r>
    </w:p>
    <w:bookmarkStart w:name="facts_2021_January_Filatov_exam" w:id="13"/>
    <w:p w:rsidRPr="00D929F8" w:rsidR="00AA5C7E" w:rsidP="00D929F8" w14:paraId="5CF91B52" w14:textId="76B71F21">
      <w:pPr>
        <w:pStyle w:val="JuPara"/>
      </w:pPr>
      <w:r w:rsidRPr="00D929F8">
        <w:fldChar w:fldCharType="begin"/>
      </w:r>
      <w:r w:rsidRPr="00D929F8">
        <w:instrText xml:space="preserve"> SEQ level0 \*arabic \* MERGEFORMAT </w:instrText>
      </w:r>
      <w:r w:rsidRPr="00D929F8">
        <w:fldChar w:fldCharType="separate"/>
      </w:r>
      <w:r w:rsidRPr="00D929F8" w:rsidR="00D929F8">
        <w:rPr>
          <w:noProof/>
        </w:rPr>
        <w:t>21</w:t>
      </w:r>
      <w:r w:rsidRPr="00D929F8">
        <w:fldChar w:fldCharType="end"/>
      </w:r>
      <w:bookmarkEnd w:id="13"/>
      <w:r w:rsidRPr="00D929F8">
        <w:t>.  On 27 January 2021 the applicant was examined by a doctor of the</w:t>
      </w:r>
      <w:r w:rsidRPr="00D929F8" w:rsidR="0071191D">
        <w:t> </w:t>
      </w:r>
      <w:r w:rsidRPr="00D929F8">
        <w:t>Filatov Institute, who confirmed his diagnosis of RP, found no visual acuity in the right eye and uncertain light perception (</w:t>
      </w:r>
      <w:r w:rsidRPr="00D929F8">
        <w:rPr>
          <w:i/>
          <w:iCs/>
        </w:rPr>
        <w:t>perceptio</w:t>
      </w:r>
      <w:r w:rsidRPr="00D929F8">
        <w:rPr>
          <w:i/>
          <w:iCs/>
        </w:rPr>
        <w:t xml:space="preserve"> et </w:t>
      </w:r>
      <w:r w:rsidRPr="00D929F8">
        <w:rPr>
          <w:i/>
          <w:iCs/>
        </w:rPr>
        <w:t>proectio</w:t>
      </w:r>
      <w:r w:rsidRPr="00D929F8">
        <w:rPr>
          <w:i/>
          <w:iCs/>
        </w:rPr>
        <w:t xml:space="preserve"> </w:t>
      </w:r>
      <w:r w:rsidRPr="00D929F8">
        <w:rPr>
          <w:i/>
          <w:iCs/>
        </w:rPr>
        <w:t>lucis</w:t>
      </w:r>
      <w:r w:rsidRPr="00D929F8">
        <w:rPr>
          <w:i/>
          <w:iCs/>
        </w:rPr>
        <w:t xml:space="preserve"> incerta</w:t>
      </w:r>
      <w:r w:rsidRPr="00D929F8">
        <w:t>) in the left eye. The ophthalmologist noted the innate nature of the disease and prescribed, “as an experimental treatment”,</w:t>
      </w:r>
      <w:r>
        <w:rPr>
          <w:rStyle w:val="FootnoteReference"/>
        </w:rPr>
        <w:footnoteReference w:id="3"/>
      </w:r>
      <w:r w:rsidRPr="00D929F8">
        <w:t xml:space="preserve"> certain medications used to treat vascular and cognitive </w:t>
      </w:r>
      <w:r w:rsidRPr="00D929F8">
        <w:t>disorders</w:t>
      </w:r>
      <w:r w:rsidRPr="00D929F8">
        <w:t xml:space="preserve"> and a medication used to treat vitamin B1 deficiency. There was no indication in the doctor</w:t>
      </w:r>
      <w:r w:rsidRPr="00D929F8" w:rsidR="00D929F8">
        <w:t>’</w:t>
      </w:r>
      <w:r w:rsidRPr="00D929F8">
        <w:t>s opinion that the applicant required hospitalisation or care in a specialised institution. The Government did not provide any information on whether the</w:t>
      </w:r>
      <w:r w:rsidRPr="00D929F8" w:rsidR="0071191D">
        <w:t> </w:t>
      </w:r>
      <w:r w:rsidRPr="00D929F8">
        <w:t>applicant had received the prescribed medication.</w:t>
      </w:r>
    </w:p>
    <w:bookmarkStart w:name="facts_2021_dec_ophtalmo" w:id="14"/>
    <w:p w:rsidRPr="00D929F8" w:rsidR="00AA5C7E" w:rsidP="00D929F8" w14:paraId="5B9A0AC1" w14:textId="170C61EE">
      <w:pPr>
        <w:pStyle w:val="JuPara"/>
      </w:pPr>
      <w:r w:rsidRPr="00D929F8">
        <w:fldChar w:fldCharType="begin"/>
      </w:r>
      <w:r w:rsidRPr="00D929F8">
        <w:instrText xml:space="preserve"> SEQ level0 \*arabic \* MERGEFORMAT </w:instrText>
      </w:r>
      <w:r w:rsidRPr="00D929F8">
        <w:fldChar w:fldCharType="separate"/>
      </w:r>
      <w:r w:rsidRPr="00D929F8" w:rsidR="00D929F8">
        <w:rPr>
          <w:noProof/>
        </w:rPr>
        <w:t>22</w:t>
      </w:r>
      <w:r w:rsidRPr="00D929F8">
        <w:fldChar w:fldCharType="end"/>
      </w:r>
      <w:bookmarkEnd w:id="14"/>
      <w:r w:rsidRPr="00D929F8">
        <w:t>.  In December 2021 the applicant underwent an examination at the</w:t>
      </w:r>
      <w:r w:rsidRPr="00D929F8" w:rsidR="0071191D">
        <w:t> </w:t>
      </w:r>
      <w:r w:rsidRPr="00D929F8">
        <w:t xml:space="preserve">Filatov Institute. It was noted that he had no light perception in the right eye and uncertain light perception in the left eye. Certain prescriptions were prescribed, “as an experimental treatment”, </w:t>
      </w:r>
      <w:r w:rsidRPr="00D929F8">
        <w:t>similar to</w:t>
      </w:r>
      <w:r w:rsidRPr="00D929F8">
        <w:t xml:space="preserve"> those prescribed in January 2021.</w:t>
      </w:r>
    </w:p>
    <w:p w:rsidRPr="00D929F8" w:rsidR="00AA5C7E" w:rsidP="00D929F8" w14:paraId="3F9B7284" w14:textId="23F2E1C1">
      <w:pPr>
        <w:pStyle w:val="JuHHead"/>
      </w:pPr>
      <w:r w:rsidRPr="00D929F8">
        <w:t>THE COURT</w:t>
      </w:r>
      <w:r w:rsidRPr="00D929F8" w:rsidR="00D929F8">
        <w:t>’</w:t>
      </w:r>
      <w:r w:rsidRPr="00D929F8">
        <w:t>S ASSESSMENT</w:t>
      </w:r>
    </w:p>
    <w:p w:rsidRPr="00D929F8" w:rsidR="00AA5C7E" w:rsidP="00D929F8" w14:paraId="49851B14" w14:textId="77777777">
      <w:pPr>
        <w:pStyle w:val="JuHIRoman"/>
        <w:ind w:left="397" w:hanging="397"/>
      </w:pPr>
      <w:r w:rsidRPr="00D929F8">
        <w:t>ALLEGED VIOLATION OF ARTICLE 3 OF THE CONVENTION</w:t>
      </w:r>
    </w:p>
    <w:p w:rsidRPr="00D929F8" w:rsidR="00AA5C7E" w:rsidP="00D929F8" w14:paraId="126CA20A" w14:textId="3E9482E9">
      <w:pPr>
        <w:pStyle w:val="JuPara"/>
      </w:pPr>
      <w:r>
        <w:fldChar w:fldCharType="begin"/>
      </w:r>
      <w:r>
        <w:instrText xml:space="preserve"> SEQ level0 \*arabic \* MERGEFORMAT </w:instrText>
      </w:r>
      <w:r>
        <w:fldChar w:fldCharType="separate"/>
      </w:r>
      <w:r w:rsidRPr="00D929F8" w:rsidR="00D929F8">
        <w:rPr>
          <w:noProof/>
        </w:rPr>
        <w:t>23</w:t>
      </w:r>
      <w:r w:rsidRPr="00D929F8" w:rsidR="00D929F8">
        <w:rPr>
          <w:noProof/>
        </w:rPr>
        <w:fldChar w:fldCharType="end"/>
      </w:r>
      <w:r w:rsidRPr="00D929F8">
        <w:t>.  The applicant complained that he had not been afforded adequate medical treatment in detention. The Government contested that argument.</w:t>
      </w:r>
    </w:p>
    <w:p w:rsidRPr="00D929F8" w:rsidR="00AA5C7E" w:rsidP="00D929F8" w14:paraId="6C910FF4" w14:textId="14A5453D">
      <w:pPr>
        <w:pStyle w:val="JuPara"/>
        <w:keepNext/>
        <w:keepLines/>
      </w:pPr>
      <w:r>
        <w:fldChar w:fldCharType="begin"/>
      </w:r>
      <w:r>
        <w:instrText xml:space="preserve"> SEQ level0 \*arabic \* MERGEFORMAT </w:instrText>
      </w:r>
      <w:r>
        <w:fldChar w:fldCharType="separate"/>
      </w:r>
      <w:r w:rsidRPr="00D929F8" w:rsidR="00D929F8">
        <w:rPr>
          <w:noProof/>
        </w:rPr>
        <w:t>24</w:t>
      </w:r>
      <w:r w:rsidRPr="00D929F8" w:rsidR="00D929F8">
        <w:rPr>
          <w:noProof/>
        </w:rPr>
        <w:fldChar w:fldCharType="end"/>
      </w:r>
      <w:r w:rsidRPr="00D929F8">
        <w:t>.  The Court observes that the applicant suffers from a congenital disease for which there is no commonly available cure. Therefore, the fact that the applicant</w:t>
      </w:r>
      <w:r w:rsidRPr="00D929F8" w:rsidR="00D929F8">
        <w:t>’</w:t>
      </w:r>
      <w:r w:rsidRPr="00D929F8">
        <w:t xml:space="preserve">s vision suffered an apparently serious deterioration during his detention (see paragraphs </w:t>
      </w:r>
      <w:r w:rsidRPr="00D929F8">
        <w:fldChar w:fldCharType="begin"/>
      </w:r>
      <w:r w:rsidRPr="00D929F8">
        <w:instrText xml:space="preserve"> REF facts_2018_November_ophtalmo \h </w:instrText>
      </w:r>
      <w:r w:rsidRPr="00D929F8">
        <w:fldChar w:fldCharType="separate"/>
      </w:r>
      <w:r w:rsidRPr="00D929F8" w:rsidR="00D929F8">
        <w:rPr>
          <w:noProof/>
        </w:rPr>
        <w:t>15</w:t>
      </w:r>
      <w:r w:rsidRPr="00D929F8">
        <w:fldChar w:fldCharType="end"/>
      </w:r>
      <w:r w:rsidRPr="00D929F8">
        <w:t xml:space="preserve">, </w:t>
      </w:r>
      <w:r w:rsidRPr="00D929F8">
        <w:fldChar w:fldCharType="begin"/>
      </w:r>
      <w:r w:rsidRPr="00D929F8">
        <w:instrText xml:space="preserve"> REF facts_2021_January_Filatov_exam \h </w:instrText>
      </w:r>
      <w:r w:rsidRPr="00D929F8">
        <w:fldChar w:fldCharType="separate"/>
      </w:r>
      <w:r w:rsidRPr="00D929F8" w:rsidR="00D929F8">
        <w:rPr>
          <w:noProof/>
        </w:rPr>
        <w:t>21</w:t>
      </w:r>
      <w:r w:rsidRPr="00D929F8">
        <w:fldChar w:fldCharType="end"/>
      </w:r>
      <w:r w:rsidRPr="00D929F8">
        <w:t xml:space="preserve"> and </w:t>
      </w:r>
      <w:r w:rsidRPr="00D929F8">
        <w:fldChar w:fldCharType="begin"/>
      </w:r>
      <w:r w:rsidRPr="00D929F8">
        <w:instrText xml:space="preserve"> REF facts_2021_dec_ophtalmo \h  \* CharFormat </w:instrText>
      </w:r>
      <w:r w:rsidRPr="00D929F8">
        <w:fldChar w:fldCharType="separate"/>
      </w:r>
      <w:r w:rsidRPr="00D929F8" w:rsidR="00D929F8">
        <w:t>22</w:t>
      </w:r>
      <w:r w:rsidRPr="00D929F8">
        <w:fldChar w:fldCharType="end"/>
      </w:r>
      <w:r w:rsidRPr="00D929F8">
        <w:t xml:space="preserve"> above) does not mean, in itself, that the authorities failed to comply with their positive obligations (see</w:t>
      </w:r>
      <w:r w:rsidRPr="00D929F8" w:rsidR="0071191D">
        <w:t> </w:t>
      </w:r>
      <w:r w:rsidRPr="00D929F8">
        <w:rPr>
          <w:i/>
          <w:iCs/>
        </w:rPr>
        <w:t>Goginashvili</w:t>
      </w:r>
      <w:r w:rsidRPr="00D929F8">
        <w:rPr>
          <w:i/>
          <w:iCs/>
        </w:rPr>
        <w:t xml:space="preserve"> v. Georgia</w:t>
      </w:r>
      <w:r w:rsidRPr="00D929F8">
        <w:t>, no. 47729/08, § 71, 4 October 2011).</w:t>
      </w:r>
    </w:p>
    <w:p w:rsidRPr="00D929F8" w:rsidR="00AA5C7E" w:rsidP="00D929F8" w14:paraId="141DF7EF" w14:textId="66FFCC5F">
      <w:pPr>
        <w:pStyle w:val="JuPara"/>
      </w:pPr>
      <w:r>
        <w:fldChar w:fldCharType="begin"/>
      </w:r>
      <w:r>
        <w:instrText xml:space="preserve"> SEQ level0 \*arabic \* MERGEFORMAT </w:instrText>
      </w:r>
      <w:r>
        <w:fldChar w:fldCharType="separate"/>
      </w:r>
      <w:r w:rsidRPr="00D929F8" w:rsidR="00D929F8">
        <w:rPr>
          <w:noProof/>
        </w:rPr>
        <w:t>25</w:t>
      </w:r>
      <w:r w:rsidRPr="00D929F8" w:rsidR="00D929F8">
        <w:rPr>
          <w:noProof/>
        </w:rPr>
        <w:fldChar w:fldCharType="end"/>
      </w:r>
      <w:r w:rsidRPr="00D929F8">
        <w:t>. </w:t>
      </w:r>
      <w:r w:rsidRPr="00D929F8" w:rsidR="00DD4CED">
        <w:t> </w:t>
      </w:r>
      <w:r w:rsidRPr="00D929F8">
        <w:t>Some experimental treatment was prescribed for the applicant, in the</w:t>
      </w:r>
      <w:r w:rsidRPr="00D929F8" w:rsidR="0071191D">
        <w:t> </w:t>
      </w:r>
      <w:r w:rsidRPr="00D929F8">
        <w:t>apparent hope of slowing the progress of his disease somewhat (see</w:t>
      </w:r>
      <w:r w:rsidRPr="00D929F8" w:rsidR="0071191D">
        <w:t> </w:t>
      </w:r>
      <w:r w:rsidRPr="00D929F8">
        <w:t xml:space="preserve">paragraphs </w:t>
      </w:r>
      <w:r w:rsidRPr="00D929F8">
        <w:fldChar w:fldCharType="begin"/>
      </w:r>
      <w:r w:rsidRPr="00D929F8">
        <w:instrText xml:space="preserve"> REF facts_2020_May_ophtalmo \h </w:instrText>
      </w:r>
      <w:r w:rsidRPr="00D929F8">
        <w:fldChar w:fldCharType="separate"/>
      </w:r>
      <w:r w:rsidRPr="00D929F8" w:rsidR="00D929F8">
        <w:rPr>
          <w:noProof/>
        </w:rPr>
        <w:t>17</w:t>
      </w:r>
      <w:r w:rsidRPr="00D929F8">
        <w:fldChar w:fldCharType="end"/>
      </w:r>
      <w:r w:rsidRPr="00D929F8">
        <w:t xml:space="preserve"> and </w:t>
      </w:r>
      <w:r w:rsidRPr="00D929F8">
        <w:fldChar w:fldCharType="begin"/>
      </w:r>
      <w:r w:rsidRPr="00D929F8">
        <w:instrText xml:space="preserve"> REF facts_2021_January_Filatov_exam \h </w:instrText>
      </w:r>
      <w:r w:rsidRPr="00D929F8">
        <w:fldChar w:fldCharType="separate"/>
      </w:r>
      <w:r w:rsidRPr="00D929F8" w:rsidR="00D929F8">
        <w:rPr>
          <w:noProof/>
        </w:rPr>
        <w:t>21</w:t>
      </w:r>
      <w:r w:rsidRPr="00D929F8">
        <w:fldChar w:fldCharType="end"/>
      </w:r>
      <w:r w:rsidRPr="00D929F8">
        <w:t xml:space="preserve"> above). However, there is no indication that that </w:t>
      </w:r>
      <w:r w:rsidRPr="00D929F8">
        <w:t>treatment was indicated by any relevant protocols or that its efficacy for the</w:t>
      </w:r>
      <w:r w:rsidRPr="00D929F8" w:rsidR="0071191D">
        <w:t> </w:t>
      </w:r>
      <w:r w:rsidRPr="00D929F8">
        <w:t>applicant</w:t>
      </w:r>
      <w:r w:rsidRPr="00D929F8" w:rsidR="00D929F8">
        <w:t>’</w:t>
      </w:r>
      <w:r w:rsidRPr="00D929F8">
        <w:t>s condition has ever been recognised.</w:t>
      </w:r>
    </w:p>
    <w:p w:rsidRPr="00D929F8" w:rsidR="00AA5C7E" w:rsidP="00D929F8" w14:paraId="5CBD3BB4" w14:textId="6B375859">
      <w:pPr>
        <w:pStyle w:val="JuPara"/>
      </w:pPr>
      <w:r>
        <w:fldChar w:fldCharType="begin"/>
      </w:r>
      <w:r>
        <w:instrText xml:space="preserve"> SEQ level0 \*arabic \* MERGEFORMAT </w:instrText>
      </w:r>
      <w:r>
        <w:fldChar w:fldCharType="separate"/>
      </w:r>
      <w:r w:rsidRPr="00D929F8" w:rsidR="00D929F8">
        <w:rPr>
          <w:noProof/>
        </w:rPr>
        <w:t>26</w:t>
      </w:r>
      <w:r w:rsidRPr="00D929F8" w:rsidR="00D929F8">
        <w:rPr>
          <w:noProof/>
        </w:rPr>
        <w:fldChar w:fldCharType="end"/>
      </w:r>
      <w:r w:rsidRPr="00D929F8">
        <w:t xml:space="preserve">.  In this context, the Court reiterates that an unsubstantiated allegation that medical care has been non-existent, delayed or otherwise unsatisfactory is normally insufficient to disclose an issue under Article 3 of the Convention. A credible complaint about inadequate medical treatment should normally include sufficient reference to the medical condition in question; medical treatment that was sought, provided, or refused; and some evidence – such as expert reports – which </w:t>
      </w:r>
      <w:r w:rsidRPr="00D929F8">
        <w:t>is capable of disclosing</w:t>
      </w:r>
      <w:r w:rsidRPr="00D929F8">
        <w:t xml:space="preserve"> serious failings in the</w:t>
      </w:r>
      <w:r w:rsidRPr="00D929F8" w:rsidR="0071191D">
        <w:t> </w:t>
      </w:r>
      <w:r w:rsidRPr="00D929F8">
        <w:t>applicant</w:t>
      </w:r>
      <w:r w:rsidRPr="00D929F8" w:rsidR="00D929F8">
        <w:t>’</w:t>
      </w:r>
      <w:r w:rsidRPr="00D929F8">
        <w:t>s medical care (</w:t>
      </w:r>
      <w:bookmarkStart w:name="_cl29810Smarzhevskyy3694219" w:id="15"/>
      <w:r w:rsidRPr="00D929F8">
        <w:t xml:space="preserve">see </w:t>
      </w:r>
      <w:r w:rsidRPr="00D929F8">
        <w:rPr>
          <w:i/>
          <w:iCs/>
        </w:rPr>
        <w:t>Krivolapov</w:t>
      </w:r>
      <w:r w:rsidRPr="00D929F8">
        <w:rPr>
          <w:i/>
          <w:iCs/>
        </w:rPr>
        <w:t xml:space="preserve"> v. Ukraine</w:t>
      </w:r>
      <w:bookmarkEnd w:id="15"/>
      <w:r w:rsidRPr="00D929F8">
        <w:t>, no. 5406/07, § 76, 2</w:t>
      </w:r>
      <w:r w:rsidRPr="00D929F8" w:rsidR="0071191D">
        <w:t> </w:t>
      </w:r>
      <w:r w:rsidRPr="00D929F8">
        <w:t>October 2018, with further references).</w:t>
      </w:r>
    </w:p>
    <w:p w:rsidRPr="00D929F8" w:rsidR="00AA5C7E" w:rsidP="00D929F8" w14:paraId="62A844DA" w14:textId="22840F4F">
      <w:pPr>
        <w:pStyle w:val="JuPara"/>
      </w:pPr>
      <w:r>
        <w:fldChar w:fldCharType="begin"/>
      </w:r>
      <w:r>
        <w:instrText xml:space="preserve"> SEQ level0 \*arabic \* MERGEFORMAT </w:instrText>
      </w:r>
      <w:r>
        <w:fldChar w:fldCharType="separate"/>
      </w:r>
      <w:r w:rsidRPr="00D929F8" w:rsidR="00D929F8">
        <w:rPr>
          <w:noProof/>
        </w:rPr>
        <w:t>27</w:t>
      </w:r>
      <w:r w:rsidRPr="00D929F8" w:rsidR="00D929F8">
        <w:rPr>
          <w:noProof/>
        </w:rPr>
        <w:fldChar w:fldCharType="end"/>
      </w:r>
      <w:r w:rsidRPr="00D929F8">
        <w:t>. </w:t>
      </w:r>
      <w:r w:rsidRPr="00D929F8" w:rsidR="00DD4CED">
        <w:t> </w:t>
      </w:r>
      <w:r w:rsidRPr="00D929F8">
        <w:t>The Court considers that no arguable case has been made that the</w:t>
      </w:r>
      <w:r w:rsidRPr="00D929F8" w:rsidR="0071191D">
        <w:t> </w:t>
      </w:r>
      <w:r w:rsidRPr="00D929F8">
        <w:t>medical care from which the applicant benefited was inadequate.</w:t>
      </w:r>
    </w:p>
    <w:p w:rsidRPr="00D929F8" w:rsidR="00AA5C7E" w:rsidP="00D929F8" w14:paraId="6C663E94" w14:textId="4F4B1592">
      <w:pPr>
        <w:pStyle w:val="JuPara"/>
      </w:pPr>
      <w:r>
        <w:fldChar w:fldCharType="begin"/>
      </w:r>
      <w:r>
        <w:instrText xml:space="preserve"> SEQ level0 \*arabic \* MERGEFORMAT </w:instrText>
      </w:r>
      <w:r>
        <w:fldChar w:fldCharType="separate"/>
      </w:r>
      <w:r w:rsidRPr="00D929F8" w:rsidR="00D929F8">
        <w:rPr>
          <w:noProof/>
        </w:rPr>
        <w:t>28</w:t>
      </w:r>
      <w:r w:rsidRPr="00D929F8" w:rsidR="00D929F8">
        <w:rPr>
          <w:noProof/>
        </w:rPr>
        <w:fldChar w:fldCharType="end"/>
      </w:r>
      <w:r w:rsidRPr="00D929F8">
        <w:t>.  It follows that this part of the application is manifestly ill-founded and must be rejected in accordance with Article 35 §§ 3 (a) and 4 of the</w:t>
      </w:r>
      <w:r w:rsidRPr="00D929F8" w:rsidR="0071191D">
        <w:t> </w:t>
      </w:r>
      <w:r w:rsidRPr="00D929F8">
        <w:t>Convention.</w:t>
      </w:r>
    </w:p>
    <w:p w:rsidRPr="00D929F8" w:rsidR="00AA5C7E" w:rsidP="00D929F8" w14:paraId="297B965F" w14:textId="77777777">
      <w:pPr>
        <w:pStyle w:val="JuHIRoman"/>
        <w:tabs>
          <w:tab w:val="left" w:pos="567"/>
          <w:tab w:val="left" w:pos="680"/>
        </w:tabs>
        <w:ind w:left="397" w:hanging="397"/>
      </w:pPr>
      <w:r w:rsidRPr="00D929F8">
        <w:rPr>
          <w:caps w:val="0"/>
        </w:rPr>
        <w:t>ALLEGED VIOLATION OF ARTICLE 5 § 3 OF THE CONVENTION</w:t>
      </w:r>
    </w:p>
    <w:p w:rsidRPr="00D929F8" w:rsidR="00AA5C7E" w:rsidP="00D929F8" w14:paraId="054495DA" w14:textId="1AFCA5BA">
      <w:pPr>
        <w:pStyle w:val="JuPara"/>
      </w:pPr>
      <w:r>
        <w:fldChar w:fldCharType="begin"/>
      </w:r>
      <w:r>
        <w:instrText xml:space="preserve"> SEQ level0 \*arabic \* MERGEFORMAT </w:instrText>
      </w:r>
      <w:r>
        <w:fldChar w:fldCharType="separate"/>
      </w:r>
      <w:r w:rsidRPr="00D929F8" w:rsidR="00D929F8">
        <w:rPr>
          <w:noProof/>
        </w:rPr>
        <w:t>29</w:t>
      </w:r>
      <w:r w:rsidRPr="00D929F8" w:rsidR="00D929F8">
        <w:rPr>
          <w:noProof/>
        </w:rPr>
        <w:fldChar w:fldCharType="end"/>
      </w:r>
      <w:r w:rsidRPr="00D929F8">
        <w:t>.  The applicant complained that his pre-trial detention had been unjustified and had lasted an unreasonable length of time.</w:t>
      </w:r>
    </w:p>
    <w:p w:rsidRPr="00D929F8" w:rsidR="00AA5C7E" w:rsidP="00D929F8" w14:paraId="33358FC8" w14:textId="162FEDB1">
      <w:pPr>
        <w:pStyle w:val="JuPara"/>
      </w:pPr>
      <w:r>
        <w:fldChar w:fldCharType="begin"/>
      </w:r>
      <w:r>
        <w:instrText xml:space="preserve"> SEQ level0 \*arabic \* MERGEFORMAT </w:instrText>
      </w:r>
      <w:r>
        <w:fldChar w:fldCharType="separate"/>
      </w:r>
      <w:r w:rsidRPr="00D929F8" w:rsidR="00D929F8">
        <w:rPr>
          <w:noProof/>
        </w:rPr>
        <w:t>30</w:t>
      </w:r>
      <w:r w:rsidRPr="00D929F8" w:rsidR="00D929F8">
        <w:rPr>
          <w:noProof/>
        </w:rPr>
        <w:fldChar w:fldCharType="end"/>
      </w:r>
      <w:r w:rsidRPr="00D929F8">
        <w:t xml:space="preserve">.  The Government contested those arguments. They asserted, notably, that the applicant had abused his right of individual application by failing to inform the Court of his release from prison and placement under house arrest on 12 August 2021 (see paragraph </w:t>
      </w:r>
      <w:r w:rsidRPr="00D929F8">
        <w:fldChar w:fldCharType="begin"/>
      </w:r>
      <w:r w:rsidRPr="00D929F8">
        <w:instrText xml:space="preserve"> REF facts_house_arrest_2021 \h </w:instrText>
      </w:r>
      <w:r w:rsidRPr="00D929F8">
        <w:fldChar w:fldCharType="separate"/>
      </w:r>
      <w:r w:rsidRPr="00D929F8" w:rsidR="00D929F8">
        <w:rPr>
          <w:noProof/>
        </w:rPr>
        <w:t>14</w:t>
      </w:r>
      <w:r w:rsidRPr="00D929F8">
        <w:fldChar w:fldCharType="end"/>
      </w:r>
      <w:r w:rsidRPr="00D929F8">
        <w:t xml:space="preserve"> above).</w:t>
      </w:r>
    </w:p>
    <w:p w:rsidRPr="00D929F8" w:rsidR="00AA5C7E" w:rsidP="00D929F8" w14:paraId="28D9BF5A" w14:textId="0F5F32C8">
      <w:pPr>
        <w:pStyle w:val="JuPara"/>
      </w:pPr>
      <w:r>
        <w:fldChar w:fldCharType="begin"/>
      </w:r>
      <w:r>
        <w:instrText xml:space="preserve"> SEQ level0 \*arabic \* MERGEFORMAT </w:instrText>
      </w:r>
      <w:r>
        <w:fldChar w:fldCharType="separate"/>
      </w:r>
      <w:r w:rsidRPr="00D929F8" w:rsidR="00D929F8">
        <w:rPr>
          <w:noProof/>
        </w:rPr>
        <w:t>31</w:t>
      </w:r>
      <w:r w:rsidRPr="00D929F8" w:rsidR="00D929F8">
        <w:rPr>
          <w:noProof/>
        </w:rPr>
        <w:fldChar w:fldCharType="end"/>
      </w:r>
      <w:r w:rsidRPr="00D929F8">
        <w:t>.  The Court cannot establish, to the required standard of proof, that in omitting to inform the Court of his placement under house arrest the applicant intended to mislead the Court. It cannot therefore find that he has abused the</w:t>
      </w:r>
      <w:r w:rsidRPr="00D929F8" w:rsidR="0071191D">
        <w:t> </w:t>
      </w:r>
      <w:r w:rsidRPr="00D929F8">
        <w:t>right of application.</w:t>
      </w:r>
    </w:p>
    <w:p w:rsidRPr="00D929F8" w:rsidR="00AA5C7E" w:rsidP="00D929F8" w14:paraId="448EB56A" w14:textId="039745A4">
      <w:pPr>
        <w:pStyle w:val="JuPara"/>
      </w:pPr>
      <w:r>
        <w:fldChar w:fldCharType="begin"/>
      </w:r>
      <w:r>
        <w:instrText xml:space="preserve"> SEQ level0 \*arabic \* MERGEFORMAT </w:instrText>
      </w:r>
      <w:r>
        <w:fldChar w:fldCharType="separate"/>
      </w:r>
      <w:r w:rsidRPr="00D929F8" w:rsidR="00D929F8">
        <w:rPr>
          <w:noProof/>
        </w:rPr>
        <w:t>32</w:t>
      </w:r>
      <w:r w:rsidRPr="00D929F8" w:rsidR="00D929F8">
        <w:rPr>
          <w:noProof/>
        </w:rPr>
        <w:fldChar w:fldCharType="end"/>
      </w:r>
      <w:r w:rsidRPr="00D929F8">
        <w:t>.  The Court also notes that the applicant only complained about the</w:t>
      </w:r>
      <w:r w:rsidRPr="00D929F8" w:rsidR="0071191D">
        <w:t> </w:t>
      </w:r>
      <w:r w:rsidRPr="00D929F8">
        <w:t>length of the detention which occurred during the period between 8 July 2019 and 12 August 2021.</w:t>
      </w:r>
    </w:p>
    <w:p w:rsidRPr="00D929F8" w:rsidR="00AA5C7E" w:rsidP="00D929F8" w14:paraId="31D2758E" w14:textId="0DD47BAD">
      <w:pPr>
        <w:pStyle w:val="JuPara"/>
      </w:pPr>
      <w:r>
        <w:fldChar w:fldCharType="begin"/>
      </w:r>
      <w:r>
        <w:instrText xml:space="preserve"> SEQ level0 \*arabic \* MERGEFORMAT </w:instrText>
      </w:r>
      <w:r>
        <w:fldChar w:fldCharType="separate"/>
      </w:r>
      <w:r w:rsidRPr="00D929F8" w:rsidR="00D929F8">
        <w:rPr>
          <w:noProof/>
        </w:rPr>
        <w:t>33</w:t>
      </w:r>
      <w:r w:rsidRPr="00D929F8" w:rsidR="00D929F8">
        <w:rPr>
          <w:noProof/>
        </w:rPr>
        <w:fldChar w:fldCharType="end"/>
      </w:r>
      <w:r w:rsidRPr="00D929F8">
        <w:t>.  The relevant general principles of the Court</w:t>
      </w:r>
      <w:r w:rsidRPr="00D929F8" w:rsidR="00D929F8">
        <w:t>’</w:t>
      </w:r>
      <w:r w:rsidRPr="00D929F8">
        <w:t xml:space="preserve">s case-law have been summarised in </w:t>
      </w:r>
      <w:r w:rsidRPr="00D929F8">
        <w:rPr>
          <w:i/>
          <w:iCs/>
        </w:rPr>
        <w:t>Buzadji</w:t>
      </w:r>
      <w:r w:rsidRPr="00D929F8">
        <w:rPr>
          <w:i/>
          <w:iCs/>
        </w:rPr>
        <w:t xml:space="preserve"> v. the Republic of Moldova</w:t>
      </w:r>
      <w:r w:rsidRPr="00D929F8">
        <w:t xml:space="preserve"> ([GC], no. 23755/07, §§ 87-91, 5 July 2016).</w:t>
      </w:r>
    </w:p>
    <w:p w:rsidRPr="00D929F8" w:rsidR="00AA5C7E" w:rsidP="00D929F8" w14:paraId="71F49E73" w14:textId="7F648BFF">
      <w:pPr>
        <w:pStyle w:val="JuPara"/>
      </w:pPr>
      <w:r>
        <w:fldChar w:fldCharType="begin"/>
      </w:r>
      <w:r>
        <w:instrText xml:space="preserve"> SEQ level0 \*arabic \* MERGEFORMAT </w:instrText>
      </w:r>
      <w:r>
        <w:fldChar w:fldCharType="separate"/>
      </w:r>
      <w:r w:rsidRPr="00D929F8" w:rsidR="00D929F8">
        <w:rPr>
          <w:noProof/>
        </w:rPr>
        <w:t>34</w:t>
      </w:r>
      <w:r w:rsidRPr="00D929F8" w:rsidR="00D929F8">
        <w:rPr>
          <w:noProof/>
        </w:rPr>
        <w:fldChar w:fldCharType="end"/>
      </w:r>
      <w:r w:rsidRPr="00D929F8">
        <w:t xml:space="preserve">.  The domestic courts found, referring to the specific circumstances of the case (see paragraphs </w:t>
      </w:r>
      <w:r w:rsidRPr="00D929F8">
        <w:fldChar w:fldCharType="begin"/>
      </w:r>
      <w:r w:rsidRPr="00D929F8">
        <w:instrText xml:space="preserve"> REF paragraph00006 \h  \* CharFormat </w:instrText>
      </w:r>
      <w:r w:rsidRPr="00D929F8">
        <w:fldChar w:fldCharType="separate"/>
      </w:r>
      <w:r w:rsidRPr="00D929F8" w:rsidR="00D929F8">
        <w:t>6</w:t>
      </w:r>
      <w:r w:rsidRPr="00D929F8">
        <w:fldChar w:fldCharType="end"/>
      </w:r>
      <w:r w:rsidRPr="00D929F8">
        <w:t xml:space="preserve">, </w:t>
      </w:r>
      <w:r w:rsidRPr="00D929F8">
        <w:fldChar w:fldCharType="begin"/>
      </w:r>
      <w:r w:rsidRPr="00D929F8">
        <w:instrText xml:space="preserve"> REF facts_extension_orders_and_requests \h </w:instrText>
      </w:r>
      <w:r w:rsidRPr="00D929F8">
        <w:fldChar w:fldCharType="separate"/>
      </w:r>
      <w:r w:rsidRPr="00D929F8" w:rsidR="00D929F8">
        <w:rPr>
          <w:noProof/>
        </w:rPr>
        <w:t>8</w:t>
      </w:r>
      <w:r w:rsidRPr="00D929F8">
        <w:fldChar w:fldCharType="end"/>
      </w:r>
      <w:r w:rsidRPr="00D929F8">
        <w:t>-</w:t>
      </w:r>
      <w:r w:rsidRPr="00D929F8">
        <w:fldChar w:fldCharType="begin"/>
      </w:r>
      <w:r w:rsidRPr="00D929F8">
        <w:instrText xml:space="preserve"> REF facts_detention_orders_reasons \h </w:instrText>
      </w:r>
      <w:r w:rsidRPr="00D929F8">
        <w:fldChar w:fldCharType="separate"/>
      </w:r>
      <w:r w:rsidRPr="00D929F8" w:rsidR="00D929F8">
        <w:rPr>
          <w:noProof/>
        </w:rPr>
        <w:t>10</w:t>
      </w:r>
      <w:r w:rsidRPr="00D929F8">
        <w:fldChar w:fldCharType="end"/>
      </w:r>
      <w:r w:rsidRPr="00D929F8">
        <w:t xml:space="preserve"> and </w:t>
      </w:r>
      <w:r w:rsidRPr="00D929F8">
        <w:fldChar w:fldCharType="begin"/>
      </w:r>
      <w:r w:rsidRPr="00D929F8">
        <w:instrText xml:space="preserve"> REF facts_2020_Court_of_Appeal \h  \* CharFormat </w:instrText>
      </w:r>
      <w:r w:rsidRPr="00D929F8">
        <w:fldChar w:fldCharType="separate"/>
      </w:r>
      <w:r w:rsidRPr="00D929F8" w:rsidR="00D929F8">
        <w:t>12</w:t>
      </w:r>
      <w:r w:rsidRPr="00D929F8">
        <w:fldChar w:fldCharType="end"/>
      </w:r>
      <w:r w:rsidRPr="00D929F8">
        <w:t>-</w:t>
      </w:r>
      <w:r w:rsidRPr="00D929F8">
        <w:fldChar w:fldCharType="begin"/>
      </w:r>
      <w:r w:rsidRPr="00D929F8">
        <w:instrText xml:space="preserve"> REF facts_2020_Court_of_Appeal_2 \h </w:instrText>
      </w:r>
      <w:r w:rsidRPr="00D929F8">
        <w:fldChar w:fldCharType="separate"/>
      </w:r>
      <w:r w:rsidRPr="00D929F8" w:rsidR="00D929F8">
        <w:rPr>
          <w:noProof/>
        </w:rPr>
        <w:t>13</w:t>
      </w:r>
      <w:r w:rsidRPr="00D929F8">
        <w:fldChar w:fldCharType="end"/>
      </w:r>
      <w:r w:rsidRPr="00D929F8">
        <w:t xml:space="preserve"> above), that the relevant risks, notably the risk of reoffending and absconding, justified the applicant</w:t>
      </w:r>
      <w:r w:rsidRPr="00D929F8" w:rsidR="00D929F8">
        <w:t>’</w:t>
      </w:r>
      <w:r w:rsidRPr="00D929F8">
        <w:t>s detention. They noted</w:t>
      </w:r>
      <w:r w:rsidRPr="00D929F8">
        <w:t>, in particular, that</w:t>
      </w:r>
      <w:r w:rsidRPr="00D929F8">
        <w:t xml:space="preserve"> the applicant had been charged with a life-threatening attack which he had allegedly committed while awaiting trial on charges related to a previous mortal attack. They also referred to the</w:t>
      </w:r>
      <w:r w:rsidRPr="00D929F8" w:rsidR="0071191D">
        <w:t> </w:t>
      </w:r>
      <w:r w:rsidRPr="00D929F8">
        <w:t>applicant</w:t>
      </w:r>
      <w:r w:rsidRPr="00D929F8" w:rsidR="00D929F8">
        <w:t>’</w:t>
      </w:r>
      <w:r w:rsidRPr="00D929F8">
        <w:t xml:space="preserve">s alcohol abuse, a relevant factor given that alcohol intoxication had allegedly had a role in both attacks and the applicant had been diagnosed with a serious alcohol-related disorder (see paragraphs </w:t>
      </w:r>
      <w:r w:rsidRPr="00D929F8">
        <w:fldChar w:fldCharType="begin"/>
      </w:r>
      <w:r w:rsidRPr="00D929F8">
        <w:instrText xml:space="preserve"> REF facts_intoxication_in_charges \h </w:instrText>
      </w:r>
      <w:r w:rsidRPr="00D929F8">
        <w:fldChar w:fldCharType="separate"/>
      </w:r>
      <w:r w:rsidRPr="00D929F8" w:rsidR="00D929F8">
        <w:rPr>
          <w:noProof/>
        </w:rPr>
        <w:t>5</w:t>
      </w:r>
      <w:r w:rsidRPr="00D929F8">
        <w:fldChar w:fldCharType="end"/>
      </w:r>
      <w:r w:rsidRPr="00D929F8">
        <w:t xml:space="preserve"> and </w:t>
      </w:r>
      <w:r w:rsidRPr="00D929F8">
        <w:fldChar w:fldCharType="begin"/>
      </w:r>
      <w:r w:rsidRPr="00D929F8">
        <w:instrText xml:space="preserve"> REF facts_delirium \h </w:instrText>
      </w:r>
      <w:r w:rsidRPr="00D929F8">
        <w:fldChar w:fldCharType="separate"/>
      </w:r>
      <w:r w:rsidRPr="00D929F8" w:rsidR="00D929F8">
        <w:rPr>
          <w:noProof/>
        </w:rPr>
        <w:t>16</w:t>
      </w:r>
      <w:r w:rsidRPr="00D929F8">
        <w:fldChar w:fldCharType="end"/>
      </w:r>
      <w:r w:rsidRPr="00D929F8">
        <w:t xml:space="preserve"> above).</w:t>
      </w:r>
    </w:p>
    <w:p w:rsidRPr="00D929F8" w:rsidR="00AA5C7E" w:rsidP="00D929F8" w14:paraId="506FA820" w14:textId="6761AC2C">
      <w:pPr>
        <w:pStyle w:val="JuPara"/>
      </w:pPr>
      <w:r>
        <w:fldChar w:fldCharType="begin"/>
      </w:r>
      <w:r>
        <w:instrText xml:space="preserve"> SEQ level0 \*arabic \* MERGEFORMAT </w:instrText>
      </w:r>
      <w:r>
        <w:fldChar w:fldCharType="separate"/>
      </w:r>
      <w:r w:rsidRPr="00D929F8" w:rsidR="00D929F8">
        <w:rPr>
          <w:noProof/>
        </w:rPr>
        <w:t>35</w:t>
      </w:r>
      <w:r w:rsidRPr="00D929F8" w:rsidR="00D929F8">
        <w:rPr>
          <w:noProof/>
        </w:rPr>
        <w:fldChar w:fldCharType="end"/>
      </w:r>
      <w:r w:rsidRPr="00D929F8">
        <w:t xml:space="preserve">.  The Court sees no reason to criticise that assessment. This conclusion is not changed by the fact that some of those reasons might have been cited by the prosecutor and endorsed by the courts (see paragraphs </w:t>
      </w:r>
      <w:r w:rsidRPr="00D929F8">
        <w:fldChar w:fldCharType="begin"/>
      </w:r>
      <w:r w:rsidRPr="00D929F8">
        <w:instrText xml:space="preserve"> REF facts_prosecutors_application \h </w:instrText>
      </w:r>
      <w:r w:rsidRPr="00D929F8">
        <w:fldChar w:fldCharType="separate"/>
      </w:r>
      <w:r w:rsidRPr="00D929F8" w:rsidR="00D929F8">
        <w:rPr>
          <w:noProof/>
        </w:rPr>
        <w:t>9</w:t>
      </w:r>
      <w:r w:rsidRPr="00D929F8">
        <w:fldChar w:fldCharType="end"/>
      </w:r>
      <w:r w:rsidRPr="00D929F8">
        <w:t xml:space="preserve"> and </w:t>
      </w:r>
      <w:r w:rsidRPr="00D929F8">
        <w:fldChar w:fldCharType="begin"/>
      </w:r>
      <w:r w:rsidRPr="00D929F8">
        <w:instrText xml:space="preserve"> REF facts_detention_orders_reasons \h </w:instrText>
      </w:r>
      <w:r w:rsidRPr="00D929F8">
        <w:fldChar w:fldCharType="separate"/>
      </w:r>
      <w:r w:rsidRPr="00D929F8" w:rsidR="00D929F8">
        <w:rPr>
          <w:noProof/>
        </w:rPr>
        <w:t>10</w:t>
      </w:r>
      <w:r w:rsidRPr="00D929F8">
        <w:fldChar w:fldCharType="end"/>
      </w:r>
      <w:r w:rsidRPr="00D929F8">
        <w:t xml:space="preserve"> above; see also </w:t>
      </w:r>
      <w:r w:rsidRPr="00D929F8">
        <w:rPr>
          <w:i/>
          <w:iCs/>
        </w:rPr>
        <w:t>Ugulava v. Georgia</w:t>
      </w:r>
      <w:r w:rsidRPr="00D929F8">
        <w:t>, no. 5432/15, § 101, 9 February 2023).</w:t>
      </w:r>
    </w:p>
    <w:p w:rsidRPr="00D929F8" w:rsidR="00AA5C7E" w:rsidP="00D929F8" w14:paraId="6691A153" w14:textId="6375D611">
      <w:pPr>
        <w:pStyle w:val="JuPara"/>
      </w:pPr>
      <w:r>
        <w:fldChar w:fldCharType="begin"/>
      </w:r>
      <w:r>
        <w:instrText xml:space="preserve"> SEQ level0 \*arabic \* MERGEFORMAT </w:instrText>
      </w:r>
      <w:r>
        <w:fldChar w:fldCharType="separate"/>
      </w:r>
      <w:r w:rsidRPr="00D929F8" w:rsidR="00D929F8">
        <w:rPr>
          <w:noProof/>
        </w:rPr>
        <w:t>36</w:t>
      </w:r>
      <w:r w:rsidRPr="00D929F8" w:rsidR="00D929F8">
        <w:rPr>
          <w:noProof/>
        </w:rPr>
        <w:fldChar w:fldCharType="end"/>
      </w:r>
      <w:r w:rsidRPr="00D929F8">
        <w:t>.  It follows that this part of the application is manifestly ill-founded and must be rejected in accordance with Article 35 §§ 3 (a) and 4 of the</w:t>
      </w:r>
      <w:r w:rsidRPr="00D929F8" w:rsidR="0071191D">
        <w:t> </w:t>
      </w:r>
      <w:r w:rsidRPr="00D929F8">
        <w:t>Convention.</w:t>
      </w:r>
    </w:p>
    <w:p w:rsidRPr="00D929F8" w:rsidR="00AA5C7E" w:rsidP="00D929F8" w14:paraId="7BE6D4DA" w14:textId="77777777">
      <w:pPr>
        <w:pStyle w:val="JuHIRoman"/>
        <w:tabs>
          <w:tab w:val="left" w:pos="567"/>
          <w:tab w:val="left" w:pos="680"/>
        </w:tabs>
        <w:ind w:left="397" w:hanging="397"/>
      </w:pPr>
      <w:r w:rsidRPr="00D929F8">
        <w:t>ALLEGED VIOLATION of ARTICLE 5 § 4 of the CONVENTION</w:t>
      </w:r>
    </w:p>
    <w:p w:rsidRPr="00D929F8" w:rsidR="00AA5C7E" w:rsidP="00D929F8" w14:paraId="61809805" w14:textId="2771360A">
      <w:pPr>
        <w:pStyle w:val="JuPara"/>
      </w:pPr>
      <w:r>
        <w:fldChar w:fldCharType="begin"/>
      </w:r>
      <w:r>
        <w:instrText xml:space="preserve"> SEQ level0 \*arabic \* MERGEFORMAT </w:instrText>
      </w:r>
      <w:r>
        <w:fldChar w:fldCharType="separate"/>
      </w:r>
      <w:r w:rsidRPr="00D929F8" w:rsidR="00D929F8">
        <w:rPr>
          <w:noProof/>
        </w:rPr>
        <w:t>37</w:t>
      </w:r>
      <w:r w:rsidRPr="00D929F8" w:rsidR="00D929F8">
        <w:rPr>
          <w:noProof/>
        </w:rPr>
        <w:fldChar w:fldCharType="end"/>
      </w:r>
      <w:r w:rsidRPr="00D929F8">
        <w:t>.  The applicant also raised complaints under Article 5 § 4 of the</w:t>
      </w:r>
      <w:r w:rsidRPr="00D929F8" w:rsidR="0071191D">
        <w:t> </w:t>
      </w:r>
      <w:r w:rsidRPr="00D929F8">
        <w:t xml:space="preserve">Convention that his appeals against the detention orders, as set out in paragraph </w:t>
      </w:r>
      <w:r w:rsidRPr="00D929F8">
        <w:fldChar w:fldCharType="begin"/>
      </w:r>
      <w:r w:rsidRPr="00D929F8">
        <w:instrText xml:space="preserve"> REF appeals \h </w:instrText>
      </w:r>
      <w:r w:rsidRPr="00D929F8">
        <w:fldChar w:fldCharType="separate"/>
      </w:r>
      <w:r w:rsidRPr="00D929F8" w:rsidR="00D929F8">
        <w:rPr>
          <w:noProof/>
        </w:rPr>
        <w:t>11</w:t>
      </w:r>
      <w:r w:rsidRPr="00D929F8">
        <w:fldChar w:fldCharType="end"/>
      </w:r>
      <w:r w:rsidRPr="00D929F8">
        <w:t xml:space="preserve"> above, had not been examined “speedily”.</w:t>
      </w:r>
    </w:p>
    <w:p w:rsidRPr="00D929F8" w:rsidR="00AA5C7E" w:rsidP="00D929F8" w14:paraId="1D54D627" w14:textId="789BA1CA">
      <w:pPr>
        <w:pStyle w:val="JuPara"/>
      </w:pPr>
      <w:r>
        <w:fldChar w:fldCharType="begin"/>
      </w:r>
      <w:r>
        <w:instrText xml:space="preserve"> SEQ level0 \*arabic \* MERGEFORMAT </w:instrText>
      </w:r>
      <w:r>
        <w:fldChar w:fldCharType="separate"/>
      </w:r>
      <w:r w:rsidRPr="00D929F8" w:rsidR="00D929F8">
        <w:rPr>
          <w:noProof/>
        </w:rPr>
        <w:t>38</w:t>
      </w:r>
      <w:r w:rsidRPr="00D929F8" w:rsidR="00D929F8">
        <w:rPr>
          <w:noProof/>
        </w:rPr>
        <w:fldChar w:fldCharType="end"/>
      </w:r>
      <w:r w:rsidRPr="00D929F8">
        <w:t>.  The Government contested that argument.</w:t>
      </w:r>
    </w:p>
    <w:p w:rsidRPr="00D929F8" w:rsidR="00AA5C7E" w:rsidP="00D929F8" w14:paraId="5AA863F1" w14:textId="4C7EB952">
      <w:pPr>
        <w:pStyle w:val="JuPara"/>
      </w:pPr>
      <w:r>
        <w:fldChar w:fldCharType="begin"/>
      </w:r>
      <w:r>
        <w:instrText xml:space="preserve"> SEQ level0 \*arabic \* MERGEFORMAT </w:instrText>
      </w:r>
      <w:r>
        <w:fldChar w:fldCharType="separate"/>
      </w:r>
      <w:r w:rsidRPr="00D929F8" w:rsidR="00D929F8">
        <w:rPr>
          <w:noProof/>
        </w:rPr>
        <w:t>39</w:t>
      </w:r>
      <w:r w:rsidRPr="00D929F8" w:rsidR="00D929F8">
        <w:rPr>
          <w:noProof/>
        </w:rPr>
        <w:fldChar w:fldCharType="end"/>
      </w:r>
      <w:r w:rsidRPr="00D929F8">
        <w:t>.  This part of the application is not manifestly ill-founded within the</w:t>
      </w:r>
      <w:r w:rsidRPr="00D929F8" w:rsidR="0071191D">
        <w:t> </w:t>
      </w:r>
      <w:r w:rsidRPr="00D929F8">
        <w:t>meaning of Article 35 § 3 (a) of the Convention, nor is it inadmissible on any other grounds. Accordingly, it must be declared admissible.</w:t>
      </w:r>
    </w:p>
    <w:p w:rsidRPr="00D929F8" w:rsidR="00AA5C7E" w:rsidP="00D929F8" w14:paraId="090F0339" w14:textId="25A70E0A">
      <w:pPr>
        <w:pStyle w:val="JuPara"/>
      </w:pPr>
      <w:r>
        <w:fldChar w:fldCharType="begin"/>
      </w:r>
      <w:r>
        <w:instrText xml:space="preserve"> SEQ level0 \*arabic \* MERGEFORMAT </w:instrText>
      </w:r>
      <w:r>
        <w:fldChar w:fldCharType="separate"/>
      </w:r>
      <w:r w:rsidRPr="00D929F8" w:rsidR="00D929F8">
        <w:rPr>
          <w:noProof/>
        </w:rPr>
        <w:t>40</w:t>
      </w:r>
      <w:r w:rsidRPr="00D929F8" w:rsidR="00D929F8">
        <w:rPr>
          <w:noProof/>
        </w:rPr>
        <w:fldChar w:fldCharType="end"/>
      </w:r>
      <w:r w:rsidRPr="00D929F8">
        <w:t>.  The applicant</w:t>
      </w:r>
      <w:r w:rsidRPr="00D929F8" w:rsidR="00D929F8">
        <w:t>’</w:t>
      </w:r>
      <w:r w:rsidR="00756BC5">
        <w:t>s</w:t>
      </w:r>
      <w:r w:rsidRPr="00D929F8">
        <w:t xml:space="preserve"> appeals against the extension orders were examined with considerable delay, after they had already expired or were about to expire (see paragraph </w:t>
      </w:r>
      <w:r w:rsidRPr="00D929F8">
        <w:fldChar w:fldCharType="begin"/>
      </w:r>
      <w:r w:rsidRPr="00D929F8">
        <w:instrText xml:space="preserve"> REF appeals \h </w:instrText>
      </w:r>
      <w:r w:rsidRPr="00D929F8">
        <w:fldChar w:fldCharType="separate"/>
      </w:r>
      <w:r w:rsidRPr="00D929F8" w:rsidR="00D929F8">
        <w:rPr>
          <w:noProof/>
        </w:rPr>
        <w:t>11</w:t>
      </w:r>
      <w:r w:rsidRPr="00D929F8">
        <w:fldChar w:fldCharType="end"/>
      </w:r>
      <w:r w:rsidRPr="00D929F8">
        <w:t xml:space="preserve"> above) and no adequate explanation has been provided for that delay.</w:t>
      </w:r>
    </w:p>
    <w:p w:rsidRPr="00D929F8" w:rsidR="00AA5C7E" w:rsidP="00D929F8" w14:paraId="1FFB600D" w14:textId="5CE1D6AE">
      <w:pPr>
        <w:pStyle w:val="JuPara"/>
      </w:pPr>
      <w:r>
        <w:fldChar w:fldCharType="begin"/>
      </w:r>
      <w:r>
        <w:instrText xml:space="preserve"> SEQ level0 \*arabic \* MERGEFORMAT </w:instrText>
      </w:r>
      <w:r>
        <w:fldChar w:fldCharType="separate"/>
      </w:r>
      <w:r w:rsidRPr="00D929F8" w:rsidR="00D929F8">
        <w:rPr>
          <w:noProof/>
        </w:rPr>
        <w:t>41</w:t>
      </w:r>
      <w:r w:rsidRPr="00D929F8" w:rsidR="00D929F8">
        <w:rPr>
          <w:noProof/>
        </w:rPr>
        <w:fldChar w:fldCharType="end"/>
      </w:r>
      <w:r w:rsidRPr="00D929F8">
        <w:t xml:space="preserve">.  Having examined all the material before it, and in the light of its well-established case-law on the matter (see </w:t>
      </w:r>
      <w:r w:rsidRPr="00D929F8">
        <w:rPr>
          <w:i/>
          <w:iCs/>
        </w:rPr>
        <w:t>Ilnseher</w:t>
      </w:r>
      <w:r w:rsidRPr="00D929F8">
        <w:rPr>
          <w:i/>
          <w:iCs/>
        </w:rPr>
        <w:t xml:space="preserve"> v. Germany</w:t>
      </w:r>
      <w:r w:rsidRPr="00D929F8">
        <w:t xml:space="preserve"> [GC], nos. 10211/12 and 27505/14, § 256, 4 December 2018; </w:t>
      </w:r>
      <w:r w:rsidRPr="00D929F8">
        <w:rPr>
          <w:i/>
          <w:iCs/>
        </w:rPr>
        <w:t>Frasik</w:t>
      </w:r>
      <w:r w:rsidRPr="00D929F8">
        <w:rPr>
          <w:i/>
          <w:iCs/>
        </w:rPr>
        <w:t xml:space="preserve"> v. Poland</w:t>
      </w:r>
      <w:r w:rsidRPr="00D929F8">
        <w:t xml:space="preserve">, no. 22933/02, §§ 64-66, 5 January 2010; and </w:t>
      </w:r>
      <w:r w:rsidRPr="00D929F8">
        <w:rPr>
          <w:i/>
          <w:iCs/>
        </w:rPr>
        <w:t>Kharchenko</w:t>
      </w:r>
      <w:r w:rsidRPr="00D929F8">
        <w:rPr>
          <w:i/>
          <w:iCs/>
        </w:rPr>
        <w:t xml:space="preserve"> v. Ukraine</w:t>
      </w:r>
      <w:r w:rsidRPr="00D929F8">
        <w:t>, no. 40107/02, §§ 84-87, 10 February 2011), the Court finds that there has been a violation of Article 5 § 4 of the Convention on account of the failure to examine speedily the applicant</w:t>
      </w:r>
      <w:r w:rsidRPr="00D929F8" w:rsidR="00D929F8">
        <w:t>’</w:t>
      </w:r>
      <w:r w:rsidRPr="00D929F8">
        <w:t>s appeals against the detention orders of 17 July, 7 September and 27 November 2020.</w:t>
      </w:r>
    </w:p>
    <w:p w:rsidRPr="00D929F8" w:rsidR="00AA5C7E" w:rsidP="00D929F8" w14:paraId="09A08AFF" w14:textId="77777777">
      <w:pPr>
        <w:pStyle w:val="JuHIRoman"/>
        <w:keepNext w:val="0"/>
        <w:keepLines w:val="0"/>
        <w:tabs>
          <w:tab w:val="left" w:pos="567"/>
          <w:tab w:val="left" w:pos="680"/>
        </w:tabs>
        <w:ind w:left="397" w:hanging="397"/>
      </w:pPr>
      <w:r w:rsidRPr="00D929F8">
        <w:t>OTHER COMPLAINTS</w:t>
      </w:r>
    </w:p>
    <w:p w:rsidRPr="00D929F8" w:rsidR="00AA5C7E" w:rsidP="00D929F8" w14:paraId="6F011BEB" w14:textId="4D036A00">
      <w:pPr>
        <w:pStyle w:val="JuPara"/>
      </w:pPr>
      <w:r>
        <w:fldChar w:fldCharType="begin"/>
      </w:r>
      <w:r>
        <w:instrText xml:space="preserve"> SEQ level0 \*arabic \* MERGEFORMAT </w:instrText>
      </w:r>
      <w:r>
        <w:fldChar w:fldCharType="separate"/>
      </w:r>
      <w:r w:rsidRPr="00D929F8" w:rsidR="00D929F8">
        <w:rPr>
          <w:noProof/>
        </w:rPr>
        <w:t>42</w:t>
      </w:r>
      <w:r w:rsidRPr="00D929F8" w:rsidR="00D929F8">
        <w:rPr>
          <w:noProof/>
        </w:rPr>
        <w:fldChar w:fldCharType="end"/>
      </w:r>
      <w:r w:rsidRPr="00D929F8">
        <w:t>.  The applicant also complained under Article 5 § 4 of the Convention about the review of his appeal against the detention order dated 4 November 2020, which he had withdrawn. Having regard to the facts of the</w:t>
      </w:r>
      <w:r w:rsidRPr="00D929F8" w:rsidR="0071191D">
        <w:t> </w:t>
      </w:r>
      <w:r w:rsidRPr="00D929F8">
        <w:t xml:space="preserve">case, the submissions of the parties and its findings above, the Court considers that it has dealt with the main legal questions raised by the case and that there is no need to examine the remaining complaints (see </w:t>
      </w:r>
      <w:r w:rsidRPr="00D929F8">
        <w:rPr>
          <w:i/>
          <w:iCs/>
        </w:rPr>
        <w:t xml:space="preserve">Centre for Legal Resources on behalf of Valentin </w:t>
      </w:r>
      <w:r w:rsidRPr="00D929F8">
        <w:rPr>
          <w:i/>
          <w:iCs/>
        </w:rPr>
        <w:t>Câmpeanu</w:t>
      </w:r>
      <w:r w:rsidRPr="00D929F8">
        <w:rPr>
          <w:i/>
          <w:iCs/>
        </w:rPr>
        <w:t xml:space="preserve"> v. Romania</w:t>
      </w:r>
      <w:r w:rsidRPr="00D929F8">
        <w:t xml:space="preserve"> [GC], no. 47848/08, § 156, ECHR 2014).</w:t>
      </w:r>
    </w:p>
    <w:p w:rsidRPr="00D929F8" w:rsidR="00AA5C7E" w:rsidP="00D929F8" w14:paraId="18990AEC" w14:textId="77777777">
      <w:pPr>
        <w:pStyle w:val="JuHHead"/>
      </w:pPr>
      <w:r w:rsidRPr="00D929F8">
        <w:rPr>
          <w:caps w:val="0"/>
        </w:rPr>
        <w:t>APPLICATION OF ARTICLE 41 OF THE CONVENTION</w:t>
      </w:r>
    </w:p>
    <w:p w:rsidRPr="00D929F8" w:rsidR="00AA5C7E" w:rsidP="00D929F8" w14:paraId="4244BFA6" w14:textId="0495E682">
      <w:pPr>
        <w:pStyle w:val="JuPara"/>
        <w:keepNext/>
        <w:keepLines/>
      </w:pPr>
      <w:r>
        <w:fldChar w:fldCharType="begin"/>
      </w:r>
      <w:r>
        <w:instrText xml:space="preserve"> SEQ level0 \*arabic \* MERGEFORMAT </w:instrText>
      </w:r>
      <w:r>
        <w:fldChar w:fldCharType="separate"/>
      </w:r>
      <w:r w:rsidRPr="00D929F8" w:rsidR="00D929F8">
        <w:rPr>
          <w:noProof/>
        </w:rPr>
        <w:t>43</w:t>
      </w:r>
      <w:r w:rsidRPr="00D929F8" w:rsidR="00D929F8">
        <w:rPr>
          <w:noProof/>
        </w:rPr>
        <w:fldChar w:fldCharType="end"/>
      </w:r>
      <w:r w:rsidRPr="00D929F8">
        <w:t>.  The applicant claimed 4,500 euros (EUR) in respect of non-pecuniary damage. The Government considered that claim to be unjustified and excessive.</w:t>
      </w:r>
    </w:p>
    <w:p w:rsidRPr="00D929F8" w:rsidR="00AA5C7E" w:rsidP="00D929F8" w14:paraId="62791AD2" w14:textId="32A0BA1F">
      <w:pPr>
        <w:pStyle w:val="JuPara"/>
        <w:rPr>
          <w:b/>
          <w:bCs/>
        </w:rPr>
      </w:pPr>
      <w:r>
        <w:fldChar w:fldCharType="begin"/>
      </w:r>
      <w:r>
        <w:instrText xml:space="preserve"> SEQ level0 \*arabic \* MERGEFORMAT </w:instrText>
      </w:r>
      <w:r>
        <w:fldChar w:fldCharType="separate"/>
      </w:r>
      <w:r w:rsidRPr="00D929F8" w:rsidR="00D929F8">
        <w:rPr>
          <w:noProof/>
        </w:rPr>
        <w:t>44</w:t>
      </w:r>
      <w:r w:rsidRPr="00D929F8" w:rsidR="00D929F8">
        <w:rPr>
          <w:noProof/>
        </w:rPr>
        <w:fldChar w:fldCharType="end"/>
      </w:r>
      <w:r w:rsidRPr="00D929F8">
        <w:t>. </w:t>
      </w:r>
      <w:r w:rsidRPr="00D929F8" w:rsidR="00DD4CED">
        <w:t> </w:t>
      </w:r>
      <w:r w:rsidRPr="00D929F8">
        <w:t>Ruling on an equitable basis, the Court considers it reasonable to award the applicant EUR 500 euros in respect of non-pecuniary damage.</w:t>
      </w:r>
    </w:p>
    <w:p w:rsidRPr="00D929F8" w:rsidR="00AA5C7E" w:rsidP="00D929F8" w14:paraId="5B06CA1F" w14:textId="77777777">
      <w:pPr>
        <w:pStyle w:val="JuHHead"/>
        <w:keepNext w:val="0"/>
        <w:keepLines w:val="0"/>
      </w:pPr>
      <w:r w:rsidRPr="00D929F8">
        <w:t>FOR THESE REASONS, THE COURT, UNANIMOUSLY,</w:t>
      </w:r>
    </w:p>
    <w:p w:rsidRPr="00D929F8" w:rsidR="00AA5C7E" w:rsidP="00D929F8" w14:paraId="2E84ED51" w14:textId="77777777">
      <w:pPr>
        <w:pStyle w:val="JuList"/>
      </w:pPr>
      <w:r w:rsidRPr="00D929F8">
        <w:rPr>
          <w:i/>
        </w:rPr>
        <w:t>Declares</w:t>
      </w:r>
      <w:r w:rsidRPr="00D929F8">
        <w:t xml:space="preserve"> admissible the complaint under 5 § 4 of the Convention in respect of the examination of appeals against the detention orders of 17 July, 7 September and 27 November 2020, and declares inadmissible the complaints under Articles 3 and 5 § 3 of the </w:t>
      </w:r>
      <w:r w:rsidRPr="00D929F8">
        <w:t>Convention;</w:t>
      </w:r>
    </w:p>
    <w:p w:rsidRPr="00D929F8" w:rsidR="00AA5C7E" w:rsidP="00D929F8" w14:paraId="3C90FF0A" w14:textId="1184C556">
      <w:pPr>
        <w:pStyle w:val="JuList"/>
      </w:pPr>
      <w:r w:rsidRPr="00D929F8">
        <w:rPr>
          <w:i/>
        </w:rPr>
        <w:t>Holds</w:t>
      </w:r>
      <w:r w:rsidRPr="00D929F8">
        <w:rPr>
          <w:color w:val="000000"/>
        </w:rPr>
        <w:t xml:space="preserve"> </w:t>
      </w:r>
      <w:r w:rsidRPr="00D929F8">
        <w:t>that there has been a violation of Article 5 § 4 of the Convention on account of the failure to examine speedily the applicant</w:t>
      </w:r>
      <w:r w:rsidRPr="00D929F8" w:rsidR="00D929F8">
        <w:t>’</w:t>
      </w:r>
      <w:r w:rsidRPr="00D929F8">
        <w:t xml:space="preserve">s appeals against the detention orders of 17 July, 7 September and 27 November </w:t>
      </w:r>
      <w:r w:rsidRPr="00D929F8">
        <w:t>2020;</w:t>
      </w:r>
    </w:p>
    <w:p w:rsidRPr="00D929F8" w:rsidR="00AA5C7E" w:rsidP="00D929F8" w14:paraId="2194E878" w14:textId="04DA07D1">
      <w:pPr>
        <w:pStyle w:val="JuList"/>
      </w:pPr>
      <w:r w:rsidRPr="00D929F8">
        <w:rPr>
          <w:i/>
        </w:rPr>
        <w:t>Holds</w:t>
      </w:r>
      <w:r w:rsidRPr="00D929F8">
        <w:rPr>
          <w:color w:val="000000"/>
        </w:rPr>
        <w:t xml:space="preserve"> </w:t>
      </w:r>
      <w:r w:rsidRPr="00D929F8">
        <w:t>that there is no need to examine the admissibility and merits of the</w:t>
      </w:r>
      <w:r w:rsidRPr="00D929F8" w:rsidR="0071191D">
        <w:t> </w:t>
      </w:r>
      <w:r w:rsidRPr="00D929F8">
        <w:t>complaint under Article 5 § 4 of the Convention concerning the</w:t>
      </w:r>
      <w:r w:rsidRPr="00D929F8" w:rsidR="0071191D">
        <w:t> </w:t>
      </w:r>
      <w:r w:rsidRPr="00D929F8">
        <w:t>review of the applicant</w:t>
      </w:r>
      <w:r w:rsidRPr="00D929F8" w:rsidR="00D929F8">
        <w:t>’</w:t>
      </w:r>
      <w:r w:rsidRPr="00D929F8">
        <w:t>s appeal against the detention order of 4 November </w:t>
      </w:r>
      <w:r w:rsidRPr="00D929F8">
        <w:t>2020;</w:t>
      </w:r>
    </w:p>
    <w:p w:rsidRPr="00D929F8" w:rsidR="00AA5C7E" w:rsidP="00D929F8" w14:paraId="68A70228" w14:textId="77777777">
      <w:pPr>
        <w:pStyle w:val="JuList"/>
      </w:pPr>
      <w:r w:rsidRPr="00D929F8">
        <w:rPr>
          <w:i/>
          <w:iCs/>
        </w:rPr>
        <w:t>Holds</w:t>
      </w:r>
    </w:p>
    <w:p w:rsidRPr="00D929F8" w:rsidR="00AA5C7E" w:rsidP="00D929F8" w14:paraId="6A0AAC12" w14:textId="77777777">
      <w:pPr>
        <w:pStyle w:val="JuLista"/>
        <w:numPr>
          <w:ilvl w:val="1"/>
          <w:numId w:val="5"/>
        </w:numPr>
      </w:pPr>
      <w:r w:rsidRPr="00D929F8">
        <w:t>that the respondent State is to pay the applicant, within three months, EUR 500 (five hundred euros), plus any tax that may be chargeable, in respect of non-pecuniary damage</w:t>
      </w:r>
      <w:r w:rsidRPr="00D929F8">
        <w:rPr>
          <w:bCs/>
        </w:rPr>
        <w:t>, to be converted into the currency of the respondent State</w:t>
      </w:r>
      <w:r w:rsidRPr="00D929F8">
        <w:t xml:space="preserve"> at the rate applicable at the date of </w:t>
      </w:r>
      <w:r w:rsidRPr="00D929F8">
        <w:t>settlement;</w:t>
      </w:r>
    </w:p>
    <w:p w:rsidRPr="00D929F8" w:rsidR="003322DF" w:rsidP="00D929F8" w14:paraId="64F60051" w14:textId="0BEC11CB">
      <w:pPr>
        <w:pStyle w:val="JuLista"/>
        <w:numPr>
          <w:ilvl w:val="1"/>
          <w:numId w:val="5"/>
        </w:numPr>
      </w:pPr>
      <w:r w:rsidRPr="00D929F8">
        <w:t>that from the expiry of the above-mentioned three months until settlement simple interest shall be payable on the above amount at a rate equal to the marginal lending rate of the European Central Bank during the default period plus three percentage points</w:t>
      </w:r>
      <w:r w:rsidRPr="00D929F8" w:rsidR="007B2094">
        <w:t>.</w:t>
      </w:r>
    </w:p>
    <w:p w:rsidRPr="00D929F8" w:rsidR="008E3A08" w:rsidP="00D929F8" w14:paraId="366A7CF6" w14:textId="77777777">
      <w:pPr>
        <w:pStyle w:val="JuParaLast"/>
        <w:keepNext w:val="0"/>
        <w:keepLines w:val="0"/>
        <w:spacing w:after="0"/>
      </w:pPr>
      <w:r w:rsidRPr="00D929F8">
        <w:t xml:space="preserve">Done in English, and notified in writing on </w:t>
      </w:r>
      <w:r w:rsidRPr="00D929F8" w:rsidR="00AA5C7E">
        <w:rPr>
          <w:rFonts w:ascii="Times New Roman" w:hAnsi="Times New Roman" w:cs="Times New Roman"/>
        </w:rPr>
        <w:t>6 November 2025</w:t>
      </w:r>
      <w:r w:rsidRPr="00D929F8">
        <w:t>, pursuant to Rule 77 §§ 2 and 3 of the Rules of Court.</w:t>
      </w:r>
    </w:p>
    <w:p w:rsidRPr="00D929F8" w:rsidR="007E79A4" w:rsidP="00D929F8" w14:paraId="2E48C502" w14:textId="0240F073">
      <w:pPr>
        <w:pStyle w:val="ECHRPlaceholder"/>
        <w:rPr>
          <w:szCs w:val="22"/>
        </w:rPr>
      </w:pPr>
      <w:r w:rsidRPr="00D929F8">
        <w:tab/>
      </w:r>
    </w:p>
    <w:p w:rsidRPr="00D929F8" w:rsidR="007E79A4" w:rsidP="00D929F8" w14:paraId="38BA96D3" w14:textId="77777777">
      <w:pPr>
        <w:pStyle w:val="JuSigned"/>
        <w:spacing w:before="120"/>
      </w:pPr>
      <w:r w:rsidRPr="00D929F8">
        <w:tab/>
      </w:r>
      <w:r w:rsidRPr="00D929F8" w:rsidR="00AA5C7E">
        <w:rPr>
          <w:noProof/>
        </w:rPr>
        <w:t>Martina Keller</w:t>
      </w:r>
      <w:r w:rsidRPr="00D929F8">
        <w:tab/>
      </w:r>
      <w:r w:rsidRPr="00D929F8" w:rsidR="00AA5C7E">
        <w:rPr>
          <w:noProof/>
        </w:rPr>
        <w:t>Andreas Zünd</w:t>
      </w:r>
      <w:r w:rsidRPr="00D929F8">
        <w:br/>
      </w:r>
      <w:r w:rsidRPr="00D929F8">
        <w:tab/>
      </w:r>
      <w:r w:rsidRPr="00D929F8" w:rsidR="00AA5C7E">
        <w:rPr>
          <w:noProof/>
        </w:rPr>
        <w:t>Deputy Registrar</w:t>
      </w:r>
      <w:r w:rsidRPr="00D929F8">
        <w:tab/>
        <w:t>President</w:t>
      </w:r>
    </w:p>
    <w:sectPr w:rsidSect="007D3701">
      <w:headerReference w:type="even" r:id="rId10"/>
      <w:headerReference w:type="default" r:id="rId11"/>
      <w:footerReference w:type="even" r:id="rId12"/>
      <w:footerReference w:type="default" r:id="rId13"/>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C7E" w:rsidRPr="00150BFA" w:rsidP="0020718E" w14:paraId="1A950633" w14:textId="77777777">
    <w:pPr>
      <w:jc w:val="center"/>
    </w:pPr>
    <w:r>
      <w:rPr>
        <w:noProof/>
        <w:lang w:val="en-US"/>
      </w:rPr>
      <w:drawing>
        <wp:inline distT="0" distB="0" distL="0" distR="0">
          <wp:extent cx="771525" cy="619125"/>
          <wp:effectExtent l="0" t="0" r="9525" b="9525"/>
          <wp:docPr id="148110525" name="Picture 14811052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110525"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AA5C7E" w:rsidP="00AF12C5" w14:paraId="621B985C" w14:textId="77777777">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C7E" w:rsidRPr="00150BFA" w:rsidP="0020718E" w14:paraId="06CBC803" w14:textId="77777777">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AA5C7E" w:rsidP="009E7A6F" w14:paraId="52C4D442" w14:textId="77777777">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P="009A115C" w14:paraId="105F1026" w14:textId="77777777">
    <w:pPr>
      <w:pStyle w:val="JuHeader"/>
    </w:pPr>
    <w:r>
      <w:fldChar w:fldCharType="begin"/>
    </w:r>
    <w:r>
      <w:instrText xml:space="preserve"> PAGE  \* MERGEFORMAT </w:instrText>
    </w:r>
    <w:r>
      <w:fldChar w:fldCharType="separate"/>
    </w:r>
    <w:r>
      <w:rPr>
        <w:noProof/>
      </w:rPr>
      <w:t>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RPr="000B7195" w:rsidP="007D3701" w14:paraId="25183E41" w14:textId="77777777">
    <w:pPr>
      <w:pStyle w:val="JuHeader"/>
    </w:pPr>
    <w:r>
      <w:fldChar w:fldCharType="begin"/>
    </w:r>
    <w:r>
      <w:instrText xml:space="preserve"> PAGE  \* MERGEFORMAT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AA5C7E" w:rsidRPr="00AA5C7E" w:rsidP="0098410D" w14:paraId="69BF9B2D" w14:textId="77777777">
      <w:r w:rsidRPr="00AA5C7E">
        <w:separator/>
      </w:r>
    </w:p>
  </w:footnote>
  <w:footnote w:type="continuationSeparator" w:id="1">
    <w:p w:rsidR="00AA5C7E" w:rsidRPr="00AA5C7E" w:rsidP="0098410D" w14:paraId="7FB55F29" w14:textId="77777777">
      <w:r w:rsidRPr="00AA5C7E">
        <w:continuationSeparator/>
      </w:r>
    </w:p>
  </w:footnote>
  <w:footnote w:id="2">
    <w:p w:rsidR="00AA5C7E" w:rsidRPr="00AA5C7E" w:rsidP="00AA5C7E" w14:paraId="5ECD21D8" w14:textId="77777777">
      <w:pPr>
        <w:rPr>
          <w:sz w:val="20"/>
          <w:szCs w:val="20"/>
        </w:rPr>
      </w:pPr>
      <w:r w:rsidRPr="00AA5C7E">
        <w:rPr>
          <w:rStyle w:val="FootnoteReference"/>
        </w:rPr>
        <w:footnoteRef/>
      </w:r>
      <w:r w:rsidRPr="00AA5C7E">
        <w:rPr>
          <w:rStyle w:val="FootnoteReference"/>
        </w:rPr>
        <w:t xml:space="preserve"> </w:t>
      </w:r>
      <w:hyperlink r:id="rId1" w:history="1">
        <w:r w:rsidRPr="00AA5C7E">
          <w:rPr>
            <w:rStyle w:val="Hyperlink"/>
          </w:rPr>
          <w:t>https://www.nei.nih.gov/learn-about-eye-health/eye-conditions-and-diseases/retinitis-pigmentosa</w:t>
        </w:r>
      </w:hyperlink>
    </w:p>
  </w:footnote>
  <w:footnote w:id="3">
    <w:p w:rsidR="00AA5C7E" w:rsidRPr="007B2094" w:rsidP="00AA5C7E" w14:paraId="7E984138" w14:textId="77777777">
      <w:pPr>
        <w:pStyle w:val="FootnoteText"/>
        <w:rPr>
          <w:lang w:val="ru-RU"/>
        </w:rPr>
      </w:pPr>
      <w:r w:rsidRPr="00AA5C7E">
        <w:rPr>
          <w:rStyle w:val="FootnoteReference"/>
        </w:rPr>
        <w:footnoteRef/>
      </w:r>
      <w:r w:rsidRPr="007B2094">
        <w:rPr>
          <w:rStyle w:val="FootnoteReference"/>
          <w:lang w:val="ru-RU"/>
        </w:rPr>
        <w:t xml:space="preserve"> </w:t>
      </w:r>
      <w:r w:rsidRPr="007B2094">
        <w:rPr>
          <w:i/>
          <w:iCs/>
          <w:lang w:val="ru-RU"/>
        </w:rPr>
        <w:t>Враховуючи</w:t>
      </w:r>
      <w:r w:rsidRPr="007B2094">
        <w:rPr>
          <w:i/>
          <w:iCs/>
          <w:lang w:val="ru-RU"/>
        </w:rPr>
        <w:t xml:space="preserve"> </w:t>
      </w:r>
      <w:r w:rsidRPr="007B2094">
        <w:rPr>
          <w:i/>
          <w:iCs/>
          <w:lang w:val="ru-RU"/>
        </w:rPr>
        <w:t>вроджений</w:t>
      </w:r>
      <w:r w:rsidRPr="007B2094">
        <w:rPr>
          <w:i/>
          <w:iCs/>
          <w:lang w:val="ru-RU"/>
        </w:rPr>
        <w:t xml:space="preserve"> характер </w:t>
      </w:r>
      <w:r w:rsidRPr="007B2094">
        <w:rPr>
          <w:i/>
          <w:iCs/>
          <w:lang w:val="ru-RU"/>
        </w:rPr>
        <w:t>захворювання</w:t>
      </w:r>
      <w:r w:rsidRPr="007B2094">
        <w:rPr>
          <w:i/>
          <w:iCs/>
          <w:lang w:val="ru-RU"/>
        </w:rPr>
        <w:t xml:space="preserve">, в </w:t>
      </w:r>
      <w:r w:rsidRPr="007B2094">
        <w:rPr>
          <w:i/>
          <w:iCs/>
          <w:lang w:val="ru-RU"/>
        </w:rPr>
        <w:t>якості</w:t>
      </w:r>
      <w:r w:rsidRPr="007B2094">
        <w:rPr>
          <w:i/>
          <w:iCs/>
          <w:lang w:val="ru-RU"/>
        </w:rPr>
        <w:t xml:space="preserve"> </w:t>
      </w:r>
      <w:r w:rsidRPr="007B2094">
        <w:rPr>
          <w:i/>
          <w:iCs/>
          <w:lang w:val="ru-RU"/>
        </w:rPr>
        <w:t>спроби</w:t>
      </w:r>
      <w:r w:rsidRPr="007B2094">
        <w:rPr>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C7E" w:rsidRPr="00A45145" w:rsidP="00A45145" w14:paraId="160957AD" w14:textId="77777777">
    <w:pPr>
      <w:jc w:val="center"/>
    </w:pPr>
    <w:r>
      <w:rPr>
        <w:noProof/>
        <w:lang w:val="en-US"/>
      </w:rPr>
      <w:drawing>
        <wp:inline distT="0" distB="0" distL="0" distR="0">
          <wp:extent cx="2962275" cy="1219200"/>
          <wp:effectExtent l="0" t="0" r="9525" b="0"/>
          <wp:docPr id="1810759008" name="Picture 181075900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759008"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AA5C7E" w:rsidP="00B14793" w14:paraId="7F7535A0" w14:textId="77777777">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5C7E" w:rsidRPr="00A45145" w:rsidP="00A45145" w14:paraId="3881D7DF" w14:textId="77777777">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AA5C7E" w14:paraId="6843634C"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RPr="004D0EC7" w:rsidP="004D0EC7" w14:paraId="4EF23969" w14:textId="77777777">
    <w:pPr>
      <w:pStyle w:val="JuHeader"/>
    </w:pPr>
    <w:r>
      <w:t>NIKOLAYEV v. UKRAINE</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82EBA" w:rsidRPr="00882CD5" w:rsidP="007D3701" w14:paraId="0C7D3A20" w14:textId="77777777">
    <w:pPr>
      <w:pStyle w:val="JuHeader"/>
    </w:pPr>
    <w:r>
      <w:t>NIKOLAYEV v. UKRAINE</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4"/>
  </w:num>
  <w:num w:numId="2">
    <w:abstractNumId w:val="12"/>
  </w:num>
  <w:num w:numId="3">
    <w:abstractNumId w:val="11"/>
  </w:num>
  <w:num w:numId="4">
    <w:abstractNumId w:val="15"/>
  </w:num>
  <w:num w:numId="5">
    <w:abstractNumId w:val="13"/>
  </w:num>
  <w:num w:numId="6">
    <w:abstractNumId w:val="16"/>
  </w:num>
  <w:num w:numId="7">
    <w:abstractNumId w:val="15"/>
  </w:num>
  <w:num w:numId="8">
    <w:abstractNumId w:val="16"/>
  </w:num>
  <w:num w:numId="9">
    <w:abstractNumId w:val="10"/>
  </w:num>
  <w:num w:numId="10">
    <w:abstractNumId w:val="9"/>
  </w:num>
  <w:num w:numId="11">
    <w:abstractNumId w:val="17"/>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removePersonalInformation/>
  <w:doNotDisplayPageBoundaries/>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5C7E"/>
    <w:rsid w:val="000041F8"/>
    <w:rsid w:val="000042A8"/>
    <w:rsid w:val="00004308"/>
    <w:rsid w:val="00005BF0"/>
    <w:rsid w:val="0000617D"/>
    <w:rsid w:val="00007154"/>
    <w:rsid w:val="000103AE"/>
    <w:rsid w:val="00011D69"/>
    <w:rsid w:val="00012AD3"/>
    <w:rsid w:val="00015C2D"/>
    <w:rsid w:val="00015F00"/>
    <w:rsid w:val="0001768D"/>
    <w:rsid w:val="00022C1D"/>
    <w:rsid w:val="0002592F"/>
    <w:rsid w:val="00031428"/>
    <w:rsid w:val="00034987"/>
    <w:rsid w:val="00041560"/>
    <w:rsid w:val="000602DF"/>
    <w:rsid w:val="00061B05"/>
    <w:rsid w:val="000632D5"/>
    <w:rsid w:val="000644EE"/>
    <w:rsid w:val="000712E3"/>
    <w:rsid w:val="0007780A"/>
    <w:rsid w:val="00085457"/>
    <w:rsid w:val="000925AD"/>
    <w:rsid w:val="00096FE1"/>
    <w:rsid w:val="00097A62"/>
    <w:rsid w:val="00097A68"/>
    <w:rsid w:val="000A24EB"/>
    <w:rsid w:val="000B686A"/>
    <w:rsid w:val="000B6923"/>
    <w:rsid w:val="000B7195"/>
    <w:rsid w:val="000C5F3C"/>
    <w:rsid w:val="000C6DCC"/>
    <w:rsid w:val="000D24EE"/>
    <w:rsid w:val="000D47AA"/>
    <w:rsid w:val="000D721F"/>
    <w:rsid w:val="000E069B"/>
    <w:rsid w:val="000E0E82"/>
    <w:rsid w:val="000E1DC5"/>
    <w:rsid w:val="000E223F"/>
    <w:rsid w:val="000E4688"/>
    <w:rsid w:val="000E46B8"/>
    <w:rsid w:val="000E7D45"/>
    <w:rsid w:val="000F52F4"/>
    <w:rsid w:val="000F7851"/>
    <w:rsid w:val="00101505"/>
    <w:rsid w:val="00104E23"/>
    <w:rsid w:val="00110DA8"/>
    <w:rsid w:val="00111B0C"/>
    <w:rsid w:val="001171A3"/>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22DF"/>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2388"/>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16E"/>
    <w:rsid w:val="00547353"/>
    <w:rsid w:val="005474E7"/>
    <w:rsid w:val="005512A3"/>
    <w:rsid w:val="00556FD3"/>
    <w:rsid w:val="005578CE"/>
    <w:rsid w:val="00562781"/>
    <w:rsid w:val="00562B6C"/>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053FD"/>
    <w:rsid w:val="00611C80"/>
    <w:rsid w:val="00620692"/>
    <w:rsid w:val="00623885"/>
    <w:rsid w:val="006242CA"/>
    <w:rsid w:val="00627507"/>
    <w:rsid w:val="00633717"/>
    <w:rsid w:val="006344E1"/>
    <w:rsid w:val="00643524"/>
    <w:rsid w:val="0064393B"/>
    <w:rsid w:val="00645CF2"/>
    <w:rsid w:val="00653BED"/>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1191D"/>
    <w:rsid w:val="00715127"/>
    <w:rsid w:val="00715E8E"/>
    <w:rsid w:val="00723580"/>
    <w:rsid w:val="00723755"/>
    <w:rsid w:val="0073136C"/>
    <w:rsid w:val="00731F0F"/>
    <w:rsid w:val="00733250"/>
    <w:rsid w:val="00741404"/>
    <w:rsid w:val="007449E5"/>
    <w:rsid w:val="0074750E"/>
    <w:rsid w:val="00747FF0"/>
    <w:rsid w:val="00751066"/>
    <w:rsid w:val="007518EF"/>
    <w:rsid w:val="0075566E"/>
    <w:rsid w:val="00756BC5"/>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094"/>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94E41"/>
    <w:rsid w:val="009A115C"/>
    <w:rsid w:val="009A7FC1"/>
    <w:rsid w:val="009B1606"/>
    <w:rsid w:val="009B1B5F"/>
    <w:rsid w:val="009B6673"/>
    <w:rsid w:val="009C191B"/>
    <w:rsid w:val="009C2BD6"/>
    <w:rsid w:val="009D57AA"/>
    <w:rsid w:val="009E1F32"/>
    <w:rsid w:val="009E2CC2"/>
    <w:rsid w:val="009E47A2"/>
    <w:rsid w:val="009E776C"/>
    <w:rsid w:val="009E79DB"/>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87C10"/>
    <w:rsid w:val="00A90BCD"/>
    <w:rsid w:val="00A92625"/>
    <w:rsid w:val="00A94C20"/>
    <w:rsid w:val="00A95D81"/>
    <w:rsid w:val="00AA1B09"/>
    <w:rsid w:val="00AA227F"/>
    <w:rsid w:val="00AA3BC7"/>
    <w:rsid w:val="00AA5C7E"/>
    <w:rsid w:val="00AA754A"/>
    <w:rsid w:val="00AB099E"/>
    <w:rsid w:val="00AB4328"/>
    <w:rsid w:val="00AC38DE"/>
    <w:rsid w:val="00AC4CD4"/>
    <w:rsid w:val="00AE0A2E"/>
    <w:rsid w:val="00AE354C"/>
    <w:rsid w:val="00AF0257"/>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48F7"/>
    <w:rsid w:val="00B76AC3"/>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29F8"/>
    <w:rsid w:val="00D977B6"/>
    <w:rsid w:val="00DA1223"/>
    <w:rsid w:val="00DA4A31"/>
    <w:rsid w:val="00DA7B04"/>
    <w:rsid w:val="00DB36C2"/>
    <w:rsid w:val="00DC00A8"/>
    <w:rsid w:val="00DC169B"/>
    <w:rsid w:val="00DC2AB9"/>
    <w:rsid w:val="00DC63F0"/>
    <w:rsid w:val="00DD2EDD"/>
    <w:rsid w:val="00DD37EA"/>
    <w:rsid w:val="00DD4CED"/>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38A6"/>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4CB1"/>
    <w:rsid w:val="00F266A2"/>
    <w:rsid w:val="00F32269"/>
    <w:rsid w:val="00F35B7A"/>
    <w:rsid w:val="00F56A6F"/>
    <w:rsid w:val="00F5709C"/>
    <w:rsid w:val="00F60B85"/>
    <w:rsid w:val="00F64B85"/>
    <w:rsid w:val="00F64EF1"/>
    <w:rsid w:val="00F72498"/>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AppNatAutre" w:val="0"/>
    <w:docVar w:name="DateLetter" w:val="13/10/2025 10:45:58"/>
    <w:docVar w:name="DocVarPREMATURE" w:val="0"/>
    <w:docVar w:name="EMM" w:val="0"/>
    <w:docVar w:name="ETRANSMISSION" w:val="BY E-TRANSMISSION ONLY"/>
    <w:docVar w:name="L4_1Annex" w:val="0"/>
    <w:docVar w:name="L4_1Anonymity" w:val="0"/>
    <w:docVar w:name="NBEMMDOC" w:val="0"/>
    <w:docVar w:name="Plural" w:val="0"/>
    <w:docVar w:name="SignForeName" w:val="0"/>
    <w:docVar w:name="SndCaseNumber" w:val="Error!Nodocumentvariablesupplied."/>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606A6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2B5B43"/>
    <w:rPr>
      <w:sz w:val="24"/>
      <w:szCs w:val="24"/>
      <w:lang w:val="en-GB"/>
    </w:rPr>
  </w:style>
  <w:style w:type="paragraph" w:styleId="Heading1">
    <w:name w:val="heading 1"/>
    <w:basedOn w:val="Normal"/>
    <w:next w:val="Normal"/>
    <w:link w:val="Heading1Char"/>
    <w:uiPriority w:val="98"/>
    <w:semiHidden/>
    <w:rsid w:val="002B5B43"/>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2B5B43"/>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2B5B43"/>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2B5B43"/>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2B5B43"/>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2B5B43"/>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2B5B43"/>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2B5B43"/>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2B5B43"/>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2B5B43"/>
    <w:rPr>
      <w:rFonts w:ascii="Tahoma" w:hAnsi="Tahoma" w:cs="Tahoma"/>
      <w:sz w:val="16"/>
      <w:szCs w:val="16"/>
    </w:rPr>
  </w:style>
  <w:style w:type="character" w:customStyle="1" w:styleId="BalloonTextChar">
    <w:name w:val="Balloon Text Char"/>
    <w:basedOn w:val="DefaultParagraphFont"/>
    <w:link w:val="BalloonText"/>
    <w:uiPriority w:val="98"/>
    <w:semiHidden/>
    <w:rsid w:val="002B5B43"/>
    <w:rPr>
      <w:rFonts w:ascii="Tahoma" w:hAnsi="Tahoma" w:cs="Tahoma"/>
      <w:sz w:val="16"/>
      <w:szCs w:val="16"/>
      <w:lang w:val="en-GB"/>
    </w:rPr>
  </w:style>
  <w:style w:type="character" w:styleId="BookTitle">
    <w:name w:val="Book Title"/>
    <w:uiPriority w:val="98"/>
    <w:semiHidden/>
    <w:qFormat/>
    <w:rsid w:val="002B5B43"/>
    <w:rPr>
      <w:i/>
      <w:iCs/>
      <w:smallCaps/>
      <w:spacing w:val="5"/>
    </w:rPr>
  </w:style>
  <w:style w:type="paragraph" w:customStyle="1" w:styleId="JuHeader">
    <w:name w:val="Ju_Header"/>
    <w:aliases w:val="_Header"/>
    <w:basedOn w:val="Header0"/>
    <w:uiPriority w:val="29"/>
    <w:qFormat/>
    <w:rsid w:val="002B5B43"/>
    <w:pPr>
      <w:tabs>
        <w:tab w:val="clear" w:pos="4536"/>
        <w:tab w:val="clear" w:pos="9072"/>
      </w:tabs>
      <w:jc w:val="center"/>
    </w:pPr>
    <w:rPr>
      <w:sz w:val="18"/>
    </w:rPr>
  </w:style>
  <w:style w:type="paragraph" w:customStyle="1" w:styleId="NormalJustified">
    <w:name w:val="Normal_Justified"/>
    <w:basedOn w:val="Normal"/>
    <w:semiHidden/>
    <w:rsid w:val="002B5B43"/>
    <w:pPr>
      <w:jc w:val="both"/>
    </w:pPr>
  </w:style>
  <w:style w:type="character" w:styleId="Strong">
    <w:name w:val="Strong"/>
    <w:uiPriority w:val="98"/>
    <w:semiHidden/>
    <w:qFormat/>
    <w:rsid w:val="002B5B43"/>
    <w:rPr>
      <w:b/>
      <w:bCs/>
    </w:rPr>
  </w:style>
  <w:style w:type="paragraph" w:styleId="NoSpacing">
    <w:name w:val="No Spacing"/>
    <w:basedOn w:val="Normal"/>
    <w:link w:val="NoSpacingChar"/>
    <w:uiPriority w:val="98"/>
    <w:semiHidden/>
    <w:qFormat/>
    <w:rsid w:val="002B5B43"/>
  </w:style>
  <w:style w:type="character" w:customStyle="1" w:styleId="NoSpacingChar">
    <w:name w:val="No Spacing Char"/>
    <w:basedOn w:val="DefaultParagraphFont"/>
    <w:link w:val="NoSpacing"/>
    <w:uiPriority w:val="98"/>
    <w:semiHidden/>
    <w:rsid w:val="002B5B43"/>
    <w:rPr>
      <w:sz w:val="24"/>
      <w:szCs w:val="24"/>
      <w:lang w:val="en-GB"/>
    </w:rPr>
  </w:style>
  <w:style w:type="paragraph" w:customStyle="1" w:styleId="JuQuot">
    <w:name w:val="Ju_Quot"/>
    <w:aliases w:val="_Quote"/>
    <w:basedOn w:val="NormalJustified"/>
    <w:uiPriority w:val="20"/>
    <w:qFormat/>
    <w:rsid w:val="002B5B43"/>
    <w:pPr>
      <w:spacing w:before="120" w:after="120"/>
      <w:ind w:left="425" w:firstLine="142"/>
    </w:pPr>
    <w:rPr>
      <w:sz w:val="20"/>
    </w:rPr>
  </w:style>
  <w:style w:type="paragraph" w:customStyle="1" w:styleId="DummyStyle">
    <w:name w:val="Dummy_Style"/>
    <w:aliases w:val="_Dummy"/>
    <w:basedOn w:val="Normal"/>
    <w:semiHidden/>
    <w:qFormat/>
    <w:rsid w:val="002B5B43"/>
    <w:rPr>
      <w:color w:val="00B050"/>
      <w:sz w:val="22"/>
    </w:rPr>
  </w:style>
  <w:style w:type="paragraph" w:customStyle="1" w:styleId="JuList">
    <w:name w:val="Ju_List"/>
    <w:aliases w:val="_List_1"/>
    <w:basedOn w:val="NormalJustified"/>
    <w:uiPriority w:val="23"/>
    <w:qFormat/>
    <w:rsid w:val="002B5B43"/>
    <w:pPr>
      <w:numPr>
        <w:numId w:val="10"/>
      </w:numPr>
      <w:spacing w:before="280" w:after="60"/>
    </w:pPr>
  </w:style>
  <w:style w:type="paragraph" w:customStyle="1" w:styleId="JuLista">
    <w:name w:val="Ju_List_a"/>
    <w:aliases w:val="_List_2"/>
    <w:basedOn w:val="NormalJustified"/>
    <w:uiPriority w:val="23"/>
    <w:rsid w:val="002B5B43"/>
    <w:pPr>
      <w:numPr>
        <w:ilvl w:val="1"/>
        <w:numId w:val="10"/>
      </w:numPr>
    </w:pPr>
  </w:style>
  <w:style w:type="paragraph" w:customStyle="1" w:styleId="JuListi">
    <w:name w:val="Ju_List_i"/>
    <w:aliases w:val="_List_3"/>
    <w:basedOn w:val="NormalJustified"/>
    <w:uiPriority w:val="23"/>
    <w:rsid w:val="002B5B43"/>
    <w:pPr>
      <w:numPr>
        <w:ilvl w:val="2"/>
        <w:numId w:val="10"/>
      </w:numPr>
    </w:pPr>
  </w:style>
  <w:style w:type="paragraph" w:customStyle="1" w:styleId="JuHArticle">
    <w:name w:val="Ju_H_Article"/>
    <w:aliases w:val="_Title_Quote"/>
    <w:basedOn w:val="Normal"/>
    <w:next w:val="JuQuot"/>
    <w:uiPriority w:val="19"/>
    <w:qFormat/>
    <w:rsid w:val="002B5B43"/>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2B5B43"/>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2B5B43"/>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2B5B43"/>
    <w:pPr>
      <w:keepNext/>
      <w:keepLines/>
      <w:numPr>
        <w:numId w:val="9"/>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2B5B43"/>
    <w:pPr>
      <w:numPr>
        <w:numId w:val="4"/>
      </w:numPr>
    </w:pPr>
  </w:style>
  <w:style w:type="paragraph" w:customStyle="1" w:styleId="JuSigned">
    <w:name w:val="Ju_Signed"/>
    <w:aliases w:val="_Signature"/>
    <w:basedOn w:val="Normal"/>
    <w:next w:val="JuPara"/>
    <w:uiPriority w:val="31"/>
    <w:qFormat/>
    <w:rsid w:val="002B5B43"/>
    <w:pPr>
      <w:tabs>
        <w:tab w:val="center" w:pos="1418"/>
        <w:tab w:val="center" w:pos="5954"/>
      </w:tabs>
      <w:spacing w:before="720"/>
    </w:pPr>
  </w:style>
  <w:style w:type="paragraph" w:styleId="Title">
    <w:name w:val="Title"/>
    <w:basedOn w:val="Normal"/>
    <w:next w:val="Normal"/>
    <w:link w:val="TitleChar"/>
    <w:uiPriority w:val="98"/>
    <w:semiHidden/>
    <w:qFormat/>
    <w:rsid w:val="002B5B43"/>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2B5B43"/>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2B5B43"/>
    <w:pPr>
      <w:numPr>
        <w:numId w:val="5"/>
      </w:numPr>
    </w:pPr>
  </w:style>
  <w:style w:type="numbering" w:customStyle="1" w:styleId="ECHRA1StyleNumberedList">
    <w:name w:val="ECHR_A1_Style_Numbered_List"/>
    <w:basedOn w:val="NoList"/>
    <w:rsid w:val="002B5B43"/>
    <w:pPr>
      <w:numPr>
        <w:numId w:val="6"/>
      </w:numPr>
    </w:pPr>
  </w:style>
  <w:style w:type="table" w:customStyle="1" w:styleId="ECHRTable2019">
    <w:name w:val="ECHR_Table_2019"/>
    <w:basedOn w:val="TableNormal"/>
    <w:uiPriority w:val="99"/>
    <w:rsid w:val="002B5B4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2B5B43"/>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2B5B43"/>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2B5B43"/>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2B5B43"/>
    <w:pPr>
      <w:keepNext/>
      <w:keepLines/>
      <w:numPr>
        <w:ilvl w:val="3"/>
        <w:numId w:val="9"/>
      </w:numPr>
      <w:spacing w:before="100" w:beforeAutospacing="1" w:after="120"/>
      <w:jc w:val="both"/>
    </w:pPr>
    <w:rPr>
      <w:b w:val="0"/>
      <w:color w:val="auto"/>
      <w:sz w:val="24"/>
    </w:rPr>
  </w:style>
  <w:style w:type="paragraph" w:styleId="Header0">
    <w:name w:val="header"/>
    <w:basedOn w:val="Normal"/>
    <w:link w:val="HeaderChar"/>
    <w:uiPriority w:val="98"/>
    <w:semiHidden/>
    <w:rsid w:val="002B5B43"/>
    <w:pPr>
      <w:tabs>
        <w:tab w:val="center" w:pos="4536"/>
        <w:tab w:val="right" w:pos="9072"/>
      </w:tabs>
    </w:pPr>
  </w:style>
  <w:style w:type="character" w:customStyle="1" w:styleId="HeaderChar">
    <w:name w:val="Header Char"/>
    <w:basedOn w:val="DefaultParagraphFont"/>
    <w:link w:val="Header0"/>
    <w:uiPriority w:val="98"/>
    <w:semiHidden/>
    <w:rsid w:val="002B5B43"/>
    <w:rPr>
      <w:sz w:val="24"/>
      <w:szCs w:val="24"/>
      <w:lang w:val="en-GB"/>
    </w:rPr>
  </w:style>
  <w:style w:type="character" w:customStyle="1" w:styleId="Heading1Char">
    <w:name w:val="Heading 1 Char"/>
    <w:basedOn w:val="DefaultParagraphFont"/>
    <w:link w:val="Heading1"/>
    <w:uiPriority w:val="98"/>
    <w:semiHidden/>
    <w:rsid w:val="002B5B43"/>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2B5B43"/>
    <w:pPr>
      <w:keepNext/>
      <w:keepLines/>
      <w:numPr>
        <w:ilvl w:val="4"/>
        <w:numId w:val="9"/>
      </w:numPr>
      <w:spacing w:before="100" w:beforeAutospacing="1" w:after="120"/>
      <w:jc w:val="both"/>
    </w:pPr>
    <w:rPr>
      <w:color w:val="auto"/>
      <w:sz w:val="20"/>
    </w:rPr>
  </w:style>
  <w:style w:type="paragraph" w:customStyle="1" w:styleId="JuHi">
    <w:name w:val="Ju_H_i"/>
    <w:aliases w:val="_Head_6"/>
    <w:basedOn w:val="Heading6"/>
    <w:next w:val="JuPara"/>
    <w:uiPriority w:val="17"/>
    <w:rsid w:val="002B5B43"/>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2B5B43"/>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2B5B43"/>
    <w:pPr>
      <w:keepNext/>
      <w:keepLines/>
      <w:numPr>
        <w:ilvl w:val="6"/>
        <w:numId w:val="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2B5B43"/>
    <w:pPr>
      <w:keepNext/>
      <w:keepLines/>
      <w:numPr>
        <w:ilvl w:val="7"/>
        <w:numId w:val="9"/>
      </w:numPr>
      <w:spacing w:before="100" w:beforeAutospacing="1" w:after="120"/>
      <w:jc w:val="both"/>
    </w:pPr>
    <w:rPr>
      <w:i/>
    </w:rPr>
  </w:style>
  <w:style w:type="character" w:customStyle="1" w:styleId="Heading3Char">
    <w:name w:val="Heading 3 Char"/>
    <w:basedOn w:val="DefaultParagraphFont"/>
    <w:link w:val="Heading3"/>
    <w:uiPriority w:val="98"/>
    <w:semiHidden/>
    <w:rsid w:val="002B5B43"/>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2B5B43"/>
    <w:pPr>
      <w:keepNext/>
      <w:keepLines/>
      <w:spacing w:before="240" w:after="240"/>
      <w:ind w:firstLine="284"/>
    </w:pPr>
  </w:style>
  <w:style w:type="paragraph" w:customStyle="1" w:styleId="JuJudges">
    <w:name w:val="Ju_Judges"/>
    <w:aliases w:val="_Judges"/>
    <w:basedOn w:val="Normal"/>
    <w:uiPriority w:val="32"/>
    <w:qFormat/>
    <w:rsid w:val="002B5B43"/>
    <w:pPr>
      <w:tabs>
        <w:tab w:val="left" w:pos="567"/>
        <w:tab w:val="left" w:pos="1134"/>
      </w:tabs>
    </w:pPr>
  </w:style>
  <w:style w:type="character" w:customStyle="1" w:styleId="Heading4Char">
    <w:name w:val="Heading 4 Char"/>
    <w:basedOn w:val="DefaultParagraphFont"/>
    <w:link w:val="Heading4"/>
    <w:uiPriority w:val="98"/>
    <w:semiHidden/>
    <w:rsid w:val="002B5B43"/>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2B5B43"/>
    <w:pPr>
      <w:tabs>
        <w:tab w:val="center" w:pos="6407"/>
      </w:tabs>
      <w:spacing w:before="720"/>
      <w:jc w:val="right"/>
    </w:pPr>
  </w:style>
  <w:style w:type="character" w:customStyle="1" w:styleId="Heading5Char">
    <w:name w:val="Heading 5 Char"/>
    <w:basedOn w:val="DefaultParagraphFont"/>
    <w:link w:val="Heading5"/>
    <w:uiPriority w:val="98"/>
    <w:semiHidden/>
    <w:rsid w:val="002B5B43"/>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2B5B43"/>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2B5B43"/>
    <w:rPr>
      <w:caps w:val="0"/>
      <w:smallCaps/>
    </w:rPr>
  </w:style>
  <w:style w:type="character" w:styleId="SubtleEmphasis">
    <w:name w:val="Subtle Emphasis"/>
    <w:uiPriority w:val="98"/>
    <w:semiHidden/>
    <w:qFormat/>
    <w:rsid w:val="002B5B43"/>
    <w:rPr>
      <w:i/>
      <w:iCs/>
    </w:rPr>
  </w:style>
  <w:style w:type="table" w:customStyle="1" w:styleId="ECHRTable">
    <w:name w:val="ECHR_Table"/>
    <w:basedOn w:val="TableNormal"/>
    <w:rsid w:val="002B5B4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2B5B43"/>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2B5B43"/>
    <w:rPr>
      <w:b/>
      <w:bCs/>
      <w:i/>
      <w:iCs/>
      <w:spacing w:val="10"/>
      <w:bdr w:val="none" w:sz="0" w:space="0" w:color="auto"/>
      <w:shd w:val="clear" w:color="auto" w:fill="auto"/>
    </w:rPr>
  </w:style>
  <w:style w:type="paragraph" w:styleId="Footer1">
    <w:name w:val="footer"/>
    <w:basedOn w:val="Normal"/>
    <w:link w:val="FooterChar"/>
    <w:uiPriority w:val="98"/>
    <w:semiHidden/>
    <w:rsid w:val="002B5B43"/>
    <w:pPr>
      <w:tabs>
        <w:tab w:val="center" w:pos="3686"/>
        <w:tab w:val="right" w:pos="7371"/>
      </w:tabs>
    </w:pPr>
  </w:style>
  <w:style w:type="character" w:customStyle="1" w:styleId="FooterChar">
    <w:name w:val="Footer Char"/>
    <w:basedOn w:val="DefaultParagraphFont"/>
    <w:link w:val="Footer1"/>
    <w:uiPriority w:val="98"/>
    <w:semiHidden/>
    <w:rsid w:val="002B5B43"/>
    <w:rPr>
      <w:sz w:val="24"/>
      <w:szCs w:val="24"/>
      <w:lang w:val="en-GB"/>
    </w:rPr>
  </w:style>
  <w:style w:type="character" w:styleId="FootnoteReference">
    <w:name w:val="footnote reference"/>
    <w:basedOn w:val="DefaultParagraphFont"/>
    <w:uiPriority w:val="98"/>
    <w:semiHidden/>
    <w:rsid w:val="002B5B43"/>
    <w:rPr>
      <w:vertAlign w:val="superscript"/>
    </w:rPr>
  </w:style>
  <w:style w:type="paragraph" w:styleId="FootnoteText">
    <w:name w:val="footnote text"/>
    <w:basedOn w:val="NormalJustified"/>
    <w:link w:val="FootnoteTextChar"/>
    <w:uiPriority w:val="98"/>
    <w:semiHidden/>
    <w:rsid w:val="002B5B43"/>
    <w:rPr>
      <w:sz w:val="20"/>
      <w:szCs w:val="20"/>
    </w:rPr>
  </w:style>
  <w:style w:type="character" w:customStyle="1" w:styleId="FootnoteTextChar">
    <w:name w:val="Footnote Text Char"/>
    <w:basedOn w:val="DefaultParagraphFont"/>
    <w:link w:val="FootnoteText"/>
    <w:uiPriority w:val="98"/>
    <w:semiHidden/>
    <w:rsid w:val="002B5B43"/>
    <w:rPr>
      <w:sz w:val="20"/>
      <w:szCs w:val="20"/>
      <w:lang w:val="en-GB"/>
    </w:rPr>
  </w:style>
  <w:style w:type="character" w:customStyle="1" w:styleId="Heading6Char">
    <w:name w:val="Heading 6 Char"/>
    <w:basedOn w:val="DefaultParagraphFont"/>
    <w:link w:val="Heading6"/>
    <w:uiPriority w:val="98"/>
    <w:semiHidden/>
    <w:rsid w:val="002B5B43"/>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2B5B43"/>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2B5B43"/>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2B5B43"/>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rsid w:val="002B5B43"/>
    <w:rPr>
      <w:color w:val="0072BC" w:themeColor="hyperlink"/>
      <w:u w:val="single"/>
    </w:rPr>
  </w:style>
  <w:style w:type="character" w:styleId="IntenseEmphasis">
    <w:name w:val="Intense Emphasis"/>
    <w:uiPriority w:val="98"/>
    <w:semiHidden/>
    <w:qFormat/>
    <w:rsid w:val="002B5B43"/>
    <w:rPr>
      <w:b/>
      <w:bCs/>
    </w:rPr>
  </w:style>
  <w:style w:type="paragraph" w:styleId="IntenseQuote">
    <w:name w:val="Intense Quote"/>
    <w:basedOn w:val="Normal"/>
    <w:next w:val="Normal"/>
    <w:link w:val="IntenseQuoteChar"/>
    <w:uiPriority w:val="98"/>
    <w:semiHidden/>
    <w:qFormat/>
    <w:rsid w:val="002B5B43"/>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2B5B43"/>
    <w:rPr>
      <w:b/>
      <w:bCs/>
      <w:i/>
      <w:iCs/>
      <w:sz w:val="24"/>
      <w:szCs w:val="24"/>
      <w:lang w:val="en-GB" w:bidi="en-US"/>
    </w:rPr>
  </w:style>
  <w:style w:type="character" w:styleId="IntenseReference">
    <w:name w:val="Intense Reference"/>
    <w:uiPriority w:val="98"/>
    <w:semiHidden/>
    <w:qFormat/>
    <w:rsid w:val="002B5B43"/>
    <w:rPr>
      <w:smallCaps/>
      <w:spacing w:val="5"/>
      <w:u w:val="single"/>
    </w:rPr>
  </w:style>
  <w:style w:type="paragraph" w:styleId="ListParagraph">
    <w:name w:val="List Paragraph"/>
    <w:basedOn w:val="Normal"/>
    <w:uiPriority w:val="98"/>
    <w:semiHidden/>
    <w:qFormat/>
    <w:rsid w:val="002B5B43"/>
    <w:pPr>
      <w:ind w:left="720"/>
      <w:contextualSpacing/>
    </w:pPr>
  </w:style>
  <w:style w:type="table" w:customStyle="1" w:styleId="LtrTableAddress">
    <w:name w:val="Ltr_Table_Address"/>
    <w:aliases w:val="ECHR_Ltr_Table_Address"/>
    <w:basedOn w:val="TableNormal"/>
    <w:uiPriority w:val="99"/>
    <w:rsid w:val="002B5B43"/>
    <w:rPr>
      <w:sz w:val="24"/>
      <w:szCs w:val="24"/>
    </w:rPr>
    <w:tblPr>
      <w:tblInd w:w="5103" w:type="dxa"/>
    </w:tblPr>
  </w:style>
  <w:style w:type="paragraph" w:styleId="Quote0">
    <w:name w:val="Quote"/>
    <w:basedOn w:val="Normal"/>
    <w:next w:val="Normal"/>
    <w:link w:val="QuoteChar"/>
    <w:uiPriority w:val="98"/>
    <w:semiHidden/>
    <w:qFormat/>
    <w:rsid w:val="002B5B43"/>
    <w:pPr>
      <w:spacing w:before="200"/>
      <w:ind w:left="360" w:right="360"/>
    </w:pPr>
    <w:rPr>
      <w:i/>
      <w:iCs/>
      <w:lang w:bidi="en-US"/>
    </w:rPr>
  </w:style>
  <w:style w:type="character" w:customStyle="1" w:styleId="QuoteChar">
    <w:name w:val="Quote Char"/>
    <w:basedOn w:val="DefaultParagraphFont"/>
    <w:link w:val="Quote0"/>
    <w:uiPriority w:val="98"/>
    <w:semiHidden/>
    <w:rsid w:val="002B5B43"/>
    <w:rPr>
      <w:i/>
      <w:iCs/>
      <w:sz w:val="24"/>
      <w:szCs w:val="24"/>
      <w:lang w:val="en-GB" w:bidi="en-US"/>
    </w:rPr>
  </w:style>
  <w:style w:type="character" w:styleId="SubtleReference">
    <w:name w:val="Subtle Reference"/>
    <w:uiPriority w:val="98"/>
    <w:semiHidden/>
    <w:qFormat/>
    <w:rsid w:val="002B5B43"/>
    <w:rPr>
      <w:smallCaps/>
    </w:rPr>
  </w:style>
  <w:style w:type="table" w:styleId="TableGrid">
    <w:name w:val="Table Grid"/>
    <w:basedOn w:val="TableNormal"/>
    <w:uiPriority w:val="59"/>
    <w:rsid w:val="002B5B43"/>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2B5B43"/>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2B5B43"/>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2B5B43"/>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2B5B43"/>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2B5B43"/>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2B5B43"/>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2B5B43"/>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2B5B43"/>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2B5B43"/>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2B5B43"/>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B5B43"/>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2B5B43"/>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2B5B43"/>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2B5B43"/>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2B5B43"/>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2B5B43"/>
    <w:pPr>
      <w:numPr>
        <w:numId w:val="1"/>
      </w:numPr>
    </w:pPr>
  </w:style>
  <w:style w:type="paragraph" w:customStyle="1" w:styleId="JuPara">
    <w:name w:val="Ju_Para"/>
    <w:aliases w:val="_Para"/>
    <w:basedOn w:val="NormalJustified"/>
    <w:link w:val="JuParaChar"/>
    <w:uiPriority w:val="4"/>
    <w:qFormat/>
    <w:rsid w:val="002B5B43"/>
    <w:pPr>
      <w:ind w:firstLine="284"/>
    </w:pPr>
  </w:style>
  <w:style w:type="numbering" w:styleId="1ai">
    <w:name w:val="Outline List 1"/>
    <w:basedOn w:val="NoList"/>
    <w:uiPriority w:val="99"/>
    <w:semiHidden/>
    <w:unhideWhenUsed/>
    <w:rsid w:val="002B5B43"/>
    <w:pPr>
      <w:numPr>
        <w:numId w:val="2"/>
      </w:numPr>
    </w:pPr>
  </w:style>
  <w:style w:type="table" w:customStyle="1" w:styleId="ECHRTableSimpleBox">
    <w:name w:val="ECHR_Table_Simple_Box"/>
    <w:basedOn w:val="TableNormal"/>
    <w:uiPriority w:val="99"/>
    <w:rsid w:val="002B5B43"/>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2B5B43"/>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2B5B43"/>
    <w:pPr>
      <w:numPr>
        <w:numId w:val="3"/>
      </w:numPr>
    </w:pPr>
  </w:style>
  <w:style w:type="table" w:customStyle="1" w:styleId="ECHRTableForInternalUse">
    <w:name w:val="ECHR_Table_For_Internal_Use"/>
    <w:basedOn w:val="TableNormal"/>
    <w:uiPriority w:val="99"/>
    <w:rsid w:val="002B5B43"/>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2B5B43"/>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2B5B43"/>
  </w:style>
  <w:style w:type="paragraph" w:styleId="BlockText">
    <w:name w:val="Block Text"/>
    <w:basedOn w:val="Normal"/>
    <w:uiPriority w:val="98"/>
    <w:semiHidden/>
    <w:rsid w:val="002B5B43"/>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2B5B43"/>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2B5B43"/>
    <w:pPr>
      <w:spacing w:after="120"/>
    </w:pPr>
  </w:style>
  <w:style w:type="character" w:customStyle="1" w:styleId="BodyTextChar">
    <w:name w:val="Body Text Char"/>
    <w:basedOn w:val="DefaultParagraphFont"/>
    <w:link w:val="BodyText"/>
    <w:uiPriority w:val="98"/>
    <w:semiHidden/>
    <w:rsid w:val="002B5B43"/>
    <w:rPr>
      <w:sz w:val="24"/>
      <w:szCs w:val="24"/>
      <w:lang w:val="en-GB"/>
    </w:rPr>
  </w:style>
  <w:style w:type="table" w:customStyle="1" w:styleId="ECHRTableOddBanded">
    <w:name w:val="ECHR_Table_Odd_Banded"/>
    <w:basedOn w:val="TableNormal"/>
    <w:uiPriority w:val="99"/>
    <w:rsid w:val="002B5B4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2B5B43"/>
    <w:pPr>
      <w:spacing w:after="120" w:line="480" w:lineRule="auto"/>
    </w:pPr>
  </w:style>
  <w:style w:type="table" w:customStyle="1" w:styleId="ECHRHeaderTableReduced">
    <w:name w:val="ECHR_Header_Table_Reduced"/>
    <w:basedOn w:val="TableNormal"/>
    <w:uiPriority w:val="99"/>
    <w:rsid w:val="002B5B43"/>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2B5B43"/>
    <w:pPr>
      <w:ind w:firstLine="284"/>
    </w:pPr>
    <w:rPr>
      <w:b/>
    </w:rPr>
  </w:style>
  <w:style w:type="character" w:styleId="PageNumber">
    <w:name w:val="page number"/>
    <w:uiPriority w:val="98"/>
    <w:semiHidden/>
    <w:rsid w:val="002B5B43"/>
    <w:rPr>
      <w:sz w:val="18"/>
    </w:rPr>
  </w:style>
  <w:style w:type="paragraph" w:styleId="ListBullet">
    <w:name w:val="List Bullet"/>
    <w:basedOn w:val="Normal"/>
    <w:uiPriority w:val="98"/>
    <w:semiHidden/>
    <w:rsid w:val="002B5B43"/>
    <w:pPr>
      <w:numPr>
        <w:numId w:val="11"/>
      </w:numPr>
    </w:pPr>
  </w:style>
  <w:style w:type="paragraph" w:styleId="ListBullet3">
    <w:name w:val="List Bullet 3"/>
    <w:basedOn w:val="Normal"/>
    <w:uiPriority w:val="98"/>
    <w:semiHidden/>
    <w:rsid w:val="002B5B43"/>
    <w:pPr>
      <w:numPr>
        <w:numId w:val="13"/>
      </w:numPr>
      <w:contextualSpacing/>
    </w:pPr>
  </w:style>
  <w:style w:type="character" w:customStyle="1" w:styleId="BodyText2Char">
    <w:name w:val="Body Text 2 Char"/>
    <w:basedOn w:val="DefaultParagraphFont"/>
    <w:link w:val="BodyText2"/>
    <w:uiPriority w:val="98"/>
    <w:semiHidden/>
    <w:rsid w:val="002B5B43"/>
    <w:rPr>
      <w:sz w:val="24"/>
      <w:szCs w:val="24"/>
      <w:lang w:val="en-GB"/>
    </w:rPr>
  </w:style>
  <w:style w:type="paragraph" w:styleId="BodyText3">
    <w:name w:val="Body Text 3"/>
    <w:basedOn w:val="Normal"/>
    <w:link w:val="BodyText3Char"/>
    <w:uiPriority w:val="98"/>
    <w:semiHidden/>
    <w:rsid w:val="002B5B43"/>
    <w:pPr>
      <w:spacing w:after="120"/>
    </w:pPr>
    <w:rPr>
      <w:sz w:val="16"/>
      <w:szCs w:val="16"/>
    </w:rPr>
  </w:style>
  <w:style w:type="character" w:customStyle="1" w:styleId="BodyText3Char">
    <w:name w:val="Body Text 3 Char"/>
    <w:basedOn w:val="DefaultParagraphFont"/>
    <w:link w:val="BodyText3"/>
    <w:uiPriority w:val="98"/>
    <w:semiHidden/>
    <w:rsid w:val="002B5B43"/>
    <w:rPr>
      <w:sz w:val="16"/>
      <w:szCs w:val="16"/>
      <w:lang w:val="en-GB"/>
    </w:rPr>
  </w:style>
  <w:style w:type="paragraph" w:styleId="BodyTextFirstIndent">
    <w:name w:val="Body Text First Indent"/>
    <w:basedOn w:val="BodyText"/>
    <w:link w:val="BodyTextFirstIndentChar"/>
    <w:uiPriority w:val="98"/>
    <w:semiHidden/>
    <w:rsid w:val="002B5B43"/>
    <w:pPr>
      <w:spacing w:after="0"/>
      <w:ind w:firstLine="360"/>
    </w:pPr>
  </w:style>
  <w:style w:type="character" w:customStyle="1" w:styleId="BodyTextFirstIndentChar">
    <w:name w:val="Body Text First Indent Char"/>
    <w:basedOn w:val="BodyTextChar"/>
    <w:link w:val="BodyTextFirstIndent"/>
    <w:uiPriority w:val="98"/>
    <w:semiHidden/>
    <w:rsid w:val="002B5B43"/>
    <w:rPr>
      <w:sz w:val="24"/>
      <w:szCs w:val="24"/>
      <w:lang w:val="en-GB"/>
    </w:rPr>
  </w:style>
  <w:style w:type="paragraph" w:styleId="BodyTextIndent">
    <w:name w:val="Body Text Indent"/>
    <w:basedOn w:val="Normal"/>
    <w:link w:val="BodyTextIndentChar"/>
    <w:uiPriority w:val="98"/>
    <w:semiHidden/>
    <w:rsid w:val="002B5B43"/>
    <w:pPr>
      <w:spacing w:after="120"/>
      <w:ind w:left="283"/>
    </w:pPr>
  </w:style>
  <w:style w:type="character" w:customStyle="1" w:styleId="BodyTextIndentChar">
    <w:name w:val="Body Text Indent Char"/>
    <w:basedOn w:val="DefaultParagraphFont"/>
    <w:link w:val="BodyTextIndent"/>
    <w:uiPriority w:val="98"/>
    <w:semiHidden/>
    <w:rsid w:val="002B5B43"/>
    <w:rPr>
      <w:sz w:val="24"/>
      <w:szCs w:val="24"/>
      <w:lang w:val="en-GB"/>
    </w:rPr>
  </w:style>
  <w:style w:type="paragraph" w:styleId="BodyTextFirstIndent2">
    <w:name w:val="Body Text First Indent 2"/>
    <w:basedOn w:val="BodyTextIndent"/>
    <w:link w:val="BodyTextFirstIndent2Char"/>
    <w:uiPriority w:val="98"/>
    <w:semiHidden/>
    <w:rsid w:val="002B5B43"/>
    <w:pPr>
      <w:spacing w:after="0"/>
      <w:ind w:left="360" w:firstLine="360"/>
    </w:pPr>
  </w:style>
  <w:style w:type="character" w:customStyle="1" w:styleId="BodyTextFirstIndent2Char">
    <w:name w:val="Body Text First Indent 2 Char"/>
    <w:basedOn w:val="BodyTextIndentChar"/>
    <w:link w:val="BodyTextFirstIndent2"/>
    <w:uiPriority w:val="98"/>
    <w:semiHidden/>
    <w:rsid w:val="002B5B43"/>
    <w:rPr>
      <w:sz w:val="24"/>
      <w:szCs w:val="24"/>
      <w:lang w:val="en-GB"/>
    </w:rPr>
  </w:style>
  <w:style w:type="paragraph" w:styleId="BodyTextIndent2">
    <w:name w:val="Body Text Indent 2"/>
    <w:basedOn w:val="Normal"/>
    <w:link w:val="BodyTextIndent2Char"/>
    <w:uiPriority w:val="98"/>
    <w:semiHidden/>
    <w:rsid w:val="002B5B43"/>
    <w:pPr>
      <w:spacing w:after="120" w:line="480" w:lineRule="auto"/>
      <w:ind w:left="283"/>
    </w:pPr>
  </w:style>
  <w:style w:type="character" w:customStyle="1" w:styleId="BodyTextIndent2Char">
    <w:name w:val="Body Text Indent 2 Char"/>
    <w:basedOn w:val="DefaultParagraphFont"/>
    <w:link w:val="BodyTextIndent2"/>
    <w:uiPriority w:val="98"/>
    <w:semiHidden/>
    <w:rsid w:val="002B5B43"/>
    <w:rPr>
      <w:sz w:val="24"/>
      <w:szCs w:val="24"/>
      <w:lang w:val="en-GB"/>
    </w:rPr>
  </w:style>
  <w:style w:type="paragraph" w:styleId="BodyTextIndent3">
    <w:name w:val="Body Text Indent 3"/>
    <w:basedOn w:val="Normal"/>
    <w:link w:val="BodyTextIndent3Char"/>
    <w:uiPriority w:val="98"/>
    <w:semiHidden/>
    <w:rsid w:val="002B5B43"/>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2B5B43"/>
    <w:rPr>
      <w:sz w:val="16"/>
      <w:szCs w:val="16"/>
      <w:lang w:val="en-GB"/>
    </w:rPr>
  </w:style>
  <w:style w:type="paragraph" w:styleId="Caption">
    <w:name w:val="caption"/>
    <w:basedOn w:val="Normal"/>
    <w:next w:val="Normal"/>
    <w:uiPriority w:val="98"/>
    <w:semiHidden/>
    <w:qFormat/>
    <w:rsid w:val="002B5B43"/>
    <w:pPr>
      <w:spacing w:after="200"/>
    </w:pPr>
    <w:rPr>
      <w:b/>
      <w:bCs/>
      <w:color w:val="0072BC" w:themeColor="accent1"/>
      <w:sz w:val="18"/>
      <w:szCs w:val="18"/>
    </w:rPr>
  </w:style>
  <w:style w:type="paragraph" w:styleId="Closing">
    <w:name w:val="Closing"/>
    <w:basedOn w:val="Normal"/>
    <w:link w:val="ClosingChar"/>
    <w:uiPriority w:val="98"/>
    <w:semiHidden/>
    <w:rsid w:val="002B5B43"/>
    <w:pPr>
      <w:ind w:left="4252"/>
    </w:pPr>
  </w:style>
  <w:style w:type="character" w:customStyle="1" w:styleId="ClosingChar">
    <w:name w:val="Closing Char"/>
    <w:basedOn w:val="DefaultParagraphFont"/>
    <w:link w:val="Closing"/>
    <w:uiPriority w:val="98"/>
    <w:semiHidden/>
    <w:rsid w:val="002B5B43"/>
    <w:rPr>
      <w:sz w:val="24"/>
      <w:szCs w:val="24"/>
      <w:lang w:val="en-GB"/>
    </w:rPr>
  </w:style>
  <w:style w:type="table" w:styleId="ColorfulGrid">
    <w:name w:val="Colorful Grid"/>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2B5B43"/>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B5B43"/>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B5B43"/>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B5B43"/>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2B5B43"/>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B5B43"/>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B5B43"/>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B5B43"/>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2B5B43"/>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B5B43"/>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B5B43"/>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2B5B43"/>
    <w:rPr>
      <w:sz w:val="16"/>
      <w:szCs w:val="16"/>
    </w:rPr>
  </w:style>
  <w:style w:type="paragraph" w:styleId="CommentText">
    <w:name w:val="annotation text"/>
    <w:basedOn w:val="Normal"/>
    <w:link w:val="CommentTextChar"/>
    <w:uiPriority w:val="98"/>
    <w:semiHidden/>
    <w:rsid w:val="002B5B43"/>
    <w:rPr>
      <w:sz w:val="20"/>
      <w:szCs w:val="20"/>
    </w:rPr>
  </w:style>
  <w:style w:type="character" w:customStyle="1" w:styleId="CommentTextChar">
    <w:name w:val="Comment Text Char"/>
    <w:basedOn w:val="DefaultParagraphFont"/>
    <w:link w:val="CommentText"/>
    <w:uiPriority w:val="98"/>
    <w:semiHidden/>
    <w:rsid w:val="002B5B43"/>
    <w:rPr>
      <w:sz w:val="20"/>
      <w:szCs w:val="20"/>
      <w:lang w:val="en-GB"/>
    </w:rPr>
  </w:style>
  <w:style w:type="paragraph" w:styleId="CommentSubject">
    <w:name w:val="annotation subject"/>
    <w:basedOn w:val="CommentText"/>
    <w:next w:val="CommentText"/>
    <w:link w:val="CommentSubjectChar"/>
    <w:uiPriority w:val="98"/>
    <w:semiHidden/>
    <w:rsid w:val="002B5B43"/>
    <w:rPr>
      <w:b/>
      <w:bCs/>
    </w:rPr>
  </w:style>
  <w:style w:type="character" w:customStyle="1" w:styleId="CommentSubjectChar">
    <w:name w:val="Comment Subject Char"/>
    <w:basedOn w:val="CommentTextChar"/>
    <w:link w:val="CommentSubject"/>
    <w:uiPriority w:val="98"/>
    <w:semiHidden/>
    <w:rsid w:val="002B5B43"/>
    <w:rPr>
      <w:b/>
      <w:bCs/>
      <w:sz w:val="20"/>
      <w:szCs w:val="20"/>
      <w:lang w:val="en-GB"/>
    </w:rPr>
  </w:style>
  <w:style w:type="table" w:styleId="DarkList">
    <w:name w:val="Dark List"/>
    <w:basedOn w:val="TableNormal"/>
    <w:uiPriority w:val="70"/>
    <w:semiHidden/>
    <w:rsid w:val="002B5B43"/>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B5B43"/>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B5B43"/>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B5B43"/>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2B5B43"/>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B5B43"/>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B5B43"/>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2B5B43"/>
  </w:style>
  <w:style w:type="character" w:customStyle="1" w:styleId="DateChar">
    <w:name w:val="Date Char"/>
    <w:basedOn w:val="DefaultParagraphFont"/>
    <w:link w:val="Date"/>
    <w:uiPriority w:val="98"/>
    <w:semiHidden/>
    <w:rsid w:val="002B5B43"/>
    <w:rPr>
      <w:sz w:val="24"/>
      <w:szCs w:val="24"/>
      <w:lang w:val="en-GB"/>
    </w:rPr>
  </w:style>
  <w:style w:type="paragraph" w:styleId="DocumentMap">
    <w:name w:val="Document Map"/>
    <w:basedOn w:val="Normal"/>
    <w:link w:val="DocumentMapChar"/>
    <w:uiPriority w:val="98"/>
    <w:semiHidden/>
    <w:rsid w:val="002B5B43"/>
    <w:rPr>
      <w:rFonts w:ascii="Tahoma" w:hAnsi="Tahoma" w:cs="Tahoma"/>
      <w:sz w:val="16"/>
      <w:szCs w:val="16"/>
    </w:rPr>
  </w:style>
  <w:style w:type="character" w:customStyle="1" w:styleId="DocumentMapChar">
    <w:name w:val="Document Map Char"/>
    <w:basedOn w:val="DefaultParagraphFont"/>
    <w:link w:val="DocumentMap"/>
    <w:uiPriority w:val="98"/>
    <w:semiHidden/>
    <w:rsid w:val="002B5B43"/>
    <w:rPr>
      <w:rFonts w:ascii="Tahoma" w:hAnsi="Tahoma" w:cs="Tahoma"/>
      <w:sz w:val="16"/>
      <w:szCs w:val="16"/>
      <w:lang w:val="en-GB"/>
    </w:rPr>
  </w:style>
  <w:style w:type="paragraph" w:styleId="E-mailSignature">
    <w:name w:val="E-mail Signature"/>
    <w:basedOn w:val="Normal"/>
    <w:link w:val="E-mailSignatureChar"/>
    <w:uiPriority w:val="98"/>
    <w:semiHidden/>
    <w:rsid w:val="002B5B43"/>
  </w:style>
  <w:style w:type="character" w:customStyle="1" w:styleId="E-mailSignatureChar">
    <w:name w:val="E-mail Signature Char"/>
    <w:basedOn w:val="DefaultParagraphFont"/>
    <w:link w:val="E-mailSignature"/>
    <w:uiPriority w:val="98"/>
    <w:semiHidden/>
    <w:rsid w:val="002B5B43"/>
    <w:rPr>
      <w:sz w:val="24"/>
      <w:szCs w:val="24"/>
      <w:lang w:val="en-GB"/>
    </w:rPr>
  </w:style>
  <w:style w:type="character" w:styleId="EndnoteReference">
    <w:name w:val="endnote reference"/>
    <w:basedOn w:val="DefaultParagraphFont"/>
    <w:uiPriority w:val="98"/>
    <w:semiHidden/>
    <w:rsid w:val="002B5B43"/>
    <w:rPr>
      <w:vertAlign w:val="superscript"/>
    </w:rPr>
  </w:style>
  <w:style w:type="paragraph" w:styleId="EndnoteText">
    <w:name w:val="endnote text"/>
    <w:basedOn w:val="Normal"/>
    <w:link w:val="EndnoteTextChar"/>
    <w:uiPriority w:val="98"/>
    <w:semiHidden/>
    <w:rsid w:val="002B5B43"/>
    <w:rPr>
      <w:sz w:val="20"/>
      <w:szCs w:val="20"/>
    </w:rPr>
  </w:style>
  <w:style w:type="character" w:customStyle="1" w:styleId="EndnoteTextChar">
    <w:name w:val="Endnote Text Char"/>
    <w:basedOn w:val="DefaultParagraphFont"/>
    <w:link w:val="EndnoteText"/>
    <w:uiPriority w:val="98"/>
    <w:semiHidden/>
    <w:rsid w:val="002B5B43"/>
    <w:rPr>
      <w:sz w:val="20"/>
      <w:szCs w:val="20"/>
      <w:lang w:val="en-GB"/>
    </w:rPr>
  </w:style>
  <w:style w:type="paragraph" w:styleId="EnvelopeAddress">
    <w:name w:val="envelope address"/>
    <w:basedOn w:val="Normal"/>
    <w:uiPriority w:val="98"/>
    <w:semiHidden/>
    <w:rsid w:val="002B5B43"/>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2B5B43"/>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2B5B43"/>
    <w:rPr>
      <w:color w:val="7030A0" w:themeColor="followedHyperlink"/>
      <w:u w:val="single"/>
    </w:rPr>
  </w:style>
  <w:style w:type="character" w:styleId="HTMLAcronym">
    <w:name w:val="HTML Acronym"/>
    <w:basedOn w:val="DefaultParagraphFont"/>
    <w:uiPriority w:val="98"/>
    <w:semiHidden/>
    <w:rsid w:val="002B5B43"/>
  </w:style>
  <w:style w:type="paragraph" w:styleId="HTMLAddress">
    <w:name w:val="HTML Address"/>
    <w:basedOn w:val="Normal"/>
    <w:link w:val="HTMLAddressChar"/>
    <w:uiPriority w:val="98"/>
    <w:semiHidden/>
    <w:rsid w:val="002B5B43"/>
    <w:rPr>
      <w:i/>
      <w:iCs/>
    </w:rPr>
  </w:style>
  <w:style w:type="character" w:customStyle="1" w:styleId="HTMLAddressChar">
    <w:name w:val="HTML Address Char"/>
    <w:basedOn w:val="DefaultParagraphFont"/>
    <w:link w:val="HTMLAddress"/>
    <w:uiPriority w:val="98"/>
    <w:semiHidden/>
    <w:rsid w:val="002B5B43"/>
    <w:rPr>
      <w:i/>
      <w:iCs/>
      <w:sz w:val="24"/>
      <w:szCs w:val="24"/>
      <w:lang w:val="en-GB"/>
    </w:rPr>
  </w:style>
  <w:style w:type="character" w:styleId="HTMLCite">
    <w:name w:val="HTML Cite"/>
    <w:basedOn w:val="DefaultParagraphFont"/>
    <w:uiPriority w:val="98"/>
    <w:semiHidden/>
    <w:rsid w:val="002B5B43"/>
    <w:rPr>
      <w:i/>
      <w:iCs/>
    </w:rPr>
  </w:style>
  <w:style w:type="character" w:styleId="HTMLCode">
    <w:name w:val="HTML Code"/>
    <w:basedOn w:val="DefaultParagraphFont"/>
    <w:uiPriority w:val="98"/>
    <w:semiHidden/>
    <w:rsid w:val="002B5B43"/>
    <w:rPr>
      <w:rFonts w:ascii="Consolas" w:hAnsi="Consolas" w:cs="Consolas"/>
      <w:sz w:val="20"/>
      <w:szCs w:val="20"/>
    </w:rPr>
  </w:style>
  <w:style w:type="character" w:styleId="HTMLDefinition">
    <w:name w:val="HTML Definition"/>
    <w:basedOn w:val="DefaultParagraphFont"/>
    <w:uiPriority w:val="98"/>
    <w:semiHidden/>
    <w:rsid w:val="002B5B43"/>
    <w:rPr>
      <w:i/>
      <w:iCs/>
    </w:rPr>
  </w:style>
  <w:style w:type="character" w:styleId="HTMLKeyboard">
    <w:name w:val="HTML Keyboard"/>
    <w:basedOn w:val="DefaultParagraphFont"/>
    <w:uiPriority w:val="98"/>
    <w:semiHidden/>
    <w:rsid w:val="002B5B43"/>
    <w:rPr>
      <w:rFonts w:ascii="Consolas" w:hAnsi="Consolas" w:cs="Consolas"/>
      <w:sz w:val="20"/>
      <w:szCs w:val="20"/>
    </w:rPr>
  </w:style>
  <w:style w:type="paragraph" w:styleId="HTMLPreformatted">
    <w:name w:val="HTML Preformatted"/>
    <w:basedOn w:val="Normal"/>
    <w:link w:val="HTMLPreformattedChar"/>
    <w:uiPriority w:val="98"/>
    <w:semiHidden/>
    <w:rsid w:val="002B5B43"/>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2B5B43"/>
    <w:rPr>
      <w:rFonts w:ascii="Consolas" w:hAnsi="Consolas" w:cs="Consolas"/>
      <w:sz w:val="20"/>
      <w:szCs w:val="20"/>
      <w:lang w:val="en-GB"/>
    </w:rPr>
  </w:style>
  <w:style w:type="character" w:styleId="HTMLSample">
    <w:name w:val="HTML Sample"/>
    <w:basedOn w:val="DefaultParagraphFont"/>
    <w:uiPriority w:val="98"/>
    <w:semiHidden/>
    <w:rsid w:val="002B5B43"/>
    <w:rPr>
      <w:rFonts w:ascii="Consolas" w:hAnsi="Consolas" w:cs="Consolas"/>
      <w:sz w:val="24"/>
      <w:szCs w:val="24"/>
    </w:rPr>
  </w:style>
  <w:style w:type="character" w:styleId="HTMLTypewriter">
    <w:name w:val="HTML Typewriter"/>
    <w:basedOn w:val="DefaultParagraphFont"/>
    <w:uiPriority w:val="98"/>
    <w:semiHidden/>
    <w:rsid w:val="002B5B43"/>
    <w:rPr>
      <w:rFonts w:ascii="Consolas" w:hAnsi="Consolas" w:cs="Consolas"/>
      <w:sz w:val="20"/>
      <w:szCs w:val="20"/>
    </w:rPr>
  </w:style>
  <w:style w:type="character" w:styleId="HTMLVariable">
    <w:name w:val="HTML Variable"/>
    <w:basedOn w:val="DefaultParagraphFont"/>
    <w:uiPriority w:val="98"/>
    <w:semiHidden/>
    <w:rsid w:val="002B5B43"/>
    <w:rPr>
      <w:i/>
      <w:iCs/>
    </w:rPr>
  </w:style>
  <w:style w:type="paragraph" w:styleId="Index1">
    <w:name w:val="index 1"/>
    <w:basedOn w:val="Normal"/>
    <w:next w:val="Normal"/>
    <w:autoRedefine/>
    <w:uiPriority w:val="98"/>
    <w:semiHidden/>
    <w:rsid w:val="002B5B43"/>
    <w:pPr>
      <w:ind w:left="240" w:hanging="240"/>
    </w:pPr>
  </w:style>
  <w:style w:type="paragraph" w:styleId="Index2">
    <w:name w:val="index 2"/>
    <w:basedOn w:val="Normal"/>
    <w:next w:val="Normal"/>
    <w:autoRedefine/>
    <w:uiPriority w:val="98"/>
    <w:semiHidden/>
    <w:rsid w:val="002B5B43"/>
    <w:pPr>
      <w:ind w:left="480" w:hanging="240"/>
    </w:pPr>
  </w:style>
  <w:style w:type="paragraph" w:styleId="Index3">
    <w:name w:val="index 3"/>
    <w:basedOn w:val="Normal"/>
    <w:next w:val="Normal"/>
    <w:autoRedefine/>
    <w:uiPriority w:val="98"/>
    <w:semiHidden/>
    <w:rsid w:val="002B5B43"/>
    <w:pPr>
      <w:ind w:left="720" w:hanging="240"/>
    </w:pPr>
  </w:style>
  <w:style w:type="paragraph" w:styleId="Index4">
    <w:name w:val="index 4"/>
    <w:basedOn w:val="Normal"/>
    <w:next w:val="Normal"/>
    <w:autoRedefine/>
    <w:uiPriority w:val="98"/>
    <w:semiHidden/>
    <w:rsid w:val="002B5B43"/>
    <w:pPr>
      <w:ind w:left="960" w:hanging="240"/>
    </w:pPr>
  </w:style>
  <w:style w:type="paragraph" w:styleId="Index5">
    <w:name w:val="index 5"/>
    <w:basedOn w:val="Normal"/>
    <w:next w:val="Normal"/>
    <w:autoRedefine/>
    <w:uiPriority w:val="98"/>
    <w:semiHidden/>
    <w:rsid w:val="002B5B43"/>
    <w:pPr>
      <w:ind w:left="1200" w:hanging="240"/>
    </w:pPr>
  </w:style>
  <w:style w:type="paragraph" w:styleId="Index6">
    <w:name w:val="index 6"/>
    <w:basedOn w:val="Normal"/>
    <w:next w:val="Normal"/>
    <w:autoRedefine/>
    <w:uiPriority w:val="98"/>
    <w:semiHidden/>
    <w:rsid w:val="002B5B43"/>
    <w:pPr>
      <w:ind w:left="1440" w:hanging="240"/>
    </w:pPr>
  </w:style>
  <w:style w:type="paragraph" w:styleId="Index7">
    <w:name w:val="index 7"/>
    <w:basedOn w:val="Normal"/>
    <w:next w:val="Normal"/>
    <w:autoRedefine/>
    <w:uiPriority w:val="98"/>
    <w:semiHidden/>
    <w:rsid w:val="002B5B43"/>
    <w:pPr>
      <w:ind w:left="1680" w:hanging="240"/>
    </w:pPr>
  </w:style>
  <w:style w:type="paragraph" w:styleId="Index8">
    <w:name w:val="index 8"/>
    <w:basedOn w:val="Normal"/>
    <w:next w:val="Normal"/>
    <w:autoRedefine/>
    <w:uiPriority w:val="98"/>
    <w:semiHidden/>
    <w:rsid w:val="002B5B43"/>
    <w:pPr>
      <w:ind w:left="1920" w:hanging="240"/>
    </w:pPr>
  </w:style>
  <w:style w:type="paragraph" w:styleId="Index9">
    <w:name w:val="index 9"/>
    <w:basedOn w:val="Normal"/>
    <w:next w:val="Normal"/>
    <w:autoRedefine/>
    <w:uiPriority w:val="98"/>
    <w:semiHidden/>
    <w:rsid w:val="002B5B43"/>
    <w:pPr>
      <w:ind w:left="2160" w:hanging="240"/>
    </w:pPr>
  </w:style>
  <w:style w:type="paragraph" w:styleId="IndexHeading">
    <w:name w:val="index heading"/>
    <w:basedOn w:val="Normal"/>
    <w:next w:val="Index1"/>
    <w:uiPriority w:val="98"/>
    <w:semiHidden/>
    <w:rsid w:val="002B5B43"/>
    <w:rPr>
      <w:rFonts w:asciiTheme="majorHAnsi" w:eastAsiaTheme="majorEastAsia" w:hAnsiTheme="majorHAnsi" w:cstheme="majorBidi"/>
      <w:b/>
      <w:bCs/>
    </w:rPr>
  </w:style>
  <w:style w:type="table" w:styleId="LightGrid">
    <w:name w:val="Light Grid"/>
    <w:basedOn w:val="TableNormal"/>
    <w:uiPriority w:val="62"/>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B5B4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B5B4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2B5B43"/>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2B5B43"/>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B5B43"/>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B5B43"/>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2B5B43"/>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B5B43"/>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B5B43"/>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2B5B43"/>
  </w:style>
  <w:style w:type="paragraph" w:styleId="List">
    <w:name w:val="List"/>
    <w:basedOn w:val="Normal"/>
    <w:uiPriority w:val="98"/>
    <w:semiHidden/>
    <w:rsid w:val="002B5B43"/>
    <w:pPr>
      <w:ind w:left="283" w:hanging="283"/>
      <w:contextualSpacing/>
    </w:pPr>
  </w:style>
  <w:style w:type="paragraph" w:styleId="List20">
    <w:name w:val="List 2"/>
    <w:basedOn w:val="Normal"/>
    <w:uiPriority w:val="98"/>
    <w:semiHidden/>
    <w:rsid w:val="002B5B43"/>
    <w:pPr>
      <w:ind w:left="566" w:hanging="283"/>
      <w:contextualSpacing/>
    </w:pPr>
  </w:style>
  <w:style w:type="paragraph" w:styleId="List30">
    <w:name w:val="List 3"/>
    <w:basedOn w:val="Normal"/>
    <w:uiPriority w:val="98"/>
    <w:semiHidden/>
    <w:rsid w:val="002B5B43"/>
    <w:pPr>
      <w:ind w:left="849" w:hanging="283"/>
      <w:contextualSpacing/>
    </w:pPr>
  </w:style>
  <w:style w:type="paragraph" w:styleId="List4">
    <w:name w:val="List 4"/>
    <w:basedOn w:val="Normal"/>
    <w:uiPriority w:val="98"/>
    <w:semiHidden/>
    <w:rsid w:val="002B5B43"/>
    <w:pPr>
      <w:ind w:left="1132" w:hanging="283"/>
      <w:contextualSpacing/>
    </w:pPr>
  </w:style>
  <w:style w:type="paragraph" w:styleId="List5">
    <w:name w:val="List 5"/>
    <w:basedOn w:val="Normal"/>
    <w:uiPriority w:val="98"/>
    <w:semiHidden/>
    <w:rsid w:val="002B5B43"/>
    <w:pPr>
      <w:ind w:left="1415" w:hanging="283"/>
      <w:contextualSpacing/>
    </w:pPr>
  </w:style>
  <w:style w:type="paragraph" w:styleId="ListBullet2">
    <w:name w:val="List Bullet 2"/>
    <w:basedOn w:val="Normal"/>
    <w:uiPriority w:val="98"/>
    <w:semiHidden/>
    <w:rsid w:val="002B5B43"/>
    <w:pPr>
      <w:numPr>
        <w:numId w:val="12"/>
      </w:numPr>
      <w:contextualSpacing/>
    </w:pPr>
  </w:style>
  <w:style w:type="paragraph" w:styleId="ListBullet4">
    <w:name w:val="List Bullet 4"/>
    <w:basedOn w:val="Normal"/>
    <w:uiPriority w:val="98"/>
    <w:semiHidden/>
    <w:rsid w:val="002B5B43"/>
    <w:pPr>
      <w:numPr>
        <w:numId w:val="14"/>
      </w:numPr>
      <w:contextualSpacing/>
    </w:pPr>
  </w:style>
  <w:style w:type="paragraph" w:styleId="ListBullet5">
    <w:name w:val="List Bullet 5"/>
    <w:basedOn w:val="Normal"/>
    <w:uiPriority w:val="98"/>
    <w:semiHidden/>
    <w:rsid w:val="002B5B43"/>
    <w:pPr>
      <w:numPr>
        <w:numId w:val="15"/>
      </w:numPr>
      <w:contextualSpacing/>
    </w:pPr>
  </w:style>
  <w:style w:type="paragraph" w:styleId="ListContinue">
    <w:name w:val="List Continue"/>
    <w:basedOn w:val="Normal"/>
    <w:uiPriority w:val="98"/>
    <w:semiHidden/>
    <w:rsid w:val="002B5B43"/>
    <w:pPr>
      <w:spacing w:after="120"/>
      <w:ind w:left="283"/>
      <w:contextualSpacing/>
    </w:pPr>
  </w:style>
  <w:style w:type="paragraph" w:styleId="ListContinue2">
    <w:name w:val="List Continue 2"/>
    <w:basedOn w:val="Normal"/>
    <w:uiPriority w:val="98"/>
    <w:semiHidden/>
    <w:rsid w:val="002B5B43"/>
    <w:pPr>
      <w:spacing w:after="120"/>
      <w:ind w:left="566"/>
      <w:contextualSpacing/>
    </w:pPr>
  </w:style>
  <w:style w:type="paragraph" w:styleId="ListContinue3">
    <w:name w:val="List Continue 3"/>
    <w:basedOn w:val="Normal"/>
    <w:uiPriority w:val="98"/>
    <w:semiHidden/>
    <w:rsid w:val="002B5B43"/>
    <w:pPr>
      <w:spacing w:after="120"/>
      <w:ind w:left="849"/>
      <w:contextualSpacing/>
    </w:pPr>
  </w:style>
  <w:style w:type="paragraph" w:styleId="ListContinue4">
    <w:name w:val="List Continue 4"/>
    <w:basedOn w:val="Normal"/>
    <w:uiPriority w:val="98"/>
    <w:semiHidden/>
    <w:rsid w:val="002B5B43"/>
    <w:pPr>
      <w:spacing w:after="120"/>
      <w:ind w:left="1132"/>
      <w:contextualSpacing/>
    </w:pPr>
  </w:style>
  <w:style w:type="paragraph" w:styleId="ListContinue5">
    <w:name w:val="List Continue 5"/>
    <w:basedOn w:val="Normal"/>
    <w:uiPriority w:val="98"/>
    <w:semiHidden/>
    <w:rsid w:val="002B5B43"/>
    <w:pPr>
      <w:spacing w:after="120"/>
      <w:ind w:left="1415"/>
      <w:contextualSpacing/>
    </w:pPr>
  </w:style>
  <w:style w:type="paragraph" w:styleId="ListNumber">
    <w:name w:val="List Number"/>
    <w:basedOn w:val="Normal"/>
    <w:uiPriority w:val="98"/>
    <w:semiHidden/>
    <w:rsid w:val="002B5B43"/>
    <w:pPr>
      <w:numPr>
        <w:numId w:val="16"/>
      </w:numPr>
      <w:contextualSpacing/>
    </w:pPr>
  </w:style>
  <w:style w:type="paragraph" w:styleId="ListNumber2">
    <w:name w:val="List Number 2"/>
    <w:basedOn w:val="Normal"/>
    <w:uiPriority w:val="98"/>
    <w:semiHidden/>
    <w:rsid w:val="002B5B43"/>
    <w:pPr>
      <w:numPr>
        <w:numId w:val="17"/>
      </w:numPr>
      <w:contextualSpacing/>
    </w:pPr>
  </w:style>
  <w:style w:type="paragraph" w:styleId="ListNumber3">
    <w:name w:val="List Number 3"/>
    <w:basedOn w:val="Normal"/>
    <w:uiPriority w:val="98"/>
    <w:semiHidden/>
    <w:rsid w:val="002B5B43"/>
    <w:pPr>
      <w:numPr>
        <w:numId w:val="18"/>
      </w:numPr>
      <w:contextualSpacing/>
    </w:pPr>
  </w:style>
  <w:style w:type="paragraph" w:styleId="ListNumber4">
    <w:name w:val="List Number 4"/>
    <w:basedOn w:val="Normal"/>
    <w:uiPriority w:val="98"/>
    <w:semiHidden/>
    <w:rsid w:val="002B5B43"/>
    <w:pPr>
      <w:numPr>
        <w:numId w:val="19"/>
      </w:numPr>
      <w:contextualSpacing/>
    </w:pPr>
  </w:style>
  <w:style w:type="paragraph" w:styleId="ListNumber5">
    <w:name w:val="List Number 5"/>
    <w:basedOn w:val="Normal"/>
    <w:uiPriority w:val="98"/>
    <w:semiHidden/>
    <w:rsid w:val="002B5B43"/>
    <w:pPr>
      <w:numPr>
        <w:numId w:val="20"/>
      </w:numPr>
      <w:contextualSpacing/>
    </w:pPr>
  </w:style>
  <w:style w:type="paragraph" w:styleId="Macro">
    <w:name w:val="macro"/>
    <w:link w:val="MacroTextChar"/>
    <w:uiPriority w:val="98"/>
    <w:semiHidden/>
    <w:rsid w:val="002B5B4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2B5B43"/>
    <w:rPr>
      <w:rFonts w:ascii="Consolas" w:hAnsi="Consolas" w:eastAsiaTheme="minorEastAsia" w:cs="Consolas"/>
      <w:sz w:val="20"/>
      <w:szCs w:val="20"/>
    </w:rPr>
  </w:style>
  <w:style w:type="table" w:styleId="MediumGrid1">
    <w:name w:val="Medium Grid 1"/>
    <w:basedOn w:val="TableNormal"/>
    <w:uiPriority w:val="67"/>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B5B4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2B5B43"/>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B5B43"/>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B5B43"/>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B5B43"/>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2B5B43"/>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B5B43"/>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B5B43"/>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B5B4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2B5B4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2B5B43"/>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2B5B43"/>
    <w:rPr>
      <w:rFonts w:ascii="Times New Roman" w:hAnsi="Times New Roman" w:cs="Times New Roman"/>
    </w:rPr>
  </w:style>
  <w:style w:type="paragraph" w:styleId="NormalIndent">
    <w:name w:val="Normal Indent"/>
    <w:basedOn w:val="Normal"/>
    <w:uiPriority w:val="98"/>
    <w:semiHidden/>
    <w:rsid w:val="002B5B43"/>
    <w:pPr>
      <w:ind w:left="720"/>
    </w:pPr>
  </w:style>
  <w:style w:type="paragraph" w:styleId="NoteHeading">
    <w:name w:val="Note Heading"/>
    <w:basedOn w:val="Normal"/>
    <w:next w:val="Normal"/>
    <w:link w:val="NoteHeadingChar"/>
    <w:uiPriority w:val="98"/>
    <w:semiHidden/>
    <w:rsid w:val="002B5B43"/>
  </w:style>
  <w:style w:type="character" w:customStyle="1" w:styleId="NoteHeadingChar">
    <w:name w:val="Note Heading Char"/>
    <w:basedOn w:val="DefaultParagraphFont"/>
    <w:link w:val="NoteHeading"/>
    <w:uiPriority w:val="98"/>
    <w:semiHidden/>
    <w:rsid w:val="002B5B43"/>
    <w:rPr>
      <w:sz w:val="24"/>
      <w:szCs w:val="24"/>
      <w:lang w:val="en-GB"/>
    </w:rPr>
  </w:style>
  <w:style w:type="character" w:styleId="PlaceholderText">
    <w:name w:val="Placeholder Text"/>
    <w:basedOn w:val="DefaultParagraphFont"/>
    <w:uiPriority w:val="98"/>
    <w:semiHidden/>
    <w:rsid w:val="002B5B43"/>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2B5B43"/>
    <w:rPr>
      <w:rFonts w:ascii="Consolas" w:hAnsi="Consolas" w:cs="Consolas"/>
      <w:sz w:val="21"/>
      <w:szCs w:val="21"/>
    </w:rPr>
  </w:style>
  <w:style w:type="character" w:customStyle="1" w:styleId="PlainTextChar">
    <w:name w:val="Plain Text Char"/>
    <w:basedOn w:val="DefaultParagraphFont"/>
    <w:link w:val="PlainText"/>
    <w:uiPriority w:val="98"/>
    <w:semiHidden/>
    <w:rsid w:val="002B5B43"/>
    <w:rPr>
      <w:rFonts w:ascii="Consolas" w:hAnsi="Consolas" w:cs="Consolas"/>
      <w:sz w:val="21"/>
      <w:szCs w:val="21"/>
      <w:lang w:val="en-GB"/>
    </w:rPr>
  </w:style>
  <w:style w:type="paragraph" w:styleId="Salutation">
    <w:name w:val="Salutation"/>
    <w:basedOn w:val="Normal"/>
    <w:next w:val="Normal"/>
    <w:link w:val="SalutationChar"/>
    <w:uiPriority w:val="98"/>
    <w:semiHidden/>
    <w:rsid w:val="002B5B43"/>
  </w:style>
  <w:style w:type="character" w:customStyle="1" w:styleId="SalutationChar">
    <w:name w:val="Salutation Char"/>
    <w:basedOn w:val="DefaultParagraphFont"/>
    <w:link w:val="Salutation"/>
    <w:uiPriority w:val="98"/>
    <w:semiHidden/>
    <w:rsid w:val="002B5B43"/>
    <w:rPr>
      <w:sz w:val="24"/>
      <w:szCs w:val="24"/>
      <w:lang w:val="en-GB"/>
    </w:rPr>
  </w:style>
  <w:style w:type="paragraph" w:styleId="Signature0">
    <w:name w:val="Signature"/>
    <w:basedOn w:val="Normal"/>
    <w:link w:val="SignatureChar"/>
    <w:uiPriority w:val="98"/>
    <w:semiHidden/>
    <w:rsid w:val="002B5B43"/>
    <w:pPr>
      <w:ind w:left="4252"/>
    </w:pPr>
  </w:style>
  <w:style w:type="character" w:customStyle="1" w:styleId="SignatureChar">
    <w:name w:val="Signature Char"/>
    <w:basedOn w:val="DefaultParagraphFont"/>
    <w:link w:val="Signature0"/>
    <w:uiPriority w:val="98"/>
    <w:semiHidden/>
    <w:rsid w:val="002B5B43"/>
    <w:rPr>
      <w:sz w:val="24"/>
      <w:szCs w:val="24"/>
      <w:lang w:val="en-GB"/>
    </w:rPr>
  </w:style>
  <w:style w:type="table" w:styleId="Table3Deffects1">
    <w:name w:val="Table 3D effects 1"/>
    <w:basedOn w:val="TableNormal"/>
    <w:uiPriority w:val="99"/>
    <w:semiHidden/>
    <w:unhideWhenUsed/>
    <w:rsid w:val="002B5B43"/>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B5B43"/>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B5B43"/>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B5B43"/>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B5B43"/>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B5B43"/>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B5B43"/>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B5B43"/>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B5B43"/>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B5B43"/>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B5B43"/>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B5B43"/>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B5B43"/>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B5B43"/>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B5B43"/>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B5B43"/>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B5B43"/>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B5B43"/>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B5B43"/>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B5B43"/>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B5B43"/>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B5B43"/>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B5B43"/>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B5B43"/>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2B5B43"/>
    <w:pPr>
      <w:ind w:left="240" w:hanging="240"/>
    </w:pPr>
  </w:style>
  <w:style w:type="paragraph" w:styleId="TableofFigures">
    <w:name w:val="table of figures"/>
    <w:basedOn w:val="Normal"/>
    <w:next w:val="Normal"/>
    <w:uiPriority w:val="98"/>
    <w:semiHidden/>
    <w:rsid w:val="002B5B43"/>
  </w:style>
  <w:style w:type="table" w:styleId="TableProfessional">
    <w:name w:val="Table Professional"/>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B5B43"/>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B5B43"/>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B5B43"/>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B5B43"/>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B5B43"/>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B5B43"/>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B5B43"/>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B5B43"/>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2B5B43"/>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2B5B43"/>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2B5B43"/>
    <w:pPr>
      <w:spacing w:after="100"/>
      <w:ind w:left="1680"/>
    </w:pPr>
  </w:style>
  <w:style w:type="paragraph" w:styleId="TOC9">
    <w:name w:val="toc 9"/>
    <w:basedOn w:val="Normal"/>
    <w:next w:val="Normal"/>
    <w:autoRedefine/>
    <w:uiPriority w:val="98"/>
    <w:semiHidden/>
    <w:rsid w:val="002B5B43"/>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2B5B43"/>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2B5B43"/>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2B5B43"/>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2B5B43"/>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2B5B43"/>
    <w:pPr>
      <w:numPr>
        <w:numId w:val="7"/>
      </w:numPr>
      <w:spacing w:before="60" w:after="60"/>
    </w:pPr>
  </w:style>
  <w:style w:type="paragraph" w:customStyle="1" w:styleId="ECHRBullet2">
    <w:name w:val="ECHR_Bullet_2"/>
    <w:aliases w:val="_Bul_2"/>
    <w:basedOn w:val="ECHRBullet1"/>
    <w:uiPriority w:val="23"/>
    <w:semiHidden/>
    <w:rsid w:val="002B5B43"/>
    <w:pPr>
      <w:numPr>
        <w:ilvl w:val="1"/>
      </w:numPr>
    </w:pPr>
  </w:style>
  <w:style w:type="paragraph" w:customStyle="1" w:styleId="ECHRBullet3">
    <w:name w:val="ECHR_Bullet_3"/>
    <w:aliases w:val="_Bul_3"/>
    <w:basedOn w:val="ECHRBullet2"/>
    <w:uiPriority w:val="23"/>
    <w:semiHidden/>
    <w:rsid w:val="002B5B43"/>
    <w:pPr>
      <w:numPr>
        <w:ilvl w:val="2"/>
      </w:numPr>
    </w:pPr>
  </w:style>
  <w:style w:type="paragraph" w:customStyle="1" w:styleId="ECHRBullet4">
    <w:name w:val="ECHR_Bullet_4"/>
    <w:aliases w:val="_Bul_4"/>
    <w:basedOn w:val="ECHRBullet3"/>
    <w:uiPriority w:val="23"/>
    <w:semiHidden/>
    <w:rsid w:val="002B5B43"/>
    <w:pPr>
      <w:numPr>
        <w:ilvl w:val="3"/>
      </w:numPr>
    </w:pPr>
  </w:style>
  <w:style w:type="paragraph" w:customStyle="1" w:styleId="ECHRConfidential">
    <w:name w:val="ECHR_Confidential"/>
    <w:aliases w:val="_Confidential"/>
    <w:basedOn w:val="Normal"/>
    <w:next w:val="Normal"/>
    <w:uiPriority w:val="42"/>
    <w:semiHidden/>
    <w:qFormat/>
    <w:rsid w:val="002B5B43"/>
    <w:pPr>
      <w:jc w:val="right"/>
    </w:pPr>
    <w:rPr>
      <w:color w:val="C00000"/>
      <w:sz w:val="20"/>
    </w:rPr>
  </w:style>
  <w:style w:type="paragraph" w:customStyle="1" w:styleId="ECHRDecisionBody">
    <w:name w:val="ECHR_Decision_Body"/>
    <w:aliases w:val="_Decision_Body"/>
    <w:basedOn w:val="NormalJustified"/>
    <w:uiPriority w:val="54"/>
    <w:semiHidden/>
    <w:rsid w:val="002B5B43"/>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2B5B43"/>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2B5B43"/>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2B5B43"/>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2B5B43"/>
    <w:pPr>
      <w:jc w:val="right"/>
    </w:pPr>
    <w:rPr>
      <w:sz w:val="20"/>
    </w:rPr>
  </w:style>
  <w:style w:type="paragraph" w:customStyle="1" w:styleId="ECHRHeaderRefIt">
    <w:name w:val="ECHR_Header_Ref_It"/>
    <w:aliases w:val="_Ref_Ital"/>
    <w:basedOn w:val="Normal"/>
    <w:next w:val="ECHRHeaderDate"/>
    <w:uiPriority w:val="43"/>
    <w:semiHidden/>
    <w:qFormat/>
    <w:rsid w:val="002B5B43"/>
    <w:pPr>
      <w:jc w:val="right"/>
    </w:pPr>
    <w:rPr>
      <w:i/>
      <w:sz w:val="20"/>
    </w:rPr>
  </w:style>
  <w:style w:type="paragraph" w:customStyle="1" w:styleId="ECHRHeading9">
    <w:name w:val="ECHR_Heading_9"/>
    <w:aliases w:val="_Head_9"/>
    <w:basedOn w:val="Heading9"/>
    <w:uiPriority w:val="17"/>
    <w:semiHidden/>
    <w:rsid w:val="002B5B43"/>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2B5B43"/>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2B5B43"/>
    <w:pPr>
      <w:numPr>
        <w:numId w:val="8"/>
      </w:numPr>
      <w:spacing w:before="60" w:after="60"/>
    </w:pPr>
  </w:style>
  <w:style w:type="paragraph" w:customStyle="1" w:styleId="ECHRNumberedList2">
    <w:name w:val="ECHR_Numbered_List_2"/>
    <w:aliases w:val="_Num_2"/>
    <w:basedOn w:val="ECHRNumberedList1"/>
    <w:uiPriority w:val="23"/>
    <w:semiHidden/>
    <w:rsid w:val="002B5B43"/>
    <w:pPr>
      <w:numPr>
        <w:ilvl w:val="1"/>
      </w:numPr>
    </w:pPr>
  </w:style>
  <w:style w:type="paragraph" w:customStyle="1" w:styleId="ECHRNumberedList3">
    <w:name w:val="ECHR_Numbered_List_3"/>
    <w:aliases w:val="_Num_3"/>
    <w:basedOn w:val="ECHRNumberedList2"/>
    <w:uiPriority w:val="23"/>
    <w:semiHidden/>
    <w:rsid w:val="002B5B43"/>
    <w:pPr>
      <w:numPr>
        <w:ilvl w:val="2"/>
      </w:numPr>
    </w:pPr>
  </w:style>
  <w:style w:type="paragraph" w:customStyle="1" w:styleId="ECHRParaHanging">
    <w:name w:val="ECHR_Para_Hanging"/>
    <w:aliases w:val="_Hanging"/>
    <w:basedOn w:val="NormalJustified"/>
    <w:uiPriority w:val="8"/>
    <w:semiHidden/>
    <w:qFormat/>
    <w:rsid w:val="002B5B43"/>
    <w:pPr>
      <w:ind w:left="567" w:hanging="567"/>
    </w:pPr>
  </w:style>
  <w:style w:type="paragraph" w:customStyle="1" w:styleId="ECHRParaIndent">
    <w:name w:val="ECHR_Para_Indent"/>
    <w:aliases w:val="_Indent"/>
    <w:basedOn w:val="NormalJustified"/>
    <w:uiPriority w:val="7"/>
    <w:semiHidden/>
    <w:qFormat/>
    <w:rsid w:val="002B5B43"/>
    <w:pPr>
      <w:spacing w:before="120" w:after="120"/>
      <w:ind w:left="284"/>
    </w:pPr>
  </w:style>
  <w:style w:type="character" w:customStyle="1" w:styleId="ECHRRed">
    <w:name w:val="ECHR_Red"/>
    <w:aliases w:val="_Red"/>
    <w:basedOn w:val="DefaultParagraphFont"/>
    <w:uiPriority w:val="15"/>
    <w:semiHidden/>
    <w:qFormat/>
    <w:rsid w:val="002B5B43"/>
    <w:rPr>
      <w:color w:val="C00000" w:themeColor="accent2"/>
    </w:rPr>
  </w:style>
  <w:style w:type="paragraph" w:customStyle="1" w:styleId="DecList">
    <w:name w:val="Dec_List"/>
    <w:aliases w:val="_List"/>
    <w:basedOn w:val="JuList"/>
    <w:uiPriority w:val="22"/>
    <w:rsid w:val="002B5B43"/>
    <w:pPr>
      <w:numPr>
        <w:numId w:val="0"/>
      </w:numPr>
      <w:ind w:left="284"/>
    </w:pPr>
  </w:style>
  <w:style w:type="table" w:customStyle="1" w:styleId="ECHRTable2">
    <w:name w:val="ECHR_Table_2"/>
    <w:basedOn w:val="TableNormal"/>
    <w:uiPriority w:val="99"/>
    <w:rsid w:val="002B5B43"/>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2B5B4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2B5B43"/>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2B5B43"/>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2B5B43"/>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2B5B43"/>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2B5B43"/>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2B5B43"/>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2B5B43"/>
    <w:pPr>
      <w:outlineLvl w:val="0"/>
    </w:pPr>
  </w:style>
  <w:style w:type="paragraph" w:customStyle="1" w:styleId="ECHRTitleTOC1">
    <w:name w:val="ECHR_Title_TOC_1"/>
    <w:aliases w:val="_Title_L_TOC"/>
    <w:basedOn w:val="ECHRTitle1"/>
    <w:next w:val="Normal"/>
    <w:uiPriority w:val="27"/>
    <w:semiHidden/>
    <w:qFormat/>
    <w:rsid w:val="002B5B43"/>
    <w:pPr>
      <w:outlineLvl w:val="0"/>
    </w:pPr>
  </w:style>
  <w:style w:type="paragraph" w:customStyle="1" w:styleId="ECHRPlaceholder">
    <w:name w:val="ECHR_Placeholder"/>
    <w:aliases w:val="_Placeholder"/>
    <w:basedOn w:val="JuSigned"/>
    <w:uiPriority w:val="31"/>
    <w:rsid w:val="002B5B43"/>
    <w:rPr>
      <w:color w:val="FFFFFF"/>
    </w:rPr>
  </w:style>
  <w:style w:type="paragraph" w:customStyle="1" w:styleId="ECHRSpacer">
    <w:name w:val="ECHR_Spacer"/>
    <w:aliases w:val="_Spacer"/>
    <w:basedOn w:val="Normal"/>
    <w:uiPriority w:val="45"/>
    <w:semiHidden/>
    <w:rsid w:val="002B5B43"/>
    <w:rPr>
      <w:sz w:val="4"/>
    </w:rPr>
  </w:style>
  <w:style w:type="table" w:customStyle="1" w:styleId="ECHRTableGrey">
    <w:name w:val="ECHR_Table_Grey"/>
    <w:basedOn w:val="TableNormal"/>
    <w:uiPriority w:val="99"/>
    <w:rsid w:val="002B5B43"/>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
    <w:name w:val="Unresolved Mention"/>
    <w:basedOn w:val="DefaultParagraphFont"/>
    <w:uiPriority w:val="99"/>
    <w:semiHidden/>
    <w:unhideWhenUsed/>
    <w:rsid w:val="002B5B43"/>
    <w:rPr>
      <w:color w:val="605E5C"/>
      <w:shd w:val="clear" w:color="auto" w:fill="E1DFDD"/>
    </w:rPr>
  </w:style>
  <w:style w:type="character" w:customStyle="1" w:styleId="JuParaChar">
    <w:name w:val="Ju_Para Char"/>
    <w:aliases w:val="_Para Char"/>
    <w:link w:val="JuPara"/>
    <w:uiPriority w:val="4"/>
    <w:rsid w:val="00AA5C7E"/>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header" Target="header4.xml" /><Relationship Id="rId12" Type="http://schemas.openxmlformats.org/officeDocument/2006/relationships/footer" Target="footer3.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footer" Target="footer2.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notes.xml.rels><?xml version="1.0" encoding="utf-8" standalone="yes"?><Relationships xmlns="http://schemas.openxmlformats.org/package/2006/relationships"><Relationship Id="rId1" Type="http://schemas.openxmlformats.org/officeDocument/2006/relationships/hyperlink" Target="https://www.nei.nih.gov/learn-about-eye-health/eye-conditions-and-diseases/retinitis-pigmentosa"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2731</Words>
  <Characters>16580</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19273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2025-11-18T10:10:00Z</dcterms:created>
  <dcterms:modified xsi:type="dcterms:W3CDTF">2025-11-18T10:44:00Z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1597818</vt:lpwstr>
  </property>
  <property fmtid="{D5CDD505-2E9C-101B-9397-08002B2CF9AE}" pid="3" name="cstLanguage">
    <vt:i4>2057</vt:i4>
  </property>
  <property fmtid="{D5CDD505-2E9C-101B-9397-08002B2CF9AE}" pid="4" name="RegisteredNo">
    <vt:lpwstr>54309/20</vt:lpwstr>
  </property>
</Properties>
</file>