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E97643" w:rsidR="00B32591" w:rsidP="00E97643" w14:paraId="53E2E68D" w14:textId="038E6736">
      <w:pPr>
        <w:jc w:val="center"/>
      </w:pPr>
    </w:p>
    <w:p w:rsidRPr="00E97643" w:rsidR="00B32591" w:rsidP="00E97643" w14:paraId="42B38384" w14:textId="58E92D0D">
      <w:pPr>
        <w:jc w:val="center"/>
        <w:rPr>
          <w:sz w:val="4"/>
          <w:szCs w:val="4"/>
        </w:rPr>
      </w:pPr>
    </w:p>
    <w:p w:rsidRPr="00E97643" w:rsidR="00B32591" w:rsidP="00E97643" w14:paraId="7BC9460D" w14:textId="2C3FBE28">
      <w:pPr>
        <w:pStyle w:val="DecHTitle"/>
      </w:pPr>
      <w:r w:rsidRPr="00E97643">
        <w:t>SECOND SECTION</w:t>
      </w:r>
    </w:p>
    <w:p w:rsidRPr="00E97643" w:rsidR="00B32591" w:rsidP="00E97643" w14:paraId="73915E86" w14:textId="77777777">
      <w:pPr>
        <w:pStyle w:val="DecHTitle"/>
      </w:pPr>
      <w:r w:rsidRPr="00E97643">
        <w:t>DECISION</w:t>
      </w:r>
    </w:p>
    <w:p w:rsidRPr="00E97643" w:rsidR="00B32591" w:rsidP="00E97643" w14:paraId="2AE439FC" w14:textId="4BCF6AF4">
      <w:pPr>
        <w:pStyle w:val="DecHCase"/>
        <w:rPr>
          <w:i/>
        </w:rPr>
      </w:pPr>
      <w:r w:rsidRPr="00E97643">
        <w:rPr>
          <w:noProof/>
        </w:rPr>
        <w:t>Application no.</w:t>
      </w:r>
      <w:r w:rsidRPr="00E97643" w:rsidR="006267D3">
        <w:t xml:space="preserve"> </w:t>
      </w:r>
      <w:r w:rsidRPr="00E97643">
        <w:t>51358/17</w:t>
      </w:r>
      <w:r w:rsidRPr="00E97643" w:rsidR="006267D3">
        <w:br/>
      </w:r>
      <w:r w:rsidRPr="00E97643">
        <w:rPr>
          <w:noProof/>
        </w:rPr>
        <w:t>Tímea SZABÓ</w:t>
      </w:r>
      <w:r w:rsidRPr="00E97643">
        <w:rPr>
          <w:noProof/>
        </w:rPr>
        <w:br/>
      </w:r>
      <w:r w:rsidRPr="00E97643" w:rsidR="006267D3">
        <w:t xml:space="preserve">against </w:t>
      </w:r>
      <w:r w:rsidRPr="00E97643">
        <w:t>Hungary</w:t>
      </w:r>
    </w:p>
    <w:p w:rsidRPr="00E97643" w:rsidR="00B32591" w:rsidP="00E97643" w14:paraId="10914367" w14:textId="31D5DD32">
      <w:pPr>
        <w:rPr>
          <w:sz w:val="2"/>
          <w:szCs w:val="2"/>
        </w:rPr>
      </w:pPr>
    </w:p>
    <w:p w:rsidRPr="00E97643" w:rsidR="00E47D0C" w:rsidP="00E97643" w14:paraId="2FD38B81" w14:textId="313230C8">
      <w:pPr>
        <w:pStyle w:val="JuPara"/>
      </w:pPr>
      <w:r w:rsidRPr="00E97643">
        <w:t xml:space="preserve">The European Court of Human Rights (Second Section), sitting on </w:t>
      </w:r>
      <w:r w:rsidRPr="00E97643" w:rsidR="004B3F98">
        <w:t>9 September 2025</w:t>
      </w:r>
      <w:r w:rsidRPr="00E97643">
        <w:t xml:space="preserve"> as a Committee composed of:</w:t>
      </w:r>
    </w:p>
    <w:p w:rsidRPr="00E97643" w:rsidR="00E47D0C" w:rsidP="00E97643" w14:paraId="619B9978" w14:textId="38D56B1E">
      <w:pPr>
        <w:pStyle w:val="JuJudges"/>
        <w:rPr>
          <w:iCs/>
        </w:rPr>
      </w:pPr>
      <w:r w:rsidRPr="00E97643">
        <w:tab/>
      </w:r>
      <w:r w:rsidRPr="00E97643">
        <w:t>Oddný</w:t>
      </w:r>
      <w:r w:rsidRPr="00E97643">
        <w:t xml:space="preserve"> </w:t>
      </w:r>
      <w:r w:rsidRPr="00E97643">
        <w:t>Mjöll</w:t>
      </w:r>
      <w:r w:rsidRPr="00E97643">
        <w:t xml:space="preserve"> </w:t>
      </w:r>
      <w:r w:rsidRPr="00E97643">
        <w:t>Arnardóttir</w:t>
      </w:r>
      <w:r w:rsidRPr="00E97643">
        <w:rPr>
          <w:i/>
        </w:rPr>
        <w:t>, President</w:t>
      </w:r>
      <w:r w:rsidRPr="00E97643">
        <w:t>,</w:t>
      </w:r>
      <w:r w:rsidRPr="00E97643">
        <w:br/>
      </w:r>
      <w:r w:rsidRPr="00E97643">
        <w:tab/>
      </w:r>
      <w:r w:rsidRPr="00E97643">
        <w:t>Péter</w:t>
      </w:r>
      <w:r w:rsidRPr="00E97643">
        <w:t xml:space="preserve"> </w:t>
      </w:r>
      <w:r w:rsidRPr="00E97643">
        <w:t>Paczolay</w:t>
      </w:r>
      <w:r w:rsidRPr="00E97643">
        <w:t>,</w:t>
      </w:r>
      <w:r w:rsidRPr="00E97643">
        <w:br/>
      </w:r>
      <w:r w:rsidRPr="00E97643">
        <w:tab/>
        <w:t xml:space="preserve">Gediminas </w:t>
      </w:r>
      <w:r w:rsidRPr="00E97643">
        <w:t>Sagatys</w:t>
      </w:r>
      <w:r w:rsidRPr="00E97643">
        <w:rPr>
          <w:i/>
        </w:rPr>
        <w:t>, judges</w:t>
      </w:r>
      <w:r w:rsidRPr="00E97643">
        <w:t>,</w:t>
      </w:r>
      <w:r w:rsidRPr="00E97643">
        <w:br/>
        <w:t xml:space="preserve">and Dorothee von Arnim, </w:t>
      </w:r>
      <w:r w:rsidRPr="00E97643">
        <w:rPr>
          <w:i/>
        </w:rPr>
        <w:t>Deputy</w:t>
      </w:r>
      <w:r w:rsidRPr="00E97643">
        <w:t xml:space="preserve"> </w:t>
      </w:r>
      <w:r w:rsidRPr="00E97643">
        <w:rPr>
          <w:i/>
          <w:iCs/>
        </w:rPr>
        <w:t>Section Registrar</w:t>
      </w:r>
      <w:r w:rsidRPr="00E97643">
        <w:rPr>
          <w:i/>
        </w:rPr>
        <w:t>,</w:t>
      </w:r>
    </w:p>
    <w:p w:rsidRPr="00E97643" w:rsidR="00E47D0C" w:rsidP="00E97643" w14:paraId="295B86FB" w14:textId="77777777">
      <w:pPr>
        <w:pStyle w:val="JuPara"/>
      </w:pPr>
      <w:r w:rsidRPr="00E97643">
        <w:t>Having regard to:</w:t>
      </w:r>
    </w:p>
    <w:p w:rsidRPr="00E97643" w:rsidR="00E47D0C" w:rsidP="00E97643" w14:paraId="375624B9" w14:textId="77777777">
      <w:pPr>
        <w:pStyle w:val="JuPara"/>
      </w:pPr>
      <w:r w:rsidRPr="00E97643">
        <w:t xml:space="preserve">the application (no. 51358/17) against Hungary lodged with the Court under Article 34 of the Convention for the Protection of Human Rights and Fundamental Freedoms (“the Convention”) on 12 July 2017 by a Hungarian national, Ms </w:t>
      </w:r>
      <w:r w:rsidRPr="00E97643">
        <w:t>Tímea</w:t>
      </w:r>
      <w:r w:rsidRPr="00E97643">
        <w:t xml:space="preserve"> Szabó (“the applicant”), who was born in 1976, lives in Budapest and was represented by Mr B. T. </w:t>
      </w:r>
      <w:r w:rsidRPr="00E97643">
        <w:t>Tóth</w:t>
      </w:r>
      <w:r w:rsidRPr="00E97643">
        <w:t xml:space="preserve">, a lawyer practising in </w:t>
      </w:r>
      <w:r w:rsidRPr="00E97643">
        <w:t>Budapest;</w:t>
      </w:r>
    </w:p>
    <w:p w:rsidRPr="00E97643" w:rsidR="00E47D0C" w:rsidP="00E97643" w14:paraId="7ECBA95E" w14:textId="77777777">
      <w:pPr>
        <w:pStyle w:val="JuPara"/>
      </w:pPr>
      <w:r w:rsidRPr="00E97643">
        <w:t>the decision to give notice of the application</w:t>
      </w:r>
      <w:r w:rsidRPr="00E97643">
        <w:rPr>
          <w:color w:val="FFFFFF" w:themeColor="background1"/>
        </w:rPr>
        <w:t xml:space="preserve"> </w:t>
      </w:r>
      <w:r w:rsidRPr="00E97643">
        <w:t xml:space="preserve">to the Hungarian Government (“the Government”), represented by their Agent, Mr Z. </w:t>
      </w:r>
      <w:r w:rsidRPr="00E97643">
        <w:t>Tallódi</w:t>
      </w:r>
      <w:r w:rsidRPr="00E97643">
        <w:t xml:space="preserve">, of the Ministry of </w:t>
      </w:r>
      <w:r w:rsidRPr="00E97643">
        <w:t>Justice;</w:t>
      </w:r>
    </w:p>
    <w:p w:rsidRPr="00E97643" w:rsidR="00E47D0C" w:rsidP="00E97643" w14:paraId="662D6505" w14:textId="7A0258F2">
      <w:pPr>
        <w:pStyle w:val="JuPara"/>
      </w:pPr>
      <w:r w:rsidRPr="00E97643">
        <w:t>the parties</w:t>
      </w:r>
      <w:r w:rsidRPr="00E97643" w:rsidR="00E97643">
        <w:t>’</w:t>
      </w:r>
      <w:r w:rsidRPr="00E97643">
        <w:t xml:space="preserve"> </w:t>
      </w:r>
      <w:r w:rsidRPr="00E97643">
        <w:t>observations;</w:t>
      </w:r>
    </w:p>
    <w:p w:rsidRPr="00E97643" w:rsidR="00E47D0C" w:rsidP="00E97643" w14:paraId="768963FA" w14:textId="77777777">
      <w:pPr>
        <w:pStyle w:val="JuPara"/>
      </w:pPr>
      <w:r w:rsidRPr="00E97643">
        <w:t>Having deliberated, decides as follows:</w:t>
      </w:r>
    </w:p>
    <w:p w:rsidRPr="00E97643" w:rsidR="00E47D0C" w:rsidP="00E97643" w14:paraId="0FCD74FF" w14:textId="6762E49D">
      <w:pPr>
        <w:pStyle w:val="JuHHead"/>
        <w:numPr>
          <w:ilvl w:val="0"/>
          <w:numId w:val="0"/>
        </w:numPr>
      </w:pPr>
      <w:r w:rsidRPr="00E97643">
        <w:t>SUBJECT MATTER OF THE CASE</w:t>
      </w:r>
    </w:p>
    <w:p w:rsidRPr="00E97643" w:rsidR="00E47D0C" w:rsidP="00E97643" w14:paraId="580E01D3" w14:textId="50FEFD5A">
      <w:pPr>
        <w:pStyle w:val="JuPara"/>
        <w:rPr>
          <w:rFonts w:asciiTheme="majorHAnsi" w:hAnsiTheme="majorHAnsi" w:cstheme="majorHAnsi"/>
        </w:rPr>
      </w:pPr>
      <w:r w:rsidRPr="00E97643">
        <w:rPr>
          <w:rFonts w:asciiTheme="majorHAnsi" w:hAnsiTheme="majorHAnsi" w:cstheme="majorHAnsi"/>
        </w:rPr>
        <w:fldChar w:fldCharType="begin"/>
      </w:r>
      <w:r w:rsidRPr="00E97643">
        <w:rPr>
          <w:rFonts w:asciiTheme="majorHAnsi" w:hAnsiTheme="majorHAnsi" w:cstheme="majorHAnsi"/>
        </w:rPr>
        <w:instrText xml:space="preserve"> SEQ level0 \*arabic \r1 </w:instrText>
      </w:r>
      <w:r w:rsidRPr="00E97643">
        <w:rPr>
          <w:rFonts w:asciiTheme="majorHAnsi" w:hAnsiTheme="majorHAnsi" w:cstheme="majorHAnsi"/>
        </w:rPr>
        <w:fldChar w:fldCharType="separate"/>
      </w:r>
      <w:r w:rsidRPr="00E97643" w:rsidR="00E97643">
        <w:rPr>
          <w:rFonts w:asciiTheme="majorHAnsi" w:hAnsiTheme="majorHAnsi" w:cstheme="majorHAnsi"/>
          <w:noProof/>
        </w:rPr>
        <w:t>1</w:t>
      </w:r>
      <w:r w:rsidRPr="00E97643">
        <w:rPr>
          <w:rFonts w:asciiTheme="majorHAnsi" w:hAnsiTheme="majorHAnsi" w:cstheme="majorHAnsi"/>
        </w:rPr>
        <w:fldChar w:fldCharType="end"/>
      </w:r>
      <w:r w:rsidRPr="00E97643">
        <w:rPr>
          <w:rFonts w:asciiTheme="majorHAnsi" w:hAnsiTheme="majorHAnsi" w:cstheme="majorHAnsi"/>
        </w:rPr>
        <w:t>.  The case concerns use by the applicant of a puppet in Parliament during the inauguration speech of the President of the Republic and the ensuing sanction imposed on her.</w:t>
      </w:r>
    </w:p>
    <w:p w:rsidRPr="00E97643" w:rsidR="00E47D0C" w:rsidP="00E97643" w14:paraId="2C68D56B" w14:textId="21255A7F">
      <w:pPr>
        <w:pStyle w:val="JuPara"/>
        <w:rPr>
          <w:rFonts w:asciiTheme="majorHAnsi" w:hAnsiTheme="majorHAnsi" w:cstheme="majorHAnsi"/>
        </w:rPr>
      </w:pPr>
      <w:r w:rsidRPr="00E97643">
        <w:rPr>
          <w:rFonts w:asciiTheme="majorHAnsi" w:hAnsiTheme="majorHAnsi" w:cstheme="majorHAnsi"/>
        </w:rPr>
        <w:fldChar w:fldCharType="begin"/>
      </w:r>
      <w:r w:rsidRPr="00E97643">
        <w:rPr>
          <w:rFonts w:asciiTheme="majorHAnsi" w:hAnsiTheme="majorHAnsi" w:cstheme="majorHAnsi"/>
        </w:rPr>
        <w:instrText xml:space="preserve"> SEQ level0 \*arabic \* MERGEFORMAT </w:instrText>
      </w:r>
      <w:r w:rsidRPr="00E97643">
        <w:rPr>
          <w:rFonts w:asciiTheme="majorHAnsi" w:hAnsiTheme="majorHAnsi" w:cstheme="majorHAnsi"/>
        </w:rPr>
        <w:fldChar w:fldCharType="separate"/>
      </w:r>
      <w:r w:rsidRPr="00E97643" w:rsidR="00E97643">
        <w:rPr>
          <w:rFonts w:asciiTheme="majorHAnsi" w:hAnsiTheme="majorHAnsi" w:cstheme="majorHAnsi"/>
          <w:noProof/>
        </w:rPr>
        <w:t>2</w:t>
      </w:r>
      <w:r w:rsidRPr="00E97643">
        <w:rPr>
          <w:rFonts w:asciiTheme="majorHAnsi" w:hAnsiTheme="majorHAnsi" w:cstheme="majorHAnsi"/>
        </w:rPr>
        <w:fldChar w:fldCharType="end"/>
      </w:r>
      <w:r w:rsidRPr="00E97643">
        <w:rPr>
          <w:rFonts w:asciiTheme="majorHAnsi" w:hAnsiTheme="majorHAnsi" w:cstheme="majorHAnsi"/>
        </w:rPr>
        <w:t>.  At the material time, the applicant was a Member of Parliament (hereinafter: MP) not affiliated with any political party.</w:t>
      </w:r>
    </w:p>
    <w:p w:rsidRPr="00E97643" w:rsidR="00E47D0C" w:rsidP="00E97643" w14:paraId="4CD03493" w14:textId="7B84D524">
      <w:pPr>
        <w:pStyle w:val="JuPara"/>
        <w:rPr>
          <w:rFonts w:asciiTheme="majorHAnsi" w:hAnsiTheme="majorHAnsi" w:cstheme="majorHAnsi"/>
        </w:rPr>
      </w:pPr>
      <w:r w:rsidRPr="00E97643">
        <w:rPr>
          <w:rFonts w:asciiTheme="majorHAnsi" w:hAnsiTheme="majorHAnsi" w:cstheme="majorHAnsi"/>
        </w:rPr>
        <w:fldChar w:fldCharType="begin"/>
      </w:r>
      <w:r w:rsidRPr="00E97643">
        <w:rPr>
          <w:rFonts w:asciiTheme="majorHAnsi" w:hAnsiTheme="majorHAnsi" w:cstheme="majorHAnsi"/>
        </w:rPr>
        <w:instrText xml:space="preserve"> SEQ level0 \*arabic \* MERGEFORMAT </w:instrText>
      </w:r>
      <w:r w:rsidRPr="00E97643">
        <w:rPr>
          <w:rFonts w:asciiTheme="majorHAnsi" w:hAnsiTheme="majorHAnsi" w:cstheme="majorHAnsi"/>
        </w:rPr>
        <w:fldChar w:fldCharType="separate"/>
      </w:r>
      <w:r w:rsidRPr="00E97643" w:rsidR="00E97643">
        <w:rPr>
          <w:rFonts w:asciiTheme="majorHAnsi" w:hAnsiTheme="majorHAnsi" w:cstheme="majorHAnsi"/>
          <w:noProof/>
        </w:rPr>
        <w:t>3</w:t>
      </w:r>
      <w:r w:rsidRPr="00E97643">
        <w:rPr>
          <w:rFonts w:asciiTheme="majorHAnsi" w:hAnsiTheme="majorHAnsi" w:cstheme="majorHAnsi"/>
        </w:rPr>
        <w:fldChar w:fldCharType="end"/>
      </w:r>
      <w:r w:rsidRPr="00E97643">
        <w:rPr>
          <w:rFonts w:asciiTheme="majorHAnsi" w:hAnsiTheme="majorHAnsi" w:cstheme="majorHAnsi"/>
        </w:rPr>
        <w:t xml:space="preserve">.  On 8 May 2017, after the President of the Republic had taken the inauguration oath in Parliament, the applicant stood upon her chair and </w:t>
      </w:r>
      <w:r w:rsidRPr="00E97643">
        <w:rPr>
          <w:rFonts w:asciiTheme="majorHAnsi" w:hAnsiTheme="majorHAnsi" w:cstheme="majorHAnsi"/>
        </w:rPr>
        <w:t>said</w:t>
      </w:r>
      <w:r w:rsidRPr="00E97643">
        <w:rPr>
          <w:rFonts w:asciiTheme="majorHAnsi" w:hAnsiTheme="majorHAnsi" w:cstheme="majorHAnsi"/>
        </w:rPr>
        <w:t xml:space="preserve"> “</w:t>
      </w:r>
      <w:r w:rsidRPr="00E97643">
        <w:rPr>
          <w:rFonts w:asciiTheme="majorHAnsi" w:hAnsiTheme="majorHAnsi" w:cstheme="majorHAnsi"/>
          <w:i/>
          <w:iCs/>
        </w:rPr>
        <w:t>No President of the Republic, but a puppet</w:t>
      </w:r>
      <w:r w:rsidRPr="00E97643">
        <w:rPr>
          <w:rFonts w:asciiTheme="majorHAnsi" w:hAnsiTheme="majorHAnsi" w:cstheme="majorHAnsi"/>
        </w:rPr>
        <w:t xml:space="preserve">”. Afterwards she started silently </w:t>
      </w:r>
      <w:r w:rsidRPr="00E97643">
        <w:rPr>
          <w:rFonts w:asciiTheme="majorHAnsi" w:hAnsiTheme="majorHAnsi" w:cstheme="majorHAnsi"/>
        </w:rPr>
        <w:t>moving a puppet portraying the face of the President while holding it in the air during the President</w:t>
      </w:r>
      <w:r w:rsidRPr="00E97643" w:rsidR="00E97643">
        <w:rPr>
          <w:rFonts w:asciiTheme="majorHAnsi" w:hAnsiTheme="majorHAnsi" w:cstheme="majorHAnsi"/>
        </w:rPr>
        <w:t>’</w:t>
      </w:r>
      <w:r w:rsidRPr="00E97643">
        <w:rPr>
          <w:rFonts w:asciiTheme="majorHAnsi" w:hAnsiTheme="majorHAnsi" w:cstheme="majorHAnsi"/>
        </w:rPr>
        <w:t>s inauguration speech.</w:t>
      </w:r>
    </w:p>
    <w:p w:rsidRPr="00E97643" w:rsidR="00E47D0C" w:rsidP="00E97643" w14:paraId="6A7DC8E9" w14:textId="22F76DD7">
      <w:pPr>
        <w:pStyle w:val="JuPara"/>
        <w:rPr>
          <w:rFonts w:asciiTheme="majorHAnsi" w:hAnsiTheme="majorHAnsi" w:cstheme="majorHAnsi"/>
        </w:rPr>
      </w:pPr>
      <w:r w:rsidRPr="00E97643">
        <w:rPr>
          <w:rFonts w:asciiTheme="majorHAnsi" w:hAnsiTheme="majorHAnsi" w:cstheme="majorHAnsi"/>
        </w:rPr>
        <w:fldChar w:fldCharType="begin"/>
      </w:r>
      <w:r w:rsidRPr="00E97643">
        <w:rPr>
          <w:rFonts w:asciiTheme="majorHAnsi" w:hAnsiTheme="majorHAnsi" w:cstheme="majorHAnsi"/>
        </w:rPr>
        <w:instrText xml:space="preserve"> SEQ level0 \*arabic \* MERGEFORMAT </w:instrText>
      </w:r>
      <w:r w:rsidRPr="00E97643">
        <w:rPr>
          <w:rFonts w:asciiTheme="majorHAnsi" w:hAnsiTheme="majorHAnsi" w:cstheme="majorHAnsi"/>
        </w:rPr>
        <w:fldChar w:fldCharType="separate"/>
      </w:r>
      <w:r w:rsidRPr="00E97643" w:rsidR="00E97643">
        <w:rPr>
          <w:rFonts w:asciiTheme="majorHAnsi" w:hAnsiTheme="majorHAnsi" w:cstheme="majorHAnsi"/>
          <w:noProof/>
        </w:rPr>
        <w:t>4</w:t>
      </w:r>
      <w:r w:rsidRPr="00E97643">
        <w:rPr>
          <w:rFonts w:asciiTheme="majorHAnsi" w:hAnsiTheme="majorHAnsi" w:cstheme="majorHAnsi"/>
        </w:rPr>
        <w:fldChar w:fldCharType="end"/>
      </w:r>
      <w:r w:rsidRPr="00E97643">
        <w:rPr>
          <w:rFonts w:asciiTheme="majorHAnsi" w:hAnsiTheme="majorHAnsi" w:cstheme="majorHAnsi"/>
        </w:rPr>
        <w:t>.  Subsequently, the House Committee of Parliament examined the incident. However, no consensus was reached regarding the Speaker</w:t>
      </w:r>
      <w:r w:rsidRPr="00E97643" w:rsidR="00E97643">
        <w:rPr>
          <w:rFonts w:asciiTheme="majorHAnsi" w:hAnsiTheme="majorHAnsi" w:cstheme="majorHAnsi"/>
        </w:rPr>
        <w:t>’</w:t>
      </w:r>
      <w:r w:rsidRPr="00E97643">
        <w:rPr>
          <w:rFonts w:asciiTheme="majorHAnsi" w:hAnsiTheme="majorHAnsi" w:cstheme="majorHAnsi"/>
        </w:rPr>
        <w:t>s proposal to impose a sanction on the applicant and the issue was therefore referred to the Speaker himself.</w:t>
      </w:r>
    </w:p>
    <w:p w:rsidRPr="00E97643" w:rsidR="00E47D0C" w:rsidP="00E97643" w14:paraId="769186DB" w14:textId="66F0D6BF">
      <w:pPr>
        <w:pStyle w:val="JuPara"/>
        <w:rPr>
          <w:rFonts w:asciiTheme="majorHAnsi" w:hAnsiTheme="majorHAnsi" w:cstheme="majorHAnsi"/>
        </w:rPr>
      </w:pPr>
      <w:r w:rsidRPr="00E97643">
        <w:rPr>
          <w:rFonts w:asciiTheme="majorHAnsi" w:hAnsiTheme="majorHAnsi" w:cstheme="majorHAnsi"/>
        </w:rPr>
        <w:fldChar w:fldCharType="begin"/>
      </w:r>
      <w:r w:rsidRPr="00E97643">
        <w:rPr>
          <w:rFonts w:asciiTheme="majorHAnsi" w:hAnsiTheme="majorHAnsi" w:cstheme="majorHAnsi"/>
        </w:rPr>
        <w:instrText xml:space="preserve"> SEQ level0 \*arabic \* MERGEFORMAT </w:instrText>
      </w:r>
      <w:r w:rsidRPr="00E97643">
        <w:rPr>
          <w:rFonts w:asciiTheme="majorHAnsi" w:hAnsiTheme="majorHAnsi" w:cstheme="majorHAnsi"/>
        </w:rPr>
        <w:fldChar w:fldCharType="separate"/>
      </w:r>
      <w:bookmarkStart w:name="paragraph00005" w:id="0"/>
      <w:r w:rsidRPr="00E97643" w:rsidR="00E97643">
        <w:rPr>
          <w:rFonts w:asciiTheme="majorHAnsi" w:hAnsiTheme="majorHAnsi" w:cstheme="majorHAnsi"/>
          <w:noProof/>
        </w:rPr>
        <w:t>5</w:t>
      </w:r>
      <w:bookmarkEnd w:id="0"/>
      <w:r w:rsidRPr="00E97643">
        <w:rPr>
          <w:rFonts w:asciiTheme="majorHAnsi" w:hAnsiTheme="majorHAnsi" w:cstheme="majorHAnsi"/>
        </w:rPr>
        <w:fldChar w:fldCharType="end"/>
      </w:r>
      <w:r w:rsidRPr="00E97643">
        <w:rPr>
          <w:rFonts w:asciiTheme="majorHAnsi" w:hAnsiTheme="majorHAnsi" w:cstheme="majorHAnsi"/>
        </w:rPr>
        <w:t>.  On 15 May 2017 the Speaker, on the basis of section 13(6) of Act no. XXXVI of 2012 on Parliament (hereinafter “the Parliament Act”), imposed a fine on the applicant in accordance with sections 49(4) and 51/</w:t>
      </w:r>
      <w:r w:rsidRPr="00E97643">
        <w:rPr>
          <w:rFonts w:asciiTheme="majorHAnsi" w:hAnsiTheme="majorHAnsi" w:cstheme="majorHAnsi"/>
        </w:rPr>
        <w:t>A(</w:t>
      </w:r>
      <w:r w:rsidRPr="00E97643">
        <w:rPr>
          <w:rFonts w:asciiTheme="majorHAnsi" w:hAnsiTheme="majorHAnsi" w:cstheme="majorHAnsi"/>
        </w:rPr>
        <w:t xml:space="preserve">13) of the same act (see for the content of the provisions </w:t>
      </w:r>
      <w:r w:rsidRPr="00E97643">
        <w:rPr>
          <w:rFonts w:asciiTheme="majorHAnsi" w:hAnsiTheme="majorHAnsi" w:cstheme="majorHAnsi"/>
          <w:i/>
          <w:iCs/>
        </w:rPr>
        <w:t>Ikotity</w:t>
      </w:r>
      <w:r w:rsidRPr="00E97643">
        <w:rPr>
          <w:rFonts w:asciiTheme="majorHAnsi" w:hAnsiTheme="majorHAnsi" w:cstheme="majorHAnsi"/>
          <w:i/>
          <w:iCs/>
        </w:rPr>
        <w:t xml:space="preserve"> and Others v. Hungary</w:t>
      </w:r>
      <w:r w:rsidRPr="00E97643">
        <w:rPr>
          <w:rFonts w:asciiTheme="majorHAnsi" w:hAnsiTheme="majorHAnsi" w:cstheme="majorHAnsi"/>
        </w:rPr>
        <w:t>, no. 50012/17, § 15, 5 October 2023). Her salary, due that month, was to be decreased by 249,292 Hungarian forints (HUF) (approximately 620 euros (EUR)). In the decision it was explained that the President</w:t>
      </w:r>
      <w:r w:rsidRPr="00E97643" w:rsidR="00E97643">
        <w:rPr>
          <w:rFonts w:asciiTheme="majorHAnsi" w:hAnsiTheme="majorHAnsi" w:cstheme="majorHAnsi"/>
        </w:rPr>
        <w:t>’</w:t>
      </w:r>
      <w:r w:rsidRPr="00E97643">
        <w:rPr>
          <w:rFonts w:asciiTheme="majorHAnsi" w:hAnsiTheme="majorHAnsi" w:cstheme="majorHAnsi"/>
        </w:rPr>
        <w:t>s oath and inauguration speech constituted a solemn ceremony which took place at the Parliament</w:t>
      </w:r>
      <w:r w:rsidRPr="00E97643" w:rsidR="00E97643">
        <w:rPr>
          <w:rFonts w:asciiTheme="majorHAnsi" w:hAnsiTheme="majorHAnsi" w:cstheme="majorHAnsi"/>
        </w:rPr>
        <w:t>’</w:t>
      </w:r>
      <w:r w:rsidRPr="00E97643">
        <w:rPr>
          <w:rFonts w:asciiTheme="majorHAnsi" w:hAnsiTheme="majorHAnsi" w:cstheme="majorHAnsi"/>
        </w:rPr>
        <w:t>s session; the ceremonial nature aimed at expressing respect for the institution of the President of the Republic. The Speaker held that the applicant</w:t>
      </w:r>
      <w:r w:rsidRPr="00E97643" w:rsidR="00E97643">
        <w:rPr>
          <w:rFonts w:asciiTheme="majorHAnsi" w:hAnsiTheme="majorHAnsi" w:cstheme="majorHAnsi"/>
        </w:rPr>
        <w:t>’</w:t>
      </w:r>
      <w:r w:rsidRPr="00E97643">
        <w:rPr>
          <w:rFonts w:asciiTheme="majorHAnsi" w:hAnsiTheme="majorHAnsi" w:cstheme="majorHAnsi"/>
        </w:rPr>
        <w:t>s dispraising conduct, by way of offending the institution of the President of the Republic, had seriously impaired Parliament</w:t>
      </w:r>
      <w:r w:rsidRPr="00E97643" w:rsidR="00E97643">
        <w:rPr>
          <w:rFonts w:asciiTheme="majorHAnsi" w:hAnsiTheme="majorHAnsi" w:cstheme="majorHAnsi"/>
        </w:rPr>
        <w:t>’</w:t>
      </w:r>
      <w:r w:rsidRPr="00E97643">
        <w:rPr>
          <w:rFonts w:asciiTheme="majorHAnsi" w:hAnsiTheme="majorHAnsi" w:cstheme="majorHAnsi"/>
        </w:rPr>
        <w:t xml:space="preserve">s authority since it undermined the ceremonial nature of the session and prevented Parliament from respectfully welcoming the President. It further noted that her conduct </w:t>
      </w:r>
      <w:r w:rsidRPr="00E97643">
        <w:rPr>
          <w:rFonts w:asciiTheme="majorHAnsi" w:hAnsiTheme="majorHAnsi" w:cstheme="majorHAnsi"/>
        </w:rPr>
        <w:t>was capable of eroding</w:t>
      </w:r>
      <w:r w:rsidRPr="00E97643">
        <w:rPr>
          <w:rFonts w:asciiTheme="majorHAnsi" w:hAnsiTheme="majorHAnsi" w:cstheme="majorHAnsi"/>
        </w:rPr>
        <w:t xml:space="preserve"> the public trust in the institution of the President of the Republic. The offence was considered particularly serious since the event took place with wide media publicity.</w:t>
      </w:r>
    </w:p>
    <w:p w:rsidRPr="00E97643" w:rsidR="00E47D0C" w:rsidP="00E97643" w14:paraId="47EF7532" w14:textId="6ADAEEEE">
      <w:pPr>
        <w:pStyle w:val="JuPara"/>
        <w:rPr>
          <w:rFonts w:asciiTheme="majorHAnsi" w:hAnsiTheme="majorHAnsi" w:cstheme="majorHAnsi"/>
        </w:rPr>
      </w:pPr>
      <w:r w:rsidRPr="00E97643">
        <w:rPr>
          <w:rFonts w:asciiTheme="majorHAnsi" w:hAnsiTheme="majorHAnsi" w:cstheme="majorHAnsi"/>
        </w:rPr>
        <w:fldChar w:fldCharType="begin"/>
      </w:r>
      <w:r w:rsidRPr="00E97643">
        <w:rPr>
          <w:rFonts w:asciiTheme="majorHAnsi" w:hAnsiTheme="majorHAnsi" w:cstheme="majorHAnsi"/>
        </w:rPr>
        <w:instrText xml:space="preserve"> SEQ level0 \*arabic \* MERGEFORMAT </w:instrText>
      </w:r>
      <w:r w:rsidRPr="00E97643">
        <w:rPr>
          <w:rFonts w:asciiTheme="majorHAnsi" w:hAnsiTheme="majorHAnsi" w:cstheme="majorHAnsi"/>
        </w:rPr>
        <w:fldChar w:fldCharType="separate"/>
      </w:r>
      <w:r w:rsidRPr="00E97643" w:rsidR="00E97643">
        <w:rPr>
          <w:rFonts w:asciiTheme="majorHAnsi" w:hAnsiTheme="majorHAnsi" w:cstheme="majorHAnsi"/>
          <w:noProof/>
        </w:rPr>
        <w:t>6</w:t>
      </w:r>
      <w:r w:rsidRPr="00E97643">
        <w:rPr>
          <w:rFonts w:asciiTheme="majorHAnsi" w:hAnsiTheme="majorHAnsi" w:cstheme="majorHAnsi"/>
        </w:rPr>
        <w:fldChar w:fldCharType="end"/>
      </w:r>
      <w:r w:rsidRPr="00E97643">
        <w:rPr>
          <w:rFonts w:asciiTheme="majorHAnsi" w:hAnsiTheme="majorHAnsi" w:cstheme="majorHAnsi"/>
        </w:rPr>
        <w:t>.  The applicant challenged the Speaker</w:t>
      </w:r>
      <w:r w:rsidRPr="00E97643" w:rsidR="00E97643">
        <w:rPr>
          <w:rFonts w:asciiTheme="majorHAnsi" w:hAnsiTheme="majorHAnsi" w:cstheme="majorHAnsi"/>
        </w:rPr>
        <w:t>’</w:t>
      </w:r>
      <w:r w:rsidRPr="00E97643">
        <w:rPr>
          <w:rFonts w:asciiTheme="majorHAnsi" w:hAnsiTheme="majorHAnsi" w:cstheme="majorHAnsi"/>
        </w:rPr>
        <w:t>s decision before Parliament</w:t>
      </w:r>
      <w:r w:rsidRPr="00E97643" w:rsidR="00E97643">
        <w:rPr>
          <w:rFonts w:asciiTheme="majorHAnsi" w:hAnsiTheme="majorHAnsi" w:cstheme="majorHAnsi"/>
        </w:rPr>
        <w:t>’</w:t>
      </w:r>
      <w:r w:rsidRPr="00E97643">
        <w:rPr>
          <w:rFonts w:asciiTheme="majorHAnsi" w:hAnsiTheme="majorHAnsi" w:cstheme="majorHAnsi"/>
        </w:rPr>
        <w:t>s Immunity Committee. She argued that her conduct had not violated Parliament</w:t>
      </w:r>
      <w:r w:rsidRPr="00E97643" w:rsidR="00E97643">
        <w:rPr>
          <w:rFonts w:asciiTheme="majorHAnsi" w:hAnsiTheme="majorHAnsi" w:cstheme="majorHAnsi"/>
        </w:rPr>
        <w:t>’</w:t>
      </w:r>
      <w:r w:rsidRPr="00E97643">
        <w:rPr>
          <w:rFonts w:asciiTheme="majorHAnsi" w:hAnsiTheme="majorHAnsi" w:cstheme="majorHAnsi"/>
        </w:rPr>
        <w:t xml:space="preserve">s authority, had criticised </w:t>
      </w:r>
      <w:r w:rsidRPr="00E97643">
        <w:rPr>
          <w:rFonts w:asciiTheme="majorHAnsi" w:hAnsiTheme="majorHAnsi" w:cstheme="majorHAnsi"/>
        </w:rPr>
        <w:t>no one but</w:t>
      </w:r>
      <w:r w:rsidRPr="00E97643">
        <w:rPr>
          <w:rFonts w:asciiTheme="majorHAnsi" w:hAnsiTheme="majorHAnsi" w:cstheme="majorHAnsi"/>
        </w:rPr>
        <w:t xml:space="preserve"> the President and had not amounted to a threat with violence.</w:t>
      </w:r>
    </w:p>
    <w:p w:rsidRPr="00E97643" w:rsidR="00E47D0C" w:rsidP="00E97643" w14:paraId="486FDFE5" w14:textId="13FEE94D">
      <w:pPr>
        <w:pStyle w:val="JuPara"/>
      </w:pPr>
      <w:r>
        <w:fldChar w:fldCharType="begin"/>
      </w:r>
      <w:r>
        <w:instrText xml:space="preserve"> SEQ level0 \*arabic \* MERGEFORMAT </w:instrText>
      </w:r>
      <w:r>
        <w:fldChar w:fldCharType="separate"/>
      </w:r>
      <w:bookmarkStart w:name="paragraph00007" w:id="1"/>
      <w:r w:rsidRPr="00E97643" w:rsidR="00E97643">
        <w:rPr>
          <w:noProof/>
        </w:rPr>
        <w:t>7</w:t>
      </w:r>
      <w:bookmarkEnd w:id="1"/>
      <w:r>
        <w:fldChar w:fldCharType="end"/>
      </w:r>
      <w:r w:rsidRPr="00E97643">
        <w:t>.  On 24 May 2017 the Immunity Committee, composed of three</w:t>
      </w:r>
      <w:r w:rsidRPr="00E97643">
        <w:t> </w:t>
      </w:r>
      <w:r w:rsidRPr="00E97643">
        <w:t>members from the ruling party and three members from the opposition, discussed the applicant</w:t>
      </w:r>
      <w:r w:rsidRPr="00E97643" w:rsidR="00E97643">
        <w:t>’</w:t>
      </w:r>
      <w:r w:rsidRPr="00E97643">
        <w:t>s complaint. The applicant was also heard at the committee meeting where she maintained her position. With three votes against and two abstentions, the Immunity Committee rejected her complaint. It upheld the facts as established by the Speaker</w:t>
      </w:r>
      <w:r w:rsidRPr="00E97643" w:rsidR="00E97643">
        <w:t>’</w:t>
      </w:r>
      <w:r w:rsidRPr="00E97643">
        <w:t>s decision and reiterated that the applicant</w:t>
      </w:r>
      <w:r w:rsidRPr="00E97643" w:rsidR="00E97643">
        <w:t>’</w:t>
      </w:r>
      <w:r w:rsidRPr="00E97643">
        <w:t>s conduct violated the authority of Parliament. It furthermore added that the amount of the imposed fine was proportionate.</w:t>
      </w:r>
    </w:p>
    <w:p w:rsidRPr="00E97643" w:rsidR="00E47D0C" w:rsidP="00E97643" w14:paraId="06ED4124" w14:textId="4B5482B8">
      <w:pPr>
        <w:pStyle w:val="JuPara"/>
        <w:rPr>
          <w:rFonts w:asciiTheme="majorHAnsi" w:hAnsiTheme="majorHAnsi" w:cstheme="majorHAnsi"/>
        </w:rPr>
      </w:pPr>
      <w:r w:rsidRPr="00E97643">
        <w:rPr>
          <w:rFonts w:asciiTheme="majorHAnsi" w:hAnsiTheme="majorHAnsi" w:cstheme="majorHAnsi"/>
        </w:rPr>
        <w:fldChar w:fldCharType="begin"/>
      </w:r>
      <w:r w:rsidRPr="00E97643">
        <w:rPr>
          <w:rFonts w:asciiTheme="majorHAnsi" w:hAnsiTheme="majorHAnsi" w:cstheme="majorHAnsi"/>
        </w:rPr>
        <w:instrText xml:space="preserve"> SEQ level0 \*arabic \* MERGEFORMAT </w:instrText>
      </w:r>
      <w:r w:rsidRPr="00E97643">
        <w:rPr>
          <w:rFonts w:asciiTheme="majorHAnsi" w:hAnsiTheme="majorHAnsi" w:cstheme="majorHAnsi"/>
        </w:rPr>
        <w:fldChar w:fldCharType="separate"/>
      </w:r>
      <w:bookmarkStart w:name="paragraph00008" w:id="2"/>
      <w:r w:rsidRPr="00E97643" w:rsidR="00E97643">
        <w:rPr>
          <w:rFonts w:asciiTheme="majorHAnsi" w:hAnsiTheme="majorHAnsi" w:cstheme="majorHAnsi"/>
          <w:noProof/>
        </w:rPr>
        <w:t>8</w:t>
      </w:r>
      <w:bookmarkEnd w:id="2"/>
      <w:r w:rsidRPr="00E97643">
        <w:rPr>
          <w:rFonts w:asciiTheme="majorHAnsi" w:hAnsiTheme="majorHAnsi" w:cstheme="majorHAnsi"/>
        </w:rPr>
        <w:fldChar w:fldCharType="end"/>
      </w:r>
      <w:r w:rsidRPr="00E97643">
        <w:rPr>
          <w:rFonts w:asciiTheme="majorHAnsi" w:hAnsiTheme="majorHAnsi" w:cstheme="majorHAnsi"/>
        </w:rPr>
        <w:t>.  Subsequently, the applicant asked the plenary Parliament to set aside the Speaker</w:t>
      </w:r>
      <w:r w:rsidRPr="00E97643" w:rsidR="00E97643">
        <w:rPr>
          <w:rFonts w:asciiTheme="majorHAnsi" w:hAnsiTheme="majorHAnsi" w:cstheme="majorHAnsi"/>
        </w:rPr>
        <w:t>’</w:t>
      </w:r>
      <w:r w:rsidRPr="00E97643">
        <w:rPr>
          <w:rFonts w:asciiTheme="majorHAnsi" w:hAnsiTheme="majorHAnsi" w:cstheme="majorHAnsi"/>
        </w:rPr>
        <w:t>s decision. However, on 30 May 2017, Parliament upheld the measure.</w:t>
      </w:r>
    </w:p>
    <w:p w:rsidRPr="00E97643" w:rsidR="00E47D0C" w:rsidP="00E97643" w14:paraId="56E8B999" w14:textId="0597942E">
      <w:pPr>
        <w:pStyle w:val="JuPara"/>
        <w:rPr>
          <w:rFonts w:asciiTheme="majorHAnsi" w:hAnsiTheme="majorHAnsi" w:cstheme="majorHAnsi"/>
        </w:rPr>
      </w:pPr>
      <w:r w:rsidRPr="00E97643">
        <w:rPr>
          <w:rFonts w:asciiTheme="majorHAnsi" w:hAnsiTheme="majorHAnsi" w:cstheme="majorHAnsi"/>
        </w:rPr>
        <w:fldChar w:fldCharType="begin"/>
      </w:r>
      <w:r w:rsidRPr="00E97643">
        <w:rPr>
          <w:rFonts w:asciiTheme="majorHAnsi" w:hAnsiTheme="majorHAnsi" w:cstheme="majorHAnsi"/>
        </w:rPr>
        <w:instrText xml:space="preserve"> SEQ level0 \*arabic \* MERGEFORMAT </w:instrText>
      </w:r>
      <w:r w:rsidRPr="00E97643">
        <w:rPr>
          <w:rFonts w:asciiTheme="majorHAnsi" w:hAnsiTheme="majorHAnsi" w:cstheme="majorHAnsi"/>
        </w:rPr>
        <w:fldChar w:fldCharType="separate"/>
      </w:r>
      <w:r w:rsidRPr="00E97643" w:rsidR="00E97643">
        <w:rPr>
          <w:rFonts w:asciiTheme="majorHAnsi" w:hAnsiTheme="majorHAnsi" w:cstheme="majorHAnsi"/>
          <w:noProof/>
        </w:rPr>
        <w:t>9</w:t>
      </w:r>
      <w:r w:rsidRPr="00E97643">
        <w:rPr>
          <w:rFonts w:asciiTheme="majorHAnsi" w:hAnsiTheme="majorHAnsi" w:cstheme="majorHAnsi"/>
        </w:rPr>
        <w:fldChar w:fldCharType="end"/>
      </w:r>
      <w:r w:rsidRPr="00E97643">
        <w:rPr>
          <w:rFonts w:asciiTheme="majorHAnsi" w:hAnsiTheme="majorHAnsi" w:cstheme="majorHAnsi"/>
        </w:rPr>
        <w:t>.  The applicant complained that the sanction imposed on her was not prescribed by law and was disproportionate to the legitimate aim sought, in breach of Article 10 of the Convention.</w:t>
      </w:r>
    </w:p>
    <w:p w:rsidRPr="00E97643" w:rsidR="00E47D0C" w:rsidP="00E97643" w14:paraId="39251346" w14:textId="02F57970">
      <w:pPr>
        <w:pStyle w:val="JuHHead"/>
        <w:numPr>
          <w:ilvl w:val="0"/>
          <w:numId w:val="1"/>
        </w:numPr>
        <w:ind w:left="360" w:hanging="360"/>
      </w:pPr>
      <w:r w:rsidRPr="00E97643">
        <w:t>THE COURT</w:t>
      </w:r>
      <w:r w:rsidRPr="00E97643" w:rsidR="00E97643">
        <w:t>’</w:t>
      </w:r>
      <w:r w:rsidRPr="00E97643">
        <w:t>S ASSESSMENT</w:t>
      </w:r>
    </w:p>
    <w:p w:rsidRPr="00E97643" w:rsidR="00E47D0C" w:rsidP="00E97643" w14:paraId="5E614576" w14:textId="2F5CA98F">
      <w:pPr>
        <w:pStyle w:val="JuPara"/>
        <w:keepNext/>
        <w:keepLines/>
      </w:pPr>
      <w:r>
        <w:fldChar w:fldCharType="begin"/>
      </w:r>
      <w:r>
        <w:instrText xml:space="preserve"> SEQ level0 \*arabic \* MERGEFORMAT </w:instrText>
      </w:r>
      <w:r>
        <w:fldChar w:fldCharType="separate"/>
      </w:r>
      <w:r w:rsidRPr="00E97643" w:rsidR="00E97643">
        <w:rPr>
          <w:noProof/>
        </w:rPr>
        <w:t>10</w:t>
      </w:r>
      <w:r w:rsidRPr="00E97643" w:rsidR="00E97643">
        <w:rPr>
          <w:noProof/>
        </w:rPr>
        <w:fldChar w:fldCharType="end"/>
      </w:r>
      <w:r w:rsidRPr="00E97643">
        <w:t>.  </w:t>
      </w:r>
      <w:r w:rsidRPr="00E97643">
        <w:rPr>
          <w:rFonts w:asciiTheme="majorHAnsi" w:hAnsiTheme="majorHAnsi" w:cstheme="majorHAnsi"/>
        </w:rPr>
        <w:t>The Government maintained that the applicant</w:t>
      </w:r>
      <w:r w:rsidRPr="00E97643" w:rsidR="00E97643">
        <w:rPr>
          <w:rFonts w:asciiTheme="majorHAnsi" w:hAnsiTheme="majorHAnsi" w:cstheme="majorHAnsi"/>
        </w:rPr>
        <w:t>’</w:t>
      </w:r>
      <w:r w:rsidRPr="00E97643">
        <w:rPr>
          <w:rFonts w:asciiTheme="majorHAnsi" w:hAnsiTheme="majorHAnsi" w:cstheme="majorHAnsi"/>
        </w:rPr>
        <w:t>s conduct directly offended Parliament</w:t>
      </w:r>
      <w:r w:rsidRPr="00E97643" w:rsidR="00E97643">
        <w:rPr>
          <w:rFonts w:asciiTheme="majorHAnsi" w:hAnsiTheme="majorHAnsi" w:cstheme="majorHAnsi"/>
        </w:rPr>
        <w:t>’</w:t>
      </w:r>
      <w:r w:rsidRPr="00E97643">
        <w:rPr>
          <w:rFonts w:asciiTheme="majorHAnsi" w:hAnsiTheme="majorHAnsi" w:cstheme="majorHAnsi"/>
        </w:rPr>
        <w:t>s authority since it was expressed while Parliament carried out its duties, namely celebrating the inauguration of the President of the Republic. They furthermore argued that the applicant had other means to express her opinion. Finally, the measure was proportionate; and effective and adequate procedural safeguards were available to the applicant.</w:t>
      </w:r>
    </w:p>
    <w:p w:rsidRPr="00E97643" w:rsidR="00E47D0C" w:rsidP="00E97643" w14:paraId="54B2A252" w14:textId="38F43DFE">
      <w:pPr>
        <w:pStyle w:val="JuPara"/>
        <w:keepNext/>
        <w:keepLines/>
        <w:rPr>
          <w:rFonts w:asciiTheme="majorHAnsi" w:hAnsiTheme="majorHAnsi" w:cstheme="majorHAnsi"/>
        </w:rPr>
      </w:pPr>
      <w:r>
        <w:fldChar w:fldCharType="begin"/>
      </w:r>
      <w:r>
        <w:instrText xml:space="preserve"> SEQ level0 \*arabic \* MERGEFORMAT </w:instrText>
      </w:r>
      <w:r>
        <w:fldChar w:fldCharType="separate"/>
      </w:r>
      <w:r w:rsidRPr="00E97643" w:rsidR="00E97643">
        <w:rPr>
          <w:noProof/>
        </w:rPr>
        <w:t>11</w:t>
      </w:r>
      <w:r w:rsidRPr="00E97643" w:rsidR="00E97643">
        <w:rPr>
          <w:noProof/>
        </w:rPr>
        <w:fldChar w:fldCharType="end"/>
      </w:r>
      <w:r w:rsidRPr="00E97643">
        <w:t xml:space="preserve">.  The applicant argued that </w:t>
      </w:r>
      <w:r w:rsidRPr="00E97643">
        <w:rPr>
          <w:rFonts w:asciiTheme="majorHAnsi" w:hAnsiTheme="majorHAnsi" w:cstheme="majorHAnsi"/>
        </w:rPr>
        <w:t>the measure imposed on her was not prescribed by law. Furthermore, her conduct did not hinder or pose a threat to the lawful operation of Parliament and violated Parliament</w:t>
      </w:r>
      <w:r w:rsidRPr="00E97643" w:rsidR="00E97643">
        <w:rPr>
          <w:rFonts w:asciiTheme="majorHAnsi" w:hAnsiTheme="majorHAnsi" w:cstheme="majorHAnsi"/>
        </w:rPr>
        <w:t>’</w:t>
      </w:r>
      <w:r w:rsidRPr="00E97643">
        <w:rPr>
          <w:rFonts w:asciiTheme="majorHAnsi" w:hAnsiTheme="majorHAnsi" w:cstheme="majorHAnsi"/>
        </w:rPr>
        <w:t>s authority only indirectly if at all. Her sole purpose was to express an opinion about the President of the Republic. In any event, the amount of the penalty imposed on her was disproportionate, and the procedural safeguards were inadequate. Moreover, the sanctioning practice in Parliament targeted opposition MPs in a discriminatory manner.</w:t>
      </w:r>
    </w:p>
    <w:p w:rsidRPr="00E97643" w:rsidR="00E47D0C" w:rsidP="00E97643" w14:paraId="640A178D" w14:textId="1519683B">
      <w:pPr>
        <w:pStyle w:val="JuPara"/>
        <w:keepNext/>
        <w:keepLines/>
      </w:pPr>
      <w:r>
        <w:fldChar w:fldCharType="begin"/>
      </w:r>
      <w:r>
        <w:instrText xml:space="preserve"> SEQ level0 \*arabic \* MERGEFORMAT </w:instrText>
      </w:r>
      <w:r>
        <w:fldChar w:fldCharType="separate"/>
      </w:r>
      <w:r w:rsidRPr="00E97643" w:rsidR="00E97643">
        <w:rPr>
          <w:noProof/>
        </w:rPr>
        <w:t>12</w:t>
      </w:r>
      <w:r w:rsidRPr="00E97643" w:rsidR="00E97643">
        <w:rPr>
          <w:noProof/>
        </w:rPr>
        <w:fldChar w:fldCharType="end"/>
      </w:r>
      <w:r w:rsidRPr="00E97643">
        <w:t xml:space="preserve">.  The Court notes that the relevant domestic law has been set out in </w:t>
      </w:r>
      <w:r w:rsidRPr="00E97643">
        <w:rPr>
          <w:i/>
          <w:iCs/>
        </w:rPr>
        <w:t>Ikotity</w:t>
      </w:r>
      <w:r w:rsidRPr="00E97643">
        <w:rPr>
          <w:i/>
          <w:iCs/>
        </w:rPr>
        <w:t xml:space="preserve"> and Others</w:t>
      </w:r>
      <w:r w:rsidRPr="00E97643">
        <w:t xml:space="preserve"> (cited above, §§ 14-17) while the Constitutional Court</w:t>
      </w:r>
      <w:r w:rsidRPr="00E97643" w:rsidR="00E97643">
        <w:t>’</w:t>
      </w:r>
      <w:r w:rsidRPr="00E97643">
        <w:t xml:space="preserve">s practice as well as international and comparative law materials have been presented in </w:t>
      </w:r>
      <w:r w:rsidRPr="00E97643">
        <w:rPr>
          <w:i/>
          <w:iCs/>
        </w:rPr>
        <w:t>Karácsony</w:t>
      </w:r>
      <w:r w:rsidRPr="00E97643">
        <w:rPr>
          <w:i/>
          <w:iCs/>
        </w:rPr>
        <w:t xml:space="preserve"> and Others v. Hungary</w:t>
      </w:r>
      <w:r w:rsidRPr="00E97643">
        <w:t xml:space="preserve"> ([GC], nos. 42461/13 and 44357/13, §§ 32</w:t>
      </w:r>
      <w:r w:rsidRPr="00E97643">
        <w:noBreakHyphen/>
        <w:t xml:space="preserve">61, 17 May 2016). Furthermore, the general principles applicable to the assessment of an interference with the right to freedom of expression in the context of debates in Parliament have been explained in </w:t>
      </w:r>
      <w:r w:rsidRPr="00E97643">
        <w:rPr>
          <w:i/>
          <w:iCs/>
        </w:rPr>
        <w:t>Karácsony</w:t>
      </w:r>
      <w:r w:rsidRPr="00E97643">
        <w:rPr>
          <w:i/>
          <w:iCs/>
        </w:rPr>
        <w:t xml:space="preserve"> and Others</w:t>
      </w:r>
      <w:r w:rsidRPr="00E97643">
        <w:t xml:space="preserve"> (cited above, §§ 132-47).</w:t>
      </w:r>
    </w:p>
    <w:p w:rsidRPr="00E97643" w:rsidR="00E47D0C" w:rsidP="00E97643" w14:paraId="72366E69" w14:textId="0FDA7F14">
      <w:pPr>
        <w:pStyle w:val="JuPara"/>
        <w:keepNext/>
        <w:keepLines/>
      </w:pPr>
      <w:r>
        <w:fldChar w:fldCharType="begin"/>
      </w:r>
      <w:r>
        <w:instrText xml:space="preserve"> SEQ level0 \*arabic \* MERGEFORMAT </w:instrText>
      </w:r>
      <w:r>
        <w:fldChar w:fldCharType="separate"/>
      </w:r>
      <w:r w:rsidRPr="00E97643" w:rsidR="00E97643">
        <w:rPr>
          <w:noProof/>
        </w:rPr>
        <w:t>13</w:t>
      </w:r>
      <w:r w:rsidRPr="00E97643" w:rsidR="00E97643">
        <w:rPr>
          <w:noProof/>
        </w:rPr>
        <w:fldChar w:fldCharType="end"/>
      </w:r>
      <w:r w:rsidRPr="00E97643">
        <w:t>.  The parties agreed that the applicant</w:t>
      </w:r>
      <w:r w:rsidRPr="00E97643" w:rsidR="00E97643">
        <w:t>’</w:t>
      </w:r>
      <w:r w:rsidRPr="00E97643">
        <w:t>s sanctioning constituted an interference with her right to freedom of expression guaranteed by Article 10 of the Convention. The Court sees no reason to hold otherwise.</w:t>
      </w:r>
    </w:p>
    <w:p w:rsidRPr="00E97643" w:rsidR="00E47D0C" w:rsidP="00E97643" w14:paraId="2D36AB74" w14:textId="2F0889BF">
      <w:pPr>
        <w:pStyle w:val="JuPara"/>
        <w:keepNext/>
        <w:keepLines/>
      </w:pPr>
      <w:r>
        <w:fldChar w:fldCharType="begin"/>
      </w:r>
      <w:r>
        <w:instrText xml:space="preserve"> SEQ level0 \*arabic \* MERGEFORMAT </w:instrText>
      </w:r>
      <w:r>
        <w:fldChar w:fldCharType="separate"/>
      </w:r>
      <w:r w:rsidRPr="00E97643" w:rsidR="00E97643">
        <w:rPr>
          <w:noProof/>
        </w:rPr>
        <w:t>14</w:t>
      </w:r>
      <w:r w:rsidRPr="00E97643" w:rsidR="00E97643">
        <w:rPr>
          <w:noProof/>
        </w:rPr>
        <w:fldChar w:fldCharType="end"/>
      </w:r>
      <w:r w:rsidRPr="00E97643">
        <w:t xml:space="preserve">.  As to whether the measure was prescribed by law for the purposes of paragraph 2 of Article 10, the Court recalls that it had already found in </w:t>
      </w:r>
      <w:r w:rsidRPr="00E97643">
        <w:rPr>
          <w:i/>
          <w:iCs/>
        </w:rPr>
        <w:t>Ikotity</w:t>
      </w:r>
      <w:r w:rsidRPr="00E97643">
        <w:rPr>
          <w:i/>
          <w:iCs/>
        </w:rPr>
        <w:t xml:space="preserve"> and Others</w:t>
      </w:r>
      <w:r w:rsidRPr="00E97643">
        <w:t xml:space="preserve"> (cited above, § 31) that section 49(4) of the Parliament Act met the required level of precision. Accordingly, the interference was “prescribed by law”.</w:t>
      </w:r>
    </w:p>
    <w:p w:rsidRPr="00E97643" w:rsidR="00E47D0C" w:rsidP="00E97643" w14:paraId="255C5DFB" w14:textId="29122F4E">
      <w:pPr>
        <w:pStyle w:val="JuPara"/>
      </w:pPr>
      <w:r>
        <w:fldChar w:fldCharType="begin"/>
      </w:r>
      <w:r>
        <w:instrText xml:space="preserve"> SEQ level0 \*arabic \* MERGEFORMAT </w:instrText>
      </w:r>
      <w:r>
        <w:fldChar w:fldCharType="separate"/>
      </w:r>
      <w:r w:rsidRPr="00E97643" w:rsidR="00E97643">
        <w:rPr>
          <w:noProof/>
        </w:rPr>
        <w:t>15</w:t>
      </w:r>
      <w:r w:rsidRPr="00E97643" w:rsidR="00E97643">
        <w:rPr>
          <w:noProof/>
        </w:rPr>
        <w:fldChar w:fldCharType="end"/>
      </w:r>
      <w:r w:rsidRPr="00E97643">
        <w:t xml:space="preserve">.  As to a legitimate aim of the measure, the Government argued that the measure aimed at protecting the authority and dignity of Parliament. Thus, it falls within the notion of “protection of the ... rights of others”, a legitimate aim under paragraph 2 of Article 10 of the Convention. The applicant did not dispute that. The Court accepts that the interference pursued the legitimate aim of protection of the rights of others, namely other members of Parliament, within the meaning of paragraph 2 of Article 10 of the Convention (compare also </w:t>
      </w:r>
      <w:r w:rsidRPr="00E97643">
        <w:rPr>
          <w:i/>
          <w:iCs/>
        </w:rPr>
        <w:t>Karácsony</w:t>
      </w:r>
      <w:r w:rsidRPr="00E97643">
        <w:rPr>
          <w:i/>
          <w:iCs/>
        </w:rPr>
        <w:t xml:space="preserve"> and Others</w:t>
      </w:r>
      <w:r w:rsidRPr="00E97643">
        <w:t>, cited above, § 129).</w:t>
      </w:r>
    </w:p>
    <w:p w:rsidRPr="00E97643" w:rsidR="00E47D0C" w:rsidP="00E97643" w14:paraId="638E1BAE" w14:textId="5E820F65">
      <w:pPr>
        <w:pStyle w:val="JuPara"/>
        <w:keepNext/>
        <w:keepLines/>
      </w:pPr>
      <w:r>
        <w:fldChar w:fldCharType="begin"/>
      </w:r>
      <w:r>
        <w:instrText xml:space="preserve"> SEQ level0 \*arabic \* MERGEFORMAT </w:instrText>
      </w:r>
      <w:r>
        <w:fldChar w:fldCharType="separate"/>
      </w:r>
      <w:r w:rsidRPr="00E97643" w:rsidR="00E97643">
        <w:rPr>
          <w:noProof/>
        </w:rPr>
        <w:t>16</w:t>
      </w:r>
      <w:r w:rsidRPr="00E97643" w:rsidR="00E97643">
        <w:rPr>
          <w:noProof/>
        </w:rPr>
        <w:fldChar w:fldCharType="end"/>
      </w:r>
      <w:r w:rsidRPr="00E97643">
        <w:t>.  In examining whether the sanction was “necessary in a democratic society” to pursue these aims, the Court has addressed two main questions in the context of similar complaints, namely (</w:t>
      </w:r>
      <w:r w:rsidRPr="00E97643">
        <w:t>i</w:t>
      </w:r>
      <w:r w:rsidRPr="00E97643">
        <w:t xml:space="preserve">) whether the applicable procedure was accompanied by sufficient procedural safeguards, and (ii) whether the imposition of a sanction on the applicant was disproportionate and thus unjustified (see </w:t>
      </w:r>
      <w:r w:rsidRPr="00E97643">
        <w:rPr>
          <w:i/>
          <w:iCs/>
        </w:rPr>
        <w:t>Ikotity</w:t>
      </w:r>
      <w:r w:rsidRPr="00E97643">
        <w:rPr>
          <w:i/>
          <w:iCs/>
        </w:rPr>
        <w:t xml:space="preserve"> and Others</w:t>
      </w:r>
      <w:r w:rsidRPr="00E97643">
        <w:t>, cited above, § 33).</w:t>
      </w:r>
    </w:p>
    <w:p w:rsidRPr="00E97643" w:rsidR="00E47D0C" w:rsidP="00E97643" w14:paraId="5DC8D693" w14:textId="47716D81">
      <w:pPr>
        <w:pStyle w:val="JuPara"/>
      </w:pPr>
      <w:r>
        <w:fldChar w:fldCharType="begin"/>
      </w:r>
      <w:r>
        <w:instrText xml:space="preserve"> SEQ level0 \*arabic \* MERGEFORMAT </w:instrText>
      </w:r>
      <w:r>
        <w:fldChar w:fldCharType="separate"/>
      </w:r>
      <w:r w:rsidRPr="00E97643" w:rsidR="00E97643">
        <w:rPr>
          <w:noProof/>
        </w:rPr>
        <w:t>17</w:t>
      </w:r>
      <w:r w:rsidRPr="00E97643" w:rsidR="00E97643">
        <w:rPr>
          <w:noProof/>
        </w:rPr>
        <w:fldChar w:fldCharType="end"/>
      </w:r>
      <w:r w:rsidRPr="00E97643">
        <w:t xml:space="preserve">.  As regards the necessary procedural safeguards, the Court notes that the Parliament Act provided for a remedy before the Immunity Committee against the decision of the Speaker to impose a sanction, which the applicant availed herself of. That Committee heard the applicant and issued a reasoned decision (see paragraph </w:t>
      </w:r>
      <w:r w:rsidRPr="00E97643">
        <w:fldChar w:fldCharType="begin"/>
      </w:r>
      <w:r w:rsidRPr="00E97643">
        <w:instrText xml:space="preserve"> REF paragraph00007 \h  \* CharFormat </w:instrText>
      </w:r>
      <w:r w:rsidRPr="00E97643">
        <w:fldChar w:fldCharType="separate"/>
      </w:r>
      <w:r w:rsidRPr="00E97643" w:rsidR="00E97643">
        <w:t>7</w:t>
      </w:r>
      <w:r w:rsidRPr="00E97643">
        <w:fldChar w:fldCharType="end"/>
      </w:r>
      <w:r w:rsidRPr="00E97643">
        <w:t xml:space="preserve"> above). Moreover, following the applicant</w:t>
      </w:r>
      <w:r w:rsidRPr="00E97643" w:rsidR="00E97643">
        <w:t>’</w:t>
      </w:r>
      <w:r w:rsidRPr="00E97643">
        <w:t xml:space="preserve">s objection, the plenary Parliament took a vote on, and rejected that objection (see paragraph </w:t>
      </w:r>
      <w:r w:rsidRPr="00E97643">
        <w:fldChar w:fldCharType="begin"/>
      </w:r>
      <w:r w:rsidRPr="00E97643">
        <w:instrText xml:space="preserve"> REF paragraph00008 \h  \* CharFormat </w:instrText>
      </w:r>
      <w:r w:rsidRPr="00E97643">
        <w:fldChar w:fldCharType="separate"/>
      </w:r>
      <w:r w:rsidRPr="00E97643" w:rsidR="00E97643">
        <w:t>8</w:t>
      </w:r>
      <w:r w:rsidRPr="00E97643">
        <w:fldChar w:fldCharType="end"/>
      </w:r>
      <w:r w:rsidRPr="00E97643">
        <w:t xml:space="preserve"> above).</w:t>
      </w:r>
    </w:p>
    <w:p w:rsidRPr="00E97643" w:rsidR="00E47D0C" w:rsidP="00E97643" w14:paraId="7CDCA29C" w14:textId="463AB536">
      <w:pPr>
        <w:pStyle w:val="JuPara"/>
      </w:pPr>
      <w:r>
        <w:fldChar w:fldCharType="begin"/>
      </w:r>
      <w:r>
        <w:instrText xml:space="preserve"> SEQ level0 \*arabic \* MERGEFORMAT </w:instrText>
      </w:r>
      <w:r>
        <w:fldChar w:fldCharType="separate"/>
      </w:r>
      <w:r w:rsidRPr="00E97643" w:rsidR="00E97643">
        <w:rPr>
          <w:noProof/>
        </w:rPr>
        <w:t>18</w:t>
      </w:r>
      <w:r w:rsidRPr="00E97643" w:rsidR="00E97643">
        <w:rPr>
          <w:noProof/>
        </w:rPr>
        <w:fldChar w:fldCharType="end"/>
      </w:r>
      <w:r w:rsidRPr="00E97643">
        <w:t>.  The Court takes note of the applicant</w:t>
      </w:r>
      <w:r w:rsidRPr="00E97643" w:rsidR="00E97643">
        <w:t>’</w:t>
      </w:r>
      <w:r w:rsidRPr="00E97643">
        <w:t xml:space="preserve">s argument to the effect that in practice the remedy could not be successful, notably because without the support of the MPs of the ruling party alliance, the decision of the Speaker could not possibly be overturned by the Immunity Committee because the opposition has the same number of votes as the Government party. However, nothing in the </w:t>
      </w:r>
      <w:r w:rsidRPr="00E97643">
        <w:t>particular circumstances</w:t>
      </w:r>
      <w:r w:rsidRPr="00E97643">
        <w:t xml:space="preserve"> of the present case indicates that the decision of the Immunity Committee was based on bias towards members of the opposition (compare also </w:t>
      </w:r>
      <w:r w:rsidRPr="00E97643">
        <w:rPr>
          <w:i/>
          <w:iCs/>
        </w:rPr>
        <w:t>Karácsony</w:t>
      </w:r>
      <w:r w:rsidRPr="00E97643">
        <w:rPr>
          <w:i/>
          <w:iCs/>
        </w:rPr>
        <w:t xml:space="preserve"> and Others</w:t>
      </w:r>
      <w:r w:rsidRPr="00E97643">
        <w:t>, cited above, § 147). Moreover, it is observed that not even MPs of the opposition supported the applicant</w:t>
      </w:r>
      <w:r w:rsidRPr="00E97643" w:rsidR="00E97643">
        <w:t>’</w:t>
      </w:r>
      <w:r w:rsidRPr="00E97643">
        <w:t xml:space="preserve">s appeal (see paragraph </w:t>
      </w:r>
      <w:r w:rsidRPr="00E97643">
        <w:fldChar w:fldCharType="begin"/>
      </w:r>
      <w:r w:rsidRPr="00E97643">
        <w:instrText xml:space="preserve"> REF paragraph00007 \h  \* CharFormat </w:instrText>
      </w:r>
      <w:r w:rsidRPr="00E97643">
        <w:fldChar w:fldCharType="separate"/>
      </w:r>
      <w:r w:rsidRPr="00E97643" w:rsidR="00E97643">
        <w:t>7</w:t>
      </w:r>
      <w:r w:rsidRPr="00E97643">
        <w:fldChar w:fldCharType="end"/>
      </w:r>
      <w:r w:rsidRPr="00E97643">
        <w:t xml:space="preserve"> above).</w:t>
      </w:r>
    </w:p>
    <w:p w:rsidRPr="00E97643" w:rsidR="00E47D0C" w:rsidP="00E97643" w14:paraId="37573960" w14:textId="21A5FF5F">
      <w:pPr>
        <w:pStyle w:val="JuPara"/>
      </w:pPr>
      <w:r>
        <w:fldChar w:fldCharType="begin"/>
      </w:r>
      <w:r>
        <w:instrText xml:space="preserve"> SEQ level0 \*arabic \* MERGEFORMAT </w:instrText>
      </w:r>
      <w:r>
        <w:fldChar w:fldCharType="separate"/>
      </w:r>
      <w:r w:rsidRPr="00E97643" w:rsidR="00E97643">
        <w:rPr>
          <w:noProof/>
        </w:rPr>
        <w:t>19</w:t>
      </w:r>
      <w:r w:rsidRPr="00E97643" w:rsidR="00E97643">
        <w:rPr>
          <w:noProof/>
        </w:rPr>
        <w:fldChar w:fldCharType="end"/>
      </w:r>
      <w:r w:rsidRPr="00E97643">
        <w:t>.  The Court observes that the plenary Parliament took a vote on the applicant</w:t>
      </w:r>
      <w:r w:rsidRPr="00E97643" w:rsidR="00E97643">
        <w:t>’</w:t>
      </w:r>
      <w:r w:rsidRPr="00E97643">
        <w:t xml:space="preserve">s objection challenging the decision of the Immunity Committee. The Court concluded in the case of </w:t>
      </w:r>
      <w:r w:rsidRPr="00E97643">
        <w:rPr>
          <w:i/>
          <w:iCs/>
        </w:rPr>
        <w:t>Ikotity</w:t>
      </w:r>
      <w:r w:rsidRPr="00E97643">
        <w:rPr>
          <w:i/>
          <w:iCs/>
        </w:rPr>
        <w:t xml:space="preserve"> and Others</w:t>
      </w:r>
      <w:r w:rsidRPr="00E97643">
        <w:t xml:space="preserve"> that the same procedural safeguards available to the applicants in that case could be considered sufficient, having regard to the principle of the autonomy of Parliament and the latter</w:t>
      </w:r>
      <w:r w:rsidRPr="00E97643" w:rsidR="00E97643">
        <w:t>’</w:t>
      </w:r>
      <w:r w:rsidRPr="00E97643">
        <w:t>s discretion in setting up its internal rules. The fact that the applicant</w:t>
      </w:r>
      <w:r w:rsidRPr="00E97643" w:rsidR="00E97643">
        <w:t>’</w:t>
      </w:r>
      <w:r w:rsidRPr="00E97643">
        <w:t xml:space="preserve">s fine was upheld without another round of debate by the plenary constituted no appearance of a procedural shortcoming, as the procedure offered the possibility for the applicant to be involved in the relevant procedure, notably by being heard before the Immunity Committee (see </w:t>
      </w:r>
      <w:r w:rsidRPr="00E97643">
        <w:rPr>
          <w:i/>
          <w:iCs/>
        </w:rPr>
        <w:t>Ikotity</w:t>
      </w:r>
      <w:r w:rsidRPr="00E97643">
        <w:rPr>
          <w:i/>
          <w:iCs/>
        </w:rPr>
        <w:t xml:space="preserve"> and Others</w:t>
      </w:r>
      <w:r w:rsidRPr="00E97643">
        <w:t xml:space="preserve">, cited above, §§ 13 and 36-38; see </w:t>
      </w:r>
      <w:r w:rsidRPr="00E97643">
        <w:rPr>
          <w:i/>
          <w:iCs/>
        </w:rPr>
        <w:t xml:space="preserve">a </w:t>
      </w:r>
      <w:r w:rsidRPr="00E97643">
        <w:rPr>
          <w:i/>
          <w:iCs/>
        </w:rPr>
        <w:t>contrario</w:t>
      </w:r>
      <w:r w:rsidRPr="00E97643">
        <w:t xml:space="preserve">, in a different factual situation, </w:t>
      </w:r>
      <w:r w:rsidRPr="00E97643">
        <w:rPr>
          <w:i/>
          <w:iCs/>
        </w:rPr>
        <w:t xml:space="preserve">Szabó v. Hungary </w:t>
      </w:r>
      <w:r w:rsidRPr="00E97643">
        <w:t>[Committee], no. 29627/19, §§ 20-24, 21 November 2024). The Court sees no reason to depart from this conclusion in the present application.</w:t>
      </w:r>
    </w:p>
    <w:p w:rsidRPr="00E97643" w:rsidR="00E47D0C" w:rsidP="00E97643" w14:paraId="2840F7B6" w14:textId="30FBD852">
      <w:pPr>
        <w:pStyle w:val="JuPara"/>
      </w:pPr>
      <w:r>
        <w:fldChar w:fldCharType="begin"/>
      </w:r>
      <w:r>
        <w:instrText xml:space="preserve"> SEQ level0 \*arabic \* MERGEFORMAT </w:instrText>
      </w:r>
      <w:r>
        <w:fldChar w:fldCharType="separate"/>
      </w:r>
      <w:r w:rsidRPr="00E97643" w:rsidR="00E97643">
        <w:rPr>
          <w:noProof/>
        </w:rPr>
        <w:t>20</w:t>
      </w:r>
      <w:r w:rsidRPr="00E97643" w:rsidR="00E97643">
        <w:rPr>
          <w:noProof/>
        </w:rPr>
        <w:fldChar w:fldCharType="end"/>
      </w:r>
      <w:r w:rsidRPr="00E97643">
        <w:t xml:space="preserve">.  As regards the justification of the sanction imposed on the applicant, the Court reiterates that as to the regulation of the time, place and manner of political expression in Parliament, States have a wide margin of appreciation (see </w:t>
      </w:r>
      <w:r w:rsidRPr="00E97643">
        <w:rPr>
          <w:i/>
          <w:iCs/>
        </w:rPr>
        <w:t>Karácsony</w:t>
      </w:r>
      <w:r w:rsidRPr="00E97643">
        <w:rPr>
          <w:i/>
          <w:iCs/>
        </w:rPr>
        <w:t xml:space="preserve"> and Others</w:t>
      </w:r>
      <w:r w:rsidRPr="00E97643">
        <w:t xml:space="preserve">, cited above, § 140, and </w:t>
      </w:r>
      <w:r w:rsidRPr="00E97643">
        <w:rPr>
          <w:i/>
          <w:iCs/>
        </w:rPr>
        <w:t>Ikotity</w:t>
      </w:r>
      <w:r w:rsidRPr="00E97643">
        <w:rPr>
          <w:i/>
          <w:iCs/>
        </w:rPr>
        <w:t xml:space="preserve"> and Others</w:t>
      </w:r>
      <w:r w:rsidRPr="00E97643">
        <w:t>, cited above, §§ 39 and 42). The Court has already found that the display of banners or placards result in the disruption of the parliamentary work (</w:t>
      </w:r>
      <w:r w:rsidRPr="00E97643">
        <w:rPr>
          <w:i/>
          <w:iCs/>
        </w:rPr>
        <w:t>Karácsony</w:t>
      </w:r>
      <w:r w:rsidRPr="00E97643">
        <w:rPr>
          <w:i/>
          <w:iCs/>
        </w:rPr>
        <w:t xml:space="preserve"> and </w:t>
      </w:r>
      <w:r w:rsidRPr="00E97643">
        <w:rPr>
          <w:i/>
          <w:iCs/>
        </w:rPr>
        <w:t>Others</w:t>
      </w:r>
      <w:r w:rsidRPr="00E97643">
        <w:t xml:space="preserve">, cited above, § 149). In the present circumstances, the Court considers that the showing and moving of a puppet during a ceremonial event in Parliament was quite </w:t>
      </w:r>
      <w:r w:rsidRPr="00E97643">
        <w:t>similar to</w:t>
      </w:r>
      <w:r w:rsidRPr="00E97643">
        <w:t xml:space="preserve"> those situations, capable of disrupting the session and undermining its solemn nature. It can therefore accept that it was necessary to react to the applicant</w:t>
      </w:r>
      <w:r w:rsidRPr="00E97643" w:rsidR="00E97643">
        <w:t>’</w:t>
      </w:r>
      <w:r w:rsidRPr="00E97643">
        <w:t>s conduct, which was a matter for Parliament to consider in the exercise of its autonomy (</w:t>
      </w:r>
      <w:r w:rsidRPr="00E97643">
        <w:rPr>
          <w:i/>
          <w:iCs/>
        </w:rPr>
        <w:t>Karácsony</w:t>
      </w:r>
      <w:r w:rsidRPr="00E97643">
        <w:rPr>
          <w:i/>
          <w:iCs/>
        </w:rPr>
        <w:t xml:space="preserve"> and Others</w:t>
      </w:r>
      <w:r w:rsidRPr="00E97643">
        <w:t>, cited above, § 148). Further, the applicant did not substantiate that it was impossible for her, an MP, to express her views in other ways, notably before and during the election of the President of the Republic or in the media.</w:t>
      </w:r>
    </w:p>
    <w:p w:rsidRPr="00E97643" w:rsidR="00E47D0C" w:rsidP="00E97643" w14:paraId="5F6BC0CE" w14:textId="37B54E7B">
      <w:pPr>
        <w:pStyle w:val="JuPara"/>
      </w:pPr>
      <w:r>
        <w:fldChar w:fldCharType="begin"/>
      </w:r>
      <w:r>
        <w:instrText xml:space="preserve"> SEQ level0 \*arabic \* MERGEFORMAT </w:instrText>
      </w:r>
      <w:r>
        <w:fldChar w:fldCharType="separate"/>
      </w:r>
      <w:r w:rsidRPr="00E97643" w:rsidR="00E97643">
        <w:rPr>
          <w:noProof/>
        </w:rPr>
        <w:t>21</w:t>
      </w:r>
      <w:r w:rsidRPr="00E97643" w:rsidR="00E97643">
        <w:rPr>
          <w:noProof/>
        </w:rPr>
        <w:fldChar w:fldCharType="end"/>
      </w:r>
      <w:r w:rsidRPr="00E97643">
        <w:t xml:space="preserve">.  As to the severity of the sanction imposed on the applicant, namely the one-time reduction of her remuneration in the amount of HUF 249,292 (see paragraph </w:t>
      </w:r>
      <w:r w:rsidRPr="00E97643">
        <w:fldChar w:fldCharType="begin"/>
      </w:r>
      <w:r w:rsidRPr="00E97643">
        <w:instrText xml:space="preserve"> REF paragraph00005 \h  \* CharFormat </w:instrText>
      </w:r>
      <w:r w:rsidRPr="00E97643">
        <w:fldChar w:fldCharType="separate"/>
      </w:r>
      <w:r w:rsidRPr="00E97643" w:rsidR="00E97643">
        <w:t>5</w:t>
      </w:r>
      <w:r w:rsidRPr="00E97643">
        <w:fldChar w:fldCharType="end"/>
      </w:r>
      <w:r w:rsidRPr="00E97643">
        <w:t xml:space="preserve"> above), the Court notes that this fine amounted to one-third of her monthly remuneration, which, having regard also to the reasons given by the Speaker and the Immunity Committee for concluding that the applicant</w:t>
      </w:r>
      <w:r w:rsidRPr="00E97643" w:rsidR="00E97643">
        <w:t>’</w:t>
      </w:r>
      <w:r w:rsidRPr="00E97643">
        <w:t>s conduct undermined Parliament</w:t>
      </w:r>
      <w:r w:rsidRPr="00E97643" w:rsidR="00E97643">
        <w:t>’</w:t>
      </w:r>
      <w:r w:rsidRPr="00E97643">
        <w:t xml:space="preserve">s authority in a serious manner (see paragraphs </w:t>
      </w:r>
      <w:r w:rsidRPr="00E97643">
        <w:fldChar w:fldCharType="begin"/>
      </w:r>
      <w:r w:rsidRPr="00E97643">
        <w:instrText xml:space="preserve"> REF paragraph00005 \h  \* CharFormat </w:instrText>
      </w:r>
      <w:r w:rsidRPr="00E97643">
        <w:fldChar w:fldCharType="separate"/>
      </w:r>
      <w:r w:rsidRPr="00E97643" w:rsidR="00E97643">
        <w:t>5</w:t>
      </w:r>
      <w:r w:rsidRPr="00E97643">
        <w:fldChar w:fldCharType="end"/>
      </w:r>
      <w:r w:rsidRPr="00E97643">
        <w:t xml:space="preserve"> and </w:t>
      </w:r>
      <w:r w:rsidRPr="00E97643">
        <w:fldChar w:fldCharType="begin"/>
      </w:r>
      <w:r w:rsidRPr="00E97643">
        <w:instrText xml:space="preserve"> REF paragraph00007 \h  \* CharFormat </w:instrText>
      </w:r>
      <w:r w:rsidRPr="00E97643">
        <w:fldChar w:fldCharType="separate"/>
      </w:r>
      <w:r w:rsidRPr="00E97643" w:rsidR="00E97643">
        <w:t>7</w:t>
      </w:r>
      <w:r w:rsidRPr="00E97643">
        <w:fldChar w:fldCharType="end"/>
      </w:r>
      <w:r w:rsidRPr="00E97643">
        <w:t xml:space="preserve"> above), cannot yet be considered excessive (compare also </w:t>
      </w:r>
      <w:r w:rsidRPr="00E97643">
        <w:rPr>
          <w:i/>
          <w:iCs/>
        </w:rPr>
        <w:t>Ikotity</w:t>
      </w:r>
      <w:r w:rsidRPr="00E97643">
        <w:rPr>
          <w:i/>
          <w:iCs/>
        </w:rPr>
        <w:t xml:space="preserve"> and Others</w:t>
      </w:r>
      <w:r w:rsidRPr="00E97643">
        <w:t>, cited above, § 15 and § 44).</w:t>
      </w:r>
    </w:p>
    <w:p w:rsidRPr="00E97643" w:rsidR="00E47D0C" w:rsidP="00E97643" w14:paraId="43D087D0" w14:textId="41CF3224">
      <w:pPr>
        <w:pStyle w:val="JuPara"/>
      </w:pPr>
      <w:r>
        <w:fldChar w:fldCharType="begin"/>
      </w:r>
      <w:r>
        <w:instrText xml:space="preserve"> SEQ level0 \*arabic \* MERGEFORMAT </w:instrText>
      </w:r>
      <w:r>
        <w:fldChar w:fldCharType="separate"/>
      </w:r>
      <w:r w:rsidRPr="00E97643" w:rsidR="00E97643">
        <w:rPr>
          <w:noProof/>
        </w:rPr>
        <w:t>22</w:t>
      </w:r>
      <w:r w:rsidRPr="00E97643" w:rsidR="00E97643">
        <w:rPr>
          <w:noProof/>
        </w:rPr>
        <w:fldChar w:fldCharType="end"/>
      </w:r>
      <w:r w:rsidRPr="00E97643">
        <w:t>.  Having regard to the foregoing, the Court finds that the sanction was not disproportionate to the legitimate aim pursued. It can therefore be concluded that the disputed interference was “necessary” in a democratic society.</w:t>
      </w:r>
    </w:p>
    <w:p w:rsidRPr="00E97643" w:rsidR="00E47D0C" w:rsidP="00E97643" w14:paraId="31F6FC66" w14:textId="65B0BA3E">
      <w:pPr>
        <w:pStyle w:val="JuPara"/>
      </w:pPr>
      <w:r>
        <w:fldChar w:fldCharType="begin"/>
      </w:r>
      <w:r>
        <w:instrText xml:space="preserve"> SEQ level0 \*arabic \* MERGEFORMAT </w:instrText>
      </w:r>
      <w:r>
        <w:fldChar w:fldCharType="separate"/>
      </w:r>
      <w:r w:rsidRPr="00E97643" w:rsidR="00E97643">
        <w:rPr>
          <w:noProof/>
        </w:rPr>
        <w:t>23</w:t>
      </w:r>
      <w:r w:rsidRPr="00E97643" w:rsidR="00E97643">
        <w:rPr>
          <w:noProof/>
        </w:rPr>
        <w:fldChar w:fldCharType="end"/>
      </w:r>
      <w:r w:rsidRPr="00E97643">
        <w:t>.  Therefore, the Court considers that the applicant</w:t>
      </w:r>
      <w:r w:rsidRPr="00E97643" w:rsidR="00E97643">
        <w:t>’</w:t>
      </w:r>
      <w:r w:rsidRPr="00E97643">
        <w:t>s complaint is manifestly ill-founded within the meaning of Article 35 § 3 (a) and must be rejected in accordance with Article 35 § 4 of the Convention.</w:t>
      </w:r>
    </w:p>
    <w:p w:rsidRPr="00E97643" w:rsidR="00E47D0C" w:rsidP="00E97643" w14:paraId="6B3D939E" w14:textId="4CEE688E">
      <w:pPr>
        <w:pStyle w:val="JuParaLast"/>
      </w:pPr>
      <w:r w:rsidRPr="00E97643">
        <w:t>For these reasons, the Court, unanimously,</w:t>
      </w:r>
    </w:p>
    <w:p w:rsidRPr="00E97643" w:rsidR="00E47D0C" w:rsidP="00E97643" w14:paraId="345507F0" w14:textId="77777777">
      <w:pPr>
        <w:pStyle w:val="DecList"/>
      </w:pPr>
      <w:r w:rsidRPr="00E97643">
        <w:rPr>
          <w:i/>
        </w:rPr>
        <w:t>Declares</w:t>
      </w:r>
      <w:r w:rsidRPr="00E97643">
        <w:t xml:space="preserve"> the application inadmissible.</w:t>
      </w:r>
    </w:p>
    <w:p w:rsidRPr="00E97643" w:rsidR="00BD1692" w:rsidP="00E97643" w14:paraId="51474402" w14:textId="4D8E56AF">
      <w:pPr>
        <w:pStyle w:val="JuParaLast"/>
        <w:rPr>
          <w:sz w:val="14"/>
        </w:rPr>
      </w:pPr>
      <w:r w:rsidRPr="00E97643">
        <w:t xml:space="preserve">Done in English and notified in writing on </w:t>
      </w:r>
      <w:r w:rsidRPr="00E97643" w:rsidR="00E47D0C">
        <w:rPr>
          <w:noProof/>
        </w:rPr>
        <w:t>2 October 2025</w:t>
      </w:r>
      <w:r w:rsidRPr="00E97643">
        <w:t>.</w:t>
      </w:r>
    </w:p>
    <w:p w:rsidRPr="00E97643" w:rsidR="00BD1692" w:rsidP="00E97643" w14:paraId="3608D41F" w14:textId="5806E09A">
      <w:pPr>
        <w:pStyle w:val="ECHRPlaceholder"/>
      </w:pPr>
      <w:r w:rsidRPr="00E97643">
        <w:tab/>
      </w:r>
    </w:p>
    <w:p w:rsidRPr="00E97643" w:rsidR="00B32591" w:rsidP="00E97643" w14:paraId="0BBE8979" w14:textId="55E6A659">
      <w:pPr>
        <w:pStyle w:val="JuSigned"/>
      </w:pPr>
      <w:r w:rsidRPr="00E97643">
        <w:tab/>
      </w:r>
      <w:r w:rsidRPr="00E97643" w:rsidR="00E47D0C">
        <w:rPr>
          <w:rFonts w:eastAsia="PMingLiU"/>
          <w:noProof/>
        </w:rPr>
        <w:t>Dorothee von Arnim</w:t>
      </w:r>
      <w:r w:rsidRPr="00E97643" w:rsidR="001D1233">
        <w:tab/>
      </w:r>
      <w:r w:rsidRPr="00E97643" w:rsidR="00E47D0C">
        <w:rPr>
          <w:noProof/>
        </w:rPr>
        <w:t>Oddný Mjöll Arnardóttir</w:t>
      </w:r>
      <w:r w:rsidRPr="00E97643" w:rsidR="001D1233">
        <w:br/>
      </w:r>
      <w:r w:rsidRPr="00E97643" w:rsidR="001D1233">
        <w:tab/>
      </w:r>
      <w:r w:rsidRPr="00E97643" w:rsidR="00E47D0C">
        <w:rPr>
          <w:noProof/>
        </w:rPr>
        <w:t>Deputy Registrar</w:t>
      </w:r>
      <w:r w:rsidRPr="00E97643" w:rsidR="006267D3">
        <w:tab/>
        <w:t>President</w:t>
      </w:r>
    </w:p>
    <w:sectPr w:rsidSect="0076040F">
      <w:headerReference w:type="even" r:id="rId5"/>
      <w:headerReference w:type="default" r:id="rId6"/>
      <w:footerReference w:type="even" r:id="rId7"/>
      <w:footerReference w:type="default" r:id="rId8"/>
      <w:headerReference w:type="first" r:id="rId9"/>
      <w:footerReference w:type="first" r:id="rId10"/>
      <w:endnotePr>
        <w:numFmt w:val="decimal"/>
      </w:endnotePr>
      <w:pgSz w:w="11906" w:h="16838" w:code="9"/>
      <w:pgMar w:top="2274" w:right="2274" w:bottom="2274" w:left="2274" w:header="1701" w:footer="720" w:gutter="0"/>
      <w:cols w:space="720"/>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E47D0C" w:rsidP="000D61E7" w14:paraId="097D623A" w14:textId="3AE55E0E">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E47D0C" w:rsidP="000D61E7" w14:paraId="414055E5" w14:textId="1CEDBA8B">
    <w:pPr>
      <w:pStyle w:val="JuHeader"/>
    </w:pPr>
    <w:r>
      <w:fldChar w:fldCharType="begin"/>
    </w:r>
    <w:r>
      <w:instrText xml:space="preserve"> PAGE  \* MERGEFORMAT </w:instrText>
    </w:r>
    <w:r>
      <w:fldChar w:fldCharType="separate"/>
    </w:r>
    <w:r>
      <w:rPr>
        <w:noProof/>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7D0C" w:rsidRPr="00150BFA" w:rsidP="0020718E" w14:paraId="31F2A50F" w14:textId="67BCF4B4">
    <w:pPr>
      <w:jc w:val="center"/>
    </w:pPr>
    <w:r w:rsidRPr="00E47D0C">
      <w:rPr>
        <w:noProof/>
      </w:rPr>
      <w:drawing>
        <wp:inline distT="0" distB="0" distL="0" distR="0">
          <wp:extent cx="771525" cy="619125"/>
          <wp:effectExtent l="0" t="0" r="9525" b="9525"/>
          <wp:docPr id="191287684" name="Picture 191287684"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87684"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B32591" w:rsidRPr="00E47D0C" w:rsidP="002E2C77" w14:paraId="13ABB2E4" w14:textId="6C85E55C">
    <w:pPr>
      <w:jc w:val="cen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E47D0C" w:rsidP="0076040F" w14:paraId="446CAA5D" w14:textId="4F46EF5D">
    <w:pPr>
      <w:pStyle w:val="JuHeader"/>
    </w:pPr>
    <w:r>
      <w:t>SZABÓ v. HUNGARY</w:t>
    </w:r>
    <w:r w:rsidRPr="00E47D0C" w:rsidR="006267D3">
      <w:t xml:space="preserve"> DECISION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32591" w:rsidRPr="00E47D0C" w:rsidP="000D61E7" w14:paraId="33AF2BA6" w14:textId="27D469E4">
    <w:pPr>
      <w:pStyle w:val="JuHeader"/>
    </w:pPr>
    <w:r>
      <w:t>SZABÓ v. HUNGARY</w:t>
    </w:r>
    <w:r w:rsidRPr="00E47D0C" w:rsidR="006267D3">
      <w:t xml:space="preserve"> DECISION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47D0C" w:rsidRPr="00A45145" w:rsidP="00A45145" w14:paraId="054888F1" w14:textId="3527BEE1">
    <w:pPr>
      <w:jc w:val="center"/>
    </w:pPr>
    <w:r>
      <w:rPr>
        <w:noProof/>
        <w:lang w:val="en-US"/>
      </w:rPr>
      <w:drawing>
        <wp:inline distT="0" distB="0" distL="0" distR="0">
          <wp:extent cx="2962275" cy="1219200"/>
          <wp:effectExtent l="0" t="0" r="9525" b="0"/>
          <wp:docPr id="667068776" name="Picture 66706877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7068776"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B32591" w:rsidRPr="00E47D0C" w:rsidP="00EA1004" w14:paraId="1C759367" w14:textId="78BE3C99">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103303889">
    <w:abstractNumId w:val="17"/>
  </w:num>
  <w:num w:numId="2" w16cid:durableId="1778673809">
    <w:abstractNumId w:val="14"/>
  </w:num>
  <w:num w:numId="3" w16cid:durableId="1417676984">
    <w:abstractNumId w:val="12"/>
  </w:num>
  <w:num w:numId="4" w16cid:durableId="637299686">
    <w:abstractNumId w:val="11"/>
  </w:num>
  <w:num w:numId="5" w16cid:durableId="459811787">
    <w:abstractNumId w:val="18"/>
  </w:num>
  <w:num w:numId="6" w16cid:durableId="1042173113">
    <w:abstractNumId w:val="7"/>
  </w:num>
  <w:num w:numId="7" w16cid:durableId="493035361">
    <w:abstractNumId w:val="6"/>
  </w:num>
  <w:num w:numId="8" w16cid:durableId="153644955">
    <w:abstractNumId w:val="5"/>
  </w:num>
  <w:num w:numId="9" w16cid:durableId="1701931563">
    <w:abstractNumId w:val="4"/>
  </w:num>
  <w:num w:numId="10" w16cid:durableId="877746236">
    <w:abstractNumId w:val="8"/>
  </w:num>
  <w:num w:numId="11" w16cid:durableId="1185092805">
    <w:abstractNumId w:val="3"/>
  </w:num>
  <w:num w:numId="12" w16cid:durableId="2112702582">
    <w:abstractNumId w:val="2"/>
  </w:num>
  <w:num w:numId="13" w16cid:durableId="484905161">
    <w:abstractNumId w:val="1"/>
  </w:num>
  <w:num w:numId="14" w16cid:durableId="515847739">
    <w:abstractNumId w:val="0"/>
  </w:num>
  <w:num w:numId="15" w16cid:durableId="559171476">
    <w:abstractNumId w:val="15"/>
  </w:num>
  <w:num w:numId="16" w16cid:durableId="1134132719">
    <w:abstractNumId w:val="13"/>
  </w:num>
  <w:num w:numId="17" w16cid:durableId="483007987">
    <w:abstractNumId w:val="16"/>
  </w:num>
  <w:num w:numId="18" w16cid:durableId="1826624303">
    <w:abstractNumId w:val="15"/>
  </w:num>
  <w:num w:numId="19" w16cid:durableId="72701122">
    <w:abstractNumId w:val="16"/>
  </w:num>
  <w:num w:numId="20" w16cid:durableId="505945770">
    <w:abstractNumId w:val="10"/>
  </w:num>
  <w:num w:numId="21" w16cid:durableId="1444838969">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24" w:allStyles="0" w:alternateStyleNames="1" w:clearFormatting="1" w:customStyles="0" w:directFormattingOnNumbering="0" w:directFormattingOnParagraphs="0" w:directFormattingOnRuns="0" w:directFormattingOnTables="0" w:headingStyles="1" w:latentStyles="1" w:numberingStyles="0" w:stylesInUse="0" w:tableStyles="0" w:top3HeadingStyles="0" w:visibleStyles="1"/>
  <w:defaultTabStop w:val="720"/>
  <w:hyphenationZone w:val="425"/>
  <w:evenAndOddHeaders/>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D0C"/>
    <w:rsid w:val="00095FD8"/>
    <w:rsid w:val="000B1FA9"/>
    <w:rsid w:val="000D61E7"/>
    <w:rsid w:val="000E3A89"/>
    <w:rsid w:val="00132029"/>
    <w:rsid w:val="00144EBC"/>
    <w:rsid w:val="00150BFA"/>
    <w:rsid w:val="001D1233"/>
    <w:rsid w:val="0020718E"/>
    <w:rsid w:val="00223591"/>
    <w:rsid w:val="002A7443"/>
    <w:rsid w:val="002C1C81"/>
    <w:rsid w:val="002E2C77"/>
    <w:rsid w:val="00307231"/>
    <w:rsid w:val="003B50D7"/>
    <w:rsid w:val="003E3C60"/>
    <w:rsid w:val="00452087"/>
    <w:rsid w:val="00464268"/>
    <w:rsid w:val="004A4C71"/>
    <w:rsid w:val="004B3F98"/>
    <w:rsid w:val="004B4E73"/>
    <w:rsid w:val="00514382"/>
    <w:rsid w:val="005E56C2"/>
    <w:rsid w:val="005F11CB"/>
    <w:rsid w:val="006262FA"/>
    <w:rsid w:val="006267D3"/>
    <w:rsid w:val="006300E9"/>
    <w:rsid w:val="00653EF4"/>
    <w:rsid w:val="00656B81"/>
    <w:rsid w:val="006D4D63"/>
    <w:rsid w:val="006E123B"/>
    <w:rsid w:val="0076040F"/>
    <w:rsid w:val="007907C0"/>
    <w:rsid w:val="007A74FC"/>
    <w:rsid w:val="007B2364"/>
    <w:rsid w:val="00812D10"/>
    <w:rsid w:val="00831ADC"/>
    <w:rsid w:val="00896A50"/>
    <w:rsid w:val="008D10E4"/>
    <w:rsid w:val="008F0A92"/>
    <w:rsid w:val="008F7189"/>
    <w:rsid w:val="00956B2A"/>
    <w:rsid w:val="0096293E"/>
    <w:rsid w:val="009656DE"/>
    <w:rsid w:val="009B6F49"/>
    <w:rsid w:val="009C21E8"/>
    <w:rsid w:val="009C2BAC"/>
    <w:rsid w:val="009E01FB"/>
    <w:rsid w:val="00A45145"/>
    <w:rsid w:val="00AA5AEE"/>
    <w:rsid w:val="00AC58E5"/>
    <w:rsid w:val="00B140D3"/>
    <w:rsid w:val="00B32591"/>
    <w:rsid w:val="00B7641C"/>
    <w:rsid w:val="00BD1692"/>
    <w:rsid w:val="00C42C12"/>
    <w:rsid w:val="00C570F2"/>
    <w:rsid w:val="00C8038F"/>
    <w:rsid w:val="00CB3BD9"/>
    <w:rsid w:val="00D415D6"/>
    <w:rsid w:val="00DB6354"/>
    <w:rsid w:val="00E47D0C"/>
    <w:rsid w:val="00E5464B"/>
    <w:rsid w:val="00E675E2"/>
    <w:rsid w:val="00E97643"/>
    <w:rsid w:val="00EA0C76"/>
    <w:rsid w:val="00EA1004"/>
    <w:rsid w:val="00EE38CA"/>
    <w:rsid w:val="00F0534F"/>
    <w:rsid w:val="00F24AB9"/>
    <w:rsid w:val="00F87F83"/>
    <w:rsid w:val="00FC2655"/>
  </w:rsids>
  <w:docVars>
    <w:docVar w:name="ApplicationsApp" w:val="1"/>
    <w:docVar w:name="AppNatAutre" w:val="0"/>
    <w:docVar w:name="DocVarPREMATURE" w:val="0"/>
    <w:docVar w:name="EMM" w:val="0"/>
    <w:docVar w:name="ETRANSMISSION" w:val="BY E-TRANSMISSION ONLY"/>
    <w:docVar w:name="L4_1Annex" w:val="0"/>
    <w:docVar w:name="L4_1Anonymity" w:val="1"/>
    <w:docVar w:name="NBEMMDOC" w:val="0"/>
    <w:docVar w:name="Plural" w:val="0"/>
    <w:docVar w:name="SignForeName" w:val="0"/>
    <w:docVar w:name="SndCaseNumber" w:val="Error!Nodocumentvariablesupplied."/>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4DAAE5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qFormat="1"/>
    <w:lsdException w:name="heading 2" w:semiHidden="1" w:unhideWhenUsed="1"/>
    <w:lsdException w:name="heading 3" w:semiHidden="1" w:unhideWhenUsed="1"/>
    <w:lsdException w:name="heading 4" w:semiHidden="1" w:unhideWhenUsed="1"/>
    <w:lsdException w:name="heading 5" w:semiHidden="1" w:unhideWhenUsed="1" w:qFormat="1"/>
    <w:lsdException w:name="heading 6" w:semiHidden="1" w:unhideWhenUsed="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C570F2"/>
    <w:rPr>
      <w:sz w:val="24"/>
      <w:szCs w:val="24"/>
      <w:lang w:val="en-GB"/>
    </w:rPr>
  </w:style>
  <w:style w:type="paragraph" w:styleId="Heading1">
    <w:name w:val="heading 1"/>
    <w:basedOn w:val="Normal"/>
    <w:next w:val="Normal"/>
    <w:link w:val="Heading1Char"/>
    <w:uiPriority w:val="98"/>
    <w:semiHidden/>
    <w:rsid w:val="00C570F2"/>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570F2"/>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570F2"/>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C570F2"/>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C570F2"/>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C570F2"/>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C570F2"/>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C570F2"/>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570F2"/>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JuSigned">
    <w:name w:val="Ju_Signed"/>
    <w:aliases w:val="_Signature"/>
    <w:basedOn w:val="Normal"/>
    <w:next w:val="JuPara"/>
    <w:uiPriority w:val="31"/>
    <w:qFormat/>
    <w:rsid w:val="00C570F2"/>
    <w:pPr>
      <w:tabs>
        <w:tab w:val="center" w:pos="1418"/>
        <w:tab w:val="center" w:pos="5954"/>
      </w:tabs>
      <w:spacing w:before="720"/>
    </w:pPr>
  </w:style>
  <w:style w:type="paragraph" w:customStyle="1" w:styleId="JuPara">
    <w:name w:val="Ju_Para"/>
    <w:aliases w:val="_Para"/>
    <w:basedOn w:val="NormalJustified"/>
    <w:link w:val="JuParaChar"/>
    <w:uiPriority w:val="4"/>
    <w:qFormat/>
    <w:rsid w:val="00C570F2"/>
    <w:pPr>
      <w:ind w:firstLine="284"/>
    </w:pPr>
  </w:style>
  <w:style w:type="character" w:styleId="PageNumber">
    <w:name w:val="page number"/>
    <w:uiPriority w:val="98"/>
    <w:semiHidden/>
    <w:rsid w:val="00C570F2"/>
    <w:rPr>
      <w:sz w:val="18"/>
    </w:rPr>
  </w:style>
  <w:style w:type="character" w:styleId="CommentReference">
    <w:name w:val="annotation reference"/>
    <w:basedOn w:val="DefaultParagraphFont"/>
    <w:uiPriority w:val="98"/>
    <w:semiHidden/>
    <w:rsid w:val="00C570F2"/>
    <w:rPr>
      <w:sz w:val="16"/>
      <w:szCs w:val="16"/>
    </w:rPr>
  </w:style>
  <w:style w:type="paragraph" w:styleId="CommentText">
    <w:name w:val="annotation text"/>
    <w:basedOn w:val="Normal"/>
    <w:link w:val="CommentTextChar"/>
    <w:uiPriority w:val="98"/>
    <w:semiHidden/>
    <w:rsid w:val="00C570F2"/>
    <w:rPr>
      <w:sz w:val="20"/>
      <w:szCs w:val="20"/>
    </w:rPr>
  </w:style>
  <w:style w:type="character" w:customStyle="1" w:styleId="CommentTextChar">
    <w:name w:val="Comment Text Char"/>
    <w:basedOn w:val="DefaultParagraphFont"/>
    <w:link w:val="CommentText"/>
    <w:uiPriority w:val="98"/>
    <w:semiHidden/>
    <w:rsid w:val="00C570F2"/>
    <w:rPr>
      <w:sz w:val="20"/>
      <w:szCs w:val="20"/>
      <w:lang w:val="en-GB"/>
    </w:rPr>
  </w:style>
  <w:style w:type="paragraph" w:customStyle="1" w:styleId="DecHTitle">
    <w:name w:val="Dec_H_Title"/>
    <w:aliases w:val="_Title_1"/>
    <w:basedOn w:val="JuPara"/>
    <w:next w:val="JuPara"/>
    <w:uiPriority w:val="38"/>
    <w:qFormat/>
    <w:rsid w:val="00C570F2"/>
    <w:pPr>
      <w:keepNext/>
      <w:keepLines/>
      <w:spacing w:after="240"/>
      <w:ind w:firstLine="0"/>
      <w:jc w:val="center"/>
      <w:outlineLvl w:val="0"/>
    </w:pPr>
    <w:rPr>
      <w:rFonts w:asciiTheme="majorHAnsi" w:hAnsiTheme="majorHAnsi"/>
      <w:sz w:val="28"/>
    </w:rPr>
  </w:style>
  <w:style w:type="paragraph" w:customStyle="1" w:styleId="DecHCase">
    <w:name w:val="Dec_H_Case"/>
    <w:aliases w:val="_Title_3"/>
    <w:basedOn w:val="JuPara"/>
    <w:next w:val="JuPara"/>
    <w:uiPriority w:val="38"/>
    <w:qFormat/>
    <w:rsid w:val="00C570F2"/>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C570F2"/>
    <w:pPr>
      <w:keepNext/>
      <w:keepLines/>
      <w:spacing w:before="1320" w:after="280"/>
      <w:contextualSpacing/>
      <w:jc w:val="center"/>
    </w:pPr>
    <w:rPr>
      <w:b/>
    </w:rPr>
  </w:style>
  <w:style w:type="paragraph" w:customStyle="1" w:styleId="JuHeader">
    <w:name w:val="Ju_Header"/>
    <w:aliases w:val="_Header"/>
    <w:basedOn w:val="Header0"/>
    <w:uiPriority w:val="29"/>
    <w:qFormat/>
    <w:rsid w:val="00C570F2"/>
    <w:pPr>
      <w:tabs>
        <w:tab w:val="clear" w:pos="4536"/>
        <w:tab w:val="clear" w:pos="9072"/>
      </w:tabs>
      <w:jc w:val="center"/>
    </w:pPr>
    <w:rPr>
      <w:sz w:val="18"/>
    </w:rPr>
  </w:style>
  <w:style w:type="paragraph" w:styleId="Header0">
    <w:name w:val="header"/>
    <w:basedOn w:val="Normal"/>
    <w:link w:val="HeaderChar"/>
    <w:uiPriority w:val="98"/>
    <w:semiHidden/>
    <w:rsid w:val="00C570F2"/>
    <w:pPr>
      <w:tabs>
        <w:tab w:val="center" w:pos="4536"/>
        <w:tab w:val="right" w:pos="9072"/>
      </w:tabs>
    </w:pPr>
  </w:style>
  <w:style w:type="character" w:customStyle="1" w:styleId="HeaderChar">
    <w:name w:val="Header Char"/>
    <w:basedOn w:val="DefaultParagraphFont"/>
    <w:link w:val="Header0"/>
    <w:uiPriority w:val="98"/>
    <w:semiHidden/>
    <w:rsid w:val="00C570F2"/>
    <w:rPr>
      <w:sz w:val="24"/>
      <w:szCs w:val="24"/>
      <w:lang w:val="en-GB"/>
    </w:rPr>
  </w:style>
  <w:style w:type="paragraph" w:styleId="BalloonText">
    <w:name w:val="Balloon Text"/>
    <w:basedOn w:val="Normal"/>
    <w:link w:val="BalloonTextChar"/>
    <w:uiPriority w:val="98"/>
    <w:semiHidden/>
    <w:rsid w:val="00C570F2"/>
    <w:rPr>
      <w:rFonts w:ascii="Tahoma" w:hAnsi="Tahoma" w:cs="Tahoma"/>
      <w:sz w:val="16"/>
      <w:szCs w:val="16"/>
    </w:rPr>
  </w:style>
  <w:style w:type="character" w:customStyle="1" w:styleId="BalloonTextChar">
    <w:name w:val="Balloon Text Char"/>
    <w:basedOn w:val="DefaultParagraphFont"/>
    <w:link w:val="BalloonText"/>
    <w:uiPriority w:val="98"/>
    <w:semiHidden/>
    <w:rsid w:val="00C570F2"/>
    <w:rPr>
      <w:rFonts w:ascii="Tahoma" w:hAnsi="Tahoma" w:cs="Tahoma"/>
      <w:sz w:val="16"/>
      <w:szCs w:val="16"/>
      <w:lang w:val="en-GB"/>
    </w:rPr>
  </w:style>
  <w:style w:type="paragraph" w:customStyle="1" w:styleId="DummyStyle">
    <w:name w:val="Dummy_Style"/>
    <w:aliases w:val="_Dummy"/>
    <w:basedOn w:val="Normal"/>
    <w:semiHidden/>
    <w:qFormat/>
    <w:rsid w:val="00C570F2"/>
    <w:rPr>
      <w:color w:val="00B050"/>
      <w:sz w:val="22"/>
    </w:rPr>
  </w:style>
  <w:style w:type="paragraph" w:customStyle="1" w:styleId="NormalJustified">
    <w:name w:val="Normal_Justified"/>
    <w:basedOn w:val="Normal"/>
    <w:semiHidden/>
    <w:rsid w:val="00C570F2"/>
    <w:pPr>
      <w:jc w:val="both"/>
    </w:pPr>
  </w:style>
  <w:style w:type="paragraph" w:customStyle="1" w:styleId="JuQuot">
    <w:name w:val="Ju_Quot"/>
    <w:aliases w:val="_Quote"/>
    <w:basedOn w:val="NormalJustified"/>
    <w:uiPriority w:val="20"/>
    <w:qFormat/>
    <w:rsid w:val="00C570F2"/>
    <w:pPr>
      <w:spacing w:before="120" w:after="120"/>
      <w:ind w:left="425" w:firstLine="142"/>
    </w:pPr>
    <w:rPr>
      <w:sz w:val="20"/>
    </w:rPr>
  </w:style>
  <w:style w:type="paragraph" w:customStyle="1" w:styleId="ECHRCoverTitle4">
    <w:name w:val="ECHR_Cover_Title_4"/>
    <w:aliases w:val="_Title_4"/>
    <w:basedOn w:val="JuPara"/>
    <w:next w:val="JuPara"/>
    <w:uiPriority w:val="38"/>
    <w:qFormat/>
    <w:rsid w:val="00C570F2"/>
    <w:pPr>
      <w:keepNext/>
      <w:keepLines/>
      <w:tabs>
        <w:tab w:val="right" w:pos="7938"/>
      </w:tabs>
      <w:ind w:firstLine="0"/>
      <w:jc w:val="center"/>
    </w:pPr>
    <w:rPr>
      <w:i/>
    </w:rPr>
  </w:style>
  <w:style w:type="table" w:customStyle="1" w:styleId="ECHRDNTable">
    <w:name w:val="ECHR_DN_Table"/>
    <w:basedOn w:val="TableNormal"/>
    <w:uiPriority w:val="99"/>
    <w:rsid w:val="00C570F2"/>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numbering" w:customStyle="1" w:styleId="ECHRA1StyleBulletedSquare">
    <w:name w:val="ECHR_A1_Style_Bulleted_Square"/>
    <w:basedOn w:val="NoList"/>
    <w:rsid w:val="00C570F2"/>
    <w:pPr>
      <w:numPr>
        <w:numId w:val="15"/>
      </w:numPr>
    </w:pPr>
  </w:style>
  <w:style w:type="numbering" w:customStyle="1" w:styleId="ECHRA1StyleList">
    <w:name w:val="ECHR_A1_Style_List"/>
    <w:basedOn w:val="NoList"/>
    <w:uiPriority w:val="99"/>
    <w:rsid w:val="00C570F2"/>
    <w:pPr>
      <w:numPr>
        <w:numId w:val="16"/>
      </w:numPr>
    </w:pPr>
  </w:style>
  <w:style w:type="paragraph" w:customStyle="1" w:styleId="JuHArticle">
    <w:name w:val="Ju_H_Article"/>
    <w:aliases w:val="_Title_Quote"/>
    <w:basedOn w:val="Normal"/>
    <w:next w:val="JuQuot"/>
    <w:uiPriority w:val="19"/>
    <w:qFormat/>
    <w:rsid w:val="00C570F2"/>
    <w:pPr>
      <w:keepNext/>
      <w:spacing w:before="100" w:beforeAutospacing="1" w:after="120"/>
      <w:contextualSpacing/>
      <w:jc w:val="center"/>
    </w:pPr>
    <w:rPr>
      <w:b/>
      <w:sz w:val="20"/>
    </w:rPr>
  </w:style>
  <w:style w:type="numbering" w:customStyle="1" w:styleId="ECHRA1StyleNumberedList">
    <w:name w:val="ECHR_A1_Style_Numbered_List"/>
    <w:basedOn w:val="NoList"/>
    <w:rsid w:val="00C570F2"/>
    <w:pPr>
      <w:numPr>
        <w:numId w:val="17"/>
      </w:numPr>
    </w:pPr>
  </w:style>
  <w:style w:type="table" w:customStyle="1" w:styleId="ECHRHeaderTable">
    <w:name w:val="ECHR_Header_Table"/>
    <w:basedOn w:val="TableNormal"/>
    <w:uiPriority w:val="99"/>
    <w:rsid w:val="00C570F2"/>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customStyle="1" w:styleId="JuHHead">
    <w:name w:val="Ju_H_Head"/>
    <w:aliases w:val="_Head_1"/>
    <w:basedOn w:val="Heading1"/>
    <w:next w:val="JuPara"/>
    <w:uiPriority w:val="17"/>
    <w:qFormat/>
    <w:rsid w:val="00C570F2"/>
    <w:pPr>
      <w:keepNext/>
      <w:keepLines/>
      <w:numPr>
        <w:numId w:val="20"/>
      </w:numPr>
      <w:spacing w:before="100" w:beforeAutospacing="1" w:after="240"/>
      <w:contextualSpacing w:val="0"/>
      <w:jc w:val="both"/>
    </w:pPr>
    <w:rPr>
      <w:b w:val="0"/>
      <w:caps/>
      <w:color w:val="auto"/>
    </w:rPr>
  </w:style>
  <w:style w:type="paragraph" w:customStyle="1" w:styleId="JuInitialled">
    <w:name w:val="Ju_Initialled"/>
    <w:aliases w:val="_Right"/>
    <w:basedOn w:val="Normal"/>
    <w:uiPriority w:val="30"/>
    <w:qFormat/>
    <w:rsid w:val="00C570F2"/>
    <w:pPr>
      <w:tabs>
        <w:tab w:val="center" w:pos="6407"/>
      </w:tabs>
      <w:spacing w:before="720"/>
      <w:jc w:val="right"/>
    </w:pPr>
  </w:style>
  <w:style w:type="table" w:customStyle="1" w:styleId="ECHRHeaderTableReduced">
    <w:name w:val="ECHR_Header_Table_Reduced"/>
    <w:basedOn w:val="TableNormal"/>
    <w:uiPriority w:val="99"/>
    <w:rsid w:val="00C570F2"/>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JUNAMES">
    <w:name w:val="JU_NAMES"/>
    <w:aliases w:val="_Ju_Names"/>
    <w:uiPriority w:val="33"/>
    <w:qFormat/>
    <w:rsid w:val="00C570F2"/>
    <w:rPr>
      <w:caps w:val="0"/>
      <w:smallCaps/>
    </w:rPr>
  </w:style>
  <w:style w:type="character" w:customStyle="1" w:styleId="JuITMark">
    <w:name w:val="Ju_ITMark"/>
    <w:aliases w:val="_ITMark"/>
    <w:basedOn w:val="DefaultParagraphFont"/>
    <w:uiPriority w:val="54"/>
    <w:qFormat/>
    <w:rsid w:val="00C570F2"/>
    <w:rPr>
      <w:vanish w:val="0"/>
      <w:color w:val="auto"/>
      <w:sz w:val="14"/>
      <w:bdr w:val="none" w:sz="0" w:space="0" w:color="auto"/>
      <w:shd w:val="clear" w:color="auto" w:fill="FFFFFF" w:themeFill="background1" w:themeFillTint="33"/>
    </w:rPr>
  </w:style>
  <w:style w:type="table" w:customStyle="1" w:styleId="ECHRTable2019">
    <w:name w:val="ECHR_Table_2019"/>
    <w:basedOn w:val="TableNormal"/>
    <w:uiPriority w:val="99"/>
    <w:rsid w:val="00C570F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JuCourt">
    <w:name w:val="Ju_Court"/>
    <w:aliases w:val="_Court_Names"/>
    <w:basedOn w:val="Normal"/>
    <w:next w:val="Normal"/>
    <w:uiPriority w:val="32"/>
    <w:qFormat/>
    <w:rsid w:val="00C570F2"/>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C570F2"/>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character" w:customStyle="1" w:styleId="Heading1Char">
    <w:name w:val="Heading 1 Char"/>
    <w:basedOn w:val="DefaultParagraphFont"/>
    <w:link w:val="Heading1"/>
    <w:uiPriority w:val="98"/>
    <w:semiHidden/>
    <w:rsid w:val="00C570F2"/>
    <w:rPr>
      <w:rFonts w:asciiTheme="majorHAnsi" w:eastAsiaTheme="majorEastAsia" w:hAnsiTheme="majorHAnsi" w:cstheme="majorBidi"/>
      <w:b/>
      <w:bCs/>
      <w:color w:val="333333"/>
      <w:sz w:val="28"/>
      <w:szCs w:val="28"/>
      <w:lang w:val="en-GB"/>
    </w:rPr>
  </w:style>
  <w:style w:type="paragraph" w:customStyle="1" w:styleId="JuHA">
    <w:name w:val="Ju_H_A"/>
    <w:aliases w:val="_Head_3"/>
    <w:basedOn w:val="Heading3"/>
    <w:next w:val="JuPara"/>
    <w:uiPriority w:val="17"/>
    <w:qFormat/>
    <w:rsid w:val="00C570F2"/>
    <w:pPr>
      <w:keepNext/>
      <w:keepLines/>
      <w:numPr>
        <w:ilvl w:val="2"/>
        <w:numId w:val="20"/>
      </w:numPr>
      <w:spacing w:before="100" w:beforeAutospacing="1" w:after="240" w:line="240" w:lineRule="auto"/>
      <w:jc w:val="both"/>
    </w:pPr>
    <w:rPr>
      <w:color w:val="auto"/>
      <w:sz w:val="24"/>
    </w:rPr>
  </w:style>
  <w:style w:type="character" w:customStyle="1" w:styleId="Heading2Char">
    <w:name w:val="Heading 2 Char"/>
    <w:basedOn w:val="DefaultParagraphFont"/>
    <w:link w:val="Heading2"/>
    <w:uiPriority w:val="98"/>
    <w:semiHidden/>
    <w:rsid w:val="00C570F2"/>
    <w:rPr>
      <w:rFonts w:asciiTheme="majorHAnsi" w:eastAsiaTheme="majorEastAsia" w:hAnsiTheme="majorHAnsi" w:cstheme="majorBidi"/>
      <w:b/>
      <w:bCs/>
      <w:color w:val="4D4D4D"/>
      <w:sz w:val="26"/>
      <w:szCs w:val="26"/>
      <w:lang w:val="en-GB"/>
    </w:rPr>
  </w:style>
  <w:style w:type="paragraph" w:customStyle="1" w:styleId="JuH1">
    <w:name w:val="Ju_H_1."/>
    <w:aliases w:val="_Head_4"/>
    <w:basedOn w:val="Heading4"/>
    <w:next w:val="JuPara"/>
    <w:uiPriority w:val="17"/>
    <w:rsid w:val="00C570F2"/>
    <w:pPr>
      <w:keepNext/>
      <w:keepLines/>
      <w:numPr>
        <w:ilvl w:val="3"/>
        <w:numId w:val="20"/>
      </w:numPr>
      <w:spacing w:before="100" w:beforeAutospacing="1" w:after="120"/>
      <w:jc w:val="both"/>
    </w:pPr>
    <w:rPr>
      <w:b w:val="0"/>
      <w:color w:val="auto"/>
      <w:sz w:val="24"/>
    </w:rPr>
  </w:style>
  <w:style w:type="character" w:customStyle="1" w:styleId="Heading3Char">
    <w:name w:val="Heading 3 Char"/>
    <w:basedOn w:val="DefaultParagraphFont"/>
    <w:link w:val="Heading3"/>
    <w:uiPriority w:val="98"/>
    <w:semiHidden/>
    <w:rsid w:val="00C570F2"/>
    <w:rPr>
      <w:rFonts w:asciiTheme="majorHAnsi" w:eastAsiaTheme="majorEastAsia" w:hAnsiTheme="majorHAnsi" w:cstheme="majorBidi"/>
      <w:b/>
      <w:bCs/>
      <w:color w:val="5F5F5F"/>
      <w:lang w:val="en-GB"/>
    </w:rPr>
  </w:style>
  <w:style w:type="paragraph" w:customStyle="1" w:styleId="JuHa0">
    <w:name w:val="Ju_H_a"/>
    <w:aliases w:val="_Head_5"/>
    <w:basedOn w:val="Heading5"/>
    <w:next w:val="JuPara"/>
    <w:uiPriority w:val="17"/>
    <w:rsid w:val="00C570F2"/>
    <w:pPr>
      <w:keepNext/>
      <w:keepLines/>
      <w:numPr>
        <w:ilvl w:val="4"/>
        <w:numId w:val="20"/>
      </w:numPr>
      <w:spacing w:before="100" w:beforeAutospacing="1" w:after="120"/>
      <w:jc w:val="both"/>
    </w:pPr>
    <w:rPr>
      <w:color w:val="auto"/>
      <w:sz w:val="20"/>
    </w:rPr>
  </w:style>
  <w:style w:type="character" w:customStyle="1" w:styleId="Heading4Char">
    <w:name w:val="Heading 4 Char"/>
    <w:basedOn w:val="DefaultParagraphFont"/>
    <w:link w:val="Heading4"/>
    <w:uiPriority w:val="98"/>
    <w:semiHidden/>
    <w:rsid w:val="00C570F2"/>
    <w:rPr>
      <w:rFonts w:asciiTheme="majorHAnsi" w:eastAsiaTheme="majorEastAsia" w:hAnsiTheme="majorHAnsi" w:cstheme="majorBidi"/>
      <w:b/>
      <w:bCs/>
      <w:i/>
      <w:iCs/>
      <w:color w:val="777777"/>
      <w:lang w:val="en-GB"/>
    </w:rPr>
  </w:style>
  <w:style w:type="paragraph" w:customStyle="1" w:styleId="JuHi">
    <w:name w:val="Ju_H_i"/>
    <w:aliases w:val="_Head_6"/>
    <w:basedOn w:val="Heading6"/>
    <w:next w:val="JuPara"/>
    <w:uiPriority w:val="17"/>
    <w:rsid w:val="00C570F2"/>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5Char">
    <w:name w:val="Heading 5 Char"/>
    <w:basedOn w:val="DefaultParagraphFont"/>
    <w:link w:val="Heading5"/>
    <w:uiPriority w:val="98"/>
    <w:semiHidden/>
    <w:rsid w:val="00C570F2"/>
    <w:rPr>
      <w:rFonts w:asciiTheme="majorHAnsi" w:eastAsiaTheme="majorEastAsia" w:hAnsiTheme="majorHAnsi" w:cstheme="majorBidi"/>
      <w:b/>
      <w:bCs/>
      <w:color w:val="808080"/>
      <w:lang w:val="en-GB"/>
    </w:rPr>
  </w:style>
  <w:style w:type="paragraph" w:customStyle="1" w:styleId="JuHalpha">
    <w:name w:val="Ju_H_alpha"/>
    <w:aliases w:val="_Head_7"/>
    <w:basedOn w:val="Heading7"/>
    <w:next w:val="JuPara"/>
    <w:uiPriority w:val="17"/>
    <w:rsid w:val="00C570F2"/>
    <w:pPr>
      <w:keepNext/>
      <w:keepLines/>
      <w:numPr>
        <w:ilvl w:val="6"/>
        <w:numId w:val="20"/>
      </w:numPr>
      <w:tabs>
        <w:tab w:val="left" w:pos="1361"/>
      </w:tabs>
      <w:spacing w:before="100" w:beforeAutospacing="1" w:after="120"/>
      <w:jc w:val="both"/>
    </w:pPr>
    <w:rPr>
      <w:i w:val="0"/>
      <w:sz w:val="20"/>
    </w:rPr>
  </w:style>
  <w:style w:type="character" w:customStyle="1" w:styleId="Heading6Char">
    <w:name w:val="Heading 6 Char"/>
    <w:basedOn w:val="DefaultParagraphFont"/>
    <w:link w:val="Heading6"/>
    <w:uiPriority w:val="98"/>
    <w:semiHidden/>
    <w:rsid w:val="00C570F2"/>
    <w:rPr>
      <w:rFonts w:asciiTheme="majorHAnsi" w:eastAsiaTheme="majorEastAsia" w:hAnsiTheme="majorHAnsi" w:cstheme="majorBidi"/>
      <w:b/>
      <w:bCs/>
      <w:i/>
      <w:iCs/>
      <w:color w:val="7F7F7F" w:themeColor="text1" w:themeTint="80"/>
      <w:lang w:val="en-GB" w:bidi="en-US"/>
    </w:rPr>
  </w:style>
  <w:style w:type="paragraph" w:customStyle="1" w:styleId="JuH">
    <w:name w:val="Ju_H_–"/>
    <w:aliases w:val="_Head_8"/>
    <w:basedOn w:val="Heading8"/>
    <w:next w:val="JuPara"/>
    <w:uiPriority w:val="17"/>
    <w:rsid w:val="00C570F2"/>
    <w:pPr>
      <w:keepNext/>
      <w:keepLines/>
      <w:numPr>
        <w:ilvl w:val="7"/>
        <w:numId w:val="20"/>
      </w:numPr>
      <w:spacing w:before="100" w:beforeAutospacing="1" w:after="120"/>
      <w:jc w:val="both"/>
    </w:pPr>
    <w:rPr>
      <w:i/>
    </w:rPr>
  </w:style>
  <w:style w:type="character" w:customStyle="1" w:styleId="Heading7Char">
    <w:name w:val="Heading 7 Char"/>
    <w:basedOn w:val="DefaultParagraphFont"/>
    <w:link w:val="Heading7"/>
    <w:uiPriority w:val="98"/>
    <w:semiHidden/>
    <w:rsid w:val="00C570F2"/>
    <w:rPr>
      <w:rFonts w:asciiTheme="majorHAnsi" w:eastAsiaTheme="majorEastAsia" w:hAnsiTheme="majorHAnsi" w:cstheme="majorBidi"/>
      <w:i/>
      <w:iCs/>
      <w:lang w:val="en-GB" w:bidi="en-US"/>
    </w:rPr>
  </w:style>
  <w:style w:type="paragraph" w:customStyle="1" w:styleId="JuParaLast">
    <w:name w:val="Ju_Para_Last"/>
    <w:aliases w:val="_Para_Spaced"/>
    <w:basedOn w:val="NormalJustified"/>
    <w:uiPriority w:val="5"/>
    <w:qFormat/>
    <w:rsid w:val="00C570F2"/>
    <w:pPr>
      <w:keepNext/>
      <w:keepLines/>
      <w:spacing w:before="240" w:after="240"/>
      <w:ind w:firstLine="284"/>
    </w:pPr>
  </w:style>
  <w:style w:type="table" w:customStyle="1" w:styleId="ECHRTableBoxHeader">
    <w:name w:val="ECHR_Table_Box_Header"/>
    <w:basedOn w:val="TableNormal"/>
    <w:rsid w:val="00C570F2"/>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customStyle="1" w:styleId="JuJudges">
    <w:name w:val="Ju_Judges"/>
    <w:aliases w:val="_Judges"/>
    <w:basedOn w:val="Normal"/>
    <w:uiPriority w:val="32"/>
    <w:qFormat/>
    <w:rsid w:val="00C570F2"/>
    <w:pPr>
      <w:tabs>
        <w:tab w:val="left" w:pos="567"/>
        <w:tab w:val="left" w:pos="1134"/>
      </w:tabs>
    </w:pPr>
  </w:style>
  <w:style w:type="paragraph" w:customStyle="1" w:styleId="JuList">
    <w:name w:val="Ju_List"/>
    <w:aliases w:val="_List_1"/>
    <w:basedOn w:val="NormalJustified"/>
    <w:uiPriority w:val="23"/>
    <w:qFormat/>
    <w:rsid w:val="00C570F2"/>
    <w:pPr>
      <w:numPr>
        <w:numId w:val="21"/>
      </w:numPr>
      <w:spacing w:before="280" w:after="60"/>
    </w:pPr>
  </w:style>
  <w:style w:type="paragraph" w:customStyle="1" w:styleId="JuLista">
    <w:name w:val="Ju_List_a"/>
    <w:aliases w:val="_List_2"/>
    <w:basedOn w:val="NormalJustified"/>
    <w:uiPriority w:val="23"/>
    <w:rsid w:val="00C570F2"/>
    <w:pPr>
      <w:numPr>
        <w:ilvl w:val="1"/>
        <w:numId w:val="21"/>
      </w:numPr>
    </w:pPr>
  </w:style>
  <w:style w:type="paragraph" w:customStyle="1" w:styleId="JuListi">
    <w:name w:val="Ju_List_i"/>
    <w:aliases w:val="_List_3"/>
    <w:basedOn w:val="NormalJustified"/>
    <w:uiPriority w:val="23"/>
    <w:rsid w:val="00C570F2"/>
    <w:pPr>
      <w:numPr>
        <w:ilvl w:val="2"/>
        <w:numId w:val="21"/>
      </w:numPr>
    </w:pPr>
  </w:style>
  <w:style w:type="table" w:customStyle="1" w:styleId="ECHRTableFax">
    <w:name w:val="ECHR_Table_Fax"/>
    <w:basedOn w:val="TableNormal"/>
    <w:uiPriority w:val="99"/>
    <w:rsid w:val="00C570F2"/>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ForInternalUse">
    <w:name w:val="ECHR_Table_For_Internal_Use"/>
    <w:basedOn w:val="TableNormal"/>
    <w:uiPriority w:val="99"/>
    <w:rsid w:val="00C570F2"/>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TableMemo">
    <w:name w:val="ECHR_Table_Memo"/>
    <w:basedOn w:val="TableNormal"/>
    <w:uiPriority w:val="99"/>
    <w:rsid w:val="00C570F2"/>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character" w:customStyle="1" w:styleId="Heading8Char">
    <w:name w:val="Heading 8 Char"/>
    <w:basedOn w:val="DefaultParagraphFont"/>
    <w:link w:val="Heading8"/>
    <w:uiPriority w:val="98"/>
    <w:semiHidden/>
    <w:rsid w:val="00C570F2"/>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C570F2"/>
    <w:rPr>
      <w:rFonts w:asciiTheme="majorHAnsi" w:eastAsiaTheme="majorEastAsia" w:hAnsiTheme="majorHAnsi" w:cstheme="majorBidi"/>
      <w:i/>
      <w:iCs/>
      <w:spacing w:val="5"/>
      <w:sz w:val="20"/>
      <w:szCs w:val="20"/>
      <w:lang w:val="en-GB" w:bidi="en-US"/>
    </w:rPr>
  </w:style>
  <w:style w:type="paragraph" w:styleId="Title">
    <w:name w:val="Title"/>
    <w:basedOn w:val="Normal"/>
    <w:next w:val="Normal"/>
    <w:link w:val="TitleChar"/>
    <w:uiPriority w:val="98"/>
    <w:semiHidden/>
    <w:qFormat/>
    <w:rsid w:val="00C570F2"/>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C570F2"/>
    <w:rPr>
      <w:rFonts w:asciiTheme="majorHAnsi" w:eastAsiaTheme="majorEastAsia" w:hAnsiTheme="majorHAnsi" w:cstheme="majorBidi"/>
      <w:spacing w:val="5"/>
      <w:sz w:val="52"/>
      <w:szCs w:val="52"/>
      <w:lang w:val="en-GB" w:bidi="en-US"/>
    </w:rPr>
  </w:style>
  <w:style w:type="paragraph" w:styleId="Subtitle">
    <w:name w:val="Subtitle"/>
    <w:basedOn w:val="Normal"/>
    <w:next w:val="Normal"/>
    <w:link w:val="SubtitleChar"/>
    <w:uiPriority w:val="98"/>
    <w:semiHidden/>
    <w:qFormat/>
    <w:rsid w:val="00C570F2"/>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C570F2"/>
    <w:rPr>
      <w:rFonts w:asciiTheme="majorHAnsi" w:eastAsiaTheme="majorEastAsia" w:hAnsiTheme="majorHAnsi" w:cstheme="majorBidi"/>
      <w:i/>
      <w:iCs/>
      <w:spacing w:val="13"/>
      <w:sz w:val="24"/>
      <w:szCs w:val="24"/>
      <w:lang w:val="en-GB" w:bidi="en-US"/>
    </w:rPr>
  </w:style>
  <w:style w:type="character" w:styleId="Strong">
    <w:name w:val="Strong"/>
    <w:uiPriority w:val="98"/>
    <w:semiHidden/>
    <w:qFormat/>
    <w:rsid w:val="00C570F2"/>
    <w:rPr>
      <w:b/>
      <w:bCs/>
    </w:rPr>
  </w:style>
  <w:style w:type="character" w:styleId="Emphasis">
    <w:name w:val="Emphasis"/>
    <w:uiPriority w:val="98"/>
    <w:semiHidden/>
    <w:qFormat/>
    <w:rsid w:val="00C570F2"/>
    <w:rPr>
      <w:b/>
      <w:bCs/>
      <w:i/>
      <w:iCs/>
      <w:spacing w:val="10"/>
      <w:bdr w:val="none" w:sz="0" w:space="0" w:color="auto"/>
      <w:shd w:val="clear" w:color="auto" w:fill="auto"/>
    </w:rPr>
  </w:style>
  <w:style w:type="paragraph" w:styleId="NoSpacing">
    <w:name w:val="No Spacing"/>
    <w:basedOn w:val="Normal"/>
    <w:link w:val="NoSpacingChar"/>
    <w:uiPriority w:val="98"/>
    <w:semiHidden/>
    <w:qFormat/>
    <w:rsid w:val="00C570F2"/>
  </w:style>
  <w:style w:type="character" w:customStyle="1" w:styleId="NoSpacingChar">
    <w:name w:val="No Spacing Char"/>
    <w:basedOn w:val="DefaultParagraphFont"/>
    <w:link w:val="NoSpacing"/>
    <w:uiPriority w:val="98"/>
    <w:semiHidden/>
    <w:rsid w:val="00C570F2"/>
    <w:rPr>
      <w:sz w:val="24"/>
      <w:szCs w:val="24"/>
      <w:lang w:val="en-GB"/>
    </w:rPr>
  </w:style>
  <w:style w:type="paragraph" w:styleId="ListParagraph">
    <w:name w:val="List Paragraph"/>
    <w:basedOn w:val="Normal"/>
    <w:uiPriority w:val="98"/>
    <w:semiHidden/>
    <w:qFormat/>
    <w:rsid w:val="00C570F2"/>
    <w:pPr>
      <w:ind w:left="720"/>
      <w:contextualSpacing/>
    </w:pPr>
  </w:style>
  <w:style w:type="paragraph" w:styleId="Quote0">
    <w:name w:val="Quote"/>
    <w:basedOn w:val="Normal"/>
    <w:next w:val="Normal"/>
    <w:link w:val="QuoteChar"/>
    <w:uiPriority w:val="98"/>
    <w:semiHidden/>
    <w:qFormat/>
    <w:rsid w:val="00C570F2"/>
    <w:pPr>
      <w:spacing w:before="200"/>
      <w:ind w:left="360" w:right="360"/>
    </w:pPr>
    <w:rPr>
      <w:i/>
      <w:iCs/>
      <w:lang w:bidi="en-US"/>
    </w:rPr>
  </w:style>
  <w:style w:type="character" w:customStyle="1" w:styleId="QuoteChar">
    <w:name w:val="Quote Char"/>
    <w:basedOn w:val="DefaultParagraphFont"/>
    <w:link w:val="Quote0"/>
    <w:uiPriority w:val="98"/>
    <w:semiHidden/>
    <w:rsid w:val="00C570F2"/>
    <w:rPr>
      <w:i/>
      <w:iCs/>
      <w:sz w:val="24"/>
      <w:szCs w:val="24"/>
      <w:lang w:val="en-GB" w:bidi="en-US"/>
    </w:rPr>
  </w:style>
  <w:style w:type="paragraph" w:styleId="IntenseQuote">
    <w:name w:val="Intense Quote"/>
    <w:basedOn w:val="Normal"/>
    <w:next w:val="Normal"/>
    <w:link w:val="IntenseQuoteChar"/>
    <w:uiPriority w:val="98"/>
    <w:semiHidden/>
    <w:qFormat/>
    <w:rsid w:val="00C570F2"/>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C570F2"/>
    <w:rPr>
      <w:b/>
      <w:bCs/>
      <w:i/>
      <w:iCs/>
      <w:sz w:val="24"/>
      <w:szCs w:val="24"/>
      <w:lang w:val="en-GB" w:bidi="en-US"/>
    </w:rPr>
  </w:style>
  <w:style w:type="character" w:styleId="SubtleEmphasis">
    <w:name w:val="Subtle Emphasis"/>
    <w:uiPriority w:val="98"/>
    <w:semiHidden/>
    <w:qFormat/>
    <w:rsid w:val="00C570F2"/>
    <w:rPr>
      <w:i/>
      <w:iCs/>
    </w:rPr>
  </w:style>
  <w:style w:type="character" w:styleId="IntenseEmphasis">
    <w:name w:val="Intense Emphasis"/>
    <w:uiPriority w:val="98"/>
    <w:semiHidden/>
    <w:qFormat/>
    <w:rsid w:val="00C570F2"/>
    <w:rPr>
      <w:b/>
      <w:bCs/>
    </w:rPr>
  </w:style>
  <w:style w:type="character" w:styleId="SubtleReference">
    <w:name w:val="Subtle Reference"/>
    <w:uiPriority w:val="98"/>
    <w:semiHidden/>
    <w:qFormat/>
    <w:rsid w:val="00C570F2"/>
    <w:rPr>
      <w:smallCaps/>
    </w:rPr>
  </w:style>
  <w:style w:type="character" w:styleId="IntenseReference">
    <w:name w:val="Intense Reference"/>
    <w:uiPriority w:val="98"/>
    <w:semiHidden/>
    <w:qFormat/>
    <w:rsid w:val="00C570F2"/>
    <w:rPr>
      <w:smallCaps/>
      <w:spacing w:val="5"/>
      <w:u w:val="single"/>
    </w:rPr>
  </w:style>
  <w:style w:type="character" w:styleId="BookTitle">
    <w:name w:val="Book Title"/>
    <w:uiPriority w:val="98"/>
    <w:semiHidden/>
    <w:qFormat/>
    <w:rsid w:val="00C570F2"/>
    <w:rPr>
      <w:i/>
      <w:iCs/>
      <w:smallCaps/>
      <w:spacing w:val="5"/>
    </w:rPr>
  </w:style>
  <w:style w:type="paragraph" w:styleId="TOCHeading">
    <w:name w:val="TOC Heading"/>
    <w:basedOn w:val="Normal"/>
    <w:next w:val="Normal"/>
    <w:uiPriority w:val="98"/>
    <w:semiHidden/>
    <w:qFormat/>
    <w:rsid w:val="00C570F2"/>
    <w:pPr>
      <w:keepNext/>
      <w:keepLines/>
      <w:spacing w:before="240"/>
      <w:contextualSpacing/>
      <w:jc w:val="center"/>
    </w:pPr>
    <w:rPr>
      <w:rFonts w:asciiTheme="majorHAnsi" w:hAnsiTheme="majorHAnsi"/>
      <w:b/>
      <w:color w:val="424242" w:themeColor="accent3" w:themeShade="BF"/>
      <w:sz w:val="28"/>
    </w:rPr>
  </w:style>
  <w:style w:type="numbering" w:styleId="111111">
    <w:name w:val="Outline List 2"/>
    <w:basedOn w:val="NoList"/>
    <w:uiPriority w:val="99"/>
    <w:semiHidden/>
    <w:unhideWhenUsed/>
    <w:rsid w:val="00C570F2"/>
    <w:pPr>
      <w:numPr>
        <w:numId w:val="2"/>
      </w:numPr>
    </w:pPr>
  </w:style>
  <w:style w:type="numbering" w:styleId="1ai">
    <w:name w:val="Outline List 1"/>
    <w:basedOn w:val="NoList"/>
    <w:uiPriority w:val="99"/>
    <w:semiHidden/>
    <w:unhideWhenUsed/>
    <w:rsid w:val="00C570F2"/>
    <w:pPr>
      <w:numPr>
        <w:numId w:val="3"/>
      </w:numPr>
    </w:pPr>
  </w:style>
  <w:style w:type="numbering" w:styleId="ArticleSection">
    <w:name w:val="Outline List 3"/>
    <w:basedOn w:val="NoList"/>
    <w:uiPriority w:val="99"/>
    <w:semiHidden/>
    <w:unhideWhenUsed/>
    <w:rsid w:val="00C570F2"/>
    <w:pPr>
      <w:numPr>
        <w:numId w:val="4"/>
      </w:numPr>
    </w:pPr>
  </w:style>
  <w:style w:type="paragraph" w:styleId="Bibliography">
    <w:name w:val="Bibliography"/>
    <w:basedOn w:val="Normal"/>
    <w:next w:val="Normal"/>
    <w:uiPriority w:val="98"/>
    <w:semiHidden/>
    <w:rsid w:val="00C570F2"/>
  </w:style>
  <w:style w:type="paragraph" w:styleId="BlockText">
    <w:name w:val="Block Text"/>
    <w:basedOn w:val="Normal"/>
    <w:uiPriority w:val="98"/>
    <w:semiHidden/>
    <w:rsid w:val="00C570F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C570F2"/>
    <w:pPr>
      <w:spacing w:after="120"/>
    </w:pPr>
  </w:style>
  <w:style w:type="character" w:customStyle="1" w:styleId="BodyTextChar">
    <w:name w:val="Body Text Char"/>
    <w:basedOn w:val="DefaultParagraphFont"/>
    <w:link w:val="BodyText"/>
    <w:uiPriority w:val="98"/>
    <w:semiHidden/>
    <w:rsid w:val="00C570F2"/>
    <w:rPr>
      <w:sz w:val="24"/>
      <w:szCs w:val="24"/>
      <w:lang w:val="en-GB"/>
    </w:rPr>
  </w:style>
  <w:style w:type="paragraph" w:styleId="BodyText2">
    <w:name w:val="Body Text 2"/>
    <w:basedOn w:val="Normal"/>
    <w:link w:val="BodyText2Char"/>
    <w:uiPriority w:val="98"/>
    <w:semiHidden/>
    <w:rsid w:val="00C570F2"/>
    <w:pPr>
      <w:spacing w:after="120" w:line="480" w:lineRule="auto"/>
    </w:pPr>
  </w:style>
  <w:style w:type="character" w:customStyle="1" w:styleId="BodyText2Char">
    <w:name w:val="Body Text 2 Char"/>
    <w:basedOn w:val="DefaultParagraphFont"/>
    <w:link w:val="BodyText2"/>
    <w:uiPriority w:val="98"/>
    <w:semiHidden/>
    <w:rsid w:val="00C570F2"/>
    <w:rPr>
      <w:sz w:val="24"/>
      <w:szCs w:val="24"/>
      <w:lang w:val="en-GB"/>
    </w:rPr>
  </w:style>
  <w:style w:type="paragraph" w:styleId="BodyText3">
    <w:name w:val="Body Text 3"/>
    <w:basedOn w:val="Normal"/>
    <w:link w:val="BodyText3Char"/>
    <w:uiPriority w:val="98"/>
    <w:semiHidden/>
    <w:rsid w:val="00C570F2"/>
    <w:pPr>
      <w:spacing w:after="120"/>
    </w:pPr>
    <w:rPr>
      <w:sz w:val="16"/>
      <w:szCs w:val="16"/>
    </w:rPr>
  </w:style>
  <w:style w:type="character" w:customStyle="1" w:styleId="BodyText3Char">
    <w:name w:val="Body Text 3 Char"/>
    <w:basedOn w:val="DefaultParagraphFont"/>
    <w:link w:val="BodyText3"/>
    <w:uiPriority w:val="98"/>
    <w:semiHidden/>
    <w:rsid w:val="00C570F2"/>
    <w:rPr>
      <w:sz w:val="16"/>
      <w:szCs w:val="16"/>
      <w:lang w:val="en-GB"/>
    </w:rPr>
  </w:style>
  <w:style w:type="paragraph" w:styleId="BodyTextFirstIndent">
    <w:name w:val="Body Text First Indent"/>
    <w:basedOn w:val="BodyText"/>
    <w:link w:val="BodyTextFirstIndentChar"/>
    <w:uiPriority w:val="98"/>
    <w:semiHidden/>
    <w:rsid w:val="00C570F2"/>
    <w:pPr>
      <w:spacing w:after="0"/>
      <w:ind w:firstLine="360"/>
    </w:pPr>
  </w:style>
  <w:style w:type="character" w:customStyle="1" w:styleId="BodyTextFirstIndentChar">
    <w:name w:val="Body Text First Indent Char"/>
    <w:basedOn w:val="BodyTextChar"/>
    <w:link w:val="BodyTextFirstIndent"/>
    <w:uiPriority w:val="98"/>
    <w:semiHidden/>
    <w:rsid w:val="00C570F2"/>
    <w:rPr>
      <w:sz w:val="24"/>
      <w:szCs w:val="24"/>
      <w:lang w:val="en-GB"/>
    </w:rPr>
  </w:style>
  <w:style w:type="paragraph" w:styleId="BodyTextIndent">
    <w:name w:val="Body Text Indent"/>
    <w:basedOn w:val="Normal"/>
    <w:link w:val="BodyTextIndentChar"/>
    <w:uiPriority w:val="98"/>
    <w:semiHidden/>
    <w:rsid w:val="00C570F2"/>
    <w:pPr>
      <w:spacing w:after="120"/>
      <w:ind w:left="283"/>
    </w:pPr>
  </w:style>
  <w:style w:type="character" w:customStyle="1" w:styleId="BodyTextIndentChar">
    <w:name w:val="Body Text Indent Char"/>
    <w:basedOn w:val="DefaultParagraphFont"/>
    <w:link w:val="BodyTextIndent"/>
    <w:uiPriority w:val="98"/>
    <w:semiHidden/>
    <w:rsid w:val="00C570F2"/>
    <w:rPr>
      <w:sz w:val="24"/>
      <w:szCs w:val="24"/>
      <w:lang w:val="en-GB"/>
    </w:rPr>
  </w:style>
  <w:style w:type="paragraph" w:styleId="BodyTextFirstIndent2">
    <w:name w:val="Body Text First Indent 2"/>
    <w:basedOn w:val="BodyTextIndent"/>
    <w:link w:val="BodyTextFirstIndent2Char"/>
    <w:uiPriority w:val="98"/>
    <w:semiHidden/>
    <w:rsid w:val="00C570F2"/>
    <w:pPr>
      <w:spacing w:after="0"/>
      <w:ind w:left="360" w:firstLine="360"/>
    </w:pPr>
  </w:style>
  <w:style w:type="character" w:customStyle="1" w:styleId="BodyTextFirstIndent2Char">
    <w:name w:val="Body Text First Indent 2 Char"/>
    <w:basedOn w:val="BodyTextIndentChar"/>
    <w:link w:val="BodyTextFirstIndent2"/>
    <w:uiPriority w:val="98"/>
    <w:semiHidden/>
    <w:rsid w:val="00C570F2"/>
    <w:rPr>
      <w:sz w:val="24"/>
      <w:szCs w:val="24"/>
      <w:lang w:val="en-GB"/>
    </w:rPr>
  </w:style>
  <w:style w:type="paragraph" w:styleId="BodyTextIndent2">
    <w:name w:val="Body Text Indent 2"/>
    <w:basedOn w:val="Normal"/>
    <w:link w:val="BodyTextIndent2Char"/>
    <w:uiPriority w:val="98"/>
    <w:semiHidden/>
    <w:rsid w:val="00C570F2"/>
    <w:pPr>
      <w:spacing w:after="120" w:line="480" w:lineRule="auto"/>
      <w:ind w:left="283"/>
    </w:pPr>
  </w:style>
  <w:style w:type="character" w:customStyle="1" w:styleId="BodyTextIndent2Char">
    <w:name w:val="Body Text Indent 2 Char"/>
    <w:basedOn w:val="DefaultParagraphFont"/>
    <w:link w:val="BodyTextIndent2"/>
    <w:uiPriority w:val="98"/>
    <w:semiHidden/>
    <w:rsid w:val="00C570F2"/>
    <w:rPr>
      <w:sz w:val="24"/>
      <w:szCs w:val="24"/>
      <w:lang w:val="en-GB"/>
    </w:rPr>
  </w:style>
  <w:style w:type="paragraph" w:styleId="BodyTextIndent3">
    <w:name w:val="Body Text Indent 3"/>
    <w:basedOn w:val="Normal"/>
    <w:link w:val="BodyTextIndent3Char"/>
    <w:uiPriority w:val="98"/>
    <w:semiHidden/>
    <w:rsid w:val="00C570F2"/>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570F2"/>
    <w:rPr>
      <w:sz w:val="16"/>
      <w:szCs w:val="16"/>
      <w:lang w:val="en-GB"/>
    </w:rPr>
  </w:style>
  <w:style w:type="paragraph" w:styleId="Caption">
    <w:name w:val="caption"/>
    <w:basedOn w:val="Normal"/>
    <w:next w:val="Normal"/>
    <w:uiPriority w:val="98"/>
    <w:semiHidden/>
    <w:qFormat/>
    <w:rsid w:val="00C570F2"/>
    <w:pPr>
      <w:spacing w:after="200"/>
    </w:pPr>
    <w:rPr>
      <w:b/>
      <w:bCs/>
      <w:color w:val="0072BC" w:themeColor="accent1"/>
      <w:sz w:val="18"/>
      <w:szCs w:val="18"/>
    </w:rPr>
  </w:style>
  <w:style w:type="paragraph" w:styleId="Closing">
    <w:name w:val="Closing"/>
    <w:basedOn w:val="Normal"/>
    <w:link w:val="ClosingChar"/>
    <w:uiPriority w:val="98"/>
    <w:semiHidden/>
    <w:rsid w:val="00C570F2"/>
    <w:pPr>
      <w:ind w:left="4252"/>
    </w:pPr>
  </w:style>
  <w:style w:type="character" w:customStyle="1" w:styleId="ClosingChar">
    <w:name w:val="Closing Char"/>
    <w:basedOn w:val="DefaultParagraphFont"/>
    <w:link w:val="Closing"/>
    <w:uiPriority w:val="98"/>
    <w:semiHidden/>
    <w:rsid w:val="00C570F2"/>
    <w:rPr>
      <w:sz w:val="24"/>
      <w:szCs w:val="24"/>
      <w:lang w:val="en-GB"/>
    </w:rPr>
  </w:style>
  <w:style w:type="table" w:styleId="ColorfulGrid">
    <w:name w:val="Colorful Grid"/>
    <w:basedOn w:val="TableNormal"/>
    <w:uiPriority w:val="73"/>
    <w:semiHidden/>
    <w:rsid w:val="00C570F2"/>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570F2"/>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570F2"/>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570F2"/>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C570F2"/>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570F2"/>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570F2"/>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570F2"/>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570F2"/>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570F2"/>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570F2"/>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C570F2"/>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570F2"/>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570F2"/>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570F2"/>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570F2"/>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570F2"/>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570F2"/>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C570F2"/>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570F2"/>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570F2"/>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C570F2"/>
    <w:rPr>
      <w:b/>
      <w:bCs/>
    </w:rPr>
  </w:style>
  <w:style w:type="character" w:customStyle="1" w:styleId="CommentSubjectChar">
    <w:name w:val="Comment Subject Char"/>
    <w:basedOn w:val="CommentTextChar"/>
    <w:link w:val="CommentSubject"/>
    <w:uiPriority w:val="98"/>
    <w:semiHidden/>
    <w:rsid w:val="00C570F2"/>
    <w:rPr>
      <w:b/>
      <w:bCs/>
      <w:sz w:val="20"/>
      <w:szCs w:val="20"/>
      <w:lang w:val="en-GB"/>
    </w:rPr>
  </w:style>
  <w:style w:type="table" w:styleId="DarkList">
    <w:name w:val="Dark List"/>
    <w:basedOn w:val="TableNormal"/>
    <w:uiPriority w:val="70"/>
    <w:semiHidden/>
    <w:rsid w:val="00C570F2"/>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570F2"/>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570F2"/>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570F2"/>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C570F2"/>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570F2"/>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570F2"/>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570F2"/>
  </w:style>
  <w:style w:type="character" w:customStyle="1" w:styleId="DateChar">
    <w:name w:val="Date Char"/>
    <w:basedOn w:val="DefaultParagraphFont"/>
    <w:link w:val="Date"/>
    <w:uiPriority w:val="98"/>
    <w:semiHidden/>
    <w:rsid w:val="00C570F2"/>
    <w:rPr>
      <w:sz w:val="24"/>
      <w:szCs w:val="24"/>
      <w:lang w:val="en-GB"/>
    </w:rPr>
  </w:style>
  <w:style w:type="paragraph" w:styleId="DocumentMap">
    <w:name w:val="Document Map"/>
    <w:basedOn w:val="Normal"/>
    <w:link w:val="DocumentMapChar"/>
    <w:uiPriority w:val="98"/>
    <w:semiHidden/>
    <w:rsid w:val="00C570F2"/>
    <w:rPr>
      <w:rFonts w:ascii="Tahoma" w:hAnsi="Tahoma" w:cs="Tahoma"/>
      <w:sz w:val="16"/>
      <w:szCs w:val="16"/>
    </w:rPr>
  </w:style>
  <w:style w:type="character" w:customStyle="1" w:styleId="DocumentMapChar">
    <w:name w:val="Document Map Char"/>
    <w:basedOn w:val="DefaultParagraphFont"/>
    <w:link w:val="DocumentMap"/>
    <w:uiPriority w:val="98"/>
    <w:semiHidden/>
    <w:rsid w:val="00C570F2"/>
    <w:rPr>
      <w:rFonts w:ascii="Tahoma" w:hAnsi="Tahoma" w:cs="Tahoma"/>
      <w:sz w:val="16"/>
      <w:szCs w:val="16"/>
      <w:lang w:val="en-GB"/>
    </w:rPr>
  </w:style>
  <w:style w:type="paragraph" w:styleId="E-mailSignature">
    <w:name w:val="E-mail Signature"/>
    <w:basedOn w:val="Normal"/>
    <w:link w:val="E-mailSignatureChar"/>
    <w:uiPriority w:val="98"/>
    <w:semiHidden/>
    <w:rsid w:val="00C570F2"/>
  </w:style>
  <w:style w:type="character" w:customStyle="1" w:styleId="E-mailSignatureChar">
    <w:name w:val="E-mail Signature Char"/>
    <w:basedOn w:val="DefaultParagraphFont"/>
    <w:link w:val="E-mailSignature"/>
    <w:uiPriority w:val="98"/>
    <w:semiHidden/>
    <w:rsid w:val="00C570F2"/>
    <w:rPr>
      <w:sz w:val="24"/>
      <w:szCs w:val="24"/>
      <w:lang w:val="en-GB"/>
    </w:rPr>
  </w:style>
  <w:style w:type="character" w:styleId="EndnoteReference">
    <w:name w:val="endnote reference"/>
    <w:basedOn w:val="DefaultParagraphFont"/>
    <w:uiPriority w:val="98"/>
    <w:semiHidden/>
    <w:rsid w:val="00C570F2"/>
    <w:rPr>
      <w:vertAlign w:val="superscript"/>
    </w:rPr>
  </w:style>
  <w:style w:type="paragraph" w:styleId="EndnoteText">
    <w:name w:val="endnote text"/>
    <w:basedOn w:val="Normal"/>
    <w:link w:val="EndnoteTextChar"/>
    <w:uiPriority w:val="98"/>
    <w:semiHidden/>
    <w:rsid w:val="00C570F2"/>
    <w:rPr>
      <w:sz w:val="20"/>
      <w:szCs w:val="20"/>
    </w:rPr>
  </w:style>
  <w:style w:type="character" w:customStyle="1" w:styleId="EndnoteTextChar">
    <w:name w:val="Endnote Text Char"/>
    <w:basedOn w:val="DefaultParagraphFont"/>
    <w:link w:val="EndnoteText"/>
    <w:uiPriority w:val="98"/>
    <w:semiHidden/>
    <w:rsid w:val="00C570F2"/>
    <w:rPr>
      <w:sz w:val="20"/>
      <w:szCs w:val="20"/>
      <w:lang w:val="en-GB"/>
    </w:rPr>
  </w:style>
  <w:style w:type="paragraph" w:styleId="EnvelopeAddress">
    <w:name w:val="envelope address"/>
    <w:basedOn w:val="Normal"/>
    <w:uiPriority w:val="98"/>
    <w:semiHidden/>
    <w:rsid w:val="00C570F2"/>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570F2"/>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C570F2"/>
    <w:rPr>
      <w:color w:val="7030A0" w:themeColor="followedHyperlink"/>
      <w:u w:val="single"/>
    </w:rPr>
  </w:style>
  <w:style w:type="character" w:styleId="FootnoteReference">
    <w:name w:val="footnote reference"/>
    <w:basedOn w:val="DefaultParagraphFont"/>
    <w:uiPriority w:val="98"/>
    <w:semiHidden/>
    <w:rsid w:val="00C570F2"/>
    <w:rPr>
      <w:vertAlign w:val="superscript"/>
    </w:rPr>
  </w:style>
  <w:style w:type="paragraph" w:styleId="FootnoteText">
    <w:name w:val="footnote text"/>
    <w:basedOn w:val="NormalJustified"/>
    <w:link w:val="FootnoteTextChar"/>
    <w:uiPriority w:val="98"/>
    <w:semiHidden/>
    <w:rsid w:val="00C570F2"/>
    <w:rPr>
      <w:sz w:val="20"/>
      <w:szCs w:val="20"/>
    </w:rPr>
  </w:style>
  <w:style w:type="character" w:customStyle="1" w:styleId="FootnoteTextChar">
    <w:name w:val="Footnote Text Char"/>
    <w:basedOn w:val="DefaultParagraphFont"/>
    <w:link w:val="FootnoteText"/>
    <w:uiPriority w:val="98"/>
    <w:semiHidden/>
    <w:rsid w:val="00C570F2"/>
    <w:rPr>
      <w:sz w:val="20"/>
      <w:szCs w:val="20"/>
      <w:lang w:val="en-GB"/>
    </w:rPr>
  </w:style>
  <w:style w:type="character" w:styleId="HTMLAcronym">
    <w:name w:val="HTML Acronym"/>
    <w:basedOn w:val="DefaultParagraphFont"/>
    <w:uiPriority w:val="98"/>
    <w:semiHidden/>
    <w:rsid w:val="00C570F2"/>
  </w:style>
  <w:style w:type="paragraph" w:styleId="HTMLAddress">
    <w:name w:val="HTML Address"/>
    <w:basedOn w:val="Normal"/>
    <w:link w:val="HTMLAddressChar"/>
    <w:uiPriority w:val="98"/>
    <w:semiHidden/>
    <w:rsid w:val="00C570F2"/>
    <w:rPr>
      <w:i/>
      <w:iCs/>
    </w:rPr>
  </w:style>
  <w:style w:type="character" w:customStyle="1" w:styleId="HTMLAddressChar">
    <w:name w:val="HTML Address Char"/>
    <w:basedOn w:val="DefaultParagraphFont"/>
    <w:link w:val="HTMLAddress"/>
    <w:uiPriority w:val="98"/>
    <w:semiHidden/>
    <w:rsid w:val="00C570F2"/>
    <w:rPr>
      <w:i/>
      <w:iCs/>
      <w:sz w:val="24"/>
      <w:szCs w:val="24"/>
      <w:lang w:val="en-GB"/>
    </w:rPr>
  </w:style>
  <w:style w:type="character" w:styleId="HTMLCite">
    <w:name w:val="HTML Cite"/>
    <w:basedOn w:val="DefaultParagraphFont"/>
    <w:uiPriority w:val="98"/>
    <w:semiHidden/>
    <w:rsid w:val="00C570F2"/>
    <w:rPr>
      <w:i/>
      <w:iCs/>
    </w:rPr>
  </w:style>
  <w:style w:type="character" w:styleId="HTMLCode">
    <w:name w:val="HTML Code"/>
    <w:basedOn w:val="DefaultParagraphFont"/>
    <w:uiPriority w:val="98"/>
    <w:semiHidden/>
    <w:rsid w:val="00C570F2"/>
    <w:rPr>
      <w:rFonts w:ascii="Consolas" w:hAnsi="Consolas" w:cs="Consolas"/>
      <w:sz w:val="20"/>
      <w:szCs w:val="20"/>
    </w:rPr>
  </w:style>
  <w:style w:type="character" w:styleId="HTMLDefinition">
    <w:name w:val="HTML Definition"/>
    <w:basedOn w:val="DefaultParagraphFont"/>
    <w:uiPriority w:val="98"/>
    <w:semiHidden/>
    <w:rsid w:val="00C570F2"/>
    <w:rPr>
      <w:i/>
      <w:iCs/>
    </w:rPr>
  </w:style>
  <w:style w:type="character" w:styleId="HTMLKeyboard">
    <w:name w:val="HTML Keyboard"/>
    <w:basedOn w:val="DefaultParagraphFont"/>
    <w:uiPriority w:val="98"/>
    <w:semiHidden/>
    <w:rsid w:val="00C570F2"/>
    <w:rPr>
      <w:rFonts w:ascii="Consolas" w:hAnsi="Consolas" w:cs="Consolas"/>
      <w:sz w:val="20"/>
      <w:szCs w:val="20"/>
    </w:rPr>
  </w:style>
  <w:style w:type="paragraph" w:styleId="HTMLPreformatted">
    <w:name w:val="HTML Preformatted"/>
    <w:basedOn w:val="Normal"/>
    <w:link w:val="HTMLPreformattedChar"/>
    <w:uiPriority w:val="98"/>
    <w:semiHidden/>
    <w:rsid w:val="00C570F2"/>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570F2"/>
    <w:rPr>
      <w:rFonts w:ascii="Consolas" w:hAnsi="Consolas" w:cs="Consolas"/>
      <w:sz w:val="20"/>
      <w:szCs w:val="20"/>
      <w:lang w:val="en-GB"/>
    </w:rPr>
  </w:style>
  <w:style w:type="character" w:styleId="HTMLSample">
    <w:name w:val="HTML Sample"/>
    <w:basedOn w:val="DefaultParagraphFont"/>
    <w:uiPriority w:val="98"/>
    <w:semiHidden/>
    <w:rsid w:val="00C570F2"/>
    <w:rPr>
      <w:rFonts w:ascii="Consolas" w:hAnsi="Consolas" w:cs="Consolas"/>
      <w:sz w:val="24"/>
      <w:szCs w:val="24"/>
    </w:rPr>
  </w:style>
  <w:style w:type="character" w:styleId="HTMLTypewriter">
    <w:name w:val="HTML Typewriter"/>
    <w:basedOn w:val="DefaultParagraphFont"/>
    <w:uiPriority w:val="98"/>
    <w:semiHidden/>
    <w:rsid w:val="00C570F2"/>
    <w:rPr>
      <w:rFonts w:ascii="Consolas" w:hAnsi="Consolas" w:cs="Consolas"/>
      <w:sz w:val="20"/>
      <w:szCs w:val="20"/>
    </w:rPr>
  </w:style>
  <w:style w:type="character" w:styleId="HTMLVariable">
    <w:name w:val="HTML Variable"/>
    <w:basedOn w:val="DefaultParagraphFont"/>
    <w:uiPriority w:val="98"/>
    <w:semiHidden/>
    <w:rsid w:val="00C570F2"/>
    <w:rPr>
      <w:i/>
      <w:iCs/>
    </w:rPr>
  </w:style>
  <w:style w:type="character" w:styleId="Hyperlink">
    <w:name w:val="Hyperlink"/>
    <w:basedOn w:val="DefaultParagraphFont"/>
    <w:uiPriority w:val="98"/>
    <w:semiHidden/>
    <w:rsid w:val="00C570F2"/>
    <w:rPr>
      <w:color w:val="0072BC" w:themeColor="hyperlink"/>
      <w:u w:val="single"/>
    </w:rPr>
  </w:style>
  <w:style w:type="paragraph" w:styleId="Index1">
    <w:name w:val="index 1"/>
    <w:basedOn w:val="Normal"/>
    <w:next w:val="Normal"/>
    <w:autoRedefine/>
    <w:uiPriority w:val="98"/>
    <w:semiHidden/>
    <w:rsid w:val="00C570F2"/>
    <w:pPr>
      <w:ind w:left="240" w:hanging="240"/>
    </w:pPr>
  </w:style>
  <w:style w:type="paragraph" w:styleId="Index2">
    <w:name w:val="index 2"/>
    <w:basedOn w:val="Normal"/>
    <w:next w:val="Normal"/>
    <w:autoRedefine/>
    <w:uiPriority w:val="98"/>
    <w:semiHidden/>
    <w:rsid w:val="00C570F2"/>
    <w:pPr>
      <w:ind w:left="480" w:hanging="240"/>
    </w:pPr>
  </w:style>
  <w:style w:type="paragraph" w:styleId="Index3">
    <w:name w:val="index 3"/>
    <w:basedOn w:val="Normal"/>
    <w:next w:val="Normal"/>
    <w:autoRedefine/>
    <w:uiPriority w:val="98"/>
    <w:semiHidden/>
    <w:rsid w:val="00C570F2"/>
    <w:pPr>
      <w:ind w:left="720" w:hanging="240"/>
    </w:pPr>
  </w:style>
  <w:style w:type="paragraph" w:styleId="Index4">
    <w:name w:val="index 4"/>
    <w:basedOn w:val="Normal"/>
    <w:next w:val="Normal"/>
    <w:autoRedefine/>
    <w:uiPriority w:val="98"/>
    <w:semiHidden/>
    <w:rsid w:val="00C570F2"/>
    <w:pPr>
      <w:ind w:left="960" w:hanging="240"/>
    </w:pPr>
  </w:style>
  <w:style w:type="paragraph" w:styleId="Index5">
    <w:name w:val="index 5"/>
    <w:basedOn w:val="Normal"/>
    <w:next w:val="Normal"/>
    <w:autoRedefine/>
    <w:uiPriority w:val="98"/>
    <w:semiHidden/>
    <w:rsid w:val="00C570F2"/>
    <w:pPr>
      <w:ind w:left="1200" w:hanging="240"/>
    </w:pPr>
  </w:style>
  <w:style w:type="paragraph" w:styleId="Index6">
    <w:name w:val="index 6"/>
    <w:basedOn w:val="Normal"/>
    <w:next w:val="Normal"/>
    <w:autoRedefine/>
    <w:uiPriority w:val="98"/>
    <w:semiHidden/>
    <w:rsid w:val="00C570F2"/>
    <w:pPr>
      <w:ind w:left="1440" w:hanging="240"/>
    </w:pPr>
  </w:style>
  <w:style w:type="paragraph" w:styleId="Index7">
    <w:name w:val="index 7"/>
    <w:basedOn w:val="Normal"/>
    <w:next w:val="Normal"/>
    <w:autoRedefine/>
    <w:uiPriority w:val="98"/>
    <w:semiHidden/>
    <w:rsid w:val="00C570F2"/>
    <w:pPr>
      <w:ind w:left="1680" w:hanging="240"/>
    </w:pPr>
  </w:style>
  <w:style w:type="paragraph" w:styleId="Index8">
    <w:name w:val="index 8"/>
    <w:basedOn w:val="Normal"/>
    <w:next w:val="Normal"/>
    <w:autoRedefine/>
    <w:uiPriority w:val="98"/>
    <w:semiHidden/>
    <w:rsid w:val="00C570F2"/>
    <w:pPr>
      <w:ind w:left="1920" w:hanging="240"/>
    </w:pPr>
  </w:style>
  <w:style w:type="paragraph" w:styleId="Index9">
    <w:name w:val="index 9"/>
    <w:basedOn w:val="Normal"/>
    <w:next w:val="Normal"/>
    <w:autoRedefine/>
    <w:uiPriority w:val="98"/>
    <w:semiHidden/>
    <w:rsid w:val="00C570F2"/>
    <w:pPr>
      <w:ind w:left="2160" w:hanging="240"/>
    </w:pPr>
  </w:style>
  <w:style w:type="paragraph" w:styleId="IndexHeading">
    <w:name w:val="index heading"/>
    <w:basedOn w:val="Normal"/>
    <w:next w:val="Index1"/>
    <w:uiPriority w:val="98"/>
    <w:semiHidden/>
    <w:rsid w:val="00C570F2"/>
    <w:rPr>
      <w:rFonts w:asciiTheme="majorHAnsi" w:eastAsiaTheme="majorEastAsia" w:hAnsiTheme="majorHAnsi" w:cstheme="majorBidi"/>
      <w:b/>
      <w:bCs/>
    </w:rPr>
  </w:style>
  <w:style w:type="table" w:styleId="LightGrid">
    <w:name w:val="Light Grid"/>
    <w:basedOn w:val="TableNormal"/>
    <w:uiPriority w:val="62"/>
    <w:semiHidden/>
    <w:rsid w:val="00C570F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570F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570F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570F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C570F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570F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570F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570F2"/>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570F2"/>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570F2"/>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570F2"/>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C570F2"/>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570F2"/>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570F2"/>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570F2"/>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570F2"/>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570F2"/>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570F2"/>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C570F2"/>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570F2"/>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570F2"/>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570F2"/>
  </w:style>
  <w:style w:type="paragraph" w:styleId="List">
    <w:name w:val="List"/>
    <w:basedOn w:val="Normal"/>
    <w:uiPriority w:val="98"/>
    <w:semiHidden/>
    <w:rsid w:val="00C570F2"/>
    <w:pPr>
      <w:ind w:left="283" w:hanging="283"/>
      <w:contextualSpacing/>
    </w:pPr>
  </w:style>
  <w:style w:type="paragraph" w:styleId="List20">
    <w:name w:val="List 2"/>
    <w:basedOn w:val="Normal"/>
    <w:uiPriority w:val="98"/>
    <w:semiHidden/>
    <w:rsid w:val="00C570F2"/>
    <w:pPr>
      <w:ind w:left="566" w:hanging="283"/>
      <w:contextualSpacing/>
    </w:pPr>
  </w:style>
  <w:style w:type="paragraph" w:styleId="List30">
    <w:name w:val="List 3"/>
    <w:basedOn w:val="Normal"/>
    <w:uiPriority w:val="98"/>
    <w:semiHidden/>
    <w:rsid w:val="00C570F2"/>
    <w:pPr>
      <w:ind w:left="849" w:hanging="283"/>
      <w:contextualSpacing/>
    </w:pPr>
  </w:style>
  <w:style w:type="paragraph" w:styleId="List4">
    <w:name w:val="List 4"/>
    <w:basedOn w:val="Normal"/>
    <w:uiPriority w:val="98"/>
    <w:semiHidden/>
    <w:rsid w:val="00C570F2"/>
    <w:pPr>
      <w:ind w:left="1132" w:hanging="283"/>
      <w:contextualSpacing/>
    </w:pPr>
  </w:style>
  <w:style w:type="paragraph" w:styleId="List5">
    <w:name w:val="List 5"/>
    <w:basedOn w:val="Normal"/>
    <w:uiPriority w:val="98"/>
    <w:semiHidden/>
    <w:rsid w:val="00C570F2"/>
    <w:pPr>
      <w:ind w:left="1415" w:hanging="283"/>
      <w:contextualSpacing/>
    </w:pPr>
  </w:style>
  <w:style w:type="paragraph" w:styleId="ListBullet">
    <w:name w:val="List Bullet"/>
    <w:basedOn w:val="Normal"/>
    <w:uiPriority w:val="98"/>
    <w:semiHidden/>
    <w:rsid w:val="00C570F2"/>
    <w:pPr>
      <w:numPr>
        <w:numId w:val="5"/>
      </w:numPr>
    </w:pPr>
  </w:style>
  <w:style w:type="paragraph" w:styleId="ListBullet2">
    <w:name w:val="List Bullet 2"/>
    <w:basedOn w:val="Normal"/>
    <w:uiPriority w:val="98"/>
    <w:semiHidden/>
    <w:rsid w:val="00C570F2"/>
    <w:pPr>
      <w:numPr>
        <w:numId w:val="6"/>
      </w:numPr>
      <w:contextualSpacing/>
    </w:pPr>
  </w:style>
  <w:style w:type="paragraph" w:styleId="ListBullet3">
    <w:name w:val="List Bullet 3"/>
    <w:basedOn w:val="Normal"/>
    <w:uiPriority w:val="98"/>
    <w:semiHidden/>
    <w:rsid w:val="00C570F2"/>
    <w:pPr>
      <w:numPr>
        <w:numId w:val="7"/>
      </w:numPr>
      <w:contextualSpacing/>
    </w:pPr>
  </w:style>
  <w:style w:type="paragraph" w:styleId="ListBullet4">
    <w:name w:val="List Bullet 4"/>
    <w:basedOn w:val="Normal"/>
    <w:uiPriority w:val="98"/>
    <w:semiHidden/>
    <w:rsid w:val="00C570F2"/>
    <w:pPr>
      <w:numPr>
        <w:numId w:val="8"/>
      </w:numPr>
      <w:contextualSpacing/>
    </w:pPr>
  </w:style>
  <w:style w:type="paragraph" w:styleId="ListBullet5">
    <w:name w:val="List Bullet 5"/>
    <w:basedOn w:val="Normal"/>
    <w:uiPriority w:val="98"/>
    <w:semiHidden/>
    <w:rsid w:val="00C570F2"/>
    <w:pPr>
      <w:numPr>
        <w:numId w:val="9"/>
      </w:numPr>
      <w:contextualSpacing/>
    </w:pPr>
  </w:style>
  <w:style w:type="paragraph" w:styleId="ListContinue">
    <w:name w:val="List Continue"/>
    <w:basedOn w:val="Normal"/>
    <w:uiPriority w:val="98"/>
    <w:semiHidden/>
    <w:rsid w:val="00C570F2"/>
    <w:pPr>
      <w:spacing w:after="120"/>
      <w:ind w:left="283"/>
      <w:contextualSpacing/>
    </w:pPr>
  </w:style>
  <w:style w:type="paragraph" w:styleId="ListContinue2">
    <w:name w:val="List Continue 2"/>
    <w:basedOn w:val="Normal"/>
    <w:uiPriority w:val="98"/>
    <w:semiHidden/>
    <w:rsid w:val="00C570F2"/>
    <w:pPr>
      <w:spacing w:after="120"/>
      <w:ind w:left="566"/>
      <w:contextualSpacing/>
    </w:pPr>
  </w:style>
  <w:style w:type="paragraph" w:styleId="ListContinue3">
    <w:name w:val="List Continue 3"/>
    <w:basedOn w:val="Normal"/>
    <w:uiPriority w:val="98"/>
    <w:semiHidden/>
    <w:rsid w:val="00C570F2"/>
    <w:pPr>
      <w:spacing w:after="120"/>
      <w:ind w:left="849"/>
      <w:contextualSpacing/>
    </w:pPr>
  </w:style>
  <w:style w:type="paragraph" w:styleId="ListContinue4">
    <w:name w:val="List Continue 4"/>
    <w:basedOn w:val="Normal"/>
    <w:uiPriority w:val="98"/>
    <w:semiHidden/>
    <w:rsid w:val="00C570F2"/>
    <w:pPr>
      <w:spacing w:after="120"/>
      <w:ind w:left="1132"/>
      <w:contextualSpacing/>
    </w:pPr>
  </w:style>
  <w:style w:type="paragraph" w:styleId="ListContinue5">
    <w:name w:val="List Continue 5"/>
    <w:basedOn w:val="Normal"/>
    <w:uiPriority w:val="98"/>
    <w:semiHidden/>
    <w:rsid w:val="00C570F2"/>
    <w:pPr>
      <w:spacing w:after="120"/>
      <w:ind w:left="1415"/>
      <w:contextualSpacing/>
    </w:pPr>
  </w:style>
  <w:style w:type="paragraph" w:styleId="ListNumber">
    <w:name w:val="List Number"/>
    <w:basedOn w:val="Normal"/>
    <w:uiPriority w:val="98"/>
    <w:semiHidden/>
    <w:rsid w:val="00C570F2"/>
    <w:pPr>
      <w:numPr>
        <w:numId w:val="10"/>
      </w:numPr>
      <w:contextualSpacing/>
    </w:pPr>
  </w:style>
  <w:style w:type="paragraph" w:styleId="ListNumber2">
    <w:name w:val="List Number 2"/>
    <w:basedOn w:val="Normal"/>
    <w:uiPriority w:val="98"/>
    <w:semiHidden/>
    <w:rsid w:val="00C570F2"/>
    <w:pPr>
      <w:numPr>
        <w:numId w:val="11"/>
      </w:numPr>
      <w:contextualSpacing/>
    </w:pPr>
  </w:style>
  <w:style w:type="paragraph" w:styleId="ListNumber3">
    <w:name w:val="List Number 3"/>
    <w:basedOn w:val="Normal"/>
    <w:uiPriority w:val="98"/>
    <w:semiHidden/>
    <w:rsid w:val="00C570F2"/>
    <w:pPr>
      <w:numPr>
        <w:numId w:val="12"/>
      </w:numPr>
      <w:contextualSpacing/>
    </w:pPr>
  </w:style>
  <w:style w:type="paragraph" w:styleId="ListNumber4">
    <w:name w:val="List Number 4"/>
    <w:basedOn w:val="Normal"/>
    <w:uiPriority w:val="98"/>
    <w:semiHidden/>
    <w:rsid w:val="00C570F2"/>
    <w:pPr>
      <w:numPr>
        <w:numId w:val="13"/>
      </w:numPr>
      <w:contextualSpacing/>
    </w:pPr>
  </w:style>
  <w:style w:type="paragraph" w:styleId="ListNumber5">
    <w:name w:val="List Number 5"/>
    <w:basedOn w:val="Normal"/>
    <w:uiPriority w:val="98"/>
    <w:semiHidden/>
    <w:rsid w:val="00C570F2"/>
    <w:pPr>
      <w:numPr>
        <w:numId w:val="14"/>
      </w:numPr>
      <w:contextualSpacing/>
    </w:pPr>
  </w:style>
  <w:style w:type="paragraph" w:styleId="Macro">
    <w:name w:val="macro"/>
    <w:link w:val="MacroTextChar"/>
    <w:uiPriority w:val="98"/>
    <w:semiHidden/>
    <w:rsid w:val="00C570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C570F2"/>
    <w:rPr>
      <w:rFonts w:ascii="Consolas" w:hAnsi="Consolas" w:eastAsiaTheme="minorEastAsia" w:cs="Consolas"/>
      <w:sz w:val="20"/>
      <w:szCs w:val="20"/>
    </w:rPr>
  </w:style>
  <w:style w:type="table" w:styleId="MediumGrid1">
    <w:name w:val="Medium Grid 1"/>
    <w:basedOn w:val="TableNormal"/>
    <w:uiPriority w:val="67"/>
    <w:semiHidden/>
    <w:rsid w:val="00C570F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570F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570F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570F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C570F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570F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570F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570F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C570F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C570F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C570F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C570F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C570F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C570F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C570F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C570F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570F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570F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C570F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570F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570F2"/>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C570F2"/>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570F2"/>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570F2"/>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570F2"/>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C570F2"/>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570F2"/>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570F2"/>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570F2"/>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570F2"/>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570F2"/>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570F2"/>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570F2"/>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570F2"/>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570F2"/>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C570F2"/>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570F2"/>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570F2"/>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570F2"/>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570F2"/>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570F2"/>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570F2"/>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570F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570F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570F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570F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570F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570F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570F2"/>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570F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570F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C570F2"/>
    <w:rPr>
      <w:rFonts w:ascii="Times New Roman" w:hAnsi="Times New Roman" w:cs="Times New Roman"/>
    </w:rPr>
  </w:style>
  <w:style w:type="paragraph" w:styleId="NormalIndent">
    <w:name w:val="Normal Indent"/>
    <w:basedOn w:val="Normal"/>
    <w:uiPriority w:val="98"/>
    <w:semiHidden/>
    <w:rsid w:val="00C570F2"/>
    <w:pPr>
      <w:ind w:left="720"/>
    </w:pPr>
  </w:style>
  <w:style w:type="table" w:customStyle="1" w:styleId="ECHRTableNoLines">
    <w:name w:val="ECHR_Table_No_Lines"/>
    <w:basedOn w:val="TableNormal"/>
    <w:uiPriority w:val="99"/>
    <w:rsid w:val="00C570F2"/>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table" w:customStyle="1" w:styleId="ECHRTableSimpleBox">
    <w:name w:val="ECHR_Table_Simple_Box"/>
    <w:basedOn w:val="TableNormal"/>
    <w:uiPriority w:val="99"/>
    <w:rsid w:val="00C570F2"/>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character" w:styleId="PlaceholderText">
    <w:name w:val="Placeholder Text"/>
    <w:basedOn w:val="DefaultParagraphFont"/>
    <w:uiPriority w:val="98"/>
    <w:semiHidden/>
    <w:rsid w:val="00C570F2"/>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570F2"/>
    <w:rPr>
      <w:rFonts w:ascii="Consolas" w:hAnsi="Consolas" w:cs="Consolas"/>
      <w:sz w:val="21"/>
      <w:szCs w:val="21"/>
    </w:rPr>
  </w:style>
  <w:style w:type="character" w:customStyle="1" w:styleId="PlainTextChar">
    <w:name w:val="Plain Text Char"/>
    <w:basedOn w:val="DefaultParagraphFont"/>
    <w:link w:val="PlainText"/>
    <w:uiPriority w:val="98"/>
    <w:semiHidden/>
    <w:rsid w:val="00C570F2"/>
    <w:rPr>
      <w:rFonts w:ascii="Consolas" w:hAnsi="Consolas" w:cs="Consolas"/>
      <w:sz w:val="21"/>
      <w:szCs w:val="21"/>
      <w:lang w:val="en-GB"/>
    </w:rPr>
  </w:style>
  <w:style w:type="paragraph" w:styleId="Salutation">
    <w:name w:val="Salutation"/>
    <w:basedOn w:val="Normal"/>
    <w:next w:val="Normal"/>
    <w:link w:val="SalutationChar"/>
    <w:uiPriority w:val="98"/>
    <w:semiHidden/>
    <w:rsid w:val="00C570F2"/>
  </w:style>
  <w:style w:type="character" w:customStyle="1" w:styleId="SalutationChar">
    <w:name w:val="Salutation Char"/>
    <w:basedOn w:val="DefaultParagraphFont"/>
    <w:link w:val="Salutation"/>
    <w:uiPriority w:val="98"/>
    <w:semiHidden/>
    <w:rsid w:val="00C570F2"/>
    <w:rPr>
      <w:sz w:val="24"/>
      <w:szCs w:val="24"/>
      <w:lang w:val="en-GB"/>
    </w:rPr>
  </w:style>
  <w:style w:type="paragraph" w:styleId="Signature0">
    <w:name w:val="Signature"/>
    <w:basedOn w:val="Normal"/>
    <w:link w:val="SignatureChar"/>
    <w:uiPriority w:val="98"/>
    <w:semiHidden/>
    <w:rsid w:val="00C570F2"/>
    <w:pPr>
      <w:ind w:left="4252"/>
    </w:pPr>
  </w:style>
  <w:style w:type="character" w:customStyle="1" w:styleId="SignatureChar">
    <w:name w:val="Signature Char"/>
    <w:basedOn w:val="DefaultParagraphFont"/>
    <w:link w:val="Signature0"/>
    <w:uiPriority w:val="98"/>
    <w:semiHidden/>
    <w:rsid w:val="00C570F2"/>
    <w:rPr>
      <w:sz w:val="24"/>
      <w:szCs w:val="24"/>
      <w:lang w:val="en-GB"/>
    </w:rPr>
  </w:style>
  <w:style w:type="table" w:styleId="Table3Deffects1">
    <w:name w:val="Table 3D effects 1"/>
    <w:basedOn w:val="TableNormal"/>
    <w:uiPriority w:val="99"/>
    <w:semiHidden/>
    <w:unhideWhenUsed/>
    <w:rsid w:val="00C570F2"/>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570F2"/>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570F2"/>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570F2"/>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570F2"/>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570F2"/>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570F2"/>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570F2"/>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570F2"/>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570F2"/>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570F2"/>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570F2"/>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570F2"/>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570F2"/>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570F2"/>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570F2"/>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570F2"/>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C570F2"/>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C570F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570F2"/>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570F2"/>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570F2"/>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570F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570F2"/>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570F2"/>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570F2"/>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570F2"/>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570F2"/>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570F2"/>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570F2"/>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570F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570F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570F2"/>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570F2"/>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570F2"/>
    <w:pPr>
      <w:ind w:left="240" w:hanging="240"/>
    </w:pPr>
  </w:style>
  <w:style w:type="paragraph" w:styleId="TableofFigures">
    <w:name w:val="table of figures"/>
    <w:basedOn w:val="Normal"/>
    <w:next w:val="Normal"/>
    <w:uiPriority w:val="98"/>
    <w:semiHidden/>
    <w:rsid w:val="00C570F2"/>
  </w:style>
  <w:style w:type="table" w:styleId="TableProfessional">
    <w:name w:val="Table Professional"/>
    <w:basedOn w:val="TableNormal"/>
    <w:uiPriority w:val="99"/>
    <w:semiHidden/>
    <w:unhideWhenUsed/>
    <w:rsid w:val="00C570F2"/>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570F2"/>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570F2"/>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570F2"/>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570F2"/>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570F2"/>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570F2"/>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570F2"/>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570F2"/>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570F2"/>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8"/>
    <w:semiHidden/>
    <w:rsid w:val="00C570F2"/>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TOC1">
    <w:name w:val="toc 1"/>
    <w:basedOn w:val="Normal"/>
    <w:next w:val="Normal"/>
    <w:autoRedefine/>
    <w:uiPriority w:val="98"/>
    <w:semiHidden/>
    <w:rsid w:val="00C570F2"/>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570F2"/>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570F2"/>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570F2"/>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570F2"/>
    <w:pPr>
      <w:tabs>
        <w:tab w:val="right" w:leader="dot" w:pos="7371"/>
      </w:tabs>
      <w:spacing w:after="60" w:line="240" w:lineRule="exact"/>
      <w:ind w:left="1701" w:right="567" w:hanging="340"/>
    </w:pPr>
    <w:rPr>
      <w:sz w:val="20"/>
    </w:rPr>
  </w:style>
  <w:style w:type="paragraph" w:styleId="TOC6">
    <w:name w:val="toc 6"/>
    <w:basedOn w:val="Normal"/>
    <w:next w:val="Normal"/>
    <w:autoRedefine/>
    <w:uiPriority w:val="98"/>
    <w:semiHidden/>
    <w:rsid w:val="00C570F2"/>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570F2"/>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570F2"/>
    <w:pPr>
      <w:spacing w:after="100"/>
      <w:ind w:left="1680"/>
    </w:pPr>
  </w:style>
  <w:style w:type="paragraph" w:styleId="TOC9">
    <w:name w:val="toc 9"/>
    <w:basedOn w:val="Normal"/>
    <w:next w:val="Normal"/>
    <w:autoRedefine/>
    <w:uiPriority w:val="98"/>
    <w:semiHidden/>
    <w:rsid w:val="00C570F2"/>
    <w:pPr>
      <w:spacing w:after="100"/>
      <w:ind w:left="1920"/>
    </w:pPr>
  </w:style>
  <w:style w:type="paragraph" w:customStyle="1" w:styleId="ECHRFooter">
    <w:name w:val="ECHR_Footer"/>
    <w:aliases w:val="Footer_ECHR"/>
    <w:basedOn w:val="Footer1"/>
    <w:uiPriority w:val="57"/>
    <w:semiHidden/>
    <w:rsid w:val="00987A64"/>
    <w:rPr>
      <w:sz w:val="8"/>
    </w:rPr>
  </w:style>
  <w:style w:type="paragraph" w:customStyle="1" w:styleId="Footer">
    <w:name w:val="_Footer"/>
    <w:aliases w:val="Footer_"/>
    <w:basedOn w:val="Footer1"/>
    <w:uiPriority w:val="57"/>
    <w:semiHidden/>
    <w:rsid w:val="000D61E7"/>
    <w:rPr>
      <w:sz w:val="8"/>
    </w:rPr>
  </w:style>
  <w:style w:type="paragraph" w:styleId="Footer1">
    <w:name w:val="footer"/>
    <w:basedOn w:val="Normal"/>
    <w:link w:val="FooterChar"/>
    <w:uiPriority w:val="98"/>
    <w:semiHidden/>
    <w:rsid w:val="00C570F2"/>
    <w:pPr>
      <w:tabs>
        <w:tab w:val="center" w:pos="3686"/>
        <w:tab w:val="right" w:pos="7371"/>
      </w:tabs>
    </w:pPr>
  </w:style>
  <w:style w:type="character" w:customStyle="1" w:styleId="FooterChar">
    <w:name w:val="Footer Char"/>
    <w:basedOn w:val="DefaultParagraphFont"/>
    <w:link w:val="Footer1"/>
    <w:uiPriority w:val="98"/>
    <w:semiHidden/>
    <w:rsid w:val="00C570F2"/>
    <w:rPr>
      <w:sz w:val="24"/>
      <w:szCs w:val="24"/>
      <w:lang w:val="en-GB"/>
    </w:rPr>
  </w:style>
  <w:style w:type="paragraph" w:customStyle="1" w:styleId="ECHRFooterLine">
    <w:name w:val="ECHR_Footer_Line"/>
    <w:aliases w:val="_Footer_Line"/>
    <w:basedOn w:val="Normal"/>
    <w:next w:val="Normal"/>
    <w:uiPriority w:val="30"/>
    <w:semiHidden/>
    <w:rsid w:val="00C570F2"/>
    <w:pPr>
      <w:pBdr>
        <w:top w:val="single" w:sz="6" w:space="1" w:color="5F5F5F"/>
      </w:pBdr>
      <w:tabs>
        <w:tab w:val="center" w:pos="3686"/>
        <w:tab w:val="right" w:pos="7371"/>
      </w:tabs>
      <w:ind w:left="-1474" w:right="-1474"/>
    </w:pPr>
    <w:rPr>
      <w:color w:val="5F5F5F"/>
    </w:rPr>
  </w:style>
  <w:style w:type="table" w:customStyle="1" w:styleId="ECHRListTable">
    <w:name w:val="ECHR_List_Table"/>
    <w:basedOn w:val="TableNormal"/>
    <w:uiPriority w:val="99"/>
    <w:rsid w:val="00C570F2"/>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customStyle="1" w:styleId="JuCase">
    <w:name w:val="Ju_Case"/>
    <w:aliases w:val="_Case_Name"/>
    <w:basedOn w:val="NormalJustified"/>
    <w:next w:val="JuPara"/>
    <w:uiPriority w:val="32"/>
    <w:rsid w:val="00C570F2"/>
    <w:pPr>
      <w:ind w:firstLine="284"/>
    </w:pPr>
    <w:rPr>
      <w:b/>
    </w:rPr>
  </w:style>
  <w:style w:type="paragraph" w:styleId="NoteHeading">
    <w:name w:val="Note Heading"/>
    <w:basedOn w:val="Normal"/>
    <w:next w:val="Normal"/>
    <w:link w:val="NoteHeadingChar"/>
    <w:uiPriority w:val="98"/>
    <w:semiHidden/>
    <w:rsid w:val="00C570F2"/>
  </w:style>
  <w:style w:type="character" w:customStyle="1" w:styleId="NoteHeadingChar">
    <w:name w:val="Note Heading Char"/>
    <w:basedOn w:val="DefaultParagraphFont"/>
    <w:link w:val="NoteHeading"/>
    <w:uiPriority w:val="98"/>
    <w:semiHidden/>
    <w:rsid w:val="00C570F2"/>
    <w:rPr>
      <w:sz w:val="24"/>
      <w:szCs w:val="24"/>
      <w:lang w:val="en-GB"/>
    </w:rPr>
  </w:style>
  <w:style w:type="paragraph" w:customStyle="1" w:styleId="ECHRHeaderLandscape">
    <w:name w:val="ECHR_Header_Landscape"/>
    <w:aliases w:val="_Header_Landscape"/>
    <w:basedOn w:val="JuHeader"/>
    <w:uiPriority w:val="29"/>
    <w:semiHidden/>
    <w:rsid w:val="00C570F2"/>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C570F2"/>
    <w:pPr>
      <w:numPr>
        <w:numId w:val="18"/>
      </w:numPr>
      <w:spacing w:before="60" w:after="60"/>
    </w:pPr>
  </w:style>
  <w:style w:type="paragraph" w:customStyle="1" w:styleId="ECHRBullet2">
    <w:name w:val="ECHR_Bullet_2"/>
    <w:aliases w:val="_Bul_2"/>
    <w:basedOn w:val="ECHRBullet1"/>
    <w:uiPriority w:val="23"/>
    <w:semiHidden/>
    <w:rsid w:val="00C570F2"/>
    <w:pPr>
      <w:numPr>
        <w:ilvl w:val="1"/>
      </w:numPr>
    </w:pPr>
  </w:style>
  <w:style w:type="paragraph" w:customStyle="1" w:styleId="ECHRBullet3">
    <w:name w:val="ECHR_Bullet_3"/>
    <w:aliases w:val="_Bul_3"/>
    <w:basedOn w:val="ECHRBullet2"/>
    <w:uiPriority w:val="23"/>
    <w:semiHidden/>
    <w:rsid w:val="00C570F2"/>
    <w:pPr>
      <w:numPr>
        <w:ilvl w:val="2"/>
      </w:numPr>
    </w:pPr>
  </w:style>
  <w:style w:type="paragraph" w:customStyle="1" w:styleId="ECHRBullet4">
    <w:name w:val="ECHR_Bullet_4"/>
    <w:aliases w:val="_Bul_4"/>
    <w:basedOn w:val="ECHRBullet3"/>
    <w:uiPriority w:val="23"/>
    <w:semiHidden/>
    <w:rsid w:val="00C570F2"/>
    <w:pPr>
      <w:numPr>
        <w:ilvl w:val="3"/>
      </w:numPr>
    </w:pPr>
  </w:style>
  <w:style w:type="paragraph" w:customStyle="1" w:styleId="ECHRConfidential">
    <w:name w:val="ECHR_Confidential"/>
    <w:aliases w:val="_Confidential"/>
    <w:basedOn w:val="Normal"/>
    <w:next w:val="Normal"/>
    <w:uiPriority w:val="42"/>
    <w:semiHidden/>
    <w:qFormat/>
    <w:rsid w:val="00C570F2"/>
    <w:pPr>
      <w:jc w:val="right"/>
    </w:pPr>
    <w:rPr>
      <w:color w:val="C00000"/>
      <w:sz w:val="20"/>
    </w:rPr>
  </w:style>
  <w:style w:type="paragraph" w:customStyle="1" w:styleId="ECHRDecisionBody">
    <w:name w:val="ECHR_Decision_Body"/>
    <w:aliases w:val="_Decision_Body"/>
    <w:basedOn w:val="NormalJustified"/>
    <w:uiPriority w:val="54"/>
    <w:semiHidden/>
    <w:rsid w:val="00C570F2"/>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C570F2"/>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C570F2"/>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C570F2"/>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C570F2"/>
    <w:pPr>
      <w:jc w:val="right"/>
    </w:pPr>
    <w:rPr>
      <w:sz w:val="20"/>
    </w:rPr>
  </w:style>
  <w:style w:type="paragraph" w:customStyle="1" w:styleId="ECHRHeaderRefIt">
    <w:name w:val="ECHR_Header_Ref_It"/>
    <w:aliases w:val="_Ref_Ital"/>
    <w:basedOn w:val="Normal"/>
    <w:next w:val="ECHRHeaderDate"/>
    <w:uiPriority w:val="43"/>
    <w:semiHidden/>
    <w:qFormat/>
    <w:rsid w:val="00C570F2"/>
    <w:pPr>
      <w:jc w:val="right"/>
    </w:pPr>
    <w:rPr>
      <w:i/>
      <w:sz w:val="20"/>
    </w:rPr>
  </w:style>
  <w:style w:type="paragraph" w:customStyle="1" w:styleId="ECHRHeading9">
    <w:name w:val="ECHR_Heading_9"/>
    <w:aliases w:val="_Head_9"/>
    <w:basedOn w:val="Heading9"/>
    <w:uiPriority w:val="17"/>
    <w:semiHidden/>
    <w:rsid w:val="00C570F2"/>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C570F2"/>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C570F2"/>
    <w:pPr>
      <w:numPr>
        <w:numId w:val="19"/>
      </w:numPr>
      <w:spacing w:before="60" w:after="60"/>
    </w:pPr>
  </w:style>
  <w:style w:type="paragraph" w:customStyle="1" w:styleId="ECHRNumberedList2">
    <w:name w:val="ECHR_Numbered_List_2"/>
    <w:aliases w:val="_Num_2"/>
    <w:basedOn w:val="ECHRNumberedList1"/>
    <w:uiPriority w:val="23"/>
    <w:semiHidden/>
    <w:rsid w:val="00C570F2"/>
    <w:pPr>
      <w:numPr>
        <w:ilvl w:val="1"/>
      </w:numPr>
    </w:pPr>
  </w:style>
  <w:style w:type="paragraph" w:customStyle="1" w:styleId="ECHRNumberedList3">
    <w:name w:val="ECHR_Numbered_List_3"/>
    <w:aliases w:val="_Num_3"/>
    <w:basedOn w:val="ECHRNumberedList2"/>
    <w:uiPriority w:val="23"/>
    <w:semiHidden/>
    <w:rsid w:val="00C570F2"/>
    <w:pPr>
      <w:numPr>
        <w:ilvl w:val="2"/>
      </w:numPr>
    </w:pPr>
  </w:style>
  <w:style w:type="paragraph" w:customStyle="1" w:styleId="ECHRParaHanging">
    <w:name w:val="ECHR_Para_Hanging"/>
    <w:aliases w:val="_Hanging"/>
    <w:basedOn w:val="NormalJustified"/>
    <w:uiPriority w:val="8"/>
    <w:semiHidden/>
    <w:qFormat/>
    <w:rsid w:val="00C570F2"/>
    <w:pPr>
      <w:ind w:left="567" w:hanging="567"/>
    </w:pPr>
  </w:style>
  <w:style w:type="paragraph" w:customStyle="1" w:styleId="ECHRParaIndent">
    <w:name w:val="ECHR_Para_Indent"/>
    <w:aliases w:val="_Indent"/>
    <w:basedOn w:val="NormalJustified"/>
    <w:uiPriority w:val="7"/>
    <w:semiHidden/>
    <w:qFormat/>
    <w:rsid w:val="00C570F2"/>
    <w:pPr>
      <w:spacing w:before="120" w:after="120"/>
      <w:ind w:left="284"/>
    </w:pPr>
  </w:style>
  <w:style w:type="character" w:customStyle="1" w:styleId="ECHRRed">
    <w:name w:val="ECHR_Red"/>
    <w:aliases w:val="_Red"/>
    <w:basedOn w:val="DefaultParagraphFont"/>
    <w:uiPriority w:val="15"/>
    <w:semiHidden/>
    <w:qFormat/>
    <w:rsid w:val="00C570F2"/>
    <w:rPr>
      <w:color w:val="C00000" w:themeColor="accent2"/>
    </w:rPr>
  </w:style>
  <w:style w:type="paragraph" w:customStyle="1" w:styleId="DecList">
    <w:name w:val="Dec_List"/>
    <w:aliases w:val="_List"/>
    <w:basedOn w:val="JuList"/>
    <w:uiPriority w:val="22"/>
    <w:rsid w:val="00C570F2"/>
    <w:pPr>
      <w:numPr>
        <w:numId w:val="0"/>
      </w:numPr>
      <w:ind w:left="284"/>
    </w:pPr>
  </w:style>
  <w:style w:type="table" w:customStyle="1" w:styleId="ECHRTable">
    <w:name w:val="ECHR_Table"/>
    <w:basedOn w:val="TableNormal"/>
    <w:rsid w:val="00C570F2"/>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2">
    <w:name w:val="ECHR_Table_2"/>
    <w:basedOn w:val="TableNormal"/>
    <w:uiPriority w:val="99"/>
    <w:rsid w:val="00C570F2"/>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570F2"/>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C570F2"/>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C570F2"/>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C570F2"/>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C570F2"/>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C570F2"/>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C570F2"/>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C570F2"/>
    <w:pPr>
      <w:outlineLvl w:val="0"/>
    </w:pPr>
  </w:style>
  <w:style w:type="paragraph" w:customStyle="1" w:styleId="ECHRTitleTOC1">
    <w:name w:val="ECHR_Title_TOC_1"/>
    <w:aliases w:val="_Title_L_TOC"/>
    <w:basedOn w:val="ECHRTitle1"/>
    <w:next w:val="Normal"/>
    <w:uiPriority w:val="27"/>
    <w:semiHidden/>
    <w:qFormat/>
    <w:rsid w:val="00C570F2"/>
    <w:pPr>
      <w:outlineLvl w:val="0"/>
    </w:pPr>
  </w:style>
  <w:style w:type="table" w:customStyle="1" w:styleId="LtrTableAddress">
    <w:name w:val="Ltr_Table_Address"/>
    <w:aliases w:val="ECHR_Ltr_Table_Address"/>
    <w:basedOn w:val="TableNormal"/>
    <w:uiPriority w:val="99"/>
    <w:rsid w:val="00C570F2"/>
    <w:rPr>
      <w:sz w:val="24"/>
      <w:szCs w:val="24"/>
    </w:rPr>
    <w:tblPr>
      <w:tblInd w:w="5103" w:type="dxa"/>
    </w:tblPr>
  </w:style>
  <w:style w:type="table" w:customStyle="1" w:styleId="PCFTableStyle">
    <w:name w:val="PCF_Table_Style"/>
    <w:aliases w:val="ECHR_PCF_Table_Style"/>
    <w:basedOn w:val="TableNormal"/>
    <w:uiPriority w:val="99"/>
    <w:rsid w:val="00C570F2"/>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UGTable">
    <w:name w:val="UG_Table"/>
    <w:aliases w:val="ECHR_UG_Table"/>
    <w:basedOn w:val="TableNormal"/>
    <w:uiPriority w:val="99"/>
    <w:rsid w:val="00C570F2"/>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570F2"/>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paragraph" w:customStyle="1" w:styleId="ECHRPlaceholder">
    <w:name w:val="ECHR_Placeholder"/>
    <w:aliases w:val="_Placeholder"/>
    <w:basedOn w:val="JuSigned"/>
    <w:uiPriority w:val="31"/>
    <w:rsid w:val="00C570F2"/>
    <w:rPr>
      <w:color w:val="FFFFFF"/>
    </w:rPr>
  </w:style>
  <w:style w:type="paragraph" w:customStyle="1" w:styleId="ECHRSpacer">
    <w:name w:val="ECHR_Spacer"/>
    <w:aliases w:val="_Spacer"/>
    <w:basedOn w:val="Normal"/>
    <w:uiPriority w:val="45"/>
    <w:semiHidden/>
    <w:rsid w:val="00C570F2"/>
    <w:rPr>
      <w:sz w:val="4"/>
    </w:rPr>
  </w:style>
  <w:style w:type="table" w:customStyle="1" w:styleId="ECHRTableGrey">
    <w:name w:val="ECHR_Table_Grey"/>
    <w:basedOn w:val="TableNormal"/>
    <w:uiPriority w:val="99"/>
    <w:rsid w:val="00C570F2"/>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table" w:customStyle="1" w:styleId="ECHRTableOddBanded">
    <w:name w:val="ECHR_Table_Odd_Banded"/>
    <w:basedOn w:val="TableNormal"/>
    <w:uiPriority w:val="99"/>
    <w:rsid w:val="00C570F2"/>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character" w:styleId="UnresolvedMention">
    <w:name w:val="Unresolved Mention"/>
    <w:basedOn w:val="DefaultParagraphFont"/>
    <w:uiPriority w:val="99"/>
    <w:semiHidden/>
    <w:unhideWhenUsed/>
    <w:rsid w:val="00C570F2"/>
    <w:rPr>
      <w:color w:val="605E5C"/>
      <w:shd w:val="clear" w:color="auto" w:fill="E1DFDD"/>
    </w:rPr>
  </w:style>
  <w:style w:type="character" w:customStyle="1" w:styleId="JuParaChar">
    <w:name w:val="Ju_Para Char"/>
    <w:aliases w:val="_Para Char"/>
    <w:link w:val="JuPara"/>
    <w:uiPriority w:val="4"/>
    <w:rsid w:val="00E47D0C"/>
    <w:rPr>
      <w:sz w:val="24"/>
      <w:szCs w:val="24"/>
      <w:lang w:val="en-GB"/>
    </w:rPr>
  </w:style>
  <w:style w:type="table" w:styleId="GridTable1Light">
    <w:name w:val="Grid Table 1 Light"/>
    <w:basedOn w:val="TableNormal"/>
    <w:uiPriority w:val="46"/>
    <w:semiHidden/>
    <w:rsid w:val="00C570F2"/>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C570F2"/>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C570F2"/>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C570F2"/>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C570F2"/>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C570F2"/>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C570F2"/>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C570F2"/>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C570F2"/>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C570F2"/>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C570F2"/>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C570F2"/>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C570F2"/>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C570F2"/>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C570F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C570F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C570F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C570F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C570F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C570F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C570F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C570F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C570F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C570F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C570F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C570F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C570F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C570F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C570F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C570F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C570F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C570F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C570F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C570F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C570F2"/>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C570F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C570F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C570F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C570F2"/>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C570F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C570F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C570F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C570F2"/>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C570F2"/>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C570F2"/>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C570F2"/>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C570F2"/>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C570F2"/>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C570F2"/>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C570F2"/>
    <w:rPr>
      <w:color w:val="2B579A"/>
      <w:shd w:val="clear" w:color="auto" w:fill="E1DFDD"/>
    </w:rPr>
  </w:style>
  <w:style w:type="table" w:styleId="ListTable1Light">
    <w:name w:val="List Table 1 Light"/>
    <w:basedOn w:val="TableNormal"/>
    <w:uiPriority w:val="46"/>
    <w:semiHidden/>
    <w:rsid w:val="00C570F2"/>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C570F2"/>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C570F2"/>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C570F2"/>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C570F2"/>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C570F2"/>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C570F2"/>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C570F2"/>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C570F2"/>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C570F2"/>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C570F2"/>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C570F2"/>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C570F2"/>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C570F2"/>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C570F2"/>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C570F2"/>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C570F2"/>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C570F2"/>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C570F2"/>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C570F2"/>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C570F2"/>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C570F2"/>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C570F2"/>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C570F2"/>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C570F2"/>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C570F2"/>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C570F2"/>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C570F2"/>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C570F2"/>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C570F2"/>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C570F2"/>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C570F2"/>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C570F2"/>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C570F2"/>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C570F2"/>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C570F2"/>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C570F2"/>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C570F2"/>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C570F2"/>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C570F2"/>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C570F2"/>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C570F2"/>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C570F2"/>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C570F2"/>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C570F2"/>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C570F2"/>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C570F2"/>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C570F2"/>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C570F2"/>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C570F2"/>
    <w:rPr>
      <w:color w:val="2B579A"/>
      <w:shd w:val="clear" w:color="auto" w:fill="E1DFDD"/>
    </w:rPr>
  </w:style>
  <w:style w:type="table" w:styleId="PlainTable1">
    <w:name w:val="Plain Table 1"/>
    <w:basedOn w:val="TableNormal"/>
    <w:uiPriority w:val="41"/>
    <w:semiHidden/>
    <w:rsid w:val="00C570F2"/>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C570F2"/>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C570F2"/>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C570F2"/>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C570F2"/>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C570F2"/>
    <w:rPr>
      <w:u w:val="dotted"/>
    </w:rPr>
  </w:style>
  <w:style w:type="character" w:styleId="SmartLink">
    <w:name w:val="Smart Link"/>
    <w:basedOn w:val="DefaultParagraphFont"/>
    <w:uiPriority w:val="99"/>
    <w:semiHidden/>
    <w:unhideWhenUsed/>
    <w:rsid w:val="00C570F2"/>
    <w:rPr>
      <w:color w:val="0000FF"/>
      <w:u w:val="single"/>
      <w:shd w:val="clear" w:color="auto" w:fill="F3F2F1"/>
    </w:rPr>
  </w:style>
  <w:style w:type="table" w:styleId="GridTableLight">
    <w:name w:val="Grid Table Light"/>
    <w:basedOn w:val="TableNormal"/>
    <w:uiPriority w:val="40"/>
    <w:semiHidden/>
    <w:rsid w:val="00C570F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9D660E-415E-4998-9B61-2168D4318A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1888</Words>
  <Characters>11185</Characters>
  <Application>Microsoft Office Word</Application>
  <DocSecurity>0</DocSecurity>
  <Lines>211</Lines>
  <Paragraphs>51</Paragraphs>
  <ScaleCrop>false</ScaleCrop>
  <HeadingPairs>
    <vt:vector size="2" baseType="variant">
      <vt:variant>
        <vt:lpstr>Title</vt:lpstr>
      </vt:variant>
      <vt:variant>
        <vt:i4>1</vt:i4>
      </vt:variant>
    </vt:vector>
  </HeadingPairs>
  <TitlesOfParts>
    <vt:vector size="1" baseType="lpstr">
      <vt:lpstr>Decision</vt:lpstr>
    </vt:vector>
  </TitlesOfParts>
  <Company/>
  <LinksUpToDate>false</LinksUpToDate>
  <CharactersWithSpaces>13022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DC</dc:subject>
  <cp:revision>1</cp:revision>
  <dcterms:created xsi:type="dcterms:W3CDTF">2025-09-29T14:24:00Z</dcterms:created>
  <dcterms:modified xsi:type="dcterms:W3CDTF">2025-09-29T14:31:00Z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1324615</vt:lpwstr>
  </property>
  <property fmtid="{D5CDD505-2E9C-101B-9397-08002B2CF9AE}" pid="3" name="cstLanguage">
    <vt:i4>2057</vt:i4>
  </property>
  <property fmtid="{D5CDD505-2E9C-101B-9397-08002B2CF9AE}" pid="4" name="RegisteredNo">
    <vt:lpwstr>51358/17</vt:lpwstr>
  </property>
</Properties>
</file>